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44EA5B" w14:textId="77777777" w:rsidR="00CD42B4" w:rsidRDefault="00CD42B4">
      <w:pPr>
        <w:widowControl w:val="0"/>
        <w:pBdr>
          <w:top w:val="nil"/>
          <w:left w:val="nil"/>
          <w:bottom w:val="nil"/>
          <w:right w:val="nil"/>
          <w:between w:val="nil"/>
        </w:pBdr>
        <w:spacing w:line="276" w:lineRule="auto"/>
      </w:pPr>
    </w:p>
    <w:p w14:paraId="1CDF49B3" w14:textId="77777777" w:rsidR="00CD42B4" w:rsidRDefault="00CD42B4">
      <w:pPr>
        <w:widowControl w:val="0"/>
        <w:pBdr>
          <w:top w:val="nil"/>
          <w:left w:val="nil"/>
          <w:bottom w:val="nil"/>
          <w:right w:val="nil"/>
          <w:between w:val="nil"/>
        </w:pBdr>
        <w:spacing w:line="276" w:lineRule="auto"/>
      </w:pPr>
    </w:p>
    <w:p w14:paraId="3D1B2B0C"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siete de abril de dos mil veintidós. </w:t>
      </w:r>
    </w:p>
    <w:p w14:paraId="564F4F17" w14:textId="77777777" w:rsidR="00CD42B4" w:rsidRPr="00435703" w:rsidRDefault="00CD42B4">
      <w:pPr>
        <w:spacing w:line="360" w:lineRule="auto"/>
        <w:jc w:val="both"/>
        <w:rPr>
          <w:rFonts w:ascii="Palatino Linotype" w:eastAsia="Palatino Linotype" w:hAnsi="Palatino Linotype" w:cs="Palatino Linotype"/>
        </w:rPr>
      </w:pPr>
    </w:p>
    <w:p w14:paraId="3B99F621"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b/>
          <w:sz w:val="28"/>
          <w:szCs w:val="28"/>
        </w:rPr>
        <w:t>VISTO</w:t>
      </w:r>
      <w:r w:rsidRPr="00435703">
        <w:rPr>
          <w:rFonts w:ascii="Palatino Linotype" w:eastAsia="Palatino Linotype" w:hAnsi="Palatino Linotype" w:cs="Palatino Linotype"/>
        </w:rPr>
        <w:t xml:space="preserve"> el expediente formado con motivo del recurso de revisión </w:t>
      </w:r>
      <w:r w:rsidRPr="00435703">
        <w:rPr>
          <w:rFonts w:ascii="Palatino Linotype" w:eastAsia="Palatino Linotype" w:hAnsi="Palatino Linotype" w:cs="Palatino Linotype"/>
          <w:b/>
        </w:rPr>
        <w:t xml:space="preserve">00387/INFOEM/IP/RR/2022, </w:t>
      </w:r>
      <w:r w:rsidRPr="00435703">
        <w:rPr>
          <w:rFonts w:ascii="Palatino Linotype" w:eastAsia="Palatino Linotype" w:hAnsi="Palatino Linotype" w:cs="Palatino Linotype"/>
        </w:rPr>
        <w:t>promovido por un particular de forma anónima</w:t>
      </w:r>
      <w:r w:rsidRPr="00435703">
        <w:rPr>
          <w:rFonts w:ascii="Palatino Linotype" w:eastAsia="Palatino Linotype" w:hAnsi="Palatino Linotype" w:cs="Palatino Linotype"/>
          <w:b/>
        </w:rPr>
        <w:t xml:space="preserve">, </w:t>
      </w:r>
      <w:r w:rsidRPr="00435703">
        <w:rPr>
          <w:rFonts w:ascii="Palatino Linotype" w:eastAsia="Palatino Linotype" w:hAnsi="Palatino Linotype" w:cs="Palatino Linotype"/>
        </w:rPr>
        <w:t xml:space="preserve">a quien en lo sucesivo se le denominará como </w:t>
      </w:r>
      <w:r w:rsidRPr="00435703">
        <w:rPr>
          <w:rFonts w:ascii="Palatino Linotype" w:eastAsia="Palatino Linotype" w:hAnsi="Palatino Linotype" w:cs="Palatino Linotype"/>
          <w:b/>
        </w:rPr>
        <w:t>EL RECURRENTE,</w:t>
      </w:r>
      <w:r w:rsidRPr="00435703">
        <w:rPr>
          <w:rFonts w:ascii="Palatino Linotype" w:eastAsia="Palatino Linotype" w:hAnsi="Palatino Linotype" w:cs="Palatino Linotype"/>
        </w:rPr>
        <w:t xml:space="preserve"> en contra de la respuesta del </w:t>
      </w:r>
      <w:r w:rsidRPr="00435703">
        <w:rPr>
          <w:rFonts w:ascii="Palatino Linotype" w:eastAsia="Palatino Linotype" w:hAnsi="Palatino Linotype" w:cs="Palatino Linotype"/>
          <w:b/>
        </w:rPr>
        <w:t xml:space="preserve">Ayuntamiento de Toluca, </w:t>
      </w:r>
      <w:r w:rsidRPr="00435703">
        <w:rPr>
          <w:rFonts w:ascii="Palatino Linotype" w:eastAsia="Palatino Linotype" w:hAnsi="Palatino Linotype" w:cs="Palatino Linotype"/>
        </w:rPr>
        <w:t xml:space="preserve">en lo subsecuente se le denominará </w:t>
      </w:r>
      <w:r w:rsidRPr="00435703">
        <w:rPr>
          <w:rFonts w:ascii="Palatino Linotype" w:eastAsia="Palatino Linotype" w:hAnsi="Palatino Linotype" w:cs="Palatino Linotype"/>
          <w:b/>
        </w:rPr>
        <w:t xml:space="preserve">EL SUJETO OBLIGADO, </w:t>
      </w:r>
      <w:r w:rsidRPr="00435703">
        <w:rPr>
          <w:rFonts w:ascii="Palatino Linotype" w:eastAsia="Palatino Linotype" w:hAnsi="Palatino Linotype" w:cs="Palatino Linotype"/>
        </w:rPr>
        <w:t>se procede a dictar la presente resolución con base en lo siguiente:</w:t>
      </w:r>
    </w:p>
    <w:p w14:paraId="1C84227D" w14:textId="77777777" w:rsidR="00CD42B4" w:rsidRPr="00435703" w:rsidRDefault="00CD42B4">
      <w:pPr>
        <w:spacing w:line="360" w:lineRule="auto"/>
        <w:jc w:val="both"/>
        <w:rPr>
          <w:rFonts w:ascii="Palatino Linotype" w:eastAsia="Palatino Linotype" w:hAnsi="Palatino Linotype" w:cs="Palatino Linotype"/>
          <w:b/>
        </w:rPr>
      </w:pPr>
    </w:p>
    <w:p w14:paraId="142BC85D" w14:textId="77777777" w:rsidR="00CD42B4" w:rsidRPr="00435703" w:rsidRDefault="00F34A2D">
      <w:pPr>
        <w:jc w:val="center"/>
        <w:rPr>
          <w:rFonts w:ascii="Palatino Linotype" w:eastAsia="Palatino Linotype" w:hAnsi="Palatino Linotype" w:cs="Palatino Linotype"/>
          <w:b/>
          <w:sz w:val="28"/>
          <w:szCs w:val="28"/>
        </w:rPr>
      </w:pPr>
      <w:r w:rsidRPr="00435703">
        <w:rPr>
          <w:rFonts w:ascii="Palatino Linotype" w:eastAsia="Palatino Linotype" w:hAnsi="Palatino Linotype" w:cs="Palatino Linotype"/>
          <w:b/>
          <w:sz w:val="28"/>
          <w:szCs w:val="28"/>
        </w:rPr>
        <w:t>ANTECEDENTES</w:t>
      </w:r>
    </w:p>
    <w:p w14:paraId="6EB25F0A" w14:textId="77777777" w:rsidR="00CD42B4" w:rsidRPr="00435703" w:rsidRDefault="00CD42B4">
      <w:pPr>
        <w:rPr>
          <w:rFonts w:ascii="Palatino Linotype" w:eastAsia="Palatino Linotype" w:hAnsi="Palatino Linotype" w:cs="Palatino Linotype"/>
          <w:b/>
        </w:rPr>
      </w:pPr>
    </w:p>
    <w:p w14:paraId="4BF4F8DF" w14:textId="77777777" w:rsidR="00CD42B4" w:rsidRPr="00435703" w:rsidRDefault="00F34A2D">
      <w:pPr>
        <w:spacing w:line="360" w:lineRule="auto"/>
        <w:jc w:val="both"/>
        <w:rPr>
          <w:rFonts w:ascii="Palatino Linotype" w:eastAsia="Palatino Linotype" w:hAnsi="Palatino Linotype" w:cs="Palatino Linotype"/>
          <w:b/>
        </w:rPr>
      </w:pPr>
      <w:bookmarkStart w:id="0" w:name="_heading=h.30j0zll" w:colFirst="0" w:colLast="0"/>
      <w:bookmarkEnd w:id="0"/>
      <w:r w:rsidRPr="00435703">
        <w:rPr>
          <w:rFonts w:ascii="Palatino Linotype" w:eastAsia="Palatino Linotype" w:hAnsi="Palatino Linotype" w:cs="Palatino Linotype"/>
          <w:b/>
          <w:sz w:val="28"/>
          <w:szCs w:val="28"/>
        </w:rPr>
        <w:t>I.</w:t>
      </w:r>
      <w:r w:rsidRPr="00435703">
        <w:rPr>
          <w:rFonts w:ascii="Palatino Linotype" w:eastAsia="Palatino Linotype" w:hAnsi="Palatino Linotype" w:cs="Palatino Linotype"/>
          <w:b/>
        </w:rPr>
        <w:t xml:space="preserve"> </w:t>
      </w:r>
      <w:r w:rsidRPr="00435703">
        <w:rPr>
          <w:rFonts w:ascii="Palatino Linotype" w:eastAsia="Palatino Linotype" w:hAnsi="Palatino Linotype" w:cs="Palatino Linotype"/>
          <w:b/>
          <w:sz w:val="28"/>
          <w:szCs w:val="28"/>
        </w:rPr>
        <w:t>De la Solicitud de Información</w:t>
      </w:r>
    </w:p>
    <w:p w14:paraId="0FFC4EC4"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En veinticuatro de enero de dos mil veintidós, </w:t>
      </w:r>
      <w:r w:rsidRPr="00435703">
        <w:rPr>
          <w:rFonts w:ascii="Palatino Linotype" w:eastAsia="Palatino Linotype" w:hAnsi="Palatino Linotype" w:cs="Palatino Linotype"/>
          <w:b/>
        </w:rPr>
        <w:t>EL RECURRENTE</w:t>
      </w:r>
      <w:r w:rsidRPr="00435703">
        <w:rPr>
          <w:rFonts w:ascii="Palatino Linotype" w:eastAsia="Palatino Linotype" w:hAnsi="Palatino Linotype" w:cs="Palatino Linotype"/>
        </w:rPr>
        <w:t xml:space="preserve"> presentó a través del Sistema de Acceso a la Información Mexiquense, en lo subsecuente </w:t>
      </w:r>
      <w:r w:rsidRPr="00435703">
        <w:rPr>
          <w:rFonts w:ascii="Palatino Linotype" w:eastAsia="Palatino Linotype" w:hAnsi="Palatino Linotype" w:cs="Palatino Linotype"/>
          <w:b/>
        </w:rPr>
        <w:t>EL SAIMEX</w:t>
      </w:r>
      <w:r w:rsidRPr="00435703">
        <w:rPr>
          <w:rFonts w:ascii="Palatino Linotype" w:eastAsia="Palatino Linotype" w:hAnsi="Palatino Linotype" w:cs="Palatino Linotype"/>
        </w:rPr>
        <w:t xml:space="preserve"> ante </w:t>
      </w:r>
      <w:r w:rsidRPr="00435703">
        <w:rPr>
          <w:rFonts w:ascii="Palatino Linotype" w:eastAsia="Palatino Linotype" w:hAnsi="Palatino Linotype" w:cs="Palatino Linotype"/>
          <w:b/>
        </w:rPr>
        <w:t>EL SUJETO OBLIGADO</w:t>
      </w:r>
      <w:r w:rsidRPr="00435703">
        <w:rPr>
          <w:rFonts w:ascii="Palatino Linotype" w:eastAsia="Palatino Linotype" w:hAnsi="Palatino Linotype" w:cs="Palatino Linotype"/>
        </w:rPr>
        <w:t xml:space="preserve">, la solicitud de acceso a la información pública, a la que se le asignó el número de expediente </w:t>
      </w:r>
      <w:r w:rsidRPr="00435703">
        <w:rPr>
          <w:rFonts w:ascii="Palatino Linotype" w:eastAsia="Palatino Linotype" w:hAnsi="Palatino Linotype" w:cs="Palatino Linotype"/>
          <w:b/>
        </w:rPr>
        <w:t xml:space="preserve">00350/TOLUCA/IP/2022, </w:t>
      </w:r>
      <w:r w:rsidRPr="00435703">
        <w:rPr>
          <w:rFonts w:ascii="Palatino Linotype" w:eastAsia="Palatino Linotype" w:hAnsi="Palatino Linotype" w:cs="Palatino Linotype"/>
        </w:rPr>
        <w:t>mediante el cual requirió, lo siguiente:</w:t>
      </w:r>
    </w:p>
    <w:p w14:paraId="5D66812E"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 xml:space="preserve">“Pido la información vigente a esta H. Institución: 1.- Número de patrullas con las que cuenta el Municipio para prestar el servicio de seguridad pública dentro del territorio </w:t>
      </w:r>
      <w:proofErr w:type="gramStart"/>
      <w:r w:rsidRPr="00435703">
        <w:rPr>
          <w:rFonts w:ascii="Palatino Linotype" w:eastAsia="Palatino Linotype" w:hAnsi="Palatino Linotype" w:cs="Palatino Linotype"/>
          <w:i/>
          <w:sz w:val="22"/>
          <w:szCs w:val="22"/>
        </w:rPr>
        <w:t>municipal</w:t>
      </w:r>
      <w:proofErr w:type="gramEnd"/>
      <w:r w:rsidRPr="00435703">
        <w:rPr>
          <w:rFonts w:ascii="Palatino Linotype" w:eastAsia="Palatino Linotype" w:hAnsi="Palatino Linotype" w:cs="Palatino Linotype"/>
          <w:i/>
          <w:sz w:val="22"/>
          <w:szCs w:val="22"/>
        </w:rPr>
        <w:t xml:space="preserve">. 2.- Número de unidades vehiculares con las que cuenta el Municipio, para prestar el servicio de seguridad pública. Así mismo pidiendo se agregue descripción de </w:t>
      </w:r>
      <w:proofErr w:type="gramStart"/>
      <w:r w:rsidRPr="00435703">
        <w:rPr>
          <w:rFonts w:ascii="Palatino Linotype" w:eastAsia="Palatino Linotype" w:hAnsi="Palatino Linotype" w:cs="Palatino Linotype"/>
          <w:i/>
          <w:sz w:val="22"/>
          <w:szCs w:val="22"/>
        </w:rPr>
        <w:t>la unidades</w:t>
      </w:r>
      <w:proofErr w:type="gramEnd"/>
      <w:r w:rsidRPr="00435703">
        <w:rPr>
          <w:rFonts w:ascii="Palatino Linotype" w:eastAsia="Palatino Linotype" w:hAnsi="Palatino Linotype" w:cs="Palatino Linotype"/>
          <w:i/>
          <w:sz w:val="22"/>
          <w:szCs w:val="22"/>
        </w:rPr>
        <w:t xml:space="preserve"> como es: marca, modelo, año del vehículo y su equipamiento. 3.- Con cuantas unidades vehiculares cuenta el Municipio de Cuautitlán Izcalli asignadas al área de Transito señalando marca, modelo, equipamiento y año de los vehículos. 4.- Con cuantos Oficiales en servicio cuenta el Municipio para servir a la comunidad brindando el servicio de seguridad pública. 5.- Con cuantos Oficiales en servicio cuenta el Municipio para </w:t>
      </w:r>
      <w:r w:rsidRPr="00435703">
        <w:rPr>
          <w:rFonts w:ascii="Palatino Linotype" w:eastAsia="Palatino Linotype" w:hAnsi="Palatino Linotype" w:cs="Palatino Linotype"/>
          <w:i/>
          <w:sz w:val="22"/>
          <w:szCs w:val="22"/>
        </w:rPr>
        <w:lastRenderedPageBreak/>
        <w:t xml:space="preserve">servir a la comunidad brindando el servicio de transito vial 6.- Cuantos oficiales de Seguridad Pública y </w:t>
      </w:r>
      <w:proofErr w:type="spellStart"/>
      <w:r w:rsidRPr="00435703">
        <w:rPr>
          <w:rFonts w:ascii="Palatino Linotype" w:eastAsia="Palatino Linotype" w:hAnsi="Palatino Linotype" w:cs="Palatino Linotype"/>
          <w:i/>
          <w:sz w:val="22"/>
          <w:szCs w:val="22"/>
        </w:rPr>
        <w:t>Transito</w:t>
      </w:r>
      <w:proofErr w:type="spellEnd"/>
      <w:r w:rsidRPr="00435703">
        <w:rPr>
          <w:rFonts w:ascii="Palatino Linotype" w:eastAsia="Palatino Linotype" w:hAnsi="Palatino Linotype" w:cs="Palatino Linotype"/>
          <w:i/>
          <w:sz w:val="22"/>
          <w:szCs w:val="22"/>
        </w:rPr>
        <w:t xml:space="preserve"> fueron contratados en la actual administración. 7.- Cuantos Oficiales facultativos hay en la Comisaria de Seguridad Pública y </w:t>
      </w:r>
      <w:proofErr w:type="spellStart"/>
      <w:r w:rsidRPr="00435703">
        <w:rPr>
          <w:rFonts w:ascii="Palatino Linotype" w:eastAsia="Palatino Linotype" w:hAnsi="Palatino Linotype" w:cs="Palatino Linotype"/>
          <w:i/>
          <w:sz w:val="22"/>
          <w:szCs w:val="22"/>
        </w:rPr>
        <w:t>Transito</w:t>
      </w:r>
      <w:proofErr w:type="spellEnd"/>
      <w:r w:rsidRPr="00435703">
        <w:rPr>
          <w:rFonts w:ascii="Palatino Linotype" w:eastAsia="Palatino Linotype" w:hAnsi="Palatino Linotype" w:cs="Palatino Linotype"/>
          <w:i/>
          <w:sz w:val="22"/>
          <w:szCs w:val="22"/>
        </w:rPr>
        <w:t xml:space="preserve"> dividido en seguridad pública y </w:t>
      </w:r>
      <w:proofErr w:type="spellStart"/>
      <w:r w:rsidRPr="00435703">
        <w:rPr>
          <w:rFonts w:ascii="Palatino Linotype" w:eastAsia="Palatino Linotype" w:hAnsi="Palatino Linotype" w:cs="Palatino Linotype"/>
          <w:i/>
          <w:sz w:val="22"/>
          <w:szCs w:val="22"/>
        </w:rPr>
        <w:t>transito</w:t>
      </w:r>
      <w:proofErr w:type="spellEnd"/>
      <w:r w:rsidRPr="00435703">
        <w:rPr>
          <w:rFonts w:ascii="Palatino Linotype" w:eastAsia="Palatino Linotype" w:hAnsi="Palatino Linotype" w:cs="Palatino Linotype"/>
          <w:i/>
          <w:sz w:val="22"/>
          <w:szCs w:val="22"/>
        </w:rPr>
        <w:t xml:space="preserve"> señalando fecha o fechas de ingreso. </w:t>
      </w:r>
      <w:proofErr w:type="gramStart"/>
      <w:r w:rsidRPr="00435703">
        <w:rPr>
          <w:rFonts w:ascii="Palatino Linotype" w:eastAsia="Palatino Linotype" w:hAnsi="Palatino Linotype" w:cs="Palatino Linotype"/>
          <w:i/>
          <w:sz w:val="22"/>
          <w:szCs w:val="22"/>
        </w:rPr>
        <w:t>8.Existe</w:t>
      </w:r>
      <w:proofErr w:type="gramEnd"/>
      <w:r w:rsidRPr="00435703">
        <w:rPr>
          <w:rFonts w:ascii="Palatino Linotype" w:eastAsia="Palatino Linotype" w:hAnsi="Palatino Linotype" w:cs="Palatino Linotype"/>
          <w:i/>
          <w:sz w:val="22"/>
          <w:szCs w:val="22"/>
        </w:rPr>
        <w:t xml:space="preserve"> alguna oficina en el municipio de la policía cibernética. 9 cuantas personas laboran las oficialías.9 cuantos policías no se encuentran en ejercicio de sus funciones por ser </w:t>
      </w:r>
      <w:proofErr w:type="spellStart"/>
      <w:r w:rsidRPr="00435703">
        <w:rPr>
          <w:rFonts w:ascii="Palatino Linotype" w:eastAsia="Palatino Linotype" w:hAnsi="Palatino Linotype" w:cs="Palatino Linotype"/>
          <w:i/>
          <w:sz w:val="22"/>
          <w:szCs w:val="22"/>
        </w:rPr>
        <w:t>sanncionados</w:t>
      </w:r>
      <w:proofErr w:type="spellEnd"/>
      <w:r w:rsidRPr="00435703">
        <w:rPr>
          <w:rFonts w:ascii="Palatino Linotype" w:eastAsia="Palatino Linotype" w:hAnsi="Palatino Linotype" w:cs="Palatino Linotype"/>
          <w:i/>
          <w:sz w:val="22"/>
          <w:szCs w:val="22"/>
        </w:rPr>
        <w:t xml:space="preserve">. 10, quien preside la comisión de seguridad pública, me proporcionen las actas de dicha comisión.10. </w:t>
      </w:r>
      <w:proofErr w:type="gramStart"/>
      <w:r w:rsidRPr="00435703">
        <w:rPr>
          <w:rFonts w:ascii="Palatino Linotype" w:eastAsia="Palatino Linotype" w:hAnsi="Palatino Linotype" w:cs="Palatino Linotype"/>
          <w:i/>
          <w:sz w:val="22"/>
          <w:szCs w:val="22"/>
        </w:rPr>
        <w:t>solicito</w:t>
      </w:r>
      <w:proofErr w:type="gramEnd"/>
      <w:r w:rsidRPr="00435703">
        <w:rPr>
          <w:rFonts w:ascii="Palatino Linotype" w:eastAsia="Palatino Linotype" w:hAnsi="Palatino Linotype" w:cs="Palatino Linotype"/>
          <w:i/>
          <w:sz w:val="22"/>
          <w:szCs w:val="22"/>
        </w:rPr>
        <w:t xml:space="preserve"> el nombre de policías sancionados por faltas graves. Cuantos grupos delictivos existen en el municpio.11. </w:t>
      </w:r>
      <w:proofErr w:type="gramStart"/>
      <w:r w:rsidRPr="00435703">
        <w:rPr>
          <w:rFonts w:ascii="Palatino Linotype" w:eastAsia="Palatino Linotype" w:hAnsi="Palatino Linotype" w:cs="Palatino Linotype"/>
          <w:i/>
          <w:sz w:val="22"/>
          <w:szCs w:val="22"/>
        </w:rPr>
        <w:t>como</w:t>
      </w:r>
      <w:proofErr w:type="gramEnd"/>
      <w:r w:rsidRPr="00435703">
        <w:rPr>
          <w:rFonts w:ascii="Palatino Linotype" w:eastAsia="Palatino Linotype" w:hAnsi="Palatino Linotype" w:cs="Palatino Linotype"/>
          <w:i/>
          <w:sz w:val="22"/>
          <w:szCs w:val="22"/>
        </w:rPr>
        <w:t xml:space="preserve"> interviene la </w:t>
      </w:r>
      <w:proofErr w:type="spellStart"/>
      <w:r w:rsidRPr="00435703">
        <w:rPr>
          <w:rFonts w:ascii="Palatino Linotype" w:eastAsia="Palatino Linotype" w:hAnsi="Palatino Linotype" w:cs="Palatino Linotype"/>
          <w:i/>
          <w:sz w:val="22"/>
          <w:szCs w:val="22"/>
        </w:rPr>
        <w:t>guaredia</w:t>
      </w:r>
      <w:proofErr w:type="spellEnd"/>
      <w:r w:rsidRPr="00435703">
        <w:rPr>
          <w:rFonts w:ascii="Palatino Linotype" w:eastAsia="Palatino Linotype" w:hAnsi="Palatino Linotype" w:cs="Palatino Linotype"/>
          <w:i/>
          <w:sz w:val="22"/>
          <w:szCs w:val="22"/>
        </w:rPr>
        <w:t xml:space="preserve"> nacional solicito evidencias.” (Sic)</w:t>
      </w:r>
    </w:p>
    <w:p w14:paraId="4076A298" w14:textId="77777777" w:rsidR="00CD42B4" w:rsidRPr="00435703" w:rsidRDefault="00CD42B4">
      <w:pPr>
        <w:ind w:left="850" w:right="899"/>
        <w:jc w:val="both"/>
        <w:rPr>
          <w:rFonts w:ascii="Palatino Linotype" w:eastAsia="Palatino Linotype" w:hAnsi="Palatino Linotype" w:cs="Palatino Linotype"/>
          <w:sz w:val="22"/>
          <w:szCs w:val="22"/>
        </w:rPr>
      </w:pPr>
    </w:p>
    <w:p w14:paraId="224875BD" w14:textId="77777777" w:rsidR="00CD42B4" w:rsidRPr="00435703" w:rsidRDefault="00F34A2D">
      <w:pPr>
        <w:widowControl w:val="0"/>
        <w:spacing w:line="360" w:lineRule="auto"/>
        <w:jc w:val="both"/>
        <w:rPr>
          <w:rFonts w:ascii="Palatino Linotype" w:eastAsia="Palatino Linotype" w:hAnsi="Palatino Linotype" w:cs="Palatino Linotype"/>
          <w:b/>
        </w:rPr>
      </w:pPr>
      <w:r w:rsidRPr="00435703">
        <w:rPr>
          <w:rFonts w:ascii="Palatino Linotype" w:eastAsia="Palatino Linotype" w:hAnsi="Palatino Linotype" w:cs="Palatino Linotype"/>
          <w:b/>
        </w:rPr>
        <w:t xml:space="preserve">MODALIDAD DE ENTREGA: </w:t>
      </w:r>
      <w:r w:rsidRPr="00435703">
        <w:rPr>
          <w:rFonts w:ascii="Palatino Linotype" w:eastAsia="Palatino Linotype" w:hAnsi="Palatino Linotype" w:cs="Palatino Linotype"/>
        </w:rPr>
        <w:t xml:space="preserve">Vía </w:t>
      </w:r>
      <w:r w:rsidRPr="00435703">
        <w:rPr>
          <w:rFonts w:ascii="Palatino Linotype" w:eastAsia="Palatino Linotype" w:hAnsi="Palatino Linotype" w:cs="Palatino Linotype"/>
          <w:b/>
        </w:rPr>
        <w:t xml:space="preserve">SAIMEX. </w:t>
      </w:r>
    </w:p>
    <w:p w14:paraId="50D9A94D" w14:textId="77777777" w:rsidR="00CD42B4" w:rsidRPr="00435703" w:rsidRDefault="00CD42B4">
      <w:pPr>
        <w:widowControl w:val="0"/>
        <w:spacing w:line="360" w:lineRule="auto"/>
        <w:jc w:val="both"/>
        <w:rPr>
          <w:rFonts w:ascii="Palatino Linotype" w:eastAsia="Palatino Linotype" w:hAnsi="Palatino Linotype" w:cs="Palatino Linotype"/>
          <w:b/>
        </w:rPr>
      </w:pPr>
    </w:p>
    <w:p w14:paraId="4940E06A" w14:textId="77777777" w:rsidR="00CD42B4" w:rsidRPr="00435703" w:rsidRDefault="00F34A2D">
      <w:pPr>
        <w:spacing w:line="360" w:lineRule="auto"/>
        <w:jc w:val="both"/>
        <w:rPr>
          <w:rFonts w:ascii="Palatino Linotype" w:eastAsia="Palatino Linotype" w:hAnsi="Palatino Linotype" w:cs="Palatino Linotype"/>
          <w:b/>
          <w:sz w:val="28"/>
          <w:szCs w:val="28"/>
        </w:rPr>
      </w:pPr>
      <w:r w:rsidRPr="00435703">
        <w:rPr>
          <w:rFonts w:ascii="Palatino Linotype" w:eastAsia="Palatino Linotype" w:hAnsi="Palatino Linotype" w:cs="Palatino Linotype"/>
          <w:b/>
          <w:sz w:val="28"/>
          <w:szCs w:val="28"/>
        </w:rPr>
        <w:t>II. Turno de requerimiento del Sujeto Obligado</w:t>
      </w:r>
    </w:p>
    <w:p w14:paraId="58EE1C7F" w14:textId="77777777" w:rsidR="00CD42B4" w:rsidRPr="00435703" w:rsidRDefault="00F34A2D">
      <w:pPr>
        <w:widowControl w:val="0"/>
        <w:spacing w:line="360" w:lineRule="auto"/>
        <w:jc w:val="both"/>
        <w:rPr>
          <w:rFonts w:ascii="Palatino Linotype" w:eastAsia="Palatino Linotype" w:hAnsi="Palatino Linotype" w:cs="Palatino Linotype"/>
          <w:b/>
        </w:rPr>
      </w:pPr>
      <w:r w:rsidRPr="00435703">
        <w:rPr>
          <w:rFonts w:ascii="Palatino Linotype" w:eastAsia="Palatino Linotype" w:hAnsi="Palatino Linotype" w:cs="Palatino Linotype"/>
        </w:rPr>
        <w:t xml:space="preserve">De las constancias que obran en el expediente electrónico del SAIMEX, no se advierte  turnó mediante requerimiento del contenido de la solicitud de información al servidor público habilitado competente, a efecto de que realizara la búsqueda y localización de la información solicitada. En cumplimiento al artículo 162 de la Ley de Transparencia y Acceso a la Información Pública del Estado de México y Municipios, el diecinueve enero de dos mil veintidós, </w:t>
      </w:r>
    </w:p>
    <w:p w14:paraId="41C813BF" w14:textId="77777777" w:rsidR="00CD42B4" w:rsidRPr="00435703" w:rsidRDefault="00CD42B4">
      <w:pPr>
        <w:widowControl w:val="0"/>
        <w:spacing w:line="360" w:lineRule="auto"/>
        <w:jc w:val="both"/>
        <w:rPr>
          <w:rFonts w:ascii="Palatino Linotype" w:eastAsia="Palatino Linotype" w:hAnsi="Palatino Linotype" w:cs="Palatino Linotype"/>
          <w:b/>
        </w:rPr>
      </w:pPr>
    </w:p>
    <w:p w14:paraId="33AA5789" w14:textId="77777777" w:rsidR="00CD42B4" w:rsidRPr="00435703" w:rsidRDefault="00F34A2D">
      <w:pPr>
        <w:widowControl w:val="0"/>
        <w:spacing w:line="360" w:lineRule="auto"/>
        <w:jc w:val="both"/>
        <w:rPr>
          <w:rFonts w:ascii="Palatino Linotype" w:eastAsia="Palatino Linotype" w:hAnsi="Palatino Linotype" w:cs="Palatino Linotype"/>
          <w:b/>
          <w:sz w:val="28"/>
          <w:szCs w:val="28"/>
        </w:rPr>
      </w:pPr>
      <w:r w:rsidRPr="00435703">
        <w:rPr>
          <w:rFonts w:ascii="Palatino Linotype" w:eastAsia="Palatino Linotype" w:hAnsi="Palatino Linotype" w:cs="Palatino Linotype"/>
          <w:b/>
          <w:sz w:val="28"/>
          <w:szCs w:val="28"/>
        </w:rPr>
        <w:t>III. Respuesta del Sujeto Obligado</w:t>
      </w:r>
    </w:p>
    <w:p w14:paraId="28ECF1BF" w14:textId="77777777" w:rsidR="00CD42B4" w:rsidRPr="00435703" w:rsidRDefault="00F34A2D">
      <w:pPr>
        <w:widowControl w:val="0"/>
        <w:spacing w:line="360" w:lineRule="auto"/>
        <w:jc w:val="both"/>
        <w:rPr>
          <w:rFonts w:ascii="Verdana" w:eastAsia="Verdana" w:hAnsi="Verdana" w:cs="Verdana"/>
          <w:sz w:val="18"/>
          <w:szCs w:val="18"/>
        </w:rPr>
      </w:pPr>
      <w:r w:rsidRPr="00435703">
        <w:rPr>
          <w:rFonts w:ascii="Palatino Linotype" w:eastAsia="Palatino Linotype" w:hAnsi="Palatino Linotype" w:cs="Palatino Linotype"/>
        </w:rPr>
        <w:t xml:space="preserve">En fecha veintisiete de enero de dos mil veintidós, </w:t>
      </w:r>
      <w:r w:rsidRPr="00435703">
        <w:rPr>
          <w:rFonts w:ascii="Palatino Linotype" w:eastAsia="Palatino Linotype" w:hAnsi="Palatino Linotype" w:cs="Palatino Linotype"/>
          <w:b/>
        </w:rPr>
        <w:t>EL SUJETO OBLIGADO</w:t>
      </w:r>
      <w:r w:rsidRPr="00435703">
        <w:rPr>
          <w:rFonts w:ascii="Palatino Linotype" w:eastAsia="Palatino Linotype" w:hAnsi="Palatino Linotype" w:cs="Palatino Linotype"/>
        </w:rPr>
        <w:t xml:space="preserve"> se declaró su incompetencia total para conocer de la solicitud de información pública en términos de lo establecido por el artículo 167 de la Ley de Transparencia y Acceso a la Información Pública del Estado de México y Municipios; como se puede apreciar a continuación:  </w:t>
      </w:r>
    </w:p>
    <w:p w14:paraId="2502F119" w14:textId="77777777" w:rsidR="00CD42B4" w:rsidRPr="00435703" w:rsidRDefault="00F34A2D">
      <w:pPr>
        <w:widowControl w:val="0"/>
        <w:ind w:left="850" w:right="899"/>
        <w:jc w:val="right"/>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0"/>
          <w:szCs w:val="20"/>
        </w:rPr>
        <w:t xml:space="preserve">                                                                          </w:t>
      </w:r>
      <w:proofErr w:type="gramStart"/>
      <w:r w:rsidRPr="00435703">
        <w:rPr>
          <w:rFonts w:ascii="Palatino Linotype" w:eastAsia="Palatino Linotype" w:hAnsi="Palatino Linotype" w:cs="Palatino Linotype"/>
          <w:i/>
          <w:sz w:val="20"/>
          <w:szCs w:val="20"/>
        </w:rPr>
        <w:t>“</w:t>
      </w:r>
      <w:r w:rsidRPr="00435703">
        <w:rPr>
          <w:rFonts w:ascii="Palatino Linotype" w:eastAsia="Palatino Linotype" w:hAnsi="Palatino Linotype" w:cs="Palatino Linotype"/>
          <w:i/>
          <w:sz w:val="22"/>
          <w:szCs w:val="22"/>
        </w:rPr>
        <w:t xml:space="preserve"> Toluca</w:t>
      </w:r>
      <w:proofErr w:type="gramEnd"/>
      <w:r w:rsidRPr="00435703">
        <w:rPr>
          <w:rFonts w:ascii="Palatino Linotype" w:eastAsia="Palatino Linotype" w:hAnsi="Palatino Linotype" w:cs="Palatino Linotype"/>
          <w:i/>
          <w:sz w:val="22"/>
          <w:szCs w:val="22"/>
        </w:rPr>
        <w:t>, México a 27 de Enero de 2022</w:t>
      </w:r>
    </w:p>
    <w:p w14:paraId="7CE81535" w14:textId="77777777" w:rsidR="00CD42B4" w:rsidRPr="00435703" w:rsidRDefault="00F34A2D">
      <w:pPr>
        <w:widowControl w:val="0"/>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Nombre del solicitante:</w:t>
      </w:r>
    </w:p>
    <w:p w14:paraId="6E829D3E" w14:textId="77777777" w:rsidR="00CD42B4" w:rsidRPr="00435703" w:rsidRDefault="00F34A2D">
      <w:pPr>
        <w:widowControl w:val="0"/>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Folio de la solicitud: 00350/TOLUCA/IP/2022</w:t>
      </w:r>
    </w:p>
    <w:p w14:paraId="23D751A1" w14:textId="77777777" w:rsidR="00CD42B4" w:rsidRPr="00435703" w:rsidRDefault="00F34A2D">
      <w:pPr>
        <w:widowControl w:val="0"/>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lastRenderedPageBreak/>
        <w:t>Con fundamento en el artículo 167 de la ley de Transparencia y Acceso a la Información Pública del Estado de México y Municipios, se orienta sobre el Sujeto Obligado que puede atender a su solicitud de información.</w:t>
      </w:r>
    </w:p>
    <w:p w14:paraId="16635BF1" w14:textId="77777777" w:rsidR="00CD42B4" w:rsidRPr="00435703" w:rsidRDefault="00CD42B4">
      <w:pPr>
        <w:widowControl w:val="0"/>
        <w:ind w:left="850" w:right="899"/>
        <w:jc w:val="both"/>
        <w:rPr>
          <w:rFonts w:ascii="Palatino Linotype" w:eastAsia="Palatino Linotype" w:hAnsi="Palatino Linotype" w:cs="Palatino Linotype"/>
          <w:i/>
          <w:sz w:val="22"/>
          <w:szCs w:val="22"/>
        </w:rPr>
      </w:pPr>
    </w:p>
    <w:p w14:paraId="7CCAE6D7" w14:textId="77777777" w:rsidR="00CD42B4" w:rsidRPr="00435703" w:rsidRDefault="00F34A2D">
      <w:pPr>
        <w:widowControl w:val="0"/>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ATENTAMENTE</w:t>
      </w:r>
    </w:p>
    <w:p w14:paraId="0F06D273" w14:textId="77777777" w:rsidR="00CD42B4" w:rsidRPr="00435703" w:rsidRDefault="00F34A2D">
      <w:pPr>
        <w:widowControl w:val="0"/>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Lic. Norma Sofía Pérez Martínez” (sic)</w:t>
      </w:r>
    </w:p>
    <w:p w14:paraId="13C44180" w14:textId="77777777" w:rsidR="00CD42B4" w:rsidRPr="00435703" w:rsidRDefault="00CD42B4">
      <w:pPr>
        <w:widowControl w:val="0"/>
        <w:ind w:right="899"/>
        <w:jc w:val="both"/>
        <w:rPr>
          <w:rFonts w:ascii="Palatino Linotype" w:eastAsia="Palatino Linotype" w:hAnsi="Palatino Linotype" w:cs="Palatino Linotype"/>
          <w:i/>
          <w:sz w:val="22"/>
          <w:szCs w:val="22"/>
        </w:rPr>
      </w:pPr>
    </w:p>
    <w:p w14:paraId="6B11760F" w14:textId="77777777" w:rsidR="00CD42B4" w:rsidRPr="00435703" w:rsidRDefault="00F34A2D">
      <w:pPr>
        <w:widowControl w:val="0"/>
        <w:spacing w:line="360" w:lineRule="auto"/>
        <w:ind w:right="49"/>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De igual modo, </w:t>
      </w:r>
      <w:r w:rsidRPr="00435703">
        <w:rPr>
          <w:rFonts w:ascii="Palatino Linotype" w:eastAsia="Palatino Linotype" w:hAnsi="Palatino Linotype" w:cs="Palatino Linotype"/>
          <w:b/>
        </w:rPr>
        <w:t xml:space="preserve">EL SUJETO OBLIGADO </w:t>
      </w:r>
      <w:r w:rsidRPr="00435703">
        <w:rPr>
          <w:rFonts w:ascii="Palatino Linotype" w:eastAsia="Palatino Linotype" w:hAnsi="Palatino Linotype" w:cs="Palatino Linotype"/>
        </w:rPr>
        <w:t>adjuntó a su respuesta el documento que se describe a continuación:</w:t>
      </w:r>
    </w:p>
    <w:p w14:paraId="17EAFDE2" w14:textId="77777777" w:rsidR="00CD42B4" w:rsidRPr="00435703" w:rsidRDefault="00CD42B4">
      <w:pPr>
        <w:widowControl w:val="0"/>
        <w:spacing w:line="360" w:lineRule="auto"/>
        <w:ind w:right="49"/>
        <w:jc w:val="both"/>
        <w:rPr>
          <w:rFonts w:ascii="Palatino Linotype" w:eastAsia="Palatino Linotype" w:hAnsi="Palatino Linotype" w:cs="Palatino Linotype"/>
        </w:rPr>
      </w:pPr>
    </w:p>
    <w:p w14:paraId="2D1A9840" w14:textId="77777777" w:rsidR="00CD42B4" w:rsidRPr="00435703" w:rsidRDefault="00F34A2D">
      <w:pPr>
        <w:widowControl w:val="0"/>
        <w:numPr>
          <w:ilvl w:val="0"/>
          <w:numId w:val="2"/>
        </w:numPr>
        <w:spacing w:line="360" w:lineRule="auto"/>
        <w:ind w:right="49"/>
        <w:jc w:val="both"/>
        <w:rPr>
          <w:rFonts w:ascii="Palatino Linotype" w:eastAsia="Palatino Linotype" w:hAnsi="Palatino Linotype" w:cs="Palatino Linotype"/>
        </w:rPr>
      </w:pPr>
      <w:r w:rsidRPr="00435703">
        <w:rPr>
          <w:rFonts w:ascii="Palatino Linotype" w:eastAsia="Palatino Linotype" w:hAnsi="Palatino Linotype" w:cs="Palatino Linotype"/>
        </w:rPr>
        <w:t>Archivo denominado “</w:t>
      </w:r>
      <w:r w:rsidRPr="00435703">
        <w:rPr>
          <w:rFonts w:ascii="Palatino Linotype" w:eastAsia="Palatino Linotype" w:hAnsi="Palatino Linotype" w:cs="Palatino Linotype"/>
          <w:i/>
        </w:rPr>
        <w:t>Incompetencia Parcial_00350_2022.pdf”,</w:t>
      </w:r>
      <w:r w:rsidRPr="00435703">
        <w:rPr>
          <w:rFonts w:ascii="Palatino Linotype" w:eastAsia="Palatino Linotype" w:hAnsi="Palatino Linotype" w:cs="Palatino Linotype"/>
        </w:rPr>
        <w:t xml:space="preserve"> mediante el cual se aprecia el Acuerdo de fecha veintiséis de enero de dos mil veintidós firmado por la Titular de la Unidad de Transparencia del </w:t>
      </w:r>
      <w:r w:rsidRPr="00435703">
        <w:rPr>
          <w:rFonts w:ascii="Palatino Linotype" w:eastAsia="Palatino Linotype" w:hAnsi="Palatino Linotype" w:cs="Palatino Linotype"/>
          <w:b/>
        </w:rPr>
        <w:t>SUJETO OBLIGADO</w:t>
      </w:r>
      <w:r w:rsidRPr="00435703">
        <w:rPr>
          <w:rFonts w:ascii="Palatino Linotype" w:eastAsia="Palatino Linotype" w:hAnsi="Palatino Linotype" w:cs="Palatino Linotype"/>
        </w:rPr>
        <w:t xml:space="preserve"> en el que se declara la incompetencia total para conocer de la información solicitada, indicando como autoridad competente para dar respuesta a la solicitud del particular al Ayuntamiento de Cuautitlán Izcalli. Se insertan capturas de pantalla de dicho documento para mayor certeza:  </w:t>
      </w:r>
    </w:p>
    <w:p w14:paraId="704F9E39" w14:textId="77777777" w:rsidR="00CD42B4" w:rsidRPr="00435703" w:rsidRDefault="00F34A2D">
      <w:pPr>
        <w:widowControl w:val="0"/>
        <w:spacing w:line="360" w:lineRule="auto"/>
        <w:ind w:right="49"/>
        <w:jc w:val="center"/>
        <w:rPr>
          <w:rFonts w:ascii="Palatino Linotype" w:eastAsia="Palatino Linotype" w:hAnsi="Palatino Linotype" w:cs="Palatino Linotype"/>
        </w:rPr>
      </w:pPr>
      <w:r w:rsidRPr="00435703">
        <w:rPr>
          <w:rFonts w:ascii="Palatino Linotype" w:eastAsia="Palatino Linotype" w:hAnsi="Palatino Linotype" w:cs="Palatino Linotype"/>
          <w:noProof/>
        </w:rPr>
        <w:drawing>
          <wp:inline distT="114300" distB="114300" distL="114300" distR="114300" wp14:anchorId="013DF358" wp14:editId="40AD2E91">
            <wp:extent cx="4657090" cy="1876169"/>
            <wp:effectExtent l="0" t="0" r="0" b="0"/>
            <wp:docPr id="9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b="55079"/>
                    <a:stretch>
                      <a:fillRect/>
                    </a:stretch>
                  </pic:blipFill>
                  <pic:spPr>
                    <a:xfrm>
                      <a:off x="0" y="0"/>
                      <a:ext cx="4657090" cy="1876169"/>
                    </a:xfrm>
                    <a:prstGeom prst="rect">
                      <a:avLst/>
                    </a:prstGeom>
                    <a:ln/>
                  </pic:spPr>
                </pic:pic>
              </a:graphicData>
            </a:graphic>
          </wp:inline>
        </w:drawing>
      </w:r>
    </w:p>
    <w:p w14:paraId="3975DBC8" w14:textId="77777777" w:rsidR="00CD42B4" w:rsidRPr="00435703" w:rsidRDefault="00F34A2D">
      <w:pPr>
        <w:widowControl w:val="0"/>
        <w:spacing w:line="360" w:lineRule="auto"/>
        <w:ind w:right="49"/>
        <w:jc w:val="center"/>
        <w:rPr>
          <w:rFonts w:ascii="Palatino Linotype" w:eastAsia="Palatino Linotype" w:hAnsi="Palatino Linotype" w:cs="Palatino Linotype"/>
        </w:rPr>
      </w:pPr>
      <w:r w:rsidRPr="00435703">
        <w:rPr>
          <w:rFonts w:ascii="Palatino Linotype" w:eastAsia="Palatino Linotype" w:hAnsi="Palatino Linotype" w:cs="Palatino Linotype"/>
          <w:noProof/>
        </w:rPr>
        <w:lastRenderedPageBreak/>
        <w:drawing>
          <wp:inline distT="114300" distB="114300" distL="114300" distR="114300" wp14:anchorId="4EE041F9" wp14:editId="0C4FD5D6">
            <wp:extent cx="4919028" cy="2266069"/>
            <wp:effectExtent l="0" t="0" r="0" b="0"/>
            <wp:docPr id="10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t="48526"/>
                    <a:stretch>
                      <a:fillRect/>
                    </a:stretch>
                  </pic:blipFill>
                  <pic:spPr>
                    <a:xfrm>
                      <a:off x="0" y="0"/>
                      <a:ext cx="4919028" cy="2266069"/>
                    </a:xfrm>
                    <a:prstGeom prst="rect">
                      <a:avLst/>
                    </a:prstGeom>
                    <a:ln/>
                  </pic:spPr>
                </pic:pic>
              </a:graphicData>
            </a:graphic>
          </wp:inline>
        </w:drawing>
      </w:r>
    </w:p>
    <w:p w14:paraId="797D50DC" w14:textId="6C0C0EB5" w:rsidR="00CD42B4" w:rsidRPr="00435703" w:rsidRDefault="00F3592B">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sidR="00F34A2D" w:rsidRPr="00435703">
        <w:rPr>
          <w:rFonts w:ascii="Palatino Linotype" w:eastAsia="Palatino Linotype" w:hAnsi="Palatino Linotype" w:cs="Palatino Linotype"/>
          <w:noProof/>
        </w:rPr>
        <w:drawing>
          <wp:inline distT="114300" distB="114300" distL="114300" distR="114300" wp14:anchorId="6DCB2731" wp14:editId="25AB6256">
            <wp:extent cx="5134928" cy="1872302"/>
            <wp:effectExtent l="0" t="0" r="0" b="0"/>
            <wp:docPr id="10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5134928" cy="1872302"/>
                    </a:xfrm>
                    <a:prstGeom prst="rect">
                      <a:avLst/>
                    </a:prstGeom>
                    <a:ln/>
                  </pic:spPr>
                </pic:pic>
              </a:graphicData>
            </a:graphic>
          </wp:inline>
        </w:drawing>
      </w:r>
      <w:r>
        <w:rPr>
          <w:rFonts w:ascii="Palatino Linotype" w:eastAsia="Palatino Linotype" w:hAnsi="Palatino Linotype" w:cs="Palatino Linotype"/>
        </w:rPr>
        <w:t xml:space="preserve">             </w:t>
      </w:r>
    </w:p>
    <w:p w14:paraId="5793F385" w14:textId="77777777" w:rsidR="00CD42B4" w:rsidRPr="00435703" w:rsidRDefault="00F34A2D">
      <w:pPr>
        <w:widowControl w:val="0"/>
        <w:spacing w:line="360" w:lineRule="auto"/>
        <w:ind w:right="49"/>
        <w:jc w:val="center"/>
        <w:rPr>
          <w:rFonts w:ascii="Palatino Linotype" w:eastAsia="Palatino Linotype" w:hAnsi="Palatino Linotype" w:cs="Palatino Linotype"/>
        </w:rPr>
      </w:pPr>
      <w:r w:rsidRPr="00435703">
        <w:rPr>
          <w:rFonts w:ascii="Palatino Linotype" w:eastAsia="Palatino Linotype" w:hAnsi="Palatino Linotype" w:cs="Palatino Linotype"/>
          <w:noProof/>
        </w:rPr>
        <w:lastRenderedPageBreak/>
        <w:drawing>
          <wp:inline distT="114300" distB="114300" distL="114300" distR="114300" wp14:anchorId="3AE8477F" wp14:editId="7C0BAD32">
            <wp:extent cx="4311655" cy="4536123"/>
            <wp:effectExtent l="0" t="0" r="0" b="0"/>
            <wp:docPr id="10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4311655" cy="4536123"/>
                    </a:xfrm>
                    <a:prstGeom prst="rect">
                      <a:avLst/>
                    </a:prstGeom>
                    <a:ln/>
                  </pic:spPr>
                </pic:pic>
              </a:graphicData>
            </a:graphic>
          </wp:inline>
        </w:drawing>
      </w:r>
      <w:bookmarkStart w:id="1" w:name="_GoBack"/>
      <w:bookmarkEnd w:id="1"/>
    </w:p>
    <w:p w14:paraId="61F208DC" w14:textId="77777777" w:rsidR="00CD42B4" w:rsidRPr="00435703" w:rsidRDefault="00CD42B4">
      <w:pPr>
        <w:widowControl w:val="0"/>
        <w:spacing w:line="360" w:lineRule="auto"/>
        <w:ind w:right="49"/>
        <w:jc w:val="center"/>
        <w:rPr>
          <w:rFonts w:ascii="Palatino Linotype" w:eastAsia="Palatino Linotype" w:hAnsi="Palatino Linotype" w:cs="Palatino Linotype"/>
        </w:rPr>
      </w:pPr>
    </w:p>
    <w:p w14:paraId="1D4ACE12" w14:textId="77777777" w:rsidR="00CD42B4" w:rsidRPr="00435703" w:rsidRDefault="00F34A2D">
      <w:pPr>
        <w:widowControl w:val="0"/>
        <w:spacing w:line="360" w:lineRule="auto"/>
        <w:ind w:right="49"/>
        <w:jc w:val="center"/>
        <w:rPr>
          <w:rFonts w:ascii="Palatino Linotype" w:eastAsia="Palatino Linotype" w:hAnsi="Palatino Linotype" w:cs="Palatino Linotype"/>
        </w:rPr>
      </w:pPr>
      <w:r w:rsidRPr="00435703">
        <w:rPr>
          <w:rFonts w:ascii="Palatino Linotype" w:eastAsia="Palatino Linotype" w:hAnsi="Palatino Linotype" w:cs="Palatino Linotype"/>
          <w:noProof/>
        </w:rPr>
        <w:drawing>
          <wp:inline distT="114300" distB="114300" distL="114300" distR="114300" wp14:anchorId="6700641A" wp14:editId="150D2CEA">
            <wp:extent cx="4804728" cy="2016910"/>
            <wp:effectExtent l="0" t="0" r="0" b="0"/>
            <wp:docPr id="1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804728" cy="2016910"/>
                    </a:xfrm>
                    <a:prstGeom prst="rect">
                      <a:avLst/>
                    </a:prstGeom>
                    <a:ln/>
                  </pic:spPr>
                </pic:pic>
              </a:graphicData>
            </a:graphic>
          </wp:inline>
        </w:drawing>
      </w:r>
    </w:p>
    <w:p w14:paraId="59D03C77" w14:textId="77777777" w:rsidR="00CD42B4" w:rsidRPr="00435703" w:rsidRDefault="00F34A2D">
      <w:pPr>
        <w:widowControl w:val="0"/>
        <w:spacing w:line="360" w:lineRule="auto"/>
        <w:ind w:right="49"/>
        <w:jc w:val="center"/>
        <w:rPr>
          <w:rFonts w:ascii="Palatino Linotype" w:eastAsia="Palatino Linotype" w:hAnsi="Palatino Linotype" w:cs="Palatino Linotype"/>
        </w:rPr>
      </w:pPr>
      <w:r w:rsidRPr="00435703">
        <w:rPr>
          <w:rFonts w:ascii="Palatino Linotype" w:eastAsia="Palatino Linotype" w:hAnsi="Palatino Linotype" w:cs="Palatino Linotype"/>
          <w:noProof/>
        </w:rPr>
        <w:lastRenderedPageBreak/>
        <w:drawing>
          <wp:inline distT="114300" distB="114300" distL="114300" distR="114300" wp14:anchorId="3580BCF6" wp14:editId="26DE0CCD">
            <wp:extent cx="4200525" cy="2931160"/>
            <wp:effectExtent l="0" t="0" r="0" b="0"/>
            <wp:docPr id="10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b="42906"/>
                    <a:stretch>
                      <a:fillRect/>
                    </a:stretch>
                  </pic:blipFill>
                  <pic:spPr>
                    <a:xfrm>
                      <a:off x="0" y="0"/>
                      <a:ext cx="4200525" cy="2931160"/>
                    </a:xfrm>
                    <a:prstGeom prst="rect">
                      <a:avLst/>
                    </a:prstGeom>
                    <a:ln/>
                  </pic:spPr>
                </pic:pic>
              </a:graphicData>
            </a:graphic>
          </wp:inline>
        </w:drawing>
      </w:r>
    </w:p>
    <w:p w14:paraId="24AC765A" w14:textId="77777777" w:rsidR="00CD42B4" w:rsidRPr="00435703" w:rsidRDefault="00F34A2D">
      <w:pPr>
        <w:widowControl w:val="0"/>
        <w:spacing w:line="360" w:lineRule="auto"/>
        <w:ind w:right="49"/>
        <w:jc w:val="center"/>
        <w:rPr>
          <w:rFonts w:ascii="Palatino Linotype" w:eastAsia="Palatino Linotype" w:hAnsi="Palatino Linotype" w:cs="Palatino Linotype"/>
        </w:rPr>
      </w:pPr>
      <w:r w:rsidRPr="00435703">
        <w:rPr>
          <w:rFonts w:ascii="Palatino Linotype" w:eastAsia="Palatino Linotype" w:hAnsi="Palatino Linotype" w:cs="Palatino Linotype"/>
          <w:noProof/>
        </w:rPr>
        <w:drawing>
          <wp:inline distT="114300" distB="114300" distL="114300" distR="114300" wp14:anchorId="2F9DC960" wp14:editId="5343247E">
            <wp:extent cx="4542790" cy="1767136"/>
            <wp:effectExtent l="0" t="0" r="0" b="0"/>
            <wp:docPr id="10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t="68083"/>
                    <a:stretch>
                      <a:fillRect/>
                    </a:stretch>
                  </pic:blipFill>
                  <pic:spPr>
                    <a:xfrm>
                      <a:off x="0" y="0"/>
                      <a:ext cx="4542790" cy="1767136"/>
                    </a:xfrm>
                    <a:prstGeom prst="rect">
                      <a:avLst/>
                    </a:prstGeom>
                    <a:ln/>
                  </pic:spPr>
                </pic:pic>
              </a:graphicData>
            </a:graphic>
          </wp:inline>
        </w:drawing>
      </w:r>
    </w:p>
    <w:p w14:paraId="07451B5D" w14:textId="77777777" w:rsidR="00CD42B4" w:rsidRPr="00435703" w:rsidRDefault="00F34A2D">
      <w:pPr>
        <w:widowControl w:val="0"/>
        <w:spacing w:line="360" w:lineRule="auto"/>
        <w:jc w:val="both"/>
        <w:rPr>
          <w:rFonts w:ascii="Palatino Linotype" w:eastAsia="Palatino Linotype" w:hAnsi="Palatino Linotype" w:cs="Palatino Linotype"/>
          <w:b/>
          <w:sz w:val="28"/>
          <w:szCs w:val="28"/>
        </w:rPr>
      </w:pPr>
      <w:r w:rsidRPr="00435703">
        <w:rPr>
          <w:rFonts w:ascii="Palatino Linotype" w:eastAsia="Palatino Linotype" w:hAnsi="Palatino Linotype" w:cs="Palatino Linotype"/>
          <w:b/>
          <w:sz w:val="28"/>
          <w:szCs w:val="28"/>
        </w:rPr>
        <w:t>IV. Del Recurso de Revisión</w:t>
      </w:r>
    </w:p>
    <w:p w14:paraId="013768E6" w14:textId="77777777" w:rsidR="00CD42B4" w:rsidRPr="00435703" w:rsidRDefault="00F34A2D">
      <w:pPr>
        <w:widowControl w:val="0"/>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Inconforme por la respuesta del</w:t>
      </w:r>
      <w:r w:rsidRPr="00435703">
        <w:rPr>
          <w:rFonts w:ascii="Palatino Linotype" w:eastAsia="Palatino Linotype" w:hAnsi="Palatino Linotype" w:cs="Palatino Linotype"/>
          <w:b/>
        </w:rPr>
        <w:t xml:space="preserve"> SUJETO OBLIGADO</w:t>
      </w:r>
      <w:r w:rsidRPr="00435703">
        <w:rPr>
          <w:rFonts w:ascii="Palatino Linotype" w:eastAsia="Palatino Linotype" w:hAnsi="Palatino Linotype" w:cs="Palatino Linotype"/>
        </w:rPr>
        <w:t xml:space="preserve">, el veintiocho de enero de dos mil veintidós, </w:t>
      </w:r>
      <w:r w:rsidRPr="00435703">
        <w:rPr>
          <w:rFonts w:ascii="Palatino Linotype" w:eastAsia="Palatino Linotype" w:hAnsi="Palatino Linotype" w:cs="Palatino Linotype"/>
          <w:b/>
        </w:rPr>
        <w:t>EL RECURRENTE</w:t>
      </w:r>
      <w:r w:rsidRPr="00435703">
        <w:rPr>
          <w:rFonts w:ascii="Palatino Linotype" w:eastAsia="Palatino Linotype" w:hAnsi="Palatino Linotype" w:cs="Palatino Linotype"/>
        </w:rPr>
        <w:t xml:space="preserve"> interpuso el recurso de revisión. El cual fue registrado en </w:t>
      </w:r>
      <w:r w:rsidRPr="00435703">
        <w:rPr>
          <w:rFonts w:ascii="Palatino Linotype" w:eastAsia="Palatino Linotype" w:hAnsi="Palatino Linotype" w:cs="Palatino Linotype"/>
          <w:b/>
        </w:rPr>
        <w:t>EL SAIMEX</w:t>
      </w:r>
      <w:r w:rsidRPr="00435703">
        <w:rPr>
          <w:rFonts w:ascii="Palatino Linotype" w:eastAsia="Palatino Linotype" w:hAnsi="Palatino Linotype" w:cs="Palatino Linotype"/>
        </w:rPr>
        <w:t xml:space="preserve"> y se le asignó el número de expediente </w:t>
      </w:r>
      <w:r w:rsidRPr="00435703">
        <w:rPr>
          <w:rFonts w:ascii="Palatino Linotype" w:eastAsia="Palatino Linotype" w:hAnsi="Palatino Linotype" w:cs="Palatino Linotype"/>
          <w:b/>
        </w:rPr>
        <w:t xml:space="preserve">00387/INFOEM/IP/RR/2022, </w:t>
      </w:r>
      <w:r w:rsidRPr="00435703">
        <w:rPr>
          <w:rFonts w:ascii="Palatino Linotype" w:eastAsia="Palatino Linotype" w:hAnsi="Palatino Linotype" w:cs="Palatino Linotype"/>
        </w:rPr>
        <w:t xml:space="preserve">donde los motivos de agravio del </w:t>
      </w:r>
      <w:r w:rsidRPr="00435703">
        <w:rPr>
          <w:rFonts w:ascii="Palatino Linotype" w:eastAsia="Palatino Linotype" w:hAnsi="Palatino Linotype" w:cs="Palatino Linotype"/>
          <w:b/>
        </w:rPr>
        <w:t xml:space="preserve">RECURRENTE </w:t>
      </w:r>
      <w:r w:rsidRPr="00435703">
        <w:rPr>
          <w:rFonts w:ascii="Palatino Linotype" w:eastAsia="Palatino Linotype" w:hAnsi="Palatino Linotype" w:cs="Palatino Linotype"/>
        </w:rPr>
        <w:t>fueron los siguientes:</w:t>
      </w:r>
    </w:p>
    <w:p w14:paraId="45BFF62D" w14:textId="77777777" w:rsidR="00CD42B4" w:rsidRPr="00435703" w:rsidRDefault="00CD42B4">
      <w:pPr>
        <w:spacing w:line="360" w:lineRule="auto"/>
        <w:ind w:left="-57" w:right="-57"/>
        <w:jc w:val="both"/>
        <w:rPr>
          <w:rFonts w:ascii="Palatino Linotype" w:eastAsia="Palatino Linotype" w:hAnsi="Palatino Linotype" w:cs="Palatino Linotype"/>
        </w:rPr>
      </w:pPr>
    </w:p>
    <w:p w14:paraId="70540625" w14:textId="77777777" w:rsidR="00CD42B4" w:rsidRPr="00435703" w:rsidRDefault="00F34A2D">
      <w:pPr>
        <w:spacing w:line="360" w:lineRule="auto"/>
        <w:ind w:left="-57" w:right="-57"/>
        <w:jc w:val="both"/>
        <w:rPr>
          <w:rFonts w:ascii="Palatino Linotype" w:eastAsia="Palatino Linotype" w:hAnsi="Palatino Linotype" w:cs="Palatino Linotype"/>
        </w:rPr>
      </w:pPr>
      <w:r w:rsidRPr="00435703">
        <w:rPr>
          <w:rFonts w:ascii="Palatino Linotype" w:eastAsia="Palatino Linotype" w:hAnsi="Palatino Linotype" w:cs="Palatino Linotype"/>
        </w:rPr>
        <w:t>Acto Impugnado:</w:t>
      </w:r>
      <w:r w:rsidRPr="00435703">
        <w:t xml:space="preserve"> </w:t>
      </w:r>
    </w:p>
    <w:p w14:paraId="627CB106" w14:textId="77777777" w:rsidR="00CD42B4" w:rsidRPr="00435703" w:rsidRDefault="00F34A2D">
      <w:pPr>
        <w:tabs>
          <w:tab w:val="left" w:pos="709"/>
        </w:tabs>
        <w:spacing w:before="66"/>
        <w:ind w:left="850" w:right="899"/>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“Negativa a entregar la información solicitada.”(</w:t>
      </w:r>
      <w:proofErr w:type="gramStart"/>
      <w:r w:rsidRPr="00435703">
        <w:rPr>
          <w:rFonts w:ascii="Palatino Linotype" w:eastAsia="Palatino Linotype" w:hAnsi="Palatino Linotype" w:cs="Palatino Linotype"/>
          <w:i/>
          <w:sz w:val="22"/>
          <w:szCs w:val="22"/>
        </w:rPr>
        <w:t>sic</w:t>
      </w:r>
      <w:proofErr w:type="gramEnd"/>
      <w:r w:rsidRPr="00435703">
        <w:rPr>
          <w:rFonts w:ascii="Palatino Linotype" w:eastAsia="Palatino Linotype" w:hAnsi="Palatino Linotype" w:cs="Palatino Linotype"/>
          <w:i/>
          <w:sz w:val="22"/>
          <w:szCs w:val="22"/>
        </w:rPr>
        <w:t>)</w:t>
      </w:r>
    </w:p>
    <w:p w14:paraId="64A02F7C" w14:textId="77777777" w:rsidR="00CD42B4" w:rsidRPr="00435703" w:rsidRDefault="00CD42B4">
      <w:pPr>
        <w:tabs>
          <w:tab w:val="left" w:pos="709"/>
        </w:tabs>
        <w:spacing w:before="66"/>
        <w:ind w:left="850" w:right="899"/>
        <w:rPr>
          <w:rFonts w:ascii="Palatino Linotype" w:eastAsia="Palatino Linotype" w:hAnsi="Palatino Linotype" w:cs="Palatino Linotype"/>
          <w:i/>
          <w:sz w:val="20"/>
          <w:szCs w:val="20"/>
        </w:rPr>
      </w:pPr>
    </w:p>
    <w:p w14:paraId="704A8EFF" w14:textId="77777777" w:rsidR="00CD42B4" w:rsidRPr="00435703" w:rsidRDefault="00F34A2D">
      <w:pPr>
        <w:tabs>
          <w:tab w:val="left" w:pos="709"/>
        </w:tabs>
        <w:spacing w:before="66"/>
        <w:rPr>
          <w:rFonts w:ascii="Palatino Linotype" w:eastAsia="Palatino Linotype" w:hAnsi="Palatino Linotype" w:cs="Palatino Linotype"/>
        </w:rPr>
      </w:pPr>
      <w:r w:rsidRPr="00435703">
        <w:rPr>
          <w:rFonts w:ascii="Palatino Linotype" w:eastAsia="Palatino Linotype" w:hAnsi="Palatino Linotype" w:cs="Palatino Linotype"/>
        </w:rPr>
        <w:t>Razones o motivos de la inconformidad:</w:t>
      </w:r>
    </w:p>
    <w:p w14:paraId="775CBC80" w14:textId="77777777" w:rsidR="00CD42B4" w:rsidRPr="00435703" w:rsidRDefault="00CD42B4">
      <w:pPr>
        <w:tabs>
          <w:tab w:val="left" w:pos="709"/>
        </w:tabs>
        <w:spacing w:before="66"/>
        <w:rPr>
          <w:rFonts w:ascii="Palatino Linotype" w:eastAsia="Palatino Linotype" w:hAnsi="Palatino Linotype" w:cs="Palatino Linotype"/>
        </w:rPr>
      </w:pPr>
    </w:p>
    <w:p w14:paraId="3BB8820C" w14:textId="77777777" w:rsidR="00CD42B4" w:rsidRPr="00435703" w:rsidRDefault="00F34A2D">
      <w:pPr>
        <w:ind w:left="850" w:right="899"/>
        <w:jc w:val="both"/>
        <w:rPr>
          <w:rFonts w:ascii="Palatino Linotype" w:eastAsia="Palatino Linotype" w:hAnsi="Palatino Linotype" w:cs="Palatino Linotype"/>
          <w:sz w:val="22"/>
          <w:szCs w:val="22"/>
        </w:rPr>
      </w:pPr>
      <w:r w:rsidRPr="00435703">
        <w:rPr>
          <w:rFonts w:ascii="Palatino Linotype" w:eastAsia="Palatino Linotype" w:hAnsi="Palatino Linotype" w:cs="Palatino Linotype"/>
          <w:i/>
          <w:sz w:val="22"/>
          <w:szCs w:val="22"/>
        </w:rPr>
        <w:t>“Me negaron la información” (sic)</w:t>
      </w:r>
    </w:p>
    <w:p w14:paraId="3061D077" w14:textId="77777777" w:rsidR="00CD42B4" w:rsidRPr="00435703" w:rsidRDefault="00CD42B4">
      <w:pPr>
        <w:spacing w:line="360" w:lineRule="auto"/>
        <w:jc w:val="both"/>
        <w:rPr>
          <w:rFonts w:ascii="Palatino Linotype" w:eastAsia="Palatino Linotype" w:hAnsi="Palatino Linotype" w:cs="Palatino Linotype"/>
          <w:b/>
          <w:sz w:val="28"/>
          <w:szCs w:val="28"/>
        </w:rPr>
      </w:pPr>
    </w:p>
    <w:p w14:paraId="3387315C" w14:textId="77777777" w:rsidR="00CD42B4" w:rsidRPr="00435703" w:rsidRDefault="00F34A2D">
      <w:pPr>
        <w:spacing w:line="360" w:lineRule="auto"/>
        <w:jc w:val="both"/>
        <w:rPr>
          <w:rFonts w:ascii="Palatino Linotype" w:eastAsia="Palatino Linotype" w:hAnsi="Palatino Linotype" w:cs="Palatino Linotype"/>
          <w:b/>
          <w:sz w:val="28"/>
          <w:szCs w:val="28"/>
        </w:rPr>
      </w:pPr>
      <w:r w:rsidRPr="00435703">
        <w:rPr>
          <w:rFonts w:ascii="Palatino Linotype" w:eastAsia="Palatino Linotype" w:hAnsi="Palatino Linotype" w:cs="Palatino Linotype"/>
          <w:b/>
          <w:sz w:val="28"/>
          <w:szCs w:val="28"/>
        </w:rPr>
        <w:t>V. Del turno del Recurso de Revisión</w:t>
      </w:r>
    </w:p>
    <w:p w14:paraId="647D5EE0"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El veintiocho de enero de dos mil veintidós, el recurso del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la </w:t>
      </w:r>
      <w:r w:rsidRPr="00435703">
        <w:rPr>
          <w:rFonts w:ascii="Palatino Linotype" w:eastAsia="Palatino Linotype" w:hAnsi="Palatino Linotype" w:cs="Palatino Linotype"/>
          <w:b/>
        </w:rPr>
        <w:t>Comisionada María del Rosario Mejía Ayala</w:t>
      </w:r>
      <w:r w:rsidRPr="00435703">
        <w:rPr>
          <w:rFonts w:ascii="Palatino Linotype" w:eastAsia="Palatino Linotype" w:hAnsi="Palatino Linotype" w:cs="Palatino Linotype"/>
        </w:rPr>
        <w:t>; a efecto de decretar su admisión o desechamiento.</w:t>
      </w:r>
    </w:p>
    <w:p w14:paraId="38ADAA04" w14:textId="77777777" w:rsidR="00CD42B4" w:rsidRPr="00435703" w:rsidRDefault="00CD42B4">
      <w:pPr>
        <w:spacing w:line="360" w:lineRule="auto"/>
        <w:jc w:val="both"/>
        <w:rPr>
          <w:rFonts w:ascii="Palatino Linotype" w:eastAsia="Palatino Linotype" w:hAnsi="Palatino Linotype" w:cs="Palatino Linotype"/>
        </w:rPr>
      </w:pPr>
    </w:p>
    <w:p w14:paraId="796031D8" w14:textId="77777777" w:rsidR="00CD42B4" w:rsidRPr="00435703" w:rsidRDefault="00F34A2D">
      <w:pPr>
        <w:tabs>
          <w:tab w:val="center" w:pos="4252"/>
          <w:tab w:val="right" w:pos="8504"/>
        </w:tabs>
        <w:spacing w:line="360" w:lineRule="auto"/>
        <w:jc w:val="both"/>
        <w:rPr>
          <w:rFonts w:ascii="Palatino Linotype" w:eastAsia="Palatino Linotype" w:hAnsi="Palatino Linotype" w:cs="Palatino Linotype"/>
          <w:b/>
        </w:rPr>
      </w:pPr>
      <w:r w:rsidRPr="00435703">
        <w:rPr>
          <w:rFonts w:ascii="Palatino Linotype" w:eastAsia="Palatino Linotype" w:hAnsi="Palatino Linotype" w:cs="Palatino Linotype"/>
          <w:b/>
        </w:rPr>
        <w:t>a) Admisión del Recurso de Revisión</w:t>
      </w:r>
    </w:p>
    <w:p w14:paraId="7A6515DD" w14:textId="77777777" w:rsidR="00CD42B4" w:rsidRPr="00435703" w:rsidRDefault="00F34A2D">
      <w:pPr>
        <w:tabs>
          <w:tab w:val="center" w:pos="4252"/>
          <w:tab w:val="right" w:pos="8504"/>
        </w:tabs>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De las constancias que obran en el expediente electrónico del</w:t>
      </w:r>
      <w:r w:rsidRPr="00435703">
        <w:rPr>
          <w:rFonts w:ascii="Palatino Linotype" w:eastAsia="Palatino Linotype" w:hAnsi="Palatino Linotype" w:cs="Palatino Linotype"/>
          <w:b/>
        </w:rPr>
        <w:t xml:space="preserve"> SAIMEX</w:t>
      </w:r>
      <w:r w:rsidRPr="00435703">
        <w:rPr>
          <w:rFonts w:ascii="Palatino Linotype" w:eastAsia="Palatino Linotype" w:hAnsi="Palatino Linotype" w:cs="Palatino Linotype"/>
        </w:rPr>
        <w:t xml:space="preserve">, se advierte que en fecha treinta y uno de enero de dos mil veintidós,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w:t>
      </w:r>
      <w:r w:rsidRPr="00435703">
        <w:rPr>
          <w:rFonts w:ascii="Palatino Linotype" w:eastAsia="Palatino Linotype" w:hAnsi="Palatino Linotype" w:cs="Palatino Linotype"/>
          <w:b/>
        </w:rPr>
        <w:t>EL RECURRENTE</w:t>
      </w:r>
      <w:r w:rsidRPr="00435703">
        <w:rPr>
          <w:rFonts w:ascii="Palatino Linotype" w:eastAsia="Palatino Linotype" w:hAnsi="Palatino Linotype" w:cs="Palatino Linotype"/>
        </w:rPr>
        <w:t xml:space="preserve"> manifestara lo que a su derecho conviniera, a efecto de presentar pruebas y alegatos; así como, para que </w:t>
      </w:r>
      <w:r w:rsidRPr="00435703">
        <w:rPr>
          <w:rFonts w:ascii="Palatino Linotype" w:eastAsia="Palatino Linotype" w:hAnsi="Palatino Linotype" w:cs="Palatino Linotype"/>
          <w:b/>
        </w:rPr>
        <w:t xml:space="preserve">EL SUJETO OBLIGADO </w:t>
      </w:r>
      <w:r w:rsidRPr="00435703">
        <w:rPr>
          <w:rFonts w:ascii="Palatino Linotype" w:eastAsia="Palatino Linotype" w:hAnsi="Palatino Linotype" w:cs="Palatino Linotype"/>
        </w:rPr>
        <w:t>rindiera el correspondiente</w:t>
      </w:r>
      <w:r w:rsidRPr="00435703">
        <w:rPr>
          <w:rFonts w:ascii="Palatino Linotype" w:eastAsia="Palatino Linotype" w:hAnsi="Palatino Linotype" w:cs="Palatino Linotype"/>
          <w:b/>
        </w:rPr>
        <w:t xml:space="preserve"> </w:t>
      </w:r>
      <w:r w:rsidRPr="00435703">
        <w:rPr>
          <w:rFonts w:ascii="Palatino Linotype" w:eastAsia="Palatino Linotype" w:hAnsi="Palatino Linotype" w:cs="Palatino Linotype"/>
        </w:rPr>
        <w:t>Informe Justificado.</w:t>
      </w:r>
    </w:p>
    <w:p w14:paraId="1304BCCB" w14:textId="77777777" w:rsidR="00CD42B4" w:rsidRPr="00435703" w:rsidRDefault="00CD42B4">
      <w:pPr>
        <w:tabs>
          <w:tab w:val="center" w:pos="4252"/>
          <w:tab w:val="right" w:pos="8504"/>
        </w:tabs>
        <w:spacing w:line="360" w:lineRule="auto"/>
        <w:jc w:val="both"/>
        <w:rPr>
          <w:rFonts w:ascii="Palatino Linotype" w:eastAsia="Palatino Linotype" w:hAnsi="Palatino Linotype" w:cs="Palatino Linotype"/>
        </w:rPr>
      </w:pPr>
    </w:p>
    <w:p w14:paraId="37CB74D0" w14:textId="77777777" w:rsidR="00CD42B4" w:rsidRPr="00435703" w:rsidRDefault="00CD42B4">
      <w:pPr>
        <w:tabs>
          <w:tab w:val="center" w:pos="4252"/>
          <w:tab w:val="right" w:pos="8504"/>
        </w:tabs>
        <w:spacing w:line="360" w:lineRule="auto"/>
        <w:jc w:val="both"/>
        <w:rPr>
          <w:rFonts w:ascii="Palatino Linotype" w:eastAsia="Palatino Linotype" w:hAnsi="Palatino Linotype" w:cs="Palatino Linotype"/>
        </w:rPr>
      </w:pPr>
    </w:p>
    <w:p w14:paraId="134D2AD4" w14:textId="77777777" w:rsidR="00CD42B4" w:rsidRPr="00435703" w:rsidRDefault="00CD42B4">
      <w:pPr>
        <w:tabs>
          <w:tab w:val="center" w:pos="4252"/>
          <w:tab w:val="right" w:pos="8504"/>
        </w:tabs>
        <w:spacing w:line="360" w:lineRule="auto"/>
        <w:jc w:val="both"/>
        <w:rPr>
          <w:rFonts w:ascii="Palatino Linotype" w:eastAsia="Palatino Linotype" w:hAnsi="Palatino Linotype" w:cs="Palatino Linotype"/>
        </w:rPr>
      </w:pPr>
    </w:p>
    <w:p w14:paraId="1270C3A3" w14:textId="77777777" w:rsidR="00CD42B4" w:rsidRPr="00435703" w:rsidRDefault="00F34A2D">
      <w:pPr>
        <w:tabs>
          <w:tab w:val="center" w:pos="4252"/>
          <w:tab w:val="right" w:pos="8504"/>
        </w:tabs>
        <w:spacing w:line="360" w:lineRule="auto"/>
        <w:jc w:val="both"/>
        <w:rPr>
          <w:rFonts w:ascii="Palatino Linotype" w:eastAsia="Palatino Linotype" w:hAnsi="Palatino Linotype" w:cs="Palatino Linotype"/>
          <w:b/>
        </w:rPr>
      </w:pPr>
      <w:r w:rsidRPr="00435703">
        <w:rPr>
          <w:rFonts w:ascii="Palatino Linotype" w:eastAsia="Palatino Linotype" w:hAnsi="Palatino Linotype" w:cs="Palatino Linotype"/>
          <w:b/>
        </w:rPr>
        <w:lastRenderedPageBreak/>
        <w:t>b) Informe Justificado</w:t>
      </w:r>
    </w:p>
    <w:p w14:paraId="0B0DF5AC" w14:textId="77777777" w:rsidR="00CD42B4" w:rsidRPr="00435703" w:rsidRDefault="00F34A2D">
      <w:pPr>
        <w:tabs>
          <w:tab w:val="center" w:pos="4252"/>
          <w:tab w:val="right" w:pos="8504"/>
        </w:tabs>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En cumplimiento a lo anterior, de las constancias del expediente electrónico del </w:t>
      </w:r>
      <w:r w:rsidRPr="00435703">
        <w:rPr>
          <w:rFonts w:ascii="Palatino Linotype" w:eastAsia="Palatino Linotype" w:hAnsi="Palatino Linotype" w:cs="Palatino Linotype"/>
          <w:b/>
        </w:rPr>
        <w:t>SAIMEX</w:t>
      </w:r>
      <w:r w:rsidRPr="00435703">
        <w:rPr>
          <w:rFonts w:ascii="Palatino Linotype" w:eastAsia="Palatino Linotype" w:hAnsi="Palatino Linotype" w:cs="Palatino Linotype"/>
        </w:rPr>
        <w:t>, el particular no realizó sus manifestaciones conforme a derecho le correspondían; por otra parte, </w:t>
      </w:r>
      <w:r w:rsidRPr="00435703">
        <w:rPr>
          <w:rFonts w:ascii="Palatino Linotype" w:eastAsia="Palatino Linotype" w:hAnsi="Palatino Linotype" w:cs="Palatino Linotype"/>
          <w:b/>
        </w:rPr>
        <w:t xml:space="preserve">EL SUJETO OBLIGADO </w:t>
      </w:r>
      <w:r w:rsidRPr="00435703">
        <w:rPr>
          <w:rFonts w:ascii="Palatino Linotype" w:eastAsia="Palatino Linotype" w:hAnsi="Palatino Linotype" w:cs="Palatino Linotype"/>
        </w:rPr>
        <w:t>rindió su Informe Justificado, en fecha diez de febrero de dos mil veintidós, tal y  como se desprende en la imagen que a continuación se inserta:</w:t>
      </w:r>
    </w:p>
    <w:p w14:paraId="31967677" w14:textId="77777777" w:rsidR="00CD42B4" w:rsidRPr="00435703" w:rsidRDefault="00CD42B4">
      <w:pPr>
        <w:tabs>
          <w:tab w:val="center" w:pos="4252"/>
          <w:tab w:val="right" w:pos="8504"/>
        </w:tabs>
        <w:spacing w:line="360" w:lineRule="auto"/>
        <w:jc w:val="both"/>
        <w:rPr>
          <w:rFonts w:ascii="Palatino Linotype" w:eastAsia="Palatino Linotype" w:hAnsi="Palatino Linotype" w:cs="Palatino Linotype"/>
        </w:rPr>
      </w:pPr>
    </w:p>
    <w:p w14:paraId="744B88CC" w14:textId="77777777" w:rsidR="00CD42B4" w:rsidRPr="00435703" w:rsidRDefault="00F34A2D">
      <w:pPr>
        <w:tabs>
          <w:tab w:val="center" w:pos="4252"/>
          <w:tab w:val="right" w:pos="8504"/>
        </w:tabs>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noProof/>
        </w:rPr>
        <w:drawing>
          <wp:inline distT="114300" distB="114300" distL="114300" distR="114300" wp14:anchorId="51DBCD97" wp14:editId="786AEF32">
            <wp:extent cx="5791835" cy="1752600"/>
            <wp:effectExtent l="0" t="0" r="0" b="0"/>
            <wp:docPr id="10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791835" cy="1752600"/>
                    </a:xfrm>
                    <a:prstGeom prst="rect">
                      <a:avLst/>
                    </a:prstGeom>
                    <a:ln/>
                  </pic:spPr>
                </pic:pic>
              </a:graphicData>
            </a:graphic>
          </wp:inline>
        </w:drawing>
      </w:r>
    </w:p>
    <w:p w14:paraId="10CBE496" w14:textId="77777777" w:rsidR="00CD42B4" w:rsidRPr="00435703" w:rsidRDefault="00CD42B4">
      <w:pPr>
        <w:tabs>
          <w:tab w:val="center" w:pos="4252"/>
          <w:tab w:val="right" w:pos="8504"/>
        </w:tabs>
        <w:spacing w:line="360" w:lineRule="auto"/>
        <w:jc w:val="both"/>
        <w:rPr>
          <w:rFonts w:ascii="Palatino Linotype" w:eastAsia="Palatino Linotype" w:hAnsi="Palatino Linotype" w:cs="Palatino Linotype"/>
        </w:rPr>
      </w:pPr>
    </w:p>
    <w:p w14:paraId="790D0650"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De lo anterior, se advierte que en fecha dieciséis de febrero de dos mil veintidós, se puso a la vista del</w:t>
      </w:r>
      <w:r w:rsidRPr="00435703">
        <w:rPr>
          <w:rFonts w:ascii="Palatino Linotype" w:eastAsia="Palatino Linotype" w:hAnsi="Palatino Linotype" w:cs="Palatino Linotype"/>
          <w:b/>
        </w:rPr>
        <w:t xml:space="preserve"> RECURRENTE</w:t>
      </w:r>
      <w:r w:rsidRPr="00435703">
        <w:rPr>
          <w:rFonts w:ascii="Palatino Linotype" w:eastAsia="Palatino Linotype" w:hAnsi="Palatino Linotype" w:cs="Palatino Linotype"/>
        </w:rPr>
        <w:t xml:space="preserve"> el Informe Justificado correspondiente, el cual consta de nueve  fojas de cuyo contenido se advierte la Titular de la Unidad de Transparencia ratifica la incompetencia total expresada en respuesta, como se puede apreciar en el fragmento que se inserta: </w:t>
      </w:r>
    </w:p>
    <w:p w14:paraId="03B81145" w14:textId="77777777" w:rsidR="00CD42B4" w:rsidRPr="00435703" w:rsidRDefault="00F34A2D">
      <w:pPr>
        <w:spacing w:line="360" w:lineRule="auto"/>
        <w:jc w:val="center"/>
        <w:rPr>
          <w:rFonts w:ascii="Palatino Linotype" w:eastAsia="Palatino Linotype" w:hAnsi="Palatino Linotype" w:cs="Palatino Linotype"/>
        </w:rPr>
      </w:pPr>
      <w:r w:rsidRPr="00435703">
        <w:rPr>
          <w:rFonts w:ascii="Palatino Linotype" w:eastAsia="Palatino Linotype" w:hAnsi="Palatino Linotype" w:cs="Palatino Linotype"/>
          <w:noProof/>
        </w:rPr>
        <w:lastRenderedPageBreak/>
        <w:drawing>
          <wp:inline distT="114300" distB="114300" distL="114300" distR="114300" wp14:anchorId="39674D19" wp14:editId="4B057C57">
            <wp:extent cx="5114020" cy="4040823"/>
            <wp:effectExtent l="0" t="0" r="0" b="0"/>
            <wp:docPr id="10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5114020" cy="4040823"/>
                    </a:xfrm>
                    <a:prstGeom prst="rect">
                      <a:avLst/>
                    </a:prstGeom>
                    <a:ln/>
                  </pic:spPr>
                </pic:pic>
              </a:graphicData>
            </a:graphic>
          </wp:inline>
        </w:drawing>
      </w:r>
    </w:p>
    <w:p w14:paraId="477B2E40" w14:textId="77777777" w:rsidR="00CD42B4" w:rsidRPr="00435703" w:rsidRDefault="00CD42B4">
      <w:pPr>
        <w:spacing w:line="360" w:lineRule="auto"/>
        <w:jc w:val="both"/>
        <w:rPr>
          <w:rFonts w:ascii="Palatino Linotype" w:eastAsia="Palatino Linotype" w:hAnsi="Palatino Linotype" w:cs="Palatino Linotype"/>
        </w:rPr>
      </w:pPr>
    </w:p>
    <w:p w14:paraId="5BAA3134" w14:textId="77777777" w:rsidR="00CD42B4" w:rsidRPr="00435703" w:rsidRDefault="00F34A2D">
      <w:pPr>
        <w:spacing w:line="360" w:lineRule="auto"/>
        <w:jc w:val="both"/>
        <w:rPr>
          <w:rFonts w:ascii="Palatino Linotype" w:eastAsia="Palatino Linotype" w:hAnsi="Palatino Linotype" w:cs="Palatino Linotype"/>
          <w:b/>
        </w:rPr>
      </w:pPr>
      <w:r w:rsidRPr="00435703">
        <w:rPr>
          <w:rFonts w:ascii="Palatino Linotype" w:eastAsia="Palatino Linotype" w:hAnsi="Palatino Linotype" w:cs="Palatino Linotype"/>
          <w:b/>
        </w:rPr>
        <w:t xml:space="preserve">c) Del </w:t>
      </w:r>
      <w:proofErr w:type="spellStart"/>
      <w:r w:rsidRPr="00435703">
        <w:rPr>
          <w:rFonts w:ascii="Palatino Linotype" w:eastAsia="Palatino Linotype" w:hAnsi="Palatino Linotype" w:cs="Palatino Linotype"/>
          <w:b/>
        </w:rPr>
        <w:t>returno</w:t>
      </w:r>
      <w:proofErr w:type="spellEnd"/>
      <w:r w:rsidRPr="00435703">
        <w:rPr>
          <w:rFonts w:ascii="Palatino Linotype" w:eastAsia="Palatino Linotype" w:hAnsi="Palatino Linotype" w:cs="Palatino Linotype"/>
          <w:b/>
        </w:rPr>
        <w:t xml:space="preserve"> del Recurso de Revisión</w:t>
      </w:r>
    </w:p>
    <w:p w14:paraId="2B2E7D92"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En la Novena Sesión Ordinaria de fecha nueve de marzo de dos mil veintidós, por acuerdo del Pleno de este Órgano Garante, fue </w:t>
      </w:r>
      <w:proofErr w:type="spellStart"/>
      <w:r w:rsidRPr="00435703">
        <w:rPr>
          <w:rFonts w:ascii="Palatino Linotype" w:eastAsia="Palatino Linotype" w:hAnsi="Palatino Linotype" w:cs="Palatino Linotype"/>
        </w:rPr>
        <w:t>returnado</w:t>
      </w:r>
      <w:proofErr w:type="spellEnd"/>
      <w:r w:rsidRPr="00435703">
        <w:rPr>
          <w:rFonts w:ascii="Palatino Linotype" w:eastAsia="Palatino Linotype" w:hAnsi="Palatino Linotype" w:cs="Palatino Linotype"/>
        </w:rPr>
        <w:t xml:space="preserve"> el Recurso de Revisión número</w:t>
      </w:r>
      <w:r w:rsidRPr="00435703">
        <w:rPr>
          <w:rFonts w:ascii="Palatino Linotype" w:eastAsia="Palatino Linotype" w:hAnsi="Palatino Linotype" w:cs="Palatino Linotype"/>
          <w:b/>
        </w:rPr>
        <w:t xml:space="preserve"> 00387/INFOEM/IP/RR/2022 </w:t>
      </w:r>
      <w:r w:rsidRPr="00435703">
        <w:rPr>
          <w:rFonts w:ascii="Palatino Linotype" w:eastAsia="Palatino Linotype" w:hAnsi="Palatino Linotype" w:cs="Palatino Linotype"/>
        </w:rPr>
        <w:t xml:space="preserve">a la </w:t>
      </w:r>
      <w:r w:rsidRPr="00435703">
        <w:rPr>
          <w:rFonts w:ascii="Palatino Linotype" w:eastAsia="Palatino Linotype" w:hAnsi="Palatino Linotype" w:cs="Palatino Linotype"/>
          <w:b/>
        </w:rPr>
        <w:t>Comisionada Sharon Cristina Morales</w:t>
      </w:r>
      <w:r w:rsidRPr="00435703">
        <w:rPr>
          <w:rFonts w:ascii="Palatino Linotype" w:eastAsia="Palatino Linotype" w:hAnsi="Palatino Linotype" w:cs="Palatino Linotype"/>
        </w:rPr>
        <w:t xml:space="preserve"> </w:t>
      </w:r>
      <w:r w:rsidRPr="00435703">
        <w:rPr>
          <w:rFonts w:ascii="Palatino Linotype" w:eastAsia="Palatino Linotype" w:hAnsi="Palatino Linotype" w:cs="Palatino Linotype"/>
          <w:b/>
        </w:rPr>
        <w:t>Martínez</w:t>
      </w:r>
      <w:r w:rsidRPr="00435703">
        <w:rPr>
          <w:rFonts w:ascii="Palatino Linotype" w:eastAsia="Palatino Linotype" w:hAnsi="Palatino Linotype" w:cs="Palatino Linotype"/>
        </w:rPr>
        <w:t xml:space="preserve"> para su resolución y presentación al Pleno. </w:t>
      </w:r>
    </w:p>
    <w:p w14:paraId="3194102C" w14:textId="77777777" w:rsidR="00CD42B4" w:rsidRPr="00435703" w:rsidRDefault="00CD42B4">
      <w:pPr>
        <w:spacing w:line="360" w:lineRule="auto"/>
        <w:jc w:val="both"/>
        <w:rPr>
          <w:rFonts w:ascii="Palatino Linotype" w:eastAsia="Palatino Linotype" w:hAnsi="Palatino Linotype" w:cs="Palatino Linotype"/>
        </w:rPr>
      </w:pPr>
    </w:p>
    <w:p w14:paraId="183D426D" w14:textId="77777777" w:rsidR="00CD42B4" w:rsidRPr="00435703" w:rsidRDefault="00F34A2D">
      <w:pPr>
        <w:spacing w:line="360" w:lineRule="auto"/>
        <w:jc w:val="both"/>
        <w:rPr>
          <w:rFonts w:ascii="Palatino Linotype" w:eastAsia="Palatino Linotype" w:hAnsi="Palatino Linotype" w:cs="Palatino Linotype"/>
          <w:b/>
        </w:rPr>
      </w:pPr>
      <w:r w:rsidRPr="00435703">
        <w:rPr>
          <w:rFonts w:ascii="Palatino Linotype" w:eastAsia="Palatino Linotype" w:hAnsi="Palatino Linotype" w:cs="Palatino Linotype"/>
          <w:b/>
        </w:rPr>
        <w:t xml:space="preserve">d) De la ampliación </w:t>
      </w:r>
    </w:p>
    <w:p w14:paraId="012A0C4B"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En fecha dieciséis de marzo de dos mil veintidós, se notificó el acuerdo de ampliación de plazo para resolver el presente Recurso de Revisión, previsto en el artículo 181, tercer </w:t>
      </w:r>
      <w:r w:rsidRPr="00435703">
        <w:rPr>
          <w:rFonts w:ascii="Palatino Linotype" w:eastAsia="Palatino Linotype" w:hAnsi="Palatino Linotype" w:cs="Palatino Linotype"/>
        </w:rPr>
        <w:lastRenderedPageBreak/>
        <w:t>párrafo de la Ley de Transparencia y Acceso a la Información Pública del Estado de México y Municipios.</w:t>
      </w:r>
    </w:p>
    <w:p w14:paraId="452651AB" w14:textId="77777777" w:rsidR="00CD42B4" w:rsidRPr="00435703" w:rsidRDefault="00CD42B4">
      <w:pPr>
        <w:spacing w:line="360" w:lineRule="auto"/>
        <w:jc w:val="both"/>
        <w:rPr>
          <w:rFonts w:ascii="Palatino Linotype" w:eastAsia="Palatino Linotype" w:hAnsi="Palatino Linotype" w:cs="Palatino Linotype"/>
        </w:rPr>
      </w:pPr>
    </w:p>
    <w:p w14:paraId="6A17DE58" w14:textId="77777777" w:rsidR="00CD42B4" w:rsidRPr="00435703" w:rsidRDefault="00F34A2D">
      <w:pPr>
        <w:spacing w:line="360" w:lineRule="auto"/>
        <w:jc w:val="both"/>
        <w:rPr>
          <w:rFonts w:ascii="Palatino Linotype" w:eastAsia="Palatino Linotype" w:hAnsi="Palatino Linotype" w:cs="Palatino Linotype"/>
          <w:b/>
        </w:rPr>
      </w:pPr>
      <w:r w:rsidRPr="00435703">
        <w:rPr>
          <w:rFonts w:ascii="Palatino Linotype" w:eastAsia="Palatino Linotype" w:hAnsi="Palatino Linotype" w:cs="Palatino Linotype"/>
          <w:b/>
        </w:rPr>
        <w:t>e) Cierre de Instrucción</w:t>
      </w:r>
    </w:p>
    <w:p w14:paraId="30B9B760"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sz w:val="27"/>
          <w:szCs w:val="27"/>
        </w:rPr>
        <w:t xml:space="preserve"> </w:t>
      </w:r>
      <w:r w:rsidRPr="00435703">
        <w:rPr>
          <w:rFonts w:ascii="Palatino Linotype" w:eastAsia="Palatino Linotype" w:hAnsi="Palatino Linotype" w:cs="Palatino Linotype"/>
        </w:rPr>
        <w:t>Una vez analizado el estado procesal que gu</w:t>
      </w:r>
      <w:r w:rsidR="005C049D">
        <w:rPr>
          <w:rFonts w:ascii="Palatino Linotype" w:eastAsia="Palatino Linotype" w:hAnsi="Palatino Linotype" w:cs="Palatino Linotype"/>
        </w:rPr>
        <w:t xml:space="preserve">ardaba el expediente, en fecha siete de abril </w:t>
      </w:r>
      <w:r w:rsidRPr="00435703">
        <w:rPr>
          <w:rFonts w:ascii="Palatino Linotype" w:eastAsia="Palatino Linotype" w:hAnsi="Palatino Linotype" w:cs="Palatino Linotype"/>
        </w:rPr>
        <w:t xml:space="preserve">de dos mil veintidós, la </w:t>
      </w:r>
      <w:r w:rsidRPr="00435703">
        <w:rPr>
          <w:rFonts w:ascii="Palatino Linotype" w:eastAsia="Palatino Linotype" w:hAnsi="Palatino Linotype" w:cs="Palatino Linotype"/>
          <w:b/>
        </w:rPr>
        <w:t xml:space="preserve">Comisionada Sharon Cristina Morales Martínez </w:t>
      </w:r>
      <w:r w:rsidRPr="00435703">
        <w:rPr>
          <w:rFonts w:ascii="Palatino Linotype" w:eastAsia="Palatino Linotype" w:hAnsi="Palatino Linotype" w:cs="Palatino Linotype"/>
        </w:rPr>
        <w:t>acordó el cierre de instrucción, así como la remisión del mismo, a efecto de ser resuelto, de conformidad con lo establecido en el artículo 185 fracciones VI y VIII de la Ley de Transparencia y Acceso a la Información Pública del Estado de México y Municipios; y,</w:t>
      </w:r>
    </w:p>
    <w:p w14:paraId="5FBCBCCF" w14:textId="77777777" w:rsidR="00CD42B4" w:rsidRPr="00435703" w:rsidRDefault="00CD42B4">
      <w:pPr>
        <w:spacing w:line="360" w:lineRule="auto"/>
        <w:jc w:val="both"/>
        <w:rPr>
          <w:rFonts w:ascii="Palatino Linotype" w:eastAsia="Palatino Linotype" w:hAnsi="Palatino Linotype" w:cs="Palatino Linotype"/>
        </w:rPr>
      </w:pPr>
    </w:p>
    <w:p w14:paraId="66A4305B" w14:textId="77777777" w:rsidR="00CD42B4" w:rsidRPr="00435703" w:rsidRDefault="00F34A2D">
      <w:pPr>
        <w:jc w:val="center"/>
        <w:rPr>
          <w:rFonts w:ascii="Palatino Linotype" w:eastAsia="Palatino Linotype" w:hAnsi="Palatino Linotype" w:cs="Palatino Linotype"/>
          <w:b/>
          <w:sz w:val="28"/>
          <w:szCs w:val="28"/>
        </w:rPr>
      </w:pPr>
      <w:r w:rsidRPr="00435703">
        <w:rPr>
          <w:rFonts w:ascii="Palatino Linotype" w:eastAsia="Palatino Linotype" w:hAnsi="Palatino Linotype" w:cs="Palatino Linotype"/>
          <w:b/>
          <w:sz w:val="28"/>
          <w:szCs w:val="28"/>
        </w:rPr>
        <w:t>CONSIDERANDO</w:t>
      </w:r>
    </w:p>
    <w:p w14:paraId="43E0071F" w14:textId="77777777" w:rsidR="00CD42B4" w:rsidRPr="00435703" w:rsidRDefault="00CD42B4">
      <w:pPr>
        <w:rPr>
          <w:rFonts w:ascii="Palatino Linotype" w:eastAsia="Palatino Linotype" w:hAnsi="Palatino Linotype" w:cs="Palatino Linotype"/>
          <w:b/>
          <w:sz w:val="28"/>
          <w:szCs w:val="28"/>
        </w:rPr>
      </w:pPr>
    </w:p>
    <w:p w14:paraId="047E17F7" w14:textId="77777777" w:rsidR="00CD42B4" w:rsidRPr="00435703" w:rsidRDefault="00F34A2D">
      <w:pPr>
        <w:widowControl w:val="0"/>
        <w:tabs>
          <w:tab w:val="left" w:pos="1701"/>
        </w:tabs>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b/>
          <w:sz w:val="28"/>
          <w:szCs w:val="28"/>
        </w:rPr>
        <w:t>PRIMERO.</w:t>
      </w:r>
      <w:r w:rsidRPr="00435703">
        <w:rPr>
          <w:rFonts w:ascii="Palatino Linotype" w:eastAsia="Palatino Linotype" w:hAnsi="Palatino Linotype" w:cs="Palatino Linotype"/>
          <w:b/>
        </w:rPr>
        <w:t xml:space="preserve"> Competencia</w:t>
      </w:r>
      <w:r w:rsidRPr="00435703">
        <w:rPr>
          <w:rFonts w:ascii="Palatino Linotype" w:eastAsia="Palatino Linotype" w:hAnsi="Palatino Linotype" w:cs="Palatino Linotype"/>
        </w:rPr>
        <w:t>.</w:t>
      </w:r>
      <w:r w:rsidRPr="00435703">
        <w:rPr>
          <w:rFonts w:ascii="Palatino Linotype" w:eastAsia="Palatino Linotype" w:hAnsi="Palatino Linotype" w:cs="Palatino Linotype"/>
          <w:b/>
        </w:rPr>
        <w:t xml:space="preserve"> </w:t>
      </w:r>
    </w:p>
    <w:p w14:paraId="746A2130" w14:textId="77777777" w:rsidR="00CD42B4" w:rsidRPr="00435703" w:rsidRDefault="00F34A2D">
      <w:pPr>
        <w:widowControl w:val="0"/>
        <w:tabs>
          <w:tab w:val="left" w:pos="1701"/>
        </w:tabs>
        <w:spacing w:line="360" w:lineRule="auto"/>
        <w:jc w:val="both"/>
        <w:rPr>
          <w:rFonts w:ascii="Palatino Linotype" w:eastAsia="Palatino Linotype" w:hAnsi="Palatino Linotype" w:cs="Palatino Linotype"/>
        </w:rPr>
      </w:pPr>
      <w:bookmarkStart w:id="2" w:name="_heading=h.3znysh7" w:colFirst="0" w:colLast="0"/>
      <w:bookmarkEnd w:id="2"/>
      <w:r w:rsidRPr="00435703">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26883310" w14:textId="77777777" w:rsidR="00CD42B4" w:rsidRPr="00435703" w:rsidRDefault="00CD42B4">
      <w:pPr>
        <w:widowControl w:val="0"/>
        <w:tabs>
          <w:tab w:val="left" w:pos="1701"/>
          <w:tab w:val="left" w:pos="2977"/>
        </w:tabs>
        <w:spacing w:line="360" w:lineRule="auto"/>
        <w:jc w:val="both"/>
        <w:rPr>
          <w:rFonts w:ascii="Palatino Linotype" w:eastAsia="Palatino Linotype" w:hAnsi="Palatino Linotype" w:cs="Palatino Linotype"/>
        </w:rPr>
      </w:pPr>
    </w:p>
    <w:p w14:paraId="521BB3C5" w14:textId="77777777" w:rsidR="00CD42B4" w:rsidRPr="00435703" w:rsidRDefault="00F34A2D">
      <w:pPr>
        <w:spacing w:line="360" w:lineRule="auto"/>
        <w:jc w:val="both"/>
        <w:rPr>
          <w:rFonts w:ascii="Palatino Linotype" w:eastAsia="Palatino Linotype" w:hAnsi="Palatino Linotype" w:cs="Palatino Linotype"/>
          <w:b/>
        </w:rPr>
      </w:pPr>
      <w:r w:rsidRPr="00435703">
        <w:rPr>
          <w:rFonts w:ascii="Palatino Linotype" w:eastAsia="Palatino Linotype" w:hAnsi="Palatino Linotype" w:cs="Palatino Linotype"/>
          <w:b/>
          <w:sz w:val="28"/>
          <w:szCs w:val="28"/>
        </w:rPr>
        <w:lastRenderedPageBreak/>
        <w:t>SEGUNDO</w:t>
      </w:r>
      <w:r w:rsidRPr="00435703">
        <w:rPr>
          <w:rFonts w:ascii="Palatino Linotype" w:eastAsia="Palatino Linotype" w:hAnsi="Palatino Linotype" w:cs="Palatino Linotype"/>
          <w:b/>
        </w:rPr>
        <w:t xml:space="preserve">. Interés. </w:t>
      </w:r>
    </w:p>
    <w:p w14:paraId="0BCC66EF" w14:textId="77777777" w:rsidR="00CD42B4" w:rsidRPr="00435703" w:rsidRDefault="00F34A2D">
      <w:pPr>
        <w:spacing w:line="360" w:lineRule="auto"/>
        <w:jc w:val="both"/>
        <w:rPr>
          <w:rFonts w:ascii="Palatino Linotype" w:eastAsia="Palatino Linotype" w:hAnsi="Palatino Linotype" w:cs="Palatino Linotype"/>
          <w:b/>
        </w:rPr>
      </w:pPr>
      <w:r w:rsidRPr="00435703">
        <w:rPr>
          <w:rFonts w:ascii="Palatino Linotype" w:eastAsia="Palatino Linotype" w:hAnsi="Palatino Linotype" w:cs="Palatino Linotype"/>
        </w:rPr>
        <w:t xml:space="preserve">El recurso de revisión fue interpuesto por parte legítima, en atención a que se presentó por </w:t>
      </w:r>
      <w:r w:rsidRPr="00435703">
        <w:rPr>
          <w:rFonts w:ascii="Palatino Linotype" w:eastAsia="Palatino Linotype" w:hAnsi="Palatino Linotype" w:cs="Palatino Linotype"/>
          <w:b/>
        </w:rPr>
        <w:t>EL RECURRENTE,</w:t>
      </w:r>
      <w:r w:rsidRPr="00435703">
        <w:rPr>
          <w:rFonts w:ascii="Palatino Linotype" w:eastAsia="Palatino Linotype" w:hAnsi="Palatino Linotype" w:cs="Palatino Linotype"/>
        </w:rPr>
        <w:t xml:space="preserve"> quien es la misma persona que formuló la solicitud de acceso a la información pública al </w:t>
      </w:r>
      <w:r w:rsidRPr="00435703">
        <w:rPr>
          <w:rFonts w:ascii="Palatino Linotype" w:eastAsia="Palatino Linotype" w:hAnsi="Palatino Linotype" w:cs="Palatino Linotype"/>
          <w:b/>
        </w:rPr>
        <w:t xml:space="preserve">SUJETO OBLIGADO. </w:t>
      </w:r>
    </w:p>
    <w:p w14:paraId="3B95948C" w14:textId="77777777" w:rsidR="00CD42B4" w:rsidRPr="00435703" w:rsidRDefault="00CD42B4">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7470A1C3" w14:textId="77777777" w:rsidR="00CD42B4" w:rsidRPr="00435703" w:rsidRDefault="00F34A2D">
      <w:pPr>
        <w:tabs>
          <w:tab w:val="center" w:pos="4252"/>
          <w:tab w:val="right" w:pos="8504"/>
        </w:tabs>
        <w:spacing w:line="360" w:lineRule="auto"/>
        <w:ind w:left="-57"/>
        <w:jc w:val="both"/>
        <w:rPr>
          <w:rFonts w:ascii="Palatino Linotype" w:eastAsia="Palatino Linotype" w:hAnsi="Palatino Linotype" w:cs="Palatino Linotype"/>
          <w:color w:val="000000"/>
        </w:rPr>
      </w:pPr>
      <w:r w:rsidRPr="00435703">
        <w:rPr>
          <w:rFonts w:ascii="Palatino Linotype" w:eastAsia="Palatino Linotype" w:hAnsi="Palatino Linotype" w:cs="Palatino Linotype"/>
          <w:b/>
          <w:sz w:val="28"/>
          <w:szCs w:val="28"/>
        </w:rPr>
        <w:t>TERCERO.</w:t>
      </w:r>
      <w:r w:rsidRPr="00435703">
        <w:rPr>
          <w:rFonts w:ascii="Palatino Linotype" w:eastAsia="Palatino Linotype" w:hAnsi="Palatino Linotype" w:cs="Palatino Linotype"/>
        </w:rPr>
        <w:t xml:space="preserve"> </w:t>
      </w:r>
      <w:r w:rsidRPr="00435703">
        <w:rPr>
          <w:rFonts w:ascii="Palatino Linotype" w:eastAsia="Palatino Linotype" w:hAnsi="Palatino Linotype" w:cs="Palatino Linotype"/>
          <w:b/>
          <w:color w:val="000000"/>
        </w:rPr>
        <w:t>Oportunidad</w:t>
      </w:r>
      <w:r w:rsidRPr="00435703">
        <w:rPr>
          <w:rFonts w:ascii="Palatino Linotype" w:eastAsia="Palatino Linotype" w:hAnsi="Palatino Linotype" w:cs="Palatino Linotype"/>
          <w:color w:val="000000"/>
        </w:rPr>
        <w:t xml:space="preserve">. </w:t>
      </w:r>
    </w:p>
    <w:p w14:paraId="1FFAAD0E" w14:textId="77777777" w:rsidR="00CD42B4" w:rsidRPr="00435703" w:rsidRDefault="00F34A2D">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sidRPr="00435703">
        <w:rPr>
          <w:rFonts w:ascii="Palatino Linotype" w:eastAsia="Palatino Linotype" w:hAnsi="Palatino Linotype" w:cs="Palatino Linotype"/>
          <w:color w:val="000000"/>
        </w:rPr>
        <w:t xml:space="preserve">El recurso de revisión fue interpuesto dentro del plazo de quince días hábiles, contados a partir del día siguiente al que </w:t>
      </w:r>
      <w:r w:rsidRPr="00435703">
        <w:rPr>
          <w:rFonts w:ascii="Palatino Linotype" w:eastAsia="Palatino Linotype" w:hAnsi="Palatino Linotype" w:cs="Palatino Linotype"/>
          <w:b/>
          <w:color w:val="000000"/>
        </w:rPr>
        <w:t xml:space="preserve">EL RECURRENTE </w:t>
      </w:r>
      <w:r w:rsidRPr="00435703">
        <w:rPr>
          <w:rFonts w:ascii="Palatino Linotype" w:eastAsia="Palatino Linotype" w:hAnsi="Palatino Linotype" w:cs="Palatino Linotype"/>
          <w:color w:val="000000"/>
        </w:rPr>
        <w:t>tuvo conocimiento de la respuesta impugnada; tal y como, lo prevé el artículo 178 de la Ley de Transparencia y Acceso a la Información Pública del Estado de México y Municipios, que establece:</w:t>
      </w:r>
    </w:p>
    <w:p w14:paraId="6ECDA542" w14:textId="77777777" w:rsidR="00CD42B4" w:rsidRPr="00435703" w:rsidRDefault="00CD42B4">
      <w:pPr>
        <w:ind w:left="720" w:right="709"/>
        <w:jc w:val="both"/>
        <w:rPr>
          <w:rFonts w:ascii="Palatino Linotype" w:eastAsia="Palatino Linotype" w:hAnsi="Palatino Linotype" w:cs="Palatino Linotype"/>
          <w:i/>
          <w:sz w:val="22"/>
          <w:szCs w:val="22"/>
        </w:rPr>
      </w:pPr>
    </w:p>
    <w:p w14:paraId="6249D780" w14:textId="77777777" w:rsidR="00CD42B4" w:rsidRPr="00435703" w:rsidRDefault="00F34A2D">
      <w:pPr>
        <w:ind w:left="851"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w:t>
      </w:r>
      <w:r w:rsidRPr="00435703">
        <w:rPr>
          <w:rFonts w:ascii="Palatino Linotype" w:eastAsia="Palatino Linotype" w:hAnsi="Palatino Linotype" w:cs="Palatino Linotype"/>
          <w:b/>
          <w:i/>
          <w:sz w:val="22"/>
          <w:szCs w:val="22"/>
        </w:rPr>
        <w:t>Artículo 178.</w:t>
      </w:r>
      <w:r w:rsidRPr="00435703">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5DD3386" w14:textId="77777777" w:rsidR="00CD42B4" w:rsidRPr="00435703" w:rsidRDefault="00CD42B4">
      <w:pPr>
        <w:ind w:left="851" w:right="899"/>
        <w:jc w:val="both"/>
        <w:rPr>
          <w:rFonts w:ascii="Palatino Linotype" w:eastAsia="Palatino Linotype" w:hAnsi="Palatino Linotype" w:cs="Palatino Linotype"/>
          <w:i/>
          <w:sz w:val="22"/>
          <w:szCs w:val="22"/>
        </w:rPr>
      </w:pPr>
    </w:p>
    <w:p w14:paraId="520E7658" w14:textId="77777777" w:rsidR="00CD42B4" w:rsidRPr="00435703" w:rsidRDefault="00F34A2D">
      <w:pPr>
        <w:ind w:left="851"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FDEDF92" w14:textId="77777777" w:rsidR="00CD42B4" w:rsidRPr="00435703" w:rsidRDefault="00CD42B4">
      <w:pPr>
        <w:ind w:left="851" w:right="899"/>
        <w:jc w:val="both"/>
        <w:rPr>
          <w:rFonts w:ascii="Palatino Linotype" w:eastAsia="Palatino Linotype" w:hAnsi="Palatino Linotype" w:cs="Palatino Linotype"/>
          <w:i/>
          <w:sz w:val="22"/>
          <w:szCs w:val="22"/>
        </w:rPr>
      </w:pPr>
    </w:p>
    <w:p w14:paraId="74339018" w14:textId="77777777" w:rsidR="00CD42B4" w:rsidRPr="00435703" w:rsidRDefault="00F34A2D">
      <w:pPr>
        <w:ind w:left="851"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792BE16D" w14:textId="77777777" w:rsidR="00CD42B4" w:rsidRPr="00435703" w:rsidRDefault="00CD42B4">
      <w:pPr>
        <w:ind w:left="720" w:right="709"/>
        <w:jc w:val="both"/>
        <w:rPr>
          <w:rFonts w:ascii="Palatino Linotype" w:eastAsia="Palatino Linotype" w:hAnsi="Palatino Linotype" w:cs="Palatino Linotype"/>
          <w:i/>
          <w:sz w:val="22"/>
          <w:szCs w:val="22"/>
        </w:rPr>
      </w:pPr>
    </w:p>
    <w:p w14:paraId="2374046A" w14:textId="77777777" w:rsidR="00CD42B4" w:rsidRPr="00435703" w:rsidRDefault="00F34A2D">
      <w:pPr>
        <w:spacing w:line="360" w:lineRule="auto"/>
        <w:jc w:val="both"/>
        <w:rPr>
          <w:rFonts w:ascii="Palatino Linotype" w:eastAsia="Palatino Linotype" w:hAnsi="Palatino Linotype" w:cs="Palatino Linotype"/>
        </w:rPr>
      </w:pPr>
      <w:bookmarkStart w:id="3" w:name="_heading=h.2et92p0" w:colFirst="0" w:colLast="0"/>
      <w:bookmarkEnd w:id="3"/>
      <w:r w:rsidRPr="00435703">
        <w:rPr>
          <w:rFonts w:ascii="Palatino Linotype" w:eastAsia="Palatino Linotype" w:hAnsi="Palatino Linotype" w:cs="Palatino Linotype"/>
        </w:rPr>
        <w:t xml:space="preserve">En esa tesitura, atendiendo a que </w:t>
      </w:r>
      <w:r w:rsidRPr="00435703">
        <w:rPr>
          <w:rFonts w:ascii="Palatino Linotype" w:eastAsia="Palatino Linotype" w:hAnsi="Palatino Linotype" w:cs="Palatino Linotype"/>
          <w:b/>
        </w:rPr>
        <w:t>EL SUJETO OBLIGADO</w:t>
      </w:r>
      <w:r w:rsidRPr="00435703">
        <w:rPr>
          <w:rFonts w:ascii="Palatino Linotype" w:eastAsia="Palatino Linotype" w:hAnsi="Palatino Linotype" w:cs="Palatino Linotype"/>
        </w:rPr>
        <w:t xml:space="preserve"> notificó la respuesta a la solicitud de acceso a la información pública el día</w:t>
      </w:r>
      <w:r w:rsidRPr="00435703">
        <w:rPr>
          <w:rFonts w:ascii="Palatino Linotype" w:eastAsia="Palatino Linotype" w:hAnsi="Palatino Linotype" w:cs="Palatino Linotype"/>
          <w:b/>
        </w:rPr>
        <w:t xml:space="preserve"> veintisiete de enero de dos mil veintidós</w:t>
      </w:r>
      <w:r w:rsidRPr="00435703">
        <w:rPr>
          <w:rFonts w:ascii="Palatino Linotype" w:eastAsia="Palatino Linotype" w:hAnsi="Palatino Linotype" w:cs="Palatino Linotype"/>
        </w:rPr>
        <w:t>; así, el plazo de quince días hábiles que el artículo 178 de la Ley de la materia otorga al</w:t>
      </w:r>
      <w:r w:rsidRPr="00435703">
        <w:rPr>
          <w:rFonts w:ascii="Palatino Linotype" w:eastAsia="Palatino Linotype" w:hAnsi="Palatino Linotype" w:cs="Palatino Linotype"/>
          <w:b/>
        </w:rPr>
        <w:t xml:space="preserve"> RECURRENTE</w:t>
      </w:r>
      <w:r w:rsidRPr="00435703">
        <w:rPr>
          <w:rFonts w:ascii="Palatino Linotype" w:eastAsia="Palatino Linotype" w:hAnsi="Palatino Linotype" w:cs="Palatino Linotype"/>
        </w:rPr>
        <w:t xml:space="preserve"> para presentar el respectivo recurso de revisión, transcurrió del </w:t>
      </w:r>
      <w:r w:rsidRPr="00435703">
        <w:rPr>
          <w:rFonts w:ascii="Palatino Linotype" w:eastAsia="Palatino Linotype" w:hAnsi="Palatino Linotype" w:cs="Palatino Linotype"/>
          <w:b/>
        </w:rPr>
        <w:t xml:space="preserve">veintiocho de enero al dieciocho de febrero de dos mil veintidós, </w:t>
      </w:r>
      <w:r w:rsidRPr="00435703">
        <w:rPr>
          <w:rFonts w:ascii="Palatino Linotype" w:eastAsia="Palatino Linotype" w:hAnsi="Palatino Linotype" w:cs="Palatino Linotype"/>
        </w:rPr>
        <w:t xml:space="preserve">sin contemplar en el </w:t>
      </w:r>
      <w:r w:rsidRPr="00435703">
        <w:rPr>
          <w:rFonts w:ascii="Palatino Linotype" w:eastAsia="Palatino Linotype" w:hAnsi="Palatino Linotype" w:cs="Palatino Linotype"/>
        </w:rPr>
        <w:lastRenderedPageBreak/>
        <w:t>cómputo los días veintinueve y treinta de enero, además de cinco, seis, doce y trece de febrero de dos mil veintidós por corresponder a sábados y domingos, considerados como días inhábiles, en términos del artículo 3, fracción X de la Ley de Transparencia y Acceso a la Información Pública del Estado de México y Municipios. Así como, el día siete de febrero de dos mil veintidós,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dos mil veintitrés, publicado en el Periódico Oficial “Gaceta del Gobierno”, el veintidós de diciembre de dos mil veintidós</w:t>
      </w:r>
      <w:r w:rsidRPr="00435703">
        <w:rPr>
          <w:rFonts w:ascii="Palatino Linotype" w:eastAsia="Palatino Linotype" w:hAnsi="Palatino Linotype" w:cs="Palatino Linotype"/>
          <w:vertAlign w:val="superscript"/>
        </w:rPr>
        <w:footnoteReference w:id="1"/>
      </w:r>
      <w:r w:rsidRPr="00435703">
        <w:rPr>
          <w:rFonts w:ascii="Palatino Linotype" w:eastAsia="Palatino Linotype" w:hAnsi="Palatino Linotype" w:cs="Palatino Linotype"/>
        </w:rPr>
        <w:t>.</w:t>
      </w:r>
    </w:p>
    <w:p w14:paraId="34DA2D0D" w14:textId="77777777" w:rsidR="00CD42B4" w:rsidRPr="00435703" w:rsidRDefault="00CD42B4">
      <w:pPr>
        <w:spacing w:line="360" w:lineRule="auto"/>
        <w:jc w:val="both"/>
        <w:rPr>
          <w:rFonts w:ascii="Palatino Linotype" w:eastAsia="Palatino Linotype" w:hAnsi="Palatino Linotype" w:cs="Palatino Linotype"/>
        </w:rPr>
      </w:pPr>
      <w:bookmarkStart w:id="4" w:name="_heading=h.oprs6ajnynks" w:colFirst="0" w:colLast="0"/>
      <w:bookmarkEnd w:id="4"/>
    </w:p>
    <w:p w14:paraId="30FF1DB2" w14:textId="77777777" w:rsidR="00CD42B4" w:rsidRPr="00435703" w:rsidRDefault="00F34A2D">
      <w:pPr>
        <w:spacing w:line="360" w:lineRule="auto"/>
        <w:ind w:left="-5" w:hanging="10"/>
        <w:jc w:val="both"/>
        <w:rPr>
          <w:rFonts w:ascii="Palatino Linotype" w:eastAsia="Palatino Linotype" w:hAnsi="Palatino Linotype" w:cs="Palatino Linotype"/>
        </w:rPr>
      </w:pPr>
      <w:r w:rsidRPr="00435703">
        <w:rPr>
          <w:rFonts w:ascii="Palatino Linotype" w:eastAsia="Palatino Linotype" w:hAnsi="Palatino Linotype" w:cs="Palatino Linotype"/>
        </w:rPr>
        <w:t>En ese tenor, si el recurso de revisión que nos ocupa, se interpuso el</w:t>
      </w:r>
      <w:r w:rsidRPr="00435703">
        <w:rPr>
          <w:rFonts w:ascii="Palatino Linotype" w:eastAsia="Palatino Linotype" w:hAnsi="Palatino Linotype" w:cs="Palatino Linotype"/>
          <w:b/>
        </w:rPr>
        <w:t xml:space="preserve"> veintiocho de enero de dos mil veintidós,</w:t>
      </w:r>
      <w:r w:rsidRPr="00435703">
        <w:rPr>
          <w:rFonts w:ascii="Palatino Linotype" w:eastAsia="Palatino Linotype" w:hAnsi="Palatino Linotype" w:cs="Palatino Linotype"/>
        </w:rPr>
        <w:t xml:space="preserve"> éste se encuentra dentro de los márgenes temporales previstos en el citado precepto legal y, por tanto, se considera oportuno.</w:t>
      </w:r>
    </w:p>
    <w:p w14:paraId="46230490" w14:textId="77777777" w:rsidR="00CD42B4" w:rsidRPr="00435703" w:rsidRDefault="00CD42B4">
      <w:pPr>
        <w:spacing w:line="360" w:lineRule="auto"/>
        <w:ind w:left="-5" w:hanging="10"/>
        <w:jc w:val="both"/>
        <w:rPr>
          <w:rFonts w:ascii="Palatino Linotype" w:eastAsia="Palatino Linotype" w:hAnsi="Palatino Linotype" w:cs="Palatino Linotype"/>
        </w:rPr>
      </w:pPr>
    </w:p>
    <w:p w14:paraId="4872EC6B" w14:textId="77777777" w:rsidR="00CD42B4" w:rsidRPr="00435703" w:rsidRDefault="00F34A2D">
      <w:pPr>
        <w:spacing w:line="360" w:lineRule="auto"/>
        <w:ind w:right="49"/>
        <w:jc w:val="both"/>
        <w:rPr>
          <w:rFonts w:ascii="Palatino Linotype" w:eastAsia="Palatino Linotype" w:hAnsi="Palatino Linotype" w:cs="Palatino Linotype"/>
          <w:b/>
        </w:rPr>
      </w:pPr>
      <w:r w:rsidRPr="00435703">
        <w:rPr>
          <w:rFonts w:ascii="Palatino Linotype" w:eastAsia="Palatino Linotype" w:hAnsi="Palatino Linotype" w:cs="Palatino Linotype"/>
          <w:b/>
          <w:sz w:val="28"/>
          <w:szCs w:val="28"/>
        </w:rPr>
        <w:t>CUARTO</w:t>
      </w:r>
      <w:r w:rsidRPr="00435703">
        <w:rPr>
          <w:rFonts w:ascii="Palatino Linotype" w:eastAsia="Palatino Linotype" w:hAnsi="Palatino Linotype" w:cs="Palatino Linotype"/>
          <w:b/>
        </w:rPr>
        <w:t xml:space="preserve">. Procedibilidad. </w:t>
      </w:r>
    </w:p>
    <w:p w14:paraId="7BE4921E" w14:textId="77777777" w:rsidR="00CD42B4" w:rsidRPr="00435703" w:rsidRDefault="00F34A2D">
      <w:pPr>
        <w:spacing w:line="360" w:lineRule="auto"/>
        <w:ind w:right="49"/>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Esta Ponencia considera importante precisar que conforme al artículo 180, fracción II, último párrafo de la Ley de Transparencia y Acceso a la Información Pública del Estado de México y Municipios, cuando las solicitudes se presenten de manera electrónica no es requisito indispensable el proporcionar el nombre, tal como se muestra a continuación: </w:t>
      </w:r>
    </w:p>
    <w:p w14:paraId="0AC69385" w14:textId="77777777" w:rsidR="00CD42B4" w:rsidRPr="00435703" w:rsidRDefault="00CD42B4">
      <w:pPr>
        <w:spacing w:line="360" w:lineRule="auto"/>
        <w:ind w:right="49"/>
        <w:jc w:val="both"/>
        <w:rPr>
          <w:rFonts w:ascii="Palatino Linotype" w:eastAsia="Palatino Linotype" w:hAnsi="Palatino Linotype" w:cs="Palatino Linotype"/>
          <w:sz w:val="10"/>
          <w:szCs w:val="10"/>
        </w:rPr>
      </w:pPr>
    </w:p>
    <w:p w14:paraId="7F160A4A" w14:textId="77777777" w:rsidR="00CD42B4" w:rsidRPr="00435703" w:rsidRDefault="00F34A2D">
      <w:pPr>
        <w:tabs>
          <w:tab w:val="left" w:pos="851"/>
        </w:tabs>
        <w:ind w:left="851" w:right="901"/>
        <w:jc w:val="both"/>
        <w:rPr>
          <w:rFonts w:ascii="Palatino Linotype" w:eastAsia="Palatino Linotype" w:hAnsi="Palatino Linotype" w:cs="Palatino Linotype"/>
          <w:b/>
          <w:i/>
          <w:sz w:val="22"/>
          <w:szCs w:val="22"/>
        </w:rPr>
      </w:pPr>
      <w:r w:rsidRPr="00435703">
        <w:rPr>
          <w:rFonts w:ascii="Palatino Linotype" w:eastAsia="Palatino Linotype" w:hAnsi="Palatino Linotype" w:cs="Palatino Linotype"/>
          <w:b/>
          <w:i/>
          <w:sz w:val="22"/>
          <w:szCs w:val="22"/>
        </w:rPr>
        <w:t xml:space="preserve">“Artículo 180. </w:t>
      </w:r>
      <w:r w:rsidRPr="00435703">
        <w:rPr>
          <w:rFonts w:ascii="Palatino Linotype" w:eastAsia="Palatino Linotype" w:hAnsi="Palatino Linotype" w:cs="Palatino Linotype"/>
          <w:i/>
          <w:sz w:val="22"/>
          <w:szCs w:val="22"/>
        </w:rPr>
        <w:t xml:space="preserve">El recurso </w:t>
      </w:r>
      <w:r w:rsidRPr="00435703">
        <w:rPr>
          <w:rFonts w:ascii="Palatino Linotype" w:eastAsia="Palatino Linotype" w:hAnsi="Palatino Linotype" w:cs="Palatino Linotype"/>
          <w:i/>
          <w:color w:val="222222"/>
          <w:sz w:val="22"/>
          <w:szCs w:val="22"/>
        </w:rPr>
        <w:t>de</w:t>
      </w:r>
      <w:r w:rsidRPr="00435703">
        <w:rPr>
          <w:rFonts w:ascii="Palatino Linotype" w:eastAsia="Palatino Linotype" w:hAnsi="Palatino Linotype" w:cs="Palatino Linotype"/>
          <w:i/>
          <w:sz w:val="22"/>
          <w:szCs w:val="22"/>
        </w:rPr>
        <w:t xml:space="preserve"> revisión contendrá:</w:t>
      </w:r>
      <w:r w:rsidRPr="00435703">
        <w:rPr>
          <w:rFonts w:ascii="Palatino Linotype" w:eastAsia="Palatino Linotype" w:hAnsi="Palatino Linotype" w:cs="Palatino Linotype"/>
          <w:b/>
          <w:i/>
          <w:sz w:val="22"/>
          <w:szCs w:val="22"/>
        </w:rPr>
        <w:t xml:space="preserve"> </w:t>
      </w:r>
    </w:p>
    <w:p w14:paraId="0B95A2D6" w14:textId="77777777" w:rsidR="00CD42B4" w:rsidRPr="00435703" w:rsidRDefault="00F34A2D">
      <w:pPr>
        <w:tabs>
          <w:tab w:val="left" w:pos="851"/>
        </w:tabs>
        <w:ind w:left="851" w:right="901"/>
        <w:jc w:val="both"/>
        <w:rPr>
          <w:rFonts w:ascii="Palatino Linotype" w:eastAsia="Palatino Linotype" w:hAnsi="Palatino Linotype" w:cs="Palatino Linotype"/>
          <w:b/>
          <w:i/>
          <w:sz w:val="22"/>
          <w:szCs w:val="22"/>
        </w:rPr>
      </w:pPr>
      <w:r w:rsidRPr="00435703">
        <w:rPr>
          <w:rFonts w:ascii="Palatino Linotype" w:eastAsia="Palatino Linotype" w:hAnsi="Palatino Linotype" w:cs="Palatino Linotype"/>
          <w:b/>
          <w:i/>
          <w:sz w:val="22"/>
          <w:szCs w:val="22"/>
        </w:rPr>
        <w:t>…</w:t>
      </w:r>
    </w:p>
    <w:p w14:paraId="0694993A" w14:textId="77777777" w:rsidR="00CD42B4" w:rsidRPr="00435703" w:rsidRDefault="00F34A2D">
      <w:pPr>
        <w:tabs>
          <w:tab w:val="left" w:pos="851"/>
        </w:tabs>
        <w:ind w:left="851" w:right="901"/>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b/>
          <w:i/>
          <w:sz w:val="22"/>
          <w:szCs w:val="22"/>
        </w:rPr>
        <w:t xml:space="preserve">II. El nombre del solicitante </w:t>
      </w:r>
      <w:r w:rsidRPr="00435703">
        <w:rPr>
          <w:rFonts w:ascii="Palatino Linotype" w:eastAsia="Palatino Linotype" w:hAnsi="Palatino Linotype" w:cs="Palatino Linotype"/>
          <w:b/>
          <w:i/>
          <w:color w:val="222222"/>
          <w:sz w:val="22"/>
          <w:szCs w:val="22"/>
        </w:rPr>
        <w:t>que</w:t>
      </w:r>
      <w:r w:rsidRPr="00435703">
        <w:rPr>
          <w:rFonts w:ascii="Palatino Linotype" w:eastAsia="Palatino Linotype" w:hAnsi="Palatino Linotype" w:cs="Palatino Linotype"/>
          <w:b/>
          <w:i/>
          <w:sz w:val="22"/>
          <w:szCs w:val="22"/>
        </w:rPr>
        <w:t xml:space="preserve"> recurre </w:t>
      </w:r>
      <w:r w:rsidRPr="00435703">
        <w:rPr>
          <w:rFonts w:ascii="Palatino Linotype" w:eastAsia="Palatino Linotype" w:hAnsi="Palatino Linotype" w:cs="Palatino Linotype"/>
          <w:i/>
          <w:sz w:val="22"/>
          <w:szCs w:val="22"/>
        </w:rPr>
        <w:t>o de su representante y, en su caso</w:t>
      </w:r>
      <w:proofErr w:type="gramStart"/>
      <w:r w:rsidRPr="00435703">
        <w:rPr>
          <w:rFonts w:ascii="Palatino Linotype" w:eastAsia="Palatino Linotype" w:hAnsi="Palatino Linotype" w:cs="Palatino Linotype"/>
          <w:i/>
          <w:sz w:val="22"/>
          <w:szCs w:val="22"/>
        </w:rPr>
        <w:t>, …</w:t>
      </w:r>
      <w:proofErr w:type="gramEnd"/>
    </w:p>
    <w:p w14:paraId="0DC7035D" w14:textId="77777777" w:rsidR="00CD42B4" w:rsidRPr="00435703" w:rsidRDefault="00F34A2D">
      <w:pPr>
        <w:tabs>
          <w:tab w:val="left" w:pos="851"/>
        </w:tabs>
        <w:ind w:left="851" w:right="901"/>
        <w:jc w:val="both"/>
        <w:rPr>
          <w:rFonts w:ascii="Palatino Linotype" w:eastAsia="Palatino Linotype" w:hAnsi="Palatino Linotype" w:cs="Palatino Linotype"/>
          <w:b/>
          <w:i/>
          <w:sz w:val="22"/>
          <w:szCs w:val="22"/>
        </w:rPr>
      </w:pPr>
      <w:r w:rsidRPr="00435703">
        <w:rPr>
          <w:rFonts w:ascii="Palatino Linotype" w:eastAsia="Palatino Linotype" w:hAnsi="Palatino Linotype" w:cs="Palatino Linotype"/>
          <w:b/>
          <w:i/>
          <w:sz w:val="22"/>
          <w:szCs w:val="22"/>
        </w:rPr>
        <w:lastRenderedPageBreak/>
        <w:t xml:space="preserve">En caso de </w:t>
      </w:r>
      <w:r w:rsidRPr="00435703">
        <w:rPr>
          <w:rFonts w:ascii="Palatino Linotype" w:eastAsia="Palatino Linotype" w:hAnsi="Palatino Linotype" w:cs="Palatino Linotype"/>
          <w:b/>
          <w:i/>
          <w:color w:val="222222"/>
          <w:sz w:val="22"/>
          <w:szCs w:val="22"/>
        </w:rPr>
        <w:t>que</w:t>
      </w:r>
      <w:r w:rsidRPr="00435703">
        <w:rPr>
          <w:rFonts w:ascii="Palatino Linotype" w:eastAsia="Palatino Linotype" w:hAnsi="Palatino Linotype" w:cs="Palatino Linotype"/>
          <w:b/>
          <w:i/>
          <w:sz w:val="22"/>
          <w:szCs w:val="22"/>
        </w:rPr>
        <w:t xml:space="preserve"> el recurso se interponga de manera electrónica no será indispensable que contengan los requisitos establecidos en las fracciones II</w:t>
      </w:r>
      <w:r w:rsidRPr="00435703">
        <w:rPr>
          <w:rFonts w:ascii="Palatino Linotype" w:eastAsia="Palatino Linotype" w:hAnsi="Palatino Linotype" w:cs="Palatino Linotype"/>
          <w:i/>
          <w:sz w:val="22"/>
          <w:szCs w:val="22"/>
        </w:rPr>
        <w:t>, IV, VII y VIII.</w:t>
      </w:r>
      <w:r w:rsidRPr="00435703">
        <w:rPr>
          <w:rFonts w:ascii="Palatino Linotype" w:eastAsia="Palatino Linotype" w:hAnsi="Palatino Linotype" w:cs="Palatino Linotype"/>
          <w:b/>
          <w:i/>
          <w:sz w:val="22"/>
          <w:szCs w:val="22"/>
        </w:rPr>
        <w:t>”</w:t>
      </w:r>
    </w:p>
    <w:p w14:paraId="26D8D097" w14:textId="77777777" w:rsidR="00CD42B4" w:rsidRPr="00435703" w:rsidRDefault="00F34A2D">
      <w:pPr>
        <w:tabs>
          <w:tab w:val="left" w:pos="851"/>
        </w:tabs>
        <w:ind w:left="851" w:right="901"/>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(Énfasis añadido)</w:t>
      </w:r>
    </w:p>
    <w:p w14:paraId="66C70778" w14:textId="77777777" w:rsidR="00CD42B4" w:rsidRPr="00435703" w:rsidRDefault="00CD42B4">
      <w:pPr>
        <w:tabs>
          <w:tab w:val="left" w:pos="851"/>
        </w:tabs>
        <w:ind w:right="901"/>
        <w:jc w:val="both"/>
        <w:rPr>
          <w:rFonts w:ascii="Palatino Linotype" w:eastAsia="Palatino Linotype" w:hAnsi="Palatino Linotype" w:cs="Palatino Linotype"/>
          <w:i/>
          <w:sz w:val="22"/>
          <w:szCs w:val="22"/>
        </w:rPr>
      </w:pPr>
    </w:p>
    <w:p w14:paraId="7C7685E5"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Es así que, derivado que el recurso de revisión materia del presente asunto, se interpuso de manera electrónica, no es necesario que contenga determinados requisitos, entre ellos, el nombre</w:t>
      </w:r>
      <w:r w:rsidRPr="00435703">
        <w:rPr>
          <w:rFonts w:ascii="Palatino Linotype" w:eastAsia="Palatino Linotype" w:hAnsi="Palatino Linotype" w:cs="Palatino Linotype"/>
          <w:b/>
        </w:rPr>
        <w:t>;</w:t>
      </w:r>
      <w:r w:rsidRPr="00435703">
        <w:rPr>
          <w:rFonts w:ascii="Palatino Linotype" w:eastAsia="Palatino Linotype" w:hAnsi="Palatino Linotype" w:cs="Palatino Linotype"/>
        </w:rPr>
        <w:t xml:space="preserve"> por lo que, en el presente caso, al haber sido presentado el recurso de revisión vía </w:t>
      </w:r>
      <w:r w:rsidRPr="00435703">
        <w:rPr>
          <w:rFonts w:ascii="Palatino Linotype" w:eastAsia="Palatino Linotype" w:hAnsi="Palatino Linotype" w:cs="Palatino Linotype"/>
          <w:b/>
        </w:rPr>
        <w:t>SAIMEX</w:t>
      </w:r>
      <w:r w:rsidRPr="00435703">
        <w:rPr>
          <w:rFonts w:ascii="Palatino Linotype" w:eastAsia="Palatino Linotype" w:hAnsi="Palatino Linotype" w:cs="Palatino Linotype"/>
        </w:rPr>
        <w:t>, dicho requisito resulta innecesario.</w:t>
      </w:r>
    </w:p>
    <w:p w14:paraId="69FB9355" w14:textId="77777777" w:rsidR="00CD42B4" w:rsidRPr="00435703" w:rsidRDefault="00CD42B4">
      <w:pPr>
        <w:spacing w:line="360" w:lineRule="auto"/>
        <w:jc w:val="both"/>
        <w:rPr>
          <w:rFonts w:ascii="Palatino Linotype" w:eastAsia="Palatino Linotype" w:hAnsi="Palatino Linotype" w:cs="Palatino Linotype"/>
          <w:b/>
        </w:rPr>
      </w:pPr>
    </w:p>
    <w:p w14:paraId="73500881"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Lo anterior es así, pues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w:t>
      </w:r>
      <w:r w:rsidRPr="00435703">
        <w:rPr>
          <w:rFonts w:ascii="Palatino Linotype" w:eastAsia="Palatino Linotype" w:hAnsi="Palatino Linotype" w:cs="Palatino Linotype"/>
          <w:b/>
          <w:u w:val="single"/>
        </w:rPr>
        <w:t xml:space="preserve">el nombre no es un requisito </w:t>
      </w:r>
      <w:r w:rsidRPr="00435703">
        <w:rPr>
          <w:rFonts w:ascii="Palatino Linotype" w:eastAsia="Palatino Linotype" w:hAnsi="Palatino Linotype" w:cs="Palatino Linotype"/>
          <w:b/>
          <w:i/>
          <w:u w:val="single"/>
        </w:rPr>
        <w:t>sine qua non</w:t>
      </w:r>
      <w:r w:rsidRPr="00435703">
        <w:rPr>
          <w:rFonts w:ascii="Palatino Linotype" w:eastAsia="Palatino Linotype" w:hAnsi="Palatino Linotype" w:cs="Palatino Linotype"/>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60633AE4" w14:textId="77777777" w:rsidR="00CD42B4" w:rsidRPr="00435703" w:rsidRDefault="00CD42B4">
      <w:pPr>
        <w:spacing w:line="360" w:lineRule="auto"/>
        <w:jc w:val="both"/>
        <w:rPr>
          <w:rFonts w:ascii="Palatino Linotype" w:eastAsia="Palatino Linotype" w:hAnsi="Palatino Linotype" w:cs="Palatino Linotype"/>
        </w:rPr>
      </w:pPr>
    </w:p>
    <w:p w14:paraId="59D72ABF" w14:textId="77777777" w:rsidR="00CD42B4" w:rsidRPr="00435703" w:rsidRDefault="00F34A2D">
      <w:pPr>
        <w:spacing w:line="360" w:lineRule="auto"/>
        <w:jc w:val="both"/>
        <w:rPr>
          <w:rFonts w:ascii="Palatino Linotype" w:eastAsia="Palatino Linotype" w:hAnsi="Palatino Linotype" w:cs="Palatino Linotype"/>
          <w:sz w:val="22"/>
          <w:szCs w:val="22"/>
        </w:rPr>
      </w:pPr>
      <w:r w:rsidRPr="00435703">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2E8FCD23" w14:textId="77777777" w:rsidR="00CD42B4" w:rsidRPr="00435703" w:rsidRDefault="00CD42B4">
      <w:pPr>
        <w:tabs>
          <w:tab w:val="left" w:pos="851"/>
        </w:tabs>
        <w:ind w:left="851" w:right="901"/>
        <w:jc w:val="both"/>
        <w:rPr>
          <w:rFonts w:ascii="Palatino Linotype" w:eastAsia="Palatino Linotype" w:hAnsi="Palatino Linotype" w:cs="Palatino Linotype"/>
          <w:sz w:val="22"/>
          <w:szCs w:val="22"/>
        </w:rPr>
      </w:pPr>
    </w:p>
    <w:p w14:paraId="5DBD72D5"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lastRenderedPageBreak/>
        <w:t>Asimismo, se estima que el requisito relativo al nombre del</w:t>
      </w:r>
      <w:r w:rsidRPr="00435703">
        <w:rPr>
          <w:rFonts w:ascii="Palatino Linotype" w:eastAsia="Palatino Linotype" w:hAnsi="Palatino Linotype" w:cs="Palatino Linotype"/>
          <w:b/>
        </w:rPr>
        <w:t xml:space="preserve"> RECURRENTE</w:t>
      </w:r>
      <w:r w:rsidRPr="00435703">
        <w:rPr>
          <w:rFonts w:ascii="Palatino Linotype" w:eastAsia="Palatino Linotype" w:hAnsi="Palatino Linotype" w:cs="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435703">
        <w:rPr>
          <w:rFonts w:ascii="Palatino Linotype" w:eastAsia="Palatino Linotype" w:hAnsi="Palatino Linotype" w:cs="Palatino Linotype"/>
          <w:b/>
        </w:rPr>
        <w:t xml:space="preserve">EL RECURRENTE </w:t>
      </w:r>
      <w:r w:rsidRPr="00435703">
        <w:rPr>
          <w:rFonts w:ascii="Palatino Linotype" w:eastAsia="Palatino Linotype" w:hAnsi="Palatino Linotype" w:cs="Palatino Linotype"/>
        </w:rPr>
        <w:t xml:space="preserve"> es la misma persona que realizó la solicitud de acceso a la información pública que ahora se impugna.</w:t>
      </w:r>
    </w:p>
    <w:p w14:paraId="47EB3B48" w14:textId="77777777" w:rsidR="00CD42B4" w:rsidRPr="00435703" w:rsidRDefault="00CD42B4">
      <w:pPr>
        <w:tabs>
          <w:tab w:val="left" w:pos="851"/>
        </w:tabs>
        <w:ind w:left="851" w:right="901"/>
        <w:jc w:val="both"/>
        <w:rPr>
          <w:rFonts w:ascii="Palatino Linotype" w:eastAsia="Palatino Linotype" w:hAnsi="Palatino Linotype" w:cs="Palatino Linotype"/>
          <w:sz w:val="22"/>
          <w:szCs w:val="22"/>
        </w:rPr>
      </w:pPr>
    </w:p>
    <w:p w14:paraId="264E1432"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1C69903E" w14:textId="77777777" w:rsidR="00CD42B4" w:rsidRPr="00435703" w:rsidRDefault="00CD42B4">
      <w:pPr>
        <w:spacing w:line="360" w:lineRule="auto"/>
        <w:ind w:right="49"/>
        <w:jc w:val="both"/>
        <w:rPr>
          <w:rFonts w:ascii="Palatino Linotype" w:eastAsia="Palatino Linotype" w:hAnsi="Palatino Linotype" w:cs="Palatino Linotype"/>
          <w:b/>
        </w:rPr>
      </w:pPr>
    </w:p>
    <w:p w14:paraId="18CF5858" w14:textId="77777777" w:rsidR="00CD42B4" w:rsidRPr="00435703" w:rsidRDefault="00F34A2D">
      <w:pPr>
        <w:spacing w:line="360" w:lineRule="auto"/>
        <w:jc w:val="both"/>
        <w:rPr>
          <w:rFonts w:ascii="Palatino Linotype" w:eastAsia="Palatino Linotype" w:hAnsi="Palatino Linotype" w:cs="Palatino Linotype"/>
          <w:b/>
        </w:rPr>
      </w:pPr>
      <w:r w:rsidRPr="00435703">
        <w:rPr>
          <w:rFonts w:ascii="Palatino Linotype" w:eastAsia="Palatino Linotype" w:hAnsi="Palatino Linotype" w:cs="Palatino Linotype"/>
          <w:b/>
          <w:sz w:val="28"/>
          <w:szCs w:val="28"/>
        </w:rPr>
        <w:t>QUINTO</w:t>
      </w:r>
      <w:r w:rsidRPr="00435703">
        <w:rPr>
          <w:rFonts w:ascii="Palatino Linotype" w:eastAsia="Palatino Linotype" w:hAnsi="Palatino Linotype" w:cs="Palatino Linotype"/>
          <w:b/>
        </w:rPr>
        <w:t xml:space="preserve">. Estudio y resolución del asunto. </w:t>
      </w:r>
    </w:p>
    <w:p w14:paraId="657CD5D3" w14:textId="77777777" w:rsidR="00CD42B4" w:rsidRPr="00435703" w:rsidRDefault="00CD42B4">
      <w:pPr>
        <w:tabs>
          <w:tab w:val="left" w:pos="709"/>
        </w:tabs>
        <w:spacing w:line="360" w:lineRule="auto"/>
        <w:jc w:val="both"/>
        <w:rPr>
          <w:rFonts w:ascii="Palatino Linotype" w:eastAsia="Palatino Linotype" w:hAnsi="Palatino Linotype" w:cs="Palatino Linotype"/>
        </w:rPr>
      </w:pPr>
    </w:p>
    <w:p w14:paraId="0123DFCA" w14:textId="77777777" w:rsidR="00CD42B4" w:rsidRPr="00435703" w:rsidRDefault="00F34A2D">
      <w:pPr>
        <w:tabs>
          <w:tab w:val="left" w:pos="709"/>
        </w:tabs>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lastRenderedPageBreak/>
        <w:t xml:space="preserve">En primera instancia es preciso señalar que </w:t>
      </w:r>
      <w:r w:rsidRPr="00435703">
        <w:rPr>
          <w:rFonts w:ascii="Palatino Linotype" w:eastAsia="Palatino Linotype" w:hAnsi="Palatino Linotype" w:cs="Palatino Linotype"/>
          <w:b/>
        </w:rPr>
        <w:t>EL RECURRENTE</w:t>
      </w:r>
      <w:r w:rsidRPr="00435703">
        <w:rPr>
          <w:rFonts w:ascii="Palatino Linotype" w:eastAsia="Palatino Linotype" w:hAnsi="Palatino Linotype" w:cs="Palatino Linotype"/>
        </w:rPr>
        <w:t xml:space="preserve"> solicitó del </w:t>
      </w:r>
      <w:r w:rsidRPr="00435703">
        <w:rPr>
          <w:rFonts w:ascii="Palatino Linotype" w:eastAsia="Palatino Linotype" w:hAnsi="Palatino Linotype" w:cs="Palatino Linotype"/>
          <w:b/>
        </w:rPr>
        <w:t xml:space="preserve">SUJETO OBLIGADO </w:t>
      </w:r>
      <w:r w:rsidRPr="00435703">
        <w:rPr>
          <w:rFonts w:ascii="Palatino Linotype" w:eastAsia="Palatino Linotype" w:hAnsi="Palatino Linotype" w:cs="Palatino Linotype"/>
        </w:rPr>
        <w:t xml:space="preserve">lo siguiente: </w:t>
      </w:r>
    </w:p>
    <w:p w14:paraId="584CFD95" w14:textId="77777777" w:rsidR="00CD42B4" w:rsidRPr="00435703" w:rsidRDefault="00F34A2D">
      <w:pPr>
        <w:tabs>
          <w:tab w:val="left" w:pos="709"/>
        </w:tabs>
        <w:ind w:left="850" w:right="899"/>
        <w:jc w:val="both"/>
        <w:rPr>
          <w:rFonts w:ascii="Palatino Linotype" w:eastAsia="Palatino Linotype" w:hAnsi="Palatino Linotype" w:cs="Palatino Linotype"/>
          <w:i/>
          <w:sz w:val="32"/>
          <w:szCs w:val="32"/>
        </w:rPr>
      </w:pPr>
      <w:r w:rsidRPr="00435703">
        <w:rPr>
          <w:rFonts w:ascii="Palatino Linotype" w:eastAsia="Palatino Linotype" w:hAnsi="Palatino Linotype" w:cs="Palatino Linotype"/>
          <w:i/>
          <w:sz w:val="22"/>
          <w:szCs w:val="22"/>
        </w:rPr>
        <w:t xml:space="preserve">“Pido la información vigente a esta H. Institución: 1.- Número de patrullas con las que cuenta el Municipio para prestar el servicio de seguridad pública dentro del territorio municipal. 2.- Número de unidades vehiculares con las que cuenta el Municipio, para prestar el servicio de seguridad pública. Así mismo pidiendo se agregue descripción de </w:t>
      </w:r>
      <w:proofErr w:type="gramStart"/>
      <w:r w:rsidRPr="00435703">
        <w:rPr>
          <w:rFonts w:ascii="Palatino Linotype" w:eastAsia="Palatino Linotype" w:hAnsi="Palatino Linotype" w:cs="Palatino Linotype"/>
          <w:i/>
          <w:sz w:val="22"/>
          <w:szCs w:val="22"/>
        </w:rPr>
        <w:t>la unidades</w:t>
      </w:r>
      <w:proofErr w:type="gramEnd"/>
      <w:r w:rsidRPr="00435703">
        <w:rPr>
          <w:rFonts w:ascii="Palatino Linotype" w:eastAsia="Palatino Linotype" w:hAnsi="Palatino Linotype" w:cs="Palatino Linotype"/>
          <w:i/>
          <w:sz w:val="22"/>
          <w:szCs w:val="22"/>
        </w:rPr>
        <w:t xml:space="preserve"> como es: marca, modelo, año del vehículo y su equipamiento. 3.- Con cuantas unidades vehiculares cuenta el Municipio de Cuautitlán Izcalli asignadas al área de Transito señalando marca, modelo, equipamiento y año de los vehículos. 4.- Con cuantos Oficiales en servicio cuenta el Municipio para servir a la comunidad brindando el servicio de seguridad pública. 5.- Con cuantos Oficiales en servicio cuenta el Municipio para servir a la comunidad brindando el servicio de transito vial 6.- Cuantos oficiales de Seguridad Pública y </w:t>
      </w:r>
      <w:proofErr w:type="spellStart"/>
      <w:r w:rsidRPr="00435703">
        <w:rPr>
          <w:rFonts w:ascii="Palatino Linotype" w:eastAsia="Palatino Linotype" w:hAnsi="Palatino Linotype" w:cs="Palatino Linotype"/>
          <w:i/>
          <w:sz w:val="22"/>
          <w:szCs w:val="22"/>
        </w:rPr>
        <w:t>Transito</w:t>
      </w:r>
      <w:proofErr w:type="spellEnd"/>
      <w:r w:rsidRPr="00435703">
        <w:rPr>
          <w:rFonts w:ascii="Palatino Linotype" w:eastAsia="Palatino Linotype" w:hAnsi="Palatino Linotype" w:cs="Palatino Linotype"/>
          <w:i/>
          <w:sz w:val="22"/>
          <w:szCs w:val="22"/>
        </w:rPr>
        <w:t xml:space="preserve"> fueron contratados en la actual administración. 7.- Cuantos Oficiales facultativos hay en la Comisaria de Seguridad Pública y </w:t>
      </w:r>
      <w:proofErr w:type="spellStart"/>
      <w:r w:rsidRPr="00435703">
        <w:rPr>
          <w:rFonts w:ascii="Palatino Linotype" w:eastAsia="Palatino Linotype" w:hAnsi="Palatino Linotype" w:cs="Palatino Linotype"/>
          <w:i/>
          <w:sz w:val="22"/>
          <w:szCs w:val="22"/>
        </w:rPr>
        <w:t>Transito</w:t>
      </w:r>
      <w:proofErr w:type="spellEnd"/>
      <w:r w:rsidRPr="00435703">
        <w:rPr>
          <w:rFonts w:ascii="Palatino Linotype" w:eastAsia="Palatino Linotype" w:hAnsi="Palatino Linotype" w:cs="Palatino Linotype"/>
          <w:i/>
          <w:sz w:val="22"/>
          <w:szCs w:val="22"/>
        </w:rPr>
        <w:t xml:space="preserve"> dividido en seguridad pública y </w:t>
      </w:r>
      <w:proofErr w:type="spellStart"/>
      <w:r w:rsidRPr="00435703">
        <w:rPr>
          <w:rFonts w:ascii="Palatino Linotype" w:eastAsia="Palatino Linotype" w:hAnsi="Palatino Linotype" w:cs="Palatino Linotype"/>
          <w:i/>
          <w:sz w:val="22"/>
          <w:szCs w:val="22"/>
        </w:rPr>
        <w:t>transito</w:t>
      </w:r>
      <w:proofErr w:type="spellEnd"/>
      <w:r w:rsidRPr="00435703">
        <w:rPr>
          <w:rFonts w:ascii="Palatino Linotype" w:eastAsia="Palatino Linotype" w:hAnsi="Palatino Linotype" w:cs="Palatino Linotype"/>
          <w:i/>
          <w:sz w:val="22"/>
          <w:szCs w:val="22"/>
        </w:rPr>
        <w:t xml:space="preserve"> señalando fecha o fechas de ingreso. </w:t>
      </w:r>
      <w:proofErr w:type="gramStart"/>
      <w:r w:rsidRPr="00435703">
        <w:rPr>
          <w:rFonts w:ascii="Palatino Linotype" w:eastAsia="Palatino Linotype" w:hAnsi="Palatino Linotype" w:cs="Palatino Linotype"/>
          <w:i/>
          <w:sz w:val="22"/>
          <w:szCs w:val="22"/>
        </w:rPr>
        <w:t>8.Existe</w:t>
      </w:r>
      <w:proofErr w:type="gramEnd"/>
      <w:r w:rsidRPr="00435703">
        <w:rPr>
          <w:rFonts w:ascii="Palatino Linotype" w:eastAsia="Palatino Linotype" w:hAnsi="Palatino Linotype" w:cs="Palatino Linotype"/>
          <w:i/>
          <w:sz w:val="22"/>
          <w:szCs w:val="22"/>
        </w:rPr>
        <w:t xml:space="preserve"> alguna oficina en el municipio de la policía cibernética. 9 cuantas personas laboran las oficialías.9 cuantos policías no se encuentran en ejercicio de sus funciones por ser </w:t>
      </w:r>
      <w:proofErr w:type="spellStart"/>
      <w:r w:rsidRPr="00435703">
        <w:rPr>
          <w:rFonts w:ascii="Palatino Linotype" w:eastAsia="Palatino Linotype" w:hAnsi="Palatino Linotype" w:cs="Palatino Linotype"/>
          <w:i/>
          <w:sz w:val="22"/>
          <w:szCs w:val="22"/>
        </w:rPr>
        <w:t>sanncionados</w:t>
      </w:r>
      <w:proofErr w:type="spellEnd"/>
      <w:r w:rsidRPr="00435703">
        <w:rPr>
          <w:rFonts w:ascii="Palatino Linotype" w:eastAsia="Palatino Linotype" w:hAnsi="Palatino Linotype" w:cs="Palatino Linotype"/>
          <w:i/>
          <w:sz w:val="22"/>
          <w:szCs w:val="22"/>
        </w:rPr>
        <w:t xml:space="preserve">. 10, quien preside la comisión de seguridad pública, me proporcionen las actas de dicha comisión.10. </w:t>
      </w:r>
      <w:proofErr w:type="gramStart"/>
      <w:r w:rsidRPr="00435703">
        <w:rPr>
          <w:rFonts w:ascii="Palatino Linotype" w:eastAsia="Palatino Linotype" w:hAnsi="Palatino Linotype" w:cs="Palatino Linotype"/>
          <w:i/>
          <w:sz w:val="22"/>
          <w:szCs w:val="22"/>
        </w:rPr>
        <w:t>solicito</w:t>
      </w:r>
      <w:proofErr w:type="gramEnd"/>
      <w:r w:rsidRPr="00435703">
        <w:rPr>
          <w:rFonts w:ascii="Palatino Linotype" w:eastAsia="Palatino Linotype" w:hAnsi="Palatino Linotype" w:cs="Palatino Linotype"/>
          <w:i/>
          <w:sz w:val="22"/>
          <w:szCs w:val="22"/>
        </w:rPr>
        <w:t xml:space="preserve"> el nombre de policías sancionados por faltas graves. Cuantos grupos delictivos existen en el municpio.11. </w:t>
      </w:r>
      <w:proofErr w:type="gramStart"/>
      <w:r w:rsidRPr="00435703">
        <w:rPr>
          <w:rFonts w:ascii="Palatino Linotype" w:eastAsia="Palatino Linotype" w:hAnsi="Palatino Linotype" w:cs="Palatino Linotype"/>
          <w:i/>
          <w:sz w:val="22"/>
          <w:szCs w:val="22"/>
        </w:rPr>
        <w:t>como</w:t>
      </w:r>
      <w:proofErr w:type="gramEnd"/>
      <w:r w:rsidRPr="00435703">
        <w:rPr>
          <w:rFonts w:ascii="Palatino Linotype" w:eastAsia="Palatino Linotype" w:hAnsi="Palatino Linotype" w:cs="Palatino Linotype"/>
          <w:i/>
          <w:sz w:val="22"/>
          <w:szCs w:val="22"/>
        </w:rPr>
        <w:t xml:space="preserve"> interviene la </w:t>
      </w:r>
      <w:proofErr w:type="spellStart"/>
      <w:r w:rsidRPr="00435703">
        <w:rPr>
          <w:rFonts w:ascii="Palatino Linotype" w:eastAsia="Palatino Linotype" w:hAnsi="Palatino Linotype" w:cs="Palatino Linotype"/>
          <w:i/>
          <w:sz w:val="22"/>
          <w:szCs w:val="22"/>
        </w:rPr>
        <w:t>guaredia</w:t>
      </w:r>
      <w:proofErr w:type="spellEnd"/>
      <w:r w:rsidRPr="00435703">
        <w:rPr>
          <w:rFonts w:ascii="Palatino Linotype" w:eastAsia="Palatino Linotype" w:hAnsi="Palatino Linotype" w:cs="Palatino Linotype"/>
          <w:i/>
          <w:sz w:val="22"/>
          <w:szCs w:val="22"/>
        </w:rPr>
        <w:t xml:space="preserve"> nacional solicito evidencias..” (Sic)</w:t>
      </w:r>
    </w:p>
    <w:p w14:paraId="1CA9159F" w14:textId="77777777" w:rsidR="00CD42B4" w:rsidRPr="00435703" w:rsidRDefault="00CD42B4">
      <w:pPr>
        <w:tabs>
          <w:tab w:val="left" w:pos="709"/>
        </w:tabs>
        <w:spacing w:line="360" w:lineRule="auto"/>
        <w:jc w:val="both"/>
        <w:rPr>
          <w:rFonts w:ascii="Palatino Linotype" w:eastAsia="Palatino Linotype" w:hAnsi="Palatino Linotype" w:cs="Palatino Linotype"/>
        </w:rPr>
      </w:pPr>
    </w:p>
    <w:p w14:paraId="1DAF478F" w14:textId="77777777" w:rsidR="00CD42B4" w:rsidRPr="00435703" w:rsidRDefault="00F34A2D">
      <w:pPr>
        <w:tabs>
          <w:tab w:val="left" w:pos="709"/>
        </w:tabs>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En atención a lo anterior, </w:t>
      </w:r>
      <w:r w:rsidRPr="00435703">
        <w:rPr>
          <w:rFonts w:ascii="Palatino Linotype" w:eastAsia="Palatino Linotype" w:hAnsi="Palatino Linotype" w:cs="Palatino Linotype"/>
          <w:b/>
        </w:rPr>
        <w:t>EL SUJETO OBLIGADO</w:t>
      </w:r>
      <w:r w:rsidRPr="00435703">
        <w:rPr>
          <w:rFonts w:ascii="Palatino Linotype" w:eastAsia="Palatino Linotype" w:hAnsi="Palatino Linotype" w:cs="Palatino Linotype"/>
        </w:rPr>
        <w:t xml:space="preserve"> en su respuesta se declaró incompetente de forma total mediante acuerdo firmado por la Titular de la Unidad de Transparencia del ente recurrido</w:t>
      </w:r>
      <w:r w:rsidRPr="00435703">
        <w:rPr>
          <w:rFonts w:ascii="Palatino Linotype" w:eastAsia="Palatino Linotype" w:hAnsi="Palatino Linotype" w:cs="Palatino Linotype"/>
          <w:b/>
        </w:rPr>
        <w:t xml:space="preserve">, </w:t>
      </w:r>
      <w:r w:rsidRPr="00435703">
        <w:rPr>
          <w:rFonts w:ascii="Palatino Linotype" w:eastAsia="Palatino Linotype" w:hAnsi="Palatino Linotype" w:cs="Palatino Linotype"/>
        </w:rPr>
        <w:t xml:space="preserve">de fecha veintiséis de enero de dos mil veintidós en  donde señala que según las atribuciones que tiene conferidas el Ayuntamiento de Toluca, este no cuenta con facultades para pronunciarse sobre la solicitud del particular, indicando que la autoridad que pudiera conocer de dicha información es el Ayuntamiento de Cuautitlán Izcalli. </w:t>
      </w:r>
    </w:p>
    <w:p w14:paraId="685907C6" w14:textId="77777777" w:rsidR="00CD42B4" w:rsidRPr="00435703" w:rsidRDefault="00CD42B4">
      <w:pPr>
        <w:tabs>
          <w:tab w:val="left" w:pos="709"/>
        </w:tabs>
        <w:spacing w:line="360" w:lineRule="auto"/>
        <w:jc w:val="both"/>
        <w:rPr>
          <w:rFonts w:ascii="Palatino Linotype" w:eastAsia="Palatino Linotype" w:hAnsi="Palatino Linotype" w:cs="Palatino Linotype"/>
        </w:rPr>
      </w:pPr>
    </w:p>
    <w:p w14:paraId="3A8C1411" w14:textId="77777777" w:rsidR="00CD42B4" w:rsidRPr="00435703" w:rsidRDefault="00CD42B4">
      <w:pPr>
        <w:tabs>
          <w:tab w:val="left" w:pos="709"/>
        </w:tabs>
        <w:spacing w:line="360" w:lineRule="auto"/>
        <w:jc w:val="both"/>
        <w:rPr>
          <w:rFonts w:ascii="Palatino Linotype" w:eastAsia="Palatino Linotype" w:hAnsi="Palatino Linotype" w:cs="Palatino Linotype"/>
        </w:rPr>
      </w:pPr>
    </w:p>
    <w:p w14:paraId="2AEAA18D" w14:textId="77777777" w:rsidR="00CD42B4" w:rsidRPr="00435703" w:rsidRDefault="00F34A2D">
      <w:pPr>
        <w:tabs>
          <w:tab w:val="left" w:pos="709"/>
        </w:tabs>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lastRenderedPageBreak/>
        <w:t xml:space="preserve">Posteriormente, </w:t>
      </w:r>
      <w:r w:rsidRPr="00435703">
        <w:rPr>
          <w:rFonts w:ascii="Palatino Linotype" w:eastAsia="Palatino Linotype" w:hAnsi="Palatino Linotype" w:cs="Palatino Linotype"/>
          <w:b/>
        </w:rPr>
        <w:t>EL RECURRENTE</w:t>
      </w:r>
      <w:r w:rsidRPr="00435703">
        <w:rPr>
          <w:rFonts w:ascii="Palatino Linotype" w:eastAsia="Palatino Linotype" w:hAnsi="Palatino Linotype" w:cs="Palatino Linotype"/>
        </w:rPr>
        <w:t xml:space="preserve"> interpuso el presente recurso de revisión, impugnando la respuesta del </w:t>
      </w:r>
      <w:r w:rsidRPr="00435703">
        <w:rPr>
          <w:rFonts w:ascii="Palatino Linotype" w:eastAsia="Palatino Linotype" w:hAnsi="Palatino Linotype" w:cs="Palatino Linotype"/>
          <w:b/>
        </w:rPr>
        <w:t xml:space="preserve">SUJETO OBLIGADO </w:t>
      </w:r>
      <w:r w:rsidRPr="00435703">
        <w:rPr>
          <w:rFonts w:ascii="Palatino Linotype" w:eastAsia="Palatino Linotype" w:hAnsi="Palatino Linotype" w:cs="Palatino Linotype"/>
        </w:rPr>
        <w:t xml:space="preserve">señalando que le fue negada la información solicitada. </w:t>
      </w:r>
    </w:p>
    <w:p w14:paraId="06445BBE" w14:textId="77777777" w:rsidR="00CD42B4" w:rsidRPr="00435703" w:rsidRDefault="00CD42B4">
      <w:pPr>
        <w:widowControl w:val="0"/>
        <w:spacing w:line="360" w:lineRule="auto"/>
        <w:jc w:val="both"/>
        <w:rPr>
          <w:rFonts w:ascii="Palatino Linotype" w:eastAsia="Palatino Linotype" w:hAnsi="Palatino Linotype" w:cs="Palatino Linotype"/>
        </w:rPr>
      </w:pPr>
    </w:p>
    <w:p w14:paraId="07804060" w14:textId="77777777" w:rsidR="00CD42B4" w:rsidRPr="00435703" w:rsidRDefault="00F34A2D">
      <w:pPr>
        <w:widowControl w:val="0"/>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Así bien una vez abierta la etapa de manifestaciones, </w:t>
      </w:r>
      <w:r w:rsidRPr="00435703">
        <w:rPr>
          <w:rFonts w:ascii="Palatino Linotype" w:eastAsia="Palatino Linotype" w:hAnsi="Palatino Linotype" w:cs="Palatino Linotype"/>
          <w:b/>
        </w:rPr>
        <w:t xml:space="preserve">EL SUJETO OBLIGADO </w:t>
      </w:r>
      <w:r w:rsidRPr="00435703">
        <w:rPr>
          <w:rFonts w:ascii="Palatino Linotype" w:eastAsia="Palatino Linotype" w:hAnsi="Palatino Linotype" w:cs="Palatino Linotype"/>
        </w:rPr>
        <w:t xml:space="preserve">ratificó su incompetencia sobre la totalidad de la solicitud de información del particular. </w:t>
      </w:r>
    </w:p>
    <w:p w14:paraId="5E3246C4" w14:textId="77777777" w:rsidR="00CD42B4" w:rsidRPr="00435703" w:rsidRDefault="00CD42B4">
      <w:pPr>
        <w:tabs>
          <w:tab w:val="left" w:pos="709"/>
        </w:tabs>
        <w:spacing w:line="360" w:lineRule="auto"/>
        <w:ind w:right="49"/>
        <w:jc w:val="both"/>
        <w:rPr>
          <w:rFonts w:ascii="Palatino Linotype" w:eastAsia="Palatino Linotype" w:hAnsi="Palatino Linotype" w:cs="Palatino Linotype"/>
        </w:rPr>
      </w:pPr>
    </w:p>
    <w:p w14:paraId="49D1A744" w14:textId="77777777" w:rsidR="00CD42B4" w:rsidRPr="00435703" w:rsidRDefault="00F34A2D">
      <w:pPr>
        <w:tabs>
          <w:tab w:val="left" w:pos="709"/>
        </w:tabs>
        <w:spacing w:line="360" w:lineRule="auto"/>
        <w:ind w:right="49"/>
        <w:jc w:val="both"/>
        <w:rPr>
          <w:rFonts w:ascii="Palatino Linotype" w:eastAsia="Palatino Linotype" w:hAnsi="Palatino Linotype" w:cs="Palatino Linotype"/>
        </w:rPr>
      </w:pPr>
      <w:r w:rsidRPr="00435703">
        <w:rPr>
          <w:rFonts w:ascii="Palatino Linotype" w:eastAsia="Palatino Linotype" w:hAnsi="Palatino Linotype" w:cs="Palatino Linotype"/>
        </w:rPr>
        <w:t>De lo anteriormente expuesto se puede apreciar que se actualiza las hipótesis de procedibilidad prevista en la fracción IV, del artículo 179 de la Ley de la materia, la cual a la letra dice:</w:t>
      </w:r>
    </w:p>
    <w:p w14:paraId="0B0AC249" w14:textId="77777777" w:rsidR="00CD42B4" w:rsidRPr="00435703" w:rsidRDefault="00CD42B4">
      <w:pPr>
        <w:tabs>
          <w:tab w:val="left" w:pos="709"/>
        </w:tabs>
        <w:spacing w:line="360" w:lineRule="auto"/>
        <w:ind w:right="49"/>
        <w:jc w:val="both"/>
        <w:rPr>
          <w:rFonts w:ascii="Palatino Linotype" w:eastAsia="Palatino Linotype" w:hAnsi="Palatino Linotype" w:cs="Palatino Linotype"/>
        </w:rPr>
      </w:pPr>
    </w:p>
    <w:p w14:paraId="36CC112F" w14:textId="77777777" w:rsidR="00CD42B4" w:rsidRPr="00435703" w:rsidRDefault="00F34A2D">
      <w:pPr>
        <w:ind w:left="851" w:right="901"/>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w:t>
      </w:r>
      <w:r w:rsidRPr="00435703">
        <w:rPr>
          <w:rFonts w:ascii="Palatino Linotype" w:eastAsia="Palatino Linotype" w:hAnsi="Palatino Linotype" w:cs="Palatino Linotype"/>
          <w:b/>
          <w:i/>
          <w:sz w:val="22"/>
          <w:szCs w:val="22"/>
        </w:rPr>
        <w:t>Artículo 179.</w:t>
      </w:r>
      <w:r w:rsidRPr="00435703">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4DBC076C" w14:textId="77777777" w:rsidR="00CD42B4" w:rsidRPr="00435703" w:rsidRDefault="00F34A2D">
      <w:pPr>
        <w:ind w:left="851" w:right="901"/>
        <w:jc w:val="both"/>
        <w:rPr>
          <w:rFonts w:ascii="Palatino Linotype" w:eastAsia="Palatino Linotype" w:hAnsi="Palatino Linotype" w:cs="Palatino Linotype"/>
          <w:b/>
          <w:i/>
          <w:sz w:val="22"/>
          <w:szCs w:val="22"/>
        </w:rPr>
      </w:pPr>
      <w:r w:rsidRPr="00435703">
        <w:rPr>
          <w:rFonts w:ascii="Palatino Linotype" w:eastAsia="Palatino Linotype" w:hAnsi="Palatino Linotype" w:cs="Palatino Linotype"/>
          <w:b/>
          <w:i/>
          <w:sz w:val="22"/>
          <w:szCs w:val="22"/>
        </w:rPr>
        <w:t>(…)</w:t>
      </w:r>
    </w:p>
    <w:p w14:paraId="4175A1C9" w14:textId="77777777" w:rsidR="00CD42B4" w:rsidRPr="00435703" w:rsidRDefault="00F34A2D">
      <w:pPr>
        <w:ind w:left="851" w:right="901"/>
        <w:jc w:val="both"/>
        <w:rPr>
          <w:rFonts w:ascii="Palatino Linotype" w:eastAsia="Palatino Linotype" w:hAnsi="Palatino Linotype" w:cs="Palatino Linotype"/>
          <w:b/>
          <w:i/>
          <w:sz w:val="22"/>
          <w:szCs w:val="22"/>
        </w:rPr>
      </w:pPr>
      <w:r w:rsidRPr="00435703">
        <w:rPr>
          <w:rFonts w:ascii="Palatino Linotype" w:eastAsia="Palatino Linotype" w:hAnsi="Palatino Linotype" w:cs="Palatino Linotype"/>
          <w:b/>
          <w:i/>
          <w:sz w:val="22"/>
          <w:szCs w:val="22"/>
        </w:rPr>
        <w:t>IV. La declaración de incompetencia por el sujeto obligado;</w:t>
      </w:r>
    </w:p>
    <w:p w14:paraId="58CC76E8" w14:textId="77777777" w:rsidR="00CD42B4" w:rsidRPr="00435703" w:rsidRDefault="00F34A2D">
      <w:pPr>
        <w:ind w:left="851" w:right="901"/>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b/>
          <w:i/>
          <w:sz w:val="22"/>
          <w:szCs w:val="22"/>
        </w:rPr>
        <w:t>(…)</w:t>
      </w:r>
      <w:r w:rsidRPr="00435703">
        <w:rPr>
          <w:rFonts w:ascii="Palatino Linotype" w:eastAsia="Palatino Linotype" w:hAnsi="Palatino Linotype" w:cs="Palatino Linotype"/>
          <w:i/>
          <w:sz w:val="22"/>
          <w:szCs w:val="22"/>
        </w:rPr>
        <w:t>”</w:t>
      </w:r>
    </w:p>
    <w:p w14:paraId="36FA88C9" w14:textId="77777777" w:rsidR="00CD42B4" w:rsidRPr="00435703" w:rsidRDefault="00F34A2D">
      <w:pPr>
        <w:ind w:left="851" w:right="901"/>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(Énfasis añadido)</w:t>
      </w:r>
    </w:p>
    <w:p w14:paraId="445E4D14" w14:textId="77777777" w:rsidR="00CD42B4" w:rsidRPr="00435703" w:rsidRDefault="00CD42B4">
      <w:pPr>
        <w:ind w:left="851" w:right="901"/>
        <w:jc w:val="both"/>
        <w:rPr>
          <w:rFonts w:ascii="Palatino Linotype" w:eastAsia="Palatino Linotype" w:hAnsi="Palatino Linotype" w:cs="Palatino Linotype"/>
          <w:i/>
          <w:sz w:val="22"/>
          <w:szCs w:val="22"/>
        </w:rPr>
      </w:pPr>
    </w:p>
    <w:p w14:paraId="70BFCBBC" w14:textId="77777777" w:rsidR="00CD42B4" w:rsidRPr="00435703" w:rsidRDefault="00F34A2D">
      <w:pPr>
        <w:widowControl w:val="0"/>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El precepto legal antes citado, establece como supuesto de procedencia que el ente público al cual se le haya solicitado la información se declare incompetente de la misma ya sea de forma parcial o total  como ocurrió en el caso que nos ocupa. </w:t>
      </w:r>
    </w:p>
    <w:p w14:paraId="08F7D27A" w14:textId="77777777" w:rsidR="00CD42B4" w:rsidRPr="00435703" w:rsidRDefault="00CD42B4">
      <w:pPr>
        <w:widowControl w:val="0"/>
        <w:spacing w:line="360" w:lineRule="auto"/>
        <w:jc w:val="both"/>
        <w:rPr>
          <w:rFonts w:ascii="Palatino Linotype" w:eastAsia="Palatino Linotype" w:hAnsi="Palatino Linotype" w:cs="Palatino Linotype"/>
        </w:rPr>
      </w:pPr>
    </w:p>
    <w:p w14:paraId="26524A72" w14:textId="77777777" w:rsidR="00CD42B4" w:rsidRPr="00435703" w:rsidRDefault="00F34A2D">
      <w:pPr>
        <w:widowControl w:val="0"/>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En esa tesitura, se advierte que en su solicitud de información el particular hizo diversos requerimientos  de entre los cuales se encuentra el siguiente: </w:t>
      </w:r>
    </w:p>
    <w:p w14:paraId="3DFEACC3" w14:textId="77777777" w:rsidR="00CD42B4" w:rsidRPr="00435703" w:rsidRDefault="00F34A2D">
      <w:pPr>
        <w:tabs>
          <w:tab w:val="left" w:pos="709"/>
        </w:tabs>
        <w:ind w:left="850" w:right="899"/>
        <w:jc w:val="both"/>
        <w:rPr>
          <w:rFonts w:ascii="Palatino Linotype" w:eastAsia="Palatino Linotype" w:hAnsi="Palatino Linotype" w:cs="Palatino Linotype"/>
        </w:rPr>
      </w:pPr>
      <w:r w:rsidRPr="00435703">
        <w:rPr>
          <w:rFonts w:ascii="Palatino Linotype" w:eastAsia="Palatino Linotype" w:hAnsi="Palatino Linotype" w:cs="Palatino Linotype"/>
          <w:i/>
          <w:sz w:val="22"/>
          <w:szCs w:val="22"/>
        </w:rPr>
        <w:t>3.- Con cuantas unidades vehiculares cuenta el Municipio de Cuautitlán Izcalli asignadas al área de Transito señalando marca, modelo, equipamiento y año de los vehículos.</w:t>
      </w:r>
    </w:p>
    <w:p w14:paraId="6E369B44" w14:textId="77777777" w:rsidR="00CD42B4" w:rsidRPr="00435703" w:rsidRDefault="00CD42B4">
      <w:pPr>
        <w:widowControl w:val="0"/>
        <w:spacing w:line="360" w:lineRule="auto"/>
        <w:jc w:val="both"/>
        <w:rPr>
          <w:rFonts w:ascii="Palatino Linotype" w:eastAsia="Palatino Linotype" w:hAnsi="Palatino Linotype" w:cs="Palatino Linotype"/>
        </w:rPr>
      </w:pPr>
    </w:p>
    <w:p w14:paraId="3FEF6528" w14:textId="77777777" w:rsidR="00CD42B4" w:rsidRPr="00435703" w:rsidRDefault="00F34A2D">
      <w:pPr>
        <w:widowControl w:val="0"/>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lastRenderedPageBreak/>
        <w:t xml:space="preserve">De la redacción de dicha parte de la solicitud se puede observar que el ahora </w:t>
      </w:r>
      <w:r w:rsidRPr="00435703">
        <w:rPr>
          <w:rFonts w:ascii="Palatino Linotype" w:eastAsia="Palatino Linotype" w:hAnsi="Palatino Linotype" w:cs="Palatino Linotype"/>
          <w:b/>
        </w:rPr>
        <w:t xml:space="preserve">RECURRENTE </w:t>
      </w:r>
      <w:r w:rsidRPr="00435703">
        <w:rPr>
          <w:rFonts w:ascii="Palatino Linotype" w:eastAsia="Palatino Linotype" w:hAnsi="Palatino Linotype" w:cs="Palatino Linotype"/>
        </w:rPr>
        <w:t>solicita conocer de forma expresa la cantidad de patrullas asignadas al área de Tránsito del Municipio de Cuautitlán Izcalli.</w:t>
      </w:r>
    </w:p>
    <w:p w14:paraId="5E088745" w14:textId="77777777" w:rsidR="00CD42B4" w:rsidRPr="00435703" w:rsidRDefault="00CD42B4">
      <w:pPr>
        <w:widowControl w:val="0"/>
        <w:spacing w:line="360" w:lineRule="auto"/>
        <w:jc w:val="both"/>
        <w:rPr>
          <w:rFonts w:ascii="Palatino Linotype" w:eastAsia="Palatino Linotype" w:hAnsi="Palatino Linotype" w:cs="Palatino Linotype"/>
        </w:rPr>
      </w:pPr>
    </w:p>
    <w:p w14:paraId="083A56CF" w14:textId="77777777" w:rsidR="00CD42B4" w:rsidRPr="00435703" w:rsidRDefault="00F34A2D">
      <w:pPr>
        <w:widowControl w:val="0"/>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En ese sentido como </w:t>
      </w:r>
      <w:r w:rsidRPr="00435703">
        <w:rPr>
          <w:rFonts w:ascii="Palatino Linotype" w:eastAsia="Palatino Linotype" w:hAnsi="Palatino Linotype" w:cs="Palatino Linotype"/>
          <w:b/>
        </w:rPr>
        <w:t xml:space="preserve">EL SUJETO OBLIGADO </w:t>
      </w:r>
      <w:r w:rsidRPr="00435703">
        <w:rPr>
          <w:rFonts w:ascii="Palatino Linotype" w:eastAsia="Palatino Linotype" w:hAnsi="Palatino Linotype" w:cs="Palatino Linotype"/>
        </w:rPr>
        <w:t xml:space="preserve">lo refiere en el Acuerdo de Incompetencia remitido en respuesta. El Municipio de Cuautitlán Izcalli es una autoridad diversa con personalidad jurídica y patrimonio propio, el cual además es un Sujeto Obligado distinto en materia de transparencia como su puede apreciar a continuación: </w:t>
      </w:r>
    </w:p>
    <w:p w14:paraId="4120F686" w14:textId="77777777" w:rsidR="00CD42B4" w:rsidRPr="00435703" w:rsidRDefault="00F34A2D">
      <w:pPr>
        <w:widowControl w:val="0"/>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noProof/>
        </w:rPr>
        <w:drawing>
          <wp:inline distT="114300" distB="114300" distL="114300" distR="114300" wp14:anchorId="2C8001A7" wp14:editId="45CC3AA9">
            <wp:extent cx="5868353" cy="685285"/>
            <wp:effectExtent l="0" t="0" r="0" b="0"/>
            <wp:docPr id="1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868353" cy="685285"/>
                    </a:xfrm>
                    <a:prstGeom prst="rect">
                      <a:avLst/>
                    </a:prstGeom>
                    <a:ln/>
                  </pic:spPr>
                </pic:pic>
              </a:graphicData>
            </a:graphic>
          </wp:inline>
        </w:drawing>
      </w:r>
    </w:p>
    <w:p w14:paraId="289E5CC8"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noProof/>
        </w:rPr>
        <w:drawing>
          <wp:inline distT="114300" distB="114300" distL="114300" distR="114300" wp14:anchorId="46F33AD0" wp14:editId="7C241A18">
            <wp:extent cx="6023610" cy="523875"/>
            <wp:effectExtent l="0" t="0" r="0" b="0"/>
            <wp:docPr id="10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l="3597"/>
                    <a:stretch>
                      <a:fillRect/>
                    </a:stretch>
                  </pic:blipFill>
                  <pic:spPr>
                    <a:xfrm>
                      <a:off x="0" y="0"/>
                      <a:ext cx="6023610" cy="523875"/>
                    </a:xfrm>
                    <a:prstGeom prst="rect">
                      <a:avLst/>
                    </a:prstGeom>
                    <a:ln/>
                  </pic:spPr>
                </pic:pic>
              </a:graphicData>
            </a:graphic>
          </wp:inline>
        </w:drawing>
      </w:r>
    </w:p>
    <w:p w14:paraId="5E5A1FEC" w14:textId="77777777" w:rsidR="00CD42B4" w:rsidRPr="00435703" w:rsidRDefault="00CD42B4">
      <w:pPr>
        <w:spacing w:line="360" w:lineRule="auto"/>
        <w:jc w:val="both"/>
        <w:rPr>
          <w:rFonts w:ascii="Palatino Linotype" w:eastAsia="Palatino Linotype" w:hAnsi="Palatino Linotype" w:cs="Palatino Linotype"/>
        </w:rPr>
      </w:pPr>
    </w:p>
    <w:p w14:paraId="42879493"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Así bien, se advierte que la Administración Pública Municipal de Cuautitlán Izcalli para el ejercicio de sus facultades, estará conformada por diversas dependencias de entre las cuales se observa la Comisaría General de Seguridad Pública como lo dispone su Bando Municipal en los artículos 23  y 24 mismos que se citan a continuación: </w:t>
      </w:r>
    </w:p>
    <w:p w14:paraId="665B9E32"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w:t>
      </w:r>
      <w:r w:rsidRPr="00435703">
        <w:rPr>
          <w:rFonts w:ascii="Palatino Linotype" w:eastAsia="Palatino Linotype" w:hAnsi="Palatino Linotype" w:cs="Palatino Linotype"/>
          <w:b/>
          <w:i/>
          <w:sz w:val="22"/>
          <w:szCs w:val="22"/>
        </w:rPr>
        <w:t>Artículo 23.</w:t>
      </w:r>
      <w:r w:rsidRPr="00435703">
        <w:rPr>
          <w:rFonts w:ascii="Palatino Linotype" w:eastAsia="Palatino Linotype" w:hAnsi="Palatino Linotype" w:cs="Palatino Linotype"/>
          <w:i/>
          <w:sz w:val="22"/>
          <w:szCs w:val="22"/>
        </w:rPr>
        <w:t xml:space="preserve"> La administración pública municipal estará conformada por dependencias, órganos desconcentrados y organismos descentralizados, las cuales contarán con las unidades administrativas subalternas necesarias para el cumplimiento de sus atribuciones, de acuerdo con la estructura orgánica, presupuesto autorizado y según se determine en las disposiciones legales y reglamentarias aplicables. La administración pública realizará un proceso de planeación estratégica, mediante el cual se acuerde en el marco de una democracia participativa, el proyecto de gobierno establecido en el Plan de Desarrollo Municipal 2019-2021, bajo los términos y condiciones establecidos por la Ley de Planeación del Estado de México y Municipios, su Reglamento y demás ordenamientos jurídicos aplicables. </w:t>
      </w:r>
    </w:p>
    <w:p w14:paraId="63D0D95A" w14:textId="77777777" w:rsidR="00CD42B4" w:rsidRPr="00435703" w:rsidRDefault="00CD42B4">
      <w:pPr>
        <w:ind w:left="850" w:right="899"/>
        <w:jc w:val="both"/>
        <w:rPr>
          <w:rFonts w:ascii="Palatino Linotype" w:eastAsia="Palatino Linotype" w:hAnsi="Palatino Linotype" w:cs="Palatino Linotype"/>
          <w:i/>
          <w:sz w:val="22"/>
          <w:szCs w:val="22"/>
        </w:rPr>
      </w:pPr>
    </w:p>
    <w:p w14:paraId="5E2F2ED4"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b/>
          <w:i/>
          <w:sz w:val="22"/>
          <w:szCs w:val="22"/>
        </w:rPr>
        <w:t xml:space="preserve">Artículo 24. </w:t>
      </w:r>
      <w:r w:rsidRPr="00435703">
        <w:rPr>
          <w:rFonts w:ascii="Palatino Linotype" w:eastAsia="Palatino Linotype" w:hAnsi="Palatino Linotype" w:cs="Palatino Linotype"/>
          <w:i/>
          <w:sz w:val="22"/>
          <w:szCs w:val="22"/>
        </w:rPr>
        <w:t xml:space="preserve">Para el despacho, estudio y planeación de los diversos asuntos de la administración pública municipal, el Ayuntamiento contará con las siguientes dependencias: </w:t>
      </w:r>
    </w:p>
    <w:p w14:paraId="532472C0"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 xml:space="preserve">I. Presidencia; </w:t>
      </w:r>
    </w:p>
    <w:p w14:paraId="385313A1"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 xml:space="preserve">II. Secretaría del Ayuntamiento; </w:t>
      </w:r>
    </w:p>
    <w:p w14:paraId="6624E632"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 xml:space="preserve">III. Tesorería Municipal; </w:t>
      </w:r>
    </w:p>
    <w:p w14:paraId="309FFCC8"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 xml:space="preserve">IV. Contraloría Municipal; </w:t>
      </w:r>
    </w:p>
    <w:p w14:paraId="04B15EB9" w14:textId="77777777" w:rsidR="00CD42B4" w:rsidRPr="00435703" w:rsidRDefault="00F34A2D">
      <w:pPr>
        <w:ind w:left="850" w:right="899"/>
        <w:jc w:val="both"/>
        <w:rPr>
          <w:rFonts w:ascii="Palatino Linotype" w:eastAsia="Palatino Linotype" w:hAnsi="Palatino Linotype" w:cs="Palatino Linotype"/>
          <w:b/>
          <w:i/>
          <w:sz w:val="22"/>
          <w:szCs w:val="22"/>
        </w:rPr>
      </w:pPr>
      <w:r w:rsidRPr="00435703">
        <w:rPr>
          <w:rFonts w:ascii="Palatino Linotype" w:eastAsia="Palatino Linotype" w:hAnsi="Palatino Linotype" w:cs="Palatino Linotype"/>
          <w:b/>
          <w:i/>
          <w:sz w:val="22"/>
          <w:szCs w:val="22"/>
        </w:rPr>
        <w:t xml:space="preserve">V. Comisaría General de Seguridad Ciudadana; </w:t>
      </w:r>
    </w:p>
    <w:p w14:paraId="238B9F6C"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 xml:space="preserve">VI. Dirección de Desarrollo Urbano; </w:t>
      </w:r>
    </w:p>
    <w:p w14:paraId="3E6FBF43"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 xml:space="preserve">VII. Dirección de Desarrollo Social; </w:t>
      </w:r>
    </w:p>
    <w:p w14:paraId="60093CB0"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 xml:space="preserve">VIII. Dirección de Desarrollo Económico; </w:t>
      </w:r>
    </w:p>
    <w:p w14:paraId="5D6A137D"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 xml:space="preserve">IX. Dirección de Servicios Públicos; </w:t>
      </w:r>
    </w:p>
    <w:p w14:paraId="497A7D4C"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 xml:space="preserve">X. Dirección de Administración; </w:t>
      </w:r>
    </w:p>
    <w:p w14:paraId="7B25B31C"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 xml:space="preserve">XI. Dirección Jurídica; </w:t>
      </w:r>
    </w:p>
    <w:p w14:paraId="70552597"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 xml:space="preserve">XII. Dirección de Obras Públicas; y </w:t>
      </w:r>
    </w:p>
    <w:p w14:paraId="0D900BC4"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XIII. Dirección de Sustentabilidad y Medio Ambiente. Las atribuciones de las Dependencias serán las que se determinen en las disposiciones legales y reglamentarias aplicables.”</w:t>
      </w:r>
    </w:p>
    <w:p w14:paraId="6A20260F"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w:t>
      </w:r>
      <w:proofErr w:type="gramStart"/>
      <w:r w:rsidRPr="00435703">
        <w:rPr>
          <w:rFonts w:ascii="Palatino Linotype" w:eastAsia="Palatino Linotype" w:hAnsi="Palatino Linotype" w:cs="Palatino Linotype"/>
          <w:i/>
          <w:sz w:val="22"/>
          <w:szCs w:val="22"/>
        </w:rPr>
        <w:t>énfasis</w:t>
      </w:r>
      <w:proofErr w:type="gramEnd"/>
      <w:r w:rsidRPr="00435703">
        <w:rPr>
          <w:rFonts w:ascii="Palatino Linotype" w:eastAsia="Palatino Linotype" w:hAnsi="Palatino Linotype" w:cs="Palatino Linotype"/>
          <w:i/>
          <w:sz w:val="22"/>
          <w:szCs w:val="22"/>
        </w:rPr>
        <w:t xml:space="preserve"> añadido)</w:t>
      </w:r>
    </w:p>
    <w:p w14:paraId="6E60EEB4" w14:textId="77777777" w:rsidR="00CD42B4" w:rsidRPr="00435703" w:rsidRDefault="00CD42B4">
      <w:pPr>
        <w:spacing w:line="360" w:lineRule="auto"/>
        <w:jc w:val="both"/>
        <w:rPr>
          <w:rFonts w:ascii="Palatino Linotype" w:eastAsia="Palatino Linotype" w:hAnsi="Palatino Linotype" w:cs="Palatino Linotype"/>
        </w:rPr>
      </w:pPr>
    </w:p>
    <w:p w14:paraId="17B266C1"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De manera que en lo que respecta a dicho punto de la solicitud se tiene por colmada la petición con la declaración de incompetencia del </w:t>
      </w:r>
      <w:r w:rsidRPr="00435703">
        <w:rPr>
          <w:rFonts w:ascii="Palatino Linotype" w:eastAsia="Palatino Linotype" w:hAnsi="Palatino Linotype" w:cs="Palatino Linotype"/>
          <w:b/>
        </w:rPr>
        <w:t>SUJETO OBLIGADO,</w:t>
      </w:r>
      <w:r w:rsidRPr="00435703">
        <w:rPr>
          <w:rFonts w:ascii="Palatino Linotype" w:eastAsia="Palatino Linotype" w:hAnsi="Palatino Linotype" w:cs="Palatino Linotype"/>
        </w:rPr>
        <w:t xml:space="preserve"> toda vez que la misma fue realizada en el momento oportuno. </w:t>
      </w:r>
    </w:p>
    <w:p w14:paraId="321CBB3A" w14:textId="77777777" w:rsidR="00CD42B4" w:rsidRPr="00435703" w:rsidRDefault="00CD42B4">
      <w:pPr>
        <w:spacing w:line="360" w:lineRule="auto"/>
        <w:jc w:val="both"/>
        <w:rPr>
          <w:rFonts w:ascii="Palatino Linotype" w:eastAsia="Palatino Linotype" w:hAnsi="Palatino Linotype" w:cs="Palatino Linotype"/>
        </w:rPr>
      </w:pPr>
    </w:p>
    <w:p w14:paraId="134773FE"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En lo que respecta a los demás requerimientos hechos por el ahora </w:t>
      </w:r>
      <w:r w:rsidRPr="00435703">
        <w:rPr>
          <w:rFonts w:ascii="Palatino Linotype" w:eastAsia="Palatino Linotype" w:hAnsi="Palatino Linotype" w:cs="Palatino Linotype"/>
          <w:b/>
        </w:rPr>
        <w:t>RECURRENTE</w:t>
      </w:r>
      <w:r w:rsidRPr="00435703">
        <w:rPr>
          <w:rFonts w:ascii="Palatino Linotype" w:eastAsia="Palatino Linotype" w:hAnsi="Palatino Linotype" w:cs="Palatino Linotype"/>
        </w:rPr>
        <w:t xml:space="preserve">, no se advierte que existan mayores elementos para determinar la incompetencia del </w:t>
      </w:r>
      <w:r w:rsidRPr="00435703">
        <w:rPr>
          <w:rFonts w:ascii="Palatino Linotype" w:eastAsia="Palatino Linotype" w:hAnsi="Palatino Linotype" w:cs="Palatino Linotype"/>
          <w:b/>
        </w:rPr>
        <w:t>SUJETO OBLIGADO</w:t>
      </w:r>
      <w:r w:rsidRPr="00435703">
        <w:rPr>
          <w:rFonts w:ascii="Palatino Linotype" w:eastAsia="Palatino Linotype" w:hAnsi="Palatino Linotype" w:cs="Palatino Linotype"/>
        </w:rPr>
        <w:t xml:space="preserve"> ya que si  bien es cierto, </w:t>
      </w:r>
      <w:r w:rsidRPr="00435703">
        <w:rPr>
          <w:rFonts w:ascii="Palatino Linotype" w:eastAsia="Palatino Linotype" w:hAnsi="Palatino Linotype" w:cs="Palatino Linotype"/>
          <w:b/>
        </w:rPr>
        <w:t>EL RECURRENTE</w:t>
      </w:r>
      <w:r w:rsidRPr="00435703">
        <w:rPr>
          <w:rFonts w:ascii="Palatino Linotype" w:eastAsia="Palatino Linotype" w:hAnsi="Palatino Linotype" w:cs="Palatino Linotype"/>
        </w:rPr>
        <w:t xml:space="preserve"> señala de forma expresa a un ente diverso en su solicitud, lo cierto también es que lo hace únicamente sobre una de las peticiones identificada con el número 3 no así del total de la solicitud, de la cual se desprenden otras peticiones que el ente recurrido puede conocer. </w:t>
      </w:r>
    </w:p>
    <w:p w14:paraId="37399B89" w14:textId="77777777" w:rsidR="00CD42B4" w:rsidRPr="00435703" w:rsidRDefault="00CD42B4">
      <w:pPr>
        <w:spacing w:line="360" w:lineRule="auto"/>
        <w:jc w:val="both"/>
        <w:rPr>
          <w:rFonts w:ascii="Palatino Linotype" w:eastAsia="Palatino Linotype" w:hAnsi="Palatino Linotype" w:cs="Palatino Linotype"/>
        </w:rPr>
      </w:pPr>
    </w:p>
    <w:p w14:paraId="38109C74" w14:textId="77777777" w:rsidR="00CD42B4" w:rsidRPr="00435703" w:rsidRDefault="00F34A2D">
      <w:pPr>
        <w:spacing w:line="360" w:lineRule="auto"/>
        <w:jc w:val="both"/>
        <w:rPr>
          <w:rFonts w:ascii="Palatino Linotype" w:eastAsia="Palatino Linotype" w:hAnsi="Palatino Linotype" w:cs="Palatino Linotype"/>
          <w:i/>
        </w:rPr>
      </w:pPr>
      <w:r w:rsidRPr="00435703">
        <w:rPr>
          <w:rFonts w:ascii="Palatino Linotype" w:eastAsia="Palatino Linotype" w:hAnsi="Palatino Linotype" w:cs="Palatino Linotype"/>
        </w:rPr>
        <w:lastRenderedPageBreak/>
        <w:t>En primer lugar respecto a la parte de la solicitud donde el particular desea conocer: “</w:t>
      </w:r>
      <w:r w:rsidRPr="00435703">
        <w:rPr>
          <w:rFonts w:ascii="Palatino Linotype" w:eastAsia="Palatino Linotype" w:hAnsi="Palatino Linotype" w:cs="Palatino Linotype"/>
          <w:b/>
          <w:i/>
        </w:rPr>
        <w:t>quien preside la comisión de seguridad pública, me proporcionen las actas de dicha comisión.” (</w:t>
      </w:r>
      <w:proofErr w:type="gramStart"/>
      <w:r w:rsidRPr="00435703">
        <w:rPr>
          <w:rFonts w:ascii="Palatino Linotype" w:eastAsia="Palatino Linotype" w:hAnsi="Palatino Linotype" w:cs="Palatino Linotype"/>
          <w:b/>
          <w:i/>
        </w:rPr>
        <w:t>sic</w:t>
      </w:r>
      <w:proofErr w:type="gramEnd"/>
      <w:r w:rsidRPr="00435703">
        <w:rPr>
          <w:rFonts w:ascii="Palatino Linotype" w:eastAsia="Palatino Linotype" w:hAnsi="Palatino Linotype" w:cs="Palatino Linotype"/>
          <w:b/>
          <w:i/>
        </w:rPr>
        <w:t>)</w:t>
      </w:r>
    </w:p>
    <w:p w14:paraId="704EE521" w14:textId="77777777" w:rsidR="00CD42B4" w:rsidRPr="00435703" w:rsidRDefault="00CD42B4">
      <w:pPr>
        <w:spacing w:line="360" w:lineRule="auto"/>
        <w:jc w:val="both"/>
        <w:rPr>
          <w:rFonts w:ascii="Palatino Linotype" w:eastAsia="Palatino Linotype" w:hAnsi="Palatino Linotype" w:cs="Palatino Linotype"/>
        </w:rPr>
      </w:pPr>
    </w:p>
    <w:p w14:paraId="1DB91EC6"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Es importante señalar que el Código Reglamentario del Ayuntamiento de Toluca señala en su capítulo sexto artículo 2.37 que para poder llevar a cabo sus funciones, el Ayuntamiento se auxiliará de comisiones que pueden ser permanentes o transitorias, y las cuales se conformarán según lo señala el precepto 2.38 por un presidente un secretario y tres vocales, tal como se refieren en la cita siguiente:  </w:t>
      </w:r>
    </w:p>
    <w:p w14:paraId="61DE481A"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 xml:space="preserve">CAPÍTULO SEXTO </w:t>
      </w:r>
    </w:p>
    <w:p w14:paraId="2780F3CD"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 xml:space="preserve">DE LAS COMISIONES </w:t>
      </w:r>
    </w:p>
    <w:p w14:paraId="1915B799"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 xml:space="preserve">Artículo 2.37 Para el eficaz desempeño de sus funciones, el Ayuntamiento se auxiliará de comisiones, que serán permanentes o transitorias. La integración de las comisiones permanentes se hará a más tardar en la tercera sesión ordinaria del Cabildo, a propuesta de la o el Presidente Municipal. Las comisiones transitorias se integrarán, cuando haya necesidad de constituirlas para la atención de problemas especiales, situaciones emergentes o eventuales, y su duración se ajustará al tiempo necesario para el cumplimiento de su objeto. </w:t>
      </w:r>
    </w:p>
    <w:p w14:paraId="71311DEE" w14:textId="77777777" w:rsidR="00CD42B4" w:rsidRPr="00435703" w:rsidRDefault="00CD42B4">
      <w:pPr>
        <w:ind w:left="850" w:right="899"/>
        <w:jc w:val="both"/>
        <w:rPr>
          <w:rFonts w:ascii="Palatino Linotype" w:eastAsia="Palatino Linotype" w:hAnsi="Palatino Linotype" w:cs="Palatino Linotype"/>
          <w:i/>
          <w:sz w:val="22"/>
          <w:szCs w:val="22"/>
        </w:rPr>
      </w:pPr>
    </w:p>
    <w:p w14:paraId="045619E4"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 xml:space="preserve">Artículo 2.38 Las Comisiones Edilicias Permanentes se integrarán de la siguiente manera: </w:t>
      </w:r>
    </w:p>
    <w:p w14:paraId="762BFEFD"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 xml:space="preserve">I. Una o un Presidente; </w:t>
      </w:r>
    </w:p>
    <w:p w14:paraId="10E234D6"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 xml:space="preserve">II. Una o un Secretario; y </w:t>
      </w:r>
    </w:p>
    <w:p w14:paraId="5111B235"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 xml:space="preserve">III. Tres vocales </w:t>
      </w:r>
    </w:p>
    <w:p w14:paraId="2EEE8B7F" w14:textId="77777777" w:rsidR="00CD42B4" w:rsidRPr="00435703" w:rsidRDefault="00CD42B4">
      <w:pPr>
        <w:spacing w:line="360" w:lineRule="auto"/>
        <w:jc w:val="both"/>
        <w:rPr>
          <w:rFonts w:ascii="Palatino Linotype" w:eastAsia="Palatino Linotype" w:hAnsi="Palatino Linotype" w:cs="Palatino Linotype"/>
        </w:rPr>
      </w:pPr>
    </w:p>
    <w:p w14:paraId="106A64BA"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Aunado a lo anterior, el artículo 2.40 del Código en comento enlista las comisiones permanentes de las cuales se resalta la existencia de la Comisión de Gobernación, Seguridad Pública, Tránsito y Protección Civil como se puede apreciar a continuación:</w:t>
      </w:r>
    </w:p>
    <w:p w14:paraId="5CA6E206" w14:textId="77777777" w:rsidR="00CD42B4" w:rsidRPr="00435703" w:rsidRDefault="00CD42B4">
      <w:pPr>
        <w:ind w:left="850" w:right="899"/>
        <w:jc w:val="both"/>
        <w:rPr>
          <w:rFonts w:ascii="Palatino Linotype" w:eastAsia="Palatino Linotype" w:hAnsi="Palatino Linotype" w:cs="Palatino Linotype"/>
          <w:i/>
          <w:sz w:val="22"/>
          <w:szCs w:val="22"/>
        </w:rPr>
      </w:pPr>
    </w:p>
    <w:p w14:paraId="0939F1B3"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Artículo 2.40 En el Ayuntamiento, serán comisiones permanentes:</w:t>
      </w:r>
    </w:p>
    <w:p w14:paraId="0EFA1AA0"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lastRenderedPageBreak/>
        <w:t xml:space="preserve">I. Gobernación, Seguridad Pública, Tránsito y Protección Civil; </w:t>
      </w:r>
    </w:p>
    <w:p w14:paraId="2BDC2140"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 xml:space="preserve">II. Planeación para el Desarrollo; </w:t>
      </w:r>
    </w:p>
    <w:p w14:paraId="36F465C6"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 xml:space="preserve">III. Ingresos; </w:t>
      </w:r>
    </w:p>
    <w:p w14:paraId="58F12862"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IV. Egresos;</w:t>
      </w:r>
    </w:p>
    <w:p w14:paraId="36A70E12" w14:textId="77777777" w:rsidR="00CD42B4" w:rsidRPr="00435703" w:rsidRDefault="00CD42B4">
      <w:pPr>
        <w:ind w:left="850" w:right="899"/>
        <w:jc w:val="both"/>
        <w:rPr>
          <w:rFonts w:ascii="Palatino Linotype" w:eastAsia="Palatino Linotype" w:hAnsi="Palatino Linotype" w:cs="Palatino Linotype"/>
          <w:i/>
          <w:sz w:val="22"/>
          <w:szCs w:val="22"/>
        </w:rPr>
      </w:pPr>
    </w:p>
    <w:p w14:paraId="41D3938B"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Dichas comisión llevará a cabo sesiones previa convocatoria de su presidente o presidente tal y como lo dispone el artículo 2.43 del previamente citado código, señala:</w:t>
      </w:r>
    </w:p>
    <w:p w14:paraId="6CD00E84" w14:textId="77777777" w:rsidR="00CD42B4" w:rsidRPr="00435703" w:rsidRDefault="00CD42B4">
      <w:pPr>
        <w:spacing w:line="360" w:lineRule="auto"/>
        <w:jc w:val="both"/>
        <w:rPr>
          <w:rFonts w:ascii="Palatino Linotype" w:eastAsia="Palatino Linotype" w:hAnsi="Palatino Linotype" w:cs="Palatino Linotype"/>
        </w:rPr>
      </w:pPr>
    </w:p>
    <w:p w14:paraId="04C9C1B0" w14:textId="77777777" w:rsidR="00CD42B4" w:rsidRPr="00435703" w:rsidRDefault="00F34A2D">
      <w:pPr>
        <w:spacing w:line="360" w:lineRule="auto"/>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w:t>
      </w:r>
      <w:r w:rsidRPr="00435703">
        <w:rPr>
          <w:rFonts w:ascii="Palatino Linotype" w:eastAsia="Palatino Linotype" w:hAnsi="Palatino Linotype" w:cs="Palatino Linotype"/>
          <w:b/>
          <w:i/>
          <w:sz w:val="22"/>
          <w:szCs w:val="22"/>
        </w:rPr>
        <w:t>Artículo 2.43.</w:t>
      </w:r>
      <w:r w:rsidRPr="00435703">
        <w:rPr>
          <w:rFonts w:ascii="Palatino Linotype" w:eastAsia="Palatino Linotype" w:hAnsi="Palatino Linotype" w:cs="Palatino Linotype"/>
          <w:i/>
          <w:sz w:val="22"/>
          <w:szCs w:val="22"/>
        </w:rPr>
        <w:t xml:space="preserve"> Para cumplir eficazmente con su función, las comisiones sesionarán, cuantas veces sea necesario, previa convocatoria de su Presidente o Presidenta.”</w:t>
      </w:r>
    </w:p>
    <w:p w14:paraId="4B18276C" w14:textId="77777777" w:rsidR="00CD42B4" w:rsidRPr="00435703" w:rsidRDefault="00CD42B4">
      <w:pPr>
        <w:spacing w:line="360" w:lineRule="auto"/>
        <w:jc w:val="both"/>
        <w:rPr>
          <w:rFonts w:ascii="Palatino Linotype" w:eastAsia="Palatino Linotype" w:hAnsi="Palatino Linotype" w:cs="Palatino Linotype"/>
        </w:rPr>
      </w:pPr>
    </w:p>
    <w:p w14:paraId="78AD33B2"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Es así que de la interpretación sistemática y armónica de los preceptos anteriores, se advierte que </w:t>
      </w:r>
      <w:r w:rsidRPr="00435703">
        <w:rPr>
          <w:rFonts w:ascii="Palatino Linotype" w:eastAsia="Palatino Linotype" w:hAnsi="Palatino Linotype" w:cs="Palatino Linotype"/>
          <w:b/>
        </w:rPr>
        <w:t>EL SUJETO OBLIGADO</w:t>
      </w:r>
      <w:r w:rsidRPr="00435703">
        <w:rPr>
          <w:rFonts w:ascii="Palatino Linotype" w:eastAsia="Palatino Linotype" w:hAnsi="Palatino Linotype" w:cs="Palatino Linotype"/>
        </w:rPr>
        <w:t xml:space="preserve"> tiene facultades para conocer de dicho rubro de la solicitud. </w:t>
      </w:r>
    </w:p>
    <w:p w14:paraId="27A52F39" w14:textId="77777777" w:rsidR="00CD42B4" w:rsidRPr="00435703" w:rsidRDefault="00CD42B4">
      <w:pPr>
        <w:spacing w:line="360" w:lineRule="auto"/>
        <w:jc w:val="both"/>
        <w:rPr>
          <w:rFonts w:ascii="Palatino Linotype" w:eastAsia="Palatino Linotype" w:hAnsi="Palatino Linotype" w:cs="Palatino Linotype"/>
        </w:rPr>
      </w:pPr>
    </w:p>
    <w:p w14:paraId="0711656B"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Por lo que respecta a </w:t>
      </w:r>
      <w:r w:rsidRPr="00435703">
        <w:rPr>
          <w:rFonts w:ascii="Palatino Linotype" w:eastAsia="Palatino Linotype" w:hAnsi="Palatino Linotype" w:cs="Palatino Linotype"/>
          <w:sz w:val="26"/>
          <w:szCs w:val="26"/>
        </w:rPr>
        <w:t>“</w:t>
      </w:r>
      <w:r w:rsidRPr="00435703">
        <w:rPr>
          <w:rFonts w:ascii="Palatino Linotype" w:eastAsia="Palatino Linotype" w:hAnsi="Palatino Linotype" w:cs="Palatino Linotype"/>
          <w:b/>
          <w:i/>
        </w:rPr>
        <w:t xml:space="preserve">Cuantos grupos delictivos existen en el </w:t>
      </w:r>
      <w:proofErr w:type="spellStart"/>
      <w:r w:rsidRPr="00435703">
        <w:rPr>
          <w:rFonts w:ascii="Palatino Linotype" w:eastAsia="Palatino Linotype" w:hAnsi="Palatino Linotype" w:cs="Palatino Linotype"/>
          <w:b/>
          <w:i/>
        </w:rPr>
        <w:t>municpio</w:t>
      </w:r>
      <w:proofErr w:type="spellEnd"/>
      <w:r w:rsidRPr="00435703">
        <w:rPr>
          <w:rFonts w:ascii="Palatino Linotype" w:eastAsia="Palatino Linotype" w:hAnsi="Palatino Linotype" w:cs="Palatino Linotype"/>
          <w:b/>
          <w:i/>
        </w:rPr>
        <w:t>.” (Sic)</w:t>
      </w:r>
      <w:r w:rsidRPr="00435703">
        <w:rPr>
          <w:rFonts w:ascii="Palatino Linotype" w:eastAsia="Palatino Linotype" w:hAnsi="Palatino Linotype" w:cs="Palatino Linotype"/>
        </w:rPr>
        <w:t xml:space="preserve">, resulta conveniente traer a colación el contenido del Bando Municipal del Municipio de Toluca, el cual, en su capítulo segundo regula la composición de la administración pública municipal señalando en sus artículos 22 y 23  que su para el desempeño de sus actividades, el Presidente municipal como titular del Ayuntamiento se apoyará de diversas dependencia, entre la cuales se encuentra la Dirección General de Seguridad Pública: </w:t>
      </w:r>
    </w:p>
    <w:p w14:paraId="416C66D4" w14:textId="77777777" w:rsidR="00CD42B4" w:rsidRPr="00435703" w:rsidRDefault="00CD42B4">
      <w:pPr>
        <w:spacing w:line="360" w:lineRule="auto"/>
        <w:jc w:val="both"/>
        <w:rPr>
          <w:rFonts w:ascii="Palatino Linotype" w:eastAsia="Palatino Linotype" w:hAnsi="Palatino Linotype" w:cs="Palatino Linotype"/>
        </w:rPr>
      </w:pPr>
    </w:p>
    <w:p w14:paraId="76B1AC41" w14:textId="77777777" w:rsidR="00CD42B4" w:rsidRPr="00435703" w:rsidRDefault="00F34A2D">
      <w:pPr>
        <w:ind w:left="850" w:right="899"/>
        <w:jc w:val="both"/>
        <w:rPr>
          <w:rFonts w:ascii="Palatino Linotype" w:eastAsia="Palatino Linotype" w:hAnsi="Palatino Linotype" w:cs="Palatino Linotype"/>
          <w:b/>
          <w:i/>
          <w:sz w:val="22"/>
          <w:szCs w:val="22"/>
          <w:u w:val="single"/>
        </w:rPr>
      </w:pPr>
      <w:r w:rsidRPr="00435703">
        <w:rPr>
          <w:rFonts w:ascii="Palatino Linotype" w:eastAsia="Palatino Linotype" w:hAnsi="Palatino Linotype" w:cs="Palatino Linotype"/>
          <w:b/>
          <w:i/>
          <w:sz w:val="22"/>
          <w:szCs w:val="22"/>
          <w:u w:val="single"/>
        </w:rPr>
        <w:t xml:space="preserve">“CAPÍTULO SEGUNDO </w:t>
      </w:r>
    </w:p>
    <w:p w14:paraId="192A2045" w14:textId="77777777" w:rsidR="00CD42B4" w:rsidRPr="00435703" w:rsidRDefault="00F34A2D">
      <w:pPr>
        <w:ind w:left="850" w:right="899"/>
        <w:jc w:val="both"/>
        <w:rPr>
          <w:rFonts w:ascii="Palatino Linotype" w:eastAsia="Palatino Linotype" w:hAnsi="Palatino Linotype" w:cs="Palatino Linotype"/>
          <w:b/>
          <w:i/>
          <w:sz w:val="22"/>
          <w:szCs w:val="22"/>
          <w:u w:val="single"/>
        </w:rPr>
      </w:pPr>
      <w:r w:rsidRPr="00435703">
        <w:rPr>
          <w:rFonts w:ascii="Palatino Linotype" w:eastAsia="Palatino Linotype" w:hAnsi="Palatino Linotype" w:cs="Palatino Linotype"/>
          <w:b/>
          <w:i/>
          <w:sz w:val="22"/>
          <w:szCs w:val="22"/>
          <w:u w:val="single"/>
        </w:rPr>
        <w:t xml:space="preserve">DE LA ORGANIZACIÓN ADMINISTRATIVA </w:t>
      </w:r>
    </w:p>
    <w:p w14:paraId="0024A4DA"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b/>
          <w:i/>
          <w:sz w:val="22"/>
          <w:szCs w:val="22"/>
        </w:rPr>
        <w:t xml:space="preserve">Artículo 22. </w:t>
      </w:r>
      <w:r w:rsidRPr="00435703">
        <w:rPr>
          <w:rFonts w:ascii="Palatino Linotype" w:eastAsia="Palatino Linotype" w:hAnsi="Palatino Linotype" w:cs="Palatino Linotype"/>
          <w:i/>
          <w:sz w:val="22"/>
          <w:szCs w:val="22"/>
        </w:rPr>
        <w:t>La administración pública municipal será centralizada, desconcentrada, descentralizada y autónoma. Su organización y funcionamiento se regirá por la Ley Orgánica Municipal, este Bando Municipal, el Código Reglamentario Municipal y otras normas jurídicas aplicables.</w:t>
      </w:r>
    </w:p>
    <w:p w14:paraId="18D4F200" w14:textId="77777777" w:rsidR="00CD42B4" w:rsidRPr="00435703" w:rsidRDefault="00CD42B4">
      <w:pPr>
        <w:ind w:left="850" w:right="899"/>
        <w:jc w:val="both"/>
        <w:rPr>
          <w:rFonts w:ascii="Palatino Linotype" w:eastAsia="Palatino Linotype" w:hAnsi="Palatino Linotype" w:cs="Palatino Linotype"/>
          <w:b/>
          <w:i/>
          <w:sz w:val="22"/>
          <w:szCs w:val="22"/>
        </w:rPr>
      </w:pPr>
    </w:p>
    <w:p w14:paraId="3C54A352"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b/>
          <w:i/>
          <w:sz w:val="22"/>
          <w:szCs w:val="22"/>
        </w:rPr>
        <w:t>Artículo 23.</w:t>
      </w:r>
      <w:r w:rsidRPr="00435703">
        <w:rPr>
          <w:rFonts w:ascii="Palatino Linotype" w:eastAsia="Palatino Linotype" w:hAnsi="Palatino Linotype" w:cs="Palatino Linotype"/>
          <w:i/>
          <w:sz w:val="22"/>
          <w:szCs w:val="22"/>
        </w:rPr>
        <w:t xml:space="preserve"> Para la consulta, estudio, planeación y despacho de los asuntos en los diversos ramos de la administración pública municipal, la o el Presidente Municipal se auxiliará de la Secretaría del Ayuntamiento y de las siguientes: </w:t>
      </w:r>
    </w:p>
    <w:p w14:paraId="160A6746" w14:textId="77777777" w:rsidR="00CD42B4" w:rsidRPr="00435703" w:rsidRDefault="00CD42B4">
      <w:pPr>
        <w:ind w:left="850" w:right="899"/>
        <w:jc w:val="both"/>
        <w:rPr>
          <w:rFonts w:ascii="Palatino Linotype" w:eastAsia="Palatino Linotype" w:hAnsi="Palatino Linotype" w:cs="Palatino Linotype"/>
          <w:b/>
          <w:i/>
          <w:sz w:val="22"/>
          <w:szCs w:val="22"/>
        </w:rPr>
      </w:pPr>
    </w:p>
    <w:p w14:paraId="2828B65B" w14:textId="77777777" w:rsidR="00CD42B4" w:rsidRPr="00435703" w:rsidRDefault="00F34A2D">
      <w:pPr>
        <w:ind w:left="850" w:right="899"/>
        <w:jc w:val="both"/>
        <w:rPr>
          <w:rFonts w:ascii="Palatino Linotype" w:eastAsia="Palatino Linotype" w:hAnsi="Palatino Linotype" w:cs="Palatino Linotype"/>
          <w:b/>
          <w:i/>
          <w:sz w:val="22"/>
          <w:szCs w:val="22"/>
        </w:rPr>
      </w:pPr>
      <w:r w:rsidRPr="00435703">
        <w:rPr>
          <w:rFonts w:ascii="Palatino Linotype" w:eastAsia="Palatino Linotype" w:hAnsi="Palatino Linotype" w:cs="Palatino Linotype"/>
          <w:b/>
          <w:i/>
          <w:sz w:val="22"/>
          <w:szCs w:val="22"/>
        </w:rPr>
        <w:t xml:space="preserve">I. DEPENDENCIAS: </w:t>
      </w:r>
    </w:p>
    <w:p w14:paraId="3CE8974D"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 xml:space="preserve">1. Tesorería Municipal; </w:t>
      </w:r>
    </w:p>
    <w:p w14:paraId="4201416F"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 xml:space="preserve">2. Contraloría; </w:t>
      </w:r>
    </w:p>
    <w:p w14:paraId="45381EB5"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 xml:space="preserve">3. Dirección General de Gobierno; </w:t>
      </w:r>
    </w:p>
    <w:p w14:paraId="14FEE85D" w14:textId="77777777" w:rsidR="00CD42B4" w:rsidRPr="00435703" w:rsidRDefault="00F34A2D">
      <w:pPr>
        <w:ind w:left="850" w:right="899"/>
        <w:jc w:val="both"/>
        <w:rPr>
          <w:rFonts w:ascii="Palatino Linotype" w:eastAsia="Palatino Linotype" w:hAnsi="Palatino Linotype" w:cs="Palatino Linotype"/>
          <w:b/>
          <w:i/>
          <w:sz w:val="22"/>
          <w:szCs w:val="22"/>
        </w:rPr>
      </w:pPr>
      <w:r w:rsidRPr="00435703">
        <w:rPr>
          <w:rFonts w:ascii="Palatino Linotype" w:eastAsia="Palatino Linotype" w:hAnsi="Palatino Linotype" w:cs="Palatino Linotype"/>
          <w:b/>
          <w:i/>
          <w:sz w:val="22"/>
          <w:szCs w:val="22"/>
        </w:rPr>
        <w:t xml:space="preserve">4. Dirección General de Seguridad Pública; </w:t>
      </w:r>
    </w:p>
    <w:p w14:paraId="1224ECC3"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 xml:space="preserve">5. Dirección General de Administración; </w:t>
      </w:r>
    </w:p>
    <w:p w14:paraId="2D9BB86D"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 xml:space="preserve">6. Dirección General de Medio Ambiente; </w:t>
      </w:r>
    </w:p>
    <w:p w14:paraId="49FF014B"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 xml:space="preserve">7. Dirección General de Servicios Públicos; </w:t>
      </w:r>
    </w:p>
    <w:p w14:paraId="56E16FF7"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 xml:space="preserve">8. Dirección General de Desarrollo Urbano y Obra Pública; </w:t>
      </w:r>
    </w:p>
    <w:p w14:paraId="219128C7"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 xml:space="preserve">9. Dirección General de Desarrollo Económico; y </w:t>
      </w:r>
    </w:p>
    <w:p w14:paraId="58D63029"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10. Dirección General de Bienestar Social”</w:t>
      </w:r>
    </w:p>
    <w:p w14:paraId="2C0274E1"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w:t>
      </w:r>
      <w:proofErr w:type="gramStart"/>
      <w:r w:rsidRPr="00435703">
        <w:rPr>
          <w:rFonts w:ascii="Palatino Linotype" w:eastAsia="Palatino Linotype" w:hAnsi="Palatino Linotype" w:cs="Palatino Linotype"/>
          <w:i/>
          <w:sz w:val="22"/>
          <w:szCs w:val="22"/>
        </w:rPr>
        <w:t>énfasis</w:t>
      </w:r>
      <w:proofErr w:type="gramEnd"/>
      <w:r w:rsidRPr="00435703">
        <w:rPr>
          <w:rFonts w:ascii="Palatino Linotype" w:eastAsia="Palatino Linotype" w:hAnsi="Palatino Linotype" w:cs="Palatino Linotype"/>
          <w:i/>
          <w:sz w:val="22"/>
          <w:szCs w:val="22"/>
        </w:rPr>
        <w:t xml:space="preserve"> añadido)</w:t>
      </w:r>
    </w:p>
    <w:p w14:paraId="754AA95C" w14:textId="77777777" w:rsidR="00CD42B4" w:rsidRPr="00435703" w:rsidRDefault="00CD42B4">
      <w:pPr>
        <w:spacing w:line="360" w:lineRule="auto"/>
        <w:jc w:val="both"/>
        <w:rPr>
          <w:rFonts w:ascii="Palatino Linotype" w:eastAsia="Palatino Linotype" w:hAnsi="Palatino Linotype" w:cs="Palatino Linotype"/>
        </w:rPr>
      </w:pPr>
    </w:p>
    <w:p w14:paraId="4C503584"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El mismo bando en su capítulo tercero señala las atribuciones de las autoridades municipales en materia de Seguridad Pública de la cual en su artículo 74 fracción XIII se advierte existe la facultad de que se generen informes y estadísticas sobre las actividades  delictivas en el municipio, el cual refiere: </w:t>
      </w:r>
    </w:p>
    <w:p w14:paraId="3C21F5F9" w14:textId="77777777" w:rsidR="00CD42B4" w:rsidRPr="00435703" w:rsidRDefault="00F34A2D">
      <w:pPr>
        <w:ind w:left="850" w:right="899"/>
        <w:jc w:val="both"/>
        <w:rPr>
          <w:rFonts w:ascii="Palatino Linotype" w:eastAsia="Palatino Linotype" w:hAnsi="Palatino Linotype" w:cs="Palatino Linotype"/>
          <w:b/>
          <w:i/>
          <w:sz w:val="22"/>
          <w:szCs w:val="22"/>
          <w:u w:val="single"/>
        </w:rPr>
      </w:pPr>
      <w:r w:rsidRPr="00435703">
        <w:rPr>
          <w:rFonts w:ascii="Palatino Linotype" w:eastAsia="Palatino Linotype" w:hAnsi="Palatino Linotype" w:cs="Palatino Linotype"/>
          <w:b/>
          <w:i/>
          <w:sz w:val="22"/>
          <w:szCs w:val="22"/>
        </w:rPr>
        <w:t>“</w:t>
      </w:r>
      <w:r w:rsidRPr="00435703">
        <w:rPr>
          <w:rFonts w:ascii="Palatino Linotype" w:eastAsia="Palatino Linotype" w:hAnsi="Palatino Linotype" w:cs="Palatino Linotype"/>
          <w:b/>
          <w:i/>
          <w:sz w:val="22"/>
          <w:szCs w:val="22"/>
          <w:u w:val="single"/>
        </w:rPr>
        <w:t xml:space="preserve">CAPÍTULO TERCERO </w:t>
      </w:r>
    </w:p>
    <w:p w14:paraId="7DE6364F" w14:textId="77777777" w:rsidR="00CD42B4" w:rsidRPr="00435703" w:rsidRDefault="00F34A2D">
      <w:pPr>
        <w:ind w:left="850" w:right="899"/>
        <w:jc w:val="both"/>
        <w:rPr>
          <w:rFonts w:ascii="Palatino Linotype" w:eastAsia="Palatino Linotype" w:hAnsi="Palatino Linotype" w:cs="Palatino Linotype"/>
          <w:b/>
          <w:i/>
          <w:sz w:val="22"/>
          <w:szCs w:val="22"/>
          <w:u w:val="single"/>
        </w:rPr>
      </w:pPr>
      <w:r w:rsidRPr="00435703">
        <w:rPr>
          <w:rFonts w:ascii="Palatino Linotype" w:eastAsia="Palatino Linotype" w:hAnsi="Palatino Linotype" w:cs="Palatino Linotype"/>
          <w:b/>
          <w:i/>
          <w:sz w:val="22"/>
          <w:szCs w:val="22"/>
          <w:u w:val="single"/>
        </w:rPr>
        <w:t xml:space="preserve">DE LAS ATRIBUCIONES EN MATERIA DE SEGURIDAD PÚBLICA </w:t>
      </w:r>
    </w:p>
    <w:p w14:paraId="03BE6146" w14:textId="77777777" w:rsidR="00CD42B4" w:rsidRPr="00435703" w:rsidRDefault="00CD42B4">
      <w:pPr>
        <w:ind w:left="850" w:right="899"/>
        <w:jc w:val="both"/>
        <w:rPr>
          <w:rFonts w:ascii="Palatino Linotype" w:eastAsia="Palatino Linotype" w:hAnsi="Palatino Linotype" w:cs="Palatino Linotype"/>
          <w:i/>
          <w:sz w:val="22"/>
          <w:szCs w:val="22"/>
        </w:rPr>
      </w:pPr>
    </w:p>
    <w:p w14:paraId="39A6758C"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b/>
          <w:i/>
          <w:sz w:val="22"/>
          <w:szCs w:val="22"/>
        </w:rPr>
        <w:t>Artículo 74.</w:t>
      </w:r>
      <w:r w:rsidRPr="00435703">
        <w:rPr>
          <w:rFonts w:ascii="Palatino Linotype" w:eastAsia="Palatino Linotype" w:hAnsi="Palatino Linotype" w:cs="Palatino Linotype"/>
          <w:i/>
          <w:sz w:val="22"/>
          <w:szCs w:val="22"/>
        </w:rPr>
        <w:t xml:space="preserve"> Son atribuciones de las autoridades municipales en materia de Seguridad Pública las siguientes:</w:t>
      </w:r>
    </w:p>
    <w:p w14:paraId="41F861C3"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b/>
          <w:i/>
          <w:sz w:val="22"/>
          <w:szCs w:val="22"/>
        </w:rPr>
        <w:t>XIII. Generar informes y estadísticas sobre actividades delictivas en el municipio;</w:t>
      </w:r>
      <w:r w:rsidRPr="00435703">
        <w:rPr>
          <w:rFonts w:ascii="Palatino Linotype" w:eastAsia="Palatino Linotype" w:hAnsi="Palatino Linotype" w:cs="Palatino Linotype"/>
          <w:i/>
          <w:sz w:val="22"/>
          <w:szCs w:val="22"/>
        </w:rPr>
        <w:t>”</w:t>
      </w:r>
    </w:p>
    <w:p w14:paraId="70CB50E0"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w:t>
      </w:r>
      <w:proofErr w:type="gramStart"/>
      <w:r w:rsidRPr="00435703">
        <w:rPr>
          <w:rFonts w:ascii="Palatino Linotype" w:eastAsia="Palatino Linotype" w:hAnsi="Palatino Linotype" w:cs="Palatino Linotype"/>
          <w:i/>
          <w:sz w:val="22"/>
          <w:szCs w:val="22"/>
        </w:rPr>
        <w:t>énfasis</w:t>
      </w:r>
      <w:proofErr w:type="gramEnd"/>
      <w:r w:rsidRPr="00435703">
        <w:rPr>
          <w:rFonts w:ascii="Palatino Linotype" w:eastAsia="Palatino Linotype" w:hAnsi="Palatino Linotype" w:cs="Palatino Linotype"/>
          <w:i/>
          <w:sz w:val="22"/>
          <w:szCs w:val="22"/>
        </w:rPr>
        <w:t xml:space="preserve"> añadido)</w:t>
      </w:r>
    </w:p>
    <w:p w14:paraId="42EA95D0" w14:textId="77777777" w:rsidR="00CD42B4" w:rsidRPr="00435703" w:rsidRDefault="00CD42B4">
      <w:pPr>
        <w:ind w:right="899"/>
        <w:jc w:val="both"/>
        <w:rPr>
          <w:rFonts w:ascii="Palatino Linotype" w:eastAsia="Palatino Linotype" w:hAnsi="Palatino Linotype" w:cs="Palatino Linotype"/>
          <w:i/>
          <w:sz w:val="22"/>
          <w:szCs w:val="22"/>
        </w:rPr>
      </w:pPr>
    </w:p>
    <w:p w14:paraId="3C8230E4" w14:textId="77777777" w:rsidR="00CD42B4" w:rsidRPr="00435703" w:rsidRDefault="00F34A2D">
      <w:pPr>
        <w:spacing w:line="360" w:lineRule="auto"/>
        <w:ind w:right="49"/>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Por otra parte, el Código Reglamentario del Ayuntamiento de Toluca que fue señalado anteriormente, contempla la existencia de una Dirección Operativa perteneciente a la Dirección de Seguridad Pública y  la cual tendrá dentro de sus atribuciones las de general, </w:t>
      </w:r>
      <w:r w:rsidRPr="00435703">
        <w:rPr>
          <w:rFonts w:ascii="Palatino Linotype" w:eastAsia="Palatino Linotype" w:hAnsi="Palatino Linotype" w:cs="Palatino Linotype"/>
        </w:rPr>
        <w:lastRenderedPageBreak/>
        <w:t xml:space="preserve">actualizar y sistematizar  la información delictiva del municipio como lo señala el artículo 3.33 fracción VIII, a saber: </w:t>
      </w:r>
    </w:p>
    <w:p w14:paraId="699A7CFB" w14:textId="77777777" w:rsidR="00CD42B4" w:rsidRPr="00435703" w:rsidRDefault="00CD42B4">
      <w:pPr>
        <w:spacing w:line="360" w:lineRule="auto"/>
        <w:ind w:right="49"/>
        <w:jc w:val="both"/>
        <w:rPr>
          <w:rFonts w:ascii="Palatino Linotype" w:eastAsia="Palatino Linotype" w:hAnsi="Palatino Linotype" w:cs="Palatino Linotype"/>
        </w:rPr>
      </w:pPr>
    </w:p>
    <w:p w14:paraId="66B9A770" w14:textId="77777777" w:rsidR="00CD42B4" w:rsidRPr="00435703" w:rsidRDefault="00F34A2D">
      <w:pPr>
        <w:spacing w:line="360" w:lineRule="auto"/>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w:t>
      </w:r>
      <w:r w:rsidRPr="00435703">
        <w:rPr>
          <w:rFonts w:ascii="Palatino Linotype" w:eastAsia="Palatino Linotype" w:hAnsi="Palatino Linotype" w:cs="Palatino Linotype"/>
          <w:b/>
          <w:i/>
          <w:sz w:val="22"/>
          <w:szCs w:val="22"/>
        </w:rPr>
        <w:t xml:space="preserve">Artículo 3.33 </w:t>
      </w:r>
      <w:r w:rsidRPr="00435703">
        <w:rPr>
          <w:rFonts w:ascii="Palatino Linotype" w:eastAsia="Palatino Linotype" w:hAnsi="Palatino Linotype" w:cs="Palatino Linotype"/>
          <w:i/>
          <w:sz w:val="22"/>
          <w:szCs w:val="22"/>
        </w:rPr>
        <w:t>La o el titular de la Dirección Operativa tiene las siguientes atribuciones:</w:t>
      </w:r>
    </w:p>
    <w:p w14:paraId="7B594FFF" w14:textId="77777777" w:rsidR="00CD42B4" w:rsidRPr="00435703" w:rsidRDefault="00F34A2D">
      <w:pPr>
        <w:spacing w:line="360" w:lineRule="auto"/>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VIII. Generar, organizar, sistematizar y actualizar información delictiva de tipo analítica, técnica e integral;”</w:t>
      </w:r>
    </w:p>
    <w:p w14:paraId="2C5EE173" w14:textId="77777777" w:rsidR="00CD42B4" w:rsidRPr="00435703" w:rsidRDefault="00CD42B4">
      <w:pPr>
        <w:ind w:right="899"/>
        <w:jc w:val="both"/>
        <w:rPr>
          <w:rFonts w:ascii="Palatino Linotype" w:eastAsia="Palatino Linotype" w:hAnsi="Palatino Linotype" w:cs="Palatino Linotype"/>
        </w:rPr>
      </w:pPr>
    </w:p>
    <w:p w14:paraId="4EFBBD56" w14:textId="77777777" w:rsidR="00CD42B4" w:rsidRPr="00435703" w:rsidRDefault="00F34A2D">
      <w:pPr>
        <w:spacing w:line="360" w:lineRule="auto"/>
        <w:ind w:right="49"/>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De manera que </w:t>
      </w:r>
      <w:r w:rsidRPr="00435703">
        <w:rPr>
          <w:rFonts w:ascii="Palatino Linotype" w:eastAsia="Palatino Linotype" w:hAnsi="Palatino Linotype" w:cs="Palatino Linotype"/>
          <w:b/>
        </w:rPr>
        <w:t>EL SUJETO OBLIGADO</w:t>
      </w:r>
      <w:r w:rsidRPr="00435703">
        <w:rPr>
          <w:rFonts w:ascii="Palatino Linotype" w:eastAsia="Palatino Linotype" w:hAnsi="Palatino Linotype" w:cs="Palatino Linotype"/>
        </w:rPr>
        <w:t xml:space="preserve"> también tiene facultades para conocer sobre dicha información, la cual, como señalan los preceptos normativos antes citados, es meramente estadística y la información con dicha calidad es de naturaleza pública independientemente de la materia a la que se refiera. </w:t>
      </w:r>
    </w:p>
    <w:p w14:paraId="2A9B6DCD" w14:textId="77777777" w:rsidR="00CD42B4" w:rsidRPr="00435703" w:rsidRDefault="00CD42B4">
      <w:pPr>
        <w:spacing w:line="360" w:lineRule="auto"/>
        <w:ind w:right="49"/>
        <w:jc w:val="both"/>
        <w:rPr>
          <w:rFonts w:ascii="Palatino Linotype" w:eastAsia="Palatino Linotype" w:hAnsi="Palatino Linotype" w:cs="Palatino Linotype"/>
        </w:rPr>
      </w:pPr>
    </w:p>
    <w:p w14:paraId="27D017FB" w14:textId="77777777" w:rsidR="00CD42B4" w:rsidRPr="00435703" w:rsidRDefault="00F34A2D">
      <w:pPr>
        <w:spacing w:line="360" w:lineRule="auto"/>
        <w:ind w:right="49"/>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Sobre lo anterior versa el criterio 11/09 del Instituto Nacional de Transparencia, Acceso a la Información y Protección de Datos Personales, mismo que versa sobre lo siguiente: </w:t>
      </w:r>
    </w:p>
    <w:p w14:paraId="7534CF19" w14:textId="77777777" w:rsidR="00CD42B4" w:rsidRPr="00435703" w:rsidRDefault="00F34A2D">
      <w:pPr>
        <w:spacing w:line="276" w:lineRule="auto"/>
        <w:ind w:left="850" w:right="131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b/>
          <w:i/>
          <w:sz w:val="22"/>
          <w:szCs w:val="22"/>
        </w:rPr>
        <w:t xml:space="preserve">“La información estadística es de naturaleza pública, independientemente de la  materia  con  la  que  se encuentre  vinculada. </w:t>
      </w:r>
      <w:r w:rsidRPr="00435703">
        <w:rPr>
          <w:rFonts w:ascii="Palatino Linotype" w:eastAsia="Palatino Linotype" w:hAnsi="Palatino Linotype" w:cs="Palatino Linotype"/>
          <w:i/>
          <w:sz w:val="22"/>
          <w:szCs w:val="22"/>
        </w:rPr>
        <w:t>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w:t>
      </w:r>
    </w:p>
    <w:p w14:paraId="05F9E6E6" w14:textId="77777777" w:rsidR="00CD42B4" w:rsidRPr="00435703" w:rsidRDefault="00F34A2D">
      <w:pPr>
        <w:spacing w:line="276" w:lineRule="auto"/>
        <w:ind w:left="850" w:right="131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(Énfasis añadido)</w:t>
      </w:r>
    </w:p>
    <w:p w14:paraId="5F1BBFEC" w14:textId="77777777" w:rsidR="00CD42B4" w:rsidRPr="00435703" w:rsidRDefault="00F34A2D">
      <w:pPr>
        <w:spacing w:line="360" w:lineRule="auto"/>
        <w:ind w:right="49"/>
        <w:jc w:val="both"/>
        <w:rPr>
          <w:rFonts w:ascii="Palatino Linotype" w:eastAsia="Palatino Linotype" w:hAnsi="Palatino Linotype" w:cs="Palatino Linotype"/>
          <w:i/>
        </w:rPr>
      </w:pPr>
      <w:r w:rsidRPr="00435703">
        <w:rPr>
          <w:rFonts w:ascii="Palatino Linotype" w:eastAsia="Palatino Linotype" w:hAnsi="Palatino Linotype" w:cs="Palatino Linotype"/>
        </w:rPr>
        <w:lastRenderedPageBreak/>
        <w:t xml:space="preserve">En lo que hace a la parte de la solicitud donde </w:t>
      </w:r>
      <w:r w:rsidRPr="00435703">
        <w:rPr>
          <w:rFonts w:ascii="Palatino Linotype" w:eastAsia="Palatino Linotype" w:hAnsi="Palatino Linotype" w:cs="Palatino Linotype"/>
          <w:b/>
        </w:rPr>
        <w:t>EL RECURRENTE</w:t>
      </w:r>
      <w:r w:rsidRPr="00435703">
        <w:rPr>
          <w:rFonts w:ascii="Palatino Linotype" w:eastAsia="Palatino Linotype" w:hAnsi="Palatino Linotype" w:cs="Palatino Linotype"/>
        </w:rPr>
        <w:t xml:space="preserve"> desea conocer: </w:t>
      </w:r>
      <w:r w:rsidRPr="00435703">
        <w:rPr>
          <w:rFonts w:ascii="Palatino Linotype" w:eastAsia="Palatino Linotype" w:hAnsi="Palatino Linotype" w:cs="Palatino Linotype"/>
          <w:b/>
          <w:i/>
        </w:rPr>
        <w:t>“el número de patrullas con las que cuenta el Municipio para prestar el servicio de seguridad pública dentro del territorio municipal. Número de unidades vehiculares con las que cuenta el Municipio, para prestar el servicio de seguridad pública. Así mismo pidiendo se agregue descripción de la unidades como es: marca, modelo, año del vehículo y su equipamiento.” (Sic</w:t>
      </w:r>
      <w:r w:rsidRPr="00435703">
        <w:rPr>
          <w:rFonts w:ascii="Palatino Linotype" w:eastAsia="Palatino Linotype" w:hAnsi="Palatino Linotype" w:cs="Palatino Linotype"/>
          <w:i/>
        </w:rPr>
        <w:t>)</w:t>
      </w:r>
    </w:p>
    <w:p w14:paraId="469EADAE" w14:textId="77777777" w:rsidR="00CD42B4" w:rsidRPr="00435703" w:rsidRDefault="00CD42B4">
      <w:pPr>
        <w:spacing w:line="360" w:lineRule="auto"/>
        <w:ind w:right="49"/>
        <w:jc w:val="both"/>
        <w:rPr>
          <w:rFonts w:ascii="Palatino Linotype" w:eastAsia="Palatino Linotype" w:hAnsi="Palatino Linotype" w:cs="Palatino Linotype"/>
          <w:i/>
          <w:sz w:val="22"/>
          <w:szCs w:val="22"/>
        </w:rPr>
      </w:pPr>
    </w:p>
    <w:p w14:paraId="5079CA18" w14:textId="77777777" w:rsidR="00CD42B4" w:rsidRPr="00435703" w:rsidRDefault="00F34A2D">
      <w:pPr>
        <w:spacing w:line="360" w:lineRule="auto"/>
        <w:ind w:right="49"/>
        <w:jc w:val="both"/>
        <w:rPr>
          <w:rFonts w:ascii="Palatino Linotype" w:eastAsia="Palatino Linotype" w:hAnsi="Palatino Linotype" w:cs="Palatino Linotype"/>
        </w:rPr>
      </w:pPr>
      <w:r w:rsidRPr="00435703">
        <w:rPr>
          <w:rFonts w:ascii="Palatino Linotype" w:eastAsia="Palatino Linotype" w:hAnsi="Palatino Linotype" w:cs="Palatino Linotype"/>
        </w:rPr>
        <w:t>Como se ha mencionado antes, la Dirección General de Seguridad Pública se auxiliará de otras direcciones como señala el último párrafo del artículo 3.32 del Código Reglamentario del Ayuntamiento de Toluca, entre ellas se encuentra la Dirección Operativa, la cual según lo dispuesto por el artículo 3.33 fracción V deberá coordinar y controlar los bienes muebles e inmuebles del Ayuntamiento, que a la letra dice:</w:t>
      </w:r>
    </w:p>
    <w:p w14:paraId="6B4AEB69" w14:textId="77777777" w:rsidR="00CD42B4" w:rsidRPr="00435703" w:rsidRDefault="00CD42B4">
      <w:pPr>
        <w:spacing w:line="360" w:lineRule="auto"/>
        <w:jc w:val="both"/>
        <w:rPr>
          <w:rFonts w:ascii="Palatino Linotype" w:eastAsia="Palatino Linotype" w:hAnsi="Palatino Linotype" w:cs="Palatino Linotype"/>
        </w:rPr>
      </w:pPr>
    </w:p>
    <w:p w14:paraId="3435FC2D" w14:textId="77777777" w:rsidR="00CD42B4" w:rsidRPr="00435703" w:rsidRDefault="00F34A2D">
      <w:pPr>
        <w:ind w:left="850" w:right="899"/>
        <w:jc w:val="both"/>
        <w:rPr>
          <w:rFonts w:ascii="Palatino Linotype" w:eastAsia="Palatino Linotype" w:hAnsi="Palatino Linotype" w:cs="Palatino Linotype"/>
          <w:b/>
          <w:i/>
          <w:sz w:val="22"/>
          <w:szCs w:val="22"/>
          <w:u w:val="single"/>
        </w:rPr>
      </w:pPr>
      <w:r w:rsidRPr="00435703">
        <w:rPr>
          <w:rFonts w:ascii="Palatino Linotype" w:eastAsia="Palatino Linotype" w:hAnsi="Palatino Linotype" w:cs="Palatino Linotype"/>
          <w:i/>
          <w:sz w:val="22"/>
          <w:szCs w:val="22"/>
        </w:rPr>
        <w:t>“</w:t>
      </w:r>
      <w:r w:rsidRPr="00435703">
        <w:rPr>
          <w:rFonts w:ascii="Palatino Linotype" w:eastAsia="Palatino Linotype" w:hAnsi="Palatino Linotype" w:cs="Palatino Linotype"/>
          <w:b/>
          <w:i/>
          <w:sz w:val="22"/>
          <w:szCs w:val="22"/>
          <w:u w:val="single"/>
        </w:rPr>
        <w:t xml:space="preserve">DIRECCIÓN OPERATIVA </w:t>
      </w:r>
    </w:p>
    <w:p w14:paraId="16182CE2" w14:textId="77777777" w:rsidR="00CD42B4" w:rsidRPr="00435703" w:rsidRDefault="00CD42B4">
      <w:pPr>
        <w:ind w:left="850" w:right="899"/>
        <w:jc w:val="both"/>
        <w:rPr>
          <w:rFonts w:ascii="Palatino Linotype" w:eastAsia="Palatino Linotype" w:hAnsi="Palatino Linotype" w:cs="Palatino Linotype"/>
          <w:i/>
          <w:sz w:val="22"/>
          <w:szCs w:val="22"/>
        </w:rPr>
      </w:pPr>
    </w:p>
    <w:p w14:paraId="387E881C"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b/>
          <w:i/>
          <w:sz w:val="22"/>
          <w:szCs w:val="22"/>
        </w:rPr>
        <w:t xml:space="preserve">Artículo 3.33 </w:t>
      </w:r>
      <w:r w:rsidRPr="00435703">
        <w:rPr>
          <w:rFonts w:ascii="Palatino Linotype" w:eastAsia="Palatino Linotype" w:hAnsi="Palatino Linotype" w:cs="Palatino Linotype"/>
          <w:i/>
          <w:sz w:val="22"/>
          <w:szCs w:val="22"/>
        </w:rPr>
        <w:t>La o el titular de la Dirección Operativa tiene las siguientes atribuciones:</w:t>
      </w:r>
    </w:p>
    <w:p w14:paraId="693861E0"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V. Establecer, coordinar, supervisar y actualizar los mecanismos de control de los bienes muebles e inmuebles del Ayuntamiento a su cargo, del armamento asignado al personal, y de la estadística criminal del municipio;”</w:t>
      </w:r>
    </w:p>
    <w:p w14:paraId="330FC80F"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w:t>
      </w:r>
      <w:proofErr w:type="gramStart"/>
      <w:r w:rsidRPr="00435703">
        <w:rPr>
          <w:rFonts w:ascii="Palatino Linotype" w:eastAsia="Palatino Linotype" w:hAnsi="Palatino Linotype" w:cs="Palatino Linotype"/>
          <w:i/>
          <w:sz w:val="22"/>
          <w:szCs w:val="22"/>
        </w:rPr>
        <w:t>énfasis</w:t>
      </w:r>
      <w:proofErr w:type="gramEnd"/>
      <w:r w:rsidRPr="00435703">
        <w:rPr>
          <w:rFonts w:ascii="Palatino Linotype" w:eastAsia="Palatino Linotype" w:hAnsi="Palatino Linotype" w:cs="Palatino Linotype"/>
          <w:i/>
          <w:sz w:val="22"/>
          <w:szCs w:val="22"/>
        </w:rPr>
        <w:t xml:space="preserve"> añadido)</w:t>
      </w:r>
    </w:p>
    <w:p w14:paraId="7F7AC0AF" w14:textId="77777777" w:rsidR="00CD42B4" w:rsidRPr="00435703" w:rsidRDefault="00CD42B4">
      <w:pPr>
        <w:spacing w:line="360" w:lineRule="auto"/>
        <w:ind w:left="850" w:right="899"/>
        <w:jc w:val="both"/>
        <w:rPr>
          <w:rFonts w:ascii="Palatino Linotype" w:eastAsia="Palatino Linotype" w:hAnsi="Palatino Linotype" w:cs="Palatino Linotype"/>
        </w:rPr>
      </w:pPr>
    </w:p>
    <w:p w14:paraId="233F0697" w14:textId="77777777" w:rsidR="00CD42B4" w:rsidRPr="00435703" w:rsidRDefault="00F34A2D">
      <w:pPr>
        <w:spacing w:line="360" w:lineRule="auto"/>
        <w:ind w:right="49"/>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Aunado a lo anterior, es una obligación de transparencia el que los Sujetos Obligados mantengan de forma permanente y actualizada el inventario de bienes muebles e inmuebles que sean de su propiedad o que se encuentren en su posesión, como lo señala el artículo  92 fracción XXXVIII de la Ley de Transparencia y Acceso a la Información Pública del Estado de México y Municipios: </w:t>
      </w:r>
    </w:p>
    <w:p w14:paraId="43ECA300" w14:textId="77777777" w:rsidR="00CD42B4" w:rsidRPr="00435703" w:rsidRDefault="00CD42B4">
      <w:pPr>
        <w:spacing w:line="360" w:lineRule="auto"/>
        <w:ind w:right="49"/>
        <w:jc w:val="both"/>
        <w:rPr>
          <w:rFonts w:ascii="Palatino Linotype" w:eastAsia="Palatino Linotype" w:hAnsi="Palatino Linotype" w:cs="Palatino Linotype"/>
        </w:rPr>
      </w:pPr>
    </w:p>
    <w:p w14:paraId="6836102A"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b/>
          <w:i/>
          <w:sz w:val="22"/>
          <w:szCs w:val="22"/>
        </w:rPr>
        <w:lastRenderedPageBreak/>
        <w:t>“Artículo 92.</w:t>
      </w:r>
      <w:r w:rsidRPr="00435703">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D16FAF0" w14:textId="77777777" w:rsidR="00CD42B4" w:rsidRPr="00435703" w:rsidRDefault="00CD42B4">
      <w:pPr>
        <w:ind w:left="850" w:right="899"/>
        <w:jc w:val="both"/>
        <w:rPr>
          <w:rFonts w:ascii="Palatino Linotype" w:eastAsia="Palatino Linotype" w:hAnsi="Palatino Linotype" w:cs="Palatino Linotype"/>
          <w:b/>
          <w:i/>
          <w:sz w:val="22"/>
          <w:szCs w:val="22"/>
        </w:rPr>
      </w:pPr>
    </w:p>
    <w:p w14:paraId="75A5C7AA" w14:textId="77777777" w:rsidR="00CD42B4" w:rsidRPr="00435703" w:rsidRDefault="00F34A2D">
      <w:pPr>
        <w:ind w:left="850" w:right="899"/>
        <w:jc w:val="both"/>
        <w:rPr>
          <w:rFonts w:ascii="Palatino Linotype" w:eastAsia="Palatino Linotype" w:hAnsi="Palatino Linotype" w:cs="Palatino Linotype"/>
          <w:b/>
          <w:i/>
          <w:sz w:val="22"/>
          <w:szCs w:val="22"/>
        </w:rPr>
      </w:pPr>
      <w:r w:rsidRPr="00435703">
        <w:rPr>
          <w:rFonts w:ascii="Palatino Linotype" w:eastAsia="Palatino Linotype" w:hAnsi="Palatino Linotype" w:cs="Palatino Linotype"/>
          <w:b/>
          <w:i/>
          <w:sz w:val="22"/>
          <w:szCs w:val="22"/>
        </w:rPr>
        <w:t>XXXVIII. El inventario de bienes muebles e inmuebles en posesión y propiedad;”</w:t>
      </w:r>
    </w:p>
    <w:p w14:paraId="73E9B5F9" w14:textId="77777777" w:rsidR="00CD42B4" w:rsidRPr="00435703" w:rsidRDefault="00F34A2D">
      <w:pPr>
        <w:ind w:left="850" w:right="899"/>
        <w:jc w:val="both"/>
        <w:rPr>
          <w:rFonts w:ascii="Palatino Linotype" w:eastAsia="Palatino Linotype" w:hAnsi="Palatino Linotype" w:cs="Palatino Linotype"/>
          <w:b/>
          <w:i/>
          <w:sz w:val="22"/>
          <w:szCs w:val="22"/>
        </w:rPr>
      </w:pPr>
      <w:r w:rsidRPr="00435703">
        <w:rPr>
          <w:rFonts w:ascii="Palatino Linotype" w:eastAsia="Palatino Linotype" w:hAnsi="Palatino Linotype" w:cs="Palatino Linotype"/>
          <w:b/>
          <w:i/>
          <w:sz w:val="22"/>
          <w:szCs w:val="22"/>
        </w:rPr>
        <w:t>(</w:t>
      </w:r>
      <w:proofErr w:type="gramStart"/>
      <w:r w:rsidRPr="00435703">
        <w:rPr>
          <w:rFonts w:ascii="Palatino Linotype" w:eastAsia="Palatino Linotype" w:hAnsi="Palatino Linotype" w:cs="Palatino Linotype"/>
          <w:b/>
          <w:i/>
          <w:sz w:val="22"/>
          <w:szCs w:val="22"/>
        </w:rPr>
        <w:t>énfasis</w:t>
      </w:r>
      <w:proofErr w:type="gramEnd"/>
      <w:r w:rsidRPr="00435703">
        <w:rPr>
          <w:rFonts w:ascii="Palatino Linotype" w:eastAsia="Palatino Linotype" w:hAnsi="Palatino Linotype" w:cs="Palatino Linotype"/>
          <w:b/>
          <w:i/>
          <w:sz w:val="22"/>
          <w:szCs w:val="22"/>
        </w:rPr>
        <w:t xml:space="preserve"> añadido)</w:t>
      </w:r>
    </w:p>
    <w:p w14:paraId="67F6FCFA" w14:textId="77777777" w:rsidR="00CD42B4" w:rsidRPr="00435703" w:rsidRDefault="00CD42B4">
      <w:pPr>
        <w:spacing w:line="360" w:lineRule="auto"/>
        <w:ind w:left="850" w:right="899"/>
        <w:jc w:val="both"/>
        <w:rPr>
          <w:rFonts w:ascii="Palatino Linotype" w:eastAsia="Palatino Linotype" w:hAnsi="Palatino Linotype" w:cs="Palatino Linotype"/>
          <w:b/>
          <w:i/>
          <w:sz w:val="22"/>
          <w:szCs w:val="22"/>
        </w:rPr>
      </w:pPr>
    </w:p>
    <w:p w14:paraId="0953F5D7" w14:textId="77777777" w:rsidR="00CD42B4" w:rsidRPr="00435703" w:rsidRDefault="00F34A2D">
      <w:pPr>
        <w:spacing w:line="360" w:lineRule="auto"/>
        <w:ind w:right="49"/>
        <w:jc w:val="both"/>
        <w:rPr>
          <w:rFonts w:ascii="Palatino Linotype" w:eastAsia="Palatino Linotype" w:hAnsi="Palatino Linotype" w:cs="Palatino Linotype"/>
        </w:rPr>
      </w:pPr>
      <w:r w:rsidRPr="00435703">
        <w:rPr>
          <w:rFonts w:ascii="Palatino Linotype" w:eastAsia="Palatino Linotype" w:hAnsi="Palatino Linotype" w:cs="Palatino Linotype"/>
        </w:rPr>
        <w:t>Así bien, se advierte que el solicitante requirió</w:t>
      </w:r>
      <w:r w:rsidRPr="00435703">
        <w:rPr>
          <w:rFonts w:ascii="Palatino Linotype" w:eastAsia="Palatino Linotype" w:hAnsi="Palatino Linotype" w:cs="Palatino Linotype"/>
          <w:b/>
        </w:rPr>
        <w:t xml:space="preserve"> de las unidades vehiculares la marca, modelo, año y su equipamiento.  </w:t>
      </w:r>
    </w:p>
    <w:p w14:paraId="750AE59C" w14:textId="77777777" w:rsidR="00CD42B4" w:rsidRPr="00435703" w:rsidRDefault="00CD42B4">
      <w:pPr>
        <w:spacing w:line="360" w:lineRule="auto"/>
        <w:ind w:right="49"/>
        <w:jc w:val="both"/>
        <w:rPr>
          <w:rFonts w:ascii="Palatino Linotype" w:eastAsia="Palatino Linotype" w:hAnsi="Palatino Linotype" w:cs="Palatino Linotype"/>
        </w:rPr>
      </w:pPr>
    </w:p>
    <w:p w14:paraId="3E178DD4" w14:textId="77777777" w:rsidR="00CD42B4" w:rsidRPr="00435703" w:rsidRDefault="00F34A2D">
      <w:pPr>
        <w:spacing w:line="360" w:lineRule="auto"/>
        <w:ind w:right="49"/>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En ese sentido, es de señalar que otros Órganos Garantes han sostenido que la información relativa al modelo, tipo y marca de las patrullas de seguridad pública, no menoscaba de forma alguna las acciones encaminadas a la erradicación persecución y prevención de delitos, ni la defensa del municipio, dado que tanto la descripción de la unidades como el número total de ellas no revelan el estado de fuerza del Municipio pues no es el elemento exclusivo que permite identificarlo, toda vez que no es la única forma con la que el municipio lleva a cabo sus tareas de vigilancia y prevención. </w:t>
      </w:r>
    </w:p>
    <w:p w14:paraId="28A8D71B" w14:textId="77777777" w:rsidR="00CD42B4" w:rsidRPr="00435703" w:rsidRDefault="00CD42B4">
      <w:pPr>
        <w:spacing w:line="360" w:lineRule="auto"/>
        <w:ind w:right="49"/>
        <w:jc w:val="both"/>
        <w:rPr>
          <w:rFonts w:ascii="Palatino Linotype" w:eastAsia="Palatino Linotype" w:hAnsi="Palatino Linotype" w:cs="Palatino Linotype"/>
        </w:rPr>
      </w:pPr>
    </w:p>
    <w:p w14:paraId="7050FF85" w14:textId="77777777" w:rsidR="00CD42B4" w:rsidRPr="00435703" w:rsidRDefault="00F34A2D">
      <w:pPr>
        <w:spacing w:line="360" w:lineRule="auto"/>
        <w:ind w:right="49"/>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Sobre ello se pronuncia el Instituto Nacional de Transparencia en la revisión del recurso RRA 10357/18, en el que se señaló que la difusión de la información referente a la capacidad de operación policial de los municipios no representa un riesgo amenaza a la seguridad pública, ni puede menoscabar las reacción de las instituciones, debido a que la capacidad de operación no se limita al número de elementos sino contempla una serie de estrategias, procesos, inteligencia, tecnología, comunicaciones, entre otros. </w:t>
      </w:r>
    </w:p>
    <w:p w14:paraId="6E6793EA" w14:textId="77777777" w:rsidR="00CD42B4" w:rsidRPr="00435703" w:rsidRDefault="00CD42B4">
      <w:pPr>
        <w:spacing w:line="360" w:lineRule="auto"/>
        <w:ind w:right="49"/>
        <w:jc w:val="both"/>
        <w:rPr>
          <w:rFonts w:ascii="Palatino Linotype" w:eastAsia="Palatino Linotype" w:hAnsi="Palatino Linotype" w:cs="Palatino Linotype"/>
        </w:rPr>
      </w:pPr>
    </w:p>
    <w:p w14:paraId="16A268ED" w14:textId="77777777" w:rsidR="00CD42B4" w:rsidRPr="00435703" w:rsidRDefault="00F34A2D">
      <w:pPr>
        <w:spacing w:line="360" w:lineRule="auto"/>
        <w:ind w:right="49"/>
        <w:jc w:val="both"/>
        <w:rPr>
          <w:rFonts w:ascii="Palatino Linotype" w:eastAsia="Palatino Linotype" w:hAnsi="Palatino Linotype" w:cs="Palatino Linotype"/>
        </w:rPr>
      </w:pPr>
      <w:r w:rsidRPr="00435703">
        <w:rPr>
          <w:rFonts w:ascii="Palatino Linotype" w:eastAsia="Palatino Linotype" w:hAnsi="Palatino Linotype" w:cs="Palatino Linotype"/>
        </w:rPr>
        <w:lastRenderedPageBreak/>
        <w:t xml:space="preserve">Asimismo el INSTITUTO DE TRANSPARENCIA, INFORMACIÓN PÚBLICA Y PROTECCIÓN DE DATOS PERSONALES DEL ESTADO DE JALISCO sustentó en la resolución del recurso 312/2019 que la información relacionada con unidades de patrullaje y vigilancia, se encuentra en constante movimiento dado que el mantenimiento y arreglo de cada modelo es casuístico, de igual manera se incorporan constantemente nuevos vehículos que se encuentren en mejores condiciones de manera que la información no es estática y es del conocimiento público pues dichas unidades transitan las calles dejando a la vista dichos elementos. </w:t>
      </w:r>
    </w:p>
    <w:p w14:paraId="6FA01BBE" w14:textId="77777777" w:rsidR="00CD42B4" w:rsidRPr="00435703" w:rsidRDefault="00CD42B4">
      <w:pPr>
        <w:spacing w:line="360" w:lineRule="auto"/>
        <w:ind w:right="49"/>
        <w:jc w:val="both"/>
        <w:rPr>
          <w:rFonts w:ascii="Palatino Linotype" w:eastAsia="Palatino Linotype" w:hAnsi="Palatino Linotype" w:cs="Palatino Linotype"/>
        </w:rPr>
      </w:pPr>
    </w:p>
    <w:p w14:paraId="6C554B72" w14:textId="77777777" w:rsidR="00CD42B4" w:rsidRPr="00435703" w:rsidRDefault="00F34A2D">
      <w:pPr>
        <w:spacing w:line="360" w:lineRule="auto"/>
        <w:ind w:right="49"/>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En atención a lo anterior se advierte que dicha información puede obrar en un soporte documental tal como un contrato de adquisición de bien, en donde se describan sus características y el cual en su caso es susceptible de entrega en versión pública. </w:t>
      </w:r>
    </w:p>
    <w:p w14:paraId="1F3C4555" w14:textId="77777777" w:rsidR="00CD42B4" w:rsidRPr="00435703" w:rsidRDefault="00CD42B4">
      <w:pPr>
        <w:spacing w:line="360" w:lineRule="auto"/>
        <w:ind w:right="49"/>
        <w:jc w:val="both"/>
        <w:rPr>
          <w:rFonts w:ascii="Palatino Linotype" w:eastAsia="Palatino Linotype" w:hAnsi="Palatino Linotype" w:cs="Palatino Linotype"/>
        </w:rPr>
      </w:pPr>
    </w:p>
    <w:p w14:paraId="663C9D87" w14:textId="77777777" w:rsidR="00CD42B4" w:rsidRPr="00435703" w:rsidRDefault="00F34A2D">
      <w:pPr>
        <w:spacing w:line="360" w:lineRule="auto"/>
        <w:ind w:right="4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rPr>
        <w:t xml:space="preserve">En relación a los requerimientos en donde se busca conocer: </w:t>
      </w:r>
      <w:r w:rsidRPr="00435703">
        <w:rPr>
          <w:rFonts w:ascii="Palatino Linotype" w:eastAsia="Palatino Linotype" w:hAnsi="Palatino Linotype" w:cs="Palatino Linotype"/>
          <w:b/>
          <w:i/>
        </w:rPr>
        <w:t xml:space="preserve">“-Con cuantos Oficiales en servicio cuenta el Municipio para servir a la comunidad brindando el servicio de seguridad pública. -Con cuantos Oficiales en servicio cuenta el Municipio para servir a la comunidad brindando el servicio de transito vial -Cuantos oficiales de Seguridad Pública y </w:t>
      </w:r>
      <w:proofErr w:type="spellStart"/>
      <w:r w:rsidRPr="00435703">
        <w:rPr>
          <w:rFonts w:ascii="Palatino Linotype" w:eastAsia="Palatino Linotype" w:hAnsi="Palatino Linotype" w:cs="Palatino Linotype"/>
          <w:b/>
          <w:i/>
        </w:rPr>
        <w:t>Transito</w:t>
      </w:r>
      <w:proofErr w:type="spellEnd"/>
      <w:r w:rsidRPr="00435703">
        <w:rPr>
          <w:rFonts w:ascii="Palatino Linotype" w:eastAsia="Palatino Linotype" w:hAnsi="Palatino Linotype" w:cs="Palatino Linotype"/>
          <w:b/>
          <w:i/>
        </w:rPr>
        <w:t xml:space="preserve"> fueron contratados en la actual administración. - Cuantos Oficiales facultativos hay en la Comisaria de Seguridad Pública y </w:t>
      </w:r>
      <w:proofErr w:type="spellStart"/>
      <w:r w:rsidRPr="00435703">
        <w:rPr>
          <w:rFonts w:ascii="Palatino Linotype" w:eastAsia="Palatino Linotype" w:hAnsi="Palatino Linotype" w:cs="Palatino Linotype"/>
          <w:b/>
          <w:i/>
        </w:rPr>
        <w:t>Transito</w:t>
      </w:r>
      <w:proofErr w:type="spellEnd"/>
      <w:r w:rsidRPr="00435703">
        <w:rPr>
          <w:rFonts w:ascii="Palatino Linotype" w:eastAsia="Palatino Linotype" w:hAnsi="Palatino Linotype" w:cs="Palatino Linotype"/>
          <w:b/>
          <w:i/>
        </w:rPr>
        <w:t xml:space="preserve"> dividido en seguridad pública y </w:t>
      </w:r>
      <w:proofErr w:type="spellStart"/>
      <w:r w:rsidRPr="00435703">
        <w:rPr>
          <w:rFonts w:ascii="Palatino Linotype" w:eastAsia="Palatino Linotype" w:hAnsi="Palatino Linotype" w:cs="Palatino Linotype"/>
          <w:b/>
          <w:i/>
        </w:rPr>
        <w:t>transito</w:t>
      </w:r>
      <w:proofErr w:type="spellEnd"/>
      <w:r w:rsidRPr="00435703">
        <w:rPr>
          <w:rFonts w:ascii="Palatino Linotype" w:eastAsia="Palatino Linotype" w:hAnsi="Palatino Linotype" w:cs="Palatino Linotype"/>
          <w:b/>
          <w:i/>
        </w:rPr>
        <w:t xml:space="preserve"> señalando fecha o fechas de ingreso. -cuantos policías no se encuentran en ejercicio de sus funciones por ser </w:t>
      </w:r>
      <w:proofErr w:type="spellStart"/>
      <w:r w:rsidRPr="00435703">
        <w:rPr>
          <w:rFonts w:ascii="Palatino Linotype" w:eastAsia="Palatino Linotype" w:hAnsi="Palatino Linotype" w:cs="Palatino Linotype"/>
          <w:b/>
          <w:i/>
        </w:rPr>
        <w:t>sanncionados</w:t>
      </w:r>
      <w:proofErr w:type="spellEnd"/>
      <w:r w:rsidRPr="00435703">
        <w:rPr>
          <w:rFonts w:ascii="Palatino Linotype" w:eastAsia="Palatino Linotype" w:hAnsi="Palatino Linotype" w:cs="Palatino Linotype"/>
          <w:b/>
          <w:i/>
        </w:rPr>
        <w:t>. - solicito el nombre de policías sancionados por faltas graves.” (Sic)</w:t>
      </w:r>
    </w:p>
    <w:p w14:paraId="3E74211B" w14:textId="77777777" w:rsidR="00CD42B4" w:rsidRPr="00435703" w:rsidRDefault="00CD42B4">
      <w:pPr>
        <w:spacing w:line="360" w:lineRule="auto"/>
        <w:jc w:val="both"/>
        <w:rPr>
          <w:rFonts w:ascii="Palatino Linotype" w:eastAsia="Palatino Linotype" w:hAnsi="Palatino Linotype" w:cs="Palatino Linotype"/>
        </w:rPr>
      </w:pPr>
    </w:p>
    <w:p w14:paraId="0826D337"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lastRenderedPageBreak/>
        <w:t>En la administración pública municipal del Ayuntamiento de Toluca cuenta con una Dirección General de Administración la cual según indica el artículo 3.44 del Código Reglamentario del Ayuntamiento de Toluca, se auxiliará de la Dirección de recursos Humanos, la cual dentro de sus atribuciones enlistada en el artículo 3.45 del mismo ordenamiento debe elaborar los mecanismos para la contratación de personal así como registrar  administrar lo relacionado con las altas y bajas de todo el personal del Ayuntamiento, los artículos antes citados refieren lo siguiente:</w:t>
      </w:r>
    </w:p>
    <w:p w14:paraId="5481A69E" w14:textId="77777777" w:rsidR="00CD42B4" w:rsidRPr="00435703" w:rsidRDefault="00CD42B4">
      <w:pPr>
        <w:spacing w:line="360" w:lineRule="auto"/>
        <w:jc w:val="both"/>
        <w:rPr>
          <w:rFonts w:ascii="Palatino Linotype" w:eastAsia="Palatino Linotype" w:hAnsi="Palatino Linotype" w:cs="Palatino Linotype"/>
        </w:rPr>
      </w:pPr>
    </w:p>
    <w:p w14:paraId="0CE1D9BD"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b/>
          <w:i/>
          <w:sz w:val="22"/>
          <w:szCs w:val="22"/>
        </w:rPr>
        <w:t>“Artículo 3.44.</w:t>
      </w:r>
      <w:r w:rsidRPr="00435703">
        <w:rPr>
          <w:rFonts w:ascii="Palatino Linotype" w:eastAsia="Palatino Linotype" w:hAnsi="Palatino Linotype" w:cs="Palatino Linotype"/>
          <w:i/>
          <w:sz w:val="22"/>
          <w:szCs w:val="22"/>
        </w:rPr>
        <w:t xml:space="preserve"> La Dirección General de Administración, para el cumplimiento de sus atribuciones, se auxiliará de la Dirección de Recursos Humanos, Dirección de Recursos Materiales, Dirección de Servicios Generales y Dirección de Tecnologías de la Información y Gobierno Digital. </w:t>
      </w:r>
    </w:p>
    <w:p w14:paraId="4F6ACF12" w14:textId="77777777" w:rsidR="00CD42B4" w:rsidRPr="00435703" w:rsidRDefault="00CD42B4">
      <w:pPr>
        <w:ind w:left="850" w:right="899"/>
        <w:jc w:val="both"/>
        <w:rPr>
          <w:rFonts w:ascii="Palatino Linotype" w:eastAsia="Palatino Linotype" w:hAnsi="Palatino Linotype" w:cs="Palatino Linotype"/>
          <w:i/>
          <w:sz w:val="22"/>
          <w:szCs w:val="22"/>
        </w:rPr>
      </w:pPr>
    </w:p>
    <w:p w14:paraId="4F96D435" w14:textId="77777777" w:rsidR="00CD42B4" w:rsidRPr="00435703" w:rsidRDefault="00F34A2D">
      <w:pPr>
        <w:ind w:left="850" w:right="899"/>
        <w:jc w:val="both"/>
        <w:rPr>
          <w:rFonts w:ascii="Palatino Linotype" w:eastAsia="Palatino Linotype" w:hAnsi="Palatino Linotype" w:cs="Palatino Linotype"/>
          <w:b/>
          <w:i/>
          <w:sz w:val="22"/>
          <w:szCs w:val="22"/>
          <w:u w:val="single"/>
        </w:rPr>
      </w:pPr>
      <w:r w:rsidRPr="00435703">
        <w:rPr>
          <w:rFonts w:ascii="Palatino Linotype" w:eastAsia="Palatino Linotype" w:hAnsi="Palatino Linotype" w:cs="Palatino Linotype"/>
          <w:b/>
          <w:i/>
          <w:sz w:val="22"/>
          <w:szCs w:val="22"/>
          <w:u w:val="single"/>
        </w:rPr>
        <w:t xml:space="preserve">SUBSECCIÓN PRIMERA </w:t>
      </w:r>
    </w:p>
    <w:p w14:paraId="6857D9F5" w14:textId="77777777" w:rsidR="00CD42B4" w:rsidRPr="00435703" w:rsidRDefault="00F34A2D">
      <w:pPr>
        <w:ind w:left="850" w:right="899"/>
        <w:jc w:val="both"/>
        <w:rPr>
          <w:rFonts w:ascii="Palatino Linotype" w:eastAsia="Palatino Linotype" w:hAnsi="Palatino Linotype" w:cs="Palatino Linotype"/>
          <w:b/>
          <w:i/>
          <w:sz w:val="22"/>
          <w:szCs w:val="22"/>
          <w:u w:val="single"/>
        </w:rPr>
      </w:pPr>
      <w:r w:rsidRPr="00435703">
        <w:rPr>
          <w:rFonts w:ascii="Palatino Linotype" w:eastAsia="Palatino Linotype" w:hAnsi="Palatino Linotype" w:cs="Palatino Linotype"/>
          <w:b/>
          <w:i/>
          <w:sz w:val="22"/>
          <w:szCs w:val="22"/>
          <w:u w:val="single"/>
        </w:rPr>
        <w:t xml:space="preserve">DE LA DIRECCIÓN DE RECURSOS HUMANOS </w:t>
      </w:r>
    </w:p>
    <w:p w14:paraId="0D516AA4" w14:textId="77777777" w:rsidR="00CD42B4" w:rsidRPr="00435703" w:rsidRDefault="00CD42B4">
      <w:pPr>
        <w:ind w:left="850" w:right="899"/>
        <w:jc w:val="both"/>
        <w:rPr>
          <w:rFonts w:ascii="Palatino Linotype" w:eastAsia="Palatino Linotype" w:hAnsi="Palatino Linotype" w:cs="Palatino Linotype"/>
          <w:b/>
          <w:i/>
          <w:sz w:val="22"/>
          <w:szCs w:val="22"/>
          <w:u w:val="single"/>
        </w:rPr>
      </w:pPr>
    </w:p>
    <w:p w14:paraId="0774D8DE"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b/>
          <w:i/>
          <w:sz w:val="22"/>
          <w:szCs w:val="22"/>
        </w:rPr>
        <w:t>Artículo 3.45</w:t>
      </w:r>
      <w:r w:rsidRPr="00435703">
        <w:rPr>
          <w:rFonts w:ascii="Palatino Linotype" w:eastAsia="Palatino Linotype" w:hAnsi="Palatino Linotype" w:cs="Palatino Linotype"/>
          <w:i/>
          <w:sz w:val="22"/>
          <w:szCs w:val="22"/>
        </w:rPr>
        <w:t xml:space="preserve">. La o el titular de la Dirección de Recursos Humanos cuenta con las siguientes atribuciones: </w:t>
      </w:r>
    </w:p>
    <w:p w14:paraId="28B07479"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I. Elaborar mecanismos de control para la selección, contratación, inducción, rotación, promoción y desarrollo del personal al servicio del Ayuntamiento;</w:t>
      </w:r>
    </w:p>
    <w:p w14:paraId="147105CD"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V. Registrar las altas, bajas, cambios de categoría y adscripción, permisos y licencias por incapacidad, entre otras, del personal, y su correcta aplicación;”</w:t>
      </w:r>
    </w:p>
    <w:p w14:paraId="4EF833A8"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(Énfasis añadido)</w:t>
      </w:r>
    </w:p>
    <w:p w14:paraId="22E297FD" w14:textId="77777777" w:rsidR="00CD42B4" w:rsidRPr="00435703" w:rsidRDefault="00CD42B4">
      <w:pPr>
        <w:spacing w:line="360" w:lineRule="auto"/>
        <w:jc w:val="both"/>
        <w:rPr>
          <w:rFonts w:ascii="Palatino Linotype" w:eastAsia="Palatino Linotype" w:hAnsi="Palatino Linotype" w:cs="Palatino Linotype"/>
        </w:rPr>
      </w:pPr>
    </w:p>
    <w:p w14:paraId="69ED8439"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Con respecto a las bajas del personal, el Código Reglamentario del Ayuntamiento de Toluca en sus artículos 11.23 y 11.25 señala que esta representa la terminación de la relación laboral entre el ayuntamiento y su empleado y para llevarla a cabo se deberá informar a la Dirección de Recursos Humanos mediante oficio, tal como se muestra a continuación:</w:t>
      </w:r>
    </w:p>
    <w:p w14:paraId="57F66B34"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 </w:t>
      </w:r>
    </w:p>
    <w:p w14:paraId="237B8455" w14:textId="77777777" w:rsidR="00CD42B4" w:rsidRPr="00435703" w:rsidRDefault="00F34A2D">
      <w:pPr>
        <w:ind w:left="850" w:right="131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b/>
          <w:i/>
          <w:sz w:val="22"/>
          <w:szCs w:val="22"/>
        </w:rPr>
        <w:lastRenderedPageBreak/>
        <w:t>“Artículo 11.23.</w:t>
      </w:r>
      <w:r w:rsidRPr="00435703">
        <w:rPr>
          <w:rFonts w:ascii="Palatino Linotype" w:eastAsia="Palatino Linotype" w:hAnsi="Palatino Linotype" w:cs="Palatino Linotype"/>
          <w:i/>
          <w:sz w:val="22"/>
          <w:szCs w:val="22"/>
        </w:rPr>
        <w:t xml:space="preserve"> La baja de un servidor público representa la extinción de la relación laboral entre el Ayuntamiento y el empleado municipal.</w:t>
      </w:r>
    </w:p>
    <w:p w14:paraId="54906D92" w14:textId="77777777" w:rsidR="00CD42B4" w:rsidRPr="00435703" w:rsidRDefault="00CD42B4">
      <w:pPr>
        <w:ind w:left="850" w:right="1319"/>
        <w:jc w:val="both"/>
        <w:rPr>
          <w:rFonts w:ascii="Palatino Linotype" w:eastAsia="Palatino Linotype" w:hAnsi="Palatino Linotype" w:cs="Palatino Linotype"/>
          <w:i/>
          <w:sz w:val="22"/>
          <w:szCs w:val="22"/>
        </w:rPr>
      </w:pPr>
    </w:p>
    <w:p w14:paraId="43C858D3" w14:textId="77777777" w:rsidR="00CD42B4" w:rsidRPr="00435703" w:rsidRDefault="00F34A2D">
      <w:pPr>
        <w:ind w:left="850" w:right="131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b/>
          <w:i/>
          <w:sz w:val="22"/>
          <w:szCs w:val="22"/>
        </w:rPr>
        <w:t>Artículo 11.25.</w:t>
      </w:r>
      <w:r w:rsidRPr="00435703">
        <w:rPr>
          <w:rFonts w:ascii="Palatino Linotype" w:eastAsia="Palatino Linotype" w:hAnsi="Palatino Linotype" w:cs="Palatino Linotype"/>
          <w:i/>
          <w:sz w:val="22"/>
          <w:szCs w:val="22"/>
        </w:rPr>
        <w:t xml:space="preserve"> El movimiento de baja deberá ser solicitado mediante oficio suscrito por el Director que corresponda y el Delegado Administrativo de la misma dependencia, dirigido a la Dirección de Recursos Humanos, y acompañado del Formato Único de Personal debidamente llenado, anexando oficio de petición con renuncia y/o actas administrativas según sea el caso.”</w:t>
      </w:r>
    </w:p>
    <w:p w14:paraId="780467DF" w14:textId="77777777" w:rsidR="00CD42B4" w:rsidRPr="00435703" w:rsidRDefault="00F34A2D">
      <w:pPr>
        <w:ind w:left="850" w:right="131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(Énfasis añadido)</w:t>
      </w:r>
    </w:p>
    <w:p w14:paraId="5C11D251" w14:textId="77777777" w:rsidR="00CD42B4" w:rsidRPr="00435703" w:rsidRDefault="00CD42B4">
      <w:pPr>
        <w:spacing w:line="360" w:lineRule="auto"/>
        <w:jc w:val="both"/>
        <w:rPr>
          <w:rFonts w:ascii="Palatino Linotype" w:eastAsia="Palatino Linotype" w:hAnsi="Palatino Linotype" w:cs="Palatino Linotype"/>
        </w:rPr>
      </w:pPr>
    </w:p>
    <w:p w14:paraId="32BE5474"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Así pues, de los preceptos anteriores se puede advertir que dentro de las dependencias del </w:t>
      </w:r>
      <w:r w:rsidRPr="00435703">
        <w:rPr>
          <w:rFonts w:ascii="Palatino Linotype" w:eastAsia="Palatino Linotype" w:hAnsi="Palatino Linotype" w:cs="Palatino Linotype"/>
          <w:b/>
        </w:rPr>
        <w:t>SUJETO OBLIGADO</w:t>
      </w:r>
      <w:r w:rsidRPr="00435703">
        <w:rPr>
          <w:rFonts w:ascii="Palatino Linotype" w:eastAsia="Palatino Linotype" w:hAnsi="Palatino Linotype" w:cs="Palatino Linotype"/>
        </w:rPr>
        <w:t xml:space="preserve"> se encuentra un área o unidad que por sus atribuciones pudiera conocer la información solicitada. </w:t>
      </w:r>
    </w:p>
    <w:p w14:paraId="4ABAB69D" w14:textId="77777777" w:rsidR="00CD42B4" w:rsidRPr="00435703" w:rsidRDefault="00CD42B4">
      <w:pPr>
        <w:spacing w:line="360" w:lineRule="auto"/>
        <w:jc w:val="both"/>
        <w:rPr>
          <w:rFonts w:ascii="Palatino Linotype" w:eastAsia="Palatino Linotype" w:hAnsi="Palatino Linotype" w:cs="Palatino Linotype"/>
        </w:rPr>
      </w:pPr>
    </w:p>
    <w:p w14:paraId="77FC8205"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Aunado a lo anterior el Bando Municipal de Toluca dentro de las atribuciones conferidas a las autoridades municipales en materia de Seguridad Pública contempla las de organizar, operar, supervisar y controlar el cuerpo de seguridad pública municipal. </w:t>
      </w:r>
    </w:p>
    <w:p w14:paraId="2D14E39E" w14:textId="77777777" w:rsidR="00CD42B4" w:rsidRPr="00435703" w:rsidRDefault="00F34A2D">
      <w:pPr>
        <w:ind w:left="850" w:right="1319"/>
        <w:jc w:val="both"/>
        <w:rPr>
          <w:rFonts w:ascii="Palatino Linotype" w:eastAsia="Palatino Linotype" w:hAnsi="Palatino Linotype" w:cs="Palatino Linotype"/>
          <w:b/>
          <w:i/>
          <w:sz w:val="22"/>
          <w:szCs w:val="22"/>
          <w:u w:val="single"/>
        </w:rPr>
      </w:pPr>
      <w:r w:rsidRPr="00435703">
        <w:rPr>
          <w:rFonts w:ascii="Palatino Linotype" w:eastAsia="Palatino Linotype" w:hAnsi="Palatino Linotype" w:cs="Palatino Linotype"/>
          <w:b/>
          <w:i/>
          <w:sz w:val="22"/>
          <w:szCs w:val="22"/>
          <w:u w:val="single"/>
        </w:rPr>
        <w:t xml:space="preserve">“CAPÍTULO TERCERO </w:t>
      </w:r>
    </w:p>
    <w:p w14:paraId="156CEA29" w14:textId="77777777" w:rsidR="00CD42B4" w:rsidRPr="00435703" w:rsidRDefault="00F34A2D">
      <w:pPr>
        <w:ind w:left="850" w:right="1319"/>
        <w:jc w:val="both"/>
        <w:rPr>
          <w:rFonts w:ascii="Palatino Linotype" w:eastAsia="Palatino Linotype" w:hAnsi="Palatino Linotype" w:cs="Palatino Linotype"/>
          <w:b/>
          <w:i/>
          <w:sz w:val="22"/>
          <w:szCs w:val="22"/>
          <w:u w:val="single"/>
        </w:rPr>
      </w:pPr>
      <w:r w:rsidRPr="00435703">
        <w:rPr>
          <w:rFonts w:ascii="Palatino Linotype" w:eastAsia="Palatino Linotype" w:hAnsi="Palatino Linotype" w:cs="Palatino Linotype"/>
          <w:b/>
          <w:i/>
          <w:sz w:val="22"/>
          <w:szCs w:val="22"/>
          <w:u w:val="single"/>
        </w:rPr>
        <w:t xml:space="preserve">DE LAS ATRIBUCIONES EN MATERIA DE SEGURIDAD PÚBLICA </w:t>
      </w:r>
    </w:p>
    <w:p w14:paraId="0E5FDE7F" w14:textId="77777777" w:rsidR="00CD42B4" w:rsidRPr="00435703" w:rsidRDefault="00CD42B4">
      <w:pPr>
        <w:ind w:left="850" w:right="1319"/>
        <w:jc w:val="both"/>
        <w:rPr>
          <w:rFonts w:ascii="Palatino Linotype" w:eastAsia="Palatino Linotype" w:hAnsi="Palatino Linotype" w:cs="Palatino Linotype"/>
          <w:i/>
          <w:sz w:val="22"/>
          <w:szCs w:val="22"/>
        </w:rPr>
      </w:pPr>
    </w:p>
    <w:p w14:paraId="0EE75913" w14:textId="77777777" w:rsidR="00CD42B4" w:rsidRPr="00435703" w:rsidRDefault="00F34A2D">
      <w:pPr>
        <w:ind w:left="850" w:right="131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b/>
          <w:i/>
          <w:sz w:val="22"/>
          <w:szCs w:val="22"/>
        </w:rPr>
        <w:t xml:space="preserve">Artículo 74. </w:t>
      </w:r>
      <w:r w:rsidRPr="00435703">
        <w:rPr>
          <w:rFonts w:ascii="Palatino Linotype" w:eastAsia="Palatino Linotype" w:hAnsi="Palatino Linotype" w:cs="Palatino Linotype"/>
          <w:i/>
          <w:sz w:val="22"/>
          <w:szCs w:val="22"/>
        </w:rPr>
        <w:t>Son atribuciones de las autoridades municipales en materia de Seguridad Pública las siguientes:</w:t>
      </w:r>
    </w:p>
    <w:p w14:paraId="5C50E473" w14:textId="77777777" w:rsidR="00CD42B4" w:rsidRPr="00435703" w:rsidRDefault="00F34A2D">
      <w:pPr>
        <w:ind w:left="850" w:right="131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III. Organizar, operar, supervisar y controlar el cuerpo de seguridad pública municipal;”</w:t>
      </w:r>
    </w:p>
    <w:p w14:paraId="2658F29C" w14:textId="77777777" w:rsidR="00CD42B4" w:rsidRPr="00435703" w:rsidRDefault="00F34A2D">
      <w:pPr>
        <w:ind w:left="850" w:right="131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(Énfasis añadido)</w:t>
      </w:r>
    </w:p>
    <w:p w14:paraId="3D60148D" w14:textId="77777777" w:rsidR="00CD42B4" w:rsidRPr="00435703" w:rsidRDefault="00CD42B4">
      <w:pPr>
        <w:spacing w:line="360" w:lineRule="auto"/>
        <w:jc w:val="both"/>
        <w:rPr>
          <w:rFonts w:ascii="Palatino Linotype" w:eastAsia="Palatino Linotype" w:hAnsi="Palatino Linotype" w:cs="Palatino Linotype"/>
        </w:rPr>
      </w:pPr>
    </w:p>
    <w:p w14:paraId="2A0142CF"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Situación que se ve refrendada en el Código Reglamentario del Ayuntamiento de Toluca el cual señala en su artículo 3.32 fracción II que la Dirección General de Seguridad tiene dentro de sus atribuciones las de organizar, operar, supervisar y controlar el cuerpo de seguridad pública, a saber:</w:t>
      </w:r>
    </w:p>
    <w:p w14:paraId="0D6CD405" w14:textId="77777777" w:rsidR="00CD42B4" w:rsidRPr="00435703" w:rsidRDefault="00CD42B4">
      <w:pPr>
        <w:spacing w:line="360" w:lineRule="auto"/>
        <w:jc w:val="both"/>
        <w:rPr>
          <w:rFonts w:ascii="Palatino Linotype" w:eastAsia="Palatino Linotype" w:hAnsi="Palatino Linotype" w:cs="Palatino Linotype"/>
        </w:rPr>
      </w:pPr>
    </w:p>
    <w:p w14:paraId="230E8EF9" w14:textId="77777777" w:rsidR="00CD42B4" w:rsidRPr="00435703" w:rsidRDefault="00F34A2D">
      <w:pPr>
        <w:ind w:left="850" w:right="899"/>
        <w:jc w:val="both"/>
        <w:rPr>
          <w:rFonts w:ascii="Palatino Linotype" w:eastAsia="Palatino Linotype" w:hAnsi="Palatino Linotype" w:cs="Palatino Linotype"/>
          <w:b/>
          <w:i/>
          <w:sz w:val="22"/>
          <w:szCs w:val="22"/>
          <w:u w:val="single"/>
        </w:rPr>
      </w:pPr>
      <w:r w:rsidRPr="00435703">
        <w:rPr>
          <w:rFonts w:ascii="Palatino Linotype" w:eastAsia="Palatino Linotype" w:hAnsi="Palatino Linotype" w:cs="Palatino Linotype"/>
          <w:i/>
          <w:sz w:val="22"/>
          <w:szCs w:val="22"/>
        </w:rPr>
        <w:t>“</w:t>
      </w:r>
      <w:r w:rsidRPr="00435703">
        <w:rPr>
          <w:rFonts w:ascii="Palatino Linotype" w:eastAsia="Palatino Linotype" w:hAnsi="Palatino Linotype" w:cs="Palatino Linotype"/>
          <w:b/>
          <w:i/>
          <w:sz w:val="22"/>
          <w:szCs w:val="22"/>
          <w:u w:val="single"/>
        </w:rPr>
        <w:t xml:space="preserve">SECCIÓN SÉPTIMA </w:t>
      </w:r>
    </w:p>
    <w:p w14:paraId="008FA10E" w14:textId="77777777" w:rsidR="00CD42B4" w:rsidRPr="00435703" w:rsidRDefault="00F34A2D">
      <w:pPr>
        <w:ind w:left="850" w:right="899"/>
        <w:jc w:val="both"/>
        <w:rPr>
          <w:rFonts w:ascii="Palatino Linotype" w:eastAsia="Palatino Linotype" w:hAnsi="Palatino Linotype" w:cs="Palatino Linotype"/>
          <w:b/>
          <w:i/>
          <w:sz w:val="22"/>
          <w:szCs w:val="22"/>
          <w:u w:val="single"/>
        </w:rPr>
      </w:pPr>
      <w:r w:rsidRPr="00435703">
        <w:rPr>
          <w:rFonts w:ascii="Palatino Linotype" w:eastAsia="Palatino Linotype" w:hAnsi="Palatino Linotype" w:cs="Palatino Linotype"/>
          <w:b/>
          <w:i/>
          <w:sz w:val="22"/>
          <w:szCs w:val="22"/>
          <w:u w:val="single"/>
        </w:rPr>
        <w:t xml:space="preserve">DE LA DIRECCIÓN GENERAL DE SEGURIDAD PÚBLICA </w:t>
      </w:r>
    </w:p>
    <w:p w14:paraId="21224B36" w14:textId="77777777" w:rsidR="00CD42B4" w:rsidRPr="00435703" w:rsidRDefault="00CD42B4">
      <w:pPr>
        <w:ind w:left="850" w:right="899"/>
        <w:jc w:val="both"/>
        <w:rPr>
          <w:rFonts w:ascii="Palatino Linotype" w:eastAsia="Palatino Linotype" w:hAnsi="Palatino Linotype" w:cs="Palatino Linotype"/>
          <w:b/>
          <w:i/>
          <w:sz w:val="22"/>
          <w:szCs w:val="22"/>
        </w:rPr>
      </w:pPr>
    </w:p>
    <w:p w14:paraId="3BAC2824"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b/>
          <w:i/>
          <w:sz w:val="22"/>
          <w:szCs w:val="22"/>
        </w:rPr>
        <w:t>Artículo 3.32</w:t>
      </w:r>
      <w:r w:rsidRPr="00435703">
        <w:rPr>
          <w:rFonts w:ascii="Palatino Linotype" w:eastAsia="Palatino Linotype" w:hAnsi="Palatino Linotype" w:cs="Palatino Linotype"/>
          <w:i/>
          <w:sz w:val="22"/>
          <w:szCs w:val="22"/>
        </w:rPr>
        <w:t>. La o el titular de la Dirección General de Seguridad Pública tiene las siguientes atribuciones:</w:t>
      </w:r>
    </w:p>
    <w:p w14:paraId="568CC408"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III. Organizar, operar, supervisar y controlar el cuerpo de seguridad pública municipal;</w:t>
      </w:r>
    </w:p>
    <w:p w14:paraId="71494C0F"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w:t>
      </w:r>
    </w:p>
    <w:p w14:paraId="23F7BD88" w14:textId="77777777" w:rsidR="00CD42B4" w:rsidRPr="00435703" w:rsidRDefault="00CD42B4">
      <w:pPr>
        <w:ind w:left="850" w:right="899"/>
        <w:jc w:val="both"/>
        <w:rPr>
          <w:rFonts w:ascii="Palatino Linotype" w:eastAsia="Palatino Linotype" w:hAnsi="Palatino Linotype" w:cs="Palatino Linotype"/>
          <w:i/>
          <w:sz w:val="22"/>
          <w:szCs w:val="22"/>
        </w:rPr>
      </w:pPr>
    </w:p>
    <w:p w14:paraId="722EDB67"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La Dirección General de Seguridad Pública para el cumplimiento de sus atribuciones, se auxiliará de la Dirección Operativa, de la Dirección de Sustentabilidad Vial, de la Dirección de Prevención Comunitaria, de la Dirección de Desarrollo Tecnológico, de la Dirección de Desarrollo Policial, de la Dirección de Desarrollo Administrativo y de la Dirección Jurídica</w:t>
      </w:r>
    </w:p>
    <w:p w14:paraId="0AA3E5D3"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XIII. Generar informes y estadísticas sobre actividades delictivas en el municipio;</w:t>
      </w:r>
    </w:p>
    <w:p w14:paraId="4CB4763D"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XVIII. Tramitar el procedimiento administrativo para la remoción del cargo de los integrantes del cuerpo de seguridad pública, tránsito y vialidad, conforme a la legislación de la materia;</w:t>
      </w:r>
    </w:p>
    <w:p w14:paraId="4228F0E8"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XIX. Aplicar las sanciones disciplinarias a las o los agentes de seguridad pública, tránsito y vialidad, conforme a los ordenamientos legales aplicables;”</w:t>
      </w:r>
    </w:p>
    <w:p w14:paraId="37AEB997" w14:textId="77777777" w:rsidR="00CD42B4" w:rsidRPr="00435703" w:rsidRDefault="00F34A2D">
      <w:pPr>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(Énfasis añadido)</w:t>
      </w:r>
    </w:p>
    <w:p w14:paraId="4512B05E" w14:textId="77777777" w:rsidR="00CD42B4" w:rsidRPr="00435703" w:rsidRDefault="00CD42B4">
      <w:pPr>
        <w:spacing w:line="360" w:lineRule="auto"/>
        <w:jc w:val="both"/>
        <w:rPr>
          <w:rFonts w:ascii="Palatino Linotype" w:eastAsia="Palatino Linotype" w:hAnsi="Palatino Linotype" w:cs="Palatino Linotype"/>
        </w:rPr>
      </w:pPr>
    </w:p>
    <w:p w14:paraId="7904F02B"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En ese sentido, la Dirección Jurídica, es una de las direcciones que conforman a la Dirección General de Seguridad pública, la cual dentro de sus facultades coadyuvar con la Unidad de Asuntos Internos en la desarrollo de investigaciones por supuesto incumplimiento de las normas establecidas en los ordenamientos legales que rigen la actuación del personal operativo, dicho precepto estipula: </w:t>
      </w:r>
    </w:p>
    <w:p w14:paraId="4D7EA2A6" w14:textId="77777777" w:rsidR="00CD42B4" w:rsidRPr="00435703" w:rsidRDefault="00F34A2D">
      <w:pPr>
        <w:ind w:left="850" w:right="1319"/>
        <w:jc w:val="both"/>
        <w:rPr>
          <w:rFonts w:ascii="Palatino Linotype" w:eastAsia="Palatino Linotype" w:hAnsi="Palatino Linotype" w:cs="Palatino Linotype"/>
          <w:b/>
          <w:i/>
          <w:sz w:val="22"/>
          <w:szCs w:val="22"/>
        </w:rPr>
      </w:pPr>
      <w:r w:rsidRPr="00435703">
        <w:rPr>
          <w:rFonts w:ascii="Palatino Linotype" w:eastAsia="Palatino Linotype" w:hAnsi="Palatino Linotype" w:cs="Palatino Linotype"/>
          <w:b/>
          <w:i/>
          <w:sz w:val="22"/>
          <w:szCs w:val="22"/>
        </w:rPr>
        <w:t xml:space="preserve">“DIRECCIÓN JURÍDICA </w:t>
      </w:r>
    </w:p>
    <w:p w14:paraId="0E328C0E" w14:textId="77777777" w:rsidR="00CD42B4" w:rsidRPr="00435703" w:rsidRDefault="00F34A2D">
      <w:pPr>
        <w:ind w:left="850" w:right="131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b/>
          <w:i/>
          <w:sz w:val="22"/>
          <w:szCs w:val="22"/>
        </w:rPr>
        <w:t>Artículo 3.39</w:t>
      </w:r>
      <w:r w:rsidRPr="00435703">
        <w:rPr>
          <w:rFonts w:ascii="Palatino Linotype" w:eastAsia="Palatino Linotype" w:hAnsi="Palatino Linotype" w:cs="Palatino Linotype"/>
          <w:i/>
          <w:sz w:val="22"/>
          <w:szCs w:val="22"/>
        </w:rPr>
        <w:t xml:space="preserve"> La o el titular de la Dirección Jurídica tiene las siguientes atribuciones</w:t>
      </w:r>
    </w:p>
    <w:p w14:paraId="4433AF15" w14:textId="77777777" w:rsidR="00CD42B4" w:rsidRPr="00435703" w:rsidRDefault="00F34A2D">
      <w:pPr>
        <w:ind w:left="850" w:right="131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XVII. Coadyuvar con la Unidad de Asuntos Internos en el desarrollo de las investigaciones por supuesto incumplimiento a los deberes y normas establecidas en los ordenamientos legales y disposiciones que rigen la actuación del personal operativo de la Dirección General;”</w:t>
      </w:r>
    </w:p>
    <w:p w14:paraId="0DD082BD" w14:textId="77777777" w:rsidR="00CD42B4" w:rsidRPr="00435703" w:rsidRDefault="00F34A2D">
      <w:pPr>
        <w:ind w:left="850" w:right="131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(Énfasis añadido)</w:t>
      </w:r>
    </w:p>
    <w:p w14:paraId="1334326D"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lastRenderedPageBreak/>
        <w:t>Aunado a ello se advierte la existencia de una Unidad de Asuntos internos la cual por sus atribuciones conocerá de los expedientes iniciados con motivo de investigaciones disciplinarias y podrá solicitar a la Comisión de Honor y Justicia la aplicación de medidas precautorias donde se incluye la suspensión temporal, como lo señala el artículo 3.40 del Código Reglamentario del Ayuntamiento de Toluca, dice:</w:t>
      </w:r>
    </w:p>
    <w:p w14:paraId="547F480D" w14:textId="77777777" w:rsidR="00CD42B4" w:rsidRPr="00435703" w:rsidRDefault="00CD42B4">
      <w:pPr>
        <w:spacing w:line="360" w:lineRule="auto"/>
        <w:jc w:val="both"/>
        <w:rPr>
          <w:rFonts w:ascii="Palatino Linotype" w:eastAsia="Palatino Linotype" w:hAnsi="Palatino Linotype" w:cs="Palatino Linotype"/>
        </w:rPr>
      </w:pPr>
    </w:p>
    <w:p w14:paraId="31FC0D5D" w14:textId="77777777" w:rsidR="00CD42B4" w:rsidRPr="00435703" w:rsidRDefault="00F34A2D">
      <w:pPr>
        <w:ind w:left="850"/>
        <w:jc w:val="both"/>
        <w:rPr>
          <w:rFonts w:ascii="Palatino Linotype" w:eastAsia="Palatino Linotype" w:hAnsi="Palatino Linotype" w:cs="Palatino Linotype"/>
          <w:b/>
          <w:i/>
          <w:sz w:val="22"/>
          <w:szCs w:val="22"/>
          <w:u w:val="single"/>
        </w:rPr>
      </w:pPr>
      <w:r w:rsidRPr="00435703">
        <w:rPr>
          <w:rFonts w:ascii="Palatino Linotype" w:eastAsia="Palatino Linotype" w:hAnsi="Palatino Linotype" w:cs="Palatino Linotype"/>
          <w:sz w:val="22"/>
          <w:szCs w:val="22"/>
        </w:rPr>
        <w:t xml:space="preserve"> “</w:t>
      </w:r>
      <w:r w:rsidRPr="00435703">
        <w:rPr>
          <w:rFonts w:ascii="Palatino Linotype" w:eastAsia="Palatino Linotype" w:hAnsi="Palatino Linotype" w:cs="Palatino Linotype"/>
          <w:b/>
          <w:i/>
          <w:sz w:val="22"/>
          <w:szCs w:val="22"/>
          <w:u w:val="single"/>
        </w:rPr>
        <w:t xml:space="preserve">DE LA UNIDAD DE ASUNTOS INTERNOS </w:t>
      </w:r>
    </w:p>
    <w:p w14:paraId="2D997F2E" w14:textId="77777777" w:rsidR="00CD42B4" w:rsidRPr="00435703" w:rsidRDefault="00F34A2D">
      <w:pPr>
        <w:ind w:left="850" w:right="752"/>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b/>
          <w:i/>
          <w:sz w:val="22"/>
          <w:szCs w:val="22"/>
        </w:rPr>
        <w:t>Artículo 3.40</w:t>
      </w:r>
      <w:r w:rsidRPr="00435703">
        <w:rPr>
          <w:rFonts w:ascii="Palatino Linotype" w:eastAsia="Palatino Linotype" w:hAnsi="Palatino Linotype" w:cs="Palatino Linotype"/>
          <w:i/>
          <w:sz w:val="22"/>
          <w:szCs w:val="22"/>
        </w:rPr>
        <w:t xml:space="preserve"> La o el titular de la Unidad de Asuntos Internos, tendrá las siguientes atribuciones:</w:t>
      </w:r>
    </w:p>
    <w:p w14:paraId="74B0CBBE" w14:textId="77777777" w:rsidR="00CD42B4" w:rsidRPr="00435703" w:rsidRDefault="00F34A2D">
      <w:pPr>
        <w:ind w:left="850" w:right="752"/>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XIII. Acordar, de manera fundada y motivada, la improcedencia o reserva de expedientes de investigaciones disciplinarias, cuando derivado de sus investigaciones no se desprendan elementos suficientes que permitan determinar la probable responsabilidad o, en su caso, de aquellos expedientes que se integren por incumplimiento de los requisitos de ingreso o permanencia</w:t>
      </w:r>
    </w:p>
    <w:p w14:paraId="3D853587" w14:textId="77777777" w:rsidR="00CD42B4" w:rsidRPr="00435703" w:rsidRDefault="00F34A2D">
      <w:pPr>
        <w:ind w:left="850" w:right="752"/>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XVII. Solicitar a la Comisión de Honor y Justicia, la aplicación de medidas precautorias consistentes en la suspensión temporal del integrante que se encuentre involucrado en la comisión de ilícitos o faltas administrativas, en las que por la naturaleza de las mismas y la afectación operativa que representaría requieran la acción que impida su continuidad;”</w:t>
      </w:r>
    </w:p>
    <w:p w14:paraId="3A635F79" w14:textId="77777777" w:rsidR="00CD42B4" w:rsidRPr="00435703" w:rsidRDefault="00F34A2D">
      <w:pPr>
        <w:ind w:left="850" w:right="752"/>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(Énfasis añadido)</w:t>
      </w:r>
    </w:p>
    <w:p w14:paraId="11528039" w14:textId="77777777" w:rsidR="00CD42B4" w:rsidRPr="00435703" w:rsidRDefault="00CD42B4">
      <w:pPr>
        <w:spacing w:line="360" w:lineRule="auto"/>
        <w:ind w:right="899"/>
        <w:jc w:val="both"/>
        <w:rPr>
          <w:rFonts w:ascii="Palatino Linotype" w:eastAsia="Palatino Linotype" w:hAnsi="Palatino Linotype" w:cs="Palatino Linotype"/>
        </w:rPr>
      </w:pPr>
    </w:p>
    <w:p w14:paraId="250DC753"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Por su parte, el artículo 12.1 del mismo Código Reglamentario del Ayuntamiento de Toluca señala que los integrantes del cuerpo de seguridad pública se regirán por la normativa aplicable mediante el Servicio Profesional de Carrera el cual regirá entre otras el ingreso y baja de los elementos de seguridad pública, es decir:</w:t>
      </w:r>
    </w:p>
    <w:p w14:paraId="1CA492F9" w14:textId="77777777" w:rsidR="00CD42B4" w:rsidRPr="00435703" w:rsidRDefault="00CD42B4">
      <w:pPr>
        <w:ind w:left="850" w:right="752"/>
        <w:jc w:val="both"/>
        <w:rPr>
          <w:rFonts w:ascii="Palatino Linotype" w:eastAsia="Palatino Linotype" w:hAnsi="Palatino Linotype" w:cs="Palatino Linotype"/>
          <w:b/>
          <w:i/>
          <w:sz w:val="22"/>
          <w:szCs w:val="22"/>
        </w:rPr>
      </w:pPr>
    </w:p>
    <w:p w14:paraId="70A7096F" w14:textId="77777777" w:rsidR="00CD42B4" w:rsidRPr="00435703" w:rsidRDefault="00F34A2D">
      <w:pPr>
        <w:ind w:left="850" w:right="752"/>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b/>
          <w:i/>
          <w:sz w:val="22"/>
          <w:szCs w:val="22"/>
        </w:rPr>
        <w:t>“Artículo 12.1.</w:t>
      </w:r>
      <w:r w:rsidRPr="00435703">
        <w:rPr>
          <w:rFonts w:ascii="Palatino Linotype" w:eastAsia="Palatino Linotype" w:hAnsi="Palatino Linotype" w:cs="Palatino Linotype"/>
          <w:i/>
          <w:sz w:val="22"/>
          <w:szCs w:val="22"/>
        </w:rPr>
        <w:t xml:space="preserve"> Las y los integrantes del cuerpo de seguridad pública municipal se regirán por la Constitución Política de los Estados Unidos Mexicanos; la Constitución Política del Estado Libre y Soberano de México, la Ley General del Sistema Nacional de Seguridad Pública, la Ley de Seguridad del Estado de México, la Ley Orgánica Municipal del Estado de México, la Ley de Responsabilidades de los Servidores Públicos del Estado de México y Municipios, el Bando Municipal de Toluca, este Título y otras disposiciones relativas. El Servicio Profesional de Carrera Policial es el sistema de carácter obligatorio y permanente, </w:t>
      </w:r>
      <w:r w:rsidRPr="00435703">
        <w:rPr>
          <w:rFonts w:ascii="Palatino Linotype" w:eastAsia="Palatino Linotype" w:hAnsi="Palatino Linotype" w:cs="Palatino Linotype"/>
          <w:i/>
          <w:sz w:val="22"/>
          <w:szCs w:val="22"/>
        </w:rPr>
        <w:lastRenderedPageBreak/>
        <w:t>conforme al cual se establecen los lineamientos que definen los procedimientos de reclutamiento, selección, ingreso, formación, certificación, permanencia, evaluación, promoción y reconocimiento; así como la separación o baja de las o los integrantes del cuerpo conforme a los siguientes principios (...)”</w:t>
      </w:r>
    </w:p>
    <w:p w14:paraId="5321E341" w14:textId="77777777" w:rsidR="00CD42B4" w:rsidRPr="00435703" w:rsidRDefault="00F34A2D">
      <w:pPr>
        <w:ind w:left="850" w:right="752"/>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w:t>
      </w:r>
      <w:proofErr w:type="gramStart"/>
      <w:r w:rsidRPr="00435703">
        <w:rPr>
          <w:rFonts w:ascii="Palatino Linotype" w:eastAsia="Palatino Linotype" w:hAnsi="Palatino Linotype" w:cs="Palatino Linotype"/>
          <w:i/>
          <w:sz w:val="22"/>
          <w:szCs w:val="22"/>
        </w:rPr>
        <w:t>énfasis</w:t>
      </w:r>
      <w:proofErr w:type="gramEnd"/>
      <w:r w:rsidRPr="00435703">
        <w:rPr>
          <w:rFonts w:ascii="Palatino Linotype" w:eastAsia="Palatino Linotype" w:hAnsi="Palatino Linotype" w:cs="Palatino Linotype"/>
          <w:i/>
          <w:sz w:val="22"/>
          <w:szCs w:val="22"/>
        </w:rPr>
        <w:t xml:space="preserve"> añadido)</w:t>
      </w:r>
    </w:p>
    <w:p w14:paraId="56181F3C" w14:textId="77777777" w:rsidR="00CD42B4" w:rsidRPr="00435703" w:rsidRDefault="00CD42B4">
      <w:pPr>
        <w:spacing w:line="360" w:lineRule="auto"/>
        <w:jc w:val="both"/>
        <w:rPr>
          <w:rFonts w:ascii="Palatino Linotype" w:eastAsia="Palatino Linotype" w:hAnsi="Palatino Linotype" w:cs="Palatino Linotype"/>
        </w:rPr>
      </w:pPr>
    </w:p>
    <w:p w14:paraId="76732CD7"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Aunado a lo anterior, el Código Reglamentario del Ayuntamiento de Toluca señala en su artículo 12.155 que la relación de los servidores públicos adscritos puede terminar por tres causas Baja voluntaria, convenio o resolución expresa:</w:t>
      </w:r>
    </w:p>
    <w:p w14:paraId="3B8C3176" w14:textId="77777777" w:rsidR="00CD42B4" w:rsidRPr="00435703" w:rsidRDefault="00F34A2D">
      <w:pPr>
        <w:ind w:left="850" w:right="1461"/>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b/>
          <w:i/>
          <w:sz w:val="22"/>
          <w:szCs w:val="22"/>
        </w:rPr>
        <w:t>“Artículo 12.155.-</w:t>
      </w:r>
      <w:r w:rsidRPr="00435703">
        <w:rPr>
          <w:rFonts w:ascii="Palatino Linotype" w:eastAsia="Palatino Linotype" w:hAnsi="Palatino Linotype" w:cs="Palatino Linotype"/>
          <w:i/>
          <w:sz w:val="22"/>
          <w:szCs w:val="22"/>
        </w:rPr>
        <w:t xml:space="preserve"> El Servicio que presten las y los servidores públicos adscritos a la Dirección, podrá terminar por los siguientes casos:</w:t>
      </w:r>
    </w:p>
    <w:p w14:paraId="0C52515D" w14:textId="77777777" w:rsidR="00CD42B4" w:rsidRPr="00435703" w:rsidRDefault="00F34A2D">
      <w:pPr>
        <w:ind w:left="850" w:right="1461"/>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 xml:space="preserve">I. Baja voluntaria; </w:t>
      </w:r>
    </w:p>
    <w:p w14:paraId="4D0819ED" w14:textId="77777777" w:rsidR="00CD42B4" w:rsidRPr="00435703" w:rsidRDefault="00F34A2D">
      <w:pPr>
        <w:ind w:left="850" w:right="1461"/>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 xml:space="preserve">II. Convenio; y </w:t>
      </w:r>
    </w:p>
    <w:p w14:paraId="4AD77B54" w14:textId="77777777" w:rsidR="00CD42B4" w:rsidRPr="00435703" w:rsidRDefault="00F34A2D">
      <w:pPr>
        <w:ind w:left="850" w:right="1461"/>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III. Resolución expresa.”</w:t>
      </w:r>
    </w:p>
    <w:p w14:paraId="47A32460" w14:textId="77777777" w:rsidR="00CD42B4" w:rsidRPr="00435703" w:rsidRDefault="00F34A2D">
      <w:pPr>
        <w:ind w:left="850" w:right="1461"/>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(Énfasis añadido)</w:t>
      </w:r>
    </w:p>
    <w:p w14:paraId="58B74F10" w14:textId="77777777" w:rsidR="00CD42B4" w:rsidRPr="00435703" w:rsidRDefault="00CD42B4">
      <w:pPr>
        <w:spacing w:line="360" w:lineRule="auto"/>
        <w:ind w:right="899"/>
        <w:jc w:val="both"/>
        <w:rPr>
          <w:rFonts w:ascii="Palatino Linotype" w:eastAsia="Palatino Linotype" w:hAnsi="Palatino Linotype" w:cs="Palatino Linotype"/>
          <w:i/>
          <w:sz w:val="22"/>
          <w:szCs w:val="22"/>
        </w:rPr>
      </w:pPr>
    </w:p>
    <w:p w14:paraId="0B611100" w14:textId="77777777" w:rsidR="00CD42B4" w:rsidRPr="00435703" w:rsidRDefault="00F34A2D">
      <w:pPr>
        <w:spacing w:line="360" w:lineRule="auto"/>
        <w:ind w:right="49"/>
        <w:jc w:val="both"/>
        <w:rPr>
          <w:rFonts w:ascii="Palatino Linotype" w:eastAsia="Palatino Linotype" w:hAnsi="Palatino Linotype" w:cs="Palatino Linotype"/>
        </w:rPr>
      </w:pPr>
      <w:r w:rsidRPr="00435703">
        <w:rPr>
          <w:rFonts w:ascii="Palatino Linotype" w:eastAsia="Palatino Linotype" w:hAnsi="Palatino Linotype" w:cs="Palatino Linotype"/>
        </w:rPr>
        <w:t>En este tenor, es importante referir que  el Órgano Superior de Fiscalización del Estado de México (OSFEM) emitió los Lineamientos para la Entrega de los Informes  Mensuales y Trimestrales de los Municipios, y en específico para el año 2021 un instructivo para la Integración del Informe Trimestral de los Sujetos de Fiscalización Municipales; en todos ellos, se prevé la información que debió entregarse al Órgano Fiscalizador, dentro de los cuales, se localiza un formato que da cuenta de las altas y bajas de los servidores públicos; a continuación se inserta impresión de pantalla de dichos formatos:</w:t>
      </w:r>
    </w:p>
    <w:p w14:paraId="25D5EDF7" w14:textId="77777777" w:rsidR="00CD42B4" w:rsidRPr="00435703" w:rsidRDefault="00CD42B4">
      <w:pPr>
        <w:spacing w:line="360" w:lineRule="auto"/>
        <w:jc w:val="both"/>
        <w:rPr>
          <w:rFonts w:ascii="Palatino Linotype" w:eastAsia="Palatino Linotype" w:hAnsi="Palatino Linotype" w:cs="Palatino Linotype"/>
          <w:sz w:val="20"/>
          <w:szCs w:val="20"/>
        </w:rPr>
      </w:pPr>
    </w:p>
    <w:p w14:paraId="1B16E2B7" w14:textId="77777777" w:rsidR="00CD42B4" w:rsidRPr="00435703" w:rsidRDefault="00F34A2D">
      <w:pPr>
        <w:spacing w:line="360" w:lineRule="auto"/>
        <w:jc w:val="both"/>
        <w:rPr>
          <w:rFonts w:ascii="Palatino Linotype" w:eastAsia="Palatino Linotype" w:hAnsi="Palatino Linotype" w:cs="Palatino Linotype"/>
          <w:sz w:val="20"/>
          <w:szCs w:val="20"/>
        </w:rPr>
      </w:pPr>
      <w:r w:rsidRPr="00435703">
        <w:rPr>
          <w:rFonts w:ascii="Palatino Linotype" w:eastAsia="Palatino Linotype" w:hAnsi="Palatino Linotype" w:cs="Palatino Linotype"/>
          <w:noProof/>
          <w:sz w:val="20"/>
          <w:szCs w:val="20"/>
        </w:rPr>
        <w:lastRenderedPageBreak/>
        <w:drawing>
          <wp:inline distT="0" distB="0" distL="0" distR="0" wp14:anchorId="100A1770" wp14:editId="6E31DBF5">
            <wp:extent cx="5411331" cy="2261742"/>
            <wp:effectExtent l="0" t="0" r="0" b="0"/>
            <wp:docPr id="109" name="image13.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3.png" descr="Texto&#10;&#10;Descripción generada automáticamente con confianza media"/>
                    <pic:cNvPicPr preferRelativeResize="0"/>
                  </pic:nvPicPr>
                  <pic:blipFill>
                    <a:blip r:embed="rId17"/>
                    <a:srcRect l="13578" t="36654" r="15815" b="28375"/>
                    <a:stretch>
                      <a:fillRect/>
                    </a:stretch>
                  </pic:blipFill>
                  <pic:spPr>
                    <a:xfrm>
                      <a:off x="0" y="0"/>
                      <a:ext cx="5411331" cy="2261742"/>
                    </a:xfrm>
                    <a:prstGeom prst="rect">
                      <a:avLst/>
                    </a:prstGeom>
                    <a:ln/>
                  </pic:spPr>
                </pic:pic>
              </a:graphicData>
            </a:graphic>
          </wp:inline>
        </w:drawing>
      </w:r>
      <w:r w:rsidRPr="00435703">
        <w:rPr>
          <w:noProof/>
        </w:rPr>
        <mc:AlternateContent>
          <mc:Choice Requires="wpg">
            <w:drawing>
              <wp:anchor distT="0" distB="0" distL="114300" distR="114300" simplePos="0" relativeHeight="251658240" behindDoc="0" locked="0" layoutInCell="1" hidden="0" allowOverlap="1" wp14:anchorId="09D02FA8" wp14:editId="12C0F801">
                <wp:simplePos x="0" y="0"/>
                <wp:positionH relativeFrom="column">
                  <wp:posOffset>38101</wp:posOffset>
                </wp:positionH>
                <wp:positionV relativeFrom="paragraph">
                  <wp:posOffset>965200</wp:posOffset>
                </wp:positionV>
                <wp:extent cx="5377295" cy="486413"/>
                <wp:effectExtent l="0" t="0" r="0" b="0"/>
                <wp:wrapNone/>
                <wp:docPr id="97" name="Rectángulo 97"/>
                <wp:cNvGraphicFramePr/>
                <a:graphic xmlns:a="http://schemas.openxmlformats.org/drawingml/2006/main">
                  <a:graphicData uri="http://schemas.microsoft.com/office/word/2010/wordprocessingShape">
                    <wps:wsp>
                      <wps:cNvSpPr/>
                      <wps:spPr>
                        <a:xfrm>
                          <a:off x="2695453" y="3574894"/>
                          <a:ext cx="5301095" cy="410213"/>
                        </a:xfrm>
                        <a:prstGeom prst="rect">
                          <a:avLst/>
                        </a:prstGeom>
                        <a:noFill/>
                        <a:ln w="38100" cap="flat" cmpd="sng">
                          <a:solidFill>
                            <a:srgbClr val="FF0000"/>
                          </a:solidFill>
                          <a:prstDash val="solid"/>
                          <a:miter lim="800000"/>
                          <a:headEnd type="none" w="sm" len="sm"/>
                          <a:tailEnd type="none" w="sm" len="sm"/>
                        </a:ln>
                      </wps:spPr>
                      <wps:txbx>
                        <w:txbxContent>
                          <w:p w14:paraId="2B1CDEF7" w14:textId="77777777" w:rsidR="00CD42B4" w:rsidRDefault="00CD42B4">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38101</wp:posOffset>
                </wp:positionH>
                <wp:positionV relativeFrom="paragraph">
                  <wp:posOffset>965200</wp:posOffset>
                </wp:positionV>
                <wp:extent cx="5377295" cy="486413"/>
                <wp:effectExtent b="0" l="0" r="0" t="0"/>
                <wp:wrapNone/>
                <wp:docPr id="97" name="image18.png"/>
                <a:graphic>
                  <a:graphicData uri="http://schemas.openxmlformats.org/drawingml/2006/picture">
                    <pic:pic>
                      <pic:nvPicPr>
                        <pic:cNvPr id="0" name="image18.png"/>
                        <pic:cNvPicPr preferRelativeResize="0"/>
                      </pic:nvPicPr>
                      <pic:blipFill>
                        <a:blip r:embed="rId18"/>
                        <a:srcRect/>
                        <a:stretch>
                          <a:fillRect/>
                        </a:stretch>
                      </pic:blipFill>
                      <pic:spPr>
                        <a:xfrm>
                          <a:off x="0" y="0"/>
                          <a:ext cx="5377295" cy="486413"/>
                        </a:xfrm>
                        <a:prstGeom prst="rect"/>
                        <a:ln/>
                      </pic:spPr>
                    </pic:pic>
                  </a:graphicData>
                </a:graphic>
              </wp:anchor>
            </w:drawing>
          </mc:Fallback>
        </mc:AlternateContent>
      </w:r>
    </w:p>
    <w:p w14:paraId="580452FB" w14:textId="77777777" w:rsidR="00CD42B4" w:rsidRPr="00435703" w:rsidRDefault="00CD42B4">
      <w:pPr>
        <w:spacing w:line="360" w:lineRule="auto"/>
        <w:jc w:val="both"/>
        <w:rPr>
          <w:rFonts w:ascii="Palatino Linotype" w:eastAsia="Palatino Linotype" w:hAnsi="Palatino Linotype" w:cs="Palatino Linotype"/>
          <w:sz w:val="20"/>
          <w:szCs w:val="20"/>
        </w:rPr>
      </w:pPr>
    </w:p>
    <w:p w14:paraId="38F0527B"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Así pues, se puede concluir que en la entrega de los informes al Órgano Superior de Fiscalización del Estado de México (OSFEM), específicamente de aquellos que integran el Disco 4, se debieron entregar el formato del reporte general de altas y bajas.</w:t>
      </w:r>
    </w:p>
    <w:p w14:paraId="769916B7" w14:textId="77777777" w:rsidR="00CD42B4" w:rsidRPr="00435703" w:rsidRDefault="00CD42B4">
      <w:pPr>
        <w:spacing w:line="360" w:lineRule="auto"/>
        <w:jc w:val="both"/>
        <w:rPr>
          <w:rFonts w:ascii="Palatino Linotype" w:eastAsia="Palatino Linotype" w:hAnsi="Palatino Linotype" w:cs="Palatino Linotype"/>
          <w:sz w:val="22"/>
          <w:szCs w:val="22"/>
        </w:rPr>
      </w:pPr>
    </w:p>
    <w:p w14:paraId="6A09691B" w14:textId="77777777" w:rsidR="00CD42B4" w:rsidRPr="00435703" w:rsidRDefault="00F34A2D">
      <w:pPr>
        <w:spacing w:line="360" w:lineRule="auto"/>
        <w:jc w:val="center"/>
        <w:rPr>
          <w:rFonts w:ascii="Palatino Linotype" w:eastAsia="Palatino Linotype" w:hAnsi="Palatino Linotype" w:cs="Palatino Linotype"/>
          <w:sz w:val="20"/>
          <w:szCs w:val="20"/>
        </w:rPr>
      </w:pPr>
      <w:r w:rsidRPr="00435703">
        <w:rPr>
          <w:noProof/>
          <w:sz w:val="20"/>
          <w:szCs w:val="20"/>
        </w:rPr>
        <w:drawing>
          <wp:inline distT="0" distB="0" distL="0" distR="0" wp14:anchorId="0FF70C24" wp14:editId="13998963">
            <wp:extent cx="5377658" cy="2397470"/>
            <wp:effectExtent l="0" t="0" r="0" b="0"/>
            <wp:docPr id="1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5377658" cy="2397470"/>
                    </a:xfrm>
                    <a:prstGeom prst="rect">
                      <a:avLst/>
                    </a:prstGeom>
                    <a:ln/>
                  </pic:spPr>
                </pic:pic>
              </a:graphicData>
            </a:graphic>
          </wp:inline>
        </w:drawing>
      </w:r>
    </w:p>
    <w:p w14:paraId="0612301E" w14:textId="77777777" w:rsidR="00CD42B4" w:rsidRPr="00435703" w:rsidRDefault="00F34A2D">
      <w:pPr>
        <w:spacing w:line="360" w:lineRule="auto"/>
        <w:jc w:val="center"/>
        <w:rPr>
          <w:rFonts w:ascii="Palatino Linotype" w:eastAsia="Palatino Linotype" w:hAnsi="Palatino Linotype" w:cs="Palatino Linotype"/>
          <w:sz w:val="20"/>
          <w:szCs w:val="20"/>
        </w:rPr>
      </w:pPr>
      <w:r w:rsidRPr="00435703">
        <w:rPr>
          <w:noProof/>
          <w:sz w:val="20"/>
          <w:szCs w:val="20"/>
        </w:rPr>
        <w:lastRenderedPageBreak/>
        <w:drawing>
          <wp:inline distT="0" distB="0" distL="0" distR="0" wp14:anchorId="0438594F" wp14:editId="00C6E3F9">
            <wp:extent cx="5389414" cy="2862157"/>
            <wp:effectExtent l="0" t="0" r="0" b="0"/>
            <wp:docPr id="1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5389414" cy="2862157"/>
                    </a:xfrm>
                    <a:prstGeom prst="rect">
                      <a:avLst/>
                    </a:prstGeom>
                    <a:ln/>
                  </pic:spPr>
                </pic:pic>
              </a:graphicData>
            </a:graphic>
          </wp:inline>
        </w:drawing>
      </w:r>
    </w:p>
    <w:p w14:paraId="02CC9351" w14:textId="77777777" w:rsidR="00CD42B4" w:rsidRPr="00435703" w:rsidRDefault="00CD42B4">
      <w:pPr>
        <w:spacing w:line="360" w:lineRule="auto"/>
        <w:jc w:val="both"/>
        <w:rPr>
          <w:rFonts w:ascii="Palatino Linotype" w:eastAsia="Palatino Linotype" w:hAnsi="Palatino Linotype" w:cs="Palatino Linotype"/>
          <w:sz w:val="20"/>
          <w:szCs w:val="20"/>
        </w:rPr>
      </w:pPr>
    </w:p>
    <w:p w14:paraId="7D3C488A" w14:textId="77777777" w:rsidR="00CD42B4" w:rsidRPr="00435703" w:rsidRDefault="00CD42B4">
      <w:pPr>
        <w:spacing w:line="360" w:lineRule="auto"/>
        <w:jc w:val="both"/>
        <w:rPr>
          <w:rFonts w:ascii="Palatino Linotype" w:eastAsia="Palatino Linotype" w:hAnsi="Palatino Linotype" w:cs="Palatino Linotype"/>
          <w:sz w:val="20"/>
          <w:szCs w:val="20"/>
        </w:rPr>
      </w:pPr>
    </w:p>
    <w:p w14:paraId="0CB7C63B" w14:textId="77777777" w:rsidR="00CD42B4" w:rsidRPr="00435703" w:rsidRDefault="00CD42B4">
      <w:pPr>
        <w:spacing w:line="360" w:lineRule="auto"/>
        <w:ind w:right="49"/>
        <w:jc w:val="both"/>
        <w:rPr>
          <w:rFonts w:ascii="Palatino Linotype" w:eastAsia="Palatino Linotype" w:hAnsi="Palatino Linotype" w:cs="Palatino Linotype"/>
          <w:sz w:val="20"/>
          <w:szCs w:val="20"/>
        </w:rPr>
      </w:pPr>
    </w:p>
    <w:p w14:paraId="013C85CD" w14:textId="77777777" w:rsidR="00CD42B4" w:rsidRPr="00435703" w:rsidRDefault="00F34A2D">
      <w:pPr>
        <w:spacing w:line="360" w:lineRule="auto"/>
        <w:ind w:right="49"/>
        <w:jc w:val="center"/>
        <w:rPr>
          <w:rFonts w:ascii="Palatino Linotype" w:eastAsia="Palatino Linotype" w:hAnsi="Palatino Linotype" w:cs="Palatino Linotype"/>
          <w:sz w:val="20"/>
          <w:szCs w:val="20"/>
        </w:rPr>
      </w:pPr>
      <w:r w:rsidRPr="00435703">
        <w:rPr>
          <w:noProof/>
          <w:sz w:val="20"/>
          <w:szCs w:val="20"/>
        </w:rPr>
        <w:drawing>
          <wp:inline distT="0" distB="0" distL="0" distR="0" wp14:anchorId="69248ABE" wp14:editId="39EB7936">
            <wp:extent cx="3648075" cy="2712085"/>
            <wp:effectExtent l="0" t="0" r="0" b="0"/>
            <wp:docPr id="1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t="37598" b="16371"/>
                    <a:stretch>
                      <a:fillRect/>
                    </a:stretch>
                  </pic:blipFill>
                  <pic:spPr>
                    <a:xfrm>
                      <a:off x="0" y="0"/>
                      <a:ext cx="3648075" cy="2712085"/>
                    </a:xfrm>
                    <a:prstGeom prst="rect">
                      <a:avLst/>
                    </a:prstGeom>
                    <a:ln/>
                  </pic:spPr>
                </pic:pic>
              </a:graphicData>
            </a:graphic>
          </wp:inline>
        </w:drawing>
      </w:r>
    </w:p>
    <w:p w14:paraId="09E5BE13" w14:textId="77777777" w:rsidR="00CD42B4" w:rsidRPr="00435703" w:rsidRDefault="00CD42B4">
      <w:pPr>
        <w:spacing w:line="360" w:lineRule="auto"/>
        <w:jc w:val="both"/>
        <w:rPr>
          <w:rFonts w:ascii="Palatino Linotype" w:eastAsia="Palatino Linotype" w:hAnsi="Palatino Linotype" w:cs="Palatino Linotype"/>
          <w:sz w:val="22"/>
          <w:szCs w:val="22"/>
        </w:rPr>
      </w:pPr>
    </w:p>
    <w:p w14:paraId="4DB9A603"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En atención a lo expuesto, es posible determinar que el Sujeto Obligado debió generar la información solicitada relacionada con la baja del personal, ya que forma parte de los </w:t>
      </w:r>
      <w:r w:rsidRPr="00435703">
        <w:rPr>
          <w:rFonts w:ascii="Palatino Linotype" w:eastAsia="Palatino Linotype" w:hAnsi="Palatino Linotype" w:cs="Palatino Linotype"/>
        </w:rPr>
        <w:lastRenderedPageBreak/>
        <w:t xml:space="preserve">informes que se remitieron al Órgano Superior de Fiscalización del Estado de México (OSFEM). </w:t>
      </w:r>
    </w:p>
    <w:p w14:paraId="66228E87" w14:textId="77777777" w:rsidR="00CD42B4" w:rsidRPr="00435703" w:rsidRDefault="00CD42B4">
      <w:pPr>
        <w:spacing w:line="360" w:lineRule="auto"/>
        <w:jc w:val="both"/>
        <w:rPr>
          <w:rFonts w:ascii="Palatino Linotype" w:eastAsia="Palatino Linotype" w:hAnsi="Palatino Linotype" w:cs="Palatino Linotype"/>
        </w:rPr>
      </w:pPr>
    </w:p>
    <w:p w14:paraId="56C2B37F"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No escapa de la óptica de este Órgano Garante que en su solicitud el particular requirió conocer el nombre de los elementos operativos  de seguridad pública dados de baja o suspendidos por causa de la comisión de faltas administrativas graves. </w:t>
      </w:r>
    </w:p>
    <w:p w14:paraId="066D02E8" w14:textId="77777777" w:rsidR="00CD42B4" w:rsidRPr="00435703" w:rsidRDefault="00CD42B4">
      <w:pPr>
        <w:spacing w:line="360" w:lineRule="auto"/>
        <w:jc w:val="both"/>
        <w:rPr>
          <w:rFonts w:ascii="Palatino Linotype" w:eastAsia="Palatino Linotype" w:hAnsi="Palatino Linotype" w:cs="Palatino Linotype"/>
        </w:rPr>
      </w:pPr>
    </w:p>
    <w:p w14:paraId="1F1523BF"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Al respecto, es necesario señalar que llevar un listado de Servidores Públicos con sanciones administrativas definitivas corresponde a obligaciones de transparencia común, como se desprende del artículo 92 fracción XXII de la Ley de Transparencia y Acceso a la Información Pública del Estado de México y Municipios, como se observa:</w:t>
      </w:r>
    </w:p>
    <w:p w14:paraId="09092956" w14:textId="77777777" w:rsidR="00CD42B4" w:rsidRPr="00435703" w:rsidRDefault="00CD42B4">
      <w:pPr>
        <w:spacing w:line="360" w:lineRule="auto"/>
        <w:ind w:right="49"/>
        <w:jc w:val="both"/>
        <w:rPr>
          <w:rFonts w:ascii="Palatino Linotype" w:eastAsia="Palatino Linotype" w:hAnsi="Palatino Linotype" w:cs="Palatino Linotype"/>
        </w:rPr>
      </w:pPr>
    </w:p>
    <w:p w14:paraId="3F837EA4" w14:textId="77777777" w:rsidR="00CD42B4" w:rsidRPr="00435703" w:rsidRDefault="00F34A2D">
      <w:pPr>
        <w:ind w:left="851" w:right="822"/>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29E2E79" w14:textId="77777777" w:rsidR="00CD42B4" w:rsidRPr="00435703" w:rsidRDefault="00F34A2D">
      <w:pPr>
        <w:ind w:left="851" w:right="822"/>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w:t>
      </w:r>
    </w:p>
    <w:p w14:paraId="7969AA13" w14:textId="77777777" w:rsidR="00CD42B4" w:rsidRPr="00435703" w:rsidRDefault="00F34A2D">
      <w:pPr>
        <w:ind w:left="851" w:right="822"/>
        <w:jc w:val="both"/>
        <w:rPr>
          <w:rFonts w:ascii="Palatino Linotype" w:eastAsia="Palatino Linotype" w:hAnsi="Palatino Linotype" w:cs="Palatino Linotype"/>
          <w:b/>
          <w:i/>
          <w:sz w:val="22"/>
          <w:szCs w:val="22"/>
        </w:rPr>
      </w:pPr>
      <w:r w:rsidRPr="00435703">
        <w:rPr>
          <w:rFonts w:ascii="Palatino Linotype" w:eastAsia="Palatino Linotype" w:hAnsi="Palatino Linotype" w:cs="Palatino Linotype"/>
          <w:i/>
          <w:sz w:val="22"/>
          <w:szCs w:val="22"/>
        </w:rPr>
        <w:t xml:space="preserve">XXII. </w:t>
      </w:r>
      <w:r w:rsidRPr="00435703">
        <w:rPr>
          <w:rFonts w:ascii="Palatino Linotype" w:eastAsia="Palatino Linotype" w:hAnsi="Palatino Linotype" w:cs="Palatino Linotype"/>
          <w:b/>
          <w:i/>
          <w:sz w:val="22"/>
          <w:szCs w:val="22"/>
        </w:rPr>
        <w:t>El listado de Servidores Públicos con sanciones administrativas definitivas, especificando la causa de sanción y la disposición;"</w:t>
      </w:r>
    </w:p>
    <w:p w14:paraId="65AE9E1A" w14:textId="77777777" w:rsidR="00CD42B4" w:rsidRPr="00435703" w:rsidRDefault="00CD42B4">
      <w:pPr>
        <w:spacing w:line="360" w:lineRule="auto"/>
        <w:jc w:val="both"/>
        <w:rPr>
          <w:rFonts w:ascii="Palatino Linotype" w:eastAsia="Palatino Linotype" w:hAnsi="Palatino Linotype" w:cs="Palatino Linotype"/>
        </w:rPr>
      </w:pPr>
    </w:p>
    <w:p w14:paraId="76F42761" w14:textId="77777777" w:rsidR="00CD42B4" w:rsidRPr="00435703" w:rsidRDefault="00F34A2D">
      <w:pPr>
        <w:spacing w:line="360" w:lineRule="auto"/>
        <w:ind w:right="49"/>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Así bien, la </w:t>
      </w:r>
      <w:r w:rsidRPr="00435703">
        <w:rPr>
          <w:rFonts w:ascii="Palatino Linotype" w:eastAsia="Palatino Linotype" w:hAnsi="Palatino Linotype" w:cs="Palatino Linotype"/>
          <w:b/>
        </w:rPr>
        <w:t>Ley del Sistema Anticorrupción del Estado de México y Municipios</w:t>
      </w:r>
      <w:r w:rsidRPr="00435703">
        <w:rPr>
          <w:rFonts w:ascii="Palatino Linotype" w:eastAsia="Palatino Linotype" w:hAnsi="Palatino Linotype" w:cs="Palatino Linotype"/>
        </w:rPr>
        <w:t xml:space="preserve"> publicada en el periódico oficial "Gaceta del Gobierno" el treinta de mayo de 2017, establece que deberán darse a conocer al público las sanciones impuestas por faltas administrativas graves cuando éstas contengan impedimentos o inhabilitaciones para ser contratados como servidores públicos. </w:t>
      </w:r>
    </w:p>
    <w:p w14:paraId="0F97AF93" w14:textId="77777777" w:rsidR="00CD42B4" w:rsidRPr="00435703" w:rsidRDefault="00CD42B4">
      <w:pPr>
        <w:ind w:left="851" w:right="822"/>
        <w:jc w:val="both"/>
        <w:rPr>
          <w:rFonts w:ascii="Palatino Linotype" w:eastAsia="Palatino Linotype" w:hAnsi="Palatino Linotype" w:cs="Palatino Linotype"/>
          <w:i/>
          <w:sz w:val="22"/>
          <w:szCs w:val="22"/>
        </w:rPr>
      </w:pPr>
    </w:p>
    <w:p w14:paraId="49374D47" w14:textId="77777777" w:rsidR="00CD42B4" w:rsidRPr="00435703" w:rsidRDefault="00F34A2D">
      <w:pPr>
        <w:ind w:left="851" w:right="822"/>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lastRenderedPageBreak/>
        <w:t>“</w:t>
      </w:r>
      <w:r w:rsidRPr="00435703">
        <w:rPr>
          <w:rFonts w:ascii="Palatino Linotype" w:eastAsia="Palatino Linotype" w:hAnsi="Palatino Linotype" w:cs="Palatino Linotype"/>
          <w:b/>
          <w:i/>
          <w:sz w:val="22"/>
          <w:szCs w:val="22"/>
        </w:rPr>
        <w:t>Artículo 53.</w:t>
      </w:r>
      <w:r w:rsidRPr="00435703">
        <w:rPr>
          <w:rFonts w:ascii="Palatino Linotype" w:eastAsia="Palatino Linotype" w:hAnsi="Palatino Linotype" w:cs="Palatino Linotype"/>
          <w:i/>
          <w:sz w:val="22"/>
          <w:szCs w:val="22"/>
        </w:rPr>
        <w:t xml:space="preserve"> </w:t>
      </w:r>
      <w:r w:rsidRPr="00435703">
        <w:rPr>
          <w:rFonts w:ascii="Palatino Linotype" w:eastAsia="Palatino Linotype" w:hAnsi="Palatino Linotype" w:cs="Palatino Linotype"/>
          <w:b/>
          <w:i/>
          <w:sz w:val="22"/>
          <w:szCs w:val="22"/>
        </w:rPr>
        <w:t>Las sanciones impuestas por faltas administrativas graves serán del conocimiento público cuando éstas contengan impedimentos o inhabilitaciones</w:t>
      </w:r>
      <w:r w:rsidRPr="00435703">
        <w:rPr>
          <w:rFonts w:ascii="Palatino Linotype" w:eastAsia="Palatino Linotype" w:hAnsi="Palatino Linotype" w:cs="Palatino Linotype"/>
          <w:i/>
          <w:sz w:val="22"/>
          <w:szCs w:val="22"/>
        </w:rPr>
        <w:t xml:space="preserve"> para ser contratados como servidores públicos o como prestadores de servicios o contratistas del sector público, en términos de la Ley de Responsabilidades Administrativas del Estado de México y Municipios.</w:t>
      </w:r>
    </w:p>
    <w:p w14:paraId="699C8371" w14:textId="77777777" w:rsidR="00CD42B4" w:rsidRPr="00435703" w:rsidRDefault="00CD42B4">
      <w:pPr>
        <w:ind w:left="851" w:right="822"/>
        <w:jc w:val="both"/>
        <w:rPr>
          <w:rFonts w:ascii="Palatino Linotype" w:eastAsia="Palatino Linotype" w:hAnsi="Palatino Linotype" w:cs="Palatino Linotype"/>
          <w:i/>
          <w:sz w:val="22"/>
          <w:szCs w:val="22"/>
        </w:rPr>
      </w:pPr>
    </w:p>
    <w:p w14:paraId="346B8069" w14:textId="77777777" w:rsidR="00CD42B4" w:rsidRPr="00435703" w:rsidRDefault="00F34A2D">
      <w:pPr>
        <w:ind w:left="851" w:right="822"/>
        <w:jc w:val="both"/>
        <w:rPr>
          <w:rFonts w:ascii="Palatino Linotype" w:eastAsia="Palatino Linotype" w:hAnsi="Palatino Linotype" w:cs="Palatino Linotype"/>
          <w:b/>
          <w:i/>
          <w:sz w:val="22"/>
          <w:szCs w:val="22"/>
        </w:rPr>
      </w:pPr>
      <w:r w:rsidRPr="00435703">
        <w:rPr>
          <w:rFonts w:ascii="Palatino Linotype" w:eastAsia="Palatino Linotype" w:hAnsi="Palatino Linotype" w:cs="Palatino Linotype"/>
          <w:i/>
          <w:sz w:val="22"/>
          <w:szCs w:val="22"/>
        </w:rPr>
        <w:t>Los registros de las sanciones relativas a responsabilidades administrativas no graves, quedarán registradas para efectos de eventual reincidencia, pero no serán públicas</w:t>
      </w:r>
      <w:r w:rsidRPr="00435703">
        <w:rPr>
          <w:rFonts w:ascii="Palatino Linotype" w:eastAsia="Palatino Linotype" w:hAnsi="Palatino Linotype" w:cs="Palatino Linotype"/>
          <w:b/>
          <w:i/>
          <w:sz w:val="22"/>
          <w:szCs w:val="22"/>
        </w:rPr>
        <w:t>.”</w:t>
      </w:r>
    </w:p>
    <w:p w14:paraId="1B2A0760" w14:textId="77777777" w:rsidR="00CD42B4" w:rsidRPr="00435703" w:rsidRDefault="00CD42B4">
      <w:pPr>
        <w:spacing w:line="360" w:lineRule="auto"/>
        <w:ind w:right="49"/>
        <w:jc w:val="both"/>
        <w:rPr>
          <w:rFonts w:ascii="Palatino Linotype" w:eastAsia="Palatino Linotype" w:hAnsi="Palatino Linotype" w:cs="Palatino Linotype"/>
        </w:rPr>
      </w:pPr>
    </w:p>
    <w:p w14:paraId="3669AF70" w14:textId="77777777" w:rsidR="00CD42B4" w:rsidRPr="00435703" w:rsidRDefault="00F34A2D">
      <w:pPr>
        <w:spacing w:line="360" w:lineRule="auto"/>
        <w:ind w:right="49"/>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Del precepto en cita se puede observar que deberán hacerse públicas las sanciones impuestas por faltas graves cuando éstas sean impedimentos o inhabilitaciones para la contratación en el servicio público. De forma que dicha sanción deviene de la conclusión de un procedimiento administrativo, con lo que solamente se hará entrega del nombre de los elementos dados de baja o suspendidos con motivo de una falta grave cuando esta haya quedado asentada mediante procedimiento concluido. </w:t>
      </w:r>
    </w:p>
    <w:p w14:paraId="0F7C330F" w14:textId="77777777" w:rsidR="00CD42B4" w:rsidRPr="00435703" w:rsidRDefault="00CD42B4">
      <w:pPr>
        <w:spacing w:line="360" w:lineRule="auto"/>
        <w:ind w:right="49"/>
        <w:jc w:val="both"/>
        <w:rPr>
          <w:rFonts w:ascii="Palatino Linotype" w:eastAsia="Palatino Linotype" w:hAnsi="Palatino Linotype" w:cs="Palatino Linotype"/>
        </w:rPr>
      </w:pPr>
    </w:p>
    <w:p w14:paraId="2ABF71FC"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Una vez hechas las precisiones anteriores, en cuanto al requerimiento relativo a conocer </w:t>
      </w:r>
      <w:r w:rsidRPr="00435703">
        <w:rPr>
          <w:rFonts w:ascii="Palatino Linotype" w:eastAsia="Palatino Linotype" w:hAnsi="Palatino Linotype" w:cs="Palatino Linotype"/>
          <w:b/>
        </w:rPr>
        <w:t>“</w:t>
      </w:r>
      <w:r w:rsidRPr="00435703">
        <w:rPr>
          <w:rFonts w:ascii="Palatino Linotype" w:eastAsia="Palatino Linotype" w:hAnsi="Palatino Linotype" w:cs="Palatino Linotype"/>
          <w:b/>
          <w:i/>
        </w:rPr>
        <w:t xml:space="preserve">como interviene la </w:t>
      </w:r>
      <w:proofErr w:type="spellStart"/>
      <w:r w:rsidRPr="00435703">
        <w:rPr>
          <w:rFonts w:ascii="Palatino Linotype" w:eastAsia="Palatino Linotype" w:hAnsi="Palatino Linotype" w:cs="Palatino Linotype"/>
          <w:b/>
          <w:i/>
        </w:rPr>
        <w:t>guaredia</w:t>
      </w:r>
      <w:proofErr w:type="spellEnd"/>
      <w:r w:rsidRPr="00435703">
        <w:rPr>
          <w:rFonts w:ascii="Palatino Linotype" w:eastAsia="Palatino Linotype" w:hAnsi="Palatino Linotype" w:cs="Palatino Linotype"/>
          <w:b/>
          <w:i/>
        </w:rPr>
        <w:t xml:space="preserve"> nacional solicito evidencias.” </w:t>
      </w:r>
      <w:r w:rsidRPr="00435703">
        <w:rPr>
          <w:rFonts w:ascii="Palatino Linotype" w:eastAsia="Palatino Linotype" w:hAnsi="Palatino Linotype" w:cs="Palatino Linotype"/>
        </w:rPr>
        <w:t xml:space="preserve">Analizando el Marco normativo con el que cuenta EL SUJETO OBLIGADO, mismo que ha sido objeto de análisis a lo largo del presente estudio, se advierte que existen diversas áreas las cuales se encuentran facultadas y al mismo tiempo obligadas a establecer mecanismos de cooperación entre organismos de distintos niveles y esferas de gobierno para garantizar de forma efectiva la seguridad  pública municipal. </w:t>
      </w:r>
    </w:p>
    <w:p w14:paraId="0D84987B" w14:textId="77777777" w:rsidR="00CD42B4" w:rsidRPr="00435703" w:rsidRDefault="00CD42B4">
      <w:pPr>
        <w:spacing w:line="360" w:lineRule="auto"/>
        <w:jc w:val="both"/>
        <w:rPr>
          <w:rFonts w:ascii="Palatino Linotype" w:eastAsia="Palatino Linotype" w:hAnsi="Palatino Linotype" w:cs="Palatino Linotype"/>
        </w:rPr>
      </w:pPr>
    </w:p>
    <w:p w14:paraId="32DA688C"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Así lo establece el Código Reglamentario del Ayuntamiento de Toluca en su artículo 3.32 fracciones VII, X y XI al indicar dentro de las atribuciones de la Dirección General de Seguridad Pública  la de establecer mecanismos de coordinación con organismos federales, </w:t>
      </w:r>
      <w:r w:rsidRPr="00435703">
        <w:rPr>
          <w:rFonts w:ascii="Palatino Linotype" w:eastAsia="Palatino Linotype" w:hAnsi="Palatino Linotype" w:cs="Palatino Linotype"/>
        </w:rPr>
        <w:lastRenderedPageBreak/>
        <w:t>estatales y municipales, de igual manera podrá auxiliar a las diversas autoridades en resguardar la seguridad en diferentes eventos y procesos como los electorales, que a la letra dice:</w:t>
      </w:r>
    </w:p>
    <w:p w14:paraId="7FE98FBB" w14:textId="77777777" w:rsidR="00CD42B4" w:rsidRPr="00435703" w:rsidRDefault="00CD42B4">
      <w:pPr>
        <w:spacing w:line="360" w:lineRule="auto"/>
        <w:ind w:right="49"/>
        <w:jc w:val="both"/>
        <w:rPr>
          <w:rFonts w:ascii="Palatino Linotype" w:eastAsia="Palatino Linotype" w:hAnsi="Palatino Linotype" w:cs="Palatino Linotype"/>
        </w:rPr>
      </w:pPr>
    </w:p>
    <w:p w14:paraId="3E3C0713" w14:textId="77777777" w:rsidR="00CD42B4" w:rsidRPr="00435703" w:rsidRDefault="00F34A2D">
      <w:pPr>
        <w:ind w:left="992" w:right="752"/>
        <w:jc w:val="both"/>
        <w:rPr>
          <w:rFonts w:ascii="Palatino Linotype" w:eastAsia="Palatino Linotype" w:hAnsi="Palatino Linotype" w:cs="Palatino Linotype"/>
          <w:b/>
          <w:i/>
          <w:sz w:val="22"/>
          <w:szCs w:val="22"/>
          <w:u w:val="single"/>
        </w:rPr>
      </w:pPr>
      <w:r w:rsidRPr="00435703">
        <w:rPr>
          <w:rFonts w:ascii="Palatino Linotype" w:eastAsia="Palatino Linotype" w:hAnsi="Palatino Linotype" w:cs="Palatino Linotype"/>
          <w:b/>
          <w:i/>
          <w:sz w:val="22"/>
          <w:szCs w:val="22"/>
        </w:rPr>
        <w:t>“</w:t>
      </w:r>
      <w:r w:rsidRPr="00435703">
        <w:rPr>
          <w:rFonts w:ascii="Palatino Linotype" w:eastAsia="Palatino Linotype" w:hAnsi="Palatino Linotype" w:cs="Palatino Linotype"/>
          <w:b/>
          <w:i/>
          <w:sz w:val="22"/>
          <w:szCs w:val="22"/>
          <w:u w:val="single"/>
        </w:rPr>
        <w:t xml:space="preserve">SECCIÓN SÉPTIMA </w:t>
      </w:r>
    </w:p>
    <w:p w14:paraId="1FE82D69" w14:textId="77777777" w:rsidR="00CD42B4" w:rsidRPr="00435703" w:rsidRDefault="00F34A2D">
      <w:pPr>
        <w:ind w:left="992" w:right="752"/>
        <w:jc w:val="both"/>
        <w:rPr>
          <w:rFonts w:ascii="Palatino Linotype" w:eastAsia="Palatino Linotype" w:hAnsi="Palatino Linotype" w:cs="Palatino Linotype"/>
          <w:b/>
          <w:i/>
          <w:sz w:val="22"/>
          <w:szCs w:val="22"/>
          <w:u w:val="single"/>
        </w:rPr>
      </w:pPr>
      <w:r w:rsidRPr="00435703">
        <w:rPr>
          <w:rFonts w:ascii="Palatino Linotype" w:eastAsia="Palatino Linotype" w:hAnsi="Palatino Linotype" w:cs="Palatino Linotype"/>
          <w:b/>
          <w:i/>
          <w:sz w:val="22"/>
          <w:szCs w:val="22"/>
          <w:u w:val="single"/>
        </w:rPr>
        <w:t xml:space="preserve">DE LA DIRECCIÓN GENERAL DE SEGURIDAD PÚBLICA </w:t>
      </w:r>
    </w:p>
    <w:p w14:paraId="2922CFE4" w14:textId="77777777" w:rsidR="00CD42B4" w:rsidRPr="00435703" w:rsidRDefault="00CD42B4">
      <w:pPr>
        <w:ind w:left="992" w:right="752"/>
        <w:jc w:val="both"/>
        <w:rPr>
          <w:rFonts w:ascii="Palatino Linotype" w:eastAsia="Palatino Linotype" w:hAnsi="Palatino Linotype" w:cs="Palatino Linotype"/>
          <w:i/>
          <w:sz w:val="22"/>
          <w:szCs w:val="22"/>
        </w:rPr>
      </w:pPr>
    </w:p>
    <w:p w14:paraId="378E20E4" w14:textId="77777777" w:rsidR="00CD42B4" w:rsidRPr="00435703" w:rsidRDefault="00F34A2D">
      <w:pPr>
        <w:ind w:left="992" w:right="752"/>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Artículo 3.32. La o el titular de la Dirección General de Seguridad Pública tiene las siguientes atribuciones:</w:t>
      </w:r>
    </w:p>
    <w:p w14:paraId="6290941B" w14:textId="77777777" w:rsidR="00CD42B4" w:rsidRPr="00435703" w:rsidRDefault="00F34A2D">
      <w:pPr>
        <w:ind w:left="992" w:right="752"/>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VII. Establecer mecanismos de coordinación con organismos federales, estatales y municipales, tendentes a intercambiar acciones y programas para el desarrollo de las funciones de seguridad pública y vial;</w:t>
      </w:r>
    </w:p>
    <w:p w14:paraId="5F8EC25F" w14:textId="77777777" w:rsidR="00CD42B4" w:rsidRPr="00435703" w:rsidRDefault="00F34A2D">
      <w:pPr>
        <w:ind w:left="992" w:right="752"/>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X. Auxiliar a las autoridades federales, estatales y municipales en el desarrollo de los procesos electorales;</w:t>
      </w:r>
    </w:p>
    <w:p w14:paraId="02C3AC4E" w14:textId="77777777" w:rsidR="00CD42B4" w:rsidRPr="00435703" w:rsidRDefault="00F34A2D">
      <w:pPr>
        <w:ind w:left="992" w:right="752"/>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 xml:space="preserve">XI. Poner a disposición de las autoridades respectivas a las personas que infrinjan los ordenamientos legales de carácter federal, estatal o municipal;” </w:t>
      </w:r>
    </w:p>
    <w:p w14:paraId="27B5CE21" w14:textId="77777777" w:rsidR="00CD42B4" w:rsidRPr="00435703" w:rsidRDefault="00F34A2D">
      <w:pPr>
        <w:ind w:left="992" w:right="752"/>
        <w:jc w:val="both"/>
        <w:rPr>
          <w:rFonts w:ascii="Palatino Linotype" w:eastAsia="Palatino Linotype" w:hAnsi="Palatino Linotype" w:cs="Palatino Linotype"/>
        </w:rPr>
      </w:pPr>
      <w:r w:rsidRPr="00435703">
        <w:rPr>
          <w:rFonts w:ascii="Palatino Linotype" w:eastAsia="Palatino Linotype" w:hAnsi="Palatino Linotype" w:cs="Palatino Linotype"/>
          <w:i/>
          <w:sz w:val="22"/>
          <w:szCs w:val="22"/>
        </w:rPr>
        <w:t>(Énfasis añadido)</w:t>
      </w:r>
    </w:p>
    <w:p w14:paraId="04B19EC3" w14:textId="77777777" w:rsidR="00CD42B4" w:rsidRPr="00435703" w:rsidRDefault="00CD42B4">
      <w:pPr>
        <w:spacing w:line="360" w:lineRule="auto"/>
        <w:jc w:val="both"/>
        <w:rPr>
          <w:rFonts w:ascii="Palatino Linotype" w:eastAsia="Palatino Linotype" w:hAnsi="Palatino Linotype" w:cs="Palatino Linotype"/>
        </w:rPr>
      </w:pPr>
    </w:p>
    <w:p w14:paraId="2D244FFF"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También señala dichas atribuciones de coordinación  para la Dirección Operativa de la Dirección General de Seguridad Pública pues deberá trabajar en conjunto con las diversas instituciones de seguridad pública con la finalidad de abatir el índice criminal en el municipio, situación que se puede observar del contenido de la fracción del artículo 3.33 del Código Reglamentario del Ayuntamiento de Toluca, dispone:</w:t>
      </w:r>
    </w:p>
    <w:p w14:paraId="651DA31B" w14:textId="77777777" w:rsidR="00CD42B4" w:rsidRPr="00435703" w:rsidRDefault="00CD42B4">
      <w:pPr>
        <w:ind w:left="850" w:right="1319"/>
        <w:jc w:val="both"/>
        <w:rPr>
          <w:rFonts w:ascii="Palatino Linotype" w:eastAsia="Palatino Linotype" w:hAnsi="Palatino Linotype" w:cs="Palatino Linotype"/>
          <w:i/>
          <w:sz w:val="22"/>
          <w:szCs w:val="22"/>
        </w:rPr>
      </w:pPr>
    </w:p>
    <w:p w14:paraId="3D0728DD" w14:textId="77777777" w:rsidR="00CD42B4" w:rsidRPr="00435703" w:rsidRDefault="00F34A2D">
      <w:pPr>
        <w:ind w:left="850" w:right="1319"/>
        <w:jc w:val="both"/>
        <w:rPr>
          <w:rFonts w:ascii="Palatino Linotype" w:eastAsia="Palatino Linotype" w:hAnsi="Palatino Linotype" w:cs="Palatino Linotype"/>
          <w:b/>
          <w:i/>
          <w:sz w:val="22"/>
          <w:szCs w:val="22"/>
          <w:u w:val="single"/>
        </w:rPr>
      </w:pPr>
      <w:r w:rsidRPr="00435703">
        <w:rPr>
          <w:rFonts w:ascii="Palatino Linotype" w:eastAsia="Palatino Linotype" w:hAnsi="Palatino Linotype" w:cs="Palatino Linotype"/>
          <w:i/>
          <w:sz w:val="22"/>
          <w:szCs w:val="22"/>
        </w:rPr>
        <w:t>“</w:t>
      </w:r>
      <w:r w:rsidRPr="00435703">
        <w:rPr>
          <w:rFonts w:ascii="Palatino Linotype" w:eastAsia="Palatino Linotype" w:hAnsi="Palatino Linotype" w:cs="Palatino Linotype"/>
          <w:b/>
          <w:i/>
          <w:sz w:val="22"/>
          <w:szCs w:val="22"/>
          <w:u w:val="single"/>
        </w:rPr>
        <w:t xml:space="preserve">DIRECCIÓN OPERATIVA </w:t>
      </w:r>
    </w:p>
    <w:p w14:paraId="56B768E5" w14:textId="77777777" w:rsidR="00CD42B4" w:rsidRPr="00435703" w:rsidRDefault="00F34A2D">
      <w:pPr>
        <w:ind w:left="850" w:right="131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b/>
          <w:i/>
          <w:sz w:val="22"/>
          <w:szCs w:val="22"/>
        </w:rPr>
        <w:t>Artículo 3.33</w:t>
      </w:r>
      <w:r w:rsidRPr="00435703">
        <w:rPr>
          <w:rFonts w:ascii="Palatino Linotype" w:eastAsia="Palatino Linotype" w:hAnsi="Palatino Linotype" w:cs="Palatino Linotype"/>
          <w:i/>
          <w:sz w:val="22"/>
          <w:szCs w:val="22"/>
        </w:rPr>
        <w:t xml:space="preserve"> La o el titular de la Dirección Operativa tiene las siguientes atribuciones:</w:t>
      </w:r>
    </w:p>
    <w:p w14:paraId="55400563" w14:textId="77777777" w:rsidR="00CD42B4" w:rsidRPr="00435703" w:rsidRDefault="00F34A2D">
      <w:pPr>
        <w:ind w:left="850" w:right="131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 xml:space="preserve">IX. Conjuntar e intercambiar información con otras instituciones de seguridad pública para abatir el índice criminal en el municipio, así́ como proporcionarles, en su caso, el apoyo que conforme a derecho proceda, previo acuerdo con la o el titular de la Dirección General de Seguridad Pública;” </w:t>
      </w:r>
    </w:p>
    <w:p w14:paraId="141B8BE5" w14:textId="77777777" w:rsidR="00CD42B4" w:rsidRPr="00435703" w:rsidRDefault="00F34A2D">
      <w:pPr>
        <w:ind w:left="850" w:right="131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w:t>
      </w:r>
      <w:proofErr w:type="gramStart"/>
      <w:r w:rsidRPr="00435703">
        <w:rPr>
          <w:rFonts w:ascii="Palatino Linotype" w:eastAsia="Palatino Linotype" w:hAnsi="Palatino Linotype" w:cs="Palatino Linotype"/>
          <w:i/>
          <w:sz w:val="22"/>
          <w:szCs w:val="22"/>
        </w:rPr>
        <w:t>énfasis</w:t>
      </w:r>
      <w:proofErr w:type="gramEnd"/>
      <w:r w:rsidRPr="00435703">
        <w:rPr>
          <w:rFonts w:ascii="Palatino Linotype" w:eastAsia="Palatino Linotype" w:hAnsi="Palatino Linotype" w:cs="Palatino Linotype"/>
          <w:i/>
          <w:sz w:val="22"/>
          <w:szCs w:val="22"/>
        </w:rPr>
        <w:t xml:space="preserve"> añadido)</w:t>
      </w:r>
    </w:p>
    <w:p w14:paraId="7FD29D5D"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lastRenderedPageBreak/>
        <w:t>Mismo es el caso de la Dirección de Prevención Comunitaria, la cual según lo dispuesto por el numeral 3.35 Fracción VII deberá establecer vínculos don otras instituciones de seguridad pública para prevenir la delincuencia:</w:t>
      </w:r>
    </w:p>
    <w:p w14:paraId="4DEBFC6F" w14:textId="77777777" w:rsidR="00CD42B4" w:rsidRPr="00435703" w:rsidRDefault="00CD42B4">
      <w:pPr>
        <w:ind w:left="850" w:right="1319"/>
        <w:jc w:val="both"/>
        <w:rPr>
          <w:rFonts w:ascii="Palatino Linotype" w:eastAsia="Palatino Linotype" w:hAnsi="Palatino Linotype" w:cs="Palatino Linotype"/>
          <w:b/>
          <w:i/>
          <w:sz w:val="22"/>
          <w:szCs w:val="22"/>
          <w:u w:val="single"/>
        </w:rPr>
      </w:pPr>
    </w:p>
    <w:p w14:paraId="71400DB5" w14:textId="77777777" w:rsidR="00CD42B4" w:rsidRPr="00435703" w:rsidRDefault="00F34A2D">
      <w:pPr>
        <w:ind w:left="850" w:right="131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b/>
          <w:i/>
          <w:sz w:val="22"/>
          <w:szCs w:val="22"/>
          <w:u w:val="single"/>
        </w:rPr>
        <w:t>“DIRECCIÓN DE PREVENCIÓN COMUNITARIA</w:t>
      </w:r>
      <w:r w:rsidRPr="00435703">
        <w:rPr>
          <w:rFonts w:ascii="Palatino Linotype" w:eastAsia="Palatino Linotype" w:hAnsi="Palatino Linotype" w:cs="Palatino Linotype"/>
          <w:i/>
          <w:sz w:val="22"/>
          <w:szCs w:val="22"/>
        </w:rPr>
        <w:t xml:space="preserve"> </w:t>
      </w:r>
    </w:p>
    <w:p w14:paraId="415ABB5C" w14:textId="77777777" w:rsidR="00CD42B4" w:rsidRPr="00435703" w:rsidRDefault="00F34A2D">
      <w:pPr>
        <w:ind w:left="850" w:right="131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b/>
          <w:i/>
          <w:sz w:val="22"/>
          <w:szCs w:val="22"/>
        </w:rPr>
        <w:t xml:space="preserve">Artículo 3.35 </w:t>
      </w:r>
      <w:r w:rsidRPr="00435703">
        <w:rPr>
          <w:rFonts w:ascii="Palatino Linotype" w:eastAsia="Palatino Linotype" w:hAnsi="Palatino Linotype" w:cs="Palatino Linotype"/>
          <w:i/>
          <w:sz w:val="22"/>
          <w:szCs w:val="22"/>
        </w:rPr>
        <w:t>La o el titular de la Dirección de Prevención Comunitaria tiene las siguientes atribuciones:</w:t>
      </w:r>
    </w:p>
    <w:p w14:paraId="50D293C2" w14:textId="77777777" w:rsidR="00CD42B4" w:rsidRPr="00435703" w:rsidRDefault="00F34A2D">
      <w:pPr>
        <w:ind w:left="850" w:right="131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VII. Promover y establecer vínculos con otras instituciones de seguridad pública o dependencias del ayuntamiento para trabajar en conjunto para prevenir la violencia y la delincuencia;”</w:t>
      </w:r>
    </w:p>
    <w:p w14:paraId="397B636D" w14:textId="77777777" w:rsidR="00CD42B4" w:rsidRPr="00435703" w:rsidRDefault="00F34A2D">
      <w:pPr>
        <w:ind w:left="850" w:right="1319"/>
        <w:jc w:val="both"/>
        <w:rPr>
          <w:rFonts w:ascii="Palatino Linotype" w:eastAsia="Palatino Linotype" w:hAnsi="Palatino Linotype" w:cs="Palatino Linotype"/>
        </w:rPr>
      </w:pPr>
      <w:r w:rsidRPr="00435703">
        <w:rPr>
          <w:rFonts w:ascii="Palatino Linotype" w:eastAsia="Palatino Linotype" w:hAnsi="Palatino Linotype" w:cs="Palatino Linotype"/>
          <w:i/>
          <w:sz w:val="22"/>
          <w:szCs w:val="22"/>
        </w:rPr>
        <w:t>(Énfasis añadido)</w:t>
      </w:r>
    </w:p>
    <w:p w14:paraId="4DA2204B" w14:textId="77777777" w:rsidR="00CD42B4" w:rsidRPr="00435703" w:rsidRDefault="00CD42B4">
      <w:pPr>
        <w:spacing w:line="360" w:lineRule="auto"/>
        <w:jc w:val="both"/>
        <w:rPr>
          <w:rFonts w:ascii="Palatino Linotype" w:eastAsia="Palatino Linotype" w:hAnsi="Palatino Linotype" w:cs="Palatino Linotype"/>
        </w:rPr>
      </w:pPr>
    </w:p>
    <w:p w14:paraId="5FBDB2F6"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En conclusión existen motivos y preceptos legales que permiten concluir que </w:t>
      </w:r>
      <w:r w:rsidRPr="00435703">
        <w:rPr>
          <w:rFonts w:ascii="Palatino Linotype" w:eastAsia="Palatino Linotype" w:hAnsi="Palatino Linotype" w:cs="Palatino Linotype"/>
          <w:b/>
        </w:rPr>
        <w:t xml:space="preserve">EL SUJETO OBLIGADO </w:t>
      </w:r>
      <w:r w:rsidRPr="00435703">
        <w:rPr>
          <w:rFonts w:ascii="Palatino Linotype" w:eastAsia="Palatino Linotype" w:hAnsi="Palatino Linotype" w:cs="Palatino Linotype"/>
        </w:rPr>
        <w:t xml:space="preserve">debe tener conocimiento sobre la participación de la Guardia Nacional  en el municipio y en caso de contar con ellas podrá entregar evidencias, tomando en cuenta que el Derecho de Acceso a la Información se verifica a través de soportes documentales, tales como convenios, circulares, acuerdos, oficios, entre otros. Lo anterior, de conformidad con el artículo 3, fracción XI de la Ley de la materia, el cual dispone lo siguiente: </w:t>
      </w:r>
    </w:p>
    <w:p w14:paraId="0B877FC8" w14:textId="77777777" w:rsidR="00CD42B4" w:rsidRPr="00435703" w:rsidRDefault="00F34A2D">
      <w:pPr>
        <w:tabs>
          <w:tab w:val="left" w:pos="851"/>
        </w:tabs>
        <w:ind w:left="851" w:right="901"/>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w:t>
      </w:r>
      <w:r w:rsidRPr="00435703">
        <w:rPr>
          <w:rFonts w:ascii="Palatino Linotype" w:eastAsia="Palatino Linotype" w:hAnsi="Palatino Linotype" w:cs="Palatino Linotype"/>
          <w:b/>
          <w:i/>
          <w:sz w:val="22"/>
          <w:szCs w:val="22"/>
        </w:rPr>
        <w:t>Artículo 3.</w:t>
      </w:r>
      <w:r w:rsidRPr="00435703">
        <w:rPr>
          <w:rFonts w:ascii="Palatino Linotype" w:eastAsia="Palatino Linotype" w:hAnsi="Palatino Linotype" w:cs="Palatino Linotype"/>
          <w:i/>
          <w:sz w:val="22"/>
          <w:szCs w:val="22"/>
        </w:rPr>
        <w:t xml:space="preserve"> Para los efectos de la presente Ley se entenderá por:</w:t>
      </w:r>
    </w:p>
    <w:p w14:paraId="683DCB29" w14:textId="77777777" w:rsidR="00CD42B4" w:rsidRPr="00435703" w:rsidRDefault="00F34A2D">
      <w:pPr>
        <w:tabs>
          <w:tab w:val="left" w:pos="851"/>
        </w:tabs>
        <w:ind w:left="851" w:right="901"/>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w:t>
      </w:r>
    </w:p>
    <w:p w14:paraId="25A7C3E1" w14:textId="77777777" w:rsidR="00CD42B4" w:rsidRPr="00435703" w:rsidRDefault="00F34A2D">
      <w:pPr>
        <w:tabs>
          <w:tab w:val="left" w:pos="851"/>
        </w:tabs>
        <w:ind w:left="851" w:right="901"/>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b/>
          <w:i/>
          <w:sz w:val="22"/>
          <w:szCs w:val="22"/>
        </w:rPr>
        <w:t>XI. Documento</w:t>
      </w:r>
      <w:r w:rsidRPr="00435703">
        <w:rPr>
          <w:rFonts w:ascii="Palatino Linotype" w:eastAsia="Palatino Linotype" w:hAnsi="Palatino Linotype" w:cs="Palatino Linotype"/>
          <w:i/>
          <w:sz w:val="22"/>
          <w:szCs w:val="22"/>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0125C5E" w14:textId="77777777" w:rsidR="00CD42B4" w:rsidRPr="00435703" w:rsidRDefault="00F34A2D">
      <w:pPr>
        <w:tabs>
          <w:tab w:val="left" w:pos="851"/>
        </w:tabs>
        <w:ind w:left="851" w:right="901"/>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w:t>
      </w:r>
    </w:p>
    <w:p w14:paraId="4B6E3C84" w14:textId="77777777" w:rsidR="00CD42B4" w:rsidRPr="00435703" w:rsidRDefault="00CD42B4">
      <w:pPr>
        <w:tabs>
          <w:tab w:val="left" w:pos="851"/>
        </w:tabs>
        <w:spacing w:line="360" w:lineRule="auto"/>
        <w:ind w:left="851" w:right="901"/>
        <w:jc w:val="both"/>
        <w:rPr>
          <w:rFonts w:ascii="Palatino Linotype" w:eastAsia="Palatino Linotype" w:hAnsi="Palatino Linotype" w:cs="Palatino Linotype"/>
          <w:i/>
          <w:sz w:val="22"/>
          <w:szCs w:val="22"/>
        </w:rPr>
      </w:pPr>
    </w:p>
    <w:p w14:paraId="5F1480E6" w14:textId="77777777" w:rsidR="00CD42B4" w:rsidRPr="00435703" w:rsidRDefault="00F34A2D">
      <w:pPr>
        <w:spacing w:line="360" w:lineRule="auto"/>
        <w:ind w:right="49"/>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Siendo aplicable también, el Criterio de interpretación en el orden administrativo número 0002-11, emitido por Acuerdo del Pleno del Instituto de Transparencia y Acceso a la </w:t>
      </w:r>
      <w:r w:rsidRPr="00435703">
        <w:rPr>
          <w:rFonts w:ascii="Palatino Linotype" w:eastAsia="Palatino Linotype" w:hAnsi="Palatino Linotype" w:cs="Palatino Linotype"/>
        </w:rPr>
        <w:lastRenderedPageBreak/>
        <w:t>Información Pública del Estado de México y Municipios; publicado en el Periódico Oficial del Gobierno del Estado Libre y Soberano de México “Gaceta del Gobierno”, el diecinueve de octubre de dos mil once, cuyo rubro y texto dispone:</w:t>
      </w:r>
    </w:p>
    <w:p w14:paraId="30A1D571" w14:textId="77777777" w:rsidR="00CD42B4" w:rsidRPr="00435703" w:rsidRDefault="00CD42B4">
      <w:pPr>
        <w:spacing w:line="360" w:lineRule="auto"/>
        <w:ind w:right="49"/>
        <w:jc w:val="both"/>
        <w:rPr>
          <w:rFonts w:ascii="Palatino Linotype" w:eastAsia="Palatino Linotype" w:hAnsi="Palatino Linotype" w:cs="Palatino Linotype"/>
        </w:rPr>
      </w:pPr>
    </w:p>
    <w:p w14:paraId="4B861A61" w14:textId="77777777" w:rsidR="00CD42B4" w:rsidRPr="00435703" w:rsidRDefault="00F34A2D">
      <w:pPr>
        <w:tabs>
          <w:tab w:val="left" w:pos="851"/>
        </w:tabs>
        <w:ind w:left="851" w:right="901"/>
        <w:jc w:val="both"/>
        <w:rPr>
          <w:rFonts w:ascii="Palatino Linotype" w:eastAsia="Palatino Linotype" w:hAnsi="Palatino Linotype" w:cs="Palatino Linotype"/>
          <w:b/>
          <w:i/>
          <w:sz w:val="22"/>
          <w:szCs w:val="22"/>
        </w:rPr>
      </w:pPr>
      <w:r w:rsidRPr="00435703">
        <w:rPr>
          <w:rFonts w:ascii="Palatino Linotype" w:eastAsia="Palatino Linotype" w:hAnsi="Palatino Linotype" w:cs="Palatino Linotype"/>
          <w:b/>
        </w:rPr>
        <w:t>“</w:t>
      </w:r>
      <w:r w:rsidRPr="00435703">
        <w:rPr>
          <w:rFonts w:ascii="Palatino Linotype" w:eastAsia="Palatino Linotype" w:hAnsi="Palatino Linotype" w:cs="Palatino Linotype"/>
          <w:b/>
          <w:i/>
          <w:sz w:val="22"/>
          <w:szCs w:val="22"/>
        </w:rPr>
        <w:t>CRITERIO 0002-11</w:t>
      </w:r>
    </w:p>
    <w:p w14:paraId="72AEDC45" w14:textId="77777777" w:rsidR="00CD42B4" w:rsidRPr="00435703" w:rsidRDefault="00F34A2D">
      <w:pPr>
        <w:tabs>
          <w:tab w:val="left" w:pos="851"/>
        </w:tabs>
        <w:ind w:left="851" w:right="901"/>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b/>
          <w:i/>
          <w:sz w:val="22"/>
          <w:szCs w:val="22"/>
        </w:rPr>
        <w:t xml:space="preserve">INFORMACIÓN PÚBLICA, CONCEPTO DE, EN MATERIA DE TRANSPARENCIA. INTERPRETACIÓN SISTEMÁTICA DE LOS ARTÍCULOS 2°, FRACCIÓN V, XV, Y XVI, 3°, 4°, 11 Y 41. </w:t>
      </w:r>
      <w:r w:rsidRPr="00435703">
        <w:rPr>
          <w:rFonts w:ascii="Palatino Linotype" w:eastAsia="Palatino Linotype" w:hAnsi="Palatino Linotype" w:cs="Palatino Linotype"/>
          <w:i/>
          <w:sz w:val="22"/>
          <w:szCs w:val="22"/>
        </w:rPr>
        <w:t>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9452586" w14:textId="77777777" w:rsidR="00CD42B4" w:rsidRPr="00435703" w:rsidRDefault="00F34A2D">
      <w:pPr>
        <w:tabs>
          <w:tab w:val="left" w:pos="851"/>
        </w:tabs>
        <w:ind w:left="851" w:right="901"/>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2CBD533B" w14:textId="77777777" w:rsidR="00CD42B4" w:rsidRPr="00435703" w:rsidRDefault="00F34A2D">
      <w:pPr>
        <w:tabs>
          <w:tab w:val="left" w:pos="851"/>
        </w:tabs>
        <w:ind w:left="851" w:right="901"/>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62ED832" w14:textId="77777777" w:rsidR="00CD42B4" w:rsidRPr="00435703" w:rsidRDefault="00F34A2D">
      <w:pPr>
        <w:tabs>
          <w:tab w:val="left" w:pos="851"/>
        </w:tabs>
        <w:ind w:left="851" w:right="901"/>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7E28E73A" w14:textId="77777777" w:rsidR="00CD42B4" w:rsidRPr="00435703" w:rsidRDefault="00F34A2D">
      <w:pPr>
        <w:tabs>
          <w:tab w:val="left" w:pos="851"/>
        </w:tabs>
        <w:ind w:left="851" w:right="901"/>
        <w:jc w:val="both"/>
        <w:rPr>
          <w:rFonts w:ascii="Palatino Linotype" w:eastAsia="Palatino Linotype" w:hAnsi="Palatino Linotype" w:cs="Palatino Linotype"/>
        </w:rPr>
      </w:pPr>
      <w:r w:rsidRPr="00435703">
        <w:rPr>
          <w:rFonts w:ascii="Palatino Linotype" w:eastAsia="Palatino Linotype" w:hAnsi="Palatino Linotype" w:cs="Palatino Linotype"/>
          <w:i/>
          <w:sz w:val="22"/>
          <w:szCs w:val="22"/>
        </w:rPr>
        <w:t xml:space="preserve"> 3) Que se trate de información registrada en cualquier soporte documental, que en ejercicio de las atribuciones conferidas, se encuentre en posesión de los Sujetos Obligados.” (Sic)</w:t>
      </w:r>
    </w:p>
    <w:p w14:paraId="023BA006" w14:textId="77777777" w:rsidR="00CD42B4" w:rsidRPr="00435703" w:rsidRDefault="00CD42B4">
      <w:pPr>
        <w:spacing w:line="360" w:lineRule="auto"/>
        <w:jc w:val="both"/>
        <w:rPr>
          <w:rFonts w:ascii="Palatino Linotype" w:eastAsia="Palatino Linotype" w:hAnsi="Palatino Linotype" w:cs="Palatino Linotype"/>
        </w:rPr>
      </w:pPr>
    </w:p>
    <w:p w14:paraId="4476B4B6"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Así pues, es importante indicar que los Sujetos Obligados proporcionarán la información que generen, recopilen, administren, manejen, procesen, archiven o conserven y facilitarán la que se les requiera y obre en sus archivos, en el estado en el que se encuentre, sin la obligación de generarla, resumirla, efectuar cálculos o practicar investigaciones; tal y como, se señala a continuación: </w:t>
      </w:r>
    </w:p>
    <w:p w14:paraId="18FF7C3E" w14:textId="77777777" w:rsidR="00CD42B4" w:rsidRPr="00435703" w:rsidRDefault="00CD42B4">
      <w:pPr>
        <w:spacing w:line="360" w:lineRule="auto"/>
        <w:ind w:right="49"/>
        <w:jc w:val="both"/>
        <w:rPr>
          <w:rFonts w:ascii="Palatino Linotype" w:eastAsia="Palatino Linotype" w:hAnsi="Palatino Linotype" w:cs="Palatino Linotype"/>
        </w:rPr>
      </w:pPr>
    </w:p>
    <w:p w14:paraId="1C4E2400" w14:textId="77777777" w:rsidR="00CD42B4" w:rsidRPr="00435703" w:rsidRDefault="00F34A2D">
      <w:pPr>
        <w:tabs>
          <w:tab w:val="left" w:pos="851"/>
        </w:tabs>
        <w:ind w:left="851" w:right="901"/>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w:t>
      </w:r>
      <w:r w:rsidRPr="00435703">
        <w:rPr>
          <w:rFonts w:ascii="Palatino Linotype" w:eastAsia="Palatino Linotype" w:hAnsi="Palatino Linotype" w:cs="Palatino Linotype"/>
          <w:b/>
          <w:i/>
          <w:sz w:val="22"/>
          <w:szCs w:val="22"/>
        </w:rPr>
        <w:t>Artículo 12.</w:t>
      </w:r>
      <w:r w:rsidRPr="00435703">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CC7E6CB" w14:textId="77777777" w:rsidR="00CD42B4" w:rsidRPr="00435703" w:rsidRDefault="00F34A2D">
      <w:pPr>
        <w:tabs>
          <w:tab w:val="left" w:pos="851"/>
        </w:tabs>
        <w:ind w:left="851" w:right="901"/>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lastRenderedPageBreak/>
        <w:t xml:space="preserve"> </w:t>
      </w:r>
    </w:p>
    <w:p w14:paraId="1BEDEEF0" w14:textId="77777777" w:rsidR="00CD42B4" w:rsidRPr="00435703" w:rsidRDefault="00F34A2D">
      <w:pPr>
        <w:tabs>
          <w:tab w:val="left" w:pos="851"/>
        </w:tabs>
        <w:ind w:left="851" w:right="901"/>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1F423F7" w14:textId="77777777" w:rsidR="00CD42B4" w:rsidRPr="00435703" w:rsidRDefault="00CD42B4">
      <w:pPr>
        <w:spacing w:line="360" w:lineRule="auto"/>
        <w:ind w:right="49"/>
        <w:jc w:val="both"/>
        <w:rPr>
          <w:rFonts w:ascii="Palatino Linotype" w:eastAsia="Palatino Linotype" w:hAnsi="Palatino Linotype" w:cs="Palatino Linotype"/>
        </w:rPr>
      </w:pPr>
    </w:p>
    <w:p w14:paraId="5E1465BD" w14:textId="77777777" w:rsidR="00CD42B4" w:rsidRPr="00435703" w:rsidRDefault="00F34A2D">
      <w:pPr>
        <w:spacing w:line="360" w:lineRule="auto"/>
        <w:ind w:right="49"/>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En síntesis, el Derecho de Acceso a la Información Pública se satisface en aquellos casos en que se entregue a los particulares que lo soliciten el soporte documental en que conste la Información Pública, toda vez que, los Sujetos Obligados no tienen el deber de generar, poseer o administrar la Información Pública con el grado de detalle solicitado; esto es, que no tienen el deber de generar un documento </w:t>
      </w:r>
      <w:r w:rsidRPr="00435703">
        <w:rPr>
          <w:rFonts w:ascii="Palatino Linotype" w:eastAsia="Palatino Linotype" w:hAnsi="Palatino Linotype" w:cs="Palatino Linotype"/>
          <w:i/>
        </w:rPr>
        <w:t>ad hoc</w:t>
      </w:r>
      <w:r w:rsidRPr="00435703">
        <w:rPr>
          <w:rFonts w:ascii="Palatino Linotype" w:eastAsia="Palatino Linotype" w:hAnsi="Palatino Linotype" w:cs="Palatino Linotype"/>
        </w:rPr>
        <w:t>, para satisfacer el Derecho de Acceso a la Información Pública.</w:t>
      </w:r>
    </w:p>
    <w:p w14:paraId="4F8FE78A" w14:textId="77777777" w:rsidR="00CD42B4" w:rsidRPr="00435703" w:rsidRDefault="00CD42B4">
      <w:pPr>
        <w:spacing w:line="360" w:lineRule="auto"/>
        <w:ind w:right="49"/>
        <w:jc w:val="both"/>
        <w:rPr>
          <w:rFonts w:ascii="Palatino Linotype" w:eastAsia="Palatino Linotype" w:hAnsi="Palatino Linotype" w:cs="Palatino Linotype"/>
        </w:rPr>
      </w:pPr>
    </w:p>
    <w:p w14:paraId="5EB277D7" w14:textId="77777777" w:rsidR="00CD42B4" w:rsidRPr="00435703" w:rsidRDefault="00F34A2D">
      <w:pPr>
        <w:spacing w:line="360" w:lineRule="auto"/>
        <w:ind w:right="49"/>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Como apoyo a lo anterior, es aplicable el Criterio 03-17, emitido por el Instituto Nacional de Transparencia, Acceso a la Información y Protección de Datos Personales (INAI), que dice: </w:t>
      </w:r>
    </w:p>
    <w:p w14:paraId="7FAC63B8" w14:textId="77777777" w:rsidR="00CD42B4" w:rsidRPr="00435703" w:rsidRDefault="00CD42B4">
      <w:pPr>
        <w:ind w:right="49"/>
        <w:jc w:val="both"/>
        <w:rPr>
          <w:rFonts w:ascii="Palatino Linotype" w:eastAsia="Palatino Linotype" w:hAnsi="Palatino Linotype" w:cs="Palatino Linotype"/>
        </w:rPr>
      </w:pPr>
    </w:p>
    <w:p w14:paraId="137A8A46" w14:textId="77777777" w:rsidR="00CD42B4" w:rsidRPr="00435703" w:rsidRDefault="00F34A2D">
      <w:pPr>
        <w:tabs>
          <w:tab w:val="left" w:pos="851"/>
        </w:tabs>
        <w:ind w:left="851" w:right="901"/>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w:t>
      </w:r>
      <w:r w:rsidRPr="00435703">
        <w:rPr>
          <w:rFonts w:ascii="Palatino Linotype" w:eastAsia="Palatino Linotype" w:hAnsi="Palatino Linotype" w:cs="Palatino Linotype"/>
          <w:b/>
          <w:i/>
          <w:sz w:val="22"/>
          <w:szCs w:val="22"/>
        </w:rPr>
        <w:t>No existe obligación de elaborar documentos ad hoc para atender las solicitudes de acceso a la información</w:t>
      </w:r>
      <w:r w:rsidRPr="00435703">
        <w:rPr>
          <w:rFonts w:ascii="Palatino Linotype" w:eastAsia="Palatino Linotype" w:hAnsi="Palatino Linotype" w:cs="Palatino Linotype"/>
          <w:i/>
          <w:sz w:val="22"/>
          <w:szCs w:val="22"/>
        </w:rPr>
        <w:t>.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F175FCB" w14:textId="77777777" w:rsidR="00CD42B4" w:rsidRPr="00435703" w:rsidRDefault="00CD42B4">
      <w:pPr>
        <w:spacing w:line="360" w:lineRule="auto"/>
        <w:ind w:right="49"/>
        <w:jc w:val="both"/>
        <w:rPr>
          <w:rFonts w:ascii="Palatino Linotype" w:eastAsia="Palatino Linotype" w:hAnsi="Palatino Linotype" w:cs="Palatino Linotype"/>
        </w:rPr>
      </w:pPr>
    </w:p>
    <w:p w14:paraId="1EC2C9B6"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lastRenderedPageBreak/>
        <w:t xml:space="preserve">De forma que </w:t>
      </w:r>
      <w:r w:rsidRPr="00435703">
        <w:rPr>
          <w:rFonts w:ascii="Palatino Linotype" w:eastAsia="Palatino Linotype" w:hAnsi="Palatino Linotype" w:cs="Palatino Linotype"/>
          <w:b/>
        </w:rPr>
        <w:t>EL SUJETO OBLIGADO</w:t>
      </w:r>
      <w:r w:rsidRPr="00435703">
        <w:rPr>
          <w:rFonts w:ascii="Palatino Linotype" w:eastAsia="Palatino Linotype" w:hAnsi="Palatino Linotype" w:cs="Palatino Linotype"/>
        </w:rPr>
        <w:t xml:space="preserve"> sólo se encuentra compelido a entrar la información solicitada cuando ésta obre en sus archivos y en el estado en que se encuentre, sin que se deba adecuar de forma específica a la petición del </w:t>
      </w:r>
      <w:r w:rsidRPr="00435703">
        <w:rPr>
          <w:rFonts w:ascii="Palatino Linotype" w:eastAsia="Palatino Linotype" w:hAnsi="Palatino Linotype" w:cs="Palatino Linotype"/>
          <w:b/>
        </w:rPr>
        <w:t xml:space="preserve">RECURRENTE. </w:t>
      </w:r>
    </w:p>
    <w:p w14:paraId="31C1123A" w14:textId="77777777" w:rsidR="00CD42B4" w:rsidRPr="00435703" w:rsidRDefault="00CD42B4">
      <w:pPr>
        <w:spacing w:line="360" w:lineRule="auto"/>
        <w:jc w:val="both"/>
        <w:rPr>
          <w:rFonts w:ascii="Palatino Linotype" w:eastAsia="Palatino Linotype" w:hAnsi="Palatino Linotype" w:cs="Palatino Linotype"/>
        </w:rPr>
      </w:pPr>
    </w:p>
    <w:p w14:paraId="56E4FD02"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Así pues, el ente recurrido deberá pronunciarse sobre si genera, administra o posee información relativa a la participación de la Guardia Nacional para promover la seguridad pública entregando si hubiera evidencia de la misma. </w:t>
      </w:r>
    </w:p>
    <w:p w14:paraId="29CB0993" w14:textId="77777777" w:rsidR="00CD42B4" w:rsidRPr="00435703" w:rsidRDefault="00CD42B4">
      <w:pPr>
        <w:spacing w:line="360" w:lineRule="auto"/>
        <w:jc w:val="both"/>
        <w:rPr>
          <w:rFonts w:ascii="Palatino Linotype" w:eastAsia="Palatino Linotype" w:hAnsi="Palatino Linotype" w:cs="Palatino Linotype"/>
        </w:rPr>
      </w:pPr>
    </w:p>
    <w:p w14:paraId="6D3B09B1"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Ahora bien, en relación a </w:t>
      </w:r>
      <w:r w:rsidRPr="00435703">
        <w:rPr>
          <w:rFonts w:ascii="Palatino Linotype" w:eastAsia="Palatino Linotype" w:hAnsi="Palatino Linotype" w:cs="Palatino Linotype"/>
          <w:b/>
        </w:rPr>
        <w:t>“</w:t>
      </w:r>
      <w:r w:rsidRPr="00435703">
        <w:rPr>
          <w:rFonts w:ascii="Palatino Linotype" w:eastAsia="Palatino Linotype" w:hAnsi="Palatino Linotype" w:cs="Palatino Linotype"/>
          <w:b/>
          <w:i/>
        </w:rPr>
        <w:t>cuantas personas laboran las oficialías“,</w:t>
      </w:r>
      <w:r w:rsidRPr="00435703">
        <w:rPr>
          <w:rFonts w:ascii="Palatino Linotype" w:eastAsia="Palatino Linotype" w:hAnsi="Palatino Linotype" w:cs="Palatino Linotype"/>
          <w:i/>
        </w:rPr>
        <w:t xml:space="preserve"> </w:t>
      </w:r>
      <w:r w:rsidRPr="00435703">
        <w:rPr>
          <w:rFonts w:ascii="Palatino Linotype" w:eastAsia="Palatino Linotype" w:hAnsi="Palatino Linotype" w:cs="Palatino Linotype"/>
        </w:rPr>
        <w:t xml:space="preserve">se puede observar que el SUJETO OBLIGADO cuenta con Oficialías Calificadoras, las cuales estarán integradas por un oficial calificador, un secretario de acuerdos, médico y personal de apoyo. Estas oficialías se podrán auxiliar del cuerpo de la seguridad pública para el ejercicio de sus funciones tal y como lo señalan los artículos 10.1, 10.2 y 10.3 del Código Reglamentario del Ayuntamiento de Toluca, establece: </w:t>
      </w:r>
    </w:p>
    <w:p w14:paraId="0CEFBB79" w14:textId="77777777" w:rsidR="00CD42B4" w:rsidRPr="00435703" w:rsidRDefault="00CD42B4">
      <w:pPr>
        <w:spacing w:line="360" w:lineRule="auto"/>
        <w:jc w:val="both"/>
        <w:rPr>
          <w:rFonts w:ascii="Palatino Linotype" w:eastAsia="Palatino Linotype" w:hAnsi="Palatino Linotype" w:cs="Palatino Linotype"/>
        </w:rPr>
      </w:pPr>
    </w:p>
    <w:p w14:paraId="63F7C149" w14:textId="77777777" w:rsidR="00CD42B4" w:rsidRPr="00435703" w:rsidRDefault="00F34A2D">
      <w:pPr>
        <w:ind w:left="850" w:right="1319"/>
        <w:jc w:val="both"/>
        <w:rPr>
          <w:rFonts w:ascii="Palatino Linotype" w:eastAsia="Palatino Linotype" w:hAnsi="Palatino Linotype" w:cs="Palatino Linotype"/>
          <w:b/>
          <w:i/>
          <w:sz w:val="22"/>
          <w:szCs w:val="22"/>
        </w:rPr>
      </w:pPr>
      <w:r w:rsidRPr="00435703">
        <w:rPr>
          <w:rFonts w:ascii="Palatino Linotype" w:eastAsia="Palatino Linotype" w:hAnsi="Palatino Linotype" w:cs="Palatino Linotype"/>
          <w:b/>
          <w:i/>
          <w:sz w:val="22"/>
          <w:szCs w:val="22"/>
        </w:rPr>
        <w:t xml:space="preserve">“DE LAS OFICIALÍAS CALIFICADORAS </w:t>
      </w:r>
    </w:p>
    <w:p w14:paraId="32BEED6E" w14:textId="77777777" w:rsidR="00CD42B4" w:rsidRPr="00435703" w:rsidRDefault="00F34A2D">
      <w:pPr>
        <w:ind w:left="850" w:right="1319"/>
        <w:jc w:val="both"/>
        <w:rPr>
          <w:rFonts w:ascii="Palatino Linotype" w:eastAsia="Palatino Linotype" w:hAnsi="Palatino Linotype" w:cs="Palatino Linotype"/>
          <w:b/>
          <w:i/>
          <w:sz w:val="22"/>
          <w:szCs w:val="22"/>
        </w:rPr>
      </w:pPr>
      <w:r w:rsidRPr="00435703">
        <w:rPr>
          <w:rFonts w:ascii="Palatino Linotype" w:eastAsia="Palatino Linotype" w:hAnsi="Palatino Linotype" w:cs="Palatino Linotype"/>
          <w:b/>
          <w:i/>
          <w:sz w:val="22"/>
          <w:szCs w:val="22"/>
        </w:rPr>
        <w:t xml:space="preserve">SECCIÓN PRIMERA </w:t>
      </w:r>
    </w:p>
    <w:p w14:paraId="61A75B9E" w14:textId="77777777" w:rsidR="00CD42B4" w:rsidRPr="00435703" w:rsidRDefault="00F34A2D">
      <w:pPr>
        <w:ind w:left="850" w:right="1319"/>
        <w:jc w:val="both"/>
        <w:rPr>
          <w:rFonts w:ascii="Palatino Linotype" w:eastAsia="Palatino Linotype" w:hAnsi="Palatino Linotype" w:cs="Palatino Linotype"/>
          <w:b/>
          <w:i/>
          <w:sz w:val="22"/>
          <w:szCs w:val="22"/>
        </w:rPr>
      </w:pPr>
      <w:r w:rsidRPr="00435703">
        <w:rPr>
          <w:rFonts w:ascii="Palatino Linotype" w:eastAsia="Palatino Linotype" w:hAnsi="Palatino Linotype" w:cs="Palatino Linotype"/>
          <w:b/>
          <w:i/>
          <w:sz w:val="22"/>
          <w:szCs w:val="22"/>
        </w:rPr>
        <w:t xml:space="preserve">DE SU INTEGRACIÓN Y FUNCIONAMIENTO </w:t>
      </w:r>
    </w:p>
    <w:p w14:paraId="6C72A140" w14:textId="77777777" w:rsidR="00CD42B4" w:rsidRPr="00435703" w:rsidRDefault="00F34A2D">
      <w:pPr>
        <w:ind w:left="850" w:right="131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b/>
          <w:i/>
          <w:sz w:val="22"/>
          <w:szCs w:val="22"/>
        </w:rPr>
        <w:t xml:space="preserve">Artículo 10.1. </w:t>
      </w:r>
      <w:r w:rsidRPr="00435703">
        <w:rPr>
          <w:rFonts w:ascii="Palatino Linotype" w:eastAsia="Palatino Linotype" w:hAnsi="Palatino Linotype" w:cs="Palatino Linotype"/>
          <w:i/>
          <w:sz w:val="22"/>
          <w:szCs w:val="22"/>
        </w:rPr>
        <w:t xml:space="preserve">Las Oficialías Calificadoras estarán organizadas en forma tal que prestarán servicios continuos durante las 24 horas de los 365 días del año. En adelante se les mencionará como la Oficialía y su titular como el Oficial </w:t>
      </w:r>
    </w:p>
    <w:p w14:paraId="04A100D3" w14:textId="77777777" w:rsidR="00CD42B4" w:rsidRPr="00435703" w:rsidRDefault="00CD42B4">
      <w:pPr>
        <w:ind w:left="850" w:right="1319"/>
        <w:jc w:val="both"/>
        <w:rPr>
          <w:rFonts w:ascii="Palatino Linotype" w:eastAsia="Palatino Linotype" w:hAnsi="Palatino Linotype" w:cs="Palatino Linotype"/>
          <w:i/>
          <w:sz w:val="22"/>
          <w:szCs w:val="22"/>
        </w:rPr>
      </w:pPr>
    </w:p>
    <w:p w14:paraId="2FA959C6" w14:textId="77777777" w:rsidR="00CD42B4" w:rsidRPr="00435703" w:rsidRDefault="00F34A2D">
      <w:pPr>
        <w:ind w:left="850" w:right="131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b/>
          <w:i/>
          <w:sz w:val="22"/>
          <w:szCs w:val="22"/>
        </w:rPr>
        <w:t>Artículo 10.2</w:t>
      </w:r>
      <w:r w:rsidRPr="00435703">
        <w:rPr>
          <w:rFonts w:ascii="Palatino Linotype" w:eastAsia="Palatino Linotype" w:hAnsi="Palatino Linotype" w:cs="Palatino Linotype"/>
          <w:i/>
          <w:sz w:val="22"/>
          <w:szCs w:val="22"/>
        </w:rPr>
        <w:t xml:space="preserve">. Cada Oficialía estará integrada por: </w:t>
      </w:r>
    </w:p>
    <w:p w14:paraId="0EE5C079" w14:textId="77777777" w:rsidR="00CD42B4" w:rsidRPr="00435703" w:rsidRDefault="00F34A2D">
      <w:pPr>
        <w:ind w:left="850" w:right="131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 xml:space="preserve">a. Oficial; </w:t>
      </w:r>
    </w:p>
    <w:p w14:paraId="1F1596A2" w14:textId="77777777" w:rsidR="00CD42B4" w:rsidRPr="00435703" w:rsidRDefault="00F34A2D">
      <w:pPr>
        <w:ind w:left="850" w:right="131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 xml:space="preserve">b. Secretario de Acuerdos; </w:t>
      </w:r>
    </w:p>
    <w:p w14:paraId="1A4092EE" w14:textId="77777777" w:rsidR="00CD42B4" w:rsidRPr="00435703" w:rsidRDefault="00F34A2D">
      <w:pPr>
        <w:ind w:left="850" w:right="131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 xml:space="preserve">c. Médico; </w:t>
      </w:r>
    </w:p>
    <w:p w14:paraId="3A517247" w14:textId="77777777" w:rsidR="00CD42B4" w:rsidRPr="00435703" w:rsidRDefault="00F34A2D">
      <w:pPr>
        <w:ind w:left="850" w:right="131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d. Personal de apoyo.</w:t>
      </w:r>
    </w:p>
    <w:p w14:paraId="6199E203" w14:textId="77777777" w:rsidR="00CD42B4" w:rsidRPr="00435703" w:rsidRDefault="00F34A2D">
      <w:pPr>
        <w:ind w:left="850" w:right="131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lastRenderedPageBreak/>
        <w:t xml:space="preserve"> La o el Oficial se podrá auxiliar de las y los integrantes del cuerpo de seguridad ciudadana municipal y demás servidores públicos de la administración pública municipal, en el ejercicio de sus atribuciones. </w:t>
      </w:r>
    </w:p>
    <w:p w14:paraId="67806D39" w14:textId="77777777" w:rsidR="00CD42B4" w:rsidRPr="00435703" w:rsidRDefault="00CD42B4">
      <w:pPr>
        <w:ind w:left="850" w:right="1319"/>
        <w:jc w:val="both"/>
        <w:rPr>
          <w:rFonts w:ascii="Palatino Linotype" w:eastAsia="Palatino Linotype" w:hAnsi="Palatino Linotype" w:cs="Palatino Linotype"/>
          <w:i/>
          <w:sz w:val="22"/>
          <w:szCs w:val="22"/>
        </w:rPr>
      </w:pPr>
    </w:p>
    <w:p w14:paraId="44EAFF45" w14:textId="77777777" w:rsidR="00CD42B4" w:rsidRPr="00435703" w:rsidRDefault="00F34A2D">
      <w:pPr>
        <w:ind w:left="850" w:right="131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b/>
          <w:i/>
          <w:sz w:val="22"/>
          <w:szCs w:val="22"/>
        </w:rPr>
        <w:t xml:space="preserve">Artículo 10.3. </w:t>
      </w:r>
      <w:r w:rsidRPr="00435703">
        <w:rPr>
          <w:rFonts w:ascii="Palatino Linotype" w:eastAsia="Palatino Linotype" w:hAnsi="Palatino Linotype" w:cs="Palatino Linotype"/>
          <w:i/>
          <w:sz w:val="22"/>
          <w:szCs w:val="22"/>
        </w:rPr>
        <w:t>La o el Oficial tendrá que reunir los requisitos para el cargo señalados en la Ley Orgánica Municipal, y será competente para aplicar las sanciones previstas en el Bando Municipal, salvo disposición en contrario.”</w:t>
      </w:r>
    </w:p>
    <w:p w14:paraId="064FD290" w14:textId="77777777" w:rsidR="00CD42B4" w:rsidRPr="00435703" w:rsidRDefault="00F34A2D">
      <w:pPr>
        <w:ind w:left="850" w:right="131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(Énfasis añadido)</w:t>
      </w:r>
    </w:p>
    <w:p w14:paraId="3F4D7F48" w14:textId="77777777" w:rsidR="00CD42B4" w:rsidRPr="00435703" w:rsidRDefault="00CD42B4">
      <w:pPr>
        <w:spacing w:line="360" w:lineRule="auto"/>
        <w:jc w:val="both"/>
        <w:rPr>
          <w:rFonts w:ascii="Palatino Linotype" w:eastAsia="Palatino Linotype" w:hAnsi="Palatino Linotype" w:cs="Palatino Linotype"/>
        </w:rPr>
      </w:pPr>
    </w:p>
    <w:p w14:paraId="1B18C400"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Dichas oficialías estarán bajo la dirección de la Coordinación de Justicia Municipal, la cual deberá planear organizar evaluar y dirigir las acciones de las Oficialías calificadoras situación que se puede verificar en el artículo 3.16 del  multicitado Código Reglamentario en su fracción primera, que estipula: </w:t>
      </w:r>
    </w:p>
    <w:p w14:paraId="2023FB7C" w14:textId="77777777" w:rsidR="00CD42B4" w:rsidRPr="00435703" w:rsidRDefault="00CD42B4">
      <w:pPr>
        <w:ind w:left="850" w:right="1319"/>
        <w:jc w:val="both"/>
        <w:rPr>
          <w:rFonts w:ascii="Palatino Linotype" w:eastAsia="Palatino Linotype" w:hAnsi="Palatino Linotype" w:cs="Palatino Linotype"/>
          <w:i/>
          <w:sz w:val="22"/>
          <w:szCs w:val="22"/>
        </w:rPr>
      </w:pPr>
    </w:p>
    <w:p w14:paraId="1F738277" w14:textId="77777777" w:rsidR="00CD42B4" w:rsidRPr="00435703" w:rsidRDefault="00F34A2D">
      <w:pPr>
        <w:ind w:left="850" w:right="1319"/>
        <w:jc w:val="both"/>
        <w:rPr>
          <w:rFonts w:ascii="Palatino Linotype" w:eastAsia="Palatino Linotype" w:hAnsi="Palatino Linotype" w:cs="Palatino Linotype"/>
          <w:b/>
          <w:i/>
          <w:sz w:val="22"/>
          <w:szCs w:val="22"/>
          <w:u w:val="single"/>
        </w:rPr>
      </w:pPr>
      <w:r w:rsidRPr="00435703">
        <w:rPr>
          <w:rFonts w:ascii="Palatino Linotype" w:eastAsia="Palatino Linotype" w:hAnsi="Palatino Linotype" w:cs="Palatino Linotype"/>
          <w:i/>
          <w:sz w:val="22"/>
          <w:szCs w:val="22"/>
        </w:rPr>
        <w:t>“</w:t>
      </w:r>
      <w:r w:rsidRPr="00435703">
        <w:rPr>
          <w:rFonts w:ascii="Palatino Linotype" w:eastAsia="Palatino Linotype" w:hAnsi="Palatino Linotype" w:cs="Palatino Linotype"/>
          <w:b/>
          <w:i/>
          <w:sz w:val="22"/>
          <w:szCs w:val="22"/>
          <w:u w:val="single"/>
        </w:rPr>
        <w:t>DE LA COORDINACIÓN DE JUSTICIA MUNICIPAL</w:t>
      </w:r>
    </w:p>
    <w:p w14:paraId="2D60CE79" w14:textId="77777777" w:rsidR="00CD42B4" w:rsidRPr="00435703" w:rsidRDefault="00F34A2D">
      <w:pPr>
        <w:ind w:left="850" w:right="131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b/>
          <w:i/>
          <w:sz w:val="22"/>
          <w:szCs w:val="22"/>
        </w:rPr>
        <w:t>Artículo 3.16.-</w:t>
      </w:r>
      <w:r w:rsidRPr="00435703">
        <w:rPr>
          <w:rFonts w:ascii="Palatino Linotype" w:eastAsia="Palatino Linotype" w:hAnsi="Palatino Linotype" w:cs="Palatino Linotype"/>
          <w:i/>
          <w:sz w:val="22"/>
          <w:szCs w:val="22"/>
        </w:rPr>
        <w:t xml:space="preserve"> La o el titular de la Coordinación de Justicia Municipal tendrá las siguientes atribuciones: </w:t>
      </w:r>
    </w:p>
    <w:p w14:paraId="75DDB71E" w14:textId="77777777" w:rsidR="00CD42B4" w:rsidRPr="00435703" w:rsidRDefault="00F34A2D">
      <w:pPr>
        <w:ind w:left="850" w:right="131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I. Planear, organizar, dirigir, controlar y evaluar las actividades de las Oficialías Calificadoras;”</w:t>
      </w:r>
    </w:p>
    <w:p w14:paraId="55C6FED2" w14:textId="77777777" w:rsidR="00CD42B4" w:rsidRPr="00435703" w:rsidRDefault="00F34A2D">
      <w:pPr>
        <w:ind w:left="850" w:right="131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(Énfasis añadido)</w:t>
      </w:r>
    </w:p>
    <w:p w14:paraId="4E2AA11E" w14:textId="77777777" w:rsidR="00CD42B4" w:rsidRPr="00435703" w:rsidRDefault="00CD42B4">
      <w:pPr>
        <w:spacing w:line="360" w:lineRule="auto"/>
        <w:jc w:val="both"/>
        <w:rPr>
          <w:rFonts w:ascii="Palatino Linotype" w:eastAsia="Palatino Linotype" w:hAnsi="Palatino Linotype" w:cs="Palatino Linotype"/>
        </w:rPr>
      </w:pPr>
    </w:p>
    <w:p w14:paraId="5473EC24"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En ese entendido y toda vez que se confirma la existencia de las Oficialías Calificadoras dentro de la estructura del </w:t>
      </w:r>
      <w:r w:rsidRPr="00435703">
        <w:rPr>
          <w:rFonts w:ascii="Palatino Linotype" w:eastAsia="Palatino Linotype" w:hAnsi="Palatino Linotype" w:cs="Palatino Linotype"/>
          <w:b/>
        </w:rPr>
        <w:t xml:space="preserve">SUJETO OBLIGADO, </w:t>
      </w:r>
      <w:r w:rsidRPr="00435703">
        <w:rPr>
          <w:rFonts w:ascii="Palatino Linotype" w:eastAsia="Palatino Linotype" w:hAnsi="Palatino Linotype" w:cs="Palatino Linotype"/>
        </w:rPr>
        <w:t xml:space="preserve">conviene reiterar que será la Dirección General de Administración la cual conocerá de la plantilla del personal pues es la encargada de coordinar los sistemas de reclutamiento, contratación, selección entre otros, además de autorizar y registrar las altas y bajas del personal  </w:t>
      </w:r>
    </w:p>
    <w:p w14:paraId="7E36FEA9" w14:textId="77777777" w:rsidR="00CD42B4" w:rsidRPr="00435703" w:rsidRDefault="00CD42B4">
      <w:pPr>
        <w:spacing w:line="360" w:lineRule="auto"/>
        <w:ind w:left="708" w:right="1319"/>
        <w:jc w:val="both"/>
        <w:rPr>
          <w:rFonts w:ascii="Palatino Linotype" w:eastAsia="Palatino Linotype" w:hAnsi="Palatino Linotype" w:cs="Palatino Linotype"/>
          <w:i/>
          <w:sz w:val="22"/>
          <w:szCs w:val="22"/>
        </w:rPr>
      </w:pPr>
    </w:p>
    <w:p w14:paraId="1ED49494" w14:textId="77777777" w:rsidR="00CD42B4" w:rsidRPr="00435703" w:rsidRDefault="00F34A2D">
      <w:pPr>
        <w:ind w:left="708" w:right="1319"/>
        <w:jc w:val="both"/>
        <w:rPr>
          <w:rFonts w:ascii="Palatino Linotype" w:eastAsia="Palatino Linotype" w:hAnsi="Palatino Linotype" w:cs="Palatino Linotype"/>
          <w:b/>
          <w:i/>
          <w:sz w:val="22"/>
          <w:szCs w:val="22"/>
          <w:u w:val="single"/>
        </w:rPr>
      </w:pPr>
      <w:r w:rsidRPr="00435703">
        <w:rPr>
          <w:rFonts w:ascii="Palatino Linotype" w:eastAsia="Palatino Linotype" w:hAnsi="Palatino Linotype" w:cs="Palatino Linotype"/>
          <w:b/>
          <w:i/>
          <w:sz w:val="22"/>
          <w:szCs w:val="22"/>
        </w:rPr>
        <w:t>“</w:t>
      </w:r>
      <w:r w:rsidRPr="00435703">
        <w:rPr>
          <w:rFonts w:ascii="Palatino Linotype" w:eastAsia="Palatino Linotype" w:hAnsi="Palatino Linotype" w:cs="Palatino Linotype"/>
          <w:b/>
          <w:i/>
          <w:sz w:val="22"/>
          <w:szCs w:val="22"/>
          <w:u w:val="single"/>
        </w:rPr>
        <w:t xml:space="preserve">DE LA DIRECCIÓN GENERAL DE ADMINISTRACIÓN </w:t>
      </w:r>
    </w:p>
    <w:p w14:paraId="5C54BCEB" w14:textId="77777777" w:rsidR="00CD42B4" w:rsidRPr="00435703" w:rsidRDefault="00F34A2D">
      <w:pPr>
        <w:ind w:left="708" w:right="131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b/>
          <w:i/>
          <w:sz w:val="22"/>
          <w:szCs w:val="22"/>
        </w:rPr>
        <w:t>Artículo 3.43</w:t>
      </w:r>
      <w:r w:rsidRPr="00435703">
        <w:rPr>
          <w:rFonts w:ascii="Palatino Linotype" w:eastAsia="Palatino Linotype" w:hAnsi="Palatino Linotype" w:cs="Palatino Linotype"/>
          <w:i/>
          <w:sz w:val="22"/>
          <w:szCs w:val="22"/>
        </w:rPr>
        <w:t xml:space="preserve"> La o el titular de la Dirección General de Administración, tiene las siguientes atribuciones: </w:t>
      </w:r>
    </w:p>
    <w:p w14:paraId="39E06454" w14:textId="77777777" w:rsidR="00CD42B4" w:rsidRPr="00435703" w:rsidRDefault="00F34A2D">
      <w:pPr>
        <w:ind w:left="708" w:right="131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lastRenderedPageBreak/>
        <w:t>I. Coordinar y dirigir los sistemas de reclutamiento, selección, contratación e inducción y desarrollo de personal;</w:t>
      </w:r>
    </w:p>
    <w:p w14:paraId="7075C600" w14:textId="77777777" w:rsidR="00CD42B4" w:rsidRPr="00435703" w:rsidRDefault="00F34A2D">
      <w:pPr>
        <w:ind w:left="708" w:right="131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III. Autorizar las altas, bajas, cambios, permisos, licencias, comisiones del personal, entre otras, para su trámite y efectos;”</w:t>
      </w:r>
    </w:p>
    <w:p w14:paraId="7139E5E2" w14:textId="77777777" w:rsidR="00CD42B4" w:rsidRPr="00435703" w:rsidRDefault="00F34A2D">
      <w:pPr>
        <w:ind w:left="708" w:right="131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(Énfasis añadido)</w:t>
      </w:r>
    </w:p>
    <w:p w14:paraId="553500EB" w14:textId="77777777" w:rsidR="00CD42B4" w:rsidRPr="00435703" w:rsidRDefault="00CD42B4">
      <w:pPr>
        <w:ind w:right="902"/>
        <w:jc w:val="both"/>
        <w:rPr>
          <w:rFonts w:ascii="Palatino Linotype" w:eastAsia="Palatino Linotype" w:hAnsi="Palatino Linotype" w:cs="Palatino Linotype"/>
        </w:rPr>
      </w:pPr>
    </w:p>
    <w:p w14:paraId="6D710DE9"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Por último en atención al requerimiento: </w:t>
      </w:r>
      <w:r w:rsidRPr="00435703">
        <w:rPr>
          <w:rFonts w:ascii="Palatino Linotype" w:eastAsia="Palatino Linotype" w:hAnsi="Palatino Linotype" w:cs="Palatino Linotype"/>
          <w:i/>
        </w:rPr>
        <w:t xml:space="preserve">“Existe alguna oficina en el municipio de la policía cibernética.” </w:t>
      </w:r>
      <w:r w:rsidRPr="00435703">
        <w:rPr>
          <w:rFonts w:ascii="Palatino Linotype" w:eastAsia="Palatino Linotype" w:hAnsi="Palatino Linotype" w:cs="Palatino Linotype"/>
        </w:rPr>
        <w:t>Es dable recordar que como fue previamente señalado, la administración pública municipal se auxiliará de diversas áreas comprendidas en sus instrumentos normativos, entre ellos el Bando Municipal y el Código Reglamentario del Ayuntamiento de Toluca, así pues, en el presente estudio quedó de manifiesto que una de esas áreas es la Dirección General de Seguridad Pública, la cual a su vez se auxiliará de diferentes dependencias, siendo que el Código Reglamentario únicamente menciona algunas como la Dirección Operativa, de la Dirección de Sustentabilidad Vial, de la Dirección de Prevención Comunitaria, de la Dirección de Desarrollo Tecnológico, de la Dirección de Desarrollo Policial, de la Dirección de Desarrollo Administrativo y de la Dirección Jurídica.</w:t>
      </w:r>
    </w:p>
    <w:p w14:paraId="252F9BFB" w14:textId="77777777" w:rsidR="00CD42B4" w:rsidRPr="00435703" w:rsidRDefault="00CD42B4">
      <w:pPr>
        <w:spacing w:line="360" w:lineRule="auto"/>
        <w:jc w:val="both"/>
        <w:rPr>
          <w:rFonts w:ascii="Palatino Linotype" w:eastAsia="Palatino Linotype" w:hAnsi="Palatino Linotype" w:cs="Palatino Linotype"/>
        </w:rPr>
      </w:pPr>
    </w:p>
    <w:p w14:paraId="2E7FBB3C"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Así pues dentro del portal de IPOMEX del </w:t>
      </w:r>
      <w:r w:rsidRPr="00435703">
        <w:rPr>
          <w:rFonts w:ascii="Palatino Linotype" w:eastAsia="Palatino Linotype" w:hAnsi="Palatino Linotype" w:cs="Palatino Linotype"/>
          <w:b/>
        </w:rPr>
        <w:t>SUJETO OBLIGADO</w:t>
      </w:r>
      <w:r w:rsidRPr="00435703">
        <w:rPr>
          <w:rFonts w:ascii="Palatino Linotype" w:eastAsia="Palatino Linotype" w:hAnsi="Palatino Linotype" w:cs="Palatino Linotype"/>
        </w:rPr>
        <w:t xml:space="preserve"> se advierte que existen muchas áreas las cuales dependen jerárquicamente de la Dirección de Seguridad Pública como se puede apreciar a continuación: </w:t>
      </w:r>
    </w:p>
    <w:p w14:paraId="753EB879"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noProof/>
        </w:rPr>
        <w:lastRenderedPageBreak/>
        <w:drawing>
          <wp:inline distT="114300" distB="114300" distL="114300" distR="114300" wp14:anchorId="1995D7EC" wp14:editId="24894144">
            <wp:extent cx="4924425" cy="6200775"/>
            <wp:effectExtent l="0" t="0" r="0" b="0"/>
            <wp:docPr id="1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4924425" cy="6200775"/>
                    </a:xfrm>
                    <a:prstGeom prst="rect">
                      <a:avLst/>
                    </a:prstGeom>
                    <a:ln/>
                  </pic:spPr>
                </pic:pic>
              </a:graphicData>
            </a:graphic>
          </wp:inline>
        </w:drawing>
      </w:r>
    </w:p>
    <w:p w14:paraId="0237E555"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noProof/>
        </w:rPr>
        <w:lastRenderedPageBreak/>
        <w:drawing>
          <wp:inline distT="114300" distB="114300" distL="114300" distR="114300" wp14:anchorId="4099A0F3" wp14:editId="60C05C8C">
            <wp:extent cx="4562475" cy="6810375"/>
            <wp:effectExtent l="0" t="0" r="0" b="0"/>
            <wp:docPr id="1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a:stretch>
                      <a:fillRect/>
                    </a:stretch>
                  </pic:blipFill>
                  <pic:spPr>
                    <a:xfrm>
                      <a:off x="0" y="0"/>
                      <a:ext cx="4562475" cy="6810375"/>
                    </a:xfrm>
                    <a:prstGeom prst="rect">
                      <a:avLst/>
                    </a:prstGeom>
                    <a:ln/>
                  </pic:spPr>
                </pic:pic>
              </a:graphicData>
            </a:graphic>
          </wp:inline>
        </w:drawing>
      </w:r>
    </w:p>
    <w:p w14:paraId="3565AC98" w14:textId="77777777" w:rsidR="00CD42B4" w:rsidRPr="00435703" w:rsidRDefault="00CD42B4">
      <w:pPr>
        <w:spacing w:line="360" w:lineRule="auto"/>
        <w:jc w:val="both"/>
        <w:rPr>
          <w:rFonts w:ascii="Palatino Linotype" w:eastAsia="Palatino Linotype" w:hAnsi="Palatino Linotype" w:cs="Palatino Linotype"/>
        </w:rPr>
      </w:pPr>
    </w:p>
    <w:p w14:paraId="189B1E56"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lastRenderedPageBreak/>
        <w:t xml:space="preserve">De forma que toda vez que no existió pronunciamiento alguno de parte del </w:t>
      </w:r>
      <w:r w:rsidRPr="00435703">
        <w:rPr>
          <w:rFonts w:ascii="Palatino Linotype" w:eastAsia="Palatino Linotype" w:hAnsi="Palatino Linotype" w:cs="Palatino Linotype"/>
          <w:b/>
        </w:rPr>
        <w:t>SUJETO OBLIGADO</w:t>
      </w:r>
      <w:r w:rsidRPr="00435703">
        <w:rPr>
          <w:rFonts w:ascii="Palatino Linotype" w:eastAsia="Palatino Linotype" w:hAnsi="Palatino Linotype" w:cs="Palatino Linotype"/>
        </w:rPr>
        <w:t xml:space="preserve"> en torno al contenido de la solicitud, por lo que, se declaró incompetente de la totalidad de la misma, este Órgano Garante no puede tener la certeza que dentro de su estructura orgánica, exista o no una unidad que por sus atribuciones encuadre en el supuesto de policía cibernética. Esto en atención al principio de certeza que rige el funcionamiento de este Instituto contemplado en el artículo 9 fracción I de la Ley de Transparencia y Acceso a la Información Pública del Estado de México y Municipios.</w:t>
      </w:r>
    </w:p>
    <w:p w14:paraId="11E78EEE" w14:textId="77777777" w:rsidR="00CD42B4" w:rsidRPr="00435703" w:rsidRDefault="00CD42B4">
      <w:pPr>
        <w:ind w:left="709" w:right="1038"/>
        <w:jc w:val="both"/>
        <w:rPr>
          <w:rFonts w:ascii="Palatino Linotype" w:eastAsia="Palatino Linotype" w:hAnsi="Palatino Linotype" w:cs="Palatino Linotype"/>
          <w:b/>
          <w:i/>
          <w:sz w:val="22"/>
          <w:szCs w:val="22"/>
        </w:rPr>
      </w:pPr>
    </w:p>
    <w:p w14:paraId="7B62F116" w14:textId="77777777" w:rsidR="00CD42B4" w:rsidRPr="00435703" w:rsidRDefault="00F34A2D">
      <w:pPr>
        <w:spacing w:line="276" w:lineRule="auto"/>
        <w:ind w:left="709" w:right="1038"/>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b/>
          <w:i/>
          <w:sz w:val="22"/>
          <w:szCs w:val="22"/>
        </w:rPr>
        <w:t xml:space="preserve">“Artículo 9. </w:t>
      </w:r>
      <w:r w:rsidRPr="00435703">
        <w:rPr>
          <w:rFonts w:ascii="Palatino Linotype" w:eastAsia="Palatino Linotype" w:hAnsi="Palatino Linotype" w:cs="Palatino Linotype"/>
          <w:i/>
          <w:sz w:val="22"/>
          <w:szCs w:val="22"/>
        </w:rPr>
        <w:t>El Instituto deberá regir su funcionamiento de acuerdo a los siguientes principios:</w:t>
      </w:r>
    </w:p>
    <w:p w14:paraId="1DC7D4C7" w14:textId="77777777" w:rsidR="00CD42B4" w:rsidRPr="00435703" w:rsidRDefault="00CD42B4">
      <w:pPr>
        <w:spacing w:line="276" w:lineRule="auto"/>
        <w:ind w:left="709" w:right="1038"/>
        <w:jc w:val="both"/>
        <w:rPr>
          <w:rFonts w:ascii="Palatino Linotype" w:eastAsia="Palatino Linotype" w:hAnsi="Palatino Linotype" w:cs="Palatino Linotype"/>
          <w:b/>
          <w:i/>
          <w:sz w:val="22"/>
          <w:szCs w:val="22"/>
          <w:u w:val="single"/>
        </w:rPr>
      </w:pPr>
    </w:p>
    <w:p w14:paraId="163A8C78" w14:textId="77777777" w:rsidR="00CD42B4" w:rsidRPr="00435703" w:rsidRDefault="00F34A2D">
      <w:pPr>
        <w:spacing w:line="276" w:lineRule="auto"/>
        <w:ind w:left="850" w:right="899"/>
        <w:jc w:val="both"/>
        <w:rPr>
          <w:rFonts w:ascii="Palatino Linotype" w:eastAsia="Palatino Linotype" w:hAnsi="Palatino Linotype" w:cs="Palatino Linotype"/>
        </w:rPr>
      </w:pPr>
      <w:r w:rsidRPr="00435703">
        <w:rPr>
          <w:rFonts w:ascii="Palatino Linotype" w:eastAsia="Palatino Linotype" w:hAnsi="Palatino Linotype" w:cs="Palatino Linotype"/>
          <w:b/>
          <w:i/>
          <w:sz w:val="22"/>
          <w:szCs w:val="22"/>
        </w:rPr>
        <w:t>I. Certeza:</w:t>
      </w:r>
      <w:r w:rsidRPr="00435703">
        <w:rPr>
          <w:rFonts w:ascii="Palatino Linotype" w:eastAsia="Palatino Linotype" w:hAnsi="Palatino Linotype" w:cs="Palatino Linotype"/>
          <w:i/>
          <w:sz w:val="22"/>
          <w:szCs w:val="22"/>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Pr="00435703">
        <w:rPr>
          <w:rFonts w:ascii="Palatino Linotype" w:eastAsia="Palatino Linotype" w:hAnsi="Palatino Linotype" w:cs="Palatino Linotype"/>
          <w:b/>
          <w:i/>
          <w:sz w:val="22"/>
          <w:szCs w:val="22"/>
        </w:rPr>
        <w:t>”</w:t>
      </w:r>
      <w:r w:rsidRPr="00435703">
        <w:rPr>
          <w:rFonts w:ascii="Palatino Linotype" w:eastAsia="Palatino Linotype" w:hAnsi="Palatino Linotype" w:cs="Palatino Linotype"/>
        </w:rPr>
        <w:t xml:space="preserve"> </w:t>
      </w:r>
    </w:p>
    <w:p w14:paraId="5F2B9795" w14:textId="77777777" w:rsidR="00CD42B4" w:rsidRPr="00435703" w:rsidRDefault="00F34A2D">
      <w:pPr>
        <w:spacing w:line="276" w:lineRule="auto"/>
        <w:ind w:left="850" w:right="899"/>
        <w:jc w:val="both"/>
        <w:rPr>
          <w:rFonts w:ascii="Palatino Linotype" w:eastAsia="Palatino Linotype" w:hAnsi="Palatino Linotype" w:cs="Palatino Linotype"/>
        </w:rPr>
      </w:pPr>
      <w:r w:rsidRPr="00435703">
        <w:rPr>
          <w:rFonts w:ascii="Palatino Linotype" w:eastAsia="Palatino Linotype" w:hAnsi="Palatino Linotype" w:cs="Palatino Linotype"/>
          <w:i/>
          <w:sz w:val="22"/>
          <w:szCs w:val="22"/>
        </w:rPr>
        <w:t>(Énfasis añadido)</w:t>
      </w:r>
    </w:p>
    <w:p w14:paraId="26630D9E" w14:textId="77777777" w:rsidR="00CD42B4" w:rsidRPr="00435703" w:rsidRDefault="00CD42B4">
      <w:pPr>
        <w:spacing w:line="360" w:lineRule="auto"/>
        <w:jc w:val="both"/>
        <w:rPr>
          <w:rFonts w:ascii="Palatino Linotype" w:eastAsia="Palatino Linotype" w:hAnsi="Palatino Linotype" w:cs="Palatino Linotype"/>
        </w:rPr>
      </w:pPr>
    </w:p>
    <w:p w14:paraId="410E1BBF"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No se omite comentar que en relación a los requerimientos:  El número de patrullas con las que cuenta el Municipio, Número de unidades vehiculares, para prestar el servicio de seguridad pública, indicando marca, modelo, año del vehículo Número de  Oficiales en servicio en las áreas seguridad pública como en tránsito, Número de oficiales facultativos en seguridad pública y tránsito señalando fechas de ingreso, Número de personas laborando en las Oficialías Calificadoras, Número de policías que no se encuentra en servicio por sanción, Nombre del titular de la Comisión de Seguridad Pública y actas de dicha comisión, Nombre de policías sancionados por faltas graves derivados de procedimientos concluidos. Participación de la Guardia Nacional, número de grupos delictivos en el municipio. No se advierte que el particular haya señalado una </w:t>
      </w:r>
      <w:r w:rsidRPr="00435703">
        <w:rPr>
          <w:rFonts w:ascii="Palatino Linotype" w:eastAsia="Palatino Linotype" w:hAnsi="Palatino Linotype" w:cs="Palatino Linotype"/>
        </w:rPr>
        <w:lastRenderedPageBreak/>
        <w:t xml:space="preserve">temporalidad específica sobre la cual requiera la información, por lo que </w:t>
      </w:r>
      <w:r w:rsidRPr="00435703">
        <w:rPr>
          <w:rFonts w:ascii="Palatino Linotype" w:eastAsia="Palatino Linotype" w:hAnsi="Palatino Linotype" w:cs="Palatino Linotype"/>
          <w:b/>
        </w:rPr>
        <w:t>EL SUJETO OBLIGADO</w:t>
      </w:r>
      <w:r w:rsidRPr="00435703">
        <w:rPr>
          <w:rFonts w:ascii="Palatino Linotype" w:eastAsia="Palatino Linotype" w:hAnsi="Palatino Linotype" w:cs="Palatino Linotype"/>
        </w:rPr>
        <w:t xml:space="preserve"> cumplirá entregando la información el plazo a un año anterior a la fecha de la solicitud; es decir,   del veinticuatro de enero de dos mil veintiuno al veinticuatro de enero de dos mil veintidós. </w:t>
      </w:r>
    </w:p>
    <w:p w14:paraId="554B54D0" w14:textId="77777777" w:rsidR="00CD42B4" w:rsidRPr="00435703" w:rsidRDefault="00CD42B4">
      <w:pPr>
        <w:spacing w:line="360" w:lineRule="auto"/>
        <w:jc w:val="both"/>
        <w:rPr>
          <w:rFonts w:ascii="Palatino Linotype" w:eastAsia="Palatino Linotype" w:hAnsi="Palatino Linotype" w:cs="Palatino Linotype"/>
        </w:rPr>
      </w:pPr>
    </w:p>
    <w:p w14:paraId="46019504" w14:textId="77777777" w:rsidR="00CD42B4" w:rsidRPr="00435703" w:rsidRDefault="00F34A2D">
      <w:pPr>
        <w:spacing w:line="360" w:lineRule="auto"/>
        <w:jc w:val="both"/>
        <w:rPr>
          <w:rFonts w:ascii="Palatino Linotype" w:eastAsia="Palatino Linotype" w:hAnsi="Palatino Linotype" w:cs="Palatino Linotype"/>
          <w:color w:val="222222"/>
        </w:rPr>
      </w:pPr>
      <w:r w:rsidRPr="00435703">
        <w:rPr>
          <w:rFonts w:ascii="Palatino Linotype" w:eastAsia="Palatino Linotype" w:hAnsi="Palatino Linotype" w:cs="Palatino Linotype"/>
        </w:rPr>
        <w:t xml:space="preserve">Lo anterior en atención al criterio </w:t>
      </w:r>
      <w:r w:rsidRPr="00435703">
        <w:rPr>
          <w:rFonts w:ascii="Palatino Linotype" w:eastAsia="Palatino Linotype" w:hAnsi="Palatino Linotype" w:cs="Palatino Linotype"/>
          <w:color w:val="222222"/>
        </w:rPr>
        <w:t xml:space="preserve">09/13 del Instituto Nacional de Transparencia, Acceso a la Información y Protección de Datos Personales,  que es del tenor siguiente: </w:t>
      </w:r>
    </w:p>
    <w:p w14:paraId="45BE920B" w14:textId="77777777" w:rsidR="00CD42B4" w:rsidRPr="00435703" w:rsidRDefault="00F34A2D">
      <w:pPr>
        <w:shd w:val="clear" w:color="auto" w:fill="FFFFFF"/>
        <w:ind w:left="860" w:right="620"/>
        <w:jc w:val="both"/>
        <w:rPr>
          <w:rFonts w:ascii="Palatino Linotype" w:eastAsia="Palatino Linotype" w:hAnsi="Palatino Linotype" w:cs="Palatino Linotype"/>
          <w:i/>
          <w:color w:val="222222"/>
          <w:sz w:val="22"/>
          <w:szCs w:val="22"/>
        </w:rPr>
      </w:pPr>
      <w:r w:rsidRPr="00435703">
        <w:rPr>
          <w:rFonts w:ascii="Palatino Linotype" w:eastAsia="Palatino Linotype" w:hAnsi="Palatino Linotype" w:cs="Palatino Linotype"/>
          <w:b/>
          <w:i/>
          <w:color w:val="222222"/>
          <w:sz w:val="22"/>
          <w:szCs w:val="22"/>
        </w:rPr>
        <w:t>“Periodo de búsqueda de la información, cuando no se precisa en la solicitud de información.</w:t>
      </w:r>
      <w:r w:rsidRPr="00435703">
        <w:rPr>
          <w:rFonts w:ascii="Palatino Linotype" w:eastAsia="Palatino Linotype" w:hAnsi="Palatino Linotype" w:cs="Palatino Linotype"/>
          <w:i/>
          <w:color w:val="222222"/>
          <w:sz w:val="22"/>
          <w:szCs w:val="22"/>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w:t>
      </w:r>
      <w:r w:rsidRPr="00435703">
        <w:rPr>
          <w:rFonts w:ascii="Palatino Linotype" w:eastAsia="Palatino Linotype" w:hAnsi="Palatino Linotype" w:cs="Palatino Linotype"/>
          <w:b/>
          <w:i/>
          <w:color w:val="222222"/>
          <w:sz w:val="22"/>
          <w:szCs w:val="22"/>
        </w:rPr>
        <w:t>deberá interpretarse que su requerimiento se refiere al del año inmediato anterior contado a partir de la fecha en que se presentó la solicitud</w:t>
      </w:r>
      <w:r w:rsidRPr="00435703">
        <w:rPr>
          <w:rFonts w:ascii="Palatino Linotype" w:eastAsia="Palatino Linotype" w:hAnsi="Palatino Linotype" w:cs="Palatino Linotype"/>
          <w:i/>
          <w:color w:val="222222"/>
          <w:sz w:val="22"/>
          <w:szCs w:val="22"/>
        </w:rPr>
        <w:t>. Lo anterior permite que los sujetos obligados cuenten con mayores elementos para precisar y localizar la información solicitada.”(Sic)</w:t>
      </w:r>
    </w:p>
    <w:p w14:paraId="3AF596CC" w14:textId="77777777" w:rsidR="00CD42B4" w:rsidRPr="00435703" w:rsidRDefault="00F34A2D">
      <w:pPr>
        <w:shd w:val="clear" w:color="auto" w:fill="FFFFFF"/>
        <w:spacing w:line="392" w:lineRule="auto"/>
        <w:jc w:val="both"/>
        <w:rPr>
          <w:rFonts w:ascii="Palatino Linotype" w:eastAsia="Palatino Linotype" w:hAnsi="Palatino Linotype" w:cs="Palatino Linotype"/>
          <w:color w:val="222222"/>
        </w:rPr>
      </w:pPr>
      <w:r w:rsidRPr="00435703">
        <w:rPr>
          <w:rFonts w:ascii="Palatino Linotype" w:eastAsia="Palatino Linotype" w:hAnsi="Palatino Linotype" w:cs="Palatino Linotype"/>
          <w:color w:val="222222"/>
        </w:rPr>
        <w:t xml:space="preserve"> </w:t>
      </w:r>
    </w:p>
    <w:p w14:paraId="7AA6F20A" w14:textId="77777777" w:rsidR="00CD42B4" w:rsidRPr="00435703" w:rsidRDefault="00F34A2D">
      <w:pPr>
        <w:shd w:val="clear" w:color="auto" w:fill="FFFFFF"/>
        <w:spacing w:line="392" w:lineRule="auto"/>
        <w:jc w:val="both"/>
        <w:rPr>
          <w:rFonts w:ascii="Palatino Linotype" w:eastAsia="Palatino Linotype" w:hAnsi="Palatino Linotype" w:cs="Palatino Linotype"/>
          <w:color w:val="222222"/>
        </w:rPr>
      </w:pPr>
      <w:r w:rsidRPr="00435703">
        <w:rPr>
          <w:rFonts w:ascii="Palatino Linotype" w:eastAsia="Palatino Linotype" w:hAnsi="Palatino Linotype" w:cs="Palatino Linotype"/>
          <w:color w:val="222222"/>
        </w:rPr>
        <w:t xml:space="preserve">Del criterio citado se deriva que en el caso de no existir un plazo específico mencionado en la solicitud, este se entenderá como un año anterior a la fecha de la solicitud. </w:t>
      </w:r>
    </w:p>
    <w:p w14:paraId="71A052FB" w14:textId="77777777" w:rsidR="00CD42B4" w:rsidRPr="00435703" w:rsidRDefault="00F34A2D">
      <w:pPr>
        <w:spacing w:line="360" w:lineRule="auto"/>
        <w:jc w:val="both"/>
        <w:rPr>
          <w:rFonts w:ascii="Palatino Linotype" w:eastAsia="Palatino Linotype" w:hAnsi="Palatino Linotype" w:cs="Palatino Linotype"/>
          <w:b/>
          <w:sz w:val="26"/>
          <w:szCs w:val="26"/>
        </w:rPr>
      </w:pPr>
      <w:r w:rsidRPr="00435703">
        <w:rPr>
          <w:rFonts w:ascii="Palatino Linotype" w:eastAsia="Palatino Linotype" w:hAnsi="Palatino Linotype" w:cs="Palatino Linotype"/>
        </w:rPr>
        <w:t xml:space="preserve"> </w:t>
      </w:r>
    </w:p>
    <w:p w14:paraId="2E9C5002" w14:textId="77777777" w:rsidR="00CD42B4" w:rsidRPr="00435703" w:rsidRDefault="00F34A2D">
      <w:pPr>
        <w:spacing w:line="360" w:lineRule="auto"/>
        <w:jc w:val="both"/>
        <w:rPr>
          <w:rFonts w:ascii="Palatino Linotype" w:eastAsia="Palatino Linotype" w:hAnsi="Palatino Linotype" w:cs="Palatino Linotype"/>
          <w:sz w:val="26"/>
          <w:szCs w:val="26"/>
        </w:rPr>
      </w:pPr>
      <w:r w:rsidRPr="00435703">
        <w:rPr>
          <w:rFonts w:ascii="Palatino Linotype" w:eastAsia="Palatino Linotype" w:hAnsi="Palatino Linotype" w:cs="Palatino Linotype"/>
        </w:rPr>
        <w:t>Llegado a este punto y derivado de las razones esgrimidas a lo largo del presente estudio,, se determina procedente</w:t>
      </w:r>
      <w:r w:rsidRPr="00435703">
        <w:rPr>
          <w:rFonts w:ascii="Palatino Linotype" w:eastAsia="Palatino Linotype" w:hAnsi="Palatino Linotype" w:cs="Palatino Linotype"/>
          <w:b/>
        </w:rPr>
        <w:t xml:space="preserve">, </w:t>
      </w:r>
      <w:r w:rsidRPr="00435703">
        <w:rPr>
          <w:rFonts w:ascii="Palatino Linotype" w:eastAsia="Palatino Linotype" w:hAnsi="Palatino Linotype" w:cs="Palatino Linotype"/>
        </w:rPr>
        <w:t xml:space="preserve">en términos de lo dispuesto en el artículo 186, fracción III de la Ley de Transparencia y Acceso a la Información Pública del Estado de México y Municipios, el Pleno de este Instituto, estima que las razones o motivos de inconformidad hechos valer por </w:t>
      </w:r>
      <w:r w:rsidRPr="00435703">
        <w:rPr>
          <w:rFonts w:ascii="Palatino Linotype" w:eastAsia="Palatino Linotype" w:hAnsi="Palatino Linotype" w:cs="Palatino Linotype"/>
          <w:b/>
        </w:rPr>
        <w:t>EL RECURRENTE</w:t>
      </w:r>
      <w:r w:rsidRPr="00435703">
        <w:rPr>
          <w:rFonts w:ascii="Palatino Linotype" w:eastAsia="Palatino Linotype" w:hAnsi="Palatino Linotype" w:cs="Palatino Linotype"/>
        </w:rPr>
        <w:t xml:space="preserve"> resultan</w:t>
      </w:r>
      <w:r w:rsidRPr="00435703">
        <w:rPr>
          <w:rFonts w:ascii="Palatino Linotype" w:eastAsia="Palatino Linotype" w:hAnsi="Palatino Linotype" w:cs="Palatino Linotype"/>
          <w:b/>
        </w:rPr>
        <w:t xml:space="preserve"> fundadas</w:t>
      </w:r>
      <w:r w:rsidRPr="00435703">
        <w:rPr>
          <w:rFonts w:ascii="Palatino Linotype" w:eastAsia="Palatino Linotype" w:hAnsi="Palatino Linotype" w:cs="Palatino Linotype"/>
        </w:rPr>
        <w:t xml:space="preserve"> y suficientes para </w:t>
      </w:r>
      <w:r w:rsidRPr="00435703">
        <w:rPr>
          <w:rFonts w:ascii="Palatino Linotype" w:eastAsia="Palatino Linotype" w:hAnsi="Palatino Linotype" w:cs="Palatino Linotype"/>
          <w:b/>
        </w:rPr>
        <w:t>MODIFICAR</w:t>
      </w:r>
      <w:r w:rsidRPr="00435703">
        <w:rPr>
          <w:rFonts w:ascii="Palatino Linotype" w:eastAsia="Palatino Linotype" w:hAnsi="Palatino Linotype" w:cs="Palatino Linotype"/>
        </w:rPr>
        <w:t xml:space="preserve"> la respuesta del </w:t>
      </w:r>
      <w:r w:rsidRPr="00435703">
        <w:rPr>
          <w:rFonts w:ascii="Palatino Linotype" w:eastAsia="Palatino Linotype" w:hAnsi="Palatino Linotype" w:cs="Palatino Linotype"/>
          <w:b/>
        </w:rPr>
        <w:t>SUJETO OBLIGADO</w:t>
      </w:r>
      <w:r w:rsidRPr="00435703">
        <w:rPr>
          <w:rFonts w:ascii="Palatino Linotype" w:eastAsia="Palatino Linotype" w:hAnsi="Palatino Linotype" w:cs="Palatino Linotype"/>
        </w:rPr>
        <w:t xml:space="preserve"> y ordenarle lleve a cabo una búsqueda exhaustiva y razonable a través de las áreas competentes y haga entrega del soporte documental donde </w:t>
      </w:r>
      <w:r w:rsidRPr="00435703">
        <w:rPr>
          <w:rFonts w:ascii="Palatino Linotype" w:eastAsia="Palatino Linotype" w:hAnsi="Palatino Linotype" w:cs="Palatino Linotype"/>
        </w:rPr>
        <w:lastRenderedPageBreak/>
        <w:t xml:space="preserve">conste en el mayor grado de desagregación posible y vigente al veinticuatro de enero de 2022:  El número de patrullas con las que cuenta el Municipio, Número de unidades vehiculares, para prestar el servicio de seguridad pública, indicando marca, modelo, año del vehículo Número de  Oficiales en servicio en las áreas seguridad pública como en tránsito, Número de Oficiales contratado por la administración actual, Número de oficiales facultativos en seguridad pública y tránsito señalando fechas de ingreso, Número de personas laborando en las Oficialías Calificadoras, Número de policías que no se encuentra en servicio por sanción, Nombre del titular de la Comisión de Seguridad Pública y actas de dicha comisión, Nombre de policías sancionados por faltas graves derivados de procedimientos concluidos. Participación de la Guardia nacional, Número de grupos delictivos en el municipio </w:t>
      </w:r>
    </w:p>
    <w:p w14:paraId="3DB63B10" w14:textId="77777777" w:rsidR="00CD42B4" w:rsidRPr="00435703" w:rsidRDefault="00CD42B4">
      <w:pPr>
        <w:spacing w:line="360" w:lineRule="auto"/>
        <w:jc w:val="both"/>
        <w:rPr>
          <w:rFonts w:ascii="Palatino Linotype" w:eastAsia="Palatino Linotype" w:hAnsi="Palatino Linotype" w:cs="Palatino Linotype"/>
          <w:i/>
          <w:sz w:val="22"/>
          <w:szCs w:val="22"/>
        </w:rPr>
      </w:pPr>
    </w:p>
    <w:p w14:paraId="1304A297"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En caso de ser necesaria la versión pública de los documentos que se ordenan, en términos del artículo 143 de la Ley de Transparencia y Acceso a la Información Pública del Estado de México y Municipios, deberá omitirse, eliminarse o suprimirse la información </w:t>
      </w:r>
      <w:r w:rsidRPr="00435703">
        <w:rPr>
          <w:rFonts w:ascii="Palatino Linotype" w:eastAsia="Palatino Linotype" w:hAnsi="Palatino Linotype" w:cs="Palatino Linotype"/>
          <w:b/>
        </w:rPr>
        <w:t>confidencial</w:t>
      </w:r>
      <w:r w:rsidRPr="00435703">
        <w:rPr>
          <w:rFonts w:ascii="Palatino Linotype" w:eastAsia="Palatino Linotype" w:hAnsi="Palatino Linotype" w:cs="Palatino Linotype"/>
        </w:rPr>
        <w:t xml:space="preserve">. </w:t>
      </w:r>
    </w:p>
    <w:p w14:paraId="33DE432A" w14:textId="77777777" w:rsidR="00CD42B4" w:rsidRPr="00435703" w:rsidRDefault="00CD42B4">
      <w:pPr>
        <w:spacing w:line="360" w:lineRule="auto"/>
        <w:jc w:val="both"/>
        <w:rPr>
          <w:rFonts w:ascii="Palatino Linotype" w:eastAsia="Palatino Linotype" w:hAnsi="Palatino Linotype" w:cs="Palatino Linotype"/>
        </w:rPr>
      </w:pPr>
    </w:p>
    <w:p w14:paraId="70C36098"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En ese sentido, sólo podrán ser testados los datos que actualicen las hipótesis normativas previstas en dicho precepto legal, y deberá procederse a su clasificación mediante las formalidades de Ley, es decir, que el Comité de Transparencia del </w:t>
      </w:r>
      <w:r w:rsidRPr="00435703">
        <w:rPr>
          <w:rFonts w:ascii="Palatino Linotype" w:eastAsia="Palatino Linotype" w:hAnsi="Palatino Linotype" w:cs="Palatino Linotype"/>
          <w:b/>
        </w:rPr>
        <w:t>SUJETO OBLIGADO</w:t>
      </w:r>
      <w:r w:rsidRPr="00435703">
        <w:rPr>
          <w:rFonts w:ascii="Palatino Linotype" w:eastAsia="Palatino Linotype" w:hAnsi="Palatino Linotype" w:cs="Palatino Linotype"/>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w:t>
      </w:r>
      <w:r w:rsidRPr="00435703">
        <w:rPr>
          <w:rFonts w:ascii="Palatino Linotype" w:eastAsia="Palatino Linotype" w:hAnsi="Palatino Linotype" w:cs="Palatino Linotype"/>
        </w:rPr>
        <w:lastRenderedPageBreak/>
        <w:t>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125DAC38" w14:textId="77777777" w:rsidR="00CD42B4" w:rsidRPr="00435703" w:rsidRDefault="00CD42B4">
      <w:pPr>
        <w:spacing w:line="360" w:lineRule="auto"/>
        <w:jc w:val="both"/>
        <w:rPr>
          <w:rFonts w:ascii="Palatino Linotype" w:eastAsia="Palatino Linotype" w:hAnsi="Palatino Linotype" w:cs="Palatino Linotype"/>
        </w:rPr>
      </w:pPr>
    </w:p>
    <w:p w14:paraId="2EA4A3B5"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Por ende, </w:t>
      </w:r>
      <w:r w:rsidRPr="00435703">
        <w:rPr>
          <w:rFonts w:ascii="Palatino Linotype" w:eastAsia="Palatino Linotype" w:hAnsi="Palatino Linotype" w:cs="Palatino Linotype"/>
          <w:b/>
        </w:rPr>
        <w:t>EL SUJETO OBLIGADO</w:t>
      </w:r>
      <w:r w:rsidRPr="00435703">
        <w:rPr>
          <w:rFonts w:ascii="Palatino Linotype" w:eastAsia="Palatino Linotype" w:hAnsi="Palatino Linotype" w:cs="Palatino Linotype"/>
        </w:rPr>
        <w:t xml:space="preserve"> debe testar los datos confidenciales, sin pasar por alto que la clasificación respectiva tiene que cumplirse a través de la forma y formalidades que la Ley impone; es decir, mediante Acuerdo debidamente fundado y motivado, en términos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D29158A" w14:textId="77777777" w:rsidR="00CD42B4" w:rsidRPr="00435703" w:rsidRDefault="00CD42B4">
      <w:pPr>
        <w:ind w:left="851" w:right="902"/>
        <w:jc w:val="center"/>
        <w:rPr>
          <w:rFonts w:ascii="Palatino Linotype" w:eastAsia="Palatino Linotype" w:hAnsi="Palatino Linotype" w:cs="Palatino Linotype"/>
          <w:b/>
          <w:i/>
          <w:sz w:val="22"/>
          <w:szCs w:val="22"/>
        </w:rPr>
      </w:pPr>
    </w:p>
    <w:p w14:paraId="2C2C5794" w14:textId="77777777" w:rsidR="00CD42B4" w:rsidRPr="00435703" w:rsidRDefault="00F34A2D">
      <w:pPr>
        <w:ind w:left="851" w:right="902"/>
        <w:jc w:val="center"/>
        <w:rPr>
          <w:rFonts w:ascii="Palatino Linotype" w:eastAsia="Palatino Linotype" w:hAnsi="Palatino Linotype" w:cs="Palatino Linotype"/>
          <w:b/>
          <w:i/>
          <w:sz w:val="22"/>
          <w:szCs w:val="22"/>
        </w:rPr>
      </w:pPr>
      <w:r w:rsidRPr="00435703">
        <w:rPr>
          <w:rFonts w:ascii="Palatino Linotype" w:eastAsia="Palatino Linotype" w:hAnsi="Palatino Linotype" w:cs="Palatino Linotype"/>
          <w:b/>
          <w:i/>
          <w:sz w:val="22"/>
          <w:szCs w:val="22"/>
        </w:rPr>
        <w:t>Ley de Transparencia y Acceso a la Información Pública del Estado de México y Municipios</w:t>
      </w:r>
    </w:p>
    <w:p w14:paraId="3C2899C3" w14:textId="77777777" w:rsidR="00CD42B4" w:rsidRPr="00435703" w:rsidRDefault="00F34A2D">
      <w:pPr>
        <w:ind w:left="851" w:right="902"/>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w:t>
      </w:r>
      <w:r w:rsidRPr="00435703">
        <w:rPr>
          <w:rFonts w:ascii="Palatino Linotype" w:eastAsia="Palatino Linotype" w:hAnsi="Palatino Linotype" w:cs="Palatino Linotype"/>
          <w:b/>
          <w:i/>
          <w:sz w:val="22"/>
          <w:szCs w:val="22"/>
        </w:rPr>
        <w:t xml:space="preserve">Artículo 49. </w:t>
      </w:r>
      <w:r w:rsidRPr="00435703">
        <w:rPr>
          <w:rFonts w:ascii="Palatino Linotype" w:eastAsia="Palatino Linotype" w:hAnsi="Palatino Linotype" w:cs="Palatino Linotype"/>
          <w:i/>
          <w:sz w:val="22"/>
          <w:szCs w:val="22"/>
        </w:rPr>
        <w:t>Los Comités de Transparencia tendrán las siguientes atribuciones:</w:t>
      </w:r>
    </w:p>
    <w:p w14:paraId="7C9FB53D" w14:textId="77777777" w:rsidR="00CD42B4" w:rsidRPr="00435703" w:rsidRDefault="00F34A2D">
      <w:pPr>
        <w:ind w:left="851" w:right="902"/>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b/>
          <w:i/>
          <w:sz w:val="22"/>
          <w:szCs w:val="22"/>
        </w:rPr>
        <w:t>VIII.</w:t>
      </w:r>
      <w:r w:rsidRPr="00435703">
        <w:rPr>
          <w:rFonts w:ascii="Palatino Linotype" w:eastAsia="Palatino Linotype" w:hAnsi="Palatino Linotype" w:cs="Palatino Linotype"/>
          <w:i/>
          <w:sz w:val="22"/>
          <w:szCs w:val="22"/>
        </w:rPr>
        <w:t xml:space="preserve"> </w:t>
      </w:r>
      <w:r w:rsidRPr="00435703">
        <w:rPr>
          <w:rFonts w:ascii="Palatino Linotype" w:eastAsia="Palatino Linotype" w:hAnsi="Palatino Linotype" w:cs="Palatino Linotype"/>
          <w:b/>
          <w:i/>
          <w:sz w:val="22"/>
          <w:szCs w:val="22"/>
        </w:rPr>
        <w:t>Aprobar</w:t>
      </w:r>
      <w:r w:rsidRPr="00435703">
        <w:rPr>
          <w:rFonts w:ascii="Palatino Linotype" w:eastAsia="Palatino Linotype" w:hAnsi="Palatino Linotype" w:cs="Palatino Linotype"/>
          <w:i/>
          <w:sz w:val="22"/>
          <w:szCs w:val="22"/>
        </w:rPr>
        <w:t>, modificar o revocar la clasificación de la información;</w:t>
      </w:r>
    </w:p>
    <w:p w14:paraId="15F8D87A" w14:textId="77777777" w:rsidR="00CD42B4" w:rsidRPr="00435703" w:rsidRDefault="00F34A2D">
      <w:pPr>
        <w:ind w:left="851" w:right="902"/>
        <w:jc w:val="both"/>
        <w:rPr>
          <w:rFonts w:ascii="Palatino Linotype" w:eastAsia="Palatino Linotype" w:hAnsi="Palatino Linotype" w:cs="Palatino Linotype"/>
          <w:b/>
          <w:i/>
          <w:sz w:val="22"/>
          <w:szCs w:val="22"/>
        </w:rPr>
      </w:pPr>
      <w:r w:rsidRPr="00435703">
        <w:rPr>
          <w:rFonts w:ascii="Palatino Linotype" w:eastAsia="Palatino Linotype" w:hAnsi="Palatino Linotype" w:cs="Palatino Linotype"/>
          <w:b/>
          <w:i/>
          <w:sz w:val="22"/>
          <w:szCs w:val="22"/>
        </w:rPr>
        <w:t>Artículo 132.</w:t>
      </w:r>
      <w:r w:rsidRPr="00435703">
        <w:rPr>
          <w:rFonts w:ascii="Palatino Linotype" w:eastAsia="Palatino Linotype" w:hAnsi="Palatino Linotype" w:cs="Palatino Linotype"/>
          <w:i/>
          <w:sz w:val="22"/>
          <w:szCs w:val="22"/>
        </w:rPr>
        <w:t xml:space="preserve"> </w:t>
      </w:r>
      <w:r w:rsidRPr="00435703">
        <w:rPr>
          <w:rFonts w:ascii="Palatino Linotype" w:eastAsia="Palatino Linotype" w:hAnsi="Palatino Linotype" w:cs="Palatino Linotype"/>
          <w:b/>
          <w:i/>
          <w:sz w:val="22"/>
          <w:szCs w:val="22"/>
        </w:rPr>
        <w:t>La clasificación de la información se llevará a cabo en el momento en que:</w:t>
      </w:r>
    </w:p>
    <w:p w14:paraId="069588C8" w14:textId="77777777" w:rsidR="00CD42B4" w:rsidRPr="00435703" w:rsidRDefault="00F34A2D">
      <w:pPr>
        <w:ind w:left="851" w:right="902"/>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w:t>
      </w:r>
    </w:p>
    <w:p w14:paraId="31AD0692" w14:textId="77777777" w:rsidR="00CD42B4" w:rsidRPr="00435703" w:rsidRDefault="00F34A2D">
      <w:pPr>
        <w:ind w:left="851" w:right="902"/>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b/>
          <w:i/>
          <w:sz w:val="22"/>
          <w:szCs w:val="22"/>
        </w:rPr>
        <w:t>II.</w:t>
      </w:r>
      <w:r w:rsidRPr="00435703">
        <w:rPr>
          <w:rFonts w:ascii="Palatino Linotype" w:eastAsia="Palatino Linotype" w:hAnsi="Palatino Linotype" w:cs="Palatino Linotype"/>
          <w:i/>
          <w:sz w:val="22"/>
          <w:szCs w:val="22"/>
        </w:rPr>
        <w:t xml:space="preserve"> Se determine mediante resolución de autoridad competente; o</w:t>
      </w:r>
    </w:p>
    <w:p w14:paraId="55E1E56E" w14:textId="77777777" w:rsidR="00CD42B4" w:rsidRPr="00435703" w:rsidRDefault="00F34A2D">
      <w:pPr>
        <w:ind w:left="851" w:right="902"/>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b/>
          <w:i/>
          <w:sz w:val="22"/>
          <w:szCs w:val="22"/>
        </w:rPr>
        <w:t>III</w:t>
      </w:r>
      <w:r w:rsidRPr="00435703">
        <w:rPr>
          <w:rFonts w:ascii="Palatino Linotype" w:eastAsia="Palatino Linotype" w:hAnsi="Palatino Linotype" w:cs="Palatino Linotype"/>
          <w:i/>
          <w:sz w:val="22"/>
          <w:szCs w:val="22"/>
        </w:rPr>
        <w:t xml:space="preserve">. </w:t>
      </w:r>
      <w:r w:rsidRPr="00435703">
        <w:rPr>
          <w:rFonts w:ascii="Palatino Linotype" w:eastAsia="Palatino Linotype" w:hAnsi="Palatino Linotype" w:cs="Palatino Linotype"/>
          <w:b/>
          <w:i/>
          <w:sz w:val="22"/>
          <w:szCs w:val="22"/>
        </w:rPr>
        <w:t>Se generen versiones públicas para dar cumplimiento a las obligaciones de transparencia previstas en esta Ley</w:t>
      </w:r>
      <w:r w:rsidRPr="00435703">
        <w:rPr>
          <w:rFonts w:ascii="Palatino Linotype" w:eastAsia="Palatino Linotype" w:hAnsi="Palatino Linotype" w:cs="Palatino Linotype"/>
          <w:i/>
          <w:sz w:val="22"/>
          <w:szCs w:val="22"/>
        </w:rPr>
        <w:t>.”</w:t>
      </w:r>
    </w:p>
    <w:p w14:paraId="562B975C" w14:textId="77777777" w:rsidR="00CD42B4" w:rsidRPr="00435703" w:rsidRDefault="00F34A2D">
      <w:pPr>
        <w:ind w:left="851" w:right="902"/>
        <w:jc w:val="center"/>
        <w:rPr>
          <w:rFonts w:ascii="Palatino Linotype" w:eastAsia="Palatino Linotype" w:hAnsi="Palatino Linotype" w:cs="Palatino Linotype"/>
          <w:b/>
          <w:i/>
          <w:sz w:val="22"/>
          <w:szCs w:val="22"/>
        </w:rPr>
      </w:pPr>
      <w:r w:rsidRPr="00435703">
        <w:rPr>
          <w:rFonts w:ascii="Palatino Linotype" w:eastAsia="Palatino Linotype" w:hAnsi="Palatino Linotype" w:cs="Palatino Linotype"/>
          <w:b/>
          <w:i/>
          <w:sz w:val="22"/>
          <w:szCs w:val="22"/>
        </w:rPr>
        <w:t>Lineamientos Generales en materia de Clasificación y Desclasificación de la Información</w:t>
      </w:r>
    </w:p>
    <w:p w14:paraId="615A7B90" w14:textId="77777777" w:rsidR="00CD42B4" w:rsidRPr="00435703" w:rsidRDefault="00F34A2D">
      <w:pPr>
        <w:ind w:left="851" w:right="902"/>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w:t>
      </w:r>
      <w:r w:rsidRPr="00435703">
        <w:rPr>
          <w:rFonts w:ascii="Palatino Linotype" w:eastAsia="Palatino Linotype" w:hAnsi="Palatino Linotype" w:cs="Palatino Linotype"/>
          <w:b/>
          <w:i/>
          <w:sz w:val="22"/>
          <w:szCs w:val="22"/>
        </w:rPr>
        <w:t>Segundo.-</w:t>
      </w:r>
      <w:r w:rsidRPr="00435703">
        <w:rPr>
          <w:rFonts w:ascii="Palatino Linotype" w:eastAsia="Palatino Linotype" w:hAnsi="Palatino Linotype" w:cs="Palatino Linotype"/>
          <w:i/>
          <w:sz w:val="22"/>
          <w:szCs w:val="22"/>
        </w:rPr>
        <w:t xml:space="preserve"> Para efectos de los presentes Lineamientos Generales, se entenderá por:</w:t>
      </w:r>
    </w:p>
    <w:p w14:paraId="674326AA" w14:textId="77777777" w:rsidR="00CD42B4" w:rsidRPr="00435703" w:rsidRDefault="00F34A2D">
      <w:pPr>
        <w:ind w:left="851" w:right="902"/>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b/>
          <w:i/>
          <w:sz w:val="22"/>
          <w:szCs w:val="22"/>
        </w:rPr>
        <w:t>XVIII.</w:t>
      </w:r>
      <w:r w:rsidRPr="00435703">
        <w:rPr>
          <w:rFonts w:ascii="Palatino Linotype" w:eastAsia="Palatino Linotype" w:hAnsi="Palatino Linotype" w:cs="Palatino Linotype"/>
          <w:i/>
          <w:sz w:val="22"/>
          <w:szCs w:val="22"/>
        </w:rPr>
        <w:t xml:space="preserve"> </w:t>
      </w:r>
      <w:r w:rsidRPr="00435703">
        <w:rPr>
          <w:rFonts w:ascii="Palatino Linotype" w:eastAsia="Palatino Linotype" w:hAnsi="Palatino Linotype" w:cs="Palatino Linotype"/>
          <w:b/>
          <w:i/>
          <w:sz w:val="22"/>
          <w:szCs w:val="22"/>
        </w:rPr>
        <w:t>Versión pública:</w:t>
      </w:r>
      <w:r w:rsidRPr="00435703">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w:t>
      </w:r>
      <w:r w:rsidRPr="00435703">
        <w:rPr>
          <w:rFonts w:ascii="Palatino Linotype" w:eastAsia="Palatino Linotype" w:hAnsi="Palatino Linotype" w:cs="Palatino Linotype"/>
          <w:i/>
          <w:sz w:val="22"/>
          <w:szCs w:val="22"/>
        </w:rPr>
        <w:lastRenderedPageBreak/>
        <w:t xml:space="preserve">manera genérica, </w:t>
      </w:r>
      <w:r w:rsidRPr="00435703">
        <w:rPr>
          <w:rFonts w:ascii="Palatino Linotype" w:eastAsia="Palatino Linotype" w:hAnsi="Palatino Linotype" w:cs="Palatino Linotype"/>
          <w:b/>
          <w:i/>
          <w:sz w:val="22"/>
          <w:szCs w:val="22"/>
        </w:rPr>
        <w:t>fundando y motivando la</w:t>
      </w:r>
      <w:r w:rsidRPr="00435703">
        <w:rPr>
          <w:rFonts w:ascii="Palatino Linotype" w:eastAsia="Palatino Linotype" w:hAnsi="Palatino Linotype" w:cs="Palatino Linotype"/>
          <w:i/>
          <w:sz w:val="22"/>
          <w:szCs w:val="22"/>
        </w:rPr>
        <w:t xml:space="preserve"> reserva o </w:t>
      </w:r>
      <w:r w:rsidRPr="00435703">
        <w:rPr>
          <w:rFonts w:ascii="Palatino Linotype" w:eastAsia="Palatino Linotype" w:hAnsi="Palatino Linotype" w:cs="Palatino Linotype"/>
          <w:b/>
          <w:i/>
          <w:sz w:val="22"/>
          <w:szCs w:val="22"/>
        </w:rPr>
        <w:t>confidencialidad</w:t>
      </w:r>
      <w:r w:rsidRPr="00435703">
        <w:rPr>
          <w:rFonts w:ascii="Palatino Linotype" w:eastAsia="Palatino Linotype" w:hAnsi="Palatino Linotype" w:cs="Palatino Linotype"/>
          <w:i/>
          <w:sz w:val="22"/>
          <w:szCs w:val="22"/>
        </w:rPr>
        <w:t>, a través de la resolución que para tal efecto emita el Comité de Transparencia.</w:t>
      </w:r>
    </w:p>
    <w:p w14:paraId="162F426B" w14:textId="77777777" w:rsidR="00CD42B4" w:rsidRPr="00435703" w:rsidRDefault="00F34A2D">
      <w:pPr>
        <w:ind w:left="851" w:right="902"/>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b/>
          <w:i/>
          <w:sz w:val="22"/>
          <w:szCs w:val="22"/>
        </w:rPr>
        <w:t>Cuarto.</w:t>
      </w:r>
      <w:r w:rsidRPr="00435703">
        <w:rPr>
          <w:rFonts w:ascii="Palatino Linotype" w:eastAsia="Palatino Linotype" w:hAnsi="Palatino Linotype" w:cs="Palatino Linotype"/>
          <w:i/>
          <w:sz w:val="22"/>
          <w:szCs w:val="22"/>
        </w:rPr>
        <w:t xml:space="preserve"> </w:t>
      </w:r>
      <w:r w:rsidRPr="00435703">
        <w:rPr>
          <w:rFonts w:ascii="Palatino Linotype" w:eastAsia="Palatino Linotype" w:hAnsi="Palatino Linotype" w:cs="Palatino Linotype"/>
          <w:b/>
          <w:i/>
          <w:sz w:val="22"/>
          <w:szCs w:val="22"/>
        </w:rPr>
        <w:t>Para clasificar la información como</w:t>
      </w:r>
      <w:r w:rsidRPr="00435703">
        <w:rPr>
          <w:rFonts w:ascii="Palatino Linotype" w:eastAsia="Palatino Linotype" w:hAnsi="Palatino Linotype" w:cs="Palatino Linotype"/>
          <w:i/>
          <w:sz w:val="22"/>
          <w:szCs w:val="22"/>
        </w:rPr>
        <w:t xml:space="preserve"> reservada o </w:t>
      </w:r>
      <w:r w:rsidRPr="00435703">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435703">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E13C39C" w14:textId="77777777" w:rsidR="00CD42B4" w:rsidRPr="00435703" w:rsidRDefault="00F34A2D">
      <w:pPr>
        <w:ind w:left="851" w:right="902"/>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47440F1D" w14:textId="77777777" w:rsidR="00CD42B4" w:rsidRPr="00435703" w:rsidRDefault="00F34A2D">
      <w:pPr>
        <w:ind w:left="851" w:right="902"/>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b/>
          <w:i/>
          <w:sz w:val="22"/>
          <w:szCs w:val="22"/>
        </w:rPr>
        <w:t>Quinto.</w:t>
      </w:r>
      <w:r w:rsidRPr="00435703">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904A467" w14:textId="77777777" w:rsidR="00CD42B4" w:rsidRPr="00435703" w:rsidRDefault="00F34A2D">
      <w:pPr>
        <w:ind w:left="851" w:right="902"/>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b/>
          <w:i/>
          <w:sz w:val="22"/>
          <w:szCs w:val="22"/>
        </w:rPr>
        <w:t>Sexto.</w:t>
      </w:r>
      <w:r w:rsidRPr="00435703">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223C73A" w14:textId="77777777" w:rsidR="00CD42B4" w:rsidRPr="00435703" w:rsidRDefault="00F34A2D">
      <w:pPr>
        <w:ind w:left="851" w:right="902"/>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119EE4AC" w14:textId="77777777" w:rsidR="00CD42B4" w:rsidRPr="00435703" w:rsidRDefault="00F34A2D">
      <w:pPr>
        <w:ind w:left="851" w:right="902"/>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b/>
          <w:i/>
          <w:sz w:val="22"/>
          <w:szCs w:val="22"/>
        </w:rPr>
        <w:t>Séptimo.</w:t>
      </w:r>
      <w:r w:rsidRPr="00435703">
        <w:rPr>
          <w:rFonts w:ascii="Palatino Linotype" w:eastAsia="Palatino Linotype" w:hAnsi="Palatino Linotype" w:cs="Palatino Linotype"/>
          <w:i/>
          <w:sz w:val="22"/>
          <w:szCs w:val="22"/>
        </w:rPr>
        <w:t xml:space="preserve"> La clasificación de la información se llevará a cabo en el momento en que:</w:t>
      </w:r>
    </w:p>
    <w:p w14:paraId="17B763D8" w14:textId="77777777" w:rsidR="00CD42B4" w:rsidRPr="00435703" w:rsidRDefault="00F34A2D">
      <w:pPr>
        <w:ind w:left="851" w:right="902"/>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b/>
          <w:i/>
          <w:sz w:val="22"/>
          <w:szCs w:val="22"/>
        </w:rPr>
        <w:t>I.</w:t>
      </w:r>
      <w:r w:rsidRPr="00435703">
        <w:rPr>
          <w:rFonts w:ascii="Palatino Linotype" w:eastAsia="Palatino Linotype" w:hAnsi="Palatino Linotype" w:cs="Palatino Linotype"/>
          <w:i/>
          <w:sz w:val="22"/>
          <w:szCs w:val="22"/>
        </w:rPr>
        <w:t xml:space="preserve"> Se reciba una solicitud de acceso a la información;</w:t>
      </w:r>
    </w:p>
    <w:p w14:paraId="717E0246" w14:textId="77777777" w:rsidR="00CD42B4" w:rsidRPr="00435703" w:rsidRDefault="00F34A2D">
      <w:pPr>
        <w:ind w:left="851" w:right="902"/>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b/>
          <w:i/>
          <w:sz w:val="22"/>
          <w:szCs w:val="22"/>
        </w:rPr>
        <w:t>II.</w:t>
      </w:r>
      <w:r w:rsidRPr="00435703">
        <w:rPr>
          <w:rFonts w:ascii="Palatino Linotype" w:eastAsia="Palatino Linotype" w:hAnsi="Palatino Linotype" w:cs="Palatino Linotype"/>
          <w:i/>
          <w:sz w:val="22"/>
          <w:szCs w:val="22"/>
        </w:rPr>
        <w:t xml:space="preserve"> Se determine mediante resolución de autoridad competente, o</w:t>
      </w:r>
    </w:p>
    <w:p w14:paraId="0A2A2919" w14:textId="77777777" w:rsidR="00CD42B4" w:rsidRPr="00435703" w:rsidRDefault="00F34A2D">
      <w:pPr>
        <w:ind w:left="851" w:right="902"/>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b/>
          <w:i/>
          <w:sz w:val="22"/>
          <w:szCs w:val="22"/>
        </w:rPr>
        <w:t>III.</w:t>
      </w:r>
      <w:r w:rsidRPr="00435703">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0E776CB1" w14:textId="77777777" w:rsidR="00CD42B4" w:rsidRPr="00435703" w:rsidRDefault="00F34A2D">
      <w:pPr>
        <w:ind w:left="851" w:right="902"/>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16917627" w14:textId="77777777" w:rsidR="00CD42B4" w:rsidRPr="00435703" w:rsidRDefault="00F34A2D">
      <w:pPr>
        <w:ind w:left="851" w:right="902"/>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b/>
          <w:i/>
          <w:sz w:val="22"/>
          <w:szCs w:val="22"/>
        </w:rPr>
        <w:t>Octavo.</w:t>
      </w:r>
      <w:r w:rsidRPr="00435703">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56E8451" w14:textId="77777777" w:rsidR="00CD42B4" w:rsidRPr="00435703" w:rsidRDefault="00F34A2D">
      <w:pPr>
        <w:ind w:left="851" w:right="902"/>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5BD70292" w14:textId="77777777" w:rsidR="00CD42B4" w:rsidRPr="00435703" w:rsidRDefault="00F34A2D">
      <w:pPr>
        <w:ind w:left="851" w:right="902"/>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lastRenderedPageBreak/>
        <w:t>En caso de referirse a información reservada, la motivación de la clasificación también deberá comprender las circunstancias que justifican el establecimiento de determinado plazo de reserva.</w:t>
      </w:r>
    </w:p>
    <w:p w14:paraId="628A9180" w14:textId="77777777" w:rsidR="00CD42B4" w:rsidRPr="00435703" w:rsidRDefault="00F34A2D">
      <w:pPr>
        <w:ind w:left="851" w:right="902"/>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78FCBC01" w14:textId="77777777" w:rsidR="00CD42B4" w:rsidRPr="00435703" w:rsidRDefault="00F34A2D">
      <w:pPr>
        <w:ind w:left="851" w:right="902"/>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12C570C5" w14:textId="77777777" w:rsidR="00CD42B4" w:rsidRPr="00435703" w:rsidRDefault="00F34A2D">
      <w:pPr>
        <w:ind w:left="851" w:right="902"/>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b/>
          <w:i/>
          <w:sz w:val="22"/>
          <w:szCs w:val="22"/>
        </w:rPr>
        <w:t>Noveno.</w:t>
      </w:r>
      <w:r w:rsidRPr="00435703">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B83F987" w14:textId="77777777" w:rsidR="00CD42B4" w:rsidRPr="00435703" w:rsidRDefault="00F34A2D">
      <w:pPr>
        <w:ind w:left="851" w:right="902"/>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b/>
          <w:i/>
          <w:sz w:val="22"/>
          <w:szCs w:val="22"/>
        </w:rPr>
        <w:t>Décimo.</w:t>
      </w:r>
      <w:r w:rsidRPr="00435703">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1088037" w14:textId="77777777" w:rsidR="00CD42B4" w:rsidRPr="00435703" w:rsidRDefault="00F34A2D">
      <w:pPr>
        <w:ind w:left="851" w:right="902"/>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4E2BA575" w14:textId="77777777" w:rsidR="00CD42B4" w:rsidRPr="00435703" w:rsidRDefault="00F34A2D">
      <w:pPr>
        <w:ind w:left="851" w:right="902"/>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b/>
          <w:i/>
          <w:sz w:val="22"/>
          <w:szCs w:val="22"/>
        </w:rPr>
        <w:t>Décimo primero.</w:t>
      </w:r>
      <w:r w:rsidRPr="00435703">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B774D6C" w14:textId="77777777" w:rsidR="00CD42B4" w:rsidRPr="00435703" w:rsidRDefault="00CD42B4">
      <w:pPr>
        <w:ind w:left="851" w:right="902"/>
        <w:jc w:val="both"/>
        <w:rPr>
          <w:rFonts w:ascii="Palatino Linotype" w:eastAsia="Palatino Linotype" w:hAnsi="Palatino Linotype" w:cs="Palatino Linotype"/>
          <w:i/>
          <w:sz w:val="22"/>
          <w:szCs w:val="22"/>
        </w:rPr>
      </w:pPr>
    </w:p>
    <w:p w14:paraId="2AE212DC" w14:textId="77777777" w:rsidR="00CD42B4" w:rsidRPr="00435703" w:rsidRDefault="00F34A2D">
      <w:pPr>
        <w:ind w:left="850" w:right="901"/>
        <w:jc w:val="center"/>
        <w:rPr>
          <w:rFonts w:ascii="Palatino Linotype" w:eastAsia="Palatino Linotype" w:hAnsi="Palatino Linotype" w:cs="Palatino Linotype"/>
          <w:b/>
          <w:i/>
          <w:sz w:val="22"/>
          <w:szCs w:val="22"/>
        </w:rPr>
      </w:pPr>
      <w:r w:rsidRPr="00435703">
        <w:rPr>
          <w:rFonts w:ascii="Palatino Linotype" w:eastAsia="Palatino Linotype" w:hAnsi="Palatino Linotype" w:cs="Palatino Linotype"/>
          <w:b/>
          <w:i/>
          <w:sz w:val="22"/>
          <w:szCs w:val="22"/>
        </w:rPr>
        <w:t>CAPÍTULO VIII</w:t>
      </w:r>
    </w:p>
    <w:p w14:paraId="3DFA47AE" w14:textId="77777777" w:rsidR="00CD42B4" w:rsidRPr="00435703" w:rsidRDefault="00F34A2D">
      <w:pPr>
        <w:ind w:left="850" w:right="901"/>
        <w:jc w:val="center"/>
        <w:rPr>
          <w:rFonts w:ascii="Palatino Linotype" w:eastAsia="Palatino Linotype" w:hAnsi="Palatino Linotype" w:cs="Palatino Linotype"/>
          <w:b/>
          <w:i/>
          <w:sz w:val="22"/>
          <w:szCs w:val="22"/>
        </w:rPr>
      </w:pPr>
      <w:r w:rsidRPr="00435703">
        <w:rPr>
          <w:rFonts w:ascii="Palatino Linotype" w:eastAsia="Palatino Linotype" w:hAnsi="Palatino Linotype" w:cs="Palatino Linotype"/>
          <w:b/>
          <w:i/>
          <w:sz w:val="22"/>
          <w:szCs w:val="22"/>
        </w:rPr>
        <w:t>DE LA LEYENDA DE CLASIFICACIÓN</w:t>
      </w:r>
    </w:p>
    <w:p w14:paraId="459CBC2C" w14:textId="77777777" w:rsidR="00CD42B4" w:rsidRPr="00435703" w:rsidRDefault="00F34A2D">
      <w:pPr>
        <w:ind w:left="850" w:right="901"/>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b/>
          <w:i/>
          <w:sz w:val="22"/>
          <w:szCs w:val="22"/>
        </w:rPr>
        <w:t xml:space="preserve">Quincuagésimo. </w:t>
      </w:r>
      <w:r w:rsidRPr="00435703">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435703">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28EBB549" w14:textId="77777777" w:rsidR="00CD42B4" w:rsidRPr="00435703" w:rsidRDefault="00F34A2D">
      <w:pPr>
        <w:ind w:left="850" w:right="901"/>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w:t>
      </w:r>
    </w:p>
    <w:p w14:paraId="75966810" w14:textId="77777777" w:rsidR="00CD42B4" w:rsidRPr="00435703" w:rsidRDefault="00F34A2D">
      <w:pPr>
        <w:ind w:left="850" w:right="901"/>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b/>
          <w:i/>
          <w:sz w:val="22"/>
          <w:szCs w:val="22"/>
        </w:rPr>
        <w:t xml:space="preserve">Quincuagésimo tercero. </w:t>
      </w:r>
      <w:r w:rsidRPr="00435703">
        <w:rPr>
          <w:rFonts w:ascii="Palatino Linotype" w:eastAsia="Palatino Linotype" w:hAnsi="Palatino Linotype" w:cs="Palatino Linotype"/>
          <w:b/>
          <w:i/>
          <w:sz w:val="22"/>
          <w:szCs w:val="22"/>
          <w:u w:val="single"/>
        </w:rPr>
        <w:t>El formato para señalar la clasificación parcial de un documento</w:t>
      </w:r>
      <w:r w:rsidRPr="00435703">
        <w:rPr>
          <w:rFonts w:ascii="Palatino Linotype" w:eastAsia="Palatino Linotype" w:hAnsi="Palatino Linotype" w:cs="Palatino Linotype"/>
          <w:i/>
          <w:sz w:val="22"/>
          <w:szCs w:val="22"/>
        </w:rPr>
        <w:t>, es el siguiente:</w:t>
      </w:r>
    </w:p>
    <w:p w14:paraId="26233702" w14:textId="77777777" w:rsidR="00CD42B4" w:rsidRPr="00435703" w:rsidRDefault="00CD42B4">
      <w:pPr>
        <w:ind w:left="850" w:right="901"/>
        <w:jc w:val="both"/>
        <w:rPr>
          <w:rFonts w:ascii="Palatino Linotype" w:eastAsia="Palatino Linotype" w:hAnsi="Palatino Linotype" w:cs="Palatino Linotype"/>
          <w:i/>
          <w:sz w:val="22"/>
          <w:szCs w:val="22"/>
        </w:rPr>
      </w:pPr>
    </w:p>
    <w:tbl>
      <w:tblPr>
        <w:tblStyle w:val="af5"/>
        <w:tblW w:w="76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990"/>
        <w:gridCol w:w="4531"/>
      </w:tblGrid>
      <w:tr w:rsidR="00CD42B4" w:rsidRPr="00435703" w14:paraId="2BC1C072" w14:textId="77777777">
        <w:trPr>
          <w:jc w:val="center"/>
        </w:trPr>
        <w:tc>
          <w:tcPr>
            <w:tcW w:w="1129" w:type="dxa"/>
            <w:tcBorders>
              <w:top w:val="single" w:sz="4" w:space="0" w:color="000000"/>
              <w:left w:val="single" w:sz="4" w:space="0" w:color="000000"/>
              <w:bottom w:val="single" w:sz="4" w:space="0" w:color="000000"/>
              <w:right w:val="single" w:sz="4" w:space="0" w:color="000000"/>
            </w:tcBorders>
          </w:tcPr>
          <w:p w14:paraId="300211AF" w14:textId="77777777" w:rsidR="00CD42B4" w:rsidRPr="00435703" w:rsidRDefault="00CD42B4">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A6D24C3" w14:textId="77777777" w:rsidR="00CD42B4" w:rsidRPr="00435703" w:rsidRDefault="00F34A2D">
            <w:pPr>
              <w:jc w:val="center"/>
              <w:rPr>
                <w:rFonts w:ascii="Palatino Linotype" w:eastAsia="Palatino Linotype" w:hAnsi="Palatino Linotype" w:cs="Palatino Linotype"/>
                <w:b/>
                <w:i/>
              </w:rPr>
            </w:pPr>
            <w:r w:rsidRPr="00435703">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282843E7" w14:textId="77777777" w:rsidR="00CD42B4" w:rsidRPr="00435703" w:rsidRDefault="00F34A2D">
            <w:pPr>
              <w:jc w:val="center"/>
              <w:rPr>
                <w:rFonts w:ascii="Palatino Linotype" w:eastAsia="Palatino Linotype" w:hAnsi="Palatino Linotype" w:cs="Palatino Linotype"/>
                <w:b/>
                <w:i/>
              </w:rPr>
            </w:pPr>
            <w:r w:rsidRPr="00435703">
              <w:rPr>
                <w:rFonts w:ascii="Palatino Linotype" w:eastAsia="Palatino Linotype" w:hAnsi="Palatino Linotype" w:cs="Palatino Linotype"/>
                <w:b/>
                <w:i/>
              </w:rPr>
              <w:t>Dónde:</w:t>
            </w:r>
          </w:p>
        </w:tc>
      </w:tr>
      <w:tr w:rsidR="00CD42B4" w:rsidRPr="00435703" w14:paraId="4AFD799A" w14:textId="77777777">
        <w:trPr>
          <w:jc w:val="center"/>
        </w:trPr>
        <w:tc>
          <w:tcPr>
            <w:tcW w:w="1129" w:type="dxa"/>
            <w:vMerge w:val="restart"/>
            <w:tcBorders>
              <w:top w:val="single" w:sz="4" w:space="0" w:color="000000"/>
              <w:left w:val="single" w:sz="4" w:space="0" w:color="000000"/>
              <w:bottom w:val="single" w:sz="4" w:space="0" w:color="000000"/>
              <w:right w:val="single" w:sz="4" w:space="0" w:color="000000"/>
            </w:tcBorders>
            <w:vAlign w:val="center"/>
          </w:tcPr>
          <w:p w14:paraId="4300B2DA" w14:textId="77777777" w:rsidR="00CD42B4" w:rsidRPr="00435703" w:rsidRDefault="00F34A2D">
            <w:pPr>
              <w:jc w:val="center"/>
              <w:rPr>
                <w:rFonts w:ascii="Palatino Linotype" w:eastAsia="Palatino Linotype" w:hAnsi="Palatino Linotype" w:cs="Palatino Linotype"/>
                <w:b/>
                <w:i/>
              </w:rPr>
            </w:pPr>
            <w:r w:rsidRPr="00435703">
              <w:rPr>
                <w:rFonts w:ascii="Palatino Linotype" w:eastAsia="Palatino Linotype" w:hAnsi="Palatino Linotype" w:cs="Palatino Linotype"/>
                <w:b/>
                <w:i/>
              </w:rPr>
              <w:t xml:space="preserve">Sello oficial o logotipo </w:t>
            </w:r>
            <w:r w:rsidRPr="00435703">
              <w:rPr>
                <w:rFonts w:ascii="Palatino Linotype" w:eastAsia="Palatino Linotype" w:hAnsi="Palatino Linotype" w:cs="Palatino Linotype"/>
                <w:b/>
                <w:i/>
              </w:rPr>
              <w:lastRenderedPageBreak/>
              <w:t>del sujeto obligado</w:t>
            </w:r>
          </w:p>
        </w:tc>
        <w:tc>
          <w:tcPr>
            <w:tcW w:w="1990" w:type="dxa"/>
            <w:tcBorders>
              <w:top w:val="single" w:sz="4" w:space="0" w:color="000000"/>
              <w:left w:val="single" w:sz="4" w:space="0" w:color="000000"/>
              <w:bottom w:val="single" w:sz="4" w:space="0" w:color="000000"/>
              <w:right w:val="single" w:sz="4" w:space="0" w:color="000000"/>
            </w:tcBorders>
          </w:tcPr>
          <w:p w14:paraId="0CDA1C15" w14:textId="77777777" w:rsidR="00CD42B4" w:rsidRPr="00435703" w:rsidRDefault="00F34A2D">
            <w:pPr>
              <w:jc w:val="center"/>
              <w:rPr>
                <w:rFonts w:ascii="Palatino Linotype" w:eastAsia="Palatino Linotype" w:hAnsi="Palatino Linotype" w:cs="Palatino Linotype"/>
                <w:i/>
              </w:rPr>
            </w:pPr>
            <w:r w:rsidRPr="00435703">
              <w:rPr>
                <w:rFonts w:ascii="Palatino Linotype" w:eastAsia="Palatino Linotype" w:hAnsi="Palatino Linotype" w:cs="Palatino Linotype"/>
                <w:i/>
              </w:rPr>
              <w:lastRenderedPageBreak/>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2673FEAA" w14:textId="77777777" w:rsidR="00CD42B4" w:rsidRPr="00435703" w:rsidRDefault="00F34A2D">
            <w:pPr>
              <w:jc w:val="both"/>
              <w:rPr>
                <w:rFonts w:ascii="Palatino Linotype" w:eastAsia="Palatino Linotype" w:hAnsi="Palatino Linotype" w:cs="Palatino Linotype"/>
                <w:i/>
              </w:rPr>
            </w:pPr>
            <w:r w:rsidRPr="00435703">
              <w:rPr>
                <w:rFonts w:ascii="Palatino Linotype" w:eastAsia="Palatino Linotype" w:hAnsi="Palatino Linotype" w:cs="Palatino Linotype"/>
                <w:i/>
              </w:rPr>
              <w:t>Se anotará la fecha en la que el Comité de Transparencia confirmó la clasificación del documento, en su caso.</w:t>
            </w:r>
          </w:p>
        </w:tc>
      </w:tr>
      <w:tr w:rsidR="00CD42B4" w:rsidRPr="00435703" w14:paraId="2B89C8CA"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792EEB79" w14:textId="77777777" w:rsidR="00CD42B4" w:rsidRPr="00435703" w:rsidRDefault="00CD42B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80C7BB1" w14:textId="77777777" w:rsidR="00CD42B4" w:rsidRPr="00435703" w:rsidRDefault="00F34A2D">
            <w:pPr>
              <w:jc w:val="center"/>
              <w:rPr>
                <w:rFonts w:ascii="Palatino Linotype" w:eastAsia="Palatino Linotype" w:hAnsi="Palatino Linotype" w:cs="Palatino Linotype"/>
                <w:i/>
              </w:rPr>
            </w:pPr>
            <w:r w:rsidRPr="00435703">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31F1FD28" w14:textId="77777777" w:rsidR="00CD42B4" w:rsidRPr="00435703" w:rsidRDefault="00F34A2D">
            <w:pPr>
              <w:jc w:val="both"/>
              <w:rPr>
                <w:rFonts w:ascii="Palatino Linotype" w:eastAsia="Palatino Linotype" w:hAnsi="Palatino Linotype" w:cs="Palatino Linotype"/>
                <w:i/>
              </w:rPr>
            </w:pPr>
            <w:r w:rsidRPr="00435703">
              <w:rPr>
                <w:rFonts w:ascii="Palatino Linotype" w:eastAsia="Palatino Linotype" w:hAnsi="Palatino Linotype" w:cs="Palatino Linotype"/>
                <w:i/>
              </w:rPr>
              <w:t>Se señalará el nombre del área del cual es titular quien clasifica.</w:t>
            </w:r>
          </w:p>
        </w:tc>
      </w:tr>
      <w:tr w:rsidR="00CD42B4" w:rsidRPr="00435703" w14:paraId="6C2BAFDC"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5FE8BE61" w14:textId="77777777" w:rsidR="00CD42B4" w:rsidRPr="00435703" w:rsidRDefault="00CD42B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EDC76A3" w14:textId="77777777" w:rsidR="00CD42B4" w:rsidRPr="00435703" w:rsidRDefault="00F34A2D">
            <w:pPr>
              <w:jc w:val="center"/>
              <w:rPr>
                <w:rFonts w:ascii="Palatino Linotype" w:eastAsia="Palatino Linotype" w:hAnsi="Palatino Linotype" w:cs="Palatino Linotype"/>
                <w:i/>
              </w:rPr>
            </w:pPr>
            <w:r w:rsidRPr="00435703">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6AC03E87" w14:textId="77777777" w:rsidR="00CD42B4" w:rsidRPr="00435703" w:rsidRDefault="00F34A2D">
            <w:pPr>
              <w:jc w:val="both"/>
              <w:rPr>
                <w:rFonts w:ascii="Palatino Linotype" w:eastAsia="Palatino Linotype" w:hAnsi="Palatino Linotype" w:cs="Palatino Linotype"/>
                <w:i/>
              </w:rPr>
            </w:pPr>
            <w:r w:rsidRPr="00435703">
              <w:rPr>
                <w:rFonts w:ascii="Palatino Linotype" w:eastAsia="Palatino Linotype" w:hAnsi="Palatino Linotype" w:cs="Palatino Linotype"/>
                <w:i/>
              </w:rPr>
              <w:t xml:space="preserve">Se indicarán, en su caso, las partes o páginas del documento que se clasifican como reservadas. Si el documento fuera reservado en su totalidad, se </w:t>
            </w:r>
            <w:proofErr w:type="gramStart"/>
            <w:r w:rsidRPr="00435703">
              <w:rPr>
                <w:rFonts w:ascii="Palatino Linotype" w:eastAsia="Palatino Linotype" w:hAnsi="Palatino Linotype" w:cs="Palatino Linotype"/>
                <w:i/>
              </w:rPr>
              <w:t>anotarán</w:t>
            </w:r>
            <w:proofErr w:type="gramEnd"/>
            <w:r w:rsidRPr="00435703">
              <w:rPr>
                <w:rFonts w:ascii="Palatino Linotype" w:eastAsia="Palatino Linotype" w:hAnsi="Palatino Linotype" w:cs="Palatino Linotype"/>
                <w:i/>
              </w:rPr>
              <w:t xml:space="preserve"> todas las páginas que lo conforman. Si el documento no contiene información reservada, se tachará este apartado.</w:t>
            </w:r>
          </w:p>
        </w:tc>
      </w:tr>
      <w:tr w:rsidR="00CD42B4" w:rsidRPr="00435703" w14:paraId="14F7124F"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63067D8F" w14:textId="77777777" w:rsidR="00CD42B4" w:rsidRPr="00435703" w:rsidRDefault="00CD42B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B0BD3DC" w14:textId="77777777" w:rsidR="00CD42B4" w:rsidRPr="00435703" w:rsidRDefault="00F34A2D">
            <w:pPr>
              <w:jc w:val="center"/>
              <w:rPr>
                <w:rFonts w:ascii="Palatino Linotype" w:eastAsia="Palatino Linotype" w:hAnsi="Palatino Linotype" w:cs="Palatino Linotype"/>
                <w:i/>
              </w:rPr>
            </w:pPr>
            <w:r w:rsidRPr="00435703">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5FCB4A87" w14:textId="77777777" w:rsidR="00CD42B4" w:rsidRPr="00435703" w:rsidRDefault="00F34A2D">
            <w:pPr>
              <w:jc w:val="both"/>
              <w:rPr>
                <w:rFonts w:ascii="Palatino Linotype" w:eastAsia="Palatino Linotype" w:hAnsi="Palatino Linotype" w:cs="Palatino Linotype"/>
                <w:i/>
              </w:rPr>
            </w:pPr>
            <w:r w:rsidRPr="00435703">
              <w:rPr>
                <w:rFonts w:ascii="Palatino Linotype" w:eastAsia="Palatino Linotype" w:hAnsi="Palatino Linotype" w:cs="Palatino Linotype"/>
                <w:i/>
              </w:rPr>
              <w:t>Se anotará el número de años o meses por los que se mantendrá el documento o las partes del mismo como reservado.</w:t>
            </w:r>
          </w:p>
        </w:tc>
      </w:tr>
      <w:tr w:rsidR="00CD42B4" w:rsidRPr="00435703" w14:paraId="127CB443"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65861E70" w14:textId="77777777" w:rsidR="00CD42B4" w:rsidRPr="00435703" w:rsidRDefault="00CD42B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54AA24D" w14:textId="77777777" w:rsidR="00CD42B4" w:rsidRPr="00435703" w:rsidRDefault="00F34A2D">
            <w:pPr>
              <w:jc w:val="center"/>
              <w:rPr>
                <w:rFonts w:ascii="Palatino Linotype" w:eastAsia="Palatino Linotype" w:hAnsi="Palatino Linotype" w:cs="Palatino Linotype"/>
                <w:i/>
              </w:rPr>
            </w:pPr>
            <w:r w:rsidRPr="00435703">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7B414839" w14:textId="77777777" w:rsidR="00CD42B4" w:rsidRPr="00435703" w:rsidRDefault="00F34A2D">
            <w:pPr>
              <w:jc w:val="both"/>
              <w:rPr>
                <w:rFonts w:ascii="Palatino Linotype" w:eastAsia="Palatino Linotype" w:hAnsi="Palatino Linotype" w:cs="Palatino Linotype"/>
                <w:i/>
              </w:rPr>
            </w:pPr>
            <w:r w:rsidRPr="00435703">
              <w:rPr>
                <w:rFonts w:ascii="Palatino Linotype" w:eastAsia="Palatino Linotype" w:hAnsi="Palatino Linotype" w:cs="Palatino Linotype"/>
                <w:i/>
              </w:rPr>
              <w:t>Se señalará el nombre del ordenamiento, el o los artículos, fracción(es), párrafo(s) con base en los cuales se sustente la reserva.</w:t>
            </w:r>
          </w:p>
        </w:tc>
      </w:tr>
      <w:tr w:rsidR="00CD42B4" w:rsidRPr="00435703" w14:paraId="085992C5"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551C2410" w14:textId="77777777" w:rsidR="00CD42B4" w:rsidRPr="00435703" w:rsidRDefault="00CD42B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3A05CB8" w14:textId="77777777" w:rsidR="00CD42B4" w:rsidRPr="00435703" w:rsidRDefault="00F34A2D">
            <w:pPr>
              <w:jc w:val="center"/>
              <w:rPr>
                <w:rFonts w:ascii="Palatino Linotype" w:eastAsia="Palatino Linotype" w:hAnsi="Palatino Linotype" w:cs="Palatino Linotype"/>
                <w:i/>
              </w:rPr>
            </w:pPr>
            <w:r w:rsidRPr="00435703">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2A11CFB1" w14:textId="77777777" w:rsidR="00CD42B4" w:rsidRPr="00435703" w:rsidRDefault="00F34A2D">
            <w:pPr>
              <w:jc w:val="both"/>
              <w:rPr>
                <w:rFonts w:ascii="Palatino Linotype" w:eastAsia="Palatino Linotype" w:hAnsi="Palatino Linotype" w:cs="Palatino Linotype"/>
                <w:i/>
              </w:rPr>
            </w:pPr>
            <w:r w:rsidRPr="00435703">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CD42B4" w:rsidRPr="00435703" w14:paraId="3104B63F"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6F603E65" w14:textId="77777777" w:rsidR="00CD42B4" w:rsidRPr="00435703" w:rsidRDefault="00CD42B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A4696AF" w14:textId="77777777" w:rsidR="00CD42B4" w:rsidRPr="00435703" w:rsidRDefault="00F34A2D">
            <w:pPr>
              <w:jc w:val="center"/>
              <w:rPr>
                <w:rFonts w:ascii="Palatino Linotype" w:eastAsia="Palatino Linotype" w:hAnsi="Palatino Linotype" w:cs="Palatino Linotype"/>
                <w:b/>
                <w:i/>
                <w:u w:val="single"/>
              </w:rPr>
            </w:pPr>
            <w:r w:rsidRPr="00435703">
              <w:rPr>
                <w:rFonts w:ascii="Palatino Linotype" w:eastAsia="Palatino Linotype" w:hAnsi="Palatino Linotype" w:cs="Palatino Linotype"/>
                <w:b/>
                <w:i/>
                <w:u w:val="single"/>
              </w:rPr>
              <w:t>Confidencial</w:t>
            </w:r>
          </w:p>
        </w:tc>
        <w:tc>
          <w:tcPr>
            <w:tcW w:w="4531" w:type="dxa"/>
            <w:tcBorders>
              <w:top w:val="single" w:sz="4" w:space="0" w:color="000000"/>
              <w:left w:val="single" w:sz="4" w:space="0" w:color="000000"/>
              <w:bottom w:val="single" w:sz="4" w:space="0" w:color="000000"/>
              <w:right w:val="single" w:sz="4" w:space="0" w:color="000000"/>
            </w:tcBorders>
          </w:tcPr>
          <w:p w14:paraId="610FAA4A" w14:textId="77777777" w:rsidR="00CD42B4" w:rsidRPr="00435703" w:rsidRDefault="00F34A2D">
            <w:pPr>
              <w:jc w:val="both"/>
              <w:rPr>
                <w:rFonts w:ascii="Palatino Linotype" w:eastAsia="Palatino Linotype" w:hAnsi="Palatino Linotype" w:cs="Palatino Linotype"/>
                <w:i/>
              </w:rPr>
            </w:pPr>
            <w:r w:rsidRPr="00435703">
              <w:rPr>
                <w:rFonts w:ascii="Palatino Linotype" w:eastAsia="Palatino Linotype" w:hAnsi="Palatino Linotype" w:cs="Palatino Linotype"/>
                <w:i/>
              </w:rPr>
              <w:t xml:space="preserve">Se indicarán, en su caso, </w:t>
            </w:r>
            <w:r w:rsidRPr="00435703">
              <w:rPr>
                <w:rFonts w:ascii="Palatino Linotype" w:eastAsia="Palatino Linotype" w:hAnsi="Palatino Linotype" w:cs="Palatino Linotype"/>
                <w:b/>
                <w:i/>
                <w:u w:val="single"/>
              </w:rPr>
              <w:t>las partes o páginas del documento que se clasifica como confidencial</w:t>
            </w:r>
            <w:r w:rsidRPr="00435703">
              <w:rPr>
                <w:rFonts w:ascii="Palatino Linotype" w:eastAsia="Palatino Linotype" w:hAnsi="Palatino Linotype" w:cs="Palatino Linotype"/>
                <w:i/>
              </w:rPr>
              <w:t xml:space="preserve">. </w:t>
            </w:r>
            <w:r w:rsidRPr="00435703">
              <w:rPr>
                <w:rFonts w:ascii="Palatino Linotype" w:eastAsia="Palatino Linotype" w:hAnsi="Palatino Linotype" w:cs="Palatino Linotype"/>
                <w:b/>
                <w:i/>
                <w:u w:val="single"/>
              </w:rPr>
              <w:t>Si el documento fuera confidencial en su totalidad, se anotarán todas las páginas que lo conforman</w:t>
            </w:r>
            <w:r w:rsidRPr="00435703">
              <w:rPr>
                <w:rFonts w:ascii="Palatino Linotype" w:eastAsia="Palatino Linotype" w:hAnsi="Palatino Linotype" w:cs="Palatino Linotype"/>
                <w:i/>
              </w:rPr>
              <w:t>. Si el documento no contiene información confidencial, se tachará este apartado.</w:t>
            </w:r>
          </w:p>
        </w:tc>
      </w:tr>
      <w:tr w:rsidR="00CD42B4" w:rsidRPr="00435703" w14:paraId="4C3A3126"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1CD04ECE" w14:textId="77777777" w:rsidR="00CD42B4" w:rsidRPr="00435703" w:rsidRDefault="00CD42B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E6BE5FC" w14:textId="77777777" w:rsidR="00CD42B4" w:rsidRPr="00435703" w:rsidRDefault="00F34A2D">
            <w:pPr>
              <w:jc w:val="center"/>
              <w:rPr>
                <w:rFonts w:ascii="Palatino Linotype" w:eastAsia="Palatino Linotype" w:hAnsi="Palatino Linotype" w:cs="Palatino Linotype"/>
                <w:i/>
              </w:rPr>
            </w:pPr>
            <w:r w:rsidRPr="00435703">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0C62FABF" w14:textId="77777777" w:rsidR="00CD42B4" w:rsidRPr="00435703" w:rsidRDefault="00F34A2D">
            <w:pPr>
              <w:jc w:val="both"/>
              <w:rPr>
                <w:rFonts w:ascii="Palatino Linotype" w:eastAsia="Palatino Linotype" w:hAnsi="Palatino Linotype" w:cs="Palatino Linotype"/>
                <w:i/>
              </w:rPr>
            </w:pPr>
            <w:r w:rsidRPr="00435703">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CD42B4" w:rsidRPr="00435703" w14:paraId="41CE2A83"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6F7C6EBF" w14:textId="77777777" w:rsidR="00CD42B4" w:rsidRPr="00435703" w:rsidRDefault="00CD42B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3B17D77" w14:textId="77777777" w:rsidR="00CD42B4" w:rsidRPr="00435703" w:rsidRDefault="00F34A2D">
            <w:pPr>
              <w:jc w:val="center"/>
              <w:rPr>
                <w:rFonts w:ascii="Palatino Linotype" w:eastAsia="Palatino Linotype" w:hAnsi="Palatino Linotype" w:cs="Palatino Linotype"/>
                <w:i/>
              </w:rPr>
            </w:pPr>
            <w:r w:rsidRPr="00435703">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1B26FD3F" w14:textId="77777777" w:rsidR="00CD42B4" w:rsidRPr="00435703" w:rsidRDefault="00F34A2D">
            <w:pPr>
              <w:jc w:val="both"/>
              <w:rPr>
                <w:rFonts w:ascii="Palatino Linotype" w:eastAsia="Palatino Linotype" w:hAnsi="Palatino Linotype" w:cs="Palatino Linotype"/>
                <w:i/>
              </w:rPr>
            </w:pPr>
            <w:r w:rsidRPr="00435703">
              <w:rPr>
                <w:rFonts w:ascii="Palatino Linotype" w:eastAsia="Palatino Linotype" w:hAnsi="Palatino Linotype" w:cs="Palatino Linotype"/>
                <w:i/>
              </w:rPr>
              <w:t>Rúbrica autógrafa de quien clasifica.</w:t>
            </w:r>
          </w:p>
        </w:tc>
      </w:tr>
      <w:tr w:rsidR="00CD42B4" w:rsidRPr="00435703" w14:paraId="6574E53C"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1D41A827" w14:textId="77777777" w:rsidR="00CD42B4" w:rsidRPr="00435703" w:rsidRDefault="00CD42B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ADC9B5C" w14:textId="77777777" w:rsidR="00CD42B4" w:rsidRPr="00435703" w:rsidRDefault="00F34A2D">
            <w:pPr>
              <w:jc w:val="center"/>
              <w:rPr>
                <w:rFonts w:ascii="Palatino Linotype" w:eastAsia="Palatino Linotype" w:hAnsi="Palatino Linotype" w:cs="Palatino Linotype"/>
                <w:i/>
              </w:rPr>
            </w:pPr>
            <w:r w:rsidRPr="00435703">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7C41054A" w14:textId="77777777" w:rsidR="00CD42B4" w:rsidRPr="00435703" w:rsidRDefault="00F34A2D">
            <w:pPr>
              <w:jc w:val="both"/>
              <w:rPr>
                <w:rFonts w:ascii="Palatino Linotype" w:eastAsia="Palatino Linotype" w:hAnsi="Palatino Linotype" w:cs="Palatino Linotype"/>
                <w:i/>
              </w:rPr>
            </w:pPr>
            <w:r w:rsidRPr="00435703">
              <w:rPr>
                <w:rFonts w:ascii="Palatino Linotype" w:eastAsia="Palatino Linotype" w:hAnsi="Palatino Linotype" w:cs="Palatino Linotype"/>
                <w:i/>
              </w:rPr>
              <w:t>Se anotará la fecha en que se desclasifica el documento.</w:t>
            </w:r>
          </w:p>
        </w:tc>
      </w:tr>
      <w:tr w:rsidR="00CD42B4" w:rsidRPr="00435703" w14:paraId="2352FAD7"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508B2AA7" w14:textId="77777777" w:rsidR="00CD42B4" w:rsidRPr="00435703" w:rsidRDefault="00CD42B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5F02C2D" w14:textId="77777777" w:rsidR="00CD42B4" w:rsidRPr="00435703" w:rsidRDefault="00F34A2D">
            <w:pPr>
              <w:jc w:val="center"/>
              <w:rPr>
                <w:rFonts w:ascii="Palatino Linotype" w:eastAsia="Palatino Linotype" w:hAnsi="Palatino Linotype" w:cs="Palatino Linotype"/>
                <w:i/>
              </w:rPr>
            </w:pPr>
            <w:r w:rsidRPr="00435703">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69DB7637" w14:textId="77777777" w:rsidR="00CD42B4" w:rsidRPr="00435703" w:rsidRDefault="00F34A2D">
            <w:pPr>
              <w:rPr>
                <w:rFonts w:ascii="Palatino Linotype" w:eastAsia="Palatino Linotype" w:hAnsi="Palatino Linotype" w:cs="Palatino Linotype"/>
                <w:i/>
              </w:rPr>
            </w:pPr>
            <w:r w:rsidRPr="00435703">
              <w:rPr>
                <w:rFonts w:ascii="Palatino Linotype" w:eastAsia="Palatino Linotype" w:hAnsi="Palatino Linotype" w:cs="Palatino Linotype"/>
                <w:i/>
              </w:rPr>
              <w:t>Rúbrica autógrafa de quien desclasifica.</w:t>
            </w:r>
          </w:p>
        </w:tc>
      </w:tr>
    </w:tbl>
    <w:p w14:paraId="416DE24C" w14:textId="77777777" w:rsidR="00CD42B4" w:rsidRPr="00435703" w:rsidRDefault="00F34A2D">
      <w:pPr>
        <w:ind w:left="709" w:right="709"/>
        <w:jc w:val="both"/>
        <w:rPr>
          <w:rFonts w:ascii="Palatino Linotype" w:eastAsia="Palatino Linotype" w:hAnsi="Palatino Linotype" w:cs="Palatino Linotype"/>
          <w:sz w:val="22"/>
          <w:szCs w:val="22"/>
        </w:rPr>
      </w:pPr>
      <w:r w:rsidRPr="00435703">
        <w:rPr>
          <w:rFonts w:ascii="Palatino Linotype" w:eastAsia="Palatino Linotype" w:hAnsi="Palatino Linotype" w:cs="Palatino Linotype"/>
          <w:sz w:val="22"/>
          <w:szCs w:val="22"/>
        </w:rPr>
        <w:t>(Énfasis Añadido)</w:t>
      </w:r>
    </w:p>
    <w:p w14:paraId="2F8F4F6F" w14:textId="77777777" w:rsidR="00CD42B4" w:rsidRPr="00435703" w:rsidRDefault="00CD42B4">
      <w:pPr>
        <w:spacing w:line="360" w:lineRule="auto"/>
        <w:jc w:val="both"/>
        <w:rPr>
          <w:rFonts w:ascii="Palatino Linotype" w:eastAsia="Palatino Linotype" w:hAnsi="Palatino Linotype" w:cs="Palatino Linotype"/>
        </w:rPr>
      </w:pPr>
    </w:p>
    <w:p w14:paraId="27E7164A"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lastRenderedPageBreak/>
        <w:t xml:space="preserve">Es importante referir que, </w:t>
      </w:r>
      <w:r w:rsidRPr="00435703">
        <w:rPr>
          <w:rFonts w:ascii="Palatino Linotype" w:eastAsia="Palatino Linotype" w:hAnsi="Palatino Linotype" w:cs="Palatino Linotype"/>
          <w:b/>
        </w:rPr>
        <w:t>EL SUJETO OBLIGADO</w:t>
      </w:r>
      <w:r w:rsidRPr="00435703">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previstas, antes citadas</w:t>
      </w:r>
      <w:r w:rsidRPr="00435703">
        <w:rPr>
          <w:rFonts w:ascii="Palatino Linotype" w:eastAsia="Palatino Linotype" w:hAnsi="Palatino Linotype" w:cs="Palatino Linotype"/>
          <w:b/>
        </w:rPr>
        <w:t xml:space="preserve"> </w:t>
      </w:r>
      <w:r w:rsidRPr="00435703">
        <w:rPr>
          <w:rFonts w:ascii="Palatino Linotype" w:eastAsia="Palatino Linotype" w:hAnsi="Palatino Linotype" w:cs="Palatino Linotype"/>
        </w:rPr>
        <w:t>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74EDADD" w14:textId="77777777" w:rsidR="00CD42B4" w:rsidRPr="00435703" w:rsidRDefault="00CD42B4">
      <w:pPr>
        <w:spacing w:line="360" w:lineRule="auto"/>
        <w:jc w:val="both"/>
        <w:rPr>
          <w:rFonts w:ascii="Palatino Linotype" w:eastAsia="Palatino Linotype" w:hAnsi="Palatino Linotype" w:cs="Palatino Linotype"/>
        </w:rPr>
      </w:pPr>
    </w:p>
    <w:p w14:paraId="572F4326"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 xml:space="preserve">Así, con fundamento en lo previsto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 </w:t>
      </w:r>
    </w:p>
    <w:p w14:paraId="4B2FF41A" w14:textId="77777777" w:rsidR="00CD42B4" w:rsidRPr="00435703" w:rsidRDefault="00CD42B4">
      <w:pPr>
        <w:spacing w:line="360" w:lineRule="auto"/>
        <w:jc w:val="both"/>
        <w:rPr>
          <w:rFonts w:ascii="Palatino Linotype" w:eastAsia="Palatino Linotype" w:hAnsi="Palatino Linotype" w:cs="Palatino Linotype"/>
        </w:rPr>
      </w:pPr>
    </w:p>
    <w:p w14:paraId="09B4677C" w14:textId="77777777" w:rsidR="00CD42B4" w:rsidRPr="00435703" w:rsidRDefault="00F34A2D">
      <w:pPr>
        <w:spacing w:line="360" w:lineRule="auto"/>
        <w:jc w:val="center"/>
        <w:rPr>
          <w:rFonts w:ascii="Palatino Linotype" w:eastAsia="Palatino Linotype" w:hAnsi="Palatino Linotype" w:cs="Palatino Linotype"/>
          <w:b/>
          <w:sz w:val="26"/>
          <w:szCs w:val="26"/>
        </w:rPr>
      </w:pPr>
      <w:r w:rsidRPr="00435703">
        <w:rPr>
          <w:rFonts w:ascii="Palatino Linotype" w:eastAsia="Palatino Linotype" w:hAnsi="Palatino Linotype" w:cs="Palatino Linotype"/>
          <w:b/>
          <w:sz w:val="26"/>
          <w:szCs w:val="26"/>
        </w:rPr>
        <w:t>RESUELVE</w:t>
      </w:r>
    </w:p>
    <w:p w14:paraId="68F2B1F2" w14:textId="77777777" w:rsidR="00CD42B4" w:rsidRPr="00435703" w:rsidRDefault="00F34A2D">
      <w:pPr>
        <w:spacing w:line="360" w:lineRule="auto"/>
        <w:ind w:right="49"/>
        <w:jc w:val="both"/>
        <w:rPr>
          <w:rFonts w:ascii="Palatino Linotype" w:eastAsia="Palatino Linotype" w:hAnsi="Palatino Linotype" w:cs="Palatino Linotype"/>
        </w:rPr>
      </w:pPr>
      <w:r w:rsidRPr="00435703">
        <w:rPr>
          <w:rFonts w:ascii="Palatino Linotype" w:eastAsia="Palatino Linotype" w:hAnsi="Palatino Linotype" w:cs="Palatino Linotype"/>
          <w:b/>
        </w:rPr>
        <w:t>PRIMERO.</w:t>
      </w:r>
      <w:r w:rsidRPr="00435703">
        <w:rPr>
          <w:rFonts w:ascii="Palatino Linotype" w:eastAsia="Palatino Linotype" w:hAnsi="Palatino Linotype" w:cs="Palatino Linotype"/>
        </w:rPr>
        <w:t xml:space="preserve"> Resultan </w:t>
      </w:r>
      <w:r w:rsidRPr="00435703">
        <w:rPr>
          <w:rFonts w:ascii="Palatino Linotype" w:eastAsia="Palatino Linotype" w:hAnsi="Palatino Linotype" w:cs="Palatino Linotype"/>
          <w:b/>
        </w:rPr>
        <w:t>fundados</w:t>
      </w:r>
      <w:r w:rsidRPr="00435703">
        <w:rPr>
          <w:rFonts w:ascii="Palatino Linotype" w:eastAsia="Palatino Linotype" w:hAnsi="Palatino Linotype" w:cs="Palatino Linotype"/>
        </w:rPr>
        <w:t xml:space="preserve"> los motivos de inconformidad hechos valer por </w:t>
      </w:r>
      <w:r w:rsidRPr="00435703">
        <w:rPr>
          <w:rFonts w:ascii="Palatino Linotype" w:eastAsia="Palatino Linotype" w:hAnsi="Palatino Linotype" w:cs="Palatino Linotype"/>
          <w:b/>
        </w:rPr>
        <w:t>EL RECURRENTE</w:t>
      </w:r>
      <w:r w:rsidRPr="00435703">
        <w:rPr>
          <w:rFonts w:ascii="Palatino Linotype" w:eastAsia="Palatino Linotype" w:hAnsi="Palatino Linotype" w:cs="Palatino Linotype"/>
        </w:rPr>
        <w:t xml:space="preserve"> en el recurso de revisión </w:t>
      </w:r>
      <w:r w:rsidRPr="00435703">
        <w:rPr>
          <w:rFonts w:ascii="Palatino Linotype" w:eastAsia="Palatino Linotype" w:hAnsi="Palatino Linotype" w:cs="Palatino Linotype"/>
          <w:b/>
        </w:rPr>
        <w:t>00387/INFOEM/IP/RR/2022</w:t>
      </w:r>
      <w:r w:rsidRPr="00435703">
        <w:rPr>
          <w:rFonts w:ascii="Palatino Linotype" w:eastAsia="Palatino Linotype" w:hAnsi="Palatino Linotype" w:cs="Palatino Linotype"/>
        </w:rPr>
        <w:t xml:space="preserve">, en términos del considerando </w:t>
      </w:r>
      <w:r w:rsidRPr="00435703">
        <w:rPr>
          <w:rFonts w:ascii="Palatino Linotype" w:eastAsia="Palatino Linotype" w:hAnsi="Palatino Linotype" w:cs="Palatino Linotype"/>
          <w:b/>
        </w:rPr>
        <w:t>QUINTO</w:t>
      </w:r>
      <w:r w:rsidRPr="00435703">
        <w:rPr>
          <w:rFonts w:ascii="Palatino Linotype" w:eastAsia="Palatino Linotype" w:hAnsi="Palatino Linotype" w:cs="Palatino Linotype"/>
        </w:rPr>
        <w:t>.</w:t>
      </w:r>
    </w:p>
    <w:p w14:paraId="41A19011" w14:textId="77777777" w:rsidR="00CD42B4" w:rsidRPr="00435703" w:rsidRDefault="00CD42B4">
      <w:pPr>
        <w:spacing w:line="360" w:lineRule="auto"/>
        <w:ind w:right="49"/>
        <w:jc w:val="both"/>
        <w:rPr>
          <w:rFonts w:ascii="Palatino Linotype" w:eastAsia="Palatino Linotype" w:hAnsi="Palatino Linotype" w:cs="Palatino Linotype"/>
        </w:rPr>
      </w:pPr>
    </w:p>
    <w:p w14:paraId="6E20BF61" w14:textId="77777777" w:rsidR="00CD42B4" w:rsidRPr="00435703" w:rsidRDefault="00F34A2D">
      <w:pPr>
        <w:spacing w:line="360" w:lineRule="auto"/>
        <w:jc w:val="both"/>
        <w:rPr>
          <w:rFonts w:ascii="Palatino Linotype" w:eastAsia="Palatino Linotype" w:hAnsi="Palatino Linotype" w:cs="Palatino Linotype"/>
        </w:rPr>
      </w:pPr>
      <w:bookmarkStart w:id="5" w:name="_heading=h.gjdgxs" w:colFirst="0" w:colLast="0"/>
      <w:bookmarkEnd w:id="5"/>
      <w:r w:rsidRPr="00435703">
        <w:rPr>
          <w:rFonts w:ascii="Palatino Linotype" w:eastAsia="Palatino Linotype" w:hAnsi="Palatino Linotype" w:cs="Palatino Linotype"/>
          <w:b/>
        </w:rPr>
        <w:lastRenderedPageBreak/>
        <w:t xml:space="preserve">SEGUNDO. </w:t>
      </w:r>
      <w:r w:rsidRPr="00435703">
        <w:rPr>
          <w:rFonts w:ascii="Palatino Linotype" w:eastAsia="Palatino Linotype" w:hAnsi="Palatino Linotype" w:cs="Palatino Linotype"/>
        </w:rPr>
        <w:t xml:space="preserve">Se </w:t>
      </w:r>
      <w:r w:rsidRPr="00435703">
        <w:rPr>
          <w:rFonts w:ascii="Palatino Linotype" w:eastAsia="Palatino Linotype" w:hAnsi="Palatino Linotype" w:cs="Palatino Linotype"/>
          <w:b/>
        </w:rPr>
        <w:t xml:space="preserve">MODIFICA </w:t>
      </w:r>
      <w:r w:rsidRPr="00435703">
        <w:rPr>
          <w:rFonts w:ascii="Palatino Linotype" w:eastAsia="Palatino Linotype" w:hAnsi="Palatino Linotype" w:cs="Palatino Linotype"/>
        </w:rPr>
        <w:t xml:space="preserve">la respuesta emitida por </w:t>
      </w:r>
      <w:r w:rsidRPr="00435703">
        <w:rPr>
          <w:rFonts w:ascii="Palatino Linotype" w:eastAsia="Palatino Linotype" w:hAnsi="Palatino Linotype" w:cs="Palatino Linotype"/>
          <w:b/>
        </w:rPr>
        <w:t>EL</w:t>
      </w:r>
      <w:r w:rsidRPr="00435703">
        <w:rPr>
          <w:rFonts w:ascii="Palatino Linotype" w:eastAsia="Palatino Linotype" w:hAnsi="Palatino Linotype" w:cs="Palatino Linotype"/>
        </w:rPr>
        <w:t xml:space="preserve"> </w:t>
      </w:r>
      <w:r w:rsidRPr="00435703">
        <w:rPr>
          <w:rFonts w:ascii="Palatino Linotype" w:eastAsia="Palatino Linotype" w:hAnsi="Palatino Linotype" w:cs="Palatino Linotype"/>
          <w:b/>
        </w:rPr>
        <w:t>SUJETO OBLIGADO</w:t>
      </w:r>
      <w:r w:rsidRPr="00435703">
        <w:rPr>
          <w:rFonts w:ascii="Palatino Linotype" w:eastAsia="Palatino Linotype" w:hAnsi="Palatino Linotype" w:cs="Palatino Linotype"/>
        </w:rPr>
        <w:t xml:space="preserve"> y se ordena que en términos del Considerando </w:t>
      </w:r>
      <w:r w:rsidRPr="00435703">
        <w:rPr>
          <w:rFonts w:ascii="Palatino Linotype" w:eastAsia="Palatino Linotype" w:hAnsi="Palatino Linotype" w:cs="Palatino Linotype"/>
          <w:b/>
        </w:rPr>
        <w:t>Quinto</w:t>
      </w:r>
      <w:r w:rsidRPr="00435703">
        <w:rPr>
          <w:rFonts w:ascii="Palatino Linotype" w:eastAsia="Palatino Linotype" w:hAnsi="Palatino Linotype" w:cs="Palatino Linotype"/>
        </w:rPr>
        <w:t xml:space="preserve"> lleve a cabo una búsqueda exhaustiva y razonable a través de las áreas competentes y haga entrega al Recurrente mediante el Sistema de Acceso a la Información Mexiquense (SAIMEX), del soporte documental donde conste en el mayor grado de desagregación posible lo siguiente: </w:t>
      </w:r>
    </w:p>
    <w:p w14:paraId="795AD8F5" w14:textId="77777777" w:rsidR="00CD42B4" w:rsidRPr="00435703" w:rsidRDefault="00F34A2D">
      <w:pPr>
        <w:numPr>
          <w:ilvl w:val="0"/>
          <w:numId w:val="1"/>
        </w:numPr>
        <w:spacing w:line="360" w:lineRule="auto"/>
        <w:jc w:val="both"/>
        <w:rPr>
          <w:rFonts w:ascii="Palatino Linotype" w:eastAsia="Palatino Linotype" w:hAnsi="Palatino Linotype" w:cs="Palatino Linotype"/>
          <w:i/>
          <w:sz w:val="22"/>
          <w:szCs w:val="22"/>
        </w:rPr>
      </w:pPr>
      <w:bookmarkStart w:id="6" w:name="_heading=h.405bnnze8uiy" w:colFirst="0" w:colLast="0"/>
      <w:bookmarkEnd w:id="6"/>
      <w:r w:rsidRPr="00435703">
        <w:rPr>
          <w:rFonts w:ascii="Palatino Linotype" w:eastAsia="Palatino Linotype" w:hAnsi="Palatino Linotype" w:cs="Palatino Linotype"/>
          <w:i/>
          <w:sz w:val="22"/>
          <w:szCs w:val="22"/>
        </w:rPr>
        <w:t xml:space="preserve">Del periodo comprendido del veinticuatro de enero de dos mil veintiuno al veinticuatro de enero de dos mil veintidós: </w:t>
      </w:r>
    </w:p>
    <w:p w14:paraId="2D421E6C" w14:textId="77777777" w:rsidR="00CD42B4" w:rsidRPr="00435703" w:rsidRDefault="00F34A2D">
      <w:pPr>
        <w:numPr>
          <w:ilvl w:val="1"/>
          <w:numId w:val="1"/>
        </w:numPr>
        <w:ind w:right="131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 xml:space="preserve">El número de patrullas con las que cuenta el Municipio </w:t>
      </w:r>
    </w:p>
    <w:p w14:paraId="5C95F2F8" w14:textId="77777777" w:rsidR="00CD42B4" w:rsidRPr="00435703" w:rsidRDefault="00F34A2D">
      <w:pPr>
        <w:numPr>
          <w:ilvl w:val="1"/>
          <w:numId w:val="1"/>
        </w:numPr>
        <w:ind w:right="131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 xml:space="preserve">Número de unidades vehiculares, para prestar el servicio de seguridad pública, indicando  marca, modelo, equipamiento y año del vehículo </w:t>
      </w:r>
    </w:p>
    <w:p w14:paraId="7F96F6D8" w14:textId="77777777" w:rsidR="00CD42B4" w:rsidRPr="00435703" w:rsidRDefault="00F34A2D">
      <w:pPr>
        <w:numPr>
          <w:ilvl w:val="1"/>
          <w:numId w:val="1"/>
        </w:numPr>
        <w:ind w:right="131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 xml:space="preserve">Número de Oficiales en servicio en las áreas seguridad pública como en tránsito, </w:t>
      </w:r>
    </w:p>
    <w:p w14:paraId="5D88CC1B" w14:textId="77777777" w:rsidR="00CD42B4" w:rsidRPr="00435703" w:rsidRDefault="00F34A2D">
      <w:pPr>
        <w:numPr>
          <w:ilvl w:val="1"/>
          <w:numId w:val="1"/>
        </w:numPr>
        <w:ind w:right="131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 xml:space="preserve">Número de oficiales facultativos en seguridad pública y tránsito señalando fechas de ingreso, </w:t>
      </w:r>
    </w:p>
    <w:p w14:paraId="640B0997" w14:textId="77777777" w:rsidR="00CD42B4" w:rsidRPr="00435703" w:rsidRDefault="00F34A2D">
      <w:pPr>
        <w:numPr>
          <w:ilvl w:val="1"/>
          <w:numId w:val="1"/>
        </w:numPr>
        <w:ind w:right="131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 xml:space="preserve">Número de personas laborando en las Oficialías Calificadoras, </w:t>
      </w:r>
    </w:p>
    <w:p w14:paraId="167BC145" w14:textId="77777777" w:rsidR="00CD42B4" w:rsidRPr="00435703" w:rsidRDefault="00F34A2D">
      <w:pPr>
        <w:numPr>
          <w:ilvl w:val="1"/>
          <w:numId w:val="1"/>
        </w:numPr>
        <w:ind w:right="131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 xml:space="preserve">Número de policías que no se encuentra en servicio por sanción, </w:t>
      </w:r>
    </w:p>
    <w:p w14:paraId="24B23E9F" w14:textId="77777777" w:rsidR="00CD42B4" w:rsidRPr="00435703" w:rsidRDefault="00F34A2D">
      <w:pPr>
        <w:numPr>
          <w:ilvl w:val="1"/>
          <w:numId w:val="1"/>
        </w:numPr>
        <w:ind w:right="131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 xml:space="preserve">Nombre del titular de la Comisión de Seguridad Pública y actas de dicha comisión, </w:t>
      </w:r>
    </w:p>
    <w:p w14:paraId="65192955" w14:textId="77777777" w:rsidR="00CD42B4" w:rsidRPr="00435703" w:rsidRDefault="00F34A2D">
      <w:pPr>
        <w:numPr>
          <w:ilvl w:val="1"/>
          <w:numId w:val="1"/>
        </w:numPr>
        <w:ind w:right="131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 xml:space="preserve">Nombre de policías sancionados por faltas graves derivados de procedimientos concluidos. </w:t>
      </w:r>
    </w:p>
    <w:p w14:paraId="11539E57" w14:textId="77777777" w:rsidR="00CD42B4" w:rsidRPr="00435703" w:rsidRDefault="00F34A2D">
      <w:pPr>
        <w:numPr>
          <w:ilvl w:val="1"/>
          <w:numId w:val="1"/>
        </w:numPr>
        <w:ind w:right="131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 xml:space="preserve">Participación de la Guardia nacional, </w:t>
      </w:r>
    </w:p>
    <w:p w14:paraId="4FEE17C4" w14:textId="77777777" w:rsidR="00CD42B4" w:rsidRPr="00435703" w:rsidRDefault="00F34A2D">
      <w:pPr>
        <w:numPr>
          <w:ilvl w:val="1"/>
          <w:numId w:val="1"/>
        </w:numPr>
        <w:ind w:right="131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 xml:space="preserve">Número de grupos delictivos en el municipio </w:t>
      </w:r>
    </w:p>
    <w:p w14:paraId="7C12A1D3" w14:textId="77777777" w:rsidR="00CD42B4" w:rsidRPr="00435703" w:rsidRDefault="00CD42B4">
      <w:pPr>
        <w:spacing w:line="360" w:lineRule="auto"/>
        <w:jc w:val="both"/>
        <w:rPr>
          <w:rFonts w:ascii="Palatino Linotype" w:eastAsia="Palatino Linotype" w:hAnsi="Palatino Linotype" w:cs="Palatino Linotype"/>
          <w:i/>
          <w:sz w:val="22"/>
          <w:szCs w:val="22"/>
        </w:rPr>
      </w:pPr>
      <w:bookmarkStart w:id="7" w:name="_heading=h.8nrsb9mg7q9k" w:colFirst="0" w:colLast="0"/>
      <w:bookmarkEnd w:id="7"/>
    </w:p>
    <w:p w14:paraId="71D723DF" w14:textId="77777777" w:rsidR="00CD42B4" w:rsidRPr="00435703" w:rsidRDefault="00F34A2D">
      <w:pPr>
        <w:numPr>
          <w:ilvl w:val="0"/>
          <w:numId w:val="1"/>
        </w:numPr>
        <w:ind w:right="1319"/>
        <w:jc w:val="both"/>
        <w:rPr>
          <w:rFonts w:ascii="Palatino Linotype" w:eastAsia="Palatino Linotype" w:hAnsi="Palatino Linotype" w:cs="Palatino Linotype"/>
        </w:rPr>
      </w:pPr>
      <w:r w:rsidRPr="00435703">
        <w:rPr>
          <w:rFonts w:ascii="Palatino Linotype" w:eastAsia="Palatino Linotype" w:hAnsi="Palatino Linotype" w:cs="Palatino Linotype"/>
          <w:i/>
          <w:sz w:val="22"/>
          <w:szCs w:val="22"/>
        </w:rPr>
        <w:t>Vigente al veinticuatro de enero de dos mil veintidós:</w:t>
      </w:r>
    </w:p>
    <w:p w14:paraId="6588048A" w14:textId="77777777" w:rsidR="00CD42B4" w:rsidRPr="00435703" w:rsidRDefault="00F34A2D">
      <w:pPr>
        <w:numPr>
          <w:ilvl w:val="1"/>
          <w:numId w:val="1"/>
        </w:numPr>
        <w:ind w:right="1319"/>
        <w:jc w:val="both"/>
        <w:rPr>
          <w:rFonts w:ascii="Palatino Linotype" w:eastAsia="Palatino Linotype" w:hAnsi="Palatino Linotype" w:cs="Palatino Linotype"/>
        </w:rPr>
      </w:pPr>
      <w:r w:rsidRPr="00435703">
        <w:rPr>
          <w:rFonts w:ascii="Palatino Linotype" w:eastAsia="Palatino Linotype" w:hAnsi="Palatino Linotype" w:cs="Palatino Linotype"/>
          <w:i/>
          <w:sz w:val="22"/>
          <w:szCs w:val="22"/>
        </w:rPr>
        <w:t xml:space="preserve"> Número de Oficiales contratado por la administración actual, </w:t>
      </w:r>
    </w:p>
    <w:p w14:paraId="2E231CF1" w14:textId="77777777" w:rsidR="00CD42B4" w:rsidRPr="00435703" w:rsidRDefault="00CD42B4">
      <w:pPr>
        <w:tabs>
          <w:tab w:val="left" w:pos="709"/>
        </w:tabs>
        <w:ind w:left="850" w:right="899"/>
        <w:jc w:val="both"/>
        <w:rPr>
          <w:rFonts w:ascii="Palatino Linotype" w:eastAsia="Palatino Linotype" w:hAnsi="Palatino Linotype" w:cs="Palatino Linotype"/>
          <w:i/>
          <w:sz w:val="22"/>
          <w:szCs w:val="22"/>
        </w:rPr>
      </w:pPr>
    </w:p>
    <w:p w14:paraId="141A183A" w14:textId="77777777" w:rsidR="00CD42B4" w:rsidRPr="00435703" w:rsidRDefault="00F34A2D">
      <w:pPr>
        <w:tabs>
          <w:tab w:val="left" w:pos="709"/>
        </w:tabs>
        <w:ind w:left="850" w:right="899"/>
        <w:jc w:val="both"/>
        <w:rPr>
          <w:rFonts w:ascii="Palatino Linotype" w:eastAsia="Palatino Linotype" w:hAnsi="Palatino Linotype" w:cs="Palatino Linotype"/>
          <w:i/>
          <w:sz w:val="22"/>
          <w:szCs w:val="22"/>
        </w:rPr>
      </w:pPr>
      <w:r w:rsidRPr="00435703">
        <w:rPr>
          <w:rFonts w:ascii="Palatino Linotype" w:eastAsia="Palatino Linotype" w:hAnsi="Palatino Linotype" w:cs="Palatino Linotype"/>
          <w:i/>
          <w:sz w:val="22"/>
          <w:szCs w:val="22"/>
        </w:rPr>
        <w:t xml:space="preserve">Debiendo notificar al </w:t>
      </w:r>
      <w:r w:rsidRPr="00435703">
        <w:rPr>
          <w:rFonts w:ascii="Palatino Linotype" w:eastAsia="Palatino Linotype" w:hAnsi="Palatino Linotype" w:cs="Palatino Linotype"/>
          <w:b/>
          <w:i/>
          <w:sz w:val="22"/>
          <w:szCs w:val="22"/>
        </w:rPr>
        <w:t>RECURRENTE</w:t>
      </w:r>
      <w:r w:rsidRPr="00435703">
        <w:rPr>
          <w:rFonts w:ascii="Palatino Linotype" w:eastAsia="Palatino Linotype" w:hAnsi="Palatino Linotype" w:cs="Palatino Linotype"/>
          <w:i/>
          <w:sz w:val="22"/>
          <w:szCs w:val="22"/>
        </w:rPr>
        <w:t xml:space="preserve"> el Acuerdo de Clasificación de la información que emita el Comité de Transparencia con motivo de la versión pública.</w:t>
      </w:r>
    </w:p>
    <w:p w14:paraId="48203845" w14:textId="77777777" w:rsidR="00CD42B4" w:rsidRPr="00435703" w:rsidRDefault="00CD42B4">
      <w:pPr>
        <w:spacing w:line="360" w:lineRule="auto"/>
        <w:jc w:val="both"/>
        <w:rPr>
          <w:rFonts w:ascii="Palatino Linotype" w:eastAsia="Palatino Linotype" w:hAnsi="Palatino Linotype" w:cs="Palatino Linotype"/>
        </w:rPr>
      </w:pPr>
    </w:p>
    <w:p w14:paraId="171B88AF"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b/>
        </w:rPr>
        <w:t>TERCERO. Notifíquese</w:t>
      </w:r>
      <w:r w:rsidRPr="00435703">
        <w:rPr>
          <w:rFonts w:ascii="Palatino Linotype" w:eastAsia="Palatino Linotype" w:hAnsi="Palatino Linotype" w:cs="Palatino Linotype"/>
          <w:b/>
          <w:i/>
        </w:rPr>
        <w:t xml:space="preserve"> </w:t>
      </w:r>
      <w:r w:rsidRPr="00435703">
        <w:rPr>
          <w:rFonts w:ascii="Palatino Linotype" w:eastAsia="Palatino Linotype" w:hAnsi="Palatino Linotype" w:cs="Palatino Linotype"/>
        </w:rPr>
        <w:t>al Titular de la Unidad de Transparencia del</w:t>
      </w:r>
      <w:r w:rsidRPr="00435703">
        <w:rPr>
          <w:rFonts w:ascii="Palatino Linotype" w:eastAsia="Palatino Linotype" w:hAnsi="Palatino Linotype" w:cs="Palatino Linotype"/>
          <w:b/>
        </w:rPr>
        <w:t xml:space="preserve"> </w:t>
      </w:r>
      <w:r w:rsidRPr="00435703">
        <w:rPr>
          <w:rFonts w:ascii="Palatino Linotype" w:eastAsia="Palatino Linotype" w:hAnsi="Palatino Linotype" w:cs="Palatino Linotype"/>
        </w:rPr>
        <w:t>Sujeto Obligado por medio del Sistema de Acceso a la Información Mexiquense (</w:t>
      </w:r>
      <w:r w:rsidRPr="00435703">
        <w:rPr>
          <w:rFonts w:ascii="Palatino Linotype" w:eastAsia="Palatino Linotype" w:hAnsi="Palatino Linotype" w:cs="Palatino Linotype"/>
          <w:b/>
        </w:rPr>
        <w:t>SAIMEX),</w:t>
      </w:r>
      <w:r w:rsidRPr="00435703">
        <w:rPr>
          <w:rFonts w:ascii="Palatino Linotype" w:eastAsia="Palatino Linotype" w:hAnsi="Palatino Linotype" w:cs="Palatino Linotype"/>
        </w:rPr>
        <w:t xml:space="preserve"> para que conforme al artículo 186 último párrafo, 189 segundo párrafo y 194 de la Ley de Transparencia y </w:t>
      </w:r>
      <w:r w:rsidRPr="00435703">
        <w:rPr>
          <w:rFonts w:ascii="Palatino Linotype" w:eastAsia="Palatino Linotype" w:hAnsi="Palatino Linotype" w:cs="Palatino Linotype"/>
        </w:rPr>
        <w:lastRenderedPageBreak/>
        <w:t>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6575E58" w14:textId="77777777" w:rsidR="00CD42B4" w:rsidRPr="00435703" w:rsidRDefault="00CD42B4">
      <w:pPr>
        <w:spacing w:line="360" w:lineRule="auto"/>
        <w:jc w:val="both"/>
        <w:rPr>
          <w:rFonts w:ascii="Palatino Linotype" w:eastAsia="Palatino Linotype" w:hAnsi="Palatino Linotype" w:cs="Palatino Linotype"/>
        </w:rPr>
      </w:pPr>
    </w:p>
    <w:p w14:paraId="30CB155C"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b/>
        </w:rPr>
        <w:t xml:space="preserve">CUARTO. </w:t>
      </w:r>
      <w:r w:rsidRPr="00435703">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9FF3785" w14:textId="77777777" w:rsidR="00CD42B4" w:rsidRPr="00435703" w:rsidRDefault="00CD42B4">
      <w:pPr>
        <w:spacing w:line="360" w:lineRule="auto"/>
        <w:jc w:val="both"/>
        <w:rPr>
          <w:rFonts w:ascii="Palatino Linotype" w:eastAsia="Palatino Linotype" w:hAnsi="Palatino Linotype" w:cs="Palatino Linotype"/>
          <w:b/>
        </w:rPr>
      </w:pPr>
    </w:p>
    <w:p w14:paraId="4F01E5FF" w14:textId="77777777" w:rsidR="00CD42B4" w:rsidRPr="00435703" w:rsidRDefault="00F34A2D">
      <w:pPr>
        <w:spacing w:line="360" w:lineRule="auto"/>
        <w:jc w:val="both"/>
        <w:rPr>
          <w:rFonts w:ascii="Palatino Linotype" w:eastAsia="Palatino Linotype" w:hAnsi="Palatino Linotype" w:cs="Palatino Linotype"/>
          <w:b/>
          <w:sz w:val="28"/>
          <w:szCs w:val="28"/>
        </w:rPr>
      </w:pPr>
      <w:r w:rsidRPr="00435703">
        <w:rPr>
          <w:rFonts w:ascii="Palatino Linotype" w:eastAsia="Palatino Linotype" w:hAnsi="Palatino Linotype" w:cs="Palatino Linotype"/>
          <w:b/>
        </w:rPr>
        <w:t xml:space="preserve">QUINTO. Notifíquese </w:t>
      </w:r>
      <w:r w:rsidRPr="00435703">
        <w:rPr>
          <w:rFonts w:ascii="Palatino Linotype" w:eastAsia="Palatino Linotype" w:hAnsi="Palatino Linotype" w:cs="Palatino Linotype"/>
        </w:rPr>
        <w:t>la presente resolución al Recurrente mediante el Sistema de Acceso a la Información Mexiquense (SAIMEX) y hágase de su conocimiento que, de conformidad con lo establecido en el artículo 196 de la Ley de Transparencia y Acceso a la Información Pública del Estado de México y Municipios, podrá promover el Juicio de Amparo en los términos de las leyes aplicables.</w:t>
      </w:r>
    </w:p>
    <w:p w14:paraId="16E14B12" w14:textId="77777777" w:rsidR="00CD42B4" w:rsidRPr="00435703" w:rsidRDefault="00CD42B4">
      <w:pPr>
        <w:spacing w:line="360" w:lineRule="auto"/>
        <w:jc w:val="both"/>
        <w:rPr>
          <w:rFonts w:ascii="Palatino Linotype" w:eastAsia="Palatino Linotype" w:hAnsi="Palatino Linotype" w:cs="Palatino Linotype"/>
        </w:rPr>
      </w:pPr>
    </w:p>
    <w:p w14:paraId="5C09A670" w14:textId="77777777" w:rsidR="00CD42B4" w:rsidRPr="00435703" w:rsidRDefault="00F34A2D">
      <w:pPr>
        <w:spacing w:line="360" w:lineRule="auto"/>
        <w:jc w:val="both"/>
        <w:rPr>
          <w:rFonts w:ascii="Palatino Linotype" w:eastAsia="Palatino Linotype" w:hAnsi="Palatino Linotype" w:cs="Palatino Linotype"/>
        </w:rPr>
      </w:pPr>
      <w:r w:rsidRPr="00435703">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TERCERA ORDINARIA CELEBRADA EL SIETE DE ABRIL DE DOS MIL VEINTIDÓS, ANTE EL SECRETARIO TÉCNICO DEL PLENO, ALEXIS TAPIA RAMÍREZ.</w:t>
      </w:r>
    </w:p>
    <w:p w14:paraId="7942F9AA" w14:textId="77777777" w:rsidR="00CD42B4" w:rsidRDefault="00F34A2D">
      <w:pPr>
        <w:spacing w:line="360" w:lineRule="auto"/>
        <w:jc w:val="both"/>
        <w:rPr>
          <w:rFonts w:ascii="Palatino Linotype" w:eastAsia="Palatino Linotype" w:hAnsi="Palatino Linotype" w:cs="Palatino Linotype"/>
          <w:sz w:val="14"/>
          <w:szCs w:val="14"/>
        </w:rPr>
      </w:pPr>
      <w:r w:rsidRPr="00435703">
        <w:rPr>
          <w:rFonts w:ascii="Palatino Linotype" w:eastAsia="Palatino Linotype" w:hAnsi="Palatino Linotype" w:cs="Palatino Linotype"/>
          <w:sz w:val="14"/>
          <w:szCs w:val="14"/>
        </w:rPr>
        <w:t>SCMM/BLA/DEMF/PMRE</w:t>
      </w:r>
    </w:p>
    <w:p w14:paraId="0C75A893" w14:textId="30B9E3EA" w:rsidR="00CD42B4" w:rsidRDefault="00CD42B4" w:rsidP="00F34576">
      <w:pPr>
        <w:rPr>
          <w:rFonts w:ascii="Palatino Linotype" w:eastAsia="Palatino Linotype" w:hAnsi="Palatino Linotype" w:cs="Palatino Linotype"/>
        </w:rPr>
      </w:pPr>
    </w:p>
    <w:p w14:paraId="18D0C847" w14:textId="77777777" w:rsidR="00CD42B4" w:rsidRDefault="00CD42B4">
      <w:pPr>
        <w:spacing w:line="360" w:lineRule="auto"/>
        <w:jc w:val="both"/>
        <w:rPr>
          <w:rFonts w:ascii="Palatino Linotype" w:eastAsia="Palatino Linotype" w:hAnsi="Palatino Linotype" w:cs="Palatino Linotype"/>
        </w:rPr>
      </w:pPr>
    </w:p>
    <w:p w14:paraId="1C9FFA1A" w14:textId="77777777" w:rsidR="00CD42B4" w:rsidRDefault="00CD42B4">
      <w:pPr>
        <w:spacing w:line="360" w:lineRule="auto"/>
        <w:jc w:val="both"/>
        <w:rPr>
          <w:rFonts w:ascii="Palatino Linotype" w:eastAsia="Palatino Linotype" w:hAnsi="Palatino Linotype" w:cs="Palatino Linotype"/>
        </w:rPr>
      </w:pPr>
    </w:p>
    <w:p w14:paraId="404A74A9" w14:textId="77777777" w:rsidR="00CD42B4" w:rsidRDefault="00CD42B4">
      <w:pPr>
        <w:spacing w:line="360" w:lineRule="auto"/>
        <w:jc w:val="both"/>
        <w:rPr>
          <w:rFonts w:ascii="Palatino Linotype" w:eastAsia="Palatino Linotype" w:hAnsi="Palatino Linotype" w:cs="Palatino Linotype"/>
        </w:rPr>
      </w:pPr>
    </w:p>
    <w:p w14:paraId="036A6099" w14:textId="77777777" w:rsidR="00CD42B4" w:rsidRDefault="00CD42B4">
      <w:pPr>
        <w:spacing w:line="360" w:lineRule="auto"/>
        <w:jc w:val="both"/>
        <w:rPr>
          <w:rFonts w:ascii="Palatino Linotype" w:eastAsia="Palatino Linotype" w:hAnsi="Palatino Linotype" w:cs="Palatino Linotype"/>
        </w:rPr>
      </w:pPr>
    </w:p>
    <w:p w14:paraId="230881F6" w14:textId="77777777" w:rsidR="00CD42B4" w:rsidRDefault="00CD42B4">
      <w:pPr>
        <w:spacing w:line="360" w:lineRule="auto"/>
        <w:jc w:val="both"/>
        <w:rPr>
          <w:rFonts w:ascii="Palatino Linotype" w:eastAsia="Palatino Linotype" w:hAnsi="Palatino Linotype" w:cs="Palatino Linotype"/>
        </w:rPr>
      </w:pPr>
    </w:p>
    <w:p w14:paraId="186E6C92" w14:textId="77777777" w:rsidR="00CD42B4" w:rsidRDefault="00CD42B4">
      <w:pPr>
        <w:spacing w:line="360" w:lineRule="auto"/>
        <w:jc w:val="both"/>
        <w:rPr>
          <w:rFonts w:ascii="Palatino Linotype" w:eastAsia="Palatino Linotype" w:hAnsi="Palatino Linotype" w:cs="Palatino Linotype"/>
        </w:rPr>
      </w:pPr>
    </w:p>
    <w:p w14:paraId="5F47EB56" w14:textId="77777777" w:rsidR="00CD42B4" w:rsidRDefault="00CD42B4">
      <w:pPr>
        <w:spacing w:line="360" w:lineRule="auto"/>
        <w:jc w:val="both"/>
        <w:rPr>
          <w:rFonts w:ascii="Palatino Linotype" w:eastAsia="Palatino Linotype" w:hAnsi="Palatino Linotype" w:cs="Palatino Linotype"/>
        </w:rPr>
      </w:pPr>
    </w:p>
    <w:p w14:paraId="651C3B53" w14:textId="77777777" w:rsidR="00CD42B4" w:rsidRDefault="00CD42B4">
      <w:pPr>
        <w:spacing w:line="360" w:lineRule="auto"/>
        <w:jc w:val="both"/>
        <w:rPr>
          <w:rFonts w:ascii="Palatino Linotype" w:eastAsia="Palatino Linotype" w:hAnsi="Palatino Linotype" w:cs="Palatino Linotype"/>
        </w:rPr>
      </w:pPr>
    </w:p>
    <w:p w14:paraId="071CCD60" w14:textId="77777777" w:rsidR="00CD42B4" w:rsidRDefault="00CD42B4">
      <w:pPr>
        <w:spacing w:line="360" w:lineRule="auto"/>
        <w:jc w:val="both"/>
        <w:rPr>
          <w:rFonts w:ascii="Palatino Linotype" w:eastAsia="Palatino Linotype" w:hAnsi="Palatino Linotype" w:cs="Palatino Linotype"/>
        </w:rPr>
      </w:pPr>
    </w:p>
    <w:p w14:paraId="76FF96C4" w14:textId="77777777" w:rsidR="00CD42B4" w:rsidRDefault="00CD42B4">
      <w:pPr>
        <w:spacing w:line="360" w:lineRule="auto"/>
        <w:jc w:val="both"/>
        <w:rPr>
          <w:rFonts w:ascii="Palatino Linotype" w:eastAsia="Palatino Linotype" w:hAnsi="Palatino Linotype" w:cs="Palatino Linotype"/>
        </w:rPr>
      </w:pPr>
    </w:p>
    <w:p w14:paraId="4647D490" w14:textId="77777777" w:rsidR="00CD42B4" w:rsidRDefault="00CD42B4">
      <w:pPr>
        <w:spacing w:line="360" w:lineRule="auto"/>
        <w:jc w:val="both"/>
        <w:rPr>
          <w:rFonts w:ascii="Palatino Linotype" w:eastAsia="Palatino Linotype" w:hAnsi="Palatino Linotype" w:cs="Palatino Linotype"/>
        </w:rPr>
      </w:pPr>
    </w:p>
    <w:p w14:paraId="4CB27FCA" w14:textId="77777777" w:rsidR="00CD42B4" w:rsidRDefault="00CD42B4">
      <w:pPr>
        <w:spacing w:line="360" w:lineRule="auto"/>
        <w:jc w:val="both"/>
        <w:rPr>
          <w:rFonts w:ascii="Palatino Linotype" w:eastAsia="Palatino Linotype" w:hAnsi="Palatino Linotype" w:cs="Palatino Linotype"/>
        </w:rPr>
      </w:pPr>
    </w:p>
    <w:p w14:paraId="76DD3C4D" w14:textId="77777777" w:rsidR="00CD42B4" w:rsidRDefault="00CD42B4">
      <w:pPr>
        <w:spacing w:line="360" w:lineRule="auto"/>
        <w:jc w:val="both"/>
        <w:rPr>
          <w:rFonts w:ascii="Palatino Linotype" w:eastAsia="Palatino Linotype" w:hAnsi="Palatino Linotype" w:cs="Palatino Linotype"/>
        </w:rPr>
      </w:pPr>
    </w:p>
    <w:p w14:paraId="205F4099" w14:textId="77777777" w:rsidR="00CD42B4" w:rsidRDefault="00CD42B4">
      <w:pPr>
        <w:spacing w:line="360" w:lineRule="auto"/>
        <w:jc w:val="both"/>
        <w:rPr>
          <w:rFonts w:ascii="Palatino Linotype" w:eastAsia="Palatino Linotype" w:hAnsi="Palatino Linotype" w:cs="Palatino Linotype"/>
        </w:rPr>
      </w:pPr>
    </w:p>
    <w:sectPr w:rsidR="00CD42B4">
      <w:headerReference w:type="even" r:id="rId24"/>
      <w:headerReference w:type="default" r:id="rId25"/>
      <w:footerReference w:type="default" r:id="rId26"/>
      <w:headerReference w:type="first" r:id="rId27"/>
      <w:footerReference w:type="first" r:id="rId28"/>
      <w:pgSz w:w="12240" w:h="15840"/>
      <w:pgMar w:top="1418" w:right="1418" w:bottom="1418" w:left="1275"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4CDEE9" w14:textId="77777777" w:rsidR="00635F1C" w:rsidRDefault="00635F1C">
      <w:r>
        <w:separator/>
      </w:r>
    </w:p>
  </w:endnote>
  <w:endnote w:type="continuationSeparator" w:id="0">
    <w:p w14:paraId="2A2B873E" w14:textId="77777777" w:rsidR="00635F1C" w:rsidRDefault="00635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499B0B" w14:textId="77777777" w:rsidR="00CD42B4" w:rsidRDefault="00F34A2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F3592B">
      <w:rPr>
        <w:rFonts w:ascii="Palatino Linotype" w:eastAsia="Palatino Linotype" w:hAnsi="Palatino Linotype" w:cs="Palatino Linotype"/>
        <w:noProof/>
        <w:color w:val="000000"/>
        <w:sz w:val="22"/>
        <w:szCs w:val="22"/>
      </w:rPr>
      <w:t>6</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F3592B">
      <w:rPr>
        <w:rFonts w:ascii="Palatino Linotype" w:eastAsia="Palatino Linotype" w:hAnsi="Palatino Linotype" w:cs="Palatino Linotype"/>
        <w:noProof/>
        <w:color w:val="000000"/>
        <w:sz w:val="22"/>
        <w:szCs w:val="22"/>
      </w:rPr>
      <w:t>54</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1889D" w14:textId="77777777" w:rsidR="00CD42B4" w:rsidRDefault="00F34A2D">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F3592B">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F3592B">
      <w:rPr>
        <w:rFonts w:ascii="Palatino Linotype" w:eastAsia="Palatino Linotype" w:hAnsi="Palatino Linotype" w:cs="Palatino Linotype"/>
        <w:noProof/>
        <w:color w:val="000000"/>
        <w:sz w:val="22"/>
        <w:szCs w:val="22"/>
      </w:rPr>
      <w:t>54</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AF5D5A" w14:textId="77777777" w:rsidR="00635F1C" w:rsidRDefault="00635F1C">
      <w:r>
        <w:separator/>
      </w:r>
    </w:p>
  </w:footnote>
  <w:footnote w:type="continuationSeparator" w:id="0">
    <w:p w14:paraId="56E94FD7" w14:textId="77777777" w:rsidR="00635F1C" w:rsidRDefault="00635F1C">
      <w:r>
        <w:continuationSeparator/>
      </w:r>
    </w:p>
  </w:footnote>
  <w:footnote w:id="1">
    <w:p w14:paraId="4995EE23" w14:textId="77777777" w:rsidR="00CD42B4" w:rsidRDefault="00F34A2D">
      <w:pPr>
        <w:rPr>
          <w:rFonts w:ascii="Palatino Linotype" w:eastAsia="Palatino Linotype" w:hAnsi="Palatino Linotype" w:cs="Palatino Linotype"/>
          <w:i/>
          <w:sz w:val="18"/>
          <w:szCs w:val="18"/>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i/>
          <w:sz w:val="18"/>
          <w:szCs w:val="18"/>
        </w:rPr>
        <w:t>https://legislacion.edomex.gob.mx/sites/legislacion.edomex.gob.mx/files/files/pdf/gct/2021/diciembre/dic221/dic221q.pdf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35B50" w14:textId="77777777" w:rsidR="00CD42B4" w:rsidRDefault="00635F1C">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6F9B55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RESOLUCIÓN" style="position:absolute;margin-left:0;margin-top:0;width:540pt;height:10in;z-index:-251657728;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EA3084" w14:textId="77777777" w:rsidR="00CD42B4" w:rsidRDefault="00635F1C">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3532B9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RESOLUCIÓN" style="position:absolute;margin-left:0;margin-top:0;width:540pt;height:10in;z-index:-251659776;mso-position-horizontal:center;mso-position-horizontal-relative:margin;mso-position-vertical:center;mso-position-vertical-relative:margin">
          <v:imagedata r:id="rId1" o:title="image3"/>
          <w10:wrap anchorx="margin" anchory="margin"/>
        </v:shape>
      </w:pict>
    </w:r>
  </w:p>
  <w:tbl>
    <w:tblPr>
      <w:tblStyle w:val="af6"/>
      <w:tblW w:w="9534" w:type="dxa"/>
      <w:tblInd w:w="-142" w:type="dxa"/>
      <w:tblLayout w:type="fixed"/>
      <w:tblLook w:val="0400" w:firstRow="0" w:lastRow="0" w:firstColumn="0" w:lastColumn="0" w:noHBand="0" w:noVBand="1"/>
    </w:tblPr>
    <w:tblGrid>
      <w:gridCol w:w="3261"/>
      <w:gridCol w:w="2551"/>
      <w:gridCol w:w="3722"/>
    </w:tblGrid>
    <w:tr w:rsidR="00CD42B4" w14:paraId="0CA4EBAF" w14:textId="77777777">
      <w:tc>
        <w:tcPr>
          <w:tcW w:w="3261" w:type="dxa"/>
          <w:vMerge w:val="restart"/>
        </w:tcPr>
        <w:p w14:paraId="1853F9D1" w14:textId="77777777" w:rsidR="00CD42B4" w:rsidRDefault="00F34A2D">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760C9D70" wp14:editId="5D00D5B6">
                <wp:extent cx="1692162" cy="852673"/>
                <wp:effectExtent l="0" t="0" r="0" b="0"/>
                <wp:docPr id="1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68A393CD" w14:textId="77777777" w:rsidR="00CD42B4" w:rsidRDefault="00F34A2D">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14:paraId="666A073F" w14:textId="77777777" w:rsidR="00CD42B4" w:rsidRDefault="00F34A2D">
          <w:pPr>
            <w:jc w:val="both"/>
            <w:rPr>
              <w:rFonts w:ascii="Palatino Linotype" w:eastAsia="Palatino Linotype" w:hAnsi="Palatino Linotype" w:cs="Palatino Linotype"/>
              <w:b/>
            </w:rPr>
          </w:pPr>
          <w:r>
            <w:rPr>
              <w:rFonts w:ascii="Palatino Linotype" w:eastAsia="Palatino Linotype" w:hAnsi="Palatino Linotype" w:cs="Palatino Linotype"/>
              <w:b/>
            </w:rPr>
            <w:t>00387/INFOEM/IP/RR/2022</w:t>
          </w:r>
        </w:p>
      </w:tc>
    </w:tr>
    <w:tr w:rsidR="00CD42B4" w14:paraId="5F3B20AA" w14:textId="77777777">
      <w:tc>
        <w:tcPr>
          <w:tcW w:w="3261" w:type="dxa"/>
          <w:vMerge/>
        </w:tcPr>
        <w:p w14:paraId="2DF24C5A" w14:textId="77777777" w:rsidR="00CD42B4" w:rsidRDefault="00CD42B4">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4367DFE1" w14:textId="77777777" w:rsidR="00CD42B4" w:rsidRDefault="00F34A2D">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030483A6" w14:textId="77777777" w:rsidR="00CD42B4" w:rsidRDefault="00F34A2D">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Ayuntamiento de Toluca </w:t>
          </w:r>
        </w:p>
      </w:tc>
    </w:tr>
    <w:tr w:rsidR="00CD42B4" w14:paraId="6A7AFD8B" w14:textId="77777777">
      <w:trPr>
        <w:trHeight w:val="228"/>
      </w:trPr>
      <w:tc>
        <w:tcPr>
          <w:tcW w:w="3261" w:type="dxa"/>
          <w:vMerge/>
        </w:tcPr>
        <w:p w14:paraId="7A60FDC9" w14:textId="77777777" w:rsidR="00CD42B4" w:rsidRDefault="00CD42B4">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75F50BAA" w14:textId="77777777" w:rsidR="00CD42B4" w:rsidRDefault="00F34A2D">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14:paraId="54CD7E81" w14:textId="77777777" w:rsidR="00CD42B4" w:rsidRDefault="00F34A2D">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0B5D9FCE" w14:textId="77777777" w:rsidR="00CD42B4" w:rsidRDefault="00CD42B4">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F869B" w14:textId="77777777" w:rsidR="00CD42B4" w:rsidRDefault="00635F1C">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041383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RESOLUCIÓN" style="position:absolute;margin-left:0;margin-top:0;width:540pt;height:10in;z-index:-251658752;mso-position-horizontal:center;mso-position-horizontal-relative:margin;mso-position-vertical:center;mso-position-vertical-relative:margin">
          <v:imagedata r:id="rId1" o:title="image3"/>
          <w10:wrap anchorx="margin" anchory="margin"/>
        </v:shape>
      </w:pict>
    </w:r>
  </w:p>
  <w:tbl>
    <w:tblPr>
      <w:tblStyle w:val="af7"/>
      <w:tblW w:w="9900" w:type="dxa"/>
      <w:tblInd w:w="-833" w:type="dxa"/>
      <w:tblLayout w:type="fixed"/>
      <w:tblLook w:val="0400" w:firstRow="0" w:lastRow="0" w:firstColumn="0" w:lastColumn="0" w:noHBand="0" w:noVBand="1"/>
    </w:tblPr>
    <w:tblGrid>
      <w:gridCol w:w="3805"/>
      <w:gridCol w:w="3000"/>
      <w:gridCol w:w="3095"/>
    </w:tblGrid>
    <w:tr w:rsidR="00CD42B4" w14:paraId="537EF0AA" w14:textId="77777777">
      <w:tc>
        <w:tcPr>
          <w:tcW w:w="3805" w:type="dxa"/>
          <w:vMerge w:val="restart"/>
          <w:shd w:val="clear" w:color="auto" w:fill="auto"/>
        </w:tcPr>
        <w:p w14:paraId="45BBC00D" w14:textId="77777777" w:rsidR="00CD42B4" w:rsidRDefault="00F34A2D">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7B97850D" wp14:editId="7ED8432C">
                <wp:extent cx="1692162" cy="852673"/>
                <wp:effectExtent l="0" t="0" r="0" b="0"/>
                <wp:docPr id="9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3000" w:type="dxa"/>
          <w:shd w:val="clear" w:color="auto" w:fill="auto"/>
        </w:tcPr>
        <w:p w14:paraId="4EC38119" w14:textId="77777777" w:rsidR="00CD42B4" w:rsidRDefault="00F34A2D">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vAlign w:val="center"/>
        </w:tcPr>
        <w:p w14:paraId="3D3C75C6" w14:textId="77777777" w:rsidR="00CD42B4" w:rsidRDefault="00F34A2D">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00387/INFOEM/IP/RR/2022 </w:t>
          </w:r>
        </w:p>
      </w:tc>
    </w:tr>
    <w:tr w:rsidR="00CD42B4" w14:paraId="7689EAC0" w14:textId="77777777">
      <w:tc>
        <w:tcPr>
          <w:tcW w:w="3805" w:type="dxa"/>
          <w:vMerge/>
          <w:shd w:val="clear" w:color="auto" w:fill="auto"/>
        </w:tcPr>
        <w:p w14:paraId="47E38B64" w14:textId="77777777" w:rsidR="00CD42B4" w:rsidRDefault="00CD42B4">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7F6748CD" w14:textId="77777777" w:rsidR="00CD42B4" w:rsidRDefault="00F34A2D">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14:paraId="3860D9A2" w14:textId="77777777" w:rsidR="00CD42B4" w:rsidRDefault="00CD42B4">
          <w:pPr>
            <w:jc w:val="both"/>
            <w:rPr>
              <w:rFonts w:ascii="Palatino Linotype" w:eastAsia="Palatino Linotype" w:hAnsi="Palatino Linotype" w:cs="Palatino Linotype"/>
              <w:b/>
            </w:rPr>
          </w:pPr>
        </w:p>
      </w:tc>
    </w:tr>
    <w:tr w:rsidR="00CD42B4" w14:paraId="47B54754" w14:textId="77777777">
      <w:trPr>
        <w:trHeight w:val="228"/>
      </w:trPr>
      <w:tc>
        <w:tcPr>
          <w:tcW w:w="3805" w:type="dxa"/>
          <w:vMerge/>
          <w:shd w:val="clear" w:color="auto" w:fill="auto"/>
        </w:tcPr>
        <w:p w14:paraId="23FFABDB" w14:textId="77777777" w:rsidR="00CD42B4" w:rsidRDefault="00CD42B4">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2270BDD0" w14:textId="77777777" w:rsidR="00CD42B4" w:rsidRDefault="00F34A2D">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14:paraId="5A2E9274" w14:textId="77777777" w:rsidR="00CD42B4" w:rsidRDefault="00F34A2D">
          <w:pPr>
            <w:jc w:val="both"/>
            <w:rPr>
              <w:rFonts w:ascii="Palatino Linotype" w:eastAsia="Palatino Linotype" w:hAnsi="Palatino Linotype" w:cs="Palatino Linotype"/>
              <w:b/>
            </w:rPr>
          </w:pPr>
          <w:r>
            <w:rPr>
              <w:rFonts w:ascii="Palatino Linotype" w:eastAsia="Palatino Linotype" w:hAnsi="Palatino Linotype" w:cs="Palatino Linotype"/>
              <w:b/>
            </w:rPr>
            <w:t>Ayuntamiento de Toluca</w:t>
          </w:r>
        </w:p>
      </w:tc>
    </w:tr>
    <w:tr w:rsidR="00CD42B4" w14:paraId="56A99242" w14:textId="77777777">
      <w:tc>
        <w:tcPr>
          <w:tcW w:w="3805" w:type="dxa"/>
          <w:vMerge/>
          <w:shd w:val="clear" w:color="auto" w:fill="auto"/>
        </w:tcPr>
        <w:p w14:paraId="107E3D88" w14:textId="77777777" w:rsidR="00CD42B4" w:rsidRDefault="00CD42B4">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560B3FFB" w14:textId="77777777" w:rsidR="00CD42B4" w:rsidRDefault="00F34A2D">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95" w:type="dxa"/>
          <w:shd w:val="clear" w:color="auto" w:fill="auto"/>
        </w:tcPr>
        <w:p w14:paraId="08A25528" w14:textId="77777777" w:rsidR="00CD42B4" w:rsidRDefault="00F34A2D">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14:paraId="425CC6B1" w14:textId="77777777" w:rsidR="00CD42B4" w:rsidRDefault="00CD42B4">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874779"/>
    <w:multiLevelType w:val="multilevel"/>
    <w:tmpl w:val="7CD4577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54B64CF"/>
    <w:multiLevelType w:val="multilevel"/>
    <w:tmpl w:val="56AEA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2B4"/>
    <w:rsid w:val="001B478F"/>
    <w:rsid w:val="00435703"/>
    <w:rsid w:val="00543FE4"/>
    <w:rsid w:val="005C049D"/>
    <w:rsid w:val="00635F1C"/>
    <w:rsid w:val="00CD42B4"/>
    <w:rsid w:val="00EC4EAC"/>
    <w:rsid w:val="00F34576"/>
    <w:rsid w:val="00F34A2D"/>
    <w:rsid w:val="00F359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0224AD"/>
  <w15:docId w15:val="{970B77BC-D2B6-4116-A6D3-5BC62AE9C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895"/>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7"/>
    <w:tblPr>
      <w:tblStyleRowBandSize w:val="1"/>
      <w:tblStyleColBandSize w:val="1"/>
      <w:tblCellMar>
        <w:top w:w="100" w:type="dxa"/>
        <w:left w:w="100" w:type="dxa"/>
        <w:bottom w:w="100" w:type="dxa"/>
        <w:right w:w="100" w:type="dxa"/>
      </w:tblCellMar>
    </w:tblPr>
  </w:style>
  <w:style w:type="table" w:customStyle="1" w:styleId="a0">
    <w:basedOn w:val="TableNormal7"/>
    <w:tblPr>
      <w:tblStyleRowBandSize w:val="1"/>
      <w:tblStyleColBandSize w:val="1"/>
      <w:tblCellMar>
        <w:left w:w="115" w:type="dxa"/>
        <w:right w:w="115" w:type="dxa"/>
      </w:tblCellMar>
    </w:tblPr>
  </w:style>
  <w:style w:type="table" w:customStyle="1" w:styleId="a1">
    <w:basedOn w:val="TableNormal7"/>
    <w:tblPr>
      <w:tblStyleRowBandSize w:val="1"/>
      <w:tblStyleColBandSize w:val="1"/>
      <w:tblCellMar>
        <w:left w:w="115" w:type="dxa"/>
        <w:right w:w="115" w:type="dxa"/>
      </w:tblCellMar>
    </w:tblPr>
  </w:style>
  <w:style w:type="table" w:customStyle="1" w:styleId="a2">
    <w:basedOn w:val="TableNormal7"/>
    <w:tblPr>
      <w:tblStyleRowBandSize w:val="1"/>
      <w:tblStyleColBandSize w:val="1"/>
      <w:tblCellMar>
        <w:left w:w="115" w:type="dxa"/>
        <w:right w:w="115" w:type="dxa"/>
      </w:tblCellMar>
    </w:tblPr>
  </w:style>
  <w:style w:type="table" w:customStyle="1" w:styleId="a3">
    <w:basedOn w:val="TableNormal7"/>
    <w:tblPr>
      <w:tblStyleRowBandSize w:val="1"/>
      <w:tblStyleColBandSize w:val="1"/>
      <w:tblCellMar>
        <w:left w:w="115" w:type="dxa"/>
        <w:right w:w="115" w:type="dxa"/>
      </w:tblCellMar>
    </w:tblPr>
  </w:style>
  <w:style w:type="table" w:customStyle="1" w:styleId="a4">
    <w:basedOn w:val="TableNormal7"/>
    <w:tblPr>
      <w:tblStyleRowBandSize w:val="1"/>
      <w:tblStyleColBandSize w:val="1"/>
      <w:tblCellMar>
        <w:left w:w="115" w:type="dxa"/>
        <w:right w:w="115" w:type="dxa"/>
      </w:tblCellMar>
    </w:tblPr>
  </w:style>
  <w:style w:type="table" w:customStyle="1" w:styleId="a5">
    <w:basedOn w:val="TableNormal7"/>
    <w:rPr>
      <w:rFonts w:ascii="Arial" w:eastAsia="Arial" w:hAnsi="Arial" w:cs="Arial"/>
      <w:sz w:val="22"/>
      <w:szCs w:val="22"/>
    </w:rPr>
    <w:tblPr>
      <w:tblStyleRowBandSize w:val="1"/>
      <w:tblStyleColBandSize w:val="1"/>
      <w:tblCellMar>
        <w:left w:w="115" w:type="dxa"/>
        <w:right w:w="115" w:type="dxa"/>
      </w:tblCellMar>
    </w:tblPr>
  </w:style>
  <w:style w:type="table" w:customStyle="1" w:styleId="a6">
    <w:basedOn w:val="TableNormal7"/>
    <w:tblPr>
      <w:tblStyleRowBandSize w:val="1"/>
      <w:tblStyleColBandSize w:val="1"/>
      <w:tblCellMar>
        <w:left w:w="115" w:type="dxa"/>
        <w:right w:w="115" w:type="dxa"/>
      </w:tblCellMar>
    </w:tblPr>
  </w:style>
  <w:style w:type="table" w:customStyle="1" w:styleId="a7">
    <w:basedOn w:val="TableNormal7"/>
    <w:tblPr>
      <w:tblStyleRowBandSize w:val="1"/>
      <w:tblStyleColBandSize w:val="1"/>
      <w:tblCellMar>
        <w:left w:w="115" w:type="dxa"/>
        <w:right w:w="115" w:type="dxa"/>
      </w:tblCellMar>
    </w:tblPr>
  </w:style>
  <w:style w:type="table" w:customStyle="1" w:styleId="a8">
    <w:basedOn w:val="TableNormal7"/>
    <w:rPr>
      <w:rFonts w:ascii="Arial" w:eastAsia="Arial" w:hAnsi="Arial" w:cs="Arial"/>
      <w:sz w:val="22"/>
      <w:szCs w:val="22"/>
    </w:rPr>
    <w:tblPr>
      <w:tblStyleRowBandSize w:val="1"/>
      <w:tblStyleColBandSize w:val="1"/>
      <w:tblCellMar>
        <w:left w:w="115" w:type="dxa"/>
        <w:right w:w="115" w:type="dxa"/>
      </w:tblCellMar>
    </w:tblPr>
  </w:style>
  <w:style w:type="table" w:customStyle="1" w:styleId="a9">
    <w:basedOn w:val="TableNormal7"/>
    <w:rPr>
      <w:rFonts w:ascii="Arial" w:eastAsia="Arial" w:hAnsi="Arial" w:cs="Arial"/>
      <w:sz w:val="22"/>
      <w:szCs w:val="22"/>
    </w:rPr>
    <w:tblPr>
      <w:tblStyleRowBandSize w:val="1"/>
      <w:tblStyleColBandSize w:val="1"/>
      <w:tblCellMar>
        <w:left w:w="115" w:type="dxa"/>
        <w:right w:w="115" w:type="dxa"/>
      </w:tblCellMar>
    </w:tblPr>
  </w:style>
  <w:style w:type="table" w:customStyle="1" w:styleId="aa">
    <w:basedOn w:val="TableNormal7"/>
    <w:rPr>
      <w:rFonts w:ascii="Arial" w:eastAsia="Arial" w:hAnsi="Arial" w:cs="Arial"/>
      <w:sz w:val="22"/>
      <w:szCs w:val="22"/>
    </w:rPr>
    <w:tblPr>
      <w:tblStyleRowBandSize w:val="1"/>
      <w:tblStyleColBandSize w:val="1"/>
      <w:tblCellMar>
        <w:left w:w="115" w:type="dxa"/>
        <w:right w:w="115" w:type="dxa"/>
      </w:tblCellMar>
    </w:tblPr>
  </w:style>
  <w:style w:type="table" w:customStyle="1" w:styleId="ab">
    <w:basedOn w:val="TableNormal4"/>
    <w:rPr>
      <w:rFonts w:ascii="Arial" w:eastAsia="Arial" w:hAnsi="Arial" w:cs="Arial"/>
      <w:sz w:val="22"/>
      <w:szCs w:val="22"/>
    </w:rPr>
    <w:tblPr>
      <w:tblStyleRowBandSize w:val="1"/>
      <w:tblStyleColBandSize w:val="1"/>
      <w:tblCellMar>
        <w:left w:w="115" w:type="dxa"/>
        <w:right w:w="115" w:type="dxa"/>
      </w:tblCellMar>
    </w:tblPr>
  </w:style>
  <w:style w:type="table" w:customStyle="1" w:styleId="ac">
    <w:basedOn w:val="TableNormal4"/>
    <w:rPr>
      <w:rFonts w:ascii="Arial" w:eastAsia="Arial" w:hAnsi="Arial" w:cs="Arial"/>
      <w:sz w:val="22"/>
      <w:szCs w:val="22"/>
    </w:rPr>
    <w:tblPr>
      <w:tblStyleRowBandSize w:val="1"/>
      <w:tblStyleColBandSize w:val="1"/>
      <w:tblCellMar>
        <w:left w:w="115" w:type="dxa"/>
        <w:right w:w="115" w:type="dxa"/>
      </w:tblCellMar>
    </w:tblPr>
  </w:style>
  <w:style w:type="table" w:customStyle="1" w:styleId="ad">
    <w:basedOn w:val="TableNormal4"/>
    <w:rPr>
      <w:rFonts w:ascii="Arial" w:eastAsia="Arial" w:hAnsi="Arial" w:cs="Arial"/>
      <w:sz w:val="22"/>
      <w:szCs w:val="22"/>
    </w:rPr>
    <w:tblPr>
      <w:tblStyleRowBandSize w:val="1"/>
      <w:tblStyleColBandSize w:val="1"/>
      <w:tblCellMar>
        <w:left w:w="115" w:type="dxa"/>
        <w:right w:w="115" w:type="dxa"/>
      </w:tblCellMar>
    </w:tblPr>
  </w:style>
  <w:style w:type="table" w:customStyle="1" w:styleId="ae">
    <w:basedOn w:val="TableNormal4"/>
    <w:rPr>
      <w:rFonts w:ascii="Arial" w:eastAsia="Arial" w:hAnsi="Arial" w:cs="Arial"/>
      <w:sz w:val="22"/>
      <w:szCs w:val="22"/>
    </w:rPr>
    <w:tblPr>
      <w:tblStyleRowBandSize w:val="1"/>
      <w:tblStyleColBandSize w:val="1"/>
      <w:tblCellMar>
        <w:left w:w="115" w:type="dxa"/>
        <w:right w:w="115" w:type="dxa"/>
      </w:tblCellMar>
    </w:tblPr>
  </w:style>
  <w:style w:type="table" w:customStyle="1" w:styleId="af">
    <w:basedOn w:val="TableNormal4"/>
    <w:rPr>
      <w:rFonts w:ascii="Arial" w:eastAsia="Arial" w:hAnsi="Arial" w:cs="Arial"/>
      <w:sz w:val="22"/>
      <w:szCs w:val="22"/>
    </w:rPr>
    <w:tblPr>
      <w:tblStyleRowBandSize w:val="1"/>
      <w:tblStyleColBandSize w:val="1"/>
      <w:tblCellMar>
        <w:left w:w="115" w:type="dxa"/>
        <w:right w:w="115" w:type="dxa"/>
      </w:tblCellMar>
    </w:tblPr>
  </w:style>
  <w:style w:type="table" w:customStyle="1" w:styleId="af0">
    <w:basedOn w:val="TableNormal2"/>
    <w:rPr>
      <w:rFonts w:ascii="Arial" w:eastAsia="Arial" w:hAnsi="Arial" w:cs="Arial"/>
      <w:sz w:val="22"/>
      <w:szCs w:val="22"/>
    </w:rPr>
    <w:tblPr>
      <w:tblStyleRowBandSize w:val="1"/>
      <w:tblStyleColBandSize w:val="1"/>
      <w:tblCellMar>
        <w:left w:w="115" w:type="dxa"/>
        <w:right w:w="115" w:type="dxa"/>
      </w:tblCellMar>
    </w:tblPr>
  </w:style>
  <w:style w:type="table" w:customStyle="1" w:styleId="af1">
    <w:basedOn w:val="TableNormal2"/>
    <w:rPr>
      <w:rFonts w:ascii="Arial" w:eastAsia="Arial" w:hAnsi="Arial" w:cs="Arial"/>
      <w:sz w:val="22"/>
      <w:szCs w:val="22"/>
    </w:rPr>
    <w:tblPr>
      <w:tblStyleRowBandSize w:val="1"/>
      <w:tblStyleColBandSize w:val="1"/>
      <w:tblCellMar>
        <w:left w:w="115" w:type="dxa"/>
        <w:right w:w="115" w:type="dxa"/>
      </w:tblCellMar>
    </w:tblPr>
  </w:style>
  <w:style w:type="table" w:customStyle="1" w:styleId="af2">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3">
    <w:basedOn w:val="TableNormal1"/>
    <w:rPr>
      <w:rFonts w:ascii="Arial" w:eastAsia="Arial" w:hAnsi="Arial" w:cs="Arial"/>
      <w:sz w:val="22"/>
      <w:szCs w:val="22"/>
    </w:rPr>
    <w:tblPr>
      <w:tblStyleRowBandSize w:val="1"/>
      <w:tblStyleColBandSize w:val="1"/>
      <w:tblCellMar>
        <w:left w:w="115" w:type="dxa"/>
        <w:right w:w="115" w:type="dxa"/>
      </w:tblCellMar>
    </w:tblPr>
  </w:style>
  <w:style w:type="table" w:customStyle="1" w:styleId="af4">
    <w:basedOn w:val="TableNormal1"/>
    <w:rPr>
      <w:rFonts w:ascii="Arial" w:eastAsia="Arial" w:hAnsi="Arial" w:cs="Arial"/>
      <w:sz w:val="22"/>
      <w:szCs w:val="22"/>
    </w:rPr>
    <w:tblPr>
      <w:tblStyleRowBandSize w:val="1"/>
      <w:tblStyleColBandSize w:val="1"/>
      <w:tblCellMar>
        <w:left w:w="115" w:type="dxa"/>
        <w:right w:w="115" w:type="dxa"/>
      </w:tblCellMar>
    </w:tblPr>
  </w:style>
  <w:style w:type="table" w:customStyle="1" w:styleId="af5">
    <w:basedOn w:val="TableNormal0"/>
    <w:rPr>
      <w:rFonts w:ascii="Arial" w:eastAsia="Arial" w:hAnsi="Arial" w:cs="Arial"/>
      <w:sz w:val="22"/>
      <w:szCs w:val="22"/>
    </w:rPr>
    <w:tblPr>
      <w:tblStyleRowBandSize w:val="1"/>
      <w:tblStyleColBandSize w:val="1"/>
      <w:tblCellMar>
        <w:left w:w="115" w:type="dxa"/>
        <w:right w:w="115" w:type="dxa"/>
      </w:tblCellMar>
    </w:tblPr>
  </w:style>
  <w:style w:type="table" w:customStyle="1" w:styleId="af6">
    <w:basedOn w:val="TableNormal0"/>
    <w:rPr>
      <w:rFonts w:ascii="Arial" w:eastAsia="Arial" w:hAnsi="Arial" w:cs="Arial"/>
      <w:sz w:val="22"/>
      <w:szCs w:val="22"/>
    </w:rPr>
    <w:tblPr>
      <w:tblStyleRowBandSize w:val="1"/>
      <w:tblStyleColBandSize w:val="1"/>
      <w:tblCellMar>
        <w:left w:w="115" w:type="dxa"/>
        <w:right w:w="115" w:type="dxa"/>
      </w:tblCellMar>
    </w:tblPr>
  </w:style>
  <w:style w:type="table" w:customStyle="1" w:styleId="af7">
    <w:basedOn w:val="TableNormal0"/>
    <w:rPr>
      <w:rFonts w:ascii="Arial" w:eastAsia="Arial" w:hAnsi="Arial" w:cs="Arial"/>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99v2x4w3Gjhrmq2W30YTP4T8sw==">AMUW2mWe1n3lbF4mfXAqPh69t7jh73MJ6RK7XWjw7pCHMwZNiIWFTPb0AKQxkHH2DCrFirFz4ilVWu0K4cxJWUMvnD0Wkc+OuCa9sfL9tvEjvlkidpVhzLTziGIgj0hCFkUctyI5vlrYelO1Gq88b+1QMx9HA302qFznQLmiua7yY3pB61q+aq4vUjL+aYk+tf7WuJMmDs5L+TetAttfnxInjHU1vGXb+eu4jQrjgq6269CFWH7eOVY=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54</Pages>
  <Words>11948</Words>
  <Characters>65718</Characters>
  <Application>Microsoft Office Word</Application>
  <DocSecurity>0</DocSecurity>
  <Lines>547</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User</cp:lastModifiedBy>
  <cp:revision>7</cp:revision>
  <cp:lastPrinted>2022-04-18T00:57:00Z</cp:lastPrinted>
  <dcterms:created xsi:type="dcterms:W3CDTF">2022-04-01T01:15:00Z</dcterms:created>
  <dcterms:modified xsi:type="dcterms:W3CDTF">2022-05-02T16:58:00Z</dcterms:modified>
</cp:coreProperties>
</file>