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A21F94" w14:textId="77777777" w:rsidR="005354DF" w:rsidRDefault="005354DF">
      <w:pPr>
        <w:widowControl w:val="0"/>
        <w:pBdr>
          <w:top w:val="nil"/>
          <w:left w:val="nil"/>
          <w:bottom w:val="nil"/>
          <w:right w:val="nil"/>
          <w:between w:val="nil"/>
        </w:pBdr>
        <w:spacing w:line="276" w:lineRule="auto"/>
      </w:pPr>
    </w:p>
    <w:p w14:paraId="12A23BEC"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diez de febrero de dos mil veintidós. </w:t>
      </w:r>
    </w:p>
    <w:p w14:paraId="74E18753" w14:textId="77777777" w:rsidR="005354DF" w:rsidRPr="008A215A" w:rsidRDefault="005354DF">
      <w:pPr>
        <w:spacing w:line="360" w:lineRule="auto"/>
        <w:jc w:val="both"/>
        <w:rPr>
          <w:rFonts w:ascii="Palatino Linotype" w:eastAsia="Palatino Linotype" w:hAnsi="Palatino Linotype" w:cs="Palatino Linotype"/>
        </w:rPr>
      </w:pPr>
    </w:p>
    <w:p w14:paraId="0B117D02" w14:textId="29DDAC79" w:rsidR="005354DF" w:rsidRPr="008A215A" w:rsidRDefault="004E07F3">
      <w:pPr>
        <w:spacing w:line="360" w:lineRule="auto"/>
        <w:jc w:val="both"/>
        <w:rPr>
          <w:rFonts w:ascii="Palatino Linotype" w:eastAsia="Palatino Linotype" w:hAnsi="Palatino Linotype" w:cs="Palatino Linotype"/>
        </w:rPr>
      </w:pPr>
      <w:bookmarkStart w:id="0" w:name="_heading=h.3dy6vkm" w:colFirst="0" w:colLast="0"/>
      <w:bookmarkEnd w:id="0"/>
      <w:r w:rsidRPr="008A215A">
        <w:rPr>
          <w:rFonts w:ascii="Palatino Linotype" w:eastAsia="Palatino Linotype" w:hAnsi="Palatino Linotype" w:cs="Palatino Linotype"/>
          <w:b/>
          <w:sz w:val="28"/>
          <w:szCs w:val="28"/>
        </w:rPr>
        <w:t>VISTO</w:t>
      </w:r>
      <w:r w:rsidRPr="008A215A">
        <w:rPr>
          <w:rFonts w:ascii="Palatino Linotype" w:eastAsia="Palatino Linotype" w:hAnsi="Palatino Linotype" w:cs="Palatino Linotype"/>
        </w:rPr>
        <w:t xml:space="preserve"> el expediente formado con motivo del recurso de revisión </w:t>
      </w:r>
      <w:r w:rsidRPr="008A215A">
        <w:rPr>
          <w:rFonts w:ascii="Palatino Linotype" w:eastAsia="Palatino Linotype" w:hAnsi="Palatino Linotype" w:cs="Palatino Linotype"/>
          <w:b/>
        </w:rPr>
        <w:t xml:space="preserve">05952/INFOEM/IP/RR/2021, </w:t>
      </w:r>
      <w:r w:rsidRPr="008A215A">
        <w:rPr>
          <w:rFonts w:ascii="Palatino Linotype" w:eastAsia="Palatino Linotype" w:hAnsi="Palatino Linotype" w:cs="Palatino Linotype"/>
        </w:rPr>
        <w:t xml:space="preserve">promovido por el </w:t>
      </w:r>
      <w:r w:rsidRPr="008A215A">
        <w:rPr>
          <w:rFonts w:ascii="Palatino Linotype" w:eastAsia="Palatino Linotype" w:hAnsi="Palatino Linotype" w:cs="Palatino Linotype"/>
          <w:b/>
        </w:rPr>
        <w:t xml:space="preserve">C. </w:t>
      </w:r>
      <w:proofErr w:type="spellStart"/>
      <w:r w:rsidR="000D5CA0">
        <w:rPr>
          <w:rFonts w:ascii="Palatino Linotype" w:eastAsia="Palatino Linotype" w:hAnsi="Palatino Linotype" w:cs="Palatino Linotype"/>
          <w:b/>
        </w:rPr>
        <w:t>xxxxxxxxxxxxxxxxxxx</w:t>
      </w:r>
      <w:proofErr w:type="spellEnd"/>
      <w:r w:rsidRPr="008A215A">
        <w:rPr>
          <w:rFonts w:ascii="Palatino Linotype" w:eastAsia="Palatino Linotype" w:hAnsi="Palatino Linotype" w:cs="Palatino Linotype"/>
          <w:b/>
        </w:rPr>
        <w:t xml:space="preserve">, </w:t>
      </w:r>
      <w:r w:rsidRPr="008A215A">
        <w:rPr>
          <w:rFonts w:ascii="Palatino Linotype" w:eastAsia="Palatino Linotype" w:hAnsi="Palatino Linotype" w:cs="Palatino Linotype"/>
        </w:rPr>
        <w:t xml:space="preserve">a quien en lo sucesivo se le denominará como </w:t>
      </w:r>
      <w:r w:rsidRPr="008A215A">
        <w:rPr>
          <w:rFonts w:ascii="Palatino Linotype" w:eastAsia="Palatino Linotype" w:hAnsi="Palatino Linotype" w:cs="Palatino Linotype"/>
          <w:b/>
        </w:rPr>
        <w:t>EL RECURRENTE,</w:t>
      </w:r>
      <w:bookmarkStart w:id="1" w:name="_GoBack"/>
      <w:bookmarkEnd w:id="1"/>
      <w:r w:rsidRPr="008A215A">
        <w:rPr>
          <w:rFonts w:ascii="Palatino Linotype" w:eastAsia="Palatino Linotype" w:hAnsi="Palatino Linotype" w:cs="Palatino Linotype"/>
        </w:rPr>
        <w:t xml:space="preserve"> en contra de las respuestas del Ayuntamiento de Teotihuacán</w:t>
      </w:r>
      <w:r w:rsidRPr="008A215A">
        <w:rPr>
          <w:rFonts w:ascii="Palatino Linotype" w:eastAsia="Palatino Linotype" w:hAnsi="Palatino Linotype" w:cs="Palatino Linotype"/>
          <w:b/>
        </w:rPr>
        <w:t xml:space="preserve">, </w:t>
      </w:r>
      <w:r w:rsidRPr="008A215A">
        <w:rPr>
          <w:rFonts w:ascii="Palatino Linotype" w:eastAsia="Palatino Linotype" w:hAnsi="Palatino Linotype" w:cs="Palatino Linotype"/>
        </w:rPr>
        <w:t xml:space="preserve">en lo subsecuente se le denominará </w:t>
      </w:r>
      <w:r w:rsidRPr="008A215A">
        <w:rPr>
          <w:rFonts w:ascii="Palatino Linotype" w:eastAsia="Palatino Linotype" w:hAnsi="Palatino Linotype" w:cs="Palatino Linotype"/>
          <w:b/>
        </w:rPr>
        <w:t xml:space="preserve">EL SUJETO OBLIGADO, </w:t>
      </w:r>
      <w:r w:rsidRPr="008A215A">
        <w:rPr>
          <w:rFonts w:ascii="Palatino Linotype" w:eastAsia="Palatino Linotype" w:hAnsi="Palatino Linotype" w:cs="Palatino Linotype"/>
        </w:rPr>
        <w:t>se procede a dictar la presente resolución con base en lo siguiente:</w:t>
      </w:r>
    </w:p>
    <w:p w14:paraId="38F560F6" w14:textId="77777777" w:rsidR="005354DF" w:rsidRPr="008A215A" w:rsidRDefault="005354DF">
      <w:pPr>
        <w:spacing w:line="360" w:lineRule="auto"/>
        <w:jc w:val="both"/>
        <w:rPr>
          <w:rFonts w:ascii="Palatino Linotype" w:eastAsia="Palatino Linotype" w:hAnsi="Palatino Linotype" w:cs="Palatino Linotype"/>
          <w:b/>
        </w:rPr>
      </w:pPr>
    </w:p>
    <w:p w14:paraId="38958FCA" w14:textId="77777777" w:rsidR="005354DF" w:rsidRPr="008A215A" w:rsidRDefault="004E07F3">
      <w:pPr>
        <w:jc w:val="center"/>
        <w:rPr>
          <w:rFonts w:ascii="Palatino Linotype" w:eastAsia="Palatino Linotype" w:hAnsi="Palatino Linotype" w:cs="Palatino Linotype"/>
          <w:b/>
          <w:sz w:val="28"/>
          <w:szCs w:val="28"/>
        </w:rPr>
      </w:pPr>
      <w:r w:rsidRPr="008A215A">
        <w:rPr>
          <w:rFonts w:ascii="Palatino Linotype" w:eastAsia="Palatino Linotype" w:hAnsi="Palatino Linotype" w:cs="Palatino Linotype"/>
          <w:b/>
          <w:sz w:val="28"/>
          <w:szCs w:val="28"/>
        </w:rPr>
        <w:t>RESULTANDO</w:t>
      </w:r>
    </w:p>
    <w:p w14:paraId="5CBA0ABA" w14:textId="77777777" w:rsidR="005354DF" w:rsidRPr="008A215A" w:rsidRDefault="005354DF">
      <w:pPr>
        <w:rPr>
          <w:rFonts w:ascii="Palatino Linotype" w:eastAsia="Palatino Linotype" w:hAnsi="Palatino Linotype" w:cs="Palatino Linotype"/>
          <w:b/>
        </w:rPr>
      </w:pPr>
    </w:p>
    <w:p w14:paraId="683A734F" w14:textId="77777777" w:rsidR="005354DF" w:rsidRPr="008A215A" w:rsidRDefault="004E07F3">
      <w:pPr>
        <w:spacing w:line="360" w:lineRule="auto"/>
        <w:jc w:val="both"/>
        <w:rPr>
          <w:rFonts w:ascii="Palatino Linotype" w:eastAsia="Palatino Linotype" w:hAnsi="Palatino Linotype" w:cs="Palatino Linotype"/>
        </w:rPr>
      </w:pPr>
      <w:bookmarkStart w:id="2" w:name="_heading=h.gjdgxs" w:colFirst="0" w:colLast="0"/>
      <w:bookmarkEnd w:id="2"/>
      <w:r w:rsidRPr="008A215A">
        <w:rPr>
          <w:rFonts w:ascii="Palatino Linotype" w:eastAsia="Palatino Linotype" w:hAnsi="Palatino Linotype" w:cs="Palatino Linotype"/>
          <w:b/>
          <w:sz w:val="28"/>
          <w:szCs w:val="28"/>
        </w:rPr>
        <w:t xml:space="preserve">I. </w:t>
      </w:r>
      <w:r w:rsidRPr="008A215A">
        <w:rPr>
          <w:rFonts w:ascii="Palatino Linotype" w:eastAsia="Palatino Linotype" w:hAnsi="Palatino Linotype" w:cs="Palatino Linotype"/>
        </w:rPr>
        <w:t xml:space="preserve">En fecha tres de noviembre de dos mil veintiuno, </w:t>
      </w:r>
      <w:r w:rsidRPr="008A215A">
        <w:rPr>
          <w:rFonts w:ascii="Palatino Linotype" w:eastAsia="Palatino Linotype" w:hAnsi="Palatino Linotype" w:cs="Palatino Linotype"/>
          <w:b/>
        </w:rPr>
        <w:t>EL RECURRENTE</w:t>
      </w:r>
      <w:r w:rsidRPr="008A215A">
        <w:rPr>
          <w:rFonts w:ascii="Palatino Linotype" w:eastAsia="Palatino Linotype" w:hAnsi="Palatino Linotype" w:cs="Palatino Linotype"/>
        </w:rPr>
        <w:t xml:space="preserve"> presentó a </w:t>
      </w:r>
      <w:proofErr w:type="gramStart"/>
      <w:r w:rsidRPr="008A215A">
        <w:rPr>
          <w:rFonts w:ascii="Palatino Linotype" w:eastAsia="Palatino Linotype" w:hAnsi="Palatino Linotype" w:cs="Palatino Linotype"/>
        </w:rPr>
        <w:t>través</w:t>
      </w:r>
      <w:proofErr w:type="gramEnd"/>
      <w:r w:rsidRPr="008A215A">
        <w:rPr>
          <w:rFonts w:ascii="Palatino Linotype" w:eastAsia="Palatino Linotype" w:hAnsi="Palatino Linotype" w:cs="Palatino Linotype"/>
        </w:rPr>
        <w:t xml:space="preserve"> del Sistema de Acceso a la Información Mexiquense, en lo subsecuente </w:t>
      </w:r>
      <w:r w:rsidRPr="008A215A">
        <w:rPr>
          <w:rFonts w:ascii="Palatino Linotype" w:eastAsia="Palatino Linotype" w:hAnsi="Palatino Linotype" w:cs="Palatino Linotype"/>
          <w:b/>
        </w:rPr>
        <w:t>EL SAIMEX</w:t>
      </w:r>
      <w:r w:rsidRPr="008A215A">
        <w:rPr>
          <w:rFonts w:ascii="Palatino Linotype" w:eastAsia="Palatino Linotype" w:hAnsi="Palatino Linotype" w:cs="Palatino Linotype"/>
        </w:rPr>
        <w:t xml:space="preserve"> ante </w:t>
      </w:r>
      <w:r w:rsidRPr="008A215A">
        <w:rPr>
          <w:rFonts w:ascii="Palatino Linotype" w:eastAsia="Palatino Linotype" w:hAnsi="Palatino Linotype" w:cs="Palatino Linotype"/>
          <w:b/>
        </w:rPr>
        <w:t>EL SUJETO OBLIGADO</w:t>
      </w:r>
      <w:r w:rsidRPr="008A215A">
        <w:rPr>
          <w:rFonts w:ascii="Palatino Linotype" w:eastAsia="Palatino Linotype" w:hAnsi="Palatino Linotype" w:cs="Palatino Linotype"/>
        </w:rPr>
        <w:t xml:space="preserve">, la solicitud de acceso a la información pública, a la que se le asignó el número de expediente </w:t>
      </w:r>
      <w:r w:rsidRPr="008A215A">
        <w:rPr>
          <w:rFonts w:ascii="Palatino Linotype" w:eastAsia="Palatino Linotype" w:hAnsi="Palatino Linotype" w:cs="Palatino Linotype"/>
          <w:b/>
        </w:rPr>
        <w:t xml:space="preserve">00114/TEOTIHUA/IP/2021, </w:t>
      </w:r>
      <w:r w:rsidRPr="008A215A">
        <w:rPr>
          <w:rFonts w:ascii="Palatino Linotype" w:eastAsia="Palatino Linotype" w:hAnsi="Palatino Linotype" w:cs="Palatino Linotype"/>
        </w:rPr>
        <w:t>mediante el cual requirió, lo siguiente:</w:t>
      </w:r>
    </w:p>
    <w:p w14:paraId="25669390" w14:textId="77777777" w:rsidR="005354DF" w:rsidRPr="008A215A" w:rsidRDefault="004E07F3">
      <w:pPr>
        <w:ind w:left="850" w:right="899"/>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 xml:space="preserve">“Se requiere el censo más reciente, con el que se factura el alumbrado público del municipio, firmado por la </w:t>
      </w:r>
      <w:proofErr w:type="spellStart"/>
      <w:r w:rsidRPr="008A215A">
        <w:rPr>
          <w:rFonts w:ascii="Palatino Linotype" w:eastAsia="Palatino Linotype" w:hAnsi="Palatino Linotype" w:cs="Palatino Linotype"/>
          <w:i/>
          <w:sz w:val="22"/>
          <w:szCs w:val="22"/>
        </w:rPr>
        <w:t>Comsión</w:t>
      </w:r>
      <w:proofErr w:type="spellEnd"/>
      <w:r w:rsidRPr="008A215A">
        <w:rPr>
          <w:rFonts w:ascii="Palatino Linotype" w:eastAsia="Palatino Linotype" w:hAnsi="Palatino Linotype" w:cs="Palatino Linotype"/>
          <w:i/>
          <w:sz w:val="22"/>
          <w:szCs w:val="22"/>
        </w:rPr>
        <w:t xml:space="preserve"> Federal de Electricidad y el Municipio. Se requiere información sobre la recaudación del DAP más reciente.” (</w:t>
      </w:r>
      <w:proofErr w:type="gramStart"/>
      <w:r w:rsidRPr="008A215A">
        <w:rPr>
          <w:rFonts w:ascii="Palatino Linotype" w:eastAsia="Palatino Linotype" w:hAnsi="Palatino Linotype" w:cs="Palatino Linotype"/>
          <w:i/>
          <w:sz w:val="22"/>
          <w:szCs w:val="22"/>
        </w:rPr>
        <w:t>sic</w:t>
      </w:r>
      <w:proofErr w:type="gramEnd"/>
      <w:r w:rsidRPr="008A215A">
        <w:rPr>
          <w:rFonts w:ascii="Palatino Linotype" w:eastAsia="Palatino Linotype" w:hAnsi="Palatino Linotype" w:cs="Palatino Linotype"/>
          <w:i/>
          <w:sz w:val="22"/>
          <w:szCs w:val="22"/>
        </w:rPr>
        <w:t>).</w:t>
      </w:r>
    </w:p>
    <w:p w14:paraId="6B37CA6F" w14:textId="77777777" w:rsidR="005354DF" w:rsidRPr="008A215A" w:rsidRDefault="005354DF">
      <w:pPr>
        <w:tabs>
          <w:tab w:val="left" w:pos="851"/>
        </w:tabs>
        <w:ind w:right="901"/>
        <w:jc w:val="both"/>
        <w:rPr>
          <w:rFonts w:ascii="Palatino Linotype" w:eastAsia="Palatino Linotype" w:hAnsi="Palatino Linotype" w:cs="Palatino Linotype"/>
          <w:sz w:val="22"/>
          <w:szCs w:val="22"/>
        </w:rPr>
      </w:pPr>
    </w:p>
    <w:p w14:paraId="565DFD55" w14:textId="77777777" w:rsidR="005354DF" w:rsidRPr="008A215A" w:rsidRDefault="004E07F3">
      <w:pPr>
        <w:widowControl w:val="0"/>
        <w:spacing w:line="360" w:lineRule="auto"/>
        <w:jc w:val="both"/>
        <w:rPr>
          <w:rFonts w:ascii="Palatino Linotype" w:eastAsia="Palatino Linotype" w:hAnsi="Palatino Linotype" w:cs="Palatino Linotype"/>
          <w:b/>
        </w:rPr>
      </w:pPr>
      <w:r w:rsidRPr="008A215A">
        <w:rPr>
          <w:rFonts w:ascii="Palatino Linotype" w:eastAsia="Palatino Linotype" w:hAnsi="Palatino Linotype" w:cs="Palatino Linotype"/>
          <w:b/>
        </w:rPr>
        <w:t xml:space="preserve">MODALIDAD DE ENTREGA: </w:t>
      </w:r>
      <w:r w:rsidRPr="008A215A">
        <w:rPr>
          <w:rFonts w:ascii="Palatino Linotype" w:eastAsia="Palatino Linotype" w:hAnsi="Palatino Linotype" w:cs="Palatino Linotype"/>
        </w:rPr>
        <w:t>Vía</w:t>
      </w:r>
      <w:r w:rsidRPr="008A215A">
        <w:rPr>
          <w:rFonts w:ascii="Palatino Linotype" w:eastAsia="Palatino Linotype" w:hAnsi="Palatino Linotype" w:cs="Palatino Linotype"/>
          <w:b/>
        </w:rPr>
        <w:t xml:space="preserve"> SAIMEX.</w:t>
      </w:r>
    </w:p>
    <w:p w14:paraId="6ECC8D34" w14:textId="77777777" w:rsidR="005354DF" w:rsidRPr="008A215A" w:rsidRDefault="005354DF">
      <w:pPr>
        <w:widowControl w:val="0"/>
        <w:spacing w:line="360" w:lineRule="auto"/>
        <w:jc w:val="both"/>
        <w:rPr>
          <w:rFonts w:ascii="Palatino Linotype" w:eastAsia="Palatino Linotype" w:hAnsi="Palatino Linotype" w:cs="Palatino Linotype"/>
        </w:rPr>
      </w:pPr>
    </w:p>
    <w:p w14:paraId="3851F03D" w14:textId="77777777" w:rsidR="005354DF" w:rsidRPr="008A215A" w:rsidRDefault="004E07F3">
      <w:pPr>
        <w:widowControl w:val="0"/>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Asimismo, en la solicitud se adjuntó el archivo denominado </w:t>
      </w:r>
      <w:r w:rsidRPr="008A215A">
        <w:rPr>
          <w:rFonts w:ascii="Palatino Linotype" w:eastAsia="Palatino Linotype" w:hAnsi="Palatino Linotype" w:cs="Palatino Linotype"/>
          <w:b/>
          <w:i/>
        </w:rPr>
        <w:t xml:space="preserve">“solicitud de información.docx” </w:t>
      </w:r>
      <w:r w:rsidRPr="008A215A">
        <w:rPr>
          <w:rFonts w:ascii="Palatino Linotype" w:eastAsia="Palatino Linotype" w:hAnsi="Palatino Linotype" w:cs="Palatino Linotype"/>
        </w:rPr>
        <w:t>en el cual se detalla la petición del</w:t>
      </w:r>
      <w:r w:rsidRPr="008A215A">
        <w:rPr>
          <w:rFonts w:ascii="Palatino Linotype" w:eastAsia="Palatino Linotype" w:hAnsi="Palatino Linotype" w:cs="Palatino Linotype"/>
          <w:b/>
        </w:rPr>
        <w:t xml:space="preserve"> RECURRENTE, </w:t>
      </w:r>
      <w:r w:rsidRPr="008A215A">
        <w:rPr>
          <w:rFonts w:ascii="Palatino Linotype" w:eastAsia="Palatino Linotype" w:hAnsi="Palatino Linotype" w:cs="Palatino Linotype"/>
        </w:rPr>
        <w:t xml:space="preserve">como a </w:t>
      </w:r>
      <w:r w:rsidRPr="008A215A">
        <w:rPr>
          <w:rFonts w:ascii="Palatino Linotype" w:eastAsia="Palatino Linotype" w:hAnsi="Palatino Linotype" w:cs="Palatino Linotype"/>
        </w:rPr>
        <w:lastRenderedPageBreak/>
        <w:t xml:space="preserve">continuación se transcribe: </w:t>
      </w:r>
    </w:p>
    <w:p w14:paraId="3A7A20D0" w14:textId="77777777" w:rsidR="005354DF" w:rsidRPr="008A215A" w:rsidRDefault="004E07F3">
      <w:pPr>
        <w:widowControl w:val="0"/>
        <w:ind w:left="850" w:right="899"/>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“1. Se requiere ¿cuánto se factura mensualmente en alumbrado público? y ¿cuánto se recauda por derechos de alumbrado público?, y en su caso, el adeudo que se genera y ¿si ya se pagó o no la diferencia entre facturación y DAP? o ¿si existe un saldo a favor del municipio?, Se requiere la información mes por mes del periodo de 1° de enero de 2020 al 31 de octubre de 2021. Se solicita adicionalmente, los avisos recibos emitidos mes con mes por la Comisión Federal de Electricidad por el mismo periodo.</w:t>
      </w:r>
    </w:p>
    <w:p w14:paraId="7A499E6E" w14:textId="77777777" w:rsidR="005354DF" w:rsidRPr="008A215A" w:rsidRDefault="005354DF">
      <w:pPr>
        <w:widowControl w:val="0"/>
        <w:ind w:left="850" w:right="899"/>
        <w:jc w:val="both"/>
        <w:rPr>
          <w:rFonts w:ascii="Palatino Linotype" w:eastAsia="Palatino Linotype" w:hAnsi="Palatino Linotype" w:cs="Palatino Linotype"/>
          <w:i/>
          <w:sz w:val="22"/>
          <w:szCs w:val="22"/>
        </w:rPr>
      </w:pPr>
    </w:p>
    <w:p w14:paraId="754FDE1D" w14:textId="77777777" w:rsidR="005354DF" w:rsidRPr="008A215A" w:rsidRDefault="004E07F3">
      <w:pPr>
        <w:widowControl w:val="0"/>
        <w:ind w:left="850" w:right="899"/>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2. Se solicita el censo de alumbrado público firmado por la Comisión Federal de Electricidad (CFE) de los ejercicios 2020 o en su caso, el censo más reciente del municipio en colaboración de la CFE, en el que se desglose la siguiente información:</w:t>
      </w:r>
    </w:p>
    <w:p w14:paraId="1408FDFE" w14:textId="77777777" w:rsidR="005354DF" w:rsidRPr="008A215A" w:rsidRDefault="005354DF">
      <w:pPr>
        <w:widowControl w:val="0"/>
        <w:ind w:left="850" w:right="899"/>
        <w:jc w:val="both"/>
        <w:rPr>
          <w:rFonts w:ascii="Palatino Linotype" w:eastAsia="Palatino Linotype" w:hAnsi="Palatino Linotype" w:cs="Palatino Linotype"/>
          <w:i/>
          <w:sz w:val="22"/>
          <w:szCs w:val="22"/>
        </w:rPr>
      </w:pPr>
    </w:p>
    <w:p w14:paraId="3804ABB3" w14:textId="77777777" w:rsidR="005354DF" w:rsidRPr="008A215A" w:rsidRDefault="004E07F3">
      <w:pPr>
        <w:widowControl w:val="0"/>
        <w:numPr>
          <w:ilvl w:val="0"/>
          <w:numId w:val="4"/>
        </w:numPr>
        <w:ind w:right="899"/>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Cantidad de luminarias y balastros, el tipo de equipos, la capacidad (potencia), la ubicación (calle y/o colonia y/o delegación), y el tipo de poste en el que están montadas las luminarias (lámina, concreto, madera etcétera).</w:t>
      </w:r>
    </w:p>
    <w:p w14:paraId="263BD53C" w14:textId="77777777" w:rsidR="005354DF" w:rsidRPr="008A215A" w:rsidRDefault="004E07F3">
      <w:pPr>
        <w:widowControl w:val="0"/>
        <w:numPr>
          <w:ilvl w:val="0"/>
          <w:numId w:val="4"/>
        </w:numPr>
        <w:ind w:right="899"/>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 xml:space="preserve">El Registro Permanente de Usuario (RPU o </w:t>
      </w:r>
      <w:proofErr w:type="spellStart"/>
      <w:r w:rsidRPr="008A215A">
        <w:rPr>
          <w:rFonts w:ascii="Palatino Linotype" w:eastAsia="Palatino Linotype" w:hAnsi="Palatino Linotype" w:cs="Palatino Linotype"/>
          <w:i/>
          <w:sz w:val="22"/>
          <w:szCs w:val="22"/>
        </w:rPr>
        <w:t>RPUs</w:t>
      </w:r>
      <w:proofErr w:type="spellEnd"/>
      <w:r w:rsidRPr="008A215A">
        <w:rPr>
          <w:rFonts w:ascii="Palatino Linotype" w:eastAsia="Palatino Linotype" w:hAnsi="Palatino Linotype" w:cs="Palatino Linotype"/>
          <w:i/>
          <w:sz w:val="22"/>
          <w:szCs w:val="22"/>
        </w:rPr>
        <w:t>) asignado (s) al servicio de alumbrado público municipal tanto del servicio estimado como del servicio medido.</w:t>
      </w:r>
    </w:p>
    <w:p w14:paraId="60702527" w14:textId="77777777" w:rsidR="005354DF" w:rsidRPr="008A215A" w:rsidRDefault="004E07F3">
      <w:pPr>
        <w:widowControl w:val="0"/>
        <w:numPr>
          <w:ilvl w:val="0"/>
          <w:numId w:val="4"/>
        </w:numPr>
        <w:ind w:right="899"/>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La cantidad desglosada de luminarias y balastros instalados, el tipo de equipos y su capacidad (potencia) instalados en las avenidas principales del municipio.</w:t>
      </w:r>
    </w:p>
    <w:p w14:paraId="494E3883" w14:textId="77777777" w:rsidR="005354DF" w:rsidRPr="008A215A" w:rsidRDefault="004E07F3">
      <w:pPr>
        <w:widowControl w:val="0"/>
        <w:numPr>
          <w:ilvl w:val="0"/>
          <w:numId w:val="4"/>
        </w:numPr>
        <w:ind w:right="899"/>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La cantidad de luminarias y balastros instalados, el tipo de equipos y su capacidad (potencia) instalados que poseen equipo de medición.”(Sic)</w:t>
      </w:r>
    </w:p>
    <w:p w14:paraId="58DAD048" w14:textId="77777777" w:rsidR="005354DF" w:rsidRPr="008A215A" w:rsidRDefault="005354DF">
      <w:pPr>
        <w:widowControl w:val="0"/>
        <w:jc w:val="both"/>
        <w:rPr>
          <w:rFonts w:ascii="Palatino Linotype" w:eastAsia="Palatino Linotype" w:hAnsi="Palatino Linotype" w:cs="Palatino Linotype"/>
          <w:b/>
        </w:rPr>
      </w:pPr>
    </w:p>
    <w:p w14:paraId="5D753A10" w14:textId="77777777" w:rsidR="005354DF" w:rsidRPr="008A215A" w:rsidRDefault="004E07F3">
      <w:pPr>
        <w:widowControl w:val="0"/>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b/>
          <w:sz w:val="28"/>
          <w:szCs w:val="28"/>
        </w:rPr>
        <w:t>II</w:t>
      </w:r>
      <w:r w:rsidRPr="008A215A">
        <w:rPr>
          <w:rFonts w:ascii="Palatino Linotype" w:eastAsia="Palatino Linotype" w:hAnsi="Palatino Linotype" w:cs="Palatino Linotype"/>
          <w:b/>
        </w:rPr>
        <w:t>.</w:t>
      </w:r>
      <w:r w:rsidRPr="008A215A">
        <w:rPr>
          <w:rFonts w:ascii="Palatino Linotype" w:eastAsia="Palatino Linotype" w:hAnsi="Palatino Linotype" w:cs="Palatino Linotype"/>
        </w:rPr>
        <w:t xml:space="preserve"> En cumplimiento al artículo 162 de la Ley de Transparencia y Acceso a la Información Pública del Estado de México y Municipios, el cinco de noviembre de dos mil veintiuno, </w:t>
      </w:r>
      <w:r w:rsidRPr="008A215A">
        <w:rPr>
          <w:rFonts w:ascii="Palatino Linotype" w:eastAsia="Palatino Linotype" w:hAnsi="Palatino Linotype" w:cs="Palatino Linotype"/>
          <w:b/>
        </w:rPr>
        <w:t>EL SUJETO OBLIGADO</w:t>
      </w:r>
      <w:r w:rsidRPr="008A215A">
        <w:rPr>
          <w:rFonts w:ascii="Palatino Linotype" w:eastAsia="Palatino Linotype" w:hAnsi="Palatino Linotype" w:cs="Palatino Linotype"/>
        </w:rPr>
        <w:t xml:space="preserve"> turnó el requerimiento para solicitar la información para dar respuesta a las solicitudes del ciudadano, así mismo, se le pidió al servidor público habilitado que consideró competente, la búsqueda y localización de dicha información, tal como se desprende de las imágenes que continuación se insertan:</w:t>
      </w:r>
    </w:p>
    <w:p w14:paraId="754164D5" w14:textId="77777777" w:rsidR="005354DF" w:rsidRPr="008A215A" w:rsidRDefault="004E07F3">
      <w:pPr>
        <w:widowControl w:val="0"/>
        <w:jc w:val="both"/>
        <w:rPr>
          <w:rFonts w:ascii="Palatino Linotype" w:eastAsia="Palatino Linotype" w:hAnsi="Palatino Linotype" w:cs="Palatino Linotype"/>
        </w:rPr>
      </w:pPr>
      <w:r w:rsidRPr="008A215A">
        <w:rPr>
          <w:rFonts w:ascii="Palatino Linotype" w:eastAsia="Palatino Linotype" w:hAnsi="Palatino Linotype" w:cs="Palatino Linotype"/>
          <w:noProof/>
        </w:rPr>
        <w:lastRenderedPageBreak/>
        <w:drawing>
          <wp:inline distT="0" distB="0" distL="0" distR="0" wp14:anchorId="76F80FC8" wp14:editId="258250BD">
            <wp:extent cx="5791835" cy="940435"/>
            <wp:effectExtent l="0" t="0" r="0" b="0"/>
            <wp:docPr id="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791835" cy="940435"/>
                    </a:xfrm>
                    <a:prstGeom prst="rect">
                      <a:avLst/>
                    </a:prstGeom>
                    <a:ln/>
                  </pic:spPr>
                </pic:pic>
              </a:graphicData>
            </a:graphic>
          </wp:inline>
        </w:drawing>
      </w:r>
    </w:p>
    <w:p w14:paraId="68C6243B" w14:textId="77777777" w:rsidR="005354DF" w:rsidRPr="008A215A" w:rsidRDefault="005354DF">
      <w:pPr>
        <w:widowControl w:val="0"/>
        <w:jc w:val="both"/>
        <w:rPr>
          <w:rFonts w:ascii="Palatino Linotype" w:eastAsia="Palatino Linotype" w:hAnsi="Palatino Linotype" w:cs="Palatino Linotype"/>
        </w:rPr>
      </w:pPr>
    </w:p>
    <w:p w14:paraId="1468D828" w14:textId="77777777" w:rsidR="005354DF" w:rsidRPr="008A215A" w:rsidRDefault="005354DF">
      <w:pPr>
        <w:widowControl w:val="0"/>
        <w:jc w:val="both"/>
        <w:rPr>
          <w:rFonts w:ascii="Palatino Linotype" w:eastAsia="Palatino Linotype" w:hAnsi="Palatino Linotype" w:cs="Palatino Linotype"/>
        </w:rPr>
      </w:pPr>
    </w:p>
    <w:p w14:paraId="15393F84" w14:textId="77777777" w:rsidR="005354DF" w:rsidRPr="008A215A" w:rsidRDefault="004E07F3">
      <w:pPr>
        <w:widowControl w:val="0"/>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b/>
          <w:sz w:val="28"/>
          <w:szCs w:val="28"/>
        </w:rPr>
        <w:t>III</w:t>
      </w:r>
      <w:r w:rsidRPr="008A215A">
        <w:rPr>
          <w:rFonts w:ascii="Palatino Linotype" w:eastAsia="Palatino Linotype" w:hAnsi="Palatino Linotype" w:cs="Palatino Linotype"/>
          <w:b/>
        </w:rPr>
        <w:t>.</w:t>
      </w:r>
      <w:r w:rsidRPr="008A215A">
        <w:rPr>
          <w:rFonts w:ascii="Palatino Linotype" w:eastAsia="Palatino Linotype" w:hAnsi="Palatino Linotype" w:cs="Palatino Linotype"/>
        </w:rPr>
        <w:t xml:space="preserve"> En fecha veinticinco de noviembre de dos mil veintiuno, </w:t>
      </w:r>
      <w:r w:rsidRPr="008A215A">
        <w:rPr>
          <w:rFonts w:ascii="Palatino Linotype" w:eastAsia="Palatino Linotype" w:hAnsi="Palatino Linotype" w:cs="Palatino Linotype"/>
          <w:b/>
        </w:rPr>
        <w:t>EL SUJETO OBLIGADO</w:t>
      </w:r>
      <w:r w:rsidRPr="008A215A">
        <w:rPr>
          <w:rFonts w:ascii="Palatino Linotype" w:eastAsia="Palatino Linotype" w:hAnsi="Palatino Linotype" w:cs="Palatino Linotype"/>
        </w:rPr>
        <w:t xml:space="preserve"> dio respuesta a la solicitud de información en los siguientes términos:</w:t>
      </w:r>
    </w:p>
    <w:p w14:paraId="50465B48" w14:textId="77777777" w:rsidR="005354DF" w:rsidRPr="008A215A" w:rsidRDefault="004E07F3">
      <w:pPr>
        <w:widowControl w:val="0"/>
        <w:spacing w:line="360" w:lineRule="auto"/>
        <w:ind w:right="901"/>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noProof/>
          <w:sz w:val="22"/>
          <w:szCs w:val="22"/>
        </w:rPr>
        <w:drawing>
          <wp:inline distT="0" distB="0" distL="0" distR="0" wp14:anchorId="1360177D" wp14:editId="6871CC0F">
            <wp:extent cx="5795564" cy="2898984"/>
            <wp:effectExtent l="0" t="0" r="0" b="0"/>
            <wp:docPr id="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95564" cy="2898984"/>
                    </a:xfrm>
                    <a:prstGeom prst="rect">
                      <a:avLst/>
                    </a:prstGeom>
                    <a:ln/>
                  </pic:spPr>
                </pic:pic>
              </a:graphicData>
            </a:graphic>
          </wp:inline>
        </w:drawing>
      </w:r>
    </w:p>
    <w:p w14:paraId="3628B911" w14:textId="77777777" w:rsidR="005354DF" w:rsidRPr="008A215A" w:rsidRDefault="005354DF">
      <w:pPr>
        <w:widowControl w:val="0"/>
        <w:spacing w:line="360" w:lineRule="auto"/>
        <w:ind w:left="850" w:right="901"/>
        <w:jc w:val="both"/>
        <w:rPr>
          <w:rFonts w:ascii="Palatino Linotype" w:eastAsia="Palatino Linotype" w:hAnsi="Palatino Linotype" w:cs="Palatino Linotype"/>
          <w:i/>
          <w:sz w:val="22"/>
          <w:szCs w:val="22"/>
        </w:rPr>
      </w:pPr>
    </w:p>
    <w:p w14:paraId="535087D5"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En la respuesta que dio </w:t>
      </w:r>
      <w:r w:rsidRPr="008A215A">
        <w:rPr>
          <w:rFonts w:ascii="Palatino Linotype" w:eastAsia="Palatino Linotype" w:hAnsi="Palatino Linotype" w:cs="Palatino Linotype"/>
          <w:b/>
        </w:rPr>
        <w:t xml:space="preserve">EL SUJETO OBLIGADO, </w:t>
      </w:r>
      <w:r w:rsidRPr="008A215A">
        <w:rPr>
          <w:rFonts w:ascii="Palatino Linotype" w:eastAsia="Palatino Linotype" w:hAnsi="Palatino Linotype" w:cs="Palatino Linotype"/>
        </w:rPr>
        <w:t xml:space="preserve">adjuntó los archivos denominados </w:t>
      </w:r>
      <w:r w:rsidRPr="008A215A">
        <w:rPr>
          <w:rFonts w:ascii="Palatino Linotype" w:eastAsia="Palatino Linotype" w:hAnsi="Palatino Linotype" w:cs="Palatino Linotype"/>
          <w:b/>
          <w:i/>
        </w:rPr>
        <w:t>“</w:t>
      </w:r>
      <w:proofErr w:type="spellStart"/>
      <w:r w:rsidR="00DF1932">
        <w:fldChar w:fldCharType="begin"/>
      </w:r>
      <w:r w:rsidR="00DF1932">
        <w:instrText xml:space="preserve"> HYPERLINK "https://www.saimex.org.mx/saimex/solicitud/downloadAttach/1250501.page" \h </w:instrText>
      </w:r>
      <w:r w:rsidR="00DF1932">
        <w:fldChar w:fldCharType="separate"/>
      </w:r>
      <w:r w:rsidRPr="008A215A">
        <w:rPr>
          <w:rFonts w:ascii="Palatino Linotype" w:eastAsia="Palatino Linotype" w:hAnsi="Palatino Linotype" w:cs="Palatino Linotype"/>
          <w:b/>
          <w:i/>
          <w:color w:val="000000"/>
        </w:rPr>
        <w:t>Resuesta</w:t>
      </w:r>
      <w:proofErr w:type="spellEnd"/>
      <w:r w:rsidRPr="008A215A">
        <w:rPr>
          <w:rFonts w:ascii="Palatino Linotype" w:eastAsia="Palatino Linotype" w:hAnsi="Palatino Linotype" w:cs="Palatino Linotype"/>
          <w:b/>
          <w:i/>
          <w:color w:val="000000"/>
        </w:rPr>
        <w:t xml:space="preserve"> Servicios Públicos So. 114-2021.pdf</w:t>
      </w:r>
      <w:r w:rsidR="00DF1932">
        <w:rPr>
          <w:rFonts w:ascii="Palatino Linotype" w:eastAsia="Palatino Linotype" w:hAnsi="Palatino Linotype" w:cs="Palatino Linotype"/>
          <w:b/>
          <w:i/>
          <w:color w:val="000000"/>
        </w:rPr>
        <w:fldChar w:fldCharType="end"/>
      </w:r>
      <w:r w:rsidRPr="008A215A">
        <w:rPr>
          <w:rFonts w:ascii="Palatino Linotype" w:eastAsia="Palatino Linotype" w:hAnsi="Palatino Linotype" w:cs="Palatino Linotype"/>
          <w:b/>
          <w:i/>
        </w:rPr>
        <w:t xml:space="preserve">”, </w:t>
      </w:r>
      <w:r w:rsidRPr="008A215A">
        <w:rPr>
          <w:rFonts w:ascii="Palatino Linotype" w:eastAsia="Palatino Linotype" w:hAnsi="Palatino Linotype" w:cs="Palatino Linotype"/>
        </w:rPr>
        <w:t>en el que, el Director de Servicios Públicos menciona que se ha realizado el censo en tiempo y forma pero debido a que no concuerda con el realizado por parte de la CFE, aún se sigue realizando.</w:t>
      </w:r>
    </w:p>
    <w:p w14:paraId="5377DB3B" w14:textId="0C1C185D" w:rsidR="005354DF" w:rsidRPr="008A215A" w:rsidRDefault="004E07F3" w:rsidP="008A215A">
      <w:pPr>
        <w:spacing w:line="360" w:lineRule="auto"/>
        <w:jc w:val="both"/>
        <w:rPr>
          <w:rFonts w:ascii="Palatino Linotype" w:eastAsia="Palatino Linotype" w:hAnsi="Palatino Linotype" w:cs="Palatino Linotype"/>
          <w:shd w:val="clear" w:color="auto" w:fill="F1C232"/>
        </w:rPr>
      </w:pPr>
      <w:r w:rsidRPr="008A215A">
        <w:rPr>
          <w:rFonts w:ascii="Palatino Linotype" w:eastAsia="Palatino Linotype" w:hAnsi="Palatino Linotype" w:cs="Palatino Linotype"/>
        </w:rPr>
        <w:t xml:space="preserve">El segundo archivo adjunto </w:t>
      </w:r>
      <w:r w:rsidRPr="008A215A">
        <w:rPr>
          <w:rFonts w:ascii="Palatino Linotype" w:eastAsia="Palatino Linotype" w:hAnsi="Palatino Linotype" w:cs="Palatino Linotype"/>
          <w:b/>
          <w:i/>
        </w:rPr>
        <w:t>“</w:t>
      </w:r>
      <w:hyperlink r:id="rId10">
        <w:r w:rsidRPr="008A215A">
          <w:rPr>
            <w:rFonts w:ascii="Palatino Linotype" w:eastAsia="Palatino Linotype" w:hAnsi="Palatino Linotype" w:cs="Palatino Linotype"/>
            <w:b/>
            <w:i/>
            <w:color w:val="000000"/>
          </w:rPr>
          <w:t xml:space="preserve">Respuesta </w:t>
        </w:r>
        <w:proofErr w:type="spellStart"/>
        <w:r w:rsidRPr="008A215A">
          <w:rPr>
            <w:rFonts w:ascii="Palatino Linotype" w:eastAsia="Palatino Linotype" w:hAnsi="Palatino Linotype" w:cs="Palatino Linotype"/>
            <w:b/>
            <w:i/>
            <w:color w:val="000000"/>
          </w:rPr>
          <w:t>Tesoreria</w:t>
        </w:r>
        <w:proofErr w:type="spellEnd"/>
        <w:r w:rsidRPr="008A215A">
          <w:rPr>
            <w:rFonts w:ascii="Palatino Linotype" w:eastAsia="Palatino Linotype" w:hAnsi="Palatino Linotype" w:cs="Palatino Linotype"/>
            <w:b/>
            <w:i/>
            <w:color w:val="000000"/>
          </w:rPr>
          <w:t xml:space="preserve"> Solicitud 114-2021.pdf</w:t>
        </w:r>
      </w:hyperlink>
      <w:r w:rsidRPr="008A215A">
        <w:rPr>
          <w:rFonts w:ascii="Palatino Linotype" w:eastAsia="Palatino Linotype" w:hAnsi="Palatino Linotype" w:cs="Palatino Linotype"/>
          <w:b/>
          <w:i/>
        </w:rPr>
        <w:t xml:space="preserve">”, </w:t>
      </w:r>
      <w:r w:rsidRPr="008A215A">
        <w:rPr>
          <w:rFonts w:ascii="Palatino Linotype" w:eastAsia="Palatino Linotype" w:hAnsi="Palatino Linotype" w:cs="Palatino Linotype"/>
        </w:rPr>
        <w:t xml:space="preserve">el oficio signado por el Tesorero Municipal, refiere que no cuenta con el censo reciente con el </w:t>
      </w:r>
      <w:r w:rsidRPr="008A215A">
        <w:rPr>
          <w:rFonts w:ascii="Palatino Linotype" w:eastAsia="Palatino Linotype" w:hAnsi="Palatino Linotype" w:cs="Palatino Linotype"/>
        </w:rPr>
        <w:lastRenderedPageBreak/>
        <w:t xml:space="preserve">cual se factura el alumbrado público. </w:t>
      </w:r>
      <w:r w:rsidR="008A215A">
        <w:rPr>
          <w:rFonts w:ascii="Palatino Linotype" w:eastAsia="Palatino Linotype" w:hAnsi="Palatino Linotype" w:cs="Palatino Linotype"/>
        </w:rPr>
        <w:t>Sin embargo precisa, recaudación DAP Enero-Octubre por $824,902.00 pesos.</w:t>
      </w:r>
      <w:r w:rsidRPr="008A215A">
        <w:rPr>
          <w:rFonts w:ascii="Palatino Linotype" w:eastAsia="Palatino Linotype" w:hAnsi="Palatino Linotype" w:cs="Palatino Linotype"/>
          <w:shd w:val="clear" w:color="auto" w:fill="F1C232"/>
        </w:rPr>
        <w:t xml:space="preserve"> </w:t>
      </w:r>
    </w:p>
    <w:p w14:paraId="38225301" w14:textId="77777777" w:rsidR="005354DF" w:rsidRPr="008A215A" w:rsidRDefault="005354DF">
      <w:pPr>
        <w:spacing w:line="360" w:lineRule="auto"/>
        <w:jc w:val="both"/>
        <w:rPr>
          <w:rFonts w:ascii="Palatino Linotype" w:eastAsia="Palatino Linotype" w:hAnsi="Palatino Linotype" w:cs="Palatino Linotype"/>
          <w:shd w:val="clear" w:color="auto" w:fill="F1C232"/>
        </w:rPr>
      </w:pPr>
    </w:p>
    <w:p w14:paraId="17D72EC6" w14:textId="77777777" w:rsidR="005354DF" w:rsidRPr="008A215A" w:rsidRDefault="004E07F3">
      <w:pPr>
        <w:spacing w:line="360" w:lineRule="auto"/>
        <w:ind w:left="-57" w:right="-57"/>
        <w:jc w:val="both"/>
        <w:rPr>
          <w:rFonts w:ascii="Palatino Linotype" w:eastAsia="Palatino Linotype" w:hAnsi="Palatino Linotype" w:cs="Palatino Linotype"/>
        </w:rPr>
      </w:pPr>
      <w:bookmarkStart w:id="3" w:name="_heading=h.30j0zll" w:colFirst="0" w:colLast="0"/>
      <w:bookmarkEnd w:id="3"/>
      <w:r w:rsidRPr="008A215A">
        <w:rPr>
          <w:rFonts w:ascii="Palatino Linotype" w:eastAsia="Palatino Linotype" w:hAnsi="Palatino Linotype" w:cs="Palatino Linotype"/>
          <w:b/>
          <w:sz w:val="28"/>
          <w:szCs w:val="28"/>
        </w:rPr>
        <w:t>IV</w:t>
      </w:r>
      <w:r w:rsidRPr="008A215A">
        <w:rPr>
          <w:rFonts w:ascii="Palatino Linotype" w:eastAsia="Palatino Linotype" w:hAnsi="Palatino Linotype" w:cs="Palatino Linotype"/>
          <w:b/>
        </w:rPr>
        <w:t xml:space="preserve">. </w:t>
      </w:r>
      <w:r w:rsidRPr="008A215A">
        <w:rPr>
          <w:rFonts w:ascii="Palatino Linotype" w:eastAsia="Palatino Linotype" w:hAnsi="Palatino Linotype" w:cs="Palatino Linotype"/>
        </w:rPr>
        <w:t>Inconforme por las respuestas del</w:t>
      </w:r>
      <w:r w:rsidRPr="008A215A">
        <w:rPr>
          <w:rFonts w:ascii="Palatino Linotype" w:eastAsia="Palatino Linotype" w:hAnsi="Palatino Linotype" w:cs="Palatino Linotype"/>
          <w:b/>
        </w:rPr>
        <w:t xml:space="preserve"> SUJETO OBLIGADO</w:t>
      </w:r>
      <w:r w:rsidRPr="008A215A">
        <w:rPr>
          <w:rFonts w:ascii="Palatino Linotype" w:eastAsia="Palatino Linotype" w:hAnsi="Palatino Linotype" w:cs="Palatino Linotype"/>
        </w:rPr>
        <w:t xml:space="preserve">, el veintinueve de noviembre de dos mil veintiuno, </w:t>
      </w:r>
      <w:r w:rsidRPr="008A215A">
        <w:rPr>
          <w:rFonts w:ascii="Palatino Linotype" w:eastAsia="Palatino Linotype" w:hAnsi="Palatino Linotype" w:cs="Palatino Linotype"/>
          <w:b/>
        </w:rPr>
        <w:t>EL RECURRENTE</w:t>
      </w:r>
      <w:r w:rsidRPr="008A215A">
        <w:rPr>
          <w:rFonts w:ascii="Palatino Linotype" w:eastAsia="Palatino Linotype" w:hAnsi="Palatino Linotype" w:cs="Palatino Linotype"/>
        </w:rPr>
        <w:t xml:space="preserve"> interpuso el recurso de revisión el cual es sujeto del presente estudio, cabe destacar que fue registrado en </w:t>
      </w:r>
      <w:r w:rsidRPr="008A215A">
        <w:rPr>
          <w:rFonts w:ascii="Palatino Linotype" w:eastAsia="Palatino Linotype" w:hAnsi="Palatino Linotype" w:cs="Palatino Linotype"/>
          <w:b/>
        </w:rPr>
        <w:t>EL SAIMEX</w:t>
      </w:r>
      <w:r w:rsidRPr="008A215A">
        <w:rPr>
          <w:rFonts w:ascii="Palatino Linotype" w:eastAsia="Palatino Linotype" w:hAnsi="Palatino Linotype" w:cs="Palatino Linotype"/>
        </w:rPr>
        <w:t xml:space="preserve"> y se le asignó el número de expediente </w:t>
      </w:r>
      <w:r w:rsidRPr="008A215A">
        <w:rPr>
          <w:rFonts w:ascii="Palatino Linotype" w:eastAsia="Palatino Linotype" w:hAnsi="Palatino Linotype" w:cs="Palatino Linotype"/>
          <w:b/>
        </w:rPr>
        <w:t xml:space="preserve">05952/INFOEM/IP/RR/2021, </w:t>
      </w:r>
      <w:r w:rsidRPr="008A215A">
        <w:rPr>
          <w:rFonts w:ascii="Palatino Linotype" w:eastAsia="Palatino Linotype" w:hAnsi="Palatino Linotype" w:cs="Palatino Linotype"/>
        </w:rPr>
        <w:t xml:space="preserve">en este recurso los motivos de agravio del </w:t>
      </w:r>
      <w:r w:rsidRPr="008A215A">
        <w:rPr>
          <w:rFonts w:ascii="Palatino Linotype" w:eastAsia="Palatino Linotype" w:hAnsi="Palatino Linotype" w:cs="Palatino Linotype"/>
          <w:b/>
        </w:rPr>
        <w:t xml:space="preserve">RECURRENTE </w:t>
      </w:r>
      <w:r w:rsidRPr="008A215A">
        <w:rPr>
          <w:rFonts w:ascii="Palatino Linotype" w:eastAsia="Palatino Linotype" w:hAnsi="Palatino Linotype" w:cs="Palatino Linotype"/>
        </w:rPr>
        <w:t>fueron los siguientes:</w:t>
      </w:r>
    </w:p>
    <w:p w14:paraId="352A1A80" w14:textId="77777777" w:rsidR="005354DF" w:rsidRPr="008A215A" w:rsidRDefault="005354DF">
      <w:pPr>
        <w:spacing w:line="360" w:lineRule="auto"/>
        <w:jc w:val="both"/>
        <w:rPr>
          <w:rFonts w:ascii="Palatino Linotype" w:eastAsia="Palatino Linotype" w:hAnsi="Palatino Linotype" w:cs="Palatino Linotype"/>
        </w:rPr>
      </w:pPr>
    </w:p>
    <w:tbl>
      <w:tblPr>
        <w:tblStyle w:val="ab"/>
        <w:tblW w:w="9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5"/>
        <w:gridCol w:w="2833"/>
        <w:gridCol w:w="3551"/>
      </w:tblGrid>
      <w:tr w:rsidR="005354DF" w:rsidRPr="008A215A" w14:paraId="5A05D5B2" w14:textId="77777777">
        <w:trPr>
          <w:tblHeader/>
        </w:trPr>
        <w:tc>
          <w:tcPr>
            <w:tcW w:w="2685" w:type="dxa"/>
            <w:tcBorders>
              <w:top w:val="single" w:sz="4" w:space="0" w:color="000000"/>
              <w:left w:val="single" w:sz="4" w:space="0" w:color="000000"/>
              <w:bottom w:val="single" w:sz="4" w:space="0" w:color="000000"/>
              <w:right w:val="single" w:sz="4" w:space="0" w:color="000000"/>
            </w:tcBorders>
            <w:shd w:val="clear" w:color="auto" w:fill="4A452A"/>
          </w:tcPr>
          <w:p w14:paraId="2B477FA9" w14:textId="77777777" w:rsidR="005354DF" w:rsidRPr="008A215A" w:rsidRDefault="004E07F3">
            <w:pPr>
              <w:spacing w:line="276" w:lineRule="auto"/>
              <w:jc w:val="center"/>
              <w:rPr>
                <w:rFonts w:ascii="Palatino Linotype" w:eastAsia="Palatino Linotype" w:hAnsi="Palatino Linotype" w:cs="Palatino Linotype"/>
                <w:b/>
                <w:color w:val="FFFFFF"/>
              </w:rPr>
            </w:pPr>
            <w:r w:rsidRPr="008A215A">
              <w:rPr>
                <w:rFonts w:ascii="Palatino Linotype" w:eastAsia="Palatino Linotype" w:hAnsi="Palatino Linotype" w:cs="Palatino Linotype"/>
                <w:b/>
                <w:color w:val="FFFFFF"/>
              </w:rPr>
              <w:t>Número de recurso</w:t>
            </w:r>
          </w:p>
        </w:tc>
        <w:tc>
          <w:tcPr>
            <w:tcW w:w="2833" w:type="dxa"/>
            <w:tcBorders>
              <w:left w:val="single" w:sz="4" w:space="0" w:color="000000"/>
            </w:tcBorders>
            <w:shd w:val="clear" w:color="auto" w:fill="4A452A"/>
          </w:tcPr>
          <w:p w14:paraId="70F94418" w14:textId="77777777" w:rsidR="005354DF" w:rsidRPr="008A215A" w:rsidRDefault="004E07F3">
            <w:pPr>
              <w:spacing w:line="276" w:lineRule="auto"/>
              <w:jc w:val="center"/>
              <w:rPr>
                <w:rFonts w:ascii="Palatino Linotype" w:eastAsia="Palatino Linotype" w:hAnsi="Palatino Linotype" w:cs="Palatino Linotype"/>
                <w:b/>
                <w:color w:val="FFFFFF"/>
              </w:rPr>
            </w:pPr>
            <w:r w:rsidRPr="008A215A">
              <w:rPr>
                <w:rFonts w:ascii="Palatino Linotype" w:eastAsia="Palatino Linotype" w:hAnsi="Palatino Linotype" w:cs="Palatino Linotype"/>
                <w:b/>
                <w:color w:val="FFFFFF"/>
              </w:rPr>
              <w:t xml:space="preserve">Acto impugnado </w:t>
            </w:r>
          </w:p>
        </w:tc>
        <w:tc>
          <w:tcPr>
            <w:tcW w:w="3551" w:type="dxa"/>
            <w:tcBorders>
              <w:left w:val="single" w:sz="4" w:space="0" w:color="000000"/>
            </w:tcBorders>
            <w:shd w:val="clear" w:color="auto" w:fill="4A452A"/>
          </w:tcPr>
          <w:p w14:paraId="25B6346C" w14:textId="77777777" w:rsidR="005354DF" w:rsidRPr="008A215A" w:rsidRDefault="004E07F3">
            <w:pPr>
              <w:spacing w:line="276" w:lineRule="auto"/>
              <w:jc w:val="center"/>
              <w:rPr>
                <w:rFonts w:ascii="Palatino Linotype" w:eastAsia="Palatino Linotype" w:hAnsi="Palatino Linotype" w:cs="Palatino Linotype"/>
                <w:b/>
                <w:color w:val="FFFFFF"/>
              </w:rPr>
            </w:pPr>
            <w:r w:rsidRPr="008A215A">
              <w:rPr>
                <w:rFonts w:ascii="Palatino Linotype" w:eastAsia="Palatino Linotype" w:hAnsi="Palatino Linotype" w:cs="Palatino Linotype"/>
                <w:b/>
                <w:color w:val="FFFFFF"/>
              </w:rPr>
              <w:t>las razones o motivos de inconformidad</w:t>
            </w:r>
          </w:p>
        </w:tc>
      </w:tr>
      <w:tr w:rsidR="005354DF" w:rsidRPr="008A215A" w14:paraId="61670515" w14:textId="77777777">
        <w:tc>
          <w:tcPr>
            <w:tcW w:w="2685" w:type="dxa"/>
            <w:tcBorders>
              <w:top w:val="single" w:sz="4" w:space="0" w:color="000000"/>
              <w:bottom w:val="single" w:sz="4" w:space="0" w:color="000000"/>
            </w:tcBorders>
            <w:shd w:val="clear" w:color="auto" w:fill="auto"/>
          </w:tcPr>
          <w:p w14:paraId="2CE3EBED" w14:textId="77777777" w:rsidR="005354DF" w:rsidRPr="008A215A" w:rsidRDefault="004E07F3">
            <w:pPr>
              <w:spacing w:line="276" w:lineRule="auto"/>
              <w:rPr>
                <w:rFonts w:ascii="Palatino Linotype" w:eastAsia="Palatino Linotype" w:hAnsi="Palatino Linotype" w:cs="Palatino Linotype"/>
                <w:b/>
              </w:rPr>
            </w:pPr>
            <w:r w:rsidRPr="008A215A">
              <w:rPr>
                <w:rFonts w:ascii="Palatino Linotype" w:eastAsia="Palatino Linotype" w:hAnsi="Palatino Linotype" w:cs="Palatino Linotype"/>
                <w:b/>
                <w:sz w:val="20"/>
                <w:szCs w:val="20"/>
              </w:rPr>
              <w:t>05952/INFOEM/IP/RR/2021</w:t>
            </w:r>
          </w:p>
        </w:tc>
        <w:tc>
          <w:tcPr>
            <w:tcW w:w="2833" w:type="dxa"/>
            <w:shd w:val="clear" w:color="auto" w:fill="auto"/>
          </w:tcPr>
          <w:p w14:paraId="3EDEA9E8" w14:textId="77777777" w:rsidR="005354DF" w:rsidRPr="008A215A" w:rsidRDefault="004E07F3">
            <w:pPr>
              <w:jc w:val="both"/>
              <w:rPr>
                <w:rFonts w:ascii="Palatino Linotype" w:eastAsia="Palatino Linotype" w:hAnsi="Palatino Linotype" w:cs="Palatino Linotype"/>
                <w:i/>
                <w:sz w:val="20"/>
                <w:szCs w:val="20"/>
              </w:rPr>
            </w:pPr>
            <w:r w:rsidRPr="008A215A">
              <w:rPr>
                <w:rFonts w:ascii="Palatino Linotype" w:eastAsia="Palatino Linotype" w:hAnsi="Palatino Linotype" w:cs="Palatino Linotype"/>
                <w:i/>
                <w:sz w:val="20"/>
                <w:szCs w:val="20"/>
              </w:rPr>
              <w:t xml:space="preserve">“Folio No. 00114/TEOTIHUA/IP/21, mediante el cual el Sujeto Obligado (municipio de </w:t>
            </w:r>
            <w:proofErr w:type="spellStart"/>
            <w:r w:rsidRPr="008A215A">
              <w:rPr>
                <w:rFonts w:ascii="Palatino Linotype" w:eastAsia="Palatino Linotype" w:hAnsi="Palatino Linotype" w:cs="Palatino Linotype"/>
                <w:i/>
                <w:sz w:val="20"/>
                <w:szCs w:val="20"/>
              </w:rPr>
              <w:t>Teotihuacan</w:t>
            </w:r>
            <w:proofErr w:type="spellEnd"/>
            <w:r w:rsidRPr="008A215A">
              <w:rPr>
                <w:rFonts w:ascii="Palatino Linotype" w:eastAsia="Palatino Linotype" w:hAnsi="Palatino Linotype" w:cs="Palatino Linotype"/>
                <w:i/>
                <w:sz w:val="20"/>
                <w:szCs w:val="20"/>
              </w:rPr>
              <w:t xml:space="preserve"> en el Estado de México) no me ha proporcionado toda la información” (sic)</w:t>
            </w:r>
          </w:p>
        </w:tc>
        <w:tc>
          <w:tcPr>
            <w:tcW w:w="3551" w:type="dxa"/>
          </w:tcPr>
          <w:p w14:paraId="7F28F5B4" w14:textId="77777777" w:rsidR="005354DF" w:rsidRPr="008A215A" w:rsidRDefault="004E07F3">
            <w:pPr>
              <w:spacing w:line="276" w:lineRule="auto"/>
              <w:jc w:val="both"/>
              <w:rPr>
                <w:rFonts w:ascii="Palatino Linotype" w:eastAsia="Palatino Linotype" w:hAnsi="Palatino Linotype" w:cs="Palatino Linotype"/>
                <w:i/>
                <w:sz w:val="20"/>
                <w:szCs w:val="20"/>
              </w:rPr>
            </w:pPr>
            <w:r w:rsidRPr="008A215A">
              <w:rPr>
                <w:rFonts w:ascii="Palatino Linotype" w:eastAsia="Palatino Linotype" w:hAnsi="Palatino Linotype" w:cs="Palatino Linotype"/>
                <w:i/>
                <w:sz w:val="20"/>
                <w:szCs w:val="20"/>
              </w:rPr>
              <w:t xml:space="preserve">“la entrega de la información fue incompleta, no se </w:t>
            </w:r>
            <w:proofErr w:type="spellStart"/>
            <w:r w:rsidRPr="008A215A">
              <w:rPr>
                <w:rFonts w:ascii="Palatino Linotype" w:eastAsia="Palatino Linotype" w:hAnsi="Palatino Linotype" w:cs="Palatino Linotype"/>
                <w:i/>
                <w:sz w:val="20"/>
                <w:szCs w:val="20"/>
              </w:rPr>
              <w:t>entrego</w:t>
            </w:r>
            <w:proofErr w:type="spellEnd"/>
            <w:r w:rsidRPr="008A215A">
              <w:rPr>
                <w:rFonts w:ascii="Palatino Linotype" w:eastAsia="Palatino Linotype" w:hAnsi="Palatino Linotype" w:cs="Palatino Linotype"/>
                <w:i/>
                <w:sz w:val="20"/>
                <w:szCs w:val="20"/>
              </w:rPr>
              <w:t xml:space="preserve"> el censo de alumbrado público” (sic)</w:t>
            </w:r>
          </w:p>
        </w:tc>
      </w:tr>
    </w:tbl>
    <w:p w14:paraId="483AD8DC" w14:textId="77777777" w:rsidR="005354DF" w:rsidRPr="008A215A" w:rsidRDefault="005354DF">
      <w:pPr>
        <w:spacing w:line="360" w:lineRule="auto"/>
        <w:jc w:val="both"/>
        <w:rPr>
          <w:rFonts w:ascii="Palatino Linotype" w:eastAsia="Palatino Linotype" w:hAnsi="Palatino Linotype" w:cs="Palatino Linotype"/>
          <w:sz w:val="22"/>
          <w:szCs w:val="22"/>
        </w:rPr>
      </w:pPr>
    </w:p>
    <w:p w14:paraId="149E4EC9"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b/>
          <w:sz w:val="28"/>
          <w:szCs w:val="28"/>
        </w:rPr>
        <w:t xml:space="preserve">V. </w:t>
      </w:r>
      <w:r w:rsidRPr="008A215A">
        <w:rPr>
          <w:rFonts w:ascii="Palatino Linotype" w:eastAsia="Palatino Linotype" w:hAnsi="Palatino Linotype" w:cs="Palatino Linotype"/>
        </w:rPr>
        <w:t xml:space="preserve">El veintinueve de noviembre de dos mil veintiuno,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así: a través del </w:t>
      </w:r>
      <w:r w:rsidRPr="008A215A">
        <w:rPr>
          <w:rFonts w:ascii="Palatino Linotype" w:eastAsia="Palatino Linotype" w:hAnsi="Palatino Linotype" w:cs="Palatino Linotype"/>
          <w:b/>
        </w:rPr>
        <w:t>SAIMEX</w:t>
      </w:r>
      <w:r w:rsidRPr="008A215A">
        <w:rPr>
          <w:rFonts w:ascii="Palatino Linotype" w:eastAsia="Palatino Linotype" w:hAnsi="Palatino Linotype" w:cs="Palatino Linotype"/>
        </w:rPr>
        <w:t xml:space="preserve">, el recurso de revisión </w:t>
      </w:r>
      <w:r w:rsidRPr="008A215A">
        <w:rPr>
          <w:rFonts w:ascii="Palatino Linotype" w:eastAsia="Palatino Linotype" w:hAnsi="Palatino Linotype" w:cs="Palatino Linotype"/>
          <w:b/>
        </w:rPr>
        <w:t xml:space="preserve">05952/INFOEM/IP/RR/2021 </w:t>
      </w:r>
      <w:r w:rsidRPr="008A215A">
        <w:rPr>
          <w:rFonts w:ascii="Palatino Linotype" w:eastAsia="Palatino Linotype" w:hAnsi="Palatino Linotype" w:cs="Palatino Linotype"/>
        </w:rPr>
        <w:t xml:space="preserve">a la </w:t>
      </w:r>
      <w:r w:rsidRPr="008A215A">
        <w:rPr>
          <w:rFonts w:ascii="Palatino Linotype" w:eastAsia="Palatino Linotype" w:hAnsi="Palatino Linotype" w:cs="Palatino Linotype"/>
          <w:b/>
        </w:rPr>
        <w:t>Comisionada Sharon Cristina Morales Martínez</w:t>
      </w:r>
      <w:r w:rsidRPr="008A215A">
        <w:rPr>
          <w:rFonts w:ascii="Palatino Linotype" w:eastAsia="Palatino Linotype" w:hAnsi="Palatino Linotype" w:cs="Palatino Linotype"/>
        </w:rPr>
        <w:t>, a efecto de que decretara su admisión o desechamiento.</w:t>
      </w:r>
    </w:p>
    <w:p w14:paraId="184126D9" w14:textId="77777777" w:rsidR="005354DF" w:rsidRPr="008A215A" w:rsidRDefault="005354DF">
      <w:pPr>
        <w:spacing w:line="360" w:lineRule="auto"/>
        <w:jc w:val="both"/>
        <w:rPr>
          <w:rFonts w:ascii="Palatino Linotype" w:eastAsia="Palatino Linotype" w:hAnsi="Palatino Linotype" w:cs="Palatino Linotype"/>
        </w:rPr>
      </w:pPr>
    </w:p>
    <w:p w14:paraId="167C24A8" w14:textId="77777777" w:rsidR="005354DF" w:rsidRPr="008A215A" w:rsidRDefault="004E07F3">
      <w:pPr>
        <w:tabs>
          <w:tab w:val="center" w:pos="4252"/>
          <w:tab w:val="right" w:pos="8504"/>
        </w:tabs>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b/>
          <w:sz w:val="28"/>
          <w:szCs w:val="28"/>
        </w:rPr>
        <w:lastRenderedPageBreak/>
        <w:t>VI</w:t>
      </w:r>
      <w:r w:rsidRPr="008A215A">
        <w:rPr>
          <w:rFonts w:ascii="Palatino Linotype" w:eastAsia="Palatino Linotype" w:hAnsi="Palatino Linotype" w:cs="Palatino Linotype"/>
          <w:b/>
        </w:rPr>
        <w:t xml:space="preserve">. </w:t>
      </w:r>
      <w:r w:rsidRPr="008A215A">
        <w:rPr>
          <w:rFonts w:ascii="Palatino Linotype" w:eastAsia="Palatino Linotype" w:hAnsi="Palatino Linotype" w:cs="Palatino Linotype"/>
        </w:rPr>
        <w:t>De las constancias que obran en el expediente electrónico del</w:t>
      </w:r>
      <w:r w:rsidRPr="008A215A">
        <w:rPr>
          <w:rFonts w:ascii="Palatino Linotype" w:eastAsia="Palatino Linotype" w:hAnsi="Palatino Linotype" w:cs="Palatino Linotype"/>
          <w:b/>
        </w:rPr>
        <w:t xml:space="preserve"> SAIMEX</w:t>
      </w:r>
      <w:r w:rsidRPr="008A215A">
        <w:rPr>
          <w:rFonts w:ascii="Palatino Linotype" w:eastAsia="Palatino Linotype" w:hAnsi="Palatino Linotype" w:cs="Palatino Linotype"/>
        </w:rPr>
        <w:t xml:space="preserve">, se advierte que en fechas treinta de noviembre de dos mil veintiuno, se acordó la admisión a trámite del recurso de revisión que nos ocupa;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A215A">
        <w:rPr>
          <w:rFonts w:ascii="Palatino Linotype" w:eastAsia="Palatino Linotype" w:hAnsi="Palatino Linotype" w:cs="Palatino Linotype"/>
          <w:b/>
        </w:rPr>
        <w:t xml:space="preserve">EL SUJETO OBLIGADO </w:t>
      </w:r>
      <w:r w:rsidRPr="008A215A">
        <w:rPr>
          <w:rFonts w:ascii="Palatino Linotype" w:eastAsia="Palatino Linotype" w:hAnsi="Palatino Linotype" w:cs="Palatino Linotype"/>
        </w:rPr>
        <w:t>rindiera el correspondiente</w:t>
      </w:r>
      <w:r w:rsidRPr="008A215A">
        <w:rPr>
          <w:rFonts w:ascii="Palatino Linotype" w:eastAsia="Palatino Linotype" w:hAnsi="Palatino Linotype" w:cs="Palatino Linotype"/>
          <w:b/>
        </w:rPr>
        <w:t xml:space="preserve"> </w:t>
      </w:r>
      <w:r w:rsidRPr="008A215A">
        <w:rPr>
          <w:rFonts w:ascii="Palatino Linotype" w:eastAsia="Palatino Linotype" w:hAnsi="Palatino Linotype" w:cs="Palatino Linotype"/>
        </w:rPr>
        <w:t>Informe Justificado.</w:t>
      </w:r>
    </w:p>
    <w:p w14:paraId="339701FF" w14:textId="77777777" w:rsidR="005354DF" w:rsidRPr="008A215A" w:rsidRDefault="005354DF">
      <w:pPr>
        <w:tabs>
          <w:tab w:val="center" w:pos="4252"/>
          <w:tab w:val="right" w:pos="8504"/>
        </w:tabs>
        <w:spacing w:line="360" w:lineRule="auto"/>
        <w:jc w:val="both"/>
        <w:rPr>
          <w:rFonts w:ascii="Palatino Linotype" w:eastAsia="Palatino Linotype" w:hAnsi="Palatino Linotype" w:cs="Palatino Linotype"/>
        </w:rPr>
      </w:pPr>
    </w:p>
    <w:p w14:paraId="4334599F" w14:textId="77777777" w:rsidR="005354DF" w:rsidRPr="008A215A" w:rsidRDefault="004E07F3">
      <w:pPr>
        <w:tabs>
          <w:tab w:val="center" w:pos="4252"/>
          <w:tab w:val="right" w:pos="8504"/>
        </w:tabs>
        <w:spacing w:line="360" w:lineRule="auto"/>
        <w:jc w:val="both"/>
        <w:rPr>
          <w:rFonts w:ascii="Palatino Linotype" w:eastAsia="Palatino Linotype" w:hAnsi="Palatino Linotype" w:cs="Palatino Linotype"/>
        </w:rPr>
      </w:pPr>
      <w:bookmarkStart w:id="4" w:name="_heading=h.1fob9te" w:colFirst="0" w:colLast="0"/>
      <w:bookmarkEnd w:id="4"/>
      <w:r w:rsidRPr="008A215A">
        <w:rPr>
          <w:rFonts w:ascii="Palatino Linotype" w:eastAsia="Palatino Linotype" w:hAnsi="Palatino Linotype" w:cs="Palatino Linotype"/>
          <w:b/>
          <w:sz w:val="28"/>
          <w:szCs w:val="28"/>
        </w:rPr>
        <w:t xml:space="preserve">VII. </w:t>
      </w:r>
      <w:r w:rsidRPr="008A215A">
        <w:rPr>
          <w:rFonts w:ascii="Palatino Linotype" w:eastAsia="Palatino Linotype" w:hAnsi="Palatino Linotype" w:cs="Palatino Linotype"/>
        </w:rPr>
        <w:t>En cumplimiento a lo anterior, de las constancias del expediente electrónico del </w:t>
      </w:r>
      <w:r w:rsidRPr="008A215A">
        <w:rPr>
          <w:rFonts w:ascii="Palatino Linotype" w:eastAsia="Palatino Linotype" w:hAnsi="Palatino Linotype" w:cs="Palatino Linotype"/>
          <w:b/>
        </w:rPr>
        <w:t>SAIMEX</w:t>
      </w:r>
      <w:r w:rsidRPr="008A215A">
        <w:rPr>
          <w:rFonts w:ascii="Palatino Linotype" w:eastAsia="Palatino Linotype" w:hAnsi="Palatino Linotype" w:cs="Palatino Linotype"/>
        </w:rPr>
        <w:t>, el particular no realizó sus manifestaciones conforme a derecho le correspondían; al igual, </w:t>
      </w:r>
      <w:r w:rsidRPr="008A215A">
        <w:rPr>
          <w:rFonts w:ascii="Palatino Linotype" w:eastAsia="Palatino Linotype" w:hAnsi="Palatino Linotype" w:cs="Palatino Linotype"/>
          <w:b/>
        </w:rPr>
        <w:t xml:space="preserve">EL SUJETO OBLIGADO </w:t>
      </w:r>
      <w:r w:rsidRPr="008A215A">
        <w:rPr>
          <w:rFonts w:ascii="Palatino Linotype" w:eastAsia="Palatino Linotype" w:hAnsi="Palatino Linotype" w:cs="Palatino Linotype"/>
        </w:rPr>
        <w:t>fue omiso de rendir su Informe Justificado, como se desprende en la imagen que a continuación se inserta:</w:t>
      </w:r>
    </w:p>
    <w:p w14:paraId="4A5EF543" w14:textId="77777777" w:rsidR="005354DF" w:rsidRPr="008A215A" w:rsidRDefault="004E07F3">
      <w:pPr>
        <w:jc w:val="both"/>
        <w:rPr>
          <w:rFonts w:ascii="Palatino Linotype" w:eastAsia="Palatino Linotype" w:hAnsi="Palatino Linotype" w:cs="Palatino Linotype"/>
        </w:rPr>
      </w:pPr>
      <w:r w:rsidRPr="008A215A">
        <w:rPr>
          <w:rFonts w:ascii="Palatino Linotype" w:eastAsia="Palatino Linotype" w:hAnsi="Palatino Linotype" w:cs="Palatino Linotype"/>
          <w:noProof/>
        </w:rPr>
        <w:drawing>
          <wp:inline distT="0" distB="0" distL="0" distR="0" wp14:anchorId="70AE3762" wp14:editId="668FA5EE">
            <wp:extent cx="5791835" cy="1480820"/>
            <wp:effectExtent l="0" t="0" r="0" b="0"/>
            <wp:docPr id="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791835" cy="1480820"/>
                    </a:xfrm>
                    <a:prstGeom prst="rect">
                      <a:avLst/>
                    </a:prstGeom>
                    <a:ln/>
                  </pic:spPr>
                </pic:pic>
              </a:graphicData>
            </a:graphic>
          </wp:inline>
        </w:drawing>
      </w:r>
    </w:p>
    <w:p w14:paraId="37F3F6A3"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 </w:t>
      </w:r>
    </w:p>
    <w:p w14:paraId="2549A940" w14:textId="77777777" w:rsidR="005354DF" w:rsidRPr="008A215A" w:rsidRDefault="004E07F3">
      <w:pPr>
        <w:spacing w:line="360" w:lineRule="auto"/>
        <w:jc w:val="both"/>
        <w:rPr>
          <w:rFonts w:ascii="Palatino Linotype" w:eastAsia="Palatino Linotype" w:hAnsi="Palatino Linotype" w:cs="Palatino Linotype"/>
        </w:rPr>
      </w:pPr>
      <w:bookmarkStart w:id="5" w:name="_heading=h.3znysh7" w:colFirst="0" w:colLast="0"/>
      <w:bookmarkEnd w:id="5"/>
      <w:r w:rsidRPr="008A215A">
        <w:rPr>
          <w:rFonts w:ascii="Palatino Linotype" w:eastAsia="Palatino Linotype" w:hAnsi="Palatino Linotype" w:cs="Palatino Linotype"/>
          <w:b/>
          <w:sz w:val="28"/>
          <w:szCs w:val="28"/>
        </w:rPr>
        <w:t>VIII</w:t>
      </w:r>
      <w:r w:rsidRPr="008A215A">
        <w:rPr>
          <w:rFonts w:ascii="Palatino Linotype" w:eastAsia="Palatino Linotype" w:hAnsi="Palatino Linotype" w:cs="Palatino Linotype"/>
          <w:sz w:val="27"/>
          <w:szCs w:val="27"/>
        </w:rPr>
        <w:t xml:space="preserve">. </w:t>
      </w:r>
      <w:r w:rsidRPr="008A215A">
        <w:rPr>
          <w:rFonts w:ascii="Palatino Linotype" w:eastAsia="Palatino Linotype" w:hAnsi="Palatino Linotype" w:cs="Palatino Linotype"/>
        </w:rPr>
        <w:t xml:space="preserve">En fecha nueve de diciembre de dos mil veintiuno, el Pleno del Instituto de Transparencia, Acceso a la Información Pública y Protección de Datos Personales del Estado de México y Municipios, mediante acuerdo signado por sus integrantes, aprobó </w:t>
      </w:r>
      <w:r w:rsidRPr="008A215A">
        <w:rPr>
          <w:rFonts w:ascii="Palatino Linotype" w:eastAsia="Palatino Linotype" w:hAnsi="Palatino Linotype" w:cs="Palatino Linotype"/>
        </w:rPr>
        <w:lastRenderedPageBreak/>
        <w:t xml:space="preserve">la Licencia por incapacidad médica de la </w:t>
      </w:r>
      <w:r w:rsidRPr="008A215A">
        <w:rPr>
          <w:rFonts w:ascii="Palatino Linotype" w:eastAsia="Palatino Linotype" w:hAnsi="Palatino Linotype" w:cs="Palatino Linotype"/>
          <w:b/>
        </w:rPr>
        <w:t>Comisionada</w:t>
      </w:r>
      <w:r w:rsidRPr="008A215A">
        <w:rPr>
          <w:rFonts w:ascii="Palatino Linotype" w:eastAsia="Palatino Linotype" w:hAnsi="Palatino Linotype" w:cs="Palatino Linotype"/>
        </w:rPr>
        <w:t xml:space="preserve"> </w:t>
      </w:r>
      <w:r w:rsidRPr="008A215A">
        <w:rPr>
          <w:rFonts w:ascii="Palatino Linotype" w:eastAsia="Palatino Linotype" w:hAnsi="Palatino Linotype" w:cs="Palatino Linotype"/>
          <w:b/>
        </w:rPr>
        <w:t>Sharon Cristina Morales Martínez</w:t>
      </w:r>
      <w:r w:rsidRPr="008A215A">
        <w:rPr>
          <w:rFonts w:ascii="Palatino Linotype" w:eastAsia="Palatino Linotype" w:hAnsi="Palatino Linotype" w:cs="Palatino Linotype"/>
        </w:rPr>
        <w:t xml:space="preserve">, y a través del cual se convino el returno del recurso de revisión de mérito al </w:t>
      </w:r>
      <w:r w:rsidRPr="008A215A">
        <w:rPr>
          <w:rFonts w:ascii="Palatino Linotype" w:eastAsia="Palatino Linotype" w:hAnsi="Palatino Linotype" w:cs="Palatino Linotype"/>
          <w:b/>
        </w:rPr>
        <w:t>Comisionado Presidente</w:t>
      </w:r>
      <w:r w:rsidRPr="008A215A">
        <w:rPr>
          <w:rFonts w:ascii="Palatino Linotype" w:eastAsia="Palatino Linotype" w:hAnsi="Palatino Linotype" w:cs="Palatino Linotype"/>
        </w:rPr>
        <w:t xml:space="preserve"> </w:t>
      </w:r>
      <w:r w:rsidRPr="008A215A">
        <w:rPr>
          <w:rFonts w:ascii="Palatino Linotype" w:eastAsia="Palatino Linotype" w:hAnsi="Palatino Linotype" w:cs="Palatino Linotype"/>
          <w:b/>
        </w:rPr>
        <w:t>José Martínez Vilchis</w:t>
      </w:r>
      <w:r w:rsidRPr="008A215A">
        <w:rPr>
          <w:rFonts w:ascii="Palatino Linotype" w:eastAsia="Palatino Linotype" w:hAnsi="Palatino Linotype" w:cs="Palatino Linotype"/>
        </w:rPr>
        <w:t>, para que diera trámite y resolviera conforme a derecho.</w:t>
      </w:r>
    </w:p>
    <w:p w14:paraId="15EED485" w14:textId="77777777" w:rsidR="005354DF" w:rsidRPr="008A215A" w:rsidRDefault="005354DF">
      <w:pPr>
        <w:spacing w:line="360" w:lineRule="auto"/>
        <w:jc w:val="both"/>
        <w:rPr>
          <w:rFonts w:ascii="Palatino Linotype" w:eastAsia="Palatino Linotype" w:hAnsi="Palatino Linotype" w:cs="Palatino Linotype"/>
        </w:rPr>
      </w:pPr>
      <w:bookmarkStart w:id="6" w:name="_heading=h.weipbw4qoi5x" w:colFirst="0" w:colLast="0"/>
      <w:bookmarkEnd w:id="6"/>
    </w:p>
    <w:p w14:paraId="065BA4BF"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b/>
          <w:sz w:val="28"/>
          <w:szCs w:val="28"/>
        </w:rPr>
        <w:t>IX.</w:t>
      </w:r>
      <w:r w:rsidRPr="008A215A">
        <w:rPr>
          <w:rFonts w:ascii="Palatino Linotype" w:eastAsia="Palatino Linotype" w:hAnsi="Palatino Linotype" w:cs="Palatino Linotype"/>
          <w:sz w:val="28"/>
          <w:szCs w:val="28"/>
        </w:rPr>
        <w:t xml:space="preserve"> </w:t>
      </w:r>
      <w:r w:rsidRPr="008A215A">
        <w:rPr>
          <w:rFonts w:ascii="Palatino Linotype" w:eastAsia="Palatino Linotype" w:hAnsi="Palatino Linotype" w:cs="Palatino Linotype"/>
        </w:rPr>
        <w:t xml:space="preserve">Una vez analizado el estado procesal que guardaba el expediente, en fecha trece de diciembre de dos mil veintiuno, el </w:t>
      </w:r>
      <w:r w:rsidRPr="008A215A">
        <w:rPr>
          <w:rFonts w:ascii="Palatino Linotype" w:eastAsia="Palatino Linotype" w:hAnsi="Palatino Linotype" w:cs="Palatino Linotype"/>
          <w:b/>
        </w:rPr>
        <w:t>Comisionado presidente</w:t>
      </w:r>
      <w:r w:rsidRPr="008A215A">
        <w:rPr>
          <w:rFonts w:ascii="Palatino Linotype" w:eastAsia="Palatino Linotype" w:hAnsi="Palatino Linotype" w:cs="Palatino Linotype"/>
        </w:rPr>
        <w:t xml:space="preserve"> </w:t>
      </w:r>
      <w:r w:rsidRPr="008A215A">
        <w:rPr>
          <w:rFonts w:ascii="Palatino Linotype" w:eastAsia="Palatino Linotype" w:hAnsi="Palatino Linotype" w:cs="Palatino Linotype"/>
          <w:b/>
        </w:rPr>
        <w:t>José Martínez Vilchis</w:t>
      </w:r>
      <w:r w:rsidRPr="008A215A">
        <w:rPr>
          <w:rFonts w:ascii="Palatino Linotype" w:eastAsia="Palatino Linotype" w:hAnsi="Palatino Linotype" w:cs="Palatino Linotype"/>
        </w:rPr>
        <w:t xml:space="preserv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47DA9EAA" w14:textId="77777777" w:rsidR="008816D9" w:rsidRPr="008A215A" w:rsidRDefault="008816D9">
      <w:pPr>
        <w:spacing w:line="360" w:lineRule="auto"/>
        <w:jc w:val="both"/>
        <w:rPr>
          <w:rFonts w:ascii="Palatino Linotype" w:eastAsia="Palatino Linotype" w:hAnsi="Palatino Linotype" w:cs="Palatino Linotype"/>
          <w:b/>
          <w:sz w:val="28"/>
          <w:szCs w:val="28"/>
        </w:rPr>
      </w:pPr>
    </w:p>
    <w:p w14:paraId="04CBF03C" w14:textId="2905B76D"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b/>
          <w:sz w:val="28"/>
          <w:szCs w:val="28"/>
        </w:rPr>
        <w:t>X</w:t>
      </w:r>
      <w:r w:rsidRPr="008A215A">
        <w:rPr>
          <w:rFonts w:ascii="Palatino Linotype" w:eastAsia="Palatino Linotype" w:hAnsi="Palatino Linotype" w:cs="Palatino Linotype"/>
        </w:rPr>
        <w:t>. En fecha veintisiete de enero de dos mil veintidós, se notificó el acuerdo de ampliación de plazo para resolver el presente Recurso de Revisión, previsto en el artículo 181, tercer párrafo de la Ley de Transparencia y Acceso a la Información Pública del Estado de México y Municipios; y,</w:t>
      </w:r>
    </w:p>
    <w:p w14:paraId="1ECBCDCB" w14:textId="77777777" w:rsidR="005354DF" w:rsidRPr="008A215A" w:rsidRDefault="005354DF">
      <w:pPr>
        <w:spacing w:line="360" w:lineRule="auto"/>
        <w:jc w:val="both"/>
        <w:rPr>
          <w:rFonts w:ascii="Palatino Linotype" w:eastAsia="Palatino Linotype" w:hAnsi="Palatino Linotype" w:cs="Palatino Linotype"/>
        </w:rPr>
      </w:pPr>
    </w:p>
    <w:p w14:paraId="0BA2ADBB" w14:textId="77777777" w:rsidR="005354DF" w:rsidRPr="008A215A" w:rsidRDefault="005354DF">
      <w:pPr>
        <w:spacing w:line="360" w:lineRule="auto"/>
        <w:jc w:val="both"/>
        <w:rPr>
          <w:rFonts w:ascii="Palatino Linotype" w:eastAsia="Palatino Linotype" w:hAnsi="Palatino Linotype" w:cs="Palatino Linotype"/>
        </w:rPr>
      </w:pPr>
    </w:p>
    <w:p w14:paraId="7AEF8F42" w14:textId="77777777" w:rsidR="005354DF" w:rsidRPr="008A215A" w:rsidRDefault="004E07F3">
      <w:pPr>
        <w:jc w:val="center"/>
        <w:rPr>
          <w:rFonts w:ascii="Palatino Linotype" w:eastAsia="Palatino Linotype" w:hAnsi="Palatino Linotype" w:cs="Palatino Linotype"/>
          <w:b/>
          <w:sz w:val="28"/>
          <w:szCs w:val="28"/>
        </w:rPr>
      </w:pPr>
      <w:r w:rsidRPr="008A215A">
        <w:rPr>
          <w:rFonts w:ascii="Palatino Linotype" w:eastAsia="Palatino Linotype" w:hAnsi="Palatino Linotype" w:cs="Palatino Linotype"/>
          <w:b/>
          <w:sz w:val="28"/>
          <w:szCs w:val="28"/>
        </w:rPr>
        <w:t>CONSIDERANDO</w:t>
      </w:r>
    </w:p>
    <w:p w14:paraId="5357DD3F" w14:textId="77777777" w:rsidR="005354DF" w:rsidRPr="008A215A" w:rsidRDefault="005354DF">
      <w:pPr>
        <w:jc w:val="center"/>
        <w:rPr>
          <w:rFonts w:ascii="Palatino Linotype" w:eastAsia="Palatino Linotype" w:hAnsi="Palatino Linotype" w:cs="Palatino Linotype"/>
          <w:b/>
          <w:sz w:val="28"/>
          <w:szCs w:val="28"/>
        </w:rPr>
      </w:pPr>
    </w:p>
    <w:p w14:paraId="6CCFA6E8" w14:textId="77777777" w:rsidR="005354DF" w:rsidRPr="008A215A" w:rsidRDefault="005354DF">
      <w:pPr>
        <w:jc w:val="center"/>
        <w:rPr>
          <w:rFonts w:ascii="Palatino Linotype" w:eastAsia="Palatino Linotype" w:hAnsi="Palatino Linotype" w:cs="Palatino Linotype"/>
          <w:b/>
          <w:sz w:val="28"/>
          <w:szCs w:val="28"/>
        </w:rPr>
      </w:pPr>
    </w:p>
    <w:p w14:paraId="7542F722" w14:textId="77777777" w:rsidR="005354DF" w:rsidRPr="008A215A" w:rsidRDefault="004E07F3">
      <w:pPr>
        <w:widowControl w:val="0"/>
        <w:tabs>
          <w:tab w:val="left" w:pos="1701"/>
        </w:tabs>
        <w:spacing w:line="360" w:lineRule="auto"/>
        <w:jc w:val="both"/>
        <w:rPr>
          <w:rFonts w:ascii="Palatino Linotype" w:eastAsia="Palatino Linotype" w:hAnsi="Palatino Linotype" w:cs="Palatino Linotype"/>
          <w:sz w:val="22"/>
          <w:szCs w:val="22"/>
        </w:rPr>
      </w:pPr>
      <w:r w:rsidRPr="008A215A">
        <w:rPr>
          <w:rFonts w:ascii="Palatino Linotype" w:eastAsia="Palatino Linotype" w:hAnsi="Palatino Linotype" w:cs="Palatino Linotype"/>
          <w:b/>
          <w:sz w:val="28"/>
          <w:szCs w:val="28"/>
        </w:rPr>
        <w:t xml:space="preserve">PRIMERO. </w:t>
      </w:r>
      <w:r w:rsidRPr="008A215A">
        <w:rPr>
          <w:rFonts w:ascii="Palatino Linotype" w:eastAsia="Palatino Linotype" w:hAnsi="Palatino Linotype" w:cs="Palatino Linotype"/>
          <w:b/>
        </w:rPr>
        <w:t>Competencia</w:t>
      </w:r>
      <w:r w:rsidRPr="008A215A">
        <w:rPr>
          <w:rFonts w:ascii="Palatino Linotype" w:eastAsia="Palatino Linotype" w:hAnsi="Palatino Linotype" w:cs="Palatino Linotype"/>
        </w:rPr>
        <w:t>.</w:t>
      </w:r>
      <w:r w:rsidRPr="008A215A">
        <w:rPr>
          <w:rFonts w:ascii="Palatino Linotype" w:eastAsia="Palatino Linotype" w:hAnsi="Palatino Linotype" w:cs="Palatino Linotype"/>
          <w:b/>
          <w:sz w:val="22"/>
          <w:szCs w:val="22"/>
        </w:rPr>
        <w:t xml:space="preserve"> </w:t>
      </w:r>
    </w:p>
    <w:p w14:paraId="250FC013" w14:textId="77777777" w:rsidR="005354DF" w:rsidRPr="008A215A" w:rsidRDefault="005354DF">
      <w:pPr>
        <w:widowControl w:val="0"/>
        <w:tabs>
          <w:tab w:val="left" w:pos="1701"/>
        </w:tabs>
        <w:spacing w:line="360" w:lineRule="auto"/>
        <w:jc w:val="both"/>
        <w:rPr>
          <w:rFonts w:ascii="Palatino Linotype" w:eastAsia="Palatino Linotype" w:hAnsi="Palatino Linotype" w:cs="Palatino Linotype"/>
        </w:rPr>
      </w:pPr>
      <w:bookmarkStart w:id="7" w:name="_heading=h.2et92p0" w:colFirst="0" w:colLast="0"/>
      <w:bookmarkEnd w:id="7"/>
    </w:p>
    <w:p w14:paraId="684861F5" w14:textId="77777777" w:rsidR="005354DF" w:rsidRPr="008A215A" w:rsidRDefault="004E07F3">
      <w:pPr>
        <w:widowControl w:val="0"/>
        <w:tabs>
          <w:tab w:val="left" w:pos="1701"/>
        </w:tabs>
        <w:spacing w:line="360" w:lineRule="auto"/>
        <w:jc w:val="both"/>
        <w:rPr>
          <w:rFonts w:ascii="Palatino Linotype" w:eastAsia="Palatino Linotype" w:hAnsi="Palatino Linotype" w:cs="Palatino Linotype"/>
        </w:rPr>
      </w:pPr>
      <w:bookmarkStart w:id="8" w:name="_heading=h.jwnj1ih0wgf8" w:colFirst="0" w:colLast="0"/>
      <w:bookmarkEnd w:id="8"/>
      <w:r w:rsidRPr="008A215A">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w:t>
      </w:r>
      <w:r w:rsidRPr="008A215A">
        <w:rPr>
          <w:rFonts w:ascii="Palatino Linotype" w:eastAsia="Palatino Linotype" w:hAnsi="Palatino Linotype" w:cs="Palatino Linotype"/>
        </w:rPr>
        <w:lastRenderedPageBreak/>
        <w:t>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3BE2D1AA" w14:textId="77777777" w:rsidR="005354DF" w:rsidRPr="008A215A" w:rsidRDefault="005354DF">
      <w:pPr>
        <w:widowControl w:val="0"/>
        <w:tabs>
          <w:tab w:val="left" w:pos="1701"/>
          <w:tab w:val="left" w:pos="2977"/>
        </w:tabs>
        <w:spacing w:line="360" w:lineRule="auto"/>
        <w:jc w:val="both"/>
        <w:rPr>
          <w:rFonts w:ascii="Palatino Linotype" w:eastAsia="Palatino Linotype" w:hAnsi="Palatino Linotype" w:cs="Palatino Linotype"/>
        </w:rPr>
      </w:pPr>
    </w:p>
    <w:p w14:paraId="0792428C" w14:textId="77777777" w:rsidR="005354DF" w:rsidRPr="008A215A" w:rsidRDefault="004E07F3">
      <w:pPr>
        <w:spacing w:line="360" w:lineRule="auto"/>
        <w:jc w:val="both"/>
        <w:rPr>
          <w:rFonts w:ascii="Palatino Linotype" w:eastAsia="Palatino Linotype" w:hAnsi="Palatino Linotype" w:cs="Palatino Linotype"/>
          <w:b/>
        </w:rPr>
      </w:pPr>
      <w:r w:rsidRPr="008A215A">
        <w:rPr>
          <w:rFonts w:ascii="Palatino Linotype" w:eastAsia="Palatino Linotype" w:hAnsi="Palatino Linotype" w:cs="Palatino Linotype"/>
          <w:b/>
          <w:sz w:val="28"/>
          <w:szCs w:val="28"/>
        </w:rPr>
        <w:t>SEGUNDO</w:t>
      </w:r>
      <w:r w:rsidRPr="008A215A">
        <w:rPr>
          <w:rFonts w:ascii="Palatino Linotype" w:eastAsia="Palatino Linotype" w:hAnsi="Palatino Linotype" w:cs="Palatino Linotype"/>
          <w:b/>
        </w:rPr>
        <w:t xml:space="preserve">. Interés. </w:t>
      </w:r>
    </w:p>
    <w:p w14:paraId="110FBBE5" w14:textId="77777777" w:rsidR="005354DF" w:rsidRPr="008A215A" w:rsidRDefault="004E07F3">
      <w:pPr>
        <w:spacing w:line="360" w:lineRule="auto"/>
        <w:jc w:val="both"/>
        <w:rPr>
          <w:rFonts w:ascii="Palatino Linotype" w:eastAsia="Palatino Linotype" w:hAnsi="Palatino Linotype" w:cs="Palatino Linotype"/>
          <w:b/>
        </w:rPr>
      </w:pPr>
      <w:r w:rsidRPr="008A215A">
        <w:rPr>
          <w:rFonts w:ascii="Palatino Linotype" w:eastAsia="Palatino Linotype" w:hAnsi="Palatino Linotype" w:cs="Palatino Linotype"/>
        </w:rPr>
        <w:t xml:space="preserve">El recurso de revisión fue interpuesto por parte legítima, en atención a que se presentó por </w:t>
      </w:r>
      <w:r w:rsidRPr="008A215A">
        <w:rPr>
          <w:rFonts w:ascii="Palatino Linotype" w:eastAsia="Palatino Linotype" w:hAnsi="Palatino Linotype" w:cs="Palatino Linotype"/>
          <w:b/>
        </w:rPr>
        <w:t>EL RECURRENTE,</w:t>
      </w:r>
      <w:r w:rsidRPr="008A215A">
        <w:rPr>
          <w:rFonts w:ascii="Palatino Linotype" w:eastAsia="Palatino Linotype" w:hAnsi="Palatino Linotype" w:cs="Palatino Linotype"/>
        </w:rPr>
        <w:t xml:space="preserve"> quien es la misma persona que formuló la solicitud de acceso a la información pública al </w:t>
      </w:r>
      <w:r w:rsidRPr="008A215A">
        <w:rPr>
          <w:rFonts w:ascii="Palatino Linotype" w:eastAsia="Palatino Linotype" w:hAnsi="Palatino Linotype" w:cs="Palatino Linotype"/>
          <w:b/>
        </w:rPr>
        <w:t>SUJETO OBLIGADO.</w:t>
      </w:r>
    </w:p>
    <w:p w14:paraId="23A7FB29" w14:textId="77777777" w:rsidR="005354DF" w:rsidRPr="008A215A" w:rsidRDefault="005354DF">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7E5B2BDB" w14:textId="77777777" w:rsidR="005354DF" w:rsidRPr="008A215A" w:rsidRDefault="004E07F3">
      <w:pPr>
        <w:tabs>
          <w:tab w:val="center" w:pos="4252"/>
          <w:tab w:val="right" w:pos="8504"/>
        </w:tabs>
        <w:spacing w:line="360" w:lineRule="auto"/>
        <w:ind w:left="-57"/>
        <w:jc w:val="both"/>
        <w:rPr>
          <w:rFonts w:ascii="Palatino Linotype" w:eastAsia="Palatino Linotype" w:hAnsi="Palatino Linotype" w:cs="Palatino Linotype"/>
          <w:color w:val="000000"/>
        </w:rPr>
      </w:pPr>
      <w:r w:rsidRPr="008A215A">
        <w:rPr>
          <w:rFonts w:ascii="Palatino Linotype" w:eastAsia="Palatino Linotype" w:hAnsi="Palatino Linotype" w:cs="Palatino Linotype"/>
          <w:b/>
          <w:sz w:val="28"/>
          <w:szCs w:val="28"/>
        </w:rPr>
        <w:t>TERCERO.</w:t>
      </w:r>
      <w:r w:rsidRPr="008A215A">
        <w:rPr>
          <w:rFonts w:ascii="Palatino Linotype" w:eastAsia="Palatino Linotype" w:hAnsi="Palatino Linotype" w:cs="Palatino Linotype"/>
        </w:rPr>
        <w:t xml:space="preserve"> </w:t>
      </w:r>
      <w:r w:rsidRPr="008A215A">
        <w:rPr>
          <w:rFonts w:ascii="Palatino Linotype" w:eastAsia="Palatino Linotype" w:hAnsi="Palatino Linotype" w:cs="Palatino Linotype"/>
          <w:b/>
          <w:color w:val="000000"/>
        </w:rPr>
        <w:t xml:space="preserve"> Oportunidad</w:t>
      </w:r>
      <w:r w:rsidRPr="008A215A">
        <w:rPr>
          <w:rFonts w:ascii="Palatino Linotype" w:eastAsia="Palatino Linotype" w:hAnsi="Palatino Linotype" w:cs="Palatino Linotype"/>
          <w:color w:val="000000"/>
        </w:rPr>
        <w:t xml:space="preserve">. </w:t>
      </w:r>
    </w:p>
    <w:p w14:paraId="0AAE7A35" w14:textId="77777777" w:rsidR="005354DF" w:rsidRPr="008A215A" w:rsidRDefault="005354DF">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rPr>
      </w:pPr>
    </w:p>
    <w:p w14:paraId="6292EA4A" w14:textId="77777777" w:rsidR="005354DF" w:rsidRPr="008A215A" w:rsidRDefault="004E07F3">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8A215A">
        <w:rPr>
          <w:rFonts w:ascii="Palatino Linotype" w:eastAsia="Palatino Linotype" w:hAnsi="Palatino Linotype" w:cs="Palatino Linotype"/>
          <w:color w:val="000000"/>
        </w:rPr>
        <w:t xml:space="preserve">El recurso de revisión fue interpuesto dentro del plazo de quince días hábiles, contados a partir del día siguiente al que </w:t>
      </w:r>
      <w:r w:rsidRPr="008A215A">
        <w:rPr>
          <w:rFonts w:ascii="Palatino Linotype" w:eastAsia="Palatino Linotype" w:hAnsi="Palatino Linotype" w:cs="Palatino Linotype"/>
          <w:b/>
          <w:color w:val="000000"/>
        </w:rPr>
        <w:t xml:space="preserve">EL RECURRENTE </w:t>
      </w:r>
      <w:r w:rsidRPr="008A215A">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39330B13" w14:textId="77777777" w:rsidR="005354DF" w:rsidRPr="008A215A" w:rsidRDefault="005354DF">
      <w:pPr>
        <w:ind w:left="720" w:right="709"/>
        <w:jc w:val="both"/>
        <w:rPr>
          <w:rFonts w:ascii="Palatino Linotype" w:eastAsia="Palatino Linotype" w:hAnsi="Palatino Linotype" w:cs="Palatino Linotype"/>
          <w:i/>
          <w:sz w:val="22"/>
          <w:szCs w:val="22"/>
        </w:rPr>
      </w:pPr>
    </w:p>
    <w:p w14:paraId="763CAAD8" w14:textId="77777777" w:rsidR="005354DF" w:rsidRPr="008A215A" w:rsidRDefault="004E07F3">
      <w:pPr>
        <w:ind w:left="851" w:right="899"/>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w:t>
      </w:r>
      <w:r w:rsidRPr="008A215A">
        <w:rPr>
          <w:rFonts w:ascii="Palatino Linotype" w:eastAsia="Palatino Linotype" w:hAnsi="Palatino Linotype" w:cs="Palatino Linotype"/>
          <w:b/>
          <w:i/>
          <w:sz w:val="22"/>
          <w:szCs w:val="22"/>
        </w:rPr>
        <w:t>Artículo 178.</w:t>
      </w:r>
      <w:r w:rsidRPr="008A215A">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8A215A">
        <w:rPr>
          <w:rFonts w:ascii="Palatino Linotype" w:eastAsia="Palatino Linotype" w:hAnsi="Palatino Linotype" w:cs="Palatino Linotype"/>
          <w:i/>
          <w:sz w:val="22"/>
          <w:szCs w:val="22"/>
        </w:rPr>
        <w:lastRenderedPageBreak/>
        <w:t>dentro de los quince días hábiles, siguientes a la fecha de la notificación de la respuesta.</w:t>
      </w:r>
    </w:p>
    <w:p w14:paraId="10732399" w14:textId="77777777" w:rsidR="005354DF" w:rsidRPr="008A215A" w:rsidRDefault="005354DF">
      <w:pPr>
        <w:ind w:left="851" w:right="899"/>
        <w:jc w:val="both"/>
        <w:rPr>
          <w:rFonts w:ascii="Palatino Linotype" w:eastAsia="Palatino Linotype" w:hAnsi="Palatino Linotype" w:cs="Palatino Linotype"/>
          <w:i/>
          <w:sz w:val="22"/>
          <w:szCs w:val="22"/>
        </w:rPr>
      </w:pPr>
    </w:p>
    <w:p w14:paraId="2C295344" w14:textId="77777777" w:rsidR="005354DF" w:rsidRPr="008A215A" w:rsidRDefault="004E07F3">
      <w:pPr>
        <w:ind w:left="851" w:right="899"/>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86C1166" w14:textId="77777777" w:rsidR="005354DF" w:rsidRPr="008A215A" w:rsidRDefault="005354DF">
      <w:pPr>
        <w:ind w:left="851" w:right="899"/>
        <w:jc w:val="both"/>
        <w:rPr>
          <w:rFonts w:ascii="Palatino Linotype" w:eastAsia="Palatino Linotype" w:hAnsi="Palatino Linotype" w:cs="Palatino Linotype"/>
          <w:i/>
          <w:sz w:val="22"/>
          <w:szCs w:val="22"/>
        </w:rPr>
      </w:pPr>
    </w:p>
    <w:p w14:paraId="74E44AA5" w14:textId="77777777" w:rsidR="005354DF" w:rsidRPr="008A215A" w:rsidRDefault="004E07F3">
      <w:pPr>
        <w:ind w:left="851" w:right="899"/>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5109EEA" w14:textId="77777777" w:rsidR="005354DF" w:rsidRPr="008A215A" w:rsidRDefault="005354DF">
      <w:pPr>
        <w:ind w:left="720" w:right="709"/>
        <w:jc w:val="both"/>
        <w:rPr>
          <w:rFonts w:ascii="Palatino Linotype" w:eastAsia="Palatino Linotype" w:hAnsi="Palatino Linotype" w:cs="Palatino Linotype"/>
          <w:i/>
          <w:sz w:val="22"/>
          <w:szCs w:val="22"/>
        </w:rPr>
      </w:pPr>
    </w:p>
    <w:p w14:paraId="19AD6455" w14:textId="77777777" w:rsidR="005354DF" w:rsidRPr="008A215A" w:rsidRDefault="004E07F3">
      <w:pPr>
        <w:spacing w:line="360" w:lineRule="auto"/>
        <w:jc w:val="both"/>
        <w:rPr>
          <w:rFonts w:ascii="Palatino Linotype" w:eastAsia="Palatino Linotype" w:hAnsi="Palatino Linotype" w:cs="Palatino Linotype"/>
        </w:rPr>
      </w:pPr>
      <w:bookmarkStart w:id="9" w:name="_heading=h.tyjcwt" w:colFirst="0" w:colLast="0"/>
      <w:bookmarkEnd w:id="9"/>
      <w:r w:rsidRPr="008A215A">
        <w:rPr>
          <w:rFonts w:ascii="Palatino Linotype" w:eastAsia="Palatino Linotype" w:hAnsi="Palatino Linotype" w:cs="Palatino Linotype"/>
        </w:rPr>
        <w:t xml:space="preserve">En esa tesitura, atendiendo a que </w:t>
      </w:r>
      <w:r w:rsidRPr="008A215A">
        <w:rPr>
          <w:rFonts w:ascii="Palatino Linotype" w:eastAsia="Palatino Linotype" w:hAnsi="Palatino Linotype" w:cs="Palatino Linotype"/>
          <w:b/>
        </w:rPr>
        <w:t>EL SUJETO OBLIGADO</w:t>
      </w:r>
      <w:r w:rsidRPr="008A215A">
        <w:rPr>
          <w:rFonts w:ascii="Palatino Linotype" w:eastAsia="Palatino Linotype" w:hAnsi="Palatino Linotype" w:cs="Palatino Linotype"/>
        </w:rPr>
        <w:t xml:space="preserve"> notificó la respuesta a la solicitud de acceso a la información pública el día</w:t>
      </w:r>
      <w:r w:rsidRPr="008A215A">
        <w:rPr>
          <w:rFonts w:ascii="Palatino Linotype" w:eastAsia="Palatino Linotype" w:hAnsi="Palatino Linotype" w:cs="Palatino Linotype"/>
          <w:b/>
        </w:rPr>
        <w:t xml:space="preserve"> veinticinco de noviembre de dos mil veintiuno</w:t>
      </w:r>
      <w:r w:rsidRPr="008A215A">
        <w:rPr>
          <w:rFonts w:ascii="Palatino Linotype" w:eastAsia="Palatino Linotype" w:hAnsi="Palatino Linotype" w:cs="Palatino Linotype"/>
        </w:rPr>
        <w:t>; así, el plazo de quince días hábiles que el artículo 178 de la Ley de la materia otorga al</w:t>
      </w:r>
      <w:r w:rsidRPr="008A215A">
        <w:rPr>
          <w:rFonts w:ascii="Palatino Linotype" w:eastAsia="Palatino Linotype" w:hAnsi="Palatino Linotype" w:cs="Palatino Linotype"/>
          <w:b/>
        </w:rPr>
        <w:t xml:space="preserve"> RECURRENTE</w:t>
      </w:r>
      <w:r w:rsidRPr="008A215A">
        <w:rPr>
          <w:rFonts w:ascii="Palatino Linotype" w:eastAsia="Palatino Linotype" w:hAnsi="Palatino Linotype" w:cs="Palatino Linotype"/>
        </w:rPr>
        <w:t xml:space="preserve"> para presentar el respectivo recurso de revisión, transcurrió del </w:t>
      </w:r>
      <w:r w:rsidRPr="008A215A">
        <w:rPr>
          <w:rFonts w:ascii="Palatino Linotype" w:eastAsia="Palatino Linotype" w:hAnsi="Palatino Linotype" w:cs="Palatino Linotype"/>
          <w:b/>
        </w:rPr>
        <w:t>veintiséis de noviembre al dieciséis de diciembre de dos mil veintiuno</w:t>
      </w:r>
      <w:r w:rsidRPr="008A215A">
        <w:rPr>
          <w:rFonts w:ascii="Palatino Linotype" w:eastAsia="Palatino Linotype" w:hAnsi="Palatino Linotype" w:cs="Palatino Linotype"/>
        </w:rPr>
        <w:t>, sin contemplar en el cómputo los días veintisiete, veintiocho de noviembre, así como cuatro, cinco, once y doce de diciembre de dos mil veintiuno, por corresponder a sábados y domingos, considerados como días inhábiles, en términos del artículo 3, fracción X de la Ley de Transparencia y Acceso a la Información Pública del Estado de México y Municipios.</w:t>
      </w:r>
    </w:p>
    <w:p w14:paraId="2BEEC4F5" w14:textId="77777777" w:rsidR="005354DF" w:rsidRPr="008A215A" w:rsidRDefault="004E07F3">
      <w:pPr>
        <w:spacing w:line="360" w:lineRule="auto"/>
        <w:ind w:left="-5" w:hanging="10"/>
        <w:jc w:val="both"/>
        <w:rPr>
          <w:rFonts w:ascii="Palatino Linotype" w:eastAsia="Palatino Linotype" w:hAnsi="Palatino Linotype" w:cs="Palatino Linotype"/>
        </w:rPr>
      </w:pPr>
      <w:r w:rsidRPr="008A215A">
        <w:rPr>
          <w:rFonts w:ascii="Palatino Linotype" w:eastAsia="Palatino Linotype" w:hAnsi="Palatino Linotype" w:cs="Palatino Linotype"/>
        </w:rPr>
        <w:t>En ese tenor, si el recurso de revisión que nos ocupa, se interpuso el</w:t>
      </w:r>
      <w:r w:rsidRPr="008A215A">
        <w:rPr>
          <w:rFonts w:ascii="Palatino Linotype" w:eastAsia="Palatino Linotype" w:hAnsi="Palatino Linotype" w:cs="Palatino Linotype"/>
          <w:b/>
        </w:rPr>
        <w:t xml:space="preserve"> veintinueve de noviembre de dos mil veintiuno,</w:t>
      </w:r>
      <w:r w:rsidRPr="008A215A">
        <w:rPr>
          <w:rFonts w:ascii="Palatino Linotype" w:eastAsia="Palatino Linotype" w:hAnsi="Palatino Linotype" w:cs="Palatino Linotype"/>
        </w:rPr>
        <w:t xml:space="preserve"> éste se encuentra dentro de los márgenes temporales previstos en el citado precepto legal y, por tanto, se considera oportuno.</w:t>
      </w:r>
    </w:p>
    <w:p w14:paraId="0206A7B3" w14:textId="77777777" w:rsidR="005354DF" w:rsidRPr="008A215A" w:rsidRDefault="005354DF">
      <w:pPr>
        <w:spacing w:line="360" w:lineRule="auto"/>
        <w:ind w:left="-5" w:hanging="10"/>
        <w:jc w:val="both"/>
        <w:rPr>
          <w:rFonts w:ascii="Palatino Linotype" w:eastAsia="Palatino Linotype" w:hAnsi="Palatino Linotype" w:cs="Palatino Linotype"/>
        </w:rPr>
      </w:pPr>
    </w:p>
    <w:p w14:paraId="545C3673" w14:textId="77777777" w:rsidR="005354DF" w:rsidRPr="008A215A" w:rsidRDefault="004E07F3">
      <w:pPr>
        <w:spacing w:line="360" w:lineRule="auto"/>
        <w:ind w:right="49"/>
        <w:jc w:val="both"/>
        <w:rPr>
          <w:rFonts w:ascii="Palatino Linotype" w:eastAsia="Palatino Linotype" w:hAnsi="Palatino Linotype" w:cs="Palatino Linotype"/>
          <w:b/>
        </w:rPr>
      </w:pPr>
      <w:r w:rsidRPr="008A215A">
        <w:rPr>
          <w:rFonts w:ascii="Palatino Linotype" w:eastAsia="Palatino Linotype" w:hAnsi="Palatino Linotype" w:cs="Palatino Linotype"/>
          <w:b/>
          <w:sz w:val="28"/>
          <w:szCs w:val="28"/>
        </w:rPr>
        <w:t>CUARTO</w:t>
      </w:r>
      <w:r w:rsidRPr="008A215A">
        <w:rPr>
          <w:rFonts w:ascii="Palatino Linotype" w:eastAsia="Palatino Linotype" w:hAnsi="Palatino Linotype" w:cs="Palatino Linotype"/>
          <w:b/>
        </w:rPr>
        <w:t xml:space="preserve">. Procedibilidad. </w:t>
      </w:r>
    </w:p>
    <w:p w14:paraId="70A1AB00" w14:textId="77777777" w:rsidR="005354DF" w:rsidRPr="008A215A" w:rsidRDefault="005354DF">
      <w:pPr>
        <w:spacing w:line="360" w:lineRule="auto"/>
        <w:ind w:right="49"/>
        <w:jc w:val="both"/>
        <w:rPr>
          <w:rFonts w:ascii="Palatino Linotype" w:eastAsia="Palatino Linotype" w:hAnsi="Palatino Linotype" w:cs="Palatino Linotype"/>
        </w:rPr>
      </w:pPr>
    </w:p>
    <w:p w14:paraId="052A0BF3" w14:textId="77777777" w:rsidR="005354DF" w:rsidRPr="008A215A" w:rsidRDefault="004E07F3">
      <w:pPr>
        <w:spacing w:line="360" w:lineRule="auto"/>
        <w:ind w:right="49"/>
        <w:jc w:val="both"/>
        <w:rPr>
          <w:rFonts w:ascii="Palatino Linotype" w:eastAsia="Palatino Linotype" w:hAnsi="Palatino Linotype" w:cs="Palatino Linotype"/>
          <w:b/>
        </w:rPr>
      </w:pPr>
      <w:r w:rsidRPr="008A215A">
        <w:rPr>
          <w:rFonts w:ascii="Palatino Linotype" w:eastAsia="Palatino Linotype" w:hAnsi="Palatino Linotype" w:cs="Palatino Linotype"/>
        </w:rPr>
        <w:lastRenderedPageBreak/>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fueron presentados mediante el formato visible en </w:t>
      </w:r>
      <w:r w:rsidRPr="008A215A">
        <w:rPr>
          <w:rFonts w:ascii="Palatino Linotype" w:eastAsia="Palatino Linotype" w:hAnsi="Palatino Linotype" w:cs="Palatino Linotype"/>
          <w:b/>
        </w:rPr>
        <w:t>EL SAIMEX.</w:t>
      </w:r>
    </w:p>
    <w:p w14:paraId="391920F3" w14:textId="77777777" w:rsidR="005354DF" w:rsidRPr="008A215A" w:rsidRDefault="005354DF">
      <w:pPr>
        <w:spacing w:line="360" w:lineRule="auto"/>
        <w:ind w:right="49"/>
        <w:jc w:val="both"/>
        <w:rPr>
          <w:rFonts w:ascii="Palatino Linotype" w:eastAsia="Palatino Linotype" w:hAnsi="Palatino Linotype" w:cs="Palatino Linotype"/>
          <w:b/>
        </w:rPr>
      </w:pPr>
    </w:p>
    <w:p w14:paraId="1411E28C" w14:textId="77777777" w:rsidR="005354DF" w:rsidRPr="008A215A" w:rsidRDefault="004E07F3">
      <w:pPr>
        <w:spacing w:line="360" w:lineRule="auto"/>
        <w:jc w:val="both"/>
        <w:rPr>
          <w:rFonts w:ascii="Palatino Linotype" w:eastAsia="Palatino Linotype" w:hAnsi="Palatino Linotype" w:cs="Palatino Linotype"/>
          <w:b/>
        </w:rPr>
      </w:pPr>
      <w:r w:rsidRPr="008A215A">
        <w:rPr>
          <w:rFonts w:ascii="Palatino Linotype" w:eastAsia="Palatino Linotype" w:hAnsi="Palatino Linotype" w:cs="Palatino Linotype"/>
          <w:b/>
          <w:sz w:val="28"/>
          <w:szCs w:val="28"/>
        </w:rPr>
        <w:t>QUINTO</w:t>
      </w:r>
      <w:r w:rsidRPr="008A215A">
        <w:rPr>
          <w:rFonts w:ascii="Palatino Linotype" w:eastAsia="Palatino Linotype" w:hAnsi="Palatino Linotype" w:cs="Palatino Linotype"/>
          <w:b/>
        </w:rPr>
        <w:t xml:space="preserve">. Estudio y resolución del asunto. </w:t>
      </w:r>
    </w:p>
    <w:p w14:paraId="0D2CC74A" w14:textId="77777777" w:rsidR="005354DF" w:rsidRPr="008A215A" w:rsidRDefault="004E07F3">
      <w:pPr>
        <w:widowControl w:val="0"/>
        <w:spacing w:before="280" w:after="280"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En tal sentido, debemos recordar que el hoy</w:t>
      </w:r>
      <w:r w:rsidRPr="008A215A">
        <w:rPr>
          <w:rFonts w:ascii="Palatino Linotype" w:eastAsia="Palatino Linotype" w:hAnsi="Palatino Linotype" w:cs="Palatino Linotype"/>
          <w:b/>
        </w:rPr>
        <w:t xml:space="preserve"> RECURRENTE </w:t>
      </w:r>
      <w:r w:rsidRPr="008A215A">
        <w:rPr>
          <w:rFonts w:ascii="Palatino Linotype" w:eastAsia="Palatino Linotype" w:hAnsi="Palatino Linotype" w:cs="Palatino Linotype"/>
        </w:rPr>
        <w:t xml:space="preserve">en la solicitud de acceso a la información pública, requirió del </w:t>
      </w:r>
      <w:r w:rsidRPr="008A215A">
        <w:rPr>
          <w:rFonts w:ascii="Palatino Linotype" w:eastAsia="Palatino Linotype" w:hAnsi="Palatino Linotype" w:cs="Palatino Linotype"/>
          <w:b/>
        </w:rPr>
        <w:t>SUJETO OBLIGADO</w:t>
      </w:r>
      <w:r w:rsidRPr="008A215A">
        <w:rPr>
          <w:rFonts w:ascii="Palatino Linotype" w:eastAsia="Palatino Linotype" w:hAnsi="Palatino Linotype" w:cs="Palatino Linotype"/>
        </w:rPr>
        <w:t>,</w:t>
      </w:r>
      <w:r w:rsidRPr="008A215A">
        <w:rPr>
          <w:rFonts w:ascii="Palatino Linotype" w:eastAsia="Palatino Linotype" w:hAnsi="Palatino Linotype" w:cs="Palatino Linotype"/>
          <w:b/>
        </w:rPr>
        <w:t xml:space="preserve"> </w:t>
      </w:r>
      <w:r w:rsidRPr="008A215A">
        <w:rPr>
          <w:rFonts w:ascii="Palatino Linotype" w:eastAsia="Palatino Linotype" w:hAnsi="Palatino Linotype" w:cs="Palatino Linotype"/>
        </w:rPr>
        <w:t xml:space="preserve">vía </w:t>
      </w:r>
      <w:r w:rsidRPr="008A215A">
        <w:rPr>
          <w:rFonts w:ascii="Palatino Linotype" w:eastAsia="Palatino Linotype" w:hAnsi="Palatino Linotype" w:cs="Palatino Linotype"/>
          <w:b/>
        </w:rPr>
        <w:t>EL SAIMEX,</w:t>
      </w:r>
      <w:r w:rsidRPr="008A215A">
        <w:rPr>
          <w:rFonts w:ascii="Palatino Linotype" w:eastAsia="Palatino Linotype" w:hAnsi="Palatino Linotype" w:cs="Palatino Linotype"/>
        </w:rPr>
        <w:t xml:space="preserve"> lo siguiente: </w:t>
      </w:r>
    </w:p>
    <w:p w14:paraId="09E61EBA" w14:textId="77777777" w:rsidR="005354DF" w:rsidRPr="008A215A" w:rsidRDefault="004E07F3">
      <w:pPr>
        <w:widowControl w:val="0"/>
        <w:ind w:left="850" w:right="899"/>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“1. Se requiere ¿cuánto se factura mensualmente en alumbrado público? y ¿cuánto se recauda por derechos de alumbrado público?, y en su caso, el adeudo que se genera y ¿si ya se pagó o no la diferencia entre facturación y DAP? o ¿si existe un saldo a favor del municipio?, Se requiere la información mes por mes del periodo de 1° de enero de 2020 al 31 de octubre de 2021. Se solicita adicionalmente, los avisos recibos emitidos mes con mes por la Comisión Federal de Electricidad por el mismo periodo.</w:t>
      </w:r>
    </w:p>
    <w:p w14:paraId="5C358BED" w14:textId="77777777" w:rsidR="005354DF" w:rsidRPr="008A215A" w:rsidRDefault="005354DF">
      <w:pPr>
        <w:widowControl w:val="0"/>
        <w:ind w:left="850" w:right="899"/>
        <w:jc w:val="both"/>
        <w:rPr>
          <w:rFonts w:ascii="Palatino Linotype" w:eastAsia="Palatino Linotype" w:hAnsi="Palatino Linotype" w:cs="Palatino Linotype"/>
          <w:i/>
          <w:sz w:val="22"/>
          <w:szCs w:val="22"/>
        </w:rPr>
      </w:pPr>
    </w:p>
    <w:p w14:paraId="0D45F272" w14:textId="77777777" w:rsidR="005354DF" w:rsidRPr="008A215A" w:rsidRDefault="004E07F3">
      <w:pPr>
        <w:widowControl w:val="0"/>
        <w:ind w:left="850" w:right="899"/>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2. Se solicita el censo de alumbrado público firmado por la Comisión Federal de Electricidad (CFE) de los ejercicios 2020 o en su caso, el censo más reciente del municipio en colaboración de la CFE, en el que se desglose la siguiente información:</w:t>
      </w:r>
    </w:p>
    <w:p w14:paraId="4F72AFBE" w14:textId="77777777" w:rsidR="005354DF" w:rsidRPr="008A215A" w:rsidRDefault="004E07F3">
      <w:pPr>
        <w:widowControl w:val="0"/>
        <w:numPr>
          <w:ilvl w:val="0"/>
          <w:numId w:val="5"/>
        </w:numPr>
        <w:ind w:left="850" w:right="899" w:firstLine="283"/>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Cantidad de luminarias y balastros, el tipo de equipos, la capacidad (potencia), la ubicación (calle y/o colonia y/o delegación), y el tipo de poste en el que están montadas las luminarias (lámina, concreto, madera etcétera).</w:t>
      </w:r>
    </w:p>
    <w:p w14:paraId="7DCCEBEE" w14:textId="77777777" w:rsidR="005354DF" w:rsidRPr="008A215A" w:rsidRDefault="004E07F3">
      <w:pPr>
        <w:widowControl w:val="0"/>
        <w:numPr>
          <w:ilvl w:val="0"/>
          <w:numId w:val="5"/>
        </w:numPr>
        <w:ind w:left="850" w:right="899" w:firstLine="283"/>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 xml:space="preserve">El Registro Permanente de Usuario (RPU o </w:t>
      </w:r>
      <w:proofErr w:type="spellStart"/>
      <w:r w:rsidRPr="008A215A">
        <w:rPr>
          <w:rFonts w:ascii="Palatino Linotype" w:eastAsia="Palatino Linotype" w:hAnsi="Palatino Linotype" w:cs="Palatino Linotype"/>
          <w:i/>
          <w:sz w:val="22"/>
          <w:szCs w:val="22"/>
        </w:rPr>
        <w:t>RPUs</w:t>
      </w:r>
      <w:proofErr w:type="spellEnd"/>
      <w:r w:rsidRPr="008A215A">
        <w:rPr>
          <w:rFonts w:ascii="Palatino Linotype" w:eastAsia="Palatino Linotype" w:hAnsi="Palatino Linotype" w:cs="Palatino Linotype"/>
          <w:i/>
          <w:sz w:val="22"/>
          <w:szCs w:val="22"/>
        </w:rPr>
        <w:t>) asignado (s) al servicio de alumbrado público municipal tanto del servicio estimado como del servicio medido.</w:t>
      </w:r>
    </w:p>
    <w:p w14:paraId="3983F67B" w14:textId="77777777" w:rsidR="005354DF" w:rsidRPr="008A215A" w:rsidRDefault="004E07F3">
      <w:pPr>
        <w:widowControl w:val="0"/>
        <w:numPr>
          <w:ilvl w:val="0"/>
          <w:numId w:val="5"/>
        </w:numPr>
        <w:ind w:left="850" w:right="899" w:firstLine="283"/>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La cantidad desglosada de luminarias y balastros instalados, el tipo de equipos y su capacidad (potencia) instalados en las avenidas principales del municipio.</w:t>
      </w:r>
    </w:p>
    <w:p w14:paraId="1693B19D" w14:textId="77777777" w:rsidR="005354DF" w:rsidRPr="008A215A" w:rsidRDefault="004E07F3">
      <w:pPr>
        <w:widowControl w:val="0"/>
        <w:numPr>
          <w:ilvl w:val="0"/>
          <w:numId w:val="5"/>
        </w:numPr>
        <w:ind w:left="850" w:right="899" w:firstLine="283"/>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La cantidad de luminarias y balastros instalados, el tipo de equipos y su capacidad (potencia) instalados que poseen equipo de medición.”(Sic)</w:t>
      </w:r>
    </w:p>
    <w:p w14:paraId="3B11A136" w14:textId="77777777" w:rsidR="005354DF" w:rsidRPr="008A215A" w:rsidRDefault="005354DF">
      <w:pPr>
        <w:widowControl w:val="0"/>
        <w:ind w:right="899"/>
        <w:jc w:val="both"/>
        <w:rPr>
          <w:rFonts w:ascii="Palatino Linotype" w:eastAsia="Palatino Linotype" w:hAnsi="Palatino Linotype" w:cs="Palatino Linotype"/>
        </w:rPr>
      </w:pPr>
    </w:p>
    <w:p w14:paraId="2E6271E8" w14:textId="77777777" w:rsidR="005354DF" w:rsidRPr="008A215A" w:rsidRDefault="004E07F3">
      <w:pPr>
        <w:widowControl w:val="0"/>
        <w:spacing w:before="280" w:after="280"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lastRenderedPageBreak/>
        <w:t xml:space="preserve">Bajo la tesitura anterior, </w:t>
      </w:r>
      <w:r w:rsidRPr="008A215A">
        <w:rPr>
          <w:rFonts w:ascii="Palatino Linotype" w:eastAsia="Palatino Linotype" w:hAnsi="Palatino Linotype" w:cs="Palatino Linotype"/>
          <w:b/>
        </w:rPr>
        <w:t xml:space="preserve">EL SUJETO OBLIGADO </w:t>
      </w:r>
      <w:r w:rsidRPr="008A215A">
        <w:rPr>
          <w:rFonts w:ascii="Palatino Linotype" w:eastAsia="Palatino Linotype" w:hAnsi="Palatino Linotype" w:cs="Palatino Linotype"/>
        </w:rPr>
        <w:t xml:space="preserve">dio respuesta indicando sobre el Punto 2 que el censo de alumbrado público se realizó en tiempo y forma, pero ya que este no coincidía con el que realizó la Comisión Federal de Electricidad, a la fecha de la respuesta se sigue realizando el censo del Municipio y por tal motivo no puede remitirlo. </w:t>
      </w:r>
    </w:p>
    <w:p w14:paraId="11B88A3B" w14:textId="77777777" w:rsidR="005354DF" w:rsidRPr="008A215A" w:rsidRDefault="004E07F3">
      <w:pPr>
        <w:widowControl w:val="0"/>
        <w:spacing w:before="280" w:after="280"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Para lo requerido en el punto 1 referente a la recaudación del Derecho de Alumbrado Público (DAP), </w:t>
      </w:r>
      <w:r w:rsidRPr="008A215A">
        <w:rPr>
          <w:rFonts w:ascii="Palatino Linotype" w:eastAsia="Palatino Linotype" w:hAnsi="Palatino Linotype" w:cs="Palatino Linotype"/>
          <w:b/>
        </w:rPr>
        <w:t>EL SUJETO OBLIGADO</w:t>
      </w:r>
      <w:r w:rsidRPr="008A215A">
        <w:rPr>
          <w:rFonts w:ascii="Palatino Linotype" w:eastAsia="Palatino Linotype" w:hAnsi="Palatino Linotype" w:cs="Palatino Linotype"/>
        </w:rPr>
        <w:t xml:space="preserve"> responde mediante oficio número TM/327/2021 firmado por el Tesorero Municipal  en el cual indica que dicha recaudación de los meses de Enero a Octubre de dos mil veintiuno asciende a la cantidad de $824,902.00 pesos. Como se puede apreciar de la captura de pantalla que se inserta a continuación:</w:t>
      </w:r>
    </w:p>
    <w:p w14:paraId="6F9BAEB4" w14:textId="77777777" w:rsidR="005354DF" w:rsidRPr="008A215A" w:rsidRDefault="004E07F3">
      <w:pPr>
        <w:widowControl w:val="0"/>
        <w:spacing w:before="280" w:after="280" w:line="360" w:lineRule="auto"/>
        <w:jc w:val="center"/>
        <w:rPr>
          <w:rFonts w:ascii="Palatino Linotype" w:eastAsia="Palatino Linotype" w:hAnsi="Palatino Linotype" w:cs="Palatino Linotype"/>
        </w:rPr>
      </w:pPr>
      <w:r w:rsidRPr="008A215A">
        <w:rPr>
          <w:rFonts w:ascii="Palatino Linotype" w:eastAsia="Palatino Linotype" w:hAnsi="Palatino Linotype" w:cs="Palatino Linotype"/>
          <w:noProof/>
        </w:rPr>
        <w:drawing>
          <wp:inline distT="114300" distB="114300" distL="114300" distR="114300" wp14:anchorId="2FDD9B11" wp14:editId="63929B76">
            <wp:extent cx="5637848" cy="2373831"/>
            <wp:effectExtent l="0" t="0" r="0" b="0"/>
            <wp:docPr id="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637848" cy="2373831"/>
                    </a:xfrm>
                    <a:prstGeom prst="rect">
                      <a:avLst/>
                    </a:prstGeom>
                    <a:ln/>
                  </pic:spPr>
                </pic:pic>
              </a:graphicData>
            </a:graphic>
          </wp:inline>
        </w:drawing>
      </w:r>
    </w:p>
    <w:p w14:paraId="428A3536" w14:textId="77777777" w:rsidR="005354DF" w:rsidRPr="008A215A" w:rsidRDefault="004E07F3">
      <w:pPr>
        <w:widowControl w:val="0"/>
        <w:spacing w:before="280" w:after="280"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Inconforme con la respuesta, </w:t>
      </w:r>
      <w:r w:rsidRPr="008A215A">
        <w:rPr>
          <w:rFonts w:ascii="Palatino Linotype" w:eastAsia="Palatino Linotype" w:hAnsi="Palatino Linotype" w:cs="Palatino Linotype"/>
          <w:b/>
        </w:rPr>
        <w:t>EL RECURRENTE</w:t>
      </w:r>
      <w:r w:rsidRPr="008A215A">
        <w:rPr>
          <w:rFonts w:ascii="Palatino Linotype" w:eastAsia="Palatino Linotype" w:hAnsi="Palatino Linotype" w:cs="Palatino Linotype"/>
        </w:rPr>
        <w:t xml:space="preserve"> interpuso el presente recurso de revisión, señalando como acto impugnado: </w:t>
      </w:r>
    </w:p>
    <w:p w14:paraId="4B284257" w14:textId="77777777" w:rsidR="005354DF" w:rsidRPr="008A215A" w:rsidRDefault="005354DF">
      <w:pPr>
        <w:widowControl w:val="0"/>
        <w:spacing w:line="360" w:lineRule="auto"/>
        <w:jc w:val="both"/>
        <w:rPr>
          <w:rFonts w:ascii="Palatino Linotype" w:eastAsia="Palatino Linotype" w:hAnsi="Palatino Linotype" w:cs="Palatino Linotype"/>
          <w:sz w:val="10"/>
          <w:szCs w:val="10"/>
        </w:rPr>
      </w:pPr>
    </w:p>
    <w:p w14:paraId="6285E8C2" w14:textId="77777777" w:rsidR="005354DF" w:rsidRPr="008A215A" w:rsidRDefault="004E07F3">
      <w:pPr>
        <w:ind w:left="709" w:right="757"/>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lastRenderedPageBreak/>
        <w:t>“ACTO IMPUGNADO</w:t>
      </w:r>
      <w:r w:rsidRPr="008A215A">
        <w:rPr>
          <w:rFonts w:ascii="Palatino Linotype" w:eastAsia="Palatino Linotype" w:hAnsi="Palatino Linotype" w:cs="Palatino Linotype"/>
          <w:i/>
          <w:sz w:val="22"/>
          <w:szCs w:val="22"/>
        </w:rPr>
        <w:tab/>
      </w:r>
    </w:p>
    <w:p w14:paraId="463F3C8F" w14:textId="77777777" w:rsidR="005354DF" w:rsidRPr="008A215A" w:rsidRDefault="004E07F3">
      <w:pPr>
        <w:ind w:left="709" w:right="757"/>
        <w:jc w:val="both"/>
        <w:rPr>
          <w:rFonts w:ascii="Palatino Linotype" w:eastAsia="Palatino Linotype" w:hAnsi="Palatino Linotype" w:cs="Palatino Linotype"/>
          <w:sz w:val="22"/>
          <w:szCs w:val="22"/>
        </w:rPr>
      </w:pPr>
      <w:r w:rsidRPr="008A215A">
        <w:rPr>
          <w:rFonts w:ascii="Palatino Linotype" w:eastAsia="Palatino Linotype" w:hAnsi="Palatino Linotype" w:cs="Palatino Linotype"/>
          <w:i/>
          <w:sz w:val="22"/>
          <w:szCs w:val="22"/>
        </w:rPr>
        <w:t xml:space="preserve">Folio No. 00114/TEOTIHUA/IP/2021, mediante el cual el Sujeto Obligado (municipio de </w:t>
      </w:r>
      <w:proofErr w:type="spellStart"/>
      <w:r w:rsidRPr="008A215A">
        <w:rPr>
          <w:rFonts w:ascii="Palatino Linotype" w:eastAsia="Palatino Linotype" w:hAnsi="Palatino Linotype" w:cs="Palatino Linotype"/>
          <w:i/>
          <w:sz w:val="22"/>
          <w:szCs w:val="22"/>
        </w:rPr>
        <w:t>Teotihuacan</w:t>
      </w:r>
      <w:proofErr w:type="spellEnd"/>
      <w:r w:rsidRPr="008A215A">
        <w:rPr>
          <w:rFonts w:ascii="Palatino Linotype" w:eastAsia="Palatino Linotype" w:hAnsi="Palatino Linotype" w:cs="Palatino Linotype"/>
          <w:i/>
          <w:sz w:val="22"/>
          <w:szCs w:val="22"/>
        </w:rPr>
        <w:t xml:space="preserve"> en el Estado de México) no me ha proporcionado toda la información.” </w:t>
      </w:r>
      <w:r w:rsidRPr="008A215A">
        <w:rPr>
          <w:rFonts w:ascii="Palatino Linotype" w:eastAsia="Palatino Linotype" w:hAnsi="Palatino Linotype" w:cs="Palatino Linotype"/>
          <w:sz w:val="22"/>
          <w:szCs w:val="22"/>
        </w:rPr>
        <w:t>(Sic).</w:t>
      </w:r>
    </w:p>
    <w:p w14:paraId="03030AE0" w14:textId="77777777" w:rsidR="005354DF" w:rsidRPr="008A215A" w:rsidRDefault="005354DF">
      <w:pPr>
        <w:widowControl w:val="0"/>
        <w:spacing w:line="360" w:lineRule="auto"/>
        <w:jc w:val="both"/>
        <w:rPr>
          <w:rFonts w:ascii="Palatino Linotype" w:eastAsia="Palatino Linotype" w:hAnsi="Palatino Linotype" w:cs="Palatino Linotype"/>
          <w:sz w:val="10"/>
          <w:szCs w:val="10"/>
        </w:rPr>
      </w:pPr>
    </w:p>
    <w:p w14:paraId="26C4ED72" w14:textId="77777777" w:rsidR="005354DF" w:rsidRPr="008A215A" w:rsidRDefault="004E07F3">
      <w:pPr>
        <w:widowControl w:val="0"/>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Así como razones o motivos de inconformidad, lo siguiente:</w:t>
      </w:r>
    </w:p>
    <w:p w14:paraId="6BD5FF7D" w14:textId="77777777" w:rsidR="005354DF" w:rsidRPr="008A215A" w:rsidRDefault="004E07F3">
      <w:pPr>
        <w:ind w:left="709" w:right="757"/>
        <w:jc w:val="both"/>
        <w:rPr>
          <w:rFonts w:ascii="Palatino Linotype" w:eastAsia="Palatino Linotype" w:hAnsi="Palatino Linotype" w:cs="Palatino Linotype"/>
          <w:sz w:val="22"/>
          <w:szCs w:val="22"/>
        </w:rPr>
      </w:pPr>
      <w:r w:rsidRPr="008A215A">
        <w:rPr>
          <w:rFonts w:ascii="Palatino Linotype" w:eastAsia="Palatino Linotype" w:hAnsi="Palatino Linotype" w:cs="Palatino Linotype"/>
          <w:i/>
          <w:sz w:val="22"/>
          <w:szCs w:val="22"/>
        </w:rPr>
        <w:t xml:space="preserve">“la entrega de la información fue incompleta, no se </w:t>
      </w:r>
      <w:proofErr w:type="spellStart"/>
      <w:r w:rsidRPr="008A215A">
        <w:rPr>
          <w:rFonts w:ascii="Palatino Linotype" w:eastAsia="Palatino Linotype" w:hAnsi="Palatino Linotype" w:cs="Palatino Linotype"/>
          <w:i/>
          <w:sz w:val="22"/>
          <w:szCs w:val="22"/>
        </w:rPr>
        <w:t>entrego</w:t>
      </w:r>
      <w:proofErr w:type="spellEnd"/>
      <w:r w:rsidRPr="008A215A">
        <w:rPr>
          <w:rFonts w:ascii="Palatino Linotype" w:eastAsia="Palatino Linotype" w:hAnsi="Palatino Linotype" w:cs="Palatino Linotype"/>
          <w:i/>
          <w:sz w:val="22"/>
          <w:szCs w:val="22"/>
        </w:rPr>
        <w:t xml:space="preserve"> el censo de alumbrado público.” </w:t>
      </w:r>
      <w:r w:rsidRPr="008A215A">
        <w:rPr>
          <w:rFonts w:ascii="Palatino Linotype" w:eastAsia="Palatino Linotype" w:hAnsi="Palatino Linotype" w:cs="Palatino Linotype"/>
          <w:sz w:val="22"/>
          <w:szCs w:val="22"/>
        </w:rPr>
        <w:t>(Sic).</w:t>
      </w:r>
    </w:p>
    <w:p w14:paraId="0BB73D6C" w14:textId="77777777" w:rsidR="005354DF" w:rsidRPr="008A215A" w:rsidRDefault="004E07F3">
      <w:pPr>
        <w:widowControl w:val="0"/>
        <w:tabs>
          <w:tab w:val="left" w:pos="1701"/>
          <w:tab w:val="left" w:pos="1843"/>
        </w:tabs>
        <w:spacing w:before="280" w:after="280"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En concordancia y derivado del análisis efectuado se advierte la procedibilidad del recurso de revisión, toda vez que se actualiza la hipótesis prevista en la fracción V. del artículo 179 de la Ley de Transparencia y Acceso a la Información Pública del Estado de México y Municipios, que a la letra señala así:</w:t>
      </w:r>
    </w:p>
    <w:p w14:paraId="0FBC1800" w14:textId="77777777" w:rsidR="005354DF" w:rsidRPr="008A215A" w:rsidRDefault="004E07F3">
      <w:pPr>
        <w:spacing w:before="280"/>
        <w:ind w:left="709" w:right="757"/>
        <w:jc w:val="both"/>
        <w:rPr>
          <w:rFonts w:ascii="Palatino Linotype" w:eastAsia="Palatino Linotype" w:hAnsi="Palatino Linotype" w:cs="Palatino Linotype"/>
          <w:sz w:val="22"/>
          <w:szCs w:val="22"/>
        </w:rPr>
      </w:pPr>
      <w:r w:rsidRPr="008A215A">
        <w:rPr>
          <w:rFonts w:ascii="Palatino Linotype" w:eastAsia="Palatino Linotype" w:hAnsi="Palatino Linotype" w:cs="Palatino Linotype"/>
          <w:i/>
          <w:sz w:val="22"/>
          <w:szCs w:val="22"/>
        </w:rPr>
        <w:t>“</w:t>
      </w:r>
      <w:r w:rsidRPr="008A215A">
        <w:rPr>
          <w:rFonts w:ascii="Palatino Linotype" w:eastAsia="Palatino Linotype" w:hAnsi="Palatino Linotype" w:cs="Palatino Linotype"/>
          <w:b/>
          <w:i/>
          <w:sz w:val="22"/>
          <w:szCs w:val="22"/>
        </w:rPr>
        <w:t>Artículo 179.</w:t>
      </w:r>
      <w:r w:rsidRPr="008A215A">
        <w:rPr>
          <w:rFonts w:ascii="Palatino Linotype" w:eastAsia="Palatino Linotype" w:hAnsi="Palatino Linotype" w:cs="Palatino Linotype"/>
          <w:i/>
          <w:sz w:val="22"/>
          <w:szCs w:val="22"/>
        </w:rPr>
        <w:t xml:space="preserve"> </w:t>
      </w:r>
      <w:r w:rsidRPr="008A215A">
        <w:rPr>
          <w:rFonts w:ascii="Palatino Linotype" w:eastAsia="Palatino Linotype" w:hAnsi="Palatino Linotype" w:cs="Palatino Linotype"/>
          <w:b/>
          <w:i/>
          <w:sz w:val="22"/>
          <w:szCs w:val="22"/>
          <w:u w:val="single"/>
        </w:rPr>
        <w:t>El recurso de revisión</w:t>
      </w:r>
      <w:r w:rsidRPr="008A215A">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 y </w:t>
      </w:r>
      <w:r w:rsidRPr="008A215A">
        <w:rPr>
          <w:rFonts w:ascii="Palatino Linotype" w:eastAsia="Palatino Linotype" w:hAnsi="Palatino Linotype" w:cs="Palatino Linotype"/>
          <w:b/>
          <w:i/>
          <w:sz w:val="22"/>
          <w:szCs w:val="22"/>
          <w:u w:val="single"/>
        </w:rPr>
        <w:t>procederá en contra de las siguientes causas</w:t>
      </w:r>
      <w:r w:rsidRPr="008A215A">
        <w:rPr>
          <w:rFonts w:ascii="Palatino Linotype" w:eastAsia="Palatino Linotype" w:hAnsi="Palatino Linotype" w:cs="Palatino Linotype"/>
          <w:sz w:val="22"/>
          <w:szCs w:val="22"/>
        </w:rPr>
        <w:t>:</w:t>
      </w:r>
    </w:p>
    <w:p w14:paraId="3DF18194" w14:textId="77777777" w:rsidR="005354DF" w:rsidRPr="008A215A" w:rsidRDefault="004E07F3">
      <w:pPr>
        <w:ind w:left="709" w:right="757"/>
        <w:jc w:val="both"/>
        <w:rPr>
          <w:rFonts w:ascii="Palatino Linotype" w:eastAsia="Palatino Linotype" w:hAnsi="Palatino Linotype" w:cs="Palatino Linotype"/>
          <w:sz w:val="22"/>
          <w:szCs w:val="22"/>
        </w:rPr>
      </w:pPr>
      <w:r w:rsidRPr="008A215A">
        <w:rPr>
          <w:rFonts w:ascii="Palatino Linotype" w:eastAsia="Palatino Linotype" w:hAnsi="Palatino Linotype" w:cs="Palatino Linotype"/>
          <w:sz w:val="22"/>
          <w:szCs w:val="22"/>
        </w:rPr>
        <w:t>…</w:t>
      </w:r>
    </w:p>
    <w:p w14:paraId="7504F2D7" w14:textId="77777777" w:rsidR="005354DF" w:rsidRPr="008A215A" w:rsidRDefault="004E07F3">
      <w:pPr>
        <w:tabs>
          <w:tab w:val="left" w:pos="1134"/>
        </w:tabs>
        <w:ind w:left="709" w:right="757"/>
        <w:jc w:val="both"/>
        <w:rPr>
          <w:rFonts w:ascii="Palatino Linotype" w:eastAsia="Palatino Linotype" w:hAnsi="Palatino Linotype" w:cs="Palatino Linotype"/>
          <w:b/>
          <w:i/>
          <w:sz w:val="22"/>
          <w:szCs w:val="22"/>
        </w:rPr>
      </w:pPr>
      <w:r w:rsidRPr="008A215A">
        <w:rPr>
          <w:rFonts w:ascii="Palatino Linotype" w:eastAsia="Palatino Linotype" w:hAnsi="Palatino Linotype" w:cs="Palatino Linotype"/>
          <w:b/>
          <w:i/>
          <w:sz w:val="22"/>
          <w:szCs w:val="22"/>
        </w:rPr>
        <w:t>V. La entrega de información incompleta</w:t>
      </w:r>
      <w:proofErr w:type="gramStart"/>
      <w:r w:rsidRPr="008A215A">
        <w:rPr>
          <w:rFonts w:ascii="Palatino Linotype" w:eastAsia="Palatino Linotype" w:hAnsi="Palatino Linotype" w:cs="Palatino Linotype"/>
          <w:b/>
          <w:i/>
          <w:sz w:val="22"/>
          <w:szCs w:val="22"/>
        </w:rPr>
        <w:t>;.</w:t>
      </w:r>
      <w:proofErr w:type="gramEnd"/>
    </w:p>
    <w:p w14:paraId="59E50768" w14:textId="77777777" w:rsidR="005354DF" w:rsidRPr="008A215A" w:rsidRDefault="004E07F3">
      <w:pPr>
        <w:spacing w:before="280" w:after="280" w:line="360" w:lineRule="auto"/>
        <w:ind w:left="709" w:right="760"/>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b/>
          <w:sz w:val="22"/>
          <w:szCs w:val="22"/>
        </w:rPr>
        <w:t>(Énfasis añadido)</w:t>
      </w:r>
    </w:p>
    <w:p w14:paraId="425A10CD" w14:textId="77777777" w:rsidR="005354DF" w:rsidRPr="008A215A" w:rsidRDefault="004E07F3">
      <w:pPr>
        <w:widowControl w:val="0"/>
        <w:tabs>
          <w:tab w:val="left" w:pos="1276"/>
        </w:tabs>
        <w:spacing w:before="240" w:after="280"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Así bien, en primera instancia es importante mencionar que de lo señalado por </w:t>
      </w:r>
      <w:r w:rsidRPr="008A215A">
        <w:rPr>
          <w:rFonts w:ascii="Palatino Linotype" w:eastAsia="Palatino Linotype" w:hAnsi="Palatino Linotype" w:cs="Palatino Linotype"/>
          <w:b/>
        </w:rPr>
        <w:t>EL RECURRENTE</w:t>
      </w:r>
      <w:r w:rsidRPr="008A215A">
        <w:rPr>
          <w:rFonts w:ascii="Palatino Linotype" w:eastAsia="Palatino Linotype" w:hAnsi="Palatino Linotype" w:cs="Palatino Linotype"/>
        </w:rPr>
        <w:t xml:space="preserve"> tanto en su acto impugnado, como en sus motivos o razones de inconformidad se advierte, la intención de impugnar la respuesta del </w:t>
      </w:r>
      <w:r w:rsidRPr="008A215A">
        <w:rPr>
          <w:rFonts w:ascii="Palatino Linotype" w:eastAsia="Palatino Linotype" w:hAnsi="Palatino Linotype" w:cs="Palatino Linotype"/>
          <w:b/>
        </w:rPr>
        <w:t>SUJETO OBLIGADO</w:t>
      </w:r>
      <w:r w:rsidRPr="008A215A">
        <w:rPr>
          <w:rFonts w:ascii="Palatino Linotype" w:eastAsia="Palatino Linotype" w:hAnsi="Palatino Linotype" w:cs="Palatino Linotype"/>
        </w:rPr>
        <w:t xml:space="preserve"> en lo que se refiere a la parte de la solicitud señalada en el punto 1 tendiente a conocer el censo más reciente, con el que se factura el alumbrado público del municipio, firmado por la Comisión Federal de Electricidad. </w:t>
      </w:r>
    </w:p>
    <w:p w14:paraId="14435128" w14:textId="77777777" w:rsidR="005354DF" w:rsidRPr="008A215A" w:rsidRDefault="004E07F3">
      <w:pPr>
        <w:widowControl w:val="0"/>
        <w:tabs>
          <w:tab w:val="left" w:pos="1276"/>
        </w:tabs>
        <w:spacing w:before="240" w:after="280" w:line="360" w:lineRule="auto"/>
        <w:jc w:val="both"/>
        <w:rPr>
          <w:rFonts w:ascii="Palatino Linotype" w:eastAsia="Palatino Linotype" w:hAnsi="Palatino Linotype" w:cs="Palatino Linotype"/>
          <w:sz w:val="30"/>
          <w:szCs w:val="30"/>
        </w:rPr>
      </w:pPr>
      <w:r w:rsidRPr="008A215A">
        <w:rPr>
          <w:rFonts w:ascii="Palatino Linotype" w:eastAsia="Palatino Linotype" w:hAnsi="Palatino Linotype" w:cs="Palatino Linotype"/>
        </w:rPr>
        <w:t xml:space="preserve">Consecuentemente, se advierte </w:t>
      </w:r>
      <w:r w:rsidRPr="008A215A">
        <w:rPr>
          <w:rFonts w:ascii="Palatino Linotype" w:eastAsia="Palatino Linotype" w:hAnsi="Palatino Linotype" w:cs="Palatino Linotype"/>
          <w:b/>
        </w:rPr>
        <w:t>EL RECURRENTE</w:t>
      </w:r>
      <w:r w:rsidRPr="008A215A">
        <w:rPr>
          <w:rFonts w:ascii="Palatino Linotype" w:eastAsia="Palatino Linotype" w:hAnsi="Palatino Linotype" w:cs="Palatino Linotype"/>
        </w:rPr>
        <w:t xml:space="preserve"> manifestó que </w:t>
      </w:r>
      <w:r w:rsidRPr="008A215A">
        <w:rPr>
          <w:rFonts w:ascii="Palatino Linotype" w:eastAsia="Palatino Linotype" w:hAnsi="Palatino Linotype" w:cs="Palatino Linotype"/>
          <w:b/>
        </w:rPr>
        <w:t>EL SUJETO OBLIGADO</w:t>
      </w:r>
      <w:r w:rsidRPr="008A215A">
        <w:rPr>
          <w:rFonts w:ascii="Palatino Linotype" w:eastAsia="Palatino Linotype" w:hAnsi="Palatino Linotype" w:cs="Palatino Linotype"/>
        </w:rPr>
        <w:t xml:space="preserve"> dio respuesta de forma incompleta, no conformándose específicamente </w:t>
      </w:r>
      <w:r w:rsidRPr="008A215A">
        <w:rPr>
          <w:rFonts w:ascii="Palatino Linotype" w:eastAsia="Palatino Linotype" w:hAnsi="Palatino Linotype" w:cs="Palatino Linotype"/>
        </w:rPr>
        <w:lastRenderedPageBreak/>
        <w:t>con lo relativo al censo, sin hacer mayor pronunciamiento respecto de la recaudación del Derecho de Alumbrado Pública (DAP) más reciente.</w:t>
      </w:r>
    </w:p>
    <w:p w14:paraId="758D2659" w14:textId="77777777" w:rsidR="005354DF" w:rsidRPr="008A215A" w:rsidRDefault="004E07F3">
      <w:pPr>
        <w:spacing w:before="280" w:after="280"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En tal respecto, este Órgano Garante advierte que, dichas manifestaciones son  tendientes a consentir la parte de la respuesta otorgada y por tanto no entrará al estudio de las mismas. </w:t>
      </w:r>
    </w:p>
    <w:p w14:paraId="430514B9" w14:textId="77777777" w:rsidR="005354DF" w:rsidRPr="008A215A" w:rsidRDefault="004E07F3">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Es así que,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14:paraId="34F8E8BB" w14:textId="77777777" w:rsidR="005354DF" w:rsidRPr="008A215A" w:rsidRDefault="004E07F3">
      <w:pPr>
        <w:spacing w:before="280" w:after="280"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14:paraId="4C051A83" w14:textId="77777777" w:rsidR="005354DF" w:rsidRPr="008A215A" w:rsidRDefault="004E07F3">
      <w:pPr>
        <w:tabs>
          <w:tab w:val="left" w:pos="851"/>
        </w:tabs>
        <w:ind w:left="851" w:right="616"/>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b/>
          <w:i/>
          <w:sz w:val="22"/>
          <w:szCs w:val="22"/>
        </w:rPr>
        <w:t xml:space="preserve">“ACTOS CONSENTIDOS. SON LOS QUE NO SE IMPUGNAN MEDIANTE EL RECURSO IDÓNEO. </w:t>
      </w:r>
      <w:r w:rsidRPr="008A215A">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AD6DF7D" w14:textId="77777777" w:rsidR="005354DF" w:rsidRPr="008A215A" w:rsidRDefault="004E07F3">
      <w:pPr>
        <w:spacing w:before="280" w:after="280"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De la interpretación del criterio antes citado, se advierte que cuando el particular impugnó la respuesta del </w:t>
      </w:r>
      <w:r w:rsidRPr="008A215A">
        <w:rPr>
          <w:rFonts w:ascii="Palatino Linotype" w:eastAsia="Palatino Linotype" w:hAnsi="Palatino Linotype" w:cs="Palatino Linotype"/>
          <w:b/>
        </w:rPr>
        <w:t>SUJETO OBLIGADO</w:t>
      </w:r>
      <w:r w:rsidRPr="008A215A">
        <w:rPr>
          <w:rFonts w:ascii="Palatino Linotype" w:eastAsia="Palatino Linotype" w:hAnsi="Palatino Linotype" w:cs="Palatino Linotype"/>
        </w:rPr>
        <w:t xml:space="preserve">, no expresó razón o motivo de inconformidad en contra de todos los rubros solicitados, por tanto estos deben declararse atendidos, pues se entiende que </w:t>
      </w:r>
      <w:r w:rsidRPr="008A215A">
        <w:rPr>
          <w:rFonts w:ascii="Palatino Linotype" w:eastAsia="Palatino Linotype" w:hAnsi="Palatino Linotype" w:cs="Palatino Linotype"/>
          <w:b/>
        </w:rPr>
        <w:t>EL RECURRENTE</w:t>
      </w:r>
      <w:r w:rsidRPr="008A215A">
        <w:rPr>
          <w:rFonts w:ascii="Palatino Linotype" w:eastAsia="Palatino Linotype" w:hAnsi="Palatino Linotype" w:cs="Palatino Linotype"/>
        </w:rPr>
        <w:t xml:space="preserve"> está conforme con la respuesta proporcionada por </w:t>
      </w:r>
      <w:r w:rsidRPr="008A215A">
        <w:rPr>
          <w:rFonts w:ascii="Palatino Linotype" w:eastAsia="Palatino Linotype" w:hAnsi="Palatino Linotype" w:cs="Palatino Linotype"/>
          <w:b/>
        </w:rPr>
        <w:t>EL SUJETO OBLIGADO,</w:t>
      </w:r>
      <w:r w:rsidRPr="008A215A">
        <w:rPr>
          <w:rFonts w:ascii="Palatino Linotype" w:eastAsia="Palatino Linotype" w:hAnsi="Palatino Linotype" w:cs="Palatino Linotype"/>
        </w:rPr>
        <w:t xml:space="preserve"> al no contravenir la misma. </w:t>
      </w:r>
    </w:p>
    <w:p w14:paraId="2048BEB1" w14:textId="77777777" w:rsidR="005354DF" w:rsidRPr="008A215A" w:rsidRDefault="004E07F3">
      <w:pPr>
        <w:spacing w:before="280" w:after="280"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lastRenderedPageBreak/>
        <w:t>Atento a ello, es importante traer a contexto la Tesis Jurisprudencial Número 3ª./J.7/91, Publicada en el Semanario Judicial de la Federación y su Gaceta bajo el número de registro 174,177, que establece lo siguiente:</w:t>
      </w:r>
    </w:p>
    <w:p w14:paraId="21C83E94" w14:textId="77777777" w:rsidR="005354DF" w:rsidRPr="008A215A" w:rsidRDefault="004E07F3">
      <w:pPr>
        <w:tabs>
          <w:tab w:val="left" w:pos="7937"/>
          <w:tab w:val="left" w:pos="8222"/>
        </w:tabs>
        <w:ind w:left="851" w:right="901"/>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b/>
          <w:i/>
          <w:sz w:val="22"/>
          <w:szCs w:val="22"/>
        </w:rPr>
        <w:t xml:space="preserve">“REVISIÓN EN AMPARO. LOS RESOLUTIVOS NO COMBATIDOS DEBEN DECLARARSE FIRMES. </w:t>
      </w:r>
      <w:r w:rsidRPr="008A215A">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A158909" w14:textId="77777777" w:rsidR="005354DF" w:rsidRPr="008A215A" w:rsidRDefault="004E07F3">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De manera que lo referente al cuestionamiento identificado con el número 1: </w:t>
      </w:r>
    </w:p>
    <w:p w14:paraId="4736ECDF" w14:textId="77777777" w:rsidR="005354DF" w:rsidRPr="008A215A" w:rsidRDefault="004E07F3">
      <w:pPr>
        <w:widowControl w:val="0"/>
        <w:numPr>
          <w:ilvl w:val="0"/>
          <w:numId w:val="2"/>
        </w:numPr>
        <w:spacing w:before="280" w:after="280"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 Se requiere ¿cuánto se factura mensualmente en alumbrado público? y ¿cuánto se recauda por derechos de alumbrado público?, y en su caso, el adeudo que se genera y ¿si ya se pagó o no la diferencia entre facturación y DAP? o ¿si existe un saldo a favor del municipio?, Se requiere la información mes por mes del periodo de 1° de enero de 2020 al 31 de octubre de 2021. Se solicita adicionalmente, los avisos recibos emitidos mes con mes por la Comisión Federal de Electricidad por el mismo periodo.</w:t>
      </w:r>
    </w:p>
    <w:p w14:paraId="2129EF3F" w14:textId="77777777" w:rsidR="005354DF" w:rsidRPr="008A215A" w:rsidRDefault="004E07F3">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Se consideran actos consentidos y, en consecuencia, este Órgano Resolutor no entrará al estudio del mismo por las razones hasta aquí expuestas. </w:t>
      </w:r>
    </w:p>
    <w:p w14:paraId="60CBFB42" w14:textId="77777777" w:rsidR="005354DF" w:rsidRPr="008A215A" w:rsidRDefault="004E07F3">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Una vez hecha la precisión anterior, se procederá al estudio de la parte de la solicitud </w:t>
      </w:r>
      <w:r w:rsidRPr="008A215A">
        <w:rPr>
          <w:rFonts w:ascii="Palatino Linotype" w:eastAsia="Palatino Linotype" w:hAnsi="Palatino Linotype" w:cs="Palatino Linotype"/>
        </w:rPr>
        <w:lastRenderedPageBreak/>
        <w:t xml:space="preserve">de información sobre la cual </w:t>
      </w:r>
      <w:r w:rsidRPr="008A215A">
        <w:rPr>
          <w:rFonts w:ascii="Palatino Linotype" w:eastAsia="Palatino Linotype" w:hAnsi="Palatino Linotype" w:cs="Palatino Linotype"/>
          <w:b/>
        </w:rPr>
        <w:t>EL RECURRENTE</w:t>
      </w:r>
      <w:r w:rsidRPr="008A215A">
        <w:rPr>
          <w:rFonts w:ascii="Palatino Linotype" w:eastAsia="Palatino Linotype" w:hAnsi="Palatino Linotype" w:cs="Palatino Linotype"/>
        </w:rPr>
        <w:t xml:space="preserve"> expresa su inconformidad. </w:t>
      </w:r>
    </w:p>
    <w:p w14:paraId="0C72F5BC" w14:textId="77777777" w:rsidR="005354DF" w:rsidRPr="008A215A" w:rsidRDefault="004E07F3">
      <w:pPr>
        <w:widowControl w:val="0"/>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Primeramente, se obvia el análisis de la competencia por parte del </w:t>
      </w:r>
      <w:r w:rsidRPr="008A215A">
        <w:rPr>
          <w:rFonts w:ascii="Palatino Linotype" w:eastAsia="Palatino Linotype" w:hAnsi="Palatino Linotype" w:cs="Palatino Linotype"/>
          <w:b/>
        </w:rPr>
        <w:t>SUJETO OBLIGADO</w:t>
      </w:r>
      <w:r w:rsidRPr="008A215A">
        <w:rPr>
          <w:rFonts w:ascii="Palatino Linotype" w:eastAsia="Palatino Linotype" w:hAnsi="Palatino Linotype" w:cs="Palatino Linotype"/>
        </w:rPr>
        <w:t xml:space="preserve">, dado que éste ha asumido la misma, en razón que de los argumentos vertidos en su respuesta se advierte que genera, administra y posee la información solicitada, ya que señaló que dentro de dicha información que el censo en comento fue realizado en tiempo y forma pero no coincidía con el elaborado por el Comisión Federal de Electricidad, lo que implica que </w:t>
      </w:r>
      <w:r w:rsidRPr="008A215A">
        <w:rPr>
          <w:rFonts w:ascii="Palatino Linotype" w:eastAsia="Palatino Linotype" w:hAnsi="Palatino Linotype" w:cs="Palatino Linotype"/>
          <w:b/>
        </w:rPr>
        <w:t>EL SUJETO OBLIGADO</w:t>
      </w:r>
      <w:r w:rsidRPr="008A215A">
        <w:rPr>
          <w:rFonts w:ascii="Palatino Linotype" w:eastAsia="Palatino Linotype" w:hAnsi="Palatino Linotype" w:cs="Palatino Linotype"/>
        </w:rPr>
        <w:t xml:space="preserve"> genera, posee, administra, o tiene conocimiento acerca de la información solicitada.</w:t>
      </w:r>
    </w:p>
    <w:p w14:paraId="3149F036" w14:textId="77777777" w:rsidR="005354DF" w:rsidRPr="008A215A" w:rsidRDefault="005354DF">
      <w:pPr>
        <w:widowControl w:val="0"/>
        <w:spacing w:line="360" w:lineRule="auto"/>
        <w:jc w:val="both"/>
        <w:rPr>
          <w:rFonts w:ascii="Palatino Linotype" w:eastAsia="Palatino Linotype" w:hAnsi="Palatino Linotype" w:cs="Palatino Linotype"/>
        </w:rPr>
      </w:pPr>
    </w:p>
    <w:p w14:paraId="7C9102F5" w14:textId="77777777" w:rsidR="005354DF" w:rsidRPr="008A215A" w:rsidRDefault="004E07F3">
      <w:pPr>
        <w:widowControl w:val="0"/>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En efecto, el hecho de que </w:t>
      </w:r>
      <w:r w:rsidRPr="008A215A">
        <w:rPr>
          <w:rFonts w:ascii="Palatino Linotype" w:eastAsia="Palatino Linotype" w:hAnsi="Palatino Linotype" w:cs="Palatino Linotype"/>
          <w:b/>
        </w:rPr>
        <w:t>EL SUJETO OBLIGADO</w:t>
      </w:r>
      <w:r w:rsidRPr="008A215A">
        <w:rPr>
          <w:rFonts w:ascii="Palatino Linotype" w:eastAsia="Palatino Linotype" w:hAnsi="Palatino Linotype" w:cs="Palatino Linotype"/>
        </w:rPr>
        <w:t xml:space="preserve"> se haya pronunciado respecto de la información requerida por </w:t>
      </w:r>
      <w:r w:rsidRPr="008A215A">
        <w:rPr>
          <w:rFonts w:ascii="Palatino Linotype" w:eastAsia="Palatino Linotype" w:hAnsi="Palatino Linotype" w:cs="Palatino Linotype"/>
          <w:b/>
        </w:rPr>
        <w:t>EL RECURRENTE</w:t>
      </w:r>
      <w:r w:rsidRPr="008A215A">
        <w:rPr>
          <w:rFonts w:ascii="Palatino Linotype" w:eastAsia="Palatino Linotype" w:hAnsi="Palatino Linotype" w:cs="Palatino Linotype"/>
        </w:rPr>
        <w:t>, acepta que la genera, posee y administra dicha información, en ejercicio de sus funciones de derecho público, motivo por el cual se actualiza el supuesto jurídico, previsto en el artículo 12 de la Ley de Transparencia y Acceso a la Información Pública del Estado de México y Municipios.</w:t>
      </w:r>
    </w:p>
    <w:p w14:paraId="622B6BCF" w14:textId="77777777" w:rsidR="005354DF" w:rsidRPr="008A215A" w:rsidRDefault="005354DF">
      <w:pPr>
        <w:widowControl w:val="0"/>
        <w:spacing w:line="360" w:lineRule="auto"/>
        <w:jc w:val="both"/>
        <w:rPr>
          <w:rFonts w:ascii="Palatino Linotype" w:eastAsia="Palatino Linotype" w:hAnsi="Palatino Linotype" w:cs="Palatino Linotype"/>
        </w:rPr>
      </w:pPr>
    </w:p>
    <w:p w14:paraId="36D3D950" w14:textId="77777777" w:rsidR="005354DF" w:rsidRPr="008A215A" w:rsidRDefault="004E07F3">
      <w:pPr>
        <w:widowControl w:val="0"/>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De hecho, el estudio de la naturaleza jurídica de la información pública solicitada, tiene por objeto determinar si ésta la genera, posee o administra </w:t>
      </w:r>
      <w:r w:rsidRPr="008A215A">
        <w:rPr>
          <w:rFonts w:ascii="Palatino Linotype" w:eastAsia="Palatino Linotype" w:hAnsi="Palatino Linotype" w:cs="Palatino Linotype"/>
          <w:b/>
        </w:rPr>
        <w:t>EL SUJETO OBLIGADO</w:t>
      </w:r>
      <w:r w:rsidRPr="008A215A">
        <w:rPr>
          <w:rFonts w:ascii="Palatino Linotype" w:eastAsia="Palatino Linotype" w:hAnsi="Palatino Linotype" w:cs="Palatino Linotype"/>
        </w:rPr>
        <w:t xml:space="preserve">; sin embargo, en aquellos casos en que éste la asume; por consiguiente, a nada práctico nos conduciría su estudio, pues se insiste la información pública solicitada, ya fue asumida por </w:t>
      </w:r>
      <w:r w:rsidRPr="008A215A">
        <w:rPr>
          <w:rFonts w:ascii="Palatino Linotype" w:eastAsia="Palatino Linotype" w:hAnsi="Palatino Linotype" w:cs="Palatino Linotype"/>
          <w:b/>
        </w:rPr>
        <w:t>EL SUJETO OBLIGADO</w:t>
      </w:r>
      <w:r w:rsidRPr="008A215A">
        <w:rPr>
          <w:rFonts w:ascii="Palatino Linotype" w:eastAsia="Palatino Linotype" w:hAnsi="Palatino Linotype" w:cs="Palatino Linotype"/>
        </w:rPr>
        <w:t>.</w:t>
      </w:r>
    </w:p>
    <w:p w14:paraId="7844A83A" w14:textId="77777777" w:rsidR="005354DF" w:rsidRPr="008A215A" w:rsidRDefault="004E07F3">
      <w:pPr>
        <w:widowControl w:val="0"/>
        <w:spacing w:before="280" w:after="280"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Lo anterior, es así toda vez que el propio </w:t>
      </w:r>
      <w:r w:rsidRPr="008A215A">
        <w:rPr>
          <w:rFonts w:ascii="Palatino Linotype" w:eastAsia="Palatino Linotype" w:hAnsi="Palatino Linotype" w:cs="Palatino Linotype"/>
          <w:b/>
        </w:rPr>
        <w:t>SUJETO OBLIGADO</w:t>
      </w:r>
      <w:r w:rsidRPr="008A215A">
        <w:rPr>
          <w:rFonts w:ascii="Palatino Linotype" w:eastAsia="Palatino Linotype" w:hAnsi="Palatino Linotype" w:cs="Palatino Linotype"/>
        </w:rPr>
        <w:t xml:space="preserve"> al indicar que se encuentra realizando un segundo censo por haber inconsistencias en el primero, asume que posee la totalidad de la información; en tal virtud, el estudio correspondiente tiene </w:t>
      </w:r>
      <w:r w:rsidRPr="008A215A">
        <w:rPr>
          <w:rFonts w:ascii="Palatino Linotype" w:eastAsia="Palatino Linotype" w:hAnsi="Palatino Linotype" w:cs="Palatino Linotype"/>
        </w:rPr>
        <w:lastRenderedPageBreak/>
        <w:t xml:space="preserve">como finalidad determinar si con dicha respuesta se puede tener por satisfecho el derecho de acceso a la información del </w:t>
      </w:r>
      <w:r w:rsidRPr="008A215A">
        <w:rPr>
          <w:rFonts w:ascii="Palatino Linotype" w:eastAsia="Palatino Linotype" w:hAnsi="Palatino Linotype" w:cs="Palatino Linotype"/>
          <w:b/>
        </w:rPr>
        <w:t xml:space="preserve">RECURRENTE. </w:t>
      </w:r>
    </w:p>
    <w:p w14:paraId="7CF6B4EC" w14:textId="77777777" w:rsidR="005354DF" w:rsidRPr="008A215A" w:rsidRDefault="004E07F3">
      <w:pPr>
        <w:spacing w:line="360" w:lineRule="auto"/>
        <w:jc w:val="both"/>
        <w:rPr>
          <w:rFonts w:ascii="Palatino Linotype" w:eastAsia="Palatino Linotype" w:hAnsi="Palatino Linotype" w:cs="Palatino Linotype"/>
          <w:i/>
        </w:rPr>
      </w:pPr>
      <w:r w:rsidRPr="008A215A">
        <w:rPr>
          <w:rFonts w:ascii="Palatino Linotype" w:eastAsia="Palatino Linotype" w:hAnsi="Palatino Linotype" w:cs="Palatino Linotype"/>
        </w:rPr>
        <w:t xml:space="preserve">Así bien el Manual de Procedimiento para la Integración de Consumos de los Servicios de Alumbrado Público, Semáforos y otras Cargas directas define al Censo de Alumbrado Público como el  </w:t>
      </w:r>
      <w:r w:rsidRPr="008A215A">
        <w:rPr>
          <w:rFonts w:ascii="Palatino Linotype" w:eastAsia="Palatino Linotype" w:hAnsi="Palatino Linotype" w:cs="Palatino Linotype"/>
          <w:i/>
        </w:rPr>
        <w:t>“Levantamiento, conteo e integración y evaluación de reportes de los equipos de iluminación con sus características eléctricas encontrados por áreas definidas de un terreno, población, ciudad, municipio, delegación, etc. “</w:t>
      </w:r>
    </w:p>
    <w:p w14:paraId="1F87CBAE" w14:textId="77777777" w:rsidR="005354DF" w:rsidRPr="008A215A" w:rsidRDefault="005354DF">
      <w:pPr>
        <w:spacing w:line="360" w:lineRule="auto"/>
        <w:jc w:val="both"/>
        <w:rPr>
          <w:rFonts w:ascii="Palatino Linotype" w:eastAsia="Palatino Linotype" w:hAnsi="Palatino Linotype" w:cs="Palatino Linotype"/>
          <w:i/>
        </w:rPr>
      </w:pPr>
    </w:p>
    <w:p w14:paraId="379D951F"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El mismo instrumento define también lo que se considera por el término balastros como </w:t>
      </w:r>
      <w:r w:rsidRPr="008A215A">
        <w:rPr>
          <w:rFonts w:ascii="Palatino Linotype" w:eastAsia="Palatino Linotype" w:hAnsi="Palatino Linotype" w:cs="Palatino Linotype"/>
          <w:i/>
        </w:rPr>
        <w:t>“un equipo que sirve para mantener estable y limitar la intensidad de la corriente para lámpara, en una lámpara fluorescente el papel del balasto es doble; proporciona la alta tensión necesaria para el encendido del tubo y después del encendido del tubo, limita la corriente que pasa a través de él.</w:t>
      </w:r>
      <w:r w:rsidRPr="008A215A">
        <w:rPr>
          <w:rFonts w:ascii="Palatino Linotype" w:eastAsia="Palatino Linotype" w:hAnsi="Palatino Linotype" w:cs="Palatino Linotype"/>
        </w:rPr>
        <w:t>”</w:t>
      </w:r>
    </w:p>
    <w:p w14:paraId="336EA7F8" w14:textId="77777777" w:rsidR="005354DF" w:rsidRPr="008A215A" w:rsidRDefault="005354DF">
      <w:pPr>
        <w:spacing w:line="360" w:lineRule="auto"/>
        <w:jc w:val="both"/>
        <w:rPr>
          <w:rFonts w:ascii="Palatino Linotype" w:eastAsia="Palatino Linotype" w:hAnsi="Palatino Linotype" w:cs="Palatino Linotype"/>
        </w:rPr>
      </w:pPr>
    </w:p>
    <w:p w14:paraId="372EA98A"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Aunado a lo anterior, dicho manual indica el procedimiento que se deberá seguir para la elaboración del censo de alumbrado público de lo cual destaca lo siguiente: </w:t>
      </w:r>
    </w:p>
    <w:p w14:paraId="142AE1CF" w14:textId="77777777" w:rsidR="005354DF" w:rsidRPr="008A215A" w:rsidRDefault="005354DF">
      <w:pPr>
        <w:spacing w:line="360" w:lineRule="auto"/>
        <w:jc w:val="both"/>
        <w:rPr>
          <w:rFonts w:ascii="Palatino Linotype" w:eastAsia="Palatino Linotype" w:hAnsi="Palatino Linotype" w:cs="Palatino Linotype"/>
        </w:rPr>
      </w:pPr>
    </w:p>
    <w:p w14:paraId="4C259166" w14:textId="77777777" w:rsidR="005354DF" w:rsidRPr="008A215A" w:rsidRDefault="004E07F3">
      <w:pPr>
        <w:ind w:left="850" w:right="899"/>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 xml:space="preserve">“Se llevará cabo la ejecución de los censos de alumbrado público, semáforos y otras cargas directas de la siguiente manera: </w:t>
      </w:r>
    </w:p>
    <w:p w14:paraId="5847CFAB" w14:textId="77777777" w:rsidR="005354DF" w:rsidRPr="008A215A" w:rsidRDefault="004E07F3">
      <w:pPr>
        <w:ind w:left="1570" w:right="899"/>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 xml:space="preserve">a) Se coordinará con el representante del sistema de alumbrado público o el particular, para llevar a cabo el levantamiento en campo de manera conjunta con personal de ambas partes. </w:t>
      </w:r>
    </w:p>
    <w:p w14:paraId="55F6B640" w14:textId="77777777" w:rsidR="005354DF" w:rsidRPr="008A215A" w:rsidRDefault="004E07F3">
      <w:pPr>
        <w:ind w:left="1570" w:right="899"/>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 xml:space="preserve">b) Se identificarán en un plano las luminarias y equipos que integran cada servicio, ya sean medidos o directos. </w:t>
      </w:r>
    </w:p>
    <w:p w14:paraId="74BA9B00" w14:textId="77777777" w:rsidR="005354DF" w:rsidRPr="008A215A" w:rsidRDefault="004E07F3">
      <w:pPr>
        <w:ind w:left="1570" w:right="899"/>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 xml:space="preserve">c) Se sectorizará el área geográfica para identificar los servicios correspondientes. </w:t>
      </w:r>
    </w:p>
    <w:p w14:paraId="35D94277" w14:textId="77777777" w:rsidR="005354DF" w:rsidRPr="008A215A" w:rsidRDefault="004E07F3">
      <w:pPr>
        <w:ind w:left="1570" w:right="899"/>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lastRenderedPageBreak/>
        <w:t xml:space="preserve">d) Se elaborarán los censos de alumbrado público, semáforos y otras cargas directas, relativos a cada servicio por sector y se continuará de la misma manera con los sectores restantes hasta cubrir la totalidad del área geográfica, incluyendo las poblaciones rurales y comunidades, si así fuera el caso. </w:t>
      </w:r>
    </w:p>
    <w:p w14:paraId="6AD7A59F" w14:textId="77777777" w:rsidR="005354DF" w:rsidRPr="008A215A" w:rsidRDefault="004E07F3">
      <w:pPr>
        <w:ind w:left="1570" w:right="899"/>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 xml:space="preserve">e) El levantamiento físico para ubicar las luminarias y otras cargas directas deberá contar con las </w:t>
      </w:r>
      <w:proofErr w:type="spellStart"/>
      <w:r w:rsidRPr="008A215A">
        <w:rPr>
          <w:rFonts w:ascii="Palatino Linotype" w:eastAsia="Palatino Linotype" w:hAnsi="Palatino Linotype" w:cs="Palatino Linotype"/>
          <w:i/>
          <w:sz w:val="22"/>
          <w:szCs w:val="22"/>
        </w:rPr>
        <w:t>georeferencias</w:t>
      </w:r>
      <w:proofErr w:type="spellEnd"/>
      <w:r w:rsidRPr="008A215A">
        <w:rPr>
          <w:rFonts w:ascii="Palatino Linotype" w:eastAsia="Palatino Linotype" w:hAnsi="Palatino Linotype" w:cs="Palatino Linotype"/>
          <w:i/>
          <w:sz w:val="22"/>
          <w:szCs w:val="22"/>
        </w:rPr>
        <w:t xml:space="preserve"> correspondientes. </w:t>
      </w:r>
    </w:p>
    <w:p w14:paraId="6DF9AF28" w14:textId="77777777" w:rsidR="005354DF" w:rsidRPr="008A215A" w:rsidRDefault="004E07F3">
      <w:pPr>
        <w:ind w:left="1570" w:right="899"/>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 xml:space="preserve">f) Una vez concluido el censo de todos los sectores, se iniciará el proceso de preparación del nuevo censo con el primer sector, de tal manera que el programa de censos de alumbrado público, semáforos y otras cargas directas sea lo más continuo posible. </w:t>
      </w:r>
    </w:p>
    <w:p w14:paraId="1EC18F0A" w14:textId="77777777" w:rsidR="005354DF" w:rsidRPr="008A215A" w:rsidRDefault="004E07F3">
      <w:pPr>
        <w:ind w:left="1570" w:right="899"/>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 xml:space="preserve">g) Se deberá realizar un censo de alumbrado púbico, semáforos y otras cargas directas al menos una vez al año. </w:t>
      </w:r>
    </w:p>
    <w:p w14:paraId="02992FB4" w14:textId="77777777" w:rsidR="005354DF" w:rsidRPr="008A215A" w:rsidRDefault="005354DF">
      <w:pPr>
        <w:ind w:left="850" w:right="899"/>
        <w:jc w:val="both"/>
        <w:rPr>
          <w:rFonts w:ascii="Palatino Linotype" w:eastAsia="Palatino Linotype" w:hAnsi="Palatino Linotype" w:cs="Palatino Linotype"/>
          <w:i/>
          <w:sz w:val="22"/>
          <w:szCs w:val="22"/>
        </w:rPr>
      </w:pPr>
    </w:p>
    <w:p w14:paraId="49C7C14A" w14:textId="77777777" w:rsidR="005354DF" w:rsidRPr="008A215A" w:rsidRDefault="004E07F3">
      <w:pPr>
        <w:ind w:left="850" w:right="899"/>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 xml:space="preserve">Una vez ejecutado el censo y acordado el resultado con el representante del sistema de alumbrado público o el particular, se entregará por escrito al suministrador el resultado obtenido del mismo incluyendo cargos o créditos que procedan, en un máximo de 10 días naturales después de terminado el censo de cada sector, municipio o delegación.“ </w:t>
      </w:r>
    </w:p>
    <w:p w14:paraId="0F4F16DE" w14:textId="77777777" w:rsidR="005354DF" w:rsidRPr="008A215A" w:rsidRDefault="005354DF">
      <w:pPr>
        <w:spacing w:line="360" w:lineRule="auto"/>
        <w:jc w:val="both"/>
        <w:rPr>
          <w:rFonts w:ascii="Palatino Linotype" w:eastAsia="Palatino Linotype" w:hAnsi="Palatino Linotype" w:cs="Palatino Linotype"/>
        </w:rPr>
      </w:pPr>
    </w:p>
    <w:p w14:paraId="682D0B1A"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Del procedimiento antes citado se desprende que la realización del censo de alumbrado público se llevará a cabo de forma conjunta con los trabajadores de la Comisión Federal de Electricidad y el representante de quien contrate el suministro, como es en este caso el Municipio; así también, dicho censo deberá llevarse a cabo al menos una vez al año y una vez realizado se deberá entregar por escrito el resultado obtenido en un máximo de 10 días naturales.</w:t>
      </w:r>
    </w:p>
    <w:p w14:paraId="230FD716" w14:textId="77777777" w:rsidR="005354DF" w:rsidRPr="008A215A" w:rsidRDefault="005354DF">
      <w:pPr>
        <w:spacing w:line="360" w:lineRule="auto"/>
        <w:jc w:val="both"/>
        <w:rPr>
          <w:rFonts w:ascii="Palatino Linotype" w:eastAsia="Palatino Linotype" w:hAnsi="Palatino Linotype" w:cs="Palatino Linotype"/>
        </w:rPr>
      </w:pPr>
    </w:p>
    <w:p w14:paraId="31BB3D63"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De la misma manera, el Manual citado, establece que para todos los servicios de alumbrado público se integrará un expediente que contenga censos, planos, ajustes y los anexos necesarios: </w:t>
      </w:r>
    </w:p>
    <w:p w14:paraId="772EC2FF" w14:textId="77777777" w:rsidR="005354DF" w:rsidRPr="008A215A" w:rsidRDefault="005354DF">
      <w:pPr>
        <w:spacing w:line="360" w:lineRule="auto"/>
        <w:ind w:left="850" w:right="899"/>
        <w:jc w:val="both"/>
        <w:rPr>
          <w:rFonts w:ascii="Palatino Linotype" w:eastAsia="Palatino Linotype" w:hAnsi="Palatino Linotype" w:cs="Palatino Linotype"/>
          <w:i/>
          <w:sz w:val="22"/>
          <w:szCs w:val="22"/>
        </w:rPr>
      </w:pPr>
    </w:p>
    <w:p w14:paraId="57FBAE24" w14:textId="77777777" w:rsidR="005354DF" w:rsidRPr="008A215A" w:rsidRDefault="004E07F3">
      <w:pPr>
        <w:spacing w:line="360" w:lineRule="auto"/>
        <w:ind w:left="850" w:right="899"/>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lastRenderedPageBreak/>
        <w:t>“Para todos los servicios de alumbrado público, semáforos y otras cargas directas se integrará un expediente que contenga censos, planos, determinación de ajustes anteriores y anexos necesarios para la determinación de los ajustes que procedan. En los casos en los que se utilicen otras herramientas, ya sean tecnológicas y/o manuales para ampliar la información, también se deberán incluir.” (Sic)</w:t>
      </w:r>
    </w:p>
    <w:p w14:paraId="6D547E81" w14:textId="77777777" w:rsidR="005354DF" w:rsidRPr="008A215A" w:rsidRDefault="005354DF">
      <w:pPr>
        <w:spacing w:line="360" w:lineRule="auto"/>
        <w:jc w:val="both"/>
        <w:rPr>
          <w:rFonts w:ascii="Palatino Linotype" w:eastAsia="Palatino Linotype" w:hAnsi="Palatino Linotype" w:cs="Palatino Linotype"/>
        </w:rPr>
      </w:pPr>
    </w:p>
    <w:p w14:paraId="5D861C7D"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De manera que, de dichos anexos, se aprecian entre otros, los documentos que se inserta a continuación: </w:t>
      </w:r>
    </w:p>
    <w:p w14:paraId="7CFFCA89"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noProof/>
        </w:rPr>
        <w:drawing>
          <wp:inline distT="114300" distB="114300" distL="114300" distR="114300" wp14:anchorId="0A62F83B" wp14:editId="11D9944D">
            <wp:extent cx="5791200" cy="2740660"/>
            <wp:effectExtent l="0" t="0" r="0" b="0"/>
            <wp:docPr id="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t="13685" b="35626"/>
                    <a:stretch>
                      <a:fillRect/>
                    </a:stretch>
                  </pic:blipFill>
                  <pic:spPr>
                    <a:xfrm>
                      <a:off x="0" y="0"/>
                      <a:ext cx="5791200" cy="2740660"/>
                    </a:xfrm>
                    <a:prstGeom prst="rect">
                      <a:avLst/>
                    </a:prstGeom>
                    <a:ln/>
                  </pic:spPr>
                </pic:pic>
              </a:graphicData>
            </a:graphic>
          </wp:inline>
        </w:drawing>
      </w:r>
    </w:p>
    <w:p w14:paraId="7C09F5E2" w14:textId="77777777" w:rsidR="005354DF" w:rsidRPr="008A215A" w:rsidRDefault="005354DF">
      <w:pPr>
        <w:spacing w:line="360" w:lineRule="auto"/>
        <w:jc w:val="both"/>
        <w:rPr>
          <w:rFonts w:ascii="Palatino Linotype" w:eastAsia="Palatino Linotype" w:hAnsi="Palatino Linotype" w:cs="Palatino Linotype"/>
        </w:rPr>
      </w:pPr>
    </w:p>
    <w:p w14:paraId="252AD2B8"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En primer lugar se puede observar un programa anual de censos que establece la comparativa de los meses de enero a diciembre en donde viene indicado el </w:t>
      </w:r>
      <w:proofErr w:type="spellStart"/>
      <w:r w:rsidRPr="008A215A">
        <w:rPr>
          <w:rFonts w:ascii="Palatino Linotype" w:eastAsia="Palatino Linotype" w:hAnsi="Palatino Linotype" w:cs="Palatino Linotype"/>
        </w:rPr>
        <w:t>RPU´s</w:t>
      </w:r>
      <w:proofErr w:type="spellEnd"/>
      <w:r w:rsidRPr="008A215A">
        <w:rPr>
          <w:rFonts w:ascii="Palatino Linotype" w:eastAsia="Palatino Linotype" w:hAnsi="Palatino Linotype" w:cs="Palatino Linotype"/>
        </w:rPr>
        <w:t xml:space="preserve"> programado para efectuar el censo y los </w:t>
      </w:r>
      <w:proofErr w:type="spellStart"/>
      <w:r w:rsidRPr="008A215A">
        <w:rPr>
          <w:rFonts w:ascii="Palatino Linotype" w:eastAsia="Palatino Linotype" w:hAnsi="Palatino Linotype" w:cs="Palatino Linotype"/>
        </w:rPr>
        <w:t>RPU´s</w:t>
      </w:r>
      <w:proofErr w:type="spellEnd"/>
      <w:r w:rsidRPr="008A215A">
        <w:rPr>
          <w:rFonts w:ascii="Palatino Linotype" w:eastAsia="Palatino Linotype" w:hAnsi="Palatino Linotype" w:cs="Palatino Linotype"/>
        </w:rPr>
        <w:t xml:space="preserve"> totales para censar, información que se encuentra en la petición del </w:t>
      </w:r>
      <w:r w:rsidRPr="008A215A">
        <w:rPr>
          <w:rFonts w:ascii="Palatino Linotype" w:eastAsia="Palatino Linotype" w:hAnsi="Palatino Linotype" w:cs="Palatino Linotype"/>
          <w:b/>
        </w:rPr>
        <w:t xml:space="preserve">RECURRENTE. </w:t>
      </w:r>
      <w:r w:rsidRPr="008A215A">
        <w:rPr>
          <w:rFonts w:ascii="Palatino Linotype" w:eastAsia="Palatino Linotype" w:hAnsi="Palatino Linotype" w:cs="Palatino Linotype"/>
        </w:rPr>
        <w:t xml:space="preserve">En relación a lo anterior, es importante mencionar que de Acuerdo Número A/031/2016 el Registro Permanente de Usuario asignado al servicio de alumbrado público es el número único de identificación. </w:t>
      </w:r>
    </w:p>
    <w:p w14:paraId="76E29ACE" w14:textId="77777777" w:rsidR="005354DF" w:rsidRPr="008A215A" w:rsidRDefault="005354DF">
      <w:pPr>
        <w:spacing w:line="360" w:lineRule="auto"/>
        <w:jc w:val="both"/>
        <w:rPr>
          <w:rFonts w:ascii="Palatino Linotype" w:eastAsia="Palatino Linotype" w:hAnsi="Palatino Linotype" w:cs="Palatino Linotype"/>
        </w:rPr>
      </w:pPr>
    </w:p>
    <w:p w14:paraId="6E59D95A"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En ese orden de ideas, los Lineamientos para la asignación del Registro Móvil de Usuario (RMU), establecen  que  el Registro Móvil de Usuario reemplazará al Registro Permanente de Usuario, utilizado por la Comisión Federal de Electricidad, asimismo, la asignación del RMU estará a cargo del Suministrador, el cual estará asociado a una instalación eléctrica independiente, en donde puede coexistir dos o más registros en el mismo inmueble o instalación.</w:t>
      </w:r>
    </w:p>
    <w:p w14:paraId="07F4501A" w14:textId="77777777" w:rsidR="005354DF" w:rsidRPr="008A215A" w:rsidRDefault="005354DF">
      <w:pPr>
        <w:shd w:val="clear" w:color="auto" w:fill="FFFFFF"/>
        <w:spacing w:line="360" w:lineRule="auto"/>
        <w:rPr>
          <w:rFonts w:ascii="Palatino Linotype" w:eastAsia="Palatino Linotype" w:hAnsi="Palatino Linotype" w:cs="Palatino Linotype"/>
        </w:rPr>
      </w:pPr>
    </w:p>
    <w:p w14:paraId="42B1B968" w14:textId="77777777" w:rsidR="005354DF" w:rsidRPr="008A215A" w:rsidRDefault="004E07F3">
      <w:pPr>
        <w:shd w:val="clear" w:color="auto" w:fill="FFFFFF"/>
        <w:spacing w:line="360" w:lineRule="auto"/>
        <w:rPr>
          <w:rFonts w:ascii="Palatino Linotype" w:eastAsia="Palatino Linotype" w:hAnsi="Palatino Linotype" w:cs="Palatino Linotype"/>
        </w:rPr>
      </w:pPr>
      <w:r w:rsidRPr="008A215A">
        <w:rPr>
          <w:rFonts w:ascii="Palatino Linotype" w:eastAsia="Palatino Linotype" w:hAnsi="Palatino Linotype" w:cs="Palatino Linotype"/>
        </w:rPr>
        <w:t>Dicho registro se conforma de quince caracteres alfanuméricos, tal como se observa a continuación:</w:t>
      </w:r>
    </w:p>
    <w:p w14:paraId="37229AF5" w14:textId="77777777" w:rsidR="005354DF" w:rsidRPr="008A215A" w:rsidRDefault="005354DF">
      <w:pPr>
        <w:shd w:val="clear" w:color="auto" w:fill="FFFFFF"/>
        <w:spacing w:line="360" w:lineRule="auto"/>
        <w:ind w:left="720"/>
        <w:rPr>
          <w:rFonts w:ascii="Palatino Linotype" w:eastAsia="Palatino Linotype" w:hAnsi="Palatino Linotype" w:cs="Palatino Linotype"/>
          <w:sz w:val="22"/>
          <w:szCs w:val="22"/>
        </w:rPr>
      </w:pPr>
    </w:p>
    <w:p w14:paraId="459F6A1E" w14:textId="77777777" w:rsidR="005354DF" w:rsidRPr="008A215A" w:rsidRDefault="004E07F3">
      <w:pPr>
        <w:shd w:val="clear" w:color="auto" w:fill="FFFFFF"/>
        <w:spacing w:line="360" w:lineRule="auto"/>
        <w:ind w:left="720"/>
        <w:jc w:val="center"/>
        <w:rPr>
          <w:rFonts w:ascii="Palatino Linotype" w:eastAsia="Palatino Linotype" w:hAnsi="Palatino Linotype" w:cs="Palatino Linotype"/>
          <w:sz w:val="22"/>
          <w:szCs w:val="22"/>
        </w:rPr>
      </w:pPr>
      <w:r w:rsidRPr="008A215A">
        <w:rPr>
          <w:rFonts w:ascii="Palatino Linotype" w:eastAsia="Palatino Linotype" w:hAnsi="Palatino Linotype" w:cs="Palatino Linotype"/>
          <w:noProof/>
          <w:sz w:val="22"/>
          <w:szCs w:val="22"/>
        </w:rPr>
        <w:drawing>
          <wp:inline distT="0" distB="0" distL="0" distR="0" wp14:anchorId="631B0F88" wp14:editId="202FD223">
            <wp:extent cx="3234372" cy="1158197"/>
            <wp:effectExtent l="0" t="0" r="0" b="0"/>
            <wp:docPr id="70" name="image8.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Tabla&#10;&#10;Descripción generada automáticamente"/>
                    <pic:cNvPicPr preferRelativeResize="0"/>
                  </pic:nvPicPr>
                  <pic:blipFill>
                    <a:blip r:embed="rId14"/>
                    <a:srcRect l="8812" r="10343" b="50000"/>
                    <a:stretch>
                      <a:fillRect/>
                    </a:stretch>
                  </pic:blipFill>
                  <pic:spPr>
                    <a:xfrm>
                      <a:off x="0" y="0"/>
                      <a:ext cx="3234372" cy="1158197"/>
                    </a:xfrm>
                    <a:prstGeom prst="rect">
                      <a:avLst/>
                    </a:prstGeom>
                    <a:ln/>
                  </pic:spPr>
                </pic:pic>
              </a:graphicData>
            </a:graphic>
          </wp:inline>
        </w:drawing>
      </w:r>
    </w:p>
    <w:p w14:paraId="0FB6D4D2" w14:textId="77777777" w:rsidR="005354DF" w:rsidRPr="008A215A" w:rsidRDefault="005354DF">
      <w:pPr>
        <w:shd w:val="clear" w:color="auto" w:fill="FFFFFF"/>
        <w:spacing w:line="360" w:lineRule="auto"/>
        <w:ind w:left="720"/>
        <w:rPr>
          <w:rFonts w:ascii="Palatino Linotype" w:eastAsia="Palatino Linotype" w:hAnsi="Palatino Linotype" w:cs="Palatino Linotype"/>
          <w:sz w:val="22"/>
          <w:szCs w:val="22"/>
        </w:rPr>
      </w:pPr>
    </w:p>
    <w:p w14:paraId="740F408C" w14:textId="77777777" w:rsidR="005354DF" w:rsidRPr="008A215A" w:rsidRDefault="004E07F3">
      <w:pPr>
        <w:shd w:val="clear" w:color="auto" w:fill="FFFFFF"/>
        <w:spacing w:line="360" w:lineRule="auto"/>
        <w:ind w:left="720"/>
        <w:jc w:val="center"/>
        <w:rPr>
          <w:rFonts w:ascii="Palatino Linotype" w:eastAsia="Palatino Linotype" w:hAnsi="Palatino Linotype" w:cs="Palatino Linotype"/>
          <w:sz w:val="22"/>
          <w:szCs w:val="22"/>
        </w:rPr>
      </w:pPr>
      <w:r w:rsidRPr="008A215A">
        <w:rPr>
          <w:rFonts w:ascii="Palatino Linotype" w:eastAsia="Palatino Linotype" w:hAnsi="Palatino Linotype" w:cs="Palatino Linotype"/>
          <w:noProof/>
          <w:sz w:val="22"/>
          <w:szCs w:val="22"/>
        </w:rPr>
        <w:drawing>
          <wp:inline distT="0" distB="0" distL="0" distR="0" wp14:anchorId="659D5A9C" wp14:editId="60AA00F7">
            <wp:extent cx="3596322" cy="945931"/>
            <wp:effectExtent l="0" t="0" r="0" b="0"/>
            <wp:docPr id="69" name="image8.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Tabla&#10;&#10;Descripción generada automáticamente"/>
                    <pic:cNvPicPr preferRelativeResize="0"/>
                  </pic:nvPicPr>
                  <pic:blipFill>
                    <a:blip r:embed="rId14"/>
                    <a:srcRect l="3580" t="56622" r="7376" b="2980"/>
                    <a:stretch>
                      <a:fillRect/>
                    </a:stretch>
                  </pic:blipFill>
                  <pic:spPr>
                    <a:xfrm>
                      <a:off x="0" y="0"/>
                      <a:ext cx="3596322" cy="945931"/>
                    </a:xfrm>
                    <a:prstGeom prst="rect">
                      <a:avLst/>
                    </a:prstGeom>
                    <a:ln/>
                  </pic:spPr>
                </pic:pic>
              </a:graphicData>
            </a:graphic>
          </wp:inline>
        </w:drawing>
      </w:r>
    </w:p>
    <w:p w14:paraId="082C26E9" w14:textId="77777777" w:rsidR="005354DF" w:rsidRPr="008A215A" w:rsidRDefault="005354DF">
      <w:pPr>
        <w:shd w:val="clear" w:color="auto" w:fill="FFFFFF"/>
        <w:spacing w:line="360" w:lineRule="auto"/>
        <w:rPr>
          <w:rFonts w:ascii="Palatino Linotype" w:eastAsia="Palatino Linotype" w:hAnsi="Palatino Linotype" w:cs="Palatino Linotype"/>
          <w:sz w:val="22"/>
          <w:szCs w:val="22"/>
        </w:rPr>
      </w:pPr>
    </w:p>
    <w:p w14:paraId="20DD696D" w14:textId="77777777" w:rsidR="005354DF" w:rsidRPr="008A215A" w:rsidRDefault="004E07F3">
      <w:pPr>
        <w:shd w:val="clear" w:color="auto" w:fill="FFFFFF"/>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Ahora bien, conforme a la Resolución por la que la Comisión Reguladora de Energía modifica los incisos IV, VII y VIII, del apéndice III, del anexo a la Resolución RES/999/2015 por la que se expiden las disposiciones administrativas de carácter general que establecen las condiciones generales para la prestación del suministro </w:t>
      </w:r>
      <w:r w:rsidRPr="008A215A">
        <w:rPr>
          <w:rFonts w:ascii="Palatino Linotype" w:eastAsia="Palatino Linotype" w:hAnsi="Palatino Linotype" w:cs="Palatino Linotype"/>
        </w:rPr>
        <w:lastRenderedPageBreak/>
        <w:t>eléctrico, publicada el 18 de febrero de 2016, establece que el RMU estará compuesto por 27 caracteres alfanuméricos, tal como se observa:</w:t>
      </w:r>
    </w:p>
    <w:p w14:paraId="69223796" w14:textId="77777777" w:rsidR="005354DF" w:rsidRPr="008A215A" w:rsidRDefault="005354DF">
      <w:pPr>
        <w:shd w:val="clear" w:color="auto" w:fill="FFFFFF"/>
        <w:spacing w:line="360" w:lineRule="auto"/>
        <w:rPr>
          <w:rFonts w:ascii="Palatino Linotype" w:eastAsia="Palatino Linotype" w:hAnsi="Palatino Linotype" w:cs="Palatino Linotype"/>
          <w:sz w:val="22"/>
          <w:szCs w:val="22"/>
        </w:rPr>
      </w:pPr>
    </w:p>
    <w:p w14:paraId="60BB7026" w14:textId="77777777" w:rsidR="005354DF" w:rsidRPr="008A215A" w:rsidRDefault="004E07F3">
      <w:pPr>
        <w:shd w:val="clear" w:color="auto" w:fill="FFFFFF"/>
        <w:spacing w:line="360" w:lineRule="auto"/>
        <w:jc w:val="center"/>
        <w:rPr>
          <w:rFonts w:ascii="Palatino Linotype" w:eastAsia="Palatino Linotype" w:hAnsi="Palatino Linotype" w:cs="Palatino Linotype"/>
          <w:sz w:val="22"/>
          <w:szCs w:val="22"/>
        </w:rPr>
      </w:pPr>
      <w:r w:rsidRPr="008A215A">
        <w:rPr>
          <w:rFonts w:ascii="Palatino Linotype" w:eastAsia="Palatino Linotype" w:hAnsi="Palatino Linotype" w:cs="Palatino Linotype"/>
          <w:noProof/>
          <w:sz w:val="22"/>
          <w:szCs w:val="22"/>
        </w:rPr>
        <w:drawing>
          <wp:inline distT="0" distB="0" distL="0" distR="0" wp14:anchorId="74F3EBF4" wp14:editId="4CAFE2E1">
            <wp:extent cx="3543935" cy="947797"/>
            <wp:effectExtent l="0" t="0" r="0" b="0"/>
            <wp:docPr id="72" name="image10.png" descr="Diagrama, 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0.png" descr="Diagrama, Texto&#10;&#10;Descripción generada automáticamente con confianza media"/>
                    <pic:cNvPicPr preferRelativeResize="0"/>
                  </pic:nvPicPr>
                  <pic:blipFill>
                    <a:blip r:embed="rId15"/>
                    <a:srcRect/>
                    <a:stretch>
                      <a:fillRect/>
                    </a:stretch>
                  </pic:blipFill>
                  <pic:spPr>
                    <a:xfrm>
                      <a:off x="0" y="0"/>
                      <a:ext cx="3543935" cy="947797"/>
                    </a:xfrm>
                    <a:prstGeom prst="rect">
                      <a:avLst/>
                    </a:prstGeom>
                    <a:ln/>
                  </pic:spPr>
                </pic:pic>
              </a:graphicData>
            </a:graphic>
          </wp:inline>
        </w:drawing>
      </w:r>
    </w:p>
    <w:p w14:paraId="11CA48E9" w14:textId="77777777" w:rsidR="005354DF" w:rsidRPr="008A215A" w:rsidRDefault="005354DF">
      <w:pPr>
        <w:shd w:val="clear" w:color="auto" w:fill="FFFFFF"/>
        <w:spacing w:line="360" w:lineRule="auto"/>
        <w:rPr>
          <w:rFonts w:ascii="Palatino Linotype" w:eastAsia="Palatino Linotype" w:hAnsi="Palatino Linotype" w:cs="Palatino Linotype"/>
          <w:sz w:val="22"/>
          <w:szCs w:val="22"/>
        </w:rPr>
      </w:pPr>
    </w:p>
    <w:p w14:paraId="185BC3BA"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De tales consideraciones, se advierte que la pretensión del Particular es obtener el Registro Móvil de Usuario asignado al servicio de alumbrado público, del servicio estimado y medido; en ese sentido, resulta importante precisar que dicho dato se encuentra visible en los diferentes anexos al censo de alumbrado público, además del ya mencionado programa anual:</w:t>
      </w:r>
    </w:p>
    <w:p w14:paraId="13706913"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noProof/>
        </w:rPr>
        <w:drawing>
          <wp:inline distT="114300" distB="114300" distL="114300" distR="114300" wp14:anchorId="129FB9AB" wp14:editId="14A28621">
            <wp:extent cx="5791200" cy="2907665"/>
            <wp:effectExtent l="0" t="0" r="0" b="0"/>
            <wp:docPr id="7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t="14172" b="23270"/>
                    <a:stretch>
                      <a:fillRect/>
                    </a:stretch>
                  </pic:blipFill>
                  <pic:spPr>
                    <a:xfrm>
                      <a:off x="0" y="0"/>
                      <a:ext cx="5791200" cy="2907665"/>
                    </a:xfrm>
                    <a:prstGeom prst="rect">
                      <a:avLst/>
                    </a:prstGeom>
                    <a:ln/>
                  </pic:spPr>
                </pic:pic>
              </a:graphicData>
            </a:graphic>
          </wp:inline>
        </w:drawing>
      </w:r>
    </w:p>
    <w:p w14:paraId="5A7BC1B6"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En la imagen antes insertada es posible observar el formato de llenado para el resumen del censo de alumbrado público y semáforos, mismo que dentro de su información </w:t>
      </w:r>
      <w:r w:rsidRPr="008A215A">
        <w:rPr>
          <w:rFonts w:ascii="Palatino Linotype" w:eastAsia="Palatino Linotype" w:hAnsi="Palatino Linotype" w:cs="Palatino Linotype"/>
        </w:rPr>
        <w:lastRenderedPageBreak/>
        <w:t xml:space="preserve">contiene el RPU, información del censo actual, incluyendo la fecha, número de lámparas, la carga y la carga total conectada (C.P.D), haciendo una comparativa de los mismos datos, correspondientes al año anterior y estableciendo de forma puntual las diferencias entre ambos años. </w:t>
      </w:r>
    </w:p>
    <w:p w14:paraId="58C34BB7" w14:textId="77777777" w:rsidR="005354DF" w:rsidRPr="008A215A" w:rsidRDefault="005354DF">
      <w:pPr>
        <w:spacing w:line="360" w:lineRule="auto"/>
        <w:jc w:val="both"/>
        <w:rPr>
          <w:rFonts w:ascii="Palatino Linotype" w:eastAsia="Palatino Linotype" w:hAnsi="Palatino Linotype" w:cs="Palatino Linotype"/>
        </w:rPr>
      </w:pPr>
    </w:p>
    <w:p w14:paraId="573C9B33"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Otro de los formatos anexados al expediente del censo de alumbrado público, según lo establecido por el Manual de procedimiento para la integración de consumo de los servicios de alumbrado público, semáforos y otras cargas directas, es el desglose del censo de alumbrado público y semáforos en donde se indica la descripción de tipo de luminaria, la cantidad, su potencia y su consumo promedio diario, como se puede apreciar de la siguiente imagen:</w:t>
      </w:r>
    </w:p>
    <w:p w14:paraId="4B1AC6B3" w14:textId="77777777" w:rsidR="005354DF" w:rsidRPr="008A215A" w:rsidRDefault="005354DF">
      <w:pPr>
        <w:spacing w:line="360" w:lineRule="auto"/>
        <w:jc w:val="both"/>
        <w:rPr>
          <w:rFonts w:ascii="Palatino Linotype" w:eastAsia="Palatino Linotype" w:hAnsi="Palatino Linotype" w:cs="Palatino Linotype"/>
        </w:rPr>
      </w:pPr>
    </w:p>
    <w:p w14:paraId="5D458C54"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noProof/>
        </w:rPr>
        <w:drawing>
          <wp:inline distT="114300" distB="114300" distL="114300" distR="114300" wp14:anchorId="3A004B86" wp14:editId="385E1B9D">
            <wp:extent cx="5791200" cy="3159760"/>
            <wp:effectExtent l="0" t="0" r="0" b="0"/>
            <wp:docPr id="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t="11142" b="19788"/>
                    <a:stretch>
                      <a:fillRect/>
                    </a:stretch>
                  </pic:blipFill>
                  <pic:spPr>
                    <a:xfrm>
                      <a:off x="0" y="0"/>
                      <a:ext cx="5791200" cy="3159760"/>
                    </a:xfrm>
                    <a:prstGeom prst="rect">
                      <a:avLst/>
                    </a:prstGeom>
                    <a:ln/>
                  </pic:spPr>
                </pic:pic>
              </a:graphicData>
            </a:graphic>
          </wp:inline>
        </w:drawing>
      </w:r>
    </w:p>
    <w:p w14:paraId="50256169"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lastRenderedPageBreak/>
        <w:t xml:space="preserve">Por último se encuentra el formato del resumen de censo de otras cargas directas, en donde se establecen los tipos de cargas directas, la fecha, el domicilio en el que se encuentran instaladas, considerando la vía primaria, secundaria, colonia y calles, entre otros rubros. </w:t>
      </w:r>
    </w:p>
    <w:p w14:paraId="4516CC64" w14:textId="77777777" w:rsidR="005354DF" w:rsidRPr="008A215A" w:rsidRDefault="005354DF">
      <w:pPr>
        <w:spacing w:line="360" w:lineRule="auto"/>
        <w:jc w:val="both"/>
        <w:rPr>
          <w:rFonts w:ascii="Palatino Linotype" w:eastAsia="Palatino Linotype" w:hAnsi="Palatino Linotype" w:cs="Palatino Linotype"/>
        </w:rPr>
      </w:pPr>
    </w:p>
    <w:p w14:paraId="16ABEA9A"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noProof/>
        </w:rPr>
        <w:drawing>
          <wp:inline distT="114300" distB="114300" distL="114300" distR="114300" wp14:anchorId="0D5617E7" wp14:editId="3ADF9F6F">
            <wp:extent cx="5791835" cy="4864100"/>
            <wp:effectExtent l="0" t="0" r="0" b="0"/>
            <wp:docPr id="7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791835" cy="4864100"/>
                    </a:xfrm>
                    <a:prstGeom prst="rect">
                      <a:avLst/>
                    </a:prstGeom>
                    <a:ln/>
                  </pic:spPr>
                </pic:pic>
              </a:graphicData>
            </a:graphic>
          </wp:inline>
        </w:drawing>
      </w:r>
    </w:p>
    <w:p w14:paraId="5C53DA5A" w14:textId="77777777" w:rsidR="005354DF" w:rsidRPr="008A215A" w:rsidRDefault="005354DF">
      <w:pPr>
        <w:spacing w:line="360" w:lineRule="auto"/>
        <w:jc w:val="both"/>
        <w:rPr>
          <w:rFonts w:ascii="Palatino Linotype" w:eastAsia="Palatino Linotype" w:hAnsi="Palatino Linotype" w:cs="Palatino Linotype"/>
        </w:rPr>
      </w:pPr>
    </w:p>
    <w:p w14:paraId="17ECA8AE"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lastRenderedPageBreak/>
        <w:t xml:space="preserve">Es importante mencionar, que todos los formatos, como se puede apreciar del inserto arriba, llevan la firma por parte del suministrador; es decir, la Comisión Federal de Electricidad y el usuario, que en este caso sería el Municipio. </w:t>
      </w:r>
    </w:p>
    <w:p w14:paraId="6D0FE9F5" w14:textId="77777777" w:rsidR="005354DF" w:rsidRPr="008A215A" w:rsidRDefault="005354DF">
      <w:pPr>
        <w:spacing w:line="360" w:lineRule="auto"/>
        <w:jc w:val="both"/>
        <w:rPr>
          <w:rFonts w:ascii="Palatino Linotype" w:eastAsia="Palatino Linotype" w:hAnsi="Palatino Linotype" w:cs="Palatino Linotype"/>
        </w:rPr>
      </w:pPr>
    </w:p>
    <w:p w14:paraId="168F588A"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Otro de los documentos que acompañan dicho censo es la Minuta de trabajo para formalizar resultados finales del censo de alumbrado público y semáforos, en donde se levanta el día, mes y año, del censo  el nombre del Ayuntamiento y los acuerdos de la relación contractual que se determinan de los resultados del </w:t>
      </w:r>
      <w:proofErr w:type="gramStart"/>
      <w:r w:rsidRPr="008A215A">
        <w:rPr>
          <w:rFonts w:ascii="Palatino Linotype" w:eastAsia="Palatino Linotype" w:hAnsi="Palatino Linotype" w:cs="Palatino Linotype"/>
        </w:rPr>
        <w:t>censo .</w:t>
      </w:r>
      <w:proofErr w:type="gramEnd"/>
      <w:r w:rsidRPr="008A215A">
        <w:rPr>
          <w:rFonts w:ascii="Palatino Linotype" w:eastAsia="Palatino Linotype" w:hAnsi="Palatino Linotype" w:cs="Palatino Linotype"/>
        </w:rPr>
        <w:t xml:space="preserve"> En dicho formato se hace un resumen de los resultados del censo segmentado en la tabla que se inserta a continuación: </w:t>
      </w:r>
    </w:p>
    <w:p w14:paraId="1444556A"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noProof/>
        </w:rPr>
        <w:drawing>
          <wp:inline distT="114300" distB="114300" distL="114300" distR="114300" wp14:anchorId="2FF426BD" wp14:editId="447EEA17">
            <wp:extent cx="5791835" cy="1485900"/>
            <wp:effectExtent l="0" t="0" r="0" b="0"/>
            <wp:docPr id="7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791835" cy="1485900"/>
                    </a:xfrm>
                    <a:prstGeom prst="rect">
                      <a:avLst/>
                    </a:prstGeom>
                    <a:ln/>
                  </pic:spPr>
                </pic:pic>
              </a:graphicData>
            </a:graphic>
          </wp:inline>
        </w:drawing>
      </w:r>
    </w:p>
    <w:p w14:paraId="1C8D8E97"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Que también deberá ser firmado por las partes y un encargado del área de servicios de la zona. </w:t>
      </w:r>
    </w:p>
    <w:p w14:paraId="7DA3EA7A" w14:textId="77777777" w:rsidR="005354DF" w:rsidRPr="008A215A" w:rsidRDefault="005354DF">
      <w:pPr>
        <w:spacing w:line="360" w:lineRule="auto"/>
        <w:jc w:val="both"/>
        <w:rPr>
          <w:rFonts w:ascii="Palatino Linotype" w:eastAsia="Palatino Linotype" w:hAnsi="Palatino Linotype" w:cs="Palatino Linotype"/>
        </w:rPr>
      </w:pPr>
    </w:p>
    <w:p w14:paraId="1467504C"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En conclusión a esta parte del estudio, existen diversos documentos que deben anexarse al censo solicitado por </w:t>
      </w:r>
      <w:r w:rsidRPr="008A215A">
        <w:rPr>
          <w:rFonts w:ascii="Palatino Linotype" w:eastAsia="Palatino Linotype" w:hAnsi="Palatino Linotype" w:cs="Palatino Linotype"/>
          <w:b/>
        </w:rPr>
        <w:t xml:space="preserve">EL RECURRENTE, </w:t>
      </w:r>
      <w:r w:rsidRPr="008A215A">
        <w:rPr>
          <w:rFonts w:ascii="Palatino Linotype" w:eastAsia="Palatino Linotype" w:hAnsi="Palatino Linotype" w:cs="Palatino Linotype"/>
        </w:rPr>
        <w:t xml:space="preserve">en los cuales se advierte pudiera obrar parte de la información requerida por el particular en su solicitud de información, materia del presente recurso. </w:t>
      </w:r>
    </w:p>
    <w:p w14:paraId="5A801E64" w14:textId="77777777" w:rsidR="005354DF" w:rsidRPr="008A215A" w:rsidRDefault="005354DF">
      <w:pPr>
        <w:spacing w:line="360" w:lineRule="auto"/>
        <w:jc w:val="both"/>
        <w:rPr>
          <w:rFonts w:ascii="Palatino Linotype" w:eastAsia="Palatino Linotype" w:hAnsi="Palatino Linotype" w:cs="Palatino Linotype"/>
        </w:rPr>
      </w:pPr>
    </w:p>
    <w:p w14:paraId="001AD7AC"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lastRenderedPageBreak/>
        <w:t xml:space="preserve">No obstante, si alguno de estos datos solicitados no obra dentro de los documentos que </w:t>
      </w:r>
      <w:r w:rsidRPr="008A215A">
        <w:rPr>
          <w:rFonts w:ascii="Palatino Linotype" w:eastAsia="Palatino Linotype" w:hAnsi="Palatino Linotype" w:cs="Palatino Linotype"/>
          <w:b/>
        </w:rPr>
        <w:t>EL SUJETO OBLIGADO</w:t>
      </w:r>
      <w:r w:rsidRPr="008A215A">
        <w:rPr>
          <w:rFonts w:ascii="Palatino Linotype" w:eastAsia="Palatino Linotype" w:hAnsi="Palatino Linotype" w:cs="Palatino Linotype"/>
        </w:rPr>
        <w:t xml:space="preserve"> posea o administre en términos en ejercicio de sus funciones este se verá imposibilitado de entregarlo al </w:t>
      </w:r>
      <w:r w:rsidRPr="008A215A">
        <w:rPr>
          <w:rFonts w:ascii="Palatino Linotype" w:eastAsia="Palatino Linotype" w:hAnsi="Palatino Linotype" w:cs="Palatino Linotype"/>
          <w:b/>
        </w:rPr>
        <w:t>RECURRENTE</w:t>
      </w:r>
      <w:r w:rsidRPr="008A215A">
        <w:rPr>
          <w:rFonts w:ascii="Palatino Linotype" w:eastAsia="Palatino Linotype" w:hAnsi="Palatino Linotype" w:cs="Palatino Linotype"/>
        </w:rPr>
        <w:t xml:space="preserve">, toda vez que los Sujetos Obligados sólo deberán entregar aquella información que en ejercicio de funciones generen posean o administren, en términos de lo establecido por el artículo 12 de la Ley de Transparencia y Acceso a la Información Pública del Estado de México y Municipios, que a la letra dice: </w:t>
      </w:r>
    </w:p>
    <w:p w14:paraId="20D07FD5" w14:textId="77777777" w:rsidR="005354DF" w:rsidRPr="008A215A" w:rsidRDefault="004E07F3">
      <w:pPr>
        <w:ind w:left="851" w:right="901"/>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b/>
          <w:i/>
          <w:sz w:val="22"/>
          <w:szCs w:val="22"/>
        </w:rPr>
        <w:t>“Artículo 12.</w:t>
      </w:r>
      <w:r w:rsidRPr="008A215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79C4D782" w14:textId="77777777" w:rsidR="005354DF" w:rsidRPr="008A215A" w:rsidRDefault="005354DF">
      <w:pPr>
        <w:ind w:left="851" w:right="901"/>
        <w:jc w:val="both"/>
        <w:rPr>
          <w:rFonts w:ascii="Palatino Linotype" w:eastAsia="Palatino Linotype" w:hAnsi="Palatino Linotype" w:cs="Palatino Linotype"/>
          <w:i/>
          <w:sz w:val="22"/>
          <w:szCs w:val="22"/>
        </w:rPr>
      </w:pPr>
    </w:p>
    <w:p w14:paraId="0F8C893F" w14:textId="77777777" w:rsidR="005354DF" w:rsidRPr="008A215A" w:rsidRDefault="004E07F3">
      <w:pPr>
        <w:ind w:left="851" w:right="901"/>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b/>
          <w:i/>
          <w:sz w:val="22"/>
          <w:szCs w:val="22"/>
          <w:u w:val="single"/>
        </w:rPr>
        <w:t>Los sujetos obligados sólo proporcionarán la información pública que se les requiera y que obre en sus archivos y en el estado en que ésta se encuentre.</w:t>
      </w:r>
      <w:r w:rsidRPr="008A215A">
        <w:rPr>
          <w:rFonts w:ascii="Palatino Linotype" w:eastAsia="Palatino Linotype" w:hAnsi="Palatino Linotype" w:cs="Palatino Linotype"/>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1D79E279" w14:textId="77777777" w:rsidR="005354DF" w:rsidRPr="008A215A" w:rsidRDefault="004E07F3">
      <w:pPr>
        <w:ind w:left="851" w:right="901"/>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(Énfasis añadido)</w:t>
      </w:r>
    </w:p>
    <w:p w14:paraId="67F1F25A" w14:textId="77777777" w:rsidR="005354DF" w:rsidRPr="008A215A" w:rsidRDefault="005354DF">
      <w:pPr>
        <w:ind w:left="851" w:right="901"/>
        <w:jc w:val="both"/>
        <w:rPr>
          <w:rFonts w:ascii="Palatino Linotype" w:eastAsia="Palatino Linotype" w:hAnsi="Palatino Linotype" w:cs="Palatino Linotype"/>
          <w:i/>
          <w:sz w:val="22"/>
          <w:szCs w:val="22"/>
        </w:rPr>
      </w:pPr>
    </w:p>
    <w:p w14:paraId="47EB61F4" w14:textId="77777777" w:rsidR="005354DF" w:rsidRPr="008A215A" w:rsidRDefault="005354DF">
      <w:pPr>
        <w:spacing w:line="360" w:lineRule="auto"/>
        <w:jc w:val="both"/>
        <w:rPr>
          <w:rFonts w:ascii="Palatino Linotype" w:eastAsia="Palatino Linotype" w:hAnsi="Palatino Linotype" w:cs="Palatino Linotype"/>
        </w:rPr>
      </w:pPr>
    </w:p>
    <w:p w14:paraId="2C199FC3"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Por consiguiente, los </w:t>
      </w:r>
      <w:r w:rsidRPr="008A215A">
        <w:rPr>
          <w:rFonts w:ascii="Palatino Linotype" w:eastAsia="Palatino Linotype" w:hAnsi="Palatino Linotype" w:cs="Palatino Linotype"/>
          <w:b/>
        </w:rPr>
        <w:t>Sujetos Obligados</w:t>
      </w:r>
      <w:r w:rsidRPr="008A215A">
        <w:rPr>
          <w:rFonts w:ascii="Palatino Linotype" w:eastAsia="Palatino Linotype" w:hAnsi="Palatino Linotype" w:cs="Palatino Linotype"/>
        </w:rPr>
        <w:t xml:space="preserve"> deben de entregar la información pública solicitada por los particulares y que ésta misma se encuentre en sus archivos o que obre en su posesión, privilegiando en todo momento el principio de máxima publicidad, sin generarla, procesarla, resumirla, ni presentarla conforme al interés del solicitante. </w:t>
      </w:r>
    </w:p>
    <w:p w14:paraId="6E12D8AC" w14:textId="77777777" w:rsidR="005354DF" w:rsidRPr="008A215A" w:rsidRDefault="005354DF">
      <w:pPr>
        <w:spacing w:line="360" w:lineRule="auto"/>
        <w:jc w:val="both"/>
        <w:rPr>
          <w:rFonts w:ascii="Palatino Linotype" w:eastAsia="Palatino Linotype" w:hAnsi="Palatino Linotype" w:cs="Palatino Linotype"/>
        </w:rPr>
      </w:pPr>
    </w:p>
    <w:p w14:paraId="640F40B5"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Sobre ello sirve de sustento el criterio 03/17 del INAI</w:t>
      </w:r>
      <w:r w:rsidRPr="008A215A">
        <w:rPr>
          <w:rFonts w:ascii="Palatino Linotype" w:eastAsia="Palatino Linotype" w:hAnsi="Palatino Linotype" w:cs="Palatino Linotype"/>
          <w:vertAlign w:val="superscript"/>
        </w:rPr>
        <w:footnoteReference w:id="1"/>
      </w:r>
      <w:r w:rsidRPr="008A215A">
        <w:rPr>
          <w:rFonts w:ascii="Palatino Linotype" w:eastAsia="Palatino Linotype" w:hAnsi="Palatino Linotype" w:cs="Palatino Linotype"/>
        </w:rPr>
        <w:t xml:space="preserve">, mismo que a la letra señala: </w:t>
      </w:r>
    </w:p>
    <w:p w14:paraId="38325445" w14:textId="77777777" w:rsidR="005354DF" w:rsidRPr="008A215A" w:rsidRDefault="004E07F3">
      <w:pPr>
        <w:ind w:left="851" w:right="899"/>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b/>
          <w:i/>
          <w:sz w:val="22"/>
          <w:szCs w:val="22"/>
        </w:rPr>
        <w:t xml:space="preserve">“No existe obligación de elaborar documentos ad hoc para atender las solicitudes de acceso a la información. </w:t>
      </w:r>
      <w:r w:rsidRPr="008A215A">
        <w:rPr>
          <w:rFonts w:ascii="Palatino Linotype" w:eastAsia="Palatino Linotype" w:hAnsi="Palatino Linotype" w:cs="Palatino Linotype"/>
          <w:i/>
          <w:sz w:val="22"/>
          <w:szCs w:val="22"/>
        </w:rPr>
        <w:t xml:space="preserve">Los artículos 129 de la Ley General de </w:t>
      </w:r>
      <w:r w:rsidRPr="008A215A">
        <w:rPr>
          <w:rFonts w:ascii="Palatino Linotype" w:eastAsia="Palatino Linotype" w:hAnsi="Palatino Linotype" w:cs="Palatino Linotype"/>
          <w:i/>
          <w:sz w:val="22"/>
          <w:szCs w:val="22"/>
        </w:rPr>
        <w:lastRenderedPageBreak/>
        <w:t>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14:paraId="7DD79FD9" w14:textId="77777777" w:rsidR="005354DF" w:rsidRPr="008A215A" w:rsidRDefault="005354DF">
      <w:pPr>
        <w:spacing w:line="360" w:lineRule="auto"/>
        <w:jc w:val="both"/>
        <w:rPr>
          <w:rFonts w:ascii="Palatino Linotype" w:eastAsia="Palatino Linotype" w:hAnsi="Palatino Linotype" w:cs="Palatino Linotype"/>
        </w:rPr>
      </w:pPr>
    </w:p>
    <w:p w14:paraId="541C3E4B"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Del criterio en cita se puede confirmar que si bien, los Sujetos Obligados deben entregar la información que obre en sus archivos atendiendo al principio de máxima publicidad y fomentando en todo momento privilegiar el derecho de acceso a la información, estos no están obligados a elaborar documentos a modo. </w:t>
      </w:r>
    </w:p>
    <w:p w14:paraId="5A8EA3D4" w14:textId="77777777" w:rsidR="005354DF" w:rsidRPr="008A215A" w:rsidRDefault="005354DF">
      <w:pPr>
        <w:spacing w:line="360" w:lineRule="auto"/>
        <w:jc w:val="both"/>
        <w:rPr>
          <w:rFonts w:ascii="Palatino Linotype" w:eastAsia="Palatino Linotype" w:hAnsi="Palatino Linotype" w:cs="Palatino Linotype"/>
        </w:rPr>
      </w:pPr>
    </w:p>
    <w:p w14:paraId="2D2FDB07"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En cuanto a la temporalidad, es conveniente traer a colación el Procedimiento del Control de Servicios de Alumbrado público mismo que establece que los censos de alumbrado público deberán realizarse conjuntamente con los funcionarios autorizados por la autoridad municipal. Al respecto, la Comisión Federal de Electricidad debe notificar al Presidente Municipal, mediante oficio el programa de levantamiento del censo con un mes de anticipación; por otra parte, cabe precisar que la elaboración de los censos de alumbrado público, se dividirá en dos categorías:  </w:t>
      </w:r>
    </w:p>
    <w:p w14:paraId="1FF25B4F" w14:textId="77777777" w:rsidR="005354DF" w:rsidRPr="008A215A" w:rsidRDefault="004E07F3">
      <w:pPr>
        <w:numPr>
          <w:ilvl w:val="0"/>
          <w:numId w:val="1"/>
        </w:num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Ciudades con más de 100,000 usuarios. </w:t>
      </w:r>
    </w:p>
    <w:p w14:paraId="2FA5AF48" w14:textId="77777777" w:rsidR="005354DF" w:rsidRPr="008A215A" w:rsidRDefault="004E07F3">
      <w:pPr>
        <w:numPr>
          <w:ilvl w:val="0"/>
          <w:numId w:val="1"/>
        </w:num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El resto de las ciudades</w:t>
      </w:r>
    </w:p>
    <w:p w14:paraId="02421EDF" w14:textId="77777777" w:rsidR="005354DF" w:rsidRPr="008A215A" w:rsidRDefault="004E07F3">
      <w:pPr>
        <w:numPr>
          <w:ilvl w:val="0"/>
          <w:numId w:val="1"/>
        </w:num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Censos entregados a las administraciones salientes </w:t>
      </w:r>
    </w:p>
    <w:p w14:paraId="3DA70FF4" w14:textId="77777777" w:rsidR="005354DF" w:rsidRPr="008A215A" w:rsidRDefault="004E07F3">
      <w:pPr>
        <w:numPr>
          <w:ilvl w:val="0"/>
          <w:numId w:val="1"/>
        </w:num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Alumbrados Públicos que cuenten con medición. </w:t>
      </w:r>
    </w:p>
    <w:p w14:paraId="4D1BCD4C" w14:textId="77777777" w:rsidR="005354DF" w:rsidRPr="008A215A" w:rsidRDefault="005354DF">
      <w:pPr>
        <w:spacing w:line="360" w:lineRule="auto"/>
        <w:jc w:val="both"/>
        <w:rPr>
          <w:rFonts w:ascii="Palatino Linotype" w:eastAsia="Palatino Linotype" w:hAnsi="Palatino Linotype" w:cs="Palatino Linotype"/>
        </w:rPr>
      </w:pPr>
    </w:p>
    <w:p w14:paraId="3E9FBC4B"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lastRenderedPageBreak/>
        <w:t>En el caso de la segunda los censos se llevarán a cabo una vez al año, y para el caso de las administraciones salientes, supuesto identificado con el número 3, el censo se llevará a cabo seis meses antes del cambio de administración como se puede apreciar de las siguientes capturas de pantalla extraídas del Procedimiento del Control de Servicios de Alumbrado Público en comento:</w:t>
      </w:r>
    </w:p>
    <w:p w14:paraId="1107615D" w14:textId="77777777" w:rsidR="005354DF" w:rsidRPr="008A215A" w:rsidRDefault="005354DF">
      <w:pPr>
        <w:spacing w:line="360" w:lineRule="auto"/>
        <w:jc w:val="both"/>
        <w:rPr>
          <w:rFonts w:ascii="Palatino Linotype" w:eastAsia="Palatino Linotype" w:hAnsi="Palatino Linotype" w:cs="Palatino Linotype"/>
        </w:rPr>
      </w:pPr>
    </w:p>
    <w:p w14:paraId="632EF7A3"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noProof/>
        </w:rPr>
        <w:drawing>
          <wp:inline distT="114300" distB="114300" distL="114300" distR="114300" wp14:anchorId="53E74E7E" wp14:editId="6BBB2551">
            <wp:extent cx="5791200" cy="774065"/>
            <wp:effectExtent l="0" t="0" r="0" b="0"/>
            <wp:docPr id="7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t="82060"/>
                    <a:stretch>
                      <a:fillRect/>
                    </a:stretch>
                  </pic:blipFill>
                  <pic:spPr>
                    <a:xfrm>
                      <a:off x="0" y="0"/>
                      <a:ext cx="5791200" cy="774065"/>
                    </a:xfrm>
                    <a:prstGeom prst="rect">
                      <a:avLst/>
                    </a:prstGeom>
                    <a:ln/>
                  </pic:spPr>
                </pic:pic>
              </a:graphicData>
            </a:graphic>
          </wp:inline>
        </w:drawing>
      </w:r>
    </w:p>
    <w:p w14:paraId="1BDF13AA"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noProof/>
        </w:rPr>
        <w:drawing>
          <wp:inline distT="114300" distB="114300" distL="114300" distR="114300" wp14:anchorId="059383B3" wp14:editId="07301377">
            <wp:extent cx="5791835" cy="4013200"/>
            <wp:effectExtent l="0" t="0" r="0" b="0"/>
            <wp:docPr id="7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5791835" cy="4013200"/>
                    </a:xfrm>
                    <a:prstGeom prst="rect">
                      <a:avLst/>
                    </a:prstGeom>
                    <a:ln/>
                  </pic:spPr>
                </pic:pic>
              </a:graphicData>
            </a:graphic>
          </wp:inline>
        </w:drawing>
      </w:r>
    </w:p>
    <w:p w14:paraId="5802265D" w14:textId="77777777" w:rsidR="005354DF" w:rsidRPr="008A215A" w:rsidRDefault="005354DF">
      <w:pPr>
        <w:spacing w:line="360" w:lineRule="auto"/>
        <w:jc w:val="both"/>
        <w:rPr>
          <w:rFonts w:ascii="Palatino Linotype" w:eastAsia="Palatino Linotype" w:hAnsi="Palatino Linotype" w:cs="Palatino Linotype"/>
        </w:rPr>
      </w:pPr>
    </w:p>
    <w:p w14:paraId="6586B42B"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lastRenderedPageBreak/>
        <w:t xml:space="preserve">Así las cosas este Órgano Garante advierte que la petición hecha por el ahora </w:t>
      </w:r>
      <w:r w:rsidRPr="008A215A">
        <w:rPr>
          <w:rFonts w:ascii="Palatino Linotype" w:eastAsia="Palatino Linotype" w:hAnsi="Palatino Linotype" w:cs="Palatino Linotype"/>
          <w:b/>
        </w:rPr>
        <w:t>RECURRENTE</w:t>
      </w:r>
      <w:r w:rsidRPr="008A215A">
        <w:rPr>
          <w:rFonts w:ascii="Palatino Linotype" w:eastAsia="Palatino Linotype" w:hAnsi="Palatino Linotype" w:cs="Palatino Linotype"/>
        </w:rPr>
        <w:t xml:space="preserve"> es muy clara al solicitar: “</w:t>
      </w:r>
      <w:r w:rsidRPr="008A215A">
        <w:rPr>
          <w:rFonts w:ascii="Palatino Linotype" w:eastAsia="Palatino Linotype" w:hAnsi="Palatino Linotype" w:cs="Palatino Linotype"/>
          <w:i/>
        </w:rPr>
        <w:t xml:space="preserve">el censo de alumbrado público firmado por la Comisión Federal de Electricidad (CFE) de los ejercicios 2020 o en su caso, el censo más reciente del municipio en colaboración de la CFE” </w:t>
      </w:r>
      <w:r w:rsidRPr="008A215A">
        <w:rPr>
          <w:rFonts w:ascii="Palatino Linotype" w:eastAsia="Palatino Linotype" w:hAnsi="Palatino Linotype" w:cs="Palatino Linotype"/>
        </w:rPr>
        <w:t xml:space="preserve">De tal manera que si bien, </w:t>
      </w:r>
      <w:r w:rsidRPr="008A215A">
        <w:rPr>
          <w:rFonts w:ascii="Palatino Linotype" w:eastAsia="Palatino Linotype" w:hAnsi="Palatino Linotype" w:cs="Palatino Linotype"/>
          <w:b/>
        </w:rPr>
        <w:t xml:space="preserve">EL SUJETO OBLIGADO </w:t>
      </w:r>
      <w:r w:rsidRPr="008A215A">
        <w:rPr>
          <w:rFonts w:ascii="Palatino Linotype" w:eastAsia="Palatino Linotype" w:hAnsi="Palatino Linotype" w:cs="Palatino Linotype"/>
        </w:rPr>
        <w:t xml:space="preserve">refiere no contar con el último censo pues este se encuentra en proceso de elaboración ya que se encontraron inconsistencias, sí puede contar con el censo de alumbrado público del ejercicio 2020 toda vez que el mismo se realiza de forma periódica cada año o en su caso deberá contar con el más reciente a la fecha de la solicitud. </w:t>
      </w:r>
    </w:p>
    <w:p w14:paraId="7BBAD585" w14:textId="77777777" w:rsidR="005354DF" w:rsidRPr="008A215A" w:rsidRDefault="005354DF">
      <w:pPr>
        <w:spacing w:line="360" w:lineRule="auto"/>
        <w:jc w:val="both"/>
        <w:rPr>
          <w:rFonts w:ascii="Palatino Linotype" w:eastAsia="Palatino Linotype" w:hAnsi="Palatino Linotype" w:cs="Palatino Linotype"/>
        </w:rPr>
      </w:pPr>
    </w:p>
    <w:p w14:paraId="499E51D7"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Razón por la cual, este Pleno determina </w:t>
      </w:r>
      <w:r w:rsidRPr="008A215A">
        <w:rPr>
          <w:rFonts w:ascii="Palatino Linotype" w:eastAsia="Palatino Linotype" w:hAnsi="Palatino Linotype" w:cs="Palatino Linotype"/>
          <w:b/>
        </w:rPr>
        <w:t>MODIFICAR</w:t>
      </w:r>
      <w:r w:rsidRPr="008A215A">
        <w:rPr>
          <w:rFonts w:ascii="Palatino Linotype" w:eastAsia="Palatino Linotype" w:hAnsi="Palatino Linotype" w:cs="Palatino Linotype"/>
        </w:rPr>
        <w:t xml:space="preserve"> la respuesta del </w:t>
      </w:r>
      <w:r w:rsidRPr="008A215A">
        <w:rPr>
          <w:rFonts w:ascii="Palatino Linotype" w:eastAsia="Palatino Linotype" w:hAnsi="Palatino Linotype" w:cs="Palatino Linotype"/>
          <w:b/>
        </w:rPr>
        <w:t xml:space="preserve">SUJETO OBLIGADO </w:t>
      </w:r>
      <w:r w:rsidRPr="008A215A">
        <w:rPr>
          <w:rFonts w:ascii="Palatino Linotype" w:eastAsia="Palatino Linotype" w:hAnsi="Palatino Linotype" w:cs="Palatino Linotype"/>
        </w:rPr>
        <w:t>y ordenarle haga entrega del censo de alumbrado público firmado por la Comisión Federal de Electricidad para el ejercicio 2020 o en su caso el más reciente al tres de noviembre de dos mil veintiuno, donde conste la información solicitada por el recurrente, de ser procedente en versión pública.</w:t>
      </w:r>
    </w:p>
    <w:p w14:paraId="59B68F21" w14:textId="77777777" w:rsidR="005354DF" w:rsidRPr="008A215A" w:rsidRDefault="005354DF">
      <w:pPr>
        <w:spacing w:line="360" w:lineRule="auto"/>
        <w:jc w:val="both"/>
        <w:rPr>
          <w:rFonts w:ascii="Palatino Linotype" w:eastAsia="Palatino Linotype" w:hAnsi="Palatino Linotype" w:cs="Palatino Linotype"/>
        </w:rPr>
      </w:pPr>
    </w:p>
    <w:p w14:paraId="4B9DBFA7"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En el caso que la información requerida al grado de desagregación señalado por </w:t>
      </w:r>
      <w:r w:rsidRPr="008A215A">
        <w:rPr>
          <w:rFonts w:ascii="Palatino Linotype" w:eastAsia="Palatino Linotype" w:hAnsi="Palatino Linotype" w:cs="Palatino Linotype"/>
          <w:b/>
        </w:rPr>
        <w:t>EL RECURRENTE</w:t>
      </w:r>
      <w:r w:rsidRPr="008A215A">
        <w:rPr>
          <w:rFonts w:ascii="Palatino Linotype" w:eastAsia="Palatino Linotype" w:hAnsi="Palatino Linotype" w:cs="Palatino Linotype"/>
        </w:rPr>
        <w:t xml:space="preserve"> no sea información que </w:t>
      </w:r>
      <w:r w:rsidRPr="008A215A">
        <w:rPr>
          <w:rFonts w:ascii="Palatino Linotype" w:eastAsia="Palatino Linotype" w:hAnsi="Palatino Linotype" w:cs="Palatino Linotype"/>
          <w:b/>
        </w:rPr>
        <w:t>EL SUJETO OBLIGADO</w:t>
      </w:r>
      <w:r w:rsidRPr="008A215A">
        <w:rPr>
          <w:rFonts w:ascii="Palatino Linotype" w:eastAsia="Palatino Linotype" w:hAnsi="Palatino Linotype" w:cs="Palatino Linotype"/>
        </w:rPr>
        <w:t xml:space="preserve"> genere posea o administre en ejercicio de sus funciones deberá hacerse lo saber así al </w:t>
      </w:r>
      <w:r w:rsidRPr="008A215A">
        <w:rPr>
          <w:rFonts w:ascii="Palatino Linotype" w:eastAsia="Palatino Linotype" w:hAnsi="Palatino Linotype" w:cs="Palatino Linotype"/>
          <w:b/>
        </w:rPr>
        <w:t xml:space="preserve">RECURRENTE </w:t>
      </w:r>
      <w:r w:rsidRPr="008A215A">
        <w:rPr>
          <w:rFonts w:ascii="Palatino Linotype" w:eastAsia="Palatino Linotype" w:hAnsi="Palatino Linotype" w:cs="Palatino Linotype"/>
        </w:rPr>
        <w:t xml:space="preserve">de forma fundada y motivada. </w:t>
      </w:r>
    </w:p>
    <w:p w14:paraId="7DCE3B43" w14:textId="77777777" w:rsidR="005354DF" w:rsidRPr="008A215A" w:rsidRDefault="005354DF">
      <w:pPr>
        <w:spacing w:line="360" w:lineRule="auto"/>
        <w:jc w:val="both"/>
        <w:rPr>
          <w:rFonts w:ascii="Palatino Linotype" w:eastAsia="Palatino Linotype" w:hAnsi="Palatino Linotype" w:cs="Palatino Linotype"/>
        </w:rPr>
      </w:pPr>
    </w:p>
    <w:p w14:paraId="6BC4721F"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Ahora bien, en relación a la </w:t>
      </w:r>
      <w:r w:rsidRPr="008A215A">
        <w:rPr>
          <w:rFonts w:ascii="Palatino Linotype" w:eastAsia="Palatino Linotype" w:hAnsi="Palatino Linotype" w:cs="Palatino Linotype"/>
          <w:b/>
        </w:rPr>
        <w:t xml:space="preserve">versión pública </w:t>
      </w:r>
      <w:r w:rsidRPr="008A215A">
        <w:rPr>
          <w:rFonts w:ascii="Palatino Linotype" w:eastAsia="Palatino Linotype" w:hAnsi="Palatino Linotype" w:cs="Palatino Linotype"/>
        </w:rPr>
        <w:t xml:space="preserve">de la información de la que se ordena su entrega, en términos del artículo 143 de la Ley de Transparencia y Acceso a la </w:t>
      </w:r>
      <w:r w:rsidRPr="008A215A">
        <w:rPr>
          <w:rFonts w:ascii="Palatino Linotype" w:eastAsia="Palatino Linotype" w:hAnsi="Palatino Linotype" w:cs="Palatino Linotype"/>
        </w:rPr>
        <w:lastRenderedPageBreak/>
        <w:t xml:space="preserve">Información Pública del Estado de México y Municipios, deberá omitirse, eliminarse o suprimirse la información </w:t>
      </w:r>
      <w:r w:rsidRPr="008A215A">
        <w:rPr>
          <w:rFonts w:ascii="Palatino Linotype" w:eastAsia="Palatino Linotype" w:hAnsi="Palatino Linotype" w:cs="Palatino Linotype"/>
          <w:b/>
        </w:rPr>
        <w:t>confidencial</w:t>
      </w:r>
      <w:r w:rsidRPr="008A215A">
        <w:rPr>
          <w:rFonts w:ascii="Palatino Linotype" w:eastAsia="Palatino Linotype" w:hAnsi="Palatino Linotype" w:cs="Palatino Linotype"/>
        </w:rPr>
        <w:t xml:space="preserve">. </w:t>
      </w:r>
    </w:p>
    <w:p w14:paraId="6A5B07F8" w14:textId="77777777" w:rsidR="005354DF" w:rsidRPr="008A215A" w:rsidRDefault="005354DF">
      <w:pPr>
        <w:spacing w:line="360" w:lineRule="auto"/>
        <w:jc w:val="both"/>
        <w:rPr>
          <w:rFonts w:ascii="Palatino Linotype" w:eastAsia="Palatino Linotype" w:hAnsi="Palatino Linotype" w:cs="Palatino Linotype"/>
        </w:rPr>
      </w:pPr>
    </w:p>
    <w:p w14:paraId="414DA6E9"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RPr="008A215A">
        <w:rPr>
          <w:rFonts w:ascii="Palatino Linotype" w:eastAsia="Palatino Linotype" w:hAnsi="Palatino Linotype" w:cs="Palatino Linotype"/>
          <w:b/>
        </w:rPr>
        <w:t>SUJETO OBLIGADO</w:t>
      </w:r>
      <w:r w:rsidRPr="008A215A">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5B090F1C" w14:textId="77777777" w:rsidR="005354DF" w:rsidRPr="008A215A" w:rsidRDefault="005354DF">
      <w:pPr>
        <w:spacing w:line="360" w:lineRule="auto"/>
        <w:jc w:val="both"/>
        <w:rPr>
          <w:rFonts w:ascii="Palatino Linotype" w:eastAsia="Palatino Linotype" w:hAnsi="Palatino Linotype" w:cs="Palatino Linotype"/>
        </w:rPr>
      </w:pPr>
    </w:p>
    <w:p w14:paraId="0595968B"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Por ende, </w:t>
      </w:r>
      <w:r w:rsidRPr="008A215A">
        <w:rPr>
          <w:rFonts w:ascii="Palatino Linotype" w:eastAsia="Palatino Linotype" w:hAnsi="Palatino Linotype" w:cs="Palatino Linotype"/>
          <w:b/>
        </w:rPr>
        <w:t>EL SUJETO OBLIGADO</w:t>
      </w:r>
      <w:r w:rsidRPr="008A215A">
        <w:rPr>
          <w:rFonts w:ascii="Palatino Linotype" w:eastAsia="Palatino Linotype" w:hAnsi="Palatino Linotype" w:cs="Palatino Linotype"/>
        </w:rPr>
        <w:t xml:space="preserve">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w:t>
      </w:r>
      <w:r w:rsidRPr="008A215A">
        <w:rPr>
          <w:rFonts w:ascii="Palatino Linotype" w:eastAsia="Palatino Linotype" w:hAnsi="Palatino Linotype" w:cs="Palatino Linotype"/>
        </w:rPr>
        <w:lastRenderedPageBreak/>
        <w:t>de la Información, así como para la elaboración de Versiones Públicas, que literalmente expresan:</w:t>
      </w:r>
    </w:p>
    <w:p w14:paraId="56BCFF27" w14:textId="77777777" w:rsidR="005354DF" w:rsidRPr="008A215A" w:rsidRDefault="004E07F3">
      <w:pPr>
        <w:ind w:left="851" w:right="902"/>
        <w:jc w:val="center"/>
        <w:rPr>
          <w:rFonts w:ascii="Palatino Linotype" w:eastAsia="Palatino Linotype" w:hAnsi="Palatino Linotype" w:cs="Palatino Linotype"/>
          <w:b/>
          <w:i/>
          <w:sz w:val="22"/>
          <w:szCs w:val="22"/>
        </w:rPr>
      </w:pPr>
      <w:r w:rsidRPr="008A215A">
        <w:rPr>
          <w:rFonts w:ascii="Palatino Linotype" w:eastAsia="Palatino Linotype" w:hAnsi="Palatino Linotype" w:cs="Palatino Linotype"/>
          <w:b/>
          <w:i/>
          <w:sz w:val="22"/>
          <w:szCs w:val="22"/>
        </w:rPr>
        <w:t>Ley de Transparencia y Acceso a la Información Pública del Estado de México y Municipios</w:t>
      </w:r>
    </w:p>
    <w:p w14:paraId="2B955EE6" w14:textId="77777777" w:rsidR="005354DF" w:rsidRPr="008A215A" w:rsidRDefault="004E07F3">
      <w:pPr>
        <w:ind w:left="851" w:right="902"/>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w:t>
      </w:r>
      <w:r w:rsidRPr="008A215A">
        <w:rPr>
          <w:rFonts w:ascii="Palatino Linotype" w:eastAsia="Palatino Linotype" w:hAnsi="Palatino Linotype" w:cs="Palatino Linotype"/>
          <w:b/>
          <w:i/>
          <w:sz w:val="22"/>
          <w:szCs w:val="22"/>
        </w:rPr>
        <w:t xml:space="preserve">Artículo 49. </w:t>
      </w:r>
      <w:r w:rsidRPr="008A215A">
        <w:rPr>
          <w:rFonts w:ascii="Palatino Linotype" w:eastAsia="Palatino Linotype" w:hAnsi="Palatino Linotype" w:cs="Palatino Linotype"/>
          <w:i/>
          <w:sz w:val="22"/>
          <w:szCs w:val="22"/>
        </w:rPr>
        <w:t>Los Comités de Transparencia tendrán las siguientes atribuciones:</w:t>
      </w:r>
    </w:p>
    <w:p w14:paraId="1C666E54" w14:textId="77777777" w:rsidR="005354DF" w:rsidRPr="008A215A" w:rsidRDefault="004E07F3">
      <w:pPr>
        <w:ind w:left="851" w:right="902"/>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b/>
          <w:i/>
          <w:sz w:val="22"/>
          <w:szCs w:val="22"/>
        </w:rPr>
        <w:t>VIII.</w:t>
      </w:r>
      <w:r w:rsidRPr="008A215A">
        <w:rPr>
          <w:rFonts w:ascii="Palatino Linotype" w:eastAsia="Palatino Linotype" w:hAnsi="Palatino Linotype" w:cs="Palatino Linotype"/>
          <w:i/>
          <w:sz w:val="22"/>
          <w:szCs w:val="22"/>
        </w:rPr>
        <w:t xml:space="preserve"> </w:t>
      </w:r>
      <w:r w:rsidRPr="008A215A">
        <w:rPr>
          <w:rFonts w:ascii="Palatino Linotype" w:eastAsia="Palatino Linotype" w:hAnsi="Palatino Linotype" w:cs="Palatino Linotype"/>
          <w:b/>
          <w:i/>
          <w:sz w:val="22"/>
          <w:szCs w:val="22"/>
        </w:rPr>
        <w:t>Aprobar</w:t>
      </w:r>
      <w:r w:rsidRPr="008A215A">
        <w:rPr>
          <w:rFonts w:ascii="Palatino Linotype" w:eastAsia="Palatino Linotype" w:hAnsi="Palatino Linotype" w:cs="Palatino Linotype"/>
          <w:i/>
          <w:sz w:val="22"/>
          <w:szCs w:val="22"/>
        </w:rPr>
        <w:t>, modificar o revocar la clasificación de la información;</w:t>
      </w:r>
    </w:p>
    <w:p w14:paraId="20A35F04" w14:textId="77777777" w:rsidR="005354DF" w:rsidRPr="008A215A" w:rsidRDefault="004E07F3">
      <w:pPr>
        <w:ind w:left="851" w:right="902"/>
        <w:jc w:val="both"/>
        <w:rPr>
          <w:rFonts w:ascii="Palatino Linotype" w:eastAsia="Palatino Linotype" w:hAnsi="Palatino Linotype" w:cs="Palatino Linotype"/>
          <w:b/>
          <w:i/>
          <w:sz w:val="22"/>
          <w:szCs w:val="22"/>
        </w:rPr>
      </w:pPr>
      <w:r w:rsidRPr="008A215A">
        <w:rPr>
          <w:rFonts w:ascii="Palatino Linotype" w:eastAsia="Palatino Linotype" w:hAnsi="Palatino Linotype" w:cs="Palatino Linotype"/>
          <w:b/>
          <w:i/>
          <w:sz w:val="22"/>
          <w:szCs w:val="22"/>
        </w:rPr>
        <w:t>Artículo 132.</w:t>
      </w:r>
      <w:r w:rsidRPr="008A215A">
        <w:rPr>
          <w:rFonts w:ascii="Palatino Linotype" w:eastAsia="Palatino Linotype" w:hAnsi="Palatino Linotype" w:cs="Palatino Linotype"/>
          <w:i/>
          <w:sz w:val="22"/>
          <w:szCs w:val="22"/>
        </w:rPr>
        <w:t xml:space="preserve"> </w:t>
      </w:r>
      <w:r w:rsidRPr="008A215A">
        <w:rPr>
          <w:rFonts w:ascii="Palatino Linotype" w:eastAsia="Palatino Linotype" w:hAnsi="Palatino Linotype" w:cs="Palatino Linotype"/>
          <w:b/>
          <w:i/>
          <w:sz w:val="22"/>
          <w:szCs w:val="22"/>
        </w:rPr>
        <w:t>La clasificación de la información se llevará a cabo en el momento en que:</w:t>
      </w:r>
    </w:p>
    <w:p w14:paraId="3680CF68" w14:textId="77777777" w:rsidR="005354DF" w:rsidRPr="008A215A" w:rsidRDefault="004E07F3">
      <w:pPr>
        <w:ind w:left="851" w:right="902"/>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w:t>
      </w:r>
    </w:p>
    <w:p w14:paraId="06A1900B" w14:textId="77777777" w:rsidR="005354DF" w:rsidRPr="008A215A" w:rsidRDefault="004E07F3">
      <w:pPr>
        <w:ind w:left="851" w:right="902"/>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b/>
          <w:i/>
          <w:sz w:val="22"/>
          <w:szCs w:val="22"/>
        </w:rPr>
        <w:t>II.</w:t>
      </w:r>
      <w:r w:rsidRPr="008A215A">
        <w:rPr>
          <w:rFonts w:ascii="Palatino Linotype" w:eastAsia="Palatino Linotype" w:hAnsi="Palatino Linotype" w:cs="Palatino Linotype"/>
          <w:i/>
          <w:sz w:val="22"/>
          <w:szCs w:val="22"/>
        </w:rPr>
        <w:t xml:space="preserve"> Se determine mediante resolución de autoridad competente; o</w:t>
      </w:r>
    </w:p>
    <w:p w14:paraId="7F1F9F81" w14:textId="77777777" w:rsidR="005354DF" w:rsidRPr="008A215A" w:rsidRDefault="004E07F3">
      <w:pPr>
        <w:ind w:left="851" w:right="902"/>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b/>
          <w:i/>
          <w:sz w:val="22"/>
          <w:szCs w:val="22"/>
        </w:rPr>
        <w:t>III</w:t>
      </w:r>
      <w:r w:rsidRPr="008A215A">
        <w:rPr>
          <w:rFonts w:ascii="Palatino Linotype" w:eastAsia="Palatino Linotype" w:hAnsi="Palatino Linotype" w:cs="Palatino Linotype"/>
          <w:i/>
          <w:sz w:val="22"/>
          <w:szCs w:val="22"/>
        </w:rPr>
        <w:t xml:space="preserve">. </w:t>
      </w:r>
      <w:r w:rsidRPr="008A215A">
        <w:rPr>
          <w:rFonts w:ascii="Palatino Linotype" w:eastAsia="Palatino Linotype" w:hAnsi="Palatino Linotype" w:cs="Palatino Linotype"/>
          <w:b/>
          <w:i/>
          <w:sz w:val="22"/>
          <w:szCs w:val="22"/>
        </w:rPr>
        <w:t>Se generen versiones públicas para dar cumplimiento a las obligaciones de transparencia previstas en esta Ley</w:t>
      </w:r>
      <w:r w:rsidRPr="008A215A">
        <w:rPr>
          <w:rFonts w:ascii="Palatino Linotype" w:eastAsia="Palatino Linotype" w:hAnsi="Palatino Linotype" w:cs="Palatino Linotype"/>
          <w:i/>
          <w:sz w:val="22"/>
          <w:szCs w:val="22"/>
        </w:rPr>
        <w:t>.”</w:t>
      </w:r>
    </w:p>
    <w:p w14:paraId="7B3709D3" w14:textId="77777777" w:rsidR="005354DF" w:rsidRPr="008A215A" w:rsidRDefault="004E07F3">
      <w:pPr>
        <w:ind w:left="851" w:right="902"/>
        <w:jc w:val="center"/>
        <w:rPr>
          <w:rFonts w:ascii="Palatino Linotype" w:eastAsia="Palatino Linotype" w:hAnsi="Palatino Linotype" w:cs="Palatino Linotype"/>
          <w:b/>
          <w:i/>
          <w:sz w:val="22"/>
          <w:szCs w:val="22"/>
        </w:rPr>
      </w:pPr>
      <w:r w:rsidRPr="008A215A">
        <w:rPr>
          <w:rFonts w:ascii="Palatino Linotype" w:eastAsia="Palatino Linotype" w:hAnsi="Palatino Linotype" w:cs="Palatino Linotype"/>
          <w:b/>
          <w:i/>
          <w:sz w:val="22"/>
          <w:szCs w:val="22"/>
        </w:rPr>
        <w:t>Lineamientos Generales en materia de Clasificación y Desclasificación de la Información</w:t>
      </w:r>
    </w:p>
    <w:p w14:paraId="0980EE80" w14:textId="77777777" w:rsidR="005354DF" w:rsidRPr="008A215A" w:rsidRDefault="004E07F3">
      <w:pPr>
        <w:ind w:left="851" w:right="902"/>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w:t>
      </w:r>
      <w:r w:rsidRPr="008A215A">
        <w:rPr>
          <w:rFonts w:ascii="Palatino Linotype" w:eastAsia="Palatino Linotype" w:hAnsi="Palatino Linotype" w:cs="Palatino Linotype"/>
          <w:b/>
          <w:i/>
          <w:sz w:val="22"/>
          <w:szCs w:val="22"/>
        </w:rPr>
        <w:t>Segundo.-</w:t>
      </w:r>
      <w:r w:rsidRPr="008A215A">
        <w:rPr>
          <w:rFonts w:ascii="Palatino Linotype" w:eastAsia="Palatino Linotype" w:hAnsi="Palatino Linotype" w:cs="Palatino Linotype"/>
          <w:i/>
          <w:sz w:val="22"/>
          <w:szCs w:val="22"/>
        </w:rPr>
        <w:t xml:space="preserve"> Para efectos de los presentes Lineamientos Generales, se entenderá por:</w:t>
      </w:r>
    </w:p>
    <w:p w14:paraId="324A47F1" w14:textId="77777777" w:rsidR="005354DF" w:rsidRPr="008A215A" w:rsidRDefault="004E07F3">
      <w:pPr>
        <w:ind w:left="851" w:right="902"/>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b/>
          <w:i/>
          <w:sz w:val="22"/>
          <w:szCs w:val="22"/>
        </w:rPr>
        <w:t>XVIII.</w:t>
      </w:r>
      <w:r w:rsidRPr="008A215A">
        <w:rPr>
          <w:rFonts w:ascii="Palatino Linotype" w:eastAsia="Palatino Linotype" w:hAnsi="Palatino Linotype" w:cs="Palatino Linotype"/>
          <w:i/>
          <w:sz w:val="22"/>
          <w:szCs w:val="22"/>
        </w:rPr>
        <w:t xml:space="preserve"> </w:t>
      </w:r>
      <w:r w:rsidRPr="008A215A">
        <w:rPr>
          <w:rFonts w:ascii="Palatino Linotype" w:eastAsia="Palatino Linotype" w:hAnsi="Palatino Linotype" w:cs="Palatino Linotype"/>
          <w:b/>
          <w:i/>
          <w:sz w:val="22"/>
          <w:szCs w:val="22"/>
        </w:rPr>
        <w:t>Versión pública:</w:t>
      </w:r>
      <w:r w:rsidRPr="008A215A">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8A215A">
        <w:rPr>
          <w:rFonts w:ascii="Palatino Linotype" w:eastAsia="Palatino Linotype" w:hAnsi="Palatino Linotype" w:cs="Palatino Linotype"/>
          <w:b/>
          <w:i/>
          <w:sz w:val="22"/>
          <w:szCs w:val="22"/>
        </w:rPr>
        <w:t>fundando y motivando la</w:t>
      </w:r>
      <w:r w:rsidRPr="008A215A">
        <w:rPr>
          <w:rFonts w:ascii="Palatino Linotype" w:eastAsia="Palatino Linotype" w:hAnsi="Palatino Linotype" w:cs="Palatino Linotype"/>
          <w:i/>
          <w:sz w:val="22"/>
          <w:szCs w:val="22"/>
        </w:rPr>
        <w:t xml:space="preserve"> reserva o </w:t>
      </w:r>
      <w:r w:rsidRPr="008A215A">
        <w:rPr>
          <w:rFonts w:ascii="Palatino Linotype" w:eastAsia="Palatino Linotype" w:hAnsi="Palatino Linotype" w:cs="Palatino Linotype"/>
          <w:b/>
          <w:i/>
          <w:sz w:val="22"/>
          <w:szCs w:val="22"/>
        </w:rPr>
        <w:t>confidencialidad</w:t>
      </w:r>
      <w:r w:rsidRPr="008A215A">
        <w:rPr>
          <w:rFonts w:ascii="Palatino Linotype" w:eastAsia="Palatino Linotype" w:hAnsi="Palatino Linotype" w:cs="Palatino Linotype"/>
          <w:i/>
          <w:sz w:val="22"/>
          <w:szCs w:val="22"/>
        </w:rPr>
        <w:t>, a través de la resolución que para tal efecto emita el Comité de Transparencia.</w:t>
      </w:r>
    </w:p>
    <w:p w14:paraId="66B6BF2A" w14:textId="77777777" w:rsidR="005354DF" w:rsidRPr="008A215A" w:rsidRDefault="004E07F3">
      <w:pPr>
        <w:ind w:left="851" w:right="902"/>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b/>
          <w:i/>
          <w:sz w:val="22"/>
          <w:szCs w:val="22"/>
        </w:rPr>
        <w:t>Cuarto.</w:t>
      </w:r>
      <w:r w:rsidRPr="008A215A">
        <w:rPr>
          <w:rFonts w:ascii="Palatino Linotype" w:eastAsia="Palatino Linotype" w:hAnsi="Palatino Linotype" w:cs="Palatino Linotype"/>
          <w:i/>
          <w:sz w:val="22"/>
          <w:szCs w:val="22"/>
        </w:rPr>
        <w:t xml:space="preserve"> </w:t>
      </w:r>
      <w:r w:rsidRPr="008A215A">
        <w:rPr>
          <w:rFonts w:ascii="Palatino Linotype" w:eastAsia="Palatino Linotype" w:hAnsi="Palatino Linotype" w:cs="Palatino Linotype"/>
          <w:b/>
          <w:i/>
          <w:sz w:val="22"/>
          <w:szCs w:val="22"/>
        </w:rPr>
        <w:t>Para clasificar la información como</w:t>
      </w:r>
      <w:r w:rsidRPr="008A215A">
        <w:rPr>
          <w:rFonts w:ascii="Palatino Linotype" w:eastAsia="Palatino Linotype" w:hAnsi="Palatino Linotype" w:cs="Palatino Linotype"/>
          <w:i/>
          <w:sz w:val="22"/>
          <w:szCs w:val="22"/>
        </w:rPr>
        <w:t xml:space="preserve"> reservada o </w:t>
      </w:r>
      <w:r w:rsidRPr="008A215A">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8A215A">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BD0AD91" w14:textId="77777777" w:rsidR="005354DF" w:rsidRPr="008A215A" w:rsidRDefault="004E07F3">
      <w:pPr>
        <w:ind w:left="851" w:right="902"/>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5F9F3817" w14:textId="77777777" w:rsidR="005354DF" w:rsidRPr="008A215A" w:rsidRDefault="004E07F3">
      <w:pPr>
        <w:ind w:left="851" w:right="902"/>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b/>
          <w:i/>
          <w:sz w:val="22"/>
          <w:szCs w:val="22"/>
        </w:rPr>
        <w:t>Quinto.</w:t>
      </w:r>
      <w:r w:rsidRPr="008A215A">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A37AED5" w14:textId="77777777" w:rsidR="005354DF" w:rsidRPr="008A215A" w:rsidRDefault="004E07F3">
      <w:pPr>
        <w:ind w:left="851" w:right="902"/>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b/>
          <w:i/>
          <w:sz w:val="22"/>
          <w:szCs w:val="22"/>
        </w:rPr>
        <w:t>Sexto.</w:t>
      </w:r>
      <w:r w:rsidRPr="008A215A">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w:t>
      </w:r>
      <w:r w:rsidRPr="008A215A">
        <w:rPr>
          <w:rFonts w:ascii="Palatino Linotype" w:eastAsia="Palatino Linotype" w:hAnsi="Palatino Linotype" w:cs="Palatino Linotype"/>
          <w:i/>
          <w:sz w:val="22"/>
          <w:szCs w:val="22"/>
        </w:rPr>
        <w:lastRenderedPageBreak/>
        <w:t>documentos antes de que se genere la información o cuando éstos no obren en sus archivos.</w:t>
      </w:r>
    </w:p>
    <w:p w14:paraId="453B1179" w14:textId="77777777" w:rsidR="005354DF" w:rsidRPr="008A215A" w:rsidRDefault="004E07F3">
      <w:pPr>
        <w:ind w:left="851" w:right="902"/>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061A1E9C" w14:textId="77777777" w:rsidR="005354DF" w:rsidRPr="008A215A" w:rsidRDefault="004E07F3">
      <w:pPr>
        <w:ind w:left="851" w:right="902"/>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b/>
          <w:i/>
          <w:sz w:val="22"/>
          <w:szCs w:val="22"/>
        </w:rPr>
        <w:t>Séptimo.</w:t>
      </w:r>
      <w:r w:rsidRPr="008A215A">
        <w:rPr>
          <w:rFonts w:ascii="Palatino Linotype" w:eastAsia="Palatino Linotype" w:hAnsi="Palatino Linotype" w:cs="Palatino Linotype"/>
          <w:i/>
          <w:sz w:val="22"/>
          <w:szCs w:val="22"/>
        </w:rPr>
        <w:t xml:space="preserve"> La clasificación de la información se llevará a cabo en el momento en que:</w:t>
      </w:r>
    </w:p>
    <w:p w14:paraId="3314FD5F" w14:textId="77777777" w:rsidR="005354DF" w:rsidRPr="008A215A" w:rsidRDefault="004E07F3">
      <w:pPr>
        <w:ind w:left="851" w:right="902"/>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b/>
          <w:i/>
          <w:sz w:val="22"/>
          <w:szCs w:val="22"/>
        </w:rPr>
        <w:t>I.</w:t>
      </w:r>
      <w:r w:rsidRPr="008A215A">
        <w:rPr>
          <w:rFonts w:ascii="Palatino Linotype" w:eastAsia="Palatino Linotype" w:hAnsi="Palatino Linotype" w:cs="Palatino Linotype"/>
          <w:i/>
          <w:sz w:val="22"/>
          <w:szCs w:val="22"/>
        </w:rPr>
        <w:t xml:space="preserve"> Se reciba una solicitud de acceso a la información;</w:t>
      </w:r>
    </w:p>
    <w:p w14:paraId="4748EFEA" w14:textId="77777777" w:rsidR="005354DF" w:rsidRPr="008A215A" w:rsidRDefault="004E07F3">
      <w:pPr>
        <w:ind w:left="851" w:right="902"/>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b/>
          <w:i/>
          <w:sz w:val="22"/>
          <w:szCs w:val="22"/>
        </w:rPr>
        <w:t>II.</w:t>
      </w:r>
      <w:r w:rsidRPr="008A215A">
        <w:rPr>
          <w:rFonts w:ascii="Palatino Linotype" w:eastAsia="Palatino Linotype" w:hAnsi="Palatino Linotype" w:cs="Palatino Linotype"/>
          <w:i/>
          <w:sz w:val="22"/>
          <w:szCs w:val="22"/>
        </w:rPr>
        <w:t xml:space="preserve"> Se determine mediante resolución de autoridad competente, o</w:t>
      </w:r>
    </w:p>
    <w:p w14:paraId="5428CC02" w14:textId="77777777" w:rsidR="005354DF" w:rsidRPr="008A215A" w:rsidRDefault="004E07F3">
      <w:pPr>
        <w:ind w:left="851" w:right="902"/>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b/>
          <w:i/>
          <w:sz w:val="22"/>
          <w:szCs w:val="22"/>
        </w:rPr>
        <w:t>III.</w:t>
      </w:r>
      <w:r w:rsidRPr="008A215A">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3C274710" w14:textId="77777777" w:rsidR="005354DF" w:rsidRPr="008A215A" w:rsidRDefault="004E07F3">
      <w:pPr>
        <w:ind w:left="851" w:right="902"/>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49DDFE96" w14:textId="77777777" w:rsidR="005354DF" w:rsidRPr="008A215A" w:rsidRDefault="004E07F3">
      <w:pPr>
        <w:ind w:left="851" w:right="902"/>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b/>
          <w:i/>
          <w:sz w:val="22"/>
          <w:szCs w:val="22"/>
        </w:rPr>
        <w:t>Octavo.</w:t>
      </w:r>
      <w:r w:rsidRPr="008A215A">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47CAF29" w14:textId="77777777" w:rsidR="005354DF" w:rsidRPr="008A215A" w:rsidRDefault="004E07F3">
      <w:pPr>
        <w:ind w:left="851" w:right="902"/>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1E589C9A" w14:textId="77777777" w:rsidR="005354DF" w:rsidRPr="008A215A" w:rsidRDefault="004E07F3">
      <w:pPr>
        <w:ind w:left="851" w:right="902"/>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487C7837" w14:textId="77777777" w:rsidR="005354DF" w:rsidRPr="008A215A" w:rsidRDefault="004E07F3">
      <w:pPr>
        <w:ind w:left="851" w:right="902"/>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6A1CBFA1" w14:textId="77777777" w:rsidR="005354DF" w:rsidRPr="008A215A" w:rsidRDefault="004E07F3">
      <w:pPr>
        <w:ind w:left="851" w:right="902"/>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6BF061AC" w14:textId="77777777" w:rsidR="005354DF" w:rsidRPr="008A215A" w:rsidRDefault="004E07F3">
      <w:pPr>
        <w:ind w:left="851" w:right="902"/>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b/>
          <w:i/>
          <w:sz w:val="22"/>
          <w:szCs w:val="22"/>
        </w:rPr>
        <w:t>Noveno.</w:t>
      </w:r>
      <w:r w:rsidRPr="008A215A">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FDFE9AF" w14:textId="77777777" w:rsidR="005354DF" w:rsidRPr="008A215A" w:rsidRDefault="004E07F3">
      <w:pPr>
        <w:ind w:left="851" w:right="902"/>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b/>
          <w:i/>
          <w:sz w:val="22"/>
          <w:szCs w:val="22"/>
        </w:rPr>
        <w:t>Décimo.</w:t>
      </w:r>
      <w:r w:rsidRPr="008A215A">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C14D57C" w14:textId="77777777" w:rsidR="005354DF" w:rsidRPr="008A215A" w:rsidRDefault="004E07F3">
      <w:pPr>
        <w:ind w:left="851" w:right="902"/>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lastRenderedPageBreak/>
        <w:t>En ausencia de los titulares de las áreas, la información será clasificada o desclasificada por la persona que lo supla, en términos de la normativa que rija la actuación del sujeto obligado.</w:t>
      </w:r>
    </w:p>
    <w:p w14:paraId="564EDA13" w14:textId="77777777" w:rsidR="005354DF" w:rsidRPr="008A215A" w:rsidRDefault="004E07F3">
      <w:pPr>
        <w:ind w:left="851" w:right="902"/>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b/>
          <w:i/>
          <w:sz w:val="22"/>
          <w:szCs w:val="22"/>
        </w:rPr>
        <w:t>Décimo primero.</w:t>
      </w:r>
      <w:r w:rsidRPr="008A215A">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A10F78D" w14:textId="77777777" w:rsidR="005354DF" w:rsidRPr="008A215A" w:rsidRDefault="005354DF">
      <w:pPr>
        <w:ind w:left="851" w:right="902"/>
        <w:jc w:val="both"/>
        <w:rPr>
          <w:rFonts w:ascii="Palatino Linotype" w:eastAsia="Palatino Linotype" w:hAnsi="Palatino Linotype" w:cs="Palatino Linotype"/>
          <w:i/>
          <w:sz w:val="22"/>
          <w:szCs w:val="22"/>
        </w:rPr>
      </w:pPr>
    </w:p>
    <w:p w14:paraId="67F59E3B" w14:textId="77777777" w:rsidR="005354DF" w:rsidRPr="008A215A" w:rsidRDefault="004E07F3">
      <w:pPr>
        <w:ind w:left="850" w:right="901"/>
        <w:jc w:val="center"/>
        <w:rPr>
          <w:rFonts w:ascii="Palatino Linotype" w:eastAsia="Palatino Linotype" w:hAnsi="Palatino Linotype" w:cs="Palatino Linotype"/>
          <w:b/>
          <w:i/>
          <w:sz w:val="22"/>
          <w:szCs w:val="22"/>
        </w:rPr>
      </w:pPr>
      <w:r w:rsidRPr="008A215A">
        <w:rPr>
          <w:rFonts w:ascii="Palatino Linotype" w:eastAsia="Palatino Linotype" w:hAnsi="Palatino Linotype" w:cs="Palatino Linotype"/>
          <w:b/>
          <w:i/>
          <w:sz w:val="22"/>
          <w:szCs w:val="22"/>
        </w:rPr>
        <w:t>CAPÍTULO VIII</w:t>
      </w:r>
    </w:p>
    <w:p w14:paraId="54C43E9C" w14:textId="77777777" w:rsidR="005354DF" w:rsidRPr="008A215A" w:rsidRDefault="004E07F3">
      <w:pPr>
        <w:ind w:left="850" w:right="901"/>
        <w:jc w:val="center"/>
        <w:rPr>
          <w:rFonts w:ascii="Palatino Linotype" w:eastAsia="Palatino Linotype" w:hAnsi="Palatino Linotype" w:cs="Palatino Linotype"/>
          <w:b/>
          <w:i/>
          <w:sz w:val="22"/>
          <w:szCs w:val="22"/>
        </w:rPr>
      </w:pPr>
      <w:r w:rsidRPr="008A215A">
        <w:rPr>
          <w:rFonts w:ascii="Palatino Linotype" w:eastAsia="Palatino Linotype" w:hAnsi="Palatino Linotype" w:cs="Palatino Linotype"/>
          <w:b/>
          <w:i/>
          <w:sz w:val="22"/>
          <w:szCs w:val="22"/>
        </w:rPr>
        <w:t>DE LA LEYENDA DE CLASIFICACIÓN</w:t>
      </w:r>
    </w:p>
    <w:p w14:paraId="07A2C636" w14:textId="77777777" w:rsidR="005354DF" w:rsidRPr="008A215A" w:rsidRDefault="004E07F3">
      <w:pPr>
        <w:ind w:left="850" w:right="901"/>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b/>
          <w:i/>
          <w:sz w:val="22"/>
          <w:szCs w:val="22"/>
        </w:rPr>
        <w:t xml:space="preserve">Quincuagésimo. </w:t>
      </w:r>
      <w:r w:rsidRPr="008A215A">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8A215A">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0A9AA970" w14:textId="77777777" w:rsidR="005354DF" w:rsidRPr="008A215A" w:rsidRDefault="004E07F3">
      <w:pPr>
        <w:ind w:left="850" w:right="901"/>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w:t>
      </w:r>
    </w:p>
    <w:p w14:paraId="6A62DA6B" w14:textId="77777777" w:rsidR="005354DF" w:rsidRPr="008A215A" w:rsidRDefault="004E07F3">
      <w:pPr>
        <w:ind w:left="850" w:right="901"/>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b/>
          <w:i/>
          <w:sz w:val="22"/>
          <w:szCs w:val="22"/>
        </w:rPr>
        <w:t xml:space="preserve">Quincuagésimo tercero. </w:t>
      </w:r>
      <w:r w:rsidRPr="008A215A">
        <w:rPr>
          <w:rFonts w:ascii="Palatino Linotype" w:eastAsia="Palatino Linotype" w:hAnsi="Palatino Linotype" w:cs="Palatino Linotype"/>
          <w:b/>
          <w:i/>
          <w:sz w:val="22"/>
          <w:szCs w:val="22"/>
          <w:u w:val="single"/>
        </w:rPr>
        <w:t>El formato para señalar la clasificación parcial de un documento</w:t>
      </w:r>
      <w:r w:rsidRPr="008A215A">
        <w:rPr>
          <w:rFonts w:ascii="Palatino Linotype" w:eastAsia="Palatino Linotype" w:hAnsi="Palatino Linotype" w:cs="Palatino Linotype"/>
          <w:i/>
          <w:sz w:val="22"/>
          <w:szCs w:val="22"/>
        </w:rPr>
        <w:t>, es el siguiente:</w:t>
      </w:r>
    </w:p>
    <w:p w14:paraId="6D622591" w14:textId="77777777" w:rsidR="005354DF" w:rsidRPr="008A215A" w:rsidRDefault="005354DF">
      <w:pPr>
        <w:ind w:left="850" w:right="901"/>
        <w:jc w:val="both"/>
        <w:rPr>
          <w:rFonts w:ascii="Palatino Linotype" w:eastAsia="Palatino Linotype" w:hAnsi="Palatino Linotype" w:cs="Palatino Linotype"/>
          <w:i/>
          <w:sz w:val="22"/>
          <w:szCs w:val="22"/>
        </w:rPr>
      </w:pPr>
    </w:p>
    <w:tbl>
      <w:tblPr>
        <w:tblStyle w:val="ac"/>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5354DF" w:rsidRPr="008A215A" w14:paraId="27202533" w14:textId="77777777">
        <w:trPr>
          <w:jc w:val="center"/>
        </w:trPr>
        <w:tc>
          <w:tcPr>
            <w:tcW w:w="1129" w:type="dxa"/>
            <w:tcBorders>
              <w:top w:val="single" w:sz="4" w:space="0" w:color="000000"/>
              <w:left w:val="single" w:sz="4" w:space="0" w:color="000000"/>
              <w:bottom w:val="single" w:sz="4" w:space="0" w:color="000000"/>
              <w:right w:val="single" w:sz="4" w:space="0" w:color="000000"/>
            </w:tcBorders>
          </w:tcPr>
          <w:p w14:paraId="69481EB0" w14:textId="77777777" w:rsidR="005354DF" w:rsidRPr="008A215A" w:rsidRDefault="005354DF">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ECE3F40" w14:textId="77777777" w:rsidR="005354DF" w:rsidRPr="008A215A" w:rsidRDefault="004E07F3">
            <w:pPr>
              <w:jc w:val="center"/>
              <w:rPr>
                <w:rFonts w:ascii="Palatino Linotype" w:eastAsia="Palatino Linotype" w:hAnsi="Palatino Linotype" w:cs="Palatino Linotype"/>
                <w:b/>
                <w:i/>
              </w:rPr>
            </w:pPr>
            <w:r w:rsidRPr="008A215A">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195D30A7" w14:textId="77777777" w:rsidR="005354DF" w:rsidRPr="008A215A" w:rsidRDefault="004E07F3">
            <w:pPr>
              <w:jc w:val="center"/>
              <w:rPr>
                <w:rFonts w:ascii="Palatino Linotype" w:eastAsia="Palatino Linotype" w:hAnsi="Palatino Linotype" w:cs="Palatino Linotype"/>
                <w:b/>
                <w:i/>
              </w:rPr>
            </w:pPr>
            <w:r w:rsidRPr="008A215A">
              <w:rPr>
                <w:rFonts w:ascii="Palatino Linotype" w:eastAsia="Palatino Linotype" w:hAnsi="Palatino Linotype" w:cs="Palatino Linotype"/>
                <w:b/>
                <w:i/>
              </w:rPr>
              <w:t>Dónde:</w:t>
            </w:r>
          </w:p>
        </w:tc>
      </w:tr>
      <w:tr w:rsidR="005354DF" w:rsidRPr="008A215A" w14:paraId="1C34138E" w14:textId="77777777">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14:paraId="173FE7A7" w14:textId="77777777" w:rsidR="005354DF" w:rsidRPr="008A215A" w:rsidRDefault="004E07F3">
            <w:pPr>
              <w:jc w:val="center"/>
              <w:rPr>
                <w:rFonts w:ascii="Palatino Linotype" w:eastAsia="Palatino Linotype" w:hAnsi="Palatino Linotype" w:cs="Palatino Linotype"/>
                <w:b/>
                <w:i/>
              </w:rPr>
            </w:pPr>
            <w:r w:rsidRPr="008A215A">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09A6A825" w14:textId="77777777" w:rsidR="005354DF" w:rsidRPr="008A215A" w:rsidRDefault="004E07F3">
            <w:pPr>
              <w:jc w:val="center"/>
              <w:rPr>
                <w:rFonts w:ascii="Palatino Linotype" w:eastAsia="Palatino Linotype" w:hAnsi="Palatino Linotype" w:cs="Palatino Linotype"/>
                <w:i/>
              </w:rPr>
            </w:pPr>
            <w:r w:rsidRPr="008A215A">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598D48F0" w14:textId="77777777" w:rsidR="005354DF" w:rsidRPr="008A215A" w:rsidRDefault="004E07F3">
            <w:pPr>
              <w:jc w:val="both"/>
              <w:rPr>
                <w:rFonts w:ascii="Palatino Linotype" w:eastAsia="Palatino Linotype" w:hAnsi="Palatino Linotype" w:cs="Palatino Linotype"/>
                <w:i/>
              </w:rPr>
            </w:pPr>
            <w:r w:rsidRPr="008A215A">
              <w:rPr>
                <w:rFonts w:ascii="Palatino Linotype" w:eastAsia="Palatino Linotype" w:hAnsi="Palatino Linotype" w:cs="Palatino Linotype"/>
                <w:i/>
              </w:rPr>
              <w:t>Se anotará la fecha en la que el Comité de Transparencia confirmó la clasificación del documento, en su caso.</w:t>
            </w:r>
          </w:p>
        </w:tc>
      </w:tr>
      <w:tr w:rsidR="005354DF" w:rsidRPr="008A215A" w14:paraId="06BE3F0A"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14DEE570" w14:textId="77777777" w:rsidR="005354DF" w:rsidRPr="008A215A" w:rsidRDefault="005354D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614ABAA" w14:textId="77777777" w:rsidR="005354DF" w:rsidRPr="008A215A" w:rsidRDefault="004E07F3">
            <w:pPr>
              <w:jc w:val="center"/>
              <w:rPr>
                <w:rFonts w:ascii="Palatino Linotype" w:eastAsia="Palatino Linotype" w:hAnsi="Palatino Linotype" w:cs="Palatino Linotype"/>
                <w:i/>
              </w:rPr>
            </w:pPr>
            <w:r w:rsidRPr="008A215A">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220A7885" w14:textId="77777777" w:rsidR="005354DF" w:rsidRPr="008A215A" w:rsidRDefault="004E07F3">
            <w:pPr>
              <w:jc w:val="both"/>
              <w:rPr>
                <w:rFonts w:ascii="Palatino Linotype" w:eastAsia="Palatino Linotype" w:hAnsi="Palatino Linotype" w:cs="Palatino Linotype"/>
                <w:i/>
              </w:rPr>
            </w:pPr>
            <w:r w:rsidRPr="008A215A">
              <w:rPr>
                <w:rFonts w:ascii="Palatino Linotype" w:eastAsia="Palatino Linotype" w:hAnsi="Palatino Linotype" w:cs="Palatino Linotype"/>
                <w:i/>
              </w:rPr>
              <w:t>Se señalará el nombre del área del cual es titular quien clasifica.</w:t>
            </w:r>
          </w:p>
        </w:tc>
      </w:tr>
      <w:tr w:rsidR="005354DF" w:rsidRPr="008A215A" w14:paraId="21BD0E43"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4B85295D" w14:textId="77777777" w:rsidR="005354DF" w:rsidRPr="008A215A" w:rsidRDefault="005354D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E90C09B" w14:textId="77777777" w:rsidR="005354DF" w:rsidRPr="008A215A" w:rsidRDefault="004E07F3">
            <w:pPr>
              <w:jc w:val="center"/>
              <w:rPr>
                <w:rFonts w:ascii="Palatino Linotype" w:eastAsia="Palatino Linotype" w:hAnsi="Palatino Linotype" w:cs="Palatino Linotype"/>
                <w:i/>
              </w:rPr>
            </w:pPr>
            <w:r w:rsidRPr="008A215A">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2239E2C3" w14:textId="77777777" w:rsidR="005354DF" w:rsidRPr="008A215A" w:rsidRDefault="004E07F3">
            <w:pPr>
              <w:jc w:val="both"/>
              <w:rPr>
                <w:rFonts w:ascii="Palatino Linotype" w:eastAsia="Palatino Linotype" w:hAnsi="Palatino Linotype" w:cs="Palatino Linotype"/>
                <w:i/>
              </w:rPr>
            </w:pPr>
            <w:r w:rsidRPr="008A215A">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w:t>
            </w:r>
            <w:proofErr w:type="gramStart"/>
            <w:r w:rsidRPr="008A215A">
              <w:rPr>
                <w:rFonts w:ascii="Palatino Linotype" w:eastAsia="Palatino Linotype" w:hAnsi="Palatino Linotype" w:cs="Palatino Linotype"/>
                <w:i/>
              </w:rPr>
              <w:t>anotarán</w:t>
            </w:r>
            <w:proofErr w:type="gramEnd"/>
            <w:r w:rsidRPr="008A215A">
              <w:rPr>
                <w:rFonts w:ascii="Palatino Linotype" w:eastAsia="Palatino Linotype" w:hAnsi="Palatino Linotype" w:cs="Palatino Linotype"/>
                <w:i/>
              </w:rPr>
              <w:t xml:space="preserve"> todas las páginas que lo conforman. Si el documento no contiene información reservada, se tachará este apartado.</w:t>
            </w:r>
          </w:p>
        </w:tc>
      </w:tr>
      <w:tr w:rsidR="005354DF" w:rsidRPr="008A215A" w14:paraId="026D1AD1"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6CD8D563" w14:textId="77777777" w:rsidR="005354DF" w:rsidRPr="008A215A" w:rsidRDefault="005354D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57F27E1" w14:textId="77777777" w:rsidR="005354DF" w:rsidRPr="008A215A" w:rsidRDefault="004E07F3">
            <w:pPr>
              <w:jc w:val="center"/>
              <w:rPr>
                <w:rFonts w:ascii="Palatino Linotype" w:eastAsia="Palatino Linotype" w:hAnsi="Palatino Linotype" w:cs="Palatino Linotype"/>
                <w:i/>
              </w:rPr>
            </w:pPr>
            <w:r w:rsidRPr="008A215A">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0A29D8C1" w14:textId="77777777" w:rsidR="005354DF" w:rsidRPr="008A215A" w:rsidRDefault="004E07F3">
            <w:pPr>
              <w:jc w:val="both"/>
              <w:rPr>
                <w:rFonts w:ascii="Palatino Linotype" w:eastAsia="Palatino Linotype" w:hAnsi="Palatino Linotype" w:cs="Palatino Linotype"/>
                <w:i/>
              </w:rPr>
            </w:pPr>
            <w:r w:rsidRPr="008A215A">
              <w:rPr>
                <w:rFonts w:ascii="Palatino Linotype" w:eastAsia="Palatino Linotype" w:hAnsi="Palatino Linotype" w:cs="Palatino Linotype"/>
                <w:i/>
              </w:rPr>
              <w:t>Se anotará el número de años o meses por los que se mantendrá el documento o las partes del mismo como reservado.</w:t>
            </w:r>
          </w:p>
        </w:tc>
      </w:tr>
      <w:tr w:rsidR="005354DF" w:rsidRPr="008A215A" w14:paraId="06B8F725"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2EAA67F8" w14:textId="77777777" w:rsidR="005354DF" w:rsidRPr="008A215A" w:rsidRDefault="005354D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A6356BB" w14:textId="77777777" w:rsidR="005354DF" w:rsidRPr="008A215A" w:rsidRDefault="004E07F3">
            <w:pPr>
              <w:jc w:val="center"/>
              <w:rPr>
                <w:rFonts w:ascii="Palatino Linotype" w:eastAsia="Palatino Linotype" w:hAnsi="Palatino Linotype" w:cs="Palatino Linotype"/>
                <w:i/>
              </w:rPr>
            </w:pPr>
            <w:r w:rsidRPr="008A215A">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30033946" w14:textId="77777777" w:rsidR="005354DF" w:rsidRPr="008A215A" w:rsidRDefault="004E07F3">
            <w:pPr>
              <w:jc w:val="both"/>
              <w:rPr>
                <w:rFonts w:ascii="Palatino Linotype" w:eastAsia="Palatino Linotype" w:hAnsi="Palatino Linotype" w:cs="Palatino Linotype"/>
                <w:i/>
              </w:rPr>
            </w:pPr>
            <w:r w:rsidRPr="008A215A">
              <w:rPr>
                <w:rFonts w:ascii="Palatino Linotype" w:eastAsia="Palatino Linotype" w:hAnsi="Palatino Linotype" w:cs="Palatino Linotype"/>
                <w:i/>
              </w:rPr>
              <w:t>Se señalará el nombre del ordenamiento, el o los artículos, fracción(es), párrafo(s) con base en los cuales se sustente la reserva.</w:t>
            </w:r>
          </w:p>
        </w:tc>
      </w:tr>
      <w:tr w:rsidR="005354DF" w:rsidRPr="008A215A" w14:paraId="6749E36F"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0EDE936" w14:textId="77777777" w:rsidR="005354DF" w:rsidRPr="008A215A" w:rsidRDefault="005354D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2187AE2" w14:textId="77777777" w:rsidR="005354DF" w:rsidRPr="008A215A" w:rsidRDefault="004E07F3">
            <w:pPr>
              <w:jc w:val="center"/>
              <w:rPr>
                <w:rFonts w:ascii="Palatino Linotype" w:eastAsia="Palatino Linotype" w:hAnsi="Palatino Linotype" w:cs="Palatino Linotype"/>
                <w:i/>
              </w:rPr>
            </w:pPr>
            <w:r w:rsidRPr="008A215A">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402F07C5" w14:textId="77777777" w:rsidR="005354DF" w:rsidRPr="008A215A" w:rsidRDefault="004E07F3">
            <w:pPr>
              <w:jc w:val="both"/>
              <w:rPr>
                <w:rFonts w:ascii="Palatino Linotype" w:eastAsia="Palatino Linotype" w:hAnsi="Palatino Linotype" w:cs="Palatino Linotype"/>
                <w:i/>
              </w:rPr>
            </w:pPr>
            <w:r w:rsidRPr="008A215A">
              <w:rPr>
                <w:rFonts w:ascii="Palatino Linotype" w:eastAsia="Palatino Linotype" w:hAnsi="Palatino Linotype" w:cs="Palatino Linotype"/>
                <w:i/>
              </w:rPr>
              <w:t xml:space="preserve">En caso de haber solicitado la ampliación del periodo de reserva originalmente establecido, se </w:t>
            </w:r>
            <w:r w:rsidRPr="008A215A">
              <w:rPr>
                <w:rFonts w:ascii="Palatino Linotype" w:eastAsia="Palatino Linotype" w:hAnsi="Palatino Linotype" w:cs="Palatino Linotype"/>
                <w:i/>
              </w:rPr>
              <w:lastRenderedPageBreak/>
              <w:t>deberá anotar el número de años o meses por los que se amplía la reserva.</w:t>
            </w:r>
          </w:p>
        </w:tc>
      </w:tr>
      <w:tr w:rsidR="005354DF" w:rsidRPr="008A215A" w14:paraId="098E484B"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18A7157C" w14:textId="77777777" w:rsidR="005354DF" w:rsidRPr="008A215A" w:rsidRDefault="005354D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CEFE8B2" w14:textId="77777777" w:rsidR="005354DF" w:rsidRPr="008A215A" w:rsidRDefault="004E07F3">
            <w:pPr>
              <w:jc w:val="center"/>
              <w:rPr>
                <w:rFonts w:ascii="Palatino Linotype" w:eastAsia="Palatino Linotype" w:hAnsi="Palatino Linotype" w:cs="Palatino Linotype"/>
                <w:b/>
                <w:i/>
                <w:u w:val="single"/>
              </w:rPr>
            </w:pPr>
            <w:r w:rsidRPr="008A215A">
              <w:rPr>
                <w:rFonts w:ascii="Palatino Linotype" w:eastAsia="Palatino Linotype" w:hAnsi="Palatino Linotype" w:cs="Palatino Linotype"/>
                <w:b/>
                <w:i/>
                <w:u w:val="single"/>
              </w:rPr>
              <w:t>Confidencial</w:t>
            </w:r>
          </w:p>
        </w:tc>
        <w:tc>
          <w:tcPr>
            <w:tcW w:w="4531" w:type="dxa"/>
            <w:tcBorders>
              <w:top w:val="single" w:sz="4" w:space="0" w:color="000000"/>
              <w:left w:val="single" w:sz="4" w:space="0" w:color="000000"/>
              <w:bottom w:val="single" w:sz="4" w:space="0" w:color="000000"/>
              <w:right w:val="single" w:sz="4" w:space="0" w:color="000000"/>
            </w:tcBorders>
          </w:tcPr>
          <w:p w14:paraId="7ABEECC5" w14:textId="77777777" w:rsidR="005354DF" w:rsidRPr="008A215A" w:rsidRDefault="004E07F3">
            <w:pPr>
              <w:jc w:val="both"/>
              <w:rPr>
                <w:rFonts w:ascii="Palatino Linotype" w:eastAsia="Palatino Linotype" w:hAnsi="Palatino Linotype" w:cs="Palatino Linotype"/>
                <w:i/>
              </w:rPr>
            </w:pPr>
            <w:r w:rsidRPr="008A215A">
              <w:rPr>
                <w:rFonts w:ascii="Palatino Linotype" w:eastAsia="Palatino Linotype" w:hAnsi="Palatino Linotype" w:cs="Palatino Linotype"/>
                <w:i/>
              </w:rPr>
              <w:t xml:space="preserve">Se indicarán, en su caso, </w:t>
            </w:r>
            <w:r w:rsidRPr="008A215A">
              <w:rPr>
                <w:rFonts w:ascii="Palatino Linotype" w:eastAsia="Palatino Linotype" w:hAnsi="Palatino Linotype" w:cs="Palatino Linotype"/>
                <w:b/>
                <w:i/>
                <w:u w:val="single"/>
              </w:rPr>
              <w:t>las partes o páginas del documento que se clasifica como confidencial</w:t>
            </w:r>
            <w:r w:rsidRPr="008A215A">
              <w:rPr>
                <w:rFonts w:ascii="Palatino Linotype" w:eastAsia="Palatino Linotype" w:hAnsi="Palatino Linotype" w:cs="Palatino Linotype"/>
                <w:i/>
              </w:rPr>
              <w:t xml:space="preserve">. </w:t>
            </w:r>
            <w:r w:rsidRPr="008A215A">
              <w:rPr>
                <w:rFonts w:ascii="Palatino Linotype" w:eastAsia="Palatino Linotype" w:hAnsi="Palatino Linotype" w:cs="Palatino Linotype"/>
                <w:b/>
                <w:i/>
                <w:u w:val="single"/>
              </w:rPr>
              <w:t>Si el documento fuera confidencial en su totalidad, se anotarán todas las páginas que lo conforman</w:t>
            </w:r>
            <w:r w:rsidRPr="008A215A">
              <w:rPr>
                <w:rFonts w:ascii="Palatino Linotype" w:eastAsia="Palatino Linotype" w:hAnsi="Palatino Linotype" w:cs="Palatino Linotype"/>
                <w:i/>
              </w:rPr>
              <w:t>. Si el documento no contiene información confidencial, se tachará este apartado.</w:t>
            </w:r>
          </w:p>
        </w:tc>
      </w:tr>
      <w:tr w:rsidR="005354DF" w:rsidRPr="008A215A" w14:paraId="0450150B"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32780923" w14:textId="77777777" w:rsidR="005354DF" w:rsidRPr="008A215A" w:rsidRDefault="005354D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2035DC7" w14:textId="77777777" w:rsidR="005354DF" w:rsidRPr="008A215A" w:rsidRDefault="004E07F3">
            <w:pPr>
              <w:jc w:val="center"/>
              <w:rPr>
                <w:rFonts w:ascii="Palatino Linotype" w:eastAsia="Palatino Linotype" w:hAnsi="Palatino Linotype" w:cs="Palatino Linotype"/>
                <w:i/>
              </w:rPr>
            </w:pPr>
            <w:r w:rsidRPr="008A215A">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163181DF" w14:textId="77777777" w:rsidR="005354DF" w:rsidRPr="008A215A" w:rsidRDefault="004E07F3">
            <w:pPr>
              <w:jc w:val="both"/>
              <w:rPr>
                <w:rFonts w:ascii="Palatino Linotype" w:eastAsia="Palatino Linotype" w:hAnsi="Palatino Linotype" w:cs="Palatino Linotype"/>
                <w:i/>
              </w:rPr>
            </w:pPr>
            <w:r w:rsidRPr="008A215A">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5354DF" w:rsidRPr="008A215A" w14:paraId="0E2ECB94"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F43EFFC" w14:textId="77777777" w:rsidR="005354DF" w:rsidRPr="008A215A" w:rsidRDefault="005354D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C5A57BC" w14:textId="77777777" w:rsidR="005354DF" w:rsidRPr="008A215A" w:rsidRDefault="004E07F3">
            <w:pPr>
              <w:jc w:val="center"/>
              <w:rPr>
                <w:rFonts w:ascii="Palatino Linotype" w:eastAsia="Palatino Linotype" w:hAnsi="Palatino Linotype" w:cs="Palatino Linotype"/>
                <w:i/>
              </w:rPr>
            </w:pPr>
            <w:r w:rsidRPr="008A215A">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70E4A22F" w14:textId="77777777" w:rsidR="005354DF" w:rsidRPr="008A215A" w:rsidRDefault="004E07F3">
            <w:pPr>
              <w:jc w:val="both"/>
              <w:rPr>
                <w:rFonts w:ascii="Palatino Linotype" w:eastAsia="Palatino Linotype" w:hAnsi="Palatino Linotype" w:cs="Palatino Linotype"/>
                <w:i/>
              </w:rPr>
            </w:pPr>
            <w:r w:rsidRPr="008A215A">
              <w:rPr>
                <w:rFonts w:ascii="Palatino Linotype" w:eastAsia="Palatino Linotype" w:hAnsi="Palatino Linotype" w:cs="Palatino Linotype"/>
                <w:i/>
              </w:rPr>
              <w:t>Rúbrica autógrafa de quien clasifica.</w:t>
            </w:r>
          </w:p>
        </w:tc>
      </w:tr>
      <w:tr w:rsidR="005354DF" w:rsidRPr="008A215A" w14:paraId="25BC7F19"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3444B2D3" w14:textId="77777777" w:rsidR="005354DF" w:rsidRPr="008A215A" w:rsidRDefault="005354D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A8D1C1F" w14:textId="77777777" w:rsidR="005354DF" w:rsidRPr="008A215A" w:rsidRDefault="004E07F3">
            <w:pPr>
              <w:jc w:val="center"/>
              <w:rPr>
                <w:rFonts w:ascii="Palatino Linotype" w:eastAsia="Palatino Linotype" w:hAnsi="Palatino Linotype" w:cs="Palatino Linotype"/>
                <w:i/>
              </w:rPr>
            </w:pPr>
            <w:r w:rsidRPr="008A215A">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227CB871" w14:textId="77777777" w:rsidR="005354DF" w:rsidRPr="008A215A" w:rsidRDefault="004E07F3">
            <w:pPr>
              <w:jc w:val="both"/>
              <w:rPr>
                <w:rFonts w:ascii="Palatino Linotype" w:eastAsia="Palatino Linotype" w:hAnsi="Palatino Linotype" w:cs="Palatino Linotype"/>
                <w:i/>
              </w:rPr>
            </w:pPr>
            <w:r w:rsidRPr="008A215A">
              <w:rPr>
                <w:rFonts w:ascii="Palatino Linotype" w:eastAsia="Palatino Linotype" w:hAnsi="Palatino Linotype" w:cs="Palatino Linotype"/>
                <w:i/>
              </w:rPr>
              <w:t>Se anotará la fecha en que se desclasifica el documento.</w:t>
            </w:r>
          </w:p>
        </w:tc>
      </w:tr>
      <w:tr w:rsidR="005354DF" w:rsidRPr="008A215A" w14:paraId="1533F980"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4B64B6D3" w14:textId="77777777" w:rsidR="005354DF" w:rsidRPr="008A215A" w:rsidRDefault="005354D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1C6A733" w14:textId="77777777" w:rsidR="005354DF" w:rsidRPr="008A215A" w:rsidRDefault="004E07F3">
            <w:pPr>
              <w:jc w:val="center"/>
              <w:rPr>
                <w:rFonts w:ascii="Palatino Linotype" w:eastAsia="Palatino Linotype" w:hAnsi="Palatino Linotype" w:cs="Palatino Linotype"/>
                <w:i/>
              </w:rPr>
            </w:pPr>
            <w:r w:rsidRPr="008A215A">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6D09349A" w14:textId="77777777" w:rsidR="005354DF" w:rsidRPr="008A215A" w:rsidRDefault="004E07F3">
            <w:pPr>
              <w:rPr>
                <w:rFonts w:ascii="Palatino Linotype" w:eastAsia="Palatino Linotype" w:hAnsi="Palatino Linotype" w:cs="Palatino Linotype"/>
                <w:i/>
              </w:rPr>
            </w:pPr>
            <w:r w:rsidRPr="008A215A">
              <w:rPr>
                <w:rFonts w:ascii="Palatino Linotype" w:eastAsia="Palatino Linotype" w:hAnsi="Palatino Linotype" w:cs="Palatino Linotype"/>
                <w:i/>
              </w:rPr>
              <w:t>Rúbrica autógrafa de quien desclasifica.</w:t>
            </w:r>
          </w:p>
        </w:tc>
      </w:tr>
    </w:tbl>
    <w:p w14:paraId="05F7593A" w14:textId="77777777" w:rsidR="005354DF" w:rsidRPr="008A215A" w:rsidRDefault="004E07F3">
      <w:pPr>
        <w:ind w:left="709" w:right="709"/>
        <w:jc w:val="both"/>
        <w:rPr>
          <w:rFonts w:ascii="Palatino Linotype" w:eastAsia="Palatino Linotype" w:hAnsi="Palatino Linotype" w:cs="Palatino Linotype"/>
          <w:sz w:val="22"/>
          <w:szCs w:val="22"/>
        </w:rPr>
      </w:pPr>
      <w:r w:rsidRPr="008A215A">
        <w:rPr>
          <w:rFonts w:ascii="Palatino Linotype" w:eastAsia="Palatino Linotype" w:hAnsi="Palatino Linotype" w:cs="Palatino Linotype"/>
          <w:sz w:val="22"/>
          <w:szCs w:val="22"/>
        </w:rPr>
        <w:t>(Énfasis Añadido)</w:t>
      </w:r>
    </w:p>
    <w:p w14:paraId="7D26C29C" w14:textId="77777777" w:rsidR="005354DF" w:rsidRPr="008A215A" w:rsidRDefault="005354DF">
      <w:pPr>
        <w:spacing w:line="360" w:lineRule="auto"/>
        <w:jc w:val="both"/>
        <w:rPr>
          <w:rFonts w:ascii="Palatino Linotype" w:eastAsia="Palatino Linotype" w:hAnsi="Palatino Linotype" w:cs="Palatino Linotype"/>
        </w:rPr>
      </w:pPr>
    </w:p>
    <w:p w14:paraId="5304D1E2"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 xml:space="preserve">Es importante referir que, </w:t>
      </w:r>
      <w:r w:rsidRPr="008A215A">
        <w:rPr>
          <w:rFonts w:ascii="Palatino Linotype" w:eastAsia="Palatino Linotype" w:hAnsi="Palatino Linotype" w:cs="Palatino Linotype"/>
          <w:b/>
        </w:rPr>
        <w:t>EL SUJETO OBLIGADO</w:t>
      </w:r>
      <w:r w:rsidRPr="008A215A">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8A215A">
        <w:rPr>
          <w:rFonts w:ascii="Palatino Linotype" w:eastAsia="Palatino Linotype" w:hAnsi="Palatino Linotype" w:cs="Palatino Linotype"/>
          <w:b/>
        </w:rPr>
        <w:t xml:space="preserve"> </w:t>
      </w:r>
      <w:r w:rsidRPr="008A215A">
        <w:rPr>
          <w:rFonts w:ascii="Palatino Linotype" w:eastAsia="Palatino Linotype" w:hAnsi="Palatino Linotype" w:cs="Palatino Linotype"/>
        </w:rPr>
        <w:t xml:space="preserve">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w:t>
      </w:r>
      <w:r w:rsidRPr="008A215A">
        <w:rPr>
          <w:rFonts w:ascii="Palatino Linotype" w:eastAsia="Palatino Linotype" w:hAnsi="Palatino Linotype" w:cs="Palatino Linotype"/>
        </w:rPr>
        <w:lastRenderedPageBreak/>
        <w:t>manera puntual las razones de ello se estaría violentando desde un inicio el derecho de acceso a la información del solicitante.</w:t>
      </w:r>
    </w:p>
    <w:p w14:paraId="7AF4A4A3" w14:textId="77777777" w:rsidR="005354DF" w:rsidRPr="008A215A" w:rsidRDefault="004E07F3">
      <w:pPr>
        <w:spacing w:line="360" w:lineRule="auto"/>
        <w:jc w:val="both"/>
        <w:rPr>
          <w:rFonts w:ascii="Palatino Linotype" w:eastAsia="Palatino Linotype" w:hAnsi="Palatino Linotype" w:cs="Palatino Linotype"/>
        </w:rPr>
      </w:pPr>
      <w:bookmarkStart w:id="10" w:name="_heading=h.26in1rg" w:colFirst="0" w:colLast="0"/>
      <w:bookmarkEnd w:id="10"/>
      <w:r w:rsidRPr="008A215A">
        <w:rPr>
          <w:rFonts w:ascii="Palatino Linotype" w:eastAsia="Palatino Linotype" w:hAnsi="Palatino Linotype" w:cs="Palatino Linotype"/>
        </w:rPr>
        <w:t>Expuesto todo lo anterior</w:t>
      </w:r>
      <w:r w:rsidRPr="008A215A">
        <w:rPr>
          <w:rFonts w:ascii="Palatino Linotype" w:eastAsia="Palatino Linotype" w:hAnsi="Palatino Linotype" w:cs="Palatino Linotype"/>
          <w:b/>
        </w:rPr>
        <w:t xml:space="preserve">, </w:t>
      </w:r>
      <w:r w:rsidRPr="008A215A">
        <w:rPr>
          <w:rFonts w:ascii="Palatino Linotype" w:eastAsia="Palatino Linotype" w:hAnsi="Palatino Linotype" w:cs="Palatino Linotype"/>
        </w:rPr>
        <w:t xml:space="preserve">en términos de lo dispuesto en el artículo 186, fracción III de la Ley de Transparencia y Acceso a la Información Pública del Estado de México y Municipios, el Pleno de este Instituto, estima que las razones o motivos de inconformidad hechos valer por </w:t>
      </w:r>
      <w:r w:rsidRPr="008A215A">
        <w:rPr>
          <w:rFonts w:ascii="Palatino Linotype" w:eastAsia="Palatino Linotype" w:hAnsi="Palatino Linotype" w:cs="Palatino Linotype"/>
          <w:b/>
        </w:rPr>
        <w:t>EL RECURRENTE</w:t>
      </w:r>
      <w:r w:rsidRPr="008A215A">
        <w:rPr>
          <w:rFonts w:ascii="Palatino Linotype" w:eastAsia="Palatino Linotype" w:hAnsi="Palatino Linotype" w:cs="Palatino Linotype"/>
        </w:rPr>
        <w:t xml:space="preserve"> resultan </w:t>
      </w:r>
      <w:r w:rsidRPr="008A215A">
        <w:rPr>
          <w:rFonts w:ascii="Palatino Linotype" w:eastAsia="Palatino Linotype" w:hAnsi="Palatino Linotype" w:cs="Palatino Linotype"/>
          <w:b/>
        </w:rPr>
        <w:t>fundadas</w:t>
      </w:r>
      <w:r w:rsidRPr="008A215A">
        <w:rPr>
          <w:rFonts w:ascii="Palatino Linotype" w:eastAsia="Palatino Linotype" w:hAnsi="Palatino Linotype" w:cs="Palatino Linotype"/>
        </w:rPr>
        <w:t xml:space="preserve"> y suficientes para </w:t>
      </w:r>
      <w:r w:rsidRPr="008A215A">
        <w:rPr>
          <w:rFonts w:ascii="Palatino Linotype" w:eastAsia="Palatino Linotype" w:hAnsi="Palatino Linotype" w:cs="Palatino Linotype"/>
          <w:b/>
        </w:rPr>
        <w:t>MODIFICAR</w:t>
      </w:r>
      <w:r w:rsidRPr="008A215A">
        <w:rPr>
          <w:rFonts w:ascii="Palatino Linotype" w:eastAsia="Palatino Linotype" w:hAnsi="Palatino Linotype" w:cs="Palatino Linotype"/>
        </w:rPr>
        <w:t xml:space="preserve"> la respuesta del </w:t>
      </w:r>
      <w:r w:rsidRPr="008A215A">
        <w:rPr>
          <w:rFonts w:ascii="Palatino Linotype" w:eastAsia="Palatino Linotype" w:hAnsi="Palatino Linotype" w:cs="Palatino Linotype"/>
          <w:b/>
        </w:rPr>
        <w:t>SUJETO OBLIGADO</w:t>
      </w:r>
      <w:r w:rsidRPr="008A215A">
        <w:rPr>
          <w:rFonts w:ascii="Palatino Linotype" w:eastAsia="Palatino Linotype" w:hAnsi="Palatino Linotype" w:cs="Palatino Linotype"/>
        </w:rPr>
        <w:t xml:space="preserve"> y ordenarle haga entrega de la información descrita en el presente Considerando.</w:t>
      </w:r>
    </w:p>
    <w:p w14:paraId="165D03BE" w14:textId="77777777" w:rsidR="005354DF" w:rsidRPr="008A215A" w:rsidRDefault="005354DF">
      <w:pPr>
        <w:spacing w:line="360" w:lineRule="auto"/>
        <w:jc w:val="both"/>
        <w:rPr>
          <w:rFonts w:ascii="Palatino Linotype" w:eastAsia="Palatino Linotype" w:hAnsi="Palatino Linotype" w:cs="Palatino Linotype"/>
          <w:b/>
        </w:rPr>
      </w:pPr>
    </w:p>
    <w:p w14:paraId="096553B0" w14:textId="77777777" w:rsidR="005354DF" w:rsidRPr="008A215A" w:rsidRDefault="004E07F3">
      <w:pPr>
        <w:widowControl w:val="0"/>
        <w:spacing w:line="360" w:lineRule="auto"/>
        <w:jc w:val="both"/>
        <w:rPr>
          <w:rFonts w:ascii="Palatino Linotype" w:eastAsia="Palatino Linotype" w:hAnsi="Palatino Linotype" w:cs="Palatino Linotype"/>
        </w:rPr>
      </w:pPr>
      <w:bookmarkStart w:id="11" w:name="_heading=h.lnxbz9" w:colFirst="0" w:colLast="0"/>
      <w:bookmarkEnd w:id="11"/>
      <w:r w:rsidRPr="008A215A">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y los artículos 2, fracción II, 9, 29, 36, fracciones I y II, 176, 178, 179, 181, 185, fracción I, 186 y 188, de la Ley de Transparencia y Acceso a la Información Pública del Estado de México y Municipios, este Pleno:</w:t>
      </w:r>
    </w:p>
    <w:p w14:paraId="0F483B3E" w14:textId="77777777" w:rsidR="005354DF" w:rsidRPr="008A215A" w:rsidRDefault="005354DF">
      <w:pPr>
        <w:widowControl w:val="0"/>
        <w:spacing w:line="360" w:lineRule="auto"/>
        <w:jc w:val="both"/>
        <w:rPr>
          <w:rFonts w:ascii="Palatino Linotype" w:eastAsia="Palatino Linotype" w:hAnsi="Palatino Linotype" w:cs="Palatino Linotype"/>
        </w:rPr>
      </w:pPr>
    </w:p>
    <w:p w14:paraId="611564C1" w14:textId="77777777" w:rsidR="005354DF" w:rsidRPr="008A215A" w:rsidRDefault="004E07F3">
      <w:pPr>
        <w:spacing w:line="360" w:lineRule="auto"/>
        <w:jc w:val="center"/>
        <w:rPr>
          <w:rFonts w:ascii="Palatino Linotype" w:eastAsia="Palatino Linotype" w:hAnsi="Palatino Linotype" w:cs="Palatino Linotype"/>
          <w:b/>
          <w:sz w:val="28"/>
          <w:szCs w:val="28"/>
        </w:rPr>
      </w:pPr>
      <w:r w:rsidRPr="008A215A">
        <w:rPr>
          <w:rFonts w:ascii="Palatino Linotype" w:eastAsia="Palatino Linotype" w:hAnsi="Palatino Linotype" w:cs="Palatino Linotype"/>
          <w:b/>
          <w:sz w:val="28"/>
          <w:szCs w:val="28"/>
        </w:rPr>
        <w:t>RESUELVE</w:t>
      </w:r>
    </w:p>
    <w:p w14:paraId="0CC738E7" w14:textId="77777777" w:rsidR="005354DF" w:rsidRPr="008A215A" w:rsidRDefault="005354DF">
      <w:pPr>
        <w:spacing w:line="360" w:lineRule="auto"/>
        <w:jc w:val="center"/>
        <w:rPr>
          <w:rFonts w:ascii="Palatino Linotype" w:eastAsia="Palatino Linotype" w:hAnsi="Palatino Linotype" w:cs="Palatino Linotype"/>
          <w:b/>
        </w:rPr>
      </w:pPr>
    </w:p>
    <w:p w14:paraId="51DEA1E6" w14:textId="77777777" w:rsidR="005354DF" w:rsidRPr="008A215A" w:rsidRDefault="004E07F3">
      <w:pPr>
        <w:spacing w:line="360" w:lineRule="auto"/>
        <w:jc w:val="both"/>
        <w:rPr>
          <w:rFonts w:ascii="Palatino Linotype" w:eastAsia="Palatino Linotype" w:hAnsi="Palatino Linotype" w:cs="Palatino Linotype"/>
        </w:rPr>
      </w:pPr>
      <w:bookmarkStart w:id="12" w:name="_heading=h.35nkun2" w:colFirst="0" w:colLast="0"/>
      <w:bookmarkEnd w:id="12"/>
      <w:r w:rsidRPr="008A215A">
        <w:rPr>
          <w:rFonts w:ascii="Palatino Linotype" w:eastAsia="Palatino Linotype" w:hAnsi="Palatino Linotype" w:cs="Palatino Linotype"/>
          <w:b/>
          <w:sz w:val="28"/>
          <w:szCs w:val="28"/>
        </w:rPr>
        <w:t>PRIMERO</w:t>
      </w:r>
      <w:r w:rsidRPr="008A215A">
        <w:rPr>
          <w:rFonts w:ascii="Palatino Linotype" w:eastAsia="Palatino Linotype" w:hAnsi="Palatino Linotype" w:cs="Palatino Linotype"/>
          <w:sz w:val="28"/>
          <w:szCs w:val="28"/>
        </w:rPr>
        <w:t>.</w:t>
      </w:r>
      <w:r w:rsidRPr="008A215A">
        <w:rPr>
          <w:rFonts w:ascii="Palatino Linotype" w:eastAsia="Palatino Linotype" w:hAnsi="Palatino Linotype" w:cs="Palatino Linotype"/>
        </w:rPr>
        <w:t xml:space="preserve"> Resultan </w:t>
      </w:r>
      <w:r w:rsidRPr="008A215A">
        <w:rPr>
          <w:rFonts w:ascii="Palatino Linotype" w:eastAsia="Palatino Linotype" w:hAnsi="Palatino Linotype" w:cs="Palatino Linotype"/>
          <w:b/>
        </w:rPr>
        <w:t>fundadas</w:t>
      </w:r>
      <w:r w:rsidRPr="008A215A">
        <w:rPr>
          <w:rFonts w:ascii="Palatino Linotype" w:eastAsia="Palatino Linotype" w:hAnsi="Palatino Linotype" w:cs="Palatino Linotype"/>
        </w:rPr>
        <w:t xml:space="preserve"> las razones o motivos de inconformidad planteadas por </w:t>
      </w:r>
      <w:r w:rsidRPr="008A215A">
        <w:rPr>
          <w:rFonts w:ascii="Palatino Linotype" w:eastAsia="Palatino Linotype" w:hAnsi="Palatino Linotype" w:cs="Palatino Linotype"/>
          <w:b/>
        </w:rPr>
        <w:t>EL RECURRENTE</w:t>
      </w:r>
      <w:r w:rsidRPr="008A215A">
        <w:rPr>
          <w:rFonts w:ascii="Palatino Linotype" w:eastAsia="Palatino Linotype" w:hAnsi="Palatino Linotype" w:cs="Palatino Linotype"/>
        </w:rPr>
        <w:t xml:space="preserve">, en términos del Considerando </w:t>
      </w:r>
      <w:r w:rsidRPr="008A215A">
        <w:rPr>
          <w:rFonts w:ascii="Palatino Linotype" w:eastAsia="Palatino Linotype" w:hAnsi="Palatino Linotype" w:cs="Palatino Linotype"/>
          <w:b/>
        </w:rPr>
        <w:t xml:space="preserve">QUINTO </w:t>
      </w:r>
      <w:r w:rsidRPr="008A215A">
        <w:rPr>
          <w:rFonts w:ascii="Palatino Linotype" w:eastAsia="Palatino Linotype" w:hAnsi="Palatino Linotype" w:cs="Palatino Linotype"/>
        </w:rPr>
        <w:t>de la presente resolución.</w:t>
      </w:r>
    </w:p>
    <w:p w14:paraId="64F5E64B" w14:textId="77777777" w:rsidR="005354DF" w:rsidRPr="008A215A" w:rsidRDefault="005354DF">
      <w:pPr>
        <w:spacing w:line="360" w:lineRule="auto"/>
        <w:jc w:val="both"/>
        <w:rPr>
          <w:rFonts w:ascii="Palatino Linotype" w:eastAsia="Palatino Linotype" w:hAnsi="Palatino Linotype" w:cs="Palatino Linotype"/>
        </w:rPr>
      </w:pPr>
    </w:p>
    <w:p w14:paraId="4890C11C" w14:textId="04847B4E"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b/>
          <w:sz w:val="28"/>
          <w:szCs w:val="28"/>
        </w:rPr>
        <w:t>SEGUNDO</w:t>
      </w:r>
      <w:r w:rsidRPr="008A215A">
        <w:rPr>
          <w:rFonts w:ascii="Palatino Linotype" w:eastAsia="Palatino Linotype" w:hAnsi="Palatino Linotype" w:cs="Palatino Linotype"/>
          <w:sz w:val="28"/>
          <w:szCs w:val="28"/>
        </w:rPr>
        <w:t>.</w:t>
      </w:r>
      <w:r w:rsidRPr="008A215A">
        <w:rPr>
          <w:rFonts w:ascii="Palatino Linotype" w:eastAsia="Palatino Linotype" w:hAnsi="Palatino Linotype" w:cs="Palatino Linotype"/>
        </w:rPr>
        <w:t xml:space="preserve"> Se </w:t>
      </w:r>
      <w:r w:rsidRPr="008A215A">
        <w:rPr>
          <w:rFonts w:ascii="Palatino Linotype" w:eastAsia="Palatino Linotype" w:hAnsi="Palatino Linotype" w:cs="Palatino Linotype"/>
          <w:b/>
        </w:rPr>
        <w:t xml:space="preserve">MODIFICA </w:t>
      </w:r>
      <w:r w:rsidRPr="008A215A">
        <w:rPr>
          <w:rFonts w:ascii="Palatino Linotype" w:eastAsia="Palatino Linotype" w:hAnsi="Palatino Linotype" w:cs="Palatino Linotype"/>
        </w:rPr>
        <w:t xml:space="preserve">la respuesta proporcionada por </w:t>
      </w:r>
      <w:r w:rsidRPr="008A215A">
        <w:rPr>
          <w:rFonts w:ascii="Palatino Linotype" w:eastAsia="Palatino Linotype" w:hAnsi="Palatino Linotype" w:cs="Palatino Linotype"/>
          <w:b/>
        </w:rPr>
        <w:t xml:space="preserve">EL SUJETO OBLIGADO </w:t>
      </w:r>
      <w:r w:rsidRPr="008A215A">
        <w:rPr>
          <w:rFonts w:ascii="Palatino Linotype" w:eastAsia="Palatino Linotype" w:hAnsi="Palatino Linotype" w:cs="Palatino Linotype"/>
        </w:rPr>
        <w:t xml:space="preserve">a la solicitud que dio origen al recurso de revisión número </w:t>
      </w:r>
      <w:r w:rsidRPr="008A215A">
        <w:rPr>
          <w:rFonts w:ascii="Palatino Linotype" w:eastAsia="Palatino Linotype" w:hAnsi="Palatino Linotype" w:cs="Palatino Linotype"/>
          <w:b/>
        </w:rPr>
        <w:lastRenderedPageBreak/>
        <w:t>05952/INFOEM/IP/RR/2021</w:t>
      </w:r>
      <w:r w:rsidRPr="008A215A">
        <w:rPr>
          <w:rFonts w:ascii="Palatino Linotype" w:eastAsia="Palatino Linotype" w:hAnsi="Palatino Linotype" w:cs="Palatino Linotype"/>
        </w:rPr>
        <w:t xml:space="preserve">, en términos del Considerando </w:t>
      </w:r>
      <w:r w:rsidRPr="008A215A">
        <w:rPr>
          <w:rFonts w:ascii="Palatino Linotype" w:eastAsia="Palatino Linotype" w:hAnsi="Palatino Linotype" w:cs="Palatino Linotype"/>
          <w:b/>
        </w:rPr>
        <w:t xml:space="preserve">QUINTO </w:t>
      </w:r>
      <w:r w:rsidRPr="008A215A">
        <w:rPr>
          <w:rFonts w:ascii="Palatino Linotype" w:eastAsia="Palatino Linotype" w:hAnsi="Palatino Linotype" w:cs="Palatino Linotype"/>
        </w:rPr>
        <w:t xml:space="preserve">de la presente resolución, y haga entrega al </w:t>
      </w:r>
      <w:r w:rsidRPr="008A215A">
        <w:rPr>
          <w:rFonts w:ascii="Palatino Linotype" w:eastAsia="Palatino Linotype" w:hAnsi="Palatino Linotype" w:cs="Palatino Linotype"/>
          <w:b/>
        </w:rPr>
        <w:t>RECURRENTE</w:t>
      </w:r>
      <w:r w:rsidRPr="008A215A">
        <w:rPr>
          <w:rFonts w:ascii="Palatino Linotype" w:eastAsia="Palatino Linotype" w:hAnsi="Palatino Linotype" w:cs="Palatino Linotype"/>
        </w:rPr>
        <w:t xml:space="preserve">, </w:t>
      </w:r>
      <w:r w:rsidR="008A215A">
        <w:rPr>
          <w:rFonts w:ascii="Palatino Linotype" w:eastAsia="Palatino Linotype" w:hAnsi="Palatino Linotype" w:cs="Palatino Linotype"/>
        </w:rPr>
        <w:t xml:space="preserve">vía </w:t>
      </w:r>
      <w:r w:rsidR="008A215A" w:rsidRPr="008A215A">
        <w:rPr>
          <w:rFonts w:ascii="Palatino Linotype" w:eastAsia="Palatino Linotype" w:hAnsi="Palatino Linotype" w:cs="Palatino Linotype"/>
        </w:rPr>
        <w:t>Sistema de Acceso a la Información Mexiquens</w:t>
      </w:r>
      <w:r w:rsidR="008A215A">
        <w:rPr>
          <w:rFonts w:ascii="Palatino Linotype" w:eastAsia="Palatino Linotype" w:hAnsi="Palatino Linotype" w:cs="Palatino Linotype"/>
        </w:rPr>
        <w:t xml:space="preserve">e </w:t>
      </w:r>
      <w:r w:rsidRPr="008A215A">
        <w:rPr>
          <w:rFonts w:ascii="Palatino Linotype" w:eastAsia="Palatino Linotype" w:hAnsi="Palatino Linotype" w:cs="Palatino Linotype"/>
          <w:b/>
        </w:rPr>
        <w:t>(SAIMEX)</w:t>
      </w:r>
      <w:r w:rsidRPr="008A215A">
        <w:rPr>
          <w:rFonts w:ascii="Palatino Linotype" w:eastAsia="Palatino Linotype" w:hAnsi="Palatino Linotype" w:cs="Palatino Linotype"/>
        </w:rPr>
        <w:t xml:space="preserve">, en </w:t>
      </w:r>
      <w:r w:rsidRPr="008A215A">
        <w:rPr>
          <w:rFonts w:ascii="Palatino Linotype" w:eastAsia="Palatino Linotype" w:hAnsi="Palatino Linotype" w:cs="Palatino Linotype"/>
          <w:b/>
        </w:rPr>
        <w:t>versión pública</w:t>
      </w:r>
      <w:r w:rsidRPr="008A215A">
        <w:rPr>
          <w:rFonts w:ascii="Palatino Linotype" w:eastAsia="Palatino Linotype" w:hAnsi="Palatino Linotype" w:cs="Palatino Linotype"/>
        </w:rPr>
        <w:t xml:space="preserve"> de ser procedente lo siguiente:</w:t>
      </w:r>
    </w:p>
    <w:p w14:paraId="744D1E4B" w14:textId="77777777" w:rsidR="005354DF" w:rsidRPr="008A215A" w:rsidRDefault="005354DF">
      <w:pPr>
        <w:ind w:left="850" w:right="901"/>
        <w:jc w:val="both"/>
        <w:rPr>
          <w:rFonts w:ascii="Palatino Linotype" w:eastAsia="Palatino Linotype" w:hAnsi="Palatino Linotype" w:cs="Palatino Linotype"/>
          <w:i/>
          <w:sz w:val="22"/>
          <w:szCs w:val="22"/>
        </w:rPr>
      </w:pPr>
    </w:p>
    <w:p w14:paraId="4D901C41" w14:textId="77777777" w:rsidR="005354DF" w:rsidRPr="008A215A" w:rsidRDefault="004E07F3">
      <w:pPr>
        <w:ind w:left="850" w:right="901"/>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El censo de alumbrado público firmado por la Comisión Federal de Electricidad (CFE) de los ejercicios 2020 o en su caso, el censo más reciente del municipio en colaboración de la CFE, en el que se desglose la siguiente información:</w:t>
      </w:r>
    </w:p>
    <w:p w14:paraId="2C98D0F1" w14:textId="77777777" w:rsidR="005354DF" w:rsidRPr="008A215A" w:rsidRDefault="004E07F3">
      <w:pPr>
        <w:numPr>
          <w:ilvl w:val="0"/>
          <w:numId w:val="3"/>
        </w:numPr>
        <w:ind w:right="901"/>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Cantidad de luminarias y balastros, el tipo de equipos, la capacidad (potencia), la ubicación (calle y/o colonia y/o delegación), y el tipo de poste en el que están montadas las luminarias (lámina, concreto, madera etcétera).</w:t>
      </w:r>
    </w:p>
    <w:p w14:paraId="7D947388" w14:textId="77777777" w:rsidR="005354DF" w:rsidRPr="008A215A" w:rsidRDefault="004E07F3">
      <w:pPr>
        <w:numPr>
          <w:ilvl w:val="0"/>
          <w:numId w:val="3"/>
        </w:numPr>
        <w:ind w:right="901"/>
        <w:jc w:val="both"/>
        <w:rPr>
          <w:rFonts w:ascii="Palatino Linotype" w:eastAsia="Palatino Linotype" w:hAnsi="Palatino Linotype" w:cs="Palatino Linotype"/>
          <w:i/>
          <w:sz w:val="22"/>
          <w:szCs w:val="22"/>
        </w:rPr>
      </w:pPr>
      <w:bookmarkStart w:id="13" w:name="_heading=h.4d34og8" w:colFirst="0" w:colLast="0"/>
      <w:bookmarkEnd w:id="13"/>
      <w:r w:rsidRPr="008A215A">
        <w:rPr>
          <w:rFonts w:ascii="Palatino Linotype" w:eastAsia="Palatino Linotype" w:hAnsi="Palatino Linotype" w:cs="Palatino Linotype"/>
          <w:i/>
          <w:sz w:val="22"/>
          <w:szCs w:val="22"/>
        </w:rPr>
        <w:t xml:space="preserve">El Registro Permanente de Usuario (RPU o </w:t>
      </w:r>
      <w:proofErr w:type="spellStart"/>
      <w:r w:rsidRPr="008A215A">
        <w:rPr>
          <w:rFonts w:ascii="Palatino Linotype" w:eastAsia="Palatino Linotype" w:hAnsi="Palatino Linotype" w:cs="Palatino Linotype"/>
          <w:i/>
          <w:sz w:val="22"/>
          <w:szCs w:val="22"/>
        </w:rPr>
        <w:t>RPUs</w:t>
      </w:r>
      <w:proofErr w:type="spellEnd"/>
      <w:r w:rsidRPr="008A215A">
        <w:rPr>
          <w:rFonts w:ascii="Palatino Linotype" w:eastAsia="Palatino Linotype" w:hAnsi="Palatino Linotype" w:cs="Palatino Linotype"/>
          <w:i/>
          <w:sz w:val="22"/>
          <w:szCs w:val="22"/>
        </w:rPr>
        <w:t>) asignado (s) al servicio de alumbrado público municipal tanto del servicio estimado como del servicio medido.</w:t>
      </w:r>
    </w:p>
    <w:p w14:paraId="43211B45" w14:textId="77777777" w:rsidR="005354DF" w:rsidRPr="008A215A" w:rsidRDefault="004E07F3">
      <w:pPr>
        <w:numPr>
          <w:ilvl w:val="0"/>
          <w:numId w:val="3"/>
        </w:numPr>
        <w:ind w:right="901"/>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La cantidad desglosada de luminarias y balastros instalados, el tipo de equipos y su capacidad (potencia) instalados en las avenidas principales del municipio.</w:t>
      </w:r>
    </w:p>
    <w:p w14:paraId="68201170" w14:textId="77777777" w:rsidR="005354DF" w:rsidRPr="008A215A" w:rsidRDefault="004E07F3">
      <w:pPr>
        <w:numPr>
          <w:ilvl w:val="0"/>
          <w:numId w:val="3"/>
        </w:numPr>
        <w:ind w:right="901"/>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La cantidad de luminarias y balastros instalados, el tipo de equipos y su capacidad (potencia) instalados que poseen equipo de medición.</w:t>
      </w:r>
    </w:p>
    <w:p w14:paraId="3149DAB1" w14:textId="77777777" w:rsidR="005354DF" w:rsidRPr="008A215A" w:rsidRDefault="004E07F3">
      <w:pPr>
        <w:ind w:left="850" w:right="901"/>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 xml:space="preserve"> </w:t>
      </w:r>
    </w:p>
    <w:p w14:paraId="79578C71" w14:textId="77777777" w:rsidR="005354DF" w:rsidRPr="008A215A" w:rsidRDefault="004E07F3">
      <w:pPr>
        <w:ind w:left="850" w:right="901"/>
        <w:jc w:val="both"/>
        <w:rPr>
          <w:rFonts w:ascii="Palatino Linotype" w:eastAsia="Palatino Linotype" w:hAnsi="Palatino Linotype" w:cs="Palatino Linotype"/>
          <w:i/>
          <w:sz w:val="22"/>
          <w:szCs w:val="22"/>
        </w:rPr>
      </w:pPr>
      <w:r w:rsidRPr="008A215A">
        <w:rPr>
          <w:rFonts w:ascii="Palatino Linotype" w:eastAsia="Palatino Linotype" w:hAnsi="Palatino Linotype" w:cs="Palatino Linotype"/>
          <w:i/>
          <w:sz w:val="22"/>
          <w:szCs w:val="22"/>
        </w:rPr>
        <w:t xml:space="preserve">Debiendo notificar al </w:t>
      </w:r>
      <w:r w:rsidRPr="008A215A">
        <w:rPr>
          <w:rFonts w:ascii="Palatino Linotype" w:eastAsia="Palatino Linotype" w:hAnsi="Palatino Linotype" w:cs="Palatino Linotype"/>
          <w:b/>
          <w:i/>
          <w:sz w:val="22"/>
          <w:szCs w:val="22"/>
        </w:rPr>
        <w:t>RECURRENTE</w:t>
      </w:r>
      <w:r w:rsidRPr="008A215A">
        <w:rPr>
          <w:rFonts w:ascii="Palatino Linotype" w:eastAsia="Palatino Linotype" w:hAnsi="Palatino Linotype" w:cs="Palatino Linotype"/>
          <w:i/>
          <w:sz w:val="22"/>
          <w:szCs w:val="22"/>
        </w:rPr>
        <w:t xml:space="preserve"> el Acuerdo de Clasificación que emita el Comité de Transparencia, con motivo de la versión pública. </w:t>
      </w:r>
    </w:p>
    <w:p w14:paraId="2EB3CA95" w14:textId="77777777" w:rsidR="005354DF" w:rsidRPr="008A215A" w:rsidRDefault="005354DF">
      <w:pPr>
        <w:ind w:left="850" w:right="901"/>
        <w:jc w:val="both"/>
        <w:rPr>
          <w:rFonts w:ascii="Palatino Linotype" w:eastAsia="Palatino Linotype" w:hAnsi="Palatino Linotype" w:cs="Palatino Linotype"/>
          <w:i/>
          <w:sz w:val="22"/>
          <w:szCs w:val="22"/>
        </w:rPr>
      </w:pPr>
    </w:p>
    <w:p w14:paraId="426F6F99" w14:textId="77777777" w:rsidR="005354DF" w:rsidRPr="008A215A" w:rsidRDefault="005354DF">
      <w:pPr>
        <w:ind w:left="850" w:right="901" w:hanging="140"/>
        <w:jc w:val="both"/>
        <w:rPr>
          <w:rFonts w:ascii="Palatino Linotype" w:eastAsia="Palatino Linotype" w:hAnsi="Palatino Linotype" w:cs="Palatino Linotype"/>
          <w:i/>
          <w:sz w:val="22"/>
          <w:szCs w:val="22"/>
        </w:rPr>
      </w:pPr>
    </w:p>
    <w:p w14:paraId="481926A2"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b/>
          <w:sz w:val="28"/>
          <w:szCs w:val="28"/>
        </w:rPr>
        <w:t>TERCERO.</w:t>
      </w:r>
      <w:r w:rsidRPr="008A215A">
        <w:rPr>
          <w:rFonts w:ascii="Palatino Linotype" w:eastAsia="Palatino Linotype" w:hAnsi="Palatino Linotype" w:cs="Palatino Linotype"/>
          <w:b/>
        </w:rPr>
        <w:t> Notifíquese</w:t>
      </w:r>
      <w:r w:rsidRPr="008A215A">
        <w:rPr>
          <w:rFonts w:ascii="Palatino Linotype" w:eastAsia="Palatino Linotype" w:hAnsi="Palatino Linotype" w:cs="Palatino Linotype"/>
        </w:rPr>
        <w:t xml:space="preserve"> a la Titular de la Unidad de Transparencia del</w:t>
      </w:r>
      <w:r w:rsidRPr="008A215A">
        <w:rPr>
          <w:rFonts w:ascii="Palatino Linotype" w:eastAsia="Palatino Linotype" w:hAnsi="Palatino Linotype" w:cs="Palatino Linotype"/>
          <w:b/>
        </w:rPr>
        <w:t> SUJETO OBLIGADO</w:t>
      </w:r>
      <w:r w:rsidRPr="008A215A">
        <w:rPr>
          <w:rFonts w:ascii="Palatino Linotype" w:eastAsia="Palatino Linotype" w:hAnsi="Palatino Linotype" w:cs="Palatino Linotype"/>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7EBFDD4" w14:textId="77777777" w:rsidR="005354DF" w:rsidRPr="008A215A" w:rsidRDefault="005354DF">
      <w:pPr>
        <w:spacing w:line="360" w:lineRule="auto"/>
        <w:jc w:val="both"/>
        <w:rPr>
          <w:rFonts w:ascii="Palatino Linotype" w:eastAsia="Palatino Linotype" w:hAnsi="Palatino Linotype" w:cs="Palatino Linotype"/>
        </w:rPr>
      </w:pPr>
    </w:p>
    <w:p w14:paraId="037573DA"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b/>
          <w:sz w:val="28"/>
          <w:szCs w:val="28"/>
        </w:rPr>
        <w:t>CUARTO</w:t>
      </w:r>
      <w:r w:rsidRPr="008A215A">
        <w:rPr>
          <w:rFonts w:ascii="Palatino Linotype" w:eastAsia="Palatino Linotype" w:hAnsi="Palatino Linotype" w:cs="Palatino Linotype"/>
          <w:b/>
        </w:rPr>
        <w:t>. Notifíquese</w:t>
      </w:r>
      <w:r w:rsidRPr="008A215A">
        <w:rPr>
          <w:rFonts w:ascii="Palatino Linotype" w:eastAsia="Palatino Linotype" w:hAnsi="Palatino Linotype" w:cs="Palatino Linotype"/>
        </w:rPr>
        <w:t xml:space="preserve"> al </w:t>
      </w:r>
      <w:r w:rsidRPr="008A215A">
        <w:rPr>
          <w:rFonts w:ascii="Palatino Linotype" w:eastAsia="Palatino Linotype" w:hAnsi="Palatino Linotype" w:cs="Palatino Linotype"/>
          <w:b/>
        </w:rPr>
        <w:t>RECURRENTE</w:t>
      </w:r>
      <w:r w:rsidRPr="008A215A">
        <w:rPr>
          <w:rFonts w:ascii="Palatino Linotype" w:eastAsia="Palatino Linotype" w:hAnsi="Palatino Linotype" w:cs="Palatino Linotype"/>
        </w:rPr>
        <w:t xml:space="preserve"> la presente resolución vía Sistema de Acceso a la Información Mexiquense (</w:t>
      </w:r>
      <w:r w:rsidRPr="008A215A">
        <w:rPr>
          <w:rFonts w:ascii="Palatino Linotype" w:eastAsia="Palatino Linotype" w:hAnsi="Palatino Linotype" w:cs="Palatino Linotype"/>
          <w:b/>
        </w:rPr>
        <w:t>SAIMEX</w:t>
      </w:r>
      <w:r w:rsidRPr="008A215A">
        <w:rPr>
          <w:rFonts w:ascii="Palatino Linotype" w:eastAsia="Palatino Linotype" w:hAnsi="Palatino Linotype" w:cs="Palatino Linotype"/>
        </w:rPr>
        <w:t>).</w:t>
      </w:r>
    </w:p>
    <w:p w14:paraId="4BEA30C3" w14:textId="77777777" w:rsidR="005354DF" w:rsidRPr="008A215A" w:rsidRDefault="005354DF">
      <w:pPr>
        <w:spacing w:line="360" w:lineRule="auto"/>
        <w:jc w:val="both"/>
        <w:rPr>
          <w:rFonts w:ascii="Palatino Linotype" w:eastAsia="Palatino Linotype" w:hAnsi="Palatino Linotype" w:cs="Palatino Linotype"/>
        </w:rPr>
      </w:pPr>
    </w:p>
    <w:p w14:paraId="725D7603"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b/>
          <w:sz w:val="28"/>
          <w:szCs w:val="28"/>
        </w:rPr>
        <w:t>QUINTO</w:t>
      </w:r>
      <w:r w:rsidRPr="008A215A">
        <w:rPr>
          <w:rFonts w:ascii="Palatino Linotype" w:eastAsia="Palatino Linotype" w:hAnsi="Palatino Linotype" w:cs="Palatino Linotype"/>
          <w:b/>
        </w:rPr>
        <w:t>.</w:t>
      </w:r>
      <w:r w:rsidRPr="008A215A">
        <w:rPr>
          <w:rFonts w:ascii="Palatino Linotype" w:eastAsia="Palatino Linotype" w:hAnsi="Palatino Linotype" w:cs="Palatino Linotype"/>
        </w:rPr>
        <w:t xml:space="preserve"> </w:t>
      </w:r>
      <w:r w:rsidRPr="008A215A">
        <w:rPr>
          <w:rFonts w:ascii="Palatino Linotype" w:eastAsia="Palatino Linotype" w:hAnsi="Palatino Linotype" w:cs="Palatino Linotype"/>
          <w:b/>
        </w:rPr>
        <w:t>Hágase del conocimiento</w:t>
      </w:r>
      <w:r w:rsidRPr="008A215A">
        <w:rPr>
          <w:rFonts w:ascii="Palatino Linotype" w:eastAsia="Palatino Linotype" w:hAnsi="Palatino Linotype" w:cs="Palatino Linotype"/>
        </w:rPr>
        <w:t xml:space="preserve"> al </w:t>
      </w:r>
      <w:r w:rsidRPr="008A215A">
        <w:rPr>
          <w:rFonts w:ascii="Palatino Linotype" w:eastAsia="Palatino Linotype" w:hAnsi="Palatino Linotype" w:cs="Palatino Linotype"/>
          <w:b/>
        </w:rPr>
        <w:t>RECURRENTE</w:t>
      </w:r>
      <w:r w:rsidRPr="008A215A">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068554BE" w14:textId="77777777" w:rsidR="005354DF" w:rsidRPr="008A215A" w:rsidRDefault="005354DF">
      <w:pPr>
        <w:spacing w:line="360" w:lineRule="auto"/>
        <w:jc w:val="both"/>
        <w:rPr>
          <w:rFonts w:ascii="Palatino Linotype" w:eastAsia="Palatino Linotype" w:hAnsi="Palatino Linotype" w:cs="Palatino Linotype"/>
        </w:rPr>
      </w:pPr>
    </w:p>
    <w:p w14:paraId="4410B60B"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b/>
          <w:sz w:val="28"/>
          <w:szCs w:val="28"/>
        </w:rPr>
        <w:t>SEXTO.</w:t>
      </w:r>
      <w:r w:rsidRPr="008A215A">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w:t>
      </w:r>
      <w:r w:rsidRPr="008A215A">
        <w:rPr>
          <w:rFonts w:ascii="Palatino Linotype" w:eastAsia="Palatino Linotype" w:hAnsi="Palatino Linotype" w:cs="Palatino Linotype"/>
          <w:b/>
        </w:rPr>
        <w:t>EL SUJETO OBLIGADO</w:t>
      </w:r>
      <w:r w:rsidRPr="008A215A">
        <w:rPr>
          <w:rFonts w:ascii="Palatino Linotype" w:eastAsia="Palatino Linotype" w:hAnsi="Palatino Linotype" w:cs="Palatino Linotype"/>
        </w:rPr>
        <w:t xml:space="preserve"> de manera fundada y motivada, podrá solicitar una ampliación de plazo para el cumplimiento de la presente resolución</w:t>
      </w:r>
    </w:p>
    <w:p w14:paraId="5024A69A" w14:textId="77777777" w:rsidR="005354DF" w:rsidRPr="008A215A" w:rsidRDefault="005354DF">
      <w:pPr>
        <w:spacing w:line="360" w:lineRule="auto"/>
        <w:ind w:right="49"/>
        <w:jc w:val="both"/>
        <w:rPr>
          <w:rFonts w:ascii="Palatino Linotype" w:eastAsia="Palatino Linotype" w:hAnsi="Palatino Linotype" w:cs="Palatino Linotype"/>
        </w:rPr>
      </w:pPr>
    </w:p>
    <w:p w14:paraId="29183D49" w14:textId="77777777" w:rsidR="005354DF" w:rsidRPr="008A215A" w:rsidRDefault="004E07F3">
      <w:pPr>
        <w:spacing w:line="360" w:lineRule="auto"/>
        <w:jc w:val="both"/>
        <w:rPr>
          <w:rFonts w:ascii="Palatino Linotype" w:eastAsia="Palatino Linotype" w:hAnsi="Palatino Linotype" w:cs="Palatino Linotype"/>
        </w:rPr>
      </w:pPr>
      <w:r w:rsidRPr="008A215A">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QUINTA SESIÓN ORDINARIA CELEBRADA EL DIEZ DE FEBRERO DE DOS MIL VEINTIDÓS, ANTE EL SECRETARIO TÉCNICO DEL PLENO, ALEXIS TAPIA RAMÍREZ.</w:t>
      </w:r>
    </w:p>
    <w:p w14:paraId="21F3DD1B" w14:textId="77777777" w:rsidR="005354DF" w:rsidRDefault="004E07F3">
      <w:pPr>
        <w:spacing w:line="360" w:lineRule="auto"/>
        <w:jc w:val="both"/>
        <w:rPr>
          <w:rFonts w:ascii="Palatino Linotype" w:eastAsia="Palatino Linotype" w:hAnsi="Palatino Linotype" w:cs="Palatino Linotype"/>
          <w:sz w:val="14"/>
          <w:szCs w:val="14"/>
        </w:rPr>
      </w:pPr>
      <w:bookmarkStart w:id="14" w:name="_heading=h.1t3h5sf" w:colFirst="0" w:colLast="0"/>
      <w:bookmarkEnd w:id="14"/>
      <w:r w:rsidRPr="008A215A">
        <w:rPr>
          <w:rFonts w:ascii="Palatino Linotype" w:eastAsia="Palatino Linotype" w:hAnsi="Palatino Linotype" w:cs="Palatino Linotype"/>
          <w:sz w:val="14"/>
          <w:szCs w:val="14"/>
        </w:rPr>
        <w:t>JMV/CCR/BLA/DEMF/PMRE</w:t>
      </w:r>
    </w:p>
    <w:p w14:paraId="23762881" w14:textId="77777777" w:rsidR="005354DF" w:rsidRDefault="004E07F3">
      <w:pPr>
        <w:rPr>
          <w:rFonts w:ascii="Palatino Linotype" w:eastAsia="Palatino Linotype" w:hAnsi="Palatino Linotype" w:cs="Palatino Linotype"/>
        </w:rPr>
      </w:pPr>
      <w:r>
        <w:br w:type="page"/>
      </w:r>
    </w:p>
    <w:p w14:paraId="06FCB296" w14:textId="77777777" w:rsidR="005354DF" w:rsidRDefault="005354DF">
      <w:pPr>
        <w:spacing w:line="360" w:lineRule="auto"/>
        <w:jc w:val="both"/>
        <w:rPr>
          <w:rFonts w:ascii="Palatino Linotype" w:eastAsia="Palatino Linotype" w:hAnsi="Palatino Linotype" w:cs="Palatino Linotype"/>
        </w:rPr>
      </w:pPr>
    </w:p>
    <w:p w14:paraId="275BD02D" w14:textId="77777777" w:rsidR="005354DF" w:rsidRDefault="005354DF">
      <w:pPr>
        <w:spacing w:line="360" w:lineRule="auto"/>
        <w:jc w:val="both"/>
        <w:rPr>
          <w:rFonts w:ascii="Palatino Linotype" w:eastAsia="Palatino Linotype" w:hAnsi="Palatino Linotype" w:cs="Palatino Linotype"/>
        </w:rPr>
      </w:pPr>
    </w:p>
    <w:p w14:paraId="084E2438" w14:textId="77777777" w:rsidR="005354DF" w:rsidRDefault="005354DF">
      <w:pPr>
        <w:spacing w:line="360" w:lineRule="auto"/>
        <w:jc w:val="both"/>
        <w:rPr>
          <w:rFonts w:ascii="Palatino Linotype" w:eastAsia="Palatino Linotype" w:hAnsi="Palatino Linotype" w:cs="Palatino Linotype"/>
        </w:rPr>
      </w:pPr>
    </w:p>
    <w:p w14:paraId="38D031F7" w14:textId="77777777" w:rsidR="005354DF" w:rsidRDefault="005354DF">
      <w:pPr>
        <w:spacing w:line="360" w:lineRule="auto"/>
        <w:jc w:val="both"/>
        <w:rPr>
          <w:rFonts w:ascii="Palatino Linotype" w:eastAsia="Palatino Linotype" w:hAnsi="Palatino Linotype" w:cs="Palatino Linotype"/>
        </w:rPr>
      </w:pPr>
    </w:p>
    <w:p w14:paraId="26199E5C" w14:textId="77777777" w:rsidR="005354DF" w:rsidRDefault="005354DF">
      <w:pPr>
        <w:spacing w:line="360" w:lineRule="auto"/>
        <w:jc w:val="both"/>
        <w:rPr>
          <w:rFonts w:ascii="Palatino Linotype" w:eastAsia="Palatino Linotype" w:hAnsi="Palatino Linotype" w:cs="Palatino Linotype"/>
        </w:rPr>
      </w:pPr>
    </w:p>
    <w:p w14:paraId="3FDCE9CB" w14:textId="77777777" w:rsidR="005354DF" w:rsidRDefault="005354DF">
      <w:pPr>
        <w:spacing w:line="360" w:lineRule="auto"/>
        <w:jc w:val="both"/>
        <w:rPr>
          <w:rFonts w:ascii="Palatino Linotype" w:eastAsia="Palatino Linotype" w:hAnsi="Palatino Linotype" w:cs="Palatino Linotype"/>
        </w:rPr>
      </w:pPr>
    </w:p>
    <w:p w14:paraId="1901D755" w14:textId="77777777" w:rsidR="005354DF" w:rsidRDefault="005354DF">
      <w:pPr>
        <w:spacing w:line="360" w:lineRule="auto"/>
        <w:jc w:val="both"/>
        <w:rPr>
          <w:rFonts w:ascii="Palatino Linotype" w:eastAsia="Palatino Linotype" w:hAnsi="Palatino Linotype" w:cs="Palatino Linotype"/>
        </w:rPr>
      </w:pPr>
    </w:p>
    <w:p w14:paraId="76AE8F66" w14:textId="77777777" w:rsidR="005354DF" w:rsidRDefault="005354DF">
      <w:pPr>
        <w:spacing w:line="360" w:lineRule="auto"/>
        <w:jc w:val="both"/>
        <w:rPr>
          <w:rFonts w:ascii="Palatino Linotype" w:eastAsia="Palatino Linotype" w:hAnsi="Palatino Linotype" w:cs="Palatino Linotype"/>
        </w:rPr>
      </w:pPr>
    </w:p>
    <w:p w14:paraId="21C02CC0" w14:textId="77777777" w:rsidR="005354DF" w:rsidRDefault="005354DF">
      <w:pPr>
        <w:spacing w:line="360" w:lineRule="auto"/>
        <w:jc w:val="both"/>
        <w:rPr>
          <w:rFonts w:ascii="Palatino Linotype" w:eastAsia="Palatino Linotype" w:hAnsi="Palatino Linotype" w:cs="Palatino Linotype"/>
        </w:rPr>
      </w:pPr>
    </w:p>
    <w:p w14:paraId="64817C6B" w14:textId="77777777" w:rsidR="005354DF" w:rsidRDefault="005354DF">
      <w:pPr>
        <w:spacing w:line="360" w:lineRule="auto"/>
        <w:jc w:val="both"/>
        <w:rPr>
          <w:rFonts w:ascii="Palatino Linotype" w:eastAsia="Palatino Linotype" w:hAnsi="Palatino Linotype" w:cs="Palatino Linotype"/>
        </w:rPr>
      </w:pPr>
    </w:p>
    <w:p w14:paraId="568EF753" w14:textId="77777777" w:rsidR="005354DF" w:rsidRDefault="005354DF">
      <w:pPr>
        <w:spacing w:line="360" w:lineRule="auto"/>
        <w:jc w:val="both"/>
        <w:rPr>
          <w:rFonts w:ascii="Palatino Linotype" w:eastAsia="Palatino Linotype" w:hAnsi="Palatino Linotype" w:cs="Palatino Linotype"/>
        </w:rPr>
      </w:pPr>
    </w:p>
    <w:p w14:paraId="45B31EEB" w14:textId="77777777" w:rsidR="005354DF" w:rsidRDefault="005354DF">
      <w:pPr>
        <w:spacing w:line="360" w:lineRule="auto"/>
        <w:jc w:val="both"/>
        <w:rPr>
          <w:rFonts w:ascii="Palatino Linotype" w:eastAsia="Palatino Linotype" w:hAnsi="Palatino Linotype" w:cs="Palatino Linotype"/>
        </w:rPr>
      </w:pPr>
    </w:p>
    <w:p w14:paraId="03B5E934" w14:textId="77777777" w:rsidR="005354DF" w:rsidRDefault="005354DF">
      <w:pPr>
        <w:spacing w:line="360" w:lineRule="auto"/>
        <w:jc w:val="both"/>
        <w:rPr>
          <w:rFonts w:ascii="Palatino Linotype" w:eastAsia="Palatino Linotype" w:hAnsi="Palatino Linotype" w:cs="Palatino Linotype"/>
        </w:rPr>
      </w:pPr>
    </w:p>
    <w:p w14:paraId="74C01C78" w14:textId="77777777" w:rsidR="005354DF" w:rsidRDefault="005354DF">
      <w:pPr>
        <w:spacing w:line="360" w:lineRule="auto"/>
        <w:jc w:val="both"/>
        <w:rPr>
          <w:rFonts w:ascii="Palatino Linotype" w:eastAsia="Palatino Linotype" w:hAnsi="Palatino Linotype" w:cs="Palatino Linotype"/>
        </w:rPr>
      </w:pPr>
    </w:p>
    <w:p w14:paraId="09112AB9" w14:textId="77777777" w:rsidR="005354DF" w:rsidRDefault="005354DF">
      <w:pPr>
        <w:spacing w:line="360" w:lineRule="auto"/>
        <w:jc w:val="both"/>
        <w:rPr>
          <w:rFonts w:ascii="Palatino Linotype" w:eastAsia="Palatino Linotype" w:hAnsi="Palatino Linotype" w:cs="Palatino Linotype"/>
        </w:rPr>
      </w:pPr>
    </w:p>
    <w:p w14:paraId="72A0A9E2" w14:textId="77777777" w:rsidR="005354DF" w:rsidRDefault="005354DF">
      <w:pPr>
        <w:spacing w:line="360" w:lineRule="auto"/>
        <w:jc w:val="both"/>
        <w:rPr>
          <w:rFonts w:ascii="Palatino Linotype" w:eastAsia="Palatino Linotype" w:hAnsi="Palatino Linotype" w:cs="Palatino Linotype"/>
        </w:rPr>
      </w:pPr>
    </w:p>
    <w:p w14:paraId="18A24987" w14:textId="77777777" w:rsidR="005354DF" w:rsidRDefault="005354DF">
      <w:pPr>
        <w:spacing w:line="360" w:lineRule="auto"/>
        <w:jc w:val="both"/>
        <w:rPr>
          <w:rFonts w:ascii="Palatino Linotype" w:eastAsia="Palatino Linotype" w:hAnsi="Palatino Linotype" w:cs="Palatino Linotype"/>
        </w:rPr>
      </w:pPr>
    </w:p>
    <w:p w14:paraId="24EB6E6D" w14:textId="77777777" w:rsidR="005354DF" w:rsidRDefault="005354DF">
      <w:pPr>
        <w:spacing w:line="360" w:lineRule="auto"/>
        <w:jc w:val="both"/>
        <w:rPr>
          <w:rFonts w:ascii="Palatino Linotype" w:eastAsia="Palatino Linotype" w:hAnsi="Palatino Linotype" w:cs="Palatino Linotype"/>
        </w:rPr>
      </w:pPr>
    </w:p>
    <w:sectPr w:rsidR="005354DF">
      <w:headerReference w:type="even" r:id="rId22"/>
      <w:headerReference w:type="default" r:id="rId23"/>
      <w:footerReference w:type="default" r:id="rId24"/>
      <w:headerReference w:type="first" r:id="rId25"/>
      <w:footerReference w:type="first" r:id="rId26"/>
      <w:pgSz w:w="12240" w:h="15840"/>
      <w:pgMar w:top="1418" w:right="1418" w:bottom="1424"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021BB9" w14:textId="77777777" w:rsidR="00231C29" w:rsidRDefault="00231C29">
      <w:r>
        <w:separator/>
      </w:r>
    </w:p>
  </w:endnote>
  <w:endnote w:type="continuationSeparator" w:id="0">
    <w:p w14:paraId="71D22568" w14:textId="77777777" w:rsidR="00231C29" w:rsidRDefault="00231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E9407" w14:textId="77777777" w:rsidR="005354DF" w:rsidRDefault="004E07F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DF1932">
      <w:rPr>
        <w:rFonts w:ascii="Palatino Linotype" w:eastAsia="Palatino Linotype" w:hAnsi="Palatino Linotype" w:cs="Palatino Linotype"/>
        <w:noProof/>
        <w:color w:val="000000"/>
        <w:sz w:val="22"/>
        <w:szCs w:val="22"/>
      </w:rPr>
      <w:t>16</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DF1932">
      <w:rPr>
        <w:rFonts w:ascii="Palatino Linotype" w:eastAsia="Palatino Linotype" w:hAnsi="Palatino Linotype" w:cs="Palatino Linotype"/>
        <w:noProof/>
        <w:color w:val="000000"/>
        <w:sz w:val="22"/>
        <w:szCs w:val="22"/>
      </w:rPr>
      <w:t>35</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6B677" w14:textId="77777777" w:rsidR="005354DF" w:rsidRDefault="004E07F3">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DF1932">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DF1932">
      <w:rPr>
        <w:rFonts w:ascii="Palatino Linotype" w:eastAsia="Palatino Linotype" w:hAnsi="Palatino Linotype" w:cs="Palatino Linotype"/>
        <w:noProof/>
        <w:color w:val="000000"/>
        <w:sz w:val="22"/>
        <w:szCs w:val="22"/>
      </w:rPr>
      <w:t>35</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FF0265" w14:textId="77777777" w:rsidR="00231C29" w:rsidRDefault="00231C29">
      <w:r>
        <w:separator/>
      </w:r>
    </w:p>
  </w:footnote>
  <w:footnote w:type="continuationSeparator" w:id="0">
    <w:p w14:paraId="6AD15A55" w14:textId="77777777" w:rsidR="00231C29" w:rsidRDefault="00231C29">
      <w:r>
        <w:continuationSeparator/>
      </w:r>
    </w:p>
  </w:footnote>
  <w:footnote w:id="1">
    <w:p w14:paraId="1B8B1C52" w14:textId="77777777" w:rsidR="005354DF" w:rsidRDefault="004E07F3">
      <w:pPr>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rFonts w:ascii="Palatino Linotype" w:eastAsia="Palatino Linotype" w:hAnsi="Palatino Linotype" w:cs="Palatino Linotype"/>
          <w:sz w:val="20"/>
          <w:szCs w:val="20"/>
        </w:rPr>
        <w:t>El Instituto Nacional de Transparencia, Acceso a la Información y Protección de Datos Personales (INAI)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F4CF6" w14:textId="77777777" w:rsidR="005354DF" w:rsidRDefault="00DF1932">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209807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RESOLUCIÓN" style="position:absolute;margin-left:0;margin-top:0;width:540pt;height:10in;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F897B" w14:textId="77777777" w:rsidR="005354DF" w:rsidRDefault="00DF1932">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035E8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RESOLUCIÓN" style="position:absolute;margin-left:0;margin-top:0;width:540pt;height:10in;z-index:-251659776;mso-position-horizontal:center;mso-position-horizontal-relative:margin;mso-position-vertical:center;mso-position-vertical-relative:margin">
          <v:imagedata r:id="rId1" o:title="image4"/>
          <w10:wrap anchorx="margin" anchory="margin"/>
        </v:shape>
      </w:pict>
    </w:r>
  </w:p>
  <w:tbl>
    <w:tblPr>
      <w:tblStyle w:val="ad"/>
      <w:tblW w:w="9534" w:type="dxa"/>
      <w:tblInd w:w="-142" w:type="dxa"/>
      <w:tblLayout w:type="fixed"/>
      <w:tblLook w:val="0400" w:firstRow="0" w:lastRow="0" w:firstColumn="0" w:lastColumn="0" w:noHBand="0" w:noVBand="1"/>
    </w:tblPr>
    <w:tblGrid>
      <w:gridCol w:w="3261"/>
      <w:gridCol w:w="2551"/>
      <w:gridCol w:w="3722"/>
    </w:tblGrid>
    <w:tr w:rsidR="005354DF" w14:paraId="1C8A23E7" w14:textId="77777777">
      <w:tc>
        <w:tcPr>
          <w:tcW w:w="3261" w:type="dxa"/>
          <w:vMerge w:val="restart"/>
        </w:tcPr>
        <w:p w14:paraId="22CA152B" w14:textId="77777777" w:rsidR="005354DF" w:rsidRDefault="004E07F3">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5BDEF922" wp14:editId="14086BFD">
                <wp:extent cx="1692162" cy="852673"/>
                <wp:effectExtent l="0" t="0" r="0" b="0"/>
                <wp:docPr id="7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3D9AD229" w14:textId="77777777" w:rsidR="005354DF" w:rsidRDefault="004E07F3">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777D49EE" w14:textId="77777777" w:rsidR="005354DF" w:rsidRDefault="004E07F3">
          <w:pPr>
            <w:jc w:val="both"/>
            <w:rPr>
              <w:rFonts w:ascii="Palatino Linotype" w:eastAsia="Palatino Linotype" w:hAnsi="Palatino Linotype" w:cs="Palatino Linotype"/>
              <w:b/>
            </w:rPr>
          </w:pPr>
          <w:bookmarkStart w:id="15" w:name="_heading=h.1ksv4uv" w:colFirst="0" w:colLast="0"/>
          <w:bookmarkEnd w:id="15"/>
          <w:r>
            <w:rPr>
              <w:rFonts w:ascii="Palatino Linotype" w:eastAsia="Palatino Linotype" w:hAnsi="Palatino Linotype" w:cs="Palatino Linotype"/>
              <w:b/>
            </w:rPr>
            <w:t>05952/INFOEM/IP/RR/2021</w:t>
          </w:r>
        </w:p>
      </w:tc>
    </w:tr>
    <w:tr w:rsidR="005354DF" w14:paraId="368CE9B4" w14:textId="77777777">
      <w:tc>
        <w:tcPr>
          <w:tcW w:w="3261" w:type="dxa"/>
          <w:vMerge/>
        </w:tcPr>
        <w:p w14:paraId="7A9012E1" w14:textId="77777777" w:rsidR="005354DF" w:rsidRDefault="005354DF">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04314A43" w14:textId="77777777" w:rsidR="005354DF" w:rsidRDefault="004E07F3">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71FA9E04" w14:textId="77777777" w:rsidR="005354DF" w:rsidRDefault="004E07F3">
          <w:pPr>
            <w:jc w:val="both"/>
            <w:rPr>
              <w:rFonts w:ascii="Palatino Linotype" w:eastAsia="Palatino Linotype" w:hAnsi="Palatino Linotype" w:cs="Palatino Linotype"/>
              <w:b/>
            </w:rPr>
          </w:pPr>
          <w:r>
            <w:rPr>
              <w:rFonts w:ascii="Palatino Linotype" w:eastAsia="Palatino Linotype" w:hAnsi="Palatino Linotype" w:cs="Palatino Linotype"/>
              <w:b/>
            </w:rPr>
            <w:t>Ayuntamiento de Teotihuacán</w:t>
          </w:r>
        </w:p>
      </w:tc>
    </w:tr>
    <w:tr w:rsidR="005354DF" w14:paraId="5DCFC024" w14:textId="77777777">
      <w:trPr>
        <w:trHeight w:val="228"/>
      </w:trPr>
      <w:tc>
        <w:tcPr>
          <w:tcW w:w="3261" w:type="dxa"/>
          <w:vMerge/>
        </w:tcPr>
        <w:p w14:paraId="56EE67BF" w14:textId="77777777" w:rsidR="005354DF" w:rsidRDefault="005354DF">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130EDD8F" w14:textId="77777777" w:rsidR="005354DF" w:rsidRDefault="004E07F3">
          <w:pPr>
            <w:rPr>
              <w:rFonts w:ascii="Palatino Linotype" w:eastAsia="Palatino Linotype" w:hAnsi="Palatino Linotype" w:cs="Palatino Linotype"/>
              <w:b/>
            </w:rPr>
          </w:pPr>
          <w:r>
            <w:rPr>
              <w:rFonts w:ascii="Palatino Linotype" w:eastAsia="Palatino Linotype" w:hAnsi="Palatino Linotype" w:cs="Palatino Linotype"/>
              <w:b/>
            </w:rPr>
            <w:t>Comisionado Ponente:</w:t>
          </w:r>
        </w:p>
      </w:tc>
      <w:tc>
        <w:tcPr>
          <w:tcW w:w="3722" w:type="dxa"/>
          <w:shd w:val="clear" w:color="auto" w:fill="auto"/>
        </w:tcPr>
        <w:p w14:paraId="3C568241" w14:textId="77777777" w:rsidR="005354DF" w:rsidRDefault="004E07F3">
          <w:pPr>
            <w:jc w:val="both"/>
            <w:rPr>
              <w:rFonts w:ascii="Palatino Linotype" w:eastAsia="Palatino Linotype" w:hAnsi="Palatino Linotype" w:cs="Palatino Linotype"/>
              <w:b/>
            </w:rPr>
          </w:pPr>
          <w:r>
            <w:rPr>
              <w:rFonts w:ascii="Palatino Linotype" w:eastAsia="Palatino Linotype" w:hAnsi="Palatino Linotype" w:cs="Palatino Linotype"/>
              <w:b/>
            </w:rPr>
            <w:t>José Martínez Vilchis</w:t>
          </w:r>
        </w:p>
      </w:tc>
    </w:tr>
  </w:tbl>
  <w:p w14:paraId="060B1EB1" w14:textId="77777777" w:rsidR="005354DF" w:rsidRDefault="005354DF">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68DE1" w14:textId="77777777" w:rsidR="005354DF" w:rsidRDefault="00DF1932">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22238C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RESOLUCIÓN" style="position:absolute;margin-left:0;margin-top:0;width:540pt;height:10in;z-index:-251658752;mso-position-horizontal:center;mso-position-horizontal-relative:margin;mso-position-vertical:center;mso-position-vertical-relative:margin">
          <v:imagedata r:id="rId1" o:title="image4"/>
          <w10:wrap anchorx="margin" anchory="margin"/>
        </v:shape>
      </w:pict>
    </w:r>
  </w:p>
  <w:tbl>
    <w:tblPr>
      <w:tblStyle w:val="ae"/>
      <w:tblW w:w="9900" w:type="dxa"/>
      <w:tblInd w:w="-833" w:type="dxa"/>
      <w:tblLayout w:type="fixed"/>
      <w:tblLook w:val="0400" w:firstRow="0" w:lastRow="0" w:firstColumn="0" w:lastColumn="0" w:noHBand="0" w:noVBand="1"/>
    </w:tblPr>
    <w:tblGrid>
      <w:gridCol w:w="3805"/>
      <w:gridCol w:w="3000"/>
      <w:gridCol w:w="3095"/>
    </w:tblGrid>
    <w:tr w:rsidR="005354DF" w14:paraId="39013B67" w14:textId="77777777">
      <w:tc>
        <w:tcPr>
          <w:tcW w:w="3805" w:type="dxa"/>
          <w:vMerge w:val="restart"/>
          <w:shd w:val="clear" w:color="auto" w:fill="auto"/>
        </w:tcPr>
        <w:p w14:paraId="4F1DC2C9" w14:textId="77777777" w:rsidR="005354DF" w:rsidRDefault="004E07F3">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48C63859" wp14:editId="776C9488">
                <wp:extent cx="1692162" cy="852673"/>
                <wp:effectExtent l="0" t="0" r="0" b="0"/>
                <wp:docPr id="7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43C66EE3" w14:textId="77777777" w:rsidR="005354DF" w:rsidRDefault="004E07F3">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2E98DA73" w14:textId="77777777" w:rsidR="005354DF" w:rsidRDefault="004E07F3">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05952/INFOEM/IP/RR/2021 </w:t>
          </w:r>
        </w:p>
      </w:tc>
    </w:tr>
    <w:tr w:rsidR="005354DF" w14:paraId="088CF74A" w14:textId="77777777">
      <w:tc>
        <w:tcPr>
          <w:tcW w:w="3805" w:type="dxa"/>
          <w:vMerge/>
          <w:shd w:val="clear" w:color="auto" w:fill="auto"/>
        </w:tcPr>
        <w:p w14:paraId="7F50BF26" w14:textId="77777777" w:rsidR="005354DF" w:rsidRDefault="005354DF">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57C201C0" w14:textId="77777777" w:rsidR="005354DF" w:rsidRDefault="004E07F3">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48CA00C9" w14:textId="74676B9A" w:rsidR="005354DF" w:rsidRDefault="000D5CA0">
          <w:pPr>
            <w:jc w:val="both"/>
            <w:rPr>
              <w:rFonts w:ascii="Palatino Linotype" w:eastAsia="Palatino Linotype" w:hAnsi="Palatino Linotype" w:cs="Palatino Linotype"/>
              <w:b/>
            </w:rPr>
          </w:pPr>
          <w:proofErr w:type="spellStart"/>
          <w:r>
            <w:rPr>
              <w:rFonts w:ascii="Palatino Linotype" w:eastAsia="Palatino Linotype" w:hAnsi="Palatino Linotype" w:cs="Palatino Linotype"/>
              <w:b/>
            </w:rPr>
            <w:t>xxxxxxxxxxxxxxxxxxxx</w:t>
          </w:r>
          <w:proofErr w:type="spellEnd"/>
          <w:r w:rsidR="004E07F3">
            <w:rPr>
              <w:rFonts w:ascii="Palatino Linotype" w:eastAsia="Palatino Linotype" w:hAnsi="Palatino Linotype" w:cs="Palatino Linotype"/>
              <w:b/>
            </w:rPr>
            <w:t xml:space="preserve"> </w:t>
          </w:r>
        </w:p>
      </w:tc>
    </w:tr>
    <w:tr w:rsidR="005354DF" w14:paraId="71DA538E" w14:textId="77777777">
      <w:trPr>
        <w:trHeight w:val="228"/>
      </w:trPr>
      <w:tc>
        <w:tcPr>
          <w:tcW w:w="3805" w:type="dxa"/>
          <w:vMerge/>
          <w:shd w:val="clear" w:color="auto" w:fill="auto"/>
        </w:tcPr>
        <w:p w14:paraId="22F78450" w14:textId="77777777" w:rsidR="005354DF" w:rsidRDefault="005354DF">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0C9BADE8" w14:textId="77777777" w:rsidR="005354DF" w:rsidRDefault="004E07F3">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4B6B63A3" w14:textId="77777777" w:rsidR="005354DF" w:rsidRDefault="004E07F3">
          <w:pPr>
            <w:jc w:val="both"/>
            <w:rPr>
              <w:rFonts w:ascii="Palatino Linotype" w:eastAsia="Palatino Linotype" w:hAnsi="Palatino Linotype" w:cs="Palatino Linotype"/>
              <w:b/>
            </w:rPr>
          </w:pPr>
          <w:r>
            <w:rPr>
              <w:rFonts w:ascii="Palatino Linotype" w:eastAsia="Palatino Linotype" w:hAnsi="Palatino Linotype" w:cs="Palatino Linotype"/>
              <w:b/>
            </w:rPr>
            <w:t>Ayuntamiento de Teotihuacán</w:t>
          </w:r>
        </w:p>
      </w:tc>
    </w:tr>
    <w:tr w:rsidR="005354DF" w14:paraId="57D076EB" w14:textId="77777777">
      <w:tc>
        <w:tcPr>
          <w:tcW w:w="3805" w:type="dxa"/>
          <w:vMerge/>
          <w:shd w:val="clear" w:color="auto" w:fill="auto"/>
        </w:tcPr>
        <w:p w14:paraId="5FC46BA4" w14:textId="77777777" w:rsidR="005354DF" w:rsidRDefault="005354DF">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0D625291" w14:textId="77777777" w:rsidR="005354DF" w:rsidRDefault="004E07F3">
          <w:pPr>
            <w:rPr>
              <w:rFonts w:ascii="Palatino Linotype" w:eastAsia="Palatino Linotype" w:hAnsi="Palatino Linotype" w:cs="Palatino Linotype"/>
              <w:b/>
            </w:rPr>
          </w:pPr>
          <w:r>
            <w:rPr>
              <w:rFonts w:ascii="Palatino Linotype" w:eastAsia="Palatino Linotype" w:hAnsi="Palatino Linotype" w:cs="Palatino Linotype"/>
              <w:b/>
            </w:rPr>
            <w:t>Comisionado Ponente:</w:t>
          </w:r>
        </w:p>
      </w:tc>
      <w:tc>
        <w:tcPr>
          <w:tcW w:w="3095" w:type="dxa"/>
          <w:shd w:val="clear" w:color="auto" w:fill="auto"/>
        </w:tcPr>
        <w:p w14:paraId="10062BF1" w14:textId="77777777" w:rsidR="005354DF" w:rsidRDefault="004E07F3">
          <w:pPr>
            <w:jc w:val="both"/>
            <w:rPr>
              <w:rFonts w:ascii="Palatino Linotype" w:eastAsia="Palatino Linotype" w:hAnsi="Palatino Linotype" w:cs="Palatino Linotype"/>
              <w:b/>
            </w:rPr>
          </w:pPr>
          <w:r>
            <w:rPr>
              <w:rFonts w:ascii="Palatino Linotype" w:eastAsia="Palatino Linotype" w:hAnsi="Palatino Linotype" w:cs="Palatino Linotype"/>
              <w:b/>
            </w:rPr>
            <w:t>José Martínez Vilchis</w:t>
          </w:r>
        </w:p>
      </w:tc>
    </w:tr>
  </w:tbl>
  <w:p w14:paraId="736F0250" w14:textId="77777777" w:rsidR="005354DF" w:rsidRDefault="005354DF">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41F74"/>
    <w:multiLevelType w:val="multilevel"/>
    <w:tmpl w:val="B84856C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nsid w:val="33CF5176"/>
    <w:multiLevelType w:val="multilevel"/>
    <w:tmpl w:val="A7AE6D9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nsid w:val="42A61C1F"/>
    <w:multiLevelType w:val="multilevel"/>
    <w:tmpl w:val="0A56E8C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nsid w:val="5A40066A"/>
    <w:multiLevelType w:val="multilevel"/>
    <w:tmpl w:val="7D20B8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71D4197D"/>
    <w:multiLevelType w:val="multilevel"/>
    <w:tmpl w:val="2DA21A8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4DF"/>
    <w:rsid w:val="000D5CA0"/>
    <w:rsid w:val="00104E74"/>
    <w:rsid w:val="0019352E"/>
    <w:rsid w:val="00231C29"/>
    <w:rsid w:val="004E07F3"/>
    <w:rsid w:val="005354DF"/>
    <w:rsid w:val="006A5F7F"/>
    <w:rsid w:val="008816D9"/>
    <w:rsid w:val="008A215A"/>
    <w:rsid w:val="00B52D65"/>
    <w:rsid w:val="00DF19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2A6865"/>
  <w15:docId w15:val="{9FD7F9E6-253E-4DF9-A1DF-E377A1365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rPr>
      <w:rFonts w:ascii="Arial" w:eastAsia="Arial" w:hAnsi="Arial" w:cs="Arial"/>
      <w:sz w:val="22"/>
      <w:szCs w:val="22"/>
    </w:rPr>
    <w:tblPr>
      <w:tblStyleRowBandSize w:val="1"/>
      <w:tblStyleColBandSize w:val="1"/>
      <w:tblCellMar>
        <w:top w:w="0" w:type="dxa"/>
        <w:left w:w="108" w:type="dxa"/>
        <w:bottom w:w="0" w:type="dxa"/>
        <w:right w:w="108" w:type="dxa"/>
      </w:tblCellMar>
    </w:tblPr>
  </w:style>
  <w:style w:type="table" w:customStyle="1" w:styleId="a0">
    <w:basedOn w:val="TableNormal2"/>
    <w:rPr>
      <w:rFonts w:ascii="Arial" w:eastAsia="Arial" w:hAnsi="Arial" w:cs="Arial"/>
      <w:sz w:val="22"/>
      <w:szCs w:val="22"/>
    </w:rPr>
    <w:tblPr>
      <w:tblStyleRowBandSize w:val="1"/>
      <w:tblStyleColBandSize w:val="1"/>
      <w:tblCellMar>
        <w:top w:w="0" w:type="dxa"/>
        <w:left w:w="108" w:type="dxa"/>
        <w:bottom w:w="0" w:type="dxa"/>
        <w:right w:w="108" w:type="dxa"/>
      </w:tblCellMar>
    </w:tblPr>
  </w:style>
  <w:style w:type="table" w:customStyle="1" w:styleId="a1">
    <w:basedOn w:val="TableNormal2"/>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table" w:customStyle="1" w:styleId="a3">
    <w:basedOn w:val="TableNormal2"/>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4">
    <w:basedOn w:val="TableNormal2"/>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5">
    <w:basedOn w:val="TableNormal2"/>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6">
    <w:basedOn w:val="TableNormal2"/>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7">
    <w:basedOn w:val="TableNormal1"/>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8">
    <w:basedOn w:val="TableNormal1"/>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9">
    <w:basedOn w:val="TableNormal1"/>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a">
    <w:basedOn w:val="TableNormal1"/>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b">
    <w:basedOn w:val="TableNormal0"/>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c">
    <w:basedOn w:val="TableNormal0"/>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d">
    <w:basedOn w:val="TableNormal0"/>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e">
    <w:basedOn w:val="TableNormal0"/>
    <w:rPr>
      <w:rFonts w:ascii="Arial" w:eastAsia="Arial" w:hAnsi="Arial" w:cs="Arial"/>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www.saimex.org.mx/saimex/solicitud/downloadAttach/1250501.page"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3crQB2NhWg8j9b3+lvbJ8a5n2oQ==">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35</Pages>
  <Words>7474</Words>
  <Characters>41108</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7</cp:revision>
  <dcterms:created xsi:type="dcterms:W3CDTF">2022-01-31T03:17:00Z</dcterms:created>
  <dcterms:modified xsi:type="dcterms:W3CDTF">2022-03-04T20:02:00Z</dcterms:modified>
</cp:coreProperties>
</file>