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4F0BA"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veintisiete de abril de dos mil veintidós</w:t>
      </w:r>
      <w:r>
        <w:rPr>
          <w:rFonts w:ascii="Palatino Linotype" w:eastAsia="Palatino Linotype" w:hAnsi="Palatino Linotype" w:cs="Palatino Linotype"/>
        </w:rPr>
        <w:t>.</w:t>
      </w:r>
    </w:p>
    <w:p w14:paraId="5F83FD7D" w14:textId="4F4A4FC8" w:rsidR="004D14B9" w:rsidRPr="00B302DD" w:rsidRDefault="00E53A86" w:rsidP="00B302DD">
      <w:pPr>
        <w:spacing w:before="240" w:after="240" w:line="360" w:lineRule="auto"/>
        <w:jc w:val="both"/>
        <w:rPr>
          <w:rFonts w:ascii="Palatino Linotype" w:eastAsia="Palatino Linotype" w:hAnsi="Palatino Linotype" w:cs="Palatino Linotype"/>
          <w:b/>
        </w:rPr>
      </w:pPr>
      <w:bookmarkStart w:id="0" w:name="_heading=h.gjdgxs" w:colFirst="0" w:colLast="0"/>
      <w:bookmarkEnd w:id="0"/>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Pr>
          <w:rFonts w:ascii="Palatino Linotype" w:eastAsia="Palatino Linotype" w:hAnsi="Palatino Linotype" w:cs="Palatino Linotype"/>
          <w:b/>
        </w:rPr>
        <w:t>01759/INFOEM/IP/RR/2022 y 01860/INFOEM/IP/RR/2022 acumulados,</w:t>
      </w:r>
      <w:r>
        <w:rPr>
          <w:rFonts w:ascii="Palatino Linotype" w:eastAsia="Palatino Linotype" w:hAnsi="Palatino Linotype" w:cs="Palatino Linotype"/>
        </w:rPr>
        <w:t xml:space="preserve"> interpuestos por </w:t>
      </w:r>
      <w:r w:rsidR="00B302DD">
        <w:rPr>
          <w:rFonts w:ascii="Palatino Linotype" w:eastAsia="Palatino Linotype" w:hAnsi="Palatino Linotype" w:cs="Palatino Linotype"/>
          <w:b/>
        </w:rPr>
        <w:t>xxxx xxxxxxx xxxxxxx</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las respuestas en las solicitudes de información con número de folio </w:t>
      </w:r>
      <w:r>
        <w:rPr>
          <w:rFonts w:ascii="Palatino Linotype" w:eastAsia="Palatino Linotype" w:hAnsi="Palatino Linotype" w:cs="Palatino Linotype"/>
          <w:b/>
        </w:rPr>
        <w:t xml:space="preserve">00312/TOLUCA/IP/2022 y  00317/TOLUCA/IP/2022 </w:t>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Ayuntamiento de Toluca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 siguiente.</w:t>
      </w:r>
    </w:p>
    <w:p w14:paraId="65A09028" w14:textId="77777777" w:rsidR="004D14B9" w:rsidRDefault="00E53A86">
      <w:pPr>
        <w:numPr>
          <w:ilvl w:val="0"/>
          <w:numId w:val="3"/>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5BC73003" w14:textId="77777777" w:rsidR="004D14B9" w:rsidRDefault="00E53A86">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veintiuno y veinticuatro de enero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 que requirió lo siguiente:</w:t>
      </w:r>
    </w:p>
    <w:tbl>
      <w:tblPr>
        <w:tblStyle w:val="a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4D14B9" w14:paraId="43503223" w14:textId="77777777">
        <w:tc>
          <w:tcPr>
            <w:tcW w:w="4460" w:type="dxa"/>
            <w:shd w:val="clear" w:color="auto" w:fill="2F5496"/>
          </w:tcPr>
          <w:p w14:paraId="0389C8FF" w14:textId="77777777" w:rsidR="004D14B9" w:rsidRDefault="00E53A86">
            <w:pPr>
              <w:spacing w:before="240" w:after="240" w:line="360"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Número de solicitud</w:t>
            </w:r>
          </w:p>
        </w:tc>
        <w:tc>
          <w:tcPr>
            <w:tcW w:w="4461" w:type="dxa"/>
            <w:shd w:val="clear" w:color="auto" w:fill="2F5496"/>
          </w:tcPr>
          <w:p w14:paraId="57F0934F" w14:textId="77777777" w:rsidR="004D14B9" w:rsidRDefault="00E53A86">
            <w:pPr>
              <w:spacing w:before="240" w:after="240" w:line="360"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Requerimientos</w:t>
            </w:r>
          </w:p>
        </w:tc>
      </w:tr>
      <w:tr w:rsidR="004D14B9" w14:paraId="2AB2B947" w14:textId="77777777">
        <w:tc>
          <w:tcPr>
            <w:tcW w:w="4460" w:type="dxa"/>
          </w:tcPr>
          <w:p w14:paraId="76A04CE4" w14:textId="77777777" w:rsidR="004D14B9" w:rsidRDefault="00E53A86">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 xml:space="preserve">00312/TOLUCA/IP/2022 </w:t>
            </w:r>
            <w:r>
              <w:rPr>
                <w:rFonts w:ascii="Palatino Linotype" w:eastAsia="Palatino Linotype" w:hAnsi="Palatino Linotype" w:cs="Palatino Linotype"/>
                <w:sz w:val="22"/>
                <w:szCs w:val="22"/>
              </w:rPr>
              <w:t>correspondiente al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0"/>
                <w:szCs w:val="20"/>
              </w:rPr>
              <w:t>01759/INFOEM/IP/RR/2022</w:t>
            </w:r>
          </w:p>
        </w:tc>
        <w:tc>
          <w:tcPr>
            <w:tcW w:w="4461" w:type="dxa"/>
          </w:tcPr>
          <w:p w14:paraId="7EB2C168" w14:textId="77777777" w:rsidR="004D14B9" w:rsidRDefault="00E53A86">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todos los </w:t>
            </w:r>
            <w:r>
              <w:rPr>
                <w:rFonts w:ascii="Palatino Linotype" w:eastAsia="Palatino Linotype" w:hAnsi="Palatino Linotype" w:cs="Palatino Linotype"/>
                <w:b/>
                <w:i/>
                <w:sz w:val="22"/>
                <w:szCs w:val="22"/>
                <w:u w:val="single"/>
              </w:rPr>
              <w:t>oficios firmados, notas informativas por el Tesorero Municipal del mes de enero del 2022</w:t>
            </w:r>
            <w:r>
              <w:rPr>
                <w:rFonts w:ascii="Palatino Linotype" w:eastAsia="Palatino Linotype" w:hAnsi="Palatino Linotype" w:cs="Palatino Linotype"/>
                <w:i/>
                <w:sz w:val="22"/>
                <w:szCs w:val="22"/>
              </w:rPr>
              <w:t>” (Sic) (Énfasis añadido)</w:t>
            </w:r>
          </w:p>
        </w:tc>
      </w:tr>
      <w:tr w:rsidR="004D14B9" w14:paraId="20845573" w14:textId="77777777">
        <w:tc>
          <w:tcPr>
            <w:tcW w:w="4460" w:type="dxa"/>
          </w:tcPr>
          <w:p w14:paraId="257AB46F" w14:textId="77777777" w:rsidR="004D14B9" w:rsidRDefault="00E53A86">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lastRenderedPageBreak/>
              <w:t xml:space="preserve">00317/TOLUCA/IP/2022 </w:t>
            </w:r>
            <w:r>
              <w:rPr>
                <w:rFonts w:ascii="Palatino Linotype" w:eastAsia="Palatino Linotype" w:hAnsi="Palatino Linotype" w:cs="Palatino Linotype"/>
                <w:sz w:val="22"/>
                <w:szCs w:val="22"/>
              </w:rPr>
              <w:t>correspondiente al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0"/>
                <w:szCs w:val="20"/>
              </w:rPr>
              <w:t>01860/INFOEM/IP/RR/2022</w:t>
            </w:r>
          </w:p>
        </w:tc>
        <w:tc>
          <w:tcPr>
            <w:tcW w:w="4461" w:type="dxa"/>
          </w:tcPr>
          <w:p w14:paraId="6F68BF6B" w14:textId="77777777" w:rsidR="004D14B9" w:rsidRDefault="00E53A86">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“Solicito todos los </w:t>
            </w:r>
            <w:r>
              <w:rPr>
                <w:rFonts w:ascii="Palatino Linotype" w:eastAsia="Palatino Linotype" w:hAnsi="Palatino Linotype" w:cs="Palatino Linotype"/>
                <w:b/>
                <w:i/>
                <w:sz w:val="22"/>
                <w:szCs w:val="22"/>
                <w:u w:val="single"/>
              </w:rPr>
              <w:t>oficios firmados, notas informativas etc por todos los regidores del mes de enero del 2022.</w:t>
            </w:r>
            <w:r>
              <w:rPr>
                <w:rFonts w:ascii="Palatino Linotype" w:eastAsia="Palatino Linotype" w:hAnsi="Palatino Linotype" w:cs="Palatino Linotype"/>
                <w:i/>
                <w:sz w:val="22"/>
                <w:szCs w:val="22"/>
              </w:rPr>
              <w:t>” (Sic) (Énfasis añadido)</w:t>
            </w:r>
          </w:p>
        </w:tc>
      </w:tr>
    </w:tbl>
    <w:p w14:paraId="0FCECDB5" w14:textId="77777777" w:rsidR="004D14B9" w:rsidRDefault="00E53A86">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0BB663B0" w14:textId="77777777" w:rsidR="004D14B9" w:rsidRDefault="00E53A86">
      <w:pPr>
        <w:spacing w:before="240" w:after="240" w:line="360" w:lineRule="auto"/>
        <w:jc w:val="both"/>
        <w:rPr>
          <w:rFonts w:ascii="Palatino Linotype" w:eastAsia="Palatino Linotype" w:hAnsi="Palatino Linotype" w:cs="Palatino Linotype"/>
        </w:rPr>
      </w:pPr>
      <w:bookmarkStart w:id="3" w:name="_heading=h.2et92p0" w:colFirst="0" w:colLast="0"/>
      <w:bookmarkEnd w:id="3"/>
      <w:r>
        <w:rPr>
          <w:rFonts w:ascii="Palatino Linotype" w:eastAsia="Palatino Linotype" w:hAnsi="Palatino Linotype" w:cs="Palatino Linotype"/>
          <w:b/>
        </w:rPr>
        <w:t xml:space="preserve">2. Prórrogas. </w:t>
      </w:r>
      <w:r>
        <w:rPr>
          <w:rFonts w:ascii="Palatino Linotype" w:eastAsia="Palatino Linotype" w:hAnsi="Palatino Linotype" w:cs="Palatino Linotype"/>
        </w:rPr>
        <w:t>En fechas</w:t>
      </w:r>
      <w:r>
        <w:rPr>
          <w:rFonts w:ascii="Palatino Linotype" w:eastAsia="Palatino Linotype" w:hAnsi="Palatino Linotype" w:cs="Palatino Linotype"/>
          <w:b/>
        </w:rPr>
        <w:t xml:space="preserve"> once y quince de febrero de dos mil veintidós, </w:t>
      </w:r>
      <w:r>
        <w:rPr>
          <w:rFonts w:ascii="Palatino Linotype" w:eastAsia="Palatino Linotype" w:hAnsi="Palatino Linotype" w:cs="Palatino Linotype"/>
        </w:rPr>
        <w:t xml:space="preserve">el Sujeto Obligado notificó las prórrogas para atender las solicitudes de información mediante las actas de la </w:t>
      </w:r>
      <w:r>
        <w:rPr>
          <w:rFonts w:ascii="Palatino Linotype" w:eastAsia="Palatino Linotype" w:hAnsi="Palatino Linotype" w:cs="Palatino Linotype"/>
          <w:b/>
        </w:rPr>
        <w:t>Trigésima Tercera y Sexagésima Séptima</w:t>
      </w:r>
      <w:r>
        <w:rPr>
          <w:rFonts w:ascii="Palatino Linotype" w:eastAsia="Palatino Linotype" w:hAnsi="Palatino Linotype" w:cs="Palatino Linotype"/>
        </w:rPr>
        <w:t xml:space="preserve"> sesiones extraordinarias del Comité de Transparencia del H. Ayuntamiento de Toluca, tal como se vislumbra en las siguientes capturas de pantalla: </w:t>
      </w:r>
    </w:p>
    <w:p w14:paraId="6F1AFCA0" w14:textId="77777777" w:rsidR="004D14B9" w:rsidRDefault="00E53A86">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Solicitud de información 00312/TOLUCA/IP/2022 correspondiente al Recurso de Revisión 01759/INFOEM/IP/RR/2022: </w:t>
      </w:r>
    </w:p>
    <w:p w14:paraId="795A6DF9" w14:textId="77777777" w:rsidR="004D14B9" w:rsidRDefault="00E53A86">
      <w:pPr>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lang w:val="es-MX" w:eastAsia="es-MX"/>
        </w:rPr>
        <w:lastRenderedPageBreak/>
        <w:drawing>
          <wp:inline distT="0" distB="0" distL="0" distR="0" wp14:anchorId="2C7299F3" wp14:editId="4388D96B">
            <wp:extent cx="4533848" cy="5655213"/>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4533848" cy="5655213"/>
                    </a:xfrm>
                    <a:prstGeom prst="rect">
                      <a:avLst/>
                    </a:prstGeom>
                    <a:ln/>
                  </pic:spPr>
                </pic:pic>
              </a:graphicData>
            </a:graphic>
          </wp:inline>
        </w:drawing>
      </w:r>
    </w:p>
    <w:p w14:paraId="1D39E05F" w14:textId="77777777" w:rsidR="004D14B9" w:rsidRDefault="00E53A86">
      <w:pPr>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lang w:val="es-MX" w:eastAsia="es-MX"/>
        </w:rPr>
        <w:lastRenderedPageBreak/>
        <w:drawing>
          <wp:inline distT="0" distB="0" distL="0" distR="0" wp14:anchorId="7409A50D" wp14:editId="310DD2FE">
            <wp:extent cx="5543550" cy="6581775"/>
            <wp:effectExtent l="0" t="0" r="0" b="0"/>
            <wp:docPr id="4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5543550" cy="6581775"/>
                    </a:xfrm>
                    <a:prstGeom prst="rect">
                      <a:avLst/>
                    </a:prstGeom>
                    <a:ln/>
                  </pic:spPr>
                </pic:pic>
              </a:graphicData>
            </a:graphic>
          </wp:inline>
        </w:drawing>
      </w:r>
    </w:p>
    <w:p w14:paraId="50615A2D" w14:textId="77777777" w:rsidR="004D14B9" w:rsidRDefault="004D14B9">
      <w:pPr>
        <w:spacing w:before="240" w:after="240" w:line="360" w:lineRule="auto"/>
        <w:jc w:val="both"/>
        <w:rPr>
          <w:rFonts w:ascii="Palatino Linotype" w:eastAsia="Palatino Linotype" w:hAnsi="Palatino Linotype" w:cs="Palatino Linotype"/>
          <w:b/>
          <w:sz w:val="22"/>
          <w:szCs w:val="22"/>
        </w:rPr>
      </w:pPr>
    </w:p>
    <w:p w14:paraId="41CD5CFE" w14:textId="77777777" w:rsidR="004D14B9" w:rsidRDefault="00E53A86">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 xml:space="preserve">Solicitud de información 00317/TOLUCA/IP/2022 correspondiente al Recurso de Revisión 01860/INFOEM/IP/RR/2022: </w:t>
      </w:r>
    </w:p>
    <w:p w14:paraId="7E7564A5" w14:textId="77777777" w:rsidR="004D14B9" w:rsidRDefault="00E53A86">
      <w:pPr>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lang w:val="es-MX" w:eastAsia="es-MX"/>
        </w:rPr>
        <w:drawing>
          <wp:inline distT="0" distB="0" distL="0" distR="0" wp14:anchorId="7A642A12" wp14:editId="6FAEDF89">
            <wp:extent cx="5104601" cy="6134100"/>
            <wp:effectExtent l="0" t="0" r="0" b="0"/>
            <wp:docPr id="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104601" cy="6134100"/>
                    </a:xfrm>
                    <a:prstGeom prst="rect">
                      <a:avLst/>
                    </a:prstGeom>
                    <a:ln/>
                  </pic:spPr>
                </pic:pic>
              </a:graphicData>
            </a:graphic>
          </wp:inline>
        </w:drawing>
      </w:r>
    </w:p>
    <w:p w14:paraId="78A30F1D" w14:textId="77777777" w:rsidR="004D14B9" w:rsidRDefault="004D14B9">
      <w:pPr>
        <w:spacing w:before="240" w:after="240" w:line="360" w:lineRule="auto"/>
        <w:jc w:val="center"/>
        <w:rPr>
          <w:rFonts w:ascii="Palatino Linotype" w:eastAsia="Palatino Linotype" w:hAnsi="Palatino Linotype" w:cs="Palatino Linotype"/>
          <w:b/>
          <w:sz w:val="22"/>
          <w:szCs w:val="22"/>
        </w:rPr>
      </w:pPr>
    </w:p>
    <w:p w14:paraId="2287D16F" w14:textId="77777777" w:rsidR="004D14B9" w:rsidRDefault="00E53A86">
      <w:pPr>
        <w:spacing w:before="240" w:after="240"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lang w:val="es-MX" w:eastAsia="es-MX"/>
        </w:rPr>
        <w:lastRenderedPageBreak/>
        <w:drawing>
          <wp:inline distT="0" distB="0" distL="0" distR="0" wp14:anchorId="22C2734C" wp14:editId="18CDED13">
            <wp:extent cx="5667375" cy="6686550"/>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67375" cy="6686550"/>
                    </a:xfrm>
                    <a:prstGeom prst="rect">
                      <a:avLst/>
                    </a:prstGeom>
                    <a:ln/>
                  </pic:spPr>
                </pic:pic>
              </a:graphicData>
            </a:graphic>
          </wp:inline>
        </w:drawing>
      </w:r>
    </w:p>
    <w:p w14:paraId="4F7A5994"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Respuestas.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veintitrés y veinticuatro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las respuestas a sus solicitudes en los términos siguientes: </w:t>
      </w:r>
    </w:p>
    <w:p w14:paraId="23CB5CD5" w14:textId="77777777" w:rsidR="004D14B9" w:rsidRDefault="00E53A86">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01759/INFOEM/IP/RR/2022: </w:t>
      </w:r>
    </w:p>
    <w:p w14:paraId="4BB51798" w14:textId="77777777" w:rsidR="004D14B9" w:rsidRDefault="00E53A8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D56EF3E" w14:textId="77777777" w:rsidR="004D14B9" w:rsidRDefault="00E53A8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00312/TOLUCA/IP/2022, me permito adjuntar al presente la respuesta correspondiente. Sin más por el momento, le envío un cordial saludo.</w:t>
      </w:r>
    </w:p>
    <w:p w14:paraId="0B25133D" w14:textId="77777777" w:rsidR="004D14B9" w:rsidRDefault="00E53A8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285FCC6D" w14:textId="77777777" w:rsidR="004D14B9" w:rsidRDefault="00E53A86">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 (Sic)</w:t>
      </w:r>
    </w:p>
    <w:p w14:paraId="7E322D16" w14:textId="77777777" w:rsidR="004D14B9" w:rsidRDefault="00E53A86">
      <w:pPr>
        <w:spacing w:before="240" w:after="240" w:line="360" w:lineRule="auto"/>
        <w:ind w:left="567" w:right="902"/>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14:paraId="65F8ADBC" w14:textId="77777777" w:rsidR="004D14B9" w:rsidRDefault="00E53A86">
      <w:pPr>
        <w:numPr>
          <w:ilvl w:val="0"/>
          <w:numId w:val="5"/>
        </w:numPr>
        <w:pBdr>
          <w:top w:val="nil"/>
          <w:left w:val="nil"/>
          <w:bottom w:val="nil"/>
          <w:right w:val="nil"/>
          <w:between w:val="nil"/>
        </w:pBdr>
        <w:spacing w:before="240" w:after="240" w:line="360" w:lineRule="auto"/>
        <w:ind w:left="567" w:right="902"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“OFICIOS TESORERIA V.P. (primeros 20 hojas).pdf”: </w:t>
      </w:r>
      <w:r>
        <w:rPr>
          <w:rFonts w:ascii="Palatino Linotype" w:eastAsia="Palatino Linotype" w:hAnsi="Palatino Linotype" w:cs="Palatino Linotype"/>
          <w:color w:val="000000"/>
          <w:sz w:val="22"/>
          <w:szCs w:val="22"/>
        </w:rPr>
        <w:t xml:space="preserve">Soporte documental que consta de veinte fojas en los que se aprecian oficios emitidos por el Tesorero Municipal. </w:t>
      </w:r>
    </w:p>
    <w:p w14:paraId="102DF22C" w14:textId="77777777" w:rsidR="004D14B9" w:rsidRDefault="00E53A86">
      <w:pPr>
        <w:pBdr>
          <w:top w:val="nil"/>
          <w:left w:val="nil"/>
          <w:bottom w:val="nil"/>
          <w:right w:val="nil"/>
          <w:between w:val="nil"/>
        </w:pBdr>
        <w:spacing w:before="240" w:after="240" w:line="360" w:lineRule="auto"/>
        <w:ind w:left="567"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eastAsia="es-MX"/>
        </w:rPr>
        <w:lastRenderedPageBreak/>
        <w:drawing>
          <wp:inline distT="0" distB="0" distL="0" distR="0" wp14:anchorId="2F0CA9CD" wp14:editId="13DAE448">
            <wp:extent cx="5317980" cy="7377439"/>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17980" cy="7377439"/>
                    </a:xfrm>
                    <a:prstGeom prst="rect">
                      <a:avLst/>
                    </a:prstGeom>
                    <a:ln/>
                  </pic:spPr>
                </pic:pic>
              </a:graphicData>
            </a:graphic>
          </wp:inline>
        </w:drawing>
      </w:r>
    </w:p>
    <w:p w14:paraId="4DB0328A" w14:textId="77777777" w:rsidR="004D14B9" w:rsidRDefault="00E53A86">
      <w:pPr>
        <w:numPr>
          <w:ilvl w:val="0"/>
          <w:numId w:val="5"/>
        </w:numPr>
        <w:pBdr>
          <w:top w:val="nil"/>
          <w:left w:val="nil"/>
          <w:bottom w:val="nil"/>
          <w:right w:val="nil"/>
          <w:between w:val="nil"/>
        </w:pBdr>
        <w:spacing w:before="240" w:after="240" w:line="360" w:lineRule="auto"/>
        <w:ind w:left="567" w:right="902"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“Resp. Saimex 00312.pdf”: </w:t>
      </w:r>
      <w:r>
        <w:rPr>
          <w:rFonts w:ascii="Palatino Linotype" w:eastAsia="Palatino Linotype" w:hAnsi="Palatino Linotype" w:cs="Palatino Linotype"/>
          <w:color w:val="000000"/>
          <w:sz w:val="22"/>
          <w:szCs w:val="22"/>
        </w:rPr>
        <w:t>Oficio emitido por el Director de Contaduría, en el que se manifiesta que se remiten las primeras veinte hojas de oficios emitidos por el Tesorero Municipal pero deberá realizar un pago para tener las 293 fojas restantes.</w:t>
      </w:r>
    </w:p>
    <w:p w14:paraId="7B8FA694" w14:textId="77777777" w:rsidR="004D14B9" w:rsidRDefault="00E53A86">
      <w:pPr>
        <w:pBdr>
          <w:top w:val="nil"/>
          <w:left w:val="nil"/>
          <w:bottom w:val="nil"/>
          <w:right w:val="nil"/>
          <w:between w:val="nil"/>
        </w:pBdr>
        <w:spacing w:before="240" w:after="240" w:line="360" w:lineRule="auto"/>
        <w:ind w:left="567"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eastAsia="es-MX"/>
        </w:rPr>
        <w:drawing>
          <wp:inline distT="0" distB="0" distL="0" distR="0" wp14:anchorId="4F746A95" wp14:editId="4029BA75">
            <wp:extent cx="4368735" cy="5958078"/>
            <wp:effectExtent l="0" t="0" r="0" b="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368735" cy="5958078"/>
                    </a:xfrm>
                    <a:prstGeom prst="rect">
                      <a:avLst/>
                    </a:prstGeom>
                    <a:ln/>
                  </pic:spPr>
                </pic:pic>
              </a:graphicData>
            </a:graphic>
          </wp:inline>
        </w:drawing>
      </w:r>
    </w:p>
    <w:p w14:paraId="50F682C9" w14:textId="59C79D2B" w:rsidR="004D14B9" w:rsidRPr="00B302DD" w:rsidRDefault="00E53A86">
      <w:pPr>
        <w:numPr>
          <w:ilvl w:val="0"/>
          <w:numId w:val="5"/>
        </w:numPr>
        <w:pBdr>
          <w:top w:val="nil"/>
          <w:left w:val="nil"/>
          <w:bottom w:val="nil"/>
          <w:right w:val="nil"/>
          <w:between w:val="nil"/>
        </w:pBdr>
        <w:spacing w:before="240" w:after="240" w:line="360" w:lineRule="auto"/>
        <w:ind w:left="567" w:right="902"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“Saimex 00312.pdf”: </w:t>
      </w:r>
      <w:r>
        <w:rPr>
          <w:rFonts w:ascii="Palatino Linotype" w:eastAsia="Palatino Linotype" w:hAnsi="Palatino Linotype" w:cs="Palatino Linotype"/>
          <w:color w:val="000000"/>
          <w:sz w:val="22"/>
          <w:szCs w:val="22"/>
        </w:rPr>
        <w:t xml:space="preserve">Soporte documental que contiene cinco páginas y en él se aprecia la respuesta emitida por la Titular de la Unidad de Transparencia al solicitante. </w:t>
      </w:r>
    </w:p>
    <w:p w14:paraId="59E562EC" w14:textId="6D8415DD" w:rsidR="00B302DD" w:rsidRDefault="00B302DD" w:rsidP="00B302DD">
      <w:pPr>
        <w:pBdr>
          <w:top w:val="nil"/>
          <w:left w:val="nil"/>
          <w:bottom w:val="nil"/>
          <w:right w:val="nil"/>
          <w:between w:val="nil"/>
        </w:pBdr>
        <w:spacing w:before="240" w:after="240" w:line="360" w:lineRule="auto"/>
        <w:ind w:left="567" w:right="902"/>
        <w:jc w:val="both"/>
        <w:rPr>
          <w:rFonts w:ascii="Palatino Linotype" w:eastAsia="Palatino Linotype" w:hAnsi="Palatino Linotype" w:cs="Palatino Linotype"/>
          <w:b/>
          <w:i/>
          <w:color w:val="000000"/>
          <w:sz w:val="22"/>
          <w:szCs w:val="22"/>
        </w:rPr>
      </w:pPr>
      <w:r>
        <w:object w:dxaOrig="7770" w:dyaOrig="9630" w14:anchorId="62157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481.5pt" o:ole="">
            <v:imagedata r:id="rId14" o:title=""/>
          </v:shape>
          <o:OLEObject Type="Embed" ProgID="Paint.Picture.1" ShapeID="_x0000_i1025" DrawAspect="Content" ObjectID="_1713618785" r:id="rId15"/>
        </w:object>
      </w:r>
    </w:p>
    <w:p w14:paraId="1C043F26" w14:textId="77777777" w:rsidR="004D14B9" w:rsidRDefault="00E53A86">
      <w:pPr>
        <w:numPr>
          <w:ilvl w:val="0"/>
          <w:numId w:val="5"/>
        </w:numPr>
        <w:pBdr>
          <w:top w:val="nil"/>
          <w:left w:val="nil"/>
          <w:bottom w:val="nil"/>
          <w:right w:val="nil"/>
          <w:between w:val="nil"/>
        </w:pBdr>
        <w:spacing w:before="240" w:after="240" w:line="360" w:lineRule="auto"/>
        <w:ind w:left="567" w:right="902"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xml:space="preserve">“Cuadragésima Octava Extraordinaria 22.pdf”: </w:t>
      </w:r>
      <w:r>
        <w:rPr>
          <w:rFonts w:ascii="Palatino Linotype" w:eastAsia="Palatino Linotype" w:hAnsi="Palatino Linotype" w:cs="Palatino Linotype"/>
          <w:color w:val="000000"/>
          <w:sz w:val="22"/>
          <w:szCs w:val="22"/>
        </w:rPr>
        <w:t xml:space="preserve"> Acta de la Cuadragésima Octava Sesión Extraordinaria, celebrada el nueve de febrero de dos mil veintidós, en la cual se aprobó la clasificación de diversos datos personales, susceptibles de clasificarse como confidenciales contenidos en los veinte oficios remitidos en respuesta. </w:t>
      </w:r>
    </w:p>
    <w:p w14:paraId="69F75E62" w14:textId="77777777" w:rsidR="004D14B9" w:rsidRDefault="00E53A86">
      <w:pPr>
        <w:pBdr>
          <w:top w:val="nil"/>
          <w:left w:val="nil"/>
          <w:bottom w:val="nil"/>
          <w:right w:val="nil"/>
          <w:between w:val="nil"/>
        </w:pBdr>
        <w:spacing w:before="240" w:after="240" w:line="360" w:lineRule="auto"/>
        <w:ind w:left="567" w:right="902"/>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noProof/>
          <w:color w:val="000000"/>
          <w:sz w:val="22"/>
          <w:szCs w:val="22"/>
          <w:lang w:val="es-MX" w:eastAsia="es-MX"/>
        </w:rPr>
        <w:lastRenderedPageBreak/>
        <w:drawing>
          <wp:inline distT="0" distB="0" distL="0" distR="0" wp14:anchorId="1F9B47D5" wp14:editId="231F87D4">
            <wp:extent cx="4495194" cy="5849464"/>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495194" cy="5849464"/>
                    </a:xfrm>
                    <a:prstGeom prst="rect">
                      <a:avLst/>
                    </a:prstGeom>
                    <a:ln/>
                  </pic:spPr>
                </pic:pic>
              </a:graphicData>
            </a:graphic>
          </wp:inline>
        </w:drawing>
      </w:r>
    </w:p>
    <w:p w14:paraId="51ECBDAD" w14:textId="77777777" w:rsidR="004D14B9" w:rsidRDefault="00E53A86">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01860/INFOEM/IP/RR/2022: </w:t>
      </w:r>
    </w:p>
    <w:p w14:paraId="02357B28" w14:textId="77777777" w:rsidR="004D14B9" w:rsidRDefault="00E53A86">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8C250D2" w14:textId="77777777" w:rsidR="004D14B9" w:rsidRDefault="00E53A86">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atención a la solicitud de información número 00317/TOLUCA/IP/2022, me permito adjuntar al presente la respuesta correspondiente. Sin más por el momento, le envío un cordial saludo.</w:t>
      </w:r>
    </w:p>
    <w:p w14:paraId="31A37756" w14:textId="77777777" w:rsidR="004D14B9" w:rsidRDefault="00E53A86">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6725F010" w14:textId="77777777" w:rsidR="004D14B9" w:rsidRDefault="00E53A86">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w:t>
      </w:r>
    </w:p>
    <w:p w14:paraId="35777D24" w14:textId="77777777" w:rsidR="004D14B9" w:rsidRDefault="00E53A86">
      <w:pPr>
        <w:spacing w:before="240" w:after="240"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44089410" w14:textId="77777777" w:rsidR="004D14B9" w:rsidRDefault="00E53A86">
      <w:pPr>
        <w:numPr>
          <w:ilvl w:val="0"/>
          <w:numId w:val="1"/>
        </w:numPr>
        <w:pBdr>
          <w:top w:val="nil"/>
          <w:left w:val="nil"/>
          <w:bottom w:val="nil"/>
          <w:right w:val="nil"/>
          <w:between w:val="nil"/>
        </w:pBdr>
        <w:spacing w:before="240" w:after="240" w:line="360" w:lineRule="auto"/>
        <w:ind w:left="567" w:right="993"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“Saimex 00317.pdf”: </w:t>
      </w:r>
      <w:r>
        <w:rPr>
          <w:rFonts w:ascii="Palatino Linotype" w:eastAsia="Palatino Linotype" w:hAnsi="Palatino Linotype" w:cs="Palatino Linotype"/>
          <w:color w:val="000000"/>
          <w:sz w:val="22"/>
          <w:szCs w:val="22"/>
        </w:rPr>
        <w:t xml:space="preserve">Documento de seis fojas mediante el cual, la Titular de la Unidad de Transparencia hace del conocimiento del solicitante que para dar respuesta a su solicitud, se deberán expedir copias simples y para tal efecto, deberá cubrir la cantidad de ochocientos noventa y tres pesos 08/100 M.N. </w:t>
      </w:r>
    </w:p>
    <w:p w14:paraId="1824F651" w14:textId="65DEFDFD" w:rsidR="004D14B9" w:rsidRDefault="00B302DD">
      <w:pPr>
        <w:pBdr>
          <w:top w:val="nil"/>
          <w:left w:val="nil"/>
          <w:bottom w:val="nil"/>
          <w:right w:val="nil"/>
          <w:between w:val="nil"/>
        </w:pBdr>
        <w:spacing w:before="240" w:after="240" w:line="360" w:lineRule="auto"/>
        <w:ind w:left="567" w:right="993"/>
        <w:jc w:val="both"/>
        <w:rPr>
          <w:rFonts w:ascii="Palatino Linotype" w:eastAsia="Palatino Linotype" w:hAnsi="Palatino Linotype" w:cs="Palatino Linotype"/>
          <w:b/>
          <w:i/>
          <w:color w:val="000000"/>
          <w:sz w:val="22"/>
          <w:szCs w:val="22"/>
        </w:rPr>
      </w:pPr>
      <w:r>
        <w:object w:dxaOrig="7755" w:dyaOrig="9030" w14:anchorId="59748353">
          <v:shape id="_x0000_i1026" type="#_x0000_t75" style="width:387.75pt;height:451.5pt" o:ole="">
            <v:imagedata r:id="rId17" o:title=""/>
          </v:shape>
          <o:OLEObject Type="Embed" ProgID="Paint.Picture.1" ShapeID="_x0000_i1026" DrawAspect="Content" ObjectID="_1713618786" r:id="rId18"/>
        </w:object>
      </w:r>
    </w:p>
    <w:p w14:paraId="5D0A465C" w14:textId="7B6F8CFA" w:rsidR="004D14B9" w:rsidRDefault="004D14B9">
      <w:pPr>
        <w:pBdr>
          <w:top w:val="nil"/>
          <w:left w:val="nil"/>
          <w:bottom w:val="nil"/>
          <w:right w:val="nil"/>
          <w:between w:val="nil"/>
        </w:pBdr>
        <w:spacing w:before="240" w:after="240" w:line="360" w:lineRule="auto"/>
        <w:ind w:left="567" w:right="993"/>
        <w:rPr>
          <w:rFonts w:ascii="Palatino Linotype" w:eastAsia="Palatino Linotype" w:hAnsi="Palatino Linotype" w:cs="Palatino Linotype"/>
          <w:b/>
          <w:i/>
          <w:color w:val="000000"/>
          <w:sz w:val="22"/>
          <w:szCs w:val="22"/>
        </w:rPr>
      </w:pPr>
    </w:p>
    <w:p w14:paraId="20A47059" w14:textId="2E0B1D4B" w:rsidR="00B302DD" w:rsidRDefault="00B302DD">
      <w:pPr>
        <w:pBdr>
          <w:top w:val="nil"/>
          <w:left w:val="nil"/>
          <w:bottom w:val="nil"/>
          <w:right w:val="nil"/>
          <w:between w:val="nil"/>
        </w:pBdr>
        <w:spacing w:before="240" w:after="240" w:line="360" w:lineRule="auto"/>
        <w:ind w:left="567" w:right="993"/>
        <w:rPr>
          <w:rFonts w:ascii="Palatino Linotype" w:eastAsia="Palatino Linotype" w:hAnsi="Palatino Linotype" w:cs="Palatino Linotype"/>
          <w:b/>
          <w:i/>
          <w:color w:val="000000"/>
          <w:sz w:val="22"/>
          <w:szCs w:val="22"/>
        </w:rPr>
      </w:pPr>
      <w:r>
        <w:object w:dxaOrig="7845" w:dyaOrig="8145" w14:anchorId="049A49BA">
          <v:shape id="_x0000_i1027" type="#_x0000_t75" style="width:392.25pt;height:407.25pt" o:ole="">
            <v:imagedata r:id="rId19" o:title=""/>
          </v:shape>
          <o:OLEObject Type="Embed" ProgID="Paint.Picture.1" ShapeID="_x0000_i1027" DrawAspect="Content" ObjectID="_1713618787" r:id="rId20"/>
        </w:object>
      </w:r>
    </w:p>
    <w:p w14:paraId="6E3A1574"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 los recursos de revisión. </w:t>
      </w:r>
      <w:r>
        <w:rPr>
          <w:rFonts w:ascii="Palatino Linotype" w:eastAsia="Palatino Linotype" w:hAnsi="Palatino Linotype" w:cs="Palatino Linotype"/>
        </w:rPr>
        <w:t xml:space="preserve">Inconforme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veinticuatro de febrero de dos mil veintidós</w:t>
      </w:r>
      <w:r>
        <w:rPr>
          <w:rFonts w:ascii="Palatino Linotype" w:eastAsia="Palatino Linotype" w:hAnsi="Palatino Linotype" w:cs="Palatino Linotype"/>
        </w:rPr>
        <w:t>,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interpuso los recursos de revisión en los que expresó lo siguiente:</w:t>
      </w:r>
    </w:p>
    <w:p w14:paraId="455601C5" w14:textId="77777777" w:rsidR="004D14B9" w:rsidRDefault="004D14B9">
      <w:pPr>
        <w:spacing w:before="240" w:after="240" w:line="360" w:lineRule="auto"/>
        <w:jc w:val="both"/>
        <w:rPr>
          <w:rFonts w:ascii="Palatino Linotype" w:eastAsia="Palatino Linotype" w:hAnsi="Palatino Linotype" w:cs="Palatino Linotype"/>
        </w:rPr>
      </w:pPr>
    </w:p>
    <w:p w14:paraId="0F8EBB82" w14:textId="77777777" w:rsidR="004D14B9" w:rsidRDefault="004D14B9">
      <w:pPr>
        <w:spacing w:before="240" w:after="240" w:line="360" w:lineRule="auto"/>
        <w:jc w:val="both"/>
        <w:rPr>
          <w:rFonts w:ascii="Palatino Linotype" w:eastAsia="Palatino Linotype" w:hAnsi="Palatino Linotype" w:cs="Palatino Linotype"/>
        </w:rPr>
      </w:pPr>
    </w:p>
    <w:p w14:paraId="71BC3501" w14:textId="77777777" w:rsidR="004D14B9" w:rsidRDefault="00E53A86">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01759/INFOEM/IP/RR/2022: </w:t>
      </w:r>
    </w:p>
    <w:p w14:paraId="5C4A4BD7" w14:textId="77777777" w:rsidR="004D14B9" w:rsidRDefault="00E53A86">
      <w:pPr>
        <w:spacing w:before="240" w:after="240"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 Acto impugnado: </w:t>
      </w:r>
    </w:p>
    <w:p w14:paraId="294C6746" w14:textId="77777777" w:rsidR="004D14B9" w:rsidRDefault="00E53A86">
      <w:pPr>
        <w:spacing w:before="240" w:after="240"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La respuesta proporcionada” (Sic)</w:t>
      </w:r>
    </w:p>
    <w:p w14:paraId="7322BF0B" w14:textId="77777777" w:rsidR="004D14B9" w:rsidRDefault="00E53A86">
      <w:pPr>
        <w:spacing w:before="240" w:after="240"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b) Razones o motivos de inconformidad: </w:t>
      </w:r>
    </w:p>
    <w:p w14:paraId="1708084D" w14:textId="77777777" w:rsidR="004D14B9" w:rsidRDefault="00E53A86">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No me entregaron los oficios, piden que haga un pago cuando estos se deben entregar en la modalidad que los solicite, siempre y cuando el sistema no rebase la capacidad técnica. No justifican el cobro de dichos oficios</w:t>
      </w:r>
      <w:r>
        <w:rPr>
          <w:rFonts w:ascii="Palatino Linotype" w:eastAsia="Palatino Linotype" w:hAnsi="Palatino Linotype" w:cs="Palatino Linotype"/>
          <w:i/>
          <w:sz w:val="22"/>
          <w:szCs w:val="22"/>
        </w:rPr>
        <w:t>, es información que debe de estar digitalizada.” (Sic) (Énfasis añadido)</w:t>
      </w:r>
    </w:p>
    <w:p w14:paraId="2A333CD4" w14:textId="77777777" w:rsidR="004D14B9" w:rsidRDefault="00E53A86">
      <w:pPr>
        <w:spacing w:before="240" w:after="240"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01860/INFOEM/IP/RR/2022: </w:t>
      </w:r>
    </w:p>
    <w:p w14:paraId="0AB1561A" w14:textId="77777777" w:rsidR="004D14B9" w:rsidRDefault="00E53A86">
      <w:pPr>
        <w:numPr>
          <w:ilvl w:val="0"/>
          <w:numId w:val="2"/>
        </w:numPr>
        <w:pBdr>
          <w:top w:val="nil"/>
          <w:left w:val="nil"/>
          <w:bottom w:val="nil"/>
          <w:right w:val="nil"/>
          <w:between w:val="nil"/>
        </w:pBdr>
        <w:spacing w:before="240" w:after="240" w:line="276" w:lineRule="auto"/>
        <w:ind w:right="99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Acto impugnado: </w:t>
      </w:r>
    </w:p>
    <w:p w14:paraId="5040E90E" w14:textId="77777777" w:rsidR="004D14B9" w:rsidRDefault="00E53A86">
      <w:pPr>
        <w:pBdr>
          <w:top w:val="nil"/>
          <w:left w:val="nil"/>
          <w:bottom w:val="nil"/>
          <w:right w:val="nil"/>
          <w:between w:val="nil"/>
        </w:pBdr>
        <w:spacing w:before="240" w:after="240" w:line="276" w:lineRule="auto"/>
        <w:ind w:left="927" w:right="99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Información no fue entregada, violentando el art. 6 Constitucional.” (Sic)</w:t>
      </w:r>
    </w:p>
    <w:p w14:paraId="65398E1B" w14:textId="77777777" w:rsidR="004D14B9" w:rsidRDefault="00E53A86">
      <w:pPr>
        <w:numPr>
          <w:ilvl w:val="0"/>
          <w:numId w:val="2"/>
        </w:numPr>
        <w:pBdr>
          <w:top w:val="nil"/>
          <w:left w:val="nil"/>
          <w:bottom w:val="nil"/>
          <w:right w:val="nil"/>
          <w:between w:val="nil"/>
        </w:pBdr>
        <w:spacing w:before="240" w:after="240" w:line="276" w:lineRule="auto"/>
        <w:ind w:right="99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Razones o motivos de inconformidad: </w:t>
      </w:r>
    </w:p>
    <w:p w14:paraId="6C0DA1B5" w14:textId="77777777" w:rsidR="004D14B9" w:rsidRDefault="00E53A86">
      <w:pPr>
        <w:pBdr>
          <w:top w:val="nil"/>
          <w:left w:val="nil"/>
          <w:bottom w:val="nil"/>
          <w:right w:val="nil"/>
          <w:between w:val="nil"/>
        </w:pBdr>
        <w:spacing w:before="240" w:after="240" w:line="276" w:lineRule="auto"/>
        <w:ind w:left="927" w:right="99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u w:val="single"/>
        </w:rPr>
        <w:t>La información se solicito fuera entregada vía SAIMEX, no se justifica el costo de la información, ya que el sistema soporta mas de 8,000 hojas, por tal motivo les pido que se inicie un procedimiento de responsabilidad administrativa en contra de los responsables por lo atender mi solicitud en los términos que fue solicitada. No entiendo porque aprobaron la prórroga para decirme que vaya a pagar documentos que son PUBLICOS</w:t>
      </w:r>
      <w:r>
        <w:rPr>
          <w:rFonts w:ascii="Palatino Linotype" w:eastAsia="Palatino Linotype" w:hAnsi="Palatino Linotype" w:cs="Palatino Linotype"/>
          <w:i/>
          <w:color w:val="000000"/>
          <w:sz w:val="22"/>
          <w:szCs w:val="22"/>
        </w:rPr>
        <w:t xml:space="preserve">.... por lo tanto manifiesto que están siendo totalmente opacos y el área de transparencia no esta sirviendo de nada, con esto demuestra su falta de compromiso, ineptitud, incompetencia y falta de seriedad para atender las solicitudes, les pido a los ediles chequen las estadísticas de transparencia y el numero de recursos de revisión, ya que a la fecha se demuestra que están por arriba del 20 por ciento de solicitudes recurridas, nunca había pasado que en la </w:t>
      </w:r>
      <w:r>
        <w:rPr>
          <w:rFonts w:ascii="Palatino Linotype" w:eastAsia="Palatino Linotype" w:hAnsi="Palatino Linotype" w:cs="Palatino Linotype"/>
          <w:i/>
          <w:color w:val="000000"/>
          <w:sz w:val="22"/>
          <w:szCs w:val="22"/>
        </w:rPr>
        <w:lastRenderedPageBreak/>
        <w:t>capital, tuvieran estas cifras tan altas, ante tan respuesta se comprueba que las solicitudes están atendidas muy mal y no están violentando el art. 6 d la Constitución Política de los Estados Unidos Mexicanos. Se me hace muy absurdo que los regidores y síndicos se dejen asesorar de una persona que no conoce la Ley de Transparencia. Ante tal situación y con esta evidencia haremos publica la opacidad del ayuntamiento de Toluca, en todos los medios de comunicación y redes sociales de mayor alcance y penetración en la capital del Estado de México.” (Sic) (Énfasis añadido)</w:t>
      </w:r>
    </w:p>
    <w:p w14:paraId="62019F47"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tbl>
      <w:tblPr>
        <w:tblStyle w:val="a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4D14B9" w14:paraId="1F8E3E9B" w14:textId="77777777">
        <w:tc>
          <w:tcPr>
            <w:tcW w:w="4460" w:type="dxa"/>
            <w:shd w:val="clear" w:color="auto" w:fill="2F5496"/>
          </w:tcPr>
          <w:p w14:paraId="734850D0" w14:textId="77777777" w:rsidR="004D14B9" w:rsidRDefault="00E53A86">
            <w:pPr>
              <w:spacing w:before="240" w:after="240" w:line="360"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Recurso de Revisión</w:t>
            </w:r>
          </w:p>
        </w:tc>
        <w:tc>
          <w:tcPr>
            <w:tcW w:w="4461" w:type="dxa"/>
            <w:shd w:val="clear" w:color="auto" w:fill="2F5496"/>
          </w:tcPr>
          <w:p w14:paraId="38513C97" w14:textId="77777777" w:rsidR="004D14B9" w:rsidRDefault="00E53A86">
            <w:pPr>
              <w:spacing w:before="240" w:after="240" w:line="360"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Comisionado</w:t>
            </w:r>
          </w:p>
        </w:tc>
      </w:tr>
      <w:tr w:rsidR="004D14B9" w14:paraId="53B3D72D" w14:textId="77777777">
        <w:tc>
          <w:tcPr>
            <w:tcW w:w="4460" w:type="dxa"/>
          </w:tcPr>
          <w:p w14:paraId="2F047A4E" w14:textId="77777777" w:rsidR="004D14B9" w:rsidRDefault="00E53A86">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2"/>
                <w:szCs w:val="22"/>
              </w:rPr>
              <w:t xml:space="preserve">01759/INFOEM/IP/RR/2022 </w:t>
            </w:r>
          </w:p>
        </w:tc>
        <w:tc>
          <w:tcPr>
            <w:tcW w:w="4461" w:type="dxa"/>
          </w:tcPr>
          <w:p w14:paraId="59D4CC70" w14:textId="77777777" w:rsidR="004D14B9" w:rsidRDefault="00E53A86">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sz w:val="22"/>
                <w:szCs w:val="22"/>
              </w:rPr>
              <w:t>Comisionada Guadalupe Ramírez Peña</w:t>
            </w:r>
          </w:p>
        </w:tc>
      </w:tr>
      <w:tr w:rsidR="004D14B9" w14:paraId="7FE17EF2" w14:textId="77777777">
        <w:tc>
          <w:tcPr>
            <w:tcW w:w="4460" w:type="dxa"/>
          </w:tcPr>
          <w:p w14:paraId="3552C82B" w14:textId="77777777" w:rsidR="004D14B9" w:rsidRDefault="00E53A86">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2"/>
                <w:szCs w:val="22"/>
              </w:rPr>
              <w:t>01860/INFOEM/IP/RR/2022</w:t>
            </w:r>
          </w:p>
        </w:tc>
        <w:tc>
          <w:tcPr>
            <w:tcW w:w="4461" w:type="dxa"/>
          </w:tcPr>
          <w:p w14:paraId="43D5E5E6" w14:textId="77777777" w:rsidR="004D14B9" w:rsidRDefault="00E53A86">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sz w:val="22"/>
                <w:szCs w:val="22"/>
              </w:rPr>
              <w:t>Comisionado Presidente José Martínez Vilchis</w:t>
            </w:r>
          </w:p>
        </w:tc>
      </w:tr>
    </w:tbl>
    <w:p w14:paraId="08CFF451"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uno de marzo de dos mil veintidós,</w:t>
      </w:r>
      <w:r>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2CDC7835"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Novena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nueve de marzo de dos mil veintidós</w:t>
      </w:r>
      <w:r>
        <w:rPr>
          <w:rFonts w:ascii="Palatino Linotype" w:eastAsia="Palatino Linotype" w:hAnsi="Palatino Linotype" w:cs="Palatino Linotype"/>
        </w:rPr>
        <w:t xml:space="preserve">, al advertir la conexidad de causa y con la finalidad de evitar que </w:t>
      </w:r>
      <w:r>
        <w:rPr>
          <w:rFonts w:ascii="Palatino Linotype" w:eastAsia="Palatino Linotype" w:hAnsi="Palatino Linotype" w:cs="Palatino Linotype"/>
        </w:rPr>
        <w:lastRenderedPageBreak/>
        <w:t xml:space="preserve">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14:paraId="20FC463F" w14:textId="77777777" w:rsidR="004D14B9" w:rsidRDefault="00E53A86">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once de marzo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informes justificados en los que medularmente ratifican las respuestas iniciales, mediante los archivos electrónicos que se describen a continuación: </w:t>
      </w:r>
    </w:p>
    <w:p w14:paraId="091FB32F" w14:textId="77777777" w:rsidR="004D14B9" w:rsidRDefault="00E53A86">
      <w:pPr>
        <w:spacing w:before="240" w:after="240" w:line="360" w:lineRule="auto"/>
        <w:ind w:right="42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01759/INFOEM/IP/RR/2022: </w:t>
      </w:r>
    </w:p>
    <w:p w14:paraId="2029D2D1" w14:textId="77777777" w:rsidR="004D14B9" w:rsidRDefault="00E53A86">
      <w:pPr>
        <w:spacing w:before="240" w:after="240" w:line="360" w:lineRule="auto"/>
        <w:ind w:left="567" w:right="993"/>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“Informe_01759_2022.pdf”: </w:t>
      </w:r>
      <w:r>
        <w:rPr>
          <w:rFonts w:ascii="Palatino Linotype" w:eastAsia="Palatino Linotype" w:hAnsi="Palatino Linotype" w:cs="Palatino Linotype"/>
          <w:sz w:val="22"/>
          <w:szCs w:val="22"/>
        </w:rPr>
        <w:t xml:space="preserve">Documento de trece fojas en el que medularmente el Sujeto Obligado ratifica la respuesta emitida inicialmente y descrita en líneas anteriores. </w:t>
      </w:r>
    </w:p>
    <w:p w14:paraId="7F894D00" w14:textId="25785753" w:rsidR="004D14B9" w:rsidRDefault="00B302DD">
      <w:pPr>
        <w:spacing w:before="240" w:after="240" w:line="360" w:lineRule="auto"/>
        <w:ind w:left="567" w:right="993"/>
        <w:jc w:val="center"/>
        <w:rPr>
          <w:rFonts w:ascii="Palatino Linotype" w:eastAsia="Palatino Linotype" w:hAnsi="Palatino Linotype" w:cs="Palatino Linotype"/>
          <w:sz w:val="22"/>
          <w:szCs w:val="22"/>
        </w:rPr>
      </w:pPr>
      <w:r>
        <w:object w:dxaOrig="7515" w:dyaOrig="10170" w14:anchorId="13CFC9AB">
          <v:shape id="_x0000_i1028" type="#_x0000_t75" style="width:375.75pt;height:508.5pt" o:ole="">
            <v:imagedata r:id="rId21" o:title=""/>
          </v:shape>
          <o:OLEObject Type="Embed" ProgID="Paint.Picture.1" ShapeID="_x0000_i1028" DrawAspect="Content" ObjectID="_1713618788" r:id="rId22"/>
        </w:object>
      </w:r>
    </w:p>
    <w:p w14:paraId="515BF83A" w14:textId="77777777" w:rsidR="004D14B9" w:rsidRDefault="00E53A86">
      <w:pPr>
        <w:spacing w:before="240" w:after="240" w:line="360" w:lineRule="auto"/>
        <w:ind w:left="567" w:right="993"/>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w:lastRenderedPageBreak/>
        <w:drawing>
          <wp:inline distT="0" distB="0" distL="0" distR="0" wp14:anchorId="3632625B" wp14:editId="45F40238">
            <wp:extent cx="4800600" cy="1533525"/>
            <wp:effectExtent l="0" t="0" r="0" b="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4800600" cy="1533525"/>
                    </a:xfrm>
                    <a:prstGeom prst="rect">
                      <a:avLst/>
                    </a:prstGeom>
                    <a:ln/>
                  </pic:spPr>
                </pic:pic>
              </a:graphicData>
            </a:graphic>
          </wp:inline>
        </w:drawing>
      </w:r>
    </w:p>
    <w:p w14:paraId="504EB365" w14:textId="77777777" w:rsidR="004D14B9" w:rsidRDefault="00E53A86">
      <w:pPr>
        <w:spacing w:before="240" w:after="240" w:line="360" w:lineRule="auto"/>
        <w:ind w:right="42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01860/INFOEM/IP/RR/2022: </w:t>
      </w:r>
    </w:p>
    <w:p w14:paraId="7644F9DD" w14:textId="77777777" w:rsidR="004D14B9" w:rsidRDefault="00E53A86">
      <w:pPr>
        <w:spacing w:before="240" w:after="240" w:line="360" w:lineRule="auto"/>
        <w:ind w:left="567" w:right="993"/>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“Informe 01860_2022.pdf”: </w:t>
      </w:r>
      <w:r>
        <w:rPr>
          <w:rFonts w:ascii="Palatino Linotype" w:eastAsia="Palatino Linotype" w:hAnsi="Palatino Linotype" w:cs="Palatino Linotype"/>
          <w:sz w:val="22"/>
          <w:szCs w:val="22"/>
        </w:rPr>
        <w:t xml:space="preserve">Documento de diecinueve fojas en el que medularmente el Sujeto Obligado ratifica la respuesta emitida inicialmente y descrita en líneas anteriores. </w:t>
      </w:r>
    </w:p>
    <w:p w14:paraId="4F327AC3" w14:textId="77777777" w:rsidR="004D14B9" w:rsidRDefault="00E53A86">
      <w:pPr>
        <w:spacing w:before="240" w:after="240" w:line="360" w:lineRule="auto"/>
        <w:ind w:left="567" w:right="993"/>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eastAsia="es-MX"/>
        </w:rPr>
        <w:drawing>
          <wp:inline distT="0" distB="0" distL="0" distR="0" wp14:anchorId="3D05EAEC" wp14:editId="27122BA3">
            <wp:extent cx="5006135" cy="2498861"/>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006135" cy="2498861"/>
                    </a:xfrm>
                    <a:prstGeom prst="rect">
                      <a:avLst/>
                    </a:prstGeom>
                    <a:ln/>
                  </pic:spPr>
                </pic:pic>
              </a:graphicData>
            </a:graphic>
          </wp:inline>
        </w:drawing>
      </w:r>
    </w:p>
    <w:p w14:paraId="5E9C5ED5" w14:textId="77777777" w:rsidR="004D14B9" w:rsidRDefault="004D14B9">
      <w:pPr>
        <w:spacing w:before="240" w:after="240" w:line="360" w:lineRule="auto"/>
        <w:ind w:left="567" w:right="993"/>
        <w:jc w:val="center"/>
        <w:rPr>
          <w:rFonts w:ascii="Palatino Linotype" w:eastAsia="Palatino Linotype" w:hAnsi="Palatino Linotype" w:cs="Palatino Linotype"/>
          <w:sz w:val="22"/>
          <w:szCs w:val="22"/>
        </w:rPr>
      </w:pPr>
    </w:p>
    <w:p w14:paraId="2FEF02F9" w14:textId="77777777" w:rsidR="004D14B9" w:rsidRDefault="004D14B9">
      <w:pPr>
        <w:spacing w:before="240" w:after="240" w:line="360" w:lineRule="auto"/>
        <w:ind w:left="567" w:right="993"/>
        <w:jc w:val="center"/>
        <w:rPr>
          <w:rFonts w:ascii="Palatino Linotype" w:eastAsia="Palatino Linotype" w:hAnsi="Palatino Linotype" w:cs="Palatino Linotype"/>
          <w:sz w:val="22"/>
          <w:szCs w:val="22"/>
        </w:rPr>
      </w:pPr>
    </w:p>
    <w:p w14:paraId="7F51CC04" w14:textId="77777777" w:rsidR="004D14B9" w:rsidRDefault="004D14B9">
      <w:pPr>
        <w:spacing w:before="240" w:after="240" w:line="360" w:lineRule="auto"/>
        <w:ind w:left="567" w:right="993"/>
        <w:jc w:val="center"/>
        <w:rPr>
          <w:rFonts w:ascii="Palatino Linotype" w:eastAsia="Palatino Linotype" w:hAnsi="Palatino Linotype" w:cs="Palatino Linotype"/>
          <w:sz w:val="22"/>
          <w:szCs w:val="22"/>
        </w:rPr>
      </w:pPr>
    </w:p>
    <w:p w14:paraId="000CB330" w14:textId="47A1E4B8" w:rsidR="004D14B9" w:rsidRDefault="00B302DD">
      <w:pPr>
        <w:spacing w:before="240" w:after="240" w:line="360" w:lineRule="auto"/>
        <w:ind w:left="567" w:right="993"/>
        <w:jc w:val="center"/>
        <w:rPr>
          <w:rFonts w:ascii="Palatino Linotype" w:eastAsia="Palatino Linotype" w:hAnsi="Palatino Linotype" w:cs="Palatino Linotype"/>
          <w:sz w:val="22"/>
          <w:szCs w:val="22"/>
        </w:rPr>
      </w:pPr>
      <w:r>
        <w:object w:dxaOrig="8175" w:dyaOrig="9930" w14:anchorId="7244774E">
          <v:shape id="_x0000_i1029" type="#_x0000_t75" style="width:408.75pt;height:496.5pt" o:ole="">
            <v:imagedata r:id="rId25" o:title=""/>
          </v:shape>
          <o:OLEObject Type="Embed" ProgID="Paint.Picture.1" ShapeID="_x0000_i1029" DrawAspect="Content" ObjectID="_1713618789" r:id="rId26"/>
        </w:object>
      </w:r>
    </w:p>
    <w:p w14:paraId="0242E420" w14:textId="77777777" w:rsidR="004D14B9" w:rsidRDefault="004D14B9">
      <w:pPr>
        <w:spacing w:before="240" w:after="240" w:line="360" w:lineRule="auto"/>
        <w:ind w:right="426"/>
        <w:jc w:val="both"/>
        <w:rPr>
          <w:rFonts w:ascii="Palatino Linotype" w:eastAsia="Palatino Linotype" w:hAnsi="Palatino Linotype" w:cs="Palatino Linotype"/>
          <w:b/>
          <w:i/>
          <w:sz w:val="22"/>
          <w:szCs w:val="22"/>
        </w:rPr>
      </w:pPr>
    </w:p>
    <w:p w14:paraId="5B364F21" w14:textId="77777777" w:rsidR="004D14B9" w:rsidRDefault="004D14B9">
      <w:pPr>
        <w:spacing w:before="240" w:after="240" w:line="360" w:lineRule="auto"/>
        <w:jc w:val="both"/>
        <w:rPr>
          <w:rFonts w:ascii="Palatino Linotype" w:eastAsia="Palatino Linotype" w:hAnsi="Palatino Linotype" w:cs="Palatino Linotype"/>
        </w:rPr>
      </w:pPr>
    </w:p>
    <w:p w14:paraId="4D8692A0" w14:textId="77777777" w:rsidR="004D14B9" w:rsidRDefault="00E53A86">
      <w:pPr>
        <w:spacing w:before="240" w:after="240" w:line="360" w:lineRule="auto"/>
        <w:jc w:val="both"/>
        <w:rPr>
          <w:rFonts w:ascii="Palatino Linotype" w:eastAsia="Palatino Linotype" w:hAnsi="Palatino Linotype" w:cs="Palatino Linotype"/>
        </w:rPr>
      </w:pPr>
      <w:r>
        <w:rPr>
          <w:noProof/>
          <w:lang w:val="es-MX" w:eastAsia="es-MX"/>
        </w:rPr>
        <w:drawing>
          <wp:anchor distT="0" distB="0" distL="114300" distR="114300" simplePos="0" relativeHeight="251660288" behindDoc="0" locked="0" layoutInCell="1" hidden="0" allowOverlap="1" wp14:anchorId="4939EDD5" wp14:editId="4E65D9F2">
            <wp:simplePos x="0" y="0"/>
            <wp:positionH relativeFrom="column">
              <wp:posOffset>-60959</wp:posOffset>
            </wp:positionH>
            <wp:positionV relativeFrom="paragraph">
              <wp:posOffset>0</wp:posOffset>
            </wp:positionV>
            <wp:extent cx="5667375" cy="2828925"/>
            <wp:effectExtent l="0" t="0" r="0" b="0"/>
            <wp:wrapTopAndBottom distT="0" distB="0"/>
            <wp:docPr id="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667375" cy="2828925"/>
                    </a:xfrm>
                    <a:prstGeom prst="rect">
                      <a:avLst/>
                    </a:prstGeom>
                    <a:ln/>
                  </pic:spPr>
                </pic:pic>
              </a:graphicData>
            </a:graphic>
          </wp:anchor>
        </w:drawing>
      </w:r>
    </w:p>
    <w:p w14:paraId="3EB3F27F"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realizado el análisis de las documentales remitidas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Organismo Garante determinó procedente ponerlas a la vista del particular, mediante acuerdo emitido por la Comisionada Ponente, el </w:t>
      </w:r>
      <w:r>
        <w:rPr>
          <w:rFonts w:ascii="Palatino Linotype" w:eastAsia="Palatino Linotype" w:hAnsi="Palatino Linotype" w:cs="Palatino Linotype"/>
          <w:b/>
        </w:rPr>
        <w:t xml:space="preserve">veinte de abril de dos mil veintidós, </w:t>
      </w:r>
      <w:r>
        <w:rPr>
          <w:rFonts w:ascii="Palatino Linotype" w:eastAsia="Palatino Linotype" w:hAnsi="Palatino Linotype" w:cs="Palatino Linotype"/>
        </w:rPr>
        <w:t xml:space="preserve">resulta pertinente apuntar que por su parte,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parte Recurrente </w:t>
      </w:r>
      <w:r>
        <w:rPr>
          <w:rFonts w:ascii="Palatino Linotype" w:eastAsia="Palatino Linotype" w:hAnsi="Palatino Linotype" w:cs="Palatino Linotype"/>
        </w:rPr>
        <w:t xml:space="preserve">omitió realizar manifestaciones, formular alegatos y ofrecer algún medio de prueba. </w:t>
      </w:r>
    </w:p>
    <w:p w14:paraId="186ABAF8" w14:textId="77777777" w:rsidR="004D14B9" w:rsidRDefault="00E53A8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lang w:val="es-MX" w:eastAsia="es-MX"/>
        </w:rPr>
        <w:drawing>
          <wp:inline distT="0" distB="0" distL="0" distR="0" wp14:anchorId="34670363" wp14:editId="6EF9CB12">
            <wp:extent cx="5667375" cy="1866900"/>
            <wp:effectExtent l="0" t="0" r="0" b="0"/>
            <wp:docPr id="5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667375" cy="1866900"/>
                    </a:xfrm>
                    <a:prstGeom prst="rect">
                      <a:avLst/>
                    </a:prstGeom>
                    <a:ln/>
                  </pic:spPr>
                </pic:pic>
              </a:graphicData>
            </a:graphic>
          </wp:inline>
        </w:drawing>
      </w:r>
    </w:p>
    <w:p w14:paraId="519384D9" w14:textId="77777777" w:rsidR="004D14B9" w:rsidRDefault="004D14B9">
      <w:pPr>
        <w:spacing w:before="240" w:after="240" w:line="360" w:lineRule="auto"/>
        <w:jc w:val="both"/>
        <w:rPr>
          <w:rFonts w:ascii="Palatino Linotype" w:eastAsia="Palatino Linotype" w:hAnsi="Palatino Linotype" w:cs="Palatino Linotype"/>
          <w:b/>
        </w:rPr>
      </w:pPr>
    </w:p>
    <w:p w14:paraId="235C60FC" w14:textId="77777777" w:rsidR="004D14B9" w:rsidRDefault="00E53A8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lang w:val="es-MX" w:eastAsia="es-MX"/>
        </w:rPr>
        <w:drawing>
          <wp:inline distT="0" distB="0" distL="0" distR="0" wp14:anchorId="7FF07722" wp14:editId="47174E75">
            <wp:extent cx="5667375" cy="1885950"/>
            <wp:effectExtent l="0" t="0" r="0" b="0"/>
            <wp:docPr id="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5667375" cy="1885950"/>
                    </a:xfrm>
                    <a:prstGeom prst="rect">
                      <a:avLst/>
                    </a:prstGeom>
                    <a:ln/>
                  </pic:spPr>
                </pic:pic>
              </a:graphicData>
            </a:graphic>
          </wp:inline>
        </w:drawing>
      </w:r>
    </w:p>
    <w:p w14:paraId="2A016975"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veintiuno de abril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14:paraId="1337730A"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El </w:t>
      </w:r>
      <w:r w:rsidR="00F023A4">
        <w:rPr>
          <w:rFonts w:ascii="Palatino Linotype" w:eastAsia="Palatino Linotype" w:hAnsi="Palatino Linotype" w:cs="Palatino Linotype"/>
          <w:b/>
        </w:rPr>
        <w:t>veintisiete</w:t>
      </w:r>
      <w:r>
        <w:rPr>
          <w:rFonts w:ascii="Palatino Linotype" w:eastAsia="Palatino Linotype" w:hAnsi="Palatino Linotype" w:cs="Palatino Linotype"/>
          <w:b/>
        </w:rPr>
        <w:t xml:space="preserve"> de abril del año dos mil veintidós</w:t>
      </w:r>
      <w:r>
        <w:rPr>
          <w:rFonts w:ascii="Palatino Linotype" w:eastAsia="Palatino Linotype" w:hAnsi="Palatino Linotype" w:cs="Palatino Linotype"/>
        </w:rPr>
        <w:t>, con fundamento en lo establecido en los artículos 185, fracción VI de la Ley de Transparencia y Acceso a la Información Pública del Estado de México y Municipios, al no existir trámite pendiente por realizar y haber sido sustanciados los medios de impugnación se acordó el cierre de instrucción y se procede a formular la resolución que en derecho corresponda.</w:t>
      </w:r>
    </w:p>
    <w:p w14:paraId="51450FB0" w14:textId="77777777" w:rsidR="004D14B9" w:rsidRDefault="00E53A86">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6177B099"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Primero. Competencia. </w:t>
      </w:r>
      <w:r>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w:t>
      </w:r>
      <w:r>
        <w:rPr>
          <w:rFonts w:ascii="Palatino Linotype" w:eastAsia="Palatino Linotype" w:hAnsi="Palatino Linotype" w:cs="Palatino Linotype"/>
          <w:b/>
        </w:rPr>
        <w:t>el 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7BEB95E"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7ADA388A"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sus respuestas a las solicitudes de información los días </w:t>
      </w:r>
      <w:r>
        <w:rPr>
          <w:rFonts w:ascii="Palatino Linotype" w:eastAsia="Palatino Linotype" w:hAnsi="Palatino Linotype" w:cs="Palatino Linotype"/>
          <w:b/>
        </w:rPr>
        <w:t xml:space="preserve">veintitrés y veinticuatro de febrero de dos mil veintidós, </w:t>
      </w:r>
      <w:r>
        <w:rPr>
          <w:rFonts w:ascii="Palatino Linotype" w:eastAsia="Palatino Linotype" w:hAnsi="Palatino Linotype" w:cs="Palatino Linotype"/>
        </w:rPr>
        <w:t xml:space="preserve">mientras que los recursos de revisión interpuestos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tuvieron por presentados el día </w:t>
      </w:r>
      <w:r>
        <w:rPr>
          <w:rFonts w:ascii="Palatino Linotype" w:eastAsia="Palatino Linotype" w:hAnsi="Palatino Linotype" w:cs="Palatino Linotype"/>
          <w:b/>
        </w:rPr>
        <w:t xml:space="preserve">veinticuatro de febrero de dos mil </w:t>
      </w:r>
      <w:r>
        <w:rPr>
          <w:rFonts w:ascii="Palatino Linotype" w:eastAsia="Palatino Linotype" w:hAnsi="Palatino Linotype" w:cs="Palatino Linotype"/>
          <w:b/>
        </w:rPr>
        <w:lastRenderedPageBreak/>
        <w:t>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primer día y al mismo día hábil</w:t>
      </w:r>
      <w:r>
        <w:rPr>
          <w:rFonts w:ascii="Palatino Linotype" w:eastAsia="Palatino Linotype" w:hAnsi="Palatino Linotype" w:cs="Palatino Linotype"/>
        </w:rPr>
        <w:t xml:space="preserve"> en que tuvo conocimiento de la respuesta impugnada.</w:t>
      </w:r>
    </w:p>
    <w:p w14:paraId="20B80DD5" w14:textId="77777777" w:rsidR="004D14B9" w:rsidRDefault="00E53A86">
      <w:pPr>
        <w:pBdr>
          <w:top w:val="nil"/>
          <w:left w:val="nil"/>
          <w:bottom w:val="nil"/>
          <w:right w:val="nil"/>
          <w:between w:val="nil"/>
        </w:pBdr>
        <w:spacing w:before="240"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esta tesitura, se advierte que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FF7560E" w14:textId="77777777" w:rsidR="004D14B9" w:rsidRDefault="00E53A86">
      <w:pPr>
        <w:pBdr>
          <w:top w:val="nil"/>
          <w:left w:val="nil"/>
          <w:bottom w:val="nil"/>
          <w:right w:val="nil"/>
          <w:between w:val="nil"/>
        </w:pBdr>
        <w:spacing w:before="240" w:after="240" w:line="276" w:lineRule="auto"/>
        <w:ind w:left="567" w:right="49"/>
        <w:jc w:val="both"/>
        <w:rPr>
          <w:color w:val="000000"/>
        </w:rPr>
      </w:pPr>
      <w:r>
        <w:rPr>
          <w:rFonts w:ascii="Palatino Linotype" w:eastAsia="Palatino Linotype" w:hAnsi="Palatino Linotype" w:cs="Palatino Linotype"/>
          <w:b/>
          <w:i/>
          <w:color w:val="000000"/>
          <w:sz w:val="22"/>
          <w:szCs w:val="22"/>
        </w:rPr>
        <w:t xml:space="preserve">“RECURSO DE RECLAMACIÓN. SU INTERPOSICIÓN NO ES EXTEMPORÁNEA SI SE REALIZA ANTES DE QUE INICIE EL PLAZO PARA HACERLO. </w:t>
      </w:r>
      <w:r>
        <w:rPr>
          <w:rFonts w:ascii="Palatino Linotype" w:eastAsia="Palatino Linotype" w:hAnsi="Palatino Linotype" w:cs="Palatino Linotype"/>
          <w:i/>
          <w:color w:val="000000"/>
          <w:sz w:val="22"/>
          <w:szCs w:val="22"/>
        </w:rPr>
        <w:t>Conforme al artículo </w:t>
      </w:r>
      <w:hyperlink r:id="rId29">
        <w:r>
          <w:rPr>
            <w:rFonts w:ascii="Palatino Linotype" w:eastAsia="Palatino Linotype" w:hAnsi="Palatino Linotype" w:cs="Palatino Linotype"/>
            <w:i/>
            <w:color w:val="000000"/>
            <w:sz w:val="22"/>
            <w:szCs w:val="22"/>
            <w:u w:val="single"/>
          </w:rPr>
          <w:t>104, párrafo segundo, de la Ley de Amparo</w:t>
        </w:r>
      </w:hyperlink>
      <w:r>
        <w:rPr>
          <w:rFonts w:ascii="Palatino Linotype" w:eastAsia="Palatino Linotype" w:hAnsi="Palatino Linotype" w:cs="Palatino Linotype"/>
          <w:i/>
          <w:color w:val="000000"/>
          <w:sz w:val="22"/>
          <w:szCs w:val="22"/>
        </w:rPr>
        <w:t>,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EAD4155" w14:textId="77777777" w:rsidR="004D14B9" w:rsidRDefault="00E5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el hecho de que el recurso haya sido presentado el mismo día en que fue notificada la respuesta a </w:t>
      </w:r>
      <w:r>
        <w:rPr>
          <w:rFonts w:ascii="Palatino Linotype" w:eastAsia="Palatino Linotype" w:hAnsi="Palatino Linotype" w:cs="Palatino Linotype"/>
          <w:b/>
          <w:color w:val="000000"/>
        </w:rPr>
        <w:t>la 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no debe desecharse, debido a que no existe una prohibición expresa en la Ley para realizarlo el mismo día y en atención a los principios generales del derecho, todo aquello que no esté prohibido para el gobernado se tiene por permitido se debe de dar trámite al presente recurso.</w:t>
      </w:r>
    </w:p>
    <w:p w14:paraId="37B04973" w14:textId="77777777" w:rsidR="004D14B9" w:rsidRDefault="004D14B9">
      <w:pPr>
        <w:spacing w:before="240" w:after="240" w:line="360" w:lineRule="auto"/>
        <w:jc w:val="both"/>
        <w:rPr>
          <w:rFonts w:ascii="Palatino Linotype" w:eastAsia="Palatino Linotype" w:hAnsi="Palatino Linotype" w:cs="Palatino Linotype"/>
        </w:rPr>
      </w:pPr>
    </w:p>
    <w:p w14:paraId="00FE8604" w14:textId="77777777" w:rsidR="004D14B9" w:rsidRDefault="00E53A86">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F67F4A3"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 los artículos 176 y 179, fracciones VIII y X del ordenamiento legal citado, que a la letra dice: </w:t>
      </w:r>
    </w:p>
    <w:p w14:paraId="1220D900" w14:textId="77777777" w:rsidR="004D14B9" w:rsidRDefault="00E53A8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11319464" w14:textId="77777777" w:rsidR="004D14B9" w:rsidRDefault="00E53A8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168D6E" w14:textId="77777777" w:rsidR="004D14B9" w:rsidRDefault="00E53A8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A3C8B48" w14:textId="77777777" w:rsidR="004D14B9" w:rsidRDefault="00E53A8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FB8063A" w14:textId="77777777" w:rsidR="004D14B9" w:rsidRDefault="00E53A86">
      <w:pPr>
        <w:spacing w:before="120" w:after="120"/>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VIII. La notificación, entrega o puesta a disposición de información en una modalidad o formato distinto al solicitado; </w:t>
      </w:r>
    </w:p>
    <w:p w14:paraId="71D393F8" w14:textId="77777777" w:rsidR="004D14B9" w:rsidRDefault="00E53A86">
      <w:pPr>
        <w:spacing w:before="120" w:after="120"/>
        <w:ind w:left="567"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CE07413" w14:textId="77777777" w:rsidR="004D14B9" w:rsidRDefault="00E53A86">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Los costos o tiempos de entrega de la información;</w:t>
      </w:r>
      <w:r>
        <w:rPr>
          <w:rFonts w:ascii="Palatino Linotype" w:eastAsia="Palatino Linotype" w:hAnsi="Palatino Linotype" w:cs="Palatino Linotype"/>
          <w:i/>
          <w:sz w:val="22"/>
          <w:szCs w:val="22"/>
        </w:rPr>
        <w:t>”</w:t>
      </w:r>
    </w:p>
    <w:p w14:paraId="29D1D4CB" w14:textId="77777777" w:rsidR="004D14B9" w:rsidRDefault="00E53A86">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71DD4C0E" w14:textId="77777777" w:rsidR="004D14B9" w:rsidRDefault="00E53A8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51BBACE5"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7E4B81E" w14:textId="77777777" w:rsidR="004D14B9" w:rsidRDefault="00E53A8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C781218" w14:textId="77777777" w:rsidR="004D14B9" w:rsidRDefault="00E53A86">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55AE939" w14:textId="77777777" w:rsidR="004D14B9" w:rsidRDefault="00E53A8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w:t>
      </w:r>
      <w:r>
        <w:rPr>
          <w:rFonts w:ascii="Palatino Linotype" w:eastAsia="Palatino Linotype" w:hAnsi="Palatino Linotype" w:cs="Palatino Linotype"/>
          <w:i/>
          <w:sz w:val="22"/>
          <w:szCs w:val="22"/>
        </w:rPr>
        <w:lastRenderedPageBreak/>
        <w:t>deberá prevenir, investigar, sancionar y reparar las violaciones a los derechos humanos, en los términos que establezca la ley</w:t>
      </w:r>
    </w:p>
    <w:p w14:paraId="3BB22CFD" w14:textId="77777777" w:rsidR="004D14B9" w:rsidRDefault="00E53A8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74B45C" w14:textId="77777777" w:rsidR="004D14B9" w:rsidRDefault="00E53A8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41380E14" w14:textId="77777777" w:rsidR="004D14B9" w:rsidRDefault="00E53A8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E80FB3F"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55335B87"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E4B3A5D"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0ABFFA"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273AA85" w14:textId="77777777" w:rsidR="004D14B9" w:rsidRDefault="00E53A86">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A617BD7"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8D8EAE8"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04B88D3E"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70F3786"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DD1EBC4" w14:textId="77777777" w:rsidR="004D14B9" w:rsidRDefault="004D14B9">
      <w:pPr>
        <w:ind w:left="851" w:right="851"/>
        <w:jc w:val="both"/>
        <w:rPr>
          <w:rFonts w:ascii="Palatino Linotype" w:eastAsia="Palatino Linotype" w:hAnsi="Palatino Linotype" w:cs="Palatino Linotype"/>
          <w:i/>
          <w:sz w:val="22"/>
          <w:szCs w:val="22"/>
        </w:rPr>
      </w:pPr>
    </w:p>
    <w:p w14:paraId="594EA11B"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8878005"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41471948"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FA1B459"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990A853"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D966ADF" w14:textId="77777777" w:rsidR="004D14B9" w:rsidRDefault="004D14B9">
      <w:pPr>
        <w:ind w:right="851"/>
        <w:jc w:val="both"/>
        <w:rPr>
          <w:rFonts w:ascii="Palatino Linotype" w:eastAsia="Palatino Linotype" w:hAnsi="Palatino Linotype" w:cs="Palatino Linotype"/>
          <w:i/>
          <w:sz w:val="22"/>
          <w:szCs w:val="22"/>
        </w:rPr>
      </w:pPr>
    </w:p>
    <w:p w14:paraId="2E8EA403" w14:textId="77777777" w:rsidR="004D14B9" w:rsidRDefault="00E53A8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136C701" w14:textId="77777777" w:rsidR="004D14B9" w:rsidRDefault="00E53A86">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D7D48E2" w14:textId="77777777" w:rsidR="004D14B9" w:rsidRDefault="00E53A86">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61BF92" w14:textId="77777777" w:rsidR="004D14B9" w:rsidRDefault="00E53A8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2FF2A17" w14:textId="77777777" w:rsidR="004D14B9" w:rsidRDefault="00E53A86">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51FE9D54" w14:textId="77777777" w:rsidR="004D14B9" w:rsidRDefault="004D14B9">
      <w:pPr>
        <w:ind w:left="709" w:right="760"/>
        <w:jc w:val="both"/>
        <w:rPr>
          <w:rFonts w:ascii="Palatino Linotype" w:eastAsia="Palatino Linotype" w:hAnsi="Palatino Linotype" w:cs="Palatino Linotype"/>
          <w:i/>
        </w:rPr>
      </w:pPr>
    </w:p>
    <w:p w14:paraId="2FE68BB7"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3A8AAA0C" w14:textId="77777777" w:rsidR="004D14B9" w:rsidRDefault="00E53A8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4AA5B88" w14:textId="77777777" w:rsidR="004D14B9" w:rsidRDefault="00E53A86">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686740E" w14:textId="77777777" w:rsidR="004D14B9" w:rsidRDefault="004D14B9">
      <w:pPr>
        <w:spacing w:line="360" w:lineRule="auto"/>
        <w:ind w:right="-93"/>
        <w:jc w:val="both"/>
        <w:rPr>
          <w:rFonts w:ascii="Palatino Linotype" w:eastAsia="Palatino Linotype" w:hAnsi="Palatino Linotype" w:cs="Palatino Linotype"/>
          <w:color w:val="000000"/>
        </w:rPr>
      </w:pPr>
    </w:p>
    <w:p w14:paraId="2F1F1C79" w14:textId="77777777" w:rsidR="004D14B9" w:rsidRDefault="00E53A86">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7940A33" w14:textId="77777777" w:rsidR="004D14B9" w:rsidRDefault="004D14B9">
      <w:pPr>
        <w:spacing w:line="360" w:lineRule="auto"/>
        <w:jc w:val="both"/>
        <w:rPr>
          <w:rFonts w:ascii="Palatino Linotype" w:eastAsia="Palatino Linotype" w:hAnsi="Palatino Linotype" w:cs="Palatino Linotype"/>
          <w:color w:val="000000"/>
        </w:rPr>
      </w:pPr>
    </w:p>
    <w:p w14:paraId="655821DD" w14:textId="77777777" w:rsidR="004D14B9" w:rsidRDefault="00E53A8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118053D" w14:textId="77777777" w:rsidR="004D14B9" w:rsidRDefault="004D14B9">
      <w:pPr>
        <w:spacing w:line="360" w:lineRule="auto"/>
        <w:ind w:right="49"/>
        <w:jc w:val="both"/>
        <w:rPr>
          <w:rFonts w:ascii="Palatino Linotype" w:eastAsia="Palatino Linotype" w:hAnsi="Palatino Linotype" w:cs="Palatino Linotype"/>
        </w:rPr>
      </w:pPr>
    </w:p>
    <w:p w14:paraId="118DA27F"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019F917F"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619D6C52" w14:textId="77777777" w:rsidR="004D14B9" w:rsidRDefault="004D14B9">
      <w:pPr>
        <w:ind w:left="851" w:right="851"/>
        <w:jc w:val="both"/>
        <w:rPr>
          <w:rFonts w:ascii="Palatino Linotype" w:eastAsia="Palatino Linotype" w:hAnsi="Palatino Linotype" w:cs="Palatino Linotype"/>
          <w:b/>
          <w:i/>
          <w:sz w:val="22"/>
          <w:szCs w:val="22"/>
        </w:rPr>
      </w:pPr>
    </w:p>
    <w:p w14:paraId="6F516A4E"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21681E3C" w14:textId="77777777" w:rsidR="004D14B9" w:rsidRDefault="004D14B9">
      <w:pPr>
        <w:ind w:left="851" w:right="851"/>
        <w:jc w:val="both"/>
        <w:rPr>
          <w:rFonts w:ascii="Palatino Linotype" w:eastAsia="Palatino Linotype" w:hAnsi="Palatino Linotype" w:cs="Palatino Linotype"/>
          <w:i/>
          <w:sz w:val="22"/>
          <w:szCs w:val="22"/>
        </w:rPr>
      </w:pPr>
    </w:p>
    <w:p w14:paraId="325CACDA"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286004DC" w14:textId="77777777" w:rsidR="004D14B9" w:rsidRDefault="004D14B9">
      <w:pPr>
        <w:ind w:left="851" w:right="851"/>
        <w:jc w:val="both"/>
        <w:rPr>
          <w:rFonts w:ascii="Palatino Linotype" w:eastAsia="Palatino Linotype" w:hAnsi="Palatino Linotype" w:cs="Palatino Linotype"/>
          <w:i/>
          <w:sz w:val="22"/>
          <w:szCs w:val="22"/>
        </w:rPr>
      </w:pPr>
    </w:p>
    <w:p w14:paraId="06A72159"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4B71A5D" w14:textId="77777777" w:rsidR="004D14B9" w:rsidRDefault="004D14B9">
      <w:pPr>
        <w:ind w:left="851" w:right="851"/>
        <w:jc w:val="both"/>
        <w:rPr>
          <w:rFonts w:ascii="Palatino Linotype" w:eastAsia="Palatino Linotype" w:hAnsi="Palatino Linotype" w:cs="Palatino Linotype"/>
          <w:i/>
          <w:sz w:val="22"/>
          <w:szCs w:val="22"/>
        </w:rPr>
      </w:pPr>
    </w:p>
    <w:p w14:paraId="0F7B431F" w14:textId="77777777" w:rsidR="004D14B9" w:rsidRDefault="00E53A8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06CAADDE" w14:textId="77777777" w:rsidR="004D14B9" w:rsidRDefault="004D14B9">
      <w:pPr>
        <w:spacing w:line="360" w:lineRule="auto"/>
        <w:jc w:val="both"/>
        <w:rPr>
          <w:rFonts w:ascii="Palatino Linotype" w:eastAsia="Palatino Linotype" w:hAnsi="Palatino Linotype" w:cs="Palatino Linotype"/>
        </w:rPr>
      </w:pPr>
    </w:p>
    <w:p w14:paraId="287CDA91"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8D9BA00" w14:textId="77777777" w:rsidR="004D14B9" w:rsidRDefault="004D14B9">
      <w:pPr>
        <w:spacing w:line="360" w:lineRule="auto"/>
        <w:jc w:val="both"/>
        <w:rPr>
          <w:rFonts w:ascii="Palatino Linotype" w:eastAsia="Palatino Linotype" w:hAnsi="Palatino Linotype" w:cs="Palatino Linotype"/>
        </w:rPr>
      </w:pPr>
    </w:p>
    <w:p w14:paraId="33C17D39"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w:t>
      </w:r>
      <w:r>
        <w:rPr>
          <w:rFonts w:ascii="Palatino Linotype" w:eastAsia="Palatino Linotype" w:hAnsi="Palatino Linotype" w:cs="Palatino Linotype"/>
          <w:b/>
        </w:rPr>
        <w:t>oficios,</w:t>
      </w:r>
      <w:r>
        <w:rPr>
          <w:rFonts w:ascii="Palatino Linotype" w:eastAsia="Palatino Linotype" w:hAnsi="Palatino Linotype" w:cs="Palatino Linotype"/>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w:t>
      </w:r>
      <w:r>
        <w:rPr>
          <w:rFonts w:ascii="Palatino Linotype" w:eastAsia="Palatino Linotype" w:hAnsi="Palatino Linotype" w:cs="Palatino Linotype"/>
        </w:rPr>
        <w:lastRenderedPageBreak/>
        <w:t xml:space="preserve">u holográfico de conformidad con el artículo 3, fracción XI de la Ley de la materia, el cual señala lo siguiente: </w:t>
      </w:r>
    </w:p>
    <w:p w14:paraId="20EDCAC7" w14:textId="77777777" w:rsidR="004D14B9" w:rsidRDefault="004D14B9">
      <w:pPr>
        <w:ind w:left="851" w:right="899"/>
        <w:jc w:val="both"/>
        <w:rPr>
          <w:rFonts w:ascii="Palatino Linotype" w:eastAsia="Palatino Linotype" w:hAnsi="Palatino Linotype" w:cs="Palatino Linotype"/>
          <w:i/>
          <w:sz w:val="22"/>
          <w:szCs w:val="22"/>
        </w:rPr>
      </w:pPr>
    </w:p>
    <w:p w14:paraId="5D88EA51" w14:textId="77777777" w:rsidR="004D14B9" w:rsidRDefault="00E53A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891FDD7" w14:textId="77777777" w:rsidR="004D14B9" w:rsidRDefault="00E53A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3C407D5" w14:textId="77777777" w:rsidR="004D14B9" w:rsidRDefault="00E53A86">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26D5157" w14:textId="77777777" w:rsidR="004D14B9" w:rsidRDefault="004D14B9">
      <w:pPr>
        <w:ind w:left="851" w:right="899"/>
        <w:jc w:val="both"/>
        <w:rPr>
          <w:rFonts w:ascii="Palatino Linotype" w:eastAsia="Palatino Linotype" w:hAnsi="Palatino Linotype" w:cs="Palatino Linotype"/>
          <w:sz w:val="22"/>
          <w:szCs w:val="22"/>
        </w:rPr>
      </w:pPr>
    </w:p>
    <w:p w14:paraId="46D66413"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9CA1534" w14:textId="77777777" w:rsidR="004D14B9" w:rsidRDefault="004D14B9">
      <w:pPr>
        <w:ind w:left="851" w:right="899"/>
        <w:jc w:val="both"/>
        <w:rPr>
          <w:rFonts w:ascii="Palatino Linotype" w:eastAsia="Palatino Linotype" w:hAnsi="Palatino Linotype" w:cs="Palatino Linotype"/>
        </w:rPr>
      </w:pPr>
    </w:p>
    <w:p w14:paraId="489C3FBC" w14:textId="77777777" w:rsidR="004D14B9" w:rsidRDefault="00E53A8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2D45F2F4" w14:textId="77777777" w:rsidR="004D14B9" w:rsidRDefault="00E53A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F864471" w14:textId="77777777" w:rsidR="004D14B9" w:rsidRDefault="00E53A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CFCA009" w14:textId="77777777" w:rsidR="004D14B9" w:rsidRDefault="00E53A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2942BD8" w14:textId="77777777" w:rsidR="004D14B9" w:rsidRDefault="00E53A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1962EE9D" w14:textId="77777777" w:rsidR="004D14B9" w:rsidRDefault="00E53A86">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0368BB28" w14:textId="77777777" w:rsidR="004D14B9" w:rsidRDefault="00E53A8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63E090E5" w14:textId="77777777" w:rsidR="004D14B9" w:rsidRDefault="00E53A8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previo análisis del presente asunto, conviene reiterar que el particular requirió que se le proporcionara la siguiente información: </w:t>
      </w:r>
    </w:p>
    <w:p w14:paraId="39239734" w14:textId="77777777" w:rsidR="004D14B9" w:rsidRDefault="00E53A86">
      <w:pPr>
        <w:numPr>
          <w:ilvl w:val="0"/>
          <w:numId w:val="1"/>
        </w:numPr>
        <w:pBdr>
          <w:top w:val="nil"/>
          <w:left w:val="nil"/>
          <w:bottom w:val="nil"/>
          <w:right w:val="nil"/>
          <w:between w:val="nil"/>
        </w:pBdr>
        <w:spacing w:before="280" w:line="360" w:lineRule="auto"/>
        <w:ind w:left="567" w:right="993"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Todos los oficios firmados, notas informativas por el Tesorero Municipal del mes de enero del 2022. </w:t>
      </w:r>
    </w:p>
    <w:p w14:paraId="256C82F4" w14:textId="77777777" w:rsidR="004D14B9" w:rsidRDefault="00E53A86">
      <w:pPr>
        <w:numPr>
          <w:ilvl w:val="0"/>
          <w:numId w:val="1"/>
        </w:numPr>
        <w:pBdr>
          <w:top w:val="nil"/>
          <w:left w:val="nil"/>
          <w:bottom w:val="nil"/>
          <w:right w:val="nil"/>
          <w:between w:val="nil"/>
        </w:pBdr>
        <w:spacing w:line="360" w:lineRule="auto"/>
        <w:ind w:left="567" w:right="993"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Todos los oficios firmados, notas informativas etc, por todos los regidores del mes de enero del 2022.</w:t>
      </w:r>
    </w:p>
    <w:p w14:paraId="4EE8950B" w14:textId="77777777" w:rsidR="004D14B9" w:rsidRDefault="004D14B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BAAAEFF" w14:textId="77777777" w:rsidR="004D14B9" w:rsidRDefault="00E53A86">
      <w:pPr>
        <w:pBdr>
          <w:top w:val="nil"/>
          <w:left w:val="nil"/>
          <w:bottom w:val="nil"/>
          <w:right w:val="nil"/>
          <w:between w:val="nil"/>
        </w:pBdr>
        <w:spacing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se advierte que los requerimientos del particular versarán sobre los oficios firmados y notas informativas emitidos por el Tesorero y Regidores, los cuales  permiten la comunicación interinstitucional; y en algunos casos, entre los órganos de gobierno y los particulares. </w:t>
      </w:r>
    </w:p>
    <w:p w14:paraId="6E084AF8" w14:textId="77777777" w:rsidR="004D14B9" w:rsidRDefault="00E53A86">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rPr>
        <w:t xml:space="preserve">Bajo este tenor, sirve citar por </w:t>
      </w:r>
      <w:r>
        <w:rPr>
          <w:rFonts w:ascii="Palatino Linotype" w:eastAsia="Palatino Linotype" w:hAnsi="Palatino Linotype" w:cs="Palatino Linotype"/>
          <w:color w:val="222222"/>
        </w:rPr>
        <w:t>analogía los </w:t>
      </w:r>
      <w:r>
        <w:rPr>
          <w:rFonts w:ascii="Palatino Linotype" w:eastAsia="Palatino Linotype" w:hAnsi="Palatino Linotype" w:cs="Palatino Linotype"/>
          <w:b/>
          <w:color w:val="222222"/>
        </w:rPr>
        <w:t>Lineamientos para el trámite de la correspondencia de las unidades orgánicas del Poder Ejecutivo</w:t>
      </w:r>
      <w:r>
        <w:rPr>
          <w:rFonts w:ascii="Palatino Linotype" w:eastAsia="Palatino Linotype" w:hAnsi="Palatino Linotype" w:cs="Palatino Linotype"/>
          <w:color w:val="222222"/>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4F31003B" w14:textId="77777777" w:rsidR="004D14B9" w:rsidRDefault="00E53A86">
      <w:pPr>
        <w:shd w:val="clear" w:color="auto" w:fill="FFFFFF"/>
        <w:spacing w:after="120" w:line="276" w:lineRule="auto"/>
        <w:ind w:left="851" w:right="851"/>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0"/>
          <w:szCs w:val="20"/>
        </w:rPr>
        <w:t>“</w:t>
      </w:r>
      <w:r>
        <w:rPr>
          <w:rFonts w:ascii="Palatino Linotype" w:eastAsia="Palatino Linotype" w:hAnsi="Palatino Linotype" w:cs="Palatino Linotype"/>
          <w:b/>
          <w:i/>
          <w:color w:val="000000"/>
          <w:sz w:val="22"/>
          <w:szCs w:val="22"/>
        </w:rPr>
        <w:t>2. Objetivo</w:t>
      </w:r>
    </w:p>
    <w:p w14:paraId="25E2C641"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2. Objetivo</w:t>
      </w:r>
    </w:p>
    <w:p w14:paraId="07DC77E5"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Proporcionar a las áreas de recepción y despacho de correspondencia de las unidades orgánicas del Poder Ejecutivo</w:t>
      </w:r>
      <w:r>
        <w:rPr>
          <w:rFonts w:ascii="Palatino Linotype" w:eastAsia="Palatino Linotype" w:hAnsi="Palatino Linotype" w:cs="Palatino Linotype"/>
          <w:i/>
          <w:color w:val="000000"/>
          <w:sz w:val="22"/>
          <w:szCs w:val="22"/>
        </w:rPr>
        <w:t>, un instrumento técnico que les permita homogeneizar y </w:t>
      </w:r>
      <w:r>
        <w:rPr>
          <w:rFonts w:ascii="Palatino Linotype" w:eastAsia="Palatino Linotype" w:hAnsi="Palatino Linotype" w:cs="Palatino Linotype"/>
          <w:b/>
          <w:i/>
          <w:color w:val="000000"/>
          <w:sz w:val="22"/>
          <w:szCs w:val="22"/>
          <w:u w:val="single"/>
        </w:rPr>
        <w:t>eficientar los servicios de correspondencia, a fin de agilizar la comunicación formal así como coadyuvar a la oportuna toma de decisiones por parte de los servidores públicos</w:t>
      </w:r>
      <w:r>
        <w:rPr>
          <w:rFonts w:ascii="Palatino Linotype" w:eastAsia="Palatino Linotype" w:hAnsi="Palatino Linotype" w:cs="Palatino Linotype"/>
          <w:i/>
          <w:color w:val="000000"/>
          <w:sz w:val="22"/>
          <w:szCs w:val="22"/>
        </w:rPr>
        <w:t>.</w:t>
      </w:r>
    </w:p>
    <w:p w14:paraId="2FF03C39"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rPr>
        <w:t>Administración de documentos:</w:t>
      </w:r>
    </w:p>
    <w:p w14:paraId="2E431ABE"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u w:val="single"/>
        </w:rPr>
        <w:t>Conjunto de actividades vinculadas con la</w:t>
      </w:r>
      <w:r>
        <w:rPr>
          <w:rFonts w:ascii="Palatino Linotype" w:eastAsia="Palatino Linotype" w:hAnsi="Palatino Linotype" w:cs="Palatino Linotype"/>
          <w:i/>
          <w:color w:val="222222"/>
          <w:sz w:val="22"/>
          <w:szCs w:val="22"/>
        </w:rPr>
        <w:t> generación, adquisición</w:t>
      </w:r>
      <w:r>
        <w:rPr>
          <w:rFonts w:ascii="Palatino Linotype" w:eastAsia="Palatino Linotype" w:hAnsi="Palatino Linotype" w:cs="Palatino Linotype"/>
          <w:b/>
          <w:i/>
          <w:color w:val="222222"/>
          <w:sz w:val="22"/>
          <w:szCs w:val="22"/>
          <w:u w:val="single"/>
        </w:rPr>
        <w:t>, recepción</w:t>
      </w:r>
      <w:r>
        <w:rPr>
          <w:rFonts w:ascii="Palatino Linotype" w:eastAsia="Palatino Linotype" w:hAnsi="Palatino Linotype" w:cs="Palatino Linotype"/>
          <w:i/>
          <w:color w:val="222222"/>
          <w:sz w:val="22"/>
          <w:szCs w:val="22"/>
        </w:rPr>
        <w:t xml:space="preserve">, control, circulación, reproducción, organización, conservación, </w:t>
      </w:r>
      <w:r>
        <w:rPr>
          <w:rFonts w:ascii="Palatino Linotype" w:eastAsia="Palatino Linotype" w:hAnsi="Palatino Linotype" w:cs="Palatino Linotype"/>
          <w:i/>
          <w:color w:val="222222"/>
          <w:sz w:val="22"/>
          <w:szCs w:val="22"/>
        </w:rPr>
        <w:lastRenderedPageBreak/>
        <w:t>custodia, restauración, valoración, selección, eliminación</w:t>
      </w:r>
      <w:r>
        <w:rPr>
          <w:rFonts w:ascii="Palatino Linotype" w:eastAsia="Palatino Linotype" w:hAnsi="Palatino Linotype" w:cs="Palatino Linotype"/>
          <w:b/>
          <w:i/>
          <w:color w:val="222222"/>
          <w:sz w:val="22"/>
          <w:szCs w:val="22"/>
        </w:rPr>
        <w:t>, </w:t>
      </w:r>
      <w:r>
        <w:rPr>
          <w:rFonts w:ascii="Palatino Linotype" w:eastAsia="Palatino Linotype" w:hAnsi="Palatino Linotype" w:cs="Palatino Linotype"/>
          <w:b/>
          <w:i/>
          <w:color w:val="222222"/>
          <w:sz w:val="22"/>
          <w:szCs w:val="22"/>
          <w:u w:val="single"/>
        </w:rPr>
        <w:t>uso y divulgación de los documentos.</w:t>
      </w:r>
    </w:p>
    <w:p w14:paraId="5F65C22A"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Circulación documental:</w:t>
      </w:r>
    </w:p>
    <w:p w14:paraId="5DD6A89C" w14:textId="77777777" w:rsidR="004D14B9" w:rsidRDefault="00E53A86">
      <w:pPr>
        <w:shd w:val="clear" w:color="auto" w:fill="FFFFFF"/>
        <w:spacing w:after="120" w:line="276" w:lineRule="auto"/>
        <w:ind w:left="851" w:right="851"/>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222222"/>
          <w:sz w:val="22"/>
          <w:szCs w:val="22"/>
        </w:rPr>
        <w:t> </w:t>
      </w:r>
      <w:r>
        <w:rPr>
          <w:rFonts w:ascii="Palatino Linotype" w:eastAsia="Palatino Linotype" w:hAnsi="Palatino Linotype" w:cs="Palatino Linotype"/>
          <w:i/>
          <w:color w:val="222222"/>
          <w:sz w:val="22"/>
          <w:szCs w:val="22"/>
        </w:rPr>
        <w:t>Tratamiento que se da al documento desde su generación hasta la conclusión del trámite y la determinación de su destino final.</w:t>
      </w:r>
    </w:p>
    <w:p w14:paraId="0F0F6355"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 3. Conceptualización básica</w:t>
      </w:r>
    </w:p>
    <w:p w14:paraId="5C62749E"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w:t>
      </w:r>
    </w:p>
    <w:p w14:paraId="4820A8D7"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Circular:</w:t>
      </w:r>
    </w:p>
    <w:p w14:paraId="27FA18F9"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Pr>
          <w:rFonts w:ascii="Palatino Linotype" w:eastAsia="Palatino Linotype" w:hAnsi="Palatino Linotype" w:cs="Palatino Linotype"/>
          <w:i/>
          <w:color w:val="000000"/>
          <w:sz w:val="22"/>
          <w:szCs w:val="22"/>
        </w:rPr>
        <w:t>.</w:t>
      </w:r>
    </w:p>
    <w:p w14:paraId="409CCC44"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Control de correspondencia:</w:t>
      </w:r>
    </w:p>
    <w:p w14:paraId="5A55354D"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Proceso mediante el cual se registran los documentos a través de sistemas manuales o automatizados, para garantizar su destino y dar continuidad a la tramitación de asuntos.</w:t>
      </w:r>
    </w:p>
    <w:p w14:paraId="11EABAB2"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w:t>
      </w:r>
    </w:p>
    <w:p w14:paraId="7508EB78"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Correspondencia oficial:</w:t>
      </w:r>
    </w:p>
    <w:p w14:paraId="723E4C42"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Comunicaciones escritas que se producen, circulan y controlan entre las unidades orgánicas del Poder Ejecutivo Estatal.</w:t>
      </w:r>
    </w:p>
    <w:p w14:paraId="5B006EF2"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3AAD1434"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Documentación en trámite:</w:t>
      </w:r>
    </w:p>
    <w:p w14:paraId="1CECE403"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 xml:space="preserve">Documentos generados como consecuencia de los actos que, en ejercicio de sus atribuciones, produzcan o reciban los poderes Legislativo, Ejecutivo y </w:t>
      </w:r>
      <w:r>
        <w:rPr>
          <w:rFonts w:ascii="Palatino Linotype" w:eastAsia="Palatino Linotype" w:hAnsi="Palatino Linotype" w:cs="Palatino Linotype"/>
          <w:b/>
          <w:i/>
          <w:color w:val="000000"/>
          <w:sz w:val="22"/>
          <w:szCs w:val="22"/>
        </w:rPr>
        <w:lastRenderedPageBreak/>
        <w:t>Judicial, los municipios, los tribunales administrativos y los organismos auxiliares estatales y municipales, referentes a los asuntos en gestión</w:t>
      </w:r>
      <w:r>
        <w:rPr>
          <w:rFonts w:ascii="Palatino Linotype" w:eastAsia="Palatino Linotype" w:hAnsi="Palatino Linotype" w:cs="Palatino Linotype"/>
          <w:i/>
          <w:color w:val="000000"/>
          <w:sz w:val="22"/>
          <w:szCs w:val="22"/>
        </w:rPr>
        <w:t>.</w:t>
      </w:r>
    </w:p>
    <w:p w14:paraId="46F407C1"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Documento:</w:t>
      </w:r>
    </w:p>
    <w:p w14:paraId="1ADA4797"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Pr>
          <w:rFonts w:ascii="Palatino Linotype" w:eastAsia="Palatino Linotype" w:hAnsi="Palatino Linotype" w:cs="Palatino Linotype"/>
          <w:i/>
          <w:color w:val="000000"/>
          <w:sz w:val="22"/>
          <w:szCs w:val="22"/>
        </w:rPr>
        <w:t>.</w:t>
      </w:r>
    </w:p>
    <w:p w14:paraId="42F9227A"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6AAC8C1E"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Memorándum:</w:t>
      </w:r>
    </w:p>
    <w:p w14:paraId="78884704"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1F1968C7"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000000"/>
          <w:sz w:val="22"/>
          <w:szCs w:val="22"/>
        </w:rPr>
        <w:t>Oficio:</w:t>
      </w:r>
    </w:p>
    <w:p w14:paraId="2CD56BBE"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Pr>
          <w:rFonts w:ascii="Palatino Linotype" w:eastAsia="Palatino Linotype" w:hAnsi="Palatino Linotype" w:cs="Palatino Linotype"/>
          <w:i/>
          <w:color w:val="000000"/>
          <w:sz w:val="22"/>
          <w:szCs w:val="22"/>
        </w:rPr>
        <w:t>.</w:t>
      </w:r>
    </w:p>
    <w:p w14:paraId="12931C83"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Producción de documentos:</w:t>
      </w:r>
    </w:p>
    <w:p w14:paraId="30B981D1"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b/>
          <w:i/>
          <w:color w:val="000000"/>
          <w:sz w:val="22"/>
          <w:szCs w:val="22"/>
        </w:rPr>
        <w:t>Es la generación de los documentos con el objeto de cumplir un trámite determinado, en el desarrollo de toda gestión, a partir del razonamiento de que su producción es necesaria y útil</w:t>
      </w:r>
      <w:r>
        <w:rPr>
          <w:rFonts w:ascii="Palatino Linotype" w:eastAsia="Palatino Linotype" w:hAnsi="Palatino Linotype" w:cs="Palatino Linotype"/>
          <w:i/>
          <w:color w:val="000000"/>
          <w:sz w:val="22"/>
          <w:szCs w:val="22"/>
        </w:rPr>
        <w:t>.</w:t>
      </w:r>
    </w:p>
    <w:p w14:paraId="57B5F98E"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7B339320"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lastRenderedPageBreak/>
        <w:t> </w:t>
      </w:r>
      <w:r>
        <w:rPr>
          <w:rFonts w:ascii="Palatino Linotype" w:eastAsia="Palatino Linotype" w:hAnsi="Palatino Linotype" w:cs="Palatino Linotype"/>
          <w:b/>
          <w:i/>
          <w:color w:val="222222"/>
          <w:sz w:val="22"/>
          <w:szCs w:val="22"/>
        </w:rPr>
        <w:t>Recepción de documentos:</w:t>
      </w:r>
    </w:p>
    <w:p w14:paraId="04A02AF7"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 </w:t>
      </w:r>
      <w:r>
        <w:rPr>
          <w:rFonts w:ascii="Palatino Linotype" w:eastAsia="Palatino Linotype" w:hAnsi="Palatino Linotype" w:cs="Palatino Linotype"/>
          <w:b/>
          <w:i/>
          <w:color w:val="222222"/>
          <w:sz w:val="22"/>
          <w:szCs w:val="22"/>
          <w:u w:val="single"/>
        </w:rPr>
        <w:t>Acción de recibir e ingresar los documentos </w:t>
      </w:r>
      <w:r>
        <w:rPr>
          <w:rFonts w:ascii="Palatino Linotype" w:eastAsia="Palatino Linotype" w:hAnsi="Palatino Linotype" w:cs="Palatino Linotype"/>
          <w:i/>
          <w:color w:val="222222"/>
          <w:sz w:val="22"/>
          <w:szCs w:val="22"/>
        </w:rPr>
        <w:t>a las unidades orgánicas del Poder Ejecutivo Estatal </w:t>
      </w:r>
      <w:r>
        <w:rPr>
          <w:rFonts w:ascii="Palatino Linotype" w:eastAsia="Palatino Linotype" w:hAnsi="Palatino Linotype" w:cs="Palatino Linotype"/>
          <w:b/>
          <w:i/>
          <w:color w:val="222222"/>
          <w:sz w:val="22"/>
          <w:szCs w:val="22"/>
          <w:u w:val="single"/>
        </w:rPr>
        <w:t>para su atención, custodia o circulación</w:t>
      </w:r>
      <w:r>
        <w:rPr>
          <w:rFonts w:ascii="Palatino Linotype" w:eastAsia="Palatino Linotype" w:hAnsi="Palatino Linotype" w:cs="Palatino Linotype"/>
          <w:i/>
          <w:color w:val="222222"/>
          <w:sz w:val="22"/>
          <w:szCs w:val="22"/>
        </w:rPr>
        <w:t>.</w:t>
      </w:r>
    </w:p>
    <w:p w14:paraId="0F9CEE6B"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000000"/>
          <w:sz w:val="22"/>
          <w:szCs w:val="22"/>
        </w:rPr>
        <w:t>4. Lineamientos generales</w:t>
      </w:r>
    </w:p>
    <w:p w14:paraId="12734A8D"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2"/>
          <w:szCs w:val="22"/>
        </w:rPr>
      </w:pPr>
      <w:r>
        <w:rPr>
          <w:rFonts w:ascii="Palatino Linotype" w:eastAsia="Palatino Linotype" w:hAnsi="Palatino Linotype" w:cs="Palatino Linotype"/>
          <w:i/>
          <w:color w:val="000000"/>
          <w:sz w:val="22"/>
          <w:szCs w:val="22"/>
        </w:rPr>
        <w:t>…</w:t>
      </w:r>
    </w:p>
    <w:p w14:paraId="6BFFC83B" w14:textId="77777777" w:rsidR="004D14B9" w:rsidRDefault="00E53A86">
      <w:pPr>
        <w:shd w:val="clear" w:color="auto" w:fill="FFFFFF"/>
        <w:spacing w:after="120" w:line="276" w:lineRule="auto"/>
        <w:ind w:left="851" w:right="851"/>
        <w:jc w:val="both"/>
        <w:rPr>
          <w:rFonts w:ascii="Palatino Linotype" w:eastAsia="Palatino Linotype" w:hAnsi="Palatino Linotype" w:cs="Palatino Linotype"/>
          <w:color w:val="222222"/>
          <w:sz w:val="20"/>
          <w:szCs w:val="20"/>
        </w:rPr>
      </w:pPr>
      <w:r>
        <w:rPr>
          <w:rFonts w:ascii="Palatino Linotype" w:eastAsia="Palatino Linotype" w:hAnsi="Palatino Linotype" w:cs="Palatino Linotype"/>
          <w:i/>
          <w:color w:val="000000"/>
          <w:sz w:val="22"/>
          <w:szCs w:val="22"/>
        </w:rPr>
        <w:t>4.2 </w:t>
      </w:r>
      <w:r>
        <w:rPr>
          <w:rFonts w:ascii="Palatino Linotype" w:eastAsia="Palatino Linotype" w:hAnsi="Palatino Linotype" w:cs="Palatino Linotype"/>
          <w:b/>
          <w:i/>
          <w:color w:val="000000"/>
          <w:sz w:val="22"/>
          <w:szCs w:val="22"/>
        </w:rPr>
        <w:t>Las disposiciones establecidas en los presentes lineamientos son de </w:t>
      </w:r>
      <w:r>
        <w:rPr>
          <w:rFonts w:ascii="Palatino Linotype" w:eastAsia="Palatino Linotype" w:hAnsi="Palatino Linotype" w:cs="Palatino Linotype"/>
          <w:b/>
          <w:i/>
          <w:color w:val="000000"/>
          <w:sz w:val="22"/>
          <w:szCs w:val="22"/>
          <w:u w:val="single"/>
        </w:rPr>
        <w:t>observancia obligatoria para las unidades orgánicas del Poder Ejecutivo Estatal</w:t>
      </w:r>
      <w:r>
        <w:rPr>
          <w:rFonts w:ascii="Palatino Linotype" w:eastAsia="Palatino Linotype" w:hAnsi="Palatino Linotype" w:cs="Palatino Linotype"/>
          <w:i/>
          <w:color w:val="000000"/>
          <w:sz w:val="22"/>
          <w:szCs w:val="22"/>
          <w:u w:val="single"/>
        </w:rPr>
        <w:t>.</w:t>
      </w: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color w:val="000000"/>
          <w:sz w:val="20"/>
          <w:szCs w:val="20"/>
        </w:rPr>
        <w:t>”</w:t>
      </w:r>
    </w:p>
    <w:p w14:paraId="4EB16470" w14:textId="77777777" w:rsidR="004D14B9" w:rsidRDefault="00E53A86">
      <w:pPr>
        <w:shd w:val="clear" w:color="auto" w:fill="FFFFFF"/>
        <w:spacing w:before="240" w:after="240" w:line="360" w:lineRule="auto"/>
        <w:jc w:val="both"/>
        <w:rPr>
          <w:rFonts w:ascii="Palatino Linotype" w:eastAsia="Palatino Linotype" w:hAnsi="Palatino Linotype" w:cs="Palatino Linotype"/>
          <w:b/>
          <w:color w:val="222222"/>
        </w:rPr>
      </w:pPr>
      <w:r>
        <w:rPr>
          <w:rFonts w:ascii="Palatino Linotype" w:eastAsia="Palatino Linotype" w:hAnsi="Palatino Linotype" w:cs="Palatino Linotype"/>
          <w:color w:val="222222"/>
        </w:rPr>
        <w:t>De lo anteriormente vertido, se tiene que los documentos que sirven de comunicación entre las diferentes unidades administrativas de una institución pública pueden ser a través de circulares, memorándums u oficios,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Pr>
          <w:rFonts w:ascii="Palatino Linotype" w:eastAsia="Palatino Linotype" w:hAnsi="Palatino Linotype" w:cs="Palatino Linotype"/>
          <w:b/>
          <w:color w:val="222222"/>
        </w:rPr>
        <w:t>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0666F0D6" w14:textId="77777777" w:rsidR="004D14B9" w:rsidRDefault="00E53A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debe recordarse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que dio como origen la interposición del recurso de revisión </w:t>
      </w:r>
      <w:r>
        <w:rPr>
          <w:rFonts w:ascii="Palatino Linotype" w:eastAsia="Palatino Linotype" w:hAnsi="Palatino Linotype" w:cs="Palatino Linotype"/>
          <w:b/>
          <w:sz w:val="22"/>
          <w:szCs w:val="22"/>
        </w:rPr>
        <w:t>01759/INFOEM/IP/RR/2022</w:t>
      </w:r>
      <w:r>
        <w:rPr>
          <w:rFonts w:ascii="Palatino Linotype" w:eastAsia="Palatino Linotype" w:hAnsi="Palatino Linotype" w:cs="Palatino Linotype"/>
        </w:rPr>
        <w:t xml:space="preserve">, manifestó por conducto del Tesorero Municipal, que únicamente remitía las primeras veinte </w:t>
      </w:r>
      <w:r>
        <w:rPr>
          <w:rFonts w:ascii="Palatino Linotype" w:eastAsia="Palatino Linotype" w:hAnsi="Palatino Linotype" w:cs="Palatino Linotype"/>
        </w:rPr>
        <w:lastRenderedPageBreak/>
        <w:t xml:space="preserve">fojas de manera gratuita, sin embargo, para acceder a las 293 fojas, deberá cubrir el monto de </w:t>
      </w:r>
      <w:r>
        <w:rPr>
          <w:rFonts w:ascii="Palatino Linotype" w:eastAsia="Palatino Linotype" w:hAnsi="Palatino Linotype" w:cs="Palatino Linotype"/>
          <w:b/>
          <w:sz w:val="22"/>
          <w:szCs w:val="22"/>
        </w:rPr>
        <w:t>$471.23</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 xml:space="preserve">(CUATROCIENTOS SETENTA Y TRES PESOS 23/100 M.N), asimismo remitió el recibo de pago por esta cantidad, mientras que en su respuesta que dio como origen la interposición del recurso de revisión </w:t>
      </w:r>
      <w:r>
        <w:rPr>
          <w:rFonts w:ascii="Palatino Linotype" w:eastAsia="Palatino Linotype" w:hAnsi="Palatino Linotype" w:cs="Palatino Linotype"/>
          <w:b/>
          <w:sz w:val="22"/>
          <w:szCs w:val="22"/>
        </w:rPr>
        <w:t xml:space="preserve">01860/INFOEM/IP/RR/2022, </w:t>
      </w:r>
      <w:r>
        <w:rPr>
          <w:rFonts w:ascii="Palatino Linotype" w:eastAsia="Palatino Linotype" w:hAnsi="Palatino Linotype" w:cs="Palatino Linotype"/>
        </w:rPr>
        <w:t>le indicó que el costo a cubrir por 424 fojas</w:t>
      </w:r>
      <w:r>
        <w:rPr>
          <w:rFonts w:ascii="Palatino Linotype" w:eastAsia="Palatino Linotype" w:hAnsi="Palatino Linotype" w:cs="Palatino Linotype"/>
          <w:b/>
        </w:rPr>
        <w:t xml:space="preserve"> es de $893.08 </w:t>
      </w:r>
      <w:r>
        <w:rPr>
          <w:rFonts w:ascii="Palatino Linotype" w:eastAsia="Palatino Linotype" w:hAnsi="Palatino Linotype" w:cs="Palatino Linotype"/>
        </w:rPr>
        <w:t xml:space="preserve">(OCHOCIENTOS NOVENTA Y TRES PESOS 08/100 M.N), por lo que se concluye que en el presente asunto nos encontramos ante un cambio de modalidad de la entrega de información, toda vez que debemos recordar que se requirió vía SAIMEX, como se visualiza en las siguientes capturas de pantalla: </w:t>
      </w:r>
    </w:p>
    <w:p w14:paraId="3631F48B" w14:textId="77777777" w:rsidR="004D14B9" w:rsidRDefault="00E53A86">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 01759/INFOEM/IP/RR/2022:</w:t>
      </w:r>
    </w:p>
    <w:p w14:paraId="357F582E" w14:textId="77777777" w:rsidR="004D14B9" w:rsidRDefault="00E53A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6429C920" wp14:editId="3215BCAC">
            <wp:extent cx="5997883" cy="635070"/>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5997883" cy="635070"/>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1312" behindDoc="0" locked="0" layoutInCell="1" hidden="0" allowOverlap="1" wp14:anchorId="06F3E97B" wp14:editId="5650C2BD">
                <wp:simplePos x="0" y="0"/>
                <wp:positionH relativeFrom="column">
                  <wp:posOffset>12701</wp:posOffset>
                </wp:positionH>
                <wp:positionV relativeFrom="paragraph">
                  <wp:posOffset>114300</wp:posOffset>
                </wp:positionV>
                <wp:extent cx="1438275" cy="219075"/>
                <wp:effectExtent l="0" t="0" r="0" b="0"/>
                <wp:wrapNone/>
                <wp:docPr id="38" name="Rectángulo 38"/>
                <wp:cNvGraphicFramePr/>
                <a:graphic xmlns:a="http://schemas.openxmlformats.org/drawingml/2006/main">
                  <a:graphicData uri="http://schemas.microsoft.com/office/word/2010/wordprocessingShape">
                    <wps:wsp>
                      <wps:cNvSpPr/>
                      <wps:spPr>
                        <a:xfrm>
                          <a:off x="4641150" y="3684750"/>
                          <a:ext cx="1409700" cy="190500"/>
                        </a:xfrm>
                        <a:prstGeom prst="rect">
                          <a:avLst/>
                        </a:prstGeom>
                        <a:noFill/>
                        <a:ln w="28575" cap="flat" cmpd="sng">
                          <a:solidFill>
                            <a:srgbClr val="2F5496"/>
                          </a:solidFill>
                          <a:prstDash val="solid"/>
                          <a:miter lim="800000"/>
                          <a:headEnd type="none" w="sm" len="sm"/>
                          <a:tailEnd type="none" w="sm" len="sm"/>
                        </a:ln>
                      </wps:spPr>
                      <wps:txbx>
                        <w:txbxContent>
                          <w:p w14:paraId="10476040" w14:textId="77777777" w:rsidR="004D14B9" w:rsidRDefault="004D14B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12701</wp:posOffset>
                </wp:positionH>
                <wp:positionV relativeFrom="paragraph">
                  <wp:posOffset>114300</wp:posOffset>
                </wp:positionV>
                <wp:extent cx="1438275" cy="219075"/>
                <wp:effectExtent b="0" l="0" r="0" t="0"/>
                <wp:wrapNone/>
                <wp:docPr id="38" name="image21.png"/>
                <a:graphic>
                  <a:graphicData uri="http://schemas.openxmlformats.org/drawingml/2006/picture">
                    <pic:pic>
                      <pic:nvPicPr>
                        <pic:cNvPr id="0" name="image21.png"/>
                        <pic:cNvPicPr preferRelativeResize="0"/>
                      </pic:nvPicPr>
                      <pic:blipFill>
                        <a:blip r:embed="rId31"/>
                        <a:srcRect/>
                        <a:stretch>
                          <a:fillRect/>
                        </a:stretch>
                      </pic:blipFill>
                      <pic:spPr>
                        <a:xfrm>
                          <a:off x="0" y="0"/>
                          <a:ext cx="1438275" cy="219075"/>
                        </a:xfrm>
                        <a:prstGeom prst="rect"/>
                        <a:ln/>
                      </pic:spPr>
                    </pic:pic>
                  </a:graphicData>
                </a:graphic>
              </wp:anchor>
            </w:drawing>
          </mc:Fallback>
        </mc:AlternateContent>
      </w:r>
    </w:p>
    <w:p w14:paraId="7166B4D3" w14:textId="77777777" w:rsidR="004D14B9" w:rsidRDefault="00E53A86">
      <w:pPr>
        <w:spacing w:before="240" w:after="240" w:line="360" w:lineRule="auto"/>
        <w:ind w:right="4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 01860/INFOEM/IP/RR/2022:</w:t>
      </w:r>
    </w:p>
    <w:p w14:paraId="0C33F3DF" w14:textId="77777777" w:rsidR="004D14B9" w:rsidRDefault="00E53A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14:anchorId="734BA932" wp14:editId="38A6C984">
            <wp:extent cx="5914969" cy="586526"/>
            <wp:effectExtent l="0" t="0" r="0" b="0"/>
            <wp:docPr id="5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a:stretch>
                      <a:fillRect/>
                    </a:stretch>
                  </pic:blipFill>
                  <pic:spPr>
                    <a:xfrm>
                      <a:off x="0" y="0"/>
                      <a:ext cx="5914969" cy="586526"/>
                    </a:xfrm>
                    <a:prstGeom prst="rect">
                      <a:avLst/>
                    </a:prstGeom>
                    <a:ln/>
                  </pic:spPr>
                </pic:pic>
              </a:graphicData>
            </a:graphic>
          </wp:inline>
        </w:drawing>
      </w:r>
      <w:r>
        <w:rPr>
          <w:noProof/>
          <w:lang w:val="es-MX" w:eastAsia="es-MX"/>
        </w:rPr>
        <mc:AlternateContent>
          <mc:Choice Requires="wpg">
            <w:drawing>
              <wp:anchor distT="0" distB="0" distL="114300" distR="114300" simplePos="0" relativeHeight="251662336" behindDoc="0" locked="0" layoutInCell="1" hidden="0" allowOverlap="1" wp14:anchorId="718DAB96" wp14:editId="62FC8324">
                <wp:simplePos x="0" y="0"/>
                <wp:positionH relativeFrom="column">
                  <wp:posOffset>12701</wp:posOffset>
                </wp:positionH>
                <wp:positionV relativeFrom="paragraph">
                  <wp:posOffset>88900</wp:posOffset>
                </wp:positionV>
                <wp:extent cx="1409700" cy="247650"/>
                <wp:effectExtent l="0" t="0" r="0" b="0"/>
                <wp:wrapNone/>
                <wp:docPr id="37" name="Rectángulo 37"/>
                <wp:cNvGraphicFramePr/>
                <a:graphic xmlns:a="http://schemas.openxmlformats.org/drawingml/2006/main">
                  <a:graphicData uri="http://schemas.microsoft.com/office/word/2010/wordprocessingShape">
                    <wps:wsp>
                      <wps:cNvSpPr/>
                      <wps:spPr>
                        <a:xfrm>
                          <a:off x="4655438" y="3670463"/>
                          <a:ext cx="1381125" cy="219075"/>
                        </a:xfrm>
                        <a:prstGeom prst="rect">
                          <a:avLst/>
                        </a:prstGeom>
                        <a:noFill/>
                        <a:ln w="28575" cap="flat" cmpd="sng">
                          <a:solidFill>
                            <a:srgbClr val="31538F"/>
                          </a:solidFill>
                          <a:prstDash val="solid"/>
                          <a:miter lim="800000"/>
                          <a:headEnd type="none" w="sm" len="sm"/>
                          <a:tailEnd type="none" w="sm" len="sm"/>
                        </a:ln>
                      </wps:spPr>
                      <wps:txbx>
                        <w:txbxContent>
                          <w:p w14:paraId="5AF43592" w14:textId="77777777" w:rsidR="004D14B9" w:rsidRDefault="004D14B9">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1409700" cy="247650"/>
                <wp:effectExtent b="0" l="0" r="0" t="0"/>
                <wp:wrapNone/>
                <wp:docPr id="37"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1409700" cy="247650"/>
                        </a:xfrm>
                        <a:prstGeom prst="rect"/>
                        <a:ln/>
                      </pic:spPr>
                    </pic:pic>
                  </a:graphicData>
                </a:graphic>
              </wp:anchor>
            </w:drawing>
          </mc:Fallback>
        </mc:AlternateContent>
      </w:r>
    </w:p>
    <w:p w14:paraId="401F772C"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el cambio de modalidad manifestado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artículo 155, fracción V, de la Ley de Transparencia y Acceso a la Información Pública del Estado de México y Municipios, precisa que para presentar una solicitud, la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xml:space="preserve">, la cual podrá ser verbal, siempre y cuando sea para fines de orientación, mediante </w:t>
      </w:r>
      <w:r>
        <w:rPr>
          <w:rFonts w:ascii="Palatino Linotype" w:eastAsia="Palatino Linotype" w:hAnsi="Palatino Linotype" w:cs="Palatino Linotype"/>
        </w:rPr>
        <w:lastRenderedPageBreak/>
        <w:t>consulta directa, mediante la expedición de copias simples o certificadas o la reproducción en cualquier otro medio, incluidos los electrónicos.</w:t>
      </w:r>
    </w:p>
    <w:p w14:paraId="122B9F90" w14:textId="77777777" w:rsidR="004D14B9" w:rsidRDefault="004D14B9">
      <w:pPr>
        <w:spacing w:line="360" w:lineRule="auto"/>
        <w:jc w:val="both"/>
        <w:rPr>
          <w:rFonts w:ascii="Palatino Linotype" w:eastAsia="Palatino Linotype" w:hAnsi="Palatino Linotype" w:cs="Palatino Linotype"/>
        </w:rPr>
      </w:pPr>
    </w:p>
    <w:p w14:paraId="2E952337"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Pr>
          <w:rFonts w:ascii="Palatino Linotype" w:eastAsia="Palatino Linotype" w:hAnsi="Palatino Linotype" w:cs="Palatino Linotype"/>
          <w:b/>
        </w:rPr>
        <w:t>Cuando la información no pueda entregarse o enviarse en la modalidad elegida, 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w:t>
      </w:r>
      <w:r>
        <w:rPr>
          <w:rFonts w:ascii="Palatino Linotype" w:eastAsia="Palatino Linotype" w:hAnsi="Palatino Linotype" w:cs="Palatino Linotype"/>
        </w:rPr>
        <w:t xml:space="preserve"> la necesidad de ofrecer otras modalidades.</w:t>
      </w:r>
    </w:p>
    <w:p w14:paraId="2A74CEE5" w14:textId="77777777" w:rsidR="004D14B9" w:rsidRDefault="004D14B9">
      <w:pPr>
        <w:spacing w:line="360" w:lineRule="auto"/>
        <w:jc w:val="both"/>
        <w:rPr>
          <w:rFonts w:ascii="Palatino Linotype" w:eastAsia="Palatino Linotype" w:hAnsi="Palatino Linotype" w:cs="Palatino Linotype"/>
        </w:rPr>
      </w:pPr>
    </w:p>
    <w:p w14:paraId="5E31FFD4"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3F3063A6" w14:textId="77777777" w:rsidR="004D14B9" w:rsidRDefault="004D14B9">
      <w:pPr>
        <w:spacing w:line="360" w:lineRule="auto"/>
        <w:jc w:val="both"/>
        <w:rPr>
          <w:rFonts w:ascii="Palatino Linotype" w:eastAsia="Palatino Linotype" w:hAnsi="Palatino Linotype" w:cs="Palatino Linotype"/>
        </w:rPr>
      </w:pPr>
    </w:p>
    <w:p w14:paraId="3E6BA5E8"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xml:space="preserve">, como consulta directa en las oficinas de la Unidad de Transparencia; lo anterior, es robustecido con </w:t>
      </w:r>
      <w:r>
        <w:rPr>
          <w:rFonts w:ascii="Palatino Linotype" w:eastAsia="Palatino Linotype" w:hAnsi="Palatino Linotype" w:cs="Palatino Linotype"/>
        </w:rPr>
        <w:lastRenderedPageBreak/>
        <w:t>el Criterio 08/17, emitido por el Pleno del Instituto Nacional de Transparencia, Acceso a la Información y Protección de Datos Personales, el cual establece lo siguiente:</w:t>
      </w:r>
    </w:p>
    <w:p w14:paraId="42C87D83" w14:textId="77777777" w:rsidR="004D14B9" w:rsidRDefault="004D14B9">
      <w:pPr>
        <w:spacing w:line="360" w:lineRule="auto"/>
        <w:jc w:val="both"/>
        <w:rPr>
          <w:rFonts w:ascii="Palatino Linotype" w:eastAsia="Palatino Linotype" w:hAnsi="Palatino Linotype" w:cs="Palatino Linotype"/>
        </w:rPr>
      </w:pPr>
    </w:p>
    <w:p w14:paraId="2083E854" w14:textId="77777777" w:rsidR="004D14B9" w:rsidRDefault="00E53A86">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7F749AE7" w14:textId="77777777" w:rsidR="004D14B9" w:rsidRDefault="004D14B9">
      <w:pPr>
        <w:spacing w:line="360" w:lineRule="auto"/>
        <w:jc w:val="both"/>
        <w:rPr>
          <w:rFonts w:ascii="Palatino Linotype" w:eastAsia="Palatino Linotype" w:hAnsi="Palatino Linotype" w:cs="Palatino Linotype"/>
        </w:rPr>
      </w:pPr>
    </w:p>
    <w:p w14:paraId="37679F8E" w14:textId="77777777" w:rsidR="004D14B9" w:rsidRDefault="00E53A8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rFonts w:ascii="Palatino Linotype" w:eastAsia="Palatino Linotype" w:hAnsi="Palatino Linotype" w:cs="Palatino Linotype"/>
          <w:b/>
        </w:rPr>
        <w:t>información en todas las modalidades que lo permitan, procurando reducir los costos de entrega.</w:t>
      </w:r>
    </w:p>
    <w:p w14:paraId="1D60EC5F" w14:textId="77777777" w:rsidR="004D14B9" w:rsidRDefault="004D14B9">
      <w:pPr>
        <w:spacing w:line="360" w:lineRule="auto"/>
        <w:jc w:val="both"/>
        <w:rPr>
          <w:rFonts w:ascii="Palatino Linotype" w:eastAsia="Palatino Linotype" w:hAnsi="Palatino Linotype" w:cs="Palatino Linotype"/>
          <w:sz w:val="22"/>
          <w:szCs w:val="22"/>
        </w:rPr>
      </w:pPr>
    </w:p>
    <w:p w14:paraId="2A58AD90"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este Instituto considera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precisó las razones por las cuales la información solicitada no podía ser proporcionada a través del Sistema de Acceso a la Información (SAIMEX) ya que el cambio de modalidad no es procedente sin la debida fundamentación y motivación.</w:t>
      </w:r>
    </w:p>
    <w:p w14:paraId="270737DE"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Sobre el cobro por la expedición de copias simples, hecho valer por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debemos partir de la premisa de que el ejercicio del derecho de acceso a la información, conlleva la observancia de  principios rectores que consisten en las bases, fundamentos o los parámetros fundamentales que permitan el ejercicio de la </w:t>
      </w:r>
      <w:r>
        <w:rPr>
          <w:rFonts w:ascii="Palatino Linotype" w:eastAsia="Palatino Linotype" w:hAnsi="Palatino Linotype" w:cs="Palatino Linotype"/>
          <w:color w:val="222222"/>
        </w:rPr>
        <w:lastRenderedPageBreak/>
        <w:t>garantía que posee toda persona para atraerse de información, informar y ser informada, estableciéndose de manera genérica, los principios de acceso universal, de máxima publicidad, </w:t>
      </w:r>
      <w:r>
        <w:rPr>
          <w:rFonts w:ascii="Palatino Linotype" w:eastAsia="Palatino Linotype" w:hAnsi="Palatino Linotype" w:cs="Palatino Linotype"/>
          <w:i/>
          <w:color w:val="222222"/>
        </w:rPr>
        <w:t>de gratuidad</w:t>
      </w:r>
      <w:r>
        <w:rPr>
          <w:rFonts w:ascii="Palatino Linotype" w:eastAsia="Palatino Linotype" w:hAnsi="Palatino Linotype" w:cs="Palatino Linotype"/>
          <w:color w:val="222222"/>
        </w:rPr>
        <w:t>, de certeza, de celeridad, de objetividad,  entre otros.</w:t>
      </w:r>
    </w:p>
    <w:p w14:paraId="5AF70F39"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530FD3CC"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Pr>
          <w:rFonts w:ascii="Palatino Linotype" w:eastAsia="Palatino Linotype" w:hAnsi="Palatino Linotype" w:cs="Palatino Linotype"/>
          <w:i/>
          <w:color w:val="222222"/>
        </w:rPr>
        <w:t>reproducción </w:t>
      </w:r>
      <w:r>
        <w:rPr>
          <w:rFonts w:ascii="Palatino Linotype" w:eastAsia="Palatino Linotype" w:hAnsi="Palatino Linotype" w:cs="Palatino Linotype"/>
          <w:color w:val="222222"/>
        </w:rPr>
        <w:t>de la información, y en su caso del costo de </w:t>
      </w:r>
      <w:r>
        <w:rPr>
          <w:rFonts w:ascii="Palatino Linotype" w:eastAsia="Palatino Linotype" w:hAnsi="Palatino Linotype" w:cs="Palatino Linotype"/>
          <w:i/>
          <w:color w:val="222222"/>
        </w:rPr>
        <w:t>envío</w:t>
      </w:r>
      <w:r>
        <w:rPr>
          <w:rFonts w:ascii="Palatino Linotype" w:eastAsia="Palatino Linotype" w:hAnsi="Palatino Linotype" w:cs="Palatino Linotype"/>
          <w:color w:val="222222"/>
        </w:rPr>
        <w:t>, finalmente, conlleva implícitamente un esfuerzo por parte de los Sujetos Obligados para reducir los costos de entrega de la información.</w:t>
      </w:r>
    </w:p>
    <w:p w14:paraId="213D2E00"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Atento a lo anterior, nuestro texto constitucional federal, así como el local,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w:t>
      </w:r>
      <w:r>
        <w:rPr>
          <w:rFonts w:ascii="Palatino Linotype" w:eastAsia="Palatino Linotype" w:hAnsi="Palatino Linotype" w:cs="Palatino Linotype"/>
          <w:color w:val="222222"/>
        </w:rPr>
        <w:lastRenderedPageBreak/>
        <w:t>jamás puede tener efectos recaudatorios, al menos que la reproducción de la información sea en fotocopias, respaldos informativos, entre otros.</w:t>
      </w:r>
    </w:p>
    <w:p w14:paraId="431A7743"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Pr>
          <w:rFonts w:ascii="Palatino Linotype" w:eastAsia="Palatino Linotype" w:hAnsi="Palatino Linotype" w:cs="Palatino Linotype"/>
          <w:i/>
          <w:color w:val="222222"/>
        </w:rPr>
        <w:t>gratuitos</w:t>
      </w:r>
      <w:r>
        <w:rPr>
          <w:rFonts w:ascii="Palatino Linotype" w:eastAsia="Palatino Linotype" w:hAnsi="Palatino Linotype" w:cs="Palatino Linotype"/>
          <w:color w:val="222222"/>
        </w:rPr>
        <w:t>,  refiere en los artículos 17 y 150, que la búsqueda y acceso a la información es gratuita y </w:t>
      </w:r>
      <w:r>
        <w:rPr>
          <w:rFonts w:ascii="Palatino Linotype" w:eastAsia="Palatino Linotype" w:hAnsi="Palatino Linotype" w:cs="Palatino Linotype"/>
          <w:i/>
          <w:color w:val="222222"/>
        </w:rPr>
        <w:t>sólo se cubrirá en su caso, los gastos de reproducción</w:t>
      </w:r>
      <w:r>
        <w:rPr>
          <w:rFonts w:ascii="Palatino Linotype" w:eastAsia="Palatino Linotype" w:hAnsi="Palatino Linotype" w:cs="Palatino Linotype"/>
          <w:color w:val="222222"/>
        </w:rPr>
        <w:t>, por la modalidad de entrega solicitada, </w:t>
      </w:r>
      <w:r>
        <w:rPr>
          <w:rFonts w:ascii="Palatino Linotype" w:eastAsia="Palatino Linotype" w:hAnsi="Palatino Linotype" w:cs="Palatino Linotype"/>
          <w:i/>
          <w:color w:val="222222"/>
        </w:rPr>
        <w:t>o por él envió</w:t>
      </w:r>
      <w:r>
        <w:rPr>
          <w:rFonts w:ascii="Palatino Linotype" w:eastAsia="Palatino Linotype" w:hAnsi="Palatino Linotype" w:cs="Palatino Linotype"/>
          <w:color w:val="222222"/>
        </w:rPr>
        <w:t> de conformidad con los derechos, productos y aprovechamientos establecidos en la legislación aplicable, en razón de que el procedimiento de acceso a la información es la garantía primaria del derecho en cuestión y </w:t>
      </w:r>
      <w:r>
        <w:rPr>
          <w:rFonts w:ascii="Palatino Linotype" w:eastAsia="Palatino Linotype" w:hAnsi="Palatino Linotype" w:cs="Palatino Linotype"/>
          <w:i/>
          <w:color w:val="222222"/>
        </w:rPr>
        <w:t>se rige por los principios de simplicidad, rapidez, gratuidad,</w:t>
      </w:r>
      <w:r>
        <w:rPr>
          <w:rFonts w:ascii="Palatino Linotype" w:eastAsia="Palatino Linotype" w:hAnsi="Palatino Linotype" w:cs="Palatino Linotype"/>
          <w:color w:val="222222"/>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695E2732"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Pr>
          <w:rFonts w:ascii="Palatino Linotype" w:eastAsia="Palatino Linotype" w:hAnsi="Palatino Linotype" w:cs="Palatino Linotype"/>
          <w:i/>
          <w:color w:val="222222"/>
        </w:rPr>
        <w:t>en caso de que se tenga que generar un gasto por la reproducción, por el envío, o por la modalidad de entrega solicitada,</w:t>
      </w:r>
      <w:r>
        <w:rPr>
          <w:rFonts w:ascii="Palatino Linotype" w:eastAsia="Palatino Linotype" w:hAnsi="Palatino Linotype" w:cs="Palatino Linotype"/>
          <w:color w:val="222222"/>
        </w:rPr>
        <w:t xml:space="preserve"> supuestos que encuadran con lo  establecido en los artículos 9 fracción III, 17, 165, 174, 175 de la Ley de Acceso a la Información Pública del Estado de México y Municipios, así como el </w:t>
      </w:r>
      <w:r>
        <w:rPr>
          <w:rFonts w:ascii="Palatino Linotype" w:eastAsia="Palatino Linotype" w:hAnsi="Palatino Linotype" w:cs="Palatino Linotype"/>
          <w:color w:val="222222"/>
        </w:rPr>
        <w:lastRenderedPageBreak/>
        <w:t>artículo 4.22 de su Reglamento, para lo cual es necesario hacer referencia a los mismos en su parte conducente:</w:t>
      </w:r>
    </w:p>
    <w:p w14:paraId="5C128B8B"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“Artículo 9. </w:t>
      </w:r>
      <w:r>
        <w:rPr>
          <w:rFonts w:ascii="Palatino Linotype" w:eastAsia="Palatino Linotype" w:hAnsi="Palatino Linotype" w:cs="Palatino Linotype"/>
          <w:i/>
          <w:color w:val="222222"/>
          <w:sz w:val="22"/>
          <w:szCs w:val="22"/>
        </w:rPr>
        <w:t>El Instituto deberá regir su funcionamiento de acuerdo a los siguientes principios:</w:t>
      </w:r>
    </w:p>
    <w:p w14:paraId="4E80404B"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w:t>
      </w:r>
    </w:p>
    <w:p w14:paraId="292F4D32"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III. Gratuidad: </w:t>
      </w:r>
      <w:r>
        <w:rPr>
          <w:rFonts w:ascii="Palatino Linotype" w:eastAsia="Palatino Linotype" w:hAnsi="Palatino Linotype" w:cs="Palatino Linotype"/>
          <w:i/>
          <w:color w:val="222222"/>
          <w:sz w:val="22"/>
          <w:szCs w:val="22"/>
        </w:rPr>
        <w:t>Consiste en que el acceso a la información pública no genera costo alguno para los solicitantes, </w:t>
      </w:r>
      <w:r>
        <w:rPr>
          <w:rFonts w:ascii="Palatino Linotype" w:eastAsia="Palatino Linotype" w:hAnsi="Palatino Linotype" w:cs="Palatino Linotype"/>
          <w:b/>
          <w:i/>
          <w:color w:val="222222"/>
          <w:sz w:val="22"/>
          <w:szCs w:val="22"/>
        </w:rPr>
        <w:t>sólo podrá requerirse el cobro correspondiente a la modalidad de reproducción y entrega solicitada </w:t>
      </w:r>
      <w:r>
        <w:rPr>
          <w:rFonts w:ascii="Palatino Linotype" w:eastAsia="Palatino Linotype" w:hAnsi="Palatino Linotype" w:cs="Palatino Linotype"/>
          <w:i/>
          <w:color w:val="222222"/>
          <w:sz w:val="22"/>
          <w:szCs w:val="22"/>
        </w:rPr>
        <w:t>conforme a lo establecido en la presente Ley y demás disposiciones jurídicas aplicables;</w:t>
      </w:r>
    </w:p>
    <w:p w14:paraId="16B149BD"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w:t>
      </w:r>
    </w:p>
    <w:p w14:paraId="2A669195"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Artículo 17. </w:t>
      </w:r>
      <w:r>
        <w:rPr>
          <w:rFonts w:ascii="Palatino Linotype" w:eastAsia="Palatino Linotype" w:hAnsi="Palatino Linotype" w:cs="Palatino Linotype"/>
          <w:i/>
          <w:color w:val="222222"/>
          <w:sz w:val="22"/>
          <w:szCs w:val="22"/>
        </w:rPr>
        <w:t>La búsqueda y acceso a la información es gratuita y </w:t>
      </w:r>
      <w:r>
        <w:rPr>
          <w:rFonts w:ascii="Palatino Linotype" w:eastAsia="Palatino Linotype" w:hAnsi="Palatino Linotype" w:cs="Palatino Linotype"/>
          <w:b/>
          <w:i/>
          <w:color w:val="222222"/>
          <w:sz w:val="22"/>
          <w:szCs w:val="22"/>
        </w:rPr>
        <w:t>solo se cubrirán los gastos de reproducción, o por la modalidad de entrega solicitada</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así como por el envío</w:t>
      </w:r>
      <w:r>
        <w:rPr>
          <w:rFonts w:ascii="Palatino Linotype" w:eastAsia="Palatino Linotype" w:hAnsi="Palatino Linotype" w:cs="Palatino Linotype"/>
          <w:i/>
          <w:color w:val="222222"/>
          <w:sz w:val="22"/>
          <w:szCs w:val="22"/>
        </w:rPr>
        <w:t>, que en su caso se genere, de conformidad con los derechos, productos y aprovechamientos establecidos en la legislación aplicable, sin que exceda de los límites establecidos en la presente Ley.</w:t>
      </w:r>
    </w:p>
    <w:p w14:paraId="3BEBC444"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w:t>
      </w:r>
    </w:p>
    <w:p w14:paraId="5ED534F3"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Artículo 165. …</w:t>
      </w:r>
    </w:p>
    <w:p w14:paraId="345D3CB9"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La información que se entregue en versión pública, </w:t>
      </w:r>
      <w:r>
        <w:rPr>
          <w:rFonts w:ascii="Palatino Linotype" w:eastAsia="Palatino Linotype" w:hAnsi="Palatino Linotype" w:cs="Palatino Linotype"/>
          <w:b/>
          <w:i/>
          <w:color w:val="222222"/>
          <w:sz w:val="22"/>
          <w:szCs w:val="22"/>
        </w:rPr>
        <w:t>cuya modalidad de reproducción o envío tenga un costo, </w:t>
      </w:r>
      <w:r>
        <w:rPr>
          <w:rFonts w:ascii="Palatino Linotype" w:eastAsia="Palatino Linotype" w:hAnsi="Palatino Linotype" w:cs="Palatino Linotype"/>
          <w:i/>
          <w:color w:val="222222"/>
          <w:sz w:val="22"/>
          <w:szCs w:val="22"/>
        </w:rPr>
        <w:t>procederá una vez que se acredite el pago respectivo. No puede entenderse como reproducción la elaboración de la misma.</w:t>
      </w:r>
    </w:p>
    <w:p w14:paraId="77EF5501"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w:t>
      </w:r>
    </w:p>
    <w:p w14:paraId="339CF25D"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 Artículo 174. En caso de existir costos para obtener la información</w:t>
      </w:r>
      <w:r>
        <w:rPr>
          <w:rFonts w:ascii="Palatino Linotype" w:eastAsia="Palatino Linotype" w:hAnsi="Palatino Linotype" w:cs="Palatino Linotype"/>
          <w:i/>
          <w:color w:val="222222"/>
          <w:sz w:val="22"/>
          <w:szCs w:val="22"/>
        </w:rPr>
        <w:t> deberán cubrirse de manera previa a la entrega y </w:t>
      </w:r>
      <w:r>
        <w:rPr>
          <w:rFonts w:ascii="Palatino Linotype" w:eastAsia="Palatino Linotype" w:hAnsi="Palatino Linotype" w:cs="Palatino Linotype"/>
          <w:b/>
          <w:i/>
          <w:color w:val="222222"/>
          <w:sz w:val="22"/>
          <w:szCs w:val="22"/>
        </w:rPr>
        <w:t>no podrán ser superiores a la suma de</w:t>
      </w:r>
      <w:r>
        <w:rPr>
          <w:rFonts w:ascii="Palatino Linotype" w:eastAsia="Palatino Linotype" w:hAnsi="Palatino Linotype" w:cs="Palatino Linotype"/>
          <w:i/>
          <w:color w:val="222222"/>
          <w:sz w:val="22"/>
          <w:szCs w:val="22"/>
        </w:rPr>
        <w:t>:</w:t>
      </w:r>
    </w:p>
    <w:p w14:paraId="270A9BF3"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I.</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El costo de los materiales utilizados en la reproducción</w:t>
      </w:r>
      <w:r>
        <w:rPr>
          <w:rFonts w:ascii="Palatino Linotype" w:eastAsia="Palatino Linotype" w:hAnsi="Palatino Linotype" w:cs="Palatino Linotype"/>
          <w:i/>
          <w:color w:val="222222"/>
          <w:sz w:val="22"/>
          <w:szCs w:val="22"/>
        </w:rPr>
        <w:t> de la información;</w:t>
      </w:r>
    </w:p>
    <w:p w14:paraId="5D0D7BAA"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II.</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El costo de envío</w:t>
      </w:r>
      <w:r>
        <w:rPr>
          <w:rFonts w:ascii="Palatino Linotype" w:eastAsia="Palatino Linotype" w:hAnsi="Palatino Linotype" w:cs="Palatino Linotype"/>
          <w:i/>
          <w:color w:val="222222"/>
          <w:sz w:val="22"/>
          <w:szCs w:val="22"/>
        </w:rPr>
        <w:t>, en su caso; y</w:t>
      </w:r>
    </w:p>
    <w:p w14:paraId="694E000C"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b/>
          <w:i/>
          <w:color w:val="222222"/>
          <w:sz w:val="22"/>
          <w:szCs w:val="22"/>
        </w:rPr>
        <w:t>III.</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b/>
          <w:i/>
          <w:color w:val="222222"/>
          <w:sz w:val="22"/>
          <w:szCs w:val="22"/>
        </w:rPr>
        <w:t>El pago de la certificación de los documentos</w:t>
      </w:r>
      <w:r>
        <w:rPr>
          <w:rFonts w:ascii="Palatino Linotype" w:eastAsia="Palatino Linotype" w:hAnsi="Palatino Linotype" w:cs="Palatino Linotype"/>
          <w:i/>
          <w:color w:val="222222"/>
          <w:sz w:val="22"/>
          <w:szCs w:val="22"/>
        </w:rPr>
        <w:t>, cuando proceda.</w:t>
      </w:r>
    </w:p>
    <w:p w14:paraId="7064BDA6"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Las cuotas de los derechos aplicables deberán establecerse, en su caso, en el </w:t>
      </w:r>
      <w:r>
        <w:rPr>
          <w:rFonts w:ascii="Palatino Linotype" w:eastAsia="Palatino Linotype" w:hAnsi="Palatino Linotype" w:cs="Palatino Linotype"/>
          <w:b/>
          <w:i/>
          <w:color w:val="222222"/>
          <w:sz w:val="22"/>
          <w:szCs w:val="22"/>
        </w:rPr>
        <w:t>Código Financiero del Estado de México y Municipios</w:t>
      </w:r>
      <w:r>
        <w:rPr>
          <w:rFonts w:ascii="Palatino Linotype" w:eastAsia="Palatino Linotype" w:hAnsi="Palatino Linotype" w:cs="Palatino Linotype"/>
          <w:i/>
          <w:color w:val="222222"/>
          <w:sz w:val="22"/>
          <w:szCs w:val="22"/>
        </w:rPr>
        <w:t> y demás disposiciones jurídicas aplicables, las cuales se publicarán en los sitios de internet de los sujetos obligados…”</w:t>
      </w:r>
    </w:p>
    <w:p w14:paraId="63CC7BB8" w14:textId="77777777" w:rsidR="004D14B9" w:rsidRDefault="00E53A86">
      <w:pPr>
        <w:shd w:val="clear" w:color="auto" w:fill="FFFFFF"/>
        <w:spacing w:before="120" w:after="120"/>
        <w:ind w:left="567" w:right="902"/>
        <w:jc w:val="both"/>
        <w:rPr>
          <w:color w:val="222222"/>
        </w:rPr>
      </w:pPr>
      <w:r>
        <w:rPr>
          <w:rFonts w:ascii="Palatino Linotype" w:eastAsia="Palatino Linotype" w:hAnsi="Palatino Linotype" w:cs="Palatino Linotype"/>
          <w:i/>
          <w:color w:val="222222"/>
          <w:sz w:val="22"/>
          <w:szCs w:val="22"/>
        </w:rPr>
        <w:t>(...)</w:t>
      </w:r>
    </w:p>
    <w:p w14:paraId="36B329C5" w14:textId="77777777" w:rsidR="004D14B9" w:rsidRDefault="00E53A86">
      <w:pPr>
        <w:shd w:val="clear" w:color="auto" w:fill="FFFFFF"/>
        <w:spacing w:before="120" w:after="120"/>
        <w:ind w:left="567" w:right="709"/>
        <w:jc w:val="both"/>
        <w:rPr>
          <w:color w:val="222222"/>
        </w:rPr>
      </w:pPr>
      <w:r>
        <w:rPr>
          <w:rFonts w:ascii="Palatino Linotype" w:eastAsia="Palatino Linotype" w:hAnsi="Palatino Linotype" w:cs="Palatino Linotype"/>
          <w:b/>
          <w:i/>
          <w:color w:val="222222"/>
          <w:sz w:val="22"/>
          <w:szCs w:val="22"/>
        </w:rPr>
        <w:lastRenderedPageBreak/>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14:paraId="125641F0" w14:textId="77777777" w:rsidR="004D14B9" w:rsidRDefault="00E53A86">
      <w:pPr>
        <w:shd w:val="clear" w:color="auto" w:fill="FFFFFF"/>
        <w:spacing w:before="120" w:after="120"/>
        <w:ind w:left="567" w:right="709"/>
        <w:jc w:val="both"/>
        <w:rPr>
          <w:color w:val="222222"/>
        </w:rPr>
      </w:pPr>
      <w:r>
        <w:rPr>
          <w:rFonts w:ascii="Palatino Linotype" w:eastAsia="Palatino Linotype" w:hAnsi="Palatino Linotype" w:cs="Palatino Linotype"/>
          <w:b/>
          <w:i/>
          <w:color w:val="222222"/>
          <w:sz w:val="22"/>
          <w:szCs w:val="22"/>
        </w:rPr>
        <w:t>En ningún caso, el pago de derechos deberá exceder el costo de reproducción de la información en el material solicitado</w:t>
      </w:r>
      <w:r>
        <w:rPr>
          <w:rFonts w:ascii="Palatino Linotype" w:eastAsia="Palatino Linotype" w:hAnsi="Palatino Linotype" w:cs="Palatino Linotype"/>
          <w:i/>
          <w:color w:val="222222"/>
          <w:sz w:val="22"/>
          <w:szCs w:val="22"/>
        </w:rPr>
        <w:t>. Los ajustes razonables que se realicen para el acceso de la información de solicitantes con discapacidad serán sin costo para los mismos.”</w:t>
      </w:r>
    </w:p>
    <w:p w14:paraId="122C3FB9"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En efecto, de los preceptos citados se desprende que Ley de la Materia estableció el cobro de derechos para la entrega de la información, con el objeto de que se cubran los costos de los materiales utilizados en la reproducción de la información, el costo por él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Sujeto Obligado que expida copias simples, certificadas o que reproduzca la información que ya asumió poseer, en cualquier otro medio físico, sino que proporcione la información de manera electrónica, en otras palabras, con la finalidad de satisfacer la solicitud, no es necesario que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realice una reproducción física de la información que conserva en sus archivos, más bien implicaría entregar aquellos documentos que por su naturaleza posee en formato electrónico, y en su caso, la digitalización o escaneo de aquella que se encuentre en medio físico..</w:t>
      </w:r>
    </w:p>
    <w:p w14:paraId="46956423"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Por ende, contrario a lo sostenido por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la digitalización o escaneo de la información, no conlleva la utilización de materiales que le generen un costo, como podría serlo por ejemplo hojas de papel para la emisión de copias; así tampoco </w:t>
      </w:r>
      <w:r>
        <w:rPr>
          <w:rFonts w:ascii="Palatino Linotype" w:eastAsia="Palatino Linotype" w:hAnsi="Palatino Linotype" w:cs="Palatino Linotype"/>
          <w:color w:val="222222"/>
        </w:rPr>
        <w:lastRenderedPageBreak/>
        <w:t>se genera un gasto por el envío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 de igual manera en el caso no se actualiza el cobro, ya que la parte solicitante no requirió la entrega en dicha modalidad.</w:t>
      </w:r>
    </w:p>
    <w:p w14:paraId="6C2F7AF0"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ningún costo, incluyendo aquella que se hubiera digitalizado previamente por cualquier motivo, y aún menos en aquellos casos en que la modalidad de entrega sea por medio de la plataforma o vía electrónica.</w:t>
      </w:r>
    </w:p>
    <w:p w14:paraId="748C3C6D"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 xml:space="preserve">Por lo que no existe presupuesto jurídico que autorice al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a requerir un pago para entregar la información vía SAIMEX, debido a que dicho sistema fue creado para facilitar el registro y atención de las solicitudes de información, y es su </w:t>
      </w:r>
      <w:r>
        <w:rPr>
          <w:rFonts w:ascii="Palatino Linotype" w:eastAsia="Palatino Linotype" w:hAnsi="Palatino Linotype" w:cs="Palatino Linotype"/>
          <w:color w:val="222222"/>
        </w:rPr>
        <w:lastRenderedPageBreak/>
        <w:t>obligación trasladar la información de un soporte físico a uno electrónico y cuidar que los medios electrónicos o impresos en los que conste tanto información pública, como confidencial y reservada se entreguen en versión pública en los casos que eso resulte necesario.</w:t>
      </w:r>
    </w:p>
    <w:p w14:paraId="42F70986" w14:textId="77777777" w:rsidR="004D14B9" w:rsidRDefault="00E53A86">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1A353120" w14:textId="77777777" w:rsidR="004D14B9" w:rsidRDefault="00E53A86">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Bajo esta óptica, el derecho del particular de acceder a los documentos que obran en posesión del Sujeto Obligado</w:t>
      </w:r>
      <w:r>
        <w:rPr>
          <w:rFonts w:ascii="Palatino Linotype" w:eastAsia="Palatino Linotype" w:hAnsi="Palatino Linotype" w:cs="Palatino Linotype"/>
          <w:b/>
          <w:color w:val="222222"/>
        </w:rPr>
        <w:t> </w:t>
      </w:r>
      <w:r>
        <w:rPr>
          <w:rFonts w:ascii="Palatino Linotype" w:eastAsia="Palatino Linotype" w:hAnsi="Palatino Linotype" w:cs="Palatino Linotype"/>
          <w:color w:val="222222"/>
        </w:rPr>
        <w:t xml:space="preserve">se encuentra limitado, en virtud de que no le fue proporcionada la información solicitada, incumpliendo así lo previsto en el artículo 4 de la Ley de la Materia, citado con antelación;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w:t>
      </w:r>
      <w:r>
        <w:rPr>
          <w:rFonts w:ascii="Palatino Linotype" w:eastAsia="Palatino Linotype" w:hAnsi="Palatino Linotype" w:cs="Palatino Linotype"/>
          <w:color w:val="222222"/>
        </w:rPr>
        <w:lastRenderedPageBreak/>
        <w:t>conservación patrimonial de sus archivos documentales y posteriormente el acceso de la información pública, buscando la disponibilidad de los mismos.</w:t>
      </w:r>
    </w:p>
    <w:p w14:paraId="05AA4B21" w14:textId="77777777" w:rsidR="004D14B9" w:rsidRDefault="00E53A86">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 xml:space="preserve">No pasa inadvertido para este Pleno que al expresar sus motivos o razones de inconformidad en el recurso de revisión </w:t>
      </w:r>
      <w:r>
        <w:rPr>
          <w:rFonts w:ascii="Palatino Linotype" w:eastAsia="Palatino Linotype" w:hAnsi="Palatino Linotype" w:cs="Palatino Linotype"/>
          <w:b/>
          <w:color w:val="000000"/>
        </w:rPr>
        <w:t>01860/INFOEM/IP/RR/2022</w:t>
      </w:r>
      <w:r>
        <w:rPr>
          <w:rFonts w:ascii="Palatino Linotype" w:eastAsia="Palatino Linotype" w:hAnsi="Palatino Linotype" w:cs="Palatino Linotype"/>
          <w:color w:val="000000"/>
        </w:rPr>
        <w:t xml:space="preserve">, que ahora se estudia, se presentaron faltas de respeto a servidor público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lo que se insta </w:t>
      </w:r>
      <w:r>
        <w:rPr>
          <w:rFonts w:ascii="Palatino Linotype" w:eastAsia="Palatino Linotype" w:hAnsi="Palatino Linotype" w:cs="Palatino Linotype"/>
          <w:b/>
          <w:color w:val="000000"/>
        </w:rPr>
        <w:t>al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 dirigirse de forma respetuosa y pacífica, bajo las siguientes consideraciones: </w:t>
      </w:r>
    </w:p>
    <w:p w14:paraId="7110F4CC" w14:textId="77777777" w:rsidR="004D14B9" w:rsidRDefault="00E53A86">
      <w:pPr>
        <w:pBdr>
          <w:top w:val="nil"/>
          <w:left w:val="nil"/>
          <w:bottom w:val="nil"/>
          <w:right w:val="nil"/>
          <w:between w:val="nil"/>
        </w:pBdr>
        <w:shd w:val="clear" w:color="auto" w:fill="FFFFFF"/>
        <w:spacing w:line="360" w:lineRule="auto"/>
        <w:jc w:val="both"/>
        <w:rPr>
          <w:color w:val="000000"/>
        </w:rPr>
      </w:pPr>
      <w:r>
        <w:rPr>
          <w:rFonts w:ascii="Palatino Linotype" w:eastAsia="Palatino Linotype" w:hAnsi="Palatino Linotype" w:cs="Palatino Linotype"/>
          <w:color w:val="222222"/>
        </w:rPr>
        <w:t> </w:t>
      </w:r>
    </w:p>
    <w:p w14:paraId="328C1EB6" w14:textId="77777777" w:rsidR="004D14B9" w:rsidRDefault="00E53A86">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Es menester primeramente señalar que tanto el derecho de acceso a la información pública y el derecho de petición consagrados respectivamente en el los artículos 6° y 8° de la Constitución Política de los Estados Unidos Mexicanos, son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tal como lo establece la siguiente tesis: </w:t>
      </w:r>
    </w:p>
    <w:p w14:paraId="4482F579" w14:textId="77777777" w:rsidR="004D14B9" w:rsidRDefault="004D14B9">
      <w:pPr>
        <w:pBdr>
          <w:top w:val="nil"/>
          <w:left w:val="nil"/>
          <w:bottom w:val="nil"/>
          <w:right w:val="nil"/>
          <w:between w:val="nil"/>
        </w:pBdr>
        <w:shd w:val="clear" w:color="auto" w:fill="FFFFFF"/>
        <w:jc w:val="both"/>
        <w:rPr>
          <w:color w:val="000000"/>
        </w:rPr>
      </w:pPr>
    </w:p>
    <w:p w14:paraId="6F0FF620"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b/>
          <w:i/>
          <w:color w:val="222222"/>
          <w:sz w:val="22"/>
          <w:szCs w:val="22"/>
        </w:rPr>
        <w:t> “DERECHO DE PETICIÓN. SU RELACIÓN DE SINERGIA CON EL DERECHO A LA INFORMACIÓN.</w:t>
      </w:r>
    </w:p>
    <w:p w14:paraId="52621B4A"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El derecho de petición consagrado en el artículo 8o. constitucional implica la obligación de las autoridades de dictar a una petición hecha por escrito, esté bien o mal formulada, un acuerdo, también por escrito que debe hacerse saber en breve término al peticionario. Por su parte, el artículo 6o. de la propia Constitución Federal establece que el derecho a la información será garantizado por el Estado. Ambos derechos, reconocidos además en tratados internacionales y leyes reglamentarias,</w:t>
      </w:r>
      <w:r>
        <w:rPr>
          <w:rFonts w:ascii="Palatino Linotype" w:eastAsia="Palatino Linotype" w:hAnsi="Palatino Linotype" w:cs="Palatino Linotype"/>
          <w:b/>
          <w:i/>
          <w:color w:val="222222"/>
          <w:sz w:val="22"/>
          <w:szCs w:val="22"/>
        </w:rPr>
        <w:t xml:space="preserve"> </w:t>
      </w:r>
      <w:r>
        <w:rPr>
          <w:rFonts w:ascii="Palatino Linotype" w:eastAsia="Palatino Linotype" w:hAnsi="Palatino Linotype" w:cs="Palatino Linotype"/>
          <w:b/>
          <w:i/>
          <w:color w:val="222222"/>
          <w:sz w:val="22"/>
          <w:szCs w:val="22"/>
          <w:u w:val="single"/>
        </w:rPr>
        <w:t>se encuentran vinculados y relacionados en la medida que garantizan a los gobernados el derecho</w:t>
      </w:r>
      <w:r>
        <w:rPr>
          <w:rFonts w:ascii="Palatino Linotype" w:eastAsia="Palatino Linotype" w:hAnsi="Palatino Linotype" w:cs="Palatino Linotype"/>
          <w:i/>
          <w:color w:val="222222"/>
          <w:sz w:val="22"/>
          <w:szCs w:val="22"/>
        </w:rPr>
        <w:t xml:space="preserve">, no sólo a que se les dé respuesta a sus peticiones por escrito y en breve término, sino que se haga con la información </w:t>
      </w:r>
      <w:r>
        <w:rPr>
          <w:rFonts w:ascii="Palatino Linotype" w:eastAsia="Palatino Linotype" w:hAnsi="Palatino Linotype" w:cs="Palatino Linotype"/>
          <w:i/>
          <w:color w:val="222222"/>
          <w:sz w:val="22"/>
          <w:szCs w:val="22"/>
        </w:rPr>
        <w:lastRenderedPageBreak/>
        <w:t>completa, veraz y oportuna de que disponga o razonablemente deba disponer la autoridad, lo que constituye un derecho fundamental tanto de los individuos como de la sociedad.</w:t>
      </w:r>
    </w:p>
    <w:p w14:paraId="18BDD4DB"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CUARTO TRIBUNAL COLEGIADO EN MATERIA ADMINISTRATIVA DEL PRIMER CIRCUITO.</w:t>
      </w:r>
    </w:p>
    <w:p w14:paraId="459B8969"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I.4o.A.435 A </w:t>
      </w:r>
    </w:p>
    <w:p w14:paraId="7AF34F4B"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Amparo en revisión 795/2003. Comité Vecinal de la Colonia del Valle Sur. 21 de abril de 2004. Unanimidad de votos. Ponente: Jean Claude Tron Petit. Secretario: Alfredo A. Martínez Jiménez.</w:t>
      </w:r>
    </w:p>
    <w:p w14:paraId="6335DB64"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Instancia: Tribunales Colegiados de Circuito. Fuente: Semanario Judicial de la Federación y su Gaceta, Novena Epoca. Tomo XX, Agosto de 2004. Pág. 1589. Tesis Aislada.”</w:t>
      </w:r>
    </w:p>
    <w:p w14:paraId="242E81F1" w14:textId="77777777" w:rsidR="004D14B9" w:rsidRDefault="00E53A86">
      <w:pPr>
        <w:pBdr>
          <w:top w:val="nil"/>
          <w:left w:val="nil"/>
          <w:bottom w:val="nil"/>
          <w:right w:val="nil"/>
          <w:between w:val="nil"/>
        </w:pBdr>
        <w:shd w:val="clear" w:color="auto" w:fill="FFFFFF"/>
        <w:spacing w:before="280" w:after="280" w:line="360" w:lineRule="auto"/>
        <w:ind w:right="-28"/>
        <w:jc w:val="both"/>
        <w:rPr>
          <w:color w:val="000000"/>
        </w:rPr>
      </w:pPr>
      <w:r>
        <w:rPr>
          <w:rFonts w:ascii="Palatino Linotype" w:eastAsia="Palatino Linotype" w:hAnsi="Palatino Linotype" w:cs="Palatino Linotype"/>
          <w:color w:val="222222"/>
        </w:rPr>
        <w:t>Por lo que en esta tesitura, al respecto es de mencionar que sirve como analogía  al Derecho de Acceso a la información lo relacionado con los elementos para el  ejercicio del Derecho de petición, en donde la petición en nuestro caso solicitud debe formularse de manera pacífica y respetuosa, y de acuerdo a los elementos siguientes;</w:t>
      </w:r>
    </w:p>
    <w:p w14:paraId="273BC2A2"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b/>
          <w:i/>
          <w:color w:val="222222"/>
          <w:sz w:val="22"/>
          <w:szCs w:val="22"/>
        </w:rPr>
        <w:t>“DERECHO DE PETICIÓN, SUS ELEMENTOS.</w:t>
      </w:r>
    </w:p>
    <w:p w14:paraId="3AA690A7"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 xml:space="preserve">El denominado "derecho de petición", acorde con los criterios de los Tribunales del Poder Judicial de la Federación, es la garantía individual consagrada en el artículo 8o. constitucional, en función de la cual cualquier gobernado que presente una petición ante una autoridad, tiene derecho a recibir una respuesta. Su ejercicio por el particular y la correlativa obligación de la autoridad de producir una respuesta, se caracterizan por los elementos que enseguida se enlistan: A. La petición: debe </w:t>
      </w:r>
      <w:r>
        <w:rPr>
          <w:rFonts w:ascii="Palatino Linotype" w:eastAsia="Palatino Linotype" w:hAnsi="Palatino Linotype" w:cs="Palatino Linotype"/>
          <w:b/>
          <w:i/>
          <w:color w:val="222222"/>
          <w:sz w:val="22"/>
          <w:szCs w:val="22"/>
          <w:u w:val="single"/>
        </w:rPr>
        <w:t>formularse de manera pacífica y respetuosa;</w:t>
      </w:r>
      <w:r>
        <w:rPr>
          <w:rFonts w:ascii="Palatino Linotype" w:eastAsia="Palatino Linotype" w:hAnsi="Palatino Linotype" w:cs="Palatino Linotype"/>
          <w:i/>
          <w:color w:val="222222"/>
          <w:sz w:val="22"/>
          <w:szCs w:val="22"/>
        </w:rPr>
        <w:t xml:space="preserve"> ser dirigida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tendrá que ser congruente con la petición; la autoridad debe notificar el acuerdo recaído a la petición en forma personal al gobernado en el domicilio que señaló para tales efectos; no existe obligación de resolver en determinado sentido, esto es, el ejercicio del derecho de petición no constriñe a la autoridad ante quien se formuló, a que provea necesariamente de conformidad lo solicitado por el promovente, sino que está en libertad de resolver de conformidad con los ordenamientos legales que resulten </w:t>
      </w:r>
      <w:r>
        <w:rPr>
          <w:rFonts w:ascii="Palatino Linotype" w:eastAsia="Palatino Linotype" w:hAnsi="Palatino Linotype" w:cs="Palatino Linotype"/>
          <w:i/>
          <w:color w:val="222222"/>
          <w:sz w:val="22"/>
          <w:szCs w:val="22"/>
        </w:rPr>
        <w:lastRenderedPageBreak/>
        <w:t>aplicables al caso; y, la respuesta o trámite que se dé a la petición debe ser comunicado precisamente por la autoridad ante quien se ejercitó el derecho, y no por autoridad diversa, sin que sea jurídicamente válido considerar que la notificación de la respuesta a que se refiere el segundo párrafo del artículo 8o. constitucional se tenga por hecha a partir de las notificaciones o de la vista que se practiquen con motivo del juicio de amparo.</w:t>
      </w:r>
    </w:p>
    <w:p w14:paraId="23081B4E"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PRIMER TRIBUNAL COLEGIADO EN MATERIAS PENAL Y ADMINISTRATIVA DEL VIGÉSIMO PRIMER CIRCUITO.</w:t>
      </w:r>
    </w:p>
    <w:p w14:paraId="090C4180"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XXI.1o.P.A.36 A </w:t>
      </w:r>
    </w:p>
    <w:p w14:paraId="36398DE3"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Amparo en revisión 225/2005. Luis Alberto Sánchez Cruz. 2 de junio de 2005. Unanimidad de votos. Ponente: Guillermo Sánchez Birrueta. Secretaria: Gloria Avecia Solano.</w:t>
      </w:r>
    </w:p>
    <w:p w14:paraId="590514C1" w14:textId="77777777" w:rsidR="004D14B9" w:rsidRDefault="00E53A86">
      <w:pPr>
        <w:pBdr>
          <w:top w:val="nil"/>
          <w:left w:val="nil"/>
          <w:bottom w:val="nil"/>
          <w:right w:val="nil"/>
          <w:between w:val="nil"/>
        </w:pBdr>
        <w:shd w:val="clear" w:color="auto" w:fill="FFFFFF"/>
        <w:ind w:left="567" w:right="1106"/>
        <w:jc w:val="both"/>
        <w:rPr>
          <w:color w:val="000000"/>
        </w:rPr>
      </w:pPr>
      <w:r>
        <w:rPr>
          <w:rFonts w:ascii="Palatino Linotype" w:eastAsia="Palatino Linotype" w:hAnsi="Palatino Linotype" w:cs="Palatino Linotype"/>
          <w:i/>
          <w:color w:val="222222"/>
          <w:sz w:val="22"/>
          <w:szCs w:val="22"/>
        </w:rPr>
        <w:t>Instancia: Tribunales Colegiados de Circuito. Fuente: Semanario Judicial de la Federación y su Gaceta, Novena Epoca. Tomo XXII, Agosto de 2005. Pág. 1897. Tesis Aislada.</w:t>
      </w:r>
    </w:p>
    <w:p w14:paraId="32FA2168" w14:textId="77777777" w:rsidR="004D14B9" w:rsidRDefault="00E53A86">
      <w:pPr>
        <w:pBdr>
          <w:top w:val="nil"/>
          <w:left w:val="nil"/>
          <w:bottom w:val="nil"/>
          <w:right w:val="nil"/>
          <w:between w:val="nil"/>
        </w:pBdr>
        <w:shd w:val="clear" w:color="auto" w:fill="FFFFFF"/>
        <w:ind w:left="720"/>
        <w:rPr>
          <w:color w:val="000000"/>
        </w:rPr>
      </w:pPr>
      <w:r>
        <w:rPr>
          <w:rFonts w:ascii="Palatino Linotype" w:eastAsia="Palatino Linotype" w:hAnsi="Palatino Linotype" w:cs="Palatino Linotype"/>
          <w:color w:val="222222"/>
        </w:rPr>
        <w:t> </w:t>
      </w:r>
    </w:p>
    <w:p w14:paraId="40E05ED5" w14:textId="77777777" w:rsidR="004D14B9" w:rsidRDefault="00E53A86">
      <w:pPr>
        <w:pBdr>
          <w:top w:val="nil"/>
          <w:left w:val="nil"/>
          <w:bottom w:val="nil"/>
          <w:right w:val="nil"/>
          <w:between w:val="nil"/>
        </w:pBdr>
        <w:shd w:val="clear" w:color="auto" w:fill="FFFFFF"/>
        <w:spacing w:line="360" w:lineRule="auto"/>
        <w:jc w:val="both"/>
        <w:rPr>
          <w:color w:val="000000"/>
        </w:rPr>
      </w:pPr>
      <w:r>
        <w:rPr>
          <w:rFonts w:ascii="Palatino Linotype" w:eastAsia="Palatino Linotype" w:hAnsi="Palatino Linotype" w:cs="Palatino Linotype"/>
          <w:color w:val="222222"/>
        </w:rPr>
        <w:t xml:space="preserve">Ahora bien,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w:t>
      </w:r>
      <w:r>
        <w:rPr>
          <w:rFonts w:ascii="Palatino Linotype" w:eastAsia="Palatino Linotype" w:hAnsi="Palatino Linotype" w:cs="Palatino Linotype"/>
          <w:b/>
          <w:color w:val="222222"/>
          <w:u w:val="single"/>
        </w:rPr>
        <w:t>deben regirse por los principios de respeto y en forma pacífica.</w:t>
      </w:r>
      <w:r>
        <w:rPr>
          <w:rFonts w:ascii="Palatino Linotype" w:eastAsia="Palatino Linotype" w:hAnsi="Palatino Linotype" w:cs="Palatino Linotype"/>
          <w:color w:val="222222"/>
          <w:u w:val="single"/>
        </w:rPr>
        <w:t> </w:t>
      </w:r>
    </w:p>
    <w:p w14:paraId="7AA2F93A" w14:textId="77777777" w:rsidR="004D14B9" w:rsidRDefault="00E53A86">
      <w:pPr>
        <w:pBdr>
          <w:top w:val="nil"/>
          <w:left w:val="nil"/>
          <w:bottom w:val="nil"/>
          <w:right w:val="nil"/>
          <w:between w:val="nil"/>
        </w:pBdr>
        <w:shd w:val="clear" w:color="auto" w:fill="FFFFFF"/>
        <w:spacing w:line="360" w:lineRule="auto"/>
        <w:ind w:left="720"/>
        <w:rPr>
          <w:color w:val="000000"/>
        </w:rPr>
      </w:pPr>
      <w:r>
        <w:rPr>
          <w:rFonts w:ascii="Palatino Linotype" w:eastAsia="Palatino Linotype" w:hAnsi="Palatino Linotype" w:cs="Palatino Linotype"/>
          <w:color w:val="222222"/>
        </w:rPr>
        <w:t> </w:t>
      </w:r>
    </w:p>
    <w:p w14:paraId="59401CD5" w14:textId="77777777" w:rsidR="004D14B9" w:rsidRDefault="00E53A86">
      <w:pPr>
        <w:pBdr>
          <w:top w:val="nil"/>
          <w:left w:val="nil"/>
          <w:bottom w:val="nil"/>
          <w:right w:val="nil"/>
          <w:between w:val="nil"/>
        </w:pBdr>
        <w:shd w:val="clear" w:color="auto" w:fill="FFFFFF"/>
        <w:spacing w:line="360" w:lineRule="auto"/>
        <w:jc w:val="both"/>
        <w:rPr>
          <w:color w:val="000000"/>
        </w:rPr>
      </w:pPr>
      <w:r>
        <w:rPr>
          <w:rFonts w:ascii="Palatino Linotype" w:eastAsia="Palatino Linotype" w:hAnsi="Palatino Linotype" w:cs="Palatino Linotype"/>
          <w:color w:val="222222"/>
        </w:rPr>
        <w:t>Por lo tanto, el derecho de acceso a la información pública la solicitud debe ejercerse de </w:t>
      </w:r>
      <w:r>
        <w:rPr>
          <w:rFonts w:ascii="Palatino Linotype" w:eastAsia="Palatino Linotype" w:hAnsi="Palatino Linotype" w:cs="Palatino Linotype"/>
          <w:b/>
          <w:color w:val="222222"/>
          <w:u w:val="single"/>
        </w:rPr>
        <w:t>manera pacífica y respetuosa, absteniéndose el solicitante de proferir ofensas o recurrir a la violencia o amenazas para intimidar a la autoridad</w:t>
      </w:r>
      <w:r>
        <w:rPr>
          <w:rFonts w:ascii="Palatino Linotype" w:eastAsia="Palatino Linotype" w:hAnsi="Palatino Linotype" w:cs="Palatino Linotype"/>
          <w:color w:val="222222"/>
        </w:rPr>
        <w:t>.</w:t>
      </w:r>
    </w:p>
    <w:p w14:paraId="0B9EED7A" w14:textId="77777777" w:rsidR="004D14B9" w:rsidRDefault="00E53A86">
      <w:pPr>
        <w:pBdr>
          <w:top w:val="nil"/>
          <w:left w:val="nil"/>
          <w:bottom w:val="nil"/>
          <w:right w:val="nil"/>
          <w:between w:val="nil"/>
        </w:pBdr>
        <w:shd w:val="clear" w:color="auto" w:fill="FFFFFF"/>
        <w:spacing w:line="360" w:lineRule="auto"/>
        <w:jc w:val="both"/>
        <w:rPr>
          <w:color w:val="000000"/>
        </w:rPr>
      </w:pPr>
      <w:r>
        <w:rPr>
          <w:color w:val="000000"/>
        </w:rPr>
        <w:t> </w:t>
      </w:r>
    </w:p>
    <w:p w14:paraId="6B09097B" w14:textId="77777777" w:rsidR="004D14B9" w:rsidRDefault="00E53A86">
      <w:pPr>
        <w:pBdr>
          <w:top w:val="nil"/>
          <w:left w:val="nil"/>
          <w:bottom w:val="nil"/>
          <w:right w:val="nil"/>
          <w:between w:val="nil"/>
        </w:pBdr>
        <w:shd w:val="clear" w:color="auto" w:fill="FFFFFF"/>
        <w:spacing w:line="360" w:lineRule="auto"/>
        <w:jc w:val="both"/>
        <w:rPr>
          <w:color w:val="000000"/>
        </w:rPr>
      </w:pPr>
      <w:r>
        <w:rPr>
          <w:rFonts w:ascii="Palatino Linotype" w:eastAsia="Palatino Linotype" w:hAnsi="Palatino Linotype" w:cs="Palatino Linotype"/>
          <w:color w:val="222222"/>
        </w:rPr>
        <w:t>En ese sentido, sirve de apoyo en la parte conducente, el siguiente criterio jurisprudencial:</w:t>
      </w:r>
    </w:p>
    <w:p w14:paraId="54BD9B4F" w14:textId="77777777" w:rsidR="004D14B9" w:rsidRDefault="00E53A86">
      <w:pPr>
        <w:pBdr>
          <w:top w:val="nil"/>
          <w:left w:val="nil"/>
          <w:bottom w:val="nil"/>
          <w:right w:val="nil"/>
          <w:between w:val="nil"/>
        </w:pBdr>
        <w:shd w:val="clear" w:color="auto" w:fill="FFFFFF"/>
        <w:jc w:val="both"/>
        <w:rPr>
          <w:color w:val="000000"/>
        </w:rPr>
      </w:pPr>
      <w:r>
        <w:rPr>
          <w:color w:val="000000"/>
        </w:rPr>
        <w:lastRenderedPageBreak/>
        <w:t> </w:t>
      </w:r>
    </w:p>
    <w:p w14:paraId="08FC07A2"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DERECHO A LA INFORMACIÓN. NO DEBE REBASAR LOS LÍMITES PREVISTOS POR LOS ARTÍCULOS 6o., 7o. Y 24 CONSTITUCIONALES.</w:t>
      </w:r>
    </w:p>
    <w:p w14:paraId="47BD94D6"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i/>
          <w:color w:val="222222"/>
          <w:sz w:val="22"/>
          <w:szCs w:val="22"/>
        </w:rPr>
        <w:t> </w:t>
      </w:r>
    </w:p>
    <w:p w14:paraId="4F03BE6B"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b/>
          <w:i/>
          <w:color w:val="222222"/>
          <w:sz w:val="22"/>
          <w:szCs w:val="22"/>
        </w:rPr>
        <w:t xml:space="preserve">El derecho a la información tiene como límites el decoro, el honor, </w:t>
      </w:r>
      <w:r>
        <w:rPr>
          <w:rFonts w:ascii="Palatino Linotype" w:eastAsia="Palatino Linotype" w:hAnsi="Palatino Linotype" w:cs="Palatino Linotype"/>
          <w:b/>
          <w:i/>
          <w:color w:val="222222"/>
          <w:sz w:val="22"/>
          <w:szCs w:val="22"/>
          <w:u w:val="single"/>
        </w:rPr>
        <w:t>el respeto</w:t>
      </w:r>
      <w:r>
        <w:rPr>
          <w:rFonts w:ascii="Palatino Linotype" w:eastAsia="Palatino Linotype" w:hAnsi="Palatino Linotype" w:cs="Palatino Linotype"/>
          <w:b/>
          <w:i/>
          <w:color w:val="222222"/>
          <w:sz w:val="22"/>
          <w:szCs w:val="22"/>
        </w:rPr>
        <w:t>,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Pr>
          <w:rFonts w:ascii="Palatino Linotype" w:eastAsia="Palatino Linotype" w:hAnsi="Palatino Linotype" w:cs="Palatino Linotype"/>
          <w:i/>
          <w:color w:val="222222"/>
          <w:sz w:val="22"/>
          <w:szCs w:val="22"/>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w:t>
      </w:r>
      <w:r>
        <w:rPr>
          <w:rFonts w:ascii="Palatino Linotype" w:eastAsia="Palatino Linotype" w:hAnsi="Palatino Linotype" w:cs="Palatino Linotype"/>
          <w:i/>
          <w:color w:val="222222"/>
          <w:sz w:val="22"/>
          <w:szCs w:val="22"/>
        </w:rPr>
        <w:lastRenderedPageBreak/>
        <w:t xml:space="preserve">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w:t>
      </w:r>
      <w:r>
        <w:rPr>
          <w:rFonts w:ascii="Palatino Linotype" w:eastAsia="Palatino Linotype" w:hAnsi="Palatino Linotype" w:cs="Palatino Linotype"/>
          <w:b/>
          <w:i/>
          <w:color w:val="222222"/>
          <w:sz w:val="22"/>
          <w:szCs w:val="22"/>
          <w:u w:val="single"/>
        </w:rPr>
        <w:t>en el respeto mutuo y en el cumplimiento de los deberes que tienen por base la dignidad humana y los derechos de la persona</w:t>
      </w:r>
      <w:r>
        <w:rPr>
          <w:rFonts w:ascii="Palatino Linotype" w:eastAsia="Palatino Linotype" w:hAnsi="Palatino Linotype" w:cs="Palatino Linotype"/>
          <w:i/>
          <w:color w:val="222222"/>
          <w:sz w:val="22"/>
          <w:szCs w:val="22"/>
        </w:rPr>
        <w:t>;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14:paraId="5DACDF31" w14:textId="77777777" w:rsidR="004D14B9" w:rsidRDefault="00E53A86">
      <w:pPr>
        <w:pBdr>
          <w:top w:val="nil"/>
          <w:left w:val="nil"/>
          <w:bottom w:val="nil"/>
          <w:right w:val="nil"/>
          <w:between w:val="nil"/>
        </w:pBdr>
        <w:shd w:val="clear" w:color="auto" w:fill="FFFFFF"/>
        <w:ind w:left="709" w:right="567"/>
        <w:jc w:val="both"/>
        <w:rPr>
          <w:color w:val="000000"/>
        </w:rPr>
      </w:pPr>
      <w:r>
        <w:rPr>
          <w:color w:val="000000"/>
        </w:rPr>
        <w:t> </w:t>
      </w:r>
    </w:p>
    <w:p w14:paraId="4BFB5037"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i/>
          <w:color w:val="222222"/>
          <w:sz w:val="22"/>
          <w:szCs w:val="22"/>
        </w:rPr>
        <w:lastRenderedPageBreak/>
        <w:t>Amparo directo 8633/99. </w:t>
      </w:r>
    </w:p>
    <w:p w14:paraId="034119A9"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i/>
          <w:color w:val="222222"/>
          <w:sz w:val="22"/>
          <w:szCs w:val="22"/>
        </w:rPr>
        <w:t>Marco Antonio Rascón Córdova. 8 de marzo de 2001. </w:t>
      </w:r>
    </w:p>
    <w:p w14:paraId="73822D67"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i/>
          <w:color w:val="222222"/>
          <w:sz w:val="22"/>
          <w:szCs w:val="22"/>
        </w:rPr>
        <w:t>Unanimidad de votos. </w:t>
      </w:r>
    </w:p>
    <w:p w14:paraId="6414AD6C"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i/>
          <w:color w:val="222222"/>
          <w:sz w:val="22"/>
          <w:szCs w:val="22"/>
        </w:rPr>
        <w:t>Ponente: Neófito López Ramos. </w:t>
      </w:r>
    </w:p>
    <w:p w14:paraId="084DF376"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i/>
          <w:color w:val="222222"/>
          <w:sz w:val="22"/>
          <w:szCs w:val="22"/>
        </w:rPr>
        <w:t>Secretario: Rómulo Amadeo Figueroa Salmorán.</w:t>
      </w:r>
    </w:p>
    <w:p w14:paraId="3181A692"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i/>
          <w:color w:val="222222"/>
          <w:sz w:val="22"/>
          <w:szCs w:val="22"/>
        </w:rPr>
        <w:t> Novena Época, Semanario Judicial de la Federación y su Gaceta, Tomo XIV, Septiembre de 2001, Tesis: I.3o.C.244 C, Página: 1309.”</w:t>
      </w:r>
    </w:p>
    <w:p w14:paraId="55E00B6D" w14:textId="77777777" w:rsidR="004D14B9" w:rsidRDefault="00E53A86">
      <w:pPr>
        <w:pBdr>
          <w:top w:val="nil"/>
          <w:left w:val="nil"/>
          <w:bottom w:val="nil"/>
          <w:right w:val="nil"/>
          <w:between w:val="nil"/>
        </w:pBdr>
        <w:shd w:val="clear" w:color="auto" w:fill="FFFFFF"/>
        <w:ind w:left="709" w:right="567"/>
        <w:jc w:val="both"/>
        <w:rPr>
          <w:color w:val="000000"/>
        </w:rPr>
      </w:pPr>
      <w:r>
        <w:rPr>
          <w:rFonts w:ascii="Palatino Linotype" w:eastAsia="Palatino Linotype" w:hAnsi="Palatino Linotype" w:cs="Palatino Linotype"/>
          <w:i/>
          <w:color w:val="222222"/>
          <w:sz w:val="22"/>
          <w:szCs w:val="22"/>
        </w:rPr>
        <w:t> </w:t>
      </w:r>
    </w:p>
    <w:p w14:paraId="0F232D04" w14:textId="77777777" w:rsidR="004D14B9" w:rsidRDefault="00E53A86">
      <w:pPr>
        <w:pBdr>
          <w:top w:val="nil"/>
          <w:left w:val="nil"/>
          <w:bottom w:val="nil"/>
          <w:right w:val="nil"/>
          <w:between w:val="nil"/>
        </w:pBdr>
        <w:shd w:val="clear" w:color="auto" w:fill="FFFFFF"/>
        <w:spacing w:line="360" w:lineRule="auto"/>
        <w:jc w:val="both"/>
        <w:rPr>
          <w:color w:val="000000"/>
        </w:rPr>
      </w:pPr>
      <w:r>
        <w:rPr>
          <w:rFonts w:ascii="Palatino Linotype" w:eastAsia="Palatino Linotype" w:hAnsi="Palatino Linotype" w:cs="Palatino Linotype"/>
          <w:color w:val="222222"/>
        </w:rPr>
        <w:t>Lo anterior, derivado de que en la solicitud de información se realizaron manifestaciones y faltas de respeto. En ese sentido es 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w:t>
      </w:r>
      <w:r>
        <w:rPr>
          <w:rFonts w:ascii="Palatino Linotype" w:eastAsia="Palatino Linotype" w:hAnsi="Palatino Linotype" w:cs="Palatino Linotype"/>
          <w:b/>
          <w:color w:val="222222"/>
        </w:rPr>
        <w:t xml:space="preserve">, </w:t>
      </w:r>
      <w:r>
        <w:rPr>
          <w:rFonts w:ascii="Palatino Linotype" w:eastAsia="Palatino Linotype" w:hAnsi="Palatino Linotype" w:cs="Palatino Linotype"/>
          <w:b/>
          <w:color w:val="222222"/>
          <w:u w:val="single"/>
        </w:rPr>
        <w:t>dirijan los escritos o solicitudes a la autoridad dentro de un margen de respeto, tal como lo dispone el artículo 8° constitucional</w:t>
      </w:r>
      <w:r>
        <w:rPr>
          <w:rFonts w:ascii="Palatino Linotype" w:eastAsia="Palatino Linotype" w:hAnsi="Palatino Linotype" w:cs="Palatino Linotype"/>
          <w:color w:val="222222"/>
        </w:rPr>
        <w:t>, que por afinidad es aplicable para el ejercicio de derecho de acceso a la información, debiéndose redactar de manera pacífica y respetuosa las solicitudes de información.</w:t>
      </w:r>
    </w:p>
    <w:p w14:paraId="5382B2D1" w14:textId="77777777" w:rsidR="004D14B9" w:rsidRDefault="00E53A86">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Situación que no ocurrió, por lo que se conmina al particular a que en subsecuentes solicitudes de información que tuviera a bien realizar, las formule de manera pacífica y respetuosa.</w:t>
      </w:r>
    </w:p>
    <w:p w14:paraId="5812D6E3" w14:textId="77777777" w:rsidR="004D14B9" w:rsidRDefault="00E53A86">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222222"/>
        </w:rPr>
        <w:t xml:space="preserve">Finalmente, no pasa desapercibido que en las fojas 1 y 2 del soporte documental </w:t>
      </w:r>
      <w:r>
        <w:rPr>
          <w:rFonts w:ascii="Palatino Linotype" w:eastAsia="Palatino Linotype" w:hAnsi="Palatino Linotype" w:cs="Palatino Linotype"/>
          <w:b/>
          <w:i/>
        </w:rPr>
        <w:t xml:space="preserve">“OFICIOS TESORERIA V.P. (primeros 20 hojas).pdf”, </w:t>
      </w:r>
      <w:r>
        <w:rPr>
          <w:rFonts w:ascii="Palatino Linotype" w:eastAsia="Palatino Linotype" w:hAnsi="Palatino Linotype" w:cs="Palatino Linotype"/>
        </w:rPr>
        <w:t xml:space="preserve">se testó el número de cuenta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es de precisar que estos datos revisten interés público en razón de que se tratan de recursos públicos transferidos de una entidad pública a otra, por lo tanto, es de estricta observancia lo dispuesto  por el criterio emitido por el Instituto </w:t>
      </w:r>
      <w:r>
        <w:rPr>
          <w:rFonts w:ascii="Palatino Linotype" w:eastAsia="Palatino Linotype" w:hAnsi="Palatino Linotype" w:cs="Palatino Linotype"/>
        </w:rPr>
        <w:lastRenderedPageBreak/>
        <w:t xml:space="preserve">Nacional de Transparencia, Acceso a la Información Pública y Protección de Datos Personales (INAI): </w:t>
      </w:r>
    </w:p>
    <w:p w14:paraId="65CAAFEF" w14:textId="77777777" w:rsidR="004D14B9" w:rsidRDefault="00E53A86">
      <w:pPr>
        <w:shd w:val="clear" w:color="auto" w:fill="FFFFFF"/>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r>
        <w:rPr>
          <w:rFonts w:ascii="Palatino Linotype" w:eastAsia="Palatino Linotype" w:hAnsi="Palatino Linotype" w:cs="Palatino Linotype"/>
          <w:i/>
          <w:sz w:val="22"/>
          <w:szCs w:val="22"/>
        </w:rPr>
        <w:t>.</w:t>
      </w:r>
    </w:p>
    <w:p w14:paraId="2BCC4C20" w14:textId="77777777" w:rsidR="004D14B9" w:rsidRDefault="00E53A86">
      <w:pPr>
        <w:shd w:val="clear" w:color="auto" w:fill="FFFFFF"/>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Resoluciones: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RRA 0448/16. NOTIMEX, Agencia de Noticias del Estado Mexicano. 24 de agosto de 2016. Por unanimidad. Comisionado Ponente Joel Salas Suárez.</w:t>
      </w:r>
    </w:p>
    <w:p w14:paraId="57913B78" w14:textId="77777777" w:rsidR="004D14B9" w:rsidRDefault="00E53A86">
      <w:pPr>
        <w:shd w:val="clear" w:color="auto" w:fill="FFFFFF"/>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RRA 2787/16. Colegio de Postgraduados. 01 de noviembre de 2016. Por unanimidad. Comisionado Ponente Francisco Javier Acuña Llamas.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RRA 4756/16. Instituto Mexicano del Seguro Social. 08 de febrero de 2017. Por unanimidad. </w:t>
      </w:r>
    </w:p>
    <w:p w14:paraId="79A34E3F" w14:textId="77777777" w:rsidR="004D14B9" w:rsidRDefault="00E53A86">
      <w:pPr>
        <w:shd w:val="clear" w:color="auto" w:fill="FFFFFF"/>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Comisionado Ponente Oscar Mauricio Guerra Ford. Criterio 11/17”</w:t>
      </w:r>
    </w:p>
    <w:p w14:paraId="08FDB70F" w14:textId="77777777" w:rsidR="004D14B9" w:rsidRDefault="00E53A86">
      <w:pPr>
        <w:shd w:val="clear" w:color="auto" w:fill="FFFFFF"/>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Por lo que al momento de la elaboración de versiones públicas para dar cumplimiento a la presente resolución,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deberá remitir estos soportes documentales en una correcta versión pública, es decir, dejando visibles los números de cuenta que poseen al ser una institución pública.</w:t>
      </w:r>
    </w:p>
    <w:p w14:paraId="08646AC8"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escapa de la óptica de este Organismo Garante que en las razones o motivos de inconformidad del Recurso de Revisión </w:t>
      </w:r>
      <w:r>
        <w:rPr>
          <w:rFonts w:ascii="Palatino Linotype" w:eastAsia="Palatino Linotype" w:hAnsi="Palatino Linotype" w:cs="Palatino Linotype"/>
          <w:b/>
        </w:rPr>
        <w:t>01860/INFOEM/IP/RR/2022</w:t>
      </w:r>
      <w:r>
        <w:rPr>
          <w:rFonts w:ascii="Palatino Linotype" w:eastAsia="Palatino Linotype" w:hAnsi="Palatino Linotype" w:cs="Palatino Linotype"/>
        </w:rPr>
        <w:t xml:space="preserve">, el particular solicitó que se diera vista al Órgano Interno de Control para iniciar un procedimiento de responsabilidad administrativa,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w:t>
      </w:r>
      <w:r>
        <w:rPr>
          <w:rFonts w:ascii="Palatino Linotype" w:eastAsia="Palatino Linotype" w:hAnsi="Palatino Linotype" w:cs="Palatino Linotype"/>
        </w:rPr>
        <w:lastRenderedPageBreak/>
        <w:t>se dejan a salvo sus derechos para en caso de así considerarlo, acuda ante la instancia competente y realice las denuncias o quejas que considere pertinentes.</w:t>
      </w:r>
    </w:p>
    <w:p w14:paraId="0F613434" w14:textId="77777777" w:rsidR="004D14B9" w:rsidRDefault="00E53A8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F1C758D" w14:textId="77777777" w:rsidR="004D14B9" w:rsidRDefault="00E53A86">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21D660B7"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384912B0"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5ECB58"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DABCDE7"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2306F614"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w:t>
      </w:r>
      <w:r>
        <w:rPr>
          <w:rFonts w:ascii="Palatino Linotype" w:eastAsia="Palatino Linotype" w:hAnsi="Palatino Linotype" w:cs="Palatino Linotype"/>
          <w:i/>
          <w:sz w:val="22"/>
          <w:szCs w:val="22"/>
        </w:rPr>
        <w:lastRenderedPageBreak/>
        <w:t>cuya titularidad corresponda a particulares, sujetos de derecho internacional o a sujetos obligados cuando no involucren el ejercicio de recursos públicos;</w:t>
      </w:r>
    </w:p>
    <w:p w14:paraId="5D1B2AF7"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64C2D6E"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377BDC9"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3B8A65C"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5DD2BED5"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78EFE00B"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25731111"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4A627172"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DA70C10"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C869FFF"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3B4DFD6"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CFC0BA8"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C57E99F"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AA5E71"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9F5DB2F"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w:t>
      </w:r>
      <w:r>
        <w:rPr>
          <w:rFonts w:ascii="Palatino Linotype" w:eastAsia="Palatino Linotype" w:hAnsi="Palatino Linotype" w:cs="Palatino Linotype"/>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7E67483"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F10A8A5"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D22A0B9"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47CD0CB"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362D1B1"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711333E3" w14:textId="77777777" w:rsidR="004D14B9" w:rsidRDefault="00E53A8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8BA7B56"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751A4D0F" w14:textId="77777777" w:rsidR="004D14B9" w:rsidRDefault="00E53A8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0D0B28D8"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02AABA2"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4D14B9" w14:paraId="64174B8D" w14:textId="77777777">
        <w:tc>
          <w:tcPr>
            <w:tcW w:w="4253" w:type="dxa"/>
            <w:gridSpan w:val="2"/>
            <w:tcBorders>
              <w:top w:val="nil"/>
              <w:left w:val="nil"/>
              <w:right w:val="nil"/>
            </w:tcBorders>
          </w:tcPr>
          <w:p w14:paraId="00070C12" w14:textId="77777777" w:rsidR="004D14B9" w:rsidRDefault="00E53A8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2966B415" w14:textId="77777777" w:rsidR="004D14B9" w:rsidRDefault="00E53A8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4D14B9" w14:paraId="06047CB2" w14:textId="77777777">
        <w:tc>
          <w:tcPr>
            <w:tcW w:w="1134" w:type="dxa"/>
          </w:tcPr>
          <w:p w14:paraId="6CBA540F" w14:textId="77777777" w:rsidR="004D14B9" w:rsidRDefault="00E53A8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4337BC9C" w14:textId="77777777" w:rsidR="004D14B9" w:rsidRDefault="00E53A8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4C4B7B92" w14:textId="77777777" w:rsidR="004D14B9" w:rsidRDefault="00E53A8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06D07426" w14:textId="77777777" w:rsidR="004D14B9" w:rsidRDefault="00E53A8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4D14B9" w14:paraId="5F4100C6" w14:textId="77777777">
        <w:tc>
          <w:tcPr>
            <w:tcW w:w="8828" w:type="dxa"/>
            <w:gridSpan w:val="4"/>
          </w:tcPr>
          <w:p w14:paraId="7530768D" w14:textId="77777777" w:rsidR="004D14B9" w:rsidRDefault="00E53A86">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4D14B9" w14:paraId="2F04049A" w14:textId="77777777">
        <w:tc>
          <w:tcPr>
            <w:tcW w:w="1134" w:type="dxa"/>
          </w:tcPr>
          <w:p w14:paraId="5BC78804"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10B9E45D"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67A6E45"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61E52687"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D14B9" w14:paraId="19F09422" w14:textId="77777777">
        <w:tc>
          <w:tcPr>
            <w:tcW w:w="1134" w:type="dxa"/>
          </w:tcPr>
          <w:p w14:paraId="48314F94"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26C6AD1F"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2EEC3543"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36C40B41"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4D14B9" w14:paraId="020D342C" w14:textId="77777777">
        <w:tc>
          <w:tcPr>
            <w:tcW w:w="1134" w:type="dxa"/>
          </w:tcPr>
          <w:p w14:paraId="3D6F95D2"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7CD37F57"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8C91594"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354DBB0A"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4D14B9" w14:paraId="1A4F11D1" w14:textId="77777777">
        <w:tc>
          <w:tcPr>
            <w:tcW w:w="1134" w:type="dxa"/>
          </w:tcPr>
          <w:p w14:paraId="4F971EAD"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7380B082"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2B005E05"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4823A3C8"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D14B9" w14:paraId="5B2A0631" w14:textId="77777777">
        <w:tc>
          <w:tcPr>
            <w:tcW w:w="1134" w:type="dxa"/>
          </w:tcPr>
          <w:p w14:paraId="666B3074"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392EAE74"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4EE76996"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ECA8A58"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D14B9" w14:paraId="0703BE81" w14:textId="77777777">
        <w:tc>
          <w:tcPr>
            <w:tcW w:w="1134" w:type="dxa"/>
          </w:tcPr>
          <w:p w14:paraId="763C76CA"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08A6204B"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83188ED"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4F5EE854"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D14B9" w14:paraId="30CBE395" w14:textId="77777777">
        <w:tc>
          <w:tcPr>
            <w:tcW w:w="1134" w:type="dxa"/>
          </w:tcPr>
          <w:p w14:paraId="35B00220"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3C4E665C"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26B99E02"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39EF6A40"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4D14B9" w14:paraId="56A2CBAA" w14:textId="77777777">
        <w:tc>
          <w:tcPr>
            <w:tcW w:w="1134" w:type="dxa"/>
          </w:tcPr>
          <w:p w14:paraId="18E685CD"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Rúbrica del titular del área</w:t>
            </w:r>
          </w:p>
        </w:tc>
        <w:tc>
          <w:tcPr>
            <w:tcW w:w="3119" w:type="dxa"/>
          </w:tcPr>
          <w:p w14:paraId="5EA7C590"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65531913"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3FF5E018"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D14B9" w14:paraId="0C2BDC01" w14:textId="77777777">
        <w:tc>
          <w:tcPr>
            <w:tcW w:w="1134" w:type="dxa"/>
          </w:tcPr>
          <w:p w14:paraId="3E6C1585"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53826436"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4C4B3DBD"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7D8C587E"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4D14B9" w14:paraId="27FF16AA" w14:textId="77777777">
        <w:tc>
          <w:tcPr>
            <w:tcW w:w="1134" w:type="dxa"/>
          </w:tcPr>
          <w:p w14:paraId="09A3BA27"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69292EF3"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6BFB16BD"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1AA4312C"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4D14B9" w14:paraId="092524F5" w14:textId="77777777">
        <w:tc>
          <w:tcPr>
            <w:tcW w:w="1134" w:type="dxa"/>
          </w:tcPr>
          <w:p w14:paraId="00153BA6" w14:textId="77777777" w:rsidR="004D14B9" w:rsidRDefault="004D14B9">
            <w:pPr>
              <w:jc w:val="both"/>
              <w:rPr>
                <w:rFonts w:ascii="Palatino Linotype" w:eastAsia="Palatino Linotype" w:hAnsi="Palatino Linotype" w:cs="Palatino Linotype"/>
                <w:b/>
                <w:sz w:val="12"/>
                <w:szCs w:val="12"/>
              </w:rPr>
            </w:pPr>
          </w:p>
        </w:tc>
        <w:tc>
          <w:tcPr>
            <w:tcW w:w="3119" w:type="dxa"/>
          </w:tcPr>
          <w:p w14:paraId="499DF225" w14:textId="77777777" w:rsidR="004D14B9" w:rsidRDefault="004D14B9">
            <w:pPr>
              <w:jc w:val="both"/>
              <w:rPr>
                <w:rFonts w:ascii="Palatino Linotype" w:eastAsia="Palatino Linotype" w:hAnsi="Palatino Linotype" w:cs="Palatino Linotype"/>
                <w:sz w:val="12"/>
                <w:szCs w:val="12"/>
              </w:rPr>
            </w:pPr>
          </w:p>
        </w:tc>
        <w:tc>
          <w:tcPr>
            <w:tcW w:w="1129" w:type="dxa"/>
          </w:tcPr>
          <w:p w14:paraId="4B5F610A"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251A9DD1"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4D14B9" w14:paraId="79096CFA" w14:textId="77777777">
        <w:tc>
          <w:tcPr>
            <w:tcW w:w="1134" w:type="dxa"/>
          </w:tcPr>
          <w:p w14:paraId="71079029" w14:textId="77777777" w:rsidR="004D14B9" w:rsidRDefault="004D14B9">
            <w:pPr>
              <w:jc w:val="both"/>
              <w:rPr>
                <w:rFonts w:ascii="Palatino Linotype" w:eastAsia="Palatino Linotype" w:hAnsi="Palatino Linotype" w:cs="Palatino Linotype"/>
                <w:b/>
                <w:sz w:val="12"/>
                <w:szCs w:val="12"/>
              </w:rPr>
            </w:pPr>
          </w:p>
        </w:tc>
        <w:tc>
          <w:tcPr>
            <w:tcW w:w="3119" w:type="dxa"/>
          </w:tcPr>
          <w:p w14:paraId="4A3267D6" w14:textId="77777777" w:rsidR="004D14B9" w:rsidRDefault="004D14B9">
            <w:pPr>
              <w:jc w:val="both"/>
              <w:rPr>
                <w:rFonts w:ascii="Palatino Linotype" w:eastAsia="Palatino Linotype" w:hAnsi="Palatino Linotype" w:cs="Palatino Linotype"/>
                <w:sz w:val="12"/>
                <w:szCs w:val="12"/>
              </w:rPr>
            </w:pPr>
          </w:p>
        </w:tc>
        <w:tc>
          <w:tcPr>
            <w:tcW w:w="1129" w:type="dxa"/>
          </w:tcPr>
          <w:p w14:paraId="0AC648CC" w14:textId="77777777" w:rsidR="004D14B9" w:rsidRDefault="00E53A86">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73E37B98" w14:textId="77777777" w:rsidR="004D14B9" w:rsidRDefault="00E53A86">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79A6AF46" w14:textId="77777777" w:rsidR="004D14B9" w:rsidRDefault="00E53A8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A9F0565" w14:textId="77777777" w:rsidR="004D14B9" w:rsidRDefault="00E53A86">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119EBC00"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parcialmente fundados</w:t>
      </w:r>
      <w:r>
        <w:rPr>
          <w:rFonts w:ascii="Palatino Linotype" w:eastAsia="Palatino Linotype" w:hAnsi="Palatino Linotype" w:cs="Palatino Linotype"/>
        </w:rPr>
        <w:t xml:space="preserve"> los motivos de inconformidad planteados por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los recursos de revisión </w:t>
      </w:r>
      <w:r>
        <w:rPr>
          <w:rFonts w:ascii="Palatino Linotype" w:eastAsia="Palatino Linotype" w:hAnsi="Palatino Linotype" w:cs="Palatino Linotype"/>
          <w:b/>
        </w:rPr>
        <w:t>01759/INFOEM/IP/RR/2022 y 01860/INFOEM/IP/RR/2022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REVOCAN</w:t>
      </w:r>
      <w:r>
        <w:rPr>
          <w:rFonts w:ascii="Palatino Linotype" w:eastAsia="Palatino Linotype" w:hAnsi="Palatino Linotype" w:cs="Palatino Linotype"/>
        </w:rPr>
        <w:t xml:space="preserve"> las respuestas emitidas por el </w:t>
      </w:r>
      <w:r>
        <w:rPr>
          <w:rFonts w:ascii="Palatino Linotype" w:eastAsia="Palatino Linotype" w:hAnsi="Palatino Linotype" w:cs="Palatino Linotype"/>
          <w:b/>
        </w:rPr>
        <w:t>Ayuntamiento de Toluca</w:t>
      </w:r>
      <w:r>
        <w:rPr>
          <w:rFonts w:ascii="Palatino Linotype" w:eastAsia="Palatino Linotype" w:hAnsi="Palatino Linotype" w:cs="Palatino Linotype"/>
        </w:rPr>
        <w:t>.</w:t>
      </w:r>
    </w:p>
    <w:p w14:paraId="119F0A58" w14:textId="77777777" w:rsidR="004D14B9" w:rsidRDefault="00E53A86">
      <w:pPr>
        <w:spacing w:before="240" w:after="240" w:line="360" w:lineRule="auto"/>
        <w:ind w:right="49"/>
        <w:jc w:val="both"/>
        <w:rPr>
          <w:rFonts w:ascii="Palatino Linotype" w:eastAsia="Palatino Linotype" w:hAnsi="Palatino Linotype" w:cs="Palatino Linotype"/>
        </w:rPr>
      </w:pPr>
      <w:bookmarkStart w:id="5" w:name="_heading=h.1t3h5sf" w:colFirst="0" w:colLast="0"/>
      <w:bookmarkEnd w:id="5"/>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Considerandos Cuarto y Quinto</w:t>
      </w:r>
      <w:r>
        <w:rPr>
          <w:rFonts w:ascii="Palatino Linotype" w:eastAsia="Palatino Linotype" w:hAnsi="Palatino Linotype" w:cs="Palatino Linotype"/>
        </w:rPr>
        <w:t xml:space="preserve"> de esta resolución haga entrega al recurrente a través del </w:t>
      </w:r>
      <w:r>
        <w:rPr>
          <w:rFonts w:ascii="Palatino Linotype" w:eastAsia="Palatino Linotype" w:hAnsi="Palatino Linotype" w:cs="Palatino Linotype"/>
          <w:b/>
        </w:rPr>
        <w:t xml:space="preserve">SAIMEX, de ser el caso, </w:t>
      </w:r>
      <w:r>
        <w:rPr>
          <w:rFonts w:ascii="Palatino Linotype" w:eastAsia="Palatino Linotype" w:hAnsi="Palatino Linotype" w:cs="Palatino Linotype"/>
        </w:rPr>
        <w:t xml:space="preserve">en </w:t>
      </w:r>
      <w:r>
        <w:rPr>
          <w:rFonts w:ascii="Palatino Linotype" w:eastAsia="Palatino Linotype" w:hAnsi="Palatino Linotype" w:cs="Palatino Linotype"/>
          <w:b/>
        </w:rPr>
        <w:t>versión pública</w:t>
      </w:r>
      <w:r>
        <w:rPr>
          <w:rFonts w:ascii="Palatino Linotype" w:eastAsia="Palatino Linotype" w:hAnsi="Palatino Linotype" w:cs="Palatino Linotype"/>
        </w:rPr>
        <w:t>, de lo siguiente:</w:t>
      </w:r>
    </w:p>
    <w:p w14:paraId="1D5C8A3E" w14:textId="77777777" w:rsidR="004D14B9" w:rsidRDefault="00E53A86">
      <w:pPr>
        <w:numPr>
          <w:ilvl w:val="0"/>
          <w:numId w:val="4"/>
        </w:numPr>
        <w:pBdr>
          <w:top w:val="nil"/>
          <w:left w:val="nil"/>
          <w:bottom w:val="nil"/>
          <w:right w:val="nil"/>
          <w:between w:val="nil"/>
        </w:pBdr>
        <w:spacing w:before="240" w:after="240" w:line="276" w:lineRule="auto"/>
        <w:ind w:left="567" w:right="993"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Todos los oficios y notas informativas firmados por el Tesorero Municipal, generados del 1 al 21 de enero del 2022. </w:t>
      </w:r>
    </w:p>
    <w:p w14:paraId="02302FD0" w14:textId="77777777" w:rsidR="004D14B9" w:rsidRDefault="00E53A86">
      <w:pPr>
        <w:numPr>
          <w:ilvl w:val="0"/>
          <w:numId w:val="4"/>
        </w:numPr>
        <w:pBdr>
          <w:top w:val="nil"/>
          <w:left w:val="nil"/>
          <w:bottom w:val="nil"/>
          <w:right w:val="nil"/>
          <w:between w:val="nil"/>
        </w:pBdr>
        <w:spacing w:before="240" w:after="240" w:line="276" w:lineRule="auto"/>
        <w:ind w:left="567" w:right="993"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Todos los oficios y notas informativas firmados por todos los regidores, generados  del 1 al 24 de enero del 2022.</w:t>
      </w:r>
    </w:p>
    <w:p w14:paraId="0DA6F663" w14:textId="77777777" w:rsidR="004D14B9" w:rsidRDefault="00E53A86">
      <w:pPr>
        <w:pBdr>
          <w:top w:val="nil"/>
          <w:left w:val="nil"/>
          <w:bottom w:val="nil"/>
          <w:right w:val="nil"/>
          <w:between w:val="nil"/>
        </w:pBdr>
        <w:spacing w:before="240" w:after="240"/>
        <w:ind w:left="567" w:right="9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Debiendo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Pr>
          <w:rFonts w:ascii="Palatino Linotype" w:eastAsia="Palatino Linotype" w:hAnsi="Palatino Linotype" w:cs="Palatino Linotype"/>
          <w:b/>
          <w:i/>
          <w:color w:val="000000"/>
          <w:sz w:val="22"/>
          <w:szCs w:val="22"/>
        </w:rPr>
        <w:t>Recurrente</w:t>
      </w:r>
      <w:r>
        <w:rPr>
          <w:rFonts w:ascii="Palatino Linotype" w:eastAsia="Palatino Linotype" w:hAnsi="Palatino Linotype" w:cs="Palatino Linotype"/>
          <w:i/>
          <w:color w:val="000000"/>
          <w:sz w:val="22"/>
          <w:szCs w:val="22"/>
        </w:rPr>
        <w:t>, mismo que igualmente hará de su conocimiento.</w:t>
      </w:r>
    </w:p>
    <w:p w14:paraId="5946F3CE"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2040D64" w14:textId="77777777" w:rsidR="004D14B9" w:rsidRDefault="00E53A8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08269DA" w14:textId="77777777" w:rsidR="004D14B9" w:rsidRDefault="00E53A8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al recurrente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de conformidad con lo establecido en el artículo 196 de la Ley de Transparencia y Acceso a la Información Pública del Estado de México y Municipios, podrá impugnarla vía Juicio de Amparo en términos de las leyes aplicables. </w:t>
      </w:r>
    </w:p>
    <w:p w14:paraId="6623B6B2" w14:textId="62559DDF" w:rsidR="004D14B9" w:rsidRDefault="00B302D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w:lastRenderedPageBreak/>
        <mc:AlternateContent>
          <mc:Choice Requires="wps">
            <w:drawing>
              <wp:anchor distT="0" distB="0" distL="114300" distR="114300" simplePos="0" relativeHeight="251663360" behindDoc="0" locked="0" layoutInCell="1" allowOverlap="1" wp14:anchorId="0C3FDA6B" wp14:editId="7E2C0AC6">
                <wp:simplePos x="0" y="0"/>
                <wp:positionH relativeFrom="column">
                  <wp:posOffset>81915</wp:posOffset>
                </wp:positionH>
                <wp:positionV relativeFrom="paragraph">
                  <wp:posOffset>2707005</wp:posOffset>
                </wp:positionV>
                <wp:extent cx="5324475" cy="493395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324475" cy="4933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0C5A7" id="Conector recto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213.15pt" to="425.7pt,6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" strokecolor="black [3200]" strokeweight=".5pt">
                <v:stroke joinstyle="miter"/>
              </v:line>
            </w:pict>
          </mc:Fallback>
        </mc:AlternateContent>
      </w:r>
      <w:r w:rsidR="00E53A8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DÉCIMO QUINTA SESIÓN ORDINARIA CELEBRADA EL VEINTISIETE DE ABRIL DE DOS MIL VEINTIDÓS, ANTE EL SECRETARIO TÉCNICO DEL PLENO, ALEXIS TAPIA RAMÍREZ.</w:t>
      </w:r>
    </w:p>
    <w:p w14:paraId="0324B717" w14:textId="77777777" w:rsidR="00F023A4" w:rsidRDefault="00F023A4">
      <w:pPr>
        <w:spacing w:before="240" w:after="240" w:line="360" w:lineRule="auto"/>
        <w:jc w:val="both"/>
        <w:rPr>
          <w:rFonts w:ascii="Palatino Linotype" w:eastAsia="Palatino Linotype" w:hAnsi="Palatino Linotype" w:cs="Palatino Linotype"/>
        </w:rPr>
      </w:pPr>
    </w:p>
    <w:p w14:paraId="32909A77" w14:textId="77777777" w:rsidR="00F023A4" w:rsidRDefault="00F023A4">
      <w:pPr>
        <w:spacing w:before="240" w:after="240" w:line="360" w:lineRule="auto"/>
        <w:jc w:val="both"/>
        <w:rPr>
          <w:rFonts w:ascii="Palatino Linotype" w:eastAsia="Palatino Linotype" w:hAnsi="Palatino Linotype" w:cs="Palatino Linotype"/>
        </w:rPr>
      </w:pPr>
    </w:p>
    <w:p w14:paraId="7082880B" w14:textId="77777777" w:rsidR="00F023A4" w:rsidRDefault="00F023A4">
      <w:pPr>
        <w:spacing w:before="240" w:after="240" w:line="360" w:lineRule="auto"/>
        <w:jc w:val="both"/>
        <w:rPr>
          <w:rFonts w:ascii="Palatino Linotype" w:eastAsia="Palatino Linotype" w:hAnsi="Palatino Linotype" w:cs="Palatino Linotype"/>
        </w:rPr>
      </w:pPr>
    </w:p>
    <w:p w14:paraId="5AAA0368" w14:textId="77777777" w:rsidR="00F023A4" w:rsidRDefault="00F023A4">
      <w:pPr>
        <w:spacing w:before="240" w:after="240" w:line="360" w:lineRule="auto"/>
        <w:jc w:val="both"/>
        <w:rPr>
          <w:rFonts w:ascii="Palatino Linotype" w:eastAsia="Palatino Linotype" w:hAnsi="Palatino Linotype" w:cs="Palatino Linotype"/>
        </w:rPr>
      </w:pPr>
    </w:p>
    <w:p w14:paraId="47519EE6" w14:textId="77777777" w:rsidR="00F023A4" w:rsidRDefault="00F023A4">
      <w:pPr>
        <w:spacing w:before="240" w:after="240" w:line="360" w:lineRule="auto"/>
        <w:jc w:val="both"/>
        <w:rPr>
          <w:rFonts w:ascii="Palatino Linotype" w:eastAsia="Palatino Linotype" w:hAnsi="Palatino Linotype" w:cs="Palatino Linotype"/>
        </w:rPr>
      </w:pPr>
    </w:p>
    <w:p w14:paraId="2149A989" w14:textId="77777777" w:rsidR="00F023A4" w:rsidRDefault="00F023A4">
      <w:pPr>
        <w:spacing w:before="240" w:after="240" w:line="360" w:lineRule="auto"/>
        <w:jc w:val="both"/>
        <w:rPr>
          <w:rFonts w:ascii="Palatino Linotype" w:eastAsia="Palatino Linotype" w:hAnsi="Palatino Linotype" w:cs="Palatino Linotype"/>
        </w:rPr>
      </w:pPr>
    </w:p>
    <w:p w14:paraId="21F9A74A" w14:textId="77777777" w:rsidR="00F023A4" w:rsidRDefault="00F023A4">
      <w:pPr>
        <w:spacing w:before="240" w:after="240" w:line="360" w:lineRule="auto"/>
        <w:jc w:val="both"/>
        <w:rPr>
          <w:rFonts w:ascii="Palatino Linotype" w:eastAsia="Palatino Linotype" w:hAnsi="Palatino Linotype" w:cs="Palatino Linotype"/>
        </w:rPr>
      </w:pPr>
    </w:p>
    <w:p w14:paraId="01939668" w14:textId="77777777" w:rsidR="00F023A4" w:rsidRDefault="00F023A4">
      <w:pPr>
        <w:spacing w:before="240" w:after="240" w:line="360" w:lineRule="auto"/>
        <w:jc w:val="both"/>
        <w:rPr>
          <w:rFonts w:ascii="Palatino Linotype" w:eastAsia="Palatino Linotype" w:hAnsi="Palatino Linotype" w:cs="Palatino Linotype"/>
        </w:rPr>
      </w:pPr>
    </w:p>
    <w:p w14:paraId="15FDC310" w14:textId="77777777" w:rsidR="00F023A4" w:rsidRDefault="00F023A4">
      <w:pPr>
        <w:spacing w:before="240" w:after="240" w:line="360" w:lineRule="auto"/>
        <w:jc w:val="both"/>
        <w:rPr>
          <w:rFonts w:ascii="Palatino Linotype" w:eastAsia="Palatino Linotype" w:hAnsi="Palatino Linotype" w:cs="Palatino Linotype"/>
        </w:rPr>
      </w:pPr>
    </w:p>
    <w:p w14:paraId="14FA5B12" w14:textId="77777777" w:rsidR="00F023A4" w:rsidRDefault="00F023A4">
      <w:pPr>
        <w:spacing w:before="240" w:after="240" w:line="360" w:lineRule="auto"/>
        <w:jc w:val="both"/>
        <w:rPr>
          <w:rFonts w:ascii="Palatino Linotype" w:eastAsia="Palatino Linotype" w:hAnsi="Palatino Linotype" w:cs="Palatino Linotype"/>
        </w:rPr>
      </w:pPr>
      <w:bookmarkStart w:id="6" w:name="_GoBack"/>
      <w:bookmarkEnd w:id="6"/>
    </w:p>
    <w:p w14:paraId="63848E6A" w14:textId="77777777" w:rsidR="00F023A4" w:rsidRDefault="00F023A4">
      <w:pPr>
        <w:spacing w:before="240" w:after="240" w:line="360" w:lineRule="auto"/>
        <w:jc w:val="both"/>
        <w:rPr>
          <w:rFonts w:ascii="Palatino Linotype" w:eastAsia="Palatino Linotype" w:hAnsi="Palatino Linotype" w:cs="Palatino Linotype"/>
        </w:rPr>
        <w:sectPr w:rsidR="00F023A4">
          <w:headerReference w:type="default" r:id="rId34"/>
          <w:footerReference w:type="default" r:id="rId35"/>
          <w:headerReference w:type="first" r:id="rId36"/>
          <w:footerReference w:type="first" r:id="rId37"/>
          <w:pgSz w:w="12240" w:h="15840"/>
          <w:pgMar w:top="1985" w:right="1608" w:bottom="1701" w:left="1701" w:header="709" w:footer="709" w:gutter="0"/>
          <w:pgNumType w:start="1"/>
          <w:cols w:space="720"/>
          <w:titlePg/>
        </w:sectPr>
      </w:pPr>
    </w:p>
    <w:p w14:paraId="6F586048" w14:textId="77777777" w:rsidR="00F023A4" w:rsidRDefault="00F023A4">
      <w:pPr>
        <w:spacing w:before="240" w:after="240" w:line="360" w:lineRule="auto"/>
        <w:jc w:val="both"/>
        <w:rPr>
          <w:rFonts w:ascii="Palatino Linotype" w:eastAsia="Palatino Linotype" w:hAnsi="Palatino Linotype" w:cs="Palatino Linotype"/>
        </w:rPr>
      </w:pPr>
    </w:p>
    <w:sectPr w:rsidR="00F023A4">
      <w:headerReference w:type="first" r:id="rId38"/>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68CB0" w14:textId="77777777" w:rsidR="000D13F7" w:rsidRDefault="000D13F7">
      <w:r>
        <w:separator/>
      </w:r>
    </w:p>
  </w:endnote>
  <w:endnote w:type="continuationSeparator" w:id="0">
    <w:p w14:paraId="437975C3" w14:textId="77777777" w:rsidR="000D13F7" w:rsidRDefault="000D1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EFD3B" w14:textId="77777777" w:rsidR="004D14B9" w:rsidRDefault="00E53A8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302DD">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302DD">
      <w:rPr>
        <w:rFonts w:ascii="Palatino Linotype" w:eastAsia="Palatino Linotype" w:hAnsi="Palatino Linotype" w:cs="Palatino Linotype"/>
        <w:b/>
        <w:noProof/>
        <w:color w:val="000000"/>
        <w:sz w:val="20"/>
        <w:szCs w:val="20"/>
      </w:rPr>
      <w:t>62</w:t>
    </w:r>
    <w:r>
      <w:rPr>
        <w:rFonts w:ascii="Palatino Linotype" w:eastAsia="Palatino Linotype" w:hAnsi="Palatino Linotype" w:cs="Palatino Linotype"/>
        <w:b/>
        <w:color w:val="000000"/>
        <w:sz w:val="20"/>
        <w:szCs w:val="20"/>
      </w:rPr>
      <w:fldChar w:fldCharType="end"/>
    </w:r>
  </w:p>
  <w:p w14:paraId="71259B9E" w14:textId="77777777" w:rsidR="004D14B9" w:rsidRDefault="00E53A86">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895C7" w14:textId="77777777" w:rsidR="004D14B9" w:rsidRDefault="00E53A86">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B302DD">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B302DD">
      <w:rPr>
        <w:rFonts w:ascii="Palatino Linotype" w:eastAsia="Palatino Linotype" w:hAnsi="Palatino Linotype" w:cs="Palatino Linotype"/>
        <w:b/>
        <w:noProof/>
        <w:sz w:val="20"/>
        <w:szCs w:val="20"/>
      </w:rPr>
      <w:t>62</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87AA5" w14:textId="77777777" w:rsidR="000D13F7" w:rsidRDefault="000D13F7">
      <w:r>
        <w:separator/>
      </w:r>
    </w:p>
  </w:footnote>
  <w:footnote w:type="continuationSeparator" w:id="0">
    <w:p w14:paraId="04CD017C" w14:textId="77777777" w:rsidR="000D13F7" w:rsidRDefault="000D13F7">
      <w:r>
        <w:continuationSeparator/>
      </w:r>
    </w:p>
  </w:footnote>
  <w:footnote w:id="1">
    <w:p w14:paraId="45048279" w14:textId="77777777" w:rsidR="004D14B9" w:rsidRDefault="00E53A86">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590E302D" w14:textId="77777777" w:rsidR="004D14B9" w:rsidRDefault="00E53A8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0F598" w14:textId="77777777" w:rsidR="004D14B9" w:rsidRDefault="00E53A86">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46A54557" wp14:editId="4D620082">
          <wp:simplePos x="0" y="0"/>
          <wp:positionH relativeFrom="column">
            <wp:posOffset>-1080134</wp:posOffset>
          </wp:positionH>
          <wp:positionV relativeFrom="paragraph">
            <wp:posOffset>-307974</wp:posOffset>
          </wp:positionV>
          <wp:extent cx="7635163" cy="9944100"/>
          <wp:effectExtent l="0" t="0" r="0" b="0"/>
          <wp:wrapNone/>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a"/>
      <w:tblW w:w="5528" w:type="dxa"/>
      <w:tblInd w:w="3261" w:type="dxa"/>
      <w:tblLayout w:type="fixed"/>
      <w:tblLook w:val="0400" w:firstRow="0" w:lastRow="0" w:firstColumn="0" w:lastColumn="0" w:noHBand="0" w:noVBand="1"/>
    </w:tblPr>
    <w:tblGrid>
      <w:gridCol w:w="2552"/>
      <w:gridCol w:w="2976"/>
    </w:tblGrid>
    <w:tr w:rsidR="004D14B9" w14:paraId="13737E4D" w14:textId="77777777">
      <w:tc>
        <w:tcPr>
          <w:tcW w:w="2552" w:type="dxa"/>
          <w:vAlign w:val="center"/>
        </w:tcPr>
        <w:p w14:paraId="278A8E6E" w14:textId="77777777" w:rsidR="004D14B9" w:rsidRDefault="00E53A86">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0986CD02" w14:textId="77777777" w:rsidR="004D14B9" w:rsidRDefault="00E53A86">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01759/INFOEM/IP/RR/2022  y acumulado</w:t>
          </w:r>
        </w:p>
      </w:tc>
    </w:tr>
    <w:tr w:rsidR="004D14B9" w14:paraId="24408768" w14:textId="77777777">
      <w:trPr>
        <w:trHeight w:val="228"/>
      </w:trPr>
      <w:tc>
        <w:tcPr>
          <w:tcW w:w="2552" w:type="dxa"/>
          <w:vAlign w:val="center"/>
        </w:tcPr>
        <w:p w14:paraId="50C108C5" w14:textId="77777777" w:rsidR="004D14B9" w:rsidRDefault="00E53A86">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187A3B45" w14:textId="77777777" w:rsidR="004D14B9" w:rsidRDefault="00E53A86">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Toluca</w:t>
          </w:r>
        </w:p>
      </w:tc>
    </w:tr>
    <w:tr w:rsidR="004D14B9" w14:paraId="7E1B28D3" w14:textId="77777777">
      <w:tc>
        <w:tcPr>
          <w:tcW w:w="2552" w:type="dxa"/>
          <w:vAlign w:val="center"/>
        </w:tcPr>
        <w:p w14:paraId="5A97633E" w14:textId="77777777" w:rsidR="004D14B9" w:rsidRDefault="00E53A86">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7CC71FC8" w14:textId="77777777" w:rsidR="004D14B9" w:rsidRDefault="00E53A86">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72FA1984" w14:textId="77777777" w:rsidR="004D14B9" w:rsidRDefault="00E53A8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DCDDE" w14:textId="77777777" w:rsidR="004D14B9" w:rsidRDefault="00E53A86">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9264" behindDoc="1" locked="0" layoutInCell="1" hidden="0" allowOverlap="1" wp14:anchorId="43BA5644" wp14:editId="5E8C3CC7">
          <wp:simplePos x="0" y="0"/>
          <wp:positionH relativeFrom="column">
            <wp:posOffset>-941069</wp:posOffset>
          </wp:positionH>
          <wp:positionV relativeFrom="paragraph">
            <wp:posOffset>-247014</wp:posOffset>
          </wp:positionV>
          <wp:extent cx="7635163" cy="9944100"/>
          <wp:effectExtent l="0" t="0" r="0"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9"/>
      <w:tblW w:w="5670" w:type="dxa"/>
      <w:tblInd w:w="3261" w:type="dxa"/>
      <w:tblLayout w:type="fixed"/>
      <w:tblLook w:val="0400" w:firstRow="0" w:lastRow="0" w:firstColumn="0" w:lastColumn="0" w:noHBand="0" w:noVBand="1"/>
    </w:tblPr>
    <w:tblGrid>
      <w:gridCol w:w="2551"/>
      <w:gridCol w:w="3119"/>
    </w:tblGrid>
    <w:tr w:rsidR="004D14B9" w14:paraId="733BE41F" w14:textId="77777777">
      <w:tc>
        <w:tcPr>
          <w:tcW w:w="2551" w:type="dxa"/>
          <w:shd w:val="clear" w:color="auto" w:fill="auto"/>
          <w:vAlign w:val="center"/>
        </w:tcPr>
        <w:p w14:paraId="177F929F" w14:textId="77777777" w:rsidR="004D14B9" w:rsidRDefault="00E53A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428907E" w14:textId="77777777" w:rsidR="004D14B9" w:rsidRDefault="00E53A86">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01759/INFOEM/IP/RR/2022 y acumulado</w:t>
          </w:r>
        </w:p>
      </w:tc>
    </w:tr>
    <w:tr w:rsidR="004D14B9" w14:paraId="23BCE2AE" w14:textId="77777777">
      <w:trPr>
        <w:trHeight w:val="130"/>
      </w:trPr>
      <w:tc>
        <w:tcPr>
          <w:tcW w:w="2551" w:type="dxa"/>
          <w:shd w:val="clear" w:color="auto" w:fill="auto"/>
          <w:vAlign w:val="center"/>
        </w:tcPr>
        <w:p w14:paraId="5BAB7BDC" w14:textId="77777777" w:rsidR="004D14B9" w:rsidRDefault="00E53A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CBB97D6" w14:textId="7F0ABFFB" w:rsidR="004D14B9" w:rsidRDefault="00B302DD">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 xxxxxxx</w:t>
          </w:r>
        </w:p>
      </w:tc>
    </w:tr>
    <w:tr w:rsidR="004D14B9" w14:paraId="019A008D" w14:textId="77777777">
      <w:trPr>
        <w:trHeight w:val="228"/>
      </w:trPr>
      <w:tc>
        <w:tcPr>
          <w:tcW w:w="2551" w:type="dxa"/>
          <w:shd w:val="clear" w:color="auto" w:fill="auto"/>
          <w:vAlign w:val="center"/>
        </w:tcPr>
        <w:p w14:paraId="2051034E" w14:textId="77777777" w:rsidR="004D14B9" w:rsidRDefault="00E53A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EF895DC" w14:textId="77777777" w:rsidR="004D14B9" w:rsidRDefault="00E53A86">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4D14B9" w14:paraId="3D6A0238" w14:textId="77777777">
      <w:tc>
        <w:tcPr>
          <w:tcW w:w="2551" w:type="dxa"/>
          <w:shd w:val="clear" w:color="auto" w:fill="auto"/>
          <w:vAlign w:val="center"/>
        </w:tcPr>
        <w:p w14:paraId="0C13DCB8" w14:textId="77777777" w:rsidR="004D14B9" w:rsidRDefault="00E53A8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1073ADC" w14:textId="77777777" w:rsidR="004D14B9" w:rsidRDefault="00E53A86">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6E3FCFB" w14:textId="77777777" w:rsidR="004D14B9" w:rsidRDefault="004D14B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2ADAF" w14:textId="77777777" w:rsidR="00F023A4" w:rsidRDefault="00F023A4">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F67593"/>
    <w:multiLevelType w:val="multilevel"/>
    <w:tmpl w:val="A83441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1F520D8"/>
    <w:multiLevelType w:val="multilevel"/>
    <w:tmpl w:val="54AA7C5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BB766F7"/>
    <w:multiLevelType w:val="multilevel"/>
    <w:tmpl w:val="ADD089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5C380D53"/>
    <w:multiLevelType w:val="multilevel"/>
    <w:tmpl w:val="A7A87AA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5DEF5307"/>
    <w:multiLevelType w:val="multilevel"/>
    <w:tmpl w:val="E76E222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B9"/>
    <w:rsid w:val="000D13F7"/>
    <w:rsid w:val="001837CE"/>
    <w:rsid w:val="004D14B9"/>
    <w:rsid w:val="005C289A"/>
    <w:rsid w:val="00B302DD"/>
    <w:rsid w:val="00E53A86"/>
    <w:rsid w:val="00F023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66E3"/>
  <w15:docId w15:val="{10C44C25-566D-4F9C-99FD-B68ECFEE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0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7">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80.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2ep08gISaM5E6hnc6HbPcTqZA==">AMUW2mX55ZX8xdM0AqCua441GhNsG+1+fV2IgEQiFKAKJwVt9XQUHhB8jUlNI8HM3na2fLfAIwAZ5wzm7F+ZwDqb7OCLiLV3/ZciM3rzOBydoFYG4AynIlp0Znw9nyzoWhb2uefhBU1t5Wqp+4i/cOb/vQwW4qNqjENNmisbZo+FyfYgvEFh53OZ0vvD3/mJ1msrhgFzuiPt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12401</Words>
  <Characters>68208</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USUARIO</cp:lastModifiedBy>
  <cp:revision>2</cp:revision>
  <cp:lastPrinted>2022-05-01T04:40:00Z</cp:lastPrinted>
  <dcterms:created xsi:type="dcterms:W3CDTF">2022-05-09T21:26:00Z</dcterms:created>
  <dcterms:modified xsi:type="dcterms:W3CDTF">2022-05-09T21:26:00Z</dcterms:modified>
</cp:coreProperties>
</file>