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3D5B0" w14:textId="77777777" w:rsidR="002A4CC9" w:rsidRDefault="002A4CC9" w:rsidP="00D20825">
      <w:pPr>
        <w:spacing w:line="360" w:lineRule="auto"/>
        <w:ind w:right="-28"/>
        <w:jc w:val="both"/>
        <w:rPr>
          <w:rFonts w:ascii="Palatino Linotype" w:hAnsi="Palatino Linotype" w:cs="Tahoma"/>
          <w:bCs/>
          <w:sz w:val="22"/>
          <w:szCs w:val="22"/>
        </w:rPr>
      </w:pPr>
    </w:p>
    <w:p w14:paraId="174A94A8" w14:textId="7D6CBE97" w:rsidR="00C42296" w:rsidRPr="00C42296" w:rsidRDefault="00C42296" w:rsidP="00D20825">
      <w:pPr>
        <w:spacing w:line="360" w:lineRule="auto"/>
        <w:jc w:val="both"/>
        <w:rPr>
          <w:rFonts w:ascii="Palatino Linotype" w:hAnsi="Palatino Linotype" w:cs="Tahoma"/>
          <w:bCs/>
          <w:sz w:val="22"/>
          <w:szCs w:val="22"/>
        </w:rPr>
      </w:pPr>
      <w:r w:rsidRPr="00C42296">
        <w:rPr>
          <w:rFonts w:ascii="Palatino Linotype" w:eastAsia="Calibri" w:hAnsi="Palatino Linotype" w:cs="Tahoma"/>
          <w:bCs/>
          <w:color w:val="000000" w:themeColor="text1"/>
          <w:sz w:val="22"/>
          <w:szCs w:val="22"/>
          <w:lang w:eastAsia="en-US"/>
        </w:rPr>
        <w:t xml:space="preserve">Resolución del Pleno del Instituto de Transparencia, Acceso a la Información Pública y </w:t>
      </w:r>
      <w:r w:rsidRPr="00C42296">
        <w:rPr>
          <w:rFonts w:ascii="Palatino Linotype" w:hAnsi="Palatino Linotype" w:cs="Tahoma"/>
          <w:bCs/>
          <w:sz w:val="22"/>
          <w:szCs w:val="22"/>
        </w:rPr>
        <w:t xml:space="preserve">Protección de Datos Personales del Estado de México y Municipios, con domicilio en Metepec, Estado de México, de fecha </w:t>
      </w:r>
      <w:r w:rsidR="00DB7765">
        <w:rPr>
          <w:rFonts w:ascii="Palatino Linotype" w:hAnsi="Palatino Linotype" w:cs="Tahoma"/>
          <w:bCs/>
          <w:sz w:val="22"/>
          <w:szCs w:val="22"/>
        </w:rPr>
        <w:t>veinte</w:t>
      </w:r>
      <w:r w:rsidRPr="00C42296">
        <w:rPr>
          <w:rFonts w:ascii="Palatino Linotype" w:hAnsi="Palatino Linotype" w:cs="Tahoma"/>
          <w:bCs/>
          <w:sz w:val="22"/>
          <w:szCs w:val="22"/>
        </w:rPr>
        <w:t xml:space="preserve"> de abril de dos mil veintidós. </w:t>
      </w:r>
    </w:p>
    <w:p w14:paraId="23359D3E" w14:textId="77777777" w:rsidR="00C42296" w:rsidRPr="00C42296" w:rsidRDefault="00C42296" w:rsidP="00D20825">
      <w:pPr>
        <w:spacing w:line="360" w:lineRule="auto"/>
        <w:jc w:val="both"/>
        <w:rPr>
          <w:rFonts w:ascii="Palatino Linotype" w:eastAsia="Calibri" w:hAnsi="Palatino Linotype"/>
          <w:color w:val="000000" w:themeColor="text1"/>
          <w:sz w:val="22"/>
          <w:szCs w:val="22"/>
          <w:lang w:eastAsia="en-US"/>
        </w:rPr>
      </w:pPr>
    </w:p>
    <w:p w14:paraId="5ADE0D71" w14:textId="1F65BFCD" w:rsidR="00C42296" w:rsidRPr="00C42296" w:rsidRDefault="00C42296" w:rsidP="00D20825">
      <w:pPr>
        <w:spacing w:line="360" w:lineRule="auto"/>
        <w:jc w:val="both"/>
        <w:rPr>
          <w:rFonts w:ascii="Palatino Linotype" w:eastAsia="Calibri" w:hAnsi="Palatino Linotype"/>
          <w:bCs/>
          <w:color w:val="000000" w:themeColor="text1"/>
          <w:sz w:val="22"/>
          <w:szCs w:val="22"/>
          <w:lang w:eastAsia="en-US"/>
        </w:rPr>
      </w:pPr>
      <w:r w:rsidRPr="00C42296">
        <w:rPr>
          <w:rFonts w:ascii="Palatino Linotype" w:eastAsia="Calibri" w:hAnsi="Palatino Linotype"/>
          <w:b/>
          <w:bCs/>
          <w:color w:val="000000" w:themeColor="text1"/>
          <w:sz w:val="22"/>
          <w:szCs w:val="22"/>
          <w:lang w:eastAsia="en-US"/>
        </w:rPr>
        <w:t xml:space="preserve">VISTO </w:t>
      </w:r>
      <w:r w:rsidRPr="00C42296">
        <w:rPr>
          <w:rFonts w:ascii="Palatino Linotype" w:eastAsia="Calibri" w:hAnsi="Palatino Linotype"/>
          <w:bCs/>
          <w:color w:val="000000" w:themeColor="text1"/>
          <w:sz w:val="22"/>
          <w:szCs w:val="22"/>
          <w:lang w:eastAsia="en-US"/>
        </w:rPr>
        <w:t xml:space="preserve">el expediente conformado con motivo del Recurso de Revisión </w:t>
      </w:r>
      <w:r w:rsidR="002B5406" w:rsidRPr="002B5406">
        <w:rPr>
          <w:rFonts w:ascii="Palatino Linotype" w:eastAsia="Calibri" w:hAnsi="Palatino Linotype"/>
          <w:color w:val="000000" w:themeColor="text1"/>
          <w:sz w:val="22"/>
          <w:szCs w:val="22"/>
          <w:lang w:eastAsia="en-US"/>
        </w:rPr>
        <w:t>00776/INFOEM/IP/RR/2022</w:t>
      </w:r>
      <w:r w:rsidRPr="00C42296">
        <w:rPr>
          <w:rFonts w:ascii="Palatino Linotype" w:eastAsia="Calibri" w:hAnsi="Palatino Linotype"/>
          <w:color w:val="000000" w:themeColor="text1"/>
          <w:sz w:val="22"/>
          <w:szCs w:val="22"/>
          <w:lang w:eastAsia="en-US"/>
        </w:rPr>
        <w:t>, interpuesto por</w:t>
      </w:r>
      <w:r w:rsidR="002B5406">
        <w:rPr>
          <w:rFonts w:ascii="Palatino Linotype" w:eastAsia="Calibri" w:hAnsi="Palatino Linotype"/>
          <w:color w:val="000000" w:themeColor="text1"/>
          <w:sz w:val="22"/>
          <w:szCs w:val="22"/>
          <w:lang w:eastAsia="en-US"/>
        </w:rPr>
        <w:t xml:space="preserve"> </w:t>
      </w:r>
      <w:r w:rsidR="00EB7867">
        <w:rPr>
          <w:rFonts w:ascii="Palatino Linotype" w:eastAsia="Calibri" w:hAnsi="Palatino Linotype"/>
          <w:color w:val="000000" w:themeColor="text1"/>
          <w:sz w:val="22"/>
          <w:szCs w:val="22"/>
          <w:lang w:eastAsia="en-US"/>
        </w:rPr>
        <w:t>el</w:t>
      </w:r>
      <w:r w:rsidRPr="00C42296">
        <w:rPr>
          <w:rFonts w:ascii="Palatino Linotype" w:eastAsia="Calibri" w:hAnsi="Palatino Linotype" w:cs="Tahoma"/>
          <w:bCs/>
          <w:color w:val="0D0D0D" w:themeColor="text1" w:themeTint="F2"/>
          <w:sz w:val="22"/>
          <w:szCs w:val="22"/>
          <w:lang w:eastAsia="en-US"/>
        </w:rPr>
        <w:t xml:space="preserve"> Recurrente o Particular</w:t>
      </w:r>
      <w:r w:rsidRPr="00C42296">
        <w:rPr>
          <w:rFonts w:ascii="Palatino Linotype" w:eastAsia="Calibri" w:hAnsi="Palatino Linotype"/>
          <w:color w:val="000000" w:themeColor="text1"/>
          <w:sz w:val="22"/>
          <w:szCs w:val="22"/>
          <w:lang w:eastAsia="en-US"/>
        </w:rPr>
        <w:t>, en contra de la respuesta del Sujeto Obligado</w:t>
      </w:r>
      <w:r w:rsidR="00EB7867">
        <w:rPr>
          <w:rFonts w:ascii="Palatino Linotype" w:eastAsia="Calibri" w:hAnsi="Palatino Linotype"/>
          <w:color w:val="000000" w:themeColor="text1"/>
          <w:sz w:val="22"/>
          <w:szCs w:val="22"/>
          <w:lang w:eastAsia="en-US"/>
        </w:rPr>
        <w:t>,</w:t>
      </w:r>
      <w:r w:rsidRPr="00C42296">
        <w:rPr>
          <w:rFonts w:ascii="Palatino Linotype" w:eastAsia="Calibri" w:hAnsi="Palatino Linotype"/>
          <w:color w:val="000000" w:themeColor="text1"/>
          <w:sz w:val="22"/>
          <w:szCs w:val="22"/>
          <w:lang w:eastAsia="en-US"/>
        </w:rPr>
        <w:t xml:space="preserve"> Ayuntamiento de </w:t>
      </w:r>
      <w:r w:rsidR="002B5406">
        <w:rPr>
          <w:rFonts w:ascii="Palatino Linotype" w:eastAsia="Calibri" w:hAnsi="Palatino Linotype"/>
          <w:color w:val="000000" w:themeColor="text1"/>
          <w:sz w:val="22"/>
          <w:szCs w:val="22"/>
          <w:lang w:eastAsia="en-US"/>
        </w:rPr>
        <w:t>Atenco</w:t>
      </w:r>
      <w:r w:rsidRPr="00C42296">
        <w:rPr>
          <w:rFonts w:ascii="Palatino Linotype" w:eastAsia="Calibri" w:hAnsi="Palatino Linotype"/>
          <w:color w:val="000000" w:themeColor="text1"/>
          <w:sz w:val="22"/>
          <w:szCs w:val="22"/>
          <w:lang w:eastAsia="en-US"/>
        </w:rPr>
        <w:t xml:space="preserve">, a la solicitud de acceso a la información pública </w:t>
      </w:r>
      <w:r w:rsidR="002B5406" w:rsidRPr="002B5406">
        <w:rPr>
          <w:rFonts w:ascii="Palatino Linotype" w:eastAsia="Calibri" w:hAnsi="Palatino Linotype"/>
          <w:color w:val="000000" w:themeColor="text1"/>
          <w:sz w:val="22"/>
          <w:szCs w:val="22"/>
          <w:lang w:eastAsia="en-US"/>
        </w:rPr>
        <w:t>00077/ATENCO/IP/2022</w:t>
      </w:r>
      <w:r w:rsidRPr="00C42296">
        <w:rPr>
          <w:rFonts w:ascii="Palatino Linotype" w:eastAsia="Calibri" w:hAnsi="Palatino Linotype"/>
          <w:color w:val="000000" w:themeColor="text1"/>
          <w:sz w:val="22"/>
          <w:szCs w:val="22"/>
          <w:lang w:eastAsia="en-US"/>
        </w:rPr>
        <w:t>,</w:t>
      </w:r>
      <w:r w:rsidRPr="00C42296">
        <w:rPr>
          <w:rFonts w:ascii="Palatino Linotype" w:eastAsia="Calibri" w:hAnsi="Palatino Linotype"/>
          <w:bCs/>
          <w:color w:val="000000" w:themeColor="text1"/>
          <w:sz w:val="22"/>
          <w:szCs w:val="22"/>
          <w:lang w:eastAsia="en-US"/>
        </w:rPr>
        <w:t xml:space="preserve"> se emite la presente Resolución, con base en los Antecedentes y Considerandos que a continuación se exponen:</w:t>
      </w:r>
    </w:p>
    <w:p w14:paraId="13B6918E" w14:textId="77777777" w:rsidR="00C42296" w:rsidRPr="00C42296" w:rsidRDefault="00C42296" w:rsidP="00D20825">
      <w:pPr>
        <w:spacing w:line="360" w:lineRule="auto"/>
        <w:jc w:val="both"/>
        <w:rPr>
          <w:rFonts w:ascii="Palatino Linotype" w:eastAsia="Calibri" w:hAnsi="Palatino Linotype"/>
          <w:bCs/>
          <w:color w:val="000000" w:themeColor="text1"/>
          <w:sz w:val="22"/>
          <w:szCs w:val="22"/>
          <w:lang w:eastAsia="en-US"/>
        </w:rPr>
      </w:pPr>
    </w:p>
    <w:p w14:paraId="5DFA9E78" w14:textId="77777777" w:rsidR="00C42296" w:rsidRPr="00C42296" w:rsidRDefault="00C42296" w:rsidP="00D20825">
      <w:pPr>
        <w:spacing w:line="360" w:lineRule="auto"/>
        <w:jc w:val="center"/>
        <w:rPr>
          <w:rFonts w:ascii="Palatino Linotype" w:eastAsia="Calibri" w:hAnsi="Palatino Linotype"/>
          <w:b/>
          <w:color w:val="000000" w:themeColor="text1"/>
          <w:sz w:val="22"/>
          <w:szCs w:val="22"/>
          <w:lang w:eastAsia="en-US"/>
        </w:rPr>
      </w:pPr>
      <w:r w:rsidRPr="00C42296">
        <w:rPr>
          <w:rFonts w:ascii="Palatino Linotype" w:eastAsia="Calibri" w:hAnsi="Palatino Linotype"/>
          <w:b/>
          <w:color w:val="000000" w:themeColor="text1"/>
          <w:sz w:val="22"/>
          <w:szCs w:val="22"/>
          <w:lang w:eastAsia="en-US"/>
        </w:rPr>
        <w:t>A N T E C E D E N TE S:</w:t>
      </w:r>
    </w:p>
    <w:p w14:paraId="729E5009" w14:textId="77777777" w:rsidR="00C42296" w:rsidRPr="00C42296" w:rsidRDefault="00C42296" w:rsidP="00D20825">
      <w:pPr>
        <w:tabs>
          <w:tab w:val="left" w:pos="567"/>
        </w:tabs>
        <w:spacing w:line="360" w:lineRule="auto"/>
        <w:jc w:val="both"/>
        <w:rPr>
          <w:rFonts w:ascii="Palatino Linotype" w:hAnsi="Palatino Linotype" w:cs="Tahoma"/>
          <w:b/>
          <w:sz w:val="22"/>
          <w:szCs w:val="22"/>
        </w:rPr>
      </w:pPr>
    </w:p>
    <w:p w14:paraId="3E715F6F" w14:textId="77777777" w:rsidR="00C42296" w:rsidRPr="00C42296" w:rsidRDefault="00C42296" w:rsidP="00D20825">
      <w:pPr>
        <w:tabs>
          <w:tab w:val="left" w:pos="567"/>
        </w:tabs>
        <w:spacing w:line="360" w:lineRule="auto"/>
        <w:jc w:val="both"/>
        <w:rPr>
          <w:rFonts w:ascii="Palatino Linotype" w:hAnsi="Palatino Linotype" w:cs="Tahoma"/>
          <w:b/>
          <w:sz w:val="22"/>
          <w:szCs w:val="22"/>
        </w:rPr>
      </w:pPr>
      <w:r w:rsidRPr="00C42296">
        <w:rPr>
          <w:rFonts w:ascii="Palatino Linotype" w:hAnsi="Palatino Linotype" w:cs="Tahoma"/>
          <w:b/>
          <w:sz w:val="22"/>
          <w:szCs w:val="22"/>
        </w:rPr>
        <w:t>I. Presentación de la solicitud de información:</w:t>
      </w:r>
    </w:p>
    <w:p w14:paraId="1E66EA09" w14:textId="77777777" w:rsidR="00C42296" w:rsidRPr="00C42296" w:rsidRDefault="00C42296" w:rsidP="00D20825">
      <w:pPr>
        <w:tabs>
          <w:tab w:val="left" w:pos="567"/>
        </w:tabs>
        <w:spacing w:line="360" w:lineRule="auto"/>
        <w:jc w:val="both"/>
        <w:rPr>
          <w:rFonts w:ascii="Palatino Linotype" w:hAnsi="Palatino Linotype" w:cs="Tahoma"/>
          <w:sz w:val="22"/>
          <w:szCs w:val="22"/>
        </w:rPr>
      </w:pPr>
    </w:p>
    <w:p w14:paraId="6D2D2466" w14:textId="5C4D7143" w:rsidR="00C42296" w:rsidRPr="00C42296" w:rsidRDefault="00C42296" w:rsidP="00D20825">
      <w:pPr>
        <w:tabs>
          <w:tab w:val="left" w:pos="567"/>
        </w:tabs>
        <w:spacing w:line="360" w:lineRule="auto"/>
        <w:contextualSpacing/>
        <w:jc w:val="both"/>
        <w:rPr>
          <w:rFonts w:ascii="Palatino Linotype" w:hAnsi="Palatino Linotype" w:cs="Tahoma"/>
          <w:sz w:val="22"/>
          <w:szCs w:val="22"/>
        </w:rPr>
      </w:pPr>
      <w:r w:rsidRPr="00C42296">
        <w:rPr>
          <w:rFonts w:ascii="Palatino Linotype" w:hAnsi="Palatino Linotype" w:cs="Tahoma"/>
          <w:sz w:val="22"/>
          <w:szCs w:val="22"/>
        </w:rPr>
        <w:t xml:space="preserve">Con fecha </w:t>
      </w:r>
      <w:r w:rsidR="002B5406">
        <w:rPr>
          <w:rFonts w:ascii="Palatino Linotype" w:hAnsi="Palatino Linotype" w:cs="Tahoma"/>
          <w:sz w:val="22"/>
          <w:szCs w:val="22"/>
        </w:rPr>
        <w:t>primero de febrero</w:t>
      </w:r>
      <w:r w:rsidRPr="00C42296">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Pr="00C42296">
        <w:rPr>
          <w:rFonts w:ascii="Palatino Linotype" w:eastAsia="Calibri" w:hAnsi="Palatino Linotype"/>
          <w:color w:val="000000" w:themeColor="text1"/>
          <w:sz w:val="22"/>
          <w:szCs w:val="22"/>
          <w:lang w:eastAsia="en-US"/>
        </w:rPr>
        <w:t xml:space="preserve">Ayuntamiento de </w:t>
      </w:r>
      <w:r w:rsidR="005C3DDC" w:rsidRPr="005C3DDC">
        <w:rPr>
          <w:rFonts w:ascii="Palatino Linotype" w:eastAsia="Calibri" w:hAnsi="Palatino Linotype"/>
          <w:color w:val="000000" w:themeColor="text1"/>
          <w:sz w:val="22"/>
          <w:szCs w:val="22"/>
          <w:lang w:eastAsia="en-US"/>
        </w:rPr>
        <w:t>Atenco</w:t>
      </w:r>
      <w:r w:rsidRPr="00C42296">
        <w:rPr>
          <w:rFonts w:ascii="Palatino Linotype" w:eastAsia="Batang" w:hAnsi="Palatino Linotype" w:cs="Tahoma"/>
          <w:sz w:val="22"/>
          <w:szCs w:val="22"/>
          <w:lang w:val="es-ES"/>
        </w:rPr>
        <w:t>,</w:t>
      </w:r>
      <w:r w:rsidRPr="00C42296">
        <w:rPr>
          <w:rFonts w:ascii="Palatino Linotype" w:eastAsia="Calibri" w:hAnsi="Palatino Linotype" w:cs="Tahoma"/>
          <w:b/>
          <w:bCs/>
          <w:color w:val="000000" w:themeColor="text1"/>
          <w:sz w:val="22"/>
          <w:szCs w:val="22"/>
          <w:lang w:val="es-ES" w:eastAsia="en-US"/>
        </w:rPr>
        <w:t xml:space="preserve"> </w:t>
      </w:r>
      <w:r w:rsidRPr="00C42296">
        <w:rPr>
          <w:rFonts w:ascii="Palatino Linotype" w:eastAsia="Calibri" w:hAnsi="Palatino Linotype" w:cs="Tahoma"/>
          <w:color w:val="000000" w:themeColor="text1"/>
          <w:sz w:val="22"/>
          <w:szCs w:val="22"/>
          <w:lang w:val="es-ES" w:eastAsia="en-US"/>
        </w:rPr>
        <w:t>en los siguientes términos:</w:t>
      </w:r>
    </w:p>
    <w:p w14:paraId="77DA41AE" w14:textId="77777777" w:rsidR="00C42296" w:rsidRPr="00C42296" w:rsidRDefault="00C42296" w:rsidP="00D20825">
      <w:pPr>
        <w:tabs>
          <w:tab w:val="left" w:pos="567"/>
        </w:tabs>
        <w:spacing w:line="360" w:lineRule="auto"/>
        <w:jc w:val="both"/>
        <w:rPr>
          <w:rFonts w:ascii="Palatino Linotype" w:hAnsi="Palatino Linotype" w:cs="Tahoma"/>
          <w:sz w:val="22"/>
          <w:szCs w:val="22"/>
        </w:rPr>
      </w:pPr>
    </w:p>
    <w:p w14:paraId="0B16AE52" w14:textId="77777777" w:rsidR="00C42296" w:rsidRPr="00C42296" w:rsidRDefault="00C42296" w:rsidP="00D20825">
      <w:pPr>
        <w:tabs>
          <w:tab w:val="left" w:pos="4667"/>
        </w:tabs>
        <w:spacing w:line="360" w:lineRule="auto"/>
        <w:ind w:left="567" w:right="567"/>
        <w:jc w:val="both"/>
        <w:rPr>
          <w:rFonts w:ascii="Palatino Linotype" w:hAnsi="Palatino Linotype" w:cs="Tahoma"/>
          <w:b/>
          <w:i/>
          <w:iCs/>
        </w:rPr>
      </w:pPr>
      <w:r w:rsidRPr="00C42296">
        <w:rPr>
          <w:rFonts w:ascii="Palatino Linotype" w:hAnsi="Palatino Linotype" w:cs="Tahoma"/>
          <w:b/>
          <w:i/>
          <w:iCs/>
        </w:rPr>
        <w:t>“DESCRIPCIÓN CLARA Y PRECISA DE LA INFORMACIÓN SOLICITADA.</w:t>
      </w:r>
    </w:p>
    <w:p w14:paraId="6C489D08" w14:textId="09378D44" w:rsidR="00C42296" w:rsidRDefault="002B5406" w:rsidP="00D20825">
      <w:pPr>
        <w:widowControl w:val="0"/>
        <w:tabs>
          <w:tab w:val="left" w:pos="4667"/>
        </w:tabs>
        <w:spacing w:line="360" w:lineRule="auto"/>
        <w:ind w:left="567" w:right="567"/>
        <w:jc w:val="both"/>
        <w:rPr>
          <w:rFonts w:ascii="Palatino Linotype" w:hAnsi="Palatino Linotype" w:cs="Tahoma"/>
          <w:bCs/>
          <w:i/>
          <w:iCs/>
        </w:rPr>
      </w:pPr>
      <w:r w:rsidRPr="002B5406">
        <w:rPr>
          <w:rFonts w:ascii="Palatino Linotype" w:hAnsi="Palatino Linotype" w:cs="Tahoma"/>
          <w:bCs/>
          <w:i/>
          <w:iCs/>
        </w:rPr>
        <w:t>facturas de las compras por concepto de alimento para la jornada de vacunación covid del pasado 28 de enero de 2022</w:t>
      </w:r>
      <w:r>
        <w:rPr>
          <w:rFonts w:ascii="Palatino Linotype" w:hAnsi="Palatino Linotype" w:cs="Tahoma"/>
          <w:bCs/>
          <w:i/>
          <w:iCs/>
        </w:rPr>
        <w:t>.” (Sic)</w:t>
      </w:r>
    </w:p>
    <w:p w14:paraId="33332619" w14:textId="77777777" w:rsidR="002B5406" w:rsidRPr="00C42296" w:rsidRDefault="002B5406" w:rsidP="00D20825">
      <w:pPr>
        <w:widowControl w:val="0"/>
        <w:tabs>
          <w:tab w:val="left" w:pos="4667"/>
        </w:tabs>
        <w:spacing w:line="360" w:lineRule="auto"/>
        <w:ind w:left="567" w:right="567"/>
        <w:jc w:val="both"/>
        <w:rPr>
          <w:rFonts w:ascii="Palatino Linotype" w:hAnsi="Palatino Linotype" w:cs="Tahoma"/>
          <w:bCs/>
          <w:i/>
          <w:iCs/>
        </w:rPr>
      </w:pPr>
    </w:p>
    <w:p w14:paraId="38BD21E3" w14:textId="77777777" w:rsidR="00C42296" w:rsidRPr="00C42296" w:rsidRDefault="00C42296" w:rsidP="00D20825">
      <w:pPr>
        <w:tabs>
          <w:tab w:val="left" w:pos="4667"/>
        </w:tabs>
        <w:spacing w:line="360" w:lineRule="auto"/>
        <w:ind w:left="567" w:right="567"/>
        <w:jc w:val="both"/>
        <w:rPr>
          <w:rFonts w:ascii="Palatino Linotype" w:hAnsi="Palatino Linotype" w:cs="Tahoma"/>
          <w:b/>
          <w:bCs/>
          <w:i/>
          <w:iCs/>
          <w:szCs w:val="22"/>
        </w:rPr>
      </w:pPr>
      <w:r w:rsidRPr="00C42296">
        <w:rPr>
          <w:rFonts w:ascii="Palatino Linotype" w:hAnsi="Palatino Linotype" w:cs="Tahoma"/>
          <w:b/>
          <w:bCs/>
          <w:i/>
          <w:iCs/>
          <w:szCs w:val="22"/>
        </w:rPr>
        <w:t>“MODALIDAD DE ENTREGA</w:t>
      </w:r>
    </w:p>
    <w:p w14:paraId="4AC9CB92" w14:textId="77777777" w:rsidR="00C42296" w:rsidRPr="00C42296" w:rsidRDefault="00C42296" w:rsidP="00D20825">
      <w:pPr>
        <w:spacing w:line="360" w:lineRule="auto"/>
        <w:ind w:left="567" w:right="567"/>
        <w:jc w:val="both"/>
        <w:rPr>
          <w:rFonts w:ascii="Palatino Linotype" w:hAnsi="Palatino Linotype" w:cs="Arial"/>
          <w:bCs/>
          <w:i/>
          <w:iCs/>
          <w:szCs w:val="22"/>
        </w:rPr>
      </w:pPr>
      <w:r w:rsidRPr="00C42296">
        <w:rPr>
          <w:rFonts w:ascii="Palatino Linotype" w:hAnsi="Palatino Linotype" w:cs="Arial"/>
          <w:bCs/>
          <w:i/>
          <w:iCs/>
          <w:szCs w:val="22"/>
        </w:rPr>
        <w:t>SAIMEX”</w:t>
      </w:r>
    </w:p>
    <w:p w14:paraId="3A936C2B" w14:textId="77777777" w:rsidR="00C42296" w:rsidRPr="00C42296" w:rsidRDefault="00C42296" w:rsidP="00D20825">
      <w:pPr>
        <w:spacing w:line="360" w:lineRule="auto"/>
        <w:jc w:val="both"/>
        <w:rPr>
          <w:rFonts w:ascii="Palatino Linotype" w:eastAsia="Calibri" w:hAnsi="Palatino Linotype"/>
          <w:b/>
          <w:color w:val="000000" w:themeColor="text1"/>
          <w:sz w:val="22"/>
          <w:szCs w:val="22"/>
          <w:lang w:eastAsia="en-US"/>
        </w:rPr>
      </w:pPr>
    </w:p>
    <w:p w14:paraId="44A97614" w14:textId="77777777" w:rsidR="00C42296" w:rsidRPr="00C42296" w:rsidRDefault="00C42296" w:rsidP="00D20825">
      <w:pPr>
        <w:spacing w:line="360" w:lineRule="auto"/>
        <w:jc w:val="both"/>
        <w:rPr>
          <w:rFonts w:ascii="Palatino Linotype" w:eastAsia="Calibri" w:hAnsi="Palatino Linotype"/>
          <w:b/>
          <w:color w:val="000000" w:themeColor="text1"/>
          <w:sz w:val="22"/>
          <w:szCs w:val="22"/>
          <w:lang w:eastAsia="en-US"/>
        </w:rPr>
      </w:pPr>
      <w:r w:rsidRPr="00C42296">
        <w:rPr>
          <w:rFonts w:ascii="Palatino Linotype" w:eastAsia="Calibri" w:hAnsi="Palatino Linotype"/>
          <w:b/>
          <w:color w:val="000000" w:themeColor="text1"/>
          <w:sz w:val="22"/>
          <w:szCs w:val="22"/>
          <w:lang w:eastAsia="en-US"/>
        </w:rPr>
        <w:t>II. Respuesta del Sujeto Obligado.</w:t>
      </w:r>
    </w:p>
    <w:p w14:paraId="3423A98B" w14:textId="77777777" w:rsidR="00C42296" w:rsidRPr="00C42296" w:rsidRDefault="00C42296" w:rsidP="00D20825">
      <w:pPr>
        <w:spacing w:line="360" w:lineRule="auto"/>
        <w:jc w:val="both"/>
        <w:rPr>
          <w:rFonts w:ascii="Palatino Linotype" w:hAnsi="Palatino Linotype" w:cs="Tahoma"/>
          <w:bCs/>
          <w:iCs/>
          <w:color w:val="000000" w:themeColor="text1"/>
          <w:sz w:val="22"/>
          <w:szCs w:val="22"/>
        </w:rPr>
      </w:pPr>
    </w:p>
    <w:p w14:paraId="572C0FE3" w14:textId="49ADD4E6" w:rsidR="00C42296" w:rsidRDefault="002B5406" w:rsidP="00D20825">
      <w:pPr>
        <w:spacing w:line="360" w:lineRule="auto"/>
        <w:jc w:val="both"/>
        <w:rPr>
          <w:rFonts w:ascii="Palatino Linotype" w:hAnsi="Palatino Linotype" w:cs="Tahoma"/>
          <w:bCs/>
          <w:iCs/>
          <w:color w:val="000000" w:themeColor="text1"/>
          <w:sz w:val="22"/>
          <w:szCs w:val="22"/>
        </w:rPr>
      </w:pPr>
      <w:r>
        <w:rPr>
          <w:rFonts w:ascii="Palatino Linotype" w:hAnsi="Palatino Linotype" w:cs="Tahoma"/>
          <w:bCs/>
          <w:iCs/>
          <w:color w:val="000000" w:themeColor="text1"/>
          <w:sz w:val="22"/>
          <w:szCs w:val="22"/>
        </w:rPr>
        <w:lastRenderedPageBreak/>
        <w:t>Con fecha once</w:t>
      </w:r>
      <w:r w:rsidR="00C42296" w:rsidRPr="00C42296">
        <w:rPr>
          <w:rFonts w:ascii="Palatino Linotype" w:hAnsi="Palatino Linotype" w:cs="Tahoma"/>
          <w:bCs/>
          <w:iCs/>
          <w:color w:val="000000" w:themeColor="text1"/>
          <w:sz w:val="22"/>
          <w:szCs w:val="22"/>
        </w:rPr>
        <w:t xml:space="preserve"> de febrero de dos mil veintidós, el Ayuntamiento de</w:t>
      </w:r>
      <w:r>
        <w:rPr>
          <w:rFonts w:ascii="Palatino Linotype" w:hAnsi="Palatino Linotype" w:cs="Tahoma"/>
          <w:bCs/>
          <w:iCs/>
          <w:color w:val="000000" w:themeColor="text1"/>
          <w:sz w:val="22"/>
          <w:szCs w:val="22"/>
        </w:rPr>
        <w:t xml:space="preserve"> Atenco</w:t>
      </w:r>
      <w:r w:rsidR="00C42296" w:rsidRPr="00C42296">
        <w:rPr>
          <w:rFonts w:ascii="Palatino Linotype" w:hAnsi="Palatino Linotype" w:cs="Tahoma"/>
          <w:bCs/>
          <w:iCs/>
          <w:color w:val="000000" w:themeColor="text1"/>
          <w:sz w:val="22"/>
          <w:szCs w:val="22"/>
        </w:rPr>
        <w:t xml:space="preserve">, a través del Sistema de Acceso a la Información Mexiquense (SAIMEX), notificó la respuesta al Solicitante, por medio del oficio </w:t>
      </w:r>
      <w:r>
        <w:rPr>
          <w:rFonts w:ascii="Palatino Linotype" w:hAnsi="Palatino Linotype" w:cs="Tahoma"/>
          <w:bCs/>
          <w:iCs/>
          <w:color w:val="000000" w:themeColor="text1"/>
          <w:sz w:val="22"/>
          <w:szCs w:val="22"/>
        </w:rPr>
        <w:t>PMA/UT/INT/2022/071</w:t>
      </w:r>
      <w:r w:rsidR="00C42296" w:rsidRPr="00C42296">
        <w:rPr>
          <w:rFonts w:ascii="Palatino Linotype" w:hAnsi="Palatino Linotype" w:cs="Tahoma"/>
          <w:bCs/>
          <w:iCs/>
          <w:color w:val="000000" w:themeColor="text1"/>
          <w:sz w:val="22"/>
          <w:szCs w:val="22"/>
        </w:rPr>
        <w:t xml:space="preserve">, </w:t>
      </w:r>
      <w:r>
        <w:rPr>
          <w:rFonts w:ascii="Palatino Linotype" w:hAnsi="Palatino Linotype" w:cs="Tahoma"/>
          <w:bCs/>
          <w:iCs/>
          <w:color w:val="000000" w:themeColor="text1"/>
          <w:sz w:val="22"/>
          <w:szCs w:val="22"/>
        </w:rPr>
        <w:t>del once</w:t>
      </w:r>
      <w:r w:rsidR="00C42296" w:rsidRPr="00C42296">
        <w:rPr>
          <w:rFonts w:ascii="Palatino Linotype" w:hAnsi="Palatino Linotype" w:cs="Tahoma"/>
          <w:bCs/>
          <w:iCs/>
          <w:color w:val="000000" w:themeColor="text1"/>
          <w:sz w:val="22"/>
          <w:szCs w:val="22"/>
        </w:rPr>
        <w:t xml:space="preserve"> de febrero de</w:t>
      </w:r>
      <w:r>
        <w:rPr>
          <w:rFonts w:ascii="Palatino Linotype" w:hAnsi="Palatino Linotype" w:cs="Tahoma"/>
          <w:bCs/>
          <w:iCs/>
          <w:color w:val="000000" w:themeColor="text1"/>
          <w:sz w:val="22"/>
          <w:szCs w:val="22"/>
        </w:rPr>
        <w:t xml:space="preserve">l año en curso, suscrito </w:t>
      </w:r>
      <w:r w:rsidR="00EB7867">
        <w:rPr>
          <w:rFonts w:ascii="Palatino Linotype" w:hAnsi="Palatino Linotype" w:cs="Tahoma"/>
          <w:bCs/>
          <w:iCs/>
          <w:color w:val="000000" w:themeColor="text1"/>
          <w:sz w:val="22"/>
          <w:szCs w:val="22"/>
        </w:rPr>
        <w:t>por el</w:t>
      </w:r>
      <w:r>
        <w:rPr>
          <w:rFonts w:ascii="Palatino Linotype" w:hAnsi="Palatino Linotype" w:cs="Tahoma"/>
          <w:bCs/>
          <w:iCs/>
          <w:color w:val="000000" w:themeColor="text1"/>
          <w:sz w:val="22"/>
          <w:szCs w:val="22"/>
        </w:rPr>
        <w:t xml:space="preserve"> </w:t>
      </w:r>
      <w:r w:rsidR="00C42296" w:rsidRPr="00C42296">
        <w:rPr>
          <w:rFonts w:ascii="Palatino Linotype" w:hAnsi="Palatino Linotype" w:cs="Tahoma"/>
          <w:bCs/>
          <w:iCs/>
          <w:color w:val="000000" w:themeColor="text1"/>
          <w:sz w:val="22"/>
          <w:szCs w:val="22"/>
        </w:rPr>
        <w:t xml:space="preserve">Titular de la Unidad de Transparencia, por medio del cual precisa que </w:t>
      </w:r>
      <w:r>
        <w:rPr>
          <w:rFonts w:ascii="Palatino Linotype" w:hAnsi="Palatino Linotype" w:cs="Tahoma"/>
          <w:bCs/>
          <w:iCs/>
          <w:color w:val="000000" w:themeColor="text1"/>
          <w:sz w:val="22"/>
          <w:szCs w:val="22"/>
        </w:rPr>
        <w:t xml:space="preserve">remite </w:t>
      </w:r>
      <w:r w:rsidR="00EB7867">
        <w:rPr>
          <w:rFonts w:ascii="Palatino Linotype" w:hAnsi="Palatino Linotype" w:cs="Tahoma"/>
          <w:bCs/>
          <w:iCs/>
          <w:color w:val="000000" w:themeColor="text1"/>
          <w:sz w:val="22"/>
          <w:szCs w:val="22"/>
        </w:rPr>
        <w:t>la respuesta entregada</w:t>
      </w:r>
      <w:r>
        <w:rPr>
          <w:rFonts w:ascii="Palatino Linotype" w:hAnsi="Palatino Linotype" w:cs="Tahoma"/>
          <w:bCs/>
          <w:iCs/>
          <w:color w:val="000000" w:themeColor="text1"/>
          <w:sz w:val="22"/>
          <w:szCs w:val="22"/>
        </w:rPr>
        <w:t xml:space="preserve"> por el Servidor Público Habilitado.</w:t>
      </w:r>
    </w:p>
    <w:p w14:paraId="6FFB4C21" w14:textId="77777777" w:rsidR="002B5406" w:rsidRDefault="002B5406" w:rsidP="00D20825">
      <w:pPr>
        <w:spacing w:line="360" w:lineRule="auto"/>
        <w:jc w:val="both"/>
        <w:rPr>
          <w:rFonts w:ascii="Palatino Linotype" w:hAnsi="Palatino Linotype" w:cs="Tahoma"/>
          <w:bCs/>
          <w:iCs/>
          <w:color w:val="000000" w:themeColor="text1"/>
          <w:sz w:val="22"/>
          <w:szCs w:val="22"/>
        </w:rPr>
      </w:pPr>
    </w:p>
    <w:p w14:paraId="3063999D" w14:textId="10958D6D" w:rsidR="002B5406" w:rsidRPr="002B5406" w:rsidRDefault="002B5406" w:rsidP="00D20825">
      <w:pPr>
        <w:spacing w:line="360" w:lineRule="auto"/>
        <w:jc w:val="both"/>
        <w:rPr>
          <w:rFonts w:ascii="Palatino Linotype" w:hAnsi="Palatino Linotype" w:cs="Tahoma"/>
          <w:bCs/>
          <w:iCs/>
          <w:color w:val="000000" w:themeColor="text1"/>
          <w:szCs w:val="22"/>
        </w:rPr>
      </w:pPr>
      <w:r>
        <w:rPr>
          <w:rFonts w:ascii="Palatino Linotype" w:hAnsi="Palatino Linotype" w:cs="Tahoma"/>
          <w:bCs/>
          <w:iCs/>
          <w:color w:val="000000" w:themeColor="text1"/>
          <w:sz w:val="22"/>
          <w:szCs w:val="22"/>
        </w:rPr>
        <w:t xml:space="preserve">El Sujeto Obligado remitió la digitalización </w:t>
      </w:r>
      <w:r w:rsidR="00EB7867">
        <w:rPr>
          <w:rFonts w:ascii="Palatino Linotype" w:hAnsi="Palatino Linotype" w:cs="Tahoma"/>
          <w:bCs/>
          <w:iCs/>
          <w:color w:val="000000" w:themeColor="text1"/>
          <w:sz w:val="22"/>
          <w:szCs w:val="22"/>
        </w:rPr>
        <w:t xml:space="preserve">del </w:t>
      </w:r>
      <w:r w:rsidR="00EB7867" w:rsidRPr="00EB7867">
        <w:rPr>
          <w:rFonts w:ascii="Palatino Linotype" w:hAnsi="Palatino Linotype" w:cs="Tahoma"/>
          <w:bCs/>
          <w:iCs/>
          <w:color w:val="000000" w:themeColor="text1"/>
          <w:sz w:val="22"/>
          <w:szCs w:val="22"/>
        </w:rPr>
        <w:t>o</w:t>
      </w:r>
      <w:r w:rsidRPr="00EB7867">
        <w:rPr>
          <w:rFonts w:ascii="Palatino Linotype" w:hAnsi="Palatino Linotype" w:cs="Tahoma"/>
          <w:bCs/>
          <w:iCs/>
          <w:color w:val="000000" w:themeColor="text1"/>
          <w:sz w:val="22"/>
          <w:szCs w:val="22"/>
        </w:rPr>
        <w:t>ficio PMA/DA/2022/068</w:t>
      </w:r>
      <w:r w:rsidR="00EB7867">
        <w:rPr>
          <w:rFonts w:ascii="Palatino Linotype" w:hAnsi="Palatino Linotype" w:cs="Tahoma"/>
          <w:bCs/>
          <w:iCs/>
          <w:color w:val="000000" w:themeColor="text1"/>
          <w:sz w:val="22"/>
          <w:szCs w:val="22"/>
        </w:rPr>
        <w:t xml:space="preserve">, </w:t>
      </w:r>
      <w:r w:rsidRPr="00EB7867">
        <w:rPr>
          <w:rFonts w:ascii="Palatino Linotype" w:hAnsi="Palatino Linotype" w:cs="Tahoma"/>
          <w:bCs/>
          <w:iCs/>
          <w:color w:val="000000" w:themeColor="text1"/>
          <w:sz w:val="22"/>
          <w:szCs w:val="22"/>
        </w:rPr>
        <w:t>de</w:t>
      </w:r>
      <w:r w:rsidR="00EB7867">
        <w:rPr>
          <w:rFonts w:ascii="Palatino Linotype" w:hAnsi="Palatino Linotype" w:cs="Tahoma"/>
          <w:bCs/>
          <w:iCs/>
          <w:color w:val="000000" w:themeColor="text1"/>
          <w:sz w:val="22"/>
          <w:szCs w:val="22"/>
        </w:rPr>
        <w:t>l</w:t>
      </w:r>
      <w:r w:rsidRPr="00EB7867">
        <w:rPr>
          <w:rFonts w:ascii="Palatino Linotype" w:hAnsi="Palatino Linotype" w:cs="Tahoma"/>
          <w:bCs/>
          <w:iCs/>
          <w:color w:val="000000" w:themeColor="text1"/>
          <w:sz w:val="22"/>
          <w:szCs w:val="22"/>
        </w:rPr>
        <w:t xml:space="preserve"> ocho de febrero de dos mil veintidós, suscrito por </w:t>
      </w:r>
      <w:r w:rsidR="00055E01" w:rsidRPr="00EB7867">
        <w:rPr>
          <w:rFonts w:ascii="Palatino Linotype" w:hAnsi="Palatino Linotype" w:cs="Tahoma"/>
          <w:bCs/>
          <w:iCs/>
          <w:color w:val="000000" w:themeColor="text1"/>
          <w:sz w:val="22"/>
          <w:szCs w:val="22"/>
        </w:rPr>
        <w:t>la D</w:t>
      </w:r>
      <w:r w:rsidRPr="00EB7867">
        <w:rPr>
          <w:rFonts w:ascii="Palatino Linotype" w:hAnsi="Palatino Linotype" w:cs="Tahoma"/>
          <w:bCs/>
          <w:iCs/>
          <w:color w:val="000000" w:themeColor="text1"/>
          <w:sz w:val="22"/>
          <w:szCs w:val="22"/>
        </w:rPr>
        <w:t>irectora de Administración</w:t>
      </w:r>
      <w:r w:rsidR="00EB7867">
        <w:rPr>
          <w:rFonts w:ascii="Palatino Linotype" w:hAnsi="Palatino Linotype" w:cs="Tahoma"/>
          <w:bCs/>
          <w:iCs/>
          <w:color w:val="000000" w:themeColor="text1"/>
          <w:sz w:val="22"/>
          <w:szCs w:val="22"/>
        </w:rPr>
        <w:t xml:space="preserve"> y dirigido al Titular de la Unidad de Transparencia,</w:t>
      </w:r>
      <w:r w:rsidRPr="00EB7867">
        <w:rPr>
          <w:rFonts w:ascii="Palatino Linotype" w:hAnsi="Palatino Linotype" w:cs="Tahoma"/>
          <w:bCs/>
          <w:iCs/>
          <w:color w:val="000000" w:themeColor="text1"/>
          <w:sz w:val="22"/>
          <w:szCs w:val="22"/>
        </w:rPr>
        <w:t xml:space="preserve"> mediante el cual comunica que a la fecha de su respuesta, no se </w:t>
      </w:r>
      <w:r w:rsidR="00EB7867">
        <w:rPr>
          <w:rFonts w:ascii="Palatino Linotype" w:hAnsi="Palatino Linotype" w:cs="Tahoma"/>
          <w:bCs/>
          <w:iCs/>
          <w:color w:val="000000" w:themeColor="text1"/>
          <w:sz w:val="22"/>
          <w:szCs w:val="22"/>
        </w:rPr>
        <w:t>contaba</w:t>
      </w:r>
      <w:r w:rsidRPr="00EB7867">
        <w:rPr>
          <w:rFonts w:ascii="Palatino Linotype" w:hAnsi="Palatino Linotype" w:cs="Tahoma"/>
          <w:bCs/>
          <w:iCs/>
          <w:color w:val="000000" w:themeColor="text1"/>
          <w:sz w:val="22"/>
          <w:szCs w:val="22"/>
        </w:rPr>
        <w:t xml:space="preserve"> con la factura, por razones propias del proveedor.</w:t>
      </w:r>
    </w:p>
    <w:p w14:paraId="3F455C75" w14:textId="77777777" w:rsidR="002B5406" w:rsidRPr="00C42296" w:rsidRDefault="002B5406" w:rsidP="00D20825">
      <w:pPr>
        <w:spacing w:line="360" w:lineRule="auto"/>
        <w:jc w:val="both"/>
        <w:rPr>
          <w:rFonts w:ascii="Palatino Linotype" w:hAnsi="Palatino Linotype" w:cs="Tahoma"/>
          <w:bCs/>
          <w:iCs/>
          <w:color w:val="000000" w:themeColor="text1"/>
          <w:sz w:val="22"/>
          <w:szCs w:val="22"/>
        </w:rPr>
      </w:pPr>
    </w:p>
    <w:p w14:paraId="1C39326E" w14:textId="77777777" w:rsidR="00C42296" w:rsidRPr="00C42296" w:rsidRDefault="00C42296" w:rsidP="00D20825">
      <w:pPr>
        <w:spacing w:line="360" w:lineRule="auto"/>
        <w:jc w:val="both"/>
        <w:rPr>
          <w:rFonts w:ascii="Palatino Linotype" w:eastAsia="Calibri" w:hAnsi="Palatino Linotype"/>
          <w:b/>
          <w:bCs/>
          <w:color w:val="000000" w:themeColor="text1"/>
          <w:sz w:val="22"/>
          <w:szCs w:val="22"/>
          <w:lang w:eastAsia="en-US"/>
        </w:rPr>
      </w:pPr>
      <w:r w:rsidRPr="00C42296">
        <w:rPr>
          <w:rFonts w:ascii="Palatino Linotype" w:eastAsia="Calibri" w:hAnsi="Palatino Linotype"/>
          <w:b/>
          <w:bCs/>
          <w:color w:val="000000" w:themeColor="text1"/>
          <w:sz w:val="22"/>
          <w:szCs w:val="22"/>
          <w:lang w:eastAsia="en-US"/>
        </w:rPr>
        <w:t xml:space="preserve">III. Interposición del Recurso de Revisión. </w:t>
      </w:r>
    </w:p>
    <w:p w14:paraId="595062F4" w14:textId="77777777" w:rsidR="00C42296" w:rsidRPr="00C42296" w:rsidRDefault="00C42296" w:rsidP="00D20825">
      <w:pPr>
        <w:spacing w:line="360" w:lineRule="auto"/>
        <w:jc w:val="both"/>
        <w:rPr>
          <w:rFonts w:ascii="Palatino Linotype" w:eastAsia="Calibri" w:hAnsi="Palatino Linotype"/>
          <w:b/>
          <w:bCs/>
          <w:color w:val="000000" w:themeColor="text1"/>
          <w:sz w:val="22"/>
          <w:szCs w:val="22"/>
          <w:lang w:eastAsia="en-US"/>
        </w:rPr>
      </w:pPr>
    </w:p>
    <w:p w14:paraId="7BF0FEEE" w14:textId="77777777" w:rsidR="00C42296" w:rsidRPr="00C42296" w:rsidRDefault="00C42296" w:rsidP="00D20825">
      <w:pPr>
        <w:spacing w:line="360" w:lineRule="auto"/>
        <w:jc w:val="both"/>
        <w:rPr>
          <w:rFonts w:ascii="Palatino Linotype" w:eastAsia="Calibri" w:hAnsi="Palatino Linotype"/>
          <w:color w:val="000000" w:themeColor="text1"/>
          <w:sz w:val="22"/>
          <w:szCs w:val="22"/>
          <w:lang w:eastAsia="en-US"/>
        </w:rPr>
      </w:pPr>
      <w:r w:rsidRPr="00C42296">
        <w:rPr>
          <w:rFonts w:ascii="Palatino Linotype" w:hAnsi="Palatino Linotype" w:cs="Tahoma"/>
          <w:sz w:val="22"/>
          <w:szCs w:val="22"/>
        </w:rPr>
        <w:t xml:space="preserve">Con fecha once de febrero de dos mil veintidós, </w:t>
      </w:r>
      <w:r w:rsidRPr="00C42296">
        <w:rPr>
          <w:rFonts w:ascii="Palatino Linotype" w:eastAsia="Calibri" w:hAnsi="Palatino Linotype"/>
          <w:color w:val="000000" w:themeColor="text1"/>
          <w:sz w:val="22"/>
          <w:szCs w:val="22"/>
          <w:lang w:eastAsia="en-US"/>
        </w:rPr>
        <w:t>se tuvo por recibido en este Instituto, a través del Sistema</w:t>
      </w:r>
      <w:r w:rsidRPr="00C42296">
        <w:rPr>
          <w:rFonts w:ascii="Palatino Linotype" w:eastAsia="Calibri" w:hAnsi="Palatino Linotype"/>
          <w:color w:val="000000" w:themeColor="text1"/>
          <w:sz w:val="22"/>
          <w:szCs w:val="22"/>
          <w:lang w:val="es-ES" w:eastAsia="en-US"/>
        </w:rPr>
        <w:t xml:space="preserve"> de Acceso a la Información Mexiquense (SAIMEX)</w:t>
      </w:r>
      <w:r w:rsidRPr="00C42296">
        <w:rPr>
          <w:rFonts w:ascii="Palatino Linotype" w:eastAsia="Calibri" w:hAnsi="Palatino Linotype"/>
          <w:color w:val="000000" w:themeColor="text1"/>
          <w:sz w:val="22"/>
          <w:szCs w:val="22"/>
          <w:lang w:eastAsia="en-US"/>
        </w:rPr>
        <w:t>, el Recurso de Revisión interpuesto por la parte Recurrente</w:t>
      </w:r>
      <w:r w:rsidRPr="00C42296">
        <w:rPr>
          <w:rFonts w:ascii="Palatino Linotype" w:eastAsia="Batang" w:hAnsi="Palatino Linotype" w:cs="Tahoma"/>
          <w:sz w:val="22"/>
          <w:szCs w:val="22"/>
          <w:lang w:val="es-ES"/>
        </w:rPr>
        <w:t xml:space="preserve">, </w:t>
      </w:r>
      <w:r w:rsidRPr="00C42296">
        <w:rPr>
          <w:rFonts w:ascii="Palatino Linotype" w:eastAsia="Calibri" w:hAnsi="Palatino Linotype"/>
          <w:color w:val="000000" w:themeColor="text1"/>
          <w:sz w:val="22"/>
          <w:szCs w:val="22"/>
          <w:lang w:eastAsia="en-US"/>
        </w:rPr>
        <w:t>en contra de la respuesta del Sujeto Obligado</w:t>
      </w:r>
      <w:r w:rsidRPr="00C42296">
        <w:rPr>
          <w:rFonts w:ascii="Palatino Linotype" w:eastAsia="Calibri" w:hAnsi="Palatino Linotype" w:cs="Tahoma"/>
          <w:b/>
          <w:bCs/>
          <w:color w:val="000000" w:themeColor="text1"/>
          <w:sz w:val="22"/>
          <w:szCs w:val="22"/>
          <w:lang w:val="es-ES" w:eastAsia="en-US"/>
        </w:rPr>
        <w:t xml:space="preserve">, </w:t>
      </w:r>
      <w:r w:rsidRPr="00C42296">
        <w:rPr>
          <w:rFonts w:ascii="Palatino Linotype" w:eastAsia="Calibri" w:hAnsi="Palatino Linotype" w:cs="Tahoma"/>
          <w:color w:val="000000" w:themeColor="text1"/>
          <w:sz w:val="22"/>
          <w:szCs w:val="22"/>
          <w:lang w:val="es-ES" w:eastAsia="en-US"/>
        </w:rPr>
        <w:t xml:space="preserve">en los siguientes términos: </w:t>
      </w:r>
    </w:p>
    <w:p w14:paraId="6770FDEC" w14:textId="77777777" w:rsidR="00C42296" w:rsidRPr="00C42296" w:rsidRDefault="00C42296" w:rsidP="00D20825">
      <w:pPr>
        <w:spacing w:line="360" w:lineRule="auto"/>
        <w:jc w:val="both"/>
        <w:rPr>
          <w:rFonts w:ascii="Palatino Linotype" w:eastAsia="Calibri" w:hAnsi="Palatino Linotype"/>
          <w:color w:val="000000" w:themeColor="text1"/>
          <w:sz w:val="22"/>
          <w:szCs w:val="22"/>
          <w:lang w:eastAsia="en-US"/>
        </w:rPr>
      </w:pPr>
    </w:p>
    <w:p w14:paraId="74CA4489" w14:textId="77777777" w:rsidR="00C42296" w:rsidRPr="00C42296" w:rsidRDefault="00C42296" w:rsidP="00D20825">
      <w:pPr>
        <w:spacing w:line="360" w:lineRule="auto"/>
        <w:ind w:left="567" w:right="567"/>
        <w:jc w:val="both"/>
        <w:rPr>
          <w:rFonts w:ascii="Palatino Linotype" w:eastAsia="Calibri" w:hAnsi="Palatino Linotype"/>
          <w:bCs/>
          <w:i/>
          <w:color w:val="000000" w:themeColor="text1"/>
          <w:lang w:eastAsia="en-US"/>
        </w:rPr>
      </w:pPr>
      <w:r w:rsidRPr="00C42296">
        <w:rPr>
          <w:rFonts w:ascii="Palatino Linotype" w:eastAsia="Calibri" w:hAnsi="Palatino Linotype"/>
          <w:b/>
          <w:bCs/>
          <w:i/>
          <w:color w:val="000000" w:themeColor="text1"/>
          <w:lang w:eastAsia="en-US"/>
        </w:rPr>
        <w:t>“ACTO IMPUGNADO</w:t>
      </w:r>
    </w:p>
    <w:p w14:paraId="0EB43B00" w14:textId="557CB85B" w:rsidR="00C42296" w:rsidRPr="00C42296" w:rsidRDefault="00055E01" w:rsidP="00D20825">
      <w:pPr>
        <w:spacing w:line="360" w:lineRule="auto"/>
        <w:ind w:left="567" w:right="567"/>
        <w:jc w:val="both"/>
        <w:rPr>
          <w:rFonts w:ascii="Palatino Linotype" w:eastAsia="Calibri" w:hAnsi="Palatino Linotype"/>
          <w:i/>
          <w:color w:val="000000" w:themeColor="text1"/>
          <w:lang w:eastAsia="en-US"/>
        </w:rPr>
      </w:pPr>
      <w:r w:rsidRPr="00055E01">
        <w:rPr>
          <w:rFonts w:ascii="Palatino Linotype" w:eastAsia="Calibri" w:hAnsi="Palatino Linotype"/>
          <w:i/>
          <w:color w:val="000000" w:themeColor="text1"/>
          <w:lang w:eastAsia="en-US"/>
        </w:rPr>
        <w:t>NEGATIVA A LA INFORMACIÓN SOLICITADA</w:t>
      </w:r>
      <w:r w:rsidR="00C42296" w:rsidRPr="00C42296">
        <w:rPr>
          <w:rFonts w:ascii="Palatino Linotype" w:eastAsia="Calibri" w:hAnsi="Palatino Linotype"/>
          <w:i/>
          <w:color w:val="000000" w:themeColor="text1"/>
          <w:lang w:eastAsia="en-US"/>
        </w:rPr>
        <w:t>.” (Sic.)</w:t>
      </w:r>
    </w:p>
    <w:p w14:paraId="334832F6" w14:textId="77777777" w:rsidR="00C42296" w:rsidRPr="00C42296" w:rsidRDefault="00C42296" w:rsidP="00D20825">
      <w:pPr>
        <w:spacing w:line="360" w:lineRule="auto"/>
        <w:ind w:left="567" w:right="567"/>
        <w:jc w:val="both"/>
        <w:rPr>
          <w:rFonts w:ascii="Palatino Linotype" w:eastAsia="Calibri" w:hAnsi="Palatino Linotype"/>
          <w:i/>
          <w:color w:val="000000" w:themeColor="text1"/>
          <w:lang w:eastAsia="en-US"/>
        </w:rPr>
      </w:pPr>
    </w:p>
    <w:p w14:paraId="73D7D78A" w14:textId="77777777" w:rsidR="00C42296" w:rsidRDefault="00C42296" w:rsidP="00D20825">
      <w:pPr>
        <w:spacing w:line="360" w:lineRule="auto"/>
        <w:ind w:left="567" w:right="567"/>
        <w:jc w:val="both"/>
        <w:rPr>
          <w:rFonts w:ascii="Palatino Linotype" w:eastAsia="Calibri" w:hAnsi="Palatino Linotype"/>
          <w:b/>
          <w:i/>
          <w:color w:val="000000" w:themeColor="text1"/>
          <w:lang w:eastAsia="en-US"/>
        </w:rPr>
      </w:pPr>
      <w:r w:rsidRPr="00C42296">
        <w:rPr>
          <w:rFonts w:ascii="Palatino Linotype" w:eastAsia="Calibri" w:hAnsi="Palatino Linotype"/>
          <w:b/>
          <w:i/>
          <w:color w:val="000000" w:themeColor="text1"/>
          <w:lang w:eastAsia="en-US"/>
        </w:rPr>
        <w:t>“RAZONES O MOTIVOS DE LA INCONFORMIDAD</w:t>
      </w:r>
    </w:p>
    <w:p w14:paraId="3A74B09C" w14:textId="6315C558" w:rsidR="00C42296" w:rsidRPr="00C42296" w:rsidRDefault="00055E01" w:rsidP="00D20825">
      <w:pPr>
        <w:spacing w:line="360" w:lineRule="auto"/>
        <w:ind w:left="567" w:right="567"/>
        <w:jc w:val="both"/>
        <w:rPr>
          <w:rFonts w:ascii="Palatino Linotype" w:eastAsia="Calibri" w:hAnsi="Palatino Linotype"/>
          <w:i/>
          <w:color w:val="000000" w:themeColor="text1"/>
          <w:lang w:eastAsia="en-US"/>
        </w:rPr>
      </w:pPr>
      <w:r w:rsidRPr="00055E01">
        <w:rPr>
          <w:rFonts w:ascii="Palatino Linotype" w:eastAsia="Calibri" w:hAnsi="Palatino Linotype"/>
          <w:i/>
          <w:color w:val="000000" w:themeColor="text1"/>
          <w:lang w:eastAsia="en-US"/>
        </w:rPr>
        <w:t>NEGATIVA A LA INFORMACIÓN SOLICITADA</w:t>
      </w:r>
      <w:r w:rsidR="00C42296" w:rsidRPr="00C42296">
        <w:rPr>
          <w:rFonts w:ascii="Palatino Linotype" w:eastAsia="Calibri" w:hAnsi="Palatino Linotype"/>
          <w:i/>
          <w:color w:val="000000" w:themeColor="text1"/>
          <w:lang w:eastAsia="en-US"/>
        </w:rPr>
        <w:t>.” (Sic.)</w:t>
      </w:r>
    </w:p>
    <w:p w14:paraId="29A824AB" w14:textId="77777777" w:rsidR="00C42296" w:rsidRPr="00C42296" w:rsidRDefault="00C42296" w:rsidP="00D20825">
      <w:pPr>
        <w:spacing w:line="360" w:lineRule="auto"/>
        <w:jc w:val="both"/>
        <w:rPr>
          <w:rFonts w:ascii="Palatino Linotype" w:eastAsia="Calibri" w:hAnsi="Palatino Linotype"/>
          <w:color w:val="000000" w:themeColor="text1"/>
          <w:sz w:val="22"/>
          <w:szCs w:val="22"/>
          <w:lang w:eastAsia="en-US"/>
        </w:rPr>
      </w:pPr>
    </w:p>
    <w:p w14:paraId="32937F5A" w14:textId="77777777" w:rsidR="00C42296" w:rsidRPr="00C42296" w:rsidRDefault="00C42296" w:rsidP="00D20825">
      <w:pPr>
        <w:spacing w:line="360" w:lineRule="auto"/>
        <w:jc w:val="both"/>
        <w:rPr>
          <w:rFonts w:ascii="Palatino Linotype" w:eastAsia="Calibri" w:hAnsi="Palatino Linotype"/>
          <w:b/>
          <w:bCs/>
          <w:color w:val="000000" w:themeColor="text1"/>
          <w:sz w:val="22"/>
          <w:szCs w:val="22"/>
          <w:lang w:eastAsia="en-US"/>
        </w:rPr>
      </w:pPr>
      <w:r w:rsidRPr="00C42296">
        <w:rPr>
          <w:rFonts w:ascii="Palatino Linotype" w:eastAsia="Calibri" w:hAnsi="Palatino Linotype"/>
          <w:b/>
          <w:bCs/>
          <w:color w:val="000000" w:themeColor="text1"/>
          <w:sz w:val="22"/>
          <w:szCs w:val="22"/>
          <w:lang w:eastAsia="en-US"/>
        </w:rPr>
        <w:t>IV. Trámite del Recurso de Revisión ante el Instituto.</w:t>
      </w:r>
    </w:p>
    <w:p w14:paraId="5F896142" w14:textId="77777777" w:rsidR="00C42296" w:rsidRPr="00C42296" w:rsidRDefault="00C42296" w:rsidP="00D20825">
      <w:pPr>
        <w:spacing w:line="360" w:lineRule="auto"/>
        <w:jc w:val="both"/>
        <w:rPr>
          <w:rFonts w:ascii="Palatino Linotype" w:eastAsia="Calibri" w:hAnsi="Palatino Linotype"/>
          <w:color w:val="000000" w:themeColor="text1"/>
          <w:sz w:val="22"/>
          <w:szCs w:val="22"/>
          <w:lang w:eastAsia="en-US"/>
        </w:rPr>
      </w:pPr>
    </w:p>
    <w:p w14:paraId="3464F858" w14:textId="3CDABEF6" w:rsidR="00C42296" w:rsidRPr="00C42296" w:rsidRDefault="00C42296" w:rsidP="00D20825">
      <w:pPr>
        <w:spacing w:line="360" w:lineRule="auto"/>
        <w:jc w:val="both"/>
        <w:rPr>
          <w:rFonts w:ascii="Palatino Linotype" w:eastAsia="Batang" w:hAnsi="Palatino Linotype" w:cs="Tahoma"/>
          <w:bCs/>
          <w:color w:val="000000" w:themeColor="text1"/>
          <w:sz w:val="22"/>
          <w:szCs w:val="22"/>
        </w:rPr>
      </w:pPr>
      <w:r w:rsidRPr="00C42296">
        <w:rPr>
          <w:rFonts w:ascii="Palatino Linotype" w:eastAsia="Calibri" w:hAnsi="Palatino Linotype"/>
          <w:b/>
          <w:bCs/>
          <w:color w:val="000000" w:themeColor="text1"/>
          <w:sz w:val="22"/>
          <w:szCs w:val="22"/>
          <w:lang w:eastAsia="en-US"/>
        </w:rPr>
        <w:t xml:space="preserve">a) Turno del Recurso de Revisión. </w:t>
      </w:r>
      <w:r w:rsidRPr="00C42296">
        <w:rPr>
          <w:rFonts w:ascii="Palatino Linotype" w:eastAsia="Calibri" w:hAnsi="Palatino Linotype"/>
          <w:color w:val="000000" w:themeColor="text1"/>
          <w:sz w:val="22"/>
          <w:szCs w:val="22"/>
          <w:lang w:eastAsia="en-US"/>
        </w:rPr>
        <w:t>El once de febrero  de dos mil veintidós</w:t>
      </w:r>
      <w:r w:rsidRPr="00C42296">
        <w:rPr>
          <w:rFonts w:ascii="Palatino Linotype" w:eastAsia="Batang" w:hAnsi="Palatino Linotype" w:cs="Tahoma"/>
          <w:bCs/>
          <w:color w:val="000000" w:themeColor="text1"/>
          <w:sz w:val="22"/>
          <w:szCs w:val="22"/>
        </w:rPr>
        <w:t xml:space="preserve">, el </w:t>
      </w:r>
      <w:r w:rsidRPr="00C42296">
        <w:rPr>
          <w:rFonts w:ascii="Palatino Linotype" w:hAnsi="Palatino Linotype" w:cs="Tahoma"/>
          <w:color w:val="000000" w:themeColor="text1"/>
          <w:sz w:val="22"/>
          <w:szCs w:val="22"/>
          <w:lang w:val="es-ES"/>
        </w:rPr>
        <w:t>Sistema de Acceso a la Información Mexiquense (SAIMEX),</w:t>
      </w:r>
      <w:r w:rsidRPr="00C42296">
        <w:rPr>
          <w:rFonts w:ascii="Palatino Linotype" w:eastAsia="Batang" w:hAnsi="Palatino Linotype" w:cs="Tahoma"/>
          <w:bCs/>
          <w:color w:val="000000" w:themeColor="text1"/>
          <w:sz w:val="22"/>
          <w:szCs w:val="22"/>
        </w:rPr>
        <w:t xml:space="preserve"> asignó el número de expediente </w:t>
      </w:r>
      <w:r w:rsidR="00055E01" w:rsidRPr="00055E01">
        <w:rPr>
          <w:rFonts w:ascii="Palatino Linotype" w:eastAsia="Batang" w:hAnsi="Palatino Linotype" w:cs="Tahoma"/>
          <w:b/>
          <w:bCs/>
          <w:color w:val="000000" w:themeColor="text1"/>
          <w:sz w:val="22"/>
          <w:szCs w:val="22"/>
        </w:rPr>
        <w:lastRenderedPageBreak/>
        <w:t>00776/INFOEM/IP/RR/2022</w:t>
      </w:r>
      <w:r w:rsidRPr="00C42296">
        <w:rPr>
          <w:rFonts w:ascii="Palatino Linotype" w:eastAsia="Batang" w:hAnsi="Palatino Linotype" w:cs="Tahoma"/>
          <w:bCs/>
          <w:color w:val="000000" w:themeColor="text1"/>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09819DE" w14:textId="77777777" w:rsidR="00C42296" w:rsidRPr="00C42296" w:rsidRDefault="00C42296" w:rsidP="00D20825">
      <w:pPr>
        <w:spacing w:line="360" w:lineRule="auto"/>
        <w:jc w:val="both"/>
        <w:rPr>
          <w:rFonts w:ascii="Palatino Linotype" w:eastAsia="Batang" w:hAnsi="Palatino Linotype" w:cs="Tahoma"/>
          <w:bCs/>
          <w:color w:val="000000" w:themeColor="text1"/>
          <w:sz w:val="22"/>
          <w:szCs w:val="22"/>
        </w:rPr>
      </w:pPr>
    </w:p>
    <w:p w14:paraId="06252195" w14:textId="77777777" w:rsidR="00C42296" w:rsidRPr="00C42296" w:rsidRDefault="00C42296" w:rsidP="00D20825">
      <w:pPr>
        <w:spacing w:line="360" w:lineRule="auto"/>
        <w:jc w:val="both"/>
        <w:rPr>
          <w:rFonts w:ascii="Palatino Linotype" w:eastAsia="Batang" w:hAnsi="Palatino Linotype" w:cs="Tahoma"/>
          <w:bCs/>
          <w:color w:val="000000" w:themeColor="text1"/>
          <w:sz w:val="22"/>
          <w:szCs w:val="22"/>
          <w:lang w:val="es-ES_tradnl"/>
        </w:rPr>
      </w:pPr>
      <w:r w:rsidRPr="00C42296">
        <w:rPr>
          <w:rFonts w:ascii="Palatino Linotype" w:eastAsia="Batang" w:hAnsi="Palatino Linotype" w:cs="Tahoma"/>
          <w:b/>
          <w:bCs/>
          <w:color w:val="000000" w:themeColor="text1"/>
          <w:sz w:val="22"/>
          <w:szCs w:val="22"/>
        </w:rPr>
        <w:t xml:space="preserve">b) Admisión del </w:t>
      </w:r>
      <w:r w:rsidRPr="00C42296">
        <w:rPr>
          <w:rFonts w:ascii="Palatino Linotype" w:hAnsi="Palatino Linotype" w:cs="Tahoma"/>
          <w:b/>
          <w:color w:val="000000" w:themeColor="text1"/>
          <w:sz w:val="22"/>
          <w:szCs w:val="22"/>
        </w:rPr>
        <w:t>Recurso de Revisión</w:t>
      </w:r>
      <w:r w:rsidRPr="00C42296">
        <w:rPr>
          <w:rFonts w:ascii="Palatino Linotype" w:eastAsia="Batang" w:hAnsi="Palatino Linotype" w:cs="Tahoma"/>
          <w:b/>
          <w:bCs/>
          <w:color w:val="000000" w:themeColor="text1"/>
          <w:sz w:val="22"/>
          <w:szCs w:val="22"/>
          <w:lang w:val="es-ES_tradnl"/>
        </w:rPr>
        <w:t xml:space="preserve">. </w:t>
      </w:r>
      <w:r w:rsidRPr="00C42296">
        <w:rPr>
          <w:rFonts w:ascii="Palatino Linotype" w:eastAsia="Batang" w:hAnsi="Palatino Linotype" w:cs="Tahoma"/>
          <w:bCs/>
          <w:color w:val="000000" w:themeColor="text1"/>
          <w:sz w:val="22"/>
          <w:szCs w:val="22"/>
        </w:rPr>
        <w:t>El dieciséis de febrero  de dos mil veintidós</w:t>
      </w:r>
      <w:r w:rsidRPr="00C42296">
        <w:rPr>
          <w:rFonts w:ascii="Palatino Linotype" w:eastAsia="Batang" w:hAnsi="Palatino Linotype" w:cs="Tahoma"/>
          <w:bCs/>
          <w:color w:val="000000" w:themeColor="text1"/>
          <w:sz w:val="22"/>
          <w:szCs w:val="22"/>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598612FD" w14:textId="77777777" w:rsidR="00C42296" w:rsidRPr="00C42296" w:rsidRDefault="00C42296" w:rsidP="00D20825">
      <w:pPr>
        <w:spacing w:line="360" w:lineRule="auto"/>
        <w:jc w:val="both"/>
        <w:rPr>
          <w:rFonts w:ascii="Palatino Linotype" w:eastAsia="Batang" w:hAnsi="Palatino Linotype" w:cs="Tahoma"/>
          <w:bCs/>
          <w:color w:val="000000" w:themeColor="text1"/>
          <w:sz w:val="22"/>
          <w:szCs w:val="22"/>
          <w:lang w:val="es-ES_tradnl"/>
        </w:rPr>
      </w:pPr>
    </w:p>
    <w:p w14:paraId="07936727" w14:textId="771C6B30" w:rsidR="00C42296" w:rsidRPr="00C42296" w:rsidRDefault="00C42296" w:rsidP="00D20825">
      <w:pPr>
        <w:spacing w:line="360" w:lineRule="auto"/>
        <w:jc w:val="both"/>
        <w:rPr>
          <w:rFonts w:ascii="Palatino Linotype" w:hAnsi="Palatino Linotype" w:cs="Tahoma"/>
          <w:bCs/>
          <w:color w:val="000000" w:themeColor="text1"/>
          <w:sz w:val="22"/>
          <w:szCs w:val="22"/>
          <w:lang w:val="es-ES_tradnl"/>
        </w:rPr>
      </w:pPr>
      <w:r w:rsidRPr="00C42296">
        <w:rPr>
          <w:rFonts w:ascii="Palatino Linotype" w:hAnsi="Palatino Linotype" w:cs="Tahoma"/>
          <w:b/>
          <w:color w:val="000000" w:themeColor="text1"/>
          <w:sz w:val="22"/>
          <w:szCs w:val="22"/>
        </w:rPr>
        <w:t>c)</w:t>
      </w:r>
      <w:r w:rsidRPr="00C42296">
        <w:rPr>
          <w:rFonts w:ascii="Palatino Linotype" w:hAnsi="Palatino Linotype" w:cs="Tahoma"/>
          <w:color w:val="000000" w:themeColor="text1"/>
          <w:sz w:val="22"/>
          <w:szCs w:val="22"/>
          <w:lang w:val="es-ES_tradnl"/>
        </w:rPr>
        <w:t xml:space="preserve"> </w:t>
      </w:r>
      <w:r w:rsidRPr="00C42296">
        <w:rPr>
          <w:rFonts w:ascii="Palatino Linotype" w:hAnsi="Palatino Linotype" w:cs="Tahoma"/>
          <w:b/>
          <w:color w:val="000000" w:themeColor="text1"/>
          <w:sz w:val="22"/>
          <w:szCs w:val="22"/>
          <w:lang w:val="es-ES_tradnl"/>
        </w:rPr>
        <w:t>Informe Justificado</w:t>
      </w:r>
      <w:r w:rsidR="00EB7867">
        <w:rPr>
          <w:rFonts w:ascii="Palatino Linotype" w:hAnsi="Palatino Linotype" w:cs="Tahoma"/>
          <w:b/>
          <w:color w:val="000000" w:themeColor="text1"/>
          <w:sz w:val="22"/>
          <w:szCs w:val="22"/>
          <w:lang w:val="es-ES_tradnl"/>
        </w:rPr>
        <w:t xml:space="preserve"> o Manifestaciones.</w:t>
      </w:r>
      <w:r w:rsidRPr="00C42296">
        <w:rPr>
          <w:rFonts w:ascii="Palatino Linotype" w:hAnsi="Palatino Linotype" w:cs="Tahoma"/>
          <w:b/>
          <w:color w:val="000000" w:themeColor="text1"/>
          <w:sz w:val="22"/>
          <w:szCs w:val="22"/>
          <w:lang w:val="es-ES_tradnl"/>
        </w:rPr>
        <w:t xml:space="preserve"> </w:t>
      </w:r>
      <w:r w:rsidR="00EB7867">
        <w:rPr>
          <w:rFonts w:ascii="Palatino Linotype" w:hAnsi="Palatino Linotype" w:cs="Tahoma"/>
          <w:bCs/>
          <w:color w:val="000000" w:themeColor="text1"/>
          <w:sz w:val="22"/>
          <w:szCs w:val="22"/>
          <w:lang w:val="es-ES_tradnl"/>
        </w:rPr>
        <w:t>Las partes fueron omisas en emitir o realizar manifestaciones o alegatos.</w:t>
      </w:r>
    </w:p>
    <w:p w14:paraId="3CE90495" w14:textId="77777777" w:rsidR="00C42296" w:rsidRPr="00C42296" w:rsidRDefault="00C42296" w:rsidP="00D20825">
      <w:pPr>
        <w:spacing w:line="360" w:lineRule="auto"/>
        <w:jc w:val="both"/>
        <w:rPr>
          <w:rFonts w:ascii="Palatino Linotype" w:hAnsi="Palatino Linotype" w:cs="Tahoma"/>
          <w:bCs/>
          <w:iCs/>
          <w:color w:val="000000" w:themeColor="text1"/>
          <w:sz w:val="22"/>
          <w:szCs w:val="22"/>
        </w:rPr>
      </w:pPr>
    </w:p>
    <w:p w14:paraId="1500E7CA" w14:textId="6E04A779" w:rsidR="00C42296" w:rsidRPr="00C42296" w:rsidRDefault="00055E01" w:rsidP="00D20825">
      <w:pPr>
        <w:spacing w:line="360" w:lineRule="auto"/>
        <w:jc w:val="both"/>
        <w:rPr>
          <w:rFonts w:ascii="Palatino Linotype" w:eastAsia="Palatino Linotype" w:hAnsi="Palatino Linotype" w:cs="Palatino Linotype"/>
          <w:sz w:val="22"/>
          <w:szCs w:val="22"/>
          <w:lang w:val="es-ES"/>
        </w:rPr>
      </w:pPr>
      <w:r>
        <w:rPr>
          <w:rFonts w:ascii="Palatino Linotype" w:eastAsia="Palatino Linotype" w:hAnsi="Palatino Linotype" w:cs="Palatino Linotype"/>
          <w:b/>
          <w:bCs/>
          <w:sz w:val="22"/>
          <w:szCs w:val="22"/>
          <w:lang w:val="es-ES"/>
        </w:rPr>
        <w:t>d</w:t>
      </w:r>
      <w:r w:rsidR="00C42296" w:rsidRPr="00C42296">
        <w:rPr>
          <w:rFonts w:ascii="Palatino Linotype" w:eastAsia="Palatino Linotype" w:hAnsi="Palatino Linotype" w:cs="Palatino Linotype"/>
          <w:b/>
          <w:bCs/>
          <w:sz w:val="22"/>
          <w:szCs w:val="22"/>
          <w:lang w:val="es-ES"/>
        </w:rPr>
        <w:t xml:space="preserve">) Ampliación de plazo para resolver. </w:t>
      </w:r>
      <w:r w:rsidR="00C42296" w:rsidRPr="00C42296">
        <w:rPr>
          <w:rFonts w:ascii="Palatino Linotype" w:eastAsia="Palatino Linotype" w:hAnsi="Palatino Linotype" w:cs="Palatino Linotype"/>
          <w:sz w:val="22"/>
          <w:szCs w:val="22"/>
          <w:lang w:val="es-ES"/>
        </w:rPr>
        <w:t xml:space="preserve">El </w:t>
      </w:r>
      <w:r w:rsidR="00EB7867">
        <w:rPr>
          <w:rFonts w:ascii="Palatino Linotype" w:eastAsia="Palatino Linotype" w:hAnsi="Palatino Linotype" w:cs="Palatino Linotype"/>
          <w:sz w:val="22"/>
          <w:szCs w:val="22"/>
          <w:lang w:val="es-ES"/>
        </w:rPr>
        <w:t>cuatro</w:t>
      </w:r>
      <w:r w:rsidR="00C42296" w:rsidRPr="00C42296">
        <w:rPr>
          <w:rFonts w:ascii="Palatino Linotype" w:eastAsia="Palatino Linotype" w:hAnsi="Palatino Linotype" w:cs="Palatino Linotype"/>
          <w:sz w:val="22"/>
          <w:szCs w:val="22"/>
          <w:lang w:val="es-ES"/>
        </w:rPr>
        <w:t xml:space="preserve">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EB7867">
        <w:rPr>
          <w:rFonts w:ascii="Palatino Linotype" w:eastAsia="Palatino Linotype" w:hAnsi="Palatino Linotype" w:cs="Palatino Linotype"/>
          <w:sz w:val="22"/>
          <w:szCs w:val="22"/>
          <w:lang w:val="es-ES"/>
        </w:rPr>
        <w:t>el cinco de dicho mes y años.</w:t>
      </w:r>
    </w:p>
    <w:p w14:paraId="5EC8F8B0" w14:textId="77777777" w:rsidR="00C42296" w:rsidRPr="00C42296" w:rsidRDefault="00C42296" w:rsidP="00D20825">
      <w:pPr>
        <w:spacing w:line="360" w:lineRule="auto"/>
        <w:jc w:val="both"/>
        <w:rPr>
          <w:rFonts w:ascii="Palatino Linotype" w:eastAsia="Palatino Linotype" w:hAnsi="Palatino Linotype" w:cs="Palatino Linotype"/>
          <w:sz w:val="22"/>
          <w:szCs w:val="22"/>
          <w:lang w:val="es-ES"/>
        </w:rPr>
      </w:pPr>
    </w:p>
    <w:p w14:paraId="5EF95CA4" w14:textId="434E22AE" w:rsidR="00C42296" w:rsidRPr="00C42296" w:rsidRDefault="00C42296" w:rsidP="00D20825">
      <w:pPr>
        <w:spacing w:line="360" w:lineRule="auto"/>
        <w:jc w:val="both"/>
        <w:rPr>
          <w:rFonts w:ascii="Palatino Linotype" w:eastAsia="Palatino Linotype" w:hAnsi="Palatino Linotype" w:cs="Palatino Linotype"/>
          <w:sz w:val="22"/>
          <w:szCs w:val="22"/>
          <w:lang w:val="es-ES"/>
        </w:rPr>
      </w:pPr>
      <w:r w:rsidRPr="00C42296">
        <w:rPr>
          <w:rFonts w:ascii="Palatino Linotype" w:eastAsia="Palatino Linotype" w:hAnsi="Palatino Linotype" w:cs="Palatino Linotype"/>
          <w:sz w:val="22"/>
          <w:szCs w:val="22"/>
          <w:lang w:val="es-ES"/>
        </w:rPr>
        <w:t>f</w:t>
      </w:r>
      <w:r w:rsidRPr="00C42296">
        <w:rPr>
          <w:rFonts w:ascii="Palatino Linotype" w:eastAsia="Palatino Linotype" w:hAnsi="Palatino Linotype" w:cs="Palatino Linotype"/>
          <w:b/>
          <w:sz w:val="22"/>
          <w:szCs w:val="22"/>
          <w:lang w:val="es-ES"/>
        </w:rPr>
        <w:t>) Cierre de instrucción</w:t>
      </w:r>
      <w:r w:rsidRPr="00C42296">
        <w:rPr>
          <w:rFonts w:ascii="Palatino Linotype" w:eastAsia="Palatino Linotype" w:hAnsi="Palatino Linotype" w:cs="Palatino Linotype"/>
          <w:sz w:val="22"/>
          <w:szCs w:val="22"/>
          <w:lang w:val="es-ES"/>
        </w:rPr>
        <w:t xml:space="preserve">. El </w:t>
      </w:r>
      <w:r w:rsidR="00AE346F">
        <w:rPr>
          <w:rFonts w:ascii="Palatino Linotype" w:eastAsia="Palatino Linotype" w:hAnsi="Palatino Linotype" w:cs="Palatino Linotype"/>
          <w:sz w:val="22"/>
          <w:szCs w:val="22"/>
          <w:lang w:val="es-ES"/>
        </w:rPr>
        <w:t>ocho</w:t>
      </w:r>
      <w:r w:rsidRPr="00C42296">
        <w:rPr>
          <w:rFonts w:ascii="Palatino Linotype" w:eastAsia="Palatino Linotype" w:hAnsi="Palatino Linotype" w:cs="Palatino Linotype"/>
          <w:sz w:val="22"/>
          <w:szCs w:val="22"/>
          <w:lang w:val="es-ES"/>
        </w:rPr>
        <w:t xml:space="preserve"> de abril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w:t>
      </w:r>
      <w:r w:rsidRPr="00C42296">
        <w:rPr>
          <w:rFonts w:ascii="Palatino Linotype" w:eastAsia="Palatino Linotype" w:hAnsi="Palatino Linotype" w:cs="Palatino Linotype"/>
          <w:sz w:val="22"/>
          <w:szCs w:val="22"/>
          <w:lang w:val="es-ES"/>
        </w:rPr>
        <w:lastRenderedPageBreak/>
        <w:t>Pública del Estado de México y Municipios, mismo que fue notificado a las partes el dieciocho de agosto del año en curso, a través del Sistema de Acceso a la Información Mexiquense (SAIMEX).</w:t>
      </w:r>
    </w:p>
    <w:p w14:paraId="1F63DE37" w14:textId="77777777" w:rsidR="00C42296" w:rsidRPr="00C42296" w:rsidRDefault="00C42296" w:rsidP="00D20825">
      <w:pPr>
        <w:spacing w:line="360" w:lineRule="auto"/>
        <w:jc w:val="both"/>
        <w:rPr>
          <w:rFonts w:ascii="Palatino Linotype" w:eastAsia="Palatino Linotype" w:hAnsi="Palatino Linotype" w:cs="Palatino Linotype"/>
          <w:sz w:val="22"/>
          <w:szCs w:val="22"/>
          <w:lang w:val="es-ES"/>
        </w:rPr>
      </w:pPr>
    </w:p>
    <w:p w14:paraId="5550A744" w14:textId="77777777" w:rsidR="00C42296" w:rsidRPr="00C42296" w:rsidRDefault="00C42296" w:rsidP="00D20825">
      <w:pPr>
        <w:spacing w:line="360" w:lineRule="auto"/>
        <w:jc w:val="both"/>
        <w:rPr>
          <w:rFonts w:ascii="Palatino Linotype" w:hAnsi="Palatino Linotype" w:cs="Tahoma"/>
          <w:color w:val="000000"/>
          <w:sz w:val="22"/>
          <w:szCs w:val="22"/>
          <w:lang w:val="es-ES_tradnl"/>
        </w:rPr>
      </w:pPr>
      <w:r w:rsidRPr="00C42296">
        <w:rPr>
          <w:rFonts w:ascii="Palatino Linotype" w:hAnsi="Palatino Linotype" w:cs="Tahoma"/>
          <w:color w:val="000000"/>
          <w:sz w:val="22"/>
          <w:szCs w:val="22"/>
          <w:lang w:val="es-ES_tradnl"/>
        </w:rPr>
        <w:t xml:space="preserve">En razón de que fue debidamente sustanciado el expediente electrónico y no existe diligencia pendiente de desahogo, se emite la resolución que conforme a Derecho proceda, de acuerdo a los siguientes: </w:t>
      </w:r>
    </w:p>
    <w:p w14:paraId="122DB9E4" w14:textId="77777777" w:rsidR="00C42296" w:rsidRPr="00C42296" w:rsidRDefault="00C42296" w:rsidP="00D20825">
      <w:pPr>
        <w:spacing w:line="360" w:lineRule="auto"/>
        <w:ind w:left="142"/>
        <w:contextualSpacing/>
        <w:jc w:val="both"/>
        <w:rPr>
          <w:rFonts w:ascii="Palatino Linotype" w:hAnsi="Palatino Linotype" w:cs="Tahoma"/>
          <w:sz w:val="22"/>
          <w:szCs w:val="22"/>
        </w:rPr>
      </w:pPr>
    </w:p>
    <w:p w14:paraId="7F411FAA" w14:textId="77777777" w:rsidR="00C42296" w:rsidRPr="00C42296" w:rsidRDefault="00C42296" w:rsidP="00D20825">
      <w:pPr>
        <w:spacing w:line="360" w:lineRule="auto"/>
        <w:jc w:val="center"/>
        <w:rPr>
          <w:rFonts w:ascii="Palatino Linotype" w:hAnsi="Palatino Linotype" w:cs="Tahoma"/>
          <w:b/>
          <w:sz w:val="22"/>
          <w:szCs w:val="22"/>
          <w:lang w:val="es-ES"/>
        </w:rPr>
      </w:pPr>
      <w:r w:rsidRPr="00C42296">
        <w:rPr>
          <w:rFonts w:ascii="Palatino Linotype" w:hAnsi="Palatino Linotype" w:cs="Tahoma"/>
          <w:b/>
          <w:sz w:val="22"/>
          <w:szCs w:val="22"/>
          <w:lang w:val="es-ES"/>
        </w:rPr>
        <w:t>C O N S I D E R A N D O S:</w:t>
      </w:r>
    </w:p>
    <w:p w14:paraId="0068B3AC" w14:textId="77777777" w:rsidR="00C42296" w:rsidRPr="00C42296" w:rsidRDefault="00C42296" w:rsidP="00D20825">
      <w:pPr>
        <w:spacing w:line="360" w:lineRule="auto"/>
        <w:jc w:val="both"/>
        <w:rPr>
          <w:rFonts w:ascii="Palatino Linotype" w:eastAsia="Calibri" w:hAnsi="Palatino Linotype"/>
          <w:b/>
          <w:color w:val="000000" w:themeColor="text1"/>
          <w:sz w:val="22"/>
          <w:szCs w:val="22"/>
          <w:lang w:eastAsia="en-US"/>
        </w:rPr>
      </w:pPr>
    </w:p>
    <w:p w14:paraId="4BC18B26" w14:textId="77777777" w:rsidR="00C42296" w:rsidRPr="00C42296" w:rsidRDefault="00C42296" w:rsidP="00D20825">
      <w:pPr>
        <w:autoSpaceDE w:val="0"/>
        <w:autoSpaceDN w:val="0"/>
        <w:adjustRightInd w:val="0"/>
        <w:spacing w:line="360" w:lineRule="auto"/>
        <w:jc w:val="both"/>
        <w:rPr>
          <w:rFonts w:ascii="Palatino Linotype" w:hAnsi="Palatino Linotype" w:cs="Tahoma"/>
          <w:b/>
          <w:sz w:val="22"/>
          <w:szCs w:val="24"/>
          <w:lang w:val="es-ES"/>
        </w:rPr>
      </w:pPr>
      <w:r w:rsidRPr="00C42296">
        <w:rPr>
          <w:rFonts w:ascii="Palatino Linotype" w:eastAsia="Calibri" w:hAnsi="Palatino Linotype" w:cs="Tahoma"/>
          <w:b/>
          <w:color w:val="000000"/>
          <w:sz w:val="22"/>
          <w:szCs w:val="24"/>
          <w:lang w:val="es-ES" w:eastAsia="es-MX"/>
        </w:rPr>
        <w:t>PRIMERO</w:t>
      </w:r>
      <w:r w:rsidRPr="00C42296">
        <w:rPr>
          <w:rFonts w:ascii="Palatino Linotype" w:eastAsia="Calibri" w:hAnsi="Palatino Linotype" w:cs="Tahoma"/>
          <w:color w:val="000000"/>
          <w:sz w:val="22"/>
          <w:szCs w:val="24"/>
          <w:lang w:val="es-ES" w:eastAsia="es-MX"/>
        </w:rPr>
        <w:t xml:space="preserve">. </w:t>
      </w:r>
      <w:r w:rsidRPr="00C42296">
        <w:rPr>
          <w:rFonts w:ascii="Palatino Linotype" w:hAnsi="Palatino Linotype" w:cs="Tahoma"/>
          <w:b/>
          <w:sz w:val="22"/>
          <w:szCs w:val="24"/>
          <w:lang w:val="es-ES"/>
        </w:rPr>
        <w:t>Competencia.</w:t>
      </w:r>
    </w:p>
    <w:p w14:paraId="5B041D73" w14:textId="77777777" w:rsidR="00C42296" w:rsidRPr="00C42296" w:rsidRDefault="00C42296" w:rsidP="00D20825">
      <w:pPr>
        <w:autoSpaceDE w:val="0"/>
        <w:autoSpaceDN w:val="0"/>
        <w:adjustRightInd w:val="0"/>
        <w:spacing w:line="360" w:lineRule="auto"/>
        <w:jc w:val="both"/>
        <w:rPr>
          <w:rFonts w:ascii="Palatino Linotype" w:hAnsi="Palatino Linotype" w:cs="Tahoma"/>
          <w:b/>
          <w:sz w:val="22"/>
          <w:szCs w:val="24"/>
          <w:lang w:val="es-ES"/>
        </w:rPr>
      </w:pPr>
    </w:p>
    <w:p w14:paraId="47EABB8A" w14:textId="77777777" w:rsidR="00C42296" w:rsidRPr="00C42296" w:rsidRDefault="00C42296" w:rsidP="00D20825">
      <w:pPr>
        <w:spacing w:line="360" w:lineRule="auto"/>
        <w:jc w:val="both"/>
        <w:rPr>
          <w:rFonts w:ascii="Palatino Linotype" w:hAnsi="Palatino Linotype" w:cs="Tahoma"/>
          <w:bCs/>
          <w:sz w:val="22"/>
          <w:szCs w:val="22"/>
        </w:rPr>
      </w:pPr>
      <w:r w:rsidRPr="00C4229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42296">
        <w:rPr>
          <w:rFonts w:ascii="Palatino Linotype" w:hAnsi="Palatino Linotype" w:cs="Tahoma"/>
          <w:bCs/>
          <w:sz w:val="22"/>
          <w:szCs w:val="22"/>
          <w:lang w:val="x-none"/>
        </w:rPr>
        <w:t>ésimo, trigésimo primero</w:t>
      </w:r>
      <w:r w:rsidRPr="00C4229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42296">
        <w:rPr>
          <w:rFonts w:ascii="Palatino Linotype" w:hAnsi="Palatino Linotype"/>
          <w:bCs/>
          <w:sz w:val="22"/>
          <w:szCs w:val="22"/>
        </w:rPr>
        <w:t xml:space="preserve"> 7°, </w:t>
      </w:r>
      <w:r w:rsidRPr="00C42296">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14:paraId="13297327" w14:textId="77777777" w:rsidR="00C42296" w:rsidRPr="00C42296" w:rsidRDefault="00C42296" w:rsidP="00D20825">
      <w:pPr>
        <w:spacing w:line="360" w:lineRule="auto"/>
        <w:jc w:val="both"/>
        <w:rPr>
          <w:rFonts w:ascii="Palatino Linotype" w:hAnsi="Palatino Linotype" w:cs="Tahoma"/>
          <w:bCs/>
          <w:sz w:val="22"/>
          <w:szCs w:val="22"/>
        </w:rPr>
      </w:pPr>
    </w:p>
    <w:p w14:paraId="383366BA" w14:textId="77777777" w:rsidR="00C42296" w:rsidRPr="00C42296" w:rsidRDefault="00C42296" w:rsidP="00D20825">
      <w:pPr>
        <w:autoSpaceDE w:val="0"/>
        <w:autoSpaceDN w:val="0"/>
        <w:adjustRightInd w:val="0"/>
        <w:spacing w:line="360" w:lineRule="auto"/>
        <w:jc w:val="both"/>
        <w:rPr>
          <w:rFonts w:ascii="Palatino Linotype" w:hAnsi="Palatino Linotype" w:cs="Tahoma"/>
          <w:sz w:val="22"/>
          <w:szCs w:val="24"/>
          <w:lang w:val="es-ES"/>
        </w:rPr>
      </w:pPr>
      <w:r w:rsidRPr="00C42296">
        <w:rPr>
          <w:rFonts w:ascii="Palatino Linotype" w:eastAsia="Calibri" w:hAnsi="Palatino Linotype" w:cs="Tahoma"/>
          <w:b/>
          <w:color w:val="000000"/>
          <w:sz w:val="22"/>
          <w:szCs w:val="24"/>
          <w:lang w:val="es-ES" w:eastAsia="es-MX"/>
        </w:rPr>
        <w:t>SEGUNDO</w:t>
      </w:r>
      <w:r w:rsidRPr="00C42296">
        <w:rPr>
          <w:rFonts w:ascii="Palatino Linotype" w:eastAsia="Calibri" w:hAnsi="Palatino Linotype" w:cs="Tahoma"/>
          <w:color w:val="000000"/>
          <w:sz w:val="22"/>
          <w:szCs w:val="24"/>
          <w:lang w:val="es-ES" w:eastAsia="es-MX"/>
        </w:rPr>
        <w:t xml:space="preserve">. </w:t>
      </w:r>
      <w:r w:rsidRPr="00C42296">
        <w:rPr>
          <w:rFonts w:ascii="Palatino Linotype" w:hAnsi="Palatino Linotype" w:cs="Tahoma"/>
          <w:b/>
          <w:sz w:val="22"/>
          <w:szCs w:val="24"/>
          <w:lang w:val="es-ES"/>
        </w:rPr>
        <w:t>Causales de improcedencia y sobreseimiento.</w:t>
      </w:r>
      <w:r w:rsidRPr="00C42296">
        <w:rPr>
          <w:rFonts w:ascii="Palatino Linotype" w:hAnsi="Palatino Linotype" w:cs="Tahoma"/>
          <w:sz w:val="22"/>
          <w:szCs w:val="24"/>
          <w:lang w:val="es-ES"/>
        </w:rPr>
        <w:t xml:space="preserve"> </w:t>
      </w:r>
    </w:p>
    <w:p w14:paraId="26F8B2F5" w14:textId="77777777" w:rsidR="00C42296" w:rsidRPr="00C42296" w:rsidRDefault="00C42296" w:rsidP="00D20825">
      <w:pPr>
        <w:autoSpaceDE w:val="0"/>
        <w:autoSpaceDN w:val="0"/>
        <w:adjustRightInd w:val="0"/>
        <w:spacing w:line="360" w:lineRule="auto"/>
        <w:jc w:val="both"/>
        <w:rPr>
          <w:rFonts w:ascii="Palatino Linotype" w:hAnsi="Palatino Linotype" w:cs="Tahoma"/>
          <w:sz w:val="22"/>
          <w:szCs w:val="24"/>
          <w:lang w:val="es-ES"/>
        </w:rPr>
      </w:pPr>
    </w:p>
    <w:p w14:paraId="2DF61C20" w14:textId="77777777" w:rsidR="00C42296" w:rsidRPr="00C42296" w:rsidRDefault="00C42296" w:rsidP="00D20825">
      <w:pPr>
        <w:autoSpaceDE w:val="0"/>
        <w:autoSpaceDN w:val="0"/>
        <w:adjustRightInd w:val="0"/>
        <w:spacing w:line="360" w:lineRule="auto"/>
        <w:jc w:val="both"/>
        <w:rPr>
          <w:rFonts w:ascii="Palatino Linotype" w:hAnsi="Palatino Linotype" w:cs="Tahoma"/>
          <w:sz w:val="22"/>
          <w:szCs w:val="24"/>
          <w:lang w:val="es-ES"/>
        </w:rPr>
      </w:pPr>
      <w:r w:rsidRPr="00C42296">
        <w:rPr>
          <w:rFonts w:ascii="Palatino Linotype" w:hAnsi="Palatino Linotype" w:cs="Tahoma"/>
          <w:sz w:val="22"/>
          <w:szCs w:val="24"/>
          <w:lang w:val="es-ES"/>
        </w:rPr>
        <w:lastRenderedPageBreak/>
        <w:t xml:space="preserve">De las constancias que forma parte del Recurso de Revisión que se analiza, se advierte que previo al estudio del fondo de la </w:t>
      </w:r>
      <w:r w:rsidRPr="00C42296">
        <w:rPr>
          <w:rFonts w:ascii="Palatino Linotype" w:hAnsi="Palatino Linotype" w:cs="Tahoma"/>
          <w:i/>
          <w:sz w:val="22"/>
          <w:szCs w:val="24"/>
          <w:lang w:val="es-ES"/>
        </w:rPr>
        <w:t>litis</w:t>
      </w:r>
      <w:r w:rsidRPr="00C42296">
        <w:rPr>
          <w:rFonts w:ascii="Palatino Linotype" w:hAnsi="Palatino Linotype" w:cs="Tahoma"/>
          <w:sz w:val="22"/>
          <w:szCs w:val="24"/>
          <w:lang w:val="es-ES"/>
        </w:rPr>
        <w:t>, es necesario estudiar las causales de improcedencia y sobreseimiento que se adviertan, para determinar lo que en Derecho proceda.</w:t>
      </w:r>
    </w:p>
    <w:p w14:paraId="55A1B72A" w14:textId="77777777" w:rsidR="00C42296" w:rsidRPr="00C42296" w:rsidRDefault="00C42296" w:rsidP="00D20825">
      <w:pPr>
        <w:autoSpaceDE w:val="0"/>
        <w:autoSpaceDN w:val="0"/>
        <w:adjustRightInd w:val="0"/>
        <w:spacing w:line="360" w:lineRule="auto"/>
        <w:jc w:val="both"/>
        <w:rPr>
          <w:rFonts w:ascii="Palatino Linotype" w:hAnsi="Palatino Linotype" w:cs="Tahoma"/>
          <w:sz w:val="22"/>
          <w:szCs w:val="24"/>
          <w:lang w:val="es-ES"/>
        </w:rPr>
      </w:pPr>
    </w:p>
    <w:p w14:paraId="37FCA14C" w14:textId="77777777" w:rsidR="00C42296" w:rsidRPr="00C42296" w:rsidRDefault="00C42296" w:rsidP="00D2082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C42296">
        <w:rPr>
          <w:rFonts w:ascii="Palatino Linotype" w:eastAsia="Calibri" w:hAnsi="Palatino Linotype" w:cs="Tahoma"/>
          <w:b/>
          <w:color w:val="000000"/>
          <w:sz w:val="22"/>
          <w:szCs w:val="24"/>
          <w:lang w:val="es-ES" w:eastAsia="es-MX"/>
        </w:rPr>
        <w:t>Causales de improcedencia.</w:t>
      </w:r>
      <w:r w:rsidRPr="00C42296">
        <w:rPr>
          <w:rFonts w:ascii="Palatino Linotype" w:eastAsia="Calibri" w:hAnsi="Palatino Linotype" w:cs="Tahoma"/>
          <w:color w:val="000000"/>
          <w:sz w:val="22"/>
          <w:szCs w:val="24"/>
          <w:lang w:val="es-ES" w:eastAsia="es-MX"/>
        </w:rPr>
        <w:t xml:space="preserve"> </w:t>
      </w:r>
    </w:p>
    <w:p w14:paraId="71C4AEAF" w14:textId="77777777" w:rsidR="00C42296" w:rsidRPr="00C42296" w:rsidRDefault="00C42296" w:rsidP="00D2082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16E53C1" w14:textId="77777777" w:rsidR="00C42296" w:rsidRPr="00C42296" w:rsidRDefault="00C42296" w:rsidP="00D208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42296">
        <w:rPr>
          <w:rFonts w:ascii="Palatino Linotype" w:eastAsia="Calibri" w:hAnsi="Palatino Linotype" w:cs="Tahoma"/>
          <w:color w:val="000000"/>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C42296">
        <w:rPr>
          <w:rFonts w:ascii="Palatino Linotype" w:eastAsia="Calibri" w:hAnsi="Palatino Linotype" w:cs="Tahoma"/>
          <w:b/>
          <w:bCs/>
          <w:color w:val="000000"/>
          <w:sz w:val="22"/>
          <w:szCs w:val="22"/>
          <w:lang w:eastAsia="es-MX"/>
        </w:rPr>
        <w:t xml:space="preserve"> </w:t>
      </w:r>
      <w:r w:rsidRPr="00C42296">
        <w:rPr>
          <w:rFonts w:ascii="Palatino Linotype" w:eastAsia="Calibri" w:hAnsi="Palatino Linotype" w:cs="Tahoma"/>
          <w:color w:val="000000"/>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208FE769" w14:textId="77777777" w:rsidR="00C42296" w:rsidRPr="00C42296" w:rsidRDefault="00C42296" w:rsidP="00D2082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BAD67E2" w14:textId="77777777" w:rsidR="00C42296" w:rsidRPr="00C42296" w:rsidRDefault="00C42296" w:rsidP="00D2082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42296">
        <w:rPr>
          <w:rFonts w:ascii="Palatino Linotype" w:eastAsia="Calibri" w:hAnsi="Palatino Linotype" w:cs="Tahoma"/>
          <w:color w:val="000000"/>
          <w:sz w:val="22"/>
          <w:szCs w:val="22"/>
          <w:lang w:eastAsia="es-MX"/>
        </w:rPr>
        <w:t xml:space="preserve">En el presente caso, </w:t>
      </w:r>
      <w:r w:rsidRPr="00C42296">
        <w:rPr>
          <w:rFonts w:ascii="Palatino Linotype" w:eastAsia="Calibri" w:hAnsi="Palatino Linotype" w:cs="Tahoma"/>
          <w:b/>
          <w:color w:val="000000"/>
          <w:sz w:val="22"/>
          <w:szCs w:val="22"/>
          <w:lang w:eastAsia="es-MX"/>
        </w:rPr>
        <w:t>no se actualiza ninguna de las causales de improcedencia</w:t>
      </w:r>
      <w:r w:rsidRPr="00C42296">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677208B" w14:textId="77777777" w:rsidR="00C42296" w:rsidRPr="00C42296" w:rsidRDefault="00C42296" w:rsidP="00D20825">
      <w:pPr>
        <w:spacing w:line="360" w:lineRule="auto"/>
        <w:jc w:val="both"/>
        <w:rPr>
          <w:rFonts w:ascii="Palatino Linotype" w:hAnsi="Palatino Linotype" w:cs="Tahoma"/>
          <w:b/>
          <w:bCs/>
          <w:sz w:val="22"/>
          <w:szCs w:val="22"/>
        </w:rPr>
      </w:pPr>
    </w:p>
    <w:p w14:paraId="33284D5D" w14:textId="5C626905" w:rsidR="00C42296" w:rsidRPr="00C42296" w:rsidRDefault="00C42296" w:rsidP="00D20825">
      <w:pPr>
        <w:spacing w:line="360" w:lineRule="auto"/>
        <w:jc w:val="both"/>
        <w:rPr>
          <w:rFonts w:ascii="Palatino Linotype" w:hAnsi="Palatino Linotype" w:cs="Tahoma"/>
          <w:sz w:val="22"/>
          <w:szCs w:val="22"/>
          <w:lang w:val="es-ES"/>
        </w:rPr>
      </w:pPr>
      <w:r w:rsidRPr="00C42296">
        <w:rPr>
          <w:rFonts w:ascii="Palatino Linotype" w:hAnsi="Palatino Linotype" w:cs="Tahoma"/>
          <w:sz w:val="22"/>
          <w:szCs w:val="22"/>
        </w:rPr>
        <w:t xml:space="preserve">Asimismo, se actualiza la causal de procedencia del Recurso de Revisión señalada </w:t>
      </w:r>
      <w:r w:rsidR="00055E01">
        <w:rPr>
          <w:rFonts w:ascii="Palatino Linotype" w:hAnsi="Palatino Linotype" w:cs="Tahoma"/>
          <w:sz w:val="22"/>
          <w:szCs w:val="22"/>
        </w:rPr>
        <w:t xml:space="preserve">en el artículo 179, fracciones </w:t>
      </w:r>
      <w:r w:rsidR="00AE346F">
        <w:rPr>
          <w:rFonts w:ascii="Palatino Linotype" w:hAnsi="Palatino Linotype" w:cs="Tahoma"/>
          <w:sz w:val="22"/>
          <w:szCs w:val="22"/>
        </w:rPr>
        <w:t>III</w:t>
      </w:r>
      <w:r w:rsidRPr="00C42296">
        <w:rPr>
          <w:rFonts w:ascii="Palatino Linotype" w:hAnsi="Palatino Linotype" w:cs="Tahoma"/>
          <w:sz w:val="22"/>
          <w:szCs w:val="22"/>
        </w:rPr>
        <w:t xml:space="preserve">, de la Ley en cita, </w:t>
      </w:r>
      <w:r w:rsidRPr="00C42296">
        <w:rPr>
          <w:rFonts w:ascii="Palatino Linotype" w:eastAsia="Calibri" w:hAnsi="Palatino Linotype" w:cs="Tahoma"/>
          <w:color w:val="000000"/>
          <w:sz w:val="22"/>
          <w:szCs w:val="22"/>
          <w:lang w:eastAsia="es-MX"/>
        </w:rPr>
        <w:t xml:space="preserve">pues la Recurrente se inconformó </w:t>
      </w:r>
      <w:r w:rsidR="00055E01">
        <w:rPr>
          <w:rFonts w:ascii="Palatino Linotype" w:hAnsi="Palatino Linotype" w:cs="Tahoma"/>
          <w:sz w:val="22"/>
          <w:szCs w:val="22"/>
          <w:lang w:val="es-ES"/>
        </w:rPr>
        <w:t xml:space="preserve">con la </w:t>
      </w:r>
      <w:r w:rsidR="00AE346F">
        <w:rPr>
          <w:rFonts w:ascii="Palatino Linotype" w:hAnsi="Palatino Linotype" w:cs="Tahoma"/>
          <w:sz w:val="22"/>
          <w:szCs w:val="22"/>
          <w:lang w:val="es-ES"/>
        </w:rPr>
        <w:t>inexistencia del documento peticionado.</w:t>
      </w:r>
    </w:p>
    <w:p w14:paraId="2C2CAC99" w14:textId="77777777" w:rsidR="00C42296" w:rsidRPr="00C42296" w:rsidRDefault="00C42296" w:rsidP="00D20825">
      <w:pPr>
        <w:spacing w:line="360" w:lineRule="auto"/>
        <w:jc w:val="both"/>
        <w:rPr>
          <w:rFonts w:ascii="Palatino Linotype" w:hAnsi="Palatino Linotype" w:cs="Tahoma"/>
          <w:b/>
          <w:bCs/>
          <w:sz w:val="22"/>
          <w:szCs w:val="22"/>
        </w:rPr>
      </w:pPr>
    </w:p>
    <w:p w14:paraId="48E62BD2" w14:textId="77777777" w:rsidR="00C42296" w:rsidRPr="00C42296" w:rsidRDefault="00C42296" w:rsidP="00D20825">
      <w:pPr>
        <w:spacing w:line="360" w:lineRule="auto"/>
        <w:jc w:val="both"/>
        <w:rPr>
          <w:rFonts w:ascii="Palatino Linotype" w:hAnsi="Palatino Linotype" w:cs="Tahoma"/>
          <w:b/>
          <w:bCs/>
          <w:sz w:val="22"/>
          <w:szCs w:val="22"/>
        </w:rPr>
      </w:pPr>
      <w:r w:rsidRPr="00C42296">
        <w:rPr>
          <w:rFonts w:ascii="Palatino Linotype" w:hAnsi="Palatino Linotype" w:cs="Tahoma"/>
          <w:b/>
          <w:bCs/>
          <w:sz w:val="22"/>
          <w:szCs w:val="22"/>
        </w:rPr>
        <w:t>Causales de sobreseimiento.</w:t>
      </w:r>
    </w:p>
    <w:p w14:paraId="412BE0A5" w14:textId="77777777" w:rsidR="00C42296" w:rsidRPr="00C42296" w:rsidRDefault="00C42296" w:rsidP="00D20825">
      <w:pPr>
        <w:spacing w:line="360" w:lineRule="auto"/>
        <w:jc w:val="both"/>
        <w:rPr>
          <w:rFonts w:ascii="Palatino Linotype" w:hAnsi="Palatino Linotype" w:cs="Tahoma"/>
          <w:b/>
          <w:bCs/>
          <w:sz w:val="22"/>
          <w:szCs w:val="22"/>
        </w:rPr>
      </w:pPr>
    </w:p>
    <w:p w14:paraId="4B55ED1D" w14:textId="77777777" w:rsidR="00C42296" w:rsidRPr="00C42296" w:rsidRDefault="00C42296" w:rsidP="00D20825">
      <w:pPr>
        <w:spacing w:line="360" w:lineRule="auto"/>
        <w:jc w:val="both"/>
        <w:rPr>
          <w:rFonts w:ascii="Palatino Linotype" w:hAnsi="Palatino Linotype" w:cs="Tahoma"/>
          <w:sz w:val="22"/>
          <w:szCs w:val="24"/>
        </w:rPr>
      </w:pPr>
      <w:r w:rsidRPr="00C42296">
        <w:rPr>
          <w:rFonts w:ascii="Palatino Linotype" w:hAnsi="Palatino Linotype" w:cs="Tahoma"/>
          <w:sz w:val="22"/>
          <w:szCs w:val="24"/>
        </w:rPr>
        <w:t>Por ser de previo y especial pronunciamiento, este Instituto analiza si se actualiza alguna causal de sobreseimiento.</w:t>
      </w:r>
    </w:p>
    <w:p w14:paraId="3A763CD7" w14:textId="77777777" w:rsidR="00C42296" w:rsidRPr="00C42296" w:rsidRDefault="00C42296" w:rsidP="00D20825">
      <w:pPr>
        <w:spacing w:line="360" w:lineRule="auto"/>
        <w:jc w:val="both"/>
        <w:rPr>
          <w:rFonts w:ascii="Palatino Linotype" w:hAnsi="Palatino Linotype" w:cs="Tahoma"/>
          <w:sz w:val="22"/>
          <w:szCs w:val="24"/>
        </w:rPr>
      </w:pPr>
    </w:p>
    <w:p w14:paraId="6508CCA2" w14:textId="77777777" w:rsidR="00C42296" w:rsidRDefault="00C42296" w:rsidP="00D20825">
      <w:pPr>
        <w:spacing w:line="360" w:lineRule="auto"/>
        <w:jc w:val="both"/>
        <w:rPr>
          <w:rFonts w:ascii="Palatino Linotype" w:hAnsi="Palatino Linotype" w:cs="Tahoma"/>
          <w:sz w:val="22"/>
          <w:szCs w:val="24"/>
        </w:rPr>
      </w:pPr>
      <w:r w:rsidRPr="00C4229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96F9A62" w14:textId="77777777" w:rsidR="005C3DDC" w:rsidRPr="00C42296" w:rsidRDefault="005C3DDC" w:rsidP="00D20825">
      <w:pPr>
        <w:spacing w:line="360" w:lineRule="auto"/>
        <w:jc w:val="both"/>
        <w:rPr>
          <w:rFonts w:ascii="Palatino Linotype" w:hAnsi="Palatino Linotype" w:cs="Tahoma"/>
          <w:sz w:val="22"/>
          <w:szCs w:val="24"/>
        </w:rPr>
      </w:pPr>
    </w:p>
    <w:p w14:paraId="1D9F5C76" w14:textId="77777777" w:rsidR="00C42296" w:rsidRPr="00C42296" w:rsidRDefault="00C42296" w:rsidP="00D20825">
      <w:pPr>
        <w:spacing w:line="360" w:lineRule="auto"/>
        <w:jc w:val="both"/>
        <w:rPr>
          <w:rFonts w:ascii="Palatino Linotype" w:hAnsi="Palatino Linotype" w:cs="Tahoma"/>
          <w:sz w:val="22"/>
          <w:szCs w:val="24"/>
          <w:lang w:val="es-ES"/>
        </w:rPr>
      </w:pPr>
      <w:r w:rsidRPr="00C42296">
        <w:rPr>
          <w:rFonts w:ascii="Palatino Linotype" w:hAnsi="Palatino Linotype" w:cs="Tahoma"/>
          <w:bCs/>
          <w:sz w:val="22"/>
          <w:szCs w:val="24"/>
          <w:lang w:val="es-ES"/>
        </w:rPr>
        <w:t xml:space="preserve">Por tales motivos, </w:t>
      </w:r>
      <w:r w:rsidRPr="00C42296">
        <w:rPr>
          <w:rFonts w:ascii="Palatino Linotype" w:hAnsi="Palatino Linotype" w:cs="Tahoma"/>
          <w:sz w:val="22"/>
          <w:szCs w:val="24"/>
          <w:lang w:val="es-ES"/>
        </w:rPr>
        <w:t>se considera procedente entrar al fondo del presente asunto.</w:t>
      </w:r>
    </w:p>
    <w:p w14:paraId="05AAED24" w14:textId="77777777" w:rsidR="00C42296" w:rsidRPr="00C42296" w:rsidRDefault="00C42296" w:rsidP="00D20825">
      <w:pPr>
        <w:spacing w:line="360" w:lineRule="auto"/>
        <w:jc w:val="both"/>
        <w:rPr>
          <w:rFonts w:ascii="Palatino Linotype" w:eastAsia="Calibri" w:hAnsi="Palatino Linotype"/>
          <w:color w:val="000000" w:themeColor="text1"/>
          <w:sz w:val="22"/>
          <w:szCs w:val="22"/>
          <w:lang w:eastAsia="en-US"/>
        </w:rPr>
      </w:pPr>
    </w:p>
    <w:p w14:paraId="0958427E" w14:textId="77777777" w:rsidR="00C42296" w:rsidRPr="00C42296" w:rsidRDefault="00C42296" w:rsidP="00D20825">
      <w:pPr>
        <w:spacing w:line="360" w:lineRule="auto"/>
        <w:jc w:val="both"/>
        <w:rPr>
          <w:rFonts w:ascii="Palatino Linotype" w:hAnsi="Palatino Linotype" w:cs="Tahoma"/>
          <w:b/>
          <w:bCs/>
          <w:iCs/>
          <w:sz w:val="22"/>
          <w:szCs w:val="22"/>
          <w:lang w:val="es-ES"/>
        </w:rPr>
      </w:pPr>
      <w:r w:rsidRPr="00C42296">
        <w:rPr>
          <w:rFonts w:ascii="Palatino Linotype" w:hAnsi="Palatino Linotype" w:cs="Tahoma"/>
          <w:b/>
          <w:bCs/>
          <w:iCs/>
          <w:sz w:val="22"/>
          <w:szCs w:val="22"/>
          <w:lang w:val="es-ES"/>
        </w:rPr>
        <w:t xml:space="preserve">TERCERO. Determinación de la Controversia. </w:t>
      </w:r>
    </w:p>
    <w:p w14:paraId="19FB8908" w14:textId="77777777" w:rsidR="00C42296" w:rsidRPr="00C42296" w:rsidRDefault="00C42296" w:rsidP="00D2082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6B57CE9" w14:textId="61C24DD5" w:rsidR="00C42296" w:rsidRDefault="00C42296" w:rsidP="00D208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42296">
        <w:rPr>
          <w:rFonts w:ascii="Palatino Linotype" w:eastAsia="Calibri" w:hAnsi="Palatino Linotype" w:cs="Tahoma"/>
          <w:color w:val="000000"/>
          <w:sz w:val="22"/>
          <w:szCs w:val="24"/>
          <w:lang w:val="es-ES" w:eastAsia="es-MX"/>
        </w:rPr>
        <w:t>Con el objeto de ilustrar la controversia planteada, resulta conveniente precisar, que una vez realizado el estudio de las constancias que integran el expediente en que se actúa, se desprende que el Particular requirió</w:t>
      </w:r>
      <w:r w:rsidR="00AE346F">
        <w:rPr>
          <w:rFonts w:ascii="Palatino Linotype" w:eastAsia="Calibri" w:hAnsi="Palatino Linotype" w:cs="Tahoma"/>
          <w:color w:val="000000"/>
          <w:sz w:val="22"/>
          <w:szCs w:val="24"/>
          <w:lang w:val="es-ES" w:eastAsia="es-MX"/>
        </w:rPr>
        <w:t xml:space="preserve"> </w:t>
      </w:r>
      <w:r w:rsidR="00AE346F" w:rsidRPr="00AE346F">
        <w:rPr>
          <w:rFonts w:ascii="Palatino Linotype" w:eastAsia="Calibri" w:hAnsi="Palatino Linotype" w:cs="Tahoma"/>
          <w:color w:val="000000"/>
          <w:sz w:val="22"/>
          <w:szCs w:val="22"/>
          <w:lang w:val="es-ES" w:eastAsia="es-MX"/>
        </w:rPr>
        <w:t>l</w:t>
      </w:r>
      <w:r w:rsidR="00055E01" w:rsidRPr="00AE346F">
        <w:rPr>
          <w:rFonts w:ascii="Palatino Linotype" w:eastAsia="Calibri" w:hAnsi="Palatino Linotype" w:cs="Tahoma"/>
          <w:color w:val="000000"/>
          <w:sz w:val="22"/>
          <w:szCs w:val="22"/>
          <w:lang w:val="es-ES" w:eastAsia="es-MX"/>
        </w:rPr>
        <w:t>as facturas de las compras por</w:t>
      </w:r>
      <w:r w:rsidR="00AE346F">
        <w:rPr>
          <w:rFonts w:ascii="Palatino Linotype" w:eastAsia="Calibri" w:hAnsi="Palatino Linotype" w:cs="Tahoma"/>
          <w:color w:val="000000"/>
          <w:sz w:val="22"/>
          <w:szCs w:val="22"/>
          <w:lang w:val="es-ES" w:eastAsia="es-MX"/>
        </w:rPr>
        <w:t xml:space="preserve"> concepto de</w:t>
      </w:r>
      <w:r w:rsidR="00055E01" w:rsidRPr="00AE346F">
        <w:rPr>
          <w:rFonts w:ascii="Palatino Linotype" w:eastAsia="Calibri" w:hAnsi="Palatino Linotype" w:cs="Tahoma"/>
          <w:color w:val="000000"/>
          <w:sz w:val="22"/>
          <w:szCs w:val="22"/>
          <w:lang w:val="es-ES" w:eastAsia="es-MX"/>
        </w:rPr>
        <w:t xml:space="preserve"> alimento</w:t>
      </w:r>
      <w:r w:rsidR="00AE346F">
        <w:rPr>
          <w:rFonts w:ascii="Palatino Linotype" w:eastAsia="Calibri" w:hAnsi="Palatino Linotype" w:cs="Tahoma"/>
          <w:color w:val="000000"/>
          <w:sz w:val="22"/>
          <w:szCs w:val="22"/>
          <w:lang w:val="es-ES" w:eastAsia="es-MX"/>
        </w:rPr>
        <w:t>,</w:t>
      </w:r>
      <w:r w:rsidR="00055E01" w:rsidRPr="00AE346F">
        <w:rPr>
          <w:rFonts w:ascii="Palatino Linotype" w:eastAsia="Calibri" w:hAnsi="Palatino Linotype" w:cs="Tahoma"/>
          <w:color w:val="000000"/>
          <w:sz w:val="22"/>
          <w:szCs w:val="22"/>
          <w:lang w:val="es-ES" w:eastAsia="es-MX"/>
        </w:rPr>
        <w:t xml:space="preserve"> para la jornada de vacunación </w:t>
      </w:r>
      <w:r w:rsidR="00115F31" w:rsidRPr="00AE346F">
        <w:rPr>
          <w:rFonts w:ascii="Palatino Linotype" w:eastAsia="Calibri" w:hAnsi="Palatino Linotype" w:cs="Tahoma"/>
          <w:color w:val="000000"/>
          <w:sz w:val="22"/>
          <w:szCs w:val="22"/>
          <w:lang w:val="es-ES" w:eastAsia="es-MX"/>
        </w:rPr>
        <w:t xml:space="preserve">realizada el </w:t>
      </w:r>
      <w:r w:rsidR="00055E01" w:rsidRPr="00AE346F">
        <w:rPr>
          <w:rFonts w:ascii="Palatino Linotype" w:eastAsia="Calibri" w:hAnsi="Palatino Linotype" w:cs="Tahoma"/>
          <w:color w:val="000000"/>
          <w:sz w:val="22"/>
          <w:szCs w:val="22"/>
          <w:lang w:val="es-ES" w:eastAsia="es-MX"/>
        </w:rPr>
        <w:t>veintiocho de enero de dos mil veintidós</w:t>
      </w:r>
      <w:r w:rsidR="00AE346F">
        <w:rPr>
          <w:rFonts w:ascii="Palatino Linotype" w:eastAsia="Calibri" w:hAnsi="Palatino Linotype" w:cs="Tahoma"/>
          <w:color w:val="000000"/>
          <w:sz w:val="22"/>
          <w:szCs w:val="22"/>
          <w:lang w:val="es-ES" w:eastAsia="es-MX"/>
        </w:rPr>
        <w:t xml:space="preserve">, para prevenir el virus </w:t>
      </w:r>
      <w:r w:rsidR="00AE346F" w:rsidRPr="00AE346F">
        <w:rPr>
          <w:rFonts w:ascii="Palatino Linotype" w:eastAsia="Calibri" w:hAnsi="Palatino Linotype" w:cs="Tahoma"/>
          <w:color w:val="000000"/>
          <w:sz w:val="22"/>
          <w:szCs w:val="22"/>
          <w:lang w:val="es-ES" w:eastAsia="es-MX"/>
        </w:rPr>
        <w:t>SARS-CoV-2</w:t>
      </w:r>
      <w:r w:rsidR="00AE346F">
        <w:rPr>
          <w:rFonts w:ascii="Palatino Linotype" w:eastAsia="Calibri" w:hAnsi="Palatino Linotype" w:cs="Tahoma"/>
          <w:color w:val="000000"/>
          <w:sz w:val="22"/>
          <w:szCs w:val="22"/>
          <w:lang w:val="es-ES" w:eastAsia="es-MX"/>
        </w:rPr>
        <w:t>.</w:t>
      </w:r>
    </w:p>
    <w:p w14:paraId="782EF597" w14:textId="77777777" w:rsidR="00AE346F" w:rsidRPr="00055E01" w:rsidRDefault="00AE346F" w:rsidP="00D20825">
      <w:pPr>
        <w:autoSpaceDE w:val="0"/>
        <w:autoSpaceDN w:val="0"/>
        <w:adjustRightInd w:val="0"/>
        <w:spacing w:line="360" w:lineRule="auto"/>
        <w:jc w:val="both"/>
        <w:rPr>
          <w:rFonts w:ascii="Palatino Linotype" w:eastAsia="Calibri" w:hAnsi="Palatino Linotype" w:cs="Tahoma"/>
          <w:color w:val="000000"/>
          <w:lang w:val="es-ES" w:eastAsia="es-MX"/>
        </w:rPr>
      </w:pPr>
    </w:p>
    <w:p w14:paraId="6CC5C7F2" w14:textId="2F14C90B" w:rsidR="00C42296" w:rsidRPr="00C42296" w:rsidRDefault="00AE346F" w:rsidP="00D20825">
      <w:pPr>
        <w:autoSpaceDE w:val="0"/>
        <w:autoSpaceDN w:val="0"/>
        <w:adjustRightInd w:val="0"/>
        <w:spacing w:line="360" w:lineRule="auto"/>
        <w:contextualSpacing/>
        <w:jc w:val="both"/>
        <w:rPr>
          <w:rFonts w:ascii="Palatino Linotype" w:eastAsia="Calibri" w:hAnsi="Palatino Linotype" w:cs="Tahoma"/>
          <w:color w:val="000000"/>
          <w:sz w:val="22"/>
          <w:szCs w:val="24"/>
          <w:lang w:val="es-ES" w:eastAsia="es-MX"/>
        </w:rPr>
      </w:pPr>
      <w:r>
        <w:rPr>
          <w:rFonts w:ascii="Palatino Linotype" w:eastAsia="Calibri" w:hAnsi="Palatino Linotype" w:cs="Tahoma"/>
          <w:color w:val="000000"/>
          <w:sz w:val="22"/>
          <w:szCs w:val="24"/>
          <w:lang w:val="es-ES" w:eastAsia="es-MX"/>
        </w:rPr>
        <w:t>En respuesta, la Dirección de Administración, señaló que, al ocho de febrero de dos mil veintidós, no contaba con la factura solicitada, pues el proveedor, no la había entregado; a</w:t>
      </w:r>
      <w:r w:rsidR="00C42296" w:rsidRPr="00C42296">
        <w:rPr>
          <w:rFonts w:ascii="Palatino Linotype" w:eastAsia="Calibri" w:hAnsi="Palatino Linotype" w:cs="Tahoma"/>
          <w:color w:val="000000"/>
          <w:sz w:val="22"/>
          <w:szCs w:val="24"/>
          <w:lang w:val="es-ES" w:eastAsia="es-MX"/>
        </w:rPr>
        <w:t xml:space="preserve">nte </w:t>
      </w:r>
      <w:r>
        <w:rPr>
          <w:rFonts w:ascii="Palatino Linotype" w:eastAsia="Calibri" w:hAnsi="Palatino Linotype" w:cs="Tahoma"/>
          <w:color w:val="000000"/>
          <w:sz w:val="22"/>
          <w:szCs w:val="24"/>
          <w:lang w:val="es-ES" w:eastAsia="es-MX"/>
        </w:rPr>
        <w:t>dicha circunstancia</w:t>
      </w:r>
      <w:r w:rsidR="00C42296" w:rsidRPr="00C42296">
        <w:rPr>
          <w:rFonts w:ascii="Palatino Linotype" w:eastAsia="Calibri" w:hAnsi="Palatino Linotype" w:cs="Tahoma"/>
          <w:color w:val="000000"/>
          <w:sz w:val="22"/>
          <w:szCs w:val="24"/>
          <w:lang w:val="es-ES" w:eastAsia="es-MX"/>
        </w:rPr>
        <w:t xml:space="preserve">, el Particular, justamente se inconformó </w:t>
      </w:r>
      <w:r>
        <w:rPr>
          <w:rFonts w:ascii="Palatino Linotype" w:eastAsia="Calibri" w:hAnsi="Palatino Linotype" w:cs="Tahoma"/>
          <w:color w:val="000000"/>
          <w:sz w:val="22"/>
          <w:szCs w:val="24"/>
          <w:lang w:val="es-ES" w:eastAsia="es-MX"/>
        </w:rPr>
        <w:t>con la inexistencia, al señalar que se le estaba negando la información</w:t>
      </w:r>
      <w:r w:rsidR="00C42296" w:rsidRPr="00C42296">
        <w:rPr>
          <w:rFonts w:ascii="Palatino Linotype" w:eastAsia="Calibri" w:hAnsi="Palatino Linotype" w:cs="Tahoma"/>
          <w:color w:val="000000"/>
          <w:sz w:val="22"/>
          <w:szCs w:val="24"/>
          <w:lang w:val="es-ES" w:eastAsia="es-MX"/>
        </w:rPr>
        <w:t xml:space="preserve">, por lo cual se actualiza el supuesto previsto en el artículo 179, fracción </w:t>
      </w:r>
      <w:r>
        <w:rPr>
          <w:rFonts w:ascii="Palatino Linotype" w:eastAsia="Calibri" w:hAnsi="Palatino Linotype" w:cs="Tahoma"/>
          <w:color w:val="000000"/>
          <w:sz w:val="22"/>
          <w:szCs w:val="24"/>
          <w:lang w:val="es-ES" w:eastAsia="es-MX"/>
        </w:rPr>
        <w:t>II</w:t>
      </w:r>
      <w:r w:rsidR="00C42296" w:rsidRPr="00C42296">
        <w:rPr>
          <w:rFonts w:ascii="Palatino Linotype" w:eastAsia="Calibri" w:hAnsi="Palatino Linotype" w:cs="Tahoma"/>
          <w:color w:val="000000"/>
          <w:sz w:val="22"/>
          <w:szCs w:val="24"/>
          <w:lang w:val="es-ES" w:eastAsia="es-MX"/>
        </w:rPr>
        <w:t xml:space="preserve">I, de la Ley de Transparencia y Acceso a la Información Pública del Estado de México y Municipios. </w:t>
      </w:r>
    </w:p>
    <w:p w14:paraId="2B2FFE1A" w14:textId="5090A54D" w:rsidR="00C42296" w:rsidRPr="00C42296" w:rsidRDefault="00C42296" w:rsidP="00D20825">
      <w:pPr>
        <w:spacing w:line="360" w:lineRule="auto"/>
        <w:jc w:val="both"/>
        <w:rPr>
          <w:rFonts w:ascii="Palatino Linotype" w:eastAsia="Calibri" w:hAnsi="Palatino Linotype"/>
          <w:color w:val="000000" w:themeColor="text1"/>
          <w:sz w:val="22"/>
          <w:szCs w:val="22"/>
          <w:lang w:eastAsia="en-US"/>
        </w:rPr>
      </w:pPr>
      <w:r w:rsidRPr="00C42296">
        <w:rPr>
          <w:rFonts w:ascii="Palatino Linotype" w:eastAsia="Calibri" w:hAnsi="Palatino Linotype"/>
          <w:color w:val="000000" w:themeColor="text1"/>
          <w:sz w:val="22"/>
          <w:szCs w:val="22"/>
          <w:lang w:eastAsia="en-US"/>
        </w:rPr>
        <w:lastRenderedPageBreak/>
        <w:t>Lo anterior, se desprende de las documentales que obran en el expediente de referencia, materia de la presente Resolución, consistentes en: la solicitud de acceso a la información; la respuesta del Sujeto Obligado</w:t>
      </w:r>
      <w:r w:rsidR="00D20825">
        <w:rPr>
          <w:rFonts w:ascii="Palatino Linotype" w:eastAsia="Calibri" w:hAnsi="Palatino Linotype"/>
          <w:color w:val="000000" w:themeColor="text1"/>
          <w:sz w:val="22"/>
          <w:szCs w:val="22"/>
          <w:lang w:eastAsia="en-US"/>
        </w:rPr>
        <w:t xml:space="preserve"> y </w:t>
      </w:r>
      <w:r w:rsidRPr="00C42296">
        <w:rPr>
          <w:rFonts w:ascii="Palatino Linotype" w:eastAsia="Calibri" w:hAnsi="Palatino Linotype"/>
          <w:bCs/>
          <w:color w:val="000000" w:themeColor="text1"/>
          <w:sz w:val="22"/>
          <w:szCs w:val="22"/>
          <w:lang w:eastAsia="en-US"/>
        </w:rPr>
        <w:t xml:space="preserve">el </w:t>
      </w:r>
      <w:r w:rsidRPr="00C42296">
        <w:rPr>
          <w:rFonts w:ascii="Palatino Linotype" w:eastAsia="Calibri" w:hAnsi="Palatino Linotype"/>
          <w:color w:val="000000" w:themeColor="text1"/>
          <w:sz w:val="22"/>
          <w:szCs w:val="22"/>
          <w:lang w:eastAsia="en-US"/>
        </w:rPr>
        <w:t>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6B33FACB" w14:textId="77777777" w:rsidR="00C42296" w:rsidRPr="00C42296" w:rsidRDefault="00C42296" w:rsidP="00D20825">
      <w:pPr>
        <w:spacing w:line="360" w:lineRule="auto"/>
        <w:jc w:val="both"/>
        <w:rPr>
          <w:rFonts w:ascii="Palatino Linotype" w:eastAsia="Calibri" w:hAnsi="Palatino Linotype"/>
          <w:color w:val="000000" w:themeColor="text1"/>
          <w:sz w:val="22"/>
          <w:szCs w:val="22"/>
          <w:lang w:eastAsia="en-US"/>
        </w:rPr>
      </w:pPr>
    </w:p>
    <w:p w14:paraId="4429254C" w14:textId="77777777" w:rsidR="00C42296" w:rsidRPr="00C42296" w:rsidRDefault="00C42296" w:rsidP="00D20825">
      <w:pPr>
        <w:spacing w:line="360" w:lineRule="auto"/>
        <w:jc w:val="both"/>
        <w:rPr>
          <w:rFonts w:ascii="Palatino Linotype" w:hAnsi="Palatino Linotype" w:cs="Tahoma"/>
          <w:b/>
          <w:bCs/>
          <w:iCs/>
          <w:sz w:val="22"/>
          <w:szCs w:val="22"/>
        </w:rPr>
      </w:pPr>
      <w:r w:rsidRPr="00C42296">
        <w:rPr>
          <w:rFonts w:ascii="Palatino Linotype" w:hAnsi="Palatino Linotype" w:cs="Tahoma"/>
          <w:b/>
          <w:bCs/>
          <w:iCs/>
          <w:sz w:val="22"/>
          <w:szCs w:val="22"/>
          <w:lang w:val="es-ES"/>
        </w:rPr>
        <w:t xml:space="preserve">CUARTO. </w:t>
      </w:r>
      <w:r w:rsidRPr="00C42296">
        <w:rPr>
          <w:rFonts w:ascii="Palatino Linotype" w:hAnsi="Palatino Linotype" w:cs="Tahoma"/>
          <w:b/>
          <w:bCs/>
          <w:iCs/>
          <w:sz w:val="22"/>
          <w:szCs w:val="22"/>
        </w:rPr>
        <w:t>Marco normativo aplicable en materia de transparencia y acceso a la información pública.</w:t>
      </w:r>
    </w:p>
    <w:p w14:paraId="7988AFA5" w14:textId="77777777" w:rsidR="00C42296" w:rsidRPr="00C42296" w:rsidRDefault="00C42296" w:rsidP="00D20825">
      <w:pPr>
        <w:spacing w:line="360" w:lineRule="auto"/>
        <w:jc w:val="both"/>
        <w:rPr>
          <w:rFonts w:ascii="Palatino Linotype" w:hAnsi="Palatino Linotype" w:cs="Tahoma"/>
          <w:b/>
          <w:bCs/>
          <w:iCs/>
          <w:sz w:val="22"/>
          <w:szCs w:val="22"/>
        </w:rPr>
      </w:pPr>
    </w:p>
    <w:p w14:paraId="0BC74162" w14:textId="77777777" w:rsidR="00C42296" w:rsidRPr="00C42296" w:rsidRDefault="00C42296" w:rsidP="00D20825">
      <w:pPr>
        <w:spacing w:line="360" w:lineRule="auto"/>
        <w:jc w:val="both"/>
        <w:rPr>
          <w:rFonts w:ascii="Palatino Linotype" w:hAnsi="Palatino Linotype" w:cs="Tahoma"/>
          <w:bCs/>
          <w:iCs/>
          <w:sz w:val="22"/>
          <w:szCs w:val="22"/>
        </w:rPr>
      </w:pPr>
      <w:r w:rsidRPr="00C42296">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6240A90" w14:textId="77777777" w:rsidR="00C42296" w:rsidRPr="00C42296" w:rsidRDefault="00C42296" w:rsidP="00D20825">
      <w:pPr>
        <w:spacing w:line="360" w:lineRule="auto"/>
        <w:jc w:val="both"/>
        <w:rPr>
          <w:rFonts w:ascii="Palatino Linotype" w:hAnsi="Palatino Linotype" w:cs="Tahoma"/>
          <w:bCs/>
          <w:iCs/>
          <w:sz w:val="22"/>
          <w:szCs w:val="22"/>
        </w:rPr>
      </w:pPr>
    </w:p>
    <w:p w14:paraId="5FB63ED5" w14:textId="77777777" w:rsidR="00C42296" w:rsidRPr="00C42296" w:rsidRDefault="00C42296" w:rsidP="00D20825">
      <w:pPr>
        <w:spacing w:line="360" w:lineRule="auto"/>
        <w:jc w:val="both"/>
        <w:rPr>
          <w:rFonts w:ascii="Palatino Linotype" w:hAnsi="Palatino Linotype" w:cs="Tahoma"/>
          <w:bCs/>
          <w:iCs/>
          <w:sz w:val="22"/>
          <w:szCs w:val="22"/>
        </w:rPr>
      </w:pPr>
      <w:r w:rsidRPr="00C42296">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D95496B" w14:textId="77777777" w:rsidR="00C42296" w:rsidRPr="00C42296" w:rsidRDefault="00C42296" w:rsidP="00D20825">
      <w:pPr>
        <w:spacing w:line="360" w:lineRule="auto"/>
        <w:jc w:val="both"/>
        <w:rPr>
          <w:rFonts w:ascii="Palatino Linotype" w:hAnsi="Palatino Linotype" w:cs="Tahoma"/>
          <w:bCs/>
          <w:iCs/>
          <w:sz w:val="22"/>
          <w:szCs w:val="22"/>
        </w:rPr>
      </w:pPr>
    </w:p>
    <w:p w14:paraId="132E781F" w14:textId="77777777" w:rsidR="00C42296" w:rsidRPr="00C42296" w:rsidRDefault="00C42296" w:rsidP="00D20825">
      <w:pPr>
        <w:spacing w:line="360" w:lineRule="auto"/>
        <w:jc w:val="both"/>
        <w:rPr>
          <w:rFonts w:ascii="Palatino Linotype" w:hAnsi="Palatino Linotype" w:cs="Tahoma"/>
          <w:bCs/>
          <w:iCs/>
          <w:sz w:val="22"/>
          <w:szCs w:val="22"/>
        </w:rPr>
      </w:pPr>
      <w:r w:rsidRPr="00C42296">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8C3069D" w14:textId="77777777" w:rsidR="00C42296" w:rsidRPr="00C42296" w:rsidRDefault="00C42296" w:rsidP="00D20825">
      <w:pPr>
        <w:spacing w:line="360" w:lineRule="auto"/>
        <w:jc w:val="both"/>
        <w:rPr>
          <w:rFonts w:ascii="Palatino Linotype" w:hAnsi="Palatino Linotype" w:cs="Tahoma"/>
          <w:bCs/>
          <w:iCs/>
          <w:sz w:val="22"/>
          <w:szCs w:val="22"/>
        </w:rPr>
      </w:pPr>
    </w:p>
    <w:p w14:paraId="6CE1AE91" w14:textId="77777777" w:rsidR="00C42296" w:rsidRPr="00C42296" w:rsidRDefault="00C42296" w:rsidP="00D20825">
      <w:pPr>
        <w:spacing w:line="360" w:lineRule="auto"/>
        <w:jc w:val="both"/>
        <w:rPr>
          <w:rFonts w:ascii="Palatino Linotype" w:hAnsi="Palatino Linotype" w:cs="Tahoma"/>
          <w:bCs/>
          <w:iCs/>
          <w:sz w:val="22"/>
          <w:szCs w:val="22"/>
        </w:rPr>
      </w:pPr>
      <w:r w:rsidRPr="00C42296">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28F2E27E" w14:textId="77777777" w:rsidR="00C42296" w:rsidRPr="00C42296" w:rsidRDefault="00C42296" w:rsidP="00D20825">
      <w:pPr>
        <w:spacing w:line="360" w:lineRule="auto"/>
        <w:jc w:val="both"/>
        <w:rPr>
          <w:rFonts w:ascii="Palatino Linotype" w:hAnsi="Palatino Linotype" w:cs="Tahoma"/>
          <w:bCs/>
          <w:iCs/>
          <w:sz w:val="22"/>
          <w:szCs w:val="22"/>
        </w:rPr>
      </w:pPr>
    </w:p>
    <w:p w14:paraId="08E7D252" w14:textId="77777777" w:rsidR="00C42296" w:rsidRPr="00C42296" w:rsidRDefault="00C42296" w:rsidP="00D20825">
      <w:pPr>
        <w:spacing w:line="360" w:lineRule="auto"/>
        <w:jc w:val="both"/>
        <w:rPr>
          <w:rFonts w:ascii="Palatino Linotype" w:hAnsi="Palatino Linotype" w:cs="Tahoma"/>
          <w:bCs/>
          <w:iCs/>
          <w:sz w:val="22"/>
          <w:szCs w:val="22"/>
        </w:rPr>
      </w:pPr>
      <w:r w:rsidRPr="00C42296">
        <w:rPr>
          <w:rFonts w:ascii="Palatino Linotype" w:hAnsi="Palatino Linotype" w:cs="Tahoma"/>
          <w:bCs/>
          <w:iCs/>
          <w:sz w:val="22"/>
          <w:szCs w:val="22"/>
        </w:rPr>
        <w:lastRenderedPageBreak/>
        <w:t>El artículo 12, que, quienes generen, recopilen, administren, manejen, procesen, archiven o conserven información pública serán responsables de la misma.</w:t>
      </w:r>
    </w:p>
    <w:p w14:paraId="407C3F66" w14:textId="77777777" w:rsidR="00C42296" w:rsidRPr="00C42296" w:rsidRDefault="00C42296" w:rsidP="00D20825">
      <w:pPr>
        <w:spacing w:line="360" w:lineRule="auto"/>
        <w:jc w:val="both"/>
        <w:rPr>
          <w:rFonts w:ascii="Palatino Linotype" w:hAnsi="Palatino Linotype" w:cs="Tahoma"/>
          <w:bCs/>
          <w:iCs/>
          <w:sz w:val="22"/>
          <w:szCs w:val="22"/>
        </w:rPr>
      </w:pPr>
    </w:p>
    <w:p w14:paraId="7998FAF3" w14:textId="77777777" w:rsidR="00C42296" w:rsidRPr="00C42296" w:rsidRDefault="00C42296" w:rsidP="00D20825">
      <w:pPr>
        <w:spacing w:line="360" w:lineRule="auto"/>
        <w:jc w:val="both"/>
        <w:rPr>
          <w:rFonts w:ascii="Palatino Linotype" w:hAnsi="Palatino Linotype" w:cs="Tahoma"/>
          <w:bCs/>
          <w:iCs/>
          <w:sz w:val="22"/>
          <w:szCs w:val="22"/>
        </w:rPr>
      </w:pPr>
      <w:r w:rsidRPr="00C42296">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CE046BE" w14:textId="77777777" w:rsidR="00C42296" w:rsidRPr="00C42296" w:rsidRDefault="00C42296" w:rsidP="00D20825">
      <w:pPr>
        <w:spacing w:line="360" w:lineRule="auto"/>
        <w:jc w:val="both"/>
        <w:rPr>
          <w:rFonts w:ascii="Palatino Linotype" w:hAnsi="Palatino Linotype" w:cs="Tahoma"/>
          <w:bCs/>
          <w:iCs/>
          <w:sz w:val="22"/>
          <w:szCs w:val="22"/>
        </w:rPr>
      </w:pPr>
    </w:p>
    <w:p w14:paraId="4306DAA3" w14:textId="77777777" w:rsidR="00C42296" w:rsidRPr="00C42296" w:rsidRDefault="00C42296" w:rsidP="00D20825">
      <w:pPr>
        <w:spacing w:line="360" w:lineRule="auto"/>
        <w:jc w:val="both"/>
        <w:rPr>
          <w:rFonts w:ascii="Palatino Linotype" w:hAnsi="Palatino Linotype" w:cs="Tahoma"/>
          <w:bCs/>
          <w:iCs/>
          <w:sz w:val="22"/>
          <w:szCs w:val="22"/>
        </w:rPr>
      </w:pPr>
      <w:r w:rsidRPr="00C42296">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8FE838A" w14:textId="77777777" w:rsidR="00C42296" w:rsidRPr="00C42296" w:rsidRDefault="00C42296" w:rsidP="00D20825">
      <w:pPr>
        <w:spacing w:line="360" w:lineRule="auto"/>
        <w:jc w:val="both"/>
        <w:rPr>
          <w:rFonts w:ascii="Palatino Linotype" w:hAnsi="Palatino Linotype" w:cs="Tahoma"/>
          <w:b/>
          <w:bCs/>
          <w:iCs/>
          <w:sz w:val="22"/>
          <w:szCs w:val="22"/>
          <w:lang w:val="es-ES"/>
        </w:rPr>
      </w:pPr>
    </w:p>
    <w:p w14:paraId="57094DA7" w14:textId="77777777" w:rsidR="00C42296" w:rsidRPr="00C42296" w:rsidRDefault="00C42296" w:rsidP="00D20825">
      <w:pPr>
        <w:spacing w:line="360" w:lineRule="auto"/>
        <w:jc w:val="both"/>
        <w:rPr>
          <w:rFonts w:ascii="Palatino Linotype" w:hAnsi="Palatino Linotype" w:cs="Tahoma"/>
          <w:b/>
          <w:bCs/>
          <w:iCs/>
          <w:sz w:val="22"/>
          <w:szCs w:val="22"/>
          <w:lang w:val="es-ES"/>
        </w:rPr>
      </w:pPr>
      <w:r w:rsidRPr="00C42296">
        <w:rPr>
          <w:rFonts w:ascii="Palatino Linotype" w:hAnsi="Palatino Linotype" w:cs="Tahoma"/>
          <w:b/>
          <w:bCs/>
          <w:iCs/>
          <w:sz w:val="22"/>
          <w:szCs w:val="22"/>
          <w:lang w:val="es-ES"/>
        </w:rPr>
        <w:t>Quinto. Estudio de Fondo.</w:t>
      </w:r>
    </w:p>
    <w:p w14:paraId="1AF4D7B6" w14:textId="77777777" w:rsidR="00C42296" w:rsidRPr="00C42296" w:rsidRDefault="00C42296" w:rsidP="00D20825">
      <w:pPr>
        <w:spacing w:line="360" w:lineRule="auto"/>
        <w:jc w:val="both"/>
        <w:rPr>
          <w:rFonts w:ascii="Palatino Linotype" w:hAnsi="Palatino Linotype" w:cs="Tahoma"/>
          <w:iCs/>
          <w:sz w:val="22"/>
          <w:szCs w:val="22"/>
          <w:lang w:val="es-ES"/>
        </w:rPr>
      </w:pPr>
    </w:p>
    <w:p w14:paraId="3E042501" w14:textId="290F9BCF" w:rsidR="00C42296" w:rsidRDefault="00C42296" w:rsidP="00D20825">
      <w:pPr>
        <w:spacing w:line="360" w:lineRule="auto"/>
        <w:jc w:val="both"/>
        <w:rPr>
          <w:rFonts w:ascii="Palatino Linotype" w:eastAsia="Calibri" w:hAnsi="Palatino Linotype"/>
          <w:bCs/>
          <w:color w:val="000000" w:themeColor="text1"/>
          <w:sz w:val="22"/>
          <w:szCs w:val="22"/>
          <w:lang w:eastAsia="en-US"/>
        </w:rPr>
      </w:pPr>
      <w:r w:rsidRPr="00C42296">
        <w:rPr>
          <w:rFonts w:ascii="Palatino Linotype" w:eastAsia="Calibri" w:hAnsi="Palatino Linotype"/>
          <w:bCs/>
          <w:color w:val="000000" w:themeColor="text1"/>
          <w:sz w:val="22"/>
          <w:szCs w:val="22"/>
          <w:lang w:eastAsia="en-US"/>
        </w:rPr>
        <w:t>Integradas las constancias q</w:t>
      </w:r>
      <w:r w:rsidR="00115F31">
        <w:rPr>
          <w:rFonts w:ascii="Palatino Linotype" w:eastAsia="Calibri" w:hAnsi="Palatino Linotype"/>
          <w:bCs/>
          <w:color w:val="000000" w:themeColor="text1"/>
          <w:sz w:val="22"/>
          <w:szCs w:val="22"/>
          <w:lang w:eastAsia="en-US"/>
        </w:rPr>
        <w:t>ue obran el expediente electrónico</w:t>
      </w:r>
      <w:r w:rsidRPr="00C42296">
        <w:rPr>
          <w:rFonts w:ascii="Palatino Linotype" w:eastAsia="Calibri" w:hAnsi="Palatino Linotype"/>
          <w:bCs/>
          <w:color w:val="000000" w:themeColor="text1"/>
          <w:sz w:val="22"/>
          <w:szCs w:val="22"/>
          <w:lang w:eastAsia="en-US"/>
        </w:rPr>
        <w:t xml:space="preserve"> de referencia y una vez expuestas las posturas de las partes, se procede a analizar el agravio hecho valer por el hoy Recurrente, referente </w:t>
      </w:r>
      <w:r w:rsidR="00D20825">
        <w:rPr>
          <w:rFonts w:ascii="Palatino Linotype" w:eastAsia="Calibri" w:hAnsi="Palatino Linotype"/>
          <w:bCs/>
          <w:color w:val="000000" w:themeColor="text1"/>
          <w:sz w:val="22"/>
          <w:szCs w:val="22"/>
          <w:lang w:eastAsia="en-US"/>
        </w:rPr>
        <w:t>a la inexistencia</w:t>
      </w:r>
      <w:r w:rsidRPr="00C42296">
        <w:rPr>
          <w:rFonts w:ascii="Palatino Linotype" w:eastAsia="Calibri" w:hAnsi="Palatino Linotype"/>
          <w:bCs/>
          <w:color w:val="000000" w:themeColor="text1"/>
          <w:sz w:val="22"/>
          <w:szCs w:val="22"/>
          <w:lang w:eastAsia="en-US"/>
        </w:rPr>
        <w:t>, para lo cual, en principio, es necesario aclarar que</w:t>
      </w:r>
      <w:r w:rsidR="00115F31">
        <w:rPr>
          <w:rFonts w:ascii="Palatino Linotype" w:eastAsia="Calibri" w:hAnsi="Palatino Linotype"/>
          <w:bCs/>
          <w:color w:val="000000" w:themeColor="text1"/>
          <w:sz w:val="22"/>
          <w:szCs w:val="22"/>
          <w:lang w:eastAsia="en-US"/>
        </w:rPr>
        <w:t xml:space="preserve"> el ahora Recurrente, solicitó l</w:t>
      </w:r>
      <w:r w:rsidR="00115F31" w:rsidRPr="00115F31">
        <w:rPr>
          <w:rFonts w:ascii="Palatino Linotype" w:eastAsia="Calibri" w:hAnsi="Palatino Linotype"/>
          <w:bCs/>
          <w:color w:val="000000" w:themeColor="text1"/>
          <w:sz w:val="22"/>
          <w:szCs w:val="22"/>
          <w:lang w:eastAsia="en-US"/>
        </w:rPr>
        <w:t xml:space="preserve">as facturas de las compras </w:t>
      </w:r>
      <w:r w:rsidR="00D20825">
        <w:rPr>
          <w:rFonts w:ascii="Palatino Linotype" w:eastAsia="Calibri" w:hAnsi="Palatino Linotype"/>
          <w:bCs/>
          <w:color w:val="000000" w:themeColor="text1"/>
          <w:sz w:val="22"/>
          <w:szCs w:val="22"/>
          <w:lang w:eastAsia="en-US"/>
        </w:rPr>
        <w:t>por concepto de</w:t>
      </w:r>
      <w:r w:rsidR="00115F31" w:rsidRPr="00115F31">
        <w:rPr>
          <w:rFonts w:ascii="Palatino Linotype" w:eastAsia="Calibri" w:hAnsi="Palatino Linotype"/>
          <w:bCs/>
          <w:color w:val="000000" w:themeColor="text1"/>
          <w:sz w:val="22"/>
          <w:szCs w:val="22"/>
          <w:lang w:eastAsia="en-US"/>
        </w:rPr>
        <w:t xml:space="preserve"> alimento</w:t>
      </w:r>
      <w:r w:rsidR="00D20825">
        <w:rPr>
          <w:rFonts w:ascii="Palatino Linotype" w:eastAsia="Calibri" w:hAnsi="Palatino Linotype"/>
          <w:bCs/>
          <w:color w:val="000000" w:themeColor="text1"/>
          <w:sz w:val="22"/>
          <w:szCs w:val="22"/>
          <w:lang w:eastAsia="en-US"/>
        </w:rPr>
        <w:t>.</w:t>
      </w:r>
    </w:p>
    <w:p w14:paraId="56D92CC3" w14:textId="64972980" w:rsidR="00D20825" w:rsidRDefault="00D20825" w:rsidP="00D20825">
      <w:pPr>
        <w:spacing w:line="360" w:lineRule="auto"/>
        <w:jc w:val="both"/>
        <w:rPr>
          <w:rFonts w:ascii="Palatino Linotype" w:eastAsia="Calibri" w:hAnsi="Palatino Linotype"/>
          <w:bCs/>
          <w:color w:val="000000" w:themeColor="text1"/>
          <w:sz w:val="22"/>
          <w:szCs w:val="22"/>
          <w:lang w:eastAsia="en-US"/>
        </w:rPr>
      </w:pPr>
    </w:p>
    <w:p w14:paraId="7D9AE14D" w14:textId="4823E47C" w:rsidR="00D20825" w:rsidRDefault="00D20825" w:rsidP="00D20825">
      <w:pPr>
        <w:spacing w:line="360" w:lineRule="auto"/>
        <w:jc w:val="both"/>
        <w:rPr>
          <w:rFonts w:ascii="Palatino Linotype" w:eastAsia="Calibri" w:hAnsi="Palatino Linotype" w:cs="Tahoma"/>
          <w:color w:val="000000" w:themeColor="text1"/>
          <w:sz w:val="22"/>
          <w:szCs w:val="22"/>
          <w:lang w:eastAsia="en-US"/>
        </w:rPr>
      </w:pPr>
      <w:r w:rsidRPr="00D20825">
        <w:rPr>
          <w:rFonts w:ascii="Palatino Linotype" w:eastAsia="Calibri" w:hAnsi="Palatino Linotype" w:cs="Tahoma"/>
          <w:color w:val="000000" w:themeColor="text1"/>
          <w:sz w:val="22"/>
          <w:szCs w:val="22"/>
          <w:lang w:eastAsia="en-US"/>
        </w:rPr>
        <w:t>En principio, resulta necesario traer a colación, la Resolución Miscelánea Fiscal para el 2022,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2401510D" w14:textId="77777777" w:rsidR="00D20825" w:rsidRPr="00D20825" w:rsidRDefault="00D20825" w:rsidP="00D20825">
      <w:pPr>
        <w:spacing w:line="360" w:lineRule="auto"/>
        <w:jc w:val="both"/>
        <w:rPr>
          <w:rFonts w:ascii="Palatino Linotype" w:eastAsia="Calibri" w:hAnsi="Palatino Linotype" w:cs="Tahoma"/>
          <w:color w:val="000000" w:themeColor="text1"/>
          <w:sz w:val="22"/>
          <w:szCs w:val="22"/>
          <w:lang w:eastAsia="en-US"/>
        </w:rPr>
      </w:pPr>
    </w:p>
    <w:p w14:paraId="214EFA48" w14:textId="6D10BC4B" w:rsidR="00D20825" w:rsidRPr="00D20825" w:rsidRDefault="00D20825" w:rsidP="00D20825">
      <w:pPr>
        <w:spacing w:line="360" w:lineRule="auto"/>
        <w:jc w:val="both"/>
        <w:rPr>
          <w:rFonts w:ascii="Palatino Linotype" w:eastAsia="Calibri" w:hAnsi="Palatino Linotype"/>
          <w:bCs/>
          <w:color w:val="000000" w:themeColor="text1"/>
          <w:sz w:val="22"/>
          <w:szCs w:val="22"/>
          <w:lang w:eastAsia="en-US"/>
        </w:rPr>
      </w:pPr>
      <w:r w:rsidRPr="00D20825">
        <w:rPr>
          <w:rFonts w:ascii="Palatino Linotype" w:eastAsia="Calibri" w:hAnsi="Palatino Linotype"/>
          <w:bCs/>
          <w:color w:val="000000" w:themeColor="text1"/>
          <w:sz w:val="22"/>
          <w:szCs w:val="22"/>
          <w:lang w:eastAsia="en-US"/>
        </w:rPr>
        <w:t xml:space="preserve">En ese orden de ideas, </w:t>
      </w:r>
      <w:r>
        <w:rPr>
          <w:rFonts w:ascii="Palatino Linotype" w:eastAsia="Calibri" w:hAnsi="Palatino Linotype"/>
          <w:bCs/>
          <w:color w:val="000000" w:themeColor="text1"/>
          <w:sz w:val="22"/>
          <w:szCs w:val="22"/>
          <w:lang w:eastAsia="en-US"/>
        </w:rPr>
        <w:t>l</w:t>
      </w:r>
      <w:r w:rsidRPr="00D20825">
        <w:rPr>
          <w:rFonts w:ascii="Palatino Linotype" w:eastAsia="Calibri" w:hAnsi="Palatino Linotype"/>
          <w:bCs/>
          <w:color w:val="000000" w:themeColor="text1"/>
          <w:sz w:val="22"/>
          <w:szCs w:val="22"/>
          <w:lang w:eastAsia="en-US"/>
        </w:rPr>
        <w:t xml:space="preserve">as Políticas para la Integración del Informe Trimestral de los Sujetos de Fiscalización Estatales para el ejercicio fiscal dos mil veintiuno, entre los formatos que </w:t>
      </w:r>
      <w:r w:rsidRPr="00D20825">
        <w:rPr>
          <w:rFonts w:ascii="Palatino Linotype" w:eastAsia="Calibri" w:hAnsi="Palatino Linotype"/>
          <w:bCs/>
          <w:color w:val="000000" w:themeColor="text1"/>
          <w:sz w:val="22"/>
          <w:szCs w:val="22"/>
          <w:lang w:eastAsia="en-US"/>
        </w:rPr>
        <w:lastRenderedPageBreak/>
        <w:t xml:space="preserve">maneja en el </w:t>
      </w:r>
      <w:r w:rsidRPr="00D20825">
        <w:rPr>
          <w:rFonts w:ascii="Palatino Linotype" w:eastAsia="Calibri" w:hAnsi="Palatino Linotype"/>
          <w:b/>
          <w:bCs/>
          <w:color w:val="000000" w:themeColor="text1"/>
          <w:sz w:val="22"/>
          <w:szCs w:val="22"/>
          <w:lang w:eastAsia="en-US"/>
        </w:rPr>
        <w:t>Módulo 1</w:t>
      </w:r>
      <w:r w:rsidRPr="00D20825">
        <w:rPr>
          <w:rFonts w:ascii="Palatino Linotype" w:eastAsia="Calibri" w:hAnsi="Palatino Linotype"/>
          <w:bCs/>
          <w:color w:val="000000" w:themeColor="text1"/>
          <w:sz w:val="22"/>
          <w:szCs w:val="22"/>
          <w:lang w:eastAsia="en-US"/>
        </w:rPr>
        <w:t>, se advierte que se encuentran Póliza de Egresos y Póliza Cheque, con los documentos comprobatorias, mismos que serán entregados al Órgano Superior de Fiscalización del Estado de México.</w:t>
      </w:r>
    </w:p>
    <w:p w14:paraId="6DE47159" w14:textId="361476A4" w:rsidR="00D20825" w:rsidRDefault="00D20825" w:rsidP="00D20825">
      <w:pPr>
        <w:spacing w:line="360" w:lineRule="auto"/>
        <w:jc w:val="both"/>
        <w:rPr>
          <w:rFonts w:ascii="Palatino Linotype" w:eastAsia="Calibri" w:hAnsi="Palatino Linotype"/>
          <w:b/>
          <w:bCs/>
          <w:color w:val="000000" w:themeColor="text1"/>
          <w:sz w:val="22"/>
          <w:szCs w:val="22"/>
          <w:lang w:eastAsia="en-US"/>
        </w:rPr>
      </w:pPr>
    </w:p>
    <w:p w14:paraId="3A92A0F8" w14:textId="77777777" w:rsidR="00D20825" w:rsidRPr="00D20825" w:rsidRDefault="00D20825" w:rsidP="00D20825">
      <w:pPr>
        <w:spacing w:line="360" w:lineRule="auto"/>
        <w:jc w:val="both"/>
        <w:rPr>
          <w:rFonts w:ascii="Palatino Linotype" w:eastAsia="Calibri" w:hAnsi="Palatino Linotype"/>
          <w:bCs/>
          <w:color w:val="000000" w:themeColor="text1"/>
          <w:sz w:val="22"/>
          <w:szCs w:val="22"/>
          <w:lang w:eastAsia="en-US"/>
        </w:rPr>
      </w:pPr>
      <w:r w:rsidRPr="00D20825">
        <w:rPr>
          <w:rFonts w:ascii="Palatino Linotype" w:eastAsia="Calibri" w:hAnsi="Palatino Linotype"/>
          <w:bCs/>
          <w:color w:val="000000" w:themeColor="text1"/>
          <w:sz w:val="22"/>
          <w:szCs w:val="22"/>
          <w:lang w:eastAsia="en-US"/>
        </w:rPr>
        <w:t xml:space="preserve">Además, en el apartado de </w:t>
      </w:r>
      <w:r w:rsidRPr="00D20825">
        <w:rPr>
          <w:rFonts w:ascii="Palatino Linotype" w:eastAsia="Calibri" w:hAnsi="Palatino Linotype"/>
          <w:b/>
          <w:bCs/>
          <w:color w:val="000000" w:themeColor="text1"/>
          <w:sz w:val="22"/>
          <w:szCs w:val="22"/>
          <w:lang w:eastAsia="en-US"/>
        </w:rPr>
        <w:t xml:space="preserve">“Aspectos a tomar en cuenta para la integración de las Pólizas contables y documentación comprobatoria”, </w:t>
      </w:r>
      <w:r w:rsidRPr="00D20825">
        <w:rPr>
          <w:rFonts w:ascii="Palatino Linotype" w:eastAsia="Calibri" w:hAnsi="Palatino Linotype"/>
          <w:bCs/>
          <w:color w:val="000000" w:themeColor="text1"/>
          <w:sz w:val="22"/>
          <w:szCs w:val="22"/>
          <w:lang w:eastAsia="en-US"/>
        </w:rPr>
        <w:t>se precisa que dichos documentos deberán contener las imágenes de la documentación comprobatoria y justificativa de los egresos y de las respectivas pólizas, de la entidad, los cuales incluyen los Comprobantes Fiscales Digitales por Internet o facturas.</w:t>
      </w:r>
    </w:p>
    <w:p w14:paraId="61EC1FF3" w14:textId="77777777" w:rsidR="00D20825" w:rsidRPr="00D20825" w:rsidRDefault="00D20825" w:rsidP="00D20825">
      <w:pPr>
        <w:spacing w:line="360" w:lineRule="auto"/>
        <w:jc w:val="both"/>
        <w:rPr>
          <w:rFonts w:ascii="Palatino Linotype" w:eastAsia="Calibri" w:hAnsi="Palatino Linotype"/>
          <w:b/>
          <w:bCs/>
          <w:color w:val="000000" w:themeColor="text1"/>
          <w:sz w:val="22"/>
          <w:szCs w:val="22"/>
          <w:lang w:eastAsia="en-US"/>
        </w:rPr>
      </w:pPr>
    </w:p>
    <w:p w14:paraId="6156E2E5" w14:textId="77777777" w:rsidR="00FD3851" w:rsidRDefault="00D20825" w:rsidP="00FD38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20825">
        <w:rPr>
          <w:rFonts w:ascii="Palatino Linotype" w:eastAsia="Calibri" w:hAnsi="Palatino Linotype"/>
          <w:bCs/>
          <w:color w:val="000000" w:themeColor="text1"/>
          <w:sz w:val="22"/>
          <w:szCs w:val="22"/>
          <w:lang w:eastAsia="en-US"/>
        </w:rPr>
        <w:t xml:space="preserve">Conforme a lo anterior, se advierte que la pretensión del ahora Recurrente es obtener las facturas o Comprobantes Fiscales Digitales por Internet </w:t>
      </w:r>
      <w:r w:rsidR="00FD3851" w:rsidRPr="00AE346F">
        <w:rPr>
          <w:rFonts w:ascii="Palatino Linotype" w:eastAsia="Calibri" w:hAnsi="Palatino Linotype" w:cs="Tahoma"/>
          <w:color w:val="000000"/>
          <w:sz w:val="22"/>
          <w:szCs w:val="22"/>
          <w:lang w:val="es-ES" w:eastAsia="es-MX"/>
        </w:rPr>
        <w:t>de las compras por</w:t>
      </w:r>
      <w:r w:rsidR="00FD3851">
        <w:rPr>
          <w:rFonts w:ascii="Palatino Linotype" w:eastAsia="Calibri" w:hAnsi="Palatino Linotype" w:cs="Tahoma"/>
          <w:color w:val="000000"/>
          <w:sz w:val="22"/>
          <w:szCs w:val="22"/>
          <w:lang w:val="es-ES" w:eastAsia="es-MX"/>
        </w:rPr>
        <w:t xml:space="preserve"> concepto de</w:t>
      </w:r>
      <w:r w:rsidR="00FD3851" w:rsidRPr="00AE346F">
        <w:rPr>
          <w:rFonts w:ascii="Palatino Linotype" w:eastAsia="Calibri" w:hAnsi="Palatino Linotype" w:cs="Tahoma"/>
          <w:color w:val="000000"/>
          <w:sz w:val="22"/>
          <w:szCs w:val="22"/>
          <w:lang w:val="es-ES" w:eastAsia="es-MX"/>
        </w:rPr>
        <w:t xml:space="preserve"> alimento</w:t>
      </w:r>
      <w:r w:rsidR="00FD3851">
        <w:rPr>
          <w:rFonts w:ascii="Palatino Linotype" w:eastAsia="Calibri" w:hAnsi="Palatino Linotype" w:cs="Tahoma"/>
          <w:color w:val="000000"/>
          <w:sz w:val="22"/>
          <w:szCs w:val="22"/>
          <w:lang w:val="es-ES" w:eastAsia="es-MX"/>
        </w:rPr>
        <w:t>,</w:t>
      </w:r>
      <w:r w:rsidR="00FD3851" w:rsidRPr="00AE346F">
        <w:rPr>
          <w:rFonts w:ascii="Palatino Linotype" w:eastAsia="Calibri" w:hAnsi="Palatino Linotype" w:cs="Tahoma"/>
          <w:color w:val="000000"/>
          <w:sz w:val="22"/>
          <w:szCs w:val="22"/>
          <w:lang w:val="es-ES" w:eastAsia="es-MX"/>
        </w:rPr>
        <w:t xml:space="preserve"> para la jornada de vacunación realizada el veintiocho de enero de dos mil veintidós</w:t>
      </w:r>
      <w:r w:rsidR="00FD3851">
        <w:rPr>
          <w:rFonts w:ascii="Palatino Linotype" w:eastAsia="Calibri" w:hAnsi="Palatino Linotype" w:cs="Tahoma"/>
          <w:color w:val="000000"/>
          <w:sz w:val="22"/>
          <w:szCs w:val="22"/>
          <w:lang w:val="es-ES" w:eastAsia="es-MX"/>
        </w:rPr>
        <w:t xml:space="preserve">, para prevenir el virus </w:t>
      </w:r>
      <w:r w:rsidR="00FD3851" w:rsidRPr="00AE346F">
        <w:rPr>
          <w:rFonts w:ascii="Palatino Linotype" w:eastAsia="Calibri" w:hAnsi="Palatino Linotype" w:cs="Tahoma"/>
          <w:color w:val="000000"/>
          <w:sz w:val="22"/>
          <w:szCs w:val="22"/>
          <w:lang w:val="es-ES" w:eastAsia="es-MX"/>
        </w:rPr>
        <w:t>SARS-CoV-2</w:t>
      </w:r>
      <w:r w:rsidR="00FD3851">
        <w:rPr>
          <w:rFonts w:ascii="Palatino Linotype" w:eastAsia="Calibri" w:hAnsi="Palatino Linotype" w:cs="Tahoma"/>
          <w:color w:val="000000"/>
          <w:sz w:val="22"/>
          <w:szCs w:val="22"/>
          <w:lang w:val="es-ES" w:eastAsia="es-MX"/>
        </w:rPr>
        <w:t>.</w:t>
      </w:r>
    </w:p>
    <w:p w14:paraId="0F309E33" w14:textId="5D4B53B7" w:rsidR="00D20825" w:rsidRDefault="00D20825" w:rsidP="00D20825">
      <w:pPr>
        <w:spacing w:line="360" w:lineRule="auto"/>
        <w:jc w:val="both"/>
        <w:rPr>
          <w:rFonts w:ascii="Palatino Linotype" w:eastAsia="Calibri" w:hAnsi="Palatino Linotype"/>
          <w:bCs/>
          <w:color w:val="000000" w:themeColor="text1"/>
          <w:sz w:val="22"/>
          <w:szCs w:val="22"/>
          <w:lang w:eastAsia="en-US"/>
        </w:rPr>
      </w:pPr>
    </w:p>
    <w:p w14:paraId="34CA09D8" w14:textId="5C5D54D8" w:rsidR="00FD3851" w:rsidRPr="00FD3851" w:rsidRDefault="00FD3851" w:rsidP="00FD3851">
      <w:pPr>
        <w:autoSpaceDE w:val="0"/>
        <w:autoSpaceDN w:val="0"/>
        <w:adjustRightInd w:val="0"/>
        <w:spacing w:line="360" w:lineRule="auto"/>
        <w:jc w:val="both"/>
        <w:rPr>
          <w:rFonts w:ascii="Palatino Linotype" w:eastAsia="Calibri" w:hAnsi="Palatino Linotype"/>
          <w:color w:val="000000" w:themeColor="text1"/>
          <w:sz w:val="22"/>
          <w:szCs w:val="22"/>
          <w:lang w:eastAsia="en-US"/>
        </w:rPr>
      </w:pPr>
      <w:r w:rsidRPr="00FD3851">
        <w:rPr>
          <w:rFonts w:ascii="Palatino Linotype" w:hAnsi="Palatino Linotype" w:cs="Tahoma"/>
          <w:bCs/>
          <w:iCs/>
          <w:sz w:val="22"/>
          <w:szCs w:val="22"/>
          <w:lang w:val="es-ES"/>
        </w:rPr>
        <w:t>Ahora bien, de</w:t>
      </w:r>
      <w:r w:rsidRPr="00FD3851">
        <w:rPr>
          <w:rFonts w:ascii="Palatino Linotype" w:eastAsia="Calibri" w:hAnsi="Palatino Linotype"/>
          <w:color w:val="000000" w:themeColor="text1"/>
          <w:sz w:val="22"/>
          <w:szCs w:val="22"/>
          <w:lang w:eastAsia="en-US"/>
        </w:rPr>
        <w:t xml:space="preserve"> las constancias que obran en el expediente se logra vislumbrar, que el Sujeto Obligado turnó la solicitud de información a la </w:t>
      </w:r>
      <w:r w:rsidR="004E3E2F">
        <w:rPr>
          <w:rFonts w:ascii="Palatino Linotype" w:eastAsia="Calibri" w:hAnsi="Palatino Linotype" w:cs="Tahoma"/>
          <w:iCs/>
          <w:color w:val="000000"/>
          <w:sz w:val="22"/>
          <w:szCs w:val="24"/>
          <w:lang w:val="es-ES" w:eastAsia="es-MX"/>
        </w:rPr>
        <w:t xml:space="preserve">Dirección de </w:t>
      </w:r>
      <w:r w:rsidR="00665F5F">
        <w:rPr>
          <w:rFonts w:ascii="Palatino Linotype" w:eastAsia="Calibri" w:hAnsi="Palatino Linotype" w:cs="Tahoma"/>
          <w:iCs/>
          <w:color w:val="000000"/>
          <w:sz w:val="22"/>
          <w:szCs w:val="24"/>
          <w:lang w:val="es-ES" w:eastAsia="es-MX"/>
        </w:rPr>
        <w:t>Administración</w:t>
      </w:r>
      <w:r w:rsidRPr="00FD3851">
        <w:rPr>
          <w:rFonts w:ascii="Palatino Linotype" w:eastAsia="Calibri" w:hAnsi="Palatino Linotype"/>
          <w:color w:val="000000" w:themeColor="text1"/>
          <w:sz w:val="22"/>
          <w:szCs w:val="22"/>
          <w:lang w:eastAsia="en-US"/>
        </w:rPr>
        <w:t>;</w:t>
      </w:r>
      <w:r w:rsidRPr="00FD3851">
        <w:rPr>
          <w:rFonts w:ascii="Palatino Linotype" w:hAnsi="Palatino Linotype" w:cs="Tahoma"/>
          <w:bCs/>
          <w:sz w:val="22"/>
          <w:szCs w:val="22"/>
          <w:lang w:val="es-ES"/>
        </w:rPr>
        <w:t xml:space="preserve"> por lo cual, es necesario hacer </w:t>
      </w:r>
      <w:r w:rsidRPr="00FD3851">
        <w:rPr>
          <w:rFonts w:ascii="Palatino Linotype" w:hAnsi="Palatino Linotype" w:cs="Tahoma"/>
          <w:bCs/>
          <w:sz w:val="22"/>
          <w:szCs w:val="22"/>
        </w:rPr>
        <w:t xml:space="preserve">referencia al </w:t>
      </w:r>
      <w:r w:rsidRPr="00FD3851">
        <w:rPr>
          <w:rFonts w:ascii="Palatino Linotype" w:hAnsi="Palatino Linotype" w:cs="Tahoma"/>
          <w:b/>
          <w:bCs/>
          <w:sz w:val="22"/>
          <w:szCs w:val="22"/>
        </w:rPr>
        <w:t>procedimiento de búsqueda que deben de seguir los Sujetos Obligados para localizar la información</w:t>
      </w:r>
      <w:r w:rsidRPr="00FD3851">
        <w:rPr>
          <w:rFonts w:ascii="Palatino Linotype" w:hAnsi="Palatino Linotype" w:cs="Tahoma"/>
          <w:bCs/>
          <w:sz w:val="22"/>
          <w:szCs w:val="22"/>
        </w:rPr>
        <w:t>, el cual se encuentra previsto en los artículos 160 y 162 de la Ley de Transparencia y Acceso a la Información Pública del Estado de México y Municipios, mismo que es el siguiente:</w:t>
      </w:r>
    </w:p>
    <w:p w14:paraId="45E86E9F" w14:textId="77777777" w:rsidR="00FD3851" w:rsidRPr="00FD3851" w:rsidRDefault="00FD3851" w:rsidP="00FD3851">
      <w:pPr>
        <w:spacing w:line="360" w:lineRule="auto"/>
        <w:jc w:val="both"/>
        <w:rPr>
          <w:rFonts w:ascii="Palatino Linotype" w:hAnsi="Palatino Linotype" w:cs="Tahoma"/>
          <w:bCs/>
          <w:sz w:val="22"/>
          <w:szCs w:val="22"/>
        </w:rPr>
      </w:pPr>
    </w:p>
    <w:p w14:paraId="00E8AAB9" w14:textId="77777777" w:rsidR="00FD3851" w:rsidRPr="00FD3851" w:rsidRDefault="00FD3851" w:rsidP="00FD3851">
      <w:pPr>
        <w:numPr>
          <w:ilvl w:val="0"/>
          <w:numId w:val="16"/>
        </w:numPr>
        <w:spacing w:after="160" w:line="360" w:lineRule="auto"/>
        <w:jc w:val="both"/>
        <w:rPr>
          <w:rFonts w:ascii="Palatino Linotype" w:hAnsi="Palatino Linotype" w:cs="Tahoma"/>
          <w:bCs/>
          <w:sz w:val="22"/>
          <w:szCs w:val="22"/>
          <w:lang w:val="es-ES"/>
        </w:rPr>
      </w:pPr>
      <w:r w:rsidRPr="00FD3851">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8EA3054" w14:textId="77777777" w:rsidR="00FD3851" w:rsidRPr="00FD3851" w:rsidRDefault="00FD3851" w:rsidP="00FD3851">
      <w:pPr>
        <w:spacing w:line="360" w:lineRule="auto"/>
        <w:ind w:left="720"/>
        <w:jc w:val="both"/>
        <w:rPr>
          <w:rFonts w:ascii="Palatino Linotype" w:hAnsi="Palatino Linotype" w:cs="Tahoma"/>
          <w:bCs/>
          <w:sz w:val="22"/>
          <w:szCs w:val="22"/>
          <w:lang w:val="es-ES"/>
        </w:rPr>
      </w:pPr>
    </w:p>
    <w:p w14:paraId="4B4CFE67" w14:textId="77777777" w:rsidR="00FD3851" w:rsidRPr="00FD3851" w:rsidRDefault="00FD3851" w:rsidP="00FD3851">
      <w:pPr>
        <w:numPr>
          <w:ilvl w:val="0"/>
          <w:numId w:val="16"/>
        </w:numPr>
        <w:spacing w:after="160" w:line="360" w:lineRule="auto"/>
        <w:jc w:val="both"/>
        <w:rPr>
          <w:rFonts w:ascii="Palatino Linotype" w:hAnsi="Palatino Linotype" w:cs="Tahoma"/>
          <w:bCs/>
          <w:sz w:val="22"/>
          <w:szCs w:val="22"/>
          <w:lang w:val="es-ES"/>
        </w:rPr>
      </w:pPr>
      <w:r w:rsidRPr="00FD3851">
        <w:rPr>
          <w:rFonts w:ascii="Palatino Linotype" w:hAnsi="Palatino Linotype" w:cs="Tahoma"/>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3C88C68" w14:textId="77777777" w:rsidR="00FD3851" w:rsidRPr="00FD3851" w:rsidRDefault="00FD3851" w:rsidP="00FD3851">
      <w:pPr>
        <w:spacing w:line="360" w:lineRule="auto"/>
        <w:jc w:val="both"/>
        <w:rPr>
          <w:rFonts w:ascii="Palatino Linotype" w:hAnsi="Palatino Linotype" w:cs="Tahoma"/>
          <w:bCs/>
          <w:iCs/>
          <w:sz w:val="22"/>
          <w:szCs w:val="22"/>
          <w:lang w:val="es-ES"/>
        </w:rPr>
      </w:pPr>
    </w:p>
    <w:p w14:paraId="1FBF6D91" w14:textId="1E199DE1" w:rsidR="00FD3851" w:rsidRPr="00FD3851" w:rsidRDefault="00FD3851" w:rsidP="00FD3851">
      <w:pPr>
        <w:spacing w:line="360" w:lineRule="auto"/>
        <w:jc w:val="both"/>
        <w:rPr>
          <w:rFonts w:ascii="Palatino Linotype" w:eastAsia="Calibri" w:hAnsi="Palatino Linotype" w:cs="Tahoma"/>
          <w:bCs/>
          <w:iCs/>
          <w:color w:val="000000" w:themeColor="text1"/>
          <w:sz w:val="22"/>
          <w:szCs w:val="22"/>
          <w:lang w:eastAsia="en-US"/>
        </w:rPr>
      </w:pPr>
      <w:r w:rsidRPr="00FD3851">
        <w:rPr>
          <w:rFonts w:ascii="Palatino Linotype" w:eastAsia="Calibri" w:hAnsi="Palatino Linotype" w:cs="Tahoma"/>
          <w:bCs/>
          <w:color w:val="000000"/>
          <w:sz w:val="22"/>
          <w:szCs w:val="22"/>
          <w:lang w:eastAsia="en-US"/>
        </w:rPr>
        <w:t xml:space="preserve">Así, a efecto de determinar si el Sujeto Obligado siguió el procedimiento antes descrito </w:t>
      </w:r>
      <w:r w:rsidRPr="00FD3851">
        <w:rPr>
          <w:rFonts w:ascii="Palatino Linotype" w:eastAsia="Calibri" w:hAnsi="Palatino Linotype" w:cs="Tahoma"/>
          <w:bCs/>
          <w:iCs/>
          <w:color w:val="000000" w:themeColor="text1"/>
          <w:sz w:val="22"/>
          <w:szCs w:val="22"/>
          <w:lang w:eastAsia="en-US"/>
        </w:rPr>
        <w:t xml:space="preserve">es necesario traer a colación </w:t>
      </w:r>
      <w:r w:rsidR="00EA5C75">
        <w:rPr>
          <w:rFonts w:ascii="Palatino Linotype" w:eastAsia="Calibri" w:hAnsi="Palatino Linotype" w:cs="Tahoma"/>
          <w:bCs/>
          <w:iCs/>
          <w:color w:val="000000" w:themeColor="text1"/>
          <w:sz w:val="22"/>
          <w:szCs w:val="22"/>
          <w:lang w:eastAsia="en-US"/>
        </w:rPr>
        <w:t>los artículos 112, 177 y 179 del Bando Municipal de Atenco, dos mil veintidós, que precisa que el Sujeto Obligado cuenta con diversas unidades administrativas para el ejercicio de sus funciones, entre las cuales se encuentra la Dirección de Administración, encargada de proporcionar los recursos materiales, tecnológicos y servicios generales necesarios para la ejecución de los planes y programas de las unidades administrativas; para lo cual, contara con la Jefatura de Adquisiciones y Recursos Materiales.</w:t>
      </w:r>
    </w:p>
    <w:p w14:paraId="0DDB09DA" w14:textId="77777777" w:rsidR="00FD3851" w:rsidRPr="00FD3851" w:rsidRDefault="00FD3851" w:rsidP="00FD3851">
      <w:pPr>
        <w:spacing w:line="360" w:lineRule="auto"/>
        <w:jc w:val="both"/>
        <w:rPr>
          <w:rFonts w:ascii="Palatino Linotype" w:eastAsia="Calibri" w:hAnsi="Palatino Linotype" w:cs="Tahoma"/>
          <w:bCs/>
          <w:iCs/>
          <w:color w:val="000000" w:themeColor="text1"/>
          <w:sz w:val="22"/>
          <w:szCs w:val="22"/>
          <w:lang w:eastAsia="en-US"/>
        </w:rPr>
      </w:pPr>
    </w:p>
    <w:p w14:paraId="74D11DE9" w14:textId="5E85BAB2" w:rsidR="00FD3851" w:rsidRPr="00FD3851" w:rsidRDefault="00FD3851" w:rsidP="00FD3851">
      <w:pPr>
        <w:spacing w:line="360" w:lineRule="auto"/>
        <w:jc w:val="both"/>
        <w:rPr>
          <w:rFonts w:ascii="Palatino Linotype" w:eastAsia="Calibri" w:hAnsi="Palatino Linotype"/>
          <w:bCs/>
          <w:color w:val="000000" w:themeColor="text1"/>
          <w:sz w:val="22"/>
          <w:szCs w:val="22"/>
          <w:lang w:eastAsia="en-US"/>
        </w:rPr>
      </w:pPr>
      <w:r w:rsidRPr="00FD3851">
        <w:rPr>
          <w:rFonts w:ascii="Palatino Linotype" w:eastAsia="Calibri" w:hAnsi="Palatino Linotype"/>
          <w:color w:val="000000" w:themeColor="text1"/>
          <w:sz w:val="22"/>
          <w:szCs w:val="22"/>
          <w:lang w:eastAsia="en-US"/>
        </w:rPr>
        <w:t>Conforme a lo expuesto, se logra colegir que el Sujeto Obligado turno el requerimiento de información al área competente para conocer de lo solicitado,</w:t>
      </w:r>
      <w:r w:rsidRPr="00FD3851">
        <w:rPr>
          <w:rFonts w:ascii="Palatino Linotype" w:eastAsia="Calibri" w:hAnsi="Palatino Linotype"/>
          <w:bCs/>
          <w:color w:val="000000" w:themeColor="text1"/>
          <w:sz w:val="22"/>
          <w:szCs w:val="22"/>
          <w:lang w:eastAsia="en-US"/>
        </w:rPr>
        <w:t xml:space="preserve"> a saber, a la Dirección de Administración; por lo que, se colige que el Sujeto Obligado cumplió el procedimiento de búsqueda previsto en el artículo 162 de la Ley de Transparencia y Acceso al a Información Pública del Estado de México y Municipios. </w:t>
      </w:r>
    </w:p>
    <w:p w14:paraId="15755C8C" w14:textId="77777777" w:rsidR="00FD3851" w:rsidRPr="00FD3851" w:rsidRDefault="00FD3851" w:rsidP="00FD3851">
      <w:pPr>
        <w:spacing w:line="360" w:lineRule="auto"/>
        <w:jc w:val="both"/>
        <w:rPr>
          <w:rFonts w:ascii="Palatino Linotype" w:eastAsia="Calibri" w:hAnsi="Palatino Linotype"/>
          <w:color w:val="000000" w:themeColor="text1"/>
          <w:sz w:val="22"/>
          <w:szCs w:val="22"/>
          <w:lang w:eastAsia="en-US"/>
        </w:rPr>
      </w:pPr>
    </w:p>
    <w:p w14:paraId="2A1F97C8" w14:textId="42F606A2" w:rsidR="00FD3851" w:rsidRPr="00FD3851" w:rsidRDefault="00FD3851" w:rsidP="00FD3851">
      <w:pPr>
        <w:spacing w:line="360" w:lineRule="auto"/>
        <w:jc w:val="both"/>
        <w:rPr>
          <w:rFonts w:ascii="Palatino Linotype" w:hAnsi="Palatino Linotype" w:cs="Tahoma"/>
          <w:sz w:val="22"/>
          <w:szCs w:val="22"/>
          <w:lang w:eastAsia="es-MX"/>
        </w:rPr>
      </w:pPr>
      <w:r w:rsidRPr="00FD3851">
        <w:rPr>
          <w:rFonts w:ascii="Palatino Linotype" w:eastAsia="Calibri" w:hAnsi="Palatino Linotype"/>
          <w:color w:val="000000" w:themeColor="text1"/>
          <w:sz w:val="22"/>
          <w:szCs w:val="22"/>
          <w:lang w:eastAsia="en-US"/>
        </w:rPr>
        <w:t xml:space="preserve">Ahora bien, en respuesta, </w:t>
      </w:r>
      <w:r w:rsidR="00EA5C75">
        <w:rPr>
          <w:rFonts w:ascii="Palatino Linotype" w:eastAsia="Calibri" w:hAnsi="Palatino Linotype"/>
          <w:color w:val="000000" w:themeColor="text1"/>
          <w:sz w:val="22"/>
          <w:szCs w:val="22"/>
          <w:lang w:eastAsia="en-US"/>
        </w:rPr>
        <w:t xml:space="preserve">dicha área </w:t>
      </w:r>
      <w:r w:rsidR="00665F5F">
        <w:rPr>
          <w:rFonts w:ascii="Palatino Linotype" w:eastAsia="Calibri" w:hAnsi="Palatino Linotype"/>
          <w:color w:val="000000" w:themeColor="text1"/>
          <w:sz w:val="22"/>
          <w:szCs w:val="22"/>
          <w:lang w:eastAsia="en-US"/>
        </w:rPr>
        <w:t>manifestó</w:t>
      </w:r>
      <w:r w:rsidRPr="00FD3851">
        <w:rPr>
          <w:rFonts w:ascii="Palatino Linotype" w:eastAsia="Calibri" w:hAnsi="Palatino Linotype"/>
          <w:bCs/>
          <w:color w:val="000000" w:themeColor="text1"/>
          <w:sz w:val="22"/>
          <w:szCs w:val="22"/>
          <w:lang w:eastAsia="en-US"/>
        </w:rPr>
        <w:t xml:space="preserve"> que después de realizar una búsqueda</w:t>
      </w:r>
      <w:r w:rsidR="00EA5C75">
        <w:rPr>
          <w:rFonts w:ascii="Palatino Linotype" w:eastAsia="Calibri" w:hAnsi="Palatino Linotype"/>
          <w:bCs/>
          <w:color w:val="000000" w:themeColor="text1"/>
          <w:sz w:val="22"/>
          <w:szCs w:val="22"/>
          <w:lang w:eastAsia="en-US"/>
        </w:rPr>
        <w:t xml:space="preserve">, no localizó </w:t>
      </w:r>
      <w:r w:rsidR="00665F5F">
        <w:rPr>
          <w:rFonts w:ascii="Palatino Linotype" w:eastAsia="Calibri" w:hAnsi="Palatino Linotype"/>
          <w:bCs/>
          <w:color w:val="000000" w:themeColor="text1"/>
          <w:sz w:val="22"/>
          <w:szCs w:val="22"/>
          <w:lang w:eastAsia="en-US"/>
        </w:rPr>
        <w:t>la factura, pues al ocho de febrero de dos mil veintidós, no había sido entregada por el proveedor</w:t>
      </w:r>
      <w:r w:rsidRPr="00FD3851">
        <w:rPr>
          <w:rFonts w:ascii="Palatino Linotype" w:eastAsia="Calibri" w:hAnsi="Palatino Linotype"/>
          <w:color w:val="000000" w:themeColor="text1"/>
          <w:sz w:val="22"/>
          <w:szCs w:val="22"/>
          <w:lang w:eastAsia="en-US"/>
        </w:rPr>
        <w:t>; a</w:t>
      </w:r>
      <w:r w:rsidRPr="00FD3851">
        <w:rPr>
          <w:rFonts w:ascii="Palatino Linotype" w:eastAsia="Calibri" w:hAnsi="Palatino Linotype" w:cs="Tahoma"/>
          <w:bCs/>
          <w:sz w:val="22"/>
          <w:szCs w:val="22"/>
          <w:lang w:eastAsia="en-US"/>
        </w:rPr>
        <w:t xml:space="preserve">l respecto, cabe señalar que </w:t>
      </w:r>
      <w:r w:rsidRPr="00FD3851">
        <w:rPr>
          <w:rFonts w:ascii="Palatino Linotype" w:hAnsi="Palatino Linotype" w:cs="Tahoma"/>
          <w:sz w:val="22"/>
          <w:szCs w:val="22"/>
          <w:lang w:eastAsia="es-MX"/>
        </w:rPr>
        <w:t>este Instituto, no tiene atribuciones para pronunciarse sobre la veracidad de la información, inclusive de la proporcionada durante la tramitación del Medio de Impugnación.</w:t>
      </w:r>
      <w:r w:rsidR="00665F5F">
        <w:rPr>
          <w:rFonts w:ascii="Palatino Linotype" w:hAnsi="Palatino Linotype" w:cs="Tahoma"/>
          <w:sz w:val="22"/>
          <w:szCs w:val="22"/>
          <w:lang w:eastAsia="es-MX"/>
        </w:rPr>
        <w:t xml:space="preserve"> </w:t>
      </w:r>
      <w:r w:rsidRPr="00FD3851">
        <w:rPr>
          <w:rFonts w:ascii="Palatino Linotype" w:hAnsi="Palatino Linotype" w:cs="Tahoma"/>
          <w:sz w:val="22"/>
          <w:szCs w:val="22"/>
          <w:lang w:eastAsia="es-MX"/>
        </w:rPr>
        <w:t>Apoya lo anterior, el Criterio histórico 31/10, emitido por el Pleno del entonces Instituto Federal de Acceso a la Información y Protección de Datos, que a continuación se cita:</w:t>
      </w:r>
    </w:p>
    <w:p w14:paraId="190E8E1A" w14:textId="77777777" w:rsidR="00FD3851" w:rsidRPr="00FD3851" w:rsidRDefault="00FD3851" w:rsidP="00FD3851">
      <w:pPr>
        <w:spacing w:line="360" w:lineRule="auto"/>
        <w:jc w:val="both"/>
        <w:rPr>
          <w:rFonts w:ascii="Palatino Linotype" w:hAnsi="Palatino Linotype" w:cs="Tahoma"/>
          <w:lang w:eastAsia="es-MX"/>
        </w:rPr>
      </w:pPr>
    </w:p>
    <w:p w14:paraId="5E6E48FF" w14:textId="77777777" w:rsidR="00FD3851" w:rsidRPr="00FD3851" w:rsidRDefault="00FD3851" w:rsidP="00FD3851">
      <w:pPr>
        <w:spacing w:line="360" w:lineRule="auto"/>
        <w:ind w:left="567" w:right="567"/>
        <w:jc w:val="both"/>
        <w:rPr>
          <w:rFonts w:ascii="Palatino Linotype" w:hAnsi="Palatino Linotype" w:cs="Tahoma"/>
          <w:i/>
          <w:lang w:eastAsia="es-MX"/>
        </w:rPr>
      </w:pPr>
      <w:r w:rsidRPr="00FD3851">
        <w:rPr>
          <w:rFonts w:ascii="Palatino Linotype" w:hAnsi="Palatino Linotype" w:cs="Tahoma"/>
          <w:b/>
          <w:i/>
          <w:lang w:eastAsia="es-MX"/>
        </w:rPr>
        <w:t xml:space="preserve">“El Instituto Federal de Acceso a la Información y Protección de Datos </w:t>
      </w:r>
      <w:r w:rsidRPr="00FD3851">
        <w:rPr>
          <w:rFonts w:ascii="Palatino Linotype" w:hAnsi="Palatino Linotype" w:cs="Tahoma"/>
          <w:b/>
          <w:i/>
          <w:u w:val="single"/>
          <w:lang w:eastAsia="es-MX"/>
        </w:rPr>
        <w:t xml:space="preserve">no cuenta con facultades para pronunciarse respecto de la veracidad de los documentos proporcionados por los sujetos obligados. </w:t>
      </w:r>
      <w:r w:rsidRPr="00FD3851">
        <w:rPr>
          <w:rFonts w:ascii="Palatino Linotype" w:hAnsi="Palatino Linotype" w:cs="Tahoma"/>
          <w:i/>
          <w:lang w:eastAsia="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7F33867" w14:textId="77777777" w:rsidR="00FD3851" w:rsidRPr="00FD3851" w:rsidRDefault="00FD3851" w:rsidP="00FD3851">
      <w:pPr>
        <w:tabs>
          <w:tab w:val="left" w:pos="4962"/>
        </w:tabs>
        <w:spacing w:line="360" w:lineRule="auto"/>
        <w:jc w:val="both"/>
        <w:rPr>
          <w:rFonts w:ascii="Palatino Linotype" w:eastAsia="Calibri" w:hAnsi="Palatino Linotype" w:cs="Tahoma"/>
          <w:iCs/>
          <w:sz w:val="22"/>
          <w:szCs w:val="22"/>
          <w:lang w:eastAsia="es-ES_tradnl"/>
        </w:rPr>
      </w:pPr>
    </w:p>
    <w:p w14:paraId="58C7921F" w14:textId="270E6FBB" w:rsidR="00FD3851" w:rsidRPr="00FD3851" w:rsidRDefault="00FD3851" w:rsidP="00FD3851">
      <w:pPr>
        <w:spacing w:line="360" w:lineRule="auto"/>
        <w:jc w:val="both"/>
        <w:rPr>
          <w:rFonts w:ascii="Palatino Linotype" w:hAnsi="Palatino Linotype" w:cs="Tahoma"/>
          <w:sz w:val="22"/>
          <w:szCs w:val="22"/>
        </w:rPr>
      </w:pPr>
      <w:r w:rsidRPr="00FD3851">
        <w:rPr>
          <w:rFonts w:ascii="Palatino Linotype" w:hAnsi="Palatino Linotype" w:cs="Tahoma"/>
          <w:bCs/>
          <w:sz w:val="22"/>
          <w:szCs w:val="22"/>
        </w:rPr>
        <w:t>Conforme a lo anterior, se logra observar que el Sujeto Obligado aludió a que la información era inexistente; al</w:t>
      </w:r>
      <w:r w:rsidRPr="00FD3851">
        <w:rPr>
          <w:rFonts w:ascii="Palatino Linotype" w:hAnsi="Palatino Linotype" w:cs="Tahoma"/>
          <w:sz w:val="22"/>
          <w:szCs w:val="22"/>
        </w:rPr>
        <w:t xml:space="preserve"> respecto, el Criterio 14/17, emitido por el </w:t>
      </w:r>
      <w:bookmarkStart w:id="0" w:name="_Hlk100225861"/>
      <w:r w:rsidRPr="00FD3851">
        <w:rPr>
          <w:rFonts w:ascii="Palatino Linotype" w:hAnsi="Palatino Linotype" w:cs="Tahoma"/>
          <w:sz w:val="22"/>
          <w:szCs w:val="22"/>
        </w:rPr>
        <w:t xml:space="preserve">Instituto Nacional de Transparencia, Acceso a la Información y Protección de Datos Personales, </w:t>
      </w:r>
      <w:bookmarkEnd w:id="0"/>
      <w:r w:rsidRPr="00FD3851">
        <w:rPr>
          <w:rFonts w:ascii="Palatino Linotype" w:hAnsi="Palatino Linotype" w:cs="Tahoma"/>
          <w:sz w:val="22"/>
          <w:szCs w:val="22"/>
        </w:rPr>
        <w:t>señala lo siguiente:</w:t>
      </w:r>
    </w:p>
    <w:p w14:paraId="7B3D8CC5" w14:textId="77777777" w:rsidR="00FD3851" w:rsidRPr="00FD3851" w:rsidRDefault="00FD3851" w:rsidP="00FD3851">
      <w:pPr>
        <w:spacing w:line="360" w:lineRule="auto"/>
        <w:jc w:val="both"/>
        <w:rPr>
          <w:rFonts w:ascii="Palatino Linotype" w:hAnsi="Palatino Linotype" w:cs="Tahoma"/>
          <w:sz w:val="22"/>
          <w:szCs w:val="22"/>
        </w:rPr>
      </w:pPr>
    </w:p>
    <w:p w14:paraId="034E55C9" w14:textId="77777777" w:rsidR="00FD3851" w:rsidRPr="00FD3851" w:rsidRDefault="00FD3851" w:rsidP="00FD3851">
      <w:pPr>
        <w:spacing w:line="360" w:lineRule="auto"/>
        <w:ind w:left="567" w:right="567"/>
        <w:jc w:val="both"/>
        <w:rPr>
          <w:rFonts w:ascii="Palatino Linotype" w:hAnsi="Palatino Linotype" w:cs="Tahoma"/>
          <w:bCs/>
          <w:i/>
          <w:lang w:val="es-ES"/>
        </w:rPr>
      </w:pPr>
      <w:r w:rsidRPr="00FD3851">
        <w:rPr>
          <w:rFonts w:ascii="Palatino Linotype" w:hAnsi="Palatino Linotype" w:cs="Tahoma"/>
          <w:bCs/>
          <w:i/>
          <w:lang w:val="es-ES"/>
        </w:rPr>
        <w:t>“</w:t>
      </w:r>
      <w:r w:rsidRPr="00FD3851">
        <w:rPr>
          <w:rFonts w:ascii="Palatino Linotype" w:hAnsi="Palatino Linotype" w:cs="Tahoma"/>
          <w:b/>
          <w:bCs/>
          <w:i/>
          <w:lang w:val="es-ES"/>
        </w:rPr>
        <w:t xml:space="preserve">Inexistencia. </w:t>
      </w:r>
      <w:r w:rsidRPr="00FD3851">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6F3DA901" w14:textId="77777777" w:rsidR="00FD3851" w:rsidRPr="00FD3851" w:rsidRDefault="00FD3851" w:rsidP="00FD3851">
      <w:pPr>
        <w:spacing w:line="360" w:lineRule="auto"/>
        <w:jc w:val="both"/>
        <w:rPr>
          <w:rFonts w:ascii="Palatino Linotype" w:hAnsi="Palatino Linotype" w:cs="Tahoma"/>
          <w:sz w:val="22"/>
          <w:szCs w:val="22"/>
        </w:rPr>
      </w:pPr>
    </w:p>
    <w:p w14:paraId="2B8972EB" w14:textId="77777777" w:rsidR="00FD3851" w:rsidRPr="00FD3851" w:rsidRDefault="00FD3851" w:rsidP="00FD3851">
      <w:pPr>
        <w:spacing w:line="360" w:lineRule="auto"/>
        <w:jc w:val="both"/>
        <w:rPr>
          <w:rFonts w:ascii="Palatino Linotype" w:hAnsi="Palatino Linotype" w:cs="Tahoma"/>
          <w:sz w:val="22"/>
          <w:szCs w:val="22"/>
        </w:rPr>
      </w:pPr>
      <w:r w:rsidRPr="00FD3851">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14:paraId="530A6CF9" w14:textId="77777777" w:rsidR="00FD3851" w:rsidRPr="00FD3851" w:rsidRDefault="00FD3851" w:rsidP="00FD3851">
      <w:pPr>
        <w:spacing w:line="360" w:lineRule="auto"/>
        <w:jc w:val="both"/>
        <w:rPr>
          <w:rFonts w:ascii="Palatino Linotype" w:hAnsi="Palatino Linotype" w:cs="Tahoma"/>
          <w:sz w:val="22"/>
          <w:szCs w:val="22"/>
          <w:lang w:val="es-ES"/>
        </w:rPr>
      </w:pPr>
    </w:p>
    <w:p w14:paraId="520370DC" w14:textId="77777777" w:rsidR="00FD3851" w:rsidRPr="00FD3851" w:rsidRDefault="00FD3851" w:rsidP="00FD3851">
      <w:pPr>
        <w:spacing w:line="360" w:lineRule="auto"/>
        <w:jc w:val="both"/>
        <w:rPr>
          <w:rFonts w:ascii="Palatino Linotype" w:hAnsi="Palatino Linotype" w:cs="Tahoma"/>
          <w:sz w:val="22"/>
          <w:szCs w:val="22"/>
          <w:lang w:val="es-ES"/>
        </w:rPr>
      </w:pPr>
      <w:r w:rsidRPr="00FD3851">
        <w:rPr>
          <w:rFonts w:ascii="Palatino Linotype" w:hAnsi="Palatino Linotype" w:cs="Tahoma"/>
          <w:sz w:val="22"/>
          <w:szCs w:val="22"/>
          <w:lang w:val="es-ES"/>
        </w:rPr>
        <w:t xml:space="preserve">En ese orden de ideas, según Trujillo, Humberto (2019), en el “Diccionario de Transparencia y Acceso a la Información Pública” (p. 171), la inexistencia de la información, es cuando la </w:t>
      </w:r>
      <w:r w:rsidRPr="00FD3851">
        <w:rPr>
          <w:rFonts w:ascii="Palatino Linotype" w:hAnsi="Palatino Linotype" w:cs="Tahoma"/>
          <w:sz w:val="22"/>
          <w:szCs w:val="22"/>
          <w:lang w:val="es-ES"/>
        </w:rPr>
        <w:lastRenderedPageBreak/>
        <w:t>información requerida no se encuentra en los archivos públicos, reservados o clasificados, de los sujetos obligados.</w:t>
      </w:r>
    </w:p>
    <w:p w14:paraId="690D910B" w14:textId="77777777" w:rsidR="00FD3851" w:rsidRPr="00FD3851" w:rsidRDefault="00FD3851" w:rsidP="00FD3851">
      <w:pPr>
        <w:spacing w:line="360" w:lineRule="auto"/>
        <w:jc w:val="both"/>
        <w:rPr>
          <w:rFonts w:ascii="Palatino Linotype" w:hAnsi="Palatino Linotype" w:cs="Tahoma"/>
          <w:sz w:val="22"/>
          <w:szCs w:val="22"/>
          <w:lang w:val="es-ES"/>
        </w:rPr>
      </w:pPr>
    </w:p>
    <w:p w14:paraId="48824D21" w14:textId="01148C1B" w:rsidR="00FD3851" w:rsidRPr="00FD3851" w:rsidRDefault="00FD3851" w:rsidP="00FD3851">
      <w:pPr>
        <w:spacing w:line="360" w:lineRule="auto"/>
        <w:jc w:val="both"/>
        <w:rPr>
          <w:rFonts w:ascii="Palatino Linotype" w:eastAsia="Calibri" w:hAnsi="Palatino Linotype"/>
          <w:color w:val="000000" w:themeColor="text1"/>
          <w:sz w:val="22"/>
          <w:szCs w:val="22"/>
          <w:lang w:eastAsia="en-US"/>
        </w:rPr>
      </w:pPr>
      <w:r w:rsidRPr="00FD3851">
        <w:rPr>
          <w:rFonts w:ascii="Palatino Linotype" w:hAnsi="Palatino Linotype" w:cs="Tahoma"/>
          <w:sz w:val="22"/>
          <w:szCs w:val="22"/>
          <w:lang w:val="es-ES"/>
        </w:rPr>
        <w:t>Así</w:t>
      </w:r>
      <w:r w:rsidRPr="00FD3851">
        <w:rPr>
          <w:rFonts w:ascii="Palatino Linotype" w:hAnsi="Palatino Linotype" w:cs="Tahoma"/>
          <w:sz w:val="22"/>
          <w:szCs w:val="22"/>
        </w:rPr>
        <w:t xml:space="preserve">, es posible concluir que la </w:t>
      </w:r>
      <w:r w:rsidRPr="00FD3851">
        <w:rPr>
          <w:rFonts w:ascii="Palatino Linotype" w:hAnsi="Palatino Linotype" w:cs="Tahoma"/>
          <w:b/>
          <w:sz w:val="22"/>
          <w:szCs w:val="22"/>
        </w:rPr>
        <w:t>inexistencia</w:t>
      </w:r>
      <w:r w:rsidRPr="00FD3851">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sidRPr="00FD3851">
        <w:rPr>
          <w:rFonts w:ascii="Palatino Linotype" w:hAnsi="Palatino Linotype" w:cs="Tahoma"/>
          <w:bCs/>
          <w:sz w:val="22"/>
          <w:szCs w:val="22"/>
        </w:rPr>
        <w:t>no basta con que los sujetos obligados señalen dicha circunstancia, sino que también debe de señalar las razones por las cuales no cuentan con lo peticionado, es decir, las circunstancias que dan lugar a la inexistencia,</w:t>
      </w:r>
      <w:r w:rsidRPr="00FD3851">
        <w:rPr>
          <w:rFonts w:ascii="Palatino Linotype" w:eastAsia="Calibri" w:hAnsi="Palatino Linotype"/>
          <w:color w:val="000000" w:themeColor="text1"/>
          <w:sz w:val="22"/>
          <w:szCs w:val="22"/>
          <w:lang w:eastAsia="en-US"/>
        </w:rPr>
        <w:t xml:space="preserve"> lo cual aconteció, en el presente caso, pues </w:t>
      </w:r>
      <w:r w:rsidR="00665F5F">
        <w:rPr>
          <w:rFonts w:ascii="Palatino Linotype" w:eastAsia="Calibri" w:hAnsi="Palatino Linotype"/>
          <w:color w:val="000000" w:themeColor="text1"/>
          <w:sz w:val="22"/>
          <w:szCs w:val="22"/>
          <w:lang w:eastAsia="en-US"/>
        </w:rPr>
        <w:t>el</w:t>
      </w:r>
      <w:r w:rsidRPr="00FD3851">
        <w:rPr>
          <w:rFonts w:ascii="Palatino Linotype" w:eastAsia="Calibri" w:hAnsi="Palatino Linotype"/>
          <w:color w:val="000000" w:themeColor="text1"/>
          <w:sz w:val="22"/>
          <w:szCs w:val="22"/>
          <w:lang w:eastAsia="en-US"/>
        </w:rPr>
        <w:t xml:space="preserve"> área competente, </w:t>
      </w:r>
      <w:r w:rsidR="00665F5F">
        <w:rPr>
          <w:rFonts w:ascii="Palatino Linotype" w:eastAsia="Calibri" w:hAnsi="Palatino Linotype"/>
          <w:color w:val="000000" w:themeColor="text1"/>
          <w:sz w:val="22"/>
          <w:szCs w:val="22"/>
          <w:lang w:eastAsia="en-US"/>
        </w:rPr>
        <w:t>aludió a que a la fecha de respuesta, el proveedor aun no le entregaba la factura respectiva.</w:t>
      </w:r>
    </w:p>
    <w:p w14:paraId="49D5C7AD" w14:textId="77777777" w:rsidR="00FD3851" w:rsidRPr="00FD3851" w:rsidRDefault="00FD3851" w:rsidP="00FD3851">
      <w:pPr>
        <w:spacing w:line="360" w:lineRule="auto"/>
        <w:jc w:val="both"/>
        <w:rPr>
          <w:rFonts w:ascii="Palatino Linotype" w:hAnsi="Palatino Linotype" w:cs="Tahoma"/>
          <w:bCs/>
          <w:sz w:val="22"/>
          <w:szCs w:val="22"/>
        </w:rPr>
      </w:pPr>
    </w:p>
    <w:p w14:paraId="295A05C6" w14:textId="0712B31B" w:rsidR="00FD3851" w:rsidRPr="00FD3851" w:rsidRDefault="00FD3851" w:rsidP="00FD3851">
      <w:pPr>
        <w:spacing w:line="360" w:lineRule="auto"/>
        <w:jc w:val="both"/>
        <w:rPr>
          <w:rFonts w:ascii="Palatino Linotype" w:hAnsi="Palatino Linotype" w:cs="Tahoma"/>
          <w:sz w:val="22"/>
          <w:szCs w:val="22"/>
          <w:lang w:val="es-ES"/>
        </w:rPr>
      </w:pPr>
      <w:r w:rsidRPr="00FD3851">
        <w:rPr>
          <w:rFonts w:ascii="Palatino Linotype" w:hAnsi="Palatino Linotype" w:cs="Tahoma"/>
          <w:sz w:val="22"/>
          <w:szCs w:val="22"/>
          <w:lang w:val="es-ES"/>
        </w:rPr>
        <w:t xml:space="preserve">Además, este Instituto realizó una búsqueda en el Portal de Información Pública de Oficio Mexiquense del </w:t>
      </w:r>
      <w:r w:rsidRPr="00FD3851">
        <w:rPr>
          <w:rFonts w:ascii="Palatino Linotype" w:hAnsi="Palatino Linotype" w:cs="Tahoma"/>
          <w:bCs/>
          <w:sz w:val="22"/>
          <w:szCs w:val="22"/>
        </w:rPr>
        <w:t xml:space="preserve">Ayuntamiento de </w:t>
      </w:r>
      <w:r w:rsidR="00665F5F">
        <w:rPr>
          <w:rFonts w:ascii="Palatino Linotype" w:hAnsi="Palatino Linotype" w:cs="Tahoma"/>
          <w:bCs/>
          <w:sz w:val="22"/>
          <w:szCs w:val="22"/>
        </w:rPr>
        <w:t>Atenco</w:t>
      </w:r>
      <w:r w:rsidRPr="00FD3851">
        <w:rPr>
          <w:rFonts w:ascii="Palatino Linotype" w:hAnsi="Palatino Linotype" w:cs="Tahoma"/>
          <w:bCs/>
          <w:sz w:val="22"/>
          <w:szCs w:val="22"/>
        </w:rPr>
        <w:t xml:space="preserve"> y su página oficial</w:t>
      </w:r>
      <w:r w:rsidRPr="00FD3851">
        <w:rPr>
          <w:rFonts w:ascii="Palatino Linotype" w:hAnsi="Palatino Linotype" w:cs="Tahoma"/>
          <w:sz w:val="22"/>
          <w:szCs w:val="22"/>
          <w:lang w:val="es-ES"/>
        </w:rPr>
        <w:t xml:space="preserve">, sin embargo, no se localizó algún </w:t>
      </w:r>
      <w:r w:rsidR="00665F5F">
        <w:rPr>
          <w:rFonts w:ascii="Palatino Linotype" w:hAnsi="Palatino Linotype" w:cs="Tahoma"/>
          <w:sz w:val="22"/>
          <w:szCs w:val="22"/>
          <w:lang w:val="es-ES"/>
        </w:rPr>
        <w:t xml:space="preserve">indicio de que el proveedor haya entregado la factura, o bien, el Sujeto Obligado haya </w:t>
      </w:r>
      <w:r w:rsidR="002B7584">
        <w:rPr>
          <w:rFonts w:ascii="Palatino Linotype" w:hAnsi="Palatino Linotype" w:cs="Tahoma"/>
          <w:sz w:val="22"/>
          <w:szCs w:val="22"/>
          <w:lang w:val="es-ES"/>
        </w:rPr>
        <w:t>entregado recursos públicos a este.</w:t>
      </w:r>
    </w:p>
    <w:p w14:paraId="7D9C532B" w14:textId="77777777" w:rsidR="00FD3851" w:rsidRPr="00FD3851" w:rsidRDefault="00FD3851" w:rsidP="00FD3851">
      <w:pPr>
        <w:spacing w:line="360" w:lineRule="auto"/>
        <w:jc w:val="both"/>
        <w:rPr>
          <w:rFonts w:ascii="Palatino Linotype" w:hAnsi="Palatino Linotype" w:cs="Tahoma"/>
          <w:sz w:val="22"/>
          <w:szCs w:val="22"/>
          <w:lang w:val="es-ES"/>
        </w:rPr>
      </w:pPr>
    </w:p>
    <w:p w14:paraId="712F9B71" w14:textId="2E0BCAB0" w:rsidR="00FD3851" w:rsidRPr="00FD3851" w:rsidRDefault="00FD3851" w:rsidP="00FD3851">
      <w:pPr>
        <w:spacing w:line="360" w:lineRule="auto"/>
        <w:jc w:val="both"/>
        <w:rPr>
          <w:rFonts w:ascii="Palatino Linotype" w:hAnsi="Palatino Linotype" w:cs="Tahoma"/>
          <w:sz w:val="22"/>
          <w:szCs w:val="22"/>
          <w:lang w:val="es-ES"/>
        </w:rPr>
      </w:pPr>
      <w:r w:rsidRPr="00FD3851">
        <w:rPr>
          <w:rFonts w:ascii="Palatino Linotype" w:hAnsi="Palatino Linotype" w:cs="Tahoma"/>
          <w:sz w:val="22"/>
          <w:szCs w:val="22"/>
          <w:lang w:val="es-ES"/>
        </w:rPr>
        <w:t xml:space="preserve">Así, se logra colegir que la información solicitada por el ahora Recurrente es inexistente, pues el Sujeto Obligado, realizó una búsqueda en sus archivos, al gestionar la solicitud de información </w:t>
      </w:r>
      <w:r w:rsidR="002B7584">
        <w:rPr>
          <w:rFonts w:ascii="Palatino Linotype" w:hAnsi="Palatino Linotype" w:cs="Tahoma"/>
          <w:sz w:val="22"/>
          <w:szCs w:val="22"/>
          <w:lang w:val="es-ES"/>
        </w:rPr>
        <w:t>al área competente</w:t>
      </w:r>
      <w:r w:rsidRPr="00FD3851">
        <w:rPr>
          <w:rFonts w:ascii="Palatino Linotype" w:hAnsi="Palatino Linotype" w:cs="Tahoma"/>
          <w:sz w:val="22"/>
          <w:szCs w:val="22"/>
          <w:lang w:val="es-ES"/>
        </w:rPr>
        <w:t xml:space="preserve">, efectuar la indagación y señalar los motivos por las cuales no contaba con la peticionado, a saber, que </w:t>
      </w:r>
      <w:r w:rsidR="002B7584">
        <w:rPr>
          <w:rFonts w:ascii="Palatino Linotype" w:hAnsi="Palatino Linotype" w:cs="Tahoma"/>
          <w:sz w:val="22"/>
          <w:szCs w:val="22"/>
          <w:lang w:val="es-ES"/>
        </w:rPr>
        <w:t>a la fecha de respuesta, el proveedor no le había entregado la factura respectiva.</w:t>
      </w:r>
    </w:p>
    <w:p w14:paraId="4A6B43F3" w14:textId="77777777" w:rsidR="00FD3851" w:rsidRPr="00FD3851" w:rsidRDefault="00FD3851" w:rsidP="00FD3851">
      <w:pPr>
        <w:spacing w:line="360" w:lineRule="auto"/>
        <w:jc w:val="both"/>
        <w:rPr>
          <w:rFonts w:ascii="Palatino Linotype" w:hAnsi="Palatino Linotype" w:cs="Tahoma"/>
          <w:sz w:val="22"/>
          <w:szCs w:val="22"/>
          <w:lang w:val="es-ES"/>
        </w:rPr>
      </w:pPr>
    </w:p>
    <w:p w14:paraId="101A8B89" w14:textId="77777777" w:rsidR="00FD3851" w:rsidRPr="00FD3851" w:rsidRDefault="00FD3851" w:rsidP="002B7584">
      <w:pPr>
        <w:spacing w:line="360" w:lineRule="auto"/>
        <w:jc w:val="both"/>
        <w:rPr>
          <w:rFonts w:ascii="Palatino Linotype" w:eastAsia="Calibri" w:hAnsi="Palatino Linotype"/>
          <w:color w:val="000000" w:themeColor="text1"/>
          <w:sz w:val="22"/>
          <w:szCs w:val="22"/>
          <w:lang w:eastAsia="en-US"/>
        </w:rPr>
      </w:pPr>
      <w:r w:rsidRPr="00FD3851">
        <w:rPr>
          <w:rFonts w:ascii="Palatino Linotype" w:eastAsia="Calibri" w:hAnsi="Palatino Linotype"/>
          <w:color w:val="000000" w:themeColor="text1"/>
          <w:sz w:val="22"/>
          <w:szCs w:val="22"/>
          <w:lang w:eastAsia="en-U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w:t>
      </w:r>
      <w:r w:rsidRPr="00FD3851">
        <w:rPr>
          <w:rFonts w:ascii="Palatino Linotype" w:eastAsia="Calibri" w:hAnsi="Palatino Linotype"/>
          <w:color w:val="000000" w:themeColor="text1"/>
          <w:sz w:val="22"/>
          <w:szCs w:val="22"/>
          <w:lang w:eastAsia="en-US"/>
        </w:rPr>
        <w:lastRenderedPageBreak/>
        <w:t xml:space="preserve">no se hayan ejercido, se debe motivar la respuesta en función de las causas que motiven tal circunstancia. </w:t>
      </w:r>
    </w:p>
    <w:p w14:paraId="6567BA78" w14:textId="77777777" w:rsidR="00FD3851" w:rsidRPr="00FD3851" w:rsidRDefault="00FD3851" w:rsidP="00FD3851">
      <w:pPr>
        <w:spacing w:line="360" w:lineRule="auto"/>
        <w:jc w:val="both"/>
        <w:rPr>
          <w:rFonts w:ascii="Palatino Linotype" w:hAnsi="Palatino Linotype" w:cs="Tahoma"/>
          <w:sz w:val="22"/>
          <w:szCs w:val="22"/>
          <w:lang w:val="es-ES"/>
        </w:rPr>
      </w:pPr>
    </w:p>
    <w:p w14:paraId="5769742B" w14:textId="77777777" w:rsidR="00FD3851" w:rsidRPr="00FD3851" w:rsidRDefault="00FD3851" w:rsidP="00FD3851">
      <w:pPr>
        <w:spacing w:line="360" w:lineRule="auto"/>
        <w:jc w:val="both"/>
        <w:rPr>
          <w:rFonts w:ascii="Palatino Linotype" w:hAnsi="Palatino Linotype" w:cs="Tahoma"/>
          <w:bCs/>
          <w:sz w:val="22"/>
          <w:szCs w:val="22"/>
        </w:rPr>
      </w:pPr>
      <w:r w:rsidRPr="00FD3851">
        <w:rPr>
          <w:rFonts w:ascii="Palatino Linotype" w:hAnsi="Palatino Linotype" w:cs="Tahoma"/>
          <w:sz w:val="22"/>
          <w:szCs w:val="22"/>
          <w:lang w:val="es-ES"/>
        </w:rPr>
        <w:t xml:space="preserve">De la misma manera, </w:t>
      </w:r>
      <w:r w:rsidRPr="00FD3851">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039A8904" w14:textId="77777777" w:rsidR="00FD3851" w:rsidRPr="00FD3851" w:rsidRDefault="00FD3851" w:rsidP="00FD3851">
      <w:pPr>
        <w:spacing w:line="360" w:lineRule="auto"/>
        <w:jc w:val="both"/>
        <w:rPr>
          <w:rFonts w:ascii="Palatino Linotype" w:hAnsi="Palatino Linotype" w:cs="Tahoma"/>
          <w:sz w:val="22"/>
          <w:szCs w:val="22"/>
          <w:lang w:val="es-ES"/>
        </w:rPr>
      </w:pPr>
    </w:p>
    <w:p w14:paraId="5A2E6E0C" w14:textId="35761B5C" w:rsidR="00FD3851" w:rsidRPr="00FD3851" w:rsidRDefault="00FD3851" w:rsidP="00FD3851">
      <w:pPr>
        <w:spacing w:line="360" w:lineRule="auto"/>
        <w:jc w:val="both"/>
        <w:rPr>
          <w:rFonts w:ascii="Palatino Linotype" w:hAnsi="Palatino Linotype" w:cs="Tahoma"/>
          <w:color w:val="000000" w:themeColor="text1"/>
          <w:sz w:val="22"/>
          <w:szCs w:val="22"/>
        </w:rPr>
      </w:pPr>
      <w:r w:rsidRPr="00FD3851">
        <w:rPr>
          <w:rFonts w:ascii="Palatino Linotype" w:hAnsi="Palatino Linotype" w:cs="Tahoma"/>
          <w:color w:val="000000" w:themeColor="text1"/>
          <w:sz w:val="22"/>
          <w:szCs w:val="22"/>
        </w:rPr>
        <w:t xml:space="preserve">Al respecto, dicho criterio aplica al caso en concreto, ya que, no se localizó algún indicio de que el </w:t>
      </w:r>
      <w:r w:rsidR="002B7584">
        <w:rPr>
          <w:rFonts w:ascii="Palatino Linotype" w:hAnsi="Palatino Linotype" w:cs="Tahoma"/>
          <w:color w:val="000000" w:themeColor="text1"/>
          <w:sz w:val="22"/>
          <w:szCs w:val="22"/>
        </w:rPr>
        <w:t>proveedor haya entregado la factura a la Dirección de Administración, ni que se hayan erogado recursos públicos a dicha persona; por lo que</w:t>
      </w:r>
      <w:r w:rsidRPr="00FD3851">
        <w:rPr>
          <w:rFonts w:ascii="Palatino Linotype" w:eastAsia="Calibri" w:hAnsi="Palatino Linotype" w:cs="Tahoma"/>
          <w:iCs/>
          <w:sz w:val="22"/>
          <w:szCs w:val="22"/>
          <w:lang w:eastAsia="es-ES_tradnl"/>
        </w:rPr>
        <w:t xml:space="preserve">, se considera que desde respuesta el Sujeto Obligado precisó las razones por las cuales no contaba con la información peticionada, en términos del artículo 19, párrafo segundo de la Ley de Transparencia y Acceso a la Información Pública del Estado de México y Municipios, por lo que el agravio deviene de </w:t>
      </w:r>
      <w:r w:rsidRPr="00FD3851">
        <w:rPr>
          <w:rFonts w:ascii="Palatino Linotype" w:eastAsia="Calibri" w:hAnsi="Palatino Linotype" w:cs="Tahoma"/>
          <w:b/>
          <w:bCs/>
          <w:iCs/>
          <w:sz w:val="22"/>
          <w:szCs w:val="22"/>
          <w:lang w:eastAsia="es-ES_tradnl"/>
        </w:rPr>
        <w:t>INFUNDADO.</w:t>
      </w:r>
    </w:p>
    <w:p w14:paraId="0C896298" w14:textId="0D982422" w:rsidR="00FD3851" w:rsidRDefault="00FD3851" w:rsidP="00D20825">
      <w:pPr>
        <w:spacing w:line="360" w:lineRule="auto"/>
        <w:jc w:val="both"/>
        <w:rPr>
          <w:rFonts w:ascii="Palatino Linotype" w:eastAsia="Calibri" w:hAnsi="Palatino Linotype" w:cs="Tahoma"/>
          <w:bCs/>
          <w:iCs/>
          <w:color w:val="000000" w:themeColor="text1"/>
          <w:sz w:val="22"/>
          <w:szCs w:val="22"/>
          <w:lang w:val="es-ES_tradnl" w:eastAsia="en-US"/>
        </w:rPr>
      </w:pPr>
    </w:p>
    <w:p w14:paraId="30F85893" w14:textId="77777777" w:rsidR="00C42296" w:rsidRPr="00C42296" w:rsidRDefault="00C42296" w:rsidP="00D20825">
      <w:pPr>
        <w:widowControl w:val="0"/>
        <w:spacing w:line="360" w:lineRule="auto"/>
        <w:jc w:val="both"/>
        <w:rPr>
          <w:rFonts w:ascii="Palatino Linotype" w:eastAsia="Calibri" w:hAnsi="Palatino Linotype" w:cs="Tahoma"/>
          <w:color w:val="000000" w:themeColor="text1"/>
          <w:sz w:val="22"/>
          <w:szCs w:val="22"/>
          <w:lang w:eastAsia="en-US"/>
        </w:rPr>
      </w:pPr>
      <w:r w:rsidRPr="00C42296">
        <w:rPr>
          <w:rFonts w:ascii="Palatino Linotype" w:eastAsia="Calibri" w:hAnsi="Palatino Linotype"/>
          <w:b/>
          <w:color w:val="000000"/>
          <w:sz w:val="22"/>
          <w:szCs w:val="22"/>
          <w:lang w:val="es-ES" w:eastAsia="en-US"/>
        </w:rPr>
        <w:t>SEXTO. Decisión.</w:t>
      </w:r>
    </w:p>
    <w:p w14:paraId="426AC5FC" w14:textId="77777777" w:rsidR="00C42296" w:rsidRPr="00C42296" w:rsidRDefault="00C42296" w:rsidP="00D20825">
      <w:pPr>
        <w:widowControl w:val="0"/>
        <w:spacing w:line="360" w:lineRule="auto"/>
        <w:jc w:val="both"/>
        <w:rPr>
          <w:rFonts w:ascii="Palatino Linotype" w:eastAsia="Calibri" w:hAnsi="Palatino Linotype" w:cs="Tahoma"/>
          <w:color w:val="000000" w:themeColor="text1"/>
          <w:sz w:val="22"/>
          <w:szCs w:val="22"/>
          <w:lang w:eastAsia="en-US"/>
        </w:rPr>
      </w:pPr>
    </w:p>
    <w:p w14:paraId="3DD663BB" w14:textId="77777777" w:rsidR="007836CE" w:rsidRPr="007836CE" w:rsidRDefault="007836CE" w:rsidP="007836CE">
      <w:pPr>
        <w:spacing w:line="360" w:lineRule="auto"/>
        <w:jc w:val="both"/>
        <w:rPr>
          <w:rFonts w:ascii="Palatino Linotype" w:eastAsia="Calibri" w:hAnsi="Palatino Linotype" w:cs="Tahoma"/>
          <w:bCs/>
          <w:iCs/>
          <w:color w:val="000000" w:themeColor="text1"/>
          <w:sz w:val="22"/>
          <w:szCs w:val="22"/>
          <w:lang w:eastAsia="en-US"/>
        </w:rPr>
      </w:pPr>
      <w:r w:rsidRPr="007836CE">
        <w:rPr>
          <w:rFonts w:ascii="Palatino Linotype" w:eastAsia="Calibri" w:hAnsi="Palatino Linotype" w:cs="Tahoma"/>
          <w:bCs/>
          <w:iCs/>
          <w:color w:val="000000" w:themeColor="text1"/>
          <w:sz w:val="22"/>
          <w:szCs w:val="22"/>
          <w:lang w:eastAsia="en-US"/>
        </w:rPr>
        <w:t xml:space="preserve">Con fundamento en el artículo 186, fracción II, de la Ley de Transparencia y Acceso a la Información Pública del Estado de México y Municipios, este Instituto considera procedente </w:t>
      </w:r>
      <w:r w:rsidRPr="007836CE">
        <w:rPr>
          <w:rFonts w:ascii="Palatino Linotype" w:eastAsia="Calibri" w:hAnsi="Palatino Linotype" w:cs="Tahoma"/>
          <w:b/>
          <w:iCs/>
          <w:color w:val="000000" w:themeColor="text1"/>
          <w:sz w:val="22"/>
          <w:szCs w:val="22"/>
          <w:lang w:eastAsia="en-US"/>
        </w:rPr>
        <w:t>CONFIRMAR</w:t>
      </w:r>
      <w:r w:rsidRPr="007836CE">
        <w:rPr>
          <w:rFonts w:ascii="Palatino Linotype" w:eastAsia="Calibri" w:hAnsi="Palatino Linotype" w:cs="Tahoma"/>
          <w:bCs/>
          <w:iCs/>
          <w:color w:val="000000" w:themeColor="text1"/>
          <w:sz w:val="22"/>
          <w:szCs w:val="22"/>
          <w:lang w:eastAsia="en-US"/>
        </w:rPr>
        <w:t xml:space="preserve"> la respuesta otorgada por el Sujeto Obligado. </w:t>
      </w:r>
    </w:p>
    <w:p w14:paraId="5F22FD3F" w14:textId="77777777" w:rsidR="007836CE" w:rsidRDefault="007836CE" w:rsidP="00D20825">
      <w:pPr>
        <w:spacing w:line="360" w:lineRule="auto"/>
        <w:jc w:val="both"/>
        <w:rPr>
          <w:rFonts w:ascii="Palatino Linotype" w:eastAsia="Calibri" w:hAnsi="Palatino Linotype"/>
          <w:b/>
          <w:bCs/>
          <w:color w:val="000000" w:themeColor="text1"/>
          <w:sz w:val="22"/>
          <w:szCs w:val="22"/>
          <w:lang w:eastAsia="en-US"/>
        </w:rPr>
      </w:pPr>
    </w:p>
    <w:p w14:paraId="5D2380A0" w14:textId="77777777" w:rsidR="007836CE" w:rsidRPr="007836CE" w:rsidRDefault="007836CE" w:rsidP="007836CE">
      <w:pPr>
        <w:spacing w:line="360" w:lineRule="auto"/>
        <w:jc w:val="both"/>
        <w:rPr>
          <w:rFonts w:ascii="Palatino Linotype" w:eastAsia="Calibri" w:hAnsi="Palatino Linotype" w:cs="Tahoma"/>
          <w:b/>
          <w:iCs/>
          <w:color w:val="000000" w:themeColor="text1"/>
          <w:sz w:val="22"/>
          <w:szCs w:val="22"/>
          <w:lang w:eastAsia="en-US"/>
        </w:rPr>
      </w:pPr>
      <w:r w:rsidRPr="007836CE">
        <w:rPr>
          <w:rFonts w:ascii="Palatino Linotype" w:eastAsia="Calibri" w:hAnsi="Palatino Linotype" w:cs="Tahoma"/>
          <w:b/>
          <w:iCs/>
          <w:color w:val="000000" w:themeColor="text1"/>
          <w:sz w:val="22"/>
          <w:szCs w:val="22"/>
          <w:lang w:eastAsia="en-US"/>
        </w:rPr>
        <w:t>Términos de la Resolución para conocimiento del Particular.</w:t>
      </w:r>
    </w:p>
    <w:p w14:paraId="360A6785" w14:textId="77777777" w:rsidR="007836CE" w:rsidRPr="007836CE" w:rsidRDefault="007836CE" w:rsidP="007836CE">
      <w:pPr>
        <w:spacing w:line="360" w:lineRule="auto"/>
        <w:jc w:val="both"/>
        <w:rPr>
          <w:rFonts w:ascii="Palatino Linotype" w:eastAsia="Calibri" w:hAnsi="Palatino Linotype" w:cs="Tahoma"/>
          <w:bCs/>
          <w:iCs/>
          <w:color w:val="000000" w:themeColor="text1"/>
          <w:sz w:val="22"/>
          <w:szCs w:val="22"/>
          <w:lang w:eastAsia="en-US"/>
        </w:rPr>
      </w:pPr>
    </w:p>
    <w:p w14:paraId="48323AA6" w14:textId="41604454" w:rsidR="007836CE" w:rsidRPr="007836CE" w:rsidRDefault="007836CE" w:rsidP="007836CE">
      <w:pPr>
        <w:spacing w:line="360" w:lineRule="auto"/>
        <w:jc w:val="both"/>
        <w:rPr>
          <w:rFonts w:ascii="Palatino Linotype" w:eastAsia="Calibri" w:hAnsi="Palatino Linotype" w:cs="Tahoma"/>
          <w:b/>
          <w:color w:val="000000" w:themeColor="text1"/>
          <w:sz w:val="22"/>
          <w:szCs w:val="22"/>
          <w:lang w:val="es-ES" w:eastAsia="en-US"/>
        </w:rPr>
      </w:pPr>
      <w:r w:rsidRPr="007836CE">
        <w:rPr>
          <w:rFonts w:ascii="Palatino Linotype" w:eastAsia="Calibri" w:hAnsi="Palatino Linotype" w:cs="Tahoma"/>
          <w:bCs/>
          <w:iCs/>
          <w:color w:val="000000" w:themeColor="text1"/>
          <w:sz w:val="22"/>
          <w:szCs w:val="22"/>
          <w:lang w:eastAsia="en-US"/>
        </w:rPr>
        <w:t xml:space="preserve">Se le hace del conocimiento al Particular, que, en el presente caso, no se le da la razón pues el Sujeto Obligado, desde respuesta le señaló las razones por las cuales no contaba con la </w:t>
      </w:r>
      <w:r w:rsidRPr="007836CE">
        <w:rPr>
          <w:rFonts w:ascii="Palatino Linotype" w:eastAsia="Calibri" w:hAnsi="Palatino Linotype" w:cs="Tahoma"/>
          <w:bCs/>
          <w:iCs/>
          <w:color w:val="000000" w:themeColor="text1"/>
          <w:sz w:val="22"/>
          <w:szCs w:val="22"/>
          <w:lang w:eastAsia="en-US"/>
        </w:rPr>
        <w:lastRenderedPageBreak/>
        <w:t>información, a saber, que</w:t>
      </w:r>
      <w:r w:rsidR="002F579F">
        <w:rPr>
          <w:rFonts w:ascii="Palatino Linotype" w:eastAsia="Calibri" w:hAnsi="Palatino Linotype" w:cs="Tahoma"/>
          <w:bCs/>
          <w:iCs/>
          <w:color w:val="000000" w:themeColor="text1"/>
          <w:sz w:val="22"/>
          <w:szCs w:val="22"/>
          <w:lang w:eastAsia="en-US"/>
        </w:rPr>
        <w:t xml:space="preserve"> a la fecha de respuesta no</w:t>
      </w:r>
      <w:r w:rsidRPr="007836CE">
        <w:rPr>
          <w:rFonts w:ascii="Palatino Linotype" w:eastAsia="Calibri" w:hAnsi="Palatino Linotype" w:cs="Tahoma"/>
          <w:bCs/>
          <w:iCs/>
          <w:color w:val="000000" w:themeColor="text1"/>
          <w:sz w:val="22"/>
          <w:szCs w:val="22"/>
          <w:lang w:eastAsia="en-US"/>
        </w:rPr>
        <w:t xml:space="preserve"> </w:t>
      </w:r>
      <w:r>
        <w:rPr>
          <w:rFonts w:ascii="Palatino Linotype" w:eastAsia="Calibri" w:hAnsi="Palatino Linotype" w:cs="Tahoma"/>
          <w:bCs/>
          <w:iCs/>
          <w:color w:val="000000" w:themeColor="text1"/>
          <w:sz w:val="22"/>
          <w:szCs w:val="22"/>
          <w:lang w:eastAsia="en-US"/>
        </w:rPr>
        <w:t>le había entregado la factura el proveedor</w:t>
      </w:r>
      <w:r w:rsidRPr="007836CE">
        <w:rPr>
          <w:rFonts w:ascii="Palatino Linotype" w:eastAsia="Calibri" w:hAnsi="Palatino Linotype" w:cs="Tahoma"/>
          <w:bCs/>
          <w:iCs/>
          <w:color w:val="000000" w:themeColor="text1"/>
          <w:sz w:val="22"/>
          <w:szCs w:val="22"/>
          <w:lang w:eastAsia="en-US"/>
        </w:rPr>
        <w:t>; Finalmente, la labor del Instituto, es apoyar a la población a acceder a la información pública y garantizar la protección de los datos personales.</w:t>
      </w:r>
    </w:p>
    <w:p w14:paraId="197E0776" w14:textId="77777777" w:rsidR="00C42296" w:rsidRPr="00C42296" w:rsidRDefault="00C42296" w:rsidP="00D20825">
      <w:pPr>
        <w:spacing w:line="360" w:lineRule="auto"/>
        <w:jc w:val="both"/>
        <w:rPr>
          <w:rFonts w:ascii="Palatino Linotype" w:eastAsia="Calibri" w:hAnsi="Palatino Linotype" w:cs="Tahoma"/>
          <w:bCs/>
          <w:iCs/>
          <w:color w:val="000000" w:themeColor="text1"/>
          <w:sz w:val="22"/>
          <w:szCs w:val="22"/>
          <w:lang w:eastAsia="en-US"/>
        </w:rPr>
      </w:pPr>
    </w:p>
    <w:p w14:paraId="12F0F7D6" w14:textId="77777777" w:rsidR="00C42296" w:rsidRPr="00C42296" w:rsidRDefault="00C42296" w:rsidP="00D20825">
      <w:pPr>
        <w:spacing w:line="360" w:lineRule="auto"/>
        <w:jc w:val="both"/>
        <w:rPr>
          <w:rFonts w:ascii="Palatino Linotype" w:eastAsia="Calibri" w:hAnsi="Palatino Linotype"/>
          <w:bCs/>
          <w:iCs/>
          <w:color w:val="000000"/>
          <w:sz w:val="22"/>
          <w:szCs w:val="22"/>
          <w:lang w:eastAsia="en-US"/>
        </w:rPr>
      </w:pPr>
      <w:r w:rsidRPr="00C42296">
        <w:rPr>
          <w:rFonts w:ascii="Palatino Linotype" w:eastAsia="Calibri" w:hAnsi="Palatino Linotype"/>
          <w:bCs/>
          <w:iCs/>
          <w:color w:val="000000"/>
          <w:sz w:val="22"/>
          <w:szCs w:val="22"/>
          <w:lang w:eastAsia="en-US"/>
        </w:rPr>
        <w:t>Por lo expuesto y fundado, este Pleno:</w:t>
      </w:r>
    </w:p>
    <w:p w14:paraId="41608889" w14:textId="77777777" w:rsidR="00C42296" w:rsidRPr="00C42296" w:rsidRDefault="00C42296" w:rsidP="00D20825">
      <w:pPr>
        <w:spacing w:line="360" w:lineRule="auto"/>
        <w:jc w:val="center"/>
        <w:rPr>
          <w:rFonts w:ascii="Palatino Linotype" w:eastAsia="Calibri" w:hAnsi="Palatino Linotype" w:cs="Tahoma"/>
          <w:b/>
          <w:bCs/>
          <w:color w:val="000000" w:themeColor="text1"/>
          <w:sz w:val="22"/>
          <w:szCs w:val="22"/>
          <w:lang w:eastAsia="en-US"/>
        </w:rPr>
      </w:pPr>
      <w:r w:rsidRPr="00C42296">
        <w:rPr>
          <w:rFonts w:ascii="Palatino Linotype" w:eastAsia="Calibri" w:hAnsi="Palatino Linotype" w:cs="Tahoma"/>
          <w:b/>
          <w:bCs/>
          <w:color w:val="000000" w:themeColor="text1"/>
          <w:sz w:val="22"/>
          <w:szCs w:val="22"/>
          <w:lang w:eastAsia="en-US"/>
        </w:rPr>
        <w:t xml:space="preserve">R E S U E L V E: </w:t>
      </w:r>
    </w:p>
    <w:p w14:paraId="2F62C7A9" w14:textId="77777777" w:rsidR="00C42296" w:rsidRPr="00C42296" w:rsidRDefault="00C42296" w:rsidP="00D20825">
      <w:pPr>
        <w:spacing w:line="360" w:lineRule="auto"/>
        <w:ind w:right="113"/>
        <w:jc w:val="both"/>
        <w:rPr>
          <w:rFonts w:ascii="Palatino Linotype" w:eastAsia="Calibri" w:hAnsi="Palatino Linotype" w:cs="Arial"/>
          <w:b/>
          <w:color w:val="000000" w:themeColor="text1"/>
          <w:sz w:val="22"/>
          <w:szCs w:val="22"/>
          <w:lang w:eastAsia="en-US"/>
        </w:rPr>
      </w:pPr>
    </w:p>
    <w:p w14:paraId="053A4281" w14:textId="2AD3C794" w:rsidR="002F579F" w:rsidRPr="002F579F" w:rsidRDefault="002F579F" w:rsidP="002F579F">
      <w:pPr>
        <w:spacing w:line="360" w:lineRule="auto"/>
        <w:jc w:val="both"/>
        <w:rPr>
          <w:rFonts w:ascii="Palatino Linotype" w:eastAsia="Calibri" w:hAnsi="Palatino Linotype" w:cs="Tahoma"/>
          <w:bCs/>
          <w:iCs/>
          <w:color w:val="000000" w:themeColor="text1"/>
          <w:sz w:val="22"/>
          <w:szCs w:val="22"/>
          <w:lang w:eastAsia="en-US"/>
        </w:rPr>
      </w:pPr>
      <w:r w:rsidRPr="002F579F">
        <w:rPr>
          <w:rFonts w:ascii="Palatino Linotype" w:eastAsia="Calibri" w:hAnsi="Palatino Linotype" w:cs="Tahoma"/>
          <w:b/>
          <w:iCs/>
          <w:color w:val="000000" w:themeColor="text1"/>
          <w:sz w:val="22"/>
          <w:szCs w:val="22"/>
          <w:lang w:eastAsia="en-US"/>
        </w:rPr>
        <w:t>PRIMERO</w:t>
      </w:r>
      <w:r w:rsidRPr="002F579F">
        <w:rPr>
          <w:rFonts w:ascii="Palatino Linotype" w:eastAsia="Calibri" w:hAnsi="Palatino Linotype" w:cs="Tahoma"/>
          <w:bCs/>
          <w:iCs/>
          <w:color w:val="000000" w:themeColor="text1"/>
          <w:sz w:val="22"/>
          <w:szCs w:val="22"/>
          <w:lang w:eastAsia="en-US"/>
        </w:rPr>
        <w:t xml:space="preserve">. Se </w:t>
      </w:r>
      <w:r w:rsidRPr="002F579F">
        <w:rPr>
          <w:rFonts w:ascii="Palatino Linotype" w:eastAsia="Calibri" w:hAnsi="Palatino Linotype" w:cs="Tahoma"/>
          <w:b/>
          <w:iCs/>
          <w:color w:val="000000" w:themeColor="text1"/>
          <w:sz w:val="22"/>
          <w:szCs w:val="22"/>
          <w:lang w:eastAsia="en-US"/>
        </w:rPr>
        <w:t>CONFIRMA</w:t>
      </w:r>
      <w:r w:rsidRPr="002F579F">
        <w:rPr>
          <w:rFonts w:ascii="Palatino Linotype" w:eastAsia="Calibri" w:hAnsi="Palatino Linotype" w:cs="Tahoma"/>
          <w:bCs/>
          <w:iCs/>
          <w:color w:val="000000" w:themeColor="text1"/>
          <w:sz w:val="22"/>
          <w:szCs w:val="22"/>
          <w:lang w:eastAsia="en-US"/>
        </w:rPr>
        <w:t xml:space="preserve"> la respuesta entregada por el Sujeto Obligado a la solicitud de acceso a la información </w:t>
      </w:r>
      <w:r w:rsidRPr="00BB3F07">
        <w:rPr>
          <w:rFonts w:ascii="Palatino Linotype" w:eastAsia="Calibri" w:hAnsi="Palatino Linotype" w:cs="Tahoma"/>
          <w:color w:val="000000" w:themeColor="text1"/>
          <w:sz w:val="22"/>
          <w:szCs w:val="22"/>
          <w:lang w:eastAsia="en-US"/>
        </w:rPr>
        <w:t>00077/ATENCO/IP/2022</w:t>
      </w:r>
      <w:r w:rsidRPr="002F579F">
        <w:rPr>
          <w:rFonts w:ascii="Palatino Linotype" w:eastAsia="Calibri" w:hAnsi="Palatino Linotype" w:cs="Tahoma"/>
          <w:bCs/>
          <w:iCs/>
          <w:color w:val="000000" w:themeColor="text1"/>
          <w:sz w:val="22"/>
          <w:szCs w:val="22"/>
          <w:lang w:eastAsia="en-US"/>
        </w:rPr>
        <w:t xml:space="preserve">, por resultar </w:t>
      </w:r>
      <w:r w:rsidRPr="002F579F">
        <w:rPr>
          <w:rFonts w:ascii="Palatino Linotype" w:eastAsia="Calibri" w:hAnsi="Palatino Linotype" w:cs="Tahoma"/>
          <w:b/>
          <w:iCs/>
          <w:color w:val="000000" w:themeColor="text1"/>
          <w:sz w:val="22"/>
          <w:szCs w:val="22"/>
          <w:lang w:eastAsia="en-US"/>
        </w:rPr>
        <w:t>INFUNDADAS</w:t>
      </w:r>
      <w:r w:rsidRPr="002F579F">
        <w:rPr>
          <w:rFonts w:ascii="Palatino Linotype" w:eastAsia="Calibri" w:hAnsi="Palatino Linotype" w:cs="Tahoma"/>
          <w:bCs/>
          <w:iCs/>
          <w:color w:val="000000" w:themeColor="text1"/>
          <w:sz w:val="22"/>
          <w:szCs w:val="22"/>
          <w:lang w:eastAsia="en-US"/>
        </w:rPr>
        <w:t xml:space="preserve"> las razones o motivos de inconformidad hechos valer por el Recurrente, en términos de los Considerandos </w:t>
      </w:r>
      <w:r w:rsidRPr="002F579F">
        <w:rPr>
          <w:rFonts w:ascii="Palatino Linotype" w:eastAsia="Calibri" w:hAnsi="Palatino Linotype" w:cs="Tahoma"/>
          <w:b/>
          <w:iCs/>
          <w:color w:val="000000" w:themeColor="text1"/>
          <w:sz w:val="22"/>
          <w:szCs w:val="22"/>
          <w:lang w:eastAsia="en-US"/>
        </w:rPr>
        <w:t>QUINTO</w:t>
      </w:r>
      <w:r w:rsidRPr="002F579F">
        <w:rPr>
          <w:rFonts w:ascii="Palatino Linotype" w:eastAsia="Calibri" w:hAnsi="Palatino Linotype" w:cs="Tahoma"/>
          <w:bCs/>
          <w:iCs/>
          <w:color w:val="000000" w:themeColor="text1"/>
          <w:sz w:val="22"/>
          <w:szCs w:val="22"/>
          <w:lang w:eastAsia="en-US"/>
        </w:rPr>
        <w:t xml:space="preserve"> y </w:t>
      </w:r>
      <w:r w:rsidRPr="002F579F">
        <w:rPr>
          <w:rFonts w:ascii="Palatino Linotype" w:eastAsia="Calibri" w:hAnsi="Palatino Linotype" w:cs="Tahoma"/>
          <w:b/>
          <w:iCs/>
          <w:color w:val="000000" w:themeColor="text1"/>
          <w:sz w:val="22"/>
          <w:szCs w:val="22"/>
          <w:lang w:eastAsia="en-US"/>
        </w:rPr>
        <w:t xml:space="preserve">SEXTO </w:t>
      </w:r>
      <w:r w:rsidRPr="002F579F">
        <w:rPr>
          <w:rFonts w:ascii="Palatino Linotype" w:eastAsia="Calibri" w:hAnsi="Palatino Linotype" w:cs="Tahoma"/>
          <w:bCs/>
          <w:iCs/>
          <w:color w:val="000000" w:themeColor="text1"/>
          <w:sz w:val="22"/>
          <w:szCs w:val="22"/>
          <w:lang w:eastAsia="en-US"/>
        </w:rPr>
        <w:t>de esta Resolución.</w:t>
      </w:r>
    </w:p>
    <w:p w14:paraId="2716002B" w14:textId="77777777" w:rsidR="002F579F" w:rsidRPr="002F579F" w:rsidRDefault="002F579F" w:rsidP="002F579F">
      <w:pPr>
        <w:spacing w:line="360" w:lineRule="auto"/>
        <w:jc w:val="both"/>
        <w:rPr>
          <w:rFonts w:ascii="Palatino Linotype" w:eastAsia="Calibri" w:hAnsi="Palatino Linotype" w:cs="Tahoma"/>
          <w:bCs/>
          <w:iCs/>
          <w:color w:val="000000" w:themeColor="text1"/>
          <w:sz w:val="22"/>
          <w:szCs w:val="22"/>
          <w:lang w:eastAsia="en-US"/>
        </w:rPr>
      </w:pPr>
    </w:p>
    <w:p w14:paraId="12113908" w14:textId="77777777" w:rsidR="002F579F" w:rsidRPr="002F579F" w:rsidRDefault="002F579F" w:rsidP="002F579F">
      <w:pPr>
        <w:spacing w:line="360" w:lineRule="auto"/>
        <w:jc w:val="both"/>
        <w:rPr>
          <w:rFonts w:ascii="Palatino Linotype" w:eastAsia="Calibri" w:hAnsi="Palatino Linotype" w:cs="Tahoma"/>
          <w:bCs/>
          <w:iCs/>
          <w:color w:val="000000" w:themeColor="text1"/>
          <w:sz w:val="22"/>
          <w:szCs w:val="22"/>
          <w:lang w:eastAsia="en-US"/>
        </w:rPr>
      </w:pPr>
      <w:r w:rsidRPr="002F579F">
        <w:rPr>
          <w:rFonts w:ascii="Palatino Linotype" w:eastAsia="Calibri" w:hAnsi="Palatino Linotype" w:cs="Tahoma"/>
          <w:b/>
          <w:iCs/>
          <w:color w:val="000000" w:themeColor="text1"/>
          <w:sz w:val="22"/>
          <w:szCs w:val="22"/>
          <w:lang w:eastAsia="en-US"/>
        </w:rPr>
        <w:t>SEGUNDO. NOTIFÍQUESE</w:t>
      </w:r>
      <w:r w:rsidRPr="002F579F">
        <w:rPr>
          <w:rFonts w:ascii="Palatino Linotype" w:eastAsia="Calibri" w:hAnsi="Palatino Linotype" w:cs="Tahoma"/>
          <w:bCs/>
          <w:iCs/>
          <w:color w:val="000000" w:themeColor="text1"/>
          <w:sz w:val="22"/>
          <w:szCs w:val="22"/>
          <w:lang w:eastAsia="en-US"/>
        </w:rPr>
        <w:t xml:space="preserve"> la presente resolución al Titular de la Unidad de Transparencia del Sujeto Obligado.</w:t>
      </w:r>
    </w:p>
    <w:p w14:paraId="39C59F5B" w14:textId="77777777" w:rsidR="002F579F" w:rsidRPr="002F579F" w:rsidRDefault="002F579F" w:rsidP="002F579F">
      <w:pPr>
        <w:spacing w:line="360" w:lineRule="auto"/>
        <w:jc w:val="both"/>
        <w:rPr>
          <w:rFonts w:ascii="Palatino Linotype" w:eastAsia="Calibri" w:hAnsi="Palatino Linotype" w:cs="Tahoma"/>
          <w:bCs/>
          <w:iCs/>
          <w:color w:val="000000" w:themeColor="text1"/>
          <w:sz w:val="22"/>
          <w:szCs w:val="22"/>
          <w:lang w:eastAsia="en-US"/>
        </w:rPr>
      </w:pPr>
    </w:p>
    <w:p w14:paraId="6D7F296B" w14:textId="77777777" w:rsidR="002F579F" w:rsidRPr="002F579F" w:rsidRDefault="002F579F" w:rsidP="002F579F">
      <w:pPr>
        <w:spacing w:line="360" w:lineRule="auto"/>
        <w:jc w:val="both"/>
        <w:rPr>
          <w:rFonts w:ascii="Palatino Linotype" w:eastAsia="Calibri" w:hAnsi="Palatino Linotype" w:cs="Tahoma"/>
          <w:bCs/>
          <w:iCs/>
          <w:color w:val="000000" w:themeColor="text1"/>
          <w:sz w:val="22"/>
          <w:szCs w:val="22"/>
          <w:lang w:eastAsia="en-US"/>
        </w:rPr>
      </w:pPr>
      <w:r w:rsidRPr="002F579F">
        <w:rPr>
          <w:rFonts w:ascii="Palatino Linotype" w:eastAsia="Calibri" w:hAnsi="Palatino Linotype" w:cs="Tahoma"/>
          <w:b/>
          <w:iCs/>
          <w:color w:val="000000" w:themeColor="text1"/>
          <w:sz w:val="22"/>
          <w:szCs w:val="22"/>
          <w:lang w:eastAsia="en-US"/>
        </w:rPr>
        <w:t>TERCERO. NOTIFÍQUESE</w:t>
      </w:r>
      <w:r w:rsidRPr="002F579F">
        <w:rPr>
          <w:rFonts w:ascii="Palatino Linotype" w:eastAsia="Calibri" w:hAnsi="Palatino Linotype" w:cs="Tahoma"/>
          <w:bCs/>
          <w:iCs/>
          <w:color w:val="000000" w:themeColor="text1"/>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E775CEC" w14:textId="77777777" w:rsidR="00C42296" w:rsidRPr="00C42296" w:rsidRDefault="00C42296" w:rsidP="00D20825">
      <w:pPr>
        <w:spacing w:line="360" w:lineRule="auto"/>
        <w:jc w:val="both"/>
        <w:rPr>
          <w:rFonts w:ascii="Palatino Linotype" w:eastAsia="Calibri" w:hAnsi="Palatino Linotype" w:cs="Tahoma"/>
          <w:color w:val="000000" w:themeColor="text1"/>
          <w:lang w:eastAsia="en-US"/>
        </w:rPr>
      </w:pPr>
    </w:p>
    <w:p w14:paraId="4611A052" w14:textId="4B59C90B" w:rsidR="00FA6C82" w:rsidRDefault="00C42296" w:rsidP="00FA6C82">
      <w:pPr>
        <w:spacing w:line="360" w:lineRule="auto"/>
        <w:contextualSpacing/>
        <w:jc w:val="both"/>
        <w:rPr>
          <w:rFonts w:ascii="Palatino Linotype" w:eastAsia="Calibri" w:hAnsi="Palatino Linotype" w:cs="Tahoma"/>
          <w:sz w:val="22"/>
          <w:szCs w:val="22"/>
          <w:lang w:val="es-ES" w:eastAsia="es-ES_tradnl"/>
        </w:rPr>
      </w:pPr>
      <w:r w:rsidRPr="00C42296">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DB7765">
        <w:rPr>
          <w:rFonts w:ascii="Palatino Linotype" w:eastAsia="Calibri" w:hAnsi="Palatino Linotype" w:cs="Tahoma"/>
          <w:sz w:val="22"/>
          <w:szCs w:val="22"/>
          <w:lang w:val="es-ES" w:eastAsia="es-ES_tradnl"/>
        </w:rPr>
        <w:t>CUARTA</w:t>
      </w:r>
      <w:r w:rsidRPr="00C42296">
        <w:rPr>
          <w:rFonts w:ascii="Palatino Linotype" w:eastAsia="Calibri" w:hAnsi="Palatino Linotype" w:cs="Tahoma"/>
          <w:sz w:val="22"/>
          <w:szCs w:val="22"/>
          <w:lang w:val="es-ES" w:eastAsia="es-ES_tradnl"/>
        </w:rPr>
        <w:t xml:space="preserve"> SESIÓN ORDINARIA, </w:t>
      </w:r>
      <w:r w:rsidR="00DB7765">
        <w:rPr>
          <w:rFonts w:ascii="Palatino Linotype" w:eastAsia="Calibri" w:hAnsi="Palatino Linotype" w:cs="Tahoma"/>
          <w:sz w:val="22"/>
          <w:szCs w:val="22"/>
          <w:lang w:val="es-ES" w:eastAsia="es-ES_tradnl"/>
        </w:rPr>
        <w:t>CELEBRADA VEINTE</w:t>
      </w:r>
      <w:r w:rsidRPr="00C42296">
        <w:rPr>
          <w:rFonts w:ascii="Palatino Linotype" w:eastAsia="Calibri" w:hAnsi="Palatino Linotype" w:cs="Tahoma"/>
          <w:sz w:val="22"/>
          <w:szCs w:val="22"/>
          <w:lang w:val="es-ES" w:eastAsia="es-ES_tradnl"/>
        </w:rPr>
        <w:t xml:space="preserve">  DE ABRIL DE DOS MIL VEINTIDÓS, ANTE EL SECRETARIO TÉCNICO DEL PLENO, ALEXIS TAPIA RAMÍREZ.</w:t>
      </w:r>
      <w:r w:rsidR="00FA6C82">
        <w:rPr>
          <w:rFonts w:ascii="Palatino Linotype" w:eastAsia="Calibri" w:hAnsi="Palatino Linotype" w:cs="Tahoma"/>
          <w:sz w:val="22"/>
          <w:szCs w:val="22"/>
          <w:lang w:val="es-ES" w:eastAsia="es-ES_tradnl"/>
        </w:rPr>
        <w:br w:type="page"/>
      </w:r>
    </w:p>
    <w:p w14:paraId="13FA8E52" w14:textId="77777777" w:rsidR="00C42296" w:rsidRPr="00FA6C82" w:rsidRDefault="00C42296" w:rsidP="00FA6C82">
      <w:pPr>
        <w:spacing w:line="360" w:lineRule="auto"/>
        <w:contextualSpacing/>
        <w:jc w:val="both"/>
        <w:rPr>
          <w:rFonts w:ascii="Palatino Linotype" w:eastAsia="Calibri" w:hAnsi="Palatino Linotype" w:cs="Tahoma"/>
          <w:sz w:val="22"/>
          <w:szCs w:val="22"/>
          <w:lang w:val="es-ES" w:eastAsia="es-ES_tradnl"/>
        </w:rPr>
      </w:pPr>
    </w:p>
    <w:sectPr w:rsidR="00C42296" w:rsidRPr="00FA6C82" w:rsidSect="005E68AA">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9A66" w14:textId="77777777" w:rsidR="00F3614D" w:rsidRDefault="00F3614D" w:rsidP="00FC7A26">
      <w:r>
        <w:separator/>
      </w:r>
    </w:p>
  </w:endnote>
  <w:endnote w:type="continuationSeparator" w:id="0">
    <w:p w14:paraId="66D23C54" w14:textId="77777777" w:rsidR="00F3614D" w:rsidRDefault="00F3614D" w:rsidP="00FC7A26">
      <w:r>
        <w:continuationSeparator/>
      </w:r>
    </w:p>
  </w:endnote>
  <w:endnote w:type="continuationNotice" w:id="1">
    <w:p w14:paraId="740C8A69" w14:textId="77777777" w:rsidR="00F3614D" w:rsidRDefault="00F36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5E68AA" w:rsidRPr="00C13895" w:rsidRDefault="005E68AA">
            <w:pPr>
              <w:pStyle w:val="Piedepgina"/>
              <w:jc w:val="right"/>
              <w:rPr>
                <w:sz w:val="26"/>
                <w:szCs w:val="26"/>
              </w:rPr>
            </w:pPr>
          </w:p>
          <w:p w14:paraId="5BE01B4F" w14:textId="285C4698" w:rsidR="005E68AA"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463D">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463D">
              <w:rPr>
                <w:b/>
                <w:bCs/>
                <w:noProof/>
              </w:rPr>
              <w:t>23</w:t>
            </w:r>
            <w:r>
              <w:rPr>
                <w:b/>
                <w:bCs/>
                <w:sz w:val="24"/>
                <w:szCs w:val="24"/>
              </w:rPr>
              <w:fldChar w:fldCharType="end"/>
            </w:r>
          </w:p>
        </w:sdtContent>
      </w:sdt>
    </w:sdtContent>
  </w:sdt>
  <w:p w14:paraId="3F8493FE" w14:textId="77777777" w:rsidR="005E68AA" w:rsidRDefault="005E68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5E68AA" w:rsidRDefault="005E68AA">
            <w:pPr>
              <w:pStyle w:val="Piedepgina"/>
              <w:jc w:val="right"/>
            </w:pPr>
          </w:p>
          <w:p w14:paraId="73795115" w14:textId="77777777" w:rsidR="005E68AA" w:rsidRDefault="005E68AA">
            <w:pPr>
              <w:pStyle w:val="Piedepgina"/>
              <w:jc w:val="right"/>
            </w:pPr>
          </w:p>
          <w:p w14:paraId="102883EC" w14:textId="77777777" w:rsidR="005E68AA" w:rsidRDefault="005E68AA">
            <w:pPr>
              <w:pStyle w:val="Piedepgina"/>
              <w:jc w:val="right"/>
            </w:pPr>
          </w:p>
          <w:p w14:paraId="7D59C0C8" w14:textId="2F8841EF" w:rsidR="005E68AA"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463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463D">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943E" w14:textId="77777777" w:rsidR="00F3614D" w:rsidRDefault="00F3614D" w:rsidP="00FC7A26">
      <w:r>
        <w:separator/>
      </w:r>
    </w:p>
  </w:footnote>
  <w:footnote w:type="continuationSeparator" w:id="0">
    <w:p w14:paraId="0D49BFC7" w14:textId="77777777" w:rsidR="00F3614D" w:rsidRDefault="00F3614D" w:rsidP="00FC7A26">
      <w:r>
        <w:continuationSeparator/>
      </w:r>
    </w:p>
  </w:footnote>
  <w:footnote w:type="continuationNotice" w:id="1">
    <w:p w14:paraId="2BDFD842" w14:textId="77777777" w:rsidR="00F3614D" w:rsidRDefault="00F36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5E68AA" w:rsidRDefault="00FA6C82">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8240;mso-wrap-edited:f;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5E68AA" w:rsidRPr="009E6858" w:rsidRDefault="00FA6C82" w:rsidP="005E68AA">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8.45pt;margin-top:-124pt;width:663.5pt;height:12in;z-index:-251658239;mso-wrap-edited:f;mso-position-horizontal-relative:margin;mso-position-vertical-relative:margin"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5E68AA" w:rsidRPr="005C106F" w14:paraId="54DC5BBB" w14:textId="77777777" w:rsidTr="00AF6ADC">
      <w:trPr>
        <w:trHeight w:val="70"/>
      </w:trPr>
      <w:tc>
        <w:tcPr>
          <w:tcW w:w="2552" w:type="dxa"/>
          <w:shd w:val="clear" w:color="auto" w:fill="auto"/>
        </w:tcPr>
        <w:p w14:paraId="7390C447" w14:textId="77777777" w:rsidR="005E68AA" w:rsidRPr="005C106F" w:rsidRDefault="005E68AA" w:rsidP="005E68AA">
          <w:pPr>
            <w:tabs>
              <w:tab w:val="right" w:pos="4273"/>
            </w:tabs>
            <w:rPr>
              <w:rFonts w:ascii="Garamond" w:eastAsia="Calibri" w:hAnsi="Garamond"/>
              <w:sz w:val="16"/>
              <w:szCs w:val="16"/>
            </w:rPr>
          </w:pPr>
        </w:p>
      </w:tc>
      <w:tc>
        <w:tcPr>
          <w:tcW w:w="7193" w:type="dxa"/>
          <w:shd w:val="clear" w:color="auto" w:fill="auto"/>
        </w:tcPr>
        <w:tbl>
          <w:tblPr>
            <w:tblStyle w:val="Tablaconcuadrcula"/>
            <w:tblW w:w="6379"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3971"/>
          </w:tblGrid>
          <w:tr w:rsidR="005E68AA" w14:paraId="19911F35" w14:textId="77777777" w:rsidTr="00AE346F">
            <w:trPr>
              <w:trHeight w:val="128"/>
            </w:trPr>
            <w:tc>
              <w:tcPr>
                <w:tcW w:w="2408" w:type="dxa"/>
                <w:vAlign w:val="bottom"/>
              </w:tcPr>
              <w:p w14:paraId="13C6DB98" w14:textId="77777777" w:rsidR="005E68AA" w:rsidRPr="008B41A2" w:rsidRDefault="00BF14ED" w:rsidP="005E68AA">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3971" w:type="dxa"/>
              </w:tcPr>
              <w:p w14:paraId="79E321B5" w14:textId="21BFC6AC" w:rsidR="005E68AA" w:rsidRPr="00651A13" w:rsidRDefault="002B5406" w:rsidP="00B43BFA">
                <w:pPr>
                  <w:tabs>
                    <w:tab w:val="right" w:pos="8838"/>
                  </w:tabs>
                  <w:ind w:left="-28" w:right="683"/>
                  <w:rPr>
                    <w:rFonts w:ascii="Palatino Linotype" w:eastAsia="Calibri" w:hAnsi="Palatino Linotype" w:cs="Tahoma"/>
                    <w:sz w:val="22"/>
                    <w:szCs w:val="22"/>
                  </w:rPr>
                </w:pPr>
                <w:r w:rsidRPr="002B5406">
                  <w:rPr>
                    <w:rFonts w:ascii="Palatino Linotype" w:eastAsia="Calibri" w:hAnsi="Palatino Linotype" w:cs="Tahoma"/>
                    <w:sz w:val="22"/>
                    <w:szCs w:val="22"/>
                    <w:lang w:val="es-MX"/>
                  </w:rPr>
                  <w:t>00776/INFOEM/IP/RR/2022</w:t>
                </w:r>
              </w:p>
            </w:tc>
          </w:tr>
          <w:tr w:rsidR="005E68AA" w14:paraId="5FC9045B" w14:textId="77777777" w:rsidTr="00AE346F">
            <w:trPr>
              <w:trHeight w:val="251"/>
            </w:trPr>
            <w:tc>
              <w:tcPr>
                <w:tcW w:w="2408" w:type="dxa"/>
              </w:tcPr>
              <w:p w14:paraId="6F66F0DE" w14:textId="77777777" w:rsidR="005E68AA" w:rsidRPr="008B41A2" w:rsidRDefault="00BF14ED" w:rsidP="005E68AA">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971" w:type="dxa"/>
              </w:tcPr>
              <w:p w14:paraId="5B3372D4" w14:textId="40540BB1" w:rsidR="005E68AA" w:rsidRPr="008B41A2" w:rsidRDefault="002B5406" w:rsidP="00B24B9B">
                <w:pPr>
                  <w:tabs>
                    <w:tab w:val="left" w:pos="2439"/>
                    <w:tab w:val="right" w:pos="8838"/>
                  </w:tabs>
                  <w:ind w:right="-116"/>
                  <w:rPr>
                    <w:rFonts w:ascii="Palatino Linotype" w:eastAsia="Calibri" w:hAnsi="Palatino Linotype" w:cs="Tahoma"/>
                    <w:sz w:val="22"/>
                    <w:szCs w:val="22"/>
                    <w:lang w:val="es-MX"/>
                  </w:rPr>
                </w:pPr>
                <w:r>
                  <w:rPr>
                    <w:rFonts w:ascii="Palatino Linotype" w:eastAsia="Calibri" w:hAnsi="Palatino Linotype" w:cs="Tahoma"/>
                    <w:sz w:val="22"/>
                    <w:szCs w:val="22"/>
                    <w:lang w:val="es-MX"/>
                  </w:rPr>
                  <w:t>Ayuntamiento de Atenco</w:t>
                </w:r>
              </w:p>
            </w:tc>
          </w:tr>
          <w:tr w:rsidR="005E68AA" w14:paraId="0EA3B3B7" w14:textId="77777777" w:rsidTr="00AE346F">
            <w:trPr>
              <w:trHeight w:val="251"/>
            </w:trPr>
            <w:tc>
              <w:tcPr>
                <w:tcW w:w="2408" w:type="dxa"/>
              </w:tcPr>
              <w:p w14:paraId="3DB912FE" w14:textId="77777777" w:rsidR="005E68AA" w:rsidRPr="008B41A2" w:rsidRDefault="00BF14ED" w:rsidP="005E68AA">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971" w:type="dxa"/>
              </w:tcPr>
              <w:p w14:paraId="001A5E63" w14:textId="1FA90D07" w:rsidR="005E68AA" w:rsidRPr="008B41A2" w:rsidRDefault="00AD5D89" w:rsidP="005E68AA">
                <w:pPr>
                  <w:tabs>
                    <w:tab w:val="right" w:pos="8838"/>
                  </w:tabs>
                  <w:ind w:right="-32"/>
                  <w:rPr>
                    <w:rFonts w:ascii="Palatino Linotype" w:eastAsia="Calibri" w:hAnsi="Palatino Linotype" w:cs="Tahoma"/>
                    <w:b/>
                    <w:sz w:val="22"/>
                    <w:szCs w:val="22"/>
                    <w:lang w:val="es-MX"/>
                  </w:rPr>
                </w:pPr>
                <w:r>
                  <w:rPr>
                    <w:rFonts w:ascii="Palatino Linotype" w:eastAsia="Calibri" w:hAnsi="Palatino Linotype" w:cs="Tahoma"/>
                    <w:sz w:val="22"/>
                    <w:szCs w:val="22"/>
                    <w:lang w:val="es-MX"/>
                  </w:rPr>
                  <w:t>Luis Gustavo Parra Noriega</w:t>
                </w:r>
              </w:p>
            </w:tc>
          </w:tr>
        </w:tbl>
        <w:p w14:paraId="39322C5A" w14:textId="77777777" w:rsidR="005E68AA" w:rsidRPr="005C106F" w:rsidRDefault="005E68AA" w:rsidP="005E68AA">
          <w:pPr>
            <w:tabs>
              <w:tab w:val="right" w:pos="8838"/>
            </w:tabs>
            <w:ind w:left="-28"/>
            <w:rPr>
              <w:rFonts w:ascii="Arial" w:eastAsia="Calibri" w:hAnsi="Arial" w:cs="Arial"/>
              <w:b/>
            </w:rPr>
          </w:pPr>
        </w:p>
      </w:tc>
    </w:tr>
  </w:tbl>
  <w:p w14:paraId="413B7D7D" w14:textId="77777777" w:rsidR="005E68AA" w:rsidRDefault="005E68AA" w:rsidP="005E68AA">
    <w:pPr>
      <w:pStyle w:val="Encabezado"/>
      <w:rPr>
        <w:sz w:val="14"/>
      </w:rPr>
    </w:pPr>
  </w:p>
  <w:p w14:paraId="2249EFA4" w14:textId="77777777" w:rsidR="005E68AA" w:rsidRPr="00443C6B" w:rsidRDefault="005E68AA" w:rsidP="005E68AA">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817"/>
    </w:tblGrid>
    <w:tr w:rsidR="005E68AA" w:rsidRPr="00264223" w14:paraId="0296A02D" w14:textId="77777777" w:rsidTr="00EB7867">
      <w:trPr>
        <w:trHeight w:val="302"/>
      </w:trPr>
      <w:tc>
        <w:tcPr>
          <w:tcW w:w="2420" w:type="dxa"/>
        </w:tcPr>
        <w:p w14:paraId="7A127E60" w14:textId="77777777" w:rsidR="005E68AA" w:rsidRPr="00D3618F" w:rsidRDefault="00BF14ED" w:rsidP="005E68A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817" w:type="dxa"/>
        </w:tcPr>
        <w:p w14:paraId="328710A7" w14:textId="6147A82B" w:rsidR="005E68AA" w:rsidRPr="00651A13" w:rsidRDefault="002B5406" w:rsidP="00E06BA5">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00776</w:t>
          </w:r>
          <w:r w:rsidR="009245F5" w:rsidRPr="009245F5">
            <w:rPr>
              <w:rFonts w:ascii="Palatino Linotype" w:eastAsia="Calibri" w:hAnsi="Palatino Linotype" w:cs="Tahoma"/>
              <w:sz w:val="22"/>
              <w:szCs w:val="22"/>
              <w:lang w:val="es-MX" w:eastAsia="en-US"/>
            </w:rPr>
            <w:t>/INFOEM/IP/RR/2022</w:t>
          </w:r>
        </w:p>
      </w:tc>
    </w:tr>
    <w:tr w:rsidR="005E68AA" w:rsidRPr="00264223" w14:paraId="612E08F0" w14:textId="77777777" w:rsidTr="00EB7867">
      <w:trPr>
        <w:trHeight w:val="110"/>
      </w:trPr>
      <w:tc>
        <w:tcPr>
          <w:tcW w:w="2420" w:type="dxa"/>
        </w:tcPr>
        <w:p w14:paraId="678B9917" w14:textId="77777777" w:rsidR="005E68AA" w:rsidRPr="00D3618F" w:rsidRDefault="00BF14ED" w:rsidP="005E68A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817" w:type="dxa"/>
        </w:tcPr>
        <w:p w14:paraId="717CF0C7" w14:textId="340AA0C3" w:rsidR="005E68AA" w:rsidRPr="00EE2A06" w:rsidRDefault="007210E9" w:rsidP="002B5406">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 </w:t>
          </w:r>
        </w:p>
      </w:tc>
    </w:tr>
    <w:tr w:rsidR="005E68AA" w:rsidRPr="00264223" w14:paraId="3A9CDB69" w14:textId="77777777" w:rsidTr="00EB7867">
      <w:trPr>
        <w:trHeight w:val="248"/>
      </w:trPr>
      <w:tc>
        <w:tcPr>
          <w:tcW w:w="2420" w:type="dxa"/>
        </w:tcPr>
        <w:p w14:paraId="3E19C8C3" w14:textId="77777777" w:rsidR="005E68AA" w:rsidRPr="00D3618F" w:rsidRDefault="00BF14ED" w:rsidP="005E68A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817" w:type="dxa"/>
        </w:tcPr>
        <w:p w14:paraId="7E37B80E" w14:textId="6E1EA0AE" w:rsidR="005E68AA" w:rsidRPr="00651A13" w:rsidRDefault="002B5406" w:rsidP="00E06BA5">
          <w:pPr>
            <w:tabs>
              <w:tab w:val="right" w:pos="8838"/>
            </w:tabs>
            <w:ind w:left="-28"/>
            <w:jc w:val="both"/>
            <w:rPr>
              <w:rFonts w:ascii="Palatino Linotype" w:eastAsia="Calibri" w:hAnsi="Palatino Linotype" w:cs="Tahoma"/>
              <w:sz w:val="22"/>
              <w:szCs w:val="22"/>
              <w:lang w:val="es-MX" w:eastAsia="en-US"/>
            </w:rPr>
          </w:pPr>
          <w:r w:rsidRPr="002B5406">
            <w:rPr>
              <w:rFonts w:ascii="Palatino Linotype" w:eastAsia="Calibri" w:hAnsi="Palatino Linotype" w:cs="Tahoma"/>
              <w:sz w:val="22"/>
              <w:szCs w:val="22"/>
              <w:lang w:val="es-MX" w:eastAsia="en-US"/>
            </w:rPr>
            <w:t>Ayuntamiento de Atenco</w:t>
          </w:r>
        </w:p>
      </w:tc>
    </w:tr>
    <w:tr w:rsidR="005E68AA" w:rsidRPr="00264223" w14:paraId="1AF8B0BB" w14:textId="77777777" w:rsidTr="00EB7867">
      <w:trPr>
        <w:trHeight w:val="248"/>
      </w:trPr>
      <w:tc>
        <w:tcPr>
          <w:tcW w:w="2420" w:type="dxa"/>
        </w:tcPr>
        <w:p w14:paraId="2E9A1B65" w14:textId="77777777" w:rsidR="005E68AA" w:rsidRPr="00D3618F" w:rsidRDefault="00BF14ED" w:rsidP="005E68A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817" w:type="dxa"/>
        </w:tcPr>
        <w:p w14:paraId="6919B9C5" w14:textId="4EDAF4F8" w:rsidR="005E68AA" w:rsidRPr="00D3618F" w:rsidRDefault="00C3186C" w:rsidP="00E06BA5">
          <w:pPr>
            <w:tabs>
              <w:tab w:val="right" w:pos="8838"/>
            </w:tabs>
            <w:ind w:left="-28"/>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Luis Gustavo Parra Noriega</w:t>
          </w:r>
        </w:p>
      </w:tc>
    </w:tr>
  </w:tbl>
  <w:p w14:paraId="51A0BA91" w14:textId="77777777" w:rsidR="005E68AA" w:rsidRDefault="00FA6C82"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79.4pt;margin-top:-124.1pt;width:663.5pt;height:12in;z-index:-251658238;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A451772"/>
    <w:multiLevelType w:val="hybridMultilevel"/>
    <w:tmpl w:val="296EE59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203180C"/>
    <w:multiLevelType w:val="hybridMultilevel"/>
    <w:tmpl w:val="7E3673C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FB82D0A"/>
    <w:multiLevelType w:val="hybridMultilevel"/>
    <w:tmpl w:val="45C631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4AC24A32"/>
    <w:multiLevelType w:val="hybridMultilevel"/>
    <w:tmpl w:val="4FE46A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6C9B3D7A"/>
    <w:multiLevelType w:val="hybridMultilevel"/>
    <w:tmpl w:val="705E5C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D1A2A4C"/>
    <w:multiLevelType w:val="hybridMultilevel"/>
    <w:tmpl w:val="0210841E"/>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63472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6773335">
    <w:abstractNumId w:val="12"/>
  </w:num>
  <w:num w:numId="3" w16cid:durableId="1148934592">
    <w:abstractNumId w:val="3"/>
  </w:num>
  <w:num w:numId="4" w16cid:durableId="1838764728">
    <w:abstractNumId w:val="8"/>
  </w:num>
  <w:num w:numId="5" w16cid:durableId="329909747">
    <w:abstractNumId w:val="1"/>
  </w:num>
  <w:num w:numId="6" w16cid:durableId="2031448041">
    <w:abstractNumId w:val="10"/>
  </w:num>
  <w:num w:numId="7" w16cid:durableId="908466204">
    <w:abstractNumId w:val="6"/>
  </w:num>
  <w:num w:numId="8" w16cid:durableId="1245608204">
    <w:abstractNumId w:val="4"/>
  </w:num>
  <w:num w:numId="9" w16cid:durableId="884873318">
    <w:abstractNumId w:val="2"/>
  </w:num>
  <w:num w:numId="10" w16cid:durableId="1077678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7061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963064">
    <w:abstractNumId w:val="0"/>
  </w:num>
  <w:num w:numId="13" w16cid:durableId="312104996">
    <w:abstractNumId w:val="5"/>
  </w:num>
  <w:num w:numId="14" w16cid:durableId="590964826">
    <w:abstractNumId w:val="7"/>
  </w:num>
  <w:num w:numId="15" w16cid:durableId="954288236">
    <w:abstractNumId w:val="9"/>
  </w:num>
  <w:num w:numId="16" w16cid:durableId="2071726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075379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136F0"/>
    <w:rsid w:val="0002223D"/>
    <w:rsid w:val="000227D4"/>
    <w:rsid w:val="00035C6F"/>
    <w:rsid w:val="00040D68"/>
    <w:rsid w:val="00041105"/>
    <w:rsid w:val="00042AF8"/>
    <w:rsid w:val="00045440"/>
    <w:rsid w:val="00046E37"/>
    <w:rsid w:val="000500C2"/>
    <w:rsid w:val="00053263"/>
    <w:rsid w:val="00055E01"/>
    <w:rsid w:val="00057F3C"/>
    <w:rsid w:val="00061CF3"/>
    <w:rsid w:val="00084361"/>
    <w:rsid w:val="00091543"/>
    <w:rsid w:val="0009611A"/>
    <w:rsid w:val="00096E60"/>
    <w:rsid w:val="000A0CEF"/>
    <w:rsid w:val="000C37FA"/>
    <w:rsid w:val="000C3B02"/>
    <w:rsid w:val="000E606C"/>
    <w:rsid w:val="000F1A23"/>
    <w:rsid w:val="000F5957"/>
    <w:rsid w:val="001013A5"/>
    <w:rsid w:val="001120F6"/>
    <w:rsid w:val="00115F31"/>
    <w:rsid w:val="0012783F"/>
    <w:rsid w:val="00131B30"/>
    <w:rsid w:val="00135E85"/>
    <w:rsid w:val="00137BB0"/>
    <w:rsid w:val="0014223F"/>
    <w:rsid w:val="001440F3"/>
    <w:rsid w:val="0014762D"/>
    <w:rsid w:val="001507B4"/>
    <w:rsid w:val="00150B3D"/>
    <w:rsid w:val="001567FA"/>
    <w:rsid w:val="00156E72"/>
    <w:rsid w:val="00161D14"/>
    <w:rsid w:val="00162D7E"/>
    <w:rsid w:val="00165C2C"/>
    <w:rsid w:val="001875A9"/>
    <w:rsid w:val="001904EF"/>
    <w:rsid w:val="00190D99"/>
    <w:rsid w:val="00197C0A"/>
    <w:rsid w:val="001B246F"/>
    <w:rsid w:val="001B3B9E"/>
    <w:rsid w:val="001C0F48"/>
    <w:rsid w:val="001C14A7"/>
    <w:rsid w:val="001C759E"/>
    <w:rsid w:val="001D0721"/>
    <w:rsid w:val="001D7087"/>
    <w:rsid w:val="001E1338"/>
    <w:rsid w:val="001E78ED"/>
    <w:rsid w:val="001F27B3"/>
    <w:rsid w:val="001F36FC"/>
    <w:rsid w:val="001F52E3"/>
    <w:rsid w:val="001F566D"/>
    <w:rsid w:val="00200F81"/>
    <w:rsid w:val="00201AA5"/>
    <w:rsid w:val="00207F72"/>
    <w:rsid w:val="002157B7"/>
    <w:rsid w:val="002178FF"/>
    <w:rsid w:val="00221416"/>
    <w:rsid w:val="00221B2B"/>
    <w:rsid w:val="002365A5"/>
    <w:rsid w:val="002425E2"/>
    <w:rsid w:val="00244FC7"/>
    <w:rsid w:val="002460D9"/>
    <w:rsid w:val="00256424"/>
    <w:rsid w:val="00256DA0"/>
    <w:rsid w:val="00263744"/>
    <w:rsid w:val="00270943"/>
    <w:rsid w:val="0027557D"/>
    <w:rsid w:val="002763A8"/>
    <w:rsid w:val="00285630"/>
    <w:rsid w:val="00286FC0"/>
    <w:rsid w:val="002A40CB"/>
    <w:rsid w:val="002A49D0"/>
    <w:rsid w:val="002A4CC9"/>
    <w:rsid w:val="002A638B"/>
    <w:rsid w:val="002A7B9E"/>
    <w:rsid w:val="002B025D"/>
    <w:rsid w:val="002B1BBE"/>
    <w:rsid w:val="002B5406"/>
    <w:rsid w:val="002B7584"/>
    <w:rsid w:val="002C073E"/>
    <w:rsid w:val="002C356D"/>
    <w:rsid w:val="002D3E9A"/>
    <w:rsid w:val="002D5C1D"/>
    <w:rsid w:val="002E17EA"/>
    <w:rsid w:val="002F3B8D"/>
    <w:rsid w:val="002F3D3B"/>
    <w:rsid w:val="002F579F"/>
    <w:rsid w:val="002F62E6"/>
    <w:rsid w:val="002F6E9C"/>
    <w:rsid w:val="00305AF4"/>
    <w:rsid w:val="0031159D"/>
    <w:rsid w:val="00311CA5"/>
    <w:rsid w:val="00314625"/>
    <w:rsid w:val="0031567C"/>
    <w:rsid w:val="00330AE8"/>
    <w:rsid w:val="003336F8"/>
    <w:rsid w:val="00341710"/>
    <w:rsid w:val="00344AEB"/>
    <w:rsid w:val="0034607F"/>
    <w:rsid w:val="0035025E"/>
    <w:rsid w:val="00357B4D"/>
    <w:rsid w:val="003664C7"/>
    <w:rsid w:val="00370072"/>
    <w:rsid w:val="0037277E"/>
    <w:rsid w:val="0037403C"/>
    <w:rsid w:val="003843A4"/>
    <w:rsid w:val="00386E35"/>
    <w:rsid w:val="00387537"/>
    <w:rsid w:val="0039288A"/>
    <w:rsid w:val="003945E3"/>
    <w:rsid w:val="00397743"/>
    <w:rsid w:val="003A22DE"/>
    <w:rsid w:val="003B4E6E"/>
    <w:rsid w:val="003C2640"/>
    <w:rsid w:val="003C3A57"/>
    <w:rsid w:val="003C687A"/>
    <w:rsid w:val="003D0637"/>
    <w:rsid w:val="003E215A"/>
    <w:rsid w:val="003E35F9"/>
    <w:rsid w:val="003E3F56"/>
    <w:rsid w:val="003E4FC1"/>
    <w:rsid w:val="003E66FE"/>
    <w:rsid w:val="003F5D7F"/>
    <w:rsid w:val="0040422E"/>
    <w:rsid w:val="00411440"/>
    <w:rsid w:val="00412F24"/>
    <w:rsid w:val="00416901"/>
    <w:rsid w:val="004174F0"/>
    <w:rsid w:val="00430266"/>
    <w:rsid w:val="0043243E"/>
    <w:rsid w:val="00437FA1"/>
    <w:rsid w:val="00443F40"/>
    <w:rsid w:val="00450D31"/>
    <w:rsid w:val="00452014"/>
    <w:rsid w:val="00452ED6"/>
    <w:rsid w:val="00461E91"/>
    <w:rsid w:val="00463F05"/>
    <w:rsid w:val="004673E7"/>
    <w:rsid w:val="0047311E"/>
    <w:rsid w:val="00475BFB"/>
    <w:rsid w:val="00483128"/>
    <w:rsid w:val="00485ACF"/>
    <w:rsid w:val="00485D00"/>
    <w:rsid w:val="00486CD6"/>
    <w:rsid w:val="00497F35"/>
    <w:rsid w:val="004A0B13"/>
    <w:rsid w:val="004A4A62"/>
    <w:rsid w:val="004B22AD"/>
    <w:rsid w:val="004C3C05"/>
    <w:rsid w:val="004C636B"/>
    <w:rsid w:val="004D726A"/>
    <w:rsid w:val="004E3E2F"/>
    <w:rsid w:val="004F45D5"/>
    <w:rsid w:val="004F4774"/>
    <w:rsid w:val="00501A5E"/>
    <w:rsid w:val="00510B7F"/>
    <w:rsid w:val="00511CFF"/>
    <w:rsid w:val="0051321B"/>
    <w:rsid w:val="0052168E"/>
    <w:rsid w:val="0052368A"/>
    <w:rsid w:val="00525A8A"/>
    <w:rsid w:val="00527B15"/>
    <w:rsid w:val="00532E87"/>
    <w:rsid w:val="00533909"/>
    <w:rsid w:val="005360CC"/>
    <w:rsid w:val="00541354"/>
    <w:rsid w:val="00544E16"/>
    <w:rsid w:val="00545769"/>
    <w:rsid w:val="005501EB"/>
    <w:rsid w:val="00551B72"/>
    <w:rsid w:val="00553873"/>
    <w:rsid w:val="00553AF4"/>
    <w:rsid w:val="00565189"/>
    <w:rsid w:val="005750FA"/>
    <w:rsid w:val="00575786"/>
    <w:rsid w:val="00575D57"/>
    <w:rsid w:val="00576102"/>
    <w:rsid w:val="00577873"/>
    <w:rsid w:val="005801C1"/>
    <w:rsid w:val="00580E40"/>
    <w:rsid w:val="0058347D"/>
    <w:rsid w:val="00586C7F"/>
    <w:rsid w:val="005A117F"/>
    <w:rsid w:val="005A14C5"/>
    <w:rsid w:val="005A56BF"/>
    <w:rsid w:val="005A78BC"/>
    <w:rsid w:val="005B1591"/>
    <w:rsid w:val="005B2724"/>
    <w:rsid w:val="005B28D5"/>
    <w:rsid w:val="005B32E1"/>
    <w:rsid w:val="005C3DDC"/>
    <w:rsid w:val="005D02A6"/>
    <w:rsid w:val="005D7143"/>
    <w:rsid w:val="005E5B10"/>
    <w:rsid w:val="005E68AA"/>
    <w:rsid w:val="005E7B22"/>
    <w:rsid w:val="005E7D7D"/>
    <w:rsid w:val="005F7F1D"/>
    <w:rsid w:val="00600CBA"/>
    <w:rsid w:val="006019C4"/>
    <w:rsid w:val="00602CAF"/>
    <w:rsid w:val="006041D2"/>
    <w:rsid w:val="00605324"/>
    <w:rsid w:val="00606D50"/>
    <w:rsid w:val="006138AA"/>
    <w:rsid w:val="00615F5E"/>
    <w:rsid w:val="00622A40"/>
    <w:rsid w:val="0063463D"/>
    <w:rsid w:val="0063645E"/>
    <w:rsid w:val="00646B60"/>
    <w:rsid w:val="00646ED4"/>
    <w:rsid w:val="00646F2C"/>
    <w:rsid w:val="00647F5E"/>
    <w:rsid w:val="00651A13"/>
    <w:rsid w:val="00651CBC"/>
    <w:rsid w:val="00654867"/>
    <w:rsid w:val="006569DA"/>
    <w:rsid w:val="00657DAD"/>
    <w:rsid w:val="0066424F"/>
    <w:rsid w:val="00665F5F"/>
    <w:rsid w:val="00670B9E"/>
    <w:rsid w:val="00675EB9"/>
    <w:rsid w:val="006762A8"/>
    <w:rsid w:val="006869B3"/>
    <w:rsid w:val="0069111A"/>
    <w:rsid w:val="00694683"/>
    <w:rsid w:val="00697530"/>
    <w:rsid w:val="006978DC"/>
    <w:rsid w:val="006A2922"/>
    <w:rsid w:val="006A40B6"/>
    <w:rsid w:val="006A6335"/>
    <w:rsid w:val="006B0EDC"/>
    <w:rsid w:val="006B123A"/>
    <w:rsid w:val="006B1909"/>
    <w:rsid w:val="006B54FE"/>
    <w:rsid w:val="006B594D"/>
    <w:rsid w:val="006C7888"/>
    <w:rsid w:val="006D6349"/>
    <w:rsid w:val="006E3868"/>
    <w:rsid w:val="006F24F6"/>
    <w:rsid w:val="006F397F"/>
    <w:rsid w:val="0070237E"/>
    <w:rsid w:val="007059B5"/>
    <w:rsid w:val="007139BF"/>
    <w:rsid w:val="007210E9"/>
    <w:rsid w:val="00731FDC"/>
    <w:rsid w:val="0074570A"/>
    <w:rsid w:val="00745E69"/>
    <w:rsid w:val="00753E39"/>
    <w:rsid w:val="00763041"/>
    <w:rsid w:val="00765D8B"/>
    <w:rsid w:val="00767592"/>
    <w:rsid w:val="00767700"/>
    <w:rsid w:val="00775AD6"/>
    <w:rsid w:val="007815B7"/>
    <w:rsid w:val="0078298D"/>
    <w:rsid w:val="007836CE"/>
    <w:rsid w:val="00785507"/>
    <w:rsid w:val="00796584"/>
    <w:rsid w:val="007B0305"/>
    <w:rsid w:val="007B06F7"/>
    <w:rsid w:val="007B6774"/>
    <w:rsid w:val="007D165C"/>
    <w:rsid w:val="007D251E"/>
    <w:rsid w:val="007D27B6"/>
    <w:rsid w:val="007D59AA"/>
    <w:rsid w:val="007D6069"/>
    <w:rsid w:val="007D6E8B"/>
    <w:rsid w:val="007E4724"/>
    <w:rsid w:val="007E6BB3"/>
    <w:rsid w:val="007E7CE1"/>
    <w:rsid w:val="007F1526"/>
    <w:rsid w:val="007F610D"/>
    <w:rsid w:val="0080704F"/>
    <w:rsid w:val="00814BA4"/>
    <w:rsid w:val="0082091D"/>
    <w:rsid w:val="00823EE0"/>
    <w:rsid w:val="00830C1C"/>
    <w:rsid w:val="0083345D"/>
    <w:rsid w:val="0083373C"/>
    <w:rsid w:val="00835910"/>
    <w:rsid w:val="00836858"/>
    <w:rsid w:val="00841274"/>
    <w:rsid w:val="00846822"/>
    <w:rsid w:val="00847CE9"/>
    <w:rsid w:val="00850740"/>
    <w:rsid w:val="008537FC"/>
    <w:rsid w:val="008624BC"/>
    <w:rsid w:val="008640E0"/>
    <w:rsid w:val="00867A39"/>
    <w:rsid w:val="00876E04"/>
    <w:rsid w:val="00890A3A"/>
    <w:rsid w:val="00896C40"/>
    <w:rsid w:val="008A69CA"/>
    <w:rsid w:val="008B08F9"/>
    <w:rsid w:val="008B0BBF"/>
    <w:rsid w:val="008B14AF"/>
    <w:rsid w:val="008B3AD0"/>
    <w:rsid w:val="008C1BE9"/>
    <w:rsid w:val="008C34B0"/>
    <w:rsid w:val="008D5A62"/>
    <w:rsid w:val="008D5EBA"/>
    <w:rsid w:val="008E2C41"/>
    <w:rsid w:val="008E43A3"/>
    <w:rsid w:val="008F39E0"/>
    <w:rsid w:val="00902E6F"/>
    <w:rsid w:val="00904980"/>
    <w:rsid w:val="0091047C"/>
    <w:rsid w:val="00910B13"/>
    <w:rsid w:val="0092440D"/>
    <w:rsid w:val="009245F5"/>
    <w:rsid w:val="0092732B"/>
    <w:rsid w:val="00930F5B"/>
    <w:rsid w:val="009418F2"/>
    <w:rsid w:val="00941F39"/>
    <w:rsid w:val="00944027"/>
    <w:rsid w:val="00945867"/>
    <w:rsid w:val="00945D21"/>
    <w:rsid w:val="00952ABF"/>
    <w:rsid w:val="00954468"/>
    <w:rsid w:val="00954868"/>
    <w:rsid w:val="009652C3"/>
    <w:rsid w:val="00965C5B"/>
    <w:rsid w:val="00966F9B"/>
    <w:rsid w:val="00966FFF"/>
    <w:rsid w:val="00972688"/>
    <w:rsid w:val="00977B7D"/>
    <w:rsid w:val="00981561"/>
    <w:rsid w:val="00984724"/>
    <w:rsid w:val="00984D58"/>
    <w:rsid w:val="00986D11"/>
    <w:rsid w:val="0099096D"/>
    <w:rsid w:val="0099215D"/>
    <w:rsid w:val="00995A32"/>
    <w:rsid w:val="00996BE3"/>
    <w:rsid w:val="009A0E49"/>
    <w:rsid w:val="009A251B"/>
    <w:rsid w:val="009A3A12"/>
    <w:rsid w:val="009A7A52"/>
    <w:rsid w:val="009B2098"/>
    <w:rsid w:val="009B36B9"/>
    <w:rsid w:val="009B4BA6"/>
    <w:rsid w:val="009B6B15"/>
    <w:rsid w:val="009C32D0"/>
    <w:rsid w:val="009C595B"/>
    <w:rsid w:val="009D3EBA"/>
    <w:rsid w:val="009D6FB0"/>
    <w:rsid w:val="009E0D9F"/>
    <w:rsid w:val="009E17E8"/>
    <w:rsid w:val="009E5B56"/>
    <w:rsid w:val="009F2499"/>
    <w:rsid w:val="009F4DEE"/>
    <w:rsid w:val="00A021B4"/>
    <w:rsid w:val="00A05107"/>
    <w:rsid w:val="00A12F71"/>
    <w:rsid w:val="00A2053F"/>
    <w:rsid w:val="00A2515B"/>
    <w:rsid w:val="00A317F9"/>
    <w:rsid w:val="00A360D6"/>
    <w:rsid w:val="00A362D6"/>
    <w:rsid w:val="00A408E7"/>
    <w:rsid w:val="00A4127D"/>
    <w:rsid w:val="00A42E2F"/>
    <w:rsid w:val="00A453E5"/>
    <w:rsid w:val="00A47ABA"/>
    <w:rsid w:val="00A5031B"/>
    <w:rsid w:val="00A576E9"/>
    <w:rsid w:val="00A63130"/>
    <w:rsid w:val="00A634A7"/>
    <w:rsid w:val="00A8026C"/>
    <w:rsid w:val="00A80303"/>
    <w:rsid w:val="00A8163F"/>
    <w:rsid w:val="00A8392A"/>
    <w:rsid w:val="00A83B36"/>
    <w:rsid w:val="00A90DCF"/>
    <w:rsid w:val="00AA30D5"/>
    <w:rsid w:val="00AA41A2"/>
    <w:rsid w:val="00AA4722"/>
    <w:rsid w:val="00AB20A9"/>
    <w:rsid w:val="00AB2D14"/>
    <w:rsid w:val="00AC5B19"/>
    <w:rsid w:val="00AC7218"/>
    <w:rsid w:val="00AD21E3"/>
    <w:rsid w:val="00AD2F43"/>
    <w:rsid w:val="00AD4E98"/>
    <w:rsid w:val="00AD5375"/>
    <w:rsid w:val="00AD5D89"/>
    <w:rsid w:val="00AE1CB6"/>
    <w:rsid w:val="00AE346F"/>
    <w:rsid w:val="00AE3803"/>
    <w:rsid w:val="00AE4693"/>
    <w:rsid w:val="00AE5AE5"/>
    <w:rsid w:val="00AE5CA3"/>
    <w:rsid w:val="00AF1764"/>
    <w:rsid w:val="00AF6ADC"/>
    <w:rsid w:val="00B03EDE"/>
    <w:rsid w:val="00B05E29"/>
    <w:rsid w:val="00B101A9"/>
    <w:rsid w:val="00B10F5F"/>
    <w:rsid w:val="00B12743"/>
    <w:rsid w:val="00B24B9B"/>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7C41"/>
    <w:rsid w:val="00B828E2"/>
    <w:rsid w:val="00B86812"/>
    <w:rsid w:val="00B86D0D"/>
    <w:rsid w:val="00B87C5B"/>
    <w:rsid w:val="00B946CE"/>
    <w:rsid w:val="00B975CB"/>
    <w:rsid w:val="00BA012E"/>
    <w:rsid w:val="00BA0ACE"/>
    <w:rsid w:val="00BA0B7F"/>
    <w:rsid w:val="00BA6085"/>
    <w:rsid w:val="00BA6F10"/>
    <w:rsid w:val="00BB2B58"/>
    <w:rsid w:val="00BB38FC"/>
    <w:rsid w:val="00BB3F07"/>
    <w:rsid w:val="00BB545F"/>
    <w:rsid w:val="00BB56EF"/>
    <w:rsid w:val="00BB6380"/>
    <w:rsid w:val="00BB69EF"/>
    <w:rsid w:val="00BC2FD2"/>
    <w:rsid w:val="00BC4DCF"/>
    <w:rsid w:val="00BC5193"/>
    <w:rsid w:val="00BD3344"/>
    <w:rsid w:val="00BE2986"/>
    <w:rsid w:val="00BE4C73"/>
    <w:rsid w:val="00BF14ED"/>
    <w:rsid w:val="00BF19D2"/>
    <w:rsid w:val="00BF645E"/>
    <w:rsid w:val="00C03811"/>
    <w:rsid w:val="00C1189C"/>
    <w:rsid w:val="00C1369F"/>
    <w:rsid w:val="00C17433"/>
    <w:rsid w:val="00C17F09"/>
    <w:rsid w:val="00C22667"/>
    <w:rsid w:val="00C24093"/>
    <w:rsid w:val="00C25E9D"/>
    <w:rsid w:val="00C3082D"/>
    <w:rsid w:val="00C3186C"/>
    <w:rsid w:val="00C31BB0"/>
    <w:rsid w:val="00C34B10"/>
    <w:rsid w:val="00C34E16"/>
    <w:rsid w:val="00C354AE"/>
    <w:rsid w:val="00C36852"/>
    <w:rsid w:val="00C36AE4"/>
    <w:rsid w:val="00C3708C"/>
    <w:rsid w:val="00C37911"/>
    <w:rsid w:val="00C37BE5"/>
    <w:rsid w:val="00C42296"/>
    <w:rsid w:val="00C45345"/>
    <w:rsid w:val="00C4571A"/>
    <w:rsid w:val="00C47841"/>
    <w:rsid w:val="00C56DA6"/>
    <w:rsid w:val="00C61B4F"/>
    <w:rsid w:val="00C61C11"/>
    <w:rsid w:val="00C65725"/>
    <w:rsid w:val="00C710D6"/>
    <w:rsid w:val="00C7224B"/>
    <w:rsid w:val="00C725A0"/>
    <w:rsid w:val="00C73B3A"/>
    <w:rsid w:val="00C77F7B"/>
    <w:rsid w:val="00C85FE0"/>
    <w:rsid w:val="00C8625C"/>
    <w:rsid w:val="00C87E36"/>
    <w:rsid w:val="00C907D1"/>
    <w:rsid w:val="00C97917"/>
    <w:rsid w:val="00CB6D50"/>
    <w:rsid w:val="00CB7AF4"/>
    <w:rsid w:val="00CC449F"/>
    <w:rsid w:val="00CC5EC2"/>
    <w:rsid w:val="00CD1229"/>
    <w:rsid w:val="00CD65D7"/>
    <w:rsid w:val="00CE1AD7"/>
    <w:rsid w:val="00CE5D6E"/>
    <w:rsid w:val="00CF11FE"/>
    <w:rsid w:val="00CF1CE5"/>
    <w:rsid w:val="00CF4448"/>
    <w:rsid w:val="00CF4C5B"/>
    <w:rsid w:val="00D00BB3"/>
    <w:rsid w:val="00D0124B"/>
    <w:rsid w:val="00D03B35"/>
    <w:rsid w:val="00D03D6A"/>
    <w:rsid w:val="00D13338"/>
    <w:rsid w:val="00D1711B"/>
    <w:rsid w:val="00D203DC"/>
    <w:rsid w:val="00D20825"/>
    <w:rsid w:val="00D20D13"/>
    <w:rsid w:val="00D24CC1"/>
    <w:rsid w:val="00D26D69"/>
    <w:rsid w:val="00D3482D"/>
    <w:rsid w:val="00D34C71"/>
    <w:rsid w:val="00D3577B"/>
    <w:rsid w:val="00D357A4"/>
    <w:rsid w:val="00D3649E"/>
    <w:rsid w:val="00D44317"/>
    <w:rsid w:val="00D45413"/>
    <w:rsid w:val="00D5420F"/>
    <w:rsid w:val="00D6284F"/>
    <w:rsid w:val="00D6464E"/>
    <w:rsid w:val="00D66AF5"/>
    <w:rsid w:val="00D71B3E"/>
    <w:rsid w:val="00D73E54"/>
    <w:rsid w:val="00D742AF"/>
    <w:rsid w:val="00D761B6"/>
    <w:rsid w:val="00D96384"/>
    <w:rsid w:val="00DA0579"/>
    <w:rsid w:val="00DA5E54"/>
    <w:rsid w:val="00DA6CBB"/>
    <w:rsid w:val="00DB03AC"/>
    <w:rsid w:val="00DB0B40"/>
    <w:rsid w:val="00DB249D"/>
    <w:rsid w:val="00DB7765"/>
    <w:rsid w:val="00DC17E4"/>
    <w:rsid w:val="00DC7952"/>
    <w:rsid w:val="00DD089E"/>
    <w:rsid w:val="00DD0E57"/>
    <w:rsid w:val="00DD4D11"/>
    <w:rsid w:val="00DE1951"/>
    <w:rsid w:val="00DE24CB"/>
    <w:rsid w:val="00DE71E3"/>
    <w:rsid w:val="00DF0B4C"/>
    <w:rsid w:val="00DF0F8B"/>
    <w:rsid w:val="00E02E8F"/>
    <w:rsid w:val="00E03817"/>
    <w:rsid w:val="00E06BA5"/>
    <w:rsid w:val="00E11A73"/>
    <w:rsid w:val="00E15395"/>
    <w:rsid w:val="00E209FC"/>
    <w:rsid w:val="00E22215"/>
    <w:rsid w:val="00E2314B"/>
    <w:rsid w:val="00E25C61"/>
    <w:rsid w:val="00E3439B"/>
    <w:rsid w:val="00E35B9A"/>
    <w:rsid w:val="00E42633"/>
    <w:rsid w:val="00E46B98"/>
    <w:rsid w:val="00E61D50"/>
    <w:rsid w:val="00E62F3C"/>
    <w:rsid w:val="00E6681D"/>
    <w:rsid w:val="00E757AD"/>
    <w:rsid w:val="00E75E34"/>
    <w:rsid w:val="00E76B08"/>
    <w:rsid w:val="00E87D9F"/>
    <w:rsid w:val="00E91837"/>
    <w:rsid w:val="00E97989"/>
    <w:rsid w:val="00EA14B2"/>
    <w:rsid w:val="00EA27C0"/>
    <w:rsid w:val="00EA3836"/>
    <w:rsid w:val="00EA4AE7"/>
    <w:rsid w:val="00EA5C75"/>
    <w:rsid w:val="00EA5DCF"/>
    <w:rsid w:val="00EB0747"/>
    <w:rsid w:val="00EB1B1E"/>
    <w:rsid w:val="00EB377F"/>
    <w:rsid w:val="00EB7457"/>
    <w:rsid w:val="00EB7867"/>
    <w:rsid w:val="00EB7A54"/>
    <w:rsid w:val="00ED178F"/>
    <w:rsid w:val="00ED3B02"/>
    <w:rsid w:val="00EE664C"/>
    <w:rsid w:val="00EF0FB1"/>
    <w:rsid w:val="00EF4CB0"/>
    <w:rsid w:val="00EF4DFB"/>
    <w:rsid w:val="00EF62C1"/>
    <w:rsid w:val="00F005E6"/>
    <w:rsid w:val="00F06FBA"/>
    <w:rsid w:val="00F20BDB"/>
    <w:rsid w:val="00F30C0E"/>
    <w:rsid w:val="00F3614D"/>
    <w:rsid w:val="00F44F10"/>
    <w:rsid w:val="00F4556A"/>
    <w:rsid w:val="00F46B4A"/>
    <w:rsid w:val="00F47135"/>
    <w:rsid w:val="00F57C4C"/>
    <w:rsid w:val="00F74A11"/>
    <w:rsid w:val="00F838CE"/>
    <w:rsid w:val="00FA6C82"/>
    <w:rsid w:val="00FA74D3"/>
    <w:rsid w:val="00FB1090"/>
    <w:rsid w:val="00FB27E1"/>
    <w:rsid w:val="00FB4F87"/>
    <w:rsid w:val="00FB6698"/>
    <w:rsid w:val="00FC560C"/>
    <w:rsid w:val="00FC7A26"/>
    <w:rsid w:val="00FD1F42"/>
    <w:rsid w:val="00FD3851"/>
    <w:rsid w:val="00FD61F9"/>
    <w:rsid w:val="00FE5AAE"/>
    <w:rsid w:val="00FE5B29"/>
    <w:rsid w:val="00FE609E"/>
    <w:rsid w:val="00FE6964"/>
    <w:rsid w:val="00FF434E"/>
    <w:rsid w:val="00FF459A"/>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docId w15:val="{627074A6-9161-437B-A3BD-457239BA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51"/>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E1AD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 w:type="character" w:customStyle="1" w:styleId="Mencinsinresolver3">
    <w:name w:val="Mención sin resolver3"/>
    <w:basedOn w:val="Fuentedeprrafopredeter"/>
    <w:uiPriority w:val="99"/>
    <w:semiHidden/>
    <w:unhideWhenUsed/>
    <w:rsid w:val="002E17EA"/>
    <w:rPr>
      <w:color w:val="605E5C"/>
      <w:shd w:val="clear" w:color="auto" w:fill="E1DFDD"/>
    </w:rPr>
  </w:style>
  <w:style w:type="character" w:customStyle="1" w:styleId="Ttulo3Car">
    <w:name w:val="Título 3 Car"/>
    <w:basedOn w:val="Fuentedeprrafopredeter"/>
    <w:link w:val="Ttulo3"/>
    <w:uiPriority w:val="9"/>
    <w:rsid w:val="00CE1AD7"/>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5193">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5245543">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194971743">
      <w:bodyDiv w:val="1"/>
      <w:marLeft w:val="0"/>
      <w:marRight w:val="0"/>
      <w:marTop w:val="0"/>
      <w:marBottom w:val="0"/>
      <w:divBdr>
        <w:top w:val="none" w:sz="0" w:space="0" w:color="auto"/>
        <w:left w:val="none" w:sz="0" w:space="0" w:color="auto"/>
        <w:bottom w:val="none" w:sz="0" w:space="0" w:color="auto"/>
        <w:right w:val="none" w:sz="0" w:space="0" w:color="auto"/>
      </w:divBdr>
    </w:div>
    <w:div w:id="278494359">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569074888">
      <w:bodyDiv w:val="1"/>
      <w:marLeft w:val="0"/>
      <w:marRight w:val="0"/>
      <w:marTop w:val="0"/>
      <w:marBottom w:val="0"/>
      <w:divBdr>
        <w:top w:val="none" w:sz="0" w:space="0" w:color="auto"/>
        <w:left w:val="none" w:sz="0" w:space="0" w:color="auto"/>
        <w:bottom w:val="none" w:sz="0" w:space="0" w:color="auto"/>
        <w:right w:val="none" w:sz="0" w:space="0" w:color="auto"/>
      </w:divBdr>
    </w:div>
    <w:div w:id="754980909">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806824297">
      <w:bodyDiv w:val="1"/>
      <w:marLeft w:val="0"/>
      <w:marRight w:val="0"/>
      <w:marTop w:val="0"/>
      <w:marBottom w:val="0"/>
      <w:divBdr>
        <w:top w:val="none" w:sz="0" w:space="0" w:color="auto"/>
        <w:left w:val="none" w:sz="0" w:space="0" w:color="auto"/>
        <w:bottom w:val="none" w:sz="0" w:space="0" w:color="auto"/>
        <w:right w:val="none" w:sz="0" w:space="0" w:color="auto"/>
      </w:divBdr>
    </w:div>
    <w:div w:id="890921709">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964312597">
      <w:bodyDiv w:val="1"/>
      <w:marLeft w:val="0"/>
      <w:marRight w:val="0"/>
      <w:marTop w:val="0"/>
      <w:marBottom w:val="0"/>
      <w:divBdr>
        <w:top w:val="none" w:sz="0" w:space="0" w:color="auto"/>
        <w:left w:val="none" w:sz="0" w:space="0" w:color="auto"/>
        <w:bottom w:val="none" w:sz="0" w:space="0" w:color="auto"/>
        <w:right w:val="none" w:sz="0" w:space="0" w:color="auto"/>
      </w:divBdr>
    </w:div>
    <w:div w:id="1365325575">
      <w:bodyDiv w:val="1"/>
      <w:marLeft w:val="0"/>
      <w:marRight w:val="0"/>
      <w:marTop w:val="0"/>
      <w:marBottom w:val="0"/>
      <w:divBdr>
        <w:top w:val="none" w:sz="0" w:space="0" w:color="auto"/>
        <w:left w:val="none" w:sz="0" w:space="0" w:color="auto"/>
        <w:bottom w:val="none" w:sz="0" w:space="0" w:color="auto"/>
        <w:right w:val="none" w:sz="0" w:space="0" w:color="auto"/>
      </w:divBdr>
    </w:div>
    <w:div w:id="1486511658">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722054345">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726370614">
      <w:bodyDiv w:val="1"/>
      <w:marLeft w:val="0"/>
      <w:marRight w:val="0"/>
      <w:marTop w:val="0"/>
      <w:marBottom w:val="0"/>
      <w:divBdr>
        <w:top w:val="none" w:sz="0" w:space="0" w:color="auto"/>
        <w:left w:val="none" w:sz="0" w:space="0" w:color="auto"/>
        <w:bottom w:val="none" w:sz="0" w:space="0" w:color="auto"/>
        <w:right w:val="none" w:sz="0" w:space="0" w:color="auto"/>
      </w:divBdr>
    </w:div>
    <w:div w:id="1759405721">
      <w:bodyDiv w:val="1"/>
      <w:marLeft w:val="0"/>
      <w:marRight w:val="0"/>
      <w:marTop w:val="0"/>
      <w:marBottom w:val="0"/>
      <w:divBdr>
        <w:top w:val="none" w:sz="0" w:space="0" w:color="auto"/>
        <w:left w:val="none" w:sz="0" w:space="0" w:color="auto"/>
        <w:bottom w:val="none" w:sz="0" w:space="0" w:color="auto"/>
        <w:right w:val="none" w:sz="0" w:space="0" w:color="auto"/>
      </w:divBdr>
    </w:div>
    <w:div w:id="1891451347">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0462100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19174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7AEA9-759B-4B49-BBEE-2828B106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3650</Words>
  <Characters>20076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3</cp:revision>
  <dcterms:created xsi:type="dcterms:W3CDTF">2022-04-07T17:27:00Z</dcterms:created>
  <dcterms:modified xsi:type="dcterms:W3CDTF">2022-04-21T19:29:00Z</dcterms:modified>
</cp:coreProperties>
</file>