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23D" w:rsidRDefault="00B56496">
      <w:pPr>
        <w:spacing w:before="240" w:after="240" w:line="360" w:lineRule="auto"/>
        <w:jc w:val="both"/>
        <w:rPr>
          <w:rFonts w:ascii="Palatino Linotype" w:eastAsia="Palatino Linotype" w:hAnsi="Palatino Linotype" w:cs="Palatino Linotype"/>
        </w:rPr>
      </w:pPr>
      <w:bookmarkStart w:id="0" w:name="_heading=h.3dy6vkm" w:colFirst="0" w:colLast="0"/>
      <w:bookmarkStart w:id="1" w:name="_GoBack"/>
      <w:bookmarkEnd w:id="0"/>
      <w:bookmarkEnd w:id="1"/>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53658">
        <w:rPr>
          <w:rFonts w:ascii="Palatino Linotype" w:eastAsia="Palatino Linotype" w:hAnsi="Palatino Linotype" w:cs="Palatino Linotype"/>
        </w:rPr>
        <w:t xml:space="preserve">veintinueve </w:t>
      </w:r>
      <w:r>
        <w:rPr>
          <w:rFonts w:ascii="Palatino Linotype" w:eastAsia="Palatino Linotype" w:hAnsi="Palatino Linotype" w:cs="Palatino Linotype"/>
        </w:rPr>
        <w:t>de junio de dos mil veintidós.</w:t>
      </w:r>
    </w:p>
    <w:p w:rsidR="008E523D" w:rsidRDefault="00B56496">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06644/INFOEM/IP/RR/2022 y 06645/INFOEM/IP/RR/2022 acumulados,</w:t>
      </w:r>
      <w:r>
        <w:rPr>
          <w:rFonts w:ascii="Palatino Linotype" w:eastAsia="Palatino Linotype" w:hAnsi="Palatino Linotype" w:cs="Palatino Linotype"/>
        </w:rPr>
        <w:t xml:space="preserve"> interpuestos por una persona usuaria del Sistema de Acceso a la Información Pública Mexiquense (SAIMEX) que no proporcionó nombre o seudónimo y quien en lo sucesivo será identificado como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Ayuntamiento de Toluca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rsidR="008E523D" w:rsidRDefault="00B5649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8E523D" w:rsidRDefault="00B56496">
      <w:pPr>
        <w:spacing w:before="240" w:after="240"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tc>
          <w:tcPr>
            <w:tcW w:w="3256" w:type="dxa"/>
            <w:shd w:val="clear" w:color="auto" w:fill="D9D9D9"/>
          </w:tcPr>
          <w:p w:rsidR="008E523D" w:rsidRDefault="00B56496">
            <w:pPr>
              <w:jc w:val="both"/>
              <w:rPr>
                <w:rFonts w:ascii="Palatino Linotype" w:eastAsia="Palatino Linotype" w:hAnsi="Palatino Linotype" w:cs="Palatino Linotype"/>
                <w:b/>
                <w:i/>
                <w:sz w:val="22"/>
                <w:szCs w:val="22"/>
              </w:rPr>
            </w:pPr>
            <w:bookmarkStart w:id="4" w:name="_heading=h.1fob9te" w:colFirst="0" w:colLast="0"/>
            <w:bookmarkEnd w:id="4"/>
            <w:r>
              <w:rPr>
                <w:rFonts w:ascii="Palatino Linotype" w:eastAsia="Palatino Linotype" w:hAnsi="Palatino Linotype" w:cs="Palatino Linotype"/>
                <w:b/>
                <w:i/>
                <w:sz w:val="22"/>
                <w:szCs w:val="22"/>
              </w:rPr>
              <w:t>Número de solicitud</w:t>
            </w:r>
          </w:p>
        </w:tc>
        <w:tc>
          <w:tcPr>
            <w:tcW w:w="5572" w:type="dxa"/>
            <w:shd w:val="clear" w:color="auto" w:fill="D9D9D9"/>
          </w:tcPr>
          <w:p w:rsidR="008E523D" w:rsidRDefault="00B5649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8E523D">
        <w:tc>
          <w:tcPr>
            <w:tcW w:w="3256" w:type="dxa"/>
          </w:tcPr>
          <w:p w:rsidR="008E523D" w:rsidRDefault="00B56496">
            <w:pPr>
              <w:jc w:val="both"/>
              <w:rPr>
                <w:rFonts w:ascii="Palatino Linotype" w:eastAsia="Palatino Linotype" w:hAnsi="Palatino Linotype" w:cs="Palatino Linotype"/>
                <w:b/>
                <w:i/>
                <w:sz w:val="22"/>
                <w:szCs w:val="22"/>
              </w:rPr>
            </w:pPr>
            <w:bookmarkStart w:id="5" w:name="_heading=h.3znysh7" w:colFirst="0" w:colLast="0"/>
            <w:bookmarkEnd w:id="5"/>
            <w:r>
              <w:rPr>
                <w:rFonts w:ascii="Palatino Linotype" w:eastAsia="Palatino Linotype" w:hAnsi="Palatino Linotype" w:cs="Palatino Linotype"/>
                <w:b/>
                <w:i/>
                <w:sz w:val="22"/>
                <w:szCs w:val="22"/>
              </w:rPr>
              <w:t>00828/TOLUCA/IP/2022 06644/INFOEM/IP/RR/2022</w:t>
            </w:r>
          </w:p>
        </w:tc>
        <w:tc>
          <w:tcPr>
            <w:tcW w:w="5572" w:type="dxa"/>
          </w:tcPr>
          <w:p w:rsidR="008E523D" w:rsidRDefault="00B5649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“listas de asistencia de cada uno de los integrantes de cabildo y de su personal, asi como nómina y recibos de pago de cada uno.” (Sic)</w:t>
            </w:r>
          </w:p>
        </w:tc>
      </w:tr>
      <w:tr w:rsidR="008E523D">
        <w:tc>
          <w:tcPr>
            <w:tcW w:w="3256" w:type="dxa"/>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00829/TOLUCA/IP/2022 06645/INFOEM/IP/RR/2022</w:t>
            </w:r>
          </w:p>
        </w:tc>
        <w:tc>
          <w:tcPr>
            <w:tcW w:w="5572" w:type="dxa"/>
          </w:tcPr>
          <w:p w:rsidR="008E523D" w:rsidRDefault="00B5649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“istas de asistencia de cada uno de los integrantes de cabildo y de su personal, asi como nómina y recibos de pago de cada uno.” (Sic)</w:t>
            </w:r>
          </w:p>
        </w:tc>
      </w:tr>
    </w:tbl>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8E523D" w:rsidRDefault="00B56496">
      <w:pPr>
        <w:spacing w:before="240" w:after="240" w:line="360" w:lineRule="auto"/>
        <w:jc w:val="both"/>
        <w:rPr>
          <w:rFonts w:ascii="Palatino Linotype" w:eastAsia="Palatino Linotype" w:hAnsi="Palatino Linotype" w:cs="Palatino Linotype"/>
          <w:sz w:val="22"/>
          <w:szCs w:val="22"/>
        </w:rPr>
      </w:pPr>
      <w:bookmarkStart w:id="6" w:name="_heading=h.2et92p0" w:colFirst="0" w:colLast="0"/>
      <w:bookmarkEnd w:id="6"/>
      <w:r>
        <w:rPr>
          <w:rFonts w:ascii="Palatino Linotype" w:eastAsia="Palatino Linotype" w:hAnsi="Palatino Linotype" w:cs="Palatino Linotype"/>
          <w:b/>
        </w:rPr>
        <w:lastRenderedPageBreak/>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el veintiuno de abril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 de información en los siguientes términos: </w:t>
      </w:r>
    </w:p>
    <w:p w:rsidR="008E523D" w:rsidRDefault="00B56496">
      <w:pP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atención a la solicitud de información número 00829/TOLUCA/IP/2022, me permito adjuntar al presente la respuesta correspondiente. Sin más por el momento, le envío un cordial saludo.” (Sic)</w:t>
      </w:r>
    </w:p>
    <w:p w:rsidR="008E523D" w:rsidRDefault="00B56496">
      <w:pPr>
        <w:spacing w:before="240" w:after="240" w:line="360" w:lineRule="auto"/>
        <w:ind w:left="851"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Pronunciamiento al que adjuntó los archivos electrónicos que se describen a continuación: </w:t>
      </w:r>
    </w:p>
    <w:tbl>
      <w:tblPr>
        <w:tblStyle w:val="af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949"/>
      </w:tblGrid>
      <w:tr w:rsidR="008E523D">
        <w:tc>
          <w:tcPr>
            <w:tcW w:w="2972" w:type="dxa"/>
            <w:shd w:val="clear" w:color="auto" w:fill="D9D9D9"/>
          </w:tcPr>
          <w:p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Número de solicitud</w:t>
            </w:r>
          </w:p>
        </w:tc>
        <w:tc>
          <w:tcPr>
            <w:tcW w:w="5949" w:type="dxa"/>
            <w:shd w:val="clear" w:color="auto" w:fill="D9D9D9"/>
          </w:tcPr>
          <w:p w:rsidR="008E523D" w:rsidRDefault="00B56496">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Respuesta</w:t>
            </w:r>
          </w:p>
        </w:tc>
      </w:tr>
      <w:tr w:rsidR="008E523D">
        <w:tc>
          <w:tcPr>
            <w:tcW w:w="2972" w:type="dxa"/>
          </w:tcPr>
          <w:p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00828/TOLUCA/IP/2022 06644/INFOEM/IP/RR/2022</w:t>
            </w:r>
          </w:p>
        </w:tc>
        <w:tc>
          <w:tcPr>
            <w:tcW w:w="5949" w:type="dxa"/>
            <w:vMerge w:val="restart"/>
          </w:tcPr>
          <w:p w:rsidR="008E523D" w:rsidRDefault="008E523D">
            <w:pPr>
              <w:jc w:val="both"/>
              <w:rPr>
                <w:rFonts w:ascii="Palatino Linotype" w:eastAsia="Palatino Linotype" w:hAnsi="Palatino Linotype" w:cs="Palatino Linotype"/>
                <w:i/>
                <w:sz w:val="20"/>
                <w:szCs w:val="20"/>
              </w:rPr>
            </w:pPr>
          </w:p>
          <w:p w:rsidR="008E523D" w:rsidRDefault="00B5649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“listas de asistencia de cada uno de los integrantes de cabildo y de su personal, asi como nómina y recibos de pago de cada uno.” (Sic)</w:t>
            </w:r>
          </w:p>
          <w:p w:rsidR="008E523D" w:rsidRDefault="008E523D">
            <w:pPr>
              <w:jc w:val="both"/>
              <w:rPr>
                <w:rFonts w:ascii="Palatino Linotype" w:eastAsia="Palatino Linotype" w:hAnsi="Palatino Linotype" w:cs="Palatino Linotype"/>
                <w:i/>
                <w:sz w:val="20"/>
                <w:szCs w:val="20"/>
              </w:rPr>
            </w:pPr>
          </w:p>
          <w:p w:rsidR="008E523D" w:rsidRDefault="00B56496">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En ambas solicitudes adjuntó dos archivos electrónicos en los que se observa como única diferencia el número de solicitud y cuyo contenido es el siguiente:</w:t>
            </w:r>
          </w:p>
          <w:p w:rsidR="008E523D" w:rsidRDefault="008E523D">
            <w:pPr>
              <w:jc w:val="both"/>
              <w:rPr>
                <w:rFonts w:ascii="Palatino Linotype" w:eastAsia="Palatino Linotype" w:hAnsi="Palatino Linotype" w:cs="Palatino Linotype"/>
                <w:sz w:val="20"/>
                <w:szCs w:val="20"/>
              </w:rPr>
            </w:pPr>
          </w:p>
          <w:p w:rsidR="008E523D" w:rsidRDefault="00B56496">
            <w:pPr>
              <w:numPr>
                <w:ilvl w:val="0"/>
                <w:numId w:val="1"/>
              </w:numPr>
              <w:pBdr>
                <w:top w:val="nil"/>
                <w:left w:val="nil"/>
                <w:bottom w:val="nil"/>
                <w:right w:val="nil"/>
                <w:between w:val="nil"/>
              </w:pBdr>
              <w:ind w:left="313" w:hanging="283"/>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SAIMEX 0828 (NOMINA DE SINDICATURAS Y REGIDURIAS 1a DE MARZO DE 2022).pdf: </w:t>
            </w:r>
            <w:r>
              <w:rPr>
                <w:rFonts w:ascii="Palatino Linotype" w:eastAsia="Palatino Linotype" w:hAnsi="Palatino Linotype" w:cs="Palatino Linotype"/>
                <w:color w:val="000000"/>
                <w:sz w:val="20"/>
                <w:szCs w:val="20"/>
              </w:rPr>
              <w:t xml:space="preserve">Contiene el documento titulado “LAS SINDICATURAS Y REGIDURIAS EN LA PRIMERA QUINCENA DE MARZO DE 2022 (NÓMINA). </w:t>
            </w:r>
          </w:p>
          <w:p w:rsidR="008E523D" w:rsidRDefault="00B56496">
            <w:pPr>
              <w:numPr>
                <w:ilvl w:val="0"/>
                <w:numId w:val="1"/>
              </w:numPr>
              <w:pBdr>
                <w:top w:val="nil"/>
                <w:left w:val="nil"/>
                <w:bottom w:val="nil"/>
                <w:right w:val="nil"/>
                <w:between w:val="nil"/>
              </w:pBdr>
              <w:ind w:left="313" w:hanging="283"/>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828.pdf: </w:t>
            </w:r>
            <w:r>
              <w:rPr>
                <w:rFonts w:ascii="Palatino Linotype" w:eastAsia="Palatino Linotype" w:hAnsi="Palatino Linotype" w:cs="Palatino Linotype"/>
                <w:color w:val="000000"/>
                <w:sz w:val="20"/>
                <w:szCs w:val="20"/>
              </w:rPr>
              <w:t xml:space="preserve">Escrito de fecha veintiuno de abril de dos mil veintidós, suscrito y signado por la Titular de la Unidad de Transparencia, por medio del cual informó que la Dirección de Recursos Humanos envía en formato digital la nómina solicitada y en cuanto a las listas de asistencia manifestó que hizo una búsqueda exhaustiva y razonable en los archivos que obran en la dirección y no localizó registro alguno del documento; asimismo, hizo del conocimiento que la información solicitada consta en 135 fojas, por lo que para acceder a la misma deberá erogar la cantidad de 227.91 (doscientos veintisiete 91/100 M.N.). </w:t>
            </w:r>
          </w:p>
          <w:p w:rsidR="008E523D" w:rsidRDefault="008E523D">
            <w:pPr>
              <w:jc w:val="both"/>
              <w:rPr>
                <w:rFonts w:ascii="Palatino Linotype" w:eastAsia="Palatino Linotype" w:hAnsi="Palatino Linotype" w:cs="Palatino Linotype"/>
                <w:i/>
                <w:sz w:val="20"/>
                <w:szCs w:val="20"/>
              </w:rPr>
            </w:pPr>
          </w:p>
        </w:tc>
      </w:tr>
      <w:tr w:rsidR="008E523D">
        <w:tc>
          <w:tcPr>
            <w:tcW w:w="2972" w:type="dxa"/>
          </w:tcPr>
          <w:p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00829/TOLUCA/IP/2022 06645/INFOEM/IP/RR/2022</w:t>
            </w:r>
          </w:p>
        </w:tc>
        <w:tc>
          <w:tcPr>
            <w:tcW w:w="5949" w:type="dxa"/>
            <w:vMerge/>
          </w:tcPr>
          <w:p w:rsidR="008E523D" w:rsidRDefault="008E523D">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rsidR="008E523D" w:rsidRDefault="008E523D">
      <w:pPr>
        <w:ind w:right="1043"/>
        <w:jc w:val="both"/>
        <w:rPr>
          <w:rFonts w:ascii="Palatino Linotype" w:eastAsia="Palatino Linotype" w:hAnsi="Palatino Linotype" w:cs="Palatino Linotype"/>
        </w:rPr>
      </w:pP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 los recursos de revisión. </w:t>
      </w:r>
      <w:r>
        <w:rPr>
          <w:rFonts w:ascii="Palatino Linotype" w:eastAsia="Palatino Linotype" w:hAnsi="Palatino Linotype" w:cs="Palatino Linotype"/>
        </w:rPr>
        <w:t xml:space="preserve">Inconforme con las respuestas del Sujeto Obligado, el veinticinco de abril de dos mil veintidós,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4155"/>
      </w:tblGrid>
      <w:tr w:rsidR="008E523D">
        <w:tc>
          <w:tcPr>
            <w:tcW w:w="2830" w:type="dxa"/>
            <w:shd w:val="clear" w:color="auto" w:fill="D9D9D9"/>
          </w:tcPr>
          <w:p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1843" w:type="dxa"/>
            <w:shd w:val="clear" w:color="auto" w:fill="D9D9D9"/>
          </w:tcPr>
          <w:p w:rsidR="008E523D" w:rsidRDefault="00B56496">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4155" w:type="dxa"/>
            <w:shd w:val="clear" w:color="auto" w:fill="D9D9D9"/>
          </w:tcPr>
          <w:p w:rsidR="008E523D" w:rsidRDefault="00B56496">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8E523D">
        <w:tc>
          <w:tcPr>
            <w:tcW w:w="2830" w:type="dxa"/>
          </w:tcPr>
          <w:p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06644/INFOEM/IP/RR/2022</w:t>
            </w:r>
          </w:p>
        </w:tc>
        <w:tc>
          <w:tcPr>
            <w:tcW w:w="1843" w:type="dxa"/>
            <w:vMerge w:val="restart"/>
          </w:tcPr>
          <w:p w:rsidR="008E523D" w:rsidRDefault="00B5649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los recibos solicitados”</w:t>
            </w:r>
          </w:p>
        </w:tc>
        <w:tc>
          <w:tcPr>
            <w:tcW w:w="4155" w:type="dxa"/>
            <w:vMerge w:val="restart"/>
          </w:tcPr>
          <w:p w:rsidR="008E523D" w:rsidRDefault="00B5649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los recibos solicitados..</w:t>
            </w:r>
          </w:p>
        </w:tc>
      </w:tr>
      <w:tr w:rsidR="008E523D">
        <w:tc>
          <w:tcPr>
            <w:tcW w:w="2830" w:type="dxa"/>
          </w:tcPr>
          <w:p w:rsidR="008E523D" w:rsidRDefault="00B564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06645/INFOEM/IP/RR/2022</w:t>
            </w:r>
          </w:p>
        </w:tc>
        <w:tc>
          <w:tcPr>
            <w:tcW w:w="1843" w:type="dxa"/>
            <w:vMerge/>
          </w:tcPr>
          <w:p w:rsidR="008E523D" w:rsidRDefault="008E523D">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c>
          <w:tcPr>
            <w:tcW w:w="4155" w:type="dxa"/>
            <w:vMerge/>
          </w:tcPr>
          <w:p w:rsidR="008E523D" w:rsidRDefault="008E523D">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rsidR="008E523D" w:rsidRDefault="00B5649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tc>
          <w:tcPr>
            <w:tcW w:w="3256" w:type="dxa"/>
            <w:shd w:val="clear" w:color="auto" w:fill="D9D9D9"/>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Recurso de Revisión </w:t>
            </w:r>
          </w:p>
        </w:tc>
        <w:tc>
          <w:tcPr>
            <w:tcW w:w="5572" w:type="dxa"/>
            <w:shd w:val="clear" w:color="auto" w:fill="D9D9D9"/>
          </w:tcPr>
          <w:p w:rsidR="008E523D" w:rsidRDefault="00B5649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8E523D">
        <w:tc>
          <w:tcPr>
            <w:tcW w:w="3256" w:type="dxa"/>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06644/INFOEM/IP/RR/2022 </w:t>
            </w:r>
          </w:p>
        </w:tc>
        <w:tc>
          <w:tcPr>
            <w:tcW w:w="5572" w:type="dxa"/>
          </w:tcPr>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8E523D">
        <w:tc>
          <w:tcPr>
            <w:tcW w:w="3256" w:type="dxa"/>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06645/INFOEM/IP/RR/2022</w:t>
            </w:r>
          </w:p>
        </w:tc>
        <w:tc>
          <w:tcPr>
            <w:tcW w:w="5572" w:type="dxa"/>
          </w:tcPr>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Presidente José Martínez Vilchis</w:t>
            </w:r>
          </w:p>
        </w:tc>
      </w:tr>
    </w:tbl>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El veintiocho y veintinueve de abril de dos mil veintidós, en términos de lo dispuesto en el artículo 185 fracciones I, II y IV de la Ley de Transparencia y Acceso a la Información Pública del Estado de México y Municipios, se admitieron a trámite los recursos de revisión.</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Décima Sexta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cuatro de mayo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w:t>
      </w:r>
      <w:r>
        <w:rPr>
          <w:rFonts w:ascii="Palatino Linotype" w:eastAsia="Palatino Linotype" w:hAnsi="Palatino Linotype" w:cs="Palatino Linotype"/>
        </w:rPr>
        <w:lastRenderedPageBreak/>
        <w:t xml:space="preserve">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notificado a las partes, vía SAIMEX.</w:t>
      </w:r>
    </w:p>
    <w:p w:rsidR="008E523D" w:rsidRDefault="00B56496">
      <w:pPr>
        <w:spacing w:before="240" w:after="240" w:line="360" w:lineRule="auto"/>
        <w:jc w:val="both"/>
        <w:rPr>
          <w:rFonts w:ascii="Palatino Linotype" w:eastAsia="Palatino Linotype" w:hAnsi="Palatino Linotype" w:cs="Palatino Linotype"/>
        </w:rPr>
      </w:pPr>
      <w:bookmarkStart w:id="7" w:name="_heading=h.tyjcwt" w:colFirst="0" w:colLast="0"/>
      <w:bookmarkEnd w:id="7"/>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El diez y once de mayo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sus informes justificados, remitiendo los siguientes archivos electrónicos: </w:t>
      </w:r>
    </w:p>
    <w:tbl>
      <w:tblPr>
        <w:tblStyle w:val="afff6"/>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2985"/>
        <w:gridCol w:w="2983"/>
      </w:tblGrid>
      <w:tr w:rsidR="008E523D">
        <w:tc>
          <w:tcPr>
            <w:tcW w:w="2953" w:type="dxa"/>
            <w:shd w:val="clear" w:color="auto" w:fill="D9D9D9"/>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 xml:space="preserve">Recursos de Revisión </w:t>
            </w:r>
          </w:p>
        </w:tc>
        <w:tc>
          <w:tcPr>
            <w:tcW w:w="2985" w:type="dxa"/>
            <w:shd w:val="clear" w:color="auto" w:fill="D9D9D9"/>
          </w:tcPr>
          <w:p w:rsidR="008E523D" w:rsidRDefault="00B5649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Informe Justificado  </w:t>
            </w:r>
          </w:p>
        </w:tc>
        <w:tc>
          <w:tcPr>
            <w:tcW w:w="2983" w:type="dxa"/>
            <w:shd w:val="clear" w:color="auto" w:fill="D9D9D9"/>
          </w:tcPr>
          <w:p w:rsidR="008E523D" w:rsidRDefault="00B5649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Contenido</w:t>
            </w:r>
          </w:p>
        </w:tc>
      </w:tr>
      <w:tr w:rsidR="008E523D">
        <w:tc>
          <w:tcPr>
            <w:tcW w:w="2953" w:type="dxa"/>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06644/INFOEM/IP/RR/2022 </w:t>
            </w:r>
          </w:p>
        </w:tc>
        <w:tc>
          <w:tcPr>
            <w:tcW w:w="2985" w:type="dxa"/>
          </w:tcPr>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sz w:val="20"/>
                <w:szCs w:val="20"/>
              </w:rPr>
              <w:t>RR 6644_2022.pdf</w:t>
            </w:r>
          </w:p>
        </w:tc>
        <w:tc>
          <w:tcPr>
            <w:tcW w:w="2983" w:type="dxa"/>
          </w:tcPr>
          <w:p w:rsidR="008E523D" w:rsidRDefault="00B56496">
            <w:pPr>
              <w:pBdr>
                <w:top w:val="nil"/>
                <w:left w:val="nil"/>
                <w:bottom w:val="nil"/>
                <w:right w:val="nil"/>
                <w:between w:val="nil"/>
              </w:pBd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Oficio: UT/RR/0294/2022 de fecha 10 de mayo de 2022 por medio del cual la Titular de la Unidad de Transparencia ratificó la respuesta inicial. </w:t>
            </w:r>
          </w:p>
        </w:tc>
      </w:tr>
      <w:tr w:rsidR="008E523D">
        <w:tc>
          <w:tcPr>
            <w:tcW w:w="2953" w:type="dxa"/>
          </w:tcPr>
          <w:p w:rsidR="008E523D" w:rsidRDefault="00B5649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06645/INFOEM/IP/RR/2022</w:t>
            </w:r>
          </w:p>
        </w:tc>
        <w:tc>
          <w:tcPr>
            <w:tcW w:w="2985" w:type="dxa"/>
          </w:tcPr>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sz w:val="20"/>
                <w:szCs w:val="20"/>
              </w:rPr>
              <w:t>RR 6645_2022.pdf</w:t>
            </w:r>
          </w:p>
        </w:tc>
        <w:tc>
          <w:tcPr>
            <w:tcW w:w="2983" w:type="dxa"/>
          </w:tcPr>
          <w:p w:rsidR="008E523D" w:rsidRDefault="00B5649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Oficio UT/RR/00308/2022 del 11 de mayo de 2022 mediante el cual la Titular de la Unidad de Transparencia ratificó la respuesta inicial. </w:t>
            </w:r>
          </w:p>
        </w:tc>
      </w:tr>
    </w:tbl>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el catorce de junio de dos mil veintidós se notificaron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su conocimiento y para que dentro del plazo de tres días hábiles siguientes a la notificación de los mismos, manifestara lo que a su derecho asistiera y conviniera. </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no ofreció ningún medio de prueba.  </w:t>
      </w:r>
    </w:p>
    <w:p w:rsidR="008E523D" w:rsidRDefault="008E523D">
      <w:pPr>
        <w:spacing w:before="240" w:after="240" w:line="360" w:lineRule="auto"/>
        <w:jc w:val="both"/>
        <w:rPr>
          <w:rFonts w:ascii="Palatino Linotype" w:eastAsia="Palatino Linotype" w:hAnsi="Palatino Linotype" w:cs="Palatino Linotype"/>
        </w:rPr>
      </w:pPr>
    </w:p>
    <w:p w:rsidR="008E523D" w:rsidRDefault="008E523D">
      <w:pPr>
        <w:spacing w:before="240" w:after="240" w:line="360" w:lineRule="auto"/>
        <w:jc w:val="both"/>
        <w:rPr>
          <w:rFonts w:ascii="Palatino Linotype" w:eastAsia="Palatino Linotype" w:hAnsi="Palatino Linotype" w:cs="Palatino Linotype"/>
        </w:rPr>
      </w:pPr>
    </w:p>
    <w:p w:rsidR="008E523D" w:rsidRDefault="00B5649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El </w:t>
      </w:r>
      <w:r w:rsidR="00253658" w:rsidRPr="00253658">
        <w:rPr>
          <w:rFonts w:ascii="Palatino Linotype" w:eastAsia="Palatino Linotype" w:hAnsi="Palatino Linotype" w:cs="Palatino Linotype"/>
          <w:b/>
        </w:rPr>
        <w:t>veintiuno</w:t>
      </w:r>
      <w:r w:rsidRPr="00253658">
        <w:rPr>
          <w:rFonts w:ascii="Palatino Linotype" w:eastAsia="Palatino Linotype" w:hAnsi="Palatino Linotype" w:cs="Palatino Linotype"/>
          <w:b/>
        </w:rPr>
        <w:t xml:space="preserve"> de junio </w:t>
      </w:r>
      <w:r>
        <w:rPr>
          <w:rFonts w:ascii="Palatino Linotype" w:eastAsia="Palatino Linotype" w:hAnsi="Palatino Linotype" w:cs="Palatino Linotype"/>
          <w:b/>
        </w:rPr>
        <w:t>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8E523D" w:rsidRDefault="00B5649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Ampliación del plazo para emitir </w:t>
      </w:r>
      <w:r w:rsidRPr="00253658">
        <w:rPr>
          <w:rFonts w:ascii="Palatino Linotype" w:eastAsia="Palatino Linotype" w:hAnsi="Palatino Linotype" w:cs="Palatino Linotype"/>
          <w:b/>
        </w:rPr>
        <w:t xml:space="preserve">resolución. </w:t>
      </w:r>
      <w:r w:rsidRPr="00253658">
        <w:rPr>
          <w:rFonts w:ascii="Palatino Linotype" w:eastAsia="Palatino Linotype" w:hAnsi="Palatino Linotype" w:cs="Palatino Linotype"/>
        </w:rPr>
        <w:t xml:space="preserve">El </w:t>
      </w:r>
      <w:r w:rsidR="00253658" w:rsidRPr="00253658">
        <w:rPr>
          <w:rFonts w:ascii="Palatino Linotype" w:eastAsia="Palatino Linotype" w:hAnsi="Palatino Linotype" w:cs="Palatino Linotype"/>
          <w:b/>
        </w:rPr>
        <w:t>veintitrés de junio de dos mil</w:t>
      </w:r>
      <w:r w:rsidRPr="00253658">
        <w:rPr>
          <w:rFonts w:ascii="Palatino Linotype" w:eastAsia="Palatino Linotype" w:hAnsi="Palatino Linotype" w:cs="Palatino Linotype"/>
          <w:b/>
        </w:rPr>
        <w:t xml:space="preserve"> veintidós</w:t>
      </w:r>
      <w:r w:rsidRPr="00253658">
        <w:rPr>
          <w:rFonts w:ascii="Palatino Linotype" w:eastAsia="Palatino Linotype" w:hAnsi="Palatino Linotype" w:cs="Palatino Linotype"/>
        </w:rPr>
        <w:t>, este Instituto con fundamento en el artículo 181, párrafo</w:t>
      </w:r>
      <w:r>
        <w:rPr>
          <w:rFonts w:ascii="Palatino Linotype" w:eastAsia="Palatino Linotype" w:hAnsi="Palatino Linotype" w:cs="Palatino Linotype"/>
        </w:rPr>
        <w:t xml:space="preserve"> tercero, de la Ley de Transparencia y Acceso a la Información Pública del Estado de México y Municipios, determinó ampliar el plazo para emitir la presente resolución</w:t>
      </w:r>
      <w:r w:rsidR="00151D4F">
        <w:rPr>
          <w:rFonts w:ascii="Palatino Linotype" w:eastAsia="Palatino Linotype" w:hAnsi="Palatino Linotype" w:cs="Palatino Linotype"/>
        </w:rPr>
        <w:t>.</w:t>
      </w: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79301B">
        <w:rPr>
          <w:rFonts w:ascii="Palatino Linotype" w:eastAsia="Calibri" w:hAnsi="Palatino Linotype"/>
          <w:highlight w:val="yellow"/>
          <w:lang w:val="es-MX" w:eastAsia="en-US"/>
        </w:rPr>
        <w:lastRenderedPageBreak/>
        <w:t>órganos jurisdiccionales federales, aplicables también en procedimientos análogos, como el que nos ocupa.</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strike/>
          <w:color w:val="FF0000"/>
          <w:highlight w:val="yellow"/>
          <w:lang w:val="es-MX" w:eastAsia="en-US"/>
        </w:rPr>
      </w:pPr>
      <w:r w:rsidRPr="0079301B">
        <w:rPr>
          <w:rFonts w:ascii="Palatino Linotype" w:eastAsia="Calibri" w:hAnsi="Palatino Linotype"/>
          <w:highlight w:val="yellow"/>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numPr>
          <w:ilvl w:val="0"/>
          <w:numId w:val="5"/>
        </w:numPr>
        <w:spacing w:after="160" w:line="360" w:lineRule="auto"/>
        <w:contextualSpacing/>
        <w:jc w:val="both"/>
        <w:rPr>
          <w:rFonts w:ascii="Palatino Linotype" w:hAnsi="Palatino Linotype"/>
          <w:highlight w:val="yellow"/>
        </w:rPr>
      </w:pPr>
      <w:r w:rsidRPr="0079301B">
        <w:rPr>
          <w:rFonts w:ascii="Palatino Linotype" w:hAnsi="Palatino Linotype"/>
          <w:highlight w:val="yellow"/>
        </w:rPr>
        <w:t xml:space="preserve">Complejidad del Asunto: La complejidad de la prueba, la pluralidad de sujetos procesales, el tiempo transcurrido, las características y contexto del recurso. </w:t>
      </w:r>
    </w:p>
    <w:p w:rsidR="00151D4F" w:rsidRPr="0079301B" w:rsidRDefault="00151D4F" w:rsidP="00151D4F">
      <w:pPr>
        <w:spacing w:line="360" w:lineRule="auto"/>
        <w:ind w:left="927"/>
        <w:jc w:val="both"/>
        <w:rPr>
          <w:rFonts w:ascii="Palatino Linotype" w:hAnsi="Palatino Linotype"/>
          <w:highlight w:val="yellow"/>
        </w:rPr>
      </w:pPr>
    </w:p>
    <w:p w:rsidR="00151D4F" w:rsidRPr="0079301B" w:rsidRDefault="00151D4F" w:rsidP="00151D4F">
      <w:pPr>
        <w:numPr>
          <w:ilvl w:val="0"/>
          <w:numId w:val="5"/>
        </w:numPr>
        <w:spacing w:after="160" w:line="360" w:lineRule="auto"/>
        <w:contextualSpacing/>
        <w:jc w:val="both"/>
        <w:rPr>
          <w:rFonts w:ascii="Palatino Linotype" w:hAnsi="Palatino Linotype"/>
          <w:highlight w:val="yellow"/>
        </w:rPr>
      </w:pPr>
      <w:r w:rsidRPr="0079301B">
        <w:rPr>
          <w:rFonts w:ascii="Palatino Linotype" w:hAnsi="Palatino Linotype"/>
          <w:highlight w:val="yellow"/>
        </w:rPr>
        <w:t>Actividad Procesal del interesado. Acciones u omisiones del interesado.</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numPr>
          <w:ilvl w:val="0"/>
          <w:numId w:val="5"/>
        </w:numPr>
        <w:spacing w:after="160" w:line="360" w:lineRule="auto"/>
        <w:contextualSpacing/>
        <w:jc w:val="both"/>
        <w:rPr>
          <w:rFonts w:ascii="Palatino Linotype" w:hAnsi="Palatino Linotype"/>
          <w:highlight w:val="yellow"/>
        </w:rPr>
      </w:pPr>
      <w:r w:rsidRPr="0079301B">
        <w:rPr>
          <w:rFonts w:ascii="Palatino Linotype" w:hAnsi="Palatino Linotype"/>
          <w:highlight w:val="yellow"/>
        </w:rPr>
        <w:lastRenderedPageBreak/>
        <w:t>Conducta de la Autoridad: Las Acciones u omisiones realizadas en el procedimiento. Así como si la autoridad actuó con la debida diligencia.</w:t>
      </w:r>
    </w:p>
    <w:p w:rsidR="00151D4F" w:rsidRPr="0079301B" w:rsidRDefault="00151D4F" w:rsidP="00151D4F">
      <w:pPr>
        <w:spacing w:line="360" w:lineRule="auto"/>
        <w:ind w:left="708"/>
        <w:rPr>
          <w:rFonts w:ascii="Palatino Linotype" w:hAnsi="Palatino Linotype"/>
          <w:highlight w:val="yellow"/>
        </w:rPr>
      </w:pPr>
    </w:p>
    <w:p w:rsidR="00151D4F" w:rsidRPr="0079301B" w:rsidRDefault="00151D4F" w:rsidP="00151D4F">
      <w:pPr>
        <w:spacing w:line="360" w:lineRule="auto"/>
        <w:ind w:left="567"/>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d) La afectación generada en la situación jurídica de la persona involucrada en el proceso: Violación a sus derechos humanos.</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b/>
          <w:highlight w:val="yellow"/>
          <w:lang w:val="es-MX" w:eastAsia="en-US"/>
        </w:rPr>
      </w:pPr>
      <w:r w:rsidRPr="0079301B">
        <w:rPr>
          <w:rFonts w:ascii="Palatino Linotype" w:eastAsia="Calibri" w:hAnsi="Palatino Linotype"/>
          <w:highlight w:val="yellow"/>
          <w:lang w:val="es-MX" w:eastAsia="en-US"/>
        </w:rPr>
        <w:t xml:space="preserve">Argumento que encuentra sustento en la jurisprudencia P./J. 32/92 emitida por el Pleno de la Suprema Corte de Justicia de la Nación de rubro </w:t>
      </w:r>
      <w:r w:rsidRPr="0079301B">
        <w:rPr>
          <w:rFonts w:ascii="Palatino Linotype" w:eastAsia="Calibri" w:hAnsi="Palatino Linotype"/>
          <w:i/>
          <w:highlight w:val="yellow"/>
          <w:lang w:val="es-MX" w:eastAsia="en-US"/>
        </w:rPr>
        <w:t>“TÉRMINOS PROCESALES. PARA DETERMINAR SI UN FUNCIONARIO JUDICIAL ACTUÓ INDEBIDAMENTE POR NO RESPETARLOS SE DEBE ATENDER AL PRESUPUESTO QUE CONSIDERÓ EL LEGISLADOR AL FIJARLOS Y LAS CARACTERÍSTICAS DEL CASO.”</w:t>
      </w:r>
      <w:r w:rsidRPr="0079301B">
        <w:rPr>
          <w:rFonts w:ascii="Palatino Linotype" w:eastAsia="Calibri" w:hAnsi="Palatino Linotype"/>
          <w:highlight w:val="yellow"/>
          <w:lang w:val="es-MX" w:eastAsia="en-US"/>
        </w:rPr>
        <w:t>, visible en la Gaceta del Seminario Judicial de la Federación con el registro digital 205635.</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79301B">
        <w:rPr>
          <w:rFonts w:ascii="Palatino Linotype" w:eastAsia="Calibri" w:hAnsi="Palatino Linotype"/>
          <w:highlight w:val="yellow"/>
          <w:lang w:val="es-MX" w:eastAsia="en-U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Al respecto, también son de considerar los criterios sostenidos por el Cuarto Tribunal Colegiado en Materia Administrativa del Primer Circuito, cuyos rubros y datos de identificación son los siguientes:</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highlight w:val="yellow"/>
          <w:lang w:val="es-MX" w:eastAsia="en-US"/>
        </w:rPr>
        <w:t xml:space="preserve"> </w:t>
      </w:r>
      <w:r w:rsidRPr="0079301B">
        <w:rPr>
          <w:rFonts w:ascii="Palatino Linotype" w:eastAsia="Calibri" w:hAnsi="Palatino Linotype"/>
          <w:i/>
          <w:highlight w:val="yellow"/>
          <w:lang w:val="es-MX" w:eastAsia="en-US"/>
        </w:rPr>
        <w:t>“PLAZO RAZONABLE PARA RESOLVER. DIMENSIÓN Y EFECTOS DE ESTE CONCEPTO CUANDO SE ADUCE EXCESIVA CARGA DE TRABAJO.”</w:t>
      </w:r>
      <w:r w:rsidRPr="0079301B">
        <w:rPr>
          <w:rFonts w:ascii="Palatino Linotype" w:eastAsia="Calibri" w:hAnsi="Palatino Linotype"/>
          <w:highlight w:val="yellow"/>
          <w:lang w:val="es-MX" w:eastAsia="en-US"/>
        </w:rPr>
        <w:t xml:space="preserve"> consultable en el Seminario Judicial de la Federación y su gaceta, con el registro digital 2002351.</w:t>
      </w:r>
    </w:p>
    <w:p w:rsidR="00151D4F" w:rsidRPr="0079301B" w:rsidRDefault="00151D4F" w:rsidP="00151D4F">
      <w:pPr>
        <w:spacing w:line="360" w:lineRule="auto"/>
        <w:jc w:val="both"/>
        <w:rPr>
          <w:rFonts w:ascii="Palatino Linotype" w:eastAsia="Calibri" w:hAnsi="Palatino Linotype"/>
          <w:b/>
          <w:highlight w:val="yellow"/>
          <w:lang w:val="es-MX" w:eastAsia="en-US"/>
        </w:rPr>
      </w:pPr>
    </w:p>
    <w:p w:rsidR="00151D4F" w:rsidRPr="0079301B" w:rsidRDefault="00151D4F" w:rsidP="00151D4F">
      <w:pPr>
        <w:spacing w:line="360" w:lineRule="auto"/>
        <w:jc w:val="both"/>
        <w:rPr>
          <w:rFonts w:ascii="Palatino Linotype" w:eastAsia="Calibri" w:hAnsi="Palatino Linotype"/>
          <w:highlight w:val="yellow"/>
          <w:lang w:val="es-MX" w:eastAsia="en-US"/>
        </w:rPr>
      </w:pPr>
      <w:r w:rsidRPr="0079301B">
        <w:rPr>
          <w:rFonts w:ascii="Palatino Linotype" w:eastAsia="Calibri" w:hAnsi="Palatino Linotype"/>
          <w:i/>
          <w:highlight w:val="yellow"/>
          <w:lang w:val="es-MX" w:eastAsia="en-US"/>
        </w:rPr>
        <w:t>“PLAZO RAZONABLE PARA RESOLVER. CONCEPTO Y ELEMENTOS QUE LO INTEGRAN A LA LUZ DEL DERECHO INTERNACIONAL DE LOS DERECHOS HUMANOS.”</w:t>
      </w:r>
      <w:r w:rsidRPr="0079301B">
        <w:rPr>
          <w:rFonts w:ascii="Palatino Linotype" w:eastAsia="Calibri" w:hAnsi="Palatino Linotype"/>
          <w:highlight w:val="yellow"/>
          <w:lang w:val="es-MX" w:eastAsia="en-US"/>
        </w:rPr>
        <w:t>, visible en el Seminario Judicial de la Federación y su gaceta, con el registro digital 2002350.</w:t>
      </w:r>
    </w:p>
    <w:p w:rsidR="00151D4F" w:rsidRPr="0079301B" w:rsidRDefault="00151D4F" w:rsidP="00151D4F">
      <w:pPr>
        <w:spacing w:line="360" w:lineRule="auto"/>
        <w:jc w:val="both"/>
        <w:rPr>
          <w:rFonts w:ascii="Palatino Linotype" w:eastAsia="Calibri" w:hAnsi="Palatino Linotype"/>
          <w:highlight w:val="yellow"/>
          <w:lang w:val="es-MX" w:eastAsia="en-US"/>
        </w:rPr>
      </w:pPr>
    </w:p>
    <w:p w:rsidR="00151D4F" w:rsidRPr="0079301B" w:rsidRDefault="00151D4F" w:rsidP="00151D4F">
      <w:pPr>
        <w:spacing w:line="360" w:lineRule="auto"/>
        <w:jc w:val="both"/>
        <w:rPr>
          <w:rFonts w:ascii="Palatino Linotype" w:eastAsia="Calibri" w:hAnsi="Palatino Linotype"/>
          <w:lang w:val="es-MX" w:eastAsia="en-US"/>
        </w:rPr>
      </w:pPr>
      <w:r w:rsidRPr="0079301B">
        <w:rPr>
          <w:rFonts w:ascii="Palatino Linotype" w:eastAsia="Calibri" w:hAnsi="Palatino Linotype"/>
          <w:highlight w:val="yellow"/>
          <w:lang w:val="es-MX" w:eastAsia="en-US"/>
        </w:rPr>
        <w:t>Por ello, este organismo garante comprometido con la tutela de los derechos humanos confiados, señala que este plazo legal para resolver el presente asunto, resulta de carácter excepcional.</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razón de que fueron debidamente sustanciados los expedientes electrónicos y no existe diligencia pendiente de desahogo, se emite la Resolución que conforme a Derecho proceda, de acuerdo con los siguientes:</w:t>
      </w:r>
    </w:p>
    <w:p w:rsidR="008E523D" w:rsidRDefault="00B56496">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Los recursos de revisión fueron interpuestos dentro del plazo de quince días hábiles, previsto en el artículo 178 de la Ley de Transparencia y Acceso a la Información Pública del Estado de México y Municipios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 de información el </w:t>
      </w:r>
      <w:r>
        <w:rPr>
          <w:rFonts w:ascii="Palatino Linotype" w:eastAsia="Palatino Linotype" w:hAnsi="Palatino Linotype" w:cs="Palatino Linotype"/>
          <w:b/>
        </w:rPr>
        <w:t xml:space="preserve">veintiuno de abril de dos mil veintidós, </w:t>
      </w:r>
      <w:r>
        <w:rPr>
          <w:rFonts w:ascii="Palatino Linotype" w:eastAsia="Palatino Linotype" w:hAnsi="Palatino Linotype" w:cs="Palatino Linotype"/>
        </w:rPr>
        <w:t xml:space="preserve">mientras que los recursos de revisión se interpusieron el </w:t>
      </w:r>
      <w:r>
        <w:rPr>
          <w:rFonts w:ascii="Palatino Linotype" w:eastAsia="Palatino Linotype" w:hAnsi="Palatino Linotype" w:cs="Palatino Linotype"/>
          <w:b/>
        </w:rPr>
        <w:t>veinticinco de abril de dos mil veintidós</w:t>
      </w:r>
      <w:r>
        <w:rPr>
          <w:rFonts w:ascii="Palatino Linotype" w:eastAsia="Palatino Linotype" w:hAnsi="Palatino Linotype" w:cs="Palatino Linotype"/>
        </w:rPr>
        <w:t>, esto es, al segundo día hábil siguiente de aquel en que tuvo conocimiento de la respuesta; evidenciándose que la interposición del recurso se encuentra dentro de los márgenes temporales previstos en el citado precepto legal.</w:t>
      </w:r>
    </w:p>
    <w:p w:rsidR="008E523D" w:rsidRDefault="008E523D">
      <w:pPr>
        <w:spacing w:before="240" w:after="240" w:line="360" w:lineRule="auto"/>
        <w:jc w:val="both"/>
        <w:rPr>
          <w:rFonts w:ascii="Palatino Linotype" w:eastAsia="Palatino Linotype" w:hAnsi="Palatino Linotype" w:cs="Palatino Linotype"/>
        </w:rPr>
      </w:pPr>
    </w:p>
    <w:p w:rsidR="008E523D" w:rsidRDefault="00B56496">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otro es de suma importancia mencionar que, si bien el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E523D" w:rsidRDefault="00B56496">
      <w:pPr>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8E523D" w:rsidRDefault="008E523D">
      <w:pPr>
        <w:spacing w:line="360" w:lineRule="auto"/>
        <w:ind w:right="-150"/>
        <w:jc w:val="both"/>
        <w:rPr>
          <w:rFonts w:ascii="Palatino Linotype" w:eastAsia="Palatino Linotype" w:hAnsi="Palatino Linotype" w:cs="Palatino Linotype"/>
        </w:rPr>
      </w:pPr>
    </w:p>
    <w:p w:rsidR="008E523D" w:rsidRDefault="00B56496">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rsidR="008E523D" w:rsidRDefault="008E523D">
      <w:pPr>
        <w:spacing w:line="360" w:lineRule="auto"/>
        <w:ind w:right="-150"/>
        <w:jc w:val="both"/>
        <w:rPr>
          <w:rFonts w:ascii="Palatino Linotype" w:eastAsia="Palatino Linotype" w:hAnsi="Palatino Linotype" w:cs="Palatino Linotype"/>
          <w:b/>
        </w:rPr>
      </w:pPr>
    </w:p>
    <w:p w:rsidR="008E523D" w:rsidRDefault="00B56496">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 los recursos,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sus motivos de inconformidad, de acuerdo al artículo 179, fracción V  del ordenamiento legal citado, que a la letra dice:</w:t>
      </w:r>
    </w:p>
    <w:p w:rsidR="008E523D" w:rsidRDefault="00B56496">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8E523D" w:rsidRDefault="00B5649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8E523D" w:rsidRDefault="00B5649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La entrega de información incompleta: </w:t>
      </w:r>
    </w:p>
    <w:p w:rsidR="008E523D" w:rsidRDefault="00B56496">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8E523D" w:rsidRDefault="00B56496">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w:t>
      </w:r>
      <w:r>
        <w:rPr>
          <w:rFonts w:ascii="Palatino Linotype" w:eastAsia="Palatino Linotype" w:hAnsi="Palatino Linotype" w:cs="Palatino Linotype"/>
        </w:rPr>
        <w:lastRenderedPageBreak/>
        <w:t>específicamente a nivel Constitucional, tal y como lo prevén los arábigos 1 párrafos primero, segundo y tercero y 6 apartado A fracciones I, II, III, IV, V, VI y VII que a la letra señalan:</w:t>
      </w:r>
    </w:p>
    <w:p w:rsidR="008E523D" w:rsidRDefault="00B56496">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523D" w:rsidRDefault="00B56496">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523D" w:rsidRDefault="00B56496">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523D" w:rsidRDefault="00B56496">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8E523D" w:rsidRDefault="00B5649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523D" w:rsidRDefault="00B56496">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8E523D" w:rsidRDefault="008E523D">
      <w:pPr>
        <w:ind w:right="851"/>
        <w:jc w:val="both"/>
        <w:rPr>
          <w:rFonts w:ascii="Palatino Linotype" w:eastAsia="Palatino Linotype" w:hAnsi="Palatino Linotype" w:cs="Palatino Linotype"/>
          <w:i/>
          <w:sz w:val="22"/>
          <w:szCs w:val="22"/>
        </w:rPr>
      </w:pPr>
    </w:p>
    <w:p w:rsidR="008E523D" w:rsidRDefault="00B56496">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8E523D" w:rsidRDefault="00B56496">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En primer lugar</w:t>
      </w:r>
      <w:r>
        <w:rPr>
          <w:rFonts w:ascii="Palatino Linotype" w:eastAsia="Palatino Linotype" w:hAnsi="Palatino Linotype" w:cs="Palatino Linotype"/>
        </w:rPr>
        <w:t xml:space="preserve">,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8E523D" w:rsidRDefault="00B56496">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E523D" w:rsidRDefault="00B56496">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E523D" w:rsidRDefault="00B56496">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8E523D" w:rsidRDefault="008E523D">
      <w:pPr>
        <w:ind w:left="709" w:right="760"/>
        <w:jc w:val="both"/>
        <w:rPr>
          <w:rFonts w:ascii="Palatino Linotype" w:eastAsia="Palatino Linotype" w:hAnsi="Palatino Linotype" w:cs="Palatino Linotype"/>
          <w:i/>
        </w:rPr>
      </w:pP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w:t>
      </w:r>
      <w:r>
        <w:rPr>
          <w:rFonts w:ascii="Palatino Linotype" w:eastAsia="Palatino Linotype" w:hAnsi="Palatino Linotype" w:cs="Palatino Linotype"/>
        </w:rPr>
        <w:lastRenderedPageBreak/>
        <w:t>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E523D" w:rsidRDefault="00B56496">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E523D" w:rsidRDefault="00B56496">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E523D" w:rsidRDefault="008E523D">
      <w:pPr>
        <w:spacing w:line="360" w:lineRule="auto"/>
        <w:ind w:right="-93"/>
        <w:jc w:val="both"/>
        <w:rPr>
          <w:rFonts w:ascii="Palatino Linotype" w:eastAsia="Palatino Linotype" w:hAnsi="Palatino Linotype" w:cs="Palatino Linotype"/>
          <w:color w:val="000000"/>
        </w:rPr>
      </w:pPr>
    </w:p>
    <w:p w:rsidR="008E523D" w:rsidRDefault="00B5649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E523D" w:rsidRDefault="008E523D">
      <w:pPr>
        <w:spacing w:line="360" w:lineRule="auto"/>
        <w:jc w:val="both"/>
        <w:rPr>
          <w:rFonts w:ascii="Palatino Linotype" w:eastAsia="Palatino Linotype" w:hAnsi="Palatino Linotype" w:cs="Palatino Linotype"/>
          <w:color w:val="000000"/>
        </w:rPr>
      </w:pPr>
    </w:p>
    <w:p w:rsidR="008E523D" w:rsidRDefault="00B5649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Pr>
          <w:rFonts w:ascii="Palatino Linotype" w:eastAsia="Palatino Linotype" w:hAnsi="Palatino Linotype" w:cs="Palatino Linotype"/>
        </w:rPr>
        <w:lastRenderedPageBreak/>
        <w:t>de Transparencia y Acceso a la Información Pública del Estado de México y Municipios.</w:t>
      </w:r>
    </w:p>
    <w:p w:rsidR="008E523D" w:rsidRDefault="008E523D">
      <w:pPr>
        <w:spacing w:line="360" w:lineRule="auto"/>
        <w:ind w:right="49"/>
        <w:jc w:val="both"/>
        <w:rPr>
          <w:rFonts w:ascii="Palatino Linotype" w:eastAsia="Palatino Linotype" w:hAnsi="Palatino Linotype" w:cs="Palatino Linotype"/>
        </w:rPr>
      </w:pPr>
    </w:p>
    <w:p w:rsidR="008E523D" w:rsidRDefault="00B564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8E523D" w:rsidRDefault="008E523D">
      <w:pPr>
        <w:spacing w:line="360" w:lineRule="auto"/>
        <w:jc w:val="both"/>
        <w:rPr>
          <w:rFonts w:ascii="Palatino Linotype" w:eastAsia="Palatino Linotype" w:hAnsi="Palatino Linotype" w:cs="Palatino Linotype"/>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8E523D" w:rsidRDefault="008E523D">
      <w:pPr>
        <w:ind w:left="851" w:right="851"/>
        <w:jc w:val="both"/>
        <w:rPr>
          <w:rFonts w:ascii="Palatino Linotype" w:eastAsia="Palatino Linotype" w:hAnsi="Palatino Linotype" w:cs="Palatino Linotype"/>
          <w:b/>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8E523D" w:rsidRDefault="008E523D">
      <w:pPr>
        <w:spacing w:line="360" w:lineRule="auto"/>
        <w:jc w:val="both"/>
        <w:rPr>
          <w:rFonts w:ascii="Palatino Linotype" w:eastAsia="Palatino Linotype" w:hAnsi="Palatino Linotype" w:cs="Palatino Linotype"/>
        </w:rPr>
      </w:pPr>
    </w:p>
    <w:p w:rsidR="008E523D" w:rsidRDefault="00B564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w:t>
      </w:r>
      <w:r>
        <w:rPr>
          <w:rFonts w:ascii="Palatino Linotype" w:eastAsia="Palatino Linotype" w:hAnsi="Palatino Linotype" w:cs="Palatino Linotype"/>
        </w:rPr>
        <w:lastRenderedPageBreak/>
        <w:t>información a través del acuerdo clasificatorio del comité de transparencia y la versión pública que emita cada Sujeto Obligado; como así se establece en la Ley de Transparencia y Acceso a la Información Pública del Estado de México y Municipios,</w:t>
      </w:r>
    </w:p>
    <w:p w:rsidR="008E523D" w:rsidRDefault="008E523D">
      <w:pPr>
        <w:spacing w:line="360" w:lineRule="auto"/>
        <w:jc w:val="both"/>
        <w:rPr>
          <w:rFonts w:ascii="Palatino Linotype" w:eastAsia="Palatino Linotype" w:hAnsi="Palatino Linotype" w:cs="Palatino Linotype"/>
        </w:rPr>
      </w:pPr>
    </w:p>
    <w:p w:rsidR="008E523D" w:rsidRDefault="00B564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E523D" w:rsidRDefault="008E523D">
      <w:pPr>
        <w:spacing w:line="360" w:lineRule="auto"/>
        <w:jc w:val="both"/>
        <w:rPr>
          <w:rFonts w:ascii="Palatino Linotype" w:eastAsia="Palatino Linotype" w:hAnsi="Palatino Linotype" w:cs="Palatino Linotype"/>
        </w:rPr>
      </w:pPr>
    </w:p>
    <w:p w:rsidR="008E523D" w:rsidRDefault="008E523D">
      <w:pPr>
        <w:ind w:left="851" w:right="899"/>
        <w:jc w:val="both"/>
        <w:rPr>
          <w:rFonts w:ascii="Palatino Linotype" w:eastAsia="Palatino Linotype" w:hAnsi="Palatino Linotype" w:cs="Palatino Linotype"/>
          <w:i/>
          <w:sz w:val="22"/>
          <w:szCs w:val="22"/>
        </w:rPr>
      </w:pP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E523D" w:rsidRDefault="008E523D">
      <w:pPr>
        <w:ind w:left="851" w:right="899"/>
        <w:jc w:val="both"/>
        <w:rPr>
          <w:rFonts w:ascii="Palatino Linotype" w:eastAsia="Palatino Linotype" w:hAnsi="Palatino Linotype" w:cs="Palatino Linotype"/>
          <w:sz w:val="22"/>
          <w:szCs w:val="22"/>
        </w:rPr>
      </w:pPr>
    </w:p>
    <w:p w:rsidR="008E523D" w:rsidRDefault="00B564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8E523D" w:rsidRDefault="008E523D">
      <w:pPr>
        <w:spacing w:line="360" w:lineRule="auto"/>
        <w:jc w:val="both"/>
        <w:rPr>
          <w:rFonts w:ascii="Palatino Linotype" w:eastAsia="Palatino Linotype" w:hAnsi="Palatino Linotype" w:cs="Palatino Linotype"/>
        </w:rPr>
      </w:pPr>
    </w:p>
    <w:p w:rsidR="008E523D" w:rsidRDefault="00B56496">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8E523D" w:rsidRDefault="00B56496">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w:t>
      </w:r>
      <w:r>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8E523D" w:rsidRDefault="00B56496">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que el Pleno de este Instituto procede al análisis de las constancias que integran los expedientes de los recursos de revisión de mérito con el fin de determinar si con sus respuestas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atendió cada uno de los planteamientos formulados por el entonces solicitante o si resultan fundados los motivos de inconformidad y por lo tanto se deba ordenar la entrega de información y garantizar el ejercicio del derecho de acceso a la información pública del </w:t>
      </w:r>
      <w:r>
        <w:rPr>
          <w:rFonts w:ascii="Palatino Linotype" w:eastAsia="Palatino Linotype" w:hAnsi="Palatino Linotype" w:cs="Palatino Linotype"/>
          <w:b/>
        </w:rPr>
        <w:t xml:space="preserve">RECURRENTE. </w:t>
      </w:r>
    </w:p>
    <w:p w:rsidR="008E523D" w:rsidRDefault="00B5649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es oportuno reiterar que el particular requirió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 cada uno de los integrantes del cabildo y de su personal, la siguiente información: </w:t>
      </w:r>
    </w:p>
    <w:p w:rsidR="008E523D" w:rsidRDefault="00B5649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Listas de asistencia; </w:t>
      </w:r>
    </w:p>
    <w:p w:rsidR="008E523D" w:rsidRDefault="00B5649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Nómina; y, </w:t>
      </w:r>
    </w:p>
    <w:p w:rsidR="008E523D" w:rsidRDefault="00B5649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Recibos de pago. </w:t>
      </w:r>
    </w:p>
    <w:p w:rsidR="008E523D" w:rsidRDefault="008E523D">
      <w:pPr>
        <w:spacing w:line="360" w:lineRule="auto"/>
        <w:jc w:val="both"/>
        <w:rPr>
          <w:rFonts w:ascii="Palatino Linotype" w:eastAsia="Palatino Linotype" w:hAnsi="Palatino Linotype" w:cs="Palatino Linotype"/>
          <w:color w:val="000000"/>
        </w:rPr>
      </w:pPr>
    </w:p>
    <w:p w:rsidR="008E523D" w:rsidRDefault="00B5649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su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informó sobre el pronunciamiento de la Dirección de Recursos Humanos referente a que después de realizar una búsqueda exhaustiva y razonable en sus archivos </w:t>
      </w:r>
      <w:r>
        <w:rPr>
          <w:rFonts w:ascii="Palatino Linotype" w:eastAsia="Palatino Linotype" w:hAnsi="Palatino Linotype" w:cs="Palatino Linotype"/>
          <w:color w:val="000000"/>
          <w:u w:val="single"/>
        </w:rPr>
        <w:t xml:space="preserve">no localizó registro alguno de listas de </w:t>
      </w:r>
      <w:r>
        <w:rPr>
          <w:rFonts w:ascii="Palatino Linotype" w:eastAsia="Palatino Linotype" w:hAnsi="Palatino Linotype" w:cs="Palatino Linotype"/>
          <w:color w:val="000000"/>
          <w:u w:val="single"/>
        </w:rPr>
        <w:lastRenderedPageBreak/>
        <w:t xml:space="preserve">asistencia; </w:t>
      </w:r>
      <w:r>
        <w:rPr>
          <w:rFonts w:ascii="Palatino Linotype" w:eastAsia="Palatino Linotype" w:hAnsi="Palatino Linotype" w:cs="Palatino Linotype"/>
          <w:color w:val="000000"/>
        </w:rPr>
        <w:t xml:space="preserve">asimismo, remitió en formato digital la nómina solicitada, tal que se observa en la siguiente imagen: </w:t>
      </w:r>
    </w:p>
    <w:p w:rsidR="008E523D" w:rsidRDefault="00B56496">
      <w:pPr>
        <w:spacing w:line="360" w:lineRule="auto"/>
        <w:jc w:val="both"/>
        <w:rPr>
          <w:rFonts w:ascii="Palatino Linotype" w:eastAsia="Palatino Linotype" w:hAnsi="Palatino Linotype" w:cs="Palatino Linotype"/>
          <w:color w:val="000000"/>
          <w:u w:val="single"/>
        </w:rPr>
      </w:pPr>
      <w:r>
        <w:rPr>
          <w:rFonts w:ascii="Palatino Linotype" w:eastAsia="Palatino Linotype" w:hAnsi="Palatino Linotype" w:cs="Palatino Linotype"/>
          <w:noProof/>
          <w:color w:val="000000"/>
          <w:lang w:val="es-MX" w:eastAsia="es-MX"/>
        </w:rPr>
        <w:drawing>
          <wp:inline distT="0" distB="0" distL="0" distR="0">
            <wp:extent cx="5582441" cy="2067218"/>
            <wp:effectExtent l="12700" t="12700" r="12700" b="12700"/>
            <wp:docPr id="2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25844"/>
                    <a:stretch>
                      <a:fillRect/>
                    </a:stretch>
                  </pic:blipFill>
                  <pic:spPr>
                    <a:xfrm>
                      <a:off x="0" y="0"/>
                      <a:ext cx="5582441" cy="2067218"/>
                    </a:xfrm>
                    <a:prstGeom prst="rect">
                      <a:avLst/>
                    </a:prstGeom>
                    <a:ln w="12700">
                      <a:solidFill>
                        <a:srgbClr val="000000"/>
                      </a:solidFill>
                      <a:prstDash val="solid"/>
                    </a:ln>
                  </pic:spPr>
                </pic:pic>
              </a:graphicData>
            </a:graphic>
          </wp:inline>
        </w:drawing>
      </w:r>
    </w:p>
    <w:p w:rsidR="008E523D" w:rsidRDefault="008E523D">
      <w:pPr>
        <w:spacing w:line="360" w:lineRule="auto"/>
        <w:jc w:val="both"/>
        <w:rPr>
          <w:rFonts w:ascii="Palatino Linotype" w:eastAsia="Palatino Linotype" w:hAnsi="Palatino Linotype" w:cs="Palatino Linotype"/>
          <w:color w:val="000000"/>
        </w:rPr>
      </w:pPr>
    </w:p>
    <w:p w:rsidR="008E523D" w:rsidRDefault="00B5649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finalmente, por cuanto hace a los recibos de pago,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respondió que los mismos se expedirán en copias simples, previo pago de derechos. </w:t>
      </w:r>
    </w:p>
    <w:p w:rsidR="008E523D" w:rsidRDefault="008E523D">
      <w:pPr>
        <w:spacing w:line="360" w:lineRule="auto"/>
        <w:jc w:val="both"/>
        <w:rPr>
          <w:rFonts w:ascii="Palatino Linotype" w:eastAsia="Palatino Linotype" w:hAnsi="Palatino Linotype" w:cs="Palatino Linotype"/>
          <w:color w:val="000000"/>
        </w:rPr>
      </w:pPr>
    </w:p>
    <w:p w:rsidR="008E523D" w:rsidRDefault="00B5649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una vez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tuvo conocimiento de las respuestas, interpuso </w:t>
      </w: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recursos de revisión de mérito en </w:t>
      </w: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que argumentó como razones o motivos de inconformidad: </w:t>
      </w:r>
      <w:r>
        <w:rPr>
          <w:rFonts w:ascii="Palatino Linotype" w:eastAsia="Palatino Linotype" w:hAnsi="Palatino Linotype" w:cs="Palatino Linotype"/>
          <w:i/>
          <w:color w:val="000000"/>
        </w:rPr>
        <w:t>“No me entrega los recibos solicitados”</w:t>
      </w:r>
      <w:r>
        <w:rPr>
          <w:rFonts w:ascii="Palatino Linotype" w:eastAsia="Palatino Linotype" w:hAnsi="Palatino Linotype" w:cs="Palatino Linotype"/>
          <w:color w:val="000000"/>
        </w:rPr>
        <w:t xml:space="preserve">. </w:t>
      </w:r>
    </w:p>
    <w:p w:rsidR="008E523D" w:rsidRDefault="008E523D">
      <w:pPr>
        <w:spacing w:line="360" w:lineRule="auto"/>
        <w:jc w:val="both"/>
        <w:rPr>
          <w:rFonts w:ascii="Palatino Linotype" w:eastAsia="Palatino Linotype" w:hAnsi="Palatino Linotype" w:cs="Palatino Linotype"/>
          <w:color w:val="000000"/>
        </w:rPr>
      </w:pPr>
    </w:p>
    <w:p w:rsidR="008E523D" w:rsidRDefault="00B5649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Acotado lo anterior, es de referir que cuando el solicitante no expresó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E523D" w:rsidRDefault="00B5649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lastRenderedPageBreak/>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la parte de la solicitud sobre la que no se expresó inconformidad, debe declararse consentida por el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inconformidad ya que se infiere un consentimiento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la falta de impugnación eficaz.</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8E523D" w:rsidRDefault="00B5649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8E523D" w:rsidRDefault="00B56496">
      <w:pPr>
        <w:spacing w:before="240" w:after="240"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rPr>
        <w:t xml:space="preserve">Ahora bien, por cuanto hace a los recibos de pago, sobre los cuales se centra la inconformidad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tanto en respuesta como informe justificado que </w:t>
      </w:r>
      <w:r>
        <w:rPr>
          <w:rFonts w:ascii="Palatino Linotype" w:eastAsia="Palatino Linotype" w:hAnsi="Palatino Linotype" w:cs="Palatino Linotype"/>
          <w:i/>
        </w:rPr>
        <w:t xml:space="preserve">“la información solicitada consta de 135 fojas, </w:t>
      </w:r>
      <w:r>
        <w:rPr>
          <w:rFonts w:ascii="Palatino Linotype" w:eastAsia="Palatino Linotype" w:hAnsi="Palatino Linotype" w:cs="Palatino Linotype"/>
          <w:b/>
          <w:i/>
        </w:rPr>
        <w:lastRenderedPageBreak/>
        <w:t xml:space="preserve">por lo que para acceder a la misma deberá erogar la cantidad de 227.91 (doscientos veintisiete 91/100 M.N. </w:t>
      </w:r>
    </w:p>
    <w:p w:rsidR="008E523D" w:rsidRDefault="00B5649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dado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reconoció expresamente que cuenta con la información que colmaría la solicitud interpuesta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nada práctico nos llevaría el estudio de la fuente obligacional, en razón de que el análisis en la presente resolución se efectúa con la finalidad de determinar si los Sujetos Obligados generan, administran o poseen la información que les fue requerida, de manera que, en el presente caso, privilegiando los principios de máxima publicidad, certeza jurídica, y gratuidad de la información pública, lo procedente es verificar si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resulta ser suficiente para colmar con el derecho al acceso a la información de la particular. </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devienen fundados, en razón 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proporcionó la información que le fue requerida, a pesar de haber reconocido, de manera expresa, que cuenta con ella, por tal motivo el derecho de acceso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ha quedado colmado, toda vez que se condicionó la entrega de dicha información a la realización de un pago por concepto de derechos.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debemos partir de la premisa de que el ejercicio del derecho de acceso a la información, conlleva la observancia de  principios rectores que consisten en las </w:t>
      </w:r>
      <w:r>
        <w:rPr>
          <w:rFonts w:ascii="Palatino Linotype" w:eastAsia="Palatino Linotype" w:hAnsi="Palatino Linotype" w:cs="Palatino Linotype"/>
        </w:rPr>
        <w:lastRenderedPageBreak/>
        <w:t>bases, fundamentos o los parámetros fundamentales que permitan el ejercicio de la garantía que posee toda persona para atraerse de información, informar y ser informada, estableciéndose de manera genérica, los principios de acceso universal, de máxima publicidad, de</w:t>
      </w:r>
      <w:r>
        <w:rPr>
          <w:rFonts w:ascii="Palatino Linotype" w:eastAsia="Palatino Linotype" w:hAnsi="Palatino Linotype" w:cs="Palatino Linotype"/>
          <w:b/>
          <w:i/>
        </w:rPr>
        <w:t xml:space="preserve"> gratuidad</w:t>
      </w:r>
      <w:r>
        <w:rPr>
          <w:rFonts w:ascii="Palatino Linotype" w:eastAsia="Palatino Linotype" w:hAnsi="Palatino Linotype" w:cs="Palatino Linotype"/>
        </w:rPr>
        <w:t>, de certeza, de celeridad, de objetividad,  entre otros.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b/>
          <w:i/>
        </w:rPr>
        <w:t xml:space="preserve">reproducción </w:t>
      </w:r>
      <w:r>
        <w:rPr>
          <w:rFonts w:ascii="Palatino Linotype" w:eastAsia="Palatino Linotype" w:hAnsi="Palatino Linotype" w:cs="Palatino Linotype"/>
        </w:rPr>
        <w:t xml:space="preserve">de la información, y en su caso del costo de </w:t>
      </w:r>
      <w:r>
        <w:rPr>
          <w:rFonts w:ascii="Palatino Linotype" w:eastAsia="Palatino Linotype" w:hAnsi="Palatino Linotype" w:cs="Palatino Linotype"/>
          <w:b/>
          <w:i/>
        </w:rPr>
        <w:t>envío</w:t>
      </w:r>
      <w:r>
        <w:rPr>
          <w:rFonts w:ascii="Palatino Linotype" w:eastAsia="Palatino Linotype" w:hAnsi="Palatino Linotype" w:cs="Palatino Linotype"/>
        </w:rPr>
        <w:t>, finalmente, conlleva implícitamente un esfuerzo por parte de los Sujetos Obligados para reducir los costos de entrega de la información.</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w:t>
      </w:r>
      <w:r>
        <w:rPr>
          <w:rFonts w:ascii="Palatino Linotype" w:eastAsia="Palatino Linotype" w:hAnsi="Palatino Linotype" w:cs="Palatino Linotype"/>
        </w:rPr>
        <w:lastRenderedPageBreak/>
        <w:t>justificación y jamás puede tener efectos recaudatorios, al menos que la reproducción de la información sea en fotocopias, respaldos informativos, entre otros.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b/>
          <w:i/>
        </w:rPr>
        <w:t>gratuitos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b/>
          <w:i/>
        </w:rPr>
        <w:t>sólo se cubrirá en su caso, los gastos de reproducción</w:t>
      </w:r>
      <w:r>
        <w:rPr>
          <w:rFonts w:ascii="Palatino Linotype" w:eastAsia="Palatino Linotype" w:hAnsi="Palatino Linotype" w:cs="Palatino Linotype"/>
        </w:rPr>
        <w:t xml:space="preserve">, </w:t>
      </w:r>
      <w:r>
        <w:rPr>
          <w:rFonts w:ascii="Palatino Linotype" w:eastAsia="Palatino Linotype" w:hAnsi="Palatino Linotype" w:cs="Palatino Linotype"/>
          <w:b/>
          <w:i/>
          <w:u w:val="single"/>
        </w:rPr>
        <w:t>por la modalidad de entrega solicitada</w:t>
      </w:r>
      <w:r>
        <w:rPr>
          <w:rFonts w:ascii="Palatino Linotype" w:eastAsia="Palatino Linotype" w:hAnsi="Palatino Linotype" w:cs="Palatino Linotype"/>
          <w:u w:val="single"/>
        </w:rPr>
        <w:t xml:space="preserve">, </w:t>
      </w:r>
      <w:r>
        <w:rPr>
          <w:rFonts w:ascii="Palatino Linotype" w:eastAsia="Palatino Linotype" w:hAnsi="Palatino Linotype" w:cs="Palatino Linotype"/>
          <w:b/>
          <w:i/>
          <w:u w:val="single"/>
        </w:rPr>
        <w:t>o por el envió</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rPr>
        <w:t xml:space="preserve">se rige por los principios de simplicidad, rapidez, </w:t>
      </w:r>
      <w:r>
        <w:rPr>
          <w:rFonts w:ascii="Palatino Linotype" w:eastAsia="Palatino Linotype" w:hAnsi="Palatino Linotype" w:cs="Palatino Linotype"/>
          <w:b/>
          <w:i/>
          <w:u w:val="single"/>
        </w:rPr>
        <w:t>gratuidad</w:t>
      </w:r>
      <w:r>
        <w:rPr>
          <w:rFonts w:ascii="Palatino Linotype" w:eastAsia="Palatino Linotype" w:hAnsi="Palatino Linotype" w:cs="Palatino Linotype"/>
          <w:i/>
        </w:rPr>
        <w:t>,</w:t>
      </w:r>
      <w:r>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b/>
          <w:i/>
        </w:rPr>
        <w:t>en caso de que se tenga que generar un gasto por la reproducción, por el envío, o por la modalidad de entrega solicitada,</w:t>
      </w:r>
      <w:r>
        <w:rPr>
          <w:rFonts w:ascii="Palatino Linotype" w:eastAsia="Palatino Linotype" w:hAnsi="Palatino Linotype" w:cs="Palatino Linotype"/>
        </w:rPr>
        <w:t xml:space="preserve"> supuestos que encuadran con lo  establecido en los artículos 9 fracción III, 17, 165, </w:t>
      </w:r>
      <w:r>
        <w:rPr>
          <w:rFonts w:ascii="Palatino Linotype" w:eastAsia="Palatino Linotype" w:hAnsi="Palatino Linotype" w:cs="Palatino Linotype"/>
        </w:rPr>
        <w:lastRenderedPageBreak/>
        <w:t>174, 175 de la Ley de Acceso a la Información Pública del Estado de México y Municipios, así como el artículo 4.22 de su Reglamento.</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el caso concreto, dichos preceptos son interpretados en perjuicio de la solicitante, como se explica enseguida, para lo cual es necesario hacer referencia a los mismos en su parte conducente: </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rsidR="008E523D" w:rsidRDefault="00B56496">
      <w:pPr>
        <w:spacing w:before="240" w:after="120" w:line="276" w:lineRule="auto"/>
        <w:ind w:left="1134"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8E523D" w:rsidRDefault="00B56496">
      <w:pPr>
        <w:spacing w:before="240" w:after="120" w:line="276" w:lineRule="auto"/>
        <w:ind w:left="1134"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Gratuidad: </w:t>
      </w:r>
      <w:r>
        <w:rPr>
          <w:rFonts w:ascii="Palatino Linotype" w:eastAsia="Palatino Linotype" w:hAnsi="Palatino Linotype" w:cs="Palatino Linotype"/>
          <w:i/>
          <w:sz w:val="22"/>
          <w:szCs w:val="22"/>
        </w:rPr>
        <w:t xml:space="preserve">Consiste en que el acceso a la información pública no genera costo alguno para los solicitantes, </w:t>
      </w:r>
      <w:r>
        <w:rPr>
          <w:rFonts w:ascii="Palatino Linotype" w:eastAsia="Palatino Linotype" w:hAnsi="Palatino Linotype" w:cs="Palatino Linotype"/>
          <w:b/>
          <w:i/>
          <w:sz w:val="22"/>
          <w:szCs w:val="22"/>
        </w:rPr>
        <w:t xml:space="preserve">sólo podrá requerirse el cobro correspondiente a la modalidad de reproducción y entrega solicitada </w:t>
      </w:r>
      <w:r>
        <w:rPr>
          <w:rFonts w:ascii="Palatino Linotype" w:eastAsia="Palatino Linotype" w:hAnsi="Palatino Linotype" w:cs="Palatino Linotype"/>
          <w:i/>
          <w:sz w:val="22"/>
          <w:szCs w:val="22"/>
        </w:rPr>
        <w:t>conforme a lo establecido en la presente Ley y demás disposiciones jurídicas aplicables;</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 </w:t>
      </w:r>
      <w:r>
        <w:rPr>
          <w:rFonts w:ascii="Palatino Linotype" w:eastAsia="Palatino Linotype" w:hAnsi="Palatino Linotype" w:cs="Palatino Linotype"/>
          <w:i/>
          <w:sz w:val="22"/>
          <w:szCs w:val="22"/>
        </w:rPr>
        <w:t xml:space="preserve">La búsqueda y acceso a la información es gratuita y </w:t>
      </w:r>
      <w:r>
        <w:rPr>
          <w:rFonts w:ascii="Palatino Linotype" w:eastAsia="Palatino Linotype" w:hAnsi="Palatino Linotype" w:cs="Palatino Linotype"/>
          <w:b/>
          <w:i/>
          <w:sz w:val="22"/>
          <w:szCs w:val="22"/>
        </w:rPr>
        <w:t>solo se cubrirán los gastos de reproducción, o por la modalidad de entrega solicitada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 por el envío</w:t>
      </w:r>
      <w:r>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165. …</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que se entregue en versión pública, </w:t>
      </w:r>
      <w:r>
        <w:rPr>
          <w:rFonts w:ascii="Palatino Linotype" w:eastAsia="Palatino Linotype" w:hAnsi="Palatino Linotype" w:cs="Palatino Linotype"/>
          <w:b/>
          <w:i/>
          <w:sz w:val="22"/>
          <w:szCs w:val="22"/>
        </w:rPr>
        <w:t xml:space="preserve">cuya modalidad de reproducción o envío tenga un costo, </w:t>
      </w:r>
      <w:r>
        <w:rPr>
          <w:rFonts w:ascii="Palatino Linotype" w:eastAsia="Palatino Linotype" w:hAnsi="Palatino Linotype" w:cs="Palatino Linotype"/>
          <w:i/>
          <w:sz w:val="22"/>
          <w:szCs w:val="22"/>
        </w:rPr>
        <w:t>procederá una vez que se acredite el pago respectivo. No puede entenderse como reproducción la elaboración de la misma.</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 Artículo 174. En caso de existir costos para obtener la información</w:t>
      </w:r>
      <w:r>
        <w:rPr>
          <w:rFonts w:ascii="Palatino Linotype" w:eastAsia="Palatino Linotype" w:hAnsi="Palatino Linotype" w:cs="Palatino Linotype"/>
          <w:i/>
          <w:sz w:val="22"/>
          <w:szCs w:val="22"/>
        </w:rPr>
        <w:t xml:space="preserve"> deberán cubrirse de manera previa a la entrega y </w:t>
      </w:r>
      <w:r>
        <w:rPr>
          <w:rFonts w:ascii="Palatino Linotype" w:eastAsia="Palatino Linotype" w:hAnsi="Palatino Linotype" w:cs="Palatino Linotype"/>
          <w:b/>
          <w:i/>
          <w:sz w:val="22"/>
          <w:szCs w:val="22"/>
        </w:rPr>
        <w:t>no podrán ser superiores a la suma de</w:t>
      </w:r>
      <w:r>
        <w:rPr>
          <w:rFonts w:ascii="Palatino Linotype" w:eastAsia="Palatino Linotype" w:hAnsi="Palatino Linotype" w:cs="Palatino Linotype"/>
          <w:i/>
          <w:sz w:val="22"/>
          <w:szCs w:val="22"/>
        </w:rPr>
        <w:t>:</w:t>
      </w:r>
    </w:p>
    <w:p w:rsidR="008E523D" w:rsidRDefault="008E523D">
      <w:pPr>
        <w:spacing w:before="240" w:after="120" w:line="276" w:lineRule="auto"/>
        <w:ind w:left="851" w:right="616"/>
        <w:jc w:val="both"/>
        <w:rPr>
          <w:rFonts w:ascii="Palatino Linotype" w:eastAsia="Palatino Linotype" w:hAnsi="Palatino Linotype" w:cs="Palatino Linotype"/>
          <w:i/>
          <w:sz w:val="22"/>
          <w:szCs w:val="22"/>
        </w:rPr>
      </w:pPr>
    </w:p>
    <w:p w:rsidR="008E523D" w:rsidRDefault="00B56496">
      <w:pPr>
        <w:spacing w:before="240" w:after="120" w:line="276" w:lineRule="auto"/>
        <w:ind w:left="1134"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los materiales utilizados en la reproducción</w:t>
      </w:r>
      <w:r>
        <w:rPr>
          <w:rFonts w:ascii="Palatino Linotype" w:eastAsia="Palatino Linotype" w:hAnsi="Palatino Linotype" w:cs="Palatino Linotype"/>
          <w:i/>
          <w:sz w:val="22"/>
          <w:szCs w:val="22"/>
        </w:rPr>
        <w:t xml:space="preserve"> de la información;</w:t>
      </w:r>
    </w:p>
    <w:p w:rsidR="008E523D" w:rsidRDefault="00B56496">
      <w:pPr>
        <w:spacing w:before="240" w:after="120" w:line="276" w:lineRule="auto"/>
        <w:ind w:left="1134"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envío</w:t>
      </w:r>
      <w:r>
        <w:rPr>
          <w:rFonts w:ascii="Palatino Linotype" w:eastAsia="Palatino Linotype" w:hAnsi="Palatino Linotype" w:cs="Palatino Linotype"/>
          <w:i/>
          <w:sz w:val="22"/>
          <w:szCs w:val="22"/>
        </w:rPr>
        <w:t>, en su caso; y</w:t>
      </w:r>
    </w:p>
    <w:p w:rsidR="008E523D" w:rsidRDefault="00B56496">
      <w:pPr>
        <w:spacing w:before="240" w:after="120" w:line="276" w:lineRule="auto"/>
        <w:ind w:left="1134"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pago de la certificación de los documentos</w:t>
      </w:r>
      <w:r>
        <w:rPr>
          <w:rFonts w:ascii="Palatino Linotype" w:eastAsia="Palatino Linotype" w:hAnsi="Palatino Linotype" w:cs="Palatino Linotype"/>
          <w:i/>
          <w:sz w:val="22"/>
          <w:szCs w:val="22"/>
        </w:rPr>
        <w:t>, cuando proceda.</w:t>
      </w:r>
    </w:p>
    <w:p w:rsidR="008E523D" w:rsidRDefault="00B56496">
      <w:pPr>
        <w:spacing w:before="240" w:after="120" w:line="276" w:lineRule="auto"/>
        <w:ind w:left="1134"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Código Financiero del Estado de México y Municipios</w:t>
      </w:r>
      <w:r>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175. </w:t>
      </w:r>
      <w:r>
        <w:rPr>
          <w:rFonts w:ascii="Palatino Linotype" w:eastAsia="Palatino Linotype" w:hAnsi="Palatino Linotype" w:cs="Palatino Linotype"/>
          <w:i/>
          <w:sz w:val="22"/>
          <w:szCs w:val="22"/>
        </w:rPr>
        <w:t>…</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caso, el pago de derechos deberá exceder el</w:t>
      </w:r>
      <w:r>
        <w:rPr>
          <w:rFonts w:ascii="Palatino Linotype" w:eastAsia="Palatino Linotype" w:hAnsi="Palatino Linotype" w:cs="Palatino Linotype"/>
          <w:b/>
          <w:i/>
          <w:sz w:val="22"/>
          <w:szCs w:val="22"/>
        </w:rPr>
        <w:t xml:space="preserve"> costo de reproducción de la información en el material solicitado</w:t>
      </w:r>
      <w:r>
        <w:rPr>
          <w:rFonts w:ascii="Palatino Linotype" w:eastAsia="Palatino Linotype" w:hAnsi="Palatino Linotype" w:cs="Palatino Linotype"/>
          <w:i/>
          <w:sz w:val="22"/>
          <w:szCs w:val="22"/>
        </w:rPr>
        <w:t>.”</w:t>
      </w:r>
    </w:p>
    <w:p w:rsidR="008E523D" w:rsidRDefault="00B56496">
      <w:pPr>
        <w:spacing w:before="240" w:after="12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4.22</w:t>
      </w:r>
      <w:r>
        <w:rPr>
          <w:rFonts w:ascii="Palatino Linotype" w:eastAsia="Palatino Linotype" w:hAnsi="Palatino Linotype" w:cs="Palatino Linotype"/>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w:t>
      </w:r>
      <w:r>
        <w:rPr>
          <w:rFonts w:ascii="Palatino Linotype" w:eastAsia="Palatino Linotype" w:hAnsi="Palatino Linotype" w:cs="Palatino Linotype"/>
        </w:rPr>
        <w:lastRenderedPageBreak/>
        <w:t xml:space="preserve">los costos de los materiales utilizados en la reproducción de la información, el costo por el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expida copias certificadas o que reproduzca la información que ya asumió poseer, en cualquier otro medio físico, sino que proporcione la información de manera electrónica, en otras palabras, con la finalidad de satisfacer la solicitud, </w:t>
      </w:r>
      <w:r>
        <w:rPr>
          <w:rFonts w:ascii="Palatino Linotype" w:eastAsia="Palatino Linotype" w:hAnsi="Palatino Linotype" w:cs="Palatino Linotype"/>
          <w:b/>
        </w:rPr>
        <w:t>no es necesario que el SUJETO OBLIGADO realice una reproducción física de la información que conserva en sus archivos,</w:t>
      </w:r>
      <w:r>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w:t>
      </w:r>
      <w:r>
        <w:rPr>
          <w:rFonts w:ascii="Palatino Linotype" w:eastAsia="Palatino Linotype" w:hAnsi="Palatino Linotype" w:cs="Palatino Linotype"/>
        </w:rPr>
        <w:lastRenderedPageBreak/>
        <w:t xml:space="preserve">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Pr>
          <w:rFonts w:ascii="Palatino Linotype" w:eastAsia="Palatino Linotype" w:hAnsi="Palatino Linotype" w:cs="Palatino Linotype"/>
          <w:b/>
        </w:rPr>
        <w:t xml:space="preserve">ningún costo, </w:t>
      </w:r>
      <w:r>
        <w:rPr>
          <w:rFonts w:ascii="Palatino Linotype" w:eastAsia="Palatino Linotype" w:hAnsi="Palatino Linotype" w:cs="Palatino Linotype"/>
        </w:rPr>
        <w:t>incluyendo aquella que se hubiera digitalizado previamente por cualquier motivo, y aún menos en aquellos casos en que la modalidad de entrega sea por medio de la plataforma o vía electrónica.</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no existe presupuesto jurídico que autorice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w:t>
      </w:r>
      <w:r>
        <w:rPr>
          <w:rFonts w:ascii="Palatino Linotype" w:eastAsia="Palatino Linotype" w:hAnsi="Palatino Linotype" w:cs="Palatino Linotype"/>
        </w:rPr>
        <w:lastRenderedPageBreak/>
        <w:t>cuando se trate de información que no se encuentre contemplada en las obligaciones de transparencia comunes y específicas para los Sujetos Obligados, ya que respecto de cierta información no existe la obligación de tenerla digitalizada.</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esta óptica, el derecho del particular de acceder a los documentos que obran en posesión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encuentra limitado, en virtud de que no le fue proporcionada la información solicitada, </w:t>
      </w:r>
      <w:r>
        <w:rPr>
          <w:rFonts w:ascii="Palatino Linotype" w:eastAsia="Palatino Linotype" w:hAnsi="Palatino Linotype" w:cs="Palatino Linotype"/>
          <w:color w:val="000000"/>
        </w:rPr>
        <w:t>incumpliendo así lo previsto en el artículo 4</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color w:val="000000"/>
        </w:rPr>
        <w:t xml:space="preserve"> de la Ley de la Materia</w:t>
      </w:r>
      <w:r>
        <w:rPr>
          <w:rFonts w:ascii="Palatino Linotype" w:eastAsia="Palatino Linotype" w:hAnsi="Palatino Linotype" w:cs="Palatino Linotype"/>
        </w:rPr>
        <w:t>;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8E523D" w:rsidRDefault="00B56496">
      <w:pPr>
        <w:tabs>
          <w:tab w:val="right" w:pos="8505"/>
        </w:tabs>
        <w:spacing w:after="240" w:line="360" w:lineRule="auto"/>
        <w:jc w:val="both"/>
      </w:pPr>
      <w:r>
        <w:rPr>
          <w:rFonts w:ascii="Palatino Linotype" w:eastAsia="Palatino Linotype" w:hAnsi="Palatino Linotype" w:cs="Palatino Linotype"/>
        </w:rPr>
        <w:lastRenderedPageBreak/>
        <w:t xml:space="preserve">A mayor abundamiento, cabe referir que la Ley de Fiscalización Superior del Estado de México, toda vez que señala que los municipios que conforman el Estado de México, entre ellos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t xml:space="preserve"> </w:t>
      </w:r>
      <w:r>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rsidR="008E523D" w:rsidRDefault="00B56496">
      <w:pPr>
        <w:spacing w:before="240"/>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4. </w:t>
      </w:r>
      <w:r>
        <w:rPr>
          <w:rFonts w:ascii="Palatino Linotype" w:eastAsia="Palatino Linotype" w:hAnsi="Palatino Linotype" w:cs="Palatino Linotype"/>
          <w:i/>
        </w:rPr>
        <w:t>Son sujetos de fiscalización:</w:t>
      </w:r>
    </w:p>
    <w:p w:rsidR="008E523D" w:rsidRDefault="00B56496">
      <w:pPr>
        <w:ind w:left="851" w:right="851"/>
        <w:jc w:val="both"/>
        <w:rPr>
          <w:i/>
        </w:rPr>
      </w:pPr>
      <w:r>
        <w:rPr>
          <w:rFonts w:ascii="Palatino Linotype" w:eastAsia="Palatino Linotype" w:hAnsi="Palatino Linotype" w:cs="Palatino Linotype"/>
          <w:i/>
        </w:rPr>
        <w:t>…</w:t>
      </w:r>
    </w:p>
    <w:p w:rsidR="008E523D" w:rsidRDefault="00B56496">
      <w:pPr>
        <w:numPr>
          <w:ilvl w:val="0"/>
          <w:numId w:val="2"/>
        </w:numPr>
        <w:spacing w:before="240" w:after="160"/>
        <w:ind w:right="851"/>
        <w:jc w:val="both"/>
        <w:rPr>
          <w:rFonts w:ascii="Palatino Linotype" w:eastAsia="Palatino Linotype" w:hAnsi="Palatino Linotype" w:cs="Palatino Linotype"/>
          <w:i/>
        </w:rPr>
      </w:pPr>
      <w:r>
        <w:rPr>
          <w:rFonts w:ascii="Palatino Linotype" w:eastAsia="Palatino Linotype" w:hAnsi="Palatino Linotype" w:cs="Palatino Linotype"/>
          <w:i/>
        </w:rPr>
        <w:t>Los municipios del Estado de México…” (Sic)</w:t>
      </w:r>
    </w:p>
    <w:p w:rsidR="008E523D" w:rsidRDefault="008E523D">
      <w:pPr>
        <w:spacing w:before="240"/>
        <w:ind w:left="851" w:right="851"/>
        <w:jc w:val="both"/>
        <w:rPr>
          <w:b/>
        </w:rPr>
      </w:pPr>
    </w:p>
    <w:p w:rsidR="008E523D" w:rsidRDefault="00B5649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ordenamiento legal referido señala en su artículo 8, fracción XI, establece: </w:t>
      </w:r>
    </w:p>
    <w:p w:rsidR="008E523D" w:rsidRDefault="00B56496">
      <w:pPr>
        <w:ind w:left="851" w:right="851"/>
        <w:jc w:val="both"/>
        <w:rPr>
          <w:i/>
        </w:rPr>
      </w:pPr>
      <w:r>
        <w:rPr>
          <w:rFonts w:ascii="Palatino Linotype" w:eastAsia="Palatino Linotype" w:hAnsi="Palatino Linotype" w:cs="Palatino Linotype"/>
          <w:b/>
          <w:i/>
        </w:rPr>
        <w:t xml:space="preserve">“Artículo 8. </w:t>
      </w:r>
      <w:r>
        <w:rPr>
          <w:rFonts w:ascii="Palatino Linotype" w:eastAsia="Palatino Linotype" w:hAnsi="Palatino Linotype" w:cs="Palatino Linotype"/>
          <w:i/>
        </w:rPr>
        <w:t>El Órgano Superior tendrá las siguientes atribuciones:</w:t>
      </w:r>
    </w:p>
    <w:p w:rsidR="008E523D" w:rsidRDefault="00B5649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8E523D" w:rsidRDefault="00B56496">
      <w:pPr>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XI. Establecer los lineamientos</w:t>
      </w:r>
      <w:r>
        <w:rPr>
          <w:rFonts w:ascii="Palatino Linotype" w:eastAsia="Palatino Linotype" w:hAnsi="Palatino Linotype" w:cs="Palatino Linotype"/>
          <w:i/>
        </w:rPr>
        <w:t xml:space="preserve">, criterios, procedimientos, métodos y sistemas </w:t>
      </w:r>
      <w:r>
        <w:rPr>
          <w:rFonts w:ascii="Palatino Linotype" w:eastAsia="Palatino Linotype" w:hAnsi="Palatino Linotype" w:cs="Palatino Linotype"/>
          <w:b/>
          <w:i/>
        </w:rPr>
        <w:t>para las acciones de control y evaluación, necesarios para la fiscalización de las cuentas públicas y los informes trimestrales</w:t>
      </w:r>
      <w:r>
        <w:rPr>
          <w:rFonts w:ascii="Palatino Linotype" w:eastAsia="Palatino Linotype" w:hAnsi="Palatino Linotype" w:cs="Palatino Linotype"/>
          <w:i/>
        </w:rPr>
        <w:t>…</w:t>
      </w:r>
      <w:r>
        <w:rPr>
          <w:rFonts w:ascii="Palatino Linotype" w:eastAsia="Palatino Linotype" w:hAnsi="Palatino Linotype" w:cs="Palatino Linotype"/>
        </w:rPr>
        <w:t>” (</w:t>
      </w:r>
      <w:r>
        <w:rPr>
          <w:rFonts w:ascii="Palatino Linotype" w:eastAsia="Palatino Linotype" w:hAnsi="Palatino Linotype" w:cs="Palatino Linotype"/>
          <w:i/>
        </w:rPr>
        <w:t>Sic)</w:t>
      </w:r>
    </w:p>
    <w:p w:rsidR="008E523D" w:rsidRDefault="008E523D">
      <w:pPr>
        <w:ind w:left="851" w:right="851"/>
        <w:jc w:val="both"/>
        <w:rPr>
          <w:rFonts w:ascii="Palatino Linotype" w:eastAsia="Palatino Linotype" w:hAnsi="Palatino Linotype" w:cs="Palatino Linotype"/>
          <w:b/>
          <w:i/>
        </w:rPr>
      </w:pPr>
    </w:p>
    <w:p w:rsidR="008E523D" w:rsidRDefault="00B5649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el Órgano Superior de Fiscalización del Estado de México en cumplimiento a la disposición jurídica previamente señalada y en ejercicio de sus atribuciones emitió los Lineamientos para la Integración y Entrega del Informe Trimestral Municipal 2022, en los que se ubica el módulo cuatro  relativo a la información de la nómina, como se advierte en las siguientes imágenes. </w:t>
      </w:r>
    </w:p>
    <w:p w:rsidR="008E523D" w:rsidRDefault="00B56496">
      <w:pPr>
        <w:spacing w:line="360" w:lineRule="auto"/>
        <w:jc w:val="both"/>
      </w:pPr>
      <w:r>
        <w:rPr>
          <w:noProof/>
          <w:lang w:val="es-MX" w:eastAsia="es-MX"/>
        </w:rPr>
        <w:lastRenderedPageBreak/>
        <w:drawing>
          <wp:inline distT="0" distB="0" distL="0" distR="0">
            <wp:extent cx="5441950" cy="3568700"/>
            <wp:effectExtent l="0" t="0" r="0" b="0"/>
            <wp:docPr id="2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3986" t="26966" r="3144" b="13259"/>
                    <a:stretch>
                      <a:fillRect/>
                    </a:stretch>
                  </pic:blipFill>
                  <pic:spPr>
                    <a:xfrm>
                      <a:off x="0" y="0"/>
                      <a:ext cx="5441950" cy="3568700"/>
                    </a:xfrm>
                    <a:prstGeom prst="rect">
                      <a:avLst/>
                    </a:prstGeom>
                    <a:ln/>
                  </pic:spPr>
                </pic:pic>
              </a:graphicData>
            </a:graphic>
          </wp:inline>
        </w:drawing>
      </w:r>
      <w:r>
        <w:rPr>
          <w:noProof/>
          <w:lang w:val="es-MX" w:eastAsia="es-MX"/>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2692400</wp:posOffset>
                </wp:positionV>
                <wp:extent cx="5200650" cy="857250"/>
                <wp:effectExtent l="0" t="0" r="0" b="0"/>
                <wp:wrapNone/>
                <wp:docPr id="284" name="Rectángulo 284"/>
                <wp:cNvGraphicFramePr/>
                <a:graphic xmlns:a="http://schemas.openxmlformats.org/drawingml/2006/main">
                  <a:graphicData uri="http://schemas.microsoft.com/office/word/2010/wordprocessingShape">
                    <wps:wsp>
                      <wps:cNvSpPr/>
                      <wps:spPr>
                        <a:xfrm>
                          <a:off x="2764725" y="3370425"/>
                          <a:ext cx="5162550" cy="819150"/>
                        </a:xfrm>
                        <a:prstGeom prst="rect">
                          <a:avLst/>
                        </a:prstGeom>
                        <a:noFill/>
                        <a:ln w="38100" cap="flat" cmpd="sng">
                          <a:solidFill>
                            <a:srgbClr val="FF0000"/>
                          </a:solidFill>
                          <a:prstDash val="solid"/>
                          <a:miter lim="800000"/>
                          <a:headEnd type="none" w="sm" len="sm"/>
                          <a:tailEnd type="none" w="sm" len="sm"/>
                        </a:ln>
                      </wps:spPr>
                      <wps:txbx>
                        <w:txbxContent>
                          <w:p w:rsidR="008E523D" w:rsidRDefault="008E523D">
                            <w:pPr>
                              <w:textDirection w:val="btLr"/>
                            </w:pPr>
                          </w:p>
                        </w:txbxContent>
                      </wps:txbx>
                      <wps:bodyPr spcFirstLastPara="1" wrap="square" lIns="91425" tIns="91425" rIns="91425" bIns="91425" anchor="ctr" anchorCtr="0">
                        <a:noAutofit/>
                      </wps:bodyPr>
                    </wps:wsp>
                  </a:graphicData>
                </a:graphic>
              </wp:anchor>
            </w:drawing>
          </mc:Choice>
          <mc:Fallback>
            <w:pict>
              <v:rect id="Rectángulo 284" o:spid="_x0000_s1026" style="position:absolute;left:0;text-align:left;margin-left:-1pt;margin-top:212pt;width:409.5pt;height: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" filled="f" strokecolor="red" strokeweight="3pt">
                <v:stroke startarrowwidth="narrow" startarrowlength="short" endarrowwidth="narrow" endarrowlength="short"/>
                <v:textbox inset="2.53958mm,2.53958mm,2.53958mm,2.53958mm">
                  <w:txbxContent>
                    <w:p w:rsidR="008E523D" w:rsidRDefault="008E523D">
                      <w:pPr>
                        <w:textDirection w:val="btLr"/>
                      </w:pPr>
                    </w:p>
                  </w:txbxContent>
                </v:textbox>
              </v:rect>
            </w:pict>
          </mc:Fallback>
        </mc:AlternateConten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imagen antes referida, se desprende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genera los Comprobantes Fiscales Digitales por Internet por concepto de Nómina o comúnmente conocido por Recibos de Nómina, los cuales ya se encuentran digitalizados; ya que, de acuerdo a lo establecido en los lineamientos, se entregan al Órgano Superior de Fiscalización en formato PDF. </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bajo los argumentos expuestos, se insiste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cuenta con la información digitalizada sobre la cual puede realizar la versión pública, mediante algún software o programa, sin que deba necesariamente reproducir la información en formato físico-, para estar en condiciones de  atender la solicitud, por lo que este Organismo Garante estima procedente ordenar la entrega Comprobantes Fiscales Digitales por Internet por concepto de Nómina, de los integrantes del </w:t>
      </w:r>
      <w:r>
        <w:rPr>
          <w:rFonts w:ascii="Palatino Linotype" w:eastAsia="Palatino Linotype" w:hAnsi="Palatino Linotype" w:cs="Palatino Linotype"/>
        </w:rPr>
        <w:lastRenderedPageBreak/>
        <w:t>cabildo, así como del personal adscrito a cada una de sus áreas, correspondientes a la segunda quincena de febrero y la primera quincena de marzo de dos mil veintidós, mediante el sistema SAIMEX, sin costo para la solicitante, en los términos del considerando siguiente.</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Sujeto Obligado debe satisfacer la solicitud de acceso a la información; sin embargo, en caso de que la misma contenga  datos personales, deberá clasificarlos, observando las formalidades siguientes:</w:t>
      </w:r>
    </w:p>
    <w:p w:rsidR="008E523D" w:rsidRDefault="00B56496">
      <w:pPr>
        <w:shd w:val="clear" w:color="auto" w:fill="FFFFFF"/>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8E523D" w:rsidRDefault="00B56496">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E523D" w:rsidRDefault="00B56496">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E523D" w:rsidRDefault="008E523D">
      <w:pPr>
        <w:shd w:val="clear" w:color="auto" w:fill="FFFFFF"/>
        <w:ind w:left="851" w:right="851"/>
        <w:jc w:val="both"/>
        <w:rPr>
          <w:rFonts w:ascii="Palatino Linotype" w:eastAsia="Palatino Linotype" w:hAnsi="Palatino Linotype" w:cs="Palatino Linotype"/>
          <w:b/>
          <w:i/>
          <w:sz w:val="22"/>
          <w:szCs w:val="22"/>
        </w:rPr>
      </w:pPr>
    </w:p>
    <w:p w:rsidR="008E523D" w:rsidRDefault="00B56496">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8E523D" w:rsidRDefault="00B56496">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rsidR="008E523D" w:rsidRDefault="008E523D">
      <w:pPr>
        <w:shd w:val="clear" w:color="auto" w:fill="FFFFFF"/>
        <w:ind w:left="851" w:right="851"/>
        <w:jc w:val="both"/>
        <w:rPr>
          <w:rFonts w:ascii="Palatino Linotype" w:eastAsia="Palatino Linotype" w:hAnsi="Palatino Linotype" w:cs="Palatino Linotype"/>
          <w:sz w:val="22"/>
          <w:szCs w:val="22"/>
        </w:rPr>
      </w:pPr>
    </w:p>
    <w:p w:rsidR="008E523D" w:rsidRDefault="00B5649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8E523D" w:rsidRDefault="00B5649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E523D" w:rsidRDefault="00B5649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w:t>
      </w:r>
      <w:r>
        <w:rPr>
          <w:rFonts w:ascii="Palatino Linotype" w:eastAsia="Palatino Linotype" w:hAnsi="Palatino Linotype" w:cs="Palatino Linotype"/>
        </w:rPr>
        <w:lastRenderedPageBreak/>
        <w:t>que disponen los artículos 49 fracción VIII, 53, fracción X y 59, fracción V, de la Ley en consulta, cuyo sentido literal es el siguiente:</w:t>
      </w: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8E523D" w:rsidRDefault="008E523D">
      <w:pPr>
        <w:ind w:left="851" w:right="851"/>
        <w:jc w:val="both"/>
        <w:rPr>
          <w:rFonts w:ascii="Palatino Linotype" w:eastAsia="Palatino Linotype" w:hAnsi="Palatino Linotype" w:cs="Palatino Linotype"/>
          <w:b/>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8E523D" w:rsidRDefault="008E523D">
      <w:pPr>
        <w:ind w:left="851" w:right="851"/>
        <w:jc w:val="both"/>
        <w:rPr>
          <w:rFonts w:ascii="Palatino Linotype" w:eastAsia="Palatino Linotype" w:hAnsi="Palatino Linotype" w:cs="Palatino Linotype"/>
          <w:b/>
          <w:i/>
          <w:sz w:val="22"/>
          <w:szCs w:val="22"/>
        </w:rPr>
      </w:pPr>
    </w:p>
    <w:p w:rsidR="008E523D" w:rsidRDefault="00B5649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8E523D" w:rsidRDefault="008E523D">
      <w:pPr>
        <w:ind w:left="851" w:right="851"/>
        <w:jc w:val="both"/>
        <w:rPr>
          <w:rFonts w:ascii="Palatino Linotype" w:eastAsia="Palatino Linotype" w:hAnsi="Palatino Linotype" w:cs="Palatino Linotype"/>
          <w:i/>
          <w:sz w:val="22"/>
          <w:szCs w:val="22"/>
        </w:rPr>
      </w:pP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cuyo contenido es de la literalidad siguiente:</w:t>
      </w:r>
    </w:p>
    <w:p w:rsidR="008E523D" w:rsidRDefault="00B56496">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rsidR="008E523D" w:rsidRDefault="00B5649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El artículo 143, fracción I, de la Ley de Transparencia y Acceso a la Información Pública del Estado de México y Municipios, establece que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w:t>
      </w:r>
      <w:r>
        <w:rPr>
          <w:rFonts w:ascii="Palatino Linotype" w:eastAsia="Palatino Linotype" w:hAnsi="Palatino Linotype" w:cs="Palatino Linotype"/>
        </w:rPr>
        <w:lastRenderedPageBreak/>
        <w:t>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respecto de los documentos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ha de entregar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se deberá omitir, eliminar o suprimir la información personal de los servidores públicos, como Registro Federal de Contribuyentes (RFC), Clave única de Registro de Población (CURP), clave del Instituto de Seguridad Social del Estado de México y Municipios (ISSEMyM), </w:t>
      </w:r>
      <w:r>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Pr>
          <w:rFonts w:ascii="Palatino Linotype" w:eastAsia="Palatino Linotype" w:hAnsi="Palatino Linotype" w:cs="Palatino Linotype"/>
        </w:rPr>
        <w:t>, número de cuenta o cualquier otro dato que ponga en riesgo la vida, seguridad y salud de dichas personas.</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w:t>
      </w:r>
      <w:r>
        <w:rPr>
          <w:rFonts w:ascii="Palatino Linotype" w:eastAsia="Palatino Linotype" w:hAnsi="Palatino Linotype" w:cs="Palatino Linotype"/>
        </w:rPr>
        <w:lastRenderedPageBreak/>
        <w:t>cual, para su obtención es necesario acreditar personalidad, fecha de nacimiento entre otros con documentos oficiales.</w:t>
      </w:r>
    </w:p>
    <w:p w:rsidR="008E523D" w:rsidRDefault="00B56496">
      <w:pP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emitido por el INAI, que dice:</w:t>
      </w:r>
      <w:r>
        <w:rPr>
          <w:rFonts w:ascii="Palatino Linotype" w:eastAsia="Palatino Linotype" w:hAnsi="Palatino Linotype" w:cs="Palatino Linotype"/>
          <w:b/>
          <w:color w:val="000000"/>
        </w:rPr>
        <w:t xml:space="preserve"> </w:t>
      </w:r>
    </w:p>
    <w:p w:rsidR="008E523D" w:rsidRDefault="00B56496">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rsidR="008E523D" w:rsidRDefault="00B56496">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8E523D" w:rsidRDefault="00B56496">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0189/17. Morena. 08 de febrero de 2017. Por unanimidad. Comisionado Ponente Joel Salas Suárez.</w:t>
      </w:r>
    </w:p>
    <w:p w:rsidR="008E523D" w:rsidRDefault="00B56496">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0677/17. Universidad Nacional Autónoma de México. 08 de marzo de 2017. Por unanimidad. Comisionado Ponente Rosendoevgueni Monterrey Chepov. </w:t>
      </w:r>
    </w:p>
    <w:p w:rsidR="008E523D" w:rsidRDefault="00B56496">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rsidR="008E523D" w:rsidRDefault="00B56496">
      <w:pPr>
        <w:tabs>
          <w:tab w:val="left" w:pos="7655"/>
        </w:tabs>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rsidR="008E523D" w:rsidRDefault="00B56496">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literalmente lo siguiente:</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xml:space="preserve">. </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3995/16. Secretaría de la Defensa Nacional. 1 de febrero de 2017. Por unanimidad. Comisionado Ponente Rosendoevgueni Monterrey Chepov.</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rsidR="008E523D" w:rsidRDefault="00B56496">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w:t>
      </w:r>
      <w:r>
        <w:rPr>
          <w:rFonts w:ascii="Palatino Linotype" w:eastAsia="Palatino Linotype" w:hAnsi="Palatino Linotype" w:cs="Palatino Linotype"/>
        </w:rPr>
        <w:lastRenderedPageBreak/>
        <w:t>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rsidR="008E523D" w:rsidRDefault="00B56496">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8E523D" w:rsidRDefault="00B56496">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 Faltas de puntualidad o de asistencia injustificadas;</w:t>
      </w:r>
    </w:p>
    <w:p w:rsidR="008E523D" w:rsidRDefault="00B5649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8E523D" w:rsidRDefault="00B56496">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8E523D" w:rsidRDefault="00B56496">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8E523D" w:rsidRDefault="00B56496">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8E523D" w:rsidRDefault="00B564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w:t>
      </w:r>
      <w:r>
        <w:rPr>
          <w:rFonts w:ascii="Palatino Linotype" w:eastAsia="Palatino Linotype" w:hAnsi="Palatino Linotype" w:cs="Palatino Linotype"/>
        </w:rPr>
        <w:lastRenderedPageBreak/>
        <w:t>de incertidumbre, al no conocer o comprender porque no aparecen en la documentación respectiva, es decir, si no se exponen de manera puntual las razones de ello se estaría violentando desde un inicio el derecho de acceso a la información del solicitante.</w:t>
      </w:r>
    </w:p>
    <w:p w:rsidR="008E523D" w:rsidRDefault="00B56496">
      <w:pPr>
        <w:spacing w:before="240" w:after="240" w:line="360"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rPr>
        <w:t xml:space="preserve">En mérito de lo expuesto en líneas anteriores, resultan fundadas las razones o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06644/INFOEM/IP/RR/2022 y 06645/INFOEM/IP/RR/2022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 xml:space="preserve">MODIFICAN </w:t>
      </w:r>
      <w:r>
        <w:rPr>
          <w:rFonts w:ascii="Palatino Linotype" w:eastAsia="Palatino Linotype" w:hAnsi="Palatino Linotype" w:cs="Palatino Linotype"/>
        </w:rPr>
        <w:t xml:space="preserve">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w:t>
      </w:r>
      <w:r>
        <w:rPr>
          <w:rFonts w:ascii="Palatino Linotype" w:eastAsia="Palatino Linotype" w:hAnsi="Palatino Linotype" w:cs="Palatino Linotype"/>
          <w:b/>
        </w:rPr>
        <w:t>00828/TOLUCA/IP/2022 y 00829/TOLUCA/IP/2022</w:t>
      </w:r>
      <w:r>
        <w:rPr>
          <w:rFonts w:ascii="Palatino Linotype" w:eastAsia="Palatino Linotype" w:hAnsi="Palatino Linotype" w:cs="Palatino Linotype"/>
          <w:b/>
          <w:i/>
          <w:sz w:val="22"/>
          <w:szCs w:val="22"/>
        </w:rPr>
        <w:t xml:space="preserve">. </w:t>
      </w:r>
    </w:p>
    <w:p w:rsidR="008E523D" w:rsidRDefault="00B5649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w:t>
      </w:r>
      <w:r>
        <w:rPr>
          <w:color w:val="000000"/>
        </w:rPr>
        <w:t xml:space="preserve"> </w:t>
      </w:r>
      <w:r>
        <w:rPr>
          <w:rFonts w:ascii="Palatino Linotype" w:eastAsia="Palatino Linotype" w:hAnsi="Palatino Linotype" w:cs="Palatino Linotype"/>
          <w:color w:val="000000"/>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E523D" w:rsidRDefault="00B56496">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06644/INFOEM/IP/RR/2022 y </w:t>
      </w:r>
      <w:r>
        <w:rPr>
          <w:rFonts w:ascii="Palatino Linotype" w:eastAsia="Palatino Linotype" w:hAnsi="Palatino Linotype" w:cs="Palatino Linotype"/>
          <w:b/>
          <w:highlight w:val="white"/>
        </w:rPr>
        <w:t xml:space="preserve">06645/INFOEM/IP/RR/2022, </w:t>
      </w:r>
      <w:r>
        <w:rPr>
          <w:rFonts w:ascii="Palatino Linotype" w:eastAsia="Palatino Linotype" w:hAnsi="Palatino Linotype" w:cs="Palatino Linotype"/>
          <w:highlight w:val="white"/>
        </w:rPr>
        <w:t>por lo que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en términos del Considerando Cuarto de la presente resolución. </w:t>
      </w:r>
    </w:p>
    <w:p w:rsidR="008E523D" w:rsidRDefault="00B56496">
      <w:pPr>
        <w:spacing w:before="240" w:after="240" w:line="360" w:lineRule="auto"/>
        <w:jc w:val="both"/>
        <w:rPr>
          <w:rFonts w:ascii="Palatino Linotype" w:eastAsia="Palatino Linotype" w:hAnsi="Palatino Linotype" w:cs="Palatino Linotype"/>
          <w:b/>
          <w:highlight w:val="white"/>
        </w:rPr>
      </w:pPr>
      <w:r>
        <w:rPr>
          <w:rFonts w:ascii="Palatino Linotype" w:eastAsia="Palatino Linotype" w:hAnsi="Palatino Linotype" w:cs="Palatino Linotype"/>
          <w:b/>
        </w:rPr>
        <w:lastRenderedPageBreak/>
        <w:t>SEGUNDO. S</w:t>
      </w:r>
      <w:r>
        <w:rPr>
          <w:rFonts w:ascii="Palatino Linotype" w:eastAsia="Palatino Linotype" w:hAnsi="Palatino Linotype" w:cs="Palatino Linotype"/>
          <w:highlight w:val="white"/>
        </w:rPr>
        <w:t xml:space="preserve">e </w:t>
      </w:r>
      <w:r>
        <w:rPr>
          <w:rFonts w:ascii="Palatino Linotype" w:eastAsia="Palatino Linotype" w:hAnsi="Palatino Linotype" w:cs="Palatino Linotype"/>
          <w:b/>
          <w:highlight w:val="white"/>
        </w:rPr>
        <w:t>MODIFICAN</w:t>
      </w:r>
      <w:r>
        <w:rPr>
          <w:rFonts w:ascii="Palatino Linotype" w:eastAsia="Palatino Linotype" w:hAnsi="Palatino Linotype" w:cs="Palatino Linotype"/>
          <w:highlight w:val="white"/>
        </w:rPr>
        <w:t xml:space="preserve"> las respuestas emitidas por el </w:t>
      </w:r>
      <w:r>
        <w:rPr>
          <w:rFonts w:ascii="Palatino Linotype" w:eastAsia="Palatino Linotype" w:hAnsi="Palatino Linotype" w:cs="Palatino Linotype"/>
          <w:b/>
          <w:highlight w:val="white"/>
        </w:rPr>
        <w:t xml:space="preserve">SUJETO OBLIGADO </w:t>
      </w:r>
      <w:r>
        <w:rPr>
          <w:rFonts w:ascii="Palatino Linotype" w:eastAsia="Palatino Linotype" w:hAnsi="Palatino Linotype" w:cs="Palatino Linotype"/>
          <w:highlight w:val="white"/>
        </w:rPr>
        <w:t xml:space="preserve">y </w:t>
      </w:r>
      <w:r>
        <w:rPr>
          <w:rFonts w:ascii="Palatino Linotype" w:eastAsia="Palatino Linotype" w:hAnsi="Palatino Linotype" w:cs="Palatino Linotype"/>
        </w:rPr>
        <w:t xml:space="preserve">se ordena, haga entrega vía Sistema de Acceso a la Información Mexiquense (SAIMEX), en versión pública, la siguiente información: </w:t>
      </w:r>
    </w:p>
    <w:p w:rsidR="008E523D" w:rsidRDefault="00B56496">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rPr>
        <w:t xml:space="preserve">1. </w:t>
      </w:r>
      <w:r w:rsidR="00253658">
        <w:rPr>
          <w:rFonts w:ascii="Palatino Linotype" w:eastAsia="Palatino Linotype" w:hAnsi="Palatino Linotype" w:cs="Palatino Linotype"/>
          <w:i/>
        </w:rPr>
        <w:t>Recibos</w:t>
      </w:r>
      <w:r w:rsidRPr="00253658">
        <w:rPr>
          <w:rFonts w:ascii="Palatino Linotype" w:eastAsia="Palatino Linotype" w:hAnsi="Palatino Linotype" w:cs="Palatino Linotype"/>
          <w:i/>
        </w:rPr>
        <w:t xml:space="preserve"> de Nómina,</w:t>
      </w:r>
      <w:r>
        <w:rPr>
          <w:rFonts w:ascii="Palatino Linotype" w:eastAsia="Palatino Linotype" w:hAnsi="Palatino Linotype" w:cs="Palatino Linotype"/>
          <w:i/>
        </w:rPr>
        <w:t xml:space="preserve"> de los integrantes del Cabildo del Ayuntamiento de Toluca, así como de los servidores públicos adscritos a cada una de esas áreas, correspondientes a la segunda quincena de febrero y a la primera quincena de marzo de dos mil veintidós.</w:t>
      </w:r>
    </w:p>
    <w:p w:rsidR="008E523D" w:rsidRDefault="00B56496">
      <w:pPr>
        <w:pBdr>
          <w:top w:val="nil"/>
          <w:left w:val="nil"/>
          <w:bottom w:val="nil"/>
          <w:right w:val="nil"/>
          <w:between w:val="nil"/>
        </w:pBdr>
        <w:spacing w:before="120" w:after="120"/>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8E523D" w:rsidRDefault="008E523D">
      <w:pPr>
        <w:pBdr>
          <w:top w:val="nil"/>
          <w:left w:val="nil"/>
          <w:bottom w:val="nil"/>
          <w:right w:val="nil"/>
          <w:between w:val="nil"/>
        </w:pBdr>
        <w:spacing w:before="120" w:after="120"/>
        <w:ind w:left="851" w:right="709"/>
        <w:jc w:val="both"/>
        <w:rPr>
          <w:rFonts w:ascii="Palatino Linotype" w:eastAsia="Palatino Linotype" w:hAnsi="Palatino Linotype" w:cs="Palatino Linotype"/>
          <w:i/>
          <w:sz w:val="22"/>
          <w:szCs w:val="22"/>
        </w:rPr>
      </w:pPr>
    </w:p>
    <w:p w:rsidR="008E523D" w:rsidRDefault="00B5649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bookmarkStart w:id="8" w:name="_heading=h.4d34og8" w:colFirst="0" w:colLast="0"/>
      <w:bookmarkEnd w:id="8"/>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E523D" w:rsidRDefault="00B56496">
      <w:pPr>
        <w:spacing w:before="240" w:after="240" w:line="360" w:lineRule="auto"/>
        <w:jc w:val="both"/>
        <w:rPr>
          <w:rFonts w:ascii="Palatino Linotype" w:eastAsia="Palatino Linotype" w:hAnsi="Palatino Linotype" w:cs="Palatino Linotype"/>
        </w:rPr>
      </w:pPr>
      <w:bookmarkStart w:id="9" w:name="_heading=h.1t3h5sf" w:colFirst="0" w:colLast="0"/>
      <w:bookmarkEnd w:id="9"/>
      <w:r>
        <w:rPr>
          <w:rFonts w:ascii="Palatino Linotype" w:eastAsia="Palatino Linotype" w:hAnsi="Palatino Linotype" w:cs="Palatino Linotype"/>
          <w:b/>
        </w:rPr>
        <w:lastRenderedPageBreak/>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523D" w:rsidRDefault="00B564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53658">
        <w:rPr>
          <w:rFonts w:ascii="Palatino Linotype" w:eastAsia="Palatino Linotype" w:hAnsi="Palatino Linotype" w:cs="Palatino Linotype"/>
        </w:rPr>
        <w:t>VIGÉSIMA</w:t>
      </w:r>
      <w:r w:rsidR="00253658">
        <w:rPr>
          <w:rFonts w:ascii="Palatino Linotype" w:eastAsia="Palatino Linotype" w:hAnsi="Palatino Linotype" w:cs="Palatino Linotype"/>
        </w:rPr>
        <w:t xml:space="preserve"> CUARTA </w:t>
      </w:r>
      <w:r w:rsidRPr="00253658">
        <w:rPr>
          <w:rFonts w:ascii="Palatino Linotype" w:eastAsia="Palatino Linotype" w:hAnsi="Palatino Linotype" w:cs="Palatino Linotype"/>
        </w:rPr>
        <w:t xml:space="preserve">SESIÓN ORDINARIA CELEBRADA EL </w:t>
      </w:r>
      <w:r w:rsidR="00253658">
        <w:rPr>
          <w:rFonts w:ascii="Palatino Linotype" w:eastAsia="Palatino Linotype" w:hAnsi="Palatino Linotype" w:cs="Palatino Linotype"/>
        </w:rPr>
        <w:t>VEINTINUEVE</w:t>
      </w:r>
      <w:r>
        <w:rPr>
          <w:rFonts w:ascii="Palatino Linotype" w:eastAsia="Palatino Linotype" w:hAnsi="Palatino Linotype" w:cs="Palatino Linotype"/>
        </w:rPr>
        <w:t xml:space="preserve"> DE JUNIO DE DOS MIL VEINTIDÓS, ANTE EL SECRETARIO TÉCNICO DEL PLENO, ALEXIS TAPIA RAMÍREZ.</w:t>
      </w:r>
    </w:p>
    <w:p w:rsidR="008E523D" w:rsidRDefault="008E523D">
      <w:pPr>
        <w:spacing w:before="240" w:after="240" w:line="360" w:lineRule="auto"/>
        <w:jc w:val="both"/>
        <w:rPr>
          <w:rFonts w:ascii="Palatino Linotype" w:eastAsia="Palatino Linotype" w:hAnsi="Palatino Linotype" w:cs="Palatino Linotype"/>
        </w:rPr>
      </w:pPr>
    </w:p>
    <w:p w:rsidR="008E523D" w:rsidRDefault="008E523D">
      <w:pPr>
        <w:spacing w:before="240" w:after="240" w:line="360" w:lineRule="auto"/>
        <w:jc w:val="both"/>
        <w:rPr>
          <w:rFonts w:ascii="Palatino Linotype" w:eastAsia="Palatino Linotype" w:hAnsi="Palatino Linotype" w:cs="Palatino Linotype"/>
        </w:rPr>
      </w:pPr>
    </w:p>
    <w:p w:rsidR="008E523D" w:rsidRDefault="00B56496">
      <w:pPr>
        <w:spacing w:before="240" w:after="240" w:line="360" w:lineRule="auto"/>
        <w:jc w:val="both"/>
        <w:rPr>
          <w:rFonts w:ascii="Palatino Linotype" w:eastAsia="Palatino Linotype" w:hAnsi="Palatino Linotype" w:cs="Palatino Linotype"/>
        </w:rPr>
      </w:pPr>
      <w:r>
        <w:br w:type="page"/>
      </w:r>
    </w:p>
    <w:p w:rsidR="008E523D" w:rsidRDefault="008E523D"/>
    <w:sectPr w:rsidR="008E523D">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B1C" w:rsidRDefault="00782B1C">
      <w:r>
        <w:separator/>
      </w:r>
    </w:p>
  </w:endnote>
  <w:endnote w:type="continuationSeparator" w:id="0">
    <w:p w:rsidR="00782B1C" w:rsidRDefault="0078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3D" w:rsidRDefault="00B5649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A05A4">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A05A4">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rsidR="008E523D" w:rsidRDefault="00B56496">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3D" w:rsidRDefault="00B56496">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0A05A4">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0A05A4">
      <w:rPr>
        <w:rFonts w:ascii="Palatino Linotype" w:eastAsia="Palatino Linotype" w:hAnsi="Palatino Linotype" w:cs="Palatino Linotype"/>
        <w:b/>
        <w:noProof/>
        <w:sz w:val="20"/>
        <w:szCs w:val="20"/>
      </w:rPr>
      <w:t>46</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B1C" w:rsidRDefault="00782B1C">
      <w:r>
        <w:separator/>
      </w:r>
    </w:p>
  </w:footnote>
  <w:footnote w:type="continuationSeparator" w:id="0">
    <w:p w:rsidR="00782B1C" w:rsidRDefault="00782B1C">
      <w:r>
        <w:continuationSeparator/>
      </w:r>
    </w:p>
  </w:footnote>
  <w:footnote w:id="1">
    <w:p w:rsidR="008E523D" w:rsidRDefault="00B5649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8E523D" w:rsidRDefault="00B5649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3D" w:rsidRDefault="00B5649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-754373</wp:posOffset>
          </wp:positionH>
          <wp:positionV relativeFrom="paragraph">
            <wp:posOffset>6350</wp:posOffset>
          </wp:positionV>
          <wp:extent cx="7635163" cy="9944100"/>
          <wp:effectExtent l="0" t="0" r="0" b="0"/>
          <wp:wrapNone/>
          <wp:docPr id="2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2835" w:type="dxa"/>
      <w:tblLayout w:type="fixed"/>
      <w:tblLook w:val="0400" w:firstRow="0" w:lastRow="0" w:firstColumn="0" w:lastColumn="0" w:noHBand="0" w:noVBand="1"/>
    </w:tblPr>
    <w:tblGrid>
      <w:gridCol w:w="2551"/>
      <w:gridCol w:w="3261"/>
    </w:tblGrid>
    <w:tr w:rsidR="008E523D">
      <w:tc>
        <w:tcPr>
          <w:tcW w:w="2551" w:type="dxa"/>
          <w:vAlign w:val="center"/>
        </w:tcPr>
        <w:p w:rsidR="008E523D" w:rsidRDefault="00B5649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rsidR="008E523D" w:rsidRDefault="00B5649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06644/INFOEM/IP/RR/2022 y acumulados</w:t>
          </w:r>
        </w:p>
      </w:tc>
    </w:tr>
    <w:tr w:rsidR="008E523D">
      <w:trPr>
        <w:trHeight w:val="228"/>
      </w:trPr>
      <w:tc>
        <w:tcPr>
          <w:tcW w:w="2551" w:type="dxa"/>
          <w:vAlign w:val="center"/>
        </w:tcPr>
        <w:p w:rsidR="008E523D" w:rsidRDefault="00B5649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rsidR="008E523D" w:rsidRDefault="00B5649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Toluca</w:t>
          </w:r>
        </w:p>
      </w:tc>
    </w:tr>
    <w:tr w:rsidR="008E523D">
      <w:tc>
        <w:tcPr>
          <w:tcW w:w="2551" w:type="dxa"/>
          <w:vAlign w:val="center"/>
        </w:tcPr>
        <w:p w:rsidR="008E523D" w:rsidRDefault="00B5649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rsidR="008E523D" w:rsidRDefault="00B5649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8E523D" w:rsidRDefault="00B5649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3D" w:rsidRDefault="00B56496">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simplePos x="0" y="0"/>
          <wp:positionH relativeFrom="column">
            <wp:posOffset>-1188713</wp:posOffset>
          </wp:positionH>
          <wp:positionV relativeFrom="paragraph">
            <wp:posOffset>-447033</wp:posOffset>
          </wp:positionV>
          <wp:extent cx="7635163" cy="9944100"/>
          <wp:effectExtent l="0" t="0" r="0" b="0"/>
          <wp:wrapNone/>
          <wp:docPr id="2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7"/>
      <w:tblW w:w="5670" w:type="dxa"/>
      <w:tblInd w:w="3261" w:type="dxa"/>
      <w:tblLayout w:type="fixed"/>
      <w:tblLook w:val="0400" w:firstRow="0" w:lastRow="0" w:firstColumn="0" w:lastColumn="0" w:noHBand="0" w:noVBand="1"/>
    </w:tblPr>
    <w:tblGrid>
      <w:gridCol w:w="2551"/>
      <w:gridCol w:w="3119"/>
    </w:tblGrid>
    <w:tr w:rsidR="008E523D">
      <w:tc>
        <w:tcPr>
          <w:tcW w:w="2551" w:type="dxa"/>
          <w:shd w:val="clear" w:color="auto" w:fill="auto"/>
          <w:vAlign w:val="center"/>
        </w:tcPr>
        <w:p w:rsidR="008E523D" w:rsidRDefault="00B564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8E523D" w:rsidRDefault="00B56496">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06644/INFOEM/IP/RR/2022 y acumulado</w:t>
          </w:r>
        </w:p>
      </w:tc>
    </w:tr>
    <w:tr w:rsidR="008E523D">
      <w:trPr>
        <w:trHeight w:val="130"/>
      </w:trPr>
      <w:tc>
        <w:tcPr>
          <w:tcW w:w="2551" w:type="dxa"/>
          <w:shd w:val="clear" w:color="auto" w:fill="auto"/>
          <w:vAlign w:val="center"/>
        </w:tcPr>
        <w:p w:rsidR="008E523D" w:rsidRDefault="00B564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8E523D" w:rsidRDefault="008E523D">
          <w:pPr>
            <w:ind w:left="-45"/>
            <w:rPr>
              <w:rFonts w:ascii="Palatino Linotype" w:eastAsia="Palatino Linotype" w:hAnsi="Palatino Linotype" w:cs="Palatino Linotype"/>
              <w:b/>
              <w:sz w:val="22"/>
              <w:szCs w:val="22"/>
            </w:rPr>
          </w:pPr>
        </w:p>
      </w:tc>
    </w:tr>
    <w:tr w:rsidR="008E523D">
      <w:trPr>
        <w:trHeight w:val="228"/>
      </w:trPr>
      <w:tc>
        <w:tcPr>
          <w:tcW w:w="2551" w:type="dxa"/>
          <w:shd w:val="clear" w:color="auto" w:fill="auto"/>
          <w:vAlign w:val="center"/>
        </w:tcPr>
        <w:p w:rsidR="008E523D" w:rsidRDefault="00B564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8E523D" w:rsidRDefault="00B56496">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8E523D">
      <w:tc>
        <w:tcPr>
          <w:tcW w:w="2551" w:type="dxa"/>
          <w:shd w:val="clear" w:color="auto" w:fill="auto"/>
          <w:vAlign w:val="center"/>
        </w:tcPr>
        <w:p w:rsidR="008E523D" w:rsidRDefault="00B564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8E523D" w:rsidRDefault="00B56496">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523D" w:rsidRDefault="008E523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4304F"/>
    <w:multiLevelType w:val="multilevel"/>
    <w:tmpl w:val="1B24A4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777E2"/>
    <w:multiLevelType w:val="multilevel"/>
    <w:tmpl w:val="E0E4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301431"/>
    <w:multiLevelType w:val="multilevel"/>
    <w:tmpl w:val="8708A88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753816"/>
    <w:multiLevelType w:val="multilevel"/>
    <w:tmpl w:val="BD3884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3D"/>
    <w:rsid w:val="000A05A4"/>
    <w:rsid w:val="00151D4F"/>
    <w:rsid w:val="00253658"/>
    <w:rsid w:val="00484834"/>
    <w:rsid w:val="00782B1C"/>
    <w:rsid w:val="008E523D"/>
    <w:rsid w:val="00B56496"/>
    <w:rsid w:val="00C71B19"/>
    <w:rsid w:val="00DC68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909D4-5757-408F-A23D-2AE00DE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f7K3mclCnEZaZCajijKh28qmQ==">AMUW2mUH25YoQTDDlWLobZkFQlQChtOlMreYIrKsch9ZXDa1kCOi5uYe+D3dTumLR66EHCR9ggWFQpDz4MrTlQw/URhs5FpJPdLAHaKzwgJ9snroDeYtOovSzWeWHhk73rmKNS/1LqpuxkIHd9iLcfRqoVZhCoKaWzea9AJZsi8mbrEi8ahgb6+ilOVROGPvWraJ3ketyXzW5o+/j0EMkr8eEujexKLdAcu1R6wLJu1cFHNHuBgVNW8=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10998</Words>
  <Characters>60493</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dcterms:created xsi:type="dcterms:W3CDTF">2022-06-28T16:50:00Z</dcterms:created>
  <dcterms:modified xsi:type="dcterms:W3CDTF">2022-06-28T16:50:00Z</dcterms:modified>
</cp:coreProperties>
</file>