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23F56" w14:textId="77777777" w:rsidR="00AC7CFD" w:rsidRPr="001172CE" w:rsidRDefault="0028542B">
      <w:pPr>
        <w:spacing w:before="240" w:after="240"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dieciocho de noviembre de dos mil veintidós.</w:t>
      </w:r>
    </w:p>
    <w:p w14:paraId="4384B968" w14:textId="5FD262E0"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Visto </w:t>
      </w:r>
      <w:r w:rsidRPr="001172CE">
        <w:rPr>
          <w:rFonts w:ascii="Palatino Linotype" w:eastAsia="Palatino Linotype" w:hAnsi="Palatino Linotype" w:cs="Palatino Linotype"/>
          <w:sz w:val="24"/>
          <w:szCs w:val="24"/>
        </w:rPr>
        <w:t xml:space="preserve">el expediente relativo al recurso de revisión </w:t>
      </w:r>
      <w:r w:rsidRPr="001172CE">
        <w:rPr>
          <w:rFonts w:ascii="Palatino Linotype" w:eastAsia="Palatino Linotype" w:hAnsi="Palatino Linotype" w:cs="Palatino Linotype"/>
          <w:b/>
          <w:sz w:val="24"/>
          <w:szCs w:val="24"/>
        </w:rPr>
        <w:t>11999/INFOEM/IP/RR/2022</w:t>
      </w:r>
      <w:r w:rsidRPr="001172CE">
        <w:rPr>
          <w:rFonts w:ascii="Palatino Linotype" w:eastAsia="Palatino Linotype" w:hAnsi="Palatino Linotype" w:cs="Palatino Linotype"/>
          <w:sz w:val="24"/>
          <w:szCs w:val="24"/>
        </w:rPr>
        <w:t xml:space="preserve">, interpuesto </w:t>
      </w:r>
      <w:r w:rsidR="0039228A">
        <w:rPr>
          <w:rFonts w:ascii="Palatino Linotype" w:eastAsia="Palatino Linotype" w:hAnsi="Palatino Linotype" w:cs="Palatino Linotype"/>
          <w:b/>
          <w:sz w:val="24"/>
          <w:szCs w:val="24"/>
        </w:rPr>
        <w:t>XXXXX XXXXXX</w:t>
      </w:r>
      <w:r w:rsidRPr="001172CE">
        <w:rPr>
          <w:rFonts w:ascii="Palatino Linotype" w:eastAsia="Palatino Linotype" w:hAnsi="Palatino Linotype" w:cs="Palatino Linotype"/>
          <w:sz w:val="24"/>
          <w:szCs w:val="24"/>
        </w:rPr>
        <w:t xml:space="preserve">, al cual en lo sucesivo se le denominara </w:t>
      </w:r>
      <w:r w:rsidRPr="001172CE">
        <w:rPr>
          <w:rFonts w:ascii="Palatino Linotype" w:eastAsia="Palatino Linotype" w:hAnsi="Palatino Linotype" w:cs="Palatino Linotype"/>
          <w:b/>
          <w:sz w:val="24"/>
          <w:szCs w:val="24"/>
        </w:rPr>
        <w:t>el RECURRENTE</w:t>
      </w:r>
      <w:r w:rsidRPr="001172CE">
        <w:rPr>
          <w:rFonts w:ascii="Palatino Linotype" w:eastAsia="Palatino Linotype" w:hAnsi="Palatino Linotype" w:cs="Palatino Linotype"/>
          <w:sz w:val="24"/>
          <w:szCs w:val="24"/>
        </w:rPr>
        <w:t xml:space="preserve">, en contra de la respuesta a la solicitud de información con número de folio </w:t>
      </w:r>
      <w:r w:rsidRPr="001172CE">
        <w:rPr>
          <w:rFonts w:ascii="Palatino Linotype" w:eastAsia="Palatino Linotype" w:hAnsi="Palatino Linotype" w:cs="Palatino Linotype"/>
          <w:b/>
          <w:sz w:val="24"/>
          <w:szCs w:val="24"/>
        </w:rPr>
        <w:t>00082/JOCOTIT/IP/2022,</w:t>
      </w:r>
      <w:r w:rsidRPr="001172CE">
        <w:rPr>
          <w:rFonts w:ascii="Palatino Linotype" w:eastAsia="Palatino Linotype" w:hAnsi="Palatino Linotype" w:cs="Palatino Linotype"/>
          <w:sz w:val="24"/>
          <w:szCs w:val="24"/>
        </w:rPr>
        <w:t xml:space="preserve"> por parte del </w:t>
      </w:r>
      <w:r w:rsidRPr="001172CE">
        <w:rPr>
          <w:rFonts w:ascii="Palatino Linotype" w:eastAsia="Palatino Linotype" w:hAnsi="Palatino Linotype" w:cs="Palatino Linotype"/>
          <w:b/>
          <w:sz w:val="24"/>
          <w:szCs w:val="24"/>
        </w:rPr>
        <w:t>Ayuntamiento de Jocotitlán</w:t>
      </w:r>
      <w:r w:rsidRPr="001172CE">
        <w:rPr>
          <w:rFonts w:ascii="Palatino Linotype" w:eastAsia="Palatino Linotype" w:hAnsi="Palatino Linotype" w:cs="Palatino Linotype"/>
          <w:sz w:val="24"/>
          <w:szCs w:val="24"/>
        </w:rPr>
        <w:t xml:space="preserve">, en lo sucesivo </w:t>
      </w:r>
      <w:r w:rsidRPr="001172CE">
        <w:rPr>
          <w:rFonts w:ascii="Palatino Linotype" w:eastAsia="Palatino Linotype" w:hAnsi="Palatino Linotype" w:cs="Palatino Linotype"/>
          <w:b/>
          <w:sz w:val="24"/>
          <w:szCs w:val="24"/>
        </w:rPr>
        <w:t>EL</w:t>
      </w:r>
      <w:r w:rsidRPr="001172CE">
        <w:rPr>
          <w:rFonts w:ascii="Palatino Linotype" w:eastAsia="Palatino Linotype" w:hAnsi="Palatino Linotype" w:cs="Palatino Linotype"/>
          <w:sz w:val="24"/>
          <w:szCs w:val="24"/>
        </w:rPr>
        <w:t xml:space="preserve"> </w:t>
      </w:r>
      <w:r w:rsidRPr="001172CE">
        <w:rPr>
          <w:rFonts w:ascii="Palatino Linotype" w:eastAsia="Palatino Linotype" w:hAnsi="Palatino Linotype" w:cs="Palatino Linotype"/>
          <w:b/>
          <w:sz w:val="24"/>
          <w:szCs w:val="24"/>
        </w:rPr>
        <w:t xml:space="preserve">SUJETO OBLIGADO; </w:t>
      </w:r>
      <w:r w:rsidRPr="001172CE">
        <w:rPr>
          <w:rFonts w:ascii="Palatino Linotype" w:eastAsia="Palatino Linotype" w:hAnsi="Palatino Linotype" w:cs="Palatino Linotype"/>
          <w:sz w:val="24"/>
          <w:szCs w:val="24"/>
        </w:rPr>
        <w:t>se procede a dictar la presente resolución, con base en lo siguiente.</w:t>
      </w:r>
    </w:p>
    <w:p w14:paraId="55C9ABAA" w14:textId="77777777" w:rsidR="00AC7CFD" w:rsidRPr="001172CE" w:rsidRDefault="0028542B">
      <w:pPr>
        <w:spacing w:before="240" w:after="240" w:line="360" w:lineRule="auto"/>
        <w:ind w:right="49"/>
        <w:jc w:val="center"/>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AN T E C E D E N T E S</w:t>
      </w:r>
    </w:p>
    <w:p w14:paraId="34CB6D47" w14:textId="77777777" w:rsidR="00AC7CFD" w:rsidRPr="001172CE" w:rsidRDefault="0028542B">
      <w:pPr>
        <w:spacing w:before="240" w:after="240"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1. SOLICITUD. </w:t>
      </w:r>
      <w:r w:rsidRPr="001172CE">
        <w:rPr>
          <w:rFonts w:ascii="Palatino Linotype" w:eastAsia="Palatino Linotype" w:hAnsi="Palatino Linotype" w:cs="Palatino Linotype"/>
          <w:sz w:val="24"/>
          <w:szCs w:val="24"/>
        </w:rPr>
        <w:t xml:space="preserve">Con fecha primero de junio de dos mil veintidós, </w:t>
      </w:r>
      <w:r w:rsidRPr="001172CE">
        <w:rPr>
          <w:rFonts w:ascii="Palatino Linotype" w:eastAsia="Palatino Linotype" w:hAnsi="Palatino Linotype" w:cs="Palatino Linotype"/>
          <w:b/>
          <w:sz w:val="24"/>
          <w:szCs w:val="24"/>
        </w:rPr>
        <w:t>EL RECURRENTE</w:t>
      </w:r>
      <w:r w:rsidRPr="001172CE">
        <w:rPr>
          <w:rFonts w:ascii="Palatino Linotype" w:eastAsia="Palatino Linotype" w:hAnsi="Palatino Linotype" w:cs="Palatino Linotype"/>
          <w:sz w:val="24"/>
          <w:szCs w:val="24"/>
        </w:rPr>
        <w:t>, presentó a través del Sistema de Acceso a la Información Mexiquense (</w:t>
      </w:r>
      <w:r w:rsidRPr="001172CE">
        <w:rPr>
          <w:rFonts w:ascii="Palatino Linotype" w:eastAsia="Palatino Linotype" w:hAnsi="Palatino Linotype" w:cs="Palatino Linotype"/>
          <w:b/>
          <w:sz w:val="24"/>
          <w:szCs w:val="24"/>
        </w:rPr>
        <w:t>SAIMEX)</w:t>
      </w:r>
      <w:r w:rsidRPr="001172CE">
        <w:rPr>
          <w:rFonts w:ascii="Palatino Linotype" w:eastAsia="Palatino Linotype" w:hAnsi="Palatino Linotype" w:cs="Palatino Linotype"/>
          <w:sz w:val="24"/>
          <w:szCs w:val="24"/>
        </w:rPr>
        <w:t xml:space="preserve"> ante </w:t>
      </w:r>
      <w:r w:rsidRPr="001172CE">
        <w:rPr>
          <w:rFonts w:ascii="Palatino Linotype" w:eastAsia="Palatino Linotype" w:hAnsi="Palatino Linotype" w:cs="Palatino Linotype"/>
          <w:b/>
          <w:sz w:val="24"/>
          <w:szCs w:val="24"/>
        </w:rPr>
        <w:t>EL SUJETO OBLIGADO</w:t>
      </w:r>
      <w:r w:rsidRPr="001172CE">
        <w:rPr>
          <w:rFonts w:ascii="Palatino Linotype" w:eastAsia="Palatino Linotype" w:hAnsi="Palatino Linotype" w:cs="Palatino Linotype"/>
          <w:sz w:val="24"/>
          <w:szCs w:val="24"/>
        </w:rPr>
        <w:t>, solicitud de acceso a la información pública, registrada bajo el número de expediente</w:t>
      </w:r>
      <w:r w:rsidRPr="001172CE">
        <w:rPr>
          <w:rFonts w:ascii="Palatino Linotype" w:eastAsia="Palatino Linotype" w:hAnsi="Palatino Linotype" w:cs="Palatino Linotype"/>
          <w:b/>
        </w:rPr>
        <w:t> </w:t>
      </w:r>
      <w:r w:rsidRPr="001172CE">
        <w:rPr>
          <w:rFonts w:ascii="Palatino Linotype" w:eastAsia="Palatino Linotype" w:hAnsi="Palatino Linotype" w:cs="Palatino Linotype"/>
          <w:b/>
          <w:sz w:val="24"/>
          <w:szCs w:val="24"/>
        </w:rPr>
        <w:t xml:space="preserve">00082/JOCOTIT/IP/2022, </w:t>
      </w:r>
      <w:r w:rsidRPr="001172CE">
        <w:rPr>
          <w:rFonts w:ascii="Palatino Linotype" w:eastAsia="Palatino Linotype" w:hAnsi="Palatino Linotype" w:cs="Palatino Linotype"/>
          <w:sz w:val="24"/>
          <w:szCs w:val="24"/>
        </w:rPr>
        <w:t>mediante la cual solicitó información en el tenor siguiente:</w:t>
      </w:r>
    </w:p>
    <w:p w14:paraId="7B2C126F" w14:textId="77777777" w:rsidR="00AC7CFD" w:rsidRPr="001172CE" w:rsidRDefault="0028542B">
      <w:pPr>
        <w:spacing w:before="240" w:after="240" w:line="276" w:lineRule="auto"/>
        <w:ind w:left="851"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“En base a lo que establece la constitución federal en su artículo octavo solicito de este ayuntamiento lo siguiente: La fiel copia del documento denominado nómina de personal del periodo 1 de mayo al 31 de mayo del año 2022. La relación de nombres, percepciones ordinarias y extraordinarias, bonificaciones de todos los asesores que se tiene en áreas de presidencia, secretaria del ayuntamiento, </w:t>
      </w:r>
      <w:r w:rsidRPr="001172CE">
        <w:rPr>
          <w:rFonts w:ascii="Palatino Linotype" w:eastAsia="Palatino Linotype" w:hAnsi="Palatino Linotype" w:cs="Palatino Linotype"/>
          <w:i/>
        </w:rPr>
        <w:lastRenderedPageBreak/>
        <w:t xml:space="preserve">sindicatura y áreas administrativas del periodo 1 de enero al 31 de mayo del año 2022. La relación de obras, montos, y forma de asignación que se encuentran en curso </w:t>
      </w:r>
      <w:proofErr w:type="spellStart"/>
      <w:r w:rsidRPr="001172CE">
        <w:rPr>
          <w:rFonts w:ascii="Palatino Linotype" w:eastAsia="Palatino Linotype" w:hAnsi="Palatino Linotype" w:cs="Palatino Linotype"/>
          <w:i/>
        </w:rPr>
        <w:t>asi</w:t>
      </w:r>
      <w:proofErr w:type="spellEnd"/>
      <w:r w:rsidRPr="001172CE">
        <w:rPr>
          <w:rFonts w:ascii="Palatino Linotype" w:eastAsia="Palatino Linotype" w:hAnsi="Palatino Linotype" w:cs="Palatino Linotype"/>
          <w:i/>
        </w:rPr>
        <w:t xml:space="preserve"> proyectadas y programadas para el ejercicio 2022. La nómina de todo el personal que labora en la administración municipal, desde fecha 1 de enero al 31 de mayo del año 2022. Las bonificaciones, gratificaciones que reciben el presidente municipal, síndico y regidores del ayuntamiento desde fecha 1 de enero al 31 de mayo del año 2022. “(Sic)</w:t>
      </w:r>
    </w:p>
    <w:p w14:paraId="64CC1DC4" w14:textId="77777777" w:rsidR="00AC7CFD" w:rsidRPr="001172CE" w:rsidRDefault="0028542B">
      <w:pPr>
        <w:spacing w:before="120" w:after="120"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Modalidad de entrega: A través del </w:t>
      </w:r>
      <w:r w:rsidRPr="001172CE">
        <w:rPr>
          <w:rFonts w:ascii="Palatino Linotype" w:eastAsia="Palatino Linotype" w:hAnsi="Palatino Linotype" w:cs="Palatino Linotype"/>
          <w:b/>
          <w:sz w:val="24"/>
          <w:szCs w:val="24"/>
        </w:rPr>
        <w:t>SAIMEX</w:t>
      </w:r>
      <w:r w:rsidRPr="001172CE">
        <w:rPr>
          <w:rFonts w:ascii="Palatino Linotype" w:eastAsia="Palatino Linotype" w:hAnsi="Palatino Linotype" w:cs="Palatino Linotype"/>
          <w:sz w:val="24"/>
          <w:szCs w:val="24"/>
        </w:rPr>
        <w:t xml:space="preserve">. </w:t>
      </w:r>
    </w:p>
    <w:p w14:paraId="059EC259" w14:textId="77777777" w:rsidR="00AC7CFD" w:rsidRPr="001172CE" w:rsidRDefault="0028542B">
      <w:pPr>
        <w:spacing w:before="240" w:after="240" w:line="360" w:lineRule="auto"/>
        <w:ind w:right="49"/>
        <w:jc w:val="both"/>
        <w:rPr>
          <w:rFonts w:ascii="Palatino Linotype" w:eastAsia="Palatino Linotype" w:hAnsi="Palatino Linotype" w:cs="Palatino Linotype"/>
          <w:b/>
        </w:rPr>
      </w:pPr>
      <w:r w:rsidRPr="001172CE">
        <w:rPr>
          <w:rFonts w:ascii="Palatino Linotype" w:eastAsia="Palatino Linotype" w:hAnsi="Palatino Linotype" w:cs="Palatino Linotype"/>
          <w:b/>
          <w:sz w:val="24"/>
          <w:szCs w:val="24"/>
        </w:rPr>
        <w:t xml:space="preserve">2. </w:t>
      </w:r>
      <w:r w:rsidRPr="001172CE">
        <w:rPr>
          <w:rFonts w:ascii="Palatino Linotype" w:eastAsia="Palatino Linotype" w:hAnsi="Palatino Linotype" w:cs="Palatino Linotype"/>
          <w:b/>
        </w:rPr>
        <w:t xml:space="preserve"> </w:t>
      </w:r>
      <w:r w:rsidRPr="001172CE">
        <w:rPr>
          <w:rFonts w:ascii="Palatino Linotype" w:eastAsia="Palatino Linotype" w:hAnsi="Palatino Linotype" w:cs="Palatino Linotype"/>
          <w:b/>
          <w:sz w:val="24"/>
          <w:szCs w:val="24"/>
        </w:rPr>
        <w:t xml:space="preserve">DE LA RESPUESTA DEL SUJETO OBLIGADO. </w:t>
      </w:r>
      <w:r w:rsidRPr="001172CE">
        <w:rPr>
          <w:rFonts w:ascii="Palatino Linotype" w:eastAsia="Palatino Linotype" w:hAnsi="Palatino Linotype" w:cs="Palatino Linotype"/>
          <w:sz w:val="24"/>
          <w:szCs w:val="24"/>
        </w:rPr>
        <w:t xml:space="preserve">Con fecha veintiuno de junio del dos mil veintidós, </w:t>
      </w:r>
      <w:r w:rsidRPr="001172CE">
        <w:rPr>
          <w:rFonts w:ascii="Palatino Linotype" w:eastAsia="Palatino Linotype" w:hAnsi="Palatino Linotype" w:cs="Palatino Linotype"/>
          <w:b/>
          <w:sz w:val="24"/>
          <w:szCs w:val="24"/>
        </w:rPr>
        <w:t>EL SUJETO OBLIGADO</w:t>
      </w:r>
      <w:r w:rsidRPr="001172CE">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172CE">
        <w:rPr>
          <w:rFonts w:ascii="Palatino Linotype" w:eastAsia="Palatino Linotype" w:hAnsi="Palatino Linotype" w:cs="Palatino Linotype"/>
        </w:rPr>
        <w:t xml:space="preserve"> </w:t>
      </w:r>
    </w:p>
    <w:p w14:paraId="36927127" w14:textId="77777777" w:rsidR="00AC7CFD" w:rsidRPr="001172CE" w:rsidRDefault="0028542B">
      <w:pPr>
        <w:spacing w:after="0" w:line="240" w:lineRule="auto"/>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0BAE13" w14:textId="77777777" w:rsidR="00AC7CFD" w:rsidRPr="001172CE" w:rsidRDefault="0028542B">
      <w:pPr>
        <w:spacing w:after="0" w:line="240" w:lineRule="auto"/>
        <w:ind w:left="851" w:right="902"/>
        <w:jc w:val="both"/>
        <w:rPr>
          <w:rFonts w:ascii="Palatino Linotype" w:eastAsia="Palatino Linotype" w:hAnsi="Palatino Linotype" w:cs="Palatino Linotype"/>
          <w:b/>
          <w:i/>
          <w:u w:val="single"/>
        </w:rPr>
      </w:pPr>
      <w:r w:rsidRPr="001172CE">
        <w:rPr>
          <w:rFonts w:ascii="Palatino Linotype" w:eastAsia="Palatino Linotype" w:hAnsi="Palatino Linotype" w:cs="Palatino Linotype"/>
          <w:i/>
        </w:rPr>
        <w:t xml:space="preserve">En atención a la solicitud 00082 donde requiere; En base a lo que establece la constitución federal en su artículo octavo solicito de este ayuntamiento lo siguiente: La fiel copia del documento denominado nómina de personal del periodo 1 de mayo al 31 de mayo del año 2022. La relación de nombres, percepciones ordinarias y extraordinarias, bonificaciones de todos los asesores que se tiene en áreas de presidencia, secretaria del ayuntamiento, sindicatura y áreas administrativas del periodo 1 de enero al 31 de mayo del año 2022. La relación de obras, montos, y forma de asignación que se encuentran en curso </w:t>
      </w:r>
      <w:proofErr w:type="spellStart"/>
      <w:r w:rsidRPr="001172CE">
        <w:rPr>
          <w:rFonts w:ascii="Palatino Linotype" w:eastAsia="Palatino Linotype" w:hAnsi="Palatino Linotype" w:cs="Palatino Linotype"/>
          <w:i/>
        </w:rPr>
        <w:t>asi</w:t>
      </w:r>
      <w:proofErr w:type="spellEnd"/>
      <w:r w:rsidRPr="001172CE">
        <w:rPr>
          <w:rFonts w:ascii="Palatino Linotype" w:eastAsia="Palatino Linotype" w:hAnsi="Palatino Linotype" w:cs="Palatino Linotype"/>
          <w:i/>
        </w:rPr>
        <w:t xml:space="preserve"> proyectadas y programadas para el ejercicio 2022. La nómina de todo el personal que labora en la administración municipal, desde fecha 1 de enero al 31 de mayo del año 2022. Las bonificaciones, gratificaciones que reciben el presidente municipal, síndico y regidores del ayuntamiento desde fecha 1 de enero al 31 de mayo del año 2022. </w:t>
      </w:r>
      <w:r w:rsidRPr="001172CE">
        <w:rPr>
          <w:rFonts w:ascii="Palatino Linotype" w:eastAsia="Palatino Linotype" w:hAnsi="Palatino Linotype" w:cs="Palatino Linotype"/>
          <w:b/>
          <w:i/>
          <w:u w:val="single"/>
        </w:rPr>
        <w:t>Al respecto me permito adjuntar algunos archivos donde podrá consultar la información requerida.</w:t>
      </w:r>
    </w:p>
    <w:p w14:paraId="7A21DE9F" w14:textId="77777777" w:rsidR="00AC7CFD" w:rsidRPr="001172CE" w:rsidRDefault="0028542B">
      <w:pPr>
        <w:spacing w:after="0" w:line="240" w:lineRule="auto"/>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ATENTAMENTE</w:t>
      </w:r>
    </w:p>
    <w:p w14:paraId="00668429" w14:textId="77777777" w:rsidR="00AC7CFD" w:rsidRPr="001172CE" w:rsidRDefault="0028542B">
      <w:pPr>
        <w:spacing w:after="0" w:line="240" w:lineRule="auto"/>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MTRO. ERICK NAVA MARTÍNEZ” (Sic)</w:t>
      </w:r>
    </w:p>
    <w:p w14:paraId="77E8B8E3" w14:textId="77777777" w:rsidR="00AC7CFD" w:rsidRPr="001172CE" w:rsidRDefault="00AC7CFD">
      <w:pPr>
        <w:spacing w:after="0" w:line="360" w:lineRule="auto"/>
        <w:jc w:val="both"/>
        <w:rPr>
          <w:rFonts w:ascii="Palatino Linotype" w:eastAsia="Palatino Linotype" w:hAnsi="Palatino Linotype" w:cs="Palatino Linotype"/>
          <w:sz w:val="24"/>
          <w:szCs w:val="24"/>
        </w:rPr>
      </w:pPr>
    </w:p>
    <w:p w14:paraId="3609CBD0" w14:textId="77777777" w:rsidR="00AC7CFD" w:rsidRPr="001172CE" w:rsidRDefault="0028542B">
      <w:p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adjuntó para tal efecto los archivos electrónicos denominados:</w:t>
      </w:r>
    </w:p>
    <w:p w14:paraId="30DCA947" w14:textId="77777777" w:rsidR="00AC7CFD" w:rsidRPr="001172CE" w:rsidRDefault="00AC7CFD">
      <w:pPr>
        <w:spacing w:after="0" w:line="360" w:lineRule="auto"/>
        <w:jc w:val="both"/>
        <w:rPr>
          <w:rFonts w:ascii="Palatino Linotype" w:eastAsia="Palatino Linotype" w:hAnsi="Palatino Linotype" w:cs="Palatino Linotype"/>
          <w:sz w:val="24"/>
          <w:szCs w:val="24"/>
        </w:rPr>
      </w:pPr>
    </w:p>
    <w:p w14:paraId="1C56E3E9" w14:textId="77777777" w:rsidR="00AC7CFD" w:rsidRPr="001172CE" w:rsidRDefault="0028542B">
      <w:p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i/>
          <w:sz w:val="24"/>
          <w:szCs w:val="24"/>
        </w:rPr>
        <w:t>“</w:t>
      </w:r>
      <w:hyperlink r:id="rId9">
        <w:r w:rsidRPr="001172CE">
          <w:rPr>
            <w:rFonts w:ascii="Palatino Linotype" w:eastAsia="Palatino Linotype" w:hAnsi="Palatino Linotype" w:cs="Palatino Linotype"/>
            <w:b/>
            <w:i/>
            <w:sz w:val="24"/>
            <w:szCs w:val="24"/>
          </w:rPr>
          <w:t>SOLICITUD 00082 TES.pdf</w:t>
        </w:r>
      </w:hyperlink>
      <w:r w:rsidRPr="001172CE">
        <w:rPr>
          <w:rFonts w:ascii="Palatino Linotype" w:eastAsia="Palatino Linotype" w:hAnsi="Palatino Linotype" w:cs="Palatino Linotype"/>
          <w:i/>
          <w:sz w:val="24"/>
          <w:szCs w:val="24"/>
        </w:rPr>
        <w:t>”,</w:t>
      </w:r>
      <w:r w:rsidRPr="001172CE">
        <w:rPr>
          <w:rFonts w:ascii="Palatino Linotype" w:eastAsia="Palatino Linotype" w:hAnsi="Palatino Linotype" w:cs="Palatino Linotype"/>
          <w:sz w:val="24"/>
          <w:szCs w:val="24"/>
        </w:rPr>
        <w:t xml:space="preserve"> el cual contiene la respuesta de la Tesorería Municipal del Ayuntamiento de Jocotitlán, a través del cual informó que remitía la nómina completa del </w:t>
      </w:r>
      <w:r w:rsidRPr="001172CE">
        <w:rPr>
          <w:rFonts w:ascii="Palatino Linotype" w:eastAsia="Palatino Linotype" w:hAnsi="Palatino Linotype" w:cs="Palatino Linotype"/>
          <w:b/>
          <w:sz w:val="24"/>
          <w:szCs w:val="24"/>
          <w:u w:val="single"/>
        </w:rPr>
        <w:t>primero de enero al treinta y uno de mayo del año en curso</w:t>
      </w:r>
      <w:r w:rsidRPr="001172CE">
        <w:rPr>
          <w:rFonts w:ascii="Palatino Linotype" w:eastAsia="Palatino Linotype" w:hAnsi="Palatino Linotype" w:cs="Palatino Linotype"/>
          <w:sz w:val="24"/>
          <w:szCs w:val="24"/>
        </w:rPr>
        <w:t xml:space="preserve">, en donde se podrá observar lo solicitado; sin embargo, no se anexó documento alguno. </w:t>
      </w:r>
    </w:p>
    <w:p w14:paraId="4C721053" w14:textId="77777777" w:rsidR="00AC7CFD" w:rsidRPr="001172CE" w:rsidRDefault="0028542B">
      <w:p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br/>
        <w:t>“</w:t>
      </w:r>
      <w:hyperlink r:id="rId10">
        <w:r w:rsidRPr="001172CE">
          <w:rPr>
            <w:rFonts w:ascii="Palatino Linotype" w:eastAsia="Palatino Linotype" w:hAnsi="Palatino Linotype" w:cs="Palatino Linotype"/>
            <w:b/>
            <w:i/>
            <w:sz w:val="24"/>
            <w:szCs w:val="24"/>
          </w:rPr>
          <w:t>SOLICITUD 00082 OBRAS.pdf</w:t>
        </w:r>
      </w:hyperlink>
      <w:r w:rsidRPr="001172CE">
        <w:rPr>
          <w:rFonts w:ascii="Palatino Linotype" w:eastAsia="Palatino Linotype" w:hAnsi="Palatino Linotype" w:cs="Palatino Linotype"/>
          <w:sz w:val="24"/>
          <w:szCs w:val="24"/>
        </w:rPr>
        <w:t xml:space="preserve">”, el cual contiene la respuesta de la </w:t>
      </w:r>
      <w:proofErr w:type="gramStart"/>
      <w:r w:rsidRPr="001172CE">
        <w:rPr>
          <w:rFonts w:ascii="Palatino Linotype" w:eastAsia="Palatino Linotype" w:hAnsi="Palatino Linotype" w:cs="Palatino Linotype"/>
          <w:sz w:val="24"/>
          <w:szCs w:val="24"/>
        </w:rPr>
        <w:t>Directora</w:t>
      </w:r>
      <w:proofErr w:type="gramEnd"/>
      <w:r w:rsidRPr="001172CE">
        <w:rPr>
          <w:rFonts w:ascii="Palatino Linotype" w:eastAsia="Palatino Linotype" w:hAnsi="Palatino Linotype" w:cs="Palatino Linotype"/>
          <w:sz w:val="24"/>
          <w:szCs w:val="24"/>
        </w:rPr>
        <w:t xml:space="preserve"> de Obras Públicas, a través del cual remitió la relación de las obras, montos y forma de asignación que se encuentran en curso, así proyectadas y programadas para el ejercicio 2022. Anexó, un listado de obras proyectadas y programadas para el ejercicio 2022, en donde se aprecia el número progresivo, nombre de la obra, localidad, montos y forma de asignación, constante de nueve fojas.</w:t>
      </w:r>
    </w:p>
    <w:p w14:paraId="4EE92036" w14:textId="77777777" w:rsidR="00AC7CFD" w:rsidRPr="001172CE" w:rsidRDefault="0028542B">
      <w:pPr>
        <w:tabs>
          <w:tab w:val="left" w:pos="6946"/>
        </w:tabs>
        <w:spacing w:before="240" w:after="24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b/>
          <w:sz w:val="24"/>
          <w:szCs w:val="24"/>
        </w:rPr>
        <w:t xml:space="preserve">3. RECURSO DE REVISIÓN. </w:t>
      </w:r>
      <w:r w:rsidRPr="001172CE">
        <w:rPr>
          <w:rFonts w:ascii="Palatino Linotype" w:eastAsia="Palatino Linotype" w:hAnsi="Palatino Linotype" w:cs="Palatino Linotype"/>
          <w:sz w:val="24"/>
          <w:szCs w:val="24"/>
        </w:rPr>
        <w:t xml:space="preserve">Inconforme con la respuesta, </w:t>
      </w:r>
      <w:r w:rsidRPr="001172CE">
        <w:rPr>
          <w:rFonts w:ascii="Palatino Linotype" w:eastAsia="Palatino Linotype" w:hAnsi="Palatino Linotype" w:cs="Palatino Linotype"/>
          <w:b/>
          <w:sz w:val="24"/>
          <w:szCs w:val="24"/>
        </w:rPr>
        <w:t>el RECURRENTE</w:t>
      </w:r>
      <w:r w:rsidRPr="001172CE">
        <w:rPr>
          <w:rFonts w:ascii="Palatino Linotype" w:eastAsia="Palatino Linotype" w:hAnsi="Palatino Linotype" w:cs="Palatino Linotype"/>
          <w:sz w:val="24"/>
          <w:szCs w:val="24"/>
        </w:rPr>
        <w:t xml:space="preserve"> interpuso el recurso de revisión materia del presente estudio el día </w:t>
      </w:r>
      <w:r w:rsidRPr="001172CE">
        <w:rPr>
          <w:rFonts w:ascii="Palatino Linotype" w:eastAsia="Palatino Linotype" w:hAnsi="Palatino Linotype" w:cs="Palatino Linotype"/>
          <w:b/>
          <w:sz w:val="24"/>
          <w:szCs w:val="24"/>
        </w:rPr>
        <w:t>veintidós de junio de dos mil veintidós</w:t>
      </w:r>
      <w:r w:rsidRPr="001172CE">
        <w:rPr>
          <w:rFonts w:ascii="Palatino Linotype" w:eastAsia="Palatino Linotype" w:hAnsi="Palatino Linotype" w:cs="Palatino Linotype"/>
          <w:sz w:val="24"/>
          <w:szCs w:val="24"/>
        </w:rPr>
        <w:t>,</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en el que expresó lo siguiente:</w:t>
      </w:r>
      <w:r w:rsidRPr="001172CE">
        <w:rPr>
          <w:rFonts w:ascii="Palatino Linotype" w:eastAsia="Palatino Linotype" w:hAnsi="Palatino Linotype" w:cs="Palatino Linotype"/>
        </w:rPr>
        <w:t xml:space="preserve"> </w:t>
      </w:r>
    </w:p>
    <w:p w14:paraId="60858C36" w14:textId="77777777" w:rsidR="00AC7CFD" w:rsidRPr="001172CE" w:rsidRDefault="0028542B">
      <w:pPr>
        <w:ind w:left="567" w:right="900"/>
        <w:jc w:val="both"/>
        <w:rPr>
          <w:rFonts w:ascii="Palatino Linotype" w:eastAsia="Palatino Linotype" w:hAnsi="Palatino Linotype" w:cs="Palatino Linotype"/>
        </w:rPr>
      </w:pPr>
      <w:r w:rsidRPr="001172CE">
        <w:rPr>
          <w:rFonts w:ascii="Palatino Linotype" w:eastAsia="Palatino Linotype" w:hAnsi="Palatino Linotype" w:cs="Palatino Linotype"/>
          <w:b/>
        </w:rPr>
        <w:t xml:space="preserve">a) Acto impugnado: </w:t>
      </w:r>
    </w:p>
    <w:p w14:paraId="7E60D03A" w14:textId="77777777" w:rsidR="00AC7CFD" w:rsidRPr="001172CE" w:rsidRDefault="0028542B">
      <w:pPr>
        <w:ind w:left="567" w:right="567"/>
        <w:jc w:val="both"/>
        <w:rPr>
          <w:rFonts w:ascii="Palatino Linotype" w:eastAsia="Palatino Linotype" w:hAnsi="Palatino Linotype" w:cs="Palatino Linotype"/>
          <w:i/>
        </w:rPr>
      </w:pPr>
      <w:r w:rsidRPr="001172CE">
        <w:rPr>
          <w:rFonts w:ascii="Palatino Linotype" w:eastAsia="Palatino Linotype" w:hAnsi="Palatino Linotype" w:cs="Palatino Linotype"/>
          <w:i/>
        </w:rPr>
        <w:t>“La repuesta de manera incompleta que da la obligada” (Sic)</w:t>
      </w:r>
    </w:p>
    <w:p w14:paraId="63212E64" w14:textId="77777777" w:rsidR="00AC7CFD" w:rsidRPr="001172CE" w:rsidRDefault="0028542B">
      <w:pPr>
        <w:spacing w:before="240" w:after="240"/>
        <w:ind w:left="567" w:right="851"/>
        <w:jc w:val="both"/>
        <w:rPr>
          <w:rFonts w:ascii="Palatino Linotype" w:eastAsia="Palatino Linotype" w:hAnsi="Palatino Linotype" w:cs="Palatino Linotype"/>
        </w:rPr>
      </w:pPr>
      <w:r w:rsidRPr="001172CE">
        <w:rPr>
          <w:rFonts w:ascii="Palatino Linotype" w:eastAsia="Palatino Linotype" w:hAnsi="Palatino Linotype" w:cs="Palatino Linotype"/>
          <w:b/>
        </w:rPr>
        <w:t>b) Razones o motivos de inconformidad</w:t>
      </w:r>
      <w:r w:rsidRPr="001172CE">
        <w:rPr>
          <w:rFonts w:ascii="Palatino Linotype" w:eastAsia="Palatino Linotype" w:hAnsi="Palatino Linotype" w:cs="Palatino Linotype"/>
        </w:rPr>
        <w:t xml:space="preserve">: </w:t>
      </w:r>
    </w:p>
    <w:p w14:paraId="0AFD8CC5" w14:textId="77777777" w:rsidR="00AC7CFD" w:rsidRPr="001172CE" w:rsidRDefault="0028542B">
      <w:pPr>
        <w:spacing w:before="240" w:after="240"/>
        <w:ind w:left="567"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“No se cumple con lo solicitado al enviar el obligado solamente parte de la </w:t>
      </w:r>
      <w:proofErr w:type="spellStart"/>
      <w:r w:rsidRPr="001172CE">
        <w:rPr>
          <w:rFonts w:ascii="Palatino Linotype" w:eastAsia="Palatino Linotype" w:hAnsi="Palatino Linotype" w:cs="Palatino Linotype"/>
          <w:i/>
        </w:rPr>
        <w:t>informacion</w:t>
      </w:r>
      <w:proofErr w:type="spellEnd"/>
      <w:r w:rsidRPr="001172CE">
        <w:rPr>
          <w:rFonts w:ascii="Palatino Linotype" w:eastAsia="Palatino Linotype" w:hAnsi="Palatino Linotype" w:cs="Palatino Linotype"/>
          <w:i/>
        </w:rPr>
        <w:t xml:space="preserve">, quedando solo un documento que se esgrime por la tesorera municipal </w:t>
      </w:r>
      <w:r w:rsidRPr="001172CE">
        <w:rPr>
          <w:rFonts w:ascii="Palatino Linotype" w:eastAsia="Palatino Linotype" w:hAnsi="Palatino Linotype" w:cs="Palatino Linotype"/>
          <w:b/>
          <w:i/>
          <w:u w:val="single"/>
        </w:rPr>
        <w:lastRenderedPageBreak/>
        <w:t xml:space="preserve">sin que se </w:t>
      </w:r>
      <w:proofErr w:type="spellStart"/>
      <w:r w:rsidRPr="001172CE">
        <w:rPr>
          <w:rFonts w:ascii="Palatino Linotype" w:eastAsia="Palatino Linotype" w:hAnsi="Palatino Linotype" w:cs="Palatino Linotype"/>
          <w:b/>
          <w:i/>
          <w:u w:val="single"/>
        </w:rPr>
        <w:t>envie</w:t>
      </w:r>
      <w:proofErr w:type="spellEnd"/>
      <w:r w:rsidRPr="001172CE">
        <w:rPr>
          <w:rFonts w:ascii="Palatino Linotype" w:eastAsia="Palatino Linotype" w:hAnsi="Palatino Linotype" w:cs="Palatino Linotype"/>
          <w:b/>
          <w:i/>
          <w:u w:val="single"/>
        </w:rPr>
        <w:t xml:space="preserve"> la información respecto a la </w:t>
      </w:r>
      <w:proofErr w:type="spellStart"/>
      <w:r w:rsidRPr="001172CE">
        <w:rPr>
          <w:rFonts w:ascii="Palatino Linotype" w:eastAsia="Palatino Linotype" w:hAnsi="Palatino Linotype" w:cs="Palatino Linotype"/>
          <w:b/>
          <w:i/>
          <w:u w:val="single"/>
        </w:rPr>
        <w:t>nomina</w:t>
      </w:r>
      <w:proofErr w:type="spellEnd"/>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u w:val="single"/>
        </w:rPr>
        <w:t>percepciones de los servidores públicos.</w:t>
      </w:r>
      <w:r w:rsidRPr="001172CE">
        <w:rPr>
          <w:rFonts w:ascii="Palatino Linotype" w:eastAsia="Palatino Linotype" w:hAnsi="Palatino Linotype" w:cs="Palatino Linotype"/>
          <w:i/>
        </w:rPr>
        <w:t>” (Sic)</w:t>
      </w:r>
    </w:p>
    <w:p w14:paraId="3C0E1E42" w14:textId="77777777" w:rsidR="00AC7CFD" w:rsidRPr="001172CE" w:rsidRDefault="0028542B">
      <w:pPr>
        <w:spacing w:before="240" w:after="240" w:line="360" w:lineRule="auto"/>
        <w:ind w:right="-234"/>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4. TURNO. </w:t>
      </w:r>
      <w:r w:rsidRPr="001172C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172CE">
        <w:rPr>
          <w:rFonts w:ascii="Palatino Linotype" w:eastAsia="Palatino Linotype" w:hAnsi="Palatino Linotype" w:cs="Palatino Linotype"/>
          <w:b/>
          <w:sz w:val="24"/>
          <w:szCs w:val="24"/>
        </w:rPr>
        <w:t xml:space="preserve">Guadalupe Ramírez Peña, </w:t>
      </w:r>
      <w:r w:rsidRPr="001172CE">
        <w:rPr>
          <w:rFonts w:ascii="Palatino Linotype" w:eastAsia="Palatino Linotype" w:hAnsi="Palatino Linotype" w:cs="Palatino Linotype"/>
          <w:sz w:val="24"/>
          <w:szCs w:val="24"/>
        </w:rPr>
        <w:t xml:space="preserve">a efecto de que analizara sobre su admisión o su </w:t>
      </w:r>
      <w:proofErr w:type="spellStart"/>
      <w:r w:rsidRPr="001172CE">
        <w:rPr>
          <w:rFonts w:ascii="Palatino Linotype" w:eastAsia="Palatino Linotype" w:hAnsi="Palatino Linotype" w:cs="Palatino Linotype"/>
          <w:sz w:val="24"/>
          <w:szCs w:val="24"/>
        </w:rPr>
        <w:t>desechamiento</w:t>
      </w:r>
      <w:proofErr w:type="spellEnd"/>
      <w:r w:rsidRPr="001172CE">
        <w:rPr>
          <w:rFonts w:ascii="Palatino Linotype" w:eastAsia="Palatino Linotype" w:hAnsi="Palatino Linotype" w:cs="Palatino Linotype"/>
          <w:sz w:val="24"/>
          <w:szCs w:val="24"/>
        </w:rPr>
        <w:t>.</w:t>
      </w:r>
    </w:p>
    <w:p w14:paraId="04ABA8C4"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6. ADMISIÓN DEL RECURSO DE REVISIÓN.</w:t>
      </w:r>
      <w:r w:rsidRPr="001172CE">
        <w:rPr>
          <w:rFonts w:ascii="Palatino Linotype" w:eastAsia="Palatino Linotype" w:hAnsi="Palatino Linotype" w:cs="Palatino Linotype"/>
          <w:sz w:val="24"/>
          <w:szCs w:val="24"/>
        </w:rPr>
        <w:t xml:space="preserve"> Con fecha</w:t>
      </w:r>
      <w:r w:rsidRPr="001172CE">
        <w:rPr>
          <w:rFonts w:ascii="Palatino Linotype" w:eastAsia="Palatino Linotype" w:hAnsi="Palatino Linotype" w:cs="Palatino Linotype"/>
          <w:b/>
          <w:sz w:val="24"/>
          <w:szCs w:val="24"/>
        </w:rPr>
        <w:t xml:space="preserve"> veintisiete de junio de dos mil veintidós, </w:t>
      </w:r>
      <w:r w:rsidRPr="001172C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172CE">
        <w:rPr>
          <w:rFonts w:ascii="Palatino Linotype" w:eastAsia="Palatino Linotype" w:hAnsi="Palatino Linotype" w:cs="Palatino Linotype"/>
          <w:b/>
          <w:sz w:val="24"/>
          <w:szCs w:val="24"/>
        </w:rPr>
        <w:t xml:space="preserve">SUJETO OBLIGADO </w:t>
      </w:r>
      <w:r w:rsidRPr="001172CE">
        <w:rPr>
          <w:rFonts w:ascii="Palatino Linotype" w:eastAsia="Palatino Linotype" w:hAnsi="Palatino Linotype" w:cs="Palatino Linotype"/>
          <w:sz w:val="24"/>
          <w:szCs w:val="24"/>
        </w:rPr>
        <w:t>presentara su informe justificado.</w:t>
      </w:r>
    </w:p>
    <w:p w14:paraId="48761210"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7. INFORME JUSTIFICADO O MANIFESTACIONES. </w:t>
      </w:r>
      <w:r w:rsidRPr="001172CE">
        <w:rPr>
          <w:rFonts w:ascii="Palatino Linotype" w:eastAsia="Palatino Linotype" w:hAnsi="Palatino Linotype" w:cs="Palatino Linotype"/>
          <w:sz w:val="24"/>
          <w:szCs w:val="24"/>
        </w:rPr>
        <w:t xml:space="preserve">De las constancias que integran el expediente en que se actúa se advierte que el recurrente fue omiso en ofrecer pruebas o expresar alegatos; en términos del artículo 185 fracciones II de la ley que nos ocupa. </w:t>
      </w:r>
    </w:p>
    <w:p w14:paraId="749FC5C1"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Por su parte,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en fecha primero de julio del año dos mil veintidós remitió los siguientes archivos electrónicos:</w:t>
      </w:r>
    </w:p>
    <w:p w14:paraId="30726411"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w:t>
      </w:r>
      <w:hyperlink r:id="rId11">
        <w:r w:rsidRPr="001172CE">
          <w:rPr>
            <w:rFonts w:ascii="Palatino Linotype" w:eastAsia="Palatino Linotype" w:hAnsi="Palatino Linotype" w:cs="Palatino Linotype"/>
            <w:sz w:val="24"/>
            <w:szCs w:val="24"/>
          </w:rPr>
          <w:t>INFORME JUSTIFICADO AL RR11999.pdf</w:t>
        </w:r>
      </w:hyperlink>
      <w:r w:rsidRPr="001172CE">
        <w:rPr>
          <w:rFonts w:ascii="Palatino Linotype" w:eastAsia="Palatino Linotype" w:hAnsi="Palatino Linotype" w:cs="Palatino Linotype"/>
          <w:sz w:val="24"/>
          <w:szCs w:val="24"/>
        </w:rPr>
        <w:t xml:space="preserve">”, el cual contiene el informe justificado </w:t>
      </w:r>
      <w:r w:rsidRPr="001172CE">
        <w:rPr>
          <w:rFonts w:ascii="Palatino Linotype" w:eastAsia="Palatino Linotype" w:hAnsi="Palatino Linotype" w:cs="Palatino Linotype"/>
          <w:sz w:val="24"/>
          <w:szCs w:val="24"/>
        </w:rPr>
        <w:lastRenderedPageBreak/>
        <w:t>del Ayuntamiento de Jocotitlán, a través del cual informó que se le entregó la información al particular en tiempo y forma, sin que se incurriera en ningún de los supuestos señalados por el artículo 179 de la Ley de la Materia.</w:t>
      </w:r>
    </w:p>
    <w:p w14:paraId="2F75A9D5"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w:t>
      </w:r>
      <w:hyperlink r:id="rId12">
        <w:r w:rsidRPr="001172CE">
          <w:rPr>
            <w:rFonts w:ascii="Palatino Linotype" w:eastAsia="Palatino Linotype" w:hAnsi="Palatino Linotype" w:cs="Palatino Linotype"/>
            <w:sz w:val="24"/>
            <w:szCs w:val="24"/>
          </w:rPr>
          <w:t>SOLICITUD 00082 OBRAS.pdf</w:t>
        </w:r>
      </w:hyperlink>
      <w:r w:rsidRPr="001172CE">
        <w:rPr>
          <w:rFonts w:ascii="Palatino Linotype" w:eastAsia="Palatino Linotype" w:hAnsi="Palatino Linotype" w:cs="Palatino Linotype"/>
          <w:sz w:val="24"/>
          <w:szCs w:val="24"/>
        </w:rPr>
        <w:t xml:space="preserve">”, el cual consiste en la respuesta primigenia otorgada por la </w:t>
      </w:r>
      <w:proofErr w:type="gramStart"/>
      <w:r w:rsidRPr="001172CE">
        <w:rPr>
          <w:rFonts w:ascii="Palatino Linotype" w:eastAsia="Palatino Linotype" w:hAnsi="Palatino Linotype" w:cs="Palatino Linotype"/>
          <w:sz w:val="24"/>
          <w:szCs w:val="24"/>
        </w:rPr>
        <w:t>Directora</w:t>
      </w:r>
      <w:proofErr w:type="gramEnd"/>
      <w:r w:rsidRPr="001172CE">
        <w:rPr>
          <w:rFonts w:ascii="Palatino Linotype" w:eastAsia="Palatino Linotype" w:hAnsi="Palatino Linotype" w:cs="Palatino Linotype"/>
          <w:sz w:val="24"/>
          <w:szCs w:val="24"/>
        </w:rPr>
        <w:t xml:space="preserve"> de Obras Públicas.</w:t>
      </w:r>
    </w:p>
    <w:p w14:paraId="5001190F"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w:t>
      </w:r>
      <w:hyperlink r:id="rId13">
        <w:r w:rsidRPr="001172CE">
          <w:rPr>
            <w:rFonts w:ascii="Palatino Linotype" w:eastAsia="Palatino Linotype" w:hAnsi="Palatino Linotype" w:cs="Palatino Linotype"/>
            <w:sz w:val="24"/>
            <w:szCs w:val="24"/>
          </w:rPr>
          <w:t>SOLICITUD 00082 TES.pdf</w:t>
        </w:r>
      </w:hyperlink>
      <w:r w:rsidRPr="001172CE">
        <w:rPr>
          <w:rFonts w:ascii="Palatino Linotype" w:eastAsia="Palatino Linotype" w:hAnsi="Palatino Linotype" w:cs="Palatino Linotype"/>
          <w:sz w:val="24"/>
          <w:szCs w:val="24"/>
        </w:rPr>
        <w:t>”, el cual consisten en la respuesta primigenia otorgada por la Tesorería Municipal.</w:t>
      </w:r>
    </w:p>
    <w:p w14:paraId="552B35A1" w14:textId="77777777" w:rsidR="00AC7CFD" w:rsidRPr="001172CE" w:rsidRDefault="0028542B">
      <w:pP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Documentos que, una vez analizados, se hicieron del conocimiento de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a efecto de que manifestara lo que a su derecho estimara conveniente, sin embargo, fue omisa en ejercer dicha prerrogativa en el plazo establecido para tal efecto.</w:t>
      </w:r>
    </w:p>
    <w:p w14:paraId="75B551E1" w14:textId="77777777" w:rsidR="00AC7CFD" w:rsidRPr="001172CE" w:rsidRDefault="0028542B">
      <w:pPr>
        <w:widowControl w:val="0"/>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8.- AMPLIACIÓN DEL PLAZO PARA EMITIR RESOLUCIÓN.</w:t>
      </w:r>
      <w:r w:rsidRPr="001172CE">
        <w:rPr>
          <w:rFonts w:ascii="Palatino Linotype" w:eastAsia="Palatino Linotype" w:hAnsi="Palatino Linotype" w:cs="Palatino Linotype"/>
          <w:sz w:val="24"/>
          <w:szCs w:val="24"/>
        </w:rPr>
        <w:t xml:space="preserve"> El </w:t>
      </w:r>
      <w:r w:rsidRPr="001172CE">
        <w:rPr>
          <w:rFonts w:ascii="Palatino Linotype" w:eastAsia="Palatino Linotype" w:hAnsi="Palatino Linotype" w:cs="Palatino Linotype"/>
          <w:b/>
          <w:sz w:val="24"/>
          <w:szCs w:val="24"/>
        </w:rPr>
        <w:t>siete de noviembre de dos mil veintidós</w:t>
      </w:r>
      <w:r w:rsidRPr="001172CE">
        <w:rPr>
          <w:rFonts w:ascii="Palatino Linotype" w:eastAsia="Palatino Linotype" w:hAnsi="Palatino Linotype" w:cs="Palatino Linotype"/>
          <w:sz w:val="24"/>
          <w:szCs w:val="24"/>
        </w:rPr>
        <w:t>, con fundamento en el artículo 181, párrafo tercero de la Ley de Transparencia y Acceso a la Información Pública del Estado de México y Municipios, se acordó la ampliación del plazo para su resolución.</w:t>
      </w:r>
    </w:p>
    <w:p w14:paraId="48131043"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1172CE">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14:paraId="1E63A6FE"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0A3124"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0C2E3C"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568CE3" w14:textId="77777777" w:rsidR="00AC7CFD" w:rsidRPr="001172CE" w:rsidRDefault="0028542B">
      <w:pPr>
        <w:spacing w:line="360" w:lineRule="auto"/>
        <w:jc w:val="both"/>
        <w:rPr>
          <w:rFonts w:ascii="Palatino Linotype" w:eastAsia="Palatino Linotype" w:hAnsi="Palatino Linotype" w:cs="Palatino Linotype"/>
          <w:strike/>
          <w:sz w:val="24"/>
          <w:szCs w:val="24"/>
        </w:rPr>
      </w:pPr>
      <w:r w:rsidRPr="001172C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B67B92D" w14:textId="77777777" w:rsidR="00AC7CFD" w:rsidRPr="001172CE" w:rsidRDefault="0028542B">
      <w:pPr>
        <w:numPr>
          <w:ilvl w:val="0"/>
          <w:numId w:val="1"/>
        </w:num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537F5F4" w14:textId="77777777" w:rsidR="00AC7CFD" w:rsidRPr="001172CE" w:rsidRDefault="0028542B">
      <w:pPr>
        <w:numPr>
          <w:ilvl w:val="0"/>
          <w:numId w:val="1"/>
        </w:num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Actividad Procesal del interesado. Acciones u omisiones del interesado.</w:t>
      </w:r>
    </w:p>
    <w:p w14:paraId="4EE335D5" w14:textId="77777777" w:rsidR="00AC7CFD" w:rsidRPr="001172CE" w:rsidRDefault="0028542B">
      <w:pPr>
        <w:numPr>
          <w:ilvl w:val="0"/>
          <w:numId w:val="1"/>
        </w:num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D94FBF3" w14:textId="77777777" w:rsidR="00AC7CFD" w:rsidRPr="001172CE" w:rsidRDefault="0028542B">
      <w:pPr>
        <w:spacing w:line="360" w:lineRule="auto"/>
        <w:ind w:left="567"/>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79295BB" w14:textId="77777777" w:rsidR="00AC7CFD" w:rsidRPr="001172CE" w:rsidRDefault="00AC7CFD">
      <w:pPr>
        <w:spacing w:line="360" w:lineRule="auto"/>
        <w:jc w:val="both"/>
        <w:rPr>
          <w:rFonts w:ascii="Palatino Linotype" w:eastAsia="Palatino Linotype" w:hAnsi="Palatino Linotype" w:cs="Palatino Linotype"/>
          <w:sz w:val="24"/>
          <w:szCs w:val="24"/>
        </w:rPr>
      </w:pPr>
    </w:p>
    <w:p w14:paraId="2D871BE6"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460EC9" w14:textId="77777777" w:rsidR="00AC7CFD" w:rsidRPr="001172CE" w:rsidRDefault="0028542B">
      <w:pPr>
        <w:spacing w:line="360" w:lineRule="auto"/>
        <w:jc w:val="both"/>
        <w:rPr>
          <w:rFonts w:ascii="Palatino Linotype" w:eastAsia="Palatino Linotype" w:hAnsi="Palatino Linotype" w:cs="Palatino Linotype"/>
          <w:b/>
          <w:sz w:val="24"/>
          <w:szCs w:val="24"/>
        </w:rPr>
      </w:pPr>
      <w:r w:rsidRPr="001172C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172C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172CE">
        <w:rPr>
          <w:rFonts w:ascii="Palatino Linotype" w:eastAsia="Palatino Linotype" w:hAnsi="Palatino Linotype" w:cs="Palatino Linotype"/>
          <w:sz w:val="24"/>
          <w:szCs w:val="24"/>
        </w:rPr>
        <w:t>, visible en la Gaceta del Seminario Judicial de la Federación con el registro digital 205635.</w:t>
      </w:r>
    </w:p>
    <w:p w14:paraId="21B212C2"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1172CE">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8658DE"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80C25ED"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 </w:t>
      </w:r>
      <w:r w:rsidRPr="001172CE">
        <w:rPr>
          <w:rFonts w:ascii="Palatino Linotype" w:eastAsia="Palatino Linotype" w:hAnsi="Palatino Linotype" w:cs="Palatino Linotype"/>
          <w:i/>
          <w:sz w:val="24"/>
          <w:szCs w:val="24"/>
        </w:rPr>
        <w:t>“PLAZO RAZONABLE PARA RESOLVER. DIMENSIÓN Y EFECTOS DE ESTE CONCEPTO CUANDO SE ADUCE EXCESIVA CARGA DE TRABAJO.”</w:t>
      </w:r>
      <w:r w:rsidRPr="001172CE">
        <w:rPr>
          <w:rFonts w:ascii="Palatino Linotype" w:eastAsia="Palatino Linotype" w:hAnsi="Palatino Linotype" w:cs="Palatino Linotype"/>
          <w:sz w:val="24"/>
          <w:szCs w:val="24"/>
        </w:rPr>
        <w:t xml:space="preserve"> consultable en el Seminario Judicial de la Federación y su gaceta, con el registro digital 2002351.</w:t>
      </w:r>
    </w:p>
    <w:p w14:paraId="5517B071"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1172CE">
        <w:rPr>
          <w:rFonts w:ascii="Palatino Linotype" w:eastAsia="Palatino Linotype" w:hAnsi="Palatino Linotype" w:cs="Palatino Linotype"/>
          <w:sz w:val="24"/>
          <w:szCs w:val="24"/>
        </w:rPr>
        <w:t>, visible en el Seminario Judicial de la Federación y su gaceta, con el registro digital 2002350.</w:t>
      </w:r>
    </w:p>
    <w:p w14:paraId="08D8B380"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Por ello, este organismo garante comprometido con la tutela de los derechos humanos confiados, señala que este exceso de plazo legal para resolver el presente asunto, resulta de carácter excepcional.</w:t>
      </w:r>
    </w:p>
    <w:p w14:paraId="7C6ADDCF" w14:textId="77777777" w:rsidR="00AC7CFD" w:rsidRPr="001172CE" w:rsidRDefault="0028542B">
      <w:pPr>
        <w:widowControl w:val="0"/>
        <w:spacing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9. CIERRE DE INSTRUCCIÓN. </w:t>
      </w:r>
      <w:r w:rsidRPr="001172CE">
        <w:rPr>
          <w:rFonts w:ascii="Palatino Linotype" w:eastAsia="Palatino Linotype" w:hAnsi="Palatino Linotype" w:cs="Palatino Linotype"/>
          <w:sz w:val="24"/>
          <w:szCs w:val="24"/>
        </w:rPr>
        <w:t xml:space="preserve">El once de noviembre de dos mil veintidós, al no existir diligencias pendientes por desahogar, se emitió el acuerdo por medio del </w:t>
      </w:r>
      <w:r w:rsidRPr="001172CE">
        <w:rPr>
          <w:rFonts w:ascii="Palatino Linotype" w:eastAsia="Palatino Linotype" w:hAnsi="Palatino Linotype" w:cs="Palatino Linotype"/>
          <w:sz w:val="24"/>
          <w:szCs w:val="24"/>
        </w:rPr>
        <w:lastRenderedPageBreak/>
        <w:t xml:space="preserve">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2ACC43C3"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9506987" w14:textId="77777777" w:rsidR="00AC7CFD" w:rsidRPr="001172CE" w:rsidRDefault="0028542B">
      <w:pPr>
        <w:widowControl w:val="0"/>
        <w:spacing w:line="360" w:lineRule="auto"/>
        <w:jc w:val="center"/>
        <w:rPr>
          <w:rFonts w:ascii="Palatino Linotype" w:eastAsia="Palatino Linotype" w:hAnsi="Palatino Linotype" w:cs="Palatino Linotype"/>
          <w:b/>
          <w:sz w:val="24"/>
          <w:szCs w:val="24"/>
        </w:rPr>
      </w:pPr>
      <w:r w:rsidRPr="001172CE">
        <w:rPr>
          <w:rFonts w:ascii="Palatino Linotype" w:eastAsia="Palatino Linotype" w:hAnsi="Palatino Linotype" w:cs="Palatino Linotype"/>
          <w:b/>
          <w:sz w:val="24"/>
          <w:szCs w:val="24"/>
        </w:rPr>
        <w:t>C O N S I D E R A N D O S</w:t>
      </w:r>
    </w:p>
    <w:p w14:paraId="1CED4A25"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PRIMERO. COMPETENCIA.</w:t>
      </w:r>
      <w:r w:rsidRPr="001172C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64228B5"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SEGUNDO. OPORTUNIDAD Y PROCEDIBILIDAD DEL RECURSO DE REVISIÓN</w:t>
      </w:r>
      <w:r w:rsidRPr="001172CE">
        <w:rPr>
          <w:rFonts w:ascii="Palatino Linotype" w:eastAsia="Palatino Linotype" w:hAnsi="Palatino Linotype" w:cs="Palatino Linotype"/>
          <w:sz w:val="24"/>
          <w:szCs w:val="24"/>
        </w:rPr>
        <w:t>.</w:t>
      </w:r>
      <w:r w:rsidRPr="001172CE">
        <w:rPr>
          <w:rFonts w:ascii="Palatino Linotype" w:eastAsia="Palatino Linotype" w:hAnsi="Palatino Linotype" w:cs="Palatino Linotype"/>
        </w:rPr>
        <w:t xml:space="preserve"> </w:t>
      </w:r>
      <w:r w:rsidRPr="001172CE">
        <w:rPr>
          <w:rFonts w:ascii="Palatino Linotype" w:eastAsia="Palatino Linotype" w:hAnsi="Palatino Linotype" w:cs="Palatino Linotype"/>
          <w:sz w:val="24"/>
          <w:szCs w:val="24"/>
        </w:rPr>
        <w:t xml:space="preserve">Previo al estudio del fondo del asunto, se procede a analizar los </w:t>
      </w:r>
      <w:r w:rsidRPr="001172CE">
        <w:rPr>
          <w:rFonts w:ascii="Palatino Linotype" w:eastAsia="Palatino Linotype" w:hAnsi="Palatino Linotype" w:cs="Palatino Linotype"/>
          <w:sz w:val="24"/>
          <w:szCs w:val="24"/>
        </w:rPr>
        <w:lastRenderedPageBreak/>
        <w:t>requisitos de oportunidad y procedibilidad que debe reunir el recurso de revisión interpuesto, previstos en los artículos 178 y 180 de la Ley de Transparencia y Acceso a la Información Pública del Estado de México y Municipios.</w:t>
      </w:r>
    </w:p>
    <w:p w14:paraId="43209B98"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1172CE">
        <w:rPr>
          <w:rFonts w:ascii="Palatino Linotype" w:eastAsia="Palatino Linotype" w:hAnsi="Palatino Linotype" w:cs="Palatino Linotype"/>
          <w:b/>
          <w:sz w:val="24"/>
          <w:szCs w:val="24"/>
        </w:rPr>
        <w:t xml:space="preserve">SUJETO OBLIGADO </w:t>
      </w:r>
      <w:r w:rsidRPr="001172CE">
        <w:rPr>
          <w:rFonts w:ascii="Palatino Linotype" w:eastAsia="Palatino Linotype" w:hAnsi="Palatino Linotype" w:cs="Palatino Linotype"/>
          <w:sz w:val="24"/>
          <w:szCs w:val="24"/>
        </w:rPr>
        <w:t xml:space="preserve">remitió la respuesta a la solicitud de información el día </w:t>
      </w:r>
      <w:r w:rsidRPr="001172CE">
        <w:rPr>
          <w:rFonts w:ascii="Palatino Linotype" w:eastAsia="Palatino Linotype" w:hAnsi="Palatino Linotype" w:cs="Palatino Linotype"/>
          <w:b/>
          <w:sz w:val="24"/>
          <w:szCs w:val="24"/>
        </w:rPr>
        <w:t xml:space="preserve">veintiuno de junio de dos mil veintidós, </w:t>
      </w:r>
      <w:r w:rsidRPr="001172CE">
        <w:rPr>
          <w:rFonts w:ascii="Palatino Linotype" w:eastAsia="Palatino Linotype" w:hAnsi="Palatino Linotype" w:cs="Palatino Linotype"/>
          <w:sz w:val="24"/>
          <w:szCs w:val="24"/>
        </w:rPr>
        <w:t xml:space="preserve">mientras que el recurso de revisión interpuesto por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se tuvo por presentado el día </w:t>
      </w:r>
      <w:r w:rsidRPr="001172CE">
        <w:rPr>
          <w:rFonts w:ascii="Palatino Linotype" w:eastAsia="Palatino Linotype" w:hAnsi="Palatino Linotype" w:cs="Palatino Linotype"/>
          <w:b/>
          <w:sz w:val="24"/>
          <w:szCs w:val="24"/>
        </w:rPr>
        <w:t>veintidós de junio de dos mil veintidós</w:t>
      </w:r>
      <w:r w:rsidRPr="001172CE">
        <w:rPr>
          <w:rFonts w:ascii="Palatino Linotype" w:eastAsia="Palatino Linotype" w:hAnsi="Palatino Linotype" w:cs="Palatino Linotype"/>
          <w:sz w:val="24"/>
          <w:szCs w:val="24"/>
        </w:rPr>
        <w:t>; esto es, al primer día hábil siguiente en que tuvo conocimiento de la respuesta impugnada.</w:t>
      </w:r>
    </w:p>
    <w:p w14:paraId="54FDE903"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sidRPr="001172CE">
        <w:rPr>
          <w:rFonts w:ascii="Palatino Linotype" w:eastAsia="Palatino Linotype" w:hAnsi="Palatino Linotype" w:cs="Palatino Linotype"/>
          <w:sz w:val="24"/>
          <w:szCs w:val="24"/>
        </w:rPr>
        <w:t xml:space="preserve">Luego entonces, al considerar la fecha en que se formuló la solicitud y la fecha en que respondió a esta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2BE10D47"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Por cuanto hace a la procedibilidad del recurso de revisión, es de suma importancia señalar que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C739ED" w14:textId="77777777" w:rsidR="00AC7CFD" w:rsidRPr="001172CE" w:rsidRDefault="0028542B">
      <w:pPr>
        <w:spacing w:before="240" w:after="240" w:line="276" w:lineRule="auto"/>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lastRenderedPageBreak/>
        <w:t>"</w:t>
      </w:r>
      <w:r w:rsidRPr="001172CE">
        <w:rPr>
          <w:rFonts w:ascii="Palatino Linotype" w:eastAsia="Palatino Linotype" w:hAnsi="Palatino Linotype" w:cs="Palatino Linotype"/>
          <w:b/>
          <w:i/>
        </w:rPr>
        <w:t>Las solicitudes anónimas</w:t>
      </w:r>
      <w:r w:rsidRPr="001172CE">
        <w:rPr>
          <w:rFonts w:ascii="Palatino Linotype" w:eastAsia="Palatino Linotype" w:hAnsi="Palatino Linotype" w:cs="Palatino Linotype"/>
          <w:i/>
        </w:rPr>
        <w:t xml:space="preserve">, con nombre incompleto o seudónimo </w:t>
      </w:r>
      <w:r w:rsidRPr="001172CE">
        <w:rPr>
          <w:rFonts w:ascii="Palatino Linotype" w:eastAsia="Palatino Linotype" w:hAnsi="Palatino Linotype" w:cs="Palatino Linotype"/>
          <w:b/>
          <w:i/>
        </w:rPr>
        <w:t>serán procedentes para su trámite por parte del sujeto obligado ante quien se presente</w:t>
      </w:r>
      <w:r w:rsidRPr="001172CE">
        <w:rPr>
          <w:rFonts w:ascii="Palatino Linotype" w:eastAsia="Palatino Linotype" w:hAnsi="Palatino Linotype" w:cs="Palatino Linotype"/>
          <w:i/>
        </w:rPr>
        <w:t>. No podrá requerirse información adicional con motivo del nombre proporcionado por el solicitante."(Sic)</w:t>
      </w:r>
    </w:p>
    <w:p w14:paraId="3D0630D5"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172CE">
        <w:rPr>
          <w:rFonts w:ascii="Palatino Linotype" w:eastAsia="Palatino Linotype" w:hAnsi="Palatino Linotype" w:cs="Palatino Linotype"/>
          <w:b/>
          <w:sz w:val="24"/>
          <w:szCs w:val="24"/>
        </w:rPr>
        <w:t xml:space="preserve">EL SAIMEX.  </w:t>
      </w:r>
    </w:p>
    <w:p w14:paraId="318C3F69" w14:textId="77777777" w:rsidR="00AC7CFD" w:rsidRPr="001172CE" w:rsidRDefault="0028542B">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Finalmente,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14:paraId="6C69656D" w14:textId="77777777" w:rsidR="00AC7CFD" w:rsidRPr="001172CE" w:rsidRDefault="002854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179</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El recurso de revisión</w:t>
      </w:r>
      <w:r w:rsidRPr="001172C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172CE">
        <w:rPr>
          <w:rFonts w:ascii="Palatino Linotype" w:eastAsia="Palatino Linotype" w:hAnsi="Palatino Linotype" w:cs="Palatino Linotype"/>
          <w:b/>
          <w:i/>
        </w:rPr>
        <w:t>, y procederá en contra de las siguientes causas</w:t>
      </w:r>
      <w:r w:rsidRPr="001172CE">
        <w:rPr>
          <w:rFonts w:ascii="Palatino Linotype" w:eastAsia="Palatino Linotype" w:hAnsi="Palatino Linotype" w:cs="Palatino Linotype"/>
          <w:i/>
        </w:rPr>
        <w:t>:</w:t>
      </w:r>
    </w:p>
    <w:p w14:paraId="2264EEFA" w14:textId="77777777" w:rsidR="00AC7CFD" w:rsidRPr="001172CE" w:rsidRDefault="002854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1172CE">
        <w:rPr>
          <w:rFonts w:ascii="Palatino Linotype" w:eastAsia="Palatino Linotype" w:hAnsi="Palatino Linotype" w:cs="Palatino Linotype"/>
          <w:i/>
        </w:rPr>
        <w:t>V. La entrega de información incompleta…” (Sic)</w:t>
      </w:r>
    </w:p>
    <w:p w14:paraId="1530A159"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TERCERO. MATERIA DE LA REVISIÓN. </w:t>
      </w:r>
      <w:r w:rsidRPr="001172C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es adecuada y suficiente para satisfacer el derecho de acceso a la información pública </w:t>
      </w:r>
      <w:r w:rsidRPr="001172CE">
        <w:rPr>
          <w:rFonts w:ascii="Palatino Linotype" w:eastAsia="Palatino Linotype" w:hAnsi="Palatino Linotype" w:cs="Palatino Linotype"/>
          <w:sz w:val="24"/>
          <w:szCs w:val="24"/>
        </w:rPr>
        <w:lastRenderedPageBreak/>
        <w:t xml:space="preserve">de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o en su defecto, en caso de ser procedente, ordenar la entrega de información oportuna.</w:t>
      </w:r>
    </w:p>
    <w:p w14:paraId="05AA9379"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CUARTO. ESTUDIO Y RESOLUCIÓN DEL ASUNTO.  </w:t>
      </w:r>
      <w:r w:rsidRPr="001172CE">
        <w:rPr>
          <w:rFonts w:ascii="Palatino Linotype" w:eastAsia="Palatino Linotype" w:hAnsi="Palatino Linotype" w:cs="Palatino Linotype"/>
          <w:sz w:val="24"/>
          <w:szCs w:val="24"/>
        </w:rPr>
        <w:t xml:space="preserve">Es conveniente analizar si la respuesta del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BE84F03" w14:textId="77777777" w:rsidR="00AC7CFD" w:rsidRPr="001172CE" w:rsidRDefault="0028542B">
      <w:pPr>
        <w:ind w:left="851"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4.</w:t>
      </w:r>
      <w:r w:rsidRPr="001172C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2C1FED" w14:textId="77777777" w:rsidR="00AC7CFD" w:rsidRPr="001172CE" w:rsidRDefault="0028542B">
      <w:pPr>
        <w:ind w:left="851" w:right="900"/>
        <w:jc w:val="both"/>
        <w:rPr>
          <w:rFonts w:ascii="Palatino Linotype" w:eastAsia="Palatino Linotype" w:hAnsi="Palatino Linotype" w:cs="Palatino Linotype"/>
        </w:rPr>
      </w:pPr>
      <w:r w:rsidRPr="001172C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172C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29D18810" w14:textId="77777777" w:rsidR="00AC7CFD" w:rsidRPr="001172CE" w:rsidRDefault="0028542B">
      <w:pPr>
        <w:spacing w:before="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w:t>
      </w:r>
      <w:r w:rsidRPr="001172CE">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665D93CB" w14:textId="77777777" w:rsidR="00AC7CFD" w:rsidRPr="001172CE" w:rsidRDefault="0028542B">
      <w:pPr>
        <w:spacing w:before="240" w:after="240"/>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12</w:t>
      </w:r>
      <w:r w:rsidRPr="001172C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EFBC59D" w14:textId="77777777" w:rsidR="00AC7CFD" w:rsidRPr="001172CE" w:rsidRDefault="0028542B">
      <w:pPr>
        <w:spacing w:before="240" w:after="240"/>
        <w:ind w:left="851"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0BD8DCF9"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1172CE">
        <w:rPr>
          <w:rFonts w:ascii="Palatino Linotype" w:eastAsia="Palatino Linotype" w:hAnsi="Palatino Linotype" w:cs="Palatino Linotype"/>
          <w:i/>
          <w:sz w:val="24"/>
          <w:szCs w:val="24"/>
        </w:rPr>
        <w:t>ad hoc</w:t>
      </w:r>
      <w:r w:rsidRPr="001172CE">
        <w:rPr>
          <w:rFonts w:ascii="Palatino Linotype" w:eastAsia="Palatino Linotype" w:hAnsi="Palatino Linotype" w:cs="Palatino Linotype"/>
          <w:sz w:val="24"/>
          <w:szCs w:val="24"/>
        </w:rPr>
        <w:t>, para satisfacer el derecho de acceso a la información pública.</w:t>
      </w:r>
    </w:p>
    <w:p w14:paraId="19A1F422"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Aunado a ello el artículo 24 de la Ley de la materia</w:t>
      </w:r>
      <w:r w:rsidRPr="001172CE">
        <w:rPr>
          <w:rFonts w:ascii="Palatino Linotype" w:eastAsia="Palatino Linotype" w:hAnsi="Palatino Linotype" w:cs="Palatino Linotype"/>
          <w:sz w:val="24"/>
          <w:szCs w:val="24"/>
          <w:vertAlign w:val="superscript"/>
        </w:rPr>
        <w:footnoteReference w:id="1"/>
      </w:r>
      <w:r w:rsidRPr="001172CE">
        <w:rPr>
          <w:rFonts w:ascii="Palatino Linotype" w:eastAsia="Palatino Linotype" w:hAnsi="Palatino Linotype" w:cs="Palatino Linotype"/>
          <w:sz w:val="24"/>
          <w:szCs w:val="24"/>
        </w:rPr>
        <w:t xml:space="preserve">, dispone que los Sujetos Obligados sólo proporcionarán la información pública que generen, administren o posean en el ejercicio de sus atribuciones; por consiguiente, la información pública </w:t>
      </w:r>
      <w:r w:rsidRPr="001172CE">
        <w:rPr>
          <w:rFonts w:ascii="Palatino Linotype" w:eastAsia="Palatino Linotype" w:hAnsi="Palatino Linotype" w:cs="Palatino Linotype"/>
          <w:sz w:val="24"/>
          <w:szCs w:val="24"/>
        </w:rPr>
        <w:lastRenderedPageBreak/>
        <w:t>se encuentra a disposición de cualquier persona, lo que implica que es deber de los Sujetos Obligados, garantizar el derecho de acceso a la información pública.</w:t>
      </w:r>
    </w:p>
    <w:p w14:paraId="751F6E40" w14:textId="77777777" w:rsidR="00AC7CFD" w:rsidRPr="001172CE" w:rsidRDefault="0028542B">
      <w:pPr>
        <w:spacing w:before="240" w:after="24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1172CE">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1172CE">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1172CE">
        <w:rPr>
          <w:rFonts w:ascii="Palatino Linotype" w:eastAsia="Palatino Linotype" w:hAnsi="Palatino Linotype" w:cs="Palatino Linotype"/>
        </w:rPr>
        <w:t xml:space="preserve"> </w:t>
      </w:r>
    </w:p>
    <w:p w14:paraId="51D58C67" w14:textId="77777777" w:rsidR="00AC7CFD" w:rsidRPr="001172CE" w:rsidRDefault="0028542B">
      <w:pPr>
        <w:ind w:left="1276" w:right="899"/>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 xml:space="preserve">Artículo 3. </w:t>
      </w:r>
      <w:r w:rsidRPr="001172CE">
        <w:rPr>
          <w:rFonts w:ascii="Palatino Linotype" w:eastAsia="Palatino Linotype" w:hAnsi="Palatino Linotype" w:cs="Palatino Linotype"/>
          <w:i/>
        </w:rPr>
        <w:t>Para los efectos de la presente Ley se entenderá por:</w:t>
      </w:r>
    </w:p>
    <w:p w14:paraId="08782EB4" w14:textId="77777777" w:rsidR="00AC7CFD" w:rsidRPr="001172CE" w:rsidRDefault="0028542B">
      <w:pPr>
        <w:ind w:left="1134" w:right="899"/>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05A4565B" w14:textId="77777777" w:rsidR="00AC7CFD" w:rsidRPr="001172CE" w:rsidRDefault="0028542B">
      <w:pPr>
        <w:ind w:left="1134" w:right="899"/>
        <w:jc w:val="both"/>
        <w:rPr>
          <w:rFonts w:ascii="Palatino Linotype" w:eastAsia="Palatino Linotype" w:hAnsi="Palatino Linotype" w:cs="Palatino Linotype"/>
          <w:i/>
        </w:rPr>
      </w:pPr>
      <w:r w:rsidRPr="001172CE">
        <w:rPr>
          <w:rFonts w:ascii="Palatino Linotype" w:eastAsia="Palatino Linotype" w:hAnsi="Palatino Linotype" w:cs="Palatino Linotype"/>
          <w:b/>
          <w:i/>
        </w:rPr>
        <w:t>XI. Documento:</w:t>
      </w:r>
      <w:r w:rsidRPr="001172CE">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1172CE">
        <w:rPr>
          <w:rFonts w:ascii="Palatino Linotype" w:eastAsia="Palatino Linotype" w:hAnsi="Palatino Linotype" w:cs="Palatino Linotype"/>
          <w:b/>
          <w:i/>
        </w:rPr>
        <w:t>…</w:t>
      </w:r>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0C91A5EC"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1172CE">
        <w:rPr>
          <w:rFonts w:ascii="Palatino Linotype" w:eastAsia="Palatino Linotype" w:hAnsi="Palatino Linotype" w:cs="Palatino Linotype"/>
          <w:sz w:val="24"/>
          <w:szCs w:val="24"/>
        </w:rPr>
        <w:lastRenderedPageBreak/>
        <w:t>Gobierno”, el diecinueve de octubre de dos mil once, cuyo rubro y texto refieren lo siguiente:</w:t>
      </w:r>
    </w:p>
    <w:p w14:paraId="4A96FF70" w14:textId="77777777" w:rsidR="00AC7CFD" w:rsidRPr="001172CE" w:rsidRDefault="0028542B">
      <w:pPr>
        <w:spacing w:before="120" w:after="120"/>
        <w:ind w:left="1134" w:right="902"/>
        <w:jc w:val="both"/>
        <w:rPr>
          <w:rFonts w:ascii="Palatino Linotype" w:eastAsia="Palatino Linotype" w:hAnsi="Palatino Linotype" w:cs="Palatino Linotype"/>
          <w:b/>
          <w:i/>
        </w:rPr>
      </w:pPr>
      <w:r w:rsidRPr="001172CE">
        <w:rPr>
          <w:rFonts w:ascii="Palatino Linotype" w:eastAsia="Palatino Linotype" w:hAnsi="Palatino Linotype" w:cs="Palatino Linotype"/>
          <w:b/>
        </w:rPr>
        <w:t>“</w:t>
      </w:r>
      <w:r w:rsidRPr="001172CE">
        <w:rPr>
          <w:rFonts w:ascii="Palatino Linotype" w:eastAsia="Palatino Linotype" w:hAnsi="Palatino Linotype" w:cs="Palatino Linotype"/>
          <w:b/>
          <w:i/>
        </w:rPr>
        <w:t>CRITERIO 0002-11</w:t>
      </w:r>
    </w:p>
    <w:p w14:paraId="1DD24814" w14:textId="77777777" w:rsidR="00AC7CFD" w:rsidRPr="001172CE" w:rsidRDefault="0028542B">
      <w:pPr>
        <w:spacing w:before="120" w:after="120"/>
        <w:ind w:left="1134" w:right="902"/>
        <w:jc w:val="both"/>
        <w:rPr>
          <w:rFonts w:ascii="Palatino Linotype" w:eastAsia="Palatino Linotype" w:hAnsi="Palatino Linotype" w:cs="Palatino Linotype"/>
          <w:i/>
        </w:rPr>
      </w:pPr>
      <w:r w:rsidRPr="001172C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172C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23D952" w14:textId="77777777" w:rsidR="00AC7CFD" w:rsidRPr="001172CE" w:rsidRDefault="0028542B">
      <w:pPr>
        <w:spacing w:before="120" w:after="120"/>
        <w:ind w:left="1134"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En </w:t>
      </w:r>
      <w:proofErr w:type="gramStart"/>
      <w:r w:rsidRPr="001172CE">
        <w:rPr>
          <w:rFonts w:ascii="Palatino Linotype" w:eastAsia="Palatino Linotype" w:hAnsi="Palatino Linotype" w:cs="Palatino Linotype"/>
          <w:i/>
        </w:rPr>
        <w:t>consecuencia</w:t>
      </w:r>
      <w:proofErr w:type="gramEnd"/>
      <w:r w:rsidRPr="001172CE">
        <w:rPr>
          <w:rFonts w:ascii="Palatino Linotype" w:eastAsia="Palatino Linotype" w:hAnsi="Palatino Linotype" w:cs="Palatino Linotype"/>
          <w:i/>
        </w:rPr>
        <w:t xml:space="preserve"> el acceso a la información se refiere a que se cumplan cualquiera de los siguientes tres supuestos:</w:t>
      </w:r>
    </w:p>
    <w:p w14:paraId="2554DF28" w14:textId="77777777" w:rsidR="00AC7CFD" w:rsidRPr="001172CE" w:rsidRDefault="0028542B">
      <w:pPr>
        <w:spacing w:before="120" w:after="120"/>
        <w:ind w:left="1134" w:right="902"/>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1) Que se trate de información registrada en cualquier soporte documental, </w:t>
      </w:r>
      <w:proofErr w:type="gramStart"/>
      <w:r w:rsidRPr="001172CE">
        <w:rPr>
          <w:rFonts w:ascii="Palatino Linotype" w:eastAsia="Palatino Linotype" w:hAnsi="Palatino Linotype" w:cs="Palatino Linotype"/>
          <w:b/>
          <w:i/>
        </w:rPr>
        <w:t>que</w:t>
      </w:r>
      <w:proofErr w:type="gramEnd"/>
      <w:r w:rsidRPr="001172CE">
        <w:rPr>
          <w:rFonts w:ascii="Palatino Linotype" w:eastAsia="Palatino Linotype" w:hAnsi="Palatino Linotype" w:cs="Palatino Linotype"/>
          <w:b/>
          <w:i/>
        </w:rPr>
        <w:t xml:space="preserve"> en ejercicio de las atribuciones conferidas, sea generada por los Sujetos Obligados;</w:t>
      </w:r>
    </w:p>
    <w:p w14:paraId="4401B622" w14:textId="77777777" w:rsidR="00AC7CFD" w:rsidRPr="001172CE" w:rsidRDefault="0028542B">
      <w:pPr>
        <w:spacing w:before="120" w:after="120"/>
        <w:ind w:left="1134"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2) Que se trate de información registrada en cualquier soporte documental, </w:t>
      </w:r>
      <w:proofErr w:type="gramStart"/>
      <w:r w:rsidRPr="001172CE">
        <w:rPr>
          <w:rFonts w:ascii="Palatino Linotype" w:eastAsia="Palatino Linotype" w:hAnsi="Palatino Linotype" w:cs="Palatino Linotype"/>
          <w:i/>
        </w:rPr>
        <w:t>que</w:t>
      </w:r>
      <w:proofErr w:type="gramEnd"/>
      <w:r w:rsidRPr="001172CE">
        <w:rPr>
          <w:rFonts w:ascii="Palatino Linotype" w:eastAsia="Palatino Linotype" w:hAnsi="Palatino Linotype" w:cs="Palatino Linotype"/>
          <w:i/>
        </w:rPr>
        <w:t xml:space="preserve"> en ejercicio de las atribuciones conferidas, sea administrada por los Sujetos Obligados, y</w:t>
      </w:r>
    </w:p>
    <w:p w14:paraId="10B4FD76" w14:textId="77777777" w:rsidR="00AC7CFD" w:rsidRPr="001172CE" w:rsidRDefault="0028542B">
      <w:pPr>
        <w:spacing w:before="120" w:after="120"/>
        <w:ind w:left="1134" w:right="902"/>
        <w:jc w:val="both"/>
        <w:rPr>
          <w:rFonts w:ascii="Palatino Linotype" w:eastAsia="Palatino Linotype" w:hAnsi="Palatino Linotype" w:cs="Palatino Linotype"/>
          <w:i/>
        </w:rPr>
      </w:pPr>
      <w:r w:rsidRPr="001172CE">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0A6C59CF" w14:textId="77777777" w:rsidR="00AC7CFD" w:rsidRPr="001172CE" w:rsidRDefault="00AC7CFD">
      <w:pPr>
        <w:spacing w:before="120" w:after="120"/>
        <w:ind w:right="902"/>
        <w:jc w:val="both"/>
        <w:rPr>
          <w:rFonts w:ascii="Palatino Linotype" w:eastAsia="Palatino Linotype" w:hAnsi="Palatino Linotype" w:cs="Palatino Linotype"/>
          <w:i/>
        </w:rPr>
      </w:pPr>
    </w:p>
    <w:p w14:paraId="79BE07AD" w14:textId="77777777" w:rsidR="00AC7CFD" w:rsidRPr="001172CE" w:rsidRDefault="0028542B">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requirió al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le proporcione, lo siguiente:</w:t>
      </w:r>
    </w:p>
    <w:p w14:paraId="0A3981DF" w14:textId="77777777" w:rsidR="00AC7CFD" w:rsidRPr="001172CE" w:rsidRDefault="0028542B">
      <w:pPr>
        <w:numPr>
          <w:ilvl w:val="0"/>
          <w:numId w:val="2"/>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Copia del documento denominado nómina de personal del periodo 1 de mayo al 31 de mayo del año 2022. </w:t>
      </w:r>
    </w:p>
    <w:p w14:paraId="5B37EB9A" w14:textId="77777777" w:rsidR="00AC7CFD" w:rsidRPr="001172CE" w:rsidRDefault="0028542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relación de nombres, percepciones ordinarias y extraordinarias, bonificaciones de todos los asesores que se tiene en áreas de presidencia, secretaria del ayuntamiento, sindicatura y áreas administrativas del periodo 1 de enero al 31 de mayo del año 2022. </w:t>
      </w:r>
    </w:p>
    <w:p w14:paraId="0B565781" w14:textId="77777777" w:rsidR="00AC7CFD" w:rsidRPr="001172CE" w:rsidRDefault="0028542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relación de obras, montos, y forma de asignación que se encuentran en curso así proyectadas y programadas para el ejercicio 2022. </w:t>
      </w:r>
    </w:p>
    <w:p w14:paraId="0A679A34" w14:textId="77777777" w:rsidR="00AC7CFD" w:rsidRPr="001172CE" w:rsidRDefault="0028542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nómina de todo el personal que labora en la administración municipal, desde fecha 1 de enero al 31 de mayo del año 2022. </w:t>
      </w:r>
    </w:p>
    <w:p w14:paraId="4393620E" w14:textId="77777777" w:rsidR="00AC7CFD" w:rsidRPr="001172CE" w:rsidRDefault="0028542B">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Las bonificaciones, gratificaciones que reciben el presidente municipal, síndico y regidores del ayuntamiento desde fecha 1 de enero al 31 de mayo del año 2022.</w:t>
      </w:r>
    </w:p>
    <w:p w14:paraId="08259086"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respuesta,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a través de su Tesorera Municipal informó que remitía la nómina completa del primero de enero al treinta y uno de mayo del año en curso, en donde se podrá observar lo solicitado; sin embargo, no se anexó documento alguno en donde constara dicha nómina completa. </w:t>
      </w:r>
    </w:p>
    <w:p w14:paraId="24262B90"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Por otra </w:t>
      </w:r>
      <w:proofErr w:type="gramStart"/>
      <w:r w:rsidRPr="001172CE">
        <w:rPr>
          <w:rFonts w:ascii="Palatino Linotype" w:eastAsia="Palatino Linotype" w:hAnsi="Palatino Linotype" w:cs="Palatino Linotype"/>
          <w:sz w:val="24"/>
          <w:szCs w:val="24"/>
        </w:rPr>
        <w:t>parte</w:t>
      </w:r>
      <w:proofErr w:type="gramEnd"/>
      <w:r w:rsidRPr="001172CE">
        <w:rPr>
          <w:rFonts w:ascii="Palatino Linotype" w:eastAsia="Palatino Linotype" w:hAnsi="Palatino Linotype" w:cs="Palatino Linotype"/>
          <w:sz w:val="24"/>
          <w:szCs w:val="24"/>
        </w:rPr>
        <w:t xml:space="preserve"> la Directora de Obras Públicas remitió la relación de las obras, montos y forma de asignación que se encuentran en curso, así proyectadas y programadas para el ejercicio 2022, para ello anexó un listado de obras proyectadas y programadas para el ejercicio 2022.</w:t>
      </w:r>
    </w:p>
    <w:p w14:paraId="676206B5" w14:textId="77777777" w:rsidR="00AC7CFD" w:rsidRPr="001172CE" w:rsidRDefault="00AC7CFD">
      <w:pPr>
        <w:spacing w:before="240" w:after="240" w:line="360" w:lineRule="auto"/>
        <w:jc w:val="both"/>
        <w:rPr>
          <w:rFonts w:ascii="Palatino Linotype" w:eastAsia="Palatino Linotype" w:hAnsi="Palatino Linotype" w:cs="Palatino Linotype"/>
          <w:sz w:val="24"/>
          <w:szCs w:val="24"/>
        </w:rPr>
      </w:pPr>
    </w:p>
    <w:p w14:paraId="36A82DF6"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Ante la respuesta el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se inconformó en lo medular por la información incompleta particularmente por la falta de entrega de información relativa a la nómina y percepciones de los servidores públicos. </w:t>
      </w:r>
    </w:p>
    <w:p w14:paraId="6CF818E5" w14:textId="77777777" w:rsidR="00AC7CFD" w:rsidRPr="001172CE" w:rsidRDefault="0028542B">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Una vez notificado el Recurso de Revisión,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rindió su informe justificado, a través del cual manifestó en esencia, que se le entregó la información al particular en tiempo y forma, sin que se incurriera en ningún de los supuestos señalados por el artículo 179 de la Ley de la Materia.</w:t>
      </w:r>
    </w:p>
    <w:p w14:paraId="04E003EE"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Ahora bien, de los motivos de informidad del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se aprecia que está conforme con la respuesta otorgada por la </w:t>
      </w:r>
      <w:proofErr w:type="gramStart"/>
      <w:r w:rsidRPr="001172CE">
        <w:rPr>
          <w:rFonts w:ascii="Palatino Linotype" w:eastAsia="Palatino Linotype" w:hAnsi="Palatino Linotype" w:cs="Palatino Linotype"/>
          <w:sz w:val="24"/>
          <w:szCs w:val="24"/>
        </w:rPr>
        <w:t>Directora</w:t>
      </w:r>
      <w:proofErr w:type="gramEnd"/>
      <w:r w:rsidRPr="001172CE">
        <w:rPr>
          <w:rFonts w:ascii="Palatino Linotype" w:eastAsia="Palatino Linotype" w:hAnsi="Palatino Linotype" w:cs="Palatino Linotype"/>
          <w:sz w:val="24"/>
          <w:szCs w:val="24"/>
        </w:rPr>
        <w:t xml:space="preserve"> de Obras Públicas, en razón que sólo se inconforma respecto de la información de la nómina y percepciones de los servidores públicos;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10362F5" w14:textId="77777777" w:rsidR="00AC7CFD" w:rsidRPr="001172CE" w:rsidRDefault="0028542B">
      <w:pPr>
        <w:spacing w:before="160" w:after="0"/>
        <w:ind w:left="567" w:right="567"/>
        <w:jc w:val="both"/>
        <w:rPr>
          <w:rFonts w:ascii="Palatino Linotype" w:eastAsia="Palatino Linotype" w:hAnsi="Palatino Linotype" w:cs="Palatino Linotype"/>
          <w:i/>
        </w:rPr>
      </w:pPr>
      <w:r w:rsidRPr="001172CE">
        <w:rPr>
          <w:rFonts w:ascii="Palatino Linotype" w:eastAsia="Palatino Linotype" w:hAnsi="Palatino Linotype" w:cs="Palatino Linotype"/>
        </w:rPr>
        <w:t>“</w:t>
      </w:r>
      <w:r w:rsidRPr="001172CE">
        <w:rPr>
          <w:rFonts w:ascii="Palatino Linotype" w:eastAsia="Palatino Linotype" w:hAnsi="Palatino Linotype" w:cs="Palatino Linotype"/>
          <w:b/>
          <w:i/>
        </w:rPr>
        <w:t>REVISIÓN EN AMPARO. LOS RESOLUTIVOS NO COMBATIDOS DEBEN DECLARARSE FIRMES</w:t>
      </w:r>
      <w:r w:rsidRPr="001172CE">
        <w:rPr>
          <w:rFonts w:ascii="Palatino Linotype" w:eastAsia="Palatino Linotype" w:hAnsi="Palatino Linotype" w:cs="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19F80BE6" w14:textId="77777777" w:rsidR="00AC7CFD" w:rsidRPr="001172CE" w:rsidRDefault="00AC7CFD">
      <w:pPr>
        <w:spacing w:after="240" w:line="360" w:lineRule="auto"/>
        <w:jc w:val="both"/>
        <w:rPr>
          <w:rFonts w:ascii="Palatino Linotype" w:eastAsia="Palatino Linotype" w:hAnsi="Palatino Linotype" w:cs="Palatino Linotype"/>
          <w:sz w:val="24"/>
          <w:szCs w:val="24"/>
        </w:rPr>
      </w:pPr>
    </w:p>
    <w:p w14:paraId="5BED478D"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Esto es, la parte de la solicitud sobre la que no se expresó inconformidad, debe declararse consentida por el hoy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ya que no pueden producirse efectos jurídicos tendentes a revocar, confirmar o modificar la parte de la respuesta con relación a la parte de la solicitud que no fue motivo de inconformidad ya que se infiere un consentimiento del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ante la falta de impugnación eficaz.</w:t>
      </w:r>
    </w:p>
    <w:p w14:paraId="38DED3A0"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57696E13" w14:textId="77777777" w:rsidR="00AC7CFD" w:rsidRPr="001172CE" w:rsidRDefault="0028542B">
      <w:pPr>
        <w:spacing w:before="240" w:after="240" w:line="276" w:lineRule="auto"/>
        <w:ind w:left="567" w:right="567"/>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ACTOS CONSENTIDOS. SON LOS QUE NO SE IMPUGNAN MEDIANTE EL RECURSO IDÓNEO</w:t>
      </w:r>
      <w:r w:rsidRPr="001172CE">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02B0BDA7"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Por otro lado, en cuanto a los requerimientos de información relativos a:</w:t>
      </w:r>
    </w:p>
    <w:p w14:paraId="51684E9D" w14:textId="77777777" w:rsidR="00AC7CFD" w:rsidRPr="001172CE" w:rsidRDefault="0028542B">
      <w:pPr>
        <w:numPr>
          <w:ilvl w:val="0"/>
          <w:numId w:val="3"/>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Copia del documento denominado nómina de personal del periodo 1 de mayo al 31 de mayo del año 2022. </w:t>
      </w:r>
    </w:p>
    <w:p w14:paraId="299CB78D" w14:textId="77777777" w:rsidR="00AC7CFD" w:rsidRPr="001172CE" w:rsidRDefault="0028542B">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relación de nombres, percepciones ordinarias y extraordinarias, bonificaciones de todos los asesores que se tiene en áreas de presidencia, secretaria del ayuntamiento, sindicatura y áreas administrativas del periodo 1 de enero al 31 de mayo del año 2022. </w:t>
      </w:r>
    </w:p>
    <w:p w14:paraId="7C3A76E2" w14:textId="77777777" w:rsidR="00AC7CFD" w:rsidRPr="001172CE" w:rsidRDefault="0028542B">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nómina de todo el personal que labora en la administración municipal, desde fecha 1 de enero al 31 de mayo del año 2022. </w:t>
      </w:r>
    </w:p>
    <w:p w14:paraId="69EFB40F" w14:textId="77777777" w:rsidR="00AC7CFD" w:rsidRPr="001172CE" w:rsidRDefault="0028542B">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Las bonificaciones, gratificaciones que reciben el presidente municipal, síndico y regidores del ayuntamiento desde fecha 1 de enero al 31 de mayo del año 2022.</w:t>
      </w:r>
    </w:p>
    <w:p w14:paraId="2BDB9C4F"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Si bien, que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a través de su Tesorero Municipal, señaló en respuesta, que anexaba la nómina del primero de enero al 31 de mayo del año dos mil veintidós en la que podría advertir la información solicitada; lo cierto es que, fue omiso en adjuntar documento alguno. </w:t>
      </w:r>
    </w:p>
    <w:p w14:paraId="23085C04"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En ese sentido, el documento de manera enunciativa más no limitada, en donde figuraría la relación de los nombres, percepciones ordinarias y extraordinarias, y bonificaciones y gratificaciones, sería la nómina; razón que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2BECCB7" w14:textId="77777777" w:rsidR="00AC7CFD" w:rsidRPr="001172CE" w:rsidRDefault="0028542B">
      <w:pPr>
        <w:spacing w:before="240"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“NÓMINA Listado general de los trabajadores de una institución, en el cual se asientan las percepciones brutas, deducciones y alcance neto</w:t>
      </w:r>
      <w:r w:rsidRPr="001172CE">
        <w:rPr>
          <w:rFonts w:ascii="Palatino Linotype" w:eastAsia="Palatino Linotype" w:hAnsi="Palatino Linotype" w:cs="Palatino Linotype"/>
          <w:i/>
        </w:rPr>
        <w:t xml:space="preserve"> de las mismas; la nómina es utilizada para</w:t>
      </w:r>
      <w:r w:rsidRPr="001172CE">
        <w:rPr>
          <w:rFonts w:ascii="Palatino Linotype" w:eastAsia="Palatino Linotype" w:hAnsi="Palatino Linotype" w:cs="Palatino Linotype"/>
          <w:b/>
          <w:i/>
        </w:rPr>
        <w:t xml:space="preserve"> </w:t>
      </w:r>
      <w:r w:rsidRPr="001172CE">
        <w:rPr>
          <w:rFonts w:ascii="Palatino Linotype" w:eastAsia="Palatino Linotype" w:hAnsi="Palatino Linotype" w:cs="Palatino Linotype"/>
          <w:i/>
        </w:rPr>
        <w:t xml:space="preserve">efectuar los pagos periódicos (semanales, </w:t>
      </w:r>
      <w:r w:rsidRPr="001172CE">
        <w:rPr>
          <w:rFonts w:ascii="Palatino Linotype" w:eastAsia="Palatino Linotype" w:hAnsi="Palatino Linotype" w:cs="Palatino Linotype"/>
          <w:i/>
        </w:rPr>
        <w:lastRenderedPageBreak/>
        <w:t>quincenales o</w:t>
      </w:r>
      <w:r w:rsidRPr="001172CE">
        <w:rPr>
          <w:rFonts w:ascii="Palatino Linotype" w:eastAsia="Palatino Linotype" w:hAnsi="Palatino Linotype" w:cs="Palatino Linotype"/>
          <w:b/>
          <w:i/>
        </w:rPr>
        <w:t xml:space="preserve"> </w:t>
      </w:r>
      <w:r w:rsidRPr="001172CE">
        <w:rPr>
          <w:rFonts w:ascii="Palatino Linotype" w:eastAsia="Palatino Linotype" w:hAnsi="Palatino Linotype" w:cs="Palatino Linotype"/>
          <w:i/>
        </w:rPr>
        <w:t>mensuales) a los trabajadores por concepto de sueldos y</w:t>
      </w:r>
      <w:r w:rsidRPr="001172CE">
        <w:rPr>
          <w:rFonts w:ascii="Palatino Linotype" w:eastAsia="Palatino Linotype" w:hAnsi="Palatino Linotype" w:cs="Palatino Linotype"/>
          <w:b/>
          <w:i/>
        </w:rPr>
        <w:t xml:space="preserve"> </w:t>
      </w:r>
      <w:r w:rsidRPr="001172CE">
        <w:rPr>
          <w:rFonts w:ascii="Palatino Linotype" w:eastAsia="Palatino Linotype" w:hAnsi="Palatino Linotype" w:cs="Palatino Linotype"/>
          <w:i/>
        </w:rPr>
        <w:t>salarios</w:t>
      </w:r>
      <w:proofErr w:type="gramStart"/>
      <w:r w:rsidRPr="001172CE">
        <w:rPr>
          <w:rFonts w:ascii="Palatino Linotype" w:eastAsia="Palatino Linotype" w:hAnsi="Palatino Linotype" w:cs="Palatino Linotype"/>
          <w:i/>
        </w:rPr>
        <w:t>.”(</w:t>
      </w:r>
      <w:proofErr w:type="gramEnd"/>
      <w:r w:rsidRPr="001172CE">
        <w:rPr>
          <w:rFonts w:ascii="Palatino Linotype" w:eastAsia="Palatino Linotype" w:hAnsi="Palatino Linotype" w:cs="Palatino Linotype"/>
          <w:i/>
        </w:rPr>
        <w:t>Sic)</w:t>
      </w:r>
    </w:p>
    <w:p w14:paraId="3CC031FE" w14:textId="77777777" w:rsidR="00AC7CFD" w:rsidRPr="001172CE" w:rsidRDefault="00AC7CFD">
      <w:pPr>
        <w:spacing w:after="0" w:line="360" w:lineRule="auto"/>
        <w:jc w:val="both"/>
        <w:rPr>
          <w:rFonts w:ascii="Palatino Linotype" w:eastAsia="Palatino Linotype" w:hAnsi="Palatino Linotype" w:cs="Palatino Linotype"/>
          <w:sz w:val="24"/>
          <w:szCs w:val="24"/>
        </w:rPr>
      </w:pPr>
    </w:p>
    <w:p w14:paraId="344AA8E1" w14:textId="77777777" w:rsidR="00AC7CFD" w:rsidRPr="001172CE" w:rsidRDefault="0028542B">
      <w:p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Sobre la nómina, conviene a traer lo establecido por el artículo 804, fracción II, de la Ley Federal de Trabajo, el cual a la letra establece:  </w:t>
      </w:r>
    </w:p>
    <w:p w14:paraId="2F3D7DC8" w14:textId="77777777" w:rsidR="00AC7CFD" w:rsidRPr="001172CE" w:rsidRDefault="00AC7CFD">
      <w:pPr>
        <w:spacing w:after="0" w:line="360" w:lineRule="auto"/>
        <w:jc w:val="both"/>
        <w:rPr>
          <w:rFonts w:ascii="Palatino Linotype" w:eastAsia="Palatino Linotype" w:hAnsi="Palatino Linotype" w:cs="Palatino Linotype"/>
          <w:sz w:val="24"/>
          <w:szCs w:val="24"/>
        </w:rPr>
      </w:pPr>
    </w:p>
    <w:p w14:paraId="650F246A"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804.-</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El patrón tiene obligación de conservar y exhibir en juicio los documentos que a continuación se precisan</w:t>
      </w:r>
      <w:r w:rsidRPr="001172CE">
        <w:rPr>
          <w:rFonts w:ascii="Palatino Linotype" w:eastAsia="Palatino Linotype" w:hAnsi="Palatino Linotype" w:cs="Palatino Linotype"/>
          <w:i/>
        </w:rPr>
        <w:t>:</w:t>
      </w:r>
    </w:p>
    <w:p w14:paraId="10F4F0A5"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II.</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Listas de raya o nómina de personal</w:t>
      </w:r>
      <w:r w:rsidRPr="001172CE">
        <w:rPr>
          <w:rFonts w:ascii="Palatino Linotype" w:eastAsia="Palatino Linotype" w:hAnsi="Palatino Linotype" w:cs="Palatino Linotype"/>
          <w:i/>
        </w:rPr>
        <w:t xml:space="preserve">, cuando se lleven en el centro de trabajo; o recibos de pagos de salarios; </w:t>
      </w:r>
    </w:p>
    <w:p w14:paraId="1FC0A044"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3BD11EA1"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1172CE">
        <w:rPr>
          <w:rFonts w:ascii="Palatino Linotype" w:eastAsia="Palatino Linotype" w:hAnsi="Palatino Linotype" w:cs="Palatino Linotype"/>
          <w:b/>
          <w:i/>
        </w:rPr>
        <w:t>los señalados en las fracciones II, III y IV, durante el último año y un año después de que se extinga la relación laboral</w:t>
      </w:r>
      <w:r w:rsidRPr="001172CE">
        <w:rPr>
          <w:rFonts w:ascii="Palatino Linotype" w:eastAsia="Palatino Linotype" w:hAnsi="Palatino Linotype" w:cs="Palatino Linotype"/>
          <w:i/>
        </w:rPr>
        <w:t>; y los mencionados en la fracción V, conforme lo señalen las Leyes que los rijan.” (Sic)</w:t>
      </w:r>
    </w:p>
    <w:p w14:paraId="6090DCBB" w14:textId="77777777" w:rsidR="00AC7CFD" w:rsidRPr="001172CE" w:rsidRDefault="0028542B">
      <w:pP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070CE65" w14:textId="77777777" w:rsidR="00AC7CFD" w:rsidRPr="001172CE" w:rsidRDefault="0028542B">
      <w:pPr>
        <w:spacing w:before="240" w:after="240"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En ese contexto, tratándose de servidores públicos de los Municipios la Ley del Trabajo de los Servidores Públicos del Estado y Municipios, en su artículo 220-K, establece lo siguiente:</w:t>
      </w:r>
    </w:p>
    <w:p w14:paraId="72AAD813" w14:textId="77777777" w:rsidR="00AC7CFD" w:rsidRPr="001172CE" w:rsidRDefault="0028542B">
      <w:pPr>
        <w:tabs>
          <w:tab w:val="left" w:pos="9072"/>
        </w:tabs>
        <w:spacing w:before="24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220 K.-</w:t>
      </w:r>
      <w:r w:rsidRPr="001172CE">
        <w:rPr>
          <w:rFonts w:ascii="Palatino Linotype" w:eastAsia="Palatino Linotype" w:hAnsi="Palatino Linotype" w:cs="Palatino Linotype"/>
          <w:i/>
        </w:rPr>
        <w:t xml:space="preserve"> La </w:t>
      </w:r>
      <w:r w:rsidRPr="001172CE">
        <w:rPr>
          <w:rFonts w:ascii="Palatino Linotype" w:eastAsia="Palatino Linotype" w:hAnsi="Palatino Linotype" w:cs="Palatino Linotype"/>
          <w:b/>
          <w:i/>
        </w:rPr>
        <w:t>institución o dependencia pública tiene la obligación de conservar y exhibir en el proceso los documentos que a continuación</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se precisan</w:t>
      </w:r>
      <w:r w:rsidRPr="001172CE">
        <w:rPr>
          <w:rFonts w:ascii="Palatino Linotype" w:eastAsia="Palatino Linotype" w:hAnsi="Palatino Linotype" w:cs="Palatino Linotype"/>
          <w:i/>
        </w:rPr>
        <w:t>:</w:t>
      </w:r>
    </w:p>
    <w:p w14:paraId="1F303383" w14:textId="77777777" w:rsidR="00AC7CFD" w:rsidRPr="001172CE" w:rsidRDefault="0028542B">
      <w:pPr>
        <w:tabs>
          <w:tab w:val="left" w:pos="9072"/>
        </w:tabs>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lastRenderedPageBreak/>
        <w:t>…</w:t>
      </w:r>
    </w:p>
    <w:p w14:paraId="1734DD91" w14:textId="77777777" w:rsidR="00AC7CFD" w:rsidRPr="001172CE" w:rsidRDefault="0028542B">
      <w:pPr>
        <w:tabs>
          <w:tab w:val="left" w:pos="9072"/>
        </w:tabs>
        <w:ind w:left="851" w:right="851"/>
        <w:jc w:val="both"/>
        <w:rPr>
          <w:rFonts w:ascii="Palatino Linotype" w:eastAsia="Palatino Linotype" w:hAnsi="Palatino Linotype" w:cs="Palatino Linotype"/>
          <w:b/>
          <w:i/>
        </w:rPr>
      </w:pPr>
      <w:r w:rsidRPr="001172CE">
        <w:rPr>
          <w:rFonts w:ascii="Palatino Linotype" w:eastAsia="Palatino Linotype" w:hAnsi="Palatino Linotype" w:cs="Palatino Linotype"/>
          <w:i/>
        </w:rPr>
        <w:t xml:space="preserve">II. </w:t>
      </w:r>
      <w:r w:rsidRPr="001172CE">
        <w:rPr>
          <w:rFonts w:ascii="Palatino Linotype" w:eastAsia="Palatino Linotype" w:hAnsi="Palatino Linotype" w:cs="Palatino Linotype"/>
          <w:b/>
          <w:i/>
        </w:rPr>
        <w:t>Recibos de pagos de salarios o</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las constancias documentales del pago de salario</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cuando sea por depósito o mediante información electrónica;</w:t>
      </w:r>
    </w:p>
    <w:p w14:paraId="6224C742" w14:textId="77777777" w:rsidR="00AC7CFD" w:rsidRPr="001172CE" w:rsidRDefault="0028542B">
      <w:pPr>
        <w:tabs>
          <w:tab w:val="left" w:pos="9072"/>
        </w:tabs>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37FD2909" w14:textId="77777777" w:rsidR="00AC7CFD" w:rsidRPr="001172CE" w:rsidRDefault="0028542B">
      <w:pPr>
        <w:tabs>
          <w:tab w:val="left" w:pos="9072"/>
        </w:tabs>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61C13FE" w14:textId="77777777" w:rsidR="00AC7CFD" w:rsidRPr="001172CE" w:rsidRDefault="0028542B">
      <w:pPr>
        <w:tabs>
          <w:tab w:val="left" w:pos="9072"/>
        </w:tabs>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E37A2F4" w14:textId="77777777" w:rsidR="00AC7CFD" w:rsidRPr="001172CE" w:rsidRDefault="00AC7CFD">
      <w:pPr>
        <w:tabs>
          <w:tab w:val="left" w:pos="9072"/>
        </w:tabs>
        <w:ind w:left="851" w:right="851"/>
        <w:jc w:val="both"/>
        <w:rPr>
          <w:rFonts w:ascii="Palatino Linotype" w:eastAsia="Palatino Linotype" w:hAnsi="Palatino Linotype" w:cs="Palatino Linotype"/>
          <w:i/>
        </w:rPr>
      </w:pPr>
    </w:p>
    <w:p w14:paraId="377366DF" w14:textId="77777777" w:rsidR="00AC7CFD" w:rsidRPr="001172CE" w:rsidRDefault="0028542B">
      <w:pPr>
        <w:spacing w:line="360" w:lineRule="auto"/>
        <w:ind w:right="51"/>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13E5925" w14:textId="77777777" w:rsidR="00AC7CFD" w:rsidRPr="001172CE" w:rsidRDefault="00AC7CFD">
      <w:pPr>
        <w:spacing w:after="0" w:line="360" w:lineRule="auto"/>
        <w:ind w:right="51"/>
        <w:jc w:val="both"/>
        <w:rPr>
          <w:rFonts w:ascii="Palatino Linotype" w:eastAsia="Palatino Linotype" w:hAnsi="Palatino Linotype" w:cs="Palatino Linotype"/>
          <w:sz w:val="24"/>
          <w:szCs w:val="24"/>
        </w:rPr>
      </w:pPr>
    </w:p>
    <w:p w14:paraId="2FEEBC01" w14:textId="77777777" w:rsidR="00AC7CFD" w:rsidRPr="001172CE" w:rsidRDefault="0028542B">
      <w:pPr>
        <w:tabs>
          <w:tab w:val="right" w:pos="8505"/>
        </w:tabs>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w:t>
      </w:r>
      <w:r w:rsidRPr="001172CE">
        <w:rPr>
          <w:sz w:val="24"/>
          <w:szCs w:val="24"/>
        </w:rPr>
        <w:t xml:space="preserve"> </w:t>
      </w:r>
      <w:r w:rsidRPr="001172CE">
        <w:rPr>
          <w:rFonts w:ascii="Palatino Linotype" w:eastAsia="Palatino Linotype" w:hAnsi="Palatino Linotype" w:cs="Palatino Linotype"/>
          <w:sz w:val="24"/>
          <w:szCs w:val="24"/>
        </w:rPr>
        <w:t xml:space="preserve">es considerado </w:t>
      </w:r>
      <w:r w:rsidRPr="001172CE">
        <w:rPr>
          <w:rFonts w:ascii="Palatino Linotype" w:eastAsia="Palatino Linotype" w:hAnsi="Palatino Linotype" w:cs="Palatino Linotype"/>
          <w:sz w:val="24"/>
          <w:szCs w:val="24"/>
        </w:rPr>
        <w:lastRenderedPageBreak/>
        <w:t>como ente fiscalizable, como así lo señala el artículo 4 fracción II de la Ley de Fiscalización Superior del Estado de México, el cual señala:</w:t>
      </w:r>
    </w:p>
    <w:p w14:paraId="74AF4ADA" w14:textId="77777777" w:rsidR="00AC7CFD" w:rsidRPr="001172CE" w:rsidRDefault="00AC7CFD">
      <w:pPr>
        <w:tabs>
          <w:tab w:val="right" w:pos="8505"/>
        </w:tabs>
        <w:spacing w:after="0" w:line="360" w:lineRule="auto"/>
        <w:jc w:val="both"/>
        <w:rPr>
          <w:sz w:val="24"/>
          <w:szCs w:val="24"/>
        </w:rPr>
      </w:pPr>
    </w:p>
    <w:p w14:paraId="03D77AE5"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 xml:space="preserve">“Artículo 4. </w:t>
      </w:r>
      <w:r w:rsidRPr="001172CE">
        <w:rPr>
          <w:rFonts w:ascii="Palatino Linotype" w:eastAsia="Palatino Linotype" w:hAnsi="Palatino Linotype" w:cs="Palatino Linotype"/>
          <w:i/>
        </w:rPr>
        <w:t>Son sujetos de fiscalización:</w:t>
      </w:r>
    </w:p>
    <w:p w14:paraId="7C9253AB" w14:textId="77777777" w:rsidR="00AC7CFD" w:rsidRPr="001172CE" w:rsidRDefault="0028542B">
      <w:pPr>
        <w:ind w:left="851" w:right="851"/>
        <w:jc w:val="both"/>
        <w:rPr>
          <w:i/>
        </w:rPr>
      </w:pPr>
      <w:r w:rsidRPr="001172CE">
        <w:rPr>
          <w:rFonts w:ascii="Palatino Linotype" w:eastAsia="Palatino Linotype" w:hAnsi="Palatino Linotype" w:cs="Palatino Linotype"/>
          <w:i/>
        </w:rPr>
        <w:t>…</w:t>
      </w:r>
    </w:p>
    <w:p w14:paraId="14A0B4F8" w14:textId="77777777" w:rsidR="00AC7CFD" w:rsidRPr="001172CE" w:rsidRDefault="0028542B">
      <w:pPr>
        <w:numPr>
          <w:ilvl w:val="0"/>
          <w:numId w:val="4"/>
        </w:numPr>
        <w:pBdr>
          <w:top w:val="nil"/>
          <w:left w:val="nil"/>
          <w:bottom w:val="nil"/>
          <w:right w:val="nil"/>
          <w:between w:val="nil"/>
        </w:pBdr>
        <w:spacing w:before="240" w:line="240" w:lineRule="auto"/>
        <w:ind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Los municipios del Estado de México…” (Sic)</w:t>
      </w:r>
    </w:p>
    <w:p w14:paraId="744B4CA8" w14:textId="77777777" w:rsidR="00AC7CFD" w:rsidRPr="001172CE" w:rsidRDefault="00AC7CFD">
      <w:pPr>
        <w:spacing w:before="240"/>
        <w:ind w:left="851" w:right="851"/>
        <w:jc w:val="both"/>
        <w:rPr>
          <w:b/>
        </w:rPr>
      </w:pPr>
    </w:p>
    <w:p w14:paraId="07C8BC93" w14:textId="77777777" w:rsidR="00AC7CFD" w:rsidRPr="001172CE" w:rsidRDefault="0028542B">
      <w:pPr>
        <w:spacing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3AF70A7A" w14:textId="77777777" w:rsidR="00AC7CFD" w:rsidRPr="001172CE" w:rsidRDefault="00AC7CFD">
      <w:pPr>
        <w:spacing w:line="360" w:lineRule="auto"/>
        <w:ind w:right="49"/>
        <w:jc w:val="both"/>
        <w:rPr>
          <w:rFonts w:ascii="Palatino Linotype" w:eastAsia="Palatino Linotype" w:hAnsi="Palatino Linotype" w:cs="Palatino Linotype"/>
        </w:rPr>
      </w:pPr>
    </w:p>
    <w:p w14:paraId="3259B134" w14:textId="77777777" w:rsidR="00AC7CFD" w:rsidRPr="001172CE" w:rsidRDefault="0028542B">
      <w:pPr>
        <w:ind w:left="851" w:right="851"/>
        <w:jc w:val="both"/>
        <w:rPr>
          <w:i/>
        </w:rPr>
      </w:pPr>
      <w:r w:rsidRPr="001172CE">
        <w:rPr>
          <w:rFonts w:ascii="Palatino Linotype" w:eastAsia="Palatino Linotype" w:hAnsi="Palatino Linotype" w:cs="Palatino Linotype"/>
          <w:b/>
          <w:i/>
        </w:rPr>
        <w:t xml:space="preserve">“Artículo 8. </w:t>
      </w:r>
      <w:r w:rsidRPr="001172CE">
        <w:rPr>
          <w:rFonts w:ascii="Palatino Linotype" w:eastAsia="Palatino Linotype" w:hAnsi="Palatino Linotype" w:cs="Palatino Linotype"/>
          <w:i/>
        </w:rPr>
        <w:t>El Órgano Superior tendrá las siguientes atribuciones:</w:t>
      </w:r>
    </w:p>
    <w:p w14:paraId="35EFEB49" w14:textId="77777777" w:rsidR="00AC7CFD" w:rsidRPr="001172CE" w:rsidRDefault="0028542B">
      <w:pPr>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50222FBA" w14:textId="77777777" w:rsidR="00AC7CFD" w:rsidRPr="001172CE" w:rsidRDefault="0028542B">
      <w:pPr>
        <w:ind w:left="851" w:right="851"/>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XI. Establecer los lineamientos</w:t>
      </w:r>
      <w:r w:rsidRPr="001172CE">
        <w:rPr>
          <w:rFonts w:ascii="Palatino Linotype" w:eastAsia="Palatino Linotype" w:hAnsi="Palatino Linotype" w:cs="Palatino Linotype"/>
          <w:i/>
        </w:rPr>
        <w:t xml:space="preserve">, criterios, procedimientos, métodos y sistemas </w:t>
      </w:r>
      <w:r w:rsidRPr="001172CE">
        <w:rPr>
          <w:rFonts w:ascii="Palatino Linotype" w:eastAsia="Palatino Linotype" w:hAnsi="Palatino Linotype" w:cs="Palatino Linotype"/>
          <w:b/>
          <w:i/>
        </w:rPr>
        <w:t>para las acciones de control y evaluación, necesarios para la fiscalización de las cuentas públicas y los informes trimestrales</w:t>
      </w:r>
      <w:r w:rsidRPr="001172CE">
        <w:rPr>
          <w:rFonts w:ascii="Palatino Linotype" w:eastAsia="Palatino Linotype" w:hAnsi="Palatino Linotype" w:cs="Palatino Linotype"/>
          <w:i/>
        </w:rPr>
        <w:t>…</w:t>
      </w:r>
      <w:r w:rsidRPr="001172CE">
        <w:rPr>
          <w:rFonts w:ascii="Palatino Linotype" w:eastAsia="Palatino Linotype" w:hAnsi="Palatino Linotype" w:cs="Palatino Linotype"/>
        </w:rPr>
        <w:t>” (</w:t>
      </w:r>
      <w:r w:rsidRPr="001172CE">
        <w:rPr>
          <w:rFonts w:ascii="Palatino Linotype" w:eastAsia="Palatino Linotype" w:hAnsi="Palatino Linotype" w:cs="Palatino Linotype"/>
          <w:i/>
        </w:rPr>
        <w:t>Sic)</w:t>
      </w:r>
    </w:p>
    <w:p w14:paraId="4A8DD51A" w14:textId="77777777" w:rsidR="00AC7CFD" w:rsidRPr="001172CE" w:rsidRDefault="00AC7CFD">
      <w:pPr>
        <w:spacing w:after="0" w:line="360" w:lineRule="auto"/>
        <w:jc w:val="both"/>
        <w:rPr>
          <w:rFonts w:ascii="Palatino Linotype" w:eastAsia="Palatino Linotype" w:hAnsi="Palatino Linotype" w:cs="Palatino Linotype"/>
          <w:sz w:val="24"/>
          <w:szCs w:val="24"/>
        </w:rPr>
      </w:pPr>
    </w:p>
    <w:p w14:paraId="3E351AD1" w14:textId="77777777" w:rsidR="00AC7CFD" w:rsidRPr="001172CE" w:rsidRDefault="0028542B">
      <w:pPr>
        <w:spacing w:after="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14:paraId="16528BA3" w14:textId="77777777" w:rsidR="00AC7CFD" w:rsidRPr="001172CE" w:rsidRDefault="00AC7CFD">
      <w:pPr>
        <w:spacing w:line="360" w:lineRule="auto"/>
        <w:jc w:val="both"/>
      </w:pPr>
    </w:p>
    <w:p w14:paraId="77C3992B"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lastRenderedPageBreak/>
        <w:drawing>
          <wp:inline distT="0" distB="0" distL="0" distR="0" wp14:anchorId="7006CE79" wp14:editId="502BFC5B">
            <wp:extent cx="5459799" cy="4545964"/>
            <wp:effectExtent l="0" t="0" r="0" b="0"/>
            <wp:docPr id="1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35982" t="17911" r="21361" b="2999"/>
                    <a:stretch>
                      <a:fillRect/>
                    </a:stretch>
                  </pic:blipFill>
                  <pic:spPr>
                    <a:xfrm>
                      <a:off x="0" y="0"/>
                      <a:ext cx="5459799" cy="4545964"/>
                    </a:xfrm>
                    <a:prstGeom prst="rect">
                      <a:avLst/>
                    </a:prstGeom>
                    <a:ln/>
                  </pic:spPr>
                </pic:pic>
              </a:graphicData>
            </a:graphic>
          </wp:inline>
        </w:drawing>
      </w:r>
      <w:r w:rsidRPr="001172CE">
        <w:rPr>
          <w:noProof/>
        </w:rPr>
        <mc:AlternateContent>
          <mc:Choice Requires="wpg">
            <w:drawing>
              <wp:anchor distT="0" distB="0" distL="114300" distR="114300" simplePos="0" relativeHeight="251658240" behindDoc="0" locked="0" layoutInCell="1" hidden="0" allowOverlap="1" wp14:anchorId="427D0766" wp14:editId="5191B3D0">
                <wp:simplePos x="0" y="0"/>
                <wp:positionH relativeFrom="column">
                  <wp:posOffset>4572000</wp:posOffset>
                </wp:positionH>
                <wp:positionV relativeFrom="paragraph">
                  <wp:posOffset>1803400</wp:posOffset>
                </wp:positionV>
                <wp:extent cx="571500" cy="844549"/>
                <wp:effectExtent l="0" t="0" r="0" b="0"/>
                <wp:wrapNone/>
                <wp:docPr id="143" name="Flecha a la derecha con bandas 143"/>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A684449" w14:textId="77777777" w:rsidR="00AC7CFD" w:rsidRDefault="00AC7CFD">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1803400</wp:posOffset>
                </wp:positionV>
                <wp:extent cx="571500" cy="844549"/>
                <wp:effectExtent b="0" l="0" r="0" t="0"/>
                <wp:wrapNone/>
                <wp:docPr id="14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71500" cy="844549"/>
                        </a:xfrm>
                        <a:prstGeom prst="rect"/>
                        <a:ln/>
                      </pic:spPr>
                    </pic:pic>
                  </a:graphicData>
                </a:graphic>
              </wp:anchor>
            </w:drawing>
          </mc:Fallback>
        </mc:AlternateContent>
      </w:r>
    </w:p>
    <w:p w14:paraId="25D8063A" w14:textId="77777777" w:rsidR="00AC7CFD" w:rsidRPr="001172CE" w:rsidRDefault="00AC7CFD">
      <w:pPr>
        <w:spacing w:line="360" w:lineRule="auto"/>
        <w:jc w:val="both"/>
        <w:rPr>
          <w:rFonts w:ascii="Palatino Linotype" w:eastAsia="Palatino Linotype" w:hAnsi="Palatino Linotype" w:cs="Palatino Linotype"/>
        </w:rPr>
      </w:pPr>
    </w:p>
    <w:p w14:paraId="6B739F6E"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lastRenderedPageBreak/>
        <w:drawing>
          <wp:inline distT="0" distB="0" distL="0" distR="0" wp14:anchorId="5DAC11A5" wp14:editId="2D2DD40A">
            <wp:extent cx="5527688" cy="3462490"/>
            <wp:effectExtent l="0" t="0" r="0" b="0"/>
            <wp:docPr id="1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2361" t="20325" r="3937" b="4205"/>
                    <a:stretch>
                      <a:fillRect/>
                    </a:stretch>
                  </pic:blipFill>
                  <pic:spPr>
                    <a:xfrm>
                      <a:off x="0" y="0"/>
                      <a:ext cx="5527688" cy="3462490"/>
                    </a:xfrm>
                    <a:prstGeom prst="rect">
                      <a:avLst/>
                    </a:prstGeom>
                    <a:ln/>
                  </pic:spPr>
                </pic:pic>
              </a:graphicData>
            </a:graphic>
          </wp:inline>
        </w:drawing>
      </w:r>
    </w:p>
    <w:p w14:paraId="4DB84049" w14:textId="77777777" w:rsidR="00AC7CFD" w:rsidRPr="001172CE" w:rsidRDefault="00AC7CFD">
      <w:pPr>
        <w:spacing w:line="360" w:lineRule="auto"/>
        <w:jc w:val="both"/>
        <w:rPr>
          <w:rFonts w:ascii="Palatino Linotype" w:eastAsia="Palatino Linotype" w:hAnsi="Palatino Linotype" w:cs="Palatino Linotype"/>
        </w:rPr>
      </w:pPr>
    </w:p>
    <w:p w14:paraId="30871E24"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drawing>
          <wp:inline distT="0" distB="0" distL="0" distR="0" wp14:anchorId="522C4917" wp14:editId="07FCDFCF">
            <wp:extent cx="5449684" cy="2598956"/>
            <wp:effectExtent l="0" t="0" r="0" b="0"/>
            <wp:docPr id="1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l="23987" t="26966" r="3144" b="13260"/>
                    <a:stretch>
                      <a:fillRect/>
                    </a:stretch>
                  </pic:blipFill>
                  <pic:spPr>
                    <a:xfrm>
                      <a:off x="0" y="0"/>
                      <a:ext cx="5449684" cy="2598956"/>
                    </a:xfrm>
                    <a:prstGeom prst="rect">
                      <a:avLst/>
                    </a:prstGeom>
                    <a:ln/>
                  </pic:spPr>
                </pic:pic>
              </a:graphicData>
            </a:graphic>
          </wp:inline>
        </w:drawing>
      </w:r>
      <w:r w:rsidRPr="001172CE">
        <w:rPr>
          <w:noProof/>
        </w:rPr>
        <mc:AlternateContent>
          <mc:Choice Requires="wpg">
            <w:drawing>
              <wp:anchor distT="0" distB="0" distL="114300" distR="114300" simplePos="0" relativeHeight="251659264" behindDoc="0" locked="0" layoutInCell="1" hidden="0" allowOverlap="1" wp14:anchorId="0B22C39F" wp14:editId="4FB75FCF">
                <wp:simplePos x="0" y="0"/>
                <wp:positionH relativeFrom="column">
                  <wp:posOffset>2108200</wp:posOffset>
                </wp:positionH>
                <wp:positionV relativeFrom="paragraph">
                  <wp:posOffset>977900</wp:posOffset>
                </wp:positionV>
                <wp:extent cx="730250" cy="812800"/>
                <wp:effectExtent l="0" t="0" r="0" b="0"/>
                <wp:wrapNone/>
                <wp:docPr id="144" name="Flecha izquierda 144"/>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EF44844" w14:textId="77777777" w:rsidR="00AC7CFD" w:rsidRDefault="00AC7CFD">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977900</wp:posOffset>
                </wp:positionV>
                <wp:extent cx="730250" cy="812800"/>
                <wp:effectExtent b="0" l="0" r="0" t="0"/>
                <wp:wrapNone/>
                <wp:docPr id="144"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730250" cy="812800"/>
                        </a:xfrm>
                        <a:prstGeom prst="rect"/>
                        <a:ln/>
                      </pic:spPr>
                    </pic:pic>
                  </a:graphicData>
                </a:graphic>
              </wp:anchor>
            </w:drawing>
          </mc:Fallback>
        </mc:AlternateContent>
      </w:r>
    </w:p>
    <w:p w14:paraId="4A9C1AF4" w14:textId="77777777" w:rsidR="00AC7CFD" w:rsidRPr="001172CE" w:rsidRDefault="00AC7CFD">
      <w:pPr>
        <w:spacing w:line="360" w:lineRule="auto"/>
        <w:jc w:val="both"/>
      </w:pPr>
    </w:p>
    <w:p w14:paraId="61C2CE3E"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lastRenderedPageBreak/>
        <w:drawing>
          <wp:inline distT="0" distB="0" distL="0" distR="0" wp14:anchorId="48E3791E" wp14:editId="59AA4379">
            <wp:extent cx="5501519" cy="3840790"/>
            <wp:effectExtent l="0" t="0" r="0" b="0"/>
            <wp:docPr id="1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5756" t="23466" r="6024" b="10410"/>
                    <a:stretch>
                      <a:fillRect/>
                    </a:stretch>
                  </pic:blipFill>
                  <pic:spPr>
                    <a:xfrm>
                      <a:off x="0" y="0"/>
                      <a:ext cx="5501519" cy="3840790"/>
                    </a:xfrm>
                    <a:prstGeom prst="rect">
                      <a:avLst/>
                    </a:prstGeom>
                    <a:ln/>
                  </pic:spPr>
                </pic:pic>
              </a:graphicData>
            </a:graphic>
          </wp:inline>
        </w:drawing>
      </w:r>
    </w:p>
    <w:p w14:paraId="096F04EE"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drawing>
          <wp:inline distT="0" distB="0" distL="0" distR="0" wp14:anchorId="73EB4F0C" wp14:editId="25447440">
            <wp:extent cx="5432220" cy="3201077"/>
            <wp:effectExtent l="0" t="0" r="0" b="0"/>
            <wp:docPr id="1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25114" t="14194" r="4552" b="6669"/>
                    <a:stretch>
                      <a:fillRect/>
                    </a:stretch>
                  </pic:blipFill>
                  <pic:spPr>
                    <a:xfrm>
                      <a:off x="0" y="0"/>
                      <a:ext cx="5432220" cy="3201077"/>
                    </a:xfrm>
                    <a:prstGeom prst="rect">
                      <a:avLst/>
                    </a:prstGeom>
                    <a:ln/>
                  </pic:spPr>
                </pic:pic>
              </a:graphicData>
            </a:graphic>
          </wp:inline>
        </w:drawing>
      </w:r>
    </w:p>
    <w:p w14:paraId="031CE13A"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lastRenderedPageBreak/>
        <w:drawing>
          <wp:inline distT="0" distB="0" distL="0" distR="0" wp14:anchorId="4E2C7C83" wp14:editId="1BB18F73">
            <wp:extent cx="5466887" cy="541298"/>
            <wp:effectExtent l="0" t="0" r="0" b="0"/>
            <wp:docPr id="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25783" t="28198" r="4976" b="54577"/>
                    <a:stretch>
                      <a:fillRect/>
                    </a:stretch>
                  </pic:blipFill>
                  <pic:spPr>
                    <a:xfrm>
                      <a:off x="0" y="0"/>
                      <a:ext cx="5466887" cy="541298"/>
                    </a:xfrm>
                    <a:prstGeom prst="rect">
                      <a:avLst/>
                    </a:prstGeom>
                    <a:ln/>
                  </pic:spPr>
                </pic:pic>
              </a:graphicData>
            </a:graphic>
          </wp:inline>
        </w:drawing>
      </w:r>
    </w:p>
    <w:p w14:paraId="05F91B7B"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drawing>
          <wp:inline distT="0" distB="0" distL="0" distR="0" wp14:anchorId="05D8EACC" wp14:editId="6DB45A8A">
            <wp:extent cx="5467420" cy="3188924"/>
            <wp:effectExtent l="0" t="0" r="0" b="0"/>
            <wp:docPr id="1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25647" t="18357" r="5182" b="3635"/>
                    <a:stretch>
                      <a:fillRect/>
                    </a:stretch>
                  </pic:blipFill>
                  <pic:spPr>
                    <a:xfrm>
                      <a:off x="0" y="0"/>
                      <a:ext cx="5467420" cy="3188924"/>
                    </a:xfrm>
                    <a:prstGeom prst="rect">
                      <a:avLst/>
                    </a:prstGeom>
                    <a:ln/>
                  </pic:spPr>
                </pic:pic>
              </a:graphicData>
            </a:graphic>
          </wp:inline>
        </w:drawing>
      </w:r>
      <w:r w:rsidRPr="001172CE">
        <w:rPr>
          <w:noProof/>
        </w:rPr>
        <mc:AlternateContent>
          <mc:Choice Requires="wpg">
            <w:drawing>
              <wp:anchor distT="0" distB="0" distL="114300" distR="114300" simplePos="0" relativeHeight="251660288" behindDoc="0" locked="0" layoutInCell="1" hidden="0" allowOverlap="1" wp14:anchorId="3B025672" wp14:editId="63BB260F">
                <wp:simplePos x="0" y="0"/>
                <wp:positionH relativeFrom="column">
                  <wp:posOffset>38101</wp:posOffset>
                </wp:positionH>
                <wp:positionV relativeFrom="paragraph">
                  <wp:posOffset>2006600</wp:posOffset>
                </wp:positionV>
                <wp:extent cx="5487224" cy="1158669"/>
                <wp:effectExtent l="0" t="0" r="0" b="0"/>
                <wp:wrapNone/>
                <wp:docPr id="146" name="Rectángulo 146"/>
                <wp:cNvGraphicFramePr/>
                <a:graphic xmlns:a="http://schemas.openxmlformats.org/drawingml/2006/main">
                  <a:graphicData uri="http://schemas.microsoft.com/office/word/2010/wordprocessingShape">
                    <wps:wsp>
                      <wps:cNvSpPr/>
                      <wps:spPr>
                        <a:xfrm>
                          <a:off x="2608738" y="3207016"/>
                          <a:ext cx="5474524" cy="1145969"/>
                        </a:xfrm>
                        <a:prstGeom prst="rect">
                          <a:avLst/>
                        </a:prstGeom>
                        <a:noFill/>
                        <a:ln w="12700" cap="flat" cmpd="sng">
                          <a:solidFill>
                            <a:srgbClr val="42719B"/>
                          </a:solidFill>
                          <a:prstDash val="solid"/>
                          <a:miter lim="800000"/>
                          <a:headEnd type="none" w="sm" len="sm"/>
                          <a:tailEnd type="none" w="sm" len="sm"/>
                        </a:ln>
                      </wps:spPr>
                      <wps:txbx>
                        <w:txbxContent>
                          <w:p w14:paraId="494D7A12" w14:textId="77777777" w:rsidR="00AC7CFD" w:rsidRDefault="00AC7C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2006600</wp:posOffset>
                </wp:positionV>
                <wp:extent cx="5487224" cy="1158669"/>
                <wp:effectExtent b="0" l="0" r="0" t="0"/>
                <wp:wrapNone/>
                <wp:docPr id="146"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5487224" cy="1158669"/>
                        </a:xfrm>
                        <a:prstGeom prst="rect"/>
                        <a:ln/>
                      </pic:spPr>
                    </pic:pic>
                  </a:graphicData>
                </a:graphic>
              </wp:anchor>
            </w:drawing>
          </mc:Fallback>
        </mc:AlternateContent>
      </w:r>
    </w:p>
    <w:p w14:paraId="409FF402" w14:textId="77777777" w:rsidR="00AC7CFD" w:rsidRPr="001172CE" w:rsidRDefault="0028542B">
      <w:pPr>
        <w:spacing w:line="360" w:lineRule="auto"/>
        <w:jc w:val="both"/>
        <w:rPr>
          <w:rFonts w:ascii="Palatino Linotype" w:eastAsia="Palatino Linotype" w:hAnsi="Palatino Linotype" w:cs="Palatino Linotype"/>
        </w:rPr>
      </w:pPr>
      <w:r w:rsidRPr="001172CE">
        <w:rPr>
          <w:noProof/>
        </w:rPr>
        <w:drawing>
          <wp:inline distT="0" distB="0" distL="0" distR="0" wp14:anchorId="1DAFF4B4" wp14:editId="024B5C69">
            <wp:extent cx="5536657" cy="2997445"/>
            <wp:effectExtent l="0" t="0" r="0" b="0"/>
            <wp:docPr id="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5112" t="18168" r="4878" b="4593"/>
                    <a:stretch>
                      <a:fillRect/>
                    </a:stretch>
                  </pic:blipFill>
                  <pic:spPr>
                    <a:xfrm>
                      <a:off x="0" y="0"/>
                      <a:ext cx="5536657" cy="2997445"/>
                    </a:xfrm>
                    <a:prstGeom prst="rect">
                      <a:avLst/>
                    </a:prstGeom>
                    <a:ln/>
                  </pic:spPr>
                </pic:pic>
              </a:graphicData>
            </a:graphic>
          </wp:inline>
        </w:drawing>
      </w:r>
      <w:r w:rsidRPr="001172CE">
        <w:rPr>
          <w:noProof/>
        </w:rPr>
        <mc:AlternateContent>
          <mc:Choice Requires="wpg">
            <w:drawing>
              <wp:anchor distT="0" distB="0" distL="114300" distR="114300" simplePos="0" relativeHeight="251661312" behindDoc="0" locked="0" layoutInCell="1" hidden="0" allowOverlap="1" wp14:anchorId="2024D268" wp14:editId="3FA8A458">
                <wp:simplePos x="0" y="0"/>
                <wp:positionH relativeFrom="column">
                  <wp:posOffset>1</wp:posOffset>
                </wp:positionH>
                <wp:positionV relativeFrom="paragraph">
                  <wp:posOffset>0</wp:posOffset>
                </wp:positionV>
                <wp:extent cx="5487035" cy="1609931"/>
                <wp:effectExtent l="0" t="0" r="0" b="0"/>
                <wp:wrapNone/>
                <wp:docPr id="145" name="Rectángulo 145"/>
                <wp:cNvGraphicFramePr/>
                <a:graphic xmlns:a="http://schemas.openxmlformats.org/drawingml/2006/main">
                  <a:graphicData uri="http://schemas.microsoft.com/office/word/2010/wordprocessingShape">
                    <wps:wsp>
                      <wps:cNvSpPr/>
                      <wps:spPr>
                        <a:xfrm>
                          <a:off x="2608833" y="2981385"/>
                          <a:ext cx="5474335" cy="1597231"/>
                        </a:xfrm>
                        <a:prstGeom prst="rect">
                          <a:avLst/>
                        </a:prstGeom>
                        <a:noFill/>
                        <a:ln w="12700" cap="flat" cmpd="sng">
                          <a:solidFill>
                            <a:srgbClr val="42719B"/>
                          </a:solidFill>
                          <a:prstDash val="solid"/>
                          <a:miter lim="800000"/>
                          <a:headEnd type="none" w="sm" len="sm"/>
                          <a:tailEnd type="none" w="sm" len="sm"/>
                        </a:ln>
                      </wps:spPr>
                      <wps:txbx>
                        <w:txbxContent>
                          <w:p w14:paraId="04450E5D" w14:textId="77777777" w:rsidR="00AC7CFD" w:rsidRDefault="00AC7C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87035" cy="1609931"/>
                <wp:effectExtent b="0" l="0" r="0" t="0"/>
                <wp:wrapNone/>
                <wp:docPr id="145"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5487035" cy="1609931"/>
                        </a:xfrm>
                        <a:prstGeom prst="rect"/>
                        <a:ln/>
                      </pic:spPr>
                    </pic:pic>
                  </a:graphicData>
                </a:graphic>
              </wp:anchor>
            </w:drawing>
          </mc:Fallback>
        </mc:AlternateContent>
      </w:r>
    </w:p>
    <w:p w14:paraId="5360D5A5"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noProof/>
        </w:rPr>
        <w:lastRenderedPageBreak/>
        <w:drawing>
          <wp:inline distT="0" distB="0" distL="0" distR="0" wp14:anchorId="43B5962A" wp14:editId="284EAD10">
            <wp:extent cx="5570399" cy="321461"/>
            <wp:effectExtent l="0" t="0" r="0" b="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25662" t="70029" r="4696" b="19735"/>
                    <a:stretch>
                      <a:fillRect/>
                    </a:stretch>
                  </pic:blipFill>
                  <pic:spPr>
                    <a:xfrm>
                      <a:off x="0" y="0"/>
                      <a:ext cx="5570399" cy="321461"/>
                    </a:xfrm>
                    <a:prstGeom prst="rect">
                      <a:avLst/>
                    </a:prstGeom>
                    <a:ln/>
                  </pic:spPr>
                </pic:pic>
              </a:graphicData>
            </a:graphic>
          </wp:inline>
        </w:drawing>
      </w:r>
    </w:p>
    <w:p w14:paraId="44F0FF32"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observancia a las imágenes anteriores, se acredita que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debió generar la información relativa a la conciliación de nómina; de manera mensual y remitirla al Órgano Superior de Fiscalización del Estado de México, para su respectiva revisión y fiscalización.</w:t>
      </w:r>
    </w:p>
    <w:p w14:paraId="6C7AFC59" w14:textId="77777777" w:rsidR="00AC7CFD" w:rsidRPr="001172CE" w:rsidRDefault="0028542B">
      <w:pPr>
        <w:spacing w:line="360" w:lineRule="auto"/>
        <w:ind w:right="51"/>
        <w:jc w:val="both"/>
        <w:rPr>
          <w:rFonts w:ascii="Palatino Linotype" w:eastAsia="Palatino Linotype" w:hAnsi="Palatino Linotype" w:cs="Palatino Linotype"/>
          <w:sz w:val="24"/>
          <w:szCs w:val="24"/>
        </w:rPr>
      </w:pPr>
      <w:bookmarkStart w:id="1" w:name="_heading=h.30j0zll" w:colFirst="0" w:colLast="0"/>
      <w:bookmarkEnd w:id="1"/>
      <w:r w:rsidRPr="001172CE">
        <w:rPr>
          <w:rFonts w:ascii="Palatino Linotype" w:eastAsia="Palatino Linotype" w:hAnsi="Palatino Linotype" w:cs="Palatino Linotype"/>
          <w:sz w:val="24"/>
          <w:szCs w:val="24"/>
        </w:rPr>
        <w:t xml:space="preserve">En resumen, la conciliación de nómina de manera enunciativa mas no limitada, es el documento que contiene el nombre, percepciones ordinarias y extraordinarias, bonificaciones, gratificaciones, de todos los trabajadores de la administración pública del municipio de Jocotitlán, incluyendo a los Asesores, Presidente Municipal, Síndico y Regidores del Ayuntamiento en mención, y que es información que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debió haber</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su entrega salvaguardando los datos personales que contenga, de conformidad con el considerando quinto del presente fallo. </w:t>
      </w:r>
    </w:p>
    <w:p w14:paraId="452FE4B5"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w:t>
      </w:r>
      <w:r w:rsidRPr="001172CE">
        <w:rPr>
          <w:rFonts w:ascii="Palatino Linotype" w:eastAsia="Palatino Linotype" w:hAnsi="Palatino Linotype" w:cs="Palatino Linotype"/>
          <w:sz w:val="24"/>
          <w:szCs w:val="24"/>
        </w:rPr>
        <w:lastRenderedPageBreak/>
        <w:t>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5965CFB1" w14:textId="77777777" w:rsidR="00AC7CFD" w:rsidRPr="001172CE" w:rsidRDefault="0028542B">
      <w:pPr>
        <w:spacing w:before="160" w:after="0"/>
        <w:ind w:left="851" w:right="851"/>
        <w:jc w:val="both"/>
        <w:rPr>
          <w:rFonts w:ascii="Palatino Linotype" w:eastAsia="Palatino Linotype" w:hAnsi="Palatino Linotype" w:cs="Palatino Linotype"/>
          <w:i/>
          <w:u w:val="single"/>
        </w:rPr>
      </w:pPr>
      <w:r w:rsidRPr="001172CE">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1172CE">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1172CE">
        <w:rPr>
          <w:rFonts w:ascii="Palatino Linotype" w:eastAsia="Palatino Linotype" w:hAnsi="Palatino Linotype" w:cs="Palatino Linotype"/>
          <w:b/>
          <w:i/>
          <w:u w:val="single"/>
        </w:rPr>
        <w:t>que reciba y ejerza recursos públicos</w:t>
      </w:r>
      <w:r w:rsidRPr="001172CE">
        <w:rPr>
          <w:rFonts w:ascii="Palatino Linotype" w:eastAsia="Palatino Linotype" w:hAnsi="Palatino Linotype" w:cs="Palatino Linotype"/>
          <w:i/>
        </w:rPr>
        <w:t xml:space="preserve"> o realice actos de autoridad </w:t>
      </w:r>
      <w:r w:rsidRPr="001172CE">
        <w:rPr>
          <w:rFonts w:ascii="Palatino Linotype" w:eastAsia="Palatino Linotype" w:hAnsi="Palatino Linotype" w:cs="Palatino Linotype"/>
          <w:b/>
          <w:i/>
          <w:u w:val="single"/>
        </w:rPr>
        <w:t>en el ámbito de competencia del Estado de México y sus municipios</w:t>
      </w:r>
      <w:r w:rsidRPr="001172CE">
        <w:rPr>
          <w:rFonts w:ascii="Palatino Linotype" w:eastAsia="Palatino Linotype" w:hAnsi="Palatino Linotype" w:cs="Palatino Linotype"/>
          <w:i/>
          <w:u w:val="single"/>
        </w:rPr>
        <w:t>.</w:t>
      </w:r>
    </w:p>
    <w:p w14:paraId="31DD8E45"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BA7C629"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0E69C540" w14:textId="77777777" w:rsidR="00AC7CFD" w:rsidRPr="001172CE" w:rsidRDefault="0028542B">
      <w:pPr>
        <w:spacing w:after="0"/>
        <w:ind w:left="851" w:right="851"/>
        <w:jc w:val="both"/>
        <w:rPr>
          <w:rFonts w:ascii="Palatino Linotype" w:eastAsia="Palatino Linotype" w:hAnsi="Palatino Linotype" w:cs="Palatino Linotype"/>
          <w:b/>
          <w:i/>
          <w:u w:val="single"/>
        </w:rPr>
      </w:pPr>
      <w:r w:rsidRPr="001172CE">
        <w:rPr>
          <w:rFonts w:ascii="Palatino Linotype" w:eastAsia="Palatino Linotype" w:hAnsi="Palatino Linotype" w:cs="Palatino Linotype"/>
          <w:b/>
          <w:i/>
          <w:u w:val="single"/>
        </w:rPr>
        <w:t>IV. Los ayuntamientos y las dependencias, organismos, órganos y entidades de la administración municipal;</w:t>
      </w:r>
    </w:p>
    <w:p w14:paraId="0AC0DE21"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24163C1B" w14:textId="77777777" w:rsidR="00AC7CFD" w:rsidRPr="001172CE" w:rsidRDefault="0028542B">
      <w:pPr>
        <w:spacing w:after="0"/>
        <w:ind w:left="851" w:right="851"/>
        <w:jc w:val="both"/>
        <w:rPr>
          <w:rFonts w:ascii="Palatino Linotype" w:eastAsia="Palatino Linotype" w:hAnsi="Palatino Linotype" w:cs="Palatino Linotype"/>
          <w:b/>
          <w:i/>
          <w:u w:val="single"/>
        </w:rPr>
      </w:pPr>
      <w:r w:rsidRPr="001172CE">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40CA06B" w14:textId="77777777" w:rsidR="00AC7CFD" w:rsidRPr="001172CE" w:rsidRDefault="0028542B">
      <w:pPr>
        <w:spacing w:after="0"/>
        <w:ind w:left="851" w:right="851"/>
        <w:jc w:val="both"/>
        <w:rPr>
          <w:rFonts w:ascii="Palatino Linotype" w:eastAsia="Palatino Linotype" w:hAnsi="Palatino Linotype" w:cs="Palatino Linotype"/>
          <w:b/>
          <w:i/>
        </w:rPr>
      </w:pPr>
      <w:r w:rsidRPr="001172CE">
        <w:rPr>
          <w:rFonts w:ascii="Palatino Linotype" w:eastAsia="Palatino Linotype" w:hAnsi="Palatino Linotype" w:cs="Palatino Linotype"/>
          <w:i/>
        </w:rPr>
        <w:t xml:space="preserve">Los servidores públicos deberán transparentar sus </w:t>
      </w:r>
      <w:proofErr w:type="gramStart"/>
      <w:r w:rsidRPr="001172CE">
        <w:rPr>
          <w:rFonts w:ascii="Palatino Linotype" w:eastAsia="Palatino Linotype" w:hAnsi="Palatino Linotype" w:cs="Palatino Linotype"/>
          <w:i/>
        </w:rPr>
        <w:t>acciones</w:t>
      </w:r>
      <w:proofErr w:type="gramEnd"/>
      <w:r w:rsidRPr="001172CE">
        <w:rPr>
          <w:rFonts w:ascii="Palatino Linotype" w:eastAsia="Palatino Linotype" w:hAnsi="Palatino Linotype" w:cs="Palatino Linotype"/>
          <w:i/>
        </w:rPr>
        <w:t xml:space="preserve"> así como garantizar y respetar el derecho de acceso a la información pública.”</w:t>
      </w:r>
      <w:r w:rsidRPr="001172CE">
        <w:rPr>
          <w:rFonts w:ascii="Palatino Linotype" w:eastAsia="Palatino Linotype" w:hAnsi="Palatino Linotype" w:cs="Palatino Linotype"/>
          <w:b/>
          <w:i/>
        </w:rPr>
        <w:t xml:space="preserve"> [Sic]</w:t>
      </w:r>
    </w:p>
    <w:p w14:paraId="7372DCB8" w14:textId="77777777" w:rsidR="00AC7CFD" w:rsidRPr="001172CE" w:rsidRDefault="00AC7CFD">
      <w:pPr>
        <w:spacing w:line="360" w:lineRule="auto"/>
        <w:jc w:val="both"/>
        <w:rPr>
          <w:rFonts w:ascii="Palatino Linotype" w:eastAsia="Palatino Linotype" w:hAnsi="Palatino Linotype" w:cs="Palatino Linotype"/>
          <w:sz w:val="24"/>
          <w:szCs w:val="24"/>
        </w:rPr>
      </w:pPr>
    </w:p>
    <w:p w14:paraId="188A735C"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1172CE">
        <w:rPr>
          <w:rFonts w:ascii="Palatino Linotype" w:eastAsia="Palatino Linotype" w:hAnsi="Palatino Linotype" w:cs="Palatino Linotype"/>
          <w:b/>
          <w:sz w:val="24"/>
          <w:szCs w:val="24"/>
        </w:rPr>
        <w:t>01/2003</w:t>
      </w:r>
      <w:r w:rsidRPr="001172CE">
        <w:rPr>
          <w:rFonts w:ascii="Palatino Linotype" w:eastAsia="Palatino Linotype" w:hAnsi="Palatino Linotype" w:cs="Palatino Linotype"/>
          <w:sz w:val="24"/>
          <w:szCs w:val="24"/>
        </w:rPr>
        <w:t xml:space="preserve"> y </w:t>
      </w:r>
      <w:r w:rsidRPr="001172CE">
        <w:rPr>
          <w:rFonts w:ascii="Palatino Linotype" w:eastAsia="Palatino Linotype" w:hAnsi="Palatino Linotype" w:cs="Palatino Linotype"/>
          <w:b/>
          <w:sz w:val="24"/>
          <w:szCs w:val="24"/>
        </w:rPr>
        <w:t>02/2003</w:t>
      </w:r>
      <w:r w:rsidRPr="001172CE">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12785549" w14:textId="77777777" w:rsidR="00AC7CFD" w:rsidRPr="001172CE" w:rsidRDefault="0028542B">
      <w:pPr>
        <w:spacing w:before="160" w:after="0"/>
        <w:ind w:left="851" w:right="851"/>
        <w:rPr>
          <w:rFonts w:ascii="Palatino Linotype" w:eastAsia="Palatino Linotype" w:hAnsi="Palatino Linotype" w:cs="Palatino Linotype"/>
          <w:b/>
          <w:i/>
        </w:rPr>
      </w:pPr>
      <w:r w:rsidRPr="001172CE">
        <w:rPr>
          <w:rFonts w:ascii="Palatino Linotype" w:eastAsia="Palatino Linotype" w:hAnsi="Palatino Linotype" w:cs="Palatino Linotype"/>
          <w:b/>
          <w:i/>
        </w:rPr>
        <w:lastRenderedPageBreak/>
        <w:t>“Criterio 01/2003.</w:t>
      </w:r>
    </w:p>
    <w:p w14:paraId="2D6C8239"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1172CE">
        <w:rPr>
          <w:rFonts w:ascii="Palatino Linotype" w:eastAsia="Palatino Linotype" w:hAnsi="Palatino Linotype" w:cs="Palatino Linotype"/>
          <w:i/>
        </w:rPr>
        <w:t xml:space="preserve"> </w:t>
      </w:r>
    </w:p>
    <w:p w14:paraId="36CCA118" w14:textId="77777777" w:rsidR="00AC7CFD" w:rsidRPr="001172CE" w:rsidRDefault="0028542B">
      <w:pPr>
        <w:spacing w:after="0"/>
        <w:ind w:left="851" w:right="851"/>
        <w:jc w:val="both"/>
        <w:rPr>
          <w:rFonts w:ascii="Palatino Linotype" w:eastAsia="Palatino Linotype" w:hAnsi="Palatino Linotype" w:cs="Palatino Linotype"/>
          <w:i/>
          <w:u w:val="single"/>
        </w:rPr>
      </w:pPr>
      <w:r w:rsidRPr="001172CE">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172CE">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172CE">
        <w:rPr>
          <w:rFonts w:ascii="Palatino Linotype" w:eastAsia="Palatino Linotype" w:hAnsi="Palatino Linotype" w:cs="Palatino Linotype"/>
          <w:i/>
          <w:u w:val="single"/>
        </w:rPr>
        <w:t>…”</w:t>
      </w:r>
    </w:p>
    <w:p w14:paraId="634CEE22" w14:textId="77777777" w:rsidR="00AC7CFD" w:rsidRPr="001172CE" w:rsidRDefault="00AC7CFD">
      <w:pPr>
        <w:spacing w:after="0"/>
        <w:ind w:left="851" w:right="851"/>
        <w:jc w:val="both"/>
        <w:rPr>
          <w:rFonts w:ascii="Palatino Linotype" w:eastAsia="Palatino Linotype" w:hAnsi="Palatino Linotype" w:cs="Palatino Linotype"/>
          <w:i/>
        </w:rPr>
      </w:pPr>
    </w:p>
    <w:p w14:paraId="19587515" w14:textId="77777777" w:rsidR="00AC7CFD" w:rsidRPr="001172CE" w:rsidRDefault="0028542B">
      <w:pPr>
        <w:spacing w:after="0"/>
        <w:ind w:left="851" w:right="851"/>
        <w:rPr>
          <w:rFonts w:ascii="Palatino Linotype" w:eastAsia="Palatino Linotype" w:hAnsi="Palatino Linotype" w:cs="Palatino Linotype"/>
          <w:b/>
          <w:i/>
        </w:rPr>
      </w:pPr>
      <w:r w:rsidRPr="001172CE">
        <w:rPr>
          <w:rFonts w:ascii="Palatino Linotype" w:eastAsia="Palatino Linotype" w:hAnsi="Palatino Linotype" w:cs="Palatino Linotype"/>
          <w:b/>
          <w:i/>
        </w:rPr>
        <w:t>“Criterio 02/2003.</w:t>
      </w:r>
    </w:p>
    <w:p w14:paraId="71905B3A"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1172CE">
        <w:rPr>
          <w:rFonts w:ascii="Palatino Linotype" w:eastAsia="Palatino Linotype" w:hAnsi="Palatino Linotype" w:cs="Palatino Linotype"/>
          <w:i/>
        </w:rPr>
        <w:t xml:space="preserve"> </w:t>
      </w:r>
    </w:p>
    <w:p w14:paraId="4A08AD8A" w14:textId="77777777" w:rsidR="00AC7CFD" w:rsidRPr="001172CE" w:rsidRDefault="0028542B">
      <w:pPr>
        <w:spacing w:after="0"/>
        <w:ind w:left="851" w:right="851"/>
        <w:jc w:val="both"/>
        <w:rPr>
          <w:rFonts w:ascii="Palatino Linotype" w:eastAsia="Palatino Linotype" w:hAnsi="Palatino Linotype" w:cs="Palatino Linotype"/>
          <w:b/>
          <w:i/>
        </w:rPr>
      </w:pPr>
      <w:r w:rsidRPr="001172CE">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172CE">
        <w:rPr>
          <w:rFonts w:ascii="Palatino Linotype" w:eastAsia="Palatino Linotype" w:hAnsi="Palatino Linotype" w:cs="Palatino Linotype"/>
          <w:b/>
          <w:i/>
          <w:u w:val="single"/>
        </w:rPr>
        <w:t xml:space="preserve">lo que deriva del hecho de que en términos de los previsto en el citado ordenamiento deben ponerse a disposición del público a través de medios remotos o locales de comunicación electrónica, tanto el directorio de servidores públicos como </w:t>
      </w:r>
      <w:r w:rsidRPr="001172CE">
        <w:rPr>
          <w:rFonts w:ascii="Palatino Linotype" w:eastAsia="Palatino Linotype" w:hAnsi="Palatino Linotype" w:cs="Palatino Linotype"/>
          <w:b/>
          <w:i/>
          <w:u w:val="single"/>
        </w:rPr>
        <w:lastRenderedPageBreak/>
        <w:t>las remuneraciones mensuales por puesto incluso</w:t>
      </w:r>
      <w:r w:rsidRPr="001172CE">
        <w:rPr>
          <w:rFonts w:ascii="Palatino Linotype" w:eastAsia="Palatino Linotype" w:hAnsi="Palatino Linotype" w:cs="Palatino Linotype"/>
          <w:i/>
        </w:rPr>
        <w:t xml:space="preserve"> el sistema de compensación…” </w:t>
      </w:r>
      <w:r w:rsidRPr="001172CE">
        <w:rPr>
          <w:rFonts w:ascii="Palatino Linotype" w:eastAsia="Palatino Linotype" w:hAnsi="Palatino Linotype" w:cs="Palatino Linotype"/>
          <w:b/>
          <w:i/>
        </w:rPr>
        <w:t>[Sic]</w:t>
      </w:r>
    </w:p>
    <w:p w14:paraId="49F66F82" w14:textId="77777777" w:rsidR="00AC7CFD" w:rsidRPr="001172CE" w:rsidRDefault="0028542B">
      <w:pPr>
        <w:spacing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Lo que se robustece, con la obligación de transparencia común que le es atribuible al </w:t>
      </w:r>
      <w:r w:rsidRPr="001172CE">
        <w:rPr>
          <w:rFonts w:ascii="Palatino Linotype" w:eastAsia="Palatino Linotype" w:hAnsi="Palatino Linotype" w:cs="Palatino Linotype"/>
          <w:b/>
          <w:sz w:val="24"/>
          <w:szCs w:val="24"/>
        </w:rPr>
        <w:t xml:space="preserve">SUJETO OBLIGADO, </w:t>
      </w:r>
      <w:r w:rsidRPr="001172CE">
        <w:rPr>
          <w:rFonts w:ascii="Palatino Linotype" w:eastAsia="Palatino Linotype" w:hAnsi="Palatino Linotype" w:cs="Palatino Linotype"/>
          <w:sz w:val="24"/>
          <w:szCs w:val="24"/>
        </w:rPr>
        <w:t>señalada</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 xml:space="preserve"> en el artículo 92, fracción VIII, de la Ley de Transparencia y Acceso a la Información Pública del Estado de México y Municipios, en donde indica que éste debe contar con el o los documentos en donde conste la remuneración de todos sus servidores públicos, los cuales pueden contener las percepciones, incluyendo sueldos, prestaciones, gratificaciones, primas, comisiones, dietas, bonos, estímulos, ingresos y sistemas de compensación, artículo y fracción que para mayor referencia se cita a continuación:</w:t>
      </w:r>
    </w:p>
    <w:p w14:paraId="0E20A90B" w14:textId="77777777" w:rsidR="00AC7CFD" w:rsidRPr="001172CE" w:rsidRDefault="00AC7CFD">
      <w:pPr>
        <w:spacing w:before="160" w:after="0"/>
        <w:ind w:left="851" w:right="851"/>
        <w:jc w:val="both"/>
        <w:rPr>
          <w:rFonts w:ascii="Palatino Linotype" w:eastAsia="Palatino Linotype" w:hAnsi="Palatino Linotype" w:cs="Palatino Linotype"/>
          <w:i/>
        </w:rPr>
      </w:pPr>
    </w:p>
    <w:p w14:paraId="1601C42B"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92.</w:t>
      </w:r>
      <w:r w:rsidRPr="001172CE">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CF6FCC" w14:textId="77777777" w:rsidR="00AC7CFD" w:rsidRPr="001172CE" w:rsidRDefault="0028542B">
      <w:pPr>
        <w:spacing w:after="0"/>
        <w:ind w:left="851" w:right="851"/>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1D00DE92" w14:textId="77777777" w:rsidR="00AC7CFD" w:rsidRPr="001172CE" w:rsidRDefault="0028542B">
      <w:pPr>
        <w:spacing w:after="0"/>
        <w:ind w:left="851" w:right="851"/>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VIII. </w:t>
      </w:r>
      <w:r w:rsidRPr="001172CE">
        <w:rPr>
          <w:rFonts w:ascii="Palatino Linotype" w:eastAsia="Palatino Linotype" w:hAnsi="Palatino Linotype" w:cs="Palatino Linotype"/>
          <w:b/>
          <w:i/>
          <w:u w:val="single"/>
        </w:rPr>
        <w:t>La remuneración bruta y neta de todos los servidores públicos</w:t>
      </w:r>
      <w:r w:rsidRPr="001172CE">
        <w:rPr>
          <w:rFonts w:ascii="Palatino Linotype" w:eastAsia="Palatino Linotype" w:hAnsi="Palatino Linotype" w:cs="Palatino Linotype"/>
          <w:b/>
          <w:i/>
        </w:rPr>
        <w:t xml:space="preserve"> de base o de confianza, de todas las percepciones, incluyendo sueldos, prestaciones, gratificaciones, primas, comisiones, dietas, bonos, estímulos, ingresos y sistemas de compensación, señalando la periodicidad de dicha remuneración… (Sic)</w:t>
      </w:r>
    </w:p>
    <w:p w14:paraId="45674B60" w14:textId="77777777" w:rsidR="00AC7CFD" w:rsidRPr="001172CE" w:rsidRDefault="00AC7CFD">
      <w:pPr>
        <w:shd w:val="clear" w:color="auto" w:fill="FFFFFF"/>
        <w:spacing w:after="0" w:line="360" w:lineRule="auto"/>
        <w:ind w:right="51"/>
        <w:jc w:val="both"/>
        <w:rPr>
          <w:rFonts w:ascii="Palatino Linotype" w:eastAsia="Palatino Linotype" w:hAnsi="Palatino Linotype" w:cs="Palatino Linotype"/>
          <w:b/>
          <w:i/>
        </w:rPr>
      </w:pPr>
    </w:p>
    <w:p w14:paraId="26C36E87" w14:textId="77777777" w:rsidR="00AC7CFD" w:rsidRPr="001172CE" w:rsidRDefault="00AC7CFD">
      <w:pPr>
        <w:shd w:val="clear" w:color="auto" w:fill="FFFFFF"/>
        <w:spacing w:after="0" w:line="360" w:lineRule="auto"/>
        <w:ind w:right="51"/>
        <w:jc w:val="both"/>
        <w:rPr>
          <w:rFonts w:ascii="Palatino Linotype" w:eastAsia="Palatino Linotype" w:hAnsi="Palatino Linotype" w:cs="Palatino Linotype"/>
          <w:b/>
        </w:rPr>
      </w:pPr>
    </w:p>
    <w:p w14:paraId="327403EA"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QUINTO. Versión Pública. </w:t>
      </w:r>
      <w:r w:rsidRPr="001172CE">
        <w:rPr>
          <w:rFonts w:ascii="Palatino Linotype" w:eastAsia="Palatino Linotype" w:hAnsi="Palatino Linotype" w:cs="Palatino Linotype"/>
          <w:sz w:val="24"/>
          <w:szCs w:val="24"/>
        </w:rPr>
        <w:t xml:space="preserve">Cómo fue debidamente apuntado, el Sujeto Obligado debe satisfacer la solicitud de acceso a la información; sin embargo, en caso de que la misma </w:t>
      </w:r>
      <w:proofErr w:type="gramStart"/>
      <w:r w:rsidRPr="001172CE">
        <w:rPr>
          <w:rFonts w:ascii="Palatino Linotype" w:eastAsia="Palatino Linotype" w:hAnsi="Palatino Linotype" w:cs="Palatino Linotype"/>
          <w:sz w:val="24"/>
          <w:szCs w:val="24"/>
        </w:rPr>
        <w:t>contenga  datos</w:t>
      </w:r>
      <w:proofErr w:type="gramEnd"/>
      <w:r w:rsidRPr="001172CE">
        <w:rPr>
          <w:rFonts w:ascii="Palatino Linotype" w:eastAsia="Palatino Linotype" w:hAnsi="Palatino Linotype" w:cs="Palatino Linotype"/>
          <w:sz w:val="24"/>
          <w:szCs w:val="24"/>
        </w:rPr>
        <w:t xml:space="preserve"> personales, deberá clasificarlos, observando las formalidades siguientes:</w:t>
      </w:r>
    </w:p>
    <w:p w14:paraId="27C6FDCD" w14:textId="77777777" w:rsidR="00AC7CFD" w:rsidRPr="001172CE" w:rsidRDefault="0028542B">
      <w:pPr>
        <w:shd w:val="clear" w:color="auto" w:fill="FFFFFF"/>
        <w:spacing w:before="240" w:after="240" w:line="360" w:lineRule="auto"/>
        <w:ind w:right="40"/>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8037A7D" w14:textId="77777777" w:rsidR="00AC7CFD" w:rsidRPr="001172CE" w:rsidRDefault="0028542B">
      <w:pPr>
        <w:shd w:val="clear" w:color="auto" w:fill="FFFFFF"/>
        <w:spacing w:before="240" w:after="240" w:line="360" w:lineRule="auto"/>
        <w:ind w:right="60"/>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87EDF28" w14:textId="77777777" w:rsidR="00AC7CFD" w:rsidRPr="001172CE" w:rsidRDefault="0028542B">
      <w:pPr>
        <w:shd w:val="clear" w:color="auto" w:fill="FFFFFF"/>
        <w:spacing w:before="240" w:after="240" w:line="360" w:lineRule="auto"/>
        <w:ind w:right="60"/>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Al respecto, los artículos 3 fracciones IX, XX, XXI, XXXII y XLV; 6, 49 fracción VIII, 91, 137, 143 Fracción I, de la Ley de Transparencia y Acceso a la Información Pública del Estado de México y Municipios vigente establecen:</w:t>
      </w:r>
    </w:p>
    <w:p w14:paraId="1643E1E4"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 “Artículo 3. Para los efectos de la presente Ley se entenderá por:</w:t>
      </w:r>
    </w:p>
    <w:p w14:paraId="453DB1EF"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6ADFE9F3"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IX. Datos personales:</w:t>
      </w:r>
      <w:r w:rsidRPr="001172C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w:t>
      </w:r>
    </w:p>
    <w:p w14:paraId="2B1EFE19"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5F06D16F"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XX. Información clasificada:</w:t>
      </w:r>
      <w:r w:rsidRPr="001172CE">
        <w:rPr>
          <w:rFonts w:ascii="Palatino Linotype" w:eastAsia="Palatino Linotype" w:hAnsi="Palatino Linotype" w:cs="Palatino Linotype"/>
          <w:i/>
        </w:rPr>
        <w:t xml:space="preserve"> Aquella considerada por la presente Ley como reservada o confidencial;</w:t>
      </w:r>
    </w:p>
    <w:p w14:paraId="239D6CB0"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XXI. Información confidencial:</w:t>
      </w:r>
      <w:r w:rsidRPr="001172CE">
        <w:rPr>
          <w:rFonts w:ascii="Palatino Linotype" w:eastAsia="Palatino Linotype" w:hAnsi="Palatino Linotype" w:cs="Palatino Linotype"/>
          <w:i/>
        </w:rPr>
        <w:t xml:space="preserve"> Se considera como información confidencial los secretos bancario, fiduciario, industrial, comercial, fiscal, bursátil y postal, </w:t>
      </w:r>
      <w:r w:rsidRPr="001172CE">
        <w:rPr>
          <w:rFonts w:ascii="Palatino Linotype" w:eastAsia="Palatino Linotype" w:hAnsi="Palatino Linotype" w:cs="Palatino Linotype"/>
          <w:i/>
        </w:rPr>
        <w:lastRenderedPageBreak/>
        <w:t>cuya titularidad corresponda a particulares, sujetos de derecho internacional o a sujetos obligados cuando no involucren el ejercicio de recursos públicos;</w:t>
      </w:r>
    </w:p>
    <w:p w14:paraId="695F5BD9"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0A5391B7"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XXXII. Protección de Datos Personales:</w:t>
      </w:r>
      <w:r w:rsidRPr="001172CE">
        <w:rPr>
          <w:rFonts w:ascii="Palatino Linotype" w:eastAsia="Palatino Linotype" w:hAnsi="Palatino Linotype" w:cs="Palatino Linotype"/>
          <w:i/>
        </w:rPr>
        <w:t xml:space="preserve"> Derecho humano que tutela la privacidad de datos personales en poder de los sujetos obligados y sujetos particulares;</w:t>
      </w:r>
    </w:p>
    <w:p w14:paraId="4309D2F3"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6AEE9A54"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XLV. Versión pública</w:t>
      </w:r>
      <w:r w:rsidRPr="001172CE">
        <w:rPr>
          <w:rFonts w:ascii="Palatino Linotype" w:eastAsia="Palatino Linotype" w:hAnsi="Palatino Linotype" w:cs="Palatino Linotype"/>
          <w:i/>
        </w:rPr>
        <w:t>: Documento en el que se elimine, suprime o borra la información clasificada como reservada o confidencial para permitir su acceso.</w:t>
      </w:r>
    </w:p>
    <w:p w14:paraId="5EA3717D"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 xml:space="preserve"> Artículo 6.</w:t>
      </w:r>
      <w:r w:rsidRPr="001172CE">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F45B4AF"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Artículo 49.</w:t>
      </w:r>
      <w:r w:rsidRPr="001172CE">
        <w:rPr>
          <w:rFonts w:ascii="Palatino Linotype" w:eastAsia="Palatino Linotype" w:hAnsi="Palatino Linotype" w:cs="Palatino Linotype"/>
          <w:i/>
        </w:rPr>
        <w:t xml:space="preserve"> Los Comités de Transparencia tendrán las siguientes atribuciones:</w:t>
      </w:r>
    </w:p>
    <w:p w14:paraId="7031631B"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31B3F23A"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VIII</w:t>
      </w:r>
      <w:r w:rsidRPr="001172CE">
        <w:rPr>
          <w:rFonts w:ascii="Palatino Linotype" w:eastAsia="Palatino Linotype" w:hAnsi="Palatino Linotype" w:cs="Palatino Linotype"/>
          <w:i/>
        </w:rPr>
        <w:t>. Aprobar, modificar o revocar la clasificación de la información;</w:t>
      </w:r>
    </w:p>
    <w:p w14:paraId="5F6078CE"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13075998"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 xml:space="preserve">Artículo 91. </w:t>
      </w:r>
      <w:r w:rsidRPr="001172CE">
        <w:rPr>
          <w:rFonts w:ascii="Palatino Linotype" w:eastAsia="Palatino Linotype" w:hAnsi="Palatino Linotype" w:cs="Palatino Linotype"/>
          <w:i/>
        </w:rPr>
        <w:t>El acceso a la información pública será restringido excepcionalmente, cuando ésta sea clasificada como reservada o confidencial.</w:t>
      </w:r>
    </w:p>
    <w:p w14:paraId="1C04DF22"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01F0D6B3"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137</w:t>
      </w:r>
      <w:r w:rsidRPr="001172CE">
        <w:rPr>
          <w:rFonts w:ascii="Palatino Linotype" w:eastAsia="Palatino Linotype" w:hAnsi="Palatino Linotype" w:cs="Palatino Linotype"/>
          <w:i/>
        </w:rPr>
        <w:t xml:space="preserve">. Cuando un mismo medio, impreso o electrónico, contenga información pública y reservada o confidencial, la Unidad de Transparencia para </w:t>
      </w:r>
      <w:r w:rsidRPr="001172CE">
        <w:rPr>
          <w:rFonts w:ascii="Palatino Linotype" w:eastAsia="Palatino Linotype" w:hAnsi="Palatino Linotype" w:cs="Palatino Linotype"/>
          <w:i/>
        </w:rPr>
        <w:lastRenderedPageBreak/>
        <w:t>efectos de atender una solicitud de información, deberán elaborar una versión pública en la que se testen las partes o secciones clasificadas, indicando su contenido de manera genérica y fundando y motivando su clasificación.</w:t>
      </w:r>
    </w:p>
    <w:p w14:paraId="0F693F1D"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 </w:t>
      </w:r>
    </w:p>
    <w:p w14:paraId="53A6E3D9"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143</w:t>
      </w:r>
      <w:r w:rsidRPr="001172C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47FE209"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790F43D0"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 </w:t>
      </w:r>
    </w:p>
    <w:p w14:paraId="59A98CE1" w14:textId="77777777" w:rsidR="00AC7CFD" w:rsidRPr="001172CE" w:rsidRDefault="0028542B">
      <w:pPr>
        <w:shd w:val="clear" w:color="auto" w:fill="FFFFFF"/>
        <w:spacing w:before="240" w:after="240" w:line="360" w:lineRule="auto"/>
        <w:ind w:right="40"/>
        <w:jc w:val="both"/>
        <w:rPr>
          <w:rFonts w:ascii="Palatino Linotype" w:eastAsia="Palatino Linotype" w:hAnsi="Palatino Linotype" w:cs="Palatino Linotype"/>
        </w:rPr>
      </w:pPr>
      <w:r w:rsidRPr="001172CE">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88E7991" w14:textId="77777777" w:rsidR="00AC7CFD" w:rsidRPr="001172CE" w:rsidRDefault="0028542B">
      <w:pPr>
        <w:shd w:val="clear" w:color="auto" w:fill="FFFFFF"/>
        <w:spacing w:before="240" w:after="240" w:line="360" w:lineRule="auto"/>
        <w:ind w:right="40"/>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intransferibles e indelegables </w:t>
      </w:r>
      <w:r w:rsidRPr="001172CE">
        <w:rPr>
          <w:rFonts w:ascii="Palatino Linotype" w:eastAsia="Palatino Linotype" w:hAnsi="Palatino Linotype" w:cs="Palatino Linotype"/>
        </w:rPr>
        <w:lastRenderedPageBreak/>
        <w:t>y los Sujetos Obligados no deberán hacer entrega de los mismos a personas ajenas a su titular.</w:t>
      </w:r>
    </w:p>
    <w:p w14:paraId="6CDA83BE" w14:textId="77777777" w:rsidR="00AC7CFD" w:rsidRPr="001172CE" w:rsidRDefault="0028542B">
      <w:pPr>
        <w:shd w:val="clear" w:color="auto" w:fill="FFFFFF"/>
        <w:spacing w:before="240" w:after="240" w:line="360" w:lineRule="auto"/>
        <w:ind w:right="40"/>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simple decisión que tome el Servidor Público Habilitado o el </w:t>
      </w:r>
      <w:proofErr w:type="gramStart"/>
      <w:r w:rsidRPr="001172CE">
        <w:rPr>
          <w:rFonts w:ascii="Palatino Linotype" w:eastAsia="Palatino Linotype" w:hAnsi="Palatino Linotype" w:cs="Palatino Linotype"/>
        </w:rPr>
        <w:t>Responsable</w:t>
      </w:r>
      <w:proofErr w:type="gramEnd"/>
      <w:r w:rsidRPr="001172CE">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5FD0896"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49.</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Los Comités de Transparencia</w:t>
      </w:r>
      <w:r w:rsidRPr="001172CE">
        <w:rPr>
          <w:rFonts w:ascii="Palatino Linotype" w:eastAsia="Palatino Linotype" w:hAnsi="Palatino Linotype" w:cs="Palatino Linotype"/>
          <w:i/>
        </w:rPr>
        <w:t xml:space="preserve"> tendrán las siguientes atribuciones:</w:t>
      </w:r>
    </w:p>
    <w:p w14:paraId="273F2003"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3BBBCB70"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VIII. Aprobar, modificar o revocar la clasificación de la información</w:t>
      </w:r>
      <w:r w:rsidRPr="001172CE">
        <w:rPr>
          <w:rFonts w:ascii="Palatino Linotype" w:eastAsia="Palatino Linotype" w:hAnsi="Palatino Linotype" w:cs="Palatino Linotype"/>
          <w:i/>
        </w:rPr>
        <w:t>…”</w:t>
      </w:r>
    </w:p>
    <w:p w14:paraId="2E7851F1"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 </w:t>
      </w:r>
    </w:p>
    <w:p w14:paraId="58EC649D"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53.</w:t>
      </w:r>
      <w:r w:rsidRPr="001172CE">
        <w:rPr>
          <w:rFonts w:ascii="Palatino Linotype" w:eastAsia="Palatino Linotype" w:hAnsi="Palatino Linotype" w:cs="Palatino Linotype"/>
          <w:i/>
        </w:rPr>
        <w:t xml:space="preserve"> Las </w:t>
      </w:r>
      <w:r w:rsidRPr="001172CE">
        <w:rPr>
          <w:rFonts w:ascii="Palatino Linotype" w:eastAsia="Palatino Linotype" w:hAnsi="Palatino Linotype" w:cs="Palatino Linotype"/>
          <w:b/>
          <w:i/>
        </w:rPr>
        <w:t>Unidades de Transparencia</w:t>
      </w:r>
      <w:r w:rsidRPr="001172CE">
        <w:rPr>
          <w:rFonts w:ascii="Palatino Linotype" w:eastAsia="Palatino Linotype" w:hAnsi="Palatino Linotype" w:cs="Palatino Linotype"/>
          <w:i/>
        </w:rPr>
        <w:t xml:space="preserve"> tendrán las siguientes </w:t>
      </w:r>
      <w:r w:rsidRPr="001172CE">
        <w:rPr>
          <w:rFonts w:ascii="Palatino Linotype" w:eastAsia="Palatino Linotype" w:hAnsi="Palatino Linotype" w:cs="Palatino Linotype"/>
          <w:b/>
          <w:i/>
        </w:rPr>
        <w:t>funciones</w:t>
      </w:r>
      <w:r w:rsidRPr="001172CE">
        <w:rPr>
          <w:rFonts w:ascii="Palatino Linotype" w:eastAsia="Palatino Linotype" w:hAnsi="Palatino Linotype" w:cs="Palatino Linotype"/>
          <w:i/>
        </w:rPr>
        <w:t>:</w:t>
      </w:r>
    </w:p>
    <w:p w14:paraId="7FDCC19C"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52FC7110"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X. Presentar ante el Comité, el proyecto de clasificación de información</w:t>
      </w:r>
      <w:r w:rsidRPr="001172CE">
        <w:rPr>
          <w:rFonts w:ascii="Palatino Linotype" w:eastAsia="Palatino Linotype" w:hAnsi="Palatino Linotype" w:cs="Palatino Linotype"/>
          <w:i/>
        </w:rPr>
        <w:t>…”</w:t>
      </w:r>
    </w:p>
    <w:p w14:paraId="398A422A"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08190673"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59.</w:t>
      </w:r>
      <w:r w:rsidRPr="001172CE">
        <w:rPr>
          <w:rFonts w:ascii="Palatino Linotype" w:eastAsia="Palatino Linotype" w:hAnsi="Palatino Linotype" w:cs="Palatino Linotype"/>
          <w:i/>
        </w:rPr>
        <w:t xml:space="preserve"> Los </w:t>
      </w:r>
      <w:r w:rsidRPr="001172CE">
        <w:rPr>
          <w:rFonts w:ascii="Palatino Linotype" w:eastAsia="Palatino Linotype" w:hAnsi="Palatino Linotype" w:cs="Palatino Linotype"/>
          <w:b/>
          <w:i/>
        </w:rPr>
        <w:t>servidores públicos habilitados</w:t>
      </w:r>
      <w:r w:rsidRPr="001172CE">
        <w:rPr>
          <w:rFonts w:ascii="Palatino Linotype" w:eastAsia="Palatino Linotype" w:hAnsi="Palatino Linotype" w:cs="Palatino Linotype"/>
          <w:i/>
        </w:rPr>
        <w:t xml:space="preserve"> tendrán las </w:t>
      </w:r>
      <w:r w:rsidRPr="001172CE">
        <w:rPr>
          <w:rFonts w:ascii="Palatino Linotype" w:eastAsia="Palatino Linotype" w:hAnsi="Palatino Linotype" w:cs="Palatino Linotype"/>
          <w:b/>
          <w:i/>
        </w:rPr>
        <w:t>funciones</w:t>
      </w:r>
      <w:r w:rsidRPr="001172CE">
        <w:rPr>
          <w:rFonts w:ascii="Palatino Linotype" w:eastAsia="Palatino Linotype" w:hAnsi="Palatino Linotype" w:cs="Palatino Linotype"/>
          <w:i/>
        </w:rPr>
        <w:t xml:space="preserve"> siguientes:</w:t>
      </w:r>
    </w:p>
    <w:p w14:paraId="43191E4D"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 xml:space="preserve"> </w:t>
      </w:r>
    </w:p>
    <w:p w14:paraId="35AC567A"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b/>
          <w:i/>
        </w:rPr>
        <w:lastRenderedPageBreak/>
        <w:t>V. Integrar y presentar al responsable de la Unidad de Transparencia la propuesta de clasificación de información</w:t>
      </w:r>
      <w:r w:rsidRPr="001172CE">
        <w:rPr>
          <w:rFonts w:ascii="Palatino Linotype" w:eastAsia="Palatino Linotype" w:hAnsi="Palatino Linotype" w:cs="Palatino Linotype"/>
          <w:i/>
        </w:rPr>
        <w:t>, la cual tendrá los fundamentos y argumentos en que se basa dicha propuesta…”</w:t>
      </w:r>
    </w:p>
    <w:p w14:paraId="2F7E4C61" w14:textId="77777777" w:rsidR="00AC7CFD" w:rsidRPr="001172CE" w:rsidRDefault="0028542B">
      <w:pPr>
        <w:shd w:val="clear" w:color="auto" w:fill="FFFFFF"/>
        <w:spacing w:after="0" w:line="360" w:lineRule="auto"/>
        <w:ind w:left="860" w:right="8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1B44F8B6"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0061EEE"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14:paraId="45DD6EDF" w14:textId="77777777" w:rsidR="00AC7CFD" w:rsidRPr="001172CE" w:rsidRDefault="0028542B">
      <w:pPr>
        <w:shd w:val="clear" w:color="auto" w:fill="FFFFFF"/>
        <w:spacing w:before="240" w:after="240" w:line="360" w:lineRule="auto"/>
        <w:ind w:left="1000" w:right="104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149.</w:t>
      </w:r>
      <w:r w:rsidRPr="001172CE">
        <w:rPr>
          <w:rFonts w:ascii="Palatino Linotype" w:eastAsia="Palatino Linotype" w:hAnsi="Palatino Linotype" w:cs="Palatino Linotype"/>
          <w:i/>
        </w:rPr>
        <w:t xml:space="preserve"> El </w:t>
      </w:r>
      <w:r w:rsidRPr="001172CE">
        <w:rPr>
          <w:rFonts w:ascii="Palatino Linotype" w:eastAsia="Palatino Linotype" w:hAnsi="Palatino Linotype" w:cs="Palatino Linotype"/>
          <w:b/>
          <w:i/>
        </w:rPr>
        <w:t>acuerdo que clasifique la información como confidencial</w:t>
      </w:r>
      <w:r w:rsidRPr="001172C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5AF335C1" w14:textId="77777777" w:rsidR="00AC7CFD" w:rsidRPr="001172CE" w:rsidRDefault="0028542B">
      <w:pPr>
        <w:shd w:val="clear" w:color="auto" w:fill="FFFFFF"/>
        <w:spacing w:before="240" w:after="240" w:line="360" w:lineRule="auto"/>
        <w:ind w:right="40"/>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w:t>
      </w:r>
      <w:r w:rsidRPr="001172CE">
        <w:rPr>
          <w:rFonts w:ascii="Palatino Linotype" w:eastAsia="Palatino Linotype" w:hAnsi="Palatino Linotype" w:cs="Palatino Linotype"/>
          <w:sz w:val="24"/>
          <w:szCs w:val="24"/>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3F6217A9"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El artículo 143, fracción I, de la Ley de Transparencia y Acceso a la Información Pública del Estado de México y Municipios, establece que deberá omitirse, eliminarse o suprimirse la información </w:t>
      </w:r>
      <w:r w:rsidRPr="001172CE">
        <w:rPr>
          <w:rFonts w:ascii="Palatino Linotype" w:eastAsia="Palatino Linotype" w:hAnsi="Palatino Linotype" w:cs="Palatino Linotype"/>
          <w:b/>
          <w:sz w:val="24"/>
          <w:szCs w:val="24"/>
        </w:rPr>
        <w:t>confidencial</w:t>
      </w:r>
      <w:r w:rsidRPr="001172CE">
        <w:rPr>
          <w:rFonts w:ascii="Palatino Linotype" w:eastAsia="Palatino Linotype" w:hAnsi="Palatino Linotype" w:cs="Palatino Linotype"/>
          <w:sz w:val="24"/>
          <w:szCs w:val="24"/>
        </w:rPr>
        <w:t>.</w:t>
      </w:r>
    </w:p>
    <w:p w14:paraId="31329379"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C506411"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Así, respecto de los documentos que </w:t>
      </w:r>
      <w:r w:rsidRPr="001172CE">
        <w:rPr>
          <w:rFonts w:ascii="Palatino Linotype" w:eastAsia="Palatino Linotype" w:hAnsi="Palatino Linotype" w:cs="Palatino Linotype"/>
          <w:b/>
          <w:sz w:val="24"/>
          <w:szCs w:val="24"/>
        </w:rPr>
        <w:t xml:space="preserve">EL SUJETO OBLIGADO </w:t>
      </w:r>
      <w:r w:rsidRPr="001172CE">
        <w:rPr>
          <w:rFonts w:ascii="Palatino Linotype" w:eastAsia="Palatino Linotype" w:hAnsi="Palatino Linotype" w:cs="Palatino Linotype"/>
          <w:sz w:val="24"/>
          <w:szCs w:val="24"/>
        </w:rPr>
        <w:t xml:space="preserve">ha de entregar en </w:t>
      </w:r>
      <w:r w:rsidRPr="001172CE">
        <w:rPr>
          <w:rFonts w:ascii="Palatino Linotype" w:eastAsia="Palatino Linotype" w:hAnsi="Palatino Linotype" w:cs="Palatino Linotype"/>
          <w:b/>
          <w:sz w:val="24"/>
          <w:szCs w:val="24"/>
        </w:rPr>
        <w:t>versión pública</w:t>
      </w:r>
      <w:r w:rsidRPr="001172CE">
        <w:rPr>
          <w:rFonts w:ascii="Palatino Linotype" w:eastAsia="Palatino Linotype" w:hAnsi="Palatino Linotype" w:cs="Palatino Linotype"/>
          <w:sz w:val="24"/>
          <w:szCs w:val="24"/>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sidRPr="001172CE">
        <w:rPr>
          <w:rFonts w:ascii="Palatino Linotype" w:eastAsia="Palatino Linotype" w:hAnsi="Palatino Linotype" w:cs="Palatino Linotype"/>
          <w:b/>
          <w:sz w:val="24"/>
          <w:szCs w:val="24"/>
        </w:rPr>
        <w:t>los descuentos que se realicen por pensión alimenticia o deducciones estrictamente personales o de cualquier índole siempre que, no se encuentren relacionados con los impuestos o las cuotas por seguridad social</w:t>
      </w:r>
      <w:r w:rsidRPr="001172CE">
        <w:rPr>
          <w:rFonts w:ascii="Palatino Linotype" w:eastAsia="Palatino Linotype" w:hAnsi="Palatino Linotype" w:cs="Palatino Linotype"/>
          <w:sz w:val="24"/>
          <w:szCs w:val="24"/>
        </w:rPr>
        <w:t>, número de cuenta o cualquier otro dato que ponga en riesgo la vida, seguridad y salud de dichas personas.</w:t>
      </w:r>
    </w:p>
    <w:p w14:paraId="331BDB95"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1172CE">
        <w:rPr>
          <w:rFonts w:ascii="Palatino Linotype" w:eastAsia="Palatino Linotype" w:hAnsi="Palatino Linotype" w:cs="Palatino Linotype"/>
          <w:sz w:val="24"/>
          <w:szCs w:val="24"/>
        </w:rPr>
        <w:t>homoclave</w:t>
      </w:r>
      <w:proofErr w:type="spellEnd"/>
      <w:r w:rsidRPr="001172CE">
        <w:rPr>
          <w:rFonts w:ascii="Palatino Linotype" w:eastAsia="Palatino Linotype" w:hAnsi="Palatino Linotype" w:cs="Palatino Linotype"/>
          <w:sz w:val="24"/>
          <w:szCs w:val="24"/>
        </w:rPr>
        <w:t>; la cual, para su obtención es necesario acreditar personalidad, fecha de nacimiento entre otros con documentos oficiales.</w:t>
      </w:r>
    </w:p>
    <w:p w14:paraId="4EC3C343"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Al respecto, es aplicable el Criterio 19/17 de la Segunda Época, emitido por el INAI, que dice:</w:t>
      </w:r>
    </w:p>
    <w:p w14:paraId="4726BCE7"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Registro Federal de Contribuyentes (RFC) de personas físicas. El RFC es una clave</w:t>
      </w:r>
      <w:r w:rsidRPr="001172CE">
        <w:rPr>
          <w:rFonts w:ascii="Palatino Linotype" w:eastAsia="Palatino Linotype" w:hAnsi="Palatino Linotype" w:cs="Palatino Linotype"/>
          <w:i/>
        </w:rPr>
        <w:t xml:space="preserve"> de carácter fiscal, única e irrepetible, </w:t>
      </w:r>
      <w:r w:rsidRPr="001172CE">
        <w:rPr>
          <w:rFonts w:ascii="Palatino Linotype" w:eastAsia="Palatino Linotype" w:hAnsi="Palatino Linotype" w:cs="Palatino Linotype"/>
          <w:b/>
          <w:i/>
        </w:rPr>
        <w:t xml:space="preserve">que permite identificar al </w:t>
      </w:r>
      <w:r w:rsidRPr="001172CE">
        <w:rPr>
          <w:rFonts w:ascii="Palatino Linotype" w:eastAsia="Palatino Linotype" w:hAnsi="Palatino Linotype" w:cs="Palatino Linotype"/>
          <w:b/>
          <w:i/>
        </w:rPr>
        <w:lastRenderedPageBreak/>
        <w:t>titular, su edad y fecha de nacimiento</w:t>
      </w:r>
      <w:r w:rsidRPr="001172CE">
        <w:rPr>
          <w:rFonts w:ascii="Palatino Linotype" w:eastAsia="Palatino Linotype" w:hAnsi="Palatino Linotype" w:cs="Palatino Linotype"/>
          <w:i/>
        </w:rPr>
        <w:t xml:space="preserve">, por lo que </w:t>
      </w:r>
      <w:r w:rsidRPr="001172CE">
        <w:rPr>
          <w:rFonts w:ascii="Palatino Linotype" w:eastAsia="Palatino Linotype" w:hAnsi="Palatino Linotype" w:cs="Palatino Linotype"/>
          <w:b/>
          <w:i/>
        </w:rPr>
        <w:t>es un dato personal de carácter confidencial</w:t>
      </w:r>
      <w:r w:rsidRPr="001172CE">
        <w:rPr>
          <w:rFonts w:ascii="Palatino Linotype" w:eastAsia="Palatino Linotype" w:hAnsi="Palatino Linotype" w:cs="Palatino Linotype"/>
          <w:i/>
        </w:rPr>
        <w:t>.</w:t>
      </w:r>
    </w:p>
    <w:p w14:paraId="3429C269"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Resoluciones:</w:t>
      </w:r>
    </w:p>
    <w:p w14:paraId="4113FD7A"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RRA 0189/17. Morena. 08 de febrero de 2017. Por unanimidad. Comisionado Ponente Joel Salas Suárez.</w:t>
      </w:r>
    </w:p>
    <w:p w14:paraId="36F0082A"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RRA 0677/17. Universidad Nacional Autónoma de México. 08 de marzo de 2017. Por unanimidad. Comisionado Ponente </w:t>
      </w:r>
      <w:proofErr w:type="spellStart"/>
      <w:r w:rsidRPr="001172CE">
        <w:rPr>
          <w:rFonts w:ascii="Palatino Linotype" w:eastAsia="Palatino Linotype" w:hAnsi="Palatino Linotype" w:cs="Palatino Linotype"/>
          <w:i/>
        </w:rPr>
        <w:t>Rosendoevgueni</w:t>
      </w:r>
      <w:proofErr w:type="spellEnd"/>
      <w:r w:rsidRPr="001172CE">
        <w:rPr>
          <w:rFonts w:ascii="Palatino Linotype" w:eastAsia="Palatino Linotype" w:hAnsi="Palatino Linotype" w:cs="Palatino Linotype"/>
          <w:i/>
        </w:rPr>
        <w:t xml:space="preserve"> Monterrey </w:t>
      </w:r>
      <w:proofErr w:type="spellStart"/>
      <w:r w:rsidRPr="001172CE">
        <w:rPr>
          <w:rFonts w:ascii="Palatino Linotype" w:eastAsia="Palatino Linotype" w:hAnsi="Palatino Linotype" w:cs="Palatino Linotype"/>
          <w:i/>
        </w:rPr>
        <w:t>Chepov</w:t>
      </w:r>
      <w:proofErr w:type="spellEnd"/>
      <w:r w:rsidRPr="001172CE">
        <w:rPr>
          <w:rFonts w:ascii="Palatino Linotype" w:eastAsia="Palatino Linotype" w:hAnsi="Palatino Linotype" w:cs="Palatino Linotype"/>
          <w:i/>
        </w:rPr>
        <w:t>.</w:t>
      </w:r>
    </w:p>
    <w:p w14:paraId="3175FABE"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RRA 1564/17. Tribunal Electoral del Poder Judicial de la Federación. 26 de abril de 2017. Por unanimidad. Comisionado Ponente Oscar Mauricio Guerra Ford.” (Sic)</w:t>
      </w:r>
    </w:p>
    <w:p w14:paraId="16210971"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rPr>
      </w:pPr>
      <w:r w:rsidRPr="001172CE">
        <w:rPr>
          <w:rFonts w:ascii="Palatino Linotype" w:eastAsia="Palatino Linotype" w:hAnsi="Palatino Linotype" w:cs="Palatino Linotype"/>
        </w:rPr>
        <w:t>(Énfasis añadido)</w:t>
      </w:r>
    </w:p>
    <w:p w14:paraId="0C73F34B"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57494369"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rPr>
        <w:t>Por cuanto hace a la CURP</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0ABF1B5"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Lo anterior, tiene sustento en los artículos 86 y 91 de la Ley General de Población, la cual señala lo siguiente:</w:t>
      </w:r>
    </w:p>
    <w:p w14:paraId="4F646912"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 xml:space="preserve">Artículo 86. </w:t>
      </w:r>
      <w:r w:rsidRPr="001172CE">
        <w:rPr>
          <w:rFonts w:ascii="Palatino Linotype" w:eastAsia="Palatino Linotype" w:hAnsi="Palatino Linotype" w:cs="Palatino Linotype"/>
          <w:i/>
        </w:rPr>
        <w:t>El Registro Nacional de Población tiene como finalidad registrar a cada una de las personas que integran la población del país, con los datos que permitan certificar y acreditar fehacientemente su identidad.</w:t>
      </w:r>
    </w:p>
    <w:p w14:paraId="5A1FB9D8"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Artículo 91. Al incorporar a una persona en el Registro Nacional de Población</w:t>
      </w:r>
      <w:r w:rsidRPr="001172CE">
        <w:rPr>
          <w:rFonts w:ascii="Palatino Linotype" w:eastAsia="Palatino Linotype" w:hAnsi="Palatino Linotype" w:cs="Palatino Linotype"/>
          <w:i/>
        </w:rPr>
        <w:t xml:space="preserve">, se le asignará una clave </w:t>
      </w:r>
      <w:r w:rsidRPr="001172CE">
        <w:rPr>
          <w:rFonts w:ascii="Palatino Linotype" w:eastAsia="Palatino Linotype" w:hAnsi="Palatino Linotype" w:cs="Palatino Linotype"/>
          <w:b/>
          <w:i/>
        </w:rPr>
        <w:t>que se denominará Clave Única de Registro de Población</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Esta servirá para</w:t>
      </w:r>
      <w:r w:rsidRPr="001172CE">
        <w:rPr>
          <w:rFonts w:ascii="Palatino Linotype" w:eastAsia="Palatino Linotype" w:hAnsi="Palatino Linotype" w:cs="Palatino Linotype"/>
          <w:i/>
        </w:rPr>
        <w:t xml:space="preserve"> registrarla e </w:t>
      </w:r>
      <w:r w:rsidRPr="001172CE">
        <w:rPr>
          <w:rFonts w:ascii="Palatino Linotype" w:eastAsia="Palatino Linotype" w:hAnsi="Palatino Linotype" w:cs="Palatino Linotype"/>
          <w:b/>
          <w:i/>
        </w:rPr>
        <w:t>identificarla en forma individual</w:t>
      </w:r>
      <w:r w:rsidRPr="001172CE">
        <w:rPr>
          <w:rFonts w:ascii="Palatino Linotype" w:eastAsia="Palatino Linotype" w:hAnsi="Palatino Linotype" w:cs="Palatino Linotype"/>
          <w:i/>
        </w:rPr>
        <w:t>.”</w:t>
      </w:r>
    </w:p>
    <w:p w14:paraId="0E29794D"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rPr>
      </w:pPr>
      <w:r w:rsidRPr="001172CE">
        <w:rPr>
          <w:rFonts w:ascii="Palatino Linotype" w:eastAsia="Palatino Linotype" w:hAnsi="Palatino Linotype" w:cs="Palatino Linotype"/>
        </w:rPr>
        <w:t>(Énfasis añadido)</w:t>
      </w:r>
    </w:p>
    <w:p w14:paraId="681F2CAD"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w:t>
      </w:r>
    </w:p>
    <w:p w14:paraId="0F01E169"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Al respecto, el INAI, a través del Criterio 18/17 de la Segunda Época, señala literalmente lo siguiente:</w:t>
      </w:r>
    </w:p>
    <w:p w14:paraId="56313696"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Clave Única de Registro de Población (CURP).</w:t>
      </w:r>
      <w:r w:rsidRPr="001172CE">
        <w:rPr>
          <w:rFonts w:ascii="Palatino Linotype" w:eastAsia="Palatino Linotype" w:hAnsi="Palatino Linotype" w:cs="Palatino Linotype"/>
          <w:i/>
        </w:rPr>
        <w:t xml:space="preserve"> </w:t>
      </w:r>
      <w:r w:rsidRPr="001172CE">
        <w:rPr>
          <w:rFonts w:ascii="Palatino Linotype" w:eastAsia="Palatino Linotype" w:hAnsi="Palatino Linotype" w:cs="Palatino Linotype"/>
          <w:b/>
          <w:i/>
        </w:rPr>
        <w:t>La Clave Única de Registro de Población se integra por datos personales que sólo conciernen al particular titular</w:t>
      </w:r>
      <w:r w:rsidRPr="001172CE">
        <w:rPr>
          <w:rFonts w:ascii="Palatino Linotype" w:eastAsia="Palatino Linotype" w:hAnsi="Palatino Linotype" w:cs="Palatino Linotype"/>
          <w:i/>
        </w:rPr>
        <w:t xml:space="preserve"> de la misma, </w:t>
      </w:r>
      <w:r w:rsidRPr="001172CE">
        <w:rPr>
          <w:rFonts w:ascii="Palatino Linotype" w:eastAsia="Palatino Linotype" w:hAnsi="Palatino Linotype" w:cs="Palatino Linotype"/>
          <w:b/>
          <w:i/>
        </w:rPr>
        <w:t xml:space="preserve">como lo son su nombre, </w:t>
      </w:r>
      <w:r w:rsidRPr="001172CE">
        <w:rPr>
          <w:rFonts w:ascii="Palatino Linotype" w:eastAsia="Palatino Linotype" w:hAnsi="Palatino Linotype" w:cs="Palatino Linotype"/>
          <w:b/>
          <w:i/>
        </w:rPr>
        <w:lastRenderedPageBreak/>
        <w:t>apellidos, fecha de nacimiento, lugar de nacimiento y sexo</w:t>
      </w:r>
      <w:r w:rsidRPr="001172CE">
        <w:rPr>
          <w:rFonts w:ascii="Palatino Linotype" w:eastAsia="Palatino Linotype" w:hAnsi="Palatino Linotype" w:cs="Palatino Linotype"/>
          <w:i/>
        </w:rPr>
        <w:t xml:space="preserve">. Dichos datos, constituyen información que distingue plenamente a una persona física del resto de los habitantes del país, </w:t>
      </w:r>
      <w:r w:rsidRPr="001172CE">
        <w:rPr>
          <w:rFonts w:ascii="Palatino Linotype" w:eastAsia="Palatino Linotype" w:hAnsi="Palatino Linotype" w:cs="Palatino Linotype"/>
          <w:b/>
          <w:i/>
        </w:rPr>
        <w:t>por lo que la CURP está considerada como información confidencial</w:t>
      </w:r>
      <w:r w:rsidRPr="001172CE">
        <w:rPr>
          <w:rFonts w:ascii="Palatino Linotype" w:eastAsia="Palatino Linotype" w:hAnsi="Palatino Linotype" w:cs="Palatino Linotype"/>
          <w:i/>
        </w:rPr>
        <w:t>.</w:t>
      </w:r>
    </w:p>
    <w:p w14:paraId="3907F03C"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Resoluciones:</w:t>
      </w:r>
    </w:p>
    <w:p w14:paraId="0097FC2D"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RRA 3995/16. Secretaría de la Defensa Nacional. 1 de febrero de 2017. Por unanimidad. Comisionado Ponente </w:t>
      </w:r>
      <w:proofErr w:type="spellStart"/>
      <w:r w:rsidRPr="001172CE">
        <w:rPr>
          <w:rFonts w:ascii="Palatino Linotype" w:eastAsia="Palatino Linotype" w:hAnsi="Palatino Linotype" w:cs="Palatino Linotype"/>
          <w:i/>
        </w:rPr>
        <w:t>Rosendoevgueni</w:t>
      </w:r>
      <w:proofErr w:type="spellEnd"/>
      <w:r w:rsidRPr="001172CE">
        <w:rPr>
          <w:rFonts w:ascii="Palatino Linotype" w:eastAsia="Palatino Linotype" w:hAnsi="Palatino Linotype" w:cs="Palatino Linotype"/>
          <w:i/>
        </w:rPr>
        <w:t xml:space="preserve"> Monterrey </w:t>
      </w:r>
      <w:proofErr w:type="spellStart"/>
      <w:r w:rsidRPr="001172CE">
        <w:rPr>
          <w:rFonts w:ascii="Palatino Linotype" w:eastAsia="Palatino Linotype" w:hAnsi="Palatino Linotype" w:cs="Palatino Linotype"/>
          <w:i/>
        </w:rPr>
        <w:t>Chepov</w:t>
      </w:r>
      <w:proofErr w:type="spellEnd"/>
      <w:r w:rsidRPr="001172CE">
        <w:rPr>
          <w:rFonts w:ascii="Palatino Linotype" w:eastAsia="Palatino Linotype" w:hAnsi="Palatino Linotype" w:cs="Palatino Linotype"/>
          <w:i/>
        </w:rPr>
        <w:t>.</w:t>
      </w:r>
    </w:p>
    <w:p w14:paraId="61B1FDAC"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RRA 0937/17. Senado de la República. 15 de marzo de 2017. Por unanimidad. Comisionada Ponente Ximena Puente de la Mora.</w:t>
      </w:r>
    </w:p>
    <w:p w14:paraId="045D9997"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 RRA 0478/17. Secretaría de Relaciones Exteriores. 26 de abril de 2017. Por unanimidad. Comisionada Ponente Areli Cano Guadiana.” (Sic)</w:t>
      </w:r>
    </w:p>
    <w:p w14:paraId="15D9D63A"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rPr>
      </w:pPr>
      <w:r w:rsidRPr="001172CE">
        <w:rPr>
          <w:rFonts w:ascii="Palatino Linotype" w:eastAsia="Palatino Linotype" w:hAnsi="Palatino Linotype" w:cs="Palatino Linotype"/>
        </w:rPr>
        <w:t>(Énfasis añadido)</w:t>
      </w:r>
    </w:p>
    <w:p w14:paraId="60FC3487"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678077E"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w:t>
      </w:r>
      <w:r w:rsidRPr="001172CE">
        <w:rPr>
          <w:rFonts w:ascii="Palatino Linotype" w:eastAsia="Palatino Linotype" w:hAnsi="Palatino Linotype" w:cs="Palatino Linotype"/>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5C44E8F"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rPr>
        <w:t xml:space="preserve">Respecto de los </w:t>
      </w:r>
      <w:r w:rsidRPr="001172CE">
        <w:rPr>
          <w:rFonts w:ascii="Palatino Linotype" w:eastAsia="Palatino Linotype" w:hAnsi="Palatino Linotype" w:cs="Palatino Linotype"/>
          <w:b/>
          <w:sz w:val="24"/>
          <w:szCs w:val="24"/>
        </w:rPr>
        <w:t>préstamos o descuentos</w:t>
      </w:r>
      <w:r w:rsidRPr="001172CE">
        <w:rPr>
          <w:rFonts w:ascii="Palatino Linotype" w:eastAsia="Palatino Linotype" w:hAnsi="Palatino Linotype" w:cs="Palatino Linotype"/>
          <w:sz w:val="24"/>
          <w:szCs w:val="24"/>
        </w:rPr>
        <w:t xml:space="preserve"> </w:t>
      </w:r>
      <w:r w:rsidRPr="001172CE">
        <w:rPr>
          <w:rFonts w:ascii="Palatino Linotype" w:eastAsia="Palatino Linotype" w:hAnsi="Palatino Linotype" w:cs="Palatino Linotype"/>
          <w:b/>
          <w:sz w:val="24"/>
          <w:szCs w:val="24"/>
        </w:rPr>
        <w:t>de carácter personal</w:t>
      </w:r>
      <w:r w:rsidRPr="001172CE">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70678FF"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Por su parte, el artículo 84 de la Ley del Trabajo de los Servidores Públicos del Estado y Municipios, señala:</w:t>
      </w:r>
    </w:p>
    <w:p w14:paraId="2E5CBF8E"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b/>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ARTICULO 84. Sólo podrán hacerse retenciones, descuentos o deducciones al sueldo de los servidores públicos por concepto de:</w:t>
      </w:r>
    </w:p>
    <w:p w14:paraId="372D7A29"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I. Gravámenes fiscales relacionados con el sueldo;</w:t>
      </w:r>
    </w:p>
    <w:p w14:paraId="66B44CFC"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II. Deudas contraídas con las instituciones públicas o dependencias</w:t>
      </w:r>
      <w:r w:rsidRPr="001172CE">
        <w:rPr>
          <w:rFonts w:ascii="Palatino Linotype" w:eastAsia="Palatino Linotype" w:hAnsi="Palatino Linotype" w:cs="Palatino Linotype"/>
          <w:i/>
        </w:rPr>
        <w:t xml:space="preserve"> por concepto de anticipos de sueldo, pagos hechos con exceso, errores o pérdidas debidamente comprobados;</w:t>
      </w:r>
    </w:p>
    <w:p w14:paraId="2DFA5470"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III. Cuotas sindicales</w:t>
      </w:r>
      <w:r w:rsidRPr="001172CE">
        <w:rPr>
          <w:rFonts w:ascii="Palatino Linotype" w:eastAsia="Palatino Linotype" w:hAnsi="Palatino Linotype" w:cs="Palatino Linotype"/>
          <w:i/>
        </w:rPr>
        <w:t>;</w:t>
      </w:r>
    </w:p>
    <w:p w14:paraId="77860DF2"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6CD20522"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lastRenderedPageBreak/>
        <w:t>V. Descuentos ordenados por el Instituto de Seguridad Social del Estado de México y Municipios, con motivo de cuotas y obligaciones contraídas con éste por los servidores públicos;</w:t>
      </w:r>
    </w:p>
    <w:p w14:paraId="501BCBE2"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VI. Obligaciones a cargo del servidor público con las que haya consentido</w:t>
      </w:r>
      <w:r w:rsidRPr="001172CE">
        <w:rPr>
          <w:rFonts w:ascii="Palatino Linotype" w:eastAsia="Palatino Linotype" w:hAnsi="Palatino Linotype" w:cs="Palatino Linotype"/>
          <w:i/>
        </w:rPr>
        <w:t>, derivadas de la adquisición o del uso de habitaciones consideradas como de interés social;</w:t>
      </w:r>
    </w:p>
    <w:p w14:paraId="5569718B"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VII. Faltas de puntualidad o de asistencia injustificadas;</w:t>
      </w:r>
    </w:p>
    <w:p w14:paraId="4935D689"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VIII. Pensiones alimenticias ordenadas por la autoridad judicial;</w:t>
      </w:r>
      <w:r w:rsidRPr="001172CE">
        <w:rPr>
          <w:rFonts w:ascii="Palatino Linotype" w:eastAsia="Palatino Linotype" w:hAnsi="Palatino Linotype" w:cs="Palatino Linotype"/>
          <w:i/>
        </w:rPr>
        <w:t xml:space="preserve"> o</w:t>
      </w:r>
    </w:p>
    <w:p w14:paraId="317414F8"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b/>
          <w:i/>
        </w:rPr>
      </w:pPr>
      <w:r w:rsidRPr="001172CE">
        <w:rPr>
          <w:rFonts w:ascii="Palatino Linotype" w:eastAsia="Palatino Linotype" w:hAnsi="Palatino Linotype" w:cs="Palatino Linotype"/>
          <w:b/>
          <w:i/>
        </w:rPr>
        <w:t>IX. Cualquier otro convenido con instituciones de servicios y aceptado por el servidor público.</w:t>
      </w:r>
    </w:p>
    <w:p w14:paraId="4D5547B5"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i/>
        </w:rPr>
      </w:pPr>
      <w:r w:rsidRPr="001172CE">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BACCDE2" w14:textId="77777777" w:rsidR="00AC7CFD" w:rsidRPr="001172CE" w:rsidRDefault="0028542B">
      <w:pPr>
        <w:shd w:val="clear" w:color="auto" w:fill="FFFFFF"/>
        <w:spacing w:after="0" w:line="360" w:lineRule="auto"/>
        <w:ind w:left="860" w:right="900"/>
        <w:jc w:val="both"/>
        <w:rPr>
          <w:rFonts w:ascii="Palatino Linotype" w:eastAsia="Palatino Linotype" w:hAnsi="Palatino Linotype" w:cs="Palatino Linotype"/>
        </w:rPr>
      </w:pPr>
      <w:r w:rsidRPr="001172CE">
        <w:rPr>
          <w:rFonts w:ascii="Palatino Linotype" w:eastAsia="Palatino Linotype" w:hAnsi="Palatino Linotype" w:cs="Palatino Linotype"/>
        </w:rPr>
        <w:t>(Énfasis añadido)</w:t>
      </w:r>
    </w:p>
    <w:p w14:paraId="0F633CDC"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1172CE">
        <w:rPr>
          <w:rFonts w:ascii="Palatino Linotype" w:eastAsia="Palatino Linotype" w:hAnsi="Palatino Linotype" w:cs="Palatino Linotype"/>
          <w:b/>
          <w:sz w:val="24"/>
          <w:szCs w:val="24"/>
        </w:rPr>
        <w:t>únicamente inciden en su vida privada</w:t>
      </w:r>
      <w:r w:rsidRPr="001172CE">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14:paraId="6D226AA8"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lastRenderedPageBreak/>
        <w:t xml:space="preserve">Por lo tanto, es importante insistir que </w:t>
      </w:r>
      <w:r w:rsidRPr="001172CE">
        <w:rPr>
          <w:rFonts w:ascii="Palatino Linotype" w:eastAsia="Palatino Linotype" w:hAnsi="Palatino Linotype" w:cs="Palatino Linotype"/>
          <w:b/>
          <w:sz w:val="24"/>
          <w:szCs w:val="24"/>
        </w:rPr>
        <w:t>EL SUJETO OBLIGADO</w:t>
      </w:r>
      <w:r w:rsidRPr="001172CE">
        <w:rPr>
          <w:rFonts w:ascii="Palatino Linotype" w:eastAsia="Palatino Linotype" w:hAnsi="Palatino Linotype" w:cs="Palatino Linotype"/>
          <w:sz w:val="24"/>
          <w:szCs w:val="24"/>
        </w:rPr>
        <w:t xml:space="preserve"> deberá seguir el procedimiento legal establecido para su clasificación, esto es, que su Comité de Transparencia emita un Acuerdo de Clasificación que cumpla con las formalidades previstas, antes citadas</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62ABB6"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u w:val="single"/>
        </w:rPr>
        <w:t>Por otro lado, derivado de la información que se ordena entregar pudiera existir información de la Dirección de Seguridad Pública del Ayuntamiento</w:t>
      </w:r>
      <w:r w:rsidRPr="001172CE">
        <w:rPr>
          <w:rFonts w:ascii="Palatino Linotype" w:eastAsia="Palatino Linotype" w:hAnsi="Palatino Linotype" w:cs="Palatino Linotype"/>
          <w:sz w:val="24"/>
          <w:szCs w:val="24"/>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w:t>
      </w:r>
      <w:r w:rsidRPr="001172CE">
        <w:rPr>
          <w:rFonts w:ascii="Palatino Linotype" w:eastAsia="Palatino Linotype" w:hAnsi="Palatino Linotype" w:cs="Palatino Linotype"/>
          <w:sz w:val="24"/>
          <w:szCs w:val="24"/>
        </w:rPr>
        <w:lastRenderedPageBreak/>
        <w:t>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5062488C"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585FE1F"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Al respecto, este Instituto advierte lo siguiente:</w:t>
      </w:r>
    </w:p>
    <w:p w14:paraId="6072CE3E"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14:paraId="2F5EF857"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        Que el riesgo de perjuicio que supone la divulgación de la información supera el interés público general; pues con dicha información, se comprometería el cumplimiento de los objetivos en materia de seguridad pública, o bien, la </w:t>
      </w:r>
      <w:r w:rsidRPr="001172CE">
        <w:rPr>
          <w:rFonts w:ascii="Palatino Linotype" w:eastAsia="Palatino Linotype" w:hAnsi="Palatino Linotype" w:cs="Palatino Linotype"/>
          <w:sz w:val="24"/>
          <w:szCs w:val="24"/>
        </w:rPr>
        <w:lastRenderedPageBreak/>
        <w:t>consecución de la investigación de probables hechos delictivos y/o faltas administrativas.</w:t>
      </w:r>
    </w:p>
    <w:p w14:paraId="6969F6F2" w14:textId="77777777" w:rsidR="00AC7CFD" w:rsidRPr="001172CE" w:rsidRDefault="0028542B">
      <w:pPr>
        <w:shd w:val="clear" w:color="auto" w:fill="FFFFFF"/>
        <w:spacing w:before="280" w:after="28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21339DD9"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543B51F1"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sidRPr="001172CE">
        <w:rPr>
          <w:rFonts w:ascii="Palatino Linotype" w:eastAsia="Palatino Linotype" w:hAnsi="Palatino Linotype" w:cs="Palatino Linotype"/>
          <w:b/>
          <w:sz w:val="24"/>
          <w:szCs w:val="24"/>
          <w:u w:val="single"/>
        </w:rPr>
        <w:t>ponga en riesgo la vida</w:t>
      </w:r>
      <w:r w:rsidRPr="001172CE">
        <w:rPr>
          <w:rFonts w:ascii="Palatino Linotype" w:eastAsia="Palatino Linotype" w:hAnsi="Palatino Linotype" w:cs="Palatino Linotype"/>
          <w:sz w:val="24"/>
          <w:szCs w:val="24"/>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02C368AA" w14:textId="77777777" w:rsidR="00AC7CFD" w:rsidRPr="001172CE" w:rsidRDefault="0028542B">
      <w:pPr>
        <w:shd w:val="clear" w:color="auto" w:fill="FFFFFF"/>
        <w:spacing w:before="240" w:after="240" w:line="276" w:lineRule="auto"/>
        <w:ind w:left="860" w:right="7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r w:rsidRPr="001172CE">
        <w:rPr>
          <w:rFonts w:ascii="Palatino Linotype" w:eastAsia="Palatino Linotype" w:hAnsi="Palatino Linotype" w:cs="Palatino Linotype"/>
          <w:b/>
          <w:i/>
        </w:rPr>
        <w:t>Artículo 91.</w:t>
      </w:r>
      <w:r w:rsidRPr="001172CE">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1D92FAA1" w14:textId="77777777" w:rsidR="00AC7CFD" w:rsidRPr="001172CE" w:rsidRDefault="0028542B">
      <w:pPr>
        <w:shd w:val="clear" w:color="auto" w:fill="FFFFFF"/>
        <w:spacing w:before="240" w:after="240" w:line="276" w:lineRule="auto"/>
        <w:ind w:left="860" w:right="700"/>
        <w:jc w:val="both"/>
        <w:rPr>
          <w:rFonts w:ascii="Palatino Linotype" w:eastAsia="Palatino Linotype" w:hAnsi="Palatino Linotype" w:cs="Palatino Linotype"/>
          <w:i/>
        </w:rPr>
      </w:pPr>
      <w:r w:rsidRPr="001172CE">
        <w:rPr>
          <w:rFonts w:ascii="Palatino Linotype" w:eastAsia="Palatino Linotype" w:hAnsi="Palatino Linotype" w:cs="Palatino Linotype"/>
          <w:b/>
          <w:i/>
        </w:rPr>
        <w:lastRenderedPageBreak/>
        <w:t xml:space="preserve">Artículo 140. </w:t>
      </w:r>
      <w:r w:rsidRPr="001172CE">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2AA5C729" w14:textId="77777777" w:rsidR="00AC7CFD" w:rsidRPr="001172CE" w:rsidRDefault="0028542B">
      <w:pPr>
        <w:shd w:val="clear" w:color="auto" w:fill="FFFFFF"/>
        <w:spacing w:before="240" w:after="240" w:line="276" w:lineRule="auto"/>
        <w:ind w:left="860" w:right="700"/>
        <w:jc w:val="both"/>
        <w:rPr>
          <w:rFonts w:ascii="Palatino Linotype" w:eastAsia="Palatino Linotype" w:hAnsi="Palatino Linotype" w:cs="Palatino Linotype"/>
          <w:i/>
        </w:rPr>
      </w:pPr>
      <w:r w:rsidRPr="001172CE">
        <w:rPr>
          <w:rFonts w:ascii="Palatino Linotype" w:eastAsia="Palatino Linotype" w:hAnsi="Palatino Linotype" w:cs="Palatino Linotype"/>
          <w:i/>
        </w:rPr>
        <w:t>…</w:t>
      </w:r>
    </w:p>
    <w:p w14:paraId="34D6441D" w14:textId="77777777" w:rsidR="00AC7CFD" w:rsidRPr="001172CE" w:rsidRDefault="0028542B">
      <w:pPr>
        <w:shd w:val="clear" w:color="auto" w:fill="FFFFFF"/>
        <w:spacing w:before="240" w:after="240" w:line="276" w:lineRule="auto"/>
        <w:ind w:left="860" w:right="700"/>
        <w:jc w:val="both"/>
        <w:rPr>
          <w:rFonts w:ascii="Palatino Linotype" w:eastAsia="Palatino Linotype" w:hAnsi="Palatino Linotype" w:cs="Palatino Linotype"/>
          <w:i/>
        </w:rPr>
      </w:pPr>
      <w:r w:rsidRPr="001172CE">
        <w:rPr>
          <w:rFonts w:ascii="Palatino Linotype" w:eastAsia="Palatino Linotype" w:hAnsi="Palatino Linotype" w:cs="Palatino Linotype"/>
          <w:b/>
          <w:i/>
        </w:rPr>
        <w:t>IV.</w:t>
      </w:r>
      <w:r w:rsidRPr="001172CE">
        <w:rPr>
          <w:rFonts w:ascii="Palatino Linotype" w:eastAsia="Palatino Linotype" w:hAnsi="Palatino Linotype" w:cs="Palatino Linotype"/>
          <w:i/>
        </w:rPr>
        <w:t xml:space="preserve"> Ponga en riesgo la vida, la seguridad o la salud de una persona </w:t>
      </w:r>
      <w:proofErr w:type="gramStart"/>
      <w:r w:rsidRPr="001172CE">
        <w:rPr>
          <w:rFonts w:ascii="Palatino Linotype" w:eastAsia="Palatino Linotype" w:hAnsi="Palatino Linotype" w:cs="Palatino Linotype"/>
          <w:i/>
        </w:rPr>
        <w:t>física;…</w:t>
      </w:r>
      <w:proofErr w:type="gramEnd"/>
      <w:r w:rsidRPr="001172CE">
        <w:rPr>
          <w:rFonts w:ascii="Palatino Linotype" w:eastAsia="Palatino Linotype" w:hAnsi="Palatino Linotype" w:cs="Palatino Linotype"/>
          <w:i/>
        </w:rPr>
        <w:t>” (Sic)</w:t>
      </w:r>
    </w:p>
    <w:p w14:paraId="1AFFECAC" w14:textId="77777777" w:rsidR="00AC7CFD" w:rsidRPr="001172CE" w:rsidRDefault="0028542B">
      <w:pPr>
        <w:shd w:val="clear" w:color="auto" w:fill="FFFFFF"/>
        <w:spacing w:before="240" w:after="240" w:line="360" w:lineRule="auto"/>
        <w:ind w:right="60"/>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En este marco, cabe señalar </w:t>
      </w:r>
      <w:proofErr w:type="gramStart"/>
      <w:r w:rsidRPr="001172CE">
        <w:rPr>
          <w:rFonts w:ascii="Palatino Linotype" w:eastAsia="Palatino Linotype" w:hAnsi="Palatino Linotype" w:cs="Palatino Linotype"/>
          <w:sz w:val="24"/>
          <w:szCs w:val="24"/>
        </w:rPr>
        <w:t>que</w:t>
      </w:r>
      <w:proofErr w:type="gramEnd"/>
      <w:r w:rsidRPr="001172CE">
        <w:rPr>
          <w:rFonts w:ascii="Palatino Linotype" w:eastAsia="Palatino Linotype" w:hAnsi="Palatino Linotype" w:cs="Palatino Linotype"/>
          <w:sz w:val="24"/>
          <w:szCs w:val="24"/>
        </w:rPr>
        <w:t xml:space="preserv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672737AE" w14:textId="77777777" w:rsidR="00AC7CFD" w:rsidRPr="001172CE" w:rsidRDefault="0028542B">
      <w:pPr>
        <w:shd w:val="clear" w:color="auto" w:fill="FFFFFF"/>
        <w:spacing w:before="240" w:after="36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66900D10" w14:textId="77777777" w:rsidR="00AC7CFD" w:rsidRPr="001172CE" w:rsidRDefault="0028542B">
      <w:pPr>
        <w:shd w:val="clear" w:color="auto" w:fill="FFFFFF"/>
        <w:spacing w:before="120" w:after="120" w:line="276" w:lineRule="auto"/>
        <w:ind w:left="860" w:right="7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1172CE">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w:t>
      </w:r>
      <w:r w:rsidRPr="001172CE">
        <w:rPr>
          <w:rFonts w:ascii="Palatino Linotype" w:eastAsia="Palatino Linotype" w:hAnsi="Palatino Linotype" w:cs="Palatino Linotype"/>
          <w:i/>
        </w:rPr>
        <w:lastRenderedPageBreak/>
        <w:t xml:space="preserve">encuentra excepciones que lo regulan y a su vez lo garantizan, en atención a la materia a que se refiera; así, en cuanto a la seguridad nacional, se tienen normas que, por un lado, </w:t>
      </w:r>
      <w:r w:rsidRPr="001172CE">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1172CE">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1172CE">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1172CE">
        <w:rPr>
          <w:rFonts w:ascii="Palatino Linotype" w:eastAsia="Palatino Linotype" w:hAnsi="Palatino Linotype" w:cs="Palatino Linotype"/>
          <w:i/>
        </w:rPr>
        <w:t>”</w:t>
      </w:r>
    </w:p>
    <w:p w14:paraId="3F520C82" w14:textId="77777777" w:rsidR="00AC7CFD" w:rsidRPr="001172CE" w:rsidRDefault="0028542B">
      <w:pPr>
        <w:shd w:val="clear" w:color="auto" w:fill="FFFFFF"/>
        <w:spacing w:before="120" w:after="120" w:line="276" w:lineRule="auto"/>
        <w:ind w:left="860" w:right="760"/>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49B6AE11" w14:textId="77777777" w:rsidR="00AC7CFD" w:rsidRPr="001172CE" w:rsidRDefault="0028542B">
      <w:pPr>
        <w:shd w:val="clear" w:color="auto" w:fill="FFFFFF"/>
        <w:spacing w:before="120" w:after="120" w:line="276" w:lineRule="auto"/>
        <w:ind w:left="860" w:right="7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1172CE">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172CE">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w:t>
      </w:r>
      <w:r w:rsidRPr="001172CE">
        <w:rPr>
          <w:rFonts w:ascii="Palatino Linotype" w:eastAsia="Palatino Linotype" w:hAnsi="Palatino Linotype" w:cs="Palatino Linotype"/>
          <w:b/>
          <w:i/>
        </w:rPr>
        <w:lastRenderedPageBreak/>
        <w:t>correspondiente</w:t>
      </w:r>
      <w:r w:rsidRPr="001172CE">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040B006"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sz w:val="24"/>
          <w:szCs w:val="24"/>
        </w:rPr>
        <w:t xml:space="preserve">Asimismo, </w:t>
      </w:r>
      <w:r w:rsidRPr="001172CE">
        <w:rPr>
          <w:rFonts w:ascii="Palatino Linotype" w:eastAsia="Palatino Linotype" w:hAnsi="Palatino Linotype" w:cs="Palatino Linotype"/>
        </w:rPr>
        <w:t>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4CAD9498"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i/>
        </w:rPr>
      </w:pPr>
      <w:r w:rsidRPr="001172CE">
        <w:rPr>
          <w:rFonts w:ascii="Palatino Linotype" w:eastAsia="Palatino Linotype" w:hAnsi="Palatino Linotype" w:cs="Palatino Linotype"/>
          <w:i/>
        </w:rPr>
        <w:t xml:space="preserve"> </w:t>
      </w:r>
    </w:p>
    <w:p w14:paraId="3A2A70D3" w14:textId="77777777" w:rsidR="00AC7CFD" w:rsidRPr="001172CE" w:rsidRDefault="0028542B">
      <w:pPr>
        <w:shd w:val="clear" w:color="auto" w:fill="FFFFFF"/>
        <w:spacing w:after="0" w:line="276" w:lineRule="auto"/>
        <w:ind w:left="560" w:right="560"/>
        <w:jc w:val="both"/>
        <w:rPr>
          <w:rFonts w:ascii="Palatino Linotype" w:eastAsia="Palatino Linotype" w:hAnsi="Palatino Linotype" w:cs="Palatino Linotype"/>
          <w:i/>
        </w:rPr>
      </w:pPr>
      <w:r w:rsidRPr="001172CE">
        <w:rPr>
          <w:rFonts w:ascii="Palatino Linotype" w:eastAsia="Palatino Linotype" w:hAnsi="Palatino Linotype" w:cs="Palatino Linotype"/>
          <w:b/>
          <w:i/>
        </w:rPr>
        <w:t>“Nombres de servidores públicos dedicados a actividades en materia de seguridad, por excepción pueden considerarse información reservada.</w:t>
      </w:r>
      <w:r w:rsidRPr="001172CE">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1172CE">
        <w:rPr>
          <w:rFonts w:ascii="Palatino Linotype" w:eastAsia="Palatino Linotype" w:hAnsi="Palatino Linotype" w:cs="Palatino Linotype"/>
          <w:i/>
        </w:rPr>
        <w:t>obstante</w:t>
      </w:r>
      <w:proofErr w:type="gramEnd"/>
      <w:r w:rsidRPr="001172CE">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w:t>
      </w:r>
      <w:r w:rsidRPr="001172CE">
        <w:rPr>
          <w:rFonts w:ascii="Palatino Linotype" w:eastAsia="Palatino Linotype" w:hAnsi="Palatino Linotype" w:cs="Palatino Linotype"/>
          <w:i/>
        </w:rPr>
        <w:lastRenderedPageBreak/>
        <w:t>a constituirse en un componente fundamental en el esfuerzo que realiza el Estado Mexicano para garantizar la seguridad del país en sus diferentes vertientes.”</w:t>
      </w:r>
    </w:p>
    <w:p w14:paraId="09371C35" w14:textId="77777777" w:rsidR="00AC7CFD" w:rsidRPr="001172CE" w:rsidRDefault="0028542B">
      <w:pPr>
        <w:shd w:val="clear" w:color="auto" w:fill="FFFFFF"/>
        <w:spacing w:before="240" w:after="240" w:line="276"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 </w:t>
      </w:r>
    </w:p>
    <w:p w14:paraId="2241D0A8"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1EE87BC"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rPr>
      </w:pPr>
      <w:r w:rsidRPr="001172CE">
        <w:rPr>
          <w:rFonts w:ascii="Palatino Linotype" w:eastAsia="Palatino Linotype" w:hAnsi="Palatino Linotype" w:cs="Palatino Linotype"/>
        </w:rPr>
        <w:t xml:space="preserve"> </w:t>
      </w:r>
    </w:p>
    <w:p w14:paraId="46DA14CF"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rPr>
        <w:t xml:space="preserve">En ese orden de ideas, si bien por regla general los nombres de los trabajadores gubernamentales son información pública de oficio, existe una excepción relativa a </w:t>
      </w:r>
      <w:r w:rsidRPr="001172CE">
        <w:rPr>
          <w:rFonts w:ascii="Palatino Linotype" w:eastAsia="Palatino Linotype" w:hAnsi="Palatino Linotype" w:cs="Palatino Linotype"/>
          <w:b/>
          <w:sz w:val="24"/>
          <w:szCs w:val="24"/>
        </w:rPr>
        <w:t>aquellos que realicen actividades operativas en materia de seguridad,</w:t>
      </w:r>
      <w:r w:rsidRPr="001172CE">
        <w:rPr>
          <w:rFonts w:ascii="Palatino Linotype" w:eastAsia="Palatino Linotype" w:hAnsi="Palatino Linotype" w:cs="Palatino Linotype"/>
          <w:sz w:val="24"/>
          <w:szCs w:val="24"/>
        </w:rPr>
        <w:t xml:space="preserve"> como es el caso de los elementos operativos y la policía municipal.</w:t>
      </w:r>
    </w:p>
    <w:p w14:paraId="375D170D"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1172CE">
        <w:rPr>
          <w:rFonts w:ascii="Palatino Linotype" w:eastAsia="Palatino Linotype" w:hAnsi="Palatino Linotype" w:cs="Palatino Linotype"/>
          <w:b/>
          <w:sz w:val="24"/>
          <w:szCs w:val="24"/>
          <w:u w:val="single"/>
        </w:rPr>
        <w:t>razones, motivos o circunstancias especiales</w:t>
      </w:r>
      <w:r w:rsidRPr="001172CE">
        <w:rPr>
          <w:rFonts w:ascii="Palatino Linotype" w:eastAsia="Palatino Linotype" w:hAnsi="Palatino Linotype" w:cs="Palatino Linotype"/>
          <w:sz w:val="24"/>
          <w:szCs w:val="24"/>
        </w:rPr>
        <w:t xml:space="preserve"> </w:t>
      </w:r>
      <w:r w:rsidRPr="001172CE">
        <w:rPr>
          <w:rFonts w:ascii="Palatino Linotype" w:eastAsia="Palatino Linotype" w:hAnsi="Palatino Linotype" w:cs="Palatino Linotype"/>
          <w:b/>
          <w:sz w:val="24"/>
          <w:szCs w:val="24"/>
          <w:u w:val="single"/>
        </w:rPr>
        <w:lastRenderedPageBreak/>
        <w:t>que lo llevaron a concluir que el caso concreto, se ajustó a los supuestos previstos en la normatividad legal invocada como fundamento, para dichos efectos, debe proceder a su vez a realizar una prueba de daño</w:t>
      </w:r>
      <w:r w:rsidRPr="001172CE">
        <w:rPr>
          <w:rFonts w:ascii="Palatino Linotype" w:eastAsia="Palatino Linotype" w:hAnsi="Palatino Linotype" w:cs="Palatino Linotype"/>
          <w:sz w:val="24"/>
          <w:szCs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94A1D00" w14:textId="77777777" w:rsidR="00AC7CFD" w:rsidRPr="001172CE" w:rsidRDefault="0028542B">
      <w:pPr>
        <w:shd w:val="clear" w:color="auto" w:fill="FFFFFF"/>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 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B474337" w14:textId="77777777" w:rsidR="00AC7CFD" w:rsidRPr="001172CE" w:rsidRDefault="0028542B">
      <w:pP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7EA9A5A" w14:textId="77777777" w:rsidR="00AC7CFD" w:rsidRPr="001172CE" w:rsidRDefault="0028542B">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sz w:val="24"/>
          <w:szCs w:val="24"/>
        </w:rPr>
      </w:pPr>
      <w:r w:rsidRPr="001172CE">
        <w:rPr>
          <w:rFonts w:ascii="Palatino Linotype" w:eastAsia="Palatino Linotype" w:hAnsi="Palatino Linotype" w:cs="Palatino Linotype"/>
          <w:b/>
          <w:sz w:val="24"/>
          <w:szCs w:val="24"/>
        </w:rPr>
        <w:t>R E S U E L V E:</w:t>
      </w:r>
    </w:p>
    <w:p w14:paraId="7E3054D2"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lastRenderedPageBreak/>
        <w:t xml:space="preserve">Primero. </w:t>
      </w:r>
      <w:r w:rsidRPr="001172CE">
        <w:rPr>
          <w:rFonts w:ascii="Palatino Linotype" w:eastAsia="Palatino Linotype" w:hAnsi="Palatino Linotype" w:cs="Palatino Linotype"/>
          <w:sz w:val="24"/>
          <w:szCs w:val="24"/>
        </w:rPr>
        <w:t xml:space="preserve">Resultan fundados los motivos de inconformidad hechos valer por el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en el Recurso de Revisión </w:t>
      </w:r>
      <w:r w:rsidRPr="001172CE">
        <w:rPr>
          <w:rFonts w:ascii="Palatino Linotype" w:eastAsia="Palatino Linotype" w:hAnsi="Palatino Linotype" w:cs="Palatino Linotype"/>
          <w:b/>
          <w:sz w:val="24"/>
          <w:szCs w:val="24"/>
        </w:rPr>
        <w:t xml:space="preserve">11999/INFOEM/IP/RR/2022, </w:t>
      </w:r>
      <w:r w:rsidRPr="001172CE">
        <w:rPr>
          <w:rFonts w:ascii="Palatino Linotype" w:eastAsia="Palatino Linotype" w:hAnsi="Palatino Linotype" w:cs="Palatino Linotype"/>
          <w:sz w:val="24"/>
          <w:szCs w:val="24"/>
        </w:rPr>
        <w:t xml:space="preserve">por lo que, en términos del considerando </w:t>
      </w:r>
      <w:r w:rsidRPr="001172CE">
        <w:rPr>
          <w:rFonts w:ascii="Palatino Linotype" w:eastAsia="Palatino Linotype" w:hAnsi="Palatino Linotype" w:cs="Palatino Linotype"/>
          <w:b/>
          <w:sz w:val="24"/>
          <w:szCs w:val="24"/>
        </w:rPr>
        <w:t xml:space="preserve">Cuarto </w:t>
      </w:r>
      <w:r w:rsidRPr="001172CE">
        <w:rPr>
          <w:rFonts w:ascii="Palatino Linotype" w:eastAsia="Palatino Linotype" w:hAnsi="Palatino Linotype" w:cs="Palatino Linotype"/>
          <w:sz w:val="24"/>
          <w:szCs w:val="24"/>
        </w:rPr>
        <w:t>y</w:t>
      </w:r>
      <w:r w:rsidRPr="001172CE">
        <w:rPr>
          <w:rFonts w:ascii="Palatino Linotype" w:eastAsia="Palatino Linotype" w:hAnsi="Palatino Linotype" w:cs="Palatino Linotype"/>
          <w:b/>
          <w:sz w:val="24"/>
          <w:szCs w:val="24"/>
        </w:rPr>
        <w:t xml:space="preserve"> Quinto </w:t>
      </w:r>
      <w:r w:rsidRPr="001172CE">
        <w:rPr>
          <w:rFonts w:ascii="Palatino Linotype" w:eastAsia="Palatino Linotype" w:hAnsi="Palatino Linotype" w:cs="Palatino Linotype"/>
          <w:sz w:val="24"/>
          <w:szCs w:val="24"/>
        </w:rPr>
        <w:t xml:space="preserve">de esta resolución, se </w:t>
      </w:r>
      <w:r w:rsidRPr="001172CE">
        <w:rPr>
          <w:rFonts w:ascii="Palatino Linotype" w:eastAsia="Palatino Linotype" w:hAnsi="Palatino Linotype" w:cs="Palatino Linotype"/>
          <w:b/>
          <w:sz w:val="24"/>
          <w:szCs w:val="24"/>
        </w:rPr>
        <w:t xml:space="preserve">MODIFICA </w:t>
      </w:r>
      <w:r w:rsidRPr="001172CE">
        <w:rPr>
          <w:rFonts w:ascii="Palatino Linotype" w:eastAsia="Palatino Linotype" w:hAnsi="Palatino Linotype" w:cs="Palatino Linotype"/>
          <w:sz w:val="24"/>
          <w:szCs w:val="24"/>
        </w:rPr>
        <w:t xml:space="preserve">la respuesta emitida por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w:t>
      </w:r>
    </w:p>
    <w:p w14:paraId="1F32EC4F" w14:textId="77777777" w:rsidR="00AC7CFD" w:rsidRPr="001172CE" w:rsidRDefault="0028542B">
      <w:pPr>
        <w:spacing w:before="240" w:after="240" w:line="360" w:lineRule="auto"/>
        <w:ind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Segundo. </w:t>
      </w:r>
      <w:r w:rsidRPr="001172CE">
        <w:rPr>
          <w:rFonts w:ascii="Palatino Linotype" w:eastAsia="Palatino Linotype" w:hAnsi="Palatino Linotype" w:cs="Palatino Linotype"/>
          <w:sz w:val="24"/>
          <w:szCs w:val="24"/>
        </w:rPr>
        <w:t>Se</w:t>
      </w:r>
      <w:r w:rsidRPr="001172CE">
        <w:rPr>
          <w:rFonts w:ascii="Palatino Linotype" w:eastAsia="Palatino Linotype" w:hAnsi="Palatino Linotype" w:cs="Palatino Linotype"/>
          <w:b/>
          <w:sz w:val="24"/>
          <w:szCs w:val="24"/>
        </w:rPr>
        <w:t xml:space="preserve"> ORDENA </w:t>
      </w:r>
      <w:r w:rsidRPr="001172CE">
        <w:rPr>
          <w:rFonts w:ascii="Palatino Linotype" w:eastAsia="Palatino Linotype" w:hAnsi="Palatino Linotype" w:cs="Palatino Linotype"/>
          <w:sz w:val="24"/>
          <w:szCs w:val="24"/>
        </w:rPr>
        <w:t xml:space="preserve">al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a que,</w:t>
      </w:r>
      <w:r w:rsidRPr="001172CE">
        <w:rPr>
          <w:rFonts w:ascii="Palatino Linotype" w:eastAsia="Palatino Linotype" w:hAnsi="Palatino Linotype" w:cs="Palatino Linotype"/>
          <w:b/>
          <w:sz w:val="24"/>
          <w:szCs w:val="24"/>
        </w:rPr>
        <w:t xml:space="preserve"> </w:t>
      </w:r>
      <w:r w:rsidRPr="001172CE">
        <w:rPr>
          <w:rFonts w:ascii="Palatino Linotype" w:eastAsia="Palatino Linotype" w:hAnsi="Palatino Linotype" w:cs="Palatino Linotype"/>
          <w:sz w:val="24"/>
          <w:szCs w:val="24"/>
        </w:rPr>
        <w:t>en términos de los Considerandos Cuarto y Quinto de la presente resolución, haga entrega vía SAIMEX, en versión pública, del documento o documentos en donde conste lo siguiente:</w:t>
      </w:r>
    </w:p>
    <w:p w14:paraId="7FA05B73" w14:textId="77777777" w:rsidR="00AC7CFD" w:rsidRPr="001172CE" w:rsidRDefault="0028542B">
      <w:pPr>
        <w:numPr>
          <w:ilvl w:val="3"/>
          <w:numId w:val="4"/>
        </w:numPr>
        <w:pBdr>
          <w:top w:val="nil"/>
          <w:left w:val="nil"/>
          <w:bottom w:val="nil"/>
          <w:right w:val="nil"/>
          <w:between w:val="nil"/>
        </w:pBdr>
        <w:spacing w:before="240" w:after="240" w:line="360" w:lineRule="auto"/>
        <w:ind w:left="720" w:right="49"/>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sz w:val="24"/>
          <w:szCs w:val="24"/>
        </w:rPr>
        <w:t xml:space="preserve">La conciliación de nómina de todo el personal que labora en la Administración Municipal del primero de enero al treinta y uno de mayo del año dos mil veintidós, en el que se incluya a los Asesores, </w:t>
      </w:r>
      <w:proofErr w:type="gramStart"/>
      <w:r w:rsidRPr="001172CE">
        <w:rPr>
          <w:rFonts w:ascii="Palatino Linotype" w:eastAsia="Palatino Linotype" w:hAnsi="Palatino Linotype" w:cs="Palatino Linotype"/>
          <w:sz w:val="24"/>
          <w:szCs w:val="24"/>
        </w:rPr>
        <w:t>Presidente</w:t>
      </w:r>
      <w:proofErr w:type="gramEnd"/>
      <w:r w:rsidRPr="001172CE">
        <w:rPr>
          <w:rFonts w:ascii="Palatino Linotype" w:eastAsia="Palatino Linotype" w:hAnsi="Palatino Linotype" w:cs="Palatino Linotype"/>
          <w:sz w:val="24"/>
          <w:szCs w:val="24"/>
        </w:rPr>
        <w:t xml:space="preserve"> Municipal, Síndico y Regidores.</w:t>
      </w:r>
      <w:r w:rsidRPr="001172CE">
        <w:rPr>
          <w:rFonts w:ascii="Verdana" w:eastAsia="Verdana" w:hAnsi="Verdana" w:cs="Verdana"/>
          <w:sz w:val="14"/>
          <w:szCs w:val="14"/>
        </w:rPr>
        <w:t> </w:t>
      </w:r>
    </w:p>
    <w:p w14:paraId="45E1594A" w14:textId="77777777" w:rsidR="00AC7CFD" w:rsidRPr="001172CE" w:rsidRDefault="0028542B">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4"/>
          <w:szCs w:val="24"/>
        </w:rPr>
      </w:pPr>
      <w:r w:rsidRPr="001172CE">
        <w:rPr>
          <w:rFonts w:ascii="Palatino Linotype" w:eastAsia="Palatino Linotype" w:hAnsi="Palatino Linotype" w:cs="Palatino Linotype"/>
          <w:i/>
          <w:sz w:val="24"/>
          <w:szCs w:val="24"/>
        </w:rPr>
        <w:t>De ser procedente,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12B584D" w14:textId="77777777" w:rsidR="00AC7CFD" w:rsidRPr="001172CE" w:rsidRDefault="0028542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8"/>
          <w:szCs w:val="28"/>
        </w:rPr>
      </w:pPr>
      <w:r w:rsidRPr="001172CE">
        <w:rPr>
          <w:rFonts w:ascii="Palatino Linotype" w:eastAsia="Palatino Linotype" w:hAnsi="Palatino Linotype" w:cs="Palatino Linotype"/>
          <w:b/>
          <w:sz w:val="24"/>
          <w:szCs w:val="24"/>
        </w:rPr>
        <w:t xml:space="preserve">Tercero. Notifíquese vía SAIMEX, </w:t>
      </w:r>
      <w:r w:rsidRPr="001172CE">
        <w:rPr>
          <w:rFonts w:ascii="Palatino Linotype" w:eastAsia="Palatino Linotype" w:hAnsi="Palatino Linotype" w:cs="Palatino Linotype"/>
          <w:sz w:val="24"/>
          <w:szCs w:val="24"/>
        </w:rPr>
        <w:t xml:space="preserve">al </w:t>
      </w:r>
      <w:proofErr w:type="gramStart"/>
      <w:r w:rsidRPr="001172CE">
        <w:rPr>
          <w:rFonts w:ascii="Palatino Linotype" w:eastAsia="Palatino Linotype" w:hAnsi="Palatino Linotype" w:cs="Palatino Linotype"/>
          <w:sz w:val="24"/>
          <w:szCs w:val="24"/>
        </w:rPr>
        <w:t>Responsable</w:t>
      </w:r>
      <w:proofErr w:type="gramEnd"/>
      <w:r w:rsidRPr="001172CE">
        <w:rPr>
          <w:rFonts w:ascii="Palatino Linotype" w:eastAsia="Palatino Linotype" w:hAnsi="Palatino Linotype" w:cs="Palatino Linotype"/>
          <w:sz w:val="24"/>
          <w:szCs w:val="24"/>
        </w:rPr>
        <w:t xml:space="preserve"> de la Unidad de Transparencia del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w:t>
      </w:r>
      <w:r w:rsidRPr="001172CE">
        <w:rPr>
          <w:rFonts w:ascii="Palatino Linotype" w:eastAsia="Palatino Linotype" w:hAnsi="Palatino Linotype" w:cs="Palatino Linotype"/>
          <w:sz w:val="24"/>
          <w:szCs w:val="24"/>
        </w:rPr>
        <w:lastRenderedPageBreak/>
        <w:t>ordenado dentro del plazo de diez días hábiles, debiendo informar a este Instituto en un plazo de tres días hábiles siguientes sobre el cumplimiento dado.</w:t>
      </w:r>
    </w:p>
    <w:p w14:paraId="26E77BCF" w14:textId="77777777" w:rsidR="00AC7CFD" w:rsidRPr="001172CE" w:rsidRDefault="0028542B">
      <w:pP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 xml:space="preserve">Cuarto. </w:t>
      </w:r>
      <w:r w:rsidRPr="001172CE">
        <w:rPr>
          <w:rFonts w:ascii="Palatino Linotype" w:eastAsia="Palatino Linotype" w:hAnsi="Palatino Linotype" w:cs="Palatino Linotype"/>
          <w:sz w:val="24"/>
          <w:szCs w:val="24"/>
        </w:rPr>
        <w:t xml:space="preserve"> Notifíquese, vía </w:t>
      </w:r>
      <w:r w:rsidRPr="001172CE">
        <w:rPr>
          <w:rFonts w:ascii="Palatino Linotype" w:eastAsia="Palatino Linotype" w:hAnsi="Palatino Linotype" w:cs="Palatino Linotype"/>
          <w:b/>
          <w:sz w:val="24"/>
          <w:szCs w:val="24"/>
        </w:rPr>
        <w:t>SAIMEX</w:t>
      </w:r>
      <w:r w:rsidRPr="001172CE">
        <w:rPr>
          <w:rFonts w:ascii="Palatino Linotype" w:eastAsia="Palatino Linotype" w:hAnsi="Palatino Linotype" w:cs="Palatino Linotype"/>
          <w:sz w:val="24"/>
          <w:szCs w:val="24"/>
        </w:rPr>
        <w:t xml:space="preserve">, a la parte </w:t>
      </w:r>
      <w:r w:rsidRPr="001172CE">
        <w:rPr>
          <w:rFonts w:ascii="Palatino Linotype" w:eastAsia="Palatino Linotype" w:hAnsi="Palatino Linotype" w:cs="Palatino Linotype"/>
          <w:b/>
          <w:sz w:val="24"/>
          <w:szCs w:val="24"/>
        </w:rPr>
        <w:t>RECURRENTE</w:t>
      </w:r>
      <w:r w:rsidRPr="001172CE">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85752A" w14:textId="77777777" w:rsidR="00AC7CFD" w:rsidRPr="001172CE" w:rsidRDefault="0028542B">
      <w:pPr>
        <w:spacing w:after="240" w:line="360" w:lineRule="auto"/>
        <w:jc w:val="both"/>
        <w:rPr>
          <w:rFonts w:ascii="Palatino Linotype" w:eastAsia="Palatino Linotype" w:hAnsi="Palatino Linotype" w:cs="Palatino Linotype"/>
          <w:sz w:val="24"/>
          <w:szCs w:val="24"/>
        </w:rPr>
      </w:pPr>
      <w:r w:rsidRPr="001172CE">
        <w:rPr>
          <w:rFonts w:ascii="Palatino Linotype" w:eastAsia="Palatino Linotype" w:hAnsi="Palatino Linotype" w:cs="Palatino Linotype"/>
          <w:b/>
          <w:sz w:val="24"/>
          <w:szCs w:val="24"/>
        </w:rPr>
        <w:t>Quinto.</w:t>
      </w:r>
      <w:r w:rsidRPr="001172CE">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1172CE">
        <w:rPr>
          <w:rFonts w:ascii="Palatino Linotype" w:eastAsia="Palatino Linotype" w:hAnsi="Palatino Linotype" w:cs="Palatino Linotype"/>
          <w:b/>
          <w:sz w:val="24"/>
          <w:szCs w:val="24"/>
        </w:rPr>
        <w:t>SUJETO OBLIGADO</w:t>
      </w:r>
      <w:r w:rsidRPr="001172C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FEC923E" w14:textId="77777777" w:rsidR="00AC7CFD" w:rsidRPr="001172CE" w:rsidRDefault="0028542B">
      <w:pPr>
        <w:spacing w:before="240" w:after="240" w:line="360" w:lineRule="auto"/>
        <w:jc w:val="both"/>
        <w:rPr>
          <w:rFonts w:ascii="Palatino Linotype" w:eastAsia="Palatino Linotype" w:hAnsi="Palatino Linotype" w:cs="Palatino Linotype"/>
          <w:sz w:val="24"/>
          <w:szCs w:val="24"/>
        </w:rPr>
        <w:sectPr w:rsidR="00AC7CFD" w:rsidRPr="001172CE">
          <w:headerReference w:type="default" r:id="rId27"/>
          <w:footerReference w:type="default" r:id="rId28"/>
          <w:headerReference w:type="first" r:id="rId29"/>
          <w:footerReference w:type="first" r:id="rId30"/>
          <w:pgSz w:w="12240" w:h="15840"/>
          <w:pgMar w:top="2041" w:right="1750" w:bottom="1701" w:left="1701" w:header="709" w:footer="709" w:gutter="0"/>
          <w:pgNumType w:start="1"/>
          <w:cols w:space="720"/>
          <w:titlePg/>
        </w:sectPr>
      </w:pPr>
      <w:r w:rsidRPr="001172CE">
        <w:rPr>
          <w:rFonts w:ascii="Palatino Linotype" w:eastAsia="Palatino Linotype" w:hAnsi="Palatino Linotype" w:cs="Palatino Linotype"/>
          <w:sz w:val="24"/>
          <w:szCs w:val="24"/>
        </w:rPr>
        <w:t xml:space="preserve">ASÍ LO RESUELVE, POR </w:t>
      </w:r>
      <w:r w:rsidR="00E41BC0">
        <w:rPr>
          <w:rFonts w:ascii="Palatino Linotype" w:eastAsia="Palatino Linotype" w:hAnsi="Palatino Linotype" w:cs="Palatino Linotype"/>
          <w:sz w:val="24"/>
          <w:szCs w:val="24"/>
        </w:rPr>
        <w:t>MAYORÍA</w:t>
      </w:r>
      <w:r w:rsidRPr="001172CE">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w:t>
      </w:r>
      <w:r w:rsidR="00E41BC0">
        <w:rPr>
          <w:rFonts w:ascii="Palatino Linotype" w:eastAsia="Palatino Linotype" w:hAnsi="Palatino Linotype" w:cs="Palatino Linotype"/>
          <w:sz w:val="24"/>
          <w:szCs w:val="24"/>
        </w:rPr>
        <w:t xml:space="preserve"> EMITIENDO VOTO PARTICULAR</w:t>
      </w:r>
      <w:r w:rsidRPr="001172CE">
        <w:rPr>
          <w:rFonts w:ascii="Palatino Linotype" w:eastAsia="Palatino Linotype" w:hAnsi="Palatino Linotype" w:cs="Palatino Linotype"/>
          <w:sz w:val="24"/>
          <w:szCs w:val="24"/>
        </w:rPr>
        <w:t>, MARÍA DEL ROSARIO MEJÍA AYALA, SHARON CRISTINA MORALES MARTÍNEZ</w:t>
      </w:r>
      <w:r w:rsidR="00E41BC0">
        <w:rPr>
          <w:rFonts w:ascii="Palatino Linotype" w:eastAsia="Palatino Linotype" w:hAnsi="Palatino Linotype" w:cs="Palatino Linotype"/>
          <w:sz w:val="24"/>
          <w:szCs w:val="24"/>
        </w:rPr>
        <w:t xml:space="preserve"> EMITIENDO VOTO DISIDENTE</w:t>
      </w:r>
      <w:r w:rsidRPr="001172CE">
        <w:rPr>
          <w:rFonts w:ascii="Palatino Linotype" w:eastAsia="Palatino Linotype" w:hAnsi="Palatino Linotype" w:cs="Palatino Linotype"/>
          <w:sz w:val="24"/>
          <w:szCs w:val="24"/>
        </w:rPr>
        <w:t>, LUIS GUSTAVO PARRA NORIEGA</w:t>
      </w:r>
      <w:r w:rsidR="00E41BC0">
        <w:rPr>
          <w:rFonts w:ascii="Palatino Linotype" w:eastAsia="Palatino Linotype" w:hAnsi="Palatino Linotype" w:cs="Palatino Linotype"/>
          <w:sz w:val="24"/>
          <w:szCs w:val="24"/>
        </w:rPr>
        <w:t xml:space="preserve"> EMITIENDO VOTO PARTICULAR</w:t>
      </w:r>
      <w:r w:rsidRPr="001172CE">
        <w:rPr>
          <w:rFonts w:ascii="Palatino Linotype" w:eastAsia="Palatino Linotype" w:hAnsi="Palatino Linotype" w:cs="Palatino Linotype"/>
          <w:sz w:val="24"/>
          <w:szCs w:val="24"/>
        </w:rPr>
        <w:t xml:space="preserve"> Y GUADALUPE RAMÍREZ PEÑA; EN LA CUADRAGÉSIMA SEGUNDA SESIÓN ORDINARIA CELEBRADA EL DIECIOCHO DE NOVIEMBRE DEL DOS MIL VEINTIDÓS, ANTE EL SECRETARIO TÉCNICO DEL PLENO ALEXI</w:t>
      </w:r>
      <w:r w:rsidR="00884E45" w:rsidRPr="001172CE">
        <w:rPr>
          <w:rFonts w:ascii="Palatino Linotype" w:eastAsia="Palatino Linotype" w:hAnsi="Palatino Linotype" w:cs="Palatino Linotype"/>
          <w:sz w:val="24"/>
          <w:szCs w:val="24"/>
        </w:rPr>
        <w:t>S TAPIA RAMÍREZ.</w:t>
      </w:r>
    </w:p>
    <w:p w14:paraId="21B32107" w14:textId="77777777" w:rsidR="00AC7CFD" w:rsidRPr="001172CE" w:rsidRDefault="00AC7CFD"/>
    <w:sectPr w:rsidR="00AC7CFD" w:rsidRPr="001172CE">
      <w:footerReference w:type="default" r:id="rId31"/>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F0F4" w14:textId="77777777" w:rsidR="00477BE1" w:rsidRDefault="00477BE1">
      <w:pPr>
        <w:spacing w:after="0" w:line="240" w:lineRule="auto"/>
      </w:pPr>
      <w:r>
        <w:separator/>
      </w:r>
    </w:p>
  </w:endnote>
  <w:endnote w:type="continuationSeparator" w:id="0">
    <w:p w14:paraId="6EB4143C" w14:textId="77777777" w:rsidR="00477BE1" w:rsidRDefault="00477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C9CC" w14:textId="77777777" w:rsidR="00AC7CFD" w:rsidRDefault="0028542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7F284749" w14:textId="77777777" w:rsidR="00AC7CFD" w:rsidRDefault="00AC7CFD">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14:paraId="4743B3DB" w14:textId="77777777" w:rsidR="00AC7CFD" w:rsidRDefault="00AC7CFD">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831B" w14:textId="77777777" w:rsidR="00AC7CFD" w:rsidRDefault="0028542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19DF8BC9" w14:textId="77777777" w:rsidR="00AC7CFD" w:rsidRDefault="00AC7C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66FE" w14:textId="77777777" w:rsidR="00AC7CFD" w:rsidRDefault="0028542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264F">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7E3C0DB0" w14:textId="77777777" w:rsidR="00AC7CFD" w:rsidRDefault="00AC7CF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2168D" w14:textId="77777777" w:rsidR="00477BE1" w:rsidRDefault="00477BE1">
      <w:pPr>
        <w:spacing w:after="0" w:line="240" w:lineRule="auto"/>
      </w:pPr>
      <w:r>
        <w:separator/>
      </w:r>
    </w:p>
  </w:footnote>
  <w:footnote w:type="continuationSeparator" w:id="0">
    <w:p w14:paraId="5F629E34" w14:textId="77777777" w:rsidR="00477BE1" w:rsidRDefault="00477BE1">
      <w:pPr>
        <w:spacing w:after="0" w:line="240" w:lineRule="auto"/>
      </w:pPr>
      <w:r>
        <w:continuationSeparator/>
      </w:r>
    </w:p>
  </w:footnote>
  <w:footnote w:id="1">
    <w:p w14:paraId="72F9EA98" w14:textId="77777777" w:rsidR="00AC7CFD" w:rsidRDefault="0028542B">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78A9CF43" w14:textId="77777777" w:rsidR="00AC7CFD" w:rsidRDefault="0028542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5813BE5" w14:textId="77777777" w:rsidR="00AC7CFD" w:rsidRDefault="0028542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42F5" w14:textId="77777777" w:rsidR="00AC7CFD" w:rsidRDefault="00AC7CFD">
    <w:pPr>
      <w:widowControl w:val="0"/>
      <w:pBdr>
        <w:top w:val="nil"/>
        <w:left w:val="nil"/>
        <w:bottom w:val="nil"/>
        <w:right w:val="nil"/>
        <w:between w:val="nil"/>
      </w:pBdr>
      <w:spacing w:after="0" w:line="276" w:lineRule="auto"/>
      <w:rPr>
        <w:color w:val="000000"/>
      </w:rPr>
    </w:pPr>
  </w:p>
  <w:tbl>
    <w:tblPr>
      <w:tblStyle w:val="a0"/>
      <w:tblW w:w="10479" w:type="dxa"/>
      <w:tblInd w:w="-1281" w:type="dxa"/>
      <w:tblLayout w:type="fixed"/>
      <w:tblLook w:val="0400" w:firstRow="0" w:lastRow="0" w:firstColumn="0" w:lastColumn="0" w:noHBand="0" w:noVBand="1"/>
    </w:tblPr>
    <w:tblGrid>
      <w:gridCol w:w="5576"/>
      <w:gridCol w:w="4903"/>
    </w:tblGrid>
    <w:tr w:rsidR="00AC7CFD" w14:paraId="6FE6C19B" w14:textId="77777777">
      <w:trPr>
        <w:trHeight w:val="245"/>
      </w:trPr>
      <w:tc>
        <w:tcPr>
          <w:tcW w:w="5576" w:type="dxa"/>
          <w:tcBorders>
            <w:bottom w:val="nil"/>
          </w:tcBorders>
        </w:tcPr>
        <w:p w14:paraId="787A5F4E" w14:textId="77777777" w:rsidR="00AC7CFD" w:rsidRDefault="0028542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903" w:type="dxa"/>
        </w:tcPr>
        <w:p w14:paraId="09A73D49" w14:textId="77777777" w:rsidR="00AC7CFD" w:rsidRDefault="0028542B">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11999/INFOEM/IP/RR/2022</w:t>
          </w:r>
        </w:p>
      </w:tc>
    </w:tr>
    <w:tr w:rsidR="00AC7CFD" w14:paraId="4AB99581" w14:textId="77777777">
      <w:trPr>
        <w:trHeight w:val="262"/>
      </w:trPr>
      <w:tc>
        <w:tcPr>
          <w:tcW w:w="5576" w:type="dxa"/>
        </w:tcPr>
        <w:p w14:paraId="029E37F8" w14:textId="77777777" w:rsidR="00AC7CFD" w:rsidRDefault="0028542B">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0AD5E4DC" w14:textId="77777777" w:rsidR="00AC7CFD" w:rsidRDefault="0028542B">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Jocotitlán.</w:t>
          </w:r>
        </w:p>
      </w:tc>
    </w:tr>
    <w:tr w:rsidR="00AC7CFD" w14:paraId="7DFDEFA7" w14:textId="77777777">
      <w:trPr>
        <w:trHeight w:val="371"/>
      </w:trPr>
      <w:tc>
        <w:tcPr>
          <w:tcW w:w="5576" w:type="dxa"/>
        </w:tcPr>
        <w:p w14:paraId="4CA94E92" w14:textId="77777777" w:rsidR="00AC7CFD" w:rsidRDefault="0028542B">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163803FE" w14:textId="77777777" w:rsidR="00AC7CFD" w:rsidRDefault="0028542B">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1DFC558" w14:textId="77777777" w:rsidR="00AC7CFD" w:rsidRDefault="0028542B">
    <w:pPr>
      <w:rPr>
        <w:color w:val="000000"/>
      </w:rPr>
    </w:pPr>
    <w:r>
      <w:rPr>
        <w:color w:val="000000"/>
      </w:rPr>
      <w:tab/>
    </w:r>
    <w:r>
      <w:rPr>
        <w:noProof/>
      </w:rPr>
      <w:drawing>
        <wp:anchor distT="0" distB="0" distL="0" distR="0" simplePos="0" relativeHeight="251658240" behindDoc="1" locked="0" layoutInCell="1" hidden="0" allowOverlap="1" wp14:anchorId="38F6B64E" wp14:editId="6BBCA793">
          <wp:simplePos x="0" y="0"/>
          <wp:positionH relativeFrom="column">
            <wp:posOffset>-1057906</wp:posOffset>
          </wp:positionH>
          <wp:positionV relativeFrom="paragraph">
            <wp:posOffset>-1544951</wp:posOffset>
          </wp:positionV>
          <wp:extent cx="7809865" cy="10165715"/>
          <wp:effectExtent l="0" t="0" r="0" b="0"/>
          <wp:wrapNone/>
          <wp:docPr id="1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D75A" w14:textId="77777777" w:rsidR="00AC7CFD" w:rsidRDefault="00AC7CFD">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479" w:type="dxa"/>
      <w:tblInd w:w="-1281" w:type="dxa"/>
      <w:tblLayout w:type="fixed"/>
      <w:tblLook w:val="0400" w:firstRow="0" w:lastRow="0" w:firstColumn="0" w:lastColumn="0" w:noHBand="0" w:noVBand="1"/>
    </w:tblPr>
    <w:tblGrid>
      <w:gridCol w:w="5576"/>
      <w:gridCol w:w="4903"/>
    </w:tblGrid>
    <w:tr w:rsidR="00AC7CFD" w14:paraId="00FAD8D7" w14:textId="77777777">
      <w:trPr>
        <w:trHeight w:val="245"/>
      </w:trPr>
      <w:tc>
        <w:tcPr>
          <w:tcW w:w="5576" w:type="dxa"/>
        </w:tcPr>
        <w:p w14:paraId="0CE35CB5" w14:textId="77777777" w:rsidR="00AC7CFD" w:rsidRDefault="0028542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903" w:type="dxa"/>
        </w:tcPr>
        <w:p w14:paraId="09684A66" w14:textId="77777777" w:rsidR="00AC7CFD" w:rsidRDefault="0028542B">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11999/INFOEM/IP/RR/2022</w:t>
          </w:r>
        </w:p>
      </w:tc>
    </w:tr>
    <w:tr w:rsidR="00AC7CFD" w14:paraId="285E1059" w14:textId="77777777">
      <w:trPr>
        <w:trHeight w:val="211"/>
      </w:trPr>
      <w:tc>
        <w:tcPr>
          <w:tcW w:w="5576" w:type="dxa"/>
        </w:tcPr>
        <w:p w14:paraId="325D62E8" w14:textId="77777777" w:rsidR="00AC7CFD" w:rsidRDefault="0028542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14:paraId="43A83DF7" w14:textId="28540DAF" w:rsidR="00AC7CFD" w:rsidRDefault="004063EE">
          <w:pPr>
            <w:ind w:left="432" w:right="214"/>
            <w:jc w:val="right"/>
            <w:rPr>
              <w:rFonts w:ascii="Palatino Linotype" w:eastAsia="Palatino Linotype" w:hAnsi="Palatino Linotype" w:cs="Palatino Linotype"/>
            </w:rPr>
          </w:pPr>
          <w:r>
            <w:rPr>
              <w:rFonts w:ascii="Palatino Linotype" w:eastAsia="Palatino Linotype" w:hAnsi="Palatino Linotype" w:cs="Palatino Linotype"/>
              <w:color w:val="000000"/>
            </w:rPr>
            <w:t>XXXXX XXXXXX</w:t>
          </w:r>
        </w:p>
      </w:tc>
    </w:tr>
    <w:tr w:rsidR="00AC7CFD" w14:paraId="0EBF19F9" w14:textId="77777777">
      <w:trPr>
        <w:trHeight w:val="262"/>
      </w:trPr>
      <w:tc>
        <w:tcPr>
          <w:tcW w:w="5576" w:type="dxa"/>
        </w:tcPr>
        <w:p w14:paraId="3BA5FFCC" w14:textId="77777777" w:rsidR="00AC7CFD" w:rsidRDefault="0028542B">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6A530A4D" w14:textId="77777777" w:rsidR="00AC7CFD" w:rsidRDefault="0028542B">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Jocotitlán.</w:t>
          </w:r>
        </w:p>
      </w:tc>
    </w:tr>
    <w:tr w:rsidR="00AC7CFD" w14:paraId="5E131F35" w14:textId="77777777">
      <w:trPr>
        <w:trHeight w:val="371"/>
      </w:trPr>
      <w:tc>
        <w:tcPr>
          <w:tcW w:w="5576" w:type="dxa"/>
        </w:tcPr>
        <w:p w14:paraId="54540B72" w14:textId="77777777" w:rsidR="00AC7CFD" w:rsidRDefault="0028542B">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3747F1C7" w14:textId="77777777" w:rsidR="00AC7CFD" w:rsidRDefault="0028542B">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EA10BC6" w14:textId="77777777" w:rsidR="00AC7CFD" w:rsidRDefault="0028542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F75990E" wp14:editId="1D7D823C">
          <wp:simplePos x="0" y="0"/>
          <wp:positionH relativeFrom="column">
            <wp:posOffset>-1108071</wp:posOffset>
          </wp:positionH>
          <wp:positionV relativeFrom="paragraph">
            <wp:posOffset>-1559556</wp:posOffset>
          </wp:positionV>
          <wp:extent cx="7809865" cy="10165715"/>
          <wp:effectExtent l="0" t="0" r="0" b="0"/>
          <wp:wrapNone/>
          <wp:docPr id="1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A253B"/>
    <w:multiLevelType w:val="multilevel"/>
    <w:tmpl w:val="F0D844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219751C9"/>
    <w:multiLevelType w:val="multilevel"/>
    <w:tmpl w:val="BD5262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C515E63"/>
    <w:multiLevelType w:val="multilevel"/>
    <w:tmpl w:val="AC687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F75CD1"/>
    <w:multiLevelType w:val="multilevel"/>
    <w:tmpl w:val="0DCA4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CFD"/>
    <w:rsid w:val="001172CE"/>
    <w:rsid w:val="0016593C"/>
    <w:rsid w:val="0028542B"/>
    <w:rsid w:val="0039228A"/>
    <w:rsid w:val="004063EE"/>
    <w:rsid w:val="00477BE1"/>
    <w:rsid w:val="004F2C10"/>
    <w:rsid w:val="006614F7"/>
    <w:rsid w:val="006F264F"/>
    <w:rsid w:val="00877E7A"/>
    <w:rsid w:val="00884E45"/>
    <w:rsid w:val="00AC7CFD"/>
    <w:rsid w:val="00B972C5"/>
    <w:rsid w:val="00E41B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BE288"/>
  <w15:docId w15:val="{D2D2C6B7-1131-4A60-B95C-BA263476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2">
    <w:name w:val="12"/>
    <w:basedOn w:val="TableNormal1"/>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7">
    <w:name w:val="7"/>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6">
    <w:name w:val="6"/>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5">
    <w:name w:val="5"/>
    <w:basedOn w:val="TableNormal1"/>
    <w:pPr>
      <w:spacing w:after="0" w:line="240" w:lineRule="auto"/>
    </w:pPr>
    <w:rPr>
      <w:sz w:val="24"/>
      <w:szCs w:val="24"/>
    </w:rPr>
    <w:tblPr>
      <w:tblStyleRowBandSize w:val="1"/>
      <w:tblStyleColBandSize w:val="1"/>
      <w:tblCellMar>
        <w:left w:w="70" w:type="dxa"/>
        <w:right w:w="70" w:type="dxa"/>
      </w:tblCellMar>
    </w:tblPr>
  </w:style>
  <w:style w:type="character" w:customStyle="1" w:styleId="nc684nl6">
    <w:name w:val="nc684nl6"/>
    <w:basedOn w:val="Fuentedeprrafopredeter"/>
    <w:rsid w:val="00832051"/>
  </w:style>
  <w:style w:type="table" w:customStyle="1" w:styleId="4">
    <w:name w:val="4"/>
    <w:basedOn w:val="TableNormal2"/>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
    <w:name w:val="3"/>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2">
    <w:name w:val="2"/>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1">
    <w:name w:val="1"/>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0">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1">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499487.page"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saimex.org.mx/saimex/solicitud/downloadAttach/1499486.page" TargetMode="External"/><Relationship Id="rId17" Type="http://schemas.openxmlformats.org/officeDocument/2006/relationships/image" Target="media/image3.png"/><Relationship Id="rId25" Type="http://schemas.openxmlformats.org/officeDocument/2006/relationships/image" Target="media/image5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499485.page"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image" Target="media/image60.png"/><Relationship Id="rId28" Type="http://schemas.openxmlformats.org/officeDocument/2006/relationships/footer" Target="footer1.xml"/><Relationship Id="rId10" Type="http://schemas.openxmlformats.org/officeDocument/2006/relationships/hyperlink" Target="https://saimex.org.mx/saimex/solicitud/downloadAttach/1486477.page"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saimex.org.mx/saimex/solicitud/downloadAttach/1486472.page"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bDomUrGP2xk+Yfa58S9E/yPwWQ==">AMUW2mWOm1KrhCFKqHG9tGmZYojJueUoIdNs+XivPdLzB8LnHAMmhk4J0GR2GEJuxJ28Hj2Ycy+wOtRfp1/tk4k8ITsC3fEwNWcFL8MH94CkIgSe907K9Xexi+m6Yp9mk82Fwulgh2uI+rjDnxMhN0Fhe9e/ecGtKA==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0FA521-B8B5-4259-9A24-1B07852D3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53</Pages>
  <Words>11857</Words>
  <Characters>65219</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2022-11-23T18:57:00Z</cp:lastPrinted>
  <dcterms:created xsi:type="dcterms:W3CDTF">2022-12-06T02:32:00Z</dcterms:created>
  <dcterms:modified xsi:type="dcterms:W3CDTF">2022-12-06T02:32:00Z</dcterms:modified>
</cp:coreProperties>
</file>