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6A659" w14:textId="77777777" w:rsidR="00B94CC7" w:rsidRDefault="009E4FAD">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Palatino Linotype" w:hAnsi="Palatino Linotype" w:cs="Palatino Linotype"/>
          <w:b/>
        </w:rPr>
        <w:t>veintisiete de abril del dos mil veintidós</w:t>
      </w:r>
      <w:r>
        <w:rPr>
          <w:rFonts w:ascii="Palatino Linotype" w:eastAsia="Palatino Linotype" w:hAnsi="Palatino Linotype" w:cs="Palatino Linotype"/>
        </w:rPr>
        <w:t>.</w:t>
      </w:r>
    </w:p>
    <w:p w14:paraId="32585FD4"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01729/INFOEM/IP/RR/2022</w:t>
      </w:r>
      <w:r>
        <w:rPr>
          <w:rFonts w:ascii="Palatino Linotype" w:eastAsia="Palatino Linotype" w:hAnsi="Palatino Linotype" w:cs="Palatino Linotype"/>
        </w:rPr>
        <w:t xml:space="preserve">, interpuesto por </w:t>
      </w:r>
      <w:r>
        <w:rPr>
          <w:rFonts w:ascii="Palatino Linotype" w:eastAsia="Palatino Linotype" w:hAnsi="Palatino Linotype" w:cs="Palatino Linotype"/>
          <w:b/>
        </w:rPr>
        <w:t>un particular de manera anónima</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en lo sucesivo</w:t>
      </w:r>
      <w:r>
        <w:rPr>
          <w:rFonts w:ascii="Palatino Linotype" w:eastAsia="Palatino Linotype" w:hAnsi="Palatino Linotype" w:cs="Palatino Linotype"/>
          <w:b/>
        </w:rPr>
        <w:t xml:space="preserve">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del </w:t>
      </w:r>
      <w:r>
        <w:rPr>
          <w:rFonts w:ascii="Palatino Linotype" w:eastAsia="Palatino Linotype" w:hAnsi="Palatino Linotype" w:cs="Palatino Linotype"/>
          <w:b/>
        </w:rPr>
        <w:t xml:space="preserve">Sistema Municipal Para el Desarrollo Integral de la Familia de Metepec,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0361040A" w14:textId="77777777" w:rsidR="00B94CC7" w:rsidRDefault="009E4FAD">
      <w:pPr>
        <w:spacing w:before="240" w:after="240" w:line="360" w:lineRule="auto"/>
        <w:ind w:right="49"/>
        <w:jc w:val="center"/>
        <w:rPr>
          <w:rFonts w:ascii="Palatino Linotype" w:eastAsia="Palatino Linotype" w:hAnsi="Palatino Linotype" w:cs="Palatino Linotype"/>
          <w:b/>
          <w:sz w:val="28"/>
          <w:szCs w:val="28"/>
        </w:rPr>
      </w:pPr>
      <w:r>
        <w:rPr>
          <w:rFonts w:ascii="Palatino Linotype" w:eastAsia="Palatino Linotype" w:hAnsi="Palatino Linotype" w:cs="Palatino Linotype"/>
          <w:b/>
        </w:rPr>
        <w:t>A N T E C E D E N T E S</w:t>
      </w:r>
    </w:p>
    <w:p w14:paraId="3BE493B4"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En fecha </w:t>
      </w:r>
      <w:r>
        <w:rPr>
          <w:rFonts w:ascii="Palatino Linotype" w:eastAsia="Palatino Linotype" w:hAnsi="Palatino Linotype" w:cs="Palatino Linotype"/>
          <w:b/>
        </w:rPr>
        <w:t>once de enero de dos mil veintidós, 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presentó a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w:t>
      </w:r>
      <w:r>
        <w:rPr>
          <w:rFonts w:ascii="Palatino Linotype" w:eastAsia="Palatino Linotype" w:hAnsi="Palatino Linotype" w:cs="Palatino Linotype"/>
        </w:rPr>
        <w:t>de folio</w:t>
      </w:r>
      <w:r>
        <w:rPr>
          <w:rFonts w:ascii="Palatino Linotype" w:eastAsia="Palatino Linotype" w:hAnsi="Palatino Linotype" w:cs="Palatino Linotype"/>
          <w:b/>
        </w:rPr>
        <w:t xml:space="preserve"> 00061/DIFMETEPEC/IP/2022, </w:t>
      </w:r>
      <w:r>
        <w:rPr>
          <w:rFonts w:ascii="Palatino Linotype" w:eastAsia="Palatino Linotype" w:hAnsi="Palatino Linotype" w:cs="Palatino Linotype"/>
        </w:rPr>
        <w:t xml:space="preserve">mediante la cual requirió la información siguiente: </w:t>
      </w:r>
    </w:p>
    <w:p w14:paraId="4B033057" w14:textId="77777777" w:rsidR="00B94CC7" w:rsidRDefault="009E4FAD">
      <w:pPr>
        <w:spacing w:before="240"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 “Solicito una </w:t>
      </w:r>
      <w:r>
        <w:rPr>
          <w:rFonts w:ascii="Palatino Linotype" w:eastAsia="Palatino Linotype" w:hAnsi="Palatino Linotype" w:cs="Palatino Linotype"/>
          <w:b/>
          <w:i/>
          <w:sz w:val="22"/>
          <w:szCs w:val="22"/>
          <w:u w:val="single"/>
        </w:rPr>
        <w:t>copia del documento, en pdf, de los comodatos aprobados en cabildo en favor del dif metepec desde el 1 de enero y hasta la fecha de respuesta de esta solicitud de información</w:t>
      </w:r>
      <w:r>
        <w:rPr>
          <w:rFonts w:ascii="Palatino Linotype" w:eastAsia="Palatino Linotype" w:hAnsi="Palatino Linotype" w:cs="Palatino Linotype"/>
          <w:i/>
          <w:sz w:val="22"/>
          <w:szCs w:val="22"/>
        </w:rPr>
        <w:t>.” (Sic) (Énfasis añadido)</w:t>
      </w:r>
    </w:p>
    <w:p w14:paraId="54624C2D"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Modalidad de Entrega de la información:</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t xml:space="preserve"> </w:t>
      </w:r>
    </w:p>
    <w:p w14:paraId="5A113AA1" w14:textId="77777777" w:rsidR="00B94CC7" w:rsidRDefault="00B94CC7">
      <w:pPr>
        <w:spacing w:before="240" w:after="240" w:line="360" w:lineRule="auto"/>
        <w:ind w:right="49"/>
        <w:jc w:val="both"/>
        <w:rPr>
          <w:rFonts w:ascii="Palatino Linotype" w:eastAsia="Palatino Linotype" w:hAnsi="Palatino Linotype" w:cs="Palatino Linotype"/>
          <w:b/>
        </w:rPr>
      </w:pPr>
    </w:p>
    <w:p w14:paraId="62031BFC"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2. Prórroga. </w:t>
      </w:r>
      <w:r>
        <w:rPr>
          <w:rFonts w:ascii="Palatino Linotype" w:eastAsia="Palatino Linotype" w:hAnsi="Palatino Linotype" w:cs="Palatino Linotype"/>
        </w:rPr>
        <w:t xml:space="preserve">En fecha </w:t>
      </w:r>
      <w:r>
        <w:rPr>
          <w:rFonts w:ascii="Palatino Linotype" w:eastAsia="Palatino Linotype" w:hAnsi="Palatino Linotype" w:cs="Palatino Linotype"/>
          <w:b/>
        </w:rPr>
        <w:t>treinta y uno de enero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notificó al particular la prórroga para atender su solicitud de información, medularmente en los siguientes términos: </w:t>
      </w:r>
    </w:p>
    <w:p w14:paraId="2C558929" w14:textId="77777777" w:rsidR="00B94CC7" w:rsidRDefault="009E4FA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87BB1F9" w14:textId="77777777" w:rsidR="00B94CC7" w:rsidRDefault="009E4FA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Se aprueba prorroga en virtud de que a la fecha no ha sido instalado el comite de transparencia del SMDIF Meteoec, y no se cuenta con la version publica aprobada del documento solicitado</w:t>
      </w:r>
    </w:p>
    <w:p w14:paraId="6C67939E" w14:textId="77777777" w:rsidR="00B94CC7" w:rsidRDefault="009E4FA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NAVARRETE</w:t>
      </w:r>
    </w:p>
    <w:p w14:paraId="5C96FF65" w14:textId="77777777" w:rsidR="00B94CC7" w:rsidRDefault="009E4FAD">
      <w:pPr>
        <w:spacing w:before="240"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Responsable de la Unidad de Transparencia”</w:t>
      </w:r>
    </w:p>
    <w:p w14:paraId="27D0AE38"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En fecha</w:t>
      </w:r>
      <w:r>
        <w:rPr>
          <w:rFonts w:ascii="Palatino Linotype" w:eastAsia="Palatino Linotype" w:hAnsi="Palatino Linotype" w:cs="Palatino Linotype"/>
          <w:b/>
        </w:rPr>
        <w:t xml:space="preserve"> diez de febrero de dos mil veintidós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través del SAIMEX notificó su respuesta a la solicitud de información sustancialmente en los siguientes términos: </w:t>
      </w:r>
    </w:p>
    <w:p w14:paraId="0BB85CBC" w14:textId="77777777" w:rsidR="00B94CC7" w:rsidRDefault="009E4FA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ACA493A" w14:textId="77777777" w:rsidR="00B94CC7" w:rsidRDefault="009E4FAD">
      <w:pPr>
        <w:spacing w:before="240" w:after="240"/>
        <w:ind w:left="567" w:right="900"/>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u w:val="single"/>
        </w:rPr>
        <w:t>DESPUES DE UNA BUSQUEDA EXHAUSTIVA EN NUESTROS ARCHIVOS, NO SE ENCONTRO LA INFORMACIÓN SOLICITADA, YA QUE ESTA OBRA EN EL ARCHIVO DEL H. AYUNTAMIENTO DE METEPEC</w:t>
      </w:r>
    </w:p>
    <w:p w14:paraId="7D6800FF" w14:textId="77777777" w:rsidR="00B94CC7" w:rsidRDefault="009E4FA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ATENTAMENTE</w:t>
      </w:r>
    </w:p>
    <w:p w14:paraId="19FB290E" w14:textId="77777777" w:rsidR="00B94CC7" w:rsidRDefault="009E4FA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Licenciado FERNANDO OSCAR ZAPATA NAVARRETE”</w:t>
      </w:r>
    </w:p>
    <w:p w14:paraId="5362BFA6" w14:textId="77777777" w:rsidR="00B94CC7" w:rsidRDefault="009E4FAD">
      <w:pPr>
        <w:spacing w:before="24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(Sic) (Énfasis añadido)</w:t>
      </w:r>
    </w:p>
    <w:p w14:paraId="0E5F1AAD"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la respuesta,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interpuso el recurso de revisión materia del presente estudio el día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que expresó lo siguiente: </w:t>
      </w:r>
    </w:p>
    <w:p w14:paraId="718F0A61" w14:textId="77777777" w:rsidR="00B94CC7" w:rsidRDefault="009E4FAD">
      <w:pPr>
        <w:ind w:left="567" w:right="567"/>
        <w:jc w:val="both"/>
        <w:rPr>
          <w:rFonts w:ascii="Palatino Linotype" w:eastAsia="Palatino Linotype" w:hAnsi="Palatino Linotype" w:cs="Palatino Linotype"/>
        </w:rPr>
      </w:pPr>
      <w:r>
        <w:rPr>
          <w:rFonts w:ascii="Palatino Linotype" w:eastAsia="Palatino Linotype" w:hAnsi="Palatino Linotype" w:cs="Palatino Linotype"/>
          <w:b/>
        </w:rPr>
        <w:t xml:space="preserve">a) Acto impugnado: </w:t>
      </w:r>
    </w:p>
    <w:p w14:paraId="178E1989" w14:textId="77777777" w:rsidR="00B94CC7" w:rsidRDefault="00B94CC7">
      <w:pPr>
        <w:ind w:right="567"/>
        <w:jc w:val="both"/>
        <w:rPr>
          <w:rFonts w:ascii="Palatino Linotype" w:eastAsia="Palatino Linotype" w:hAnsi="Palatino Linotype" w:cs="Palatino Linotype"/>
          <w:i/>
          <w:sz w:val="22"/>
          <w:szCs w:val="22"/>
        </w:rPr>
      </w:pPr>
    </w:p>
    <w:p w14:paraId="41765EA2" w14:textId="77777777" w:rsidR="00B94CC7" w:rsidRDefault="009E4FAD">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respuesta proporcionada por el Sujeto Obligado.” (Sic)</w:t>
      </w:r>
    </w:p>
    <w:p w14:paraId="751939BA" w14:textId="77777777" w:rsidR="00B94CC7" w:rsidRDefault="00B94CC7">
      <w:pPr>
        <w:ind w:left="567" w:right="567"/>
        <w:jc w:val="both"/>
        <w:rPr>
          <w:rFonts w:ascii="Palatino Linotype" w:eastAsia="Palatino Linotype" w:hAnsi="Palatino Linotype" w:cs="Palatino Linotype"/>
          <w:i/>
          <w:sz w:val="22"/>
          <w:szCs w:val="22"/>
        </w:rPr>
      </w:pPr>
    </w:p>
    <w:p w14:paraId="63C87C58" w14:textId="77777777" w:rsidR="00B94CC7" w:rsidRDefault="009E4FAD">
      <w:pPr>
        <w:spacing w:before="240" w:after="240"/>
        <w:ind w:left="567" w:right="851"/>
        <w:jc w:val="both"/>
        <w:rPr>
          <w:rFonts w:ascii="Palatino Linotype" w:eastAsia="Palatino Linotype" w:hAnsi="Palatino Linotype" w:cs="Palatino Linotype"/>
        </w:rPr>
      </w:pPr>
      <w:r>
        <w:rPr>
          <w:rFonts w:ascii="Palatino Linotype" w:eastAsia="Palatino Linotype" w:hAnsi="Palatino Linotype" w:cs="Palatino Linotype"/>
          <w:b/>
        </w:rPr>
        <w:t>b) Razones o motivos de inconformidad</w:t>
      </w:r>
      <w:r>
        <w:rPr>
          <w:rFonts w:ascii="Palatino Linotype" w:eastAsia="Palatino Linotype" w:hAnsi="Palatino Linotype" w:cs="Palatino Linotype"/>
        </w:rPr>
        <w:t xml:space="preserve">: </w:t>
      </w:r>
    </w:p>
    <w:p w14:paraId="1D572BD7" w14:textId="77777777" w:rsidR="00B94CC7" w:rsidRDefault="009E4FAD">
      <w:pPr>
        <w:spacing w:before="240" w:after="24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w:t>
      </w:r>
      <w:r>
        <w:rPr>
          <w:rFonts w:ascii="Palatino Linotype" w:eastAsia="Palatino Linotype" w:hAnsi="Palatino Linotype" w:cs="Palatino Linotype"/>
          <w:i/>
          <w:sz w:val="22"/>
          <w:szCs w:val="22"/>
        </w:rPr>
        <w:lastRenderedPageBreak/>
        <w:t>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343991DA" w14:textId="77777777" w:rsidR="00B94CC7" w:rsidRDefault="00B94CC7">
      <w:pPr>
        <w:ind w:right="49"/>
        <w:jc w:val="both"/>
        <w:rPr>
          <w:rFonts w:ascii="Palatino Linotype" w:eastAsia="Palatino Linotype" w:hAnsi="Palatino Linotype" w:cs="Palatino Linotype"/>
          <w:i/>
          <w:sz w:val="22"/>
          <w:szCs w:val="22"/>
        </w:rPr>
      </w:pPr>
    </w:p>
    <w:p w14:paraId="1F9D1B42" w14:textId="77777777" w:rsidR="00B94CC7" w:rsidRDefault="009E4FAD">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4. Turno</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Pr>
          <w:rFonts w:ascii="Palatino Linotype" w:eastAsia="Palatino Linotype" w:hAnsi="Palatino Linotype" w:cs="Palatino Linotype"/>
          <w:b/>
        </w:rPr>
        <w:t>Comisionada</w:t>
      </w:r>
      <w:r>
        <w:rPr>
          <w:rFonts w:ascii="Palatino Linotype" w:eastAsia="Palatino Linotype" w:hAnsi="Palatino Linotype" w:cs="Palatino Linotype"/>
        </w:rPr>
        <w:t xml:space="preserve"> </w:t>
      </w:r>
      <w:r>
        <w:rPr>
          <w:rFonts w:ascii="Palatino Linotype" w:eastAsia="Palatino Linotype" w:hAnsi="Palatino Linotype" w:cs="Palatino Linotype"/>
          <w:b/>
        </w:rPr>
        <w:t>Guadalupe Ramírez Peña</w:t>
      </w:r>
      <w:r>
        <w:rPr>
          <w:rFonts w:ascii="Palatino Linotype" w:eastAsia="Palatino Linotype" w:hAnsi="Palatino Linotype" w:cs="Palatino Linotype"/>
        </w:rPr>
        <w:t xml:space="preserve"> para su análisis, estudio, elaboración del proyecto y presentación ante el Pleno de este Instituto.</w:t>
      </w:r>
    </w:p>
    <w:p w14:paraId="692B7C41" w14:textId="77777777" w:rsidR="00B94CC7" w:rsidRDefault="00B94CC7">
      <w:pPr>
        <w:widowControl w:val="0"/>
        <w:spacing w:line="360" w:lineRule="auto"/>
        <w:ind w:right="49"/>
        <w:jc w:val="both"/>
        <w:rPr>
          <w:rFonts w:ascii="Palatino Linotype" w:eastAsia="Palatino Linotype" w:hAnsi="Palatino Linotype" w:cs="Palatino Linotype"/>
        </w:rPr>
      </w:pPr>
    </w:p>
    <w:p w14:paraId="444ABC2E" w14:textId="77777777" w:rsidR="00B94CC7" w:rsidRDefault="009E4FAD">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5.</w:t>
      </w:r>
      <w:r>
        <w:rPr>
          <w:rFonts w:ascii="Palatino Linotype" w:eastAsia="Palatino Linotype" w:hAnsi="Palatino Linotype" w:cs="Palatino Linotype"/>
          <w:b/>
          <w:i/>
        </w:rPr>
        <w:t xml:space="preserve"> </w:t>
      </w:r>
      <w:r>
        <w:rPr>
          <w:rFonts w:ascii="Palatino Linotype" w:eastAsia="Palatino Linotype" w:hAnsi="Palatino Linotype" w:cs="Palatino Linotype"/>
          <w:b/>
        </w:rPr>
        <w:t>Admisión del Recurso.</w:t>
      </w:r>
      <w:r>
        <w:rPr>
          <w:rFonts w:ascii="Palatino Linotype" w:eastAsia="Palatino Linotype" w:hAnsi="Palatino Linotype" w:cs="Palatino Linotype"/>
        </w:rPr>
        <w:t xml:space="preserve"> El día</w:t>
      </w:r>
      <w:r>
        <w:rPr>
          <w:rFonts w:ascii="Palatino Linotype" w:eastAsia="Palatino Linotype" w:hAnsi="Palatino Linotype" w:cs="Palatino Linotype"/>
          <w:b/>
        </w:rPr>
        <w:t xml:space="preserve"> uno de marzo de dos mil veintidós </w:t>
      </w:r>
      <w:r>
        <w:rPr>
          <w:rFonts w:ascii="Palatino Linotype" w:eastAsia="Palatino Linotype" w:hAnsi="Palatino Linotype" w:cs="Palatino Linotype"/>
        </w:rPr>
        <w:t xml:space="preserve">se admitió a trámite el presente recurso de revisión a efecto de integrar el expediente respectivo; fue puesto a disposición de las partes por siete días hábiles para que ofrecieran </w:t>
      </w:r>
      <w:r>
        <w:rPr>
          <w:rFonts w:ascii="Palatino Linotype" w:eastAsia="Palatino Linotype" w:hAnsi="Palatino Linotype" w:cs="Palatino Linotype"/>
        </w:rPr>
        <w:lastRenderedPageBreak/>
        <w:t>pruebas y manifestaran lo que a su derecho convenga.</w:t>
      </w:r>
    </w:p>
    <w:p w14:paraId="02220024" w14:textId="77777777" w:rsidR="00B94CC7" w:rsidRDefault="00B94CC7">
      <w:pPr>
        <w:widowControl w:val="0"/>
        <w:spacing w:line="360" w:lineRule="auto"/>
        <w:ind w:right="49"/>
        <w:jc w:val="both"/>
        <w:rPr>
          <w:rFonts w:ascii="Palatino Linotype" w:eastAsia="Palatino Linotype" w:hAnsi="Palatino Linotype" w:cs="Palatino Linotype"/>
        </w:rPr>
      </w:pPr>
    </w:p>
    <w:p w14:paraId="6D6C06DE" w14:textId="77777777" w:rsidR="00B94CC7" w:rsidRDefault="009E4FAD">
      <w:pPr>
        <w:widowControl w:val="0"/>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De constancias del expediente electrónico del SAIMEX, se observa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rendir su informe justificado, asimismo cabe señalar que </w:t>
      </w:r>
      <w:r>
        <w:rPr>
          <w:rFonts w:ascii="Palatino Linotype" w:eastAsia="Palatino Linotype" w:hAnsi="Palatino Linotype" w:cs="Palatino Linotype"/>
          <w:b/>
        </w:rPr>
        <w:t>la Recurrente</w:t>
      </w:r>
      <w:r>
        <w:rPr>
          <w:rFonts w:ascii="Palatino Linotype" w:eastAsia="Palatino Linotype" w:hAnsi="Palatino Linotype" w:cs="Palatino Linotype"/>
        </w:rPr>
        <w:t xml:space="preserve"> fue omisa en emitir pronunciamientos, ofrecer pruebas o alegatos, por lo que se tiene por precluido su derecho.</w:t>
      </w:r>
      <w:r>
        <w:rPr>
          <w:noProof/>
          <w:lang w:val="es-MX"/>
        </w:rPr>
        <w:drawing>
          <wp:anchor distT="0" distB="0" distL="114300" distR="114300" simplePos="0" relativeHeight="251658240" behindDoc="0" locked="0" layoutInCell="1" hidden="0" allowOverlap="1" wp14:anchorId="4E5EC688" wp14:editId="24F32C8B">
            <wp:simplePos x="0" y="0"/>
            <wp:positionH relativeFrom="column">
              <wp:posOffset>14607</wp:posOffset>
            </wp:positionH>
            <wp:positionV relativeFrom="paragraph">
              <wp:posOffset>1361440</wp:posOffset>
            </wp:positionV>
            <wp:extent cx="5767705" cy="1476375"/>
            <wp:effectExtent l="0" t="0" r="0" b="0"/>
            <wp:wrapTopAndBottom distT="0" distB="0"/>
            <wp:docPr id="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67705" cy="1476375"/>
                    </a:xfrm>
                    <a:prstGeom prst="rect">
                      <a:avLst/>
                    </a:prstGeom>
                    <a:ln/>
                  </pic:spPr>
                </pic:pic>
              </a:graphicData>
            </a:graphic>
          </wp:anchor>
        </w:drawing>
      </w:r>
    </w:p>
    <w:p w14:paraId="64506FC7"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 para emitir resolución.</w:t>
      </w:r>
      <w:r>
        <w:rPr>
          <w:rFonts w:ascii="Palatino Linotype" w:eastAsia="Palatino Linotype" w:hAnsi="Palatino Linotype" w:cs="Palatino Linotype"/>
        </w:rPr>
        <w:t xml:space="preserve"> El </w:t>
      </w:r>
      <w:r>
        <w:rPr>
          <w:rFonts w:ascii="Palatino Linotype" w:eastAsia="Palatino Linotype" w:hAnsi="Palatino Linotype" w:cs="Palatino Linotype"/>
          <w:b/>
        </w:rPr>
        <w:t>veintiuno de abril de dos mil veintidós</w:t>
      </w:r>
      <w:r>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a fin de aminorar los efectos que conlleva.</w:t>
      </w:r>
    </w:p>
    <w:p w14:paraId="7CDD233E"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plazo otorgado para que las partes manifestaran lo que a su derecho conviniera, y siguiendo los trámites correspondientes con fundamento en el artículo 185 fracción VI de la Ley de Transparencia y Acceso a la Información Pública del Estado de México y Municipios, el día </w:t>
      </w:r>
      <w:r w:rsidR="00DF6579">
        <w:rPr>
          <w:rFonts w:ascii="Palatino Linotype" w:eastAsia="Palatino Linotype" w:hAnsi="Palatino Linotype" w:cs="Palatino Linotype"/>
          <w:b/>
        </w:rPr>
        <w:t>veintisiete</w:t>
      </w:r>
      <w:r>
        <w:rPr>
          <w:rFonts w:ascii="Palatino Linotype" w:eastAsia="Palatino Linotype" w:hAnsi="Palatino Linotype" w:cs="Palatino Linotype"/>
          <w:b/>
          <w:color w:val="000000"/>
        </w:rPr>
        <w:t xml:space="preserve"> de abril </w:t>
      </w:r>
      <w:r>
        <w:rPr>
          <w:rFonts w:ascii="Palatino Linotype" w:eastAsia="Palatino Linotype" w:hAnsi="Palatino Linotype" w:cs="Palatino Linotype"/>
          <w:b/>
        </w:rPr>
        <w:t>de dos mil veintidós</w:t>
      </w:r>
      <w:r>
        <w:rPr>
          <w:rFonts w:ascii="Palatino Linotype" w:eastAsia="Palatino Linotype" w:hAnsi="Palatino Linotype" w:cs="Palatino Linotype"/>
        </w:rPr>
        <w:t xml:space="preserve">, se procedió a decretar </w:t>
      </w:r>
      <w:r>
        <w:rPr>
          <w:rFonts w:ascii="Palatino Linotype" w:eastAsia="Palatino Linotype" w:hAnsi="Palatino Linotype" w:cs="Palatino Linotype"/>
        </w:rPr>
        <w:lastRenderedPageBreak/>
        <w:t>el cierre de instrucción respectivo y no existiendo diligencia pendiente de desahogo, se ordenó emitir la resolución que conforme a derecho proceda.</w:t>
      </w:r>
    </w:p>
    <w:p w14:paraId="4A9E0EB0" w14:textId="77777777" w:rsidR="00B94CC7" w:rsidRDefault="009E4FAD">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CONSIDERANDO</w:t>
      </w:r>
    </w:p>
    <w:p w14:paraId="2CA657DF" w14:textId="77777777" w:rsidR="00B94CC7" w:rsidRDefault="009E4FAD">
      <w:pPr>
        <w:spacing w:before="240" w:after="240"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rPr>
        <w:t>Primero.</w:t>
      </w:r>
      <w:r>
        <w:rPr>
          <w:rFonts w:ascii="Palatino Linotype" w:eastAsia="Palatino Linotype" w:hAnsi="Palatino Linotype" w:cs="Palatino Linotype"/>
        </w:rPr>
        <w:t xml:space="preserve"> </w:t>
      </w:r>
      <w:r>
        <w:rPr>
          <w:rFonts w:ascii="Palatino Linotype" w:eastAsia="Palatino Linotype" w:hAnsi="Palatino Linotype" w:cs="Palatino Linotype"/>
          <w:b/>
        </w:rPr>
        <w:t>Competencia.</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highlight w:val="whit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485C900" w14:textId="77777777" w:rsidR="00B94CC7" w:rsidRDefault="009E4FAD">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 xml:space="preserve">De conformidad con los requisitos de oportunidad que debe reunir el recurso de revisión interpuesto, previsto en el artículo 178, párrafo primero de la Ley de Transparencia y Acceso a la Información Pública del Estado de México y Municipios vigente, en la especie se advierte que el presente medio de impugnación fue interpuesto dentro del plazo de quince días previsto en el dispositivo referido,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emitió su respuesta el día </w:t>
      </w:r>
      <w:r>
        <w:rPr>
          <w:rFonts w:ascii="Palatino Linotype" w:eastAsia="Palatino Linotype" w:hAnsi="Palatino Linotype" w:cs="Palatino Linotype"/>
          <w:b/>
        </w:rPr>
        <w:t>diez de febrero de dos mil veintidós</w:t>
      </w:r>
      <w:r>
        <w:rPr>
          <w:rFonts w:ascii="Palatino Linotype" w:eastAsia="Palatino Linotype" w:hAnsi="Palatino Linotype" w:cs="Palatino Linotype"/>
        </w:rPr>
        <w:t xml:space="preserve">, mientras que el solicitante presentó su recurso de revisión el día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xml:space="preserve">, </w:t>
      </w:r>
      <w:r>
        <w:rPr>
          <w:rFonts w:ascii="Palatino Linotype" w:eastAsia="Palatino Linotype" w:hAnsi="Palatino Linotype" w:cs="Palatino Linotype"/>
        </w:rPr>
        <w:lastRenderedPageBreak/>
        <w:t xml:space="preserve">esto es, al </w:t>
      </w:r>
      <w:r>
        <w:rPr>
          <w:rFonts w:ascii="Palatino Linotype" w:eastAsia="Palatino Linotype" w:hAnsi="Palatino Linotype" w:cs="Palatino Linotype"/>
          <w:b/>
        </w:rPr>
        <w:t>noveno día hábil</w:t>
      </w:r>
      <w:r>
        <w:rPr>
          <w:rFonts w:ascii="Palatino Linotype" w:eastAsia="Palatino Linotype" w:hAnsi="Palatino Linotype" w:cs="Palatino Linotype"/>
        </w:rPr>
        <w:t xml:space="preserve"> siguiente en que tuvo conocimiento de la respuesta impugnada, de tal forma, se considera que la interposición del presente medio de impugnación se encuentra dentro de los márgenes temporales previstos en el citado precepto legal.</w:t>
      </w:r>
    </w:p>
    <w:p w14:paraId="1B7CC750" w14:textId="77777777" w:rsidR="00B94CC7" w:rsidRDefault="009E4FAD">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Ahora bien, por cuanto hace a la procedibilidad del recurso de revisión, es de suma importancia señalar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no señaló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CF71863" w14:textId="77777777" w:rsidR="00B94CC7" w:rsidRDefault="009E4FAD">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E6F5D03" w14:textId="77777777" w:rsidR="00B94CC7" w:rsidRDefault="009E4FAD">
      <w:pPr>
        <w:spacing w:before="240" w:after="240" w:line="360" w:lineRule="auto"/>
        <w:ind w:right="49"/>
        <w:jc w:val="both"/>
        <w:rPr>
          <w:rFonts w:ascii="Quattrocento Sans" w:eastAsia="Quattrocento Sans" w:hAnsi="Quattrocento Sans" w:cs="Quattrocento Sans"/>
        </w:rPr>
      </w:pPr>
      <w:r>
        <w:rPr>
          <w:rFonts w:ascii="Palatino Linotype" w:eastAsia="Palatino Linotype" w:hAnsi="Palatino Linotype" w:cs="Palatino Linotype"/>
        </w:rPr>
        <w:t xml:space="preserve">Así las cosas,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 al actualizarse lo dispuesto en los artículos 176 y 179 fracción </w:t>
      </w:r>
      <w:r>
        <w:rPr>
          <w:rFonts w:ascii="Palatino Linotype" w:eastAsia="Palatino Linotype" w:hAnsi="Palatino Linotype" w:cs="Palatino Linotype"/>
          <w:b/>
        </w:rPr>
        <w:t xml:space="preserve">I </w:t>
      </w:r>
      <w:r>
        <w:rPr>
          <w:rFonts w:ascii="Palatino Linotype" w:eastAsia="Palatino Linotype" w:hAnsi="Palatino Linotype" w:cs="Palatino Linotype"/>
        </w:rPr>
        <w:t>del ordenamiento legal citado, que establecen los supuestos en que puede interponerse el recurso de revisión:</w:t>
      </w:r>
    </w:p>
    <w:p w14:paraId="21502E22" w14:textId="77777777" w:rsidR="00B94CC7" w:rsidRDefault="009E4FA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176.</w:t>
      </w:r>
      <w:r>
        <w:rPr>
          <w:rFonts w:ascii="Palatino Linotype" w:eastAsia="Palatino Linotype" w:hAnsi="Palatino Linotype" w:cs="Palatino Linotype"/>
          <w:i/>
          <w:sz w:val="22"/>
          <w:szCs w:val="22"/>
        </w:rPr>
        <w:t xml:space="preserve"> El recurso de revisión es la garantía secundaria mediante la cual se pretende reparar cualquier posible afectación al derecho de acceso a la información pública en términos del presente y del siguiente Capítulo.</w:t>
      </w:r>
    </w:p>
    <w:p w14:paraId="1C06935D" w14:textId="77777777" w:rsidR="00B94CC7" w:rsidRDefault="009E4FAD">
      <w:pPr>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 </w:t>
      </w:r>
    </w:p>
    <w:p w14:paraId="4350156D" w14:textId="77777777" w:rsidR="00B94CC7" w:rsidRDefault="009E4FAD">
      <w:pPr>
        <w:ind w:left="567" w:right="90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La negativa a la información solicitada;</w:t>
      </w:r>
    </w:p>
    <w:p w14:paraId="7252CABD" w14:textId="77777777" w:rsidR="00B94CC7" w:rsidRDefault="009E4FAD">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 ” </w:t>
      </w:r>
    </w:p>
    <w:p w14:paraId="6D38B430" w14:textId="77777777" w:rsidR="00B94CC7" w:rsidRDefault="009E4FAD">
      <w:pPr>
        <w:ind w:right="615"/>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(Énfasis añadido)</w:t>
      </w:r>
    </w:p>
    <w:p w14:paraId="33657546" w14:textId="77777777" w:rsidR="00B94CC7" w:rsidRDefault="009E4F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 revisión a las constancias y documentos que obran en el expediente electrónico se advierte, que el tema sobre el que este Órgano Garante de Transparencia y Acceso a la Información se pronunciará será: </w:t>
      </w:r>
      <w:r>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Pr>
          <w:rFonts w:ascii="Palatino Linotype" w:eastAsia="Palatino Linotype" w:hAnsi="Palatino Linotype" w:cs="Palatino Linotype"/>
        </w:rPr>
        <w:t>de la parte Recurrente, o en su defecto, en caso de ser procedente, ordenar la entrega de información oportuna.</w:t>
      </w:r>
    </w:p>
    <w:p w14:paraId="5650BE31"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29D4DBE" w14:textId="77777777" w:rsidR="00B94CC7" w:rsidRDefault="009E4FAD">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xml:space="preserve">, así </w:t>
      </w:r>
      <w:r>
        <w:rPr>
          <w:rFonts w:ascii="Palatino Linotype" w:eastAsia="Palatino Linotype" w:hAnsi="Palatino Linotype" w:cs="Palatino Linotype"/>
          <w:i/>
          <w:sz w:val="22"/>
          <w:szCs w:val="22"/>
        </w:rPr>
        <w:lastRenderedPageBreak/>
        <w:t>como de las garantías para su protección, cuyo ejercicio no podrá restringirse ni suspenderse, salvo en los casos y bajo las condiciones que esta Constitución establece.</w:t>
      </w:r>
    </w:p>
    <w:p w14:paraId="17BC5A1A" w14:textId="77777777" w:rsidR="00B94CC7" w:rsidRDefault="009E4FAD">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FD95676" w14:textId="77777777" w:rsidR="00B94CC7" w:rsidRDefault="009E4FAD">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FD6BD7E" w14:textId="77777777" w:rsidR="00B94CC7" w:rsidRDefault="009E4FAD">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C304F56" w14:textId="77777777" w:rsidR="00B94CC7" w:rsidRDefault="009E4FA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5460516F" w14:textId="77777777" w:rsidR="00B94CC7" w:rsidRDefault="009E4FAD">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E20FC33"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2277E115"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C02B114"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w:t>
      </w:r>
      <w:r>
        <w:rPr>
          <w:rFonts w:ascii="Palatino Linotype" w:eastAsia="Palatino Linotype" w:hAnsi="Palatino Linotype" w:cs="Palatino Linotype"/>
          <w:b/>
          <w:i/>
          <w:sz w:val="22"/>
          <w:szCs w:val="22"/>
        </w:rPr>
        <w:t xml:space="preserve">ámbito </w:t>
      </w:r>
      <w:r>
        <w:rPr>
          <w:rFonts w:ascii="Palatino Linotype" w:eastAsia="Palatino Linotype" w:hAnsi="Palatino Linotype" w:cs="Palatino Linotype"/>
          <w:i/>
          <w:sz w:val="22"/>
          <w:szCs w:val="22"/>
        </w:rPr>
        <w:t xml:space="preserve">federal, estatal y </w:t>
      </w:r>
      <w:r>
        <w:rPr>
          <w:rFonts w:ascii="Palatino Linotype" w:eastAsia="Palatino Linotype" w:hAnsi="Palatino Linotype" w:cs="Palatino Linotype"/>
          <w:b/>
          <w:i/>
          <w:sz w:val="22"/>
          <w:szCs w:val="22"/>
        </w:rPr>
        <w:t>municipal</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E502CEC"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4D83FDD" w14:textId="77777777" w:rsidR="00B94CC7" w:rsidRDefault="009E4FAD">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1716CADE"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071685C"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79BD76B9"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74808739"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01D084D4" w14:textId="77777777" w:rsidR="00B94CC7" w:rsidRDefault="00B94CC7">
      <w:pPr>
        <w:ind w:left="851" w:right="851"/>
        <w:jc w:val="both"/>
        <w:rPr>
          <w:rFonts w:ascii="Palatino Linotype" w:eastAsia="Palatino Linotype" w:hAnsi="Palatino Linotype" w:cs="Palatino Linotype"/>
          <w:i/>
          <w:sz w:val="22"/>
          <w:szCs w:val="22"/>
        </w:rPr>
      </w:pPr>
    </w:p>
    <w:p w14:paraId="37847AE1"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06AD69D"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DB843D0"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310E694A"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10EA16D9"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7F7B49EF" w14:textId="77777777" w:rsidR="00B94CC7" w:rsidRDefault="00B94CC7">
      <w:pPr>
        <w:ind w:right="851"/>
        <w:jc w:val="both"/>
        <w:rPr>
          <w:rFonts w:ascii="Palatino Linotype" w:eastAsia="Palatino Linotype" w:hAnsi="Palatino Linotype" w:cs="Palatino Linotype"/>
          <w:i/>
          <w:sz w:val="22"/>
          <w:szCs w:val="22"/>
        </w:rPr>
      </w:pPr>
    </w:p>
    <w:p w14:paraId="37D0647D" w14:textId="77777777" w:rsidR="00B94CC7" w:rsidRDefault="009E4FAD">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dichos dispositivos legales.</w:t>
      </w:r>
    </w:p>
    <w:p w14:paraId="50ABE341"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que cualquier persona tiene el derecho al acceso de la información pública, información que consiste en aquella que sea generada, obtenida, adquirida, </w:t>
      </w:r>
      <w:r>
        <w:rPr>
          <w:rFonts w:ascii="Palatino Linotype" w:eastAsia="Palatino Linotype" w:hAnsi="Palatino Linotype" w:cs="Palatino Linotype"/>
        </w:rPr>
        <w:lastRenderedPageBreak/>
        <w:t>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D3A1844" w14:textId="77777777" w:rsidR="00B94CC7" w:rsidRDefault="009E4FAD">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8C1D8DE" w14:textId="77777777" w:rsidR="00B94CC7" w:rsidRDefault="009E4FAD">
      <w:pPr>
        <w:ind w:left="709" w:right="76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A9B9B3" w14:textId="77777777" w:rsidR="00B94CC7" w:rsidRDefault="009E4FAD">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solicitantes.”(Sic)</w:t>
      </w:r>
    </w:p>
    <w:p w14:paraId="5D460E4C" w14:textId="77777777" w:rsidR="00B94CC7" w:rsidRDefault="00B94CC7">
      <w:pPr>
        <w:spacing w:line="360" w:lineRule="auto"/>
        <w:jc w:val="both"/>
        <w:rPr>
          <w:rFonts w:ascii="Palatino Linotype" w:eastAsia="Palatino Linotype" w:hAnsi="Palatino Linotype" w:cs="Palatino Linotype"/>
        </w:rPr>
      </w:pPr>
    </w:p>
    <w:p w14:paraId="639F66A1"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precedente, se desprende que los Sujetos Obligados tiene la obligación o deber de atender las solicitudes de acceso a la información pública que se les hagan de su conocimiento y proporcionar la información pública que obren en su poder como </w:t>
      </w:r>
      <w:r>
        <w:rPr>
          <w:rFonts w:ascii="Palatino Linotype" w:eastAsia="Palatino Linotype" w:hAnsi="Palatino Linotype" w:cs="Palatino Linotype"/>
        </w:rPr>
        <w:lastRenderedPageBreak/>
        <w:t xml:space="preserve">así lo establece el </w:t>
      </w:r>
      <w:r>
        <w:rPr>
          <w:rFonts w:ascii="Palatino Linotype" w:eastAsia="Palatino Linotype" w:hAnsi="Palatino Linotype" w:cs="Palatino Linotype"/>
          <w:b/>
        </w:rPr>
        <w:t>artículo 12</w:t>
      </w:r>
      <w:r>
        <w:rPr>
          <w:rFonts w:ascii="Palatino Linotype" w:eastAsia="Palatino Linotype" w:hAnsi="Palatino Linotype" w:cs="Palatino Linotype"/>
        </w:rPr>
        <w:t xml:space="preserve"> de la Ley de Transparencia y Acceso a la Información Pública del Estado de México y Municipios, el cual a la letra dice:</w:t>
      </w:r>
    </w:p>
    <w:p w14:paraId="75311357" w14:textId="77777777" w:rsidR="00B94CC7" w:rsidRDefault="00B94CC7">
      <w:pPr>
        <w:spacing w:line="360" w:lineRule="auto"/>
        <w:jc w:val="both"/>
        <w:rPr>
          <w:rFonts w:ascii="Palatino Linotype" w:eastAsia="Palatino Linotype" w:hAnsi="Palatino Linotype" w:cs="Palatino Linotype"/>
        </w:rPr>
      </w:pPr>
    </w:p>
    <w:p w14:paraId="76BFDD2C"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994E8D5" w14:textId="77777777" w:rsidR="00B94CC7" w:rsidRDefault="00B94CC7">
      <w:pPr>
        <w:ind w:left="851" w:right="851"/>
        <w:jc w:val="both"/>
        <w:rPr>
          <w:rFonts w:ascii="Palatino Linotype" w:eastAsia="Palatino Linotype" w:hAnsi="Palatino Linotype" w:cs="Palatino Linotype"/>
          <w:i/>
          <w:sz w:val="22"/>
          <w:szCs w:val="22"/>
        </w:rPr>
      </w:pPr>
    </w:p>
    <w:p w14:paraId="20B4F2FF"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58DADC47" w14:textId="77777777" w:rsidR="00B94CC7" w:rsidRDefault="00B94CC7">
      <w:pPr>
        <w:spacing w:line="360" w:lineRule="auto"/>
        <w:jc w:val="both"/>
        <w:rPr>
          <w:rFonts w:ascii="Palatino Linotype" w:eastAsia="Palatino Linotype" w:hAnsi="Palatino Linotype" w:cs="Palatino Linotype"/>
        </w:rPr>
      </w:pPr>
    </w:p>
    <w:p w14:paraId="5F41801C"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decir, que el derecho de acceso a la información pública se satisface en aquellos casos en que se entregue documento en que conste la información requerida, toda vez que, los Sujetos Obligados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Pr>
          <w:rFonts w:ascii="Palatino Linotype" w:eastAsia="Palatino Linotype" w:hAnsi="Palatino Linotype" w:cs="Palatino Linotype"/>
          <w:i/>
        </w:rPr>
        <w:t>ad hoc</w:t>
      </w:r>
      <w:r>
        <w:rPr>
          <w:rFonts w:ascii="Palatino Linotype" w:eastAsia="Palatino Linotype" w:hAnsi="Palatino Linotype" w:cs="Palatino Linotype"/>
        </w:rPr>
        <w:t>, para satisfacer el derecho de acceso a la información pública, como así lo establece el criterio 03/17 emitidos por el Instituto Nacional de Transparencia, Acceso a la Información Pública y Protección de Datos Personales, los cuales señalan lo siguiente:</w:t>
      </w:r>
    </w:p>
    <w:p w14:paraId="6EDC96B9" w14:textId="77777777" w:rsidR="00B94CC7" w:rsidRDefault="00B94CC7">
      <w:pPr>
        <w:ind w:left="851" w:right="851"/>
        <w:jc w:val="both"/>
        <w:rPr>
          <w:rFonts w:ascii="Palatino Linotype" w:eastAsia="Palatino Linotype" w:hAnsi="Palatino Linotype" w:cs="Palatino Linotype"/>
          <w:b/>
          <w:i/>
          <w:sz w:val="22"/>
          <w:szCs w:val="22"/>
        </w:rPr>
      </w:pPr>
    </w:p>
    <w:p w14:paraId="1F8F2E45" w14:textId="77777777" w:rsidR="00B94CC7" w:rsidRDefault="009E4FAD">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03/17</w:t>
      </w:r>
    </w:p>
    <w:p w14:paraId="52EED8AB" w14:textId="77777777" w:rsidR="00B94CC7" w:rsidRDefault="009E4FAD">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“NO EXISTE OBLIGACIÓN DE ELABORAR DOCUMENTOS AD HOC PARA ATENDER LAS SOLICITUDES DE ACCESO A LA INFORM ACIÓN.</w:t>
      </w:r>
    </w:p>
    <w:p w14:paraId="2FFAFC87"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w:t>
      </w:r>
      <w:r>
        <w:rPr>
          <w:rFonts w:ascii="Palatino Linotype" w:eastAsia="Palatino Linotype" w:hAnsi="Palatino Linotype" w:cs="Palatino Linotype"/>
          <w:i/>
          <w:sz w:val="22"/>
          <w:szCs w:val="22"/>
        </w:rPr>
        <w:lastRenderedPageBreak/>
        <w:t>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4AB689CE" w14:textId="77777777" w:rsidR="00B94CC7" w:rsidRDefault="00B94CC7">
      <w:pPr>
        <w:spacing w:line="360" w:lineRule="auto"/>
        <w:jc w:val="both"/>
        <w:rPr>
          <w:rFonts w:ascii="Palatino Linotype" w:eastAsia="Palatino Linotype" w:hAnsi="Palatino Linotype" w:cs="Palatino Linotype"/>
        </w:rPr>
      </w:pPr>
    </w:p>
    <w:p w14:paraId="57D1779B"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19E651FF"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33E47190" w14:textId="77777777" w:rsidR="00B94CC7" w:rsidRDefault="00B94CC7">
      <w:pPr>
        <w:ind w:left="851" w:right="851"/>
        <w:jc w:val="both"/>
        <w:rPr>
          <w:rFonts w:ascii="Palatino Linotype" w:eastAsia="Palatino Linotype" w:hAnsi="Palatino Linotype" w:cs="Palatino Linotype"/>
          <w:b/>
          <w:i/>
          <w:sz w:val="22"/>
          <w:szCs w:val="22"/>
        </w:rPr>
      </w:pPr>
    </w:p>
    <w:p w14:paraId="5DE5778E"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47285F0C" w14:textId="77777777" w:rsidR="00B94CC7" w:rsidRDefault="00B94CC7">
      <w:pPr>
        <w:ind w:left="851" w:right="851"/>
        <w:jc w:val="both"/>
        <w:rPr>
          <w:rFonts w:ascii="Palatino Linotype" w:eastAsia="Palatino Linotype" w:hAnsi="Palatino Linotype" w:cs="Palatino Linotype"/>
          <w:i/>
          <w:sz w:val="22"/>
          <w:szCs w:val="22"/>
        </w:rPr>
      </w:pPr>
    </w:p>
    <w:p w14:paraId="72D32EBE"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AB511A1" w14:textId="77777777" w:rsidR="00B94CC7" w:rsidRDefault="00B94CC7">
      <w:pPr>
        <w:ind w:left="851" w:right="851"/>
        <w:jc w:val="both"/>
        <w:rPr>
          <w:rFonts w:ascii="Palatino Linotype" w:eastAsia="Palatino Linotype" w:hAnsi="Palatino Linotype" w:cs="Palatino Linotype"/>
          <w:i/>
          <w:sz w:val="22"/>
          <w:szCs w:val="22"/>
        </w:rPr>
      </w:pPr>
    </w:p>
    <w:p w14:paraId="7F7228D3"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995109A" w14:textId="77777777" w:rsidR="00B94CC7" w:rsidRDefault="00B94CC7">
      <w:pPr>
        <w:ind w:left="851" w:right="851"/>
        <w:jc w:val="both"/>
        <w:rPr>
          <w:rFonts w:ascii="Palatino Linotype" w:eastAsia="Palatino Linotype" w:hAnsi="Palatino Linotype" w:cs="Palatino Linotype"/>
          <w:i/>
          <w:sz w:val="22"/>
          <w:szCs w:val="22"/>
        </w:rPr>
      </w:pPr>
    </w:p>
    <w:p w14:paraId="46AAB7CA"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(Énfasis añadido)</w:t>
      </w:r>
    </w:p>
    <w:p w14:paraId="1E59A40A"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w:t>
      </w:r>
      <w:r>
        <w:rPr>
          <w:rFonts w:ascii="Palatino Linotype" w:eastAsia="Palatino Linotype" w:hAnsi="Palatino Linotype" w:cs="Palatino Linotype"/>
        </w:rPr>
        <w:lastRenderedPageBreak/>
        <w:t>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6FF6DD6F"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Pr>
          <w:rFonts w:ascii="Palatino Linotype" w:eastAsia="Palatino Linotype" w:hAnsi="Palatino Linotype" w:cs="Palatino Linotype"/>
          <w:b/>
        </w:rPr>
        <w:t>cualquier otro registro que documente el ejercicio de las facultades, funciones, obligaciones y competencias de los Sujetos Obligados</w:t>
      </w:r>
      <w:r>
        <w:rPr>
          <w:rFonts w:ascii="Palatino Linotype" w:eastAsia="Palatino Linotype" w:hAnsi="Palatino Linotype" w:cs="Palatino Linotype"/>
        </w:rPr>
        <w:t xml:space="preserve">; </w:t>
      </w:r>
      <w:r>
        <w:rPr>
          <w:rFonts w:ascii="Palatino Linotype" w:eastAsia="Palatino Linotype" w:hAnsi="Palatino Linotype" w:cs="Palatino Linotype"/>
          <w:b/>
        </w:rPr>
        <w:t>los que, podrán estar en cualquier medio</w:t>
      </w:r>
      <w:r>
        <w:rPr>
          <w:rFonts w:ascii="Palatino Linotype" w:eastAsia="Palatino Linotype" w:hAnsi="Palatino Linotype" w:cs="Palatino Linotype"/>
        </w:rPr>
        <w:t xml:space="preserve">, sea escrito, impreso, sonoro, visual, </w:t>
      </w:r>
      <w:r>
        <w:rPr>
          <w:rFonts w:ascii="Palatino Linotype" w:eastAsia="Palatino Linotype" w:hAnsi="Palatino Linotype" w:cs="Palatino Linotype"/>
          <w:b/>
        </w:rPr>
        <w:t>electrónico</w:t>
      </w:r>
      <w:r>
        <w:rPr>
          <w:rFonts w:ascii="Palatino Linotype" w:eastAsia="Palatino Linotype" w:hAnsi="Palatino Linotype" w:cs="Palatino Linotype"/>
        </w:rPr>
        <w:t xml:space="preserve">, informático u holográfico, esto es, </w:t>
      </w:r>
      <w:r>
        <w:rPr>
          <w:rFonts w:ascii="Palatino Linotype" w:eastAsia="Palatino Linotype" w:hAnsi="Palatino Linotype" w:cs="Palatino Linotype"/>
          <w:b/>
        </w:rPr>
        <w:t>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C99E84D" w14:textId="77777777" w:rsidR="00B94CC7" w:rsidRDefault="009E4FAD">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w:t>
      </w:r>
      <w:r>
        <w:rPr>
          <w:rFonts w:ascii="Palatino Linotype" w:eastAsia="Palatino Linotype" w:hAnsi="Palatino Linotype" w:cs="Palatino Linotype"/>
        </w:rPr>
        <w:lastRenderedPageBreak/>
        <w:t>con 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transparencia señaladas en los artículos 92 y 100 de la Ley de la Materia.</w:t>
      </w:r>
    </w:p>
    <w:p w14:paraId="6771D146"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previo al estudio del presente asunto, es conveniente recordar que la parte solicitante requirió al </w:t>
      </w:r>
      <w:r>
        <w:rPr>
          <w:rFonts w:ascii="Palatino Linotype" w:eastAsia="Palatino Linotype" w:hAnsi="Palatino Linotype" w:cs="Palatino Linotype"/>
          <w:b/>
        </w:rPr>
        <w:t>Sujeto Obligado</w:t>
      </w:r>
      <w:r>
        <w:rPr>
          <w:rFonts w:ascii="Palatino Linotype" w:eastAsia="Palatino Linotype" w:hAnsi="Palatino Linotype" w:cs="Palatino Linotype"/>
        </w:rPr>
        <w:t>, le proporcionara lo siguiente:</w:t>
      </w:r>
    </w:p>
    <w:p w14:paraId="14765BA6" w14:textId="77777777" w:rsidR="00B94CC7" w:rsidRDefault="009E4FAD">
      <w:pPr>
        <w:numPr>
          <w:ilvl w:val="0"/>
          <w:numId w:val="1"/>
        </w:numPr>
        <w:pBdr>
          <w:top w:val="nil"/>
          <w:left w:val="nil"/>
          <w:bottom w:val="nil"/>
          <w:right w:val="nil"/>
          <w:between w:val="nil"/>
        </w:pBdr>
        <w:tabs>
          <w:tab w:val="left" w:pos="7513"/>
        </w:tabs>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Copia del documento, en pdf, de los comodatos aprobados en cabildo en favor del DIF Metepec desde el 1 de enero hasta la fecha de respuesta de la  solicitud de información.</w:t>
      </w:r>
    </w:p>
    <w:p w14:paraId="1BA6B464" w14:textId="77777777" w:rsidR="00B94CC7" w:rsidRDefault="00B94CC7">
      <w:pPr>
        <w:tabs>
          <w:tab w:val="left" w:pos="7513"/>
        </w:tabs>
        <w:spacing w:line="360" w:lineRule="auto"/>
        <w:ind w:right="49"/>
        <w:jc w:val="both"/>
        <w:rPr>
          <w:rFonts w:ascii="Palatino Linotype" w:eastAsia="Palatino Linotype" w:hAnsi="Palatino Linotype" w:cs="Palatino Linotype"/>
        </w:rPr>
      </w:pPr>
    </w:p>
    <w:p w14:paraId="656325EF" w14:textId="77777777" w:rsidR="00B94CC7" w:rsidRDefault="009E4FAD">
      <w:pPr>
        <w:tabs>
          <w:tab w:val="left" w:pos="7513"/>
        </w:tabs>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manifestó en respuesta, que después de una búsqueda exhaustiva en sus archivos, no se encontró la información solicitada, ya que esta obra en el archivo del H. Ayuntamiento de Metepec. </w:t>
      </w:r>
    </w:p>
    <w:p w14:paraId="27B33836" w14:textId="77777777" w:rsidR="00B94CC7" w:rsidRDefault="00B94CC7">
      <w:pPr>
        <w:tabs>
          <w:tab w:val="left" w:pos="7513"/>
        </w:tabs>
        <w:spacing w:line="360" w:lineRule="auto"/>
        <w:ind w:right="49"/>
        <w:jc w:val="both"/>
        <w:rPr>
          <w:rFonts w:ascii="Palatino Linotype" w:eastAsia="Palatino Linotype" w:hAnsi="Palatino Linotype" w:cs="Palatino Linotype"/>
        </w:rPr>
      </w:pPr>
    </w:p>
    <w:p w14:paraId="21804929" w14:textId="77777777" w:rsidR="00B94CC7" w:rsidRDefault="009E4FAD">
      <w:pPr>
        <w:spacing w:line="360" w:lineRule="auto"/>
        <w:jc w:val="both"/>
        <w:rPr>
          <w:rFonts w:ascii="Palatino Linotype" w:eastAsia="Palatino Linotype" w:hAnsi="Palatino Linotype" w:cs="Palatino Linotype"/>
          <w:i/>
        </w:rPr>
      </w:pPr>
      <w:r>
        <w:rPr>
          <w:rFonts w:ascii="Palatino Linotype" w:eastAsia="Palatino Linotype" w:hAnsi="Palatino Linotype" w:cs="Palatino Linotype"/>
        </w:rPr>
        <w:lastRenderedPageBreak/>
        <w:t xml:space="preserve">Expuesto lo anterior, es de suma importancia destacar que del análisis a las constancias que obran en el expediente electrónico, en el formato de interposición del recurso de revisión que nos ocupa, específicamente en lo vertido en el acto impugnado </w:t>
      </w:r>
      <w:r>
        <w:rPr>
          <w:rFonts w:ascii="Palatino Linotype" w:eastAsia="Palatino Linotype" w:hAnsi="Palatino Linotype" w:cs="Palatino Linotype"/>
          <w:i/>
        </w:rPr>
        <w:t>“…</w:t>
      </w:r>
      <w:r>
        <w:rPr>
          <w:rFonts w:ascii="Palatino Linotype" w:eastAsia="Palatino Linotype" w:hAnsi="Palatino Linotype" w:cs="Palatino Linotype"/>
          <w:b/>
          <w:i/>
        </w:rPr>
        <w:t>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w:t>
      </w:r>
      <w:r>
        <w:rPr>
          <w:rFonts w:ascii="Palatino Linotype" w:eastAsia="Palatino Linotype" w:hAnsi="Palatino Linotype" w:cs="Palatino Linotype"/>
          <w:i/>
        </w:rPr>
        <w:t>”</w:t>
      </w:r>
      <w:r>
        <w:rPr>
          <w:rFonts w:ascii="Palatino Linotype" w:eastAsia="Palatino Linotype" w:hAnsi="Palatino Linotype" w:cs="Palatino Linotype"/>
        </w:rPr>
        <w:t xml:space="preserve"> </w:t>
      </w:r>
      <w:r>
        <w:rPr>
          <w:rFonts w:ascii="Palatino Linotype" w:eastAsia="Palatino Linotype" w:hAnsi="Palatino Linotype" w:cs="Palatino Linotype"/>
          <w:i/>
        </w:rPr>
        <w:t>(Sic) (Énfasis añadido)</w:t>
      </w:r>
    </w:p>
    <w:p w14:paraId="51835FB1" w14:textId="77777777" w:rsidR="00B94CC7" w:rsidRDefault="00B94CC7">
      <w:pPr>
        <w:spacing w:line="360" w:lineRule="auto"/>
        <w:jc w:val="both"/>
        <w:rPr>
          <w:rFonts w:ascii="Palatino Linotype" w:eastAsia="Palatino Linotype" w:hAnsi="Palatino Linotype" w:cs="Palatino Linotype"/>
        </w:rPr>
      </w:pPr>
    </w:p>
    <w:p w14:paraId="37FAF32D"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Debe precisarse que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fue omiso en remitir su informe justificado, asimismo el particular no emitió sus alegatos, manifestaciones o cualquier argumento que a su derecho convenga, por lo cual debemos remitirnos al estudio de lo siguiente: </w:t>
      </w:r>
    </w:p>
    <w:p w14:paraId="314FD213" w14:textId="77777777" w:rsidR="00B94CC7" w:rsidRDefault="00B94CC7">
      <w:pPr>
        <w:spacing w:line="360" w:lineRule="auto"/>
        <w:jc w:val="both"/>
        <w:rPr>
          <w:rFonts w:ascii="Palatino Linotype" w:eastAsia="Palatino Linotype" w:hAnsi="Palatino Linotype" w:cs="Palatino Linotype"/>
        </w:rPr>
      </w:pPr>
    </w:p>
    <w:p w14:paraId="5E3AFCBD"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primera instancia, conviene precisar que el particular peticionó de forma específica le sea entregado el documento en donde consten los comodatos aprobados en cabildo en favor del DIF Metepec desde el 1 de enero y hasta la fecha de respuesta de esta solicitud de información., por ello es necesario señalar que el comodato se encuentra regulado en el Título Séptimo del Código Civil del Estado de México, en los términos siguientes:</w:t>
      </w:r>
    </w:p>
    <w:p w14:paraId="17FED6B3" w14:textId="77777777" w:rsidR="00B94CC7" w:rsidRDefault="00B94CC7">
      <w:pPr>
        <w:spacing w:line="360" w:lineRule="auto"/>
        <w:jc w:val="both"/>
        <w:rPr>
          <w:rFonts w:ascii="Palatino Linotype" w:eastAsia="Palatino Linotype" w:hAnsi="Palatino Linotype" w:cs="Palatino Linotype"/>
        </w:rPr>
      </w:pPr>
    </w:p>
    <w:p w14:paraId="267F440E"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“TITULO SEPTIMO </w:t>
      </w:r>
    </w:p>
    <w:p w14:paraId="7B629B4F"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Del Comodato </w:t>
      </w:r>
    </w:p>
    <w:p w14:paraId="10ED17D1"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Elementos personales del comodato </w:t>
      </w:r>
    </w:p>
    <w:p w14:paraId="72B778FA"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lastRenderedPageBreak/>
        <w:t xml:space="preserve">Artículo 7.721.- </w:t>
      </w:r>
      <w:r>
        <w:rPr>
          <w:rFonts w:ascii="Palatino Linotype" w:eastAsia="Palatino Linotype" w:hAnsi="Palatino Linotype" w:cs="Palatino Linotype"/>
          <w:b/>
          <w:i/>
          <w:sz w:val="22"/>
          <w:szCs w:val="22"/>
        </w:rPr>
        <w:t xml:space="preserve">El comodato </w:t>
      </w:r>
      <w:r>
        <w:rPr>
          <w:rFonts w:ascii="Palatino Linotype" w:eastAsia="Palatino Linotype" w:hAnsi="Palatino Linotype" w:cs="Palatino Linotype"/>
          <w:b/>
          <w:i/>
          <w:sz w:val="22"/>
          <w:szCs w:val="22"/>
          <w:u w:val="single"/>
        </w:rPr>
        <w:t>es un contrato por el cual uno de los contratantes concede gratuitamente el uso de un bien, y el otro contrae la obligación de restituirlo individualmente.</w:t>
      </w:r>
      <w:r>
        <w:rPr>
          <w:rFonts w:ascii="Palatino Linotype" w:eastAsia="Palatino Linotype" w:hAnsi="Palatino Linotype" w:cs="Palatino Linotype"/>
          <w:b/>
          <w:i/>
          <w:sz w:val="22"/>
          <w:szCs w:val="22"/>
        </w:rPr>
        <w:t xml:space="preserve"> </w:t>
      </w:r>
    </w:p>
    <w:p w14:paraId="03A8F6AD"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Elemento formal del comodato </w:t>
      </w:r>
    </w:p>
    <w:p w14:paraId="040BF509" w14:textId="77777777" w:rsidR="00B94CC7" w:rsidRDefault="009E4FAD">
      <w:pPr>
        <w:spacing w:line="276" w:lineRule="auto"/>
        <w:ind w:left="567" w:right="851"/>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i/>
          <w:sz w:val="22"/>
          <w:szCs w:val="22"/>
        </w:rPr>
        <w:t xml:space="preserve">Artículo 7.722.- </w:t>
      </w:r>
      <w:r>
        <w:rPr>
          <w:rFonts w:ascii="Palatino Linotype" w:eastAsia="Palatino Linotype" w:hAnsi="Palatino Linotype" w:cs="Palatino Linotype"/>
          <w:b/>
          <w:i/>
          <w:sz w:val="22"/>
          <w:szCs w:val="22"/>
          <w:u w:val="single"/>
        </w:rPr>
        <w:t xml:space="preserve">El contrato de comodato debe celebrarse por escrito. </w:t>
      </w:r>
    </w:p>
    <w:p w14:paraId="59C417DC"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Comodato sobre bienes consumibles</w:t>
      </w:r>
    </w:p>
    <w:p w14:paraId="52D43899"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7.723.- Cuando el comodato tuviere por objeto bienes consumibles, deberán ser restituidos idénticamente. </w:t>
      </w:r>
    </w:p>
    <w:p w14:paraId="328C3214"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Autorización para dar bienes en comodato </w:t>
      </w:r>
    </w:p>
    <w:p w14:paraId="476A03B4"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7.724.- Los administradores de bienes ajenos, sólo podrán dar en comodato, previa autorización judicial, los bienes confiados a su guarda. </w:t>
      </w:r>
    </w:p>
    <w:p w14:paraId="491CF372"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Autorización del comodante para conceder el uso a un tercero </w:t>
      </w:r>
    </w:p>
    <w:p w14:paraId="76B43B32"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7.725.- Solo con autorización del comodante, el comodatario podrá conceder el uso del bien a un tercero. </w:t>
      </w:r>
    </w:p>
    <w:p w14:paraId="7B4FE4BF"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Derecho del comodatario </w:t>
      </w:r>
    </w:p>
    <w:p w14:paraId="43076FB1"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Artículo 7.726.- </w:t>
      </w:r>
      <w:r>
        <w:rPr>
          <w:rFonts w:ascii="Palatino Linotype" w:eastAsia="Palatino Linotype" w:hAnsi="Palatino Linotype" w:cs="Palatino Linotype"/>
          <w:b/>
          <w:i/>
          <w:sz w:val="22"/>
          <w:szCs w:val="22"/>
        </w:rPr>
        <w:t xml:space="preserve">El comodatario adquiere el uso, pero no los frutos y accesiones del bien dado en comodato. </w:t>
      </w:r>
    </w:p>
    <w:p w14:paraId="0F54C055"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Obligación del comodatario </w:t>
      </w:r>
    </w:p>
    <w:p w14:paraId="416326FD"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7.727.- </w:t>
      </w:r>
      <w:r>
        <w:rPr>
          <w:rFonts w:ascii="Palatino Linotype" w:eastAsia="Palatino Linotype" w:hAnsi="Palatino Linotype" w:cs="Palatino Linotype"/>
          <w:b/>
          <w:i/>
          <w:sz w:val="22"/>
          <w:szCs w:val="22"/>
        </w:rPr>
        <w:t>El comodatario está obligado a poner toda la diligencia en la conservación del bien, y es responsable de todo deterioro que sufra por su culpa</w:t>
      </w:r>
      <w:r>
        <w:rPr>
          <w:rFonts w:ascii="Palatino Linotype" w:eastAsia="Palatino Linotype" w:hAnsi="Palatino Linotype" w:cs="Palatino Linotype"/>
          <w:i/>
          <w:sz w:val="22"/>
          <w:szCs w:val="22"/>
        </w:rPr>
        <w:t xml:space="preserve">. </w:t>
      </w:r>
    </w:p>
    <w:p w14:paraId="13DB94E6"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Deterioro que impide el uso ordinario </w:t>
      </w:r>
    </w:p>
    <w:p w14:paraId="69EBFEFD"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7.728.- Si es tal el deterioro del bien que no sea susceptible de emplearse en su uso ordinario, el comodante podrá exigir el valor del mismo, a ese momento. </w:t>
      </w:r>
    </w:p>
    <w:p w14:paraId="1DA21C09"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Uso diverso del bien o por más tiempo </w:t>
      </w:r>
    </w:p>
    <w:p w14:paraId="6F1A3CDD"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7.729.- El comodatario responde de la pérdida del bien si lo emplea en uso diverso o por más tiempo del convenido, aún cuando aquélla sobrevenga por caso fortuito. </w:t>
      </w:r>
    </w:p>
    <w:p w14:paraId="5C9DE1F2"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Gastos ordinarios para la conservación del bien </w:t>
      </w:r>
    </w:p>
    <w:p w14:paraId="2FF1DDE7"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7.730.- El comodatario no tiene derecho para repetir el importe de los gastos ordinarios que efectúe para la conservación del bien prestado. </w:t>
      </w:r>
    </w:p>
    <w:p w14:paraId="6CDAAA5A"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Obligación del comodatario de entregar el bien </w:t>
      </w:r>
    </w:p>
    <w:p w14:paraId="1BC62AD2"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Artículo 7.731.- Tampoco tiene derecho el comodatario para retener el bien a pretexto de lo que por expensas o por cualquier otra causa le deba el dueño. </w:t>
      </w:r>
    </w:p>
    <w:p w14:paraId="1C6571F7"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Obligaciones solidarias de los comodatarios </w:t>
      </w:r>
    </w:p>
    <w:p w14:paraId="7AD1C2A1"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7.732.- Siendo dos o más los comodatarios, están sujetos solidariamente a las mismas obligaciones. </w:t>
      </w:r>
    </w:p>
    <w:p w14:paraId="5C2499A4"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Falta de convenio sobre uso y plazo </w:t>
      </w:r>
    </w:p>
    <w:p w14:paraId="03270BDD"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7.733.- Si no se ha determinado el uso o el plazo del comodato, el comodante podrá exigir la devolución del bien cuando convenga a sus intereses.</w:t>
      </w:r>
    </w:p>
    <w:p w14:paraId="0BFEC440"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Derecho del comodante de exigir la devolución </w:t>
      </w:r>
    </w:p>
    <w:p w14:paraId="47BB901C"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7.734.- El comodante podrá exigir la devolución del bien antes de que termine el plazo cuando: </w:t>
      </w:r>
    </w:p>
    <w:p w14:paraId="0194703C"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Tenga necesidad de él; </w:t>
      </w:r>
    </w:p>
    <w:p w14:paraId="36A271D5"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Exista peligro de que el bien perezca, de continuar en poder del comodatario; </w:t>
      </w:r>
    </w:p>
    <w:p w14:paraId="10F5CF86"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El comodatario haya autorizado a un tercero a servirse del bien sin consentimiento del comodante. </w:t>
      </w:r>
    </w:p>
    <w:p w14:paraId="41271023"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Gastos necesarios para la conservación del bien </w:t>
      </w:r>
    </w:p>
    <w:p w14:paraId="12A2DAFF" w14:textId="77777777" w:rsidR="00B94CC7" w:rsidRDefault="009E4FAD">
      <w:pPr>
        <w:spacing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7.735.- El comodatario tiene la obligación de pagar los gastos necesarios para la conservación del bien, salvo pacto en contrario. </w:t>
      </w:r>
    </w:p>
    <w:p w14:paraId="0CB818AB" w14:textId="77777777" w:rsidR="00B94CC7" w:rsidRDefault="009E4FAD">
      <w:pPr>
        <w:spacing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Vicios del bien objeto del comodato </w:t>
      </w:r>
    </w:p>
    <w:p w14:paraId="0D971C29" w14:textId="77777777" w:rsidR="00B94CC7" w:rsidRDefault="009E4FAD">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7.736.- Cuando el bien dado en comodato tenga defectos tales que cause perjuicios al que se sirva de él, el comodante es responsable de éstos, si conocía los defectos y no dio aviso oportuno al comodatario. </w:t>
      </w:r>
    </w:p>
    <w:p w14:paraId="792001AB" w14:textId="77777777" w:rsidR="00B94CC7" w:rsidRDefault="009E4FAD">
      <w:pPr>
        <w:spacing w:line="276" w:lineRule="auto"/>
        <w:ind w:left="567"/>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Muerte del comodatario </w:t>
      </w:r>
    </w:p>
    <w:p w14:paraId="5BED06D7" w14:textId="77777777" w:rsidR="00B94CC7" w:rsidRDefault="009E4FAD">
      <w:pPr>
        <w:spacing w:line="276" w:lineRule="auto"/>
        <w:ind w:lef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7.737.- El comodato termina por la muerte del comodatario.”</w:t>
      </w:r>
    </w:p>
    <w:p w14:paraId="2F2C3A8D" w14:textId="77777777" w:rsidR="00B94CC7" w:rsidRDefault="009E4FAD">
      <w:pPr>
        <w:spacing w:line="276" w:lineRule="auto"/>
        <w:ind w:left="567"/>
        <w:jc w:val="both"/>
        <w:rPr>
          <w:rFonts w:ascii="Palatino Linotype" w:eastAsia="Palatino Linotype" w:hAnsi="Palatino Linotype" w:cs="Palatino Linotype"/>
        </w:rPr>
      </w:pPr>
      <w:r>
        <w:rPr>
          <w:rFonts w:ascii="Palatino Linotype" w:eastAsia="Palatino Linotype" w:hAnsi="Palatino Linotype" w:cs="Palatino Linotype"/>
          <w:i/>
          <w:sz w:val="22"/>
          <w:szCs w:val="22"/>
        </w:rPr>
        <w:t>(Énfasis añadido)</w:t>
      </w:r>
    </w:p>
    <w:p w14:paraId="4ECF01E6" w14:textId="77777777" w:rsidR="00B94CC7" w:rsidRDefault="00B94CC7">
      <w:pPr>
        <w:spacing w:line="276" w:lineRule="auto"/>
        <w:ind w:left="567"/>
        <w:jc w:val="both"/>
        <w:rPr>
          <w:rFonts w:ascii="Palatino Linotype" w:eastAsia="Palatino Linotype" w:hAnsi="Palatino Linotype" w:cs="Palatino Linotype"/>
        </w:rPr>
      </w:pPr>
    </w:p>
    <w:p w14:paraId="7688A3C0"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con lo anteriormente citado, podemos apreciar que el comodato es el contrato por el que el comodante se concede gratuitamente el uso de un bien al comodatario quien se obliga a restituirlo una vez concluida la vigencia del contrato, y que el contrato que debe constar por escrito.</w:t>
      </w:r>
    </w:p>
    <w:p w14:paraId="72FEFCBA"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dilucidado este concepto, debemos recordar que en respuesta a la solicitud que dio origen a la interposición del recurso de revisión que nos ocupa,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manifestó que después de una búsqueda exhaustiva en sus archivos, </w:t>
      </w:r>
      <w:r>
        <w:rPr>
          <w:rFonts w:ascii="Palatino Linotype" w:eastAsia="Palatino Linotype" w:hAnsi="Palatino Linotype" w:cs="Palatino Linotype"/>
          <w:b/>
        </w:rPr>
        <w:t>no se encontró la información solicitada, ya que esta obra en el archivo del H. Ayuntamiento de Metepec</w:t>
      </w:r>
      <w:r>
        <w:rPr>
          <w:rFonts w:ascii="Palatino Linotype" w:eastAsia="Palatino Linotype" w:hAnsi="Palatino Linotype" w:cs="Palatino Linotype"/>
        </w:rPr>
        <w:t xml:space="preserve">, sin embargo, este organismo garante procedió a consultar la gaceta municipal de fecha 4 de febrero de 2022, en la que se advierten los Acuerdos de Cabildo del Ayuntamiento Constitucional de Metepec, Estado de México, correspondientes al mes de enero de 2022, en la cual obra el </w:t>
      </w:r>
      <w:r>
        <w:rPr>
          <w:rFonts w:ascii="Palatino Linotype" w:eastAsia="Palatino Linotype" w:hAnsi="Palatino Linotype" w:cs="Palatino Linotype"/>
          <w:b/>
        </w:rPr>
        <w:t>Acuerdo 038/2022 de la Primera Sesión Extraordinaria, celebrada el 7 de enero de 2022</w:t>
      </w:r>
      <w:r>
        <w:rPr>
          <w:rFonts w:ascii="Palatino Linotype" w:eastAsia="Palatino Linotype" w:hAnsi="Palatino Linotype" w:cs="Palatino Linotype"/>
        </w:rPr>
        <w:t>, el cual reviste interés para el presente estudio por contener la aprobación de la propuesta que presentó la C. María Elisa Quijada Badillo, Directora General del Sistema Municipal para el Desarrollo Integral de la Familia de Metepec, Estado de México, por la cual el Ayuntamiento autorizó la suscripción de los contratos de comodato de bienes inmuebles entre el Ayuntamiento y el Sistema Municipal DIF, ambos de Metepec, Estado de México, por lo que para mejor proveer del presente asunto, resulta pertinente traer a colación las siguientes ilustraciones:</w:t>
      </w:r>
      <w:r>
        <w:rPr>
          <w:noProof/>
          <w:lang w:val="es-MX"/>
        </w:rPr>
        <w:drawing>
          <wp:anchor distT="0" distB="0" distL="114300" distR="114300" simplePos="0" relativeHeight="251659264" behindDoc="0" locked="0" layoutInCell="1" hidden="0" allowOverlap="1" wp14:anchorId="2000A1DF" wp14:editId="534EA587">
            <wp:simplePos x="0" y="0"/>
            <wp:positionH relativeFrom="column">
              <wp:posOffset>3</wp:posOffset>
            </wp:positionH>
            <wp:positionV relativeFrom="paragraph">
              <wp:posOffset>4998720</wp:posOffset>
            </wp:positionV>
            <wp:extent cx="6169192" cy="1800225"/>
            <wp:effectExtent l="0" t="0" r="0" b="0"/>
            <wp:wrapTopAndBottom distT="0" dist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169192" cy="1800225"/>
                    </a:xfrm>
                    <a:prstGeom prst="rect">
                      <a:avLst/>
                    </a:prstGeom>
                    <a:ln/>
                  </pic:spPr>
                </pic:pic>
              </a:graphicData>
            </a:graphic>
          </wp:anchor>
        </w:drawing>
      </w:r>
      <w:r>
        <w:rPr>
          <w:noProof/>
          <w:lang w:val="es-MX"/>
        </w:rPr>
        <mc:AlternateContent>
          <mc:Choice Requires="wpg">
            <w:drawing>
              <wp:anchor distT="0" distB="0" distL="114300" distR="114300" simplePos="0" relativeHeight="251660288" behindDoc="0" locked="0" layoutInCell="1" hidden="0" allowOverlap="1" wp14:anchorId="0B310AC2" wp14:editId="7376585D">
                <wp:simplePos x="0" y="0"/>
                <wp:positionH relativeFrom="column">
                  <wp:posOffset>2197100</wp:posOffset>
                </wp:positionH>
                <wp:positionV relativeFrom="paragraph">
                  <wp:posOffset>6286500</wp:posOffset>
                </wp:positionV>
                <wp:extent cx="3959225" cy="50800"/>
                <wp:effectExtent l="0" t="0" r="0" b="0"/>
                <wp:wrapNone/>
                <wp:docPr id="66" name="Conector recto de flecha 66"/>
                <wp:cNvGraphicFramePr/>
                <a:graphic xmlns:a="http://schemas.openxmlformats.org/drawingml/2006/main">
                  <a:graphicData uri="http://schemas.microsoft.com/office/word/2010/wordprocessingShape">
                    <wps:wsp>
                      <wps:cNvCnPr/>
                      <wps:spPr>
                        <a:xfrm>
                          <a:off x="3379088" y="3767300"/>
                          <a:ext cx="3933825" cy="2540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2197100</wp:posOffset>
                </wp:positionH>
                <wp:positionV relativeFrom="paragraph">
                  <wp:posOffset>6286500</wp:posOffset>
                </wp:positionV>
                <wp:extent cx="3959225" cy="50800"/>
                <wp:effectExtent b="0" l="0" r="0" t="0"/>
                <wp:wrapNone/>
                <wp:docPr id="66"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3959225" cy="50800"/>
                        </a:xfrm>
                        <a:prstGeom prst="rect"/>
                        <a:ln/>
                      </pic:spPr>
                    </pic:pic>
                  </a:graphicData>
                </a:graphic>
              </wp:anchor>
            </w:drawing>
          </mc:Fallback>
        </mc:AlternateContent>
      </w:r>
      <w:r>
        <w:rPr>
          <w:noProof/>
          <w:lang w:val="es-MX"/>
        </w:rPr>
        <mc:AlternateContent>
          <mc:Choice Requires="wpg">
            <w:drawing>
              <wp:anchor distT="0" distB="0" distL="114300" distR="114300" simplePos="0" relativeHeight="251661312" behindDoc="0" locked="0" layoutInCell="1" hidden="0" allowOverlap="1" wp14:anchorId="1E28E837" wp14:editId="22614659">
                <wp:simplePos x="0" y="0"/>
                <wp:positionH relativeFrom="column">
                  <wp:posOffset>50801</wp:posOffset>
                </wp:positionH>
                <wp:positionV relativeFrom="paragraph">
                  <wp:posOffset>6438900</wp:posOffset>
                </wp:positionV>
                <wp:extent cx="5930900" cy="50800"/>
                <wp:effectExtent l="0" t="0" r="0" b="0"/>
                <wp:wrapNone/>
                <wp:docPr id="67" name="Conector recto de flecha 67"/>
                <wp:cNvGraphicFramePr/>
                <a:graphic xmlns:a="http://schemas.openxmlformats.org/drawingml/2006/main">
                  <a:graphicData uri="http://schemas.microsoft.com/office/word/2010/wordprocessingShape">
                    <wps:wsp>
                      <wps:cNvCnPr/>
                      <wps:spPr>
                        <a:xfrm>
                          <a:off x="2393250" y="3767300"/>
                          <a:ext cx="5905500" cy="25400"/>
                        </a:xfrm>
                        <a:prstGeom prst="straightConnector1">
                          <a:avLst/>
                        </a:prstGeom>
                        <a:noFill/>
                        <a:ln w="25400" cap="flat" cmpd="sng">
                          <a:solidFill>
                            <a:srgbClr val="00206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50801</wp:posOffset>
                </wp:positionH>
                <wp:positionV relativeFrom="paragraph">
                  <wp:posOffset>6438900</wp:posOffset>
                </wp:positionV>
                <wp:extent cx="5930900" cy="50800"/>
                <wp:effectExtent b="0" l="0" r="0" t="0"/>
                <wp:wrapNone/>
                <wp:docPr id="67"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5930900" cy="50800"/>
                        </a:xfrm>
                        <a:prstGeom prst="rect"/>
                        <a:ln/>
                      </pic:spPr>
                    </pic:pic>
                  </a:graphicData>
                </a:graphic>
              </wp:anchor>
            </w:drawing>
          </mc:Fallback>
        </mc:AlternateContent>
      </w:r>
    </w:p>
    <w:p w14:paraId="3B324EB3" w14:textId="77777777" w:rsidR="00B94CC7" w:rsidRDefault="00B94CC7">
      <w:pPr>
        <w:spacing w:after="240" w:line="360" w:lineRule="auto"/>
        <w:jc w:val="both"/>
        <w:rPr>
          <w:rFonts w:ascii="Palatino Linotype" w:eastAsia="Palatino Linotype" w:hAnsi="Palatino Linotype" w:cs="Palatino Linotype"/>
        </w:rPr>
      </w:pPr>
    </w:p>
    <w:p w14:paraId="14020EDC" w14:textId="77777777" w:rsidR="00B94CC7" w:rsidRDefault="009E4FAD">
      <w:pPr>
        <w:spacing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08D478EF" wp14:editId="5A302FEE">
            <wp:extent cx="4288064" cy="6639869"/>
            <wp:effectExtent l="0" t="0" r="0" b="0"/>
            <wp:docPr id="7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4288064" cy="6639869"/>
                    </a:xfrm>
                    <a:prstGeom prst="rect">
                      <a:avLst/>
                    </a:prstGeom>
                    <a:ln/>
                  </pic:spPr>
                </pic:pic>
              </a:graphicData>
            </a:graphic>
          </wp:inline>
        </w:drawing>
      </w:r>
    </w:p>
    <w:p w14:paraId="2E00BBA1" w14:textId="77777777" w:rsidR="00B94CC7" w:rsidRDefault="009E4FAD">
      <w:pPr>
        <w:spacing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05ABA5C4" wp14:editId="2502FDB0">
            <wp:extent cx="4657725" cy="6991350"/>
            <wp:effectExtent l="0" t="0" r="0" b="0"/>
            <wp:docPr id="7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4657725" cy="6991350"/>
                    </a:xfrm>
                    <a:prstGeom prst="rect">
                      <a:avLst/>
                    </a:prstGeom>
                    <a:ln/>
                  </pic:spPr>
                </pic:pic>
              </a:graphicData>
            </a:graphic>
          </wp:inline>
        </w:drawing>
      </w:r>
    </w:p>
    <w:p w14:paraId="6D2AE1AF" w14:textId="77777777" w:rsidR="00B94CC7" w:rsidRDefault="009E4FAD">
      <w:pPr>
        <w:spacing w:after="240" w:line="360" w:lineRule="auto"/>
        <w:jc w:val="center"/>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7ECB063A" wp14:editId="4DBACF3D">
            <wp:extent cx="4619625" cy="7124700"/>
            <wp:effectExtent l="0" t="0" r="0" b="0"/>
            <wp:docPr id="7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4619625" cy="7124700"/>
                    </a:xfrm>
                    <a:prstGeom prst="rect">
                      <a:avLst/>
                    </a:prstGeom>
                    <a:ln/>
                  </pic:spPr>
                </pic:pic>
              </a:graphicData>
            </a:graphic>
          </wp:inline>
        </w:drawing>
      </w:r>
    </w:p>
    <w:p w14:paraId="2120DA62"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manera que con lo ilustrado se vislumbra que las partes que fungirán como comodante y comodatario en los treinta y tres contratos de comodato de los bienes inmuebles, son el Ayuntamiento de Metepec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lo que se concluye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satisfizo el derecho de acceso el derecho de acceso a la información del ahora Recurrente, al incumplir el principio de exhaustividad, toda vez que no se advierte una correcta búsqueda exhaustiva y razonable de la información solicitada por el Particular, lo anterior es así, en razón de que compete a los sujetos obligados seguir el procedimiento para la atención a las solicitudes de acceso a la información, establecido en los artículos 151, 160, 162, 163, 164, 165 y 166, de la Ley de Transparencia y Acceso a la Información Pública del Estado de México y Municipios, el cual es el siguiente: </w:t>
      </w:r>
    </w:p>
    <w:p w14:paraId="046692FC"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6E21758E"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La respuesta a los requerimientos informativos, deberá notificarse al interesado en el menor tiempo posible, que no podrá exceder de quince días hábiles, contados a partir del día siguiente a la presentación de esta. </w:t>
      </w:r>
    </w:p>
    <w:p w14:paraId="14A7C8A4"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Excepcionalmente, el plazo referido podrá ampliarse por siete días hábiles más, cuando existan razones fundadas y motivadas, a través del Comité de Transparencia; </w:t>
      </w:r>
    </w:p>
    <w:p w14:paraId="03C8FF64"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50FA6190"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307DC108"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63632313" w14:textId="77777777" w:rsidR="00B94CC7" w:rsidRDefault="009E4FAD">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En este orden de ideas, el Sujeto Obligado deberá turnar la solicitud a las áreas competentes para conocer de la solicitud de información, como pudieran ser, </w:t>
      </w:r>
      <w:r>
        <w:rPr>
          <w:rFonts w:ascii="Palatino Linotype" w:eastAsia="Palatino Linotype" w:hAnsi="Palatino Linotype" w:cs="Palatino Linotype"/>
          <w:b/>
        </w:rPr>
        <w:t xml:space="preserve">la Dirección General y la Dirección Jurídica y Procuraduría Municipal de Protección de Niñas, Niños y Adolescentes, </w:t>
      </w:r>
      <w:r>
        <w:rPr>
          <w:rFonts w:ascii="Palatino Linotype" w:eastAsia="Palatino Linotype" w:hAnsi="Palatino Linotype" w:cs="Palatino Linotype"/>
        </w:rPr>
        <w:t xml:space="preserve">ello de conformidad con lo previsto por el Manual de Organización del Sistema Municipal Para el Desarrollo Integral de la Familia de Metepec, el cual versa de la siguiente manera: </w:t>
      </w:r>
    </w:p>
    <w:p w14:paraId="6D458191"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rPr>
        <w:lastRenderedPageBreak/>
        <w:t>“</w:t>
      </w:r>
      <w:r>
        <w:rPr>
          <w:rFonts w:ascii="Palatino Linotype" w:eastAsia="Palatino Linotype" w:hAnsi="Palatino Linotype" w:cs="Palatino Linotype"/>
          <w:i/>
          <w:sz w:val="22"/>
          <w:szCs w:val="22"/>
        </w:rPr>
        <w:t xml:space="preserve">3. </w:t>
      </w:r>
      <w:r>
        <w:rPr>
          <w:rFonts w:ascii="Palatino Linotype" w:eastAsia="Palatino Linotype" w:hAnsi="Palatino Linotype" w:cs="Palatino Linotype"/>
          <w:b/>
          <w:i/>
          <w:sz w:val="22"/>
          <w:szCs w:val="22"/>
        </w:rPr>
        <w:t>DIRECCIÓN GENERAL</w:t>
      </w:r>
      <w:r>
        <w:rPr>
          <w:rFonts w:ascii="Palatino Linotype" w:eastAsia="Palatino Linotype" w:hAnsi="Palatino Linotype" w:cs="Palatino Linotype"/>
          <w:i/>
          <w:sz w:val="22"/>
          <w:szCs w:val="22"/>
        </w:rPr>
        <w:t xml:space="preserve"> </w:t>
      </w:r>
    </w:p>
    <w:p w14:paraId="1E888692"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OBJETIVO </w:t>
      </w:r>
      <w:r>
        <w:rPr>
          <w:rFonts w:ascii="Palatino Linotype" w:eastAsia="Palatino Linotype" w:hAnsi="Palatino Linotype" w:cs="Palatino Linotype"/>
          <w:b/>
          <w:i/>
          <w:sz w:val="22"/>
          <w:szCs w:val="22"/>
        </w:rPr>
        <w:t>Planear, organizar y dirigir las acciones de las diferentes unidades administrativas del organismo, para dar cabal cumplimiento al objetivo y los fines institucionales, en materia de asistencia social y beneficio colectivo.</w:t>
      </w:r>
    </w:p>
    <w:p w14:paraId="769F6248"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w:t>
      </w:r>
    </w:p>
    <w:p w14:paraId="5B8A5CCA"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Planear y dirigir el funcionamiento del Sistema Municipal DIF de Metepec, de conformidad con las instrucciones emitidas por la Junta de Gobierno y la Presidencia; </w:t>
      </w:r>
    </w:p>
    <w:p w14:paraId="66169C4E"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C773DE5"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Acordar con los titulares de las unidades administrativas las actividades colectivas o individuales a realizar para el mejor funcionamiento del organismo; </w:t>
      </w:r>
    </w:p>
    <w:p w14:paraId="558E40B3"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D54E9F2"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10. </w:t>
      </w:r>
      <w:r>
        <w:rPr>
          <w:rFonts w:ascii="Palatino Linotype" w:eastAsia="Palatino Linotype" w:hAnsi="Palatino Linotype" w:cs="Palatino Linotype"/>
          <w:b/>
          <w:i/>
          <w:sz w:val="22"/>
          <w:szCs w:val="22"/>
        </w:rPr>
        <w:t xml:space="preserve">Promover y suscribir los contratos y actos jurídicos que se requieran para el logro de los objetivos del organismo; </w:t>
      </w:r>
    </w:p>
    <w:p w14:paraId="4D9FB75D"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34A4B72"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12. Presentar periódicamente a la Presidencia del Sistema Municipal DIF de Metepec, informe sobre las actividades desarrolladas en las unidades administrativas del organismo y tomar acuerdo para la obtención de mejores resultados; </w:t>
      </w:r>
    </w:p>
    <w:p w14:paraId="543D1407" w14:textId="77777777" w:rsidR="00B94CC7" w:rsidRDefault="009E4FAD">
      <w:pPr>
        <w:spacing w:after="240" w:line="276" w:lineRule="auto"/>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4636328D"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3.4 </w:t>
      </w:r>
      <w:r>
        <w:rPr>
          <w:rFonts w:ascii="Palatino Linotype" w:eastAsia="Palatino Linotype" w:hAnsi="Palatino Linotype" w:cs="Palatino Linotype"/>
          <w:b/>
          <w:i/>
          <w:sz w:val="22"/>
          <w:szCs w:val="22"/>
        </w:rPr>
        <w:t>DIRECCIÓN JURÍDICA Y PROCURADURÍA MUNICIPAL DE PROTECCIÓN DE NIÑAS, NIÑOS Y ADOLESCENTES.</w:t>
      </w:r>
    </w:p>
    <w:p w14:paraId="283E2C2F"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 xml:space="preserve">OBJETIVO Ofrecer servicios de asistencia jurídica, psicológica y de trabajo social a través del Grupo Multidisciplinario a las niñas, niños y adolescentes ante una eventual vulneración de sus derechos; además de emprender asesorías y </w:t>
      </w:r>
      <w:r>
        <w:rPr>
          <w:rFonts w:ascii="Palatino Linotype" w:eastAsia="Palatino Linotype" w:hAnsi="Palatino Linotype" w:cs="Palatino Linotype"/>
          <w:i/>
          <w:sz w:val="22"/>
          <w:szCs w:val="22"/>
        </w:rPr>
        <w:lastRenderedPageBreak/>
        <w:t xml:space="preserve">representación legal en juicios del orden familiar, </w:t>
      </w:r>
      <w:r>
        <w:rPr>
          <w:rFonts w:ascii="Palatino Linotype" w:eastAsia="Palatino Linotype" w:hAnsi="Palatino Linotype" w:cs="Palatino Linotype"/>
          <w:b/>
          <w:i/>
          <w:sz w:val="22"/>
          <w:szCs w:val="22"/>
        </w:rPr>
        <w:t>así como representar jurídicamente al Sistema ante cualquier instancia o institución para defender jurídicamente sus intereses.</w:t>
      </w:r>
    </w:p>
    <w:p w14:paraId="7431BC32"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FUNCIONES </w:t>
      </w:r>
    </w:p>
    <w:p w14:paraId="330DC20D"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DIRECCIÓN JURÍDICA </w:t>
      </w:r>
    </w:p>
    <w:p w14:paraId="31DA382D"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1. Promover la asesoría y defensa jurídica del Sistema, además de actuar como representante legal del organismo en todos los asuntos en que este tenga interés; </w:t>
      </w:r>
    </w:p>
    <w:p w14:paraId="1BA9ECD1"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2. Proporcionar apoyo jurídico en aspectos relacionados con la regularización del patrimonio del Sistema Municipal y participar en los procesos de adquisiciones, enajenaciones con el propósito de salvaguardar los intereses del Sistema; </w:t>
      </w:r>
    </w:p>
    <w:p w14:paraId="60EED8ED" w14:textId="77777777" w:rsidR="00B94CC7" w:rsidRDefault="009E4FAD">
      <w:pPr>
        <w:spacing w:after="240" w:line="276" w:lineRule="auto"/>
        <w:ind w:left="567"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4. Realizar el análisis jurídico de convenios, contratos, acuerdos y de todos los instrumentos jurídicos en los que tenga injerencia el Sistema;</w:t>
      </w:r>
    </w:p>
    <w:p w14:paraId="4604F57B"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se concluye que de la normatividad anteriormente citada se advierte que las dos Direcciones mencionadas cuentan con atribuciones para contar con la información interés del Particular, por lo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puede tener en sus archivos el documento fuente del que se desprenda lo que el Recurrente solicita; en virtud de que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w:t>
      </w:r>
      <w:r>
        <w:rPr>
          <w:rFonts w:ascii="Palatino Linotype" w:eastAsia="Palatino Linotype" w:hAnsi="Palatino Linotype" w:cs="Palatino Linotype"/>
        </w:rPr>
        <w:lastRenderedPageBreak/>
        <w:t xml:space="preserve">además, que tampoco deberá generarla, resumirla, efectuar cálculos o practicar investigaciones. </w:t>
      </w:r>
    </w:p>
    <w:p w14:paraId="474A536A" w14:textId="77777777" w:rsidR="00B94CC7" w:rsidRDefault="009E4FAD">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puede concluir que el documento fuente en donde conste lo solicitado por el Particular, son los contratos de comodato suscritos entre el Ayuntamiento de Metepec y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los cuales fueron aprobados mediante el </w:t>
      </w:r>
      <w:r>
        <w:rPr>
          <w:rFonts w:ascii="Palatino Linotype" w:eastAsia="Palatino Linotype" w:hAnsi="Palatino Linotype" w:cs="Palatino Linotype"/>
          <w:b/>
        </w:rPr>
        <w:t xml:space="preserve">Acuerdo 038/2022 de la Primera Sesión Extraordinaria, celebrada el 7 de enero de 2022, </w:t>
      </w:r>
      <w:r>
        <w:rPr>
          <w:rFonts w:ascii="Palatino Linotype" w:eastAsia="Palatino Linotype" w:hAnsi="Palatino Linotype" w:cs="Palatino Linotype"/>
        </w:rPr>
        <w:t xml:space="preserve">por lo que no es preceptivo un procesamiento de la información para entregar los documentos conforme a los intereses del ahora Recurrente, en consecuencia, resulta dable ordenar al Sujeto Obligado realice una búsqueda exhaustiva y razonada de la información en todas las áreas que pudieran contar con la misma y hacer entrega vía Sistema de Acceso a la Información Mexiquense (SAIMEX) en versión pública de ser procedente, esto en términos del Considerando siguiente, sin embargo, de ser el caso </w:t>
      </w:r>
      <w:r>
        <w:rPr>
          <w:rFonts w:ascii="Palatino Linotype" w:eastAsia="Palatino Linotype" w:hAnsi="Palatino Linotype" w:cs="Palatino Linotype"/>
          <w:color w:val="000000"/>
        </w:rPr>
        <w:t xml:space="preserve">en el que derivado de una búsqueda exhaustiva y razonable dentro de los archivos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no se localice la información requerida porque no se han suscrito los contratos, deberá manifestarse a la parte solicitante de manera fundada y motivada, toda vez que así se brinda certeza jurídica a los particulares de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realizó una búsqueda dentro de sus archivos. </w:t>
      </w:r>
    </w:p>
    <w:p w14:paraId="096EDA49" w14:textId="77777777" w:rsidR="00B94CC7" w:rsidRDefault="009E4FAD">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 DE LOS ACTOS ADMINISTRATIVOS</w:t>
      </w:r>
      <w:r>
        <w:rPr>
          <w:rFonts w:ascii="Palatino Linotype" w:eastAsia="Palatino Linotype" w:hAnsi="Palatino Linotype" w:cs="Palatino Linotype"/>
          <w:i/>
          <w:sz w:val="22"/>
          <w:szCs w:val="22"/>
        </w:rPr>
        <w:t xml:space="preserve">. De acuerdo con  el artículo 16 constitucional, </w:t>
      </w:r>
      <w:r>
        <w:rPr>
          <w:rFonts w:ascii="Palatino Linotype" w:eastAsia="Palatino Linotype" w:hAnsi="Palatino Linotype" w:cs="Palatino Linotype"/>
          <w:b/>
          <w:i/>
          <w:sz w:val="22"/>
          <w:szCs w:val="22"/>
          <w:u w:val="single"/>
        </w:rPr>
        <w:t xml:space="preserve">todo acto de autoridad debe estar suficientemente fundado y motivado, entendiéndose por lo primero que han de expresarse con precisión el precepto legal aplicable al caso y por lo segundo, que también deben señalarse con precisión, las circunstancias especiales, razones </w:t>
      </w:r>
      <w:r>
        <w:rPr>
          <w:rFonts w:ascii="Palatino Linotype" w:eastAsia="Palatino Linotype" w:hAnsi="Palatino Linotype" w:cs="Palatino Linotype"/>
          <w:b/>
          <w:i/>
          <w:sz w:val="22"/>
          <w:szCs w:val="22"/>
          <w:u w:val="single"/>
        </w:rPr>
        <w:lastRenderedPageBreak/>
        <w:t>particulares o causas inmediatas que se hayan tenido en consideración para la emisión del acto, siendo necesario además, que exista adecuación entre los motivos aducidos y las normas aplicables, es decir, que en el caso concreto se configure la hipótesis normativa</w:t>
      </w:r>
      <w:r>
        <w:rPr>
          <w:rFonts w:ascii="Palatino Linotype" w:eastAsia="Palatino Linotype" w:hAnsi="Palatino Linotype" w:cs="Palatino Linotype"/>
          <w:i/>
          <w:sz w:val="22"/>
          <w:szCs w:val="22"/>
        </w:rPr>
        <w:t>.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 y b).- Los cuerpos legales y preceptos que otorgan competencia o facultades a las autoridades para emitir el acto en agravio del gobernado.”</w:t>
      </w:r>
    </w:p>
    <w:p w14:paraId="7CB8CEA6" w14:textId="77777777" w:rsidR="00B94CC7" w:rsidRDefault="00B94CC7">
      <w:pPr>
        <w:spacing w:after="240" w:line="360" w:lineRule="auto"/>
        <w:jc w:val="both"/>
        <w:rPr>
          <w:rFonts w:ascii="Palatino Linotype" w:eastAsia="Palatino Linotype" w:hAnsi="Palatino Linotype" w:cs="Palatino Linotype"/>
        </w:rPr>
      </w:pPr>
    </w:p>
    <w:p w14:paraId="58DCB5FB" w14:textId="77777777" w:rsidR="00B94CC7" w:rsidRDefault="009E4FA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 xml:space="preserve">En este orden de ideas, resulta importante mencionar que de las constancias que obran en el expediente en que se actúa, se desprende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b/>
          <w:i/>
          <w:color w:val="000000"/>
        </w:rPr>
        <w:t xml:space="preserve"> </w:t>
      </w:r>
      <w:r>
        <w:rPr>
          <w:rFonts w:ascii="Palatino Linotype" w:eastAsia="Palatino Linotype" w:hAnsi="Palatino Linotype" w:cs="Palatino Linotype"/>
          <w:color w:val="000000"/>
        </w:rPr>
        <w:t xml:space="preserve">solicitó la siguiente información en fecha once de enero de dos mil veintidós, </w:t>
      </w:r>
      <w:r>
        <w:rPr>
          <w:rFonts w:ascii="Palatino Linotype" w:eastAsia="Palatino Linotype" w:hAnsi="Palatino Linotype" w:cs="Palatino Linotype"/>
          <w:i/>
          <w:color w:val="000000"/>
          <w:sz w:val="22"/>
          <w:szCs w:val="22"/>
        </w:rPr>
        <w:t xml:space="preserve">“Solicito una copia del documento, en pdf, de los comodatos aprobados en cabildo en favor del dif metepec </w:t>
      </w:r>
      <w:r>
        <w:rPr>
          <w:rFonts w:ascii="Palatino Linotype" w:eastAsia="Palatino Linotype" w:hAnsi="Palatino Linotype" w:cs="Palatino Linotype"/>
          <w:b/>
          <w:i/>
          <w:color w:val="000000"/>
          <w:sz w:val="22"/>
          <w:szCs w:val="22"/>
          <w:u w:val="single"/>
        </w:rPr>
        <w:t>desde el 1 de enero y hasta la fecha de respuesta de esta solicitud de información.</w:t>
      </w:r>
      <w:r>
        <w:rPr>
          <w:rFonts w:ascii="Palatino Linotype" w:eastAsia="Palatino Linotype" w:hAnsi="Palatino Linotype" w:cs="Palatino Linotype"/>
          <w:i/>
          <w:color w:val="000000"/>
          <w:sz w:val="22"/>
          <w:szCs w:val="22"/>
        </w:rPr>
        <w:t>” (Sic)</w:t>
      </w:r>
      <w:r>
        <w:rPr>
          <w:rFonts w:ascii="Palatino Linotype" w:eastAsia="Palatino Linotype" w:hAnsi="Palatino Linotype" w:cs="Palatino Linotype"/>
          <w:color w:val="000000"/>
          <w:sz w:val="22"/>
          <w:szCs w:val="22"/>
        </w:rPr>
        <w:t xml:space="preserve"> </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rPr>
        <w:t xml:space="preserve">lo cual aconteció el </w:t>
      </w:r>
      <w:r>
        <w:rPr>
          <w:rFonts w:ascii="Palatino Linotype" w:eastAsia="Palatino Linotype" w:hAnsi="Palatino Linotype" w:cs="Palatino Linotype"/>
          <w:b/>
          <w:color w:val="000000"/>
        </w:rPr>
        <w:t>diez de febrero de dos mil veintidós</w:t>
      </w:r>
      <w:r>
        <w:rPr>
          <w:rFonts w:ascii="Palatino Linotype" w:eastAsia="Palatino Linotype" w:hAnsi="Palatino Linotype" w:cs="Palatino Linotype"/>
          <w:b/>
          <w:color w:val="000000"/>
          <w:sz w:val="22"/>
          <w:szCs w:val="22"/>
        </w:rPr>
        <w:t xml:space="preserve">, </w:t>
      </w:r>
      <w:r>
        <w:rPr>
          <w:rFonts w:ascii="Palatino Linotype" w:eastAsia="Palatino Linotype" w:hAnsi="Palatino Linotype" w:cs="Palatino Linotype"/>
          <w:color w:val="000000"/>
        </w:rPr>
        <w:t>de manera que el requerimiento del particular versa sobre hechos futuros.</w:t>
      </w:r>
    </w:p>
    <w:p w14:paraId="263E4BCE" w14:textId="77777777" w:rsidR="00B94CC7" w:rsidRDefault="009E4FAD">
      <w:pPr>
        <w:pBdr>
          <w:top w:val="nil"/>
          <w:left w:val="nil"/>
          <w:bottom w:val="nil"/>
          <w:right w:val="nil"/>
          <w:between w:val="nil"/>
        </w:pBdr>
        <w:spacing w:before="240" w:after="240" w:line="360" w:lineRule="auto"/>
        <w:jc w:val="both"/>
        <w:rPr>
          <w:color w:val="000000"/>
        </w:rPr>
      </w:pPr>
      <w:r>
        <w:rPr>
          <w:rFonts w:ascii="Palatino Linotype" w:eastAsia="Palatino Linotype" w:hAnsi="Palatino Linotype" w:cs="Palatino Linotype"/>
          <w:color w:val="000000"/>
        </w:rPr>
        <w:t>Sirve como referencia la Jurisprudencia emitida por la Suprema Corte de Justicia de la Nación, que es del texto y rubro siguiente:</w:t>
      </w:r>
    </w:p>
    <w:p w14:paraId="3EEEEDB6" w14:textId="77777777" w:rsidR="00B94CC7" w:rsidRDefault="009E4FAD">
      <w:pPr>
        <w:pBdr>
          <w:top w:val="nil"/>
          <w:left w:val="nil"/>
          <w:bottom w:val="nil"/>
          <w:right w:val="nil"/>
          <w:between w:val="nil"/>
        </w:pBdr>
        <w:spacing w:after="120" w:line="276" w:lineRule="auto"/>
        <w:ind w:left="567" w:right="90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“DEMANDA DE AMPARO. LA RECLAMACIÓN DE UN ACTO FUTURO O INCIERTO, DEL CUAL NO PUEDA SABERSE CON EXACTITUD SI ES </w:t>
      </w:r>
      <w:r>
        <w:rPr>
          <w:rFonts w:ascii="Palatino Linotype" w:eastAsia="Palatino Linotype" w:hAnsi="Palatino Linotype" w:cs="Palatino Linotype"/>
          <w:b/>
          <w:i/>
          <w:color w:val="000000"/>
          <w:sz w:val="22"/>
          <w:szCs w:val="22"/>
        </w:rPr>
        <w:lastRenderedPageBreak/>
        <w:t>INMINENTE O SI LLEGARÁ O NO A MATERIALIZARSE, NO CONSTITUYE UN MOTIVO MANIFIESTO E INDUDABLE DE IMPROCEDENCIA, POR LO QUE EL JUEZ DE DISTRITO DEBE ADMITIRLA A TRÁMITE.</w:t>
      </w:r>
      <w:r>
        <w:rPr>
          <w:rFonts w:ascii="Palatino Linotype" w:eastAsia="Palatino Linotype" w:hAnsi="Palatino Linotype" w:cs="Palatino Linotype"/>
          <w:i/>
          <w:color w:val="000000"/>
          <w:sz w:val="22"/>
          <w:szCs w:val="22"/>
        </w:rPr>
        <w:t xml:space="preserve"> El artículo 145 de la Ley de Amparo faculta al Juez de Distrito para desechar la demanda de amparo indirecto cuando al examinarla aparezca un motivo manifiesto e indudable de improcedencia; sin embargo, esa potestad del Juez no es ilimitada, ni depende de un criterio puramente subjetivo, pues tal motivo debe estar plenamente demostrado, y advertirse en forma patente y absolutamente clara de la lectura del escrito de demanda, de los escritos aclaratorios o de los documentos que se anexen a esas promociones. De ahí que cuando se reclame un acto futuro e incierto y no pueda saberse con exactitud si es inminente, o bien, si llegará o no a materializarse, sino que es necesario contar con elementos de prueba que permitan una correcta conclusión, no debe considerarse que existe un motivo manifiesto e indudable de improcedencia que amerite aplicar el indicado artículo 145 para desechar de plano la demanda, por lo que el Juez de Distrito deberá admitirla a trámite. Lo anterior obedece a que para que el juzgador se encuentre en condiciones de saber si el acto reclamado, considerado como futuro, se realizará por parte de la autoridad, debe analizar los elementos probatorios existentes, y si estimara racionalmente que la responsable ya ordenó la realización del acto reclamado o que está a punto de hacerlo, deberá admitir la demanda, sin perjuicio de que durante la sustanciación del juicio quede plenamente probado que efectivamente se trata de un acto de ese tipo, o se tenga la certeza de la existencia de alguna otra causa de improcedencia regulada en el artículo 73 de la citada ley, u otra prevista en diverso precepto legal relacionado con la fracción XVIII de este numeral.” (Sic)</w:t>
      </w:r>
    </w:p>
    <w:p w14:paraId="6F222AB8" w14:textId="77777777" w:rsidR="00B94CC7" w:rsidRDefault="00B94CC7">
      <w:pPr>
        <w:pBdr>
          <w:top w:val="nil"/>
          <w:left w:val="nil"/>
          <w:bottom w:val="nil"/>
          <w:right w:val="nil"/>
          <w:between w:val="nil"/>
        </w:pBdr>
        <w:spacing w:after="120" w:line="276" w:lineRule="auto"/>
        <w:ind w:left="567" w:right="900"/>
        <w:jc w:val="both"/>
        <w:rPr>
          <w:rFonts w:ascii="Palatino Linotype" w:eastAsia="Palatino Linotype" w:hAnsi="Palatino Linotype" w:cs="Palatino Linotype"/>
          <w:i/>
          <w:color w:val="000000"/>
          <w:sz w:val="22"/>
          <w:szCs w:val="22"/>
        </w:rPr>
      </w:pPr>
    </w:p>
    <w:p w14:paraId="0CCDB940" w14:textId="77777777" w:rsidR="00B94CC7" w:rsidRDefault="009E4FAD">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en consecuencia, la información solicitada deberá entregarse a la fecha de la solicitud, es decir, al once de enero de dos mil veintidós, toda vez que no se tiene la certeza de la materialización del hecho futuro e incierto.</w:t>
      </w:r>
    </w:p>
    <w:p w14:paraId="4B488F03"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no escapa de la óptica de este Organismo Garante que en sus motivos de inconformidad el particular solicitó que se diera vista al Órgano Interno de Control, por lo que es necesario señalar que el Recurso de Revisión no es el medio para investigar y en su caso, sancionar a servidores públicos y de las constancias que obran en el expediente no se advierten  motivos suficientes para dar vista a la Contraloría Interna y Órgano de Control y Vigilancia; sin embargo, se dejan a salvo sus derechos para en caso de así considerarlo, acuda ante la instancia competente y realice las denuncias o quejas que considere pertinentes.</w:t>
      </w:r>
    </w:p>
    <w:p w14:paraId="39A339DC" w14:textId="77777777" w:rsidR="00B94CC7" w:rsidRDefault="00B94CC7">
      <w:pPr>
        <w:spacing w:line="360" w:lineRule="auto"/>
        <w:jc w:val="both"/>
        <w:rPr>
          <w:rFonts w:ascii="Palatino Linotype" w:eastAsia="Palatino Linotype" w:hAnsi="Palatino Linotype" w:cs="Palatino Linotype"/>
        </w:rPr>
      </w:pPr>
    </w:p>
    <w:p w14:paraId="45EF899C" w14:textId="77777777" w:rsidR="00B94CC7" w:rsidRDefault="009E4FAD">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Finalmente para la entrega de los soportes documentales que en todo caso deberá proporcionar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para dar satisfacción de la derecho humano de acceso a la información de la particular,  deberá considerar que ello no es absoluto, sino que encuentra como excepciones que la información sobre la cual se peticiona el acceso, contenga datos que deban ser clasificados en los términos que la misma Ley de la Materia señala,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117EF39A" w14:textId="77777777" w:rsidR="00B94CC7" w:rsidRDefault="009E4FAD">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XXI y XLV, 91, 132 fracciones II y III, y 143 fracción I de la Ley de Transparencia y Acceso a la Información Pública del Estado de México y Municipios que establecen:</w:t>
      </w:r>
    </w:p>
    <w:p w14:paraId="4E540AD3"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Para los efectos de la presente Ley se entenderá por:</w:t>
      </w:r>
    </w:p>
    <w:p w14:paraId="09301D1E"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5D9C0EC"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5DCAD9FA"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4A192728"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200137B"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17F82962"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65843F5"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91. </w:t>
      </w:r>
      <w:r>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2333E00D"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132. </w:t>
      </w:r>
      <w:r>
        <w:rPr>
          <w:rFonts w:ascii="Palatino Linotype" w:eastAsia="Palatino Linotype" w:hAnsi="Palatino Linotype" w:cs="Palatino Linotype"/>
          <w:i/>
          <w:sz w:val="22"/>
          <w:szCs w:val="22"/>
        </w:rPr>
        <w:t>La clasificación de la información se llevará a cabo en el momento en que:</w:t>
      </w:r>
    </w:p>
    <w:p w14:paraId="18272898"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Se reciba una solicitud de acceso a la información;</w:t>
      </w:r>
    </w:p>
    <w:p w14:paraId="314D08D7"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Se determine mediante resolución de autoridad competente; o</w:t>
      </w:r>
    </w:p>
    <w:p w14:paraId="7358EDBA"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Se generen versiones públicas para dar cumplimiento a las obligaciones de transparencia previstas en esta Ley.</w:t>
      </w:r>
    </w:p>
    <w:p w14:paraId="35A4FFAB"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5F109C8"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5B10FC25"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5A60403"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3CF4C87F"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III</w:t>
      </w:r>
      <w:r>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15BC8F13"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7DC984B2"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6F494BB"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5FFA8B58"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Entorno a lo que aquí nos interesa, los Lineamientos Quincuagésimo sexto, Quincuagésimo séptimo y Quincuagésimo octavo, establecen lo siguiente:</w:t>
      </w:r>
    </w:p>
    <w:p w14:paraId="29C09EC3"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Quincuagésimo sexto</w:t>
      </w:r>
      <w:r>
        <w:rPr>
          <w:rFonts w:ascii="Palatino Linotype" w:eastAsia="Palatino Linotype" w:hAnsi="Palatino Linotype" w:cs="Palatino Linotype"/>
          <w:i/>
          <w:sz w:val="22"/>
          <w:szCs w:val="22"/>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D9778FA"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séptimo</w:t>
      </w:r>
      <w:r>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1708FC5E"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I</w:t>
      </w:r>
      <w:r>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4EC66B0E"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2D05C7D0" w14:textId="77777777" w:rsidR="00B94CC7" w:rsidRDefault="009E4FAD">
      <w:pPr>
        <w:spacing w:before="120" w:after="12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51CF343A" w14:textId="77777777" w:rsidR="00B94CC7" w:rsidRDefault="009E4FAD">
      <w:pPr>
        <w:spacing w:before="120" w:after="12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internaciones suscritos por el Estado mexicano. </w:t>
      </w:r>
    </w:p>
    <w:p w14:paraId="151381B8" w14:textId="77777777" w:rsidR="00B94CC7" w:rsidRDefault="009E4FAD">
      <w:pPr>
        <w:spacing w:before="120" w:after="120"/>
        <w:ind w:left="567"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Quincuagésimo octavo</w:t>
      </w:r>
      <w:r>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86431DB"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6D97960"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directa con ello, los Lineamientos en estudio establecen los formatos para la clasificación parcial y total de los documentos, que atienden a lo siguiente:</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3119"/>
        <w:gridCol w:w="1129"/>
        <w:gridCol w:w="3446"/>
      </w:tblGrid>
      <w:tr w:rsidR="00B94CC7" w14:paraId="2D6E583B" w14:textId="77777777">
        <w:tc>
          <w:tcPr>
            <w:tcW w:w="4253" w:type="dxa"/>
            <w:gridSpan w:val="2"/>
            <w:tcBorders>
              <w:top w:val="nil"/>
              <w:left w:val="nil"/>
              <w:right w:val="nil"/>
            </w:tcBorders>
          </w:tcPr>
          <w:p w14:paraId="0012110D"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Parcial</w:t>
            </w:r>
          </w:p>
        </w:tc>
        <w:tc>
          <w:tcPr>
            <w:tcW w:w="4575" w:type="dxa"/>
            <w:gridSpan w:val="2"/>
            <w:tcBorders>
              <w:top w:val="nil"/>
              <w:left w:val="nil"/>
              <w:right w:val="nil"/>
            </w:tcBorders>
          </w:tcPr>
          <w:p w14:paraId="5024C38A"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Total</w:t>
            </w:r>
          </w:p>
        </w:tc>
      </w:tr>
      <w:tr w:rsidR="00B94CC7" w14:paraId="71359EDC" w14:textId="77777777">
        <w:tc>
          <w:tcPr>
            <w:tcW w:w="1134" w:type="dxa"/>
          </w:tcPr>
          <w:p w14:paraId="7D3BA167"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119" w:type="dxa"/>
          </w:tcPr>
          <w:p w14:paraId="73ABE1AE"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1129" w:type="dxa"/>
          </w:tcPr>
          <w:p w14:paraId="23FDB464"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56FE349F"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B94CC7" w14:paraId="27F7C783" w14:textId="77777777">
        <w:tc>
          <w:tcPr>
            <w:tcW w:w="8828" w:type="dxa"/>
            <w:gridSpan w:val="4"/>
          </w:tcPr>
          <w:p w14:paraId="311C5BBA" w14:textId="77777777" w:rsidR="00B94CC7" w:rsidRDefault="009E4FAD">
            <w:pPr>
              <w:jc w:val="center"/>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lastRenderedPageBreak/>
              <w:t>Sello oficial o logotipo del sujeto obligado</w:t>
            </w:r>
          </w:p>
        </w:tc>
      </w:tr>
      <w:tr w:rsidR="00B94CC7" w14:paraId="50807755" w14:textId="77777777">
        <w:tc>
          <w:tcPr>
            <w:tcW w:w="1134" w:type="dxa"/>
          </w:tcPr>
          <w:p w14:paraId="67ADB75E"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119" w:type="dxa"/>
          </w:tcPr>
          <w:p w14:paraId="0E6075A1"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1129" w:type="dxa"/>
          </w:tcPr>
          <w:p w14:paraId="258D6B38"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3D5712FE"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B94CC7" w14:paraId="2B6FFCD5" w14:textId="77777777">
        <w:tc>
          <w:tcPr>
            <w:tcW w:w="1134" w:type="dxa"/>
          </w:tcPr>
          <w:p w14:paraId="6B6EE8A5"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119" w:type="dxa"/>
          </w:tcPr>
          <w:p w14:paraId="18DFE9F2"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1129" w:type="dxa"/>
          </w:tcPr>
          <w:p w14:paraId="611EA0E2"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6F0EF23D"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B94CC7" w14:paraId="1B75B4AA" w14:textId="77777777">
        <w:tc>
          <w:tcPr>
            <w:tcW w:w="1134" w:type="dxa"/>
          </w:tcPr>
          <w:p w14:paraId="024335CC"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Información reservada</w:t>
            </w:r>
          </w:p>
        </w:tc>
        <w:tc>
          <w:tcPr>
            <w:tcW w:w="3119" w:type="dxa"/>
          </w:tcPr>
          <w:p w14:paraId="67739259"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129" w:type="dxa"/>
          </w:tcPr>
          <w:p w14:paraId="57C245DC"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52FEFE7C"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B94CC7" w14:paraId="7642566F" w14:textId="77777777">
        <w:tc>
          <w:tcPr>
            <w:tcW w:w="1134" w:type="dxa"/>
          </w:tcPr>
          <w:p w14:paraId="0DA09A87"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14:paraId="6554EC6E"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1129" w:type="dxa"/>
          </w:tcPr>
          <w:p w14:paraId="05FF2B6E"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2931CAEB"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B94CC7" w14:paraId="17648A55" w14:textId="77777777">
        <w:tc>
          <w:tcPr>
            <w:tcW w:w="1134" w:type="dxa"/>
          </w:tcPr>
          <w:p w14:paraId="69FAE1F3"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119" w:type="dxa"/>
          </w:tcPr>
          <w:p w14:paraId="58BB0A68"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1129" w:type="dxa"/>
          </w:tcPr>
          <w:p w14:paraId="1A8B1D89"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5F8DDDE"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B94CC7" w14:paraId="57051739" w14:textId="77777777">
        <w:tc>
          <w:tcPr>
            <w:tcW w:w="1134" w:type="dxa"/>
          </w:tcPr>
          <w:p w14:paraId="071B9BF3"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119" w:type="dxa"/>
          </w:tcPr>
          <w:p w14:paraId="493A6E2D"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129" w:type="dxa"/>
          </w:tcPr>
          <w:p w14:paraId="61A19754"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0F374956"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B94CC7" w14:paraId="32D079DB" w14:textId="77777777">
        <w:tc>
          <w:tcPr>
            <w:tcW w:w="1134" w:type="dxa"/>
          </w:tcPr>
          <w:p w14:paraId="7958BB46"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119" w:type="dxa"/>
          </w:tcPr>
          <w:p w14:paraId="5C1556E7"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1129" w:type="dxa"/>
          </w:tcPr>
          <w:p w14:paraId="39B3BA1B"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3EF75DA6"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B94CC7" w14:paraId="02C49A50" w14:textId="77777777">
        <w:tc>
          <w:tcPr>
            <w:tcW w:w="1134" w:type="dxa"/>
          </w:tcPr>
          <w:p w14:paraId="02DF8427"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119" w:type="dxa"/>
          </w:tcPr>
          <w:p w14:paraId="53DD8B7B"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1129" w:type="dxa"/>
          </w:tcPr>
          <w:p w14:paraId="753CDA2E"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A8B0827"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B94CC7" w14:paraId="5DDE08EA" w14:textId="77777777">
        <w:tc>
          <w:tcPr>
            <w:tcW w:w="1134" w:type="dxa"/>
          </w:tcPr>
          <w:p w14:paraId="4B608FE1"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119" w:type="dxa"/>
          </w:tcPr>
          <w:p w14:paraId="527C9A02"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1129" w:type="dxa"/>
          </w:tcPr>
          <w:p w14:paraId="112D2575"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0C02AE1B"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B94CC7" w14:paraId="1D401F14" w14:textId="77777777">
        <w:tc>
          <w:tcPr>
            <w:tcW w:w="1134" w:type="dxa"/>
          </w:tcPr>
          <w:p w14:paraId="2A08E14F"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119" w:type="dxa"/>
          </w:tcPr>
          <w:p w14:paraId="31B8678C"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1129" w:type="dxa"/>
          </w:tcPr>
          <w:p w14:paraId="0A692328"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7E7658F8"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B94CC7" w14:paraId="7D664862" w14:textId="77777777">
        <w:tc>
          <w:tcPr>
            <w:tcW w:w="1134" w:type="dxa"/>
          </w:tcPr>
          <w:p w14:paraId="3FF4F4D8" w14:textId="77777777" w:rsidR="00B94CC7" w:rsidRDefault="00B94CC7">
            <w:pPr>
              <w:jc w:val="both"/>
              <w:rPr>
                <w:rFonts w:ascii="Palatino Linotype" w:eastAsia="Palatino Linotype" w:hAnsi="Palatino Linotype" w:cs="Palatino Linotype"/>
                <w:b/>
                <w:sz w:val="12"/>
                <w:szCs w:val="12"/>
              </w:rPr>
            </w:pPr>
          </w:p>
        </w:tc>
        <w:tc>
          <w:tcPr>
            <w:tcW w:w="3119" w:type="dxa"/>
          </w:tcPr>
          <w:p w14:paraId="3361CD40" w14:textId="77777777" w:rsidR="00B94CC7" w:rsidRDefault="00B94CC7">
            <w:pPr>
              <w:jc w:val="both"/>
              <w:rPr>
                <w:rFonts w:ascii="Palatino Linotype" w:eastAsia="Palatino Linotype" w:hAnsi="Palatino Linotype" w:cs="Palatino Linotype"/>
                <w:sz w:val="12"/>
                <w:szCs w:val="12"/>
              </w:rPr>
            </w:pPr>
          </w:p>
        </w:tc>
        <w:tc>
          <w:tcPr>
            <w:tcW w:w="1129" w:type="dxa"/>
          </w:tcPr>
          <w:p w14:paraId="4A0BCE5E"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41F8B5E1"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B94CC7" w14:paraId="5E982D39" w14:textId="77777777">
        <w:tc>
          <w:tcPr>
            <w:tcW w:w="1134" w:type="dxa"/>
          </w:tcPr>
          <w:p w14:paraId="57F3DB06" w14:textId="77777777" w:rsidR="00B94CC7" w:rsidRDefault="00B94CC7">
            <w:pPr>
              <w:jc w:val="both"/>
              <w:rPr>
                <w:rFonts w:ascii="Palatino Linotype" w:eastAsia="Palatino Linotype" w:hAnsi="Palatino Linotype" w:cs="Palatino Linotype"/>
                <w:b/>
                <w:sz w:val="12"/>
                <w:szCs w:val="12"/>
              </w:rPr>
            </w:pPr>
          </w:p>
        </w:tc>
        <w:tc>
          <w:tcPr>
            <w:tcW w:w="3119" w:type="dxa"/>
          </w:tcPr>
          <w:p w14:paraId="41266619" w14:textId="77777777" w:rsidR="00B94CC7" w:rsidRDefault="00B94CC7">
            <w:pPr>
              <w:jc w:val="both"/>
              <w:rPr>
                <w:rFonts w:ascii="Palatino Linotype" w:eastAsia="Palatino Linotype" w:hAnsi="Palatino Linotype" w:cs="Palatino Linotype"/>
                <w:sz w:val="12"/>
                <w:szCs w:val="12"/>
              </w:rPr>
            </w:pPr>
          </w:p>
        </w:tc>
        <w:tc>
          <w:tcPr>
            <w:tcW w:w="1129" w:type="dxa"/>
          </w:tcPr>
          <w:p w14:paraId="79279CA7" w14:textId="77777777" w:rsidR="00B94CC7" w:rsidRDefault="009E4FAD">
            <w:pPr>
              <w:jc w:val="both"/>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7FB1AF1F" w14:textId="77777777" w:rsidR="00B94CC7" w:rsidRDefault="009E4FAD">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0F0BD261" w14:textId="77777777" w:rsidR="00B94CC7" w:rsidRDefault="00B94CC7">
      <w:pPr>
        <w:spacing w:before="240" w:after="240" w:line="360" w:lineRule="auto"/>
        <w:ind w:right="49"/>
        <w:jc w:val="both"/>
        <w:rPr>
          <w:rFonts w:ascii="Palatino Linotype" w:eastAsia="Palatino Linotype" w:hAnsi="Palatino Linotype" w:cs="Palatino Linotype"/>
        </w:rPr>
      </w:pPr>
    </w:p>
    <w:p w14:paraId="53929194" w14:textId="77777777" w:rsidR="00B94CC7" w:rsidRDefault="009E4FAD">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179, fracción I, 181, 185 de la Ley de Transparencia y Acceso a la Información Pública del Estado de México y Municipios, este Pleno:</w:t>
      </w:r>
    </w:p>
    <w:p w14:paraId="38E7B967" w14:textId="77777777" w:rsidR="00B94CC7" w:rsidRDefault="009E4FAD">
      <w:pPr>
        <w:spacing w:before="280" w:after="280" w:line="360" w:lineRule="auto"/>
        <w:ind w:left="284"/>
        <w:jc w:val="center"/>
        <w:rPr>
          <w:rFonts w:ascii="Palatino Linotype" w:eastAsia="Palatino Linotype" w:hAnsi="Palatino Linotype" w:cs="Palatino Linotype"/>
          <w:b/>
        </w:rPr>
      </w:pPr>
      <w:r>
        <w:rPr>
          <w:rFonts w:ascii="Palatino Linotype" w:eastAsia="Palatino Linotype" w:hAnsi="Palatino Linotype" w:cs="Palatino Linotype"/>
          <w:b/>
        </w:rPr>
        <w:t>R E S U E L V E:</w:t>
      </w:r>
    </w:p>
    <w:p w14:paraId="2CC067B4"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w:t>
      </w:r>
      <w:r>
        <w:rPr>
          <w:rFonts w:ascii="Palatino Linotype" w:eastAsia="Palatino Linotype" w:hAnsi="Palatino Linotype" w:cs="Palatino Linotype"/>
          <w:b/>
        </w:rPr>
        <w:t>parcialmente</w:t>
      </w:r>
      <w:r>
        <w:rPr>
          <w:rFonts w:ascii="Palatino Linotype" w:eastAsia="Palatino Linotype" w:hAnsi="Palatino Linotype" w:cs="Palatino Linotype"/>
        </w:rPr>
        <w:t xml:space="preserve"> </w:t>
      </w:r>
      <w:r>
        <w:rPr>
          <w:rFonts w:ascii="Palatino Linotype" w:eastAsia="Palatino Linotype" w:hAnsi="Palatino Linotype" w:cs="Palatino Linotype"/>
          <w:b/>
        </w:rPr>
        <w:t>fundados</w:t>
      </w:r>
      <w:r>
        <w:rPr>
          <w:rFonts w:ascii="Palatino Linotype" w:eastAsia="Palatino Linotype" w:hAnsi="Palatino Linotype" w:cs="Palatino Linotype"/>
        </w:rPr>
        <w:t xml:space="preserve"> los motivos de inconformidad hechos valer por </w:t>
      </w:r>
      <w:r>
        <w:rPr>
          <w:rFonts w:ascii="Palatino Linotype" w:eastAsia="Palatino Linotype" w:hAnsi="Palatino Linotype" w:cs="Palatino Linotype"/>
          <w:b/>
        </w:rPr>
        <w:t xml:space="preserve">la parte Recurrente </w:t>
      </w: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01729/INFOEM/IP/RR/2022</w:t>
      </w:r>
      <w:r>
        <w:rPr>
          <w:rFonts w:ascii="Palatino Linotype" w:eastAsia="Palatino Linotype" w:hAnsi="Palatino Linotype" w:cs="Palatino Linotype"/>
        </w:rPr>
        <w:t>, por lo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w:t>
      </w:r>
      <w:r>
        <w:rPr>
          <w:rFonts w:ascii="Palatino Linotype" w:eastAsia="Palatino Linotype" w:hAnsi="Palatino Linotype" w:cs="Palatino Linotype"/>
          <w:b/>
        </w:rPr>
        <w:t>Considerando</w:t>
      </w:r>
      <w:r>
        <w:rPr>
          <w:rFonts w:ascii="Palatino Linotype" w:eastAsia="Palatino Linotype" w:hAnsi="Palatino Linotype" w:cs="Palatino Linotype"/>
        </w:rPr>
        <w:t xml:space="preserve">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 se </w:t>
      </w:r>
      <w:r>
        <w:rPr>
          <w:rFonts w:ascii="Palatino Linotype" w:eastAsia="Palatino Linotype" w:hAnsi="Palatino Linotype" w:cs="Palatino Linotype"/>
          <w:b/>
        </w:rPr>
        <w:t>REVOCA</w:t>
      </w:r>
      <w:r>
        <w:rPr>
          <w:rFonts w:ascii="Palatino Linotype" w:eastAsia="Palatino Linotype" w:hAnsi="Palatino Linotype" w:cs="Palatino Linotype"/>
        </w:rPr>
        <w:t xml:space="preserve"> la respuesta emitida por el </w:t>
      </w:r>
      <w:r>
        <w:rPr>
          <w:rFonts w:ascii="Palatino Linotype" w:eastAsia="Palatino Linotype" w:hAnsi="Palatino Linotype" w:cs="Palatino Linotype"/>
          <w:b/>
        </w:rPr>
        <w:t>Sujeto Obligado.</w:t>
      </w:r>
    </w:p>
    <w:p w14:paraId="6C574293" w14:textId="77777777" w:rsidR="00B94CC7" w:rsidRDefault="009E4FAD">
      <w:pPr>
        <w:spacing w:before="240" w:after="240" w:line="360" w:lineRule="auto"/>
        <w:jc w:val="both"/>
        <w:rPr>
          <w:rFonts w:ascii="Palatino Linotype" w:eastAsia="Palatino Linotype" w:hAnsi="Palatino Linotype" w:cs="Palatino Linotype"/>
        </w:rPr>
      </w:pPr>
      <w:bookmarkStart w:id="1" w:name="_heading=h.tyjcwt" w:colFirst="0" w:colLast="0"/>
      <w:bookmarkEnd w:id="1"/>
      <w:r>
        <w:rPr>
          <w:rFonts w:ascii="Palatino Linotype" w:eastAsia="Palatino Linotype" w:hAnsi="Palatino Linotype" w:cs="Palatino Linotype"/>
          <w:b/>
        </w:rPr>
        <w:t>Segundo.</w:t>
      </w:r>
      <w:r>
        <w:rPr>
          <w:rFonts w:ascii="Palatino Linotype" w:eastAsia="Palatino Linotype" w:hAnsi="Palatino Linotype" w:cs="Palatino Linotype"/>
        </w:rPr>
        <w:t xml:space="preserve">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w:t>
      </w:r>
      <w:r>
        <w:rPr>
          <w:rFonts w:ascii="Palatino Linotype" w:eastAsia="Palatino Linotype" w:hAnsi="Palatino Linotype" w:cs="Palatino Linotype"/>
          <w:b/>
        </w:rPr>
        <w:t>previa búsqueda exhaustiva y razonable</w:t>
      </w:r>
      <w:r>
        <w:rPr>
          <w:rFonts w:ascii="Palatino Linotype" w:eastAsia="Palatino Linotype" w:hAnsi="Palatino Linotype" w:cs="Palatino Linotype"/>
        </w:rPr>
        <w:t xml:space="preserve">, haga entrega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de ser el caso, en </w:t>
      </w:r>
      <w:r>
        <w:rPr>
          <w:rFonts w:ascii="Palatino Linotype" w:eastAsia="Palatino Linotype" w:hAnsi="Palatino Linotype" w:cs="Palatino Linotype"/>
          <w:b/>
        </w:rPr>
        <w:t>versión pública de ser procedente</w:t>
      </w:r>
      <w:r>
        <w:rPr>
          <w:rFonts w:ascii="Palatino Linotype" w:eastAsia="Palatino Linotype" w:hAnsi="Palatino Linotype" w:cs="Palatino Linotype"/>
        </w:rPr>
        <w:t xml:space="preserve">, en términos de los </w:t>
      </w:r>
      <w:r>
        <w:rPr>
          <w:rFonts w:ascii="Palatino Linotype" w:eastAsia="Palatino Linotype" w:hAnsi="Palatino Linotype" w:cs="Palatino Linotype"/>
          <w:b/>
        </w:rPr>
        <w:t>Considerandos</w:t>
      </w:r>
      <w:r>
        <w:rPr>
          <w:rFonts w:ascii="Palatino Linotype" w:eastAsia="Palatino Linotype" w:hAnsi="Palatino Linotype" w:cs="Palatino Linotype"/>
        </w:rPr>
        <w:t xml:space="preserve"> </w:t>
      </w:r>
      <w:r>
        <w:rPr>
          <w:rFonts w:ascii="Palatino Linotype" w:eastAsia="Palatino Linotype" w:hAnsi="Palatino Linotype" w:cs="Palatino Linotype"/>
          <w:b/>
        </w:rPr>
        <w:t>Cuarto y Quinto</w:t>
      </w:r>
      <w:r>
        <w:rPr>
          <w:rFonts w:ascii="Palatino Linotype" w:eastAsia="Palatino Linotype" w:hAnsi="Palatino Linotype" w:cs="Palatino Linotype"/>
        </w:rPr>
        <w:t xml:space="preserve"> de esta resolución,</w:t>
      </w:r>
      <w:r>
        <w:rPr>
          <w:rFonts w:ascii="Palatino Linotype" w:eastAsia="Palatino Linotype" w:hAnsi="Palatino Linotype" w:cs="Palatino Linotype"/>
          <w:b/>
        </w:rPr>
        <w:t xml:space="preserve"> en formato pdf,</w:t>
      </w:r>
      <w:r>
        <w:rPr>
          <w:rFonts w:ascii="Palatino Linotype" w:eastAsia="Palatino Linotype" w:hAnsi="Palatino Linotype" w:cs="Palatino Linotype"/>
        </w:rPr>
        <w:t xml:space="preserve"> de</w:t>
      </w:r>
      <w:r>
        <w:rPr>
          <w:rFonts w:ascii="Palatino Linotype" w:eastAsia="Palatino Linotype" w:hAnsi="Palatino Linotype" w:cs="Palatino Linotype"/>
          <w:b/>
        </w:rPr>
        <w:t xml:space="preserve"> </w:t>
      </w:r>
      <w:r>
        <w:rPr>
          <w:rFonts w:ascii="Palatino Linotype" w:eastAsia="Palatino Linotype" w:hAnsi="Palatino Linotype" w:cs="Palatino Linotype"/>
        </w:rPr>
        <w:t>lo siguiente:</w:t>
      </w:r>
    </w:p>
    <w:p w14:paraId="6AA1E79A" w14:textId="77777777" w:rsidR="00B94CC7" w:rsidRDefault="009E4FAD">
      <w:pPr>
        <w:numPr>
          <w:ilvl w:val="0"/>
          <w:numId w:val="2"/>
        </w:numPr>
        <w:pBdr>
          <w:top w:val="nil"/>
          <w:left w:val="nil"/>
          <w:bottom w:val="nil"/>
          <w:right w:val="nil"/>
          <w:between w:val="nil"/>
        </w:pBdr>
        <w:spacing w:before="120" w:after="120"/>
        <w:ind w:left="567" w:right="900"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Contratos de comodato celebrados entre el Ayuntamiento de Metepec y el Sistema Municipal Para el Desarrollo Integral de la Familia de Metepec, del 1 al 11 de enero de 2022.</w:t>
      </w:r>
    </w:p>
    <w:p w14:paraId="603EF5DB" w14:textId="77777777" w:rsidR="00B94CC7" w:rsidRDefault="009E4FAD">
      <w:pPr>
        <w:spacing w:before="120" w:after="12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mismo que también hará de conocimiento del particular.</w:t>
      </w:r>
    </w:p>
    <w:p w14:paraId="6A6AB683" w14:textId="77777777" w:rsidR="00B94CC7" w:rsidRDefault="009E4FAD">
      <w:pPr>
        <w:spacing w:before="120" w:after="120"/>
        <w:ind w:left="560" w:right="900"/>
        <w:jc w:val="both"/>
        <w:rPr>
          <w:rFonts w:ascii="Palatino Linotype" w:eastAsia="Palatino Linotype" w:hAnsi="Palatino Linotype" w:cs="Palatino Linotype"/>
          <w:i/>
          <w:sz w:val="22"/>
          <w:szCs w:val="22"/>
        </w:rPr>
      </w:pPr>
      <w:bookmarkStart w:id="2" w:name="_heading=h.gjdgxs" w:colFirst="0" w:colLast="0"/>
      <w:bookmarkEnd w:id="2"/>
      <w:r>
        <w:rPr>
          <w:rFonts w:ascii="Palatino Linotype" w:eastAsia="Palatino Linotype" w:hAnsi="Palatino Linotype" w:cs="Palatino Linotype"/>
          <w:i/>
          <w:sz w:val="22"/>
          <w:szCs w:val="22"/>
        </w:rPr>
        <w:t xml:space="preserve">De ser el caso en el que los contratos no se hayan suscrito durante la temporalidad referida, bastará con que el Sujeto Obligado lo haga del conocimiento de la parte recurrente, de manera fundada y motivada para dar por satisfecho el derecho de acceso a la información pública. </w:t>
      </w:r>
    </w:p>
    <w:p w14:paraId="1AE8A545" w14:textId="77777777" w:rsidR="00B94CC7" w:rsidRDefault="00B94CC7">
      <w:pPr>
        <w:spacing w:before="120" w:after="120"/>
        <w:ind w:left="567" w:right="900"/>
        <w:jc w:val="both"/>
        <w:rPr>
          <w:rFonts w:ascii="Palatino Linotype" w:eastAsia="Palatino Linotype" w:hAnsi="Palatino Linotype" w:cs="Palatino Linotype"/>
          <w:i/>
          <w:sz w:val="22"/>
          <w:szCs w:val="22"/>
        </w:rPr>
      </w:pPr>
      <w:bookmarkStart w:id="3" w:name="_heading=h.kvlbstpxi0xi" w:colFirst="0" w:colLast="0"/>
      <w:bookmarkEnd w:id="3"/>
    </w:p>
    <w:p w14:paraId="6A190E32" w14:textId="77777777" w:rsidR="00B94CC7" w:rsidRDefault="009E4FAD">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Tercero. Notifíquese vía Sistema de Acceso a la Información Mexiquense (SAIMEX),</w:t>
      </w:r>
      <w:r>
        <w:rPr>
          <w:rFonts w:ascii="Palatino Linotype" w:eastAsia="Palatino Linotype" w:hAnsi="Palatino Linotype" w:cs="Palatino Linotype"/>
          <w:b/>
          <w:sz w:val="28"/>
          <w:szCs w:val="28"/>
        </w:rPr>
        <w:t xml:space="preserve"> </w:t>
      </w:r>
      <w:r>
        <w:rPr>
          <w:rFonts w:ascii="Palatino Linotype" w:eastAsia="Palatino Linotype" w:hAnsi="Palatino Linotype" w:cs="Palatino Linotype"/>
        </w:rPr>
        <w:t xml:space="preserve">al Responsable de la Unidad de Transparencia del Sujeto Obligado la presente resolución, para que conforme a los artículo 186, último párrafo y 189, párrafo segundo de la Ley de Transparencia y Acceso a la Información Pública del Estado de México y Municipios dé cumplimiento a lo ordenado dentro del plazo de </w:t>
      </w:r>
      <w:r>
        <w:rPr>
          <w:rFonts w:ascii="Palatino Linotype" w:eastAsia="Palatino Linotype" w:hAnsi="Palatino Linotype" w:cs="Palatino Linotype"/>
          <w:b/>
        </w:rPr>
        <w:lastRenderedPageBreak/>
        <w:t>diez días hábiles</w:t>
      </w:r>
      <w:r>
        <w:rPr>
          <w:rFonts w:ascii="Palatino Linotype" w:eastAsia="Palatino Linotype" w:hAnsi="Palatino Linotype" w:cs="Palatino Linotype"/>
        </w:rPr>
        <w:t>, debiendo informar a este Instituto en un plazo de tres días hábiles siguientes sobre el cumplimiento dado a la misma</w:t>
      </w:r>
      <w:r>
        <w:rPr>
          <w:rFonts w:ascii="Palatino Linotype" w:eastAsia="Palatino Linotype" w:hAnsi="Palatino Linotype" w:cs="Palatino Linotype"/>
          <w:b/>
        </w:rPr>
        <w:t>.</w:t>
      </w:r>
    </w:p>
    <w:p w14:paraId="5E4294F7"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B59AAC9" w14:textId="77777777" w:rsidR="00B94CC7" w:rsidRDefault="009E4FAD">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Notifíquese, </w:t>
      </w:r>
      <w:r>
        <w:rPr>
          <w:rFonts w:ascii="Palatino Linotype" w:eastAsia="Palatino Linotype" w:hAnsi="Palatino Linotype" w:cs="Palatino Linotype"/>
        </w:rPr>
        <w:t xml:space="preserve">al recurrente </w:t>
      </w:r>
      <w:r>
        <w:rPr>
          <w:rFonts w:ascii="Palatino Linotype" w:eastAsia="Palatino Linotype" w:hAnsi="Palatino Linotype" w:cs="Palatino Linotype"/>
          <w:b/>
        </w:rPr>
        <w:t>vía Sistema de Acceso a la Información Mexiquense (SAIMEX),</w:t>
      </w:r>
      <w:r>
        <w:rPr>
          <w:rFonts w:ascii="Palatino Linotype" w:eastAsia="Palatino Linotype" w:hAnsi="Palatino Linotype" w:cs="Palatino Linotype"/>
        </w:rPr>
        <w:t xml:space="preserve"> </w:t>
      </w:r>
      <w:r>
        <w:rPr>
          <w:rFonts w:ascii="Palatino Linotype" w:eastAsia="Palatino Linotype" w:hAnsi="Palatino Linotype" w:cs="Palatino Linotype"/>
          <w:highlight w:val="white"/>
        </w:rPr>
        <w:t xml:space="preserve">la presente resolución, </w:t>
      </w:r>
      <w:r>
        <w:rPr>
          <w:rFonts w:ascii="Palatino Linotype" w:eastAsia="Palatino Linotype" w:hAnsi="Palatino Linotype" w:cs="Palatino Linotype"/>
        </w:rPr>
        <w:t xml:space="preserve">así como, que de conformidad con lo establecido en el artículo 196 de la Ley de Transparencia y Acceso a la Información Pública del Estado de México y Municipios, en caso de que considere que le causa algún perjuicio podrá impugnarla </w:t>
      </w:r>
      <w:r>
        <w:rPr>
          <w:rFonts w:ascii="Palatino Linotype" w:eastAsia="Palatino Linotype" w:hAnsi="Palatino Linotype" w:cs="Palatino Linotype"/>
          <w:b/>
        </w:rPr>
        <w:t>vía Juicio de Amparo</w:t>
      </w:r>
      <w:r>
        <w:rPr>
          <w:rFonts w:ascii="Palatino Linotype" w:eastAsia="Palatino Linotype" w:hAnsi="Palatino Linotype" w:cs="Palatino Linotype"/>
        </w:rPr>
        <w:t xml:space="preserve"> en los términos de las leyes aplicables.</w:t>
      </w:r>
    </w:p>
    <w:p w14:paraId="79F9BFCD" w14:textId="0AF46D08" w:rsidR="00B94CC7" w:rsidRDefault="009E4FAD">
      <w:pPr>
        <w:spacing w:before="240" w:after="240" w:line="360" w:lineRule="auto"/>
        <w:jc w:val="both"/>
        <w:rPr>
          <w:rFonts w:ascii="Palatino Linotype" w:eastAsia="Palatino Linotype" w:hAnsi="Palatino Linotype" w:cs="Palatino Linotype"/>
        </w:rPr>
        <w:sectPr w:rsidR="00B94CC7">
          <w:headerReference w:type="default" r:id="rId15"/>
          <w:footerReference w:type="default" r:id="rId16"/>
          <w:headerReference w:type="first" r:id="rId17"/>
          <w:footerReference w:type="first" r:id="rId18"/>
          <w:pgSz w:w="12240" w:h="15840"/>
          <w:pgMar w:top="1417" w:right="1750" w:bottom="1417" w:left="1701" w:header="708" w:footer="708" w:gutter="0"/>
          <w:pgNumType w:start="1"/>
          <w:cols w:space="720"/>
          <w:titlePg/>
        </w:sectPr>
      </w:pPr>
      <w:bookmarkStart w:id="4" w:name="_heading=h.30j0zll" w:colFirst="0" w:colLast="0"/>
      <w:bookmarkEnd w:id="4"/>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AB330F">
        <w:rPr>
          <w:rFonts w:ascii="Palatino Linotype" w:eastAsia="Palatino Linotype" w:hAnsi="Palatino Linotype" w:cs="Palatino Linotype"/>
        </w:rPr>
        <w:t xml:space="preserve">SHARON CRISTINA MORALES MARTÍNEZ, </w:t>
      </w:r>
      <w:r>
        <w:rPr>
          <w:rFonts w:ascii="Palatino Linotype" w:eastAsia="Palatino Linotype" w:hAnsi="Palatino Linotype" w:cs="Palatino Linotype"/>
        </w:rPr>
        <w:t>LUIS GUSTAVO PARRA NORIEGA Y GUADALUPE RAMÍREZ PEÑA; EN LA DÉCIMA QUINTA SESIÓN ORDINARIA CELEBRADA EL VEINTISIETE DE ABRIL DEL DOS MIL VEINTIDÓS, ANTE EL SECRETARIO TÉCNICO DEL PLENO, ALEXIS TAPIA RAMÍREZ.</w:t>
      </w:r>
    </w:p>
    <w:p w14:paraId="7D40130E" w14:textId="77777777" w:rsidR="00B94CC7" w:rsidRDefault="00B94CC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1E27FC65" w14:textId="77777777" w:rsidR="00B94CC7" w:rsidRDefault="00B94CC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p w14:paraId="7F0A6F5A" w14:textId="77777777" w:rsidR="00B94CC7" w:rsidRDefault="00B94CC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p>
    <w:sectPr w:rsidR="00B94CC7">
      <w:headerReference w:type="first" r:id="rId19"/>
      <w:pgSz w:w="12240" w:h="15840"/>
      <w:pgMar w:top="1417" w:right="1701" w:bottom="1417"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5A93D" w14:textId="77777777" w:rsidR="007D1571" w:rsidRDefault="007D1571">
      <w:r>
        <w:separator/>
      </w:r>
    </w:p>
  </w:endnote>
  <w:endnote w:type="continuationSeparator" w:id="0">
    <w:p w14:paraId="235D3CC7" w14:textId="77777777" w:rsidR="007D1571" w:rsidRDefault="007D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B8BCD" w14:textId="77777777" w:rsidR="00B94CC7" w:rsidRDefault="009E4FA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107FB">
      <w:rPr>
        <w:rFonts w:ascii="Arial" w:eastAsia="Arial" w:hAnsi="Arial" w:cs="Arial"/>
        <w:b/>
        <w:noProof/>
        <w:color w:val="000000"/>
        <w:sz w:val="20"/>
        <w:szCs w:val="20"/>
      </w:rPr>
      <w:t>36</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107FB">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7E2F1A00" w14:textId="77777777" w:rsidR="00B94CC7" w:rsidRDefault="00B94CC7">
    <w:pPr>
      <w:pBdr>
        <w:top w:val="nil"/>
        <w:left w:val="nil"/>
        <w:bottom w:val="nil"/>
        <w:right w:val="nil"/>
        <w:between w:val="nil"/>
      </w:pBdr>
      <w:tabs>
        <w:tab w:val="center" w:pos="4252"/>
        <w:tab w:val="right" w:pos="8504"/>
      </w:tabs>
      <w:rPr>
        <w:color w:val="000000"/>
      </w:rPr>
    </w:pPr>
  </w:p>
  <w:p w14:paraId="70056CBB" w14:textId="77777777" w:rsidR="00B94CC7" w:rsidRDefault="00B94CC7">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A2628" w14:textId="77777777" w:rsidR="00B94CC7" w:rsidRDefault="009E4FAD">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107FB">
      <w:rPr>
        <w:rFonts w:ascii="Arial" w:eastAsia="Arial" w:hAnsi="Arial" w:cs="Arial"/>
        <w:b/>
        <w:noProof/>
        <w:color w:val="000000"/>
        <w:sz w:val="20"/>
        <w:szCs w:val="20"/>
      </w:rPr>
      <w:t>37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107FB">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6736AAB7" w14:textId="77777777" w:rsidR="00B94CC7" w:rsidRDefault="00B94CC7">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14686" w14:textId="77777777" w:rsidR="007D1571" w:rsidRDefault="007D1571">
      <w:r>
        <w:separator/>
      </w:r>
    </w:p>
  </w:footnote>
  <w:footnote w:type="continuationSeparator" w:id="0">
    <w:p w14:paraId="6074861C" w14:textId="77777777" w:rsidR="007D1571" w:rsidRDefault="007D1571">
      <w:r>
        <w:continuationSeparator/>
      </w:r>
    </w:p>
  </w:footnote>
  <w:footnote w:id="1">
    <w:p w14:paraId="2503DF29" w14:textId="77777777" w:rsidR="00B94CC7" w:rsidRDefault="009E4FAD">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2094E87C" w14:textId="77777777" w:rsidR="00B94CC7" w:rsidRDefault="009E4FAD">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0E210" w14:textId="77777777" w:rsidR="00B94CC7" w:rsidRDefault="009E4FAD">
    <w:pPr>
      <w:widowControl w:val="0"/>
      <w:pBdr>
        <w:top w:val="nil"/>
        <w:left w:val="nil"/>
        <w:bottom w:val="nil"/>
        <w:right w:val="nil"/>
        <w:between w:val="nil"/>
      </w:pBdr>
      <w:spacing w:line="276" w:lineRule="auto"/>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D65007C" wp14:editId="16D051BE">
          <wp:simplePos x="0" y="0"/>
          <wp:positionH relativeFrom="column">
            <wp:posOffset>-1080133</wp:posOffset>
          </wp:positionH>
          <wp:positionV relativeFrom="paragraph">
            <wp:posOffset>-356868</wp:posOffset>
          </wp:positionV>
          <wp:extent cx="7635600" cy="9943200"/>
          <wp:effectExtent l="0" t="0" r="0" b="0"/>
          <wp:wrapNone/>
          <wp:docPr id="6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4"/>
      <w:tblW w:w="6240" w:type="dxa"/>
      <w:tblInd w:w="3746" w:type="dxa"/>
      <w:tblLayout w:type="fixed"/>
      <w:tblLook w:val="0400" w:firstRow="0" w:lastRow="0" w:firstColumn="0" w:lastColumn="0" w:noHBand="0" w:noVBand="1"/>
    </w:tblPr>
    <w:tblGrid>
      <w:gridCol w:w="2553"/>
      <w:gridCol w:w="3687"/>
    </w:tblGrid>
    <w:tr w:rsidR="00B94CC7" w14:paraId="1654B16F" w14:textId="77777777">
      <w:tc>
        <w:tcPr>
          <w:tcW w:w="2553" w:type="dxa"/>
          <w:vAlign w:val="center"/>
        </w:tcPr>
        <w:p w14:paraId="1ABD7574"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714F9D5B"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01729/INFOEM/IP/RR/2022</w:t>
          </w:r>
        </w:p>
      </w:tc>
    </w:tr>
    <w:tr w:rsidR="00B94CC7" w14:paraId="6F338EE6" w14:textId="77777777">
      <w:trPr>
        <w:trHeight w:val="228"/>
      </w:trPr>
      <w:tc>
        <w:tcPr>
          <w:tcW w:w="2553" w:type="dxa"/>
          <w:vAlign w:val="center"/>
        </w:tcPr>
        <w:p w14:paraId="4A27AF17"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6F74CEEF" w14:textId="77777777" w:rsidR="00B94CC7" w:rsidRDefault="009E4FAD">
          <w:pPr>
            <w:ind w:right="66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B94CC7" w14:paraId="23BE5F36" w14:textId="77777777">
      <w:tc>
        <w:tcPr>
          <w:tcW w:w="2553" w:type="dxa"/>
          <w:vAlign w:val="center"/>
        </w:tcPr>
        <w:p w14:paraId="27FDF2EF"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545D8B85" w14:textId="77777777" w:rsidR="00B94CC7" w:rsidRDefault="009E4FA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95751B0" w14:textId="77777777" w:rsidR="00B94CC7" w:rsidRDefault="009E4FAD">
    <w:pPr>
      <w:rPr>
        <w:rFonts w:ascii="Cambria" w:eastAsia="Cambria" w:hAnsi="Cambria" w:cs="Cambria"/>
        <w:color w:val="000000"/>
      </w:rPr>
    </w:pPr>
    <w:r>
      <w:rPr>
        <w:rFonts w:ascii="Cambria" w:eastAsia="Cambria" w:hAnsi="Cambria" w:cs="Cambria"/>
        <w:color w:val="000000"/>
      </w:rPr>
      <w:tab/>
    </w:r>
  </w:p>
  <w:p w14:paraId="05E5BA30" w14:textId="77777777" w:rsidR="00B94CC7" w:rsidRDefault="00B94CC7">
    <w:pPr>
      <w:pBdr>
        <w:top w:val="nil"/>
        <w:left w:val="nil"/>
        <w:bottom w:val="nil"/>
        <w:right w:val="nil"/>
        <w:between w:val="nil"/>
      </w:pBdr>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92981" w14:textId="77777777" w:rsidR="00B94CC7" w:rsidRDefault="009E4FA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50DC9E72" wp14:editId="3AB74CA3">
          <wp:simplePos x="0" y="0"/>
          <wp:positionH relativeFrom="column">
            <wp:posOffset>-888998</wp:posOffset>
          </wp:positionH>
          <wp:positionV relativeFrom="paragraph">
            <wp:posOffset>-190498</wp:posOffset>
          </wp:positionV>
          <wp:extent cx="7635600" cy="9943200"/>
          <wp:effectExtent l="0" t="0" r="0" b="0"/>
          <wp:wrapNone/>
          <wp:docPr id="7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240" w:type="dxa"/>
      <w:tblInd w:w="3685" w:type="dxa"/>
      <w:tblLayout w:type="fixed"/>
      <w:tblLook w:val="0400" w:firstRow="0" w:lastRow="0" w:firstColumn="0" w:lastColumn="0" w:noHBand="0" w:noVBand="1"/>
    </w:tblPr>
    <w:tblGrid>
      <w:gridCol w:w="2553"/>
      <w:gridCol w:w="3687"/>
    </w:tblGrid>
    <w:tr w:rsidR="00B94CC7" w14:paraId="5101C9EA" w14:textId="77777777">
      <w:tc>
        <w:tcPr>
          <w:tcW w:w="2553" w:type="dxa"/>
          <w:vAlign w:val="center"/>
        </w:tcPr>
        <w:p w14:paraId="4429EB77"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173B1783"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01729/INFOEM/IP/RR/2022</w:t>
          </w:r>
        </w:p>
      </w:tc>
    </w:tr>
    <w:tr w:rsidR="00B94CC7" w14:paraId="189E09E4" w14:textId="77777777">
      <w:tc>
        <w:tcPr>
          <w:tcW w:w="2553" w:type="dxa"/>
          <w:vAlign w:val="center"/>
        </w:tcPr>
        <w:p w14:paraId="4CAC013B"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14:paraId="7DB80B7F" w14:textId="77777777" w:rsidR="00B94CC7" w:rsidRDefault="00B94CC7">
          <w:pPr>
            <w:rPr>
              <w:rFonts w:ascii="Palatino Linotype" w:eastAsia="Palatino Linotype" w:hAnsi="Palatino Linotype" w:cs="Palatino Linotype"/>
              <w:b/>
              <w:sz w:val="22"/>
              <w:szCs w:val="22"/>
            </w:rPr>
          </w:pPr>
        </w:p>
      </w:tc>
    </w:tr>
    <w:tr w:rsidR="00B94CC7" w14:paraId="461D6916" w14:textId="77777777">
      <w:trPr>
        <w:trHeight w:val="228"/>
      </w:trPr>
      <w:tc>
        <w:tcPr>
          <w:tcW w:w="2553" w:type="dxa"/>
          <w:vAlign w:val="center"/>
        </w:tcPr>
        <w:p w14:paraId="01EE21F6"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27997B56" w14:textId="77777777" w:rsidR="00B94CC7" w:rsidRDefault="009E4FAD">
          <w:pPr>
            <w:ind w:right="7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Sistema Municipal Para el Desarrollo Integral de la Familia de Metepec</w:t>
          </w:r>
        </w:p>
      </w:tc>
    </w:tr>
    <w:tr w:rsidR="00B94CC7" w14:paraId="7D043454" w14:textId="77777777">
      <w:tc>
        <w:tcPr>
          <w:tcW w:w="2553" w:type="dxa"/>
          <w:vAlign w:val="center"/>
        </w:tcPr>
        <w:p w14:paraId="71554F79" w14:textId="77777777" w:rsidR="00B94CC7" w:rsidRDefault="009E4FA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70D6D708" w14:textId="77777777" w:rsidR="00B94CC7" w:rsidRDefault="009E4FAD">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5588669" w14:textId="77777777" w:rsidR="00B94CC7" w:rsidRDefault="00B94CC7">
    <w:pPr>
      <w:pBdr>
        <w:top w:val="nil"/>
        <w:left w:val="nil"/>
        <w:bottom w:val="nil"/>
        <w:right w:val="nil"/>
        <w:between w:val="nil"/>
      </w:pBdr>
      <w:tabs>
        <w:tab w:val="center" w:pos="4252"/>
        <w:tab w:val="right" w:pos="8504"/>
      </w:tabs>
      <w:rPr>
        <w:rFonts w:ascii="Cambria" w:eastAsia="Cambria" w:hAnsi="Cambria" w:cs="Cambria"/>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64E20" w14:textId="77777777" w:rsidR="00B94CC7" w:rsidRDefault="009E4FAD">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p>
  <w:p w14:paraId="5FCFDF37" w14:textId="77777777" w:rsidR="00B94CC7" w:rsidRDefault="00B94CC7">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F26CD"/>
    <w:multiLevelType w:val="multilevel"/>
    <w:tmpl w:val="90860F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31AD724E"/>
    <w:multiLevelType w:val="multilevel"/>
    <w:tmpl w:val="D8F618BA"/>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CC7"/>
    <w:rsid w:val="002F30FA"/>
    <w:rsid w:val="007D1571"/>
    <w:rsid w:val="00942AE0"/>
    <w:rsid w:val="009C1EC8"/>
    <w:rsid w:val="009E4FAD"/>
    <w:rsid w:val="00AB330F"/>
    <w:rsid w:val="00B94CC7"/>
    <w:rsid w:val="00D107FB"/>
    <w:rsid w:val="00DF65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F8FF1"/>
  <w15:docId w15:val="{43733517-F980-4B32-84B0-00BA921A0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rPr>
  </w:style>
  <w:style w:type="table" w:styleId="Tabladelista1clara-nfasis1">
    <w:name w:val="List Table 1 Light Accent 1"/>
    <w:basedOn w:val="Tablanormal"/>
    <w:uiPriority w:val="46"/>
    <w:rsid w:val="008E62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 w:type="character" w:customStyle="1" w:styleId="h">
    <w:name w:val="h"/>
    <w:basedOn w:val="Fuentedeprrafopredeter"/>
    <w:rsid w:val="007F685F"/>
  </w:style>
  <w:style w:type="table" w:customStyle="1" w:styleId="Tabladelista1clara-nfasis12">
    <w:name w:val="Tabla de lista 1 clara - Énfasis 12"/>
    <w:basedOn w:val="Tablanormal"/>
    <w:next w:val="Tabladelista1clara-nfasis1"/>
    <w:uiPriority w:val="46"/>
    <w:rsid w:val="00C04B32"/>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styleId="Hipervnculovisitado">
    <w:name w:val="FollowedHyperlink"/>
    <w:basedOn w:val="Fuentedeprrafopredeter"/>
    <w:uiPriority w:val="99"/>
    <w:semiHidden/>
    <w:unhideWhenUsed/>
    <w:rsid w:val="002C16E8"/>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0" w:type="dxa"/>
        <w:left w:w="108" w:type="dxa"/>
        <w:bottom w:w="0" w:type="dxa"/>
        <w:right w:w="108"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a">
    <w:basedOn w:val="TableNormal1"/>
    <w:tblPr>
      <w:tblStyleRowBandSize w:val="1"/>
      <w:tblStyleColBandSize w:val="1"/>
      <w:tblCellMar>
        <w:top w:w="0" w:type="dxa"/>
        <w:left w:w="115" w:type="dxa"/>
        <w:bottom w:w="0" w:type="dxa"/>
        <w:right w:w="115" w:type="dxa"/>
      </w:tblCellMar>
    </w:tblPr>
  </w:style>
  <w:style w:type="table" w:customStyle="1" w:styleId="a0">
    <w:basedOn w:val="TableNormal1"/>
    <w:tblPr>
      <w:tblStyleRowBandSize w:val="1"/>
      <w:tblStyleColBandSize w:val="1"/>
      <w:tblCellMar>
        <w:top w:w="0" w:type="dxa"/>
        <w:left w:w="115" w:type="dxa"/>
        <w:bottom w:w="0" w:type="dxa"/>
        <w:right w:w="115"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7.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ORodt+jq9/KiADjL43bGIChvBQ==">AMUW2mX9fBtN6L5k3gSOE2x4YkaWQ4D2oWpocQVHi+/dYYjl58fVKC3QfcZIJonZGatJyhko2ai2fwJBjbUNZCFo/VPjA6UD1eS42AzqMabrz+aJINikAgb7H6dIh2Mt7sZWyKQkyBuTDzVYLOJ/U9RWwc3XdvXDI47FT9k4G5C8WiAk42DFijg=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8816</Words>
  <Characters>48493</Characters>
  <Application>Microsoft Office Word</Application>
  <DocSecurity>0</DocSecurity>
  <Lines>404</Lines>
  <Paragraphs>114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2022-05-01T04:39:00Z</cp:lastPrinted>
  <dcterms:created xsi:type="dcterms:W3CDTF">2022-05-09T21:19:00Z</dcterms:created>
  <dcterms:modified xsi:type="dcterms:W3CDTF">2022-05-09T21:19:00Z</dcterms:modified>
</cp:coreProperties>
</file>