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veinticuatro de marzo del dos mil veintidós.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00399/INFOEM/IP/RR/2022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proporcionó su nombre</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00320/TEXCOCO/IP/2021</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Ayuntamiento de Texcoco,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veintidós de diciembre del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spacing w:after="240" w:before="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“Conforme a la imagen insertada en la presente solicitud, adquirí un terreno de 140 metros cuadrados de superficie de terreno mediante un contrato con reserva de dominio, si bien es cierto que todo tramite deja a salvo los derechos de terceros, requiero lo siguiente: a) </w:t>
      </w:r>
      <w:r w:rsidDel="00000000" w:rsidR="00000000" w:rsidRPr="00000000">
        <w:rPr>
          <w:rFonts w:ascii="Palatino Linotype" w:cs="Palatino Linotype" w:eastAsia="Palatino Linotype" w:hAnsi="Palatino Linotype"/>
          <w:b w:val="1"/>
          <w:i w:val="1"/>
          <w:color w:val="000000"/>
          <w:sz w:val="22"/>
          <w:szCs w:val="22"/>
          <w:u w:val="single"/>
          <w:rtl w:val="0"/>
        </w:rPr>
        <w:t xml:space="preserve">Existe algún impedimento legal y/o administrativo por el cual no pueda asignar una nueva cuenta catastral respecto de la fracción de terreno de 140m2 con mi contrato de compra-venta con reserva de dominio?,</w:t>
      </w:r>
      <w:r w:rsidDel="00000000" w:rsidR="00000000" w:rsidRPr="00000000">
        <w:rPr>
          <w:rFonts w:ascii="Palatino Linotype" w:cs="Palatino Linotype" w:eastAsia="Palatino Linotype" w:hAnsi="Palatino Linotype"/>
          <w:i w:val="1"/>
          <w:color w:val="000000"/>
          <w:sz w:val="22"/>
          <w:szCs w:val="22"/>
          <w:rtl w:val="0"/>
        </w:rPr>
        <w:t xml:space="preserve"> en el entendido de que aún se sigue pagando.” (Sic)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7">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particular adjuntó a su solicitud el archivo electrónico denominado “</w:t>
      </w:r>
      <w:hyperlink r:id="rId8">
        <w:r w:rsidDel="00000000" w:rsidR="00000000" w:rsidRPr="00000000">
          <w:rPr>
            <w:rFonts w:ascii="Palatino Linotype" w:cs="Palatino Linotype" w:eastAsia="Palatino Linotype" w:hAnsi="Palatino Linotype"/>
            <w:rtl w:val="0"/>
          </w:rPr>
          <w:t xml:space="preserve">Sin título1.pdf</w:t>
        </w:r>
      </w:hyperlink>
      <w:r w:rsidDel="00000000" w:rsidR="00000000" w:rsidRPr="00000000">
        <w:rPr>
          <w:rFonts w:ascii="Palatino Linotype" w:cs="Palatino Linotype" w:eastAsia="Palatino Linotype" w:hAnsi="Palatino Linotype"/>
          <w:rtl w:val="0"/>
        </w:rPr>
        <w:t xml:space="preserve">”, el cual contiene una imagen de ubicación de un predio.</w:t>
      </w:r>
    </w:p>
    <w:p w:rsidR="00000000" w:rsidDel="00000000" w:rsidP="00000000" w:rsidRDefault="00000000" w:rsidRPr="00000000" w14:paraId="00000008">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veintiocho de enero de dos mil veintidós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A">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B">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Sírvase encontrar anexo al presente archivo que contiene la respuesta a su solicitud</w:t>
      </w:r>
    </w:p>
    <w:p w:rsidR="00000000" w:rsidDel="00000000" w:rsidP="00000000" w:rsidRDefault="00000000" w:rsidRPr="00000000" w14:paraId="0000000C">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0D">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LIC. RENE JONATHAN SANDOVAL TINOCO” (Sic)</w:t>
      </w:r>
    </w:p>
    <w:p w:rsidR="00000000" w:rsidDel="00000000" w:rsidP="00000000" w:rsidRDefault="00000000" w:rsidRPr="00000000" w14:paraId="0000000E">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a su respuesta el archivo electrónico denominado: “</w:t>
      </w:r>
      <w:hyperlink r:id="rId9">
        <w:r w:rsidDel="00000000" w:rsidR="00000000" w:rsidRPr="00000000">
          <w:rPr>
            <w:rFonts w:ascii="Palatino Linotype" w:cs="Palatino Linotype" w:eastAsia="Palatino Linotype" w:hAnsi="Palatino Linotype"/>
            <w:rtl w:val="0"/>
          </w:rPr>
          <w:t xml:space="preserve">SOLICITUD 320-2021.pdf</w:t>
        </w:r>
      </w:hyperlink>
      <w:r w:rsidDel="00000000" w:rsidR="00000000" w:rsidRPr="00000000">
        <w:rPr>
          <w:rFonts w:ascii="Palatino Linotype" w:cs="Palatino Linotype" w:eastAsia="Palatino Linotype" w:hAnsi="Palatino Linotype"/>
          <w:rtl w:val="0"/>
        </w:rPr>
        <w:t xml:space="preserve">”, a través del cual el Titular de la Unidad de Transparencia informó al solicitante los requisitos y fundamentos para la asignación de claves catastrales, lo anterior con base al oficio proporcionado por la Dirección de Catastro del Ayuntamiento de Texcoco.</w:t>
      </w:r>
    </w:p>
    <w:p w:rsidR="00000000" w:rsidDel="00000000" w:rsidP="00000000" w:rsidRDefault="00000000" w:rsidRPr="00000000" w14:paraId="00000010">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 el ahora RECURRENTE </w:t>
      </w:r>
      <w:r w:rsidDel="00000000" w:rsidR="00000000" w:rsidRPr="00000000">
        <w:rPr>
          <w:rFonts w:ascii="Palatino Linotype" w:cs="Palatino Linotype" w:eastAsia="Palatino Linotype" w:hAnsi="Palatino Linotype"/>
          <w:rtl w:val="0"/>
        </w:rPr>
        <w:t xml:space="preserve"> interpuso recurso de revisión a través del SAIMEX en fecha treinta y uno de enero de dos mil veintidós, a través del cual expresó lo siguiente:</w:t>
      </w:r>
    </w:p>
    <w:p w:rsidR="00000000" w:rsidDel="00000000" w:rsidP="00000000" w:rsidRDefault="00000000" w:rsidRPr="00000000" w14:paraId="00000011">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2">
      <w:pPr>
        <w:spacing w:after="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“Fundamenta pero no motiva, en ningún momento de su respuesta atiende el punto requerido de mi solicitud, otra cosa, los ciudadanos no estamos obligados a saber los términos que utilizar, para efectos prácticos da lo mismo, entienden que una cuenta predial es una cuenta catastral.” (Sic)</w:t>
      </w:r>
    </w:p>
    <w:p w:rsidR="00000000" w:rsidDel="00000000" w:rsidP="00000000" w:rsidRDefault="00000000" w:rsidRPr="00000000" w14:paraId="00000013">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4">
      <w:pPr>
        <w:spacing w:after="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“Fundamenta pero no motiva, en ningún momento de su respuesta atiende el punto requerido de mi solicitud, otra cosa, los ciudadanos no estamos obligados a saber los términos que utilizar, para efectos prácticos da lo mismo, entienden que una cuenta predial es una cuenta catastral.” (Sic)</w:t>
      </w:r>
    </w:p>
    <w:p w:rsidR="00000000" w:rsidDel="00000000" w:rsidP="00000000" w:rsidRDefault="00000000" w:rsidRPr="00000000" w14:paraId="00000015">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00399/INFOEM/IP/RR/2022, </w:t>
      </w:r>
      <w:r w:rsidDel="00000000" w:rsidR="00000000" w:rsidRPr="00000000">
        <w:rPr>
          <w:rFonts w:ascii="Palatino Linotype" w:cs="Palatino Linotype" w:eastAsia="Palatino Linotype" w:hAnsi="Palatino Linotype"/>
          <w:rtl w:val="0"/>
        </w:rPr>
        <w:t xml:space="preserve">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En fecha tres de febrero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6. Manifestaciones</w:t>
      </w:r>
      <w:r w:rsidDel="00000000" w:rsidR="00000000" w:rsidRPr="00000000">
        <w:rPr>
          <w:rFonts w:ascii="Palatino Linotype" w:cs="Palatino Linotype" w:eastAsia="Palatino Linotype" w:hAnsi="Palatino Linotype"/>
          <w:color w:val="000000"/>
          <w:rtl w:val="0"/>
        </w:rPr>
        <w:t xml:space="preserve">: De las constancias que integran el expediente en que se actúa se advierte que el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presentó sus alegatos, a través del archivo electrónico:</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w:t>
      </w:r>
      <w:hyperlink r:id="rId10">
        <w:r w:rsidDel="00000000" w:rsidR="00000000" w:rsidRPr="00000000">
          <w:rPr>
            <w:rFonts w:ascii="Palatino Linotype" w:cs="Palatino Linotype" w:eastAsia="Palatino Linotype" w:hAnsi="Palatino Linotype"/>
            <w:color w:val="000000"/>
            <w:rtl w:val="0"/>
          </w:rPr>
          <w:t xml:space="preserve">Manifestaciones.pdf</w:t>
        </w:r>
      </w:hyperlink>
      <w:r w:rsidDel="00000000" w:rsidR="00000000" w:rsidRPr="00000000">
        <w:rPr>
          <w:rFonts w:ascii="Palatino Linotype" w:cs="Palatino Linotype" w:eastAsia="Palatino Linotype" w:hAnsi="Palatino Linotype"/>
          <w:color w:val="000000"/>
          <w:rtl w:val="0"/>
        </w:rPr>
        <w:t xml:space="preserve">”, a través del cual hizo del conocimiento que en el acuerdo de vista de fecha 25 de febrero de 2022, hace referencia a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remitió información en informe justificado a través del sistema de Acceso a la Información Mexiquense (SAIMEX), pero dice que dicho archivo no lo puede ver  ya que en la plataforma del SAIMEX no se advierte ningún informe justificado alguno.</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fecha dieciocho de febrero del año dos mil veintidós, adjuntó el archivo electrónico denominado “</w:t>
      </w:r>
      <w:hyperlink r:id="rId11">
        <w:r w:rsidDel="00000000" w:rsidR="00000000" w:rsidRPr="00000000">
          <w:rPr>
            <w:rFonts w:ascii="Palatino Linotype" w:cs="Palatino Linotype" w:eastAsia="Palatino Linotype" w:hAnsi="Palatino Linotype"/>
            <w:rtl w:val="0"/>
          </w:rPr>
          <w:t xml:space="preserve">RECURSO DE REVISIÓN 399 2022.pdf</w:t>
        </w:r>
      </w:hyperlink>
      <w:r w:rsidDel="00000000" w:rsidR="00000000" w:rsidRPr="00000000">
        <w:rPr>
          <w:rFonts w:ascii="Palatino Linotype" w:cs="Palatino Linotype" w:eastAsia="Palatino Linotype" w:hAnsi="Palatino Linotype"/>
          <w:rtl w:val="0"/>
        </w:rPr>
        <w:t xml:space="preserve">”, a través del cual reitera el fundamento y requisitos para la asignación de claves catastrales, asimismo y a pesar de no estar obligado,  le indica que de acuerdo a dichos requisitos no se puede asignar una clave catastral en tanto no compruebe que sea propietario o poseedor de un inmueble, asimismo compruebe el pago total del valor pactado para desaparecer o inhabilitar la reserva de dominio. </w:t>
      </w:r>
    </w:p>
    <w:p w:rsidR="00000000" w:rsidDel="00000000" w:rsidP="00000000" w:rsidRDefault="00000000" w:rsidRPr="00000000" w14:paraId="0000001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informe, se puso a la vista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 la fracción III del artículo 185 de la Ley de Transparencia y Acceso a la Información Pública del Estado de México y Municipios; para que en el término de tres días manifestara lo que a su derecho convenga.</w:t>
      </w:r>
    </w:p>
    <w:p w:rsidR="00000000" w:rsidDel="00000000" w:rsidP="00000000" w:rsidRDefault="00000000" w:rsidRPr="00000000" w14:paraId="0000001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En fecha cuatro de marzo de dos mil veintidós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F">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plazo.</w:t>
      </w:r>
      <w:r w:rsidDel="00000000" w:rsidR="00000000" w:rsidRPr="00000000">
        <w:rPr>
          <w:rFonts w:ascii="Palatino Linotype" w:cs="Palatino Linotype" w:eastAsia="Palatino Linotype" w:hAnsi="Palatino Linotype"/>
          <w:rtl w:val="0"/>
        </w:rPr>
        <w:t xml:space="preserve"> En fecha veintidós de marzo del año dos mil veintidós</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1">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after="240" w:line="360" w:lineRule="auto"/>
        <w:ind w:left="72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O N S I D E R A N D O:</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el veintiocho de enero del dos mil veintidós y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treinta y uno de enero del mismo año, esto es al primer día hábil siguiente de aquel en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26">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Al mismo tiempo, tras la revisión del formato de interposición del recurso</w:t>
      </w:r>
      <w:r w:rsidDel="00000000" w:rsidR="00000000" w:rsidRPr="00000000">
        <w:rPr>
          <w:rFonts w:ascii="Palatino Linotype" w:cs="Palatino Linotype" w:eastAsia="Palatino Linotype" w:hAnsi="Palatino Linotype"/>
          <w:rtl w:val="0"/>
        </w:rPr>
        <w:t xml:space="preserve">, es de suma importancia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 proporcionó su nombre</w:t>
      </w:r>
      <w:r w:rsidDel="00000000" w:rsidR="00000000" w:rsidRPr="00000000">
        <w:rPr>
          <w:rFonts w:ascii="Palatino Linotype" w:cs="Palatino Linotype" w:eastAsia="Palatino Linotype" w:hAnsi="Palatino Linotype"/>
          <w:rtl w:val="0"/>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7">
      <w:pPr>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8">
      <w:pPr>
        <w:spacing w:after="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29">
      <w:pPr>
        <w:shd w:fill="ffffff" w:val="clea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hd w:fill="ffffff" w:val="clea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B">
      <w:pPr>
        <w:shd w:fill="ffffff" w:val="clea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fracciones VI y XIII de la ley de la materia, que a la letra dice:</w:t>
      </w:r>
    </w:p>
    <w:p w:rsidR="00000000" w:rsidDel="00000000" w:rsidP="00000000" w:rsidRDefault="00000000" w:rsidRPr="00000000" w14:paraId="0000002C">
      <w:pPr>
        <w:shd w:fill="ffffff" w:val="clea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E">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F">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entrega de información que no corresponda con lo solicitado</w:t>
      </w:r>
    </w:p>
    <w:p w:rsidR="00000000" w:rsidDel="00000000" w:rsidP="00000000" w:rsidRDefault="00000000" w:rsidRPr="00000000" w14:paraId="00000030">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1">
      <w:pPr>
        <w:ind w:left="1276" w:right="175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La falta, deficiencia o insuficiencia de la fundamentación y/o motivación en la respuesta…” (Sic)</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color w:val="ff0000"/>
          <w:highlight w:val="green"/>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color w:val="000000"/>
          <w:rtl w:val="0"/>
        </w:rPr>
        <w:t xml:space="preserve">Tercero. </w:t>
      </w:r>
      <w:r w:rsidDel="00000000" w:rsidR="00000000" w:rsidRPr="00000000">
        <w:rPr>
          <w:rFonts w:ascii="Palatino Linotype" w:cs="Palatino Linotype" w:eastAsia="Palatino Linotype" w:hAnsi="Palatino Linotype"/>
          <w:b w:val="1"/>
          <w:rtl w:val="0"/>
        </w:rPr>
        <w:t xml:space="preserve">Análisis de las causales de sobreseimiento. </w:t>
      </w:r>
      <w:r w:rsidDel="00000000" w:rsidR="00000000" w:rsidRPr="00000000">
        <w:rPr>
          <w:rFonts w:ascii="Palatino Linotype" w:cs="Palatino Linotype" w:eastAsia="Palatino Linotype" w:hAnsi="Palatino Linotype"/>
          <w:rtl w:val="0"/>
        </w:rPr>
        <w:t xml:space="preserve">E</w:t>
      </w:r>
      <w:r w:rsidDel="00000000" w:rsidR="00000000" w:rsidRPr="00000000">
        <w:rPr>
          <w:rFonts w:ascii="Palatino Linotype" w:cs="Palatino Linotype" w:eastAsia="Palatino Linotype" w:hAnsi="Palatino Linotype"/>
          <w:color w:val="000000"/>
          <w:rtl w:val="0"/>
        </w:rPr>
        <w:t xml:space="preserve">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67"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“Improcedencia: Sea que las partes la aleguen o no, debe examinarse previamente la procedencia del juicio de amparo, por ser cuestión de orden público en el juicio de garantías.”(Sic)</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su parte los artículos 186, 191 y 192 de la Ley en cita, disponen lo siguiente: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851"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186. Las resoluciones del Instituto podrán:</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851"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Desechar o sobreseer el recurso;</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Confirmar la respuesta del sujeto obligado;</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Revocar o modificar la respuesta del sujeto obligado; y</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Ordenar la entrega de la información…”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Artículo 191. El recurso será desechado por improcedente cuando:</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Sea extemporáneo por haber transcurrido el plazo establecido en la presente Ley, a partir de la respuesta;</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Se esté tramitando ante el Poder Judicial de la Federación algún recurso o medio de defensa interpuesto por el recurrente;</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No actualice alguno de los supuestos previstos en la presente Ley;</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No se haya desahogado la prevención en los términos establecidos en la presente Ley;</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Se impugne la veracidad de la información proporcionada;</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VI. Se trate de una consulta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o trámite en específico; y</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 El recurrente amplíe su solicitud en el recurso de revisión, únicamente respecto de los nuevos contenidos.”</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192. El recurso será sobreseído, en todo o en parte, cuando una vez admitido, se actualicen alguno de los siguientes supuestos: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El recurrente se desista expresamente del recurso;</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El recurrente fallezca o, tratándose de personas jurídicas colectivas, se disuelva;</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El sujeto obligado responsable del acto lo modifique o revoque de tal manera que el recurso de revisión quede sin materia;</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 Admitido el recurso de revisión, aparezca alguna causal de improcedencia en los términos de la presente Ley; y</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Cuando por cualquier motivo quede sin materia el recurso.” (Sic)</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presente caso, en el análisis oficioso este Organismo Garante advierte que, una vez admitido el Recurso de Revisión y en su estudio a detalle, surgió una causal de improcedencia, prevista en el artículo 191 fracción VI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Cobrando aplicación lo previsto en la fracción IV del artículo 192, en razón a que al haber sido el recurso y al actualizarse una causal de improcedencia, debe ser sobreseído.</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atención de lo anterior, se procede a analizar las cuestiones de hecho que dieron lugar a la improcedencia en concordancia con el apartado de causales de sobreseimiento.</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VI del artículo 191 de la misma Ley citado con antelación, por no existir elementos de procedencia, en virtud de que el mismo no actualiza alguno de los supuestos previstos en el citado artículo 179, toda vez que la parte Recurrente, mediante el recurso de revisión, solicita le sea contestada una consulta para un caso específico.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efecto de sustentar lo anterior, es imprescindible mencionar que, del análisis de la solicitud de información motivo del recurso de revisión que ahora se resuelve, se advierte que la parte solicitante requirió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le proporcione información consistente en lo siguiente:</w:t>
      </w:r>
      <w:r w:rsidDel="00000000" w:rsidR="00000000" w:rsidRPr="00000000">
        <w:rPr>
          <w:rtl w:val="0"/>
        </w:rPr>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¿Existe algún impedimento legal y/o administrativo por el cual no pueda asignar una nueva cuenta catastral respecto de la fracción de terreno de 140m2 con mi contrato de compra-venta con reserva de dominio?, en el entendido de que aún se sigue pagando.</w:t>
      </w:r>
    </w:p>
    <w:p w:rsidR="00000000" w:rsidDel="00000000" w:rsidP="00000000" w:rsidRDefault="00000000" w:rsidRPr="00000000" w14:paraId="00000052">
      <w:pPr>
        <w:spacing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la solicitud se advierte, que el particular planteó una cuestión con la que pretendía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explicara una circunstancia para un caso específico, por lo que es obvio que el particular no está ejerciendo su derecho de acceso a la información pública; debido a que en la solicitud consiste en una consulta que no es factible atenderse vía acceso a la información, es decir, que dicho cuestionamiento se colme con documentos que obren en los archivos 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5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aras de satisfacer el derecho de acceso a la información pública, emitió su respuesta a través del siguiente archivo electrónico:</w:t>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hd w:fill="ffffff" w:val="clea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2">
        <w:r w:rsidDel="00000000" w:rsidR="00000000" w:rsidRPr="00000000">
          <w:rPr>
            <w:rFonts w:ascii="Palatino Linotype" w:cs="Palatino Linotype" w:eastAsia="Palatino Linotype" w:hAnsi="Palatino Linotype"/>
            <w:rtl w:val="0"/>
          </w:rPr>
          <w:t xml:space="preserve">SOLICITUD 320-2021.pdf</w:t>
        </w:r>
      </w:hyperlink>
      <w:r w:rsidDel="00000000" w:rsidR="00000000" w:rsidRPr="00000000">
        <w:rPr>
          <w:rFonts w:ascii="Palatino Linotype" w:cs="Palatino Linotype" w:eastAsia="Palatino Linotype" w:hAnsi="Palatino Linotype"/>
          <w:rtl w:val="0"/>
        </w:rPr>
        <w:t xml:space="preserve">”, a través del cual el Titular de la Unidad de Transparencia informó al solicitante los requisitos y fundamentos para la asignación de claves catastrales, lo anterior con base al oficio proporcionado por la Dirección de Catastro del Ayuntamiento de Texcoco, tal como se advierte a continuación:</w:t>
      </w:r>
    </w:p>
    <w:p w:rsidR="00000000" w:rsidDel="00000000" w:rsidP="00000000" w:rsidRDefault="00000000" w:rsidRPr="00000000" w14:paraId="00000057">
      <w:pPr>
        <w:shd w:fill="ffffff" w:val="clea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414420" cy="3933396"/>
            <wp:effectExtent b="0" l="0" r="0" t="0"/>
            <wp:docPr id="48" name="image4.png"/>
            <a:graphic>
              <a:graphicData uri="http://schemas.openxmlformats.org/drawingml/2006/picture">
                <pic:pic>
                  <pic:nvPicPr>
                    <pic:cNvPr id="0" name="image4.png"/>
                    <pic:cNvPicPr preferRelativeResize="0"/>
                  </pic:nvPicPr>
                  <pic:blipFill>
                    <a:blip r:embed="rId13"/>
                    <a:srcRect b="10482" l="41222" r="25339" t="19673"/>
                    <a:stretch>
                      <a:fillRect/>
                    </a:stretch>
                  </pic:blipFill>
                  <pic:spPr>
                    <a:xfrm>
                      <a:off x="0" y="0"/>
                      <a:ext cx="5414420" cy="393339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1485900</wp:posOffset>
                </wp:positionV>
                <wp:extent cx="4979035" cy="2359314"/>
                <wp:effectExtent b="0" l="0" r="0" t="0"/>
                <wp:wrapNone/>
                <wp:docPr id="45" name=""/>
                <a:graphic>
                  <a:graphicData uri="http://schemas.microsoft.com/office/word/2010/wordprocessingShape">
                    <wps:wsp>
                      <wps:cNvSpPr/>
                      <wps:cNvPr id="3" name="Shape 3"/>
                      <wps:spPr>
                        <a:xfrm>
                          <a:off x="2872358" y="2616218"/>
                          <a:ext cx="4947285" cy="2327564"/>
                        </a:xfrm>
                        <a:prstGeom prst="rect">
                          <a:avLst/>
                        </a:prstGeom>
                        <a:noFill/>
                        <a:ln cap="flat" cmpd="sng" w="317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1485900</wp:posOffset>
                </wp:positionV>
                <wp:extent cx="4979035" cy="2359314"/>
                <wp:effectExtent b="0" l="0" r="0" t="0"/>
                <wp:wrapNone/>
                <wp:docPr id="45"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4979035" cy="2359314"/>
                        </a:xfrm>
                        <a:prstGeom prst="rect"/>
                        <a:ln/>
                      </pic:spPr>
                    </pic:pic>
                  </a:graphicData>
                </a:graphic>
              </wp:anchor>
            </w:drawing>
          </mc:Fallback>
        </mc:AlternateContent>
      </w:r>
    </w:p>
    <w:p w:rsidR="00000000" w:rsidDel="00000000" w:rsidP="00000000" w:rsidRDefault="00000000" w:rsidRPr="00000000" w14:paraId="00000058">
      <w:pPr>
        <w:shd w:fill="ffffff" w:val="clea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499164" cy="2106686"/>
            <wp:effectExtent b="0" l="0" r="0" t="0"/>
            <wp:docPr id="50" name="image5.png"/>
            <a:graphic>
              <a:graphicData uri="http://schemas.openxmlformats.org/drawingml/2006/picture">
                <pic:pic>
                  <pic:nvPicPr>
                    <pic:cNvPr id="0" name="image5.png"/>
                    <pic:cNvPicPr preferRelativeResize="0"/>
                  </pic:nvPicPr>
                  <pic:blipFill>
                    <a:blip r:embed="rId15"/>
                    <a:srcRect b="35561" l="40867" r="26545" t="26158"/>
                    <a:stretch>
                      <a:fillRect/>
                    </a:stretch>
                  </pic:blipFill>
                  <pic:spPr>
                    <a:xfrm>
                      <a:off x="0" y="0"/>
                      <a:ext cx="5499164" cy="2106686"/>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No conforme el particular con la respuesta, interpone el recurso de revisión que se resuelve, en el que señala como motivos de inconformidad en lo medular que no se fundamentó ni motivo la respuesta y </w:t>
      </w:r>
      <w:r w:rsidDel="00000000" w:rsidR="00000000" w:rsidRPr="00000000">
        <w:rPr>
          <w:rFonts w:ascii="Palatino Linotype" w:cs="Palatino Linotype" w:eastAsia="Palatino Linotype" w:hAnsi="Palatino Linotype"/>
          <w:b w:val="1"/>
          <w:rtl w:val="0"/>
        </w:rPr>
        <w:t xml:space="preserve">que no se atiende al punto requerido en su solicitud. </w:t>
      </w:r>
      <w:r w:rsidDel="00000000" w:rsidR="00000000" w:rsidRPr="00000000">
        <w:rPr>
          <w:rtl w:val="0"/>
        </w:rPr>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 informe justificado a través del siguiente archivo electrónico:</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6">
        <w:r w:rsidDel="00000000" w:rsidR="00000000" w:rsidRPr="00000000">
          <w:rPr>
            <w:rFonts w:ascii="Palatino Linotype" w:cs="Palatino Linotype" w:eastAsia="Palatino Linotype" w:hAnsi="Palatino Linotype"/>
            <w:rtl w:val="0"/>
          </w:rPr>
          <w:t xml:space="preserve">RECURSO DE REVISIÓN 399 2022.pdf</w:t>
        </w:r>
      </w:hyperlink>
      <w:r w:rsidDel="00000000" w:rsidR="00000000" w:rsidRPr="00000000">
        <w:rPr>
          <w:rFonts w:ascii="Palatino Linotype" w:cs="Palatino Linotype" w:eastAsia="Palatino Linotype" w:hAnsi="Palatino Linotype"/>
          <w:rtl w:val="0"/>
        </w:rPr>
        <w:t xml:space="preserve">”, a través del cual informó lo siguiente: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635000</wp:posOffset>
                </wp:positionV>
                <wp:extent cx="5546393" cy="2830488"/>
                <wp:effectExtent b="0" l="0" r="0" t="0"/>
                <wp:wrapNone/>
                <wp:docPr id="44" name=""/>
                <a:graphic>
                  <a:graphicData uri="http://schemas.microsoft.com/office/word/2010/wordprocessingShape">
                    <wps:wsp>
                      <wps:cNvCnPr/>
                      <wps:spPr>
                        <a:xfrm>
                          <a:off x="2582329" y="2374281"/>
                          <a:ext cx="5527343" cy="2811438"/>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635000</wp:posOffset>
                </wp:positionV>
                <wp:extent cx="5546393" cy="2830488"/>
                <wp:effectExtent b="0" l="0" r="0" t="0"/>
                <wp:wrapNone/>
                <wp:docPr id="44"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5546393" cy="2830488"/>
                        </a:xfrm>
                        <a:prstGeom prst="rect"/>
                        <a:ln/>
                      </pic:spPr>
                    </pic:pic>
                  </a:graphicData>
                </a:graphic>
              </wp:anchor>
            </w:drawing>
          </mc:Fallback>
        </mc:AlternateConten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after="240" w:before="240" w:line="360" w:lineRule="auto"/>
        <w:jc w:val="both"/>
        <w:rPr/>
      </w:pPr>
      <w:r w:rsidDel="00000000" w:rsidR="00000000" w:rsidRPr="00000000">
        <w:rPr>
          <w:rtl w:val="0"/>
        </w:rPr>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328004" cy="7016417"/>
            <wp:effectExtent b="0" l="0" r="0" t="0"/>
            <wp:docPr id="49" name="image1.png"/>
            <a:graphic>
              <a:graphicData uri="http://schemas.openxmlformats.org/drawingml/2006/picture">
                <pic:pic>
                  <pic:nvPicPr>
                    <pic:cNvPr id="0" name="image1.png"/>
                    <pic:cNvPicPr preferRelativeResize="0"/>
                  </pic:nvPicPr>
                  <pic:blipFill>
                    <a:blip r:embed="rId18"/>
                    <a:srcRect b="13509" l="40375" r="26193" t="18807"/>
                    <a:stretch>
                      <a:fillRect/>
                    </a:stretch>
                  </pic:blipFill>
                  <pic:spPr>
                    <a:xfrm>
                      <a:off x="0" y="0"/>
                      <a:ext cx="5328004" cy="701641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71288" cy="3724622"/>
            <wp:effectExtent b="0" l="0" r="0" t="0"/>
            <wp:docPr id="51" name="image3.png"/>
            <a:graphic>
              <a:graphicData uri="http://schemas.openxmlformats.org/drawingml/2006/picture">
                <pic:pic>
                  <pic:nvPicPr>
                    <pic:cNvPr id="0" name="image3.png"/>
                    <pic:cNvPicPr preferRelativeResize="0"/>
                  </pic:nvPicPr>
                  <pic:blipFill>
                    <a:blip r:embed="rId19"/>
                    <a:srcRect b="22146" l="40384" r="24716" t="25508"/>
                    <a:stretch>
                      <a:fillRect/>
                    </a:stretch>
                  </pic:blipFill>
                  <pic:spPr>
                    <a:xfrm>
                      <a:off x="0" y="0"/>
                      <a:ext cx="5571288" cy="3724622"/>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del informe justificado,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reitera el fundamento y requisitos para la asignación de claves catastrales, asimismo y a pesar de no estar obligado, le indica que de acuerdo a dichos requisitos no se puede asignar una clave catastral en tanto no compruebe que sea propietario o poseedor de un inmueble, asimismo compruebe el pago total del valor pactado para desaparecer o inhabilitar la reserva de dominio. </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del análisis realizado al expediente electrónico, se advierte que la solicitud no constituye un derecho de acceso a la información y por lo tanto no es atendible mediante una solicitud de acceso a la información pública, porque se tratan de una consulta para un caso específico, situación que conlleva a afirmar que se está en presencia del ejercicio del derecho de petición.</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importante diferenciar lo que se entiende por derecho de petición y por derecho de acceso a la información pública.</w:t>
      </w:r>
    </w:p>
    <w:p w:rsidR="00000000" w:rsidDel="00000000" w:rsidP="00000000" w:rsidRDefault="00000000" w:rsidRPr="00000000" w14:paraId="00000063">
      <w:pPr>
        <w:spacing w:after="24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Derecho de Petición:</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Doctor Ignacio Burgoa Orihuela refiere que derecho de petición: "...</w:t>
      </w:r>
      <w:r w:rsidDel="00000000" w:rsidR="00000000" w:rsidRPr="00000000">
        <w:rPr>
          <w:rFonts w:ascii="Palatino Linotype" w:cs="Palatino Linotype" w:eastAsia="Palatino Linotype" w:hAnsi="Palatino Linotype"/>
          <w:i w:val="1"/>
          <w:rtl w:val="0"/>
        </w:rPr>
        <w:t xml:space="preserve">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(Sic)</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360" w:before="240" w:line="360" w:lineRule="auto"/>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color w:val="000000"/>
          <w:rtl w:val="0"/>
        </w:rPr>
        <w:t xml:space="preserve">Por su parte, David Cienfuegos Salgado, concibe al derecho de petición como </w:t>
      </w:r>
      <w:r w:rsidDel="00000000" w:rsidR="00000000" w:rsidRPr="00000000">
        <w:rPr>
          <w:rFonts w:ascii="Palatino Linotype" w:cs="Palatino Linotype" w:eastAsia="Palatino Linotype" w:hAnsi="Palatino Linotype"/>
          <w:i w:val="1"/>
          <w:color w:val="000000"/>
          <w:rtl w:val="0"/>
        </w:rPr>
        <w:t xml:space="preserve">“el derecho de toda persona a ser escuchado por quienes ejercen el poder público.</w:t>
      </w:r>
      <w:r w:rsidDel="00000000" w:rsidR="00000000" w:rsidRPr="00000000">
        <w:rPr>
          <w:rFonts w:ascii="Palatino Linotype" w:cs="Palatino Linotype" w:eastAsia="Palatino Linotype" w:hAnsi="Palatino Linotype"/>
          <w:i w:val="1"/>
          <w:color w:val="000000"/>
          <w:vertAlign w:val="superscript"/>
          <w:rtl w:val="0"/>
        </w:rPr>
        <w:t xml:space="preserve"> </w:t>
      </w:r>
      <w:r w:rsidDel="00000000" w:rsidR="00000000" w:rsidRPr="00000000">
        <w:rPr>
          <w:rFonts w:ascii="Palatino Linotype" w:cs="Palatino Linotype" w:eastAsia="Palatino Linotype" w:hAnsi="Palatino Linotype"/>
          <w:i w:val="1"/>
          <w:color w:val="000000"/>
          <w:vertAlign w:val="superscript"/>
        </w:rPr>
        <w:footnoteReference w:customMarkFollows="0" w:id="1"/>
      </w:r>
      <w:r w:rsidDel="00000000" w:rsidR="00000000" w:rsidRPr="00000000">
        <w:rPr>
          <w:rFonts w:ascii="Palatino Linotype" w:cs="Palatino Linotype" w:eastAsia="Palatino Linotype" w:hAnsi="Palatino Linotype"/>
          <w:i w:val="1"/>
          <w:color w:val="000000"/>
          <w:rtl w:val="0"/>
        </w:rPr>
        <w:t xml:space="preserve">” (Sic) </w:t>
      </w:r>
    </w:p>
    <w:p w:rsidR="00000000" w:rsidDel="00000000" w:rsidP="00000000" w:rsidRDefault="00000000" w:rsidRPr="00000000" w14:paraId="00000066">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Migue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tl w:val="0"/>
        </w:rPr>
      </w:r>
    </w:p>
    <w:p w:rsidR="00000000" w:rsidDel="00000000" w:rsidP="00000000" w:rsidRDefault="00000000" w:rsidRPr="00000000" w14:paraId="00000067">
      <w:pPr>
        <w:spacing w:after="0" w:line="360" w:lineRule="auto"/>
        <w:ind w:right="-9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Derecho de Acceso a la Información Pública:</w:t>
      </w:r>
    </w:p>
    <w:p w:rsidR="00000000" w:rsidDel="00000000" w:rsidP="00000000" w:rsidRDefault="00000000" w:rsidRPr="00000000" w14:paraId="00000069">
      <w:pPr>
        <w:spacing w:after="0" w:line="360" w:lineRule="auto"/>
        <w:ind w:right="-9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left="93" w:right="116" w:firstLine="0"/>
        <w:rPr>
          <w:color w:val="000000"/>
          <w:sz w:val="23"/>
          <w:szCs w:val="23"/>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Del="00000000" w:rsidR="00000000" w:rsidRPr="00000000">
        <w:rPr>
          <w:rFonts w:ascii="Palatino Linotype" w:cs="Palatino Linotype" w:eastAsia="Palatino Linotype" w:hAnsi="Palatino Linotype"/>
          <w:color w:val="000000"/>
          <w:vertAlign w:val="superscript"/>
        </w:rPr>
        <w:footnoteReference w:customMarkFollows="0" w:id="3"/>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right="9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Del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corno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Del="00000000" w:rsidR="00000000" w:rsidRPr="00000000">
        <w:rPr>
          <w:rFonts w:ascii="Palatino Linotype" w:cs="Palatino Linotype" w:eastAsia="Palatino Linotype" w:hAnsi="Palatino Linotype"/>
          <w:color w:val="000000"/>
          <w:vertAlign w:val="superscript"/>
        </w:rPr>
        <w:footnoteReference w:customMarkFollows="0" w:id="4"/>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2">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73">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TEMÁTICA DE LOS ARTÍCULOS 2, FRACCIÓN V, XV, Y XVI, 32, 4,11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6">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7">
      <w:pPr>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 encuentre en posesión de los Sujetos Obligados.”(Sic)</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 base a lo anterior, tenemos que el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en su solicitud de información requiere de una explicación o bien una razón a una consulta sobre un caso específico por parte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por consiguiente, la entrega de una razón o la respuesta a cuestionamientos que no encuentren soporte documental alguno, por parte de los Sujetos Obligados no es algo que la Ley de la Materia establezca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el particular ya que son tendentes a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aclare una inquietud</w:t>
      </w:r>
      <w:r w:rsidDel="00000000" w:rsidR="00000000" w:rsidRPr="00000000">
        <w:rPr>
          <w:rFonts w:ascii="Palatino Linotype" w:cs="Palatino Linotype" w:eastAsia="Palatino Linotype" w:hAnsi="Palatino Linotype"/>
          <w:rtl w:val="0"/>
        </w:rPr>
        <w:t xml:space="preserve">, respesto a un supuesto especifico. </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virtud de los argumentos expuestos con anterioridad así como del análisis realizado a las constancias que obran en el expediente electrónico del SAIMEX, identificado con folio </w:t>
      </w:r>
      <w:r w:rsidDel="00000000" w:rsidR="00000000" w:rsidRPr="00000000">
        <w:rPr>
          <w:rFonts w:ascii="Palatino Linotype" w:cs="Palatino Linotype" w:eastAsia="Palatino Linotype" w:hAnsi="Palatino Linotype"/>
          <w:b w:val="1"/>
          <w:color w:val="000000"/>
          <w:rtl w:val="0"/>
        </w:rPr>
        <w:t xml:space="preserve">00399/INFOEM/IP/RR/2022</w:t>
      </w:r>
      <w:r w:rsidDel="00000000" w:rsidR="00000000" w:rsidRPr="00000000">
        <w:rPr>
          <w:rFonts w:ascii="Palatino Linotype" w:cs="Palatino Linotype" w:eastAsia="Palatino Linotype" w:hAnsi="Palatino Linotype"/>
          <w:color w:val="000000"/>
          <w:rtl w:val="0"/>
        </w:rPr>
        <w:t xml:space="preserve">,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VI del artículo 191 del ordenamiento legal en cita, los que se transcriben a continuación, para un mejor entendimiento:</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192.</w:t>
      </w:r>
      <w:r w:rsidDel="00000000" w:rsidR="00000000" w:rsidRPr="00000000">
        <w:rPr>
          <w:rFonts w:ascii="Palatino Linotype" w:cs="Palatino Linotype" w:eastAsia="Palatino Linotype" w:hAnsi="Palatino Linotype"/>
          <w:i w:val="1"/>
          <w:color w:val="000000"/>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IV</w:t>
      </w:r>
      <w:r w:rsidDel="00000000" w:rsidR="00000000" w:rsidRPr="00000000">
        <w:rPr>
          <w:rFonts w:ascii="Palatino Linotype" w:cs="Palatino Linotype" w:eastAsia="Palatino Linotype" w:hAnsi="Palatino Linotype"/>
          <w:i w:val="1"/>
          <w:color w:val="000000"/>
          <w:sz w:val="22"/>
          <w:szCs w:val="22"/>
          <w:rtl w:val="0"/>
        </w:rPr>
        <w:t xml:space="preserve">. Admitido el recurso de revisión, </w:t>
      </w:r>
      <w:r w:rsidDel="00000000" w:rsidR="00000000" w:rsidRPr="00000000">
        <w:rPr>
          <w:rFonts w:ascii="Palatino Linotype" w:cs="Palatino Linotype" w:eastAsia="Palatino Linotype" w:hAnsi="Palatino Linotype"/>
          <w:b w:val="1"/>
          <w:i w:val="1"/>
          <w:color w:val="000000"/>
          <w:sz w:val="22"/>
          <w:szCs w:val="22"/>
          <w:rtl w:val="0"/>
        </w:rPr>
        <w:t xml:space="preserve">aparezca alguna causal de improcedencia</w:t>
      </w:r>
      <w:r w:rsidDel="00000000" w:rsidR="00000000" w:rsidRPr="00000000">
        <w:rPr>
          <w:rFonts w:ascii="Palatino Linotype" w:cs="Palatino Linotype" w:eastAsia="Palatino Linotype" w:hAnsi="Palatino Linotype"/>
          <w:i w:val="1"/>
          <w:color w:val="000000"/>
          <w:sz w:val="22"/>
          <w:szCs w:val="22"/>
          <w:rtl w:val="0"/>
        </w:rPr>
        <w:t xml:space="preserve"> en los términos de la presente Ley…</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191</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El recurso</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será </w:t>
      </w:r>
      <w:r w:rsidDel="00000000" w:rsidR="00000000" w:rsidRPr="00000000">
        <w:rPr>
          <w:rFonts w:ascii="Palatino Linotype" w:cs="Palatino Linotype" w:eastAsia="Palatino Linotype" w:hAnsi="Palatino Linotype"/>
          <w:i w:val="1"/>
          <w:color w:val="000000"/>
          <w:sz w:val="22"/>
          <w:szCs w:val="22"/>
          <w:rtl w:val="0"/>
        </w:rPr>
        <w:t xml:space="preserve">desechado por </w:t>
      </w:r>
      <w:r w:rsidDel="00000000" w:rsidR="00000000" w:rsidRPr="00000000">
        <w:rPr>
          <w:rFonts w:ascii="Palatino Linotype" w:cs="Palatino Linotype" w:eastAsia="Palatino Linotype" w:hAnsi="Palatino Linotype"/>
          <w:b w:val="1"/>
          <w:i w:val="1"/>
          <w:color w:val="000000"/>
          <w:sz w:val="22"/>
          <w:szCs w:val="22"/>
          <w:rtl w:val="0"/>
        </w:rPr>
        <w:t xml:space="preserve">improcedente cuando</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 Se trate de una consulta</w:t>
      </w:r>
      <w:r w:rsidDel="00000000" w:rsidR="00000000" w:rsidRPr="00000000">
        <w:rPr>
          <w:rFonts w:ascii="Palatino Linotype" w:cs="Palatino Linotype" w:eastAsia="Palatino Linotype" w:hAnsi="Palatino Linotype"/>
          <w:i w:val="1"/>
          <w:color w:val="000000"/>
          <w:sz w:val="22"/>
          <w:szCs w:val="22"/>
          <w:rtl w:val="0"/>
        </w:rPr>
        <w:t xml:space="preserve">, o tramite en específico... (Sic)</w:t>
      </w:r>
    </w:p>
    <w:p w:rsidR="00000000" w:rsidDel="00000000" w:rsidP="00000000" w:rsidRDefault="00000000" w:rsidRPr="00000000" w14:paraId="00000086">
      <w:pPr>
        <w:spacing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8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SOBRESEIMIENTO, NO PERMITE ENTRAR AL ESTUDIO DE LAS CUESTIONES DE FONDO”</w:t>
      </w:r>
      <w:r w:rsidDel="00000000" w:rsidR="00000000" w:rsidRPr="00000000">
        <w:rPr>
          <w:rFonts w:ascii="Palatino Linotype" w:cs="Palatino Linotype" w:eastAsia="Palatino Linotype" w:hAnsi="Palatino Linotype"/>
          <w:b w:val="1"/>
          <w:vertAlign w:val="superscript"/>
        </w:rPr>
        <w:footnoteReference w:customMarkFollows="0" w:id="5"/>
      </w:r>
      <w:r w:rsidDel="00000000" w:rsidR="00000000" w:rsidRPr="00000000">
        <w:rPr>
          <w:rFonts w:ascii="Palatino Linotype" w:cs="Palatino Linotype" w:eastAsia="Palatino Linotype" w:hAnsi="Palatino Linotype"/>
          <w:b w:val="1"/>
          <w:rtl w:val="0"/>
        </w:rPr>
        <w:t xml:space="preserve">.</w:t>
      </w:r>
      <w:r w:rsidDel="00000000" w:rsidR="00000000" w:rsidRPr="00000000">
        <w:rPr>
          <w:rtl w:val="0"/>
        </w:rPr>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órgano colegiado de sobreseer el recurso de revisión no implica una limitación o negación a la justicia, según lo ha establecido el Poder Judicial Federal, en el criterio con rubro </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DESECHAMIENTO O SOBRESEIMIENTO EN EL JUICIO DE AMPARO. NO IMPLICA DENEGACIÓN DE JUSTICIA NI GENERA INSEGURIDAD JURÍDICA</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vertAlign w:val="superscript"/>
        </w:rPr>
        <w:footnoteReference w:customMarkFollows="0" w:id="6"/>
      </w:r>
      <w:r w:rsidDel="00000000" w:rsidR="00000000" w:rsidRPr="00000000">
        <w:rPr>
          <w:rFonts w:ascii="Palatino Linotype" w:cs="Palatino Linotype" w:eastAsia="Palatino Linotype" w:hAnsi="Palatino Linotype"/>
          <w:rtl w:val="0"/>
        </w:rPr>
        <w:t xml:space="preserve"> que es aplicable por analogía.</w:t>
      </w:r>
    </w:p>
    <w:p w:rsidR="00000000" w:rsidDel="00000000" w:rsidP="00000000" w:rsidRDefault="00000000" w:rsidRPr="00000000" w14:paraId="0000008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con fundamento en lo prescrito en los artículos 5 párrafos trigésimo, trigésimo primero y trigésimo segundo de la Constitución Política del Estado Libre y Soberano de México; 2, fracción II; 29, 36 fracciones I y II; 176, 178, 179, 181 y 185 de la Ley de Transparencia y Acceso a la Información Pública del Estado de México y Municipios, este Pleno:</w:t>
      </w:r>
    </w:p>
    <w:p w:rsidR="00000000" w:rsidDel="00000000" w:rsidP="00000000" w:rsidRDefault="00000000" w:rsidRPr="00000000" w14:paraId="0000008C">
      <w:pPr>
        <w:spacing w:line="360" w:lineRule="auto"/>
        <w:ind w:left="36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8D">
      <w:pPr>
        <w:spacing w:line="360" w:lineRule="auto"/>
        <w:jc w:val="both"/>
        <w:rPr>
          <w:rFonts w:ascii="Palatino Linotype" w:cs="Palatino Linotype" w:eastAsia="Palatino Linotype" w:hAnsi="Palatino Linotype"/>
          <w:highlight w:val="white"/>
        </w:rPr>
      </w:pPr>
      <w:bookmarkStart w:colFirst="0" w:colLast="0" w:name="_heading=h.30j0zll" w:id="1"/>
      <w:bookmarkEnd w:id="1"/>
      <w:r w:rsidDel="00000000" w:rsidR="00000000" w:rsidRPr="00000000">
        <w:rPr>
          <w:rFonts w:ascii="Palatino Linotype" w:cs="Palatino Linotype" w:eastAsia="Palatino Linotype" w:hAnsi="Palatino Linotype"/>
          <w:b w:val="1"/>
          <w:highlight w:val="white"/>
          <w:rtl w:val="0"/>
        </w:rPr>
        <w:t xml:space="preserve">Primero.</w:t>
      </w:r>
      <w:r w:rsidDel="00000000" w:rsidR="00000000" w:rsidRPr="00000000">
        <w:rPr>
          <w:rFonts w:ascii="Palatino Linotype" w:cs="Palatino Linotype" w:eastAsia="Palatino Linotype" w:hAnsi="Palatino Linotype"/>
          <w:highlight w:val="white"/>
          <w:rtl w:val="0"/>
        </w:rPr>
        <w:t xml:space="preserve"> Se </w:t>
      </w:r>
      <w:r w:rsidDel="00000000" w:rsidR="00000000" w:rsidRPr="00000000">
        <w:rPr>
          <w:rFonts w:ascii="Palatino Linotype" w:cs="Palatino Linotype" w:eastAsia="Palatino Linotype" w:hAnsi="Palatino Linotype"/>
          <w:b w:val="1"/>
          <w:highlight w:val="white"/>
          <w:rtl w:val="0"/>
        </w:rPr>
        <w:t xml:space="preserve">SOBRESEE</w:t>
      </w:r>
      <w:r w:rsidDel="00000000" w:rsidR="00000000" w:rsidRPr="00000000">
        <w:rPr>
          <w:rFonts w:ascii="Palatino Linotype" w:cs="Palatino Linotype" w:eastAsia="Palatino Linotype" w:hAnsi="Palatino Linotype"/>
          <w:highlight w:val="white"/>
          <w:rtl w:val="0"/>
        </w:rPr>
        <w:t xml:space="preserve"> el recurso de revisión número </w:t>
      </w:r>
      <w:r w:rsidDel="00000000" w:rsidR="00000000" w:rsidRPr="00000000">
        <w:rPr>
          <w:rFonts w:ascii="Palatino Linotype" w:cs="Palatino Linotype" w:eastAsia="Palatino Linotype" w:hAnsi="Palatino Linotype"/>
          <w:b w:val="1"/>
          <w:highlight w:val="white"/>
          <w:rtl w:val="0"/>
        </w:rPr>
        <w:t xml:space="preserve">00399/INFOEM/IP/RR/2022</w:t>
      </w:r>
      <w:r w:rsidDel="00000000" w:rsidR="00000000" w:rsidRPr="00000000">
        <w:rPr>
          <w:rFonts w:ascii="Palatino Linotype" w:cs="Palatino Linotype" w:eastAsia="Palatino Linotype" w:hAnsi="Palatino Linotype"/>
          <w:highlight w:val="white"/>
          <w:rtl w:val="0"/>
        </w:rPr>
        <w:t xml:space="preserve">, por actualizarse la causal de improcedencia inmersa en la fracción VI del artículo 191, de la Ley de Transparencia vigente en la entidad, en términos del Considerando </w:t>
      </w:r>
      <w:r w:rsidDel="00000000" w:rsidR="00000000" w:rsidRPr="00000000">
        <w:rPr>
          <w:rFonts w:ascii="Palatino Linotype" w:cs="Palatino Linotype" w:eastAsia="Palatino Linotype" w:hAnsi="Palatino Linotype"/>
          <w:b w:val="1"/>
          <w:highlight w:val="white"/>
          <w:rtl w:val="0"/>
        </w:rPr>
        <w:t xml:space="preserve">TERCERO</w:t>
      </w:r>
      <w:r w:rsidDel="00000000" w:rsidR="00000000" w:rsidRPr="00000000">
        <w:rPr>
          <w:rFonts w:ascii="Palatino Linotype" w:cs="Palatino Linotype" w:eastAsia="Palatino Linotype" w:hAnsi="Palatino Linotype"/>
          <w:highlight w:val="white"/>
          <w:rtl w:val="0"/>
        </w:rPr>
        <w:t xml:space="preserve"> de la presente resolución.</w:t>
      </w:r>
    </w:p>
    <w:p w:rsidR="00000000" w:rsidDel="00000000" w:rsidP="00000000" w:rsidRDefault="00000000" w:rsidRPr="00000000" w14:paraId="0000008E">
      <w:pPr>
        <w:spacing w:line="360" w:lineRule="auto"/>
        <w:jc w:val="both"/>
        <w:rPr>
          <w:rFonts w:ascii="Palatino Linotype" w:cs="Palatino Linotype" w:eastAsia="Palatino Linotype" w:hAnsi="Palatino Linotype"/>
          <w:b w:val="1"/>
          <w:highlight w:val="white"/>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Segundo. Notifíquese vía SAIMEX</w:t>
      </w:r>
      <w:r w:rsidDel="00000000" w:rsidR="00000000" w:rsidRPr="00000000">
        <w:rPr>
          <w:rFonts w:ascii="Palatino Linotype" w:cs="Palatino Linotype" w:eastAsia="Palatino Linotype" w:hAnsi="Palatino Linotype"/>
          <w:b w:val="1"/>
          <w:i w:val="1"/>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al Responsable de la Unidad de Transparencia del </w:t>
      </w:r>
      <w:r w:rsidDel="00000000" w:rsidR="00000000" w:rsidRPr="00000000">
        <w:rPr>
          <w:rFonts w:ascii="Palatino Linotype" w:cs="Palatino Linotype" w:eastAsia="Palatino Linotype" w:hAnsi="Palatino Linotype"/>
          <w:b w:val="1"/>
          <w:highlight w:val="white"/>
          <w:rtl w:val="0"/>
        </w:rPr>
        <w:t xml:space="preserve">SUJETO OBLIGADO</w:t>
      </w:r>
      <w:r w:rsidDel="00000000" w:rsidR="00000000" w:rsidRPr="00000000">
        <w:rPr>
          <w:rFonts w:ascii="Palatino Linotype" w:cs="Palatino Linotype" w:eastAsia="Palatino Linotype" w:hAnsi="Palatino Linotype"/>
          <w:highlight w:val="white"/>
          <w:rtl w:val="0"/>
        </w:rPr>
        <w:t xml:space="preserve"> la presente resolución, para su conocimiento. </w:t>
      </w:r>
    </w:p>
    <w:p w:rsidR="00000000" w:rsidDel="00000000" w:rsidP="00000000" w:rsidRDefault="00000000" w:rsidRPr="00000000" w14:paraId="00000090">
      <w:pPr>
        <w:spacing w:after="240" w:line="360" w:lineRule="auto"/>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91">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b w:val="1"/>
          <w:color w:val="000000"/>
          <w:sz w:val="28"/>
          <w:szCs w:val="28"/>
          <w:rtl w:val="0"/>
        </w:rPr>
        <w:t xml:space="preserve"> </w:t>
      </w:r>
      <w:r w:rsidDel="00000000" w:rsidR="00000000" w:rsidRPr="00000000">
        <w:rPr>
          <w:rFonts w:ascii="Palatino Linotype" w:cs="Palatino Linotype" w:eastAsia="Palatino Linotype" w:hAnsi="Palatino Linotype"/>
          <w:b w:val="1"/>
          <w:color w:val="000000"/>
          <w:rtl w:val="0"/>
        </w:rPr>
        <w:t xml:space="preserve">Notifíquese </w:t>
      </w:r>
      <w:r w:rsidDel="00000000" w:rsidR="00000000" w:rsidRPr="00000000">
        <w:rPr>
          <w:rFonts w:ascii="Palatino Linotype" w:cs="Palatino Linotype" w:eastAsia="Palatino Linotype" w:hAnsi="Palatino Linotype"/>
          <w:color w:val="000000"/>
          <w:rtl w:val="0"/>
        </w:rPr>
        <w:t xml:space="preserve">vía SAIMEX</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la presente resolución al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rPr>
        <w:sectPr>
          <w:headerReference r:id="rId20" w:type="default"/>
          <w:headerReference r:id="rId21" w:type="first"/>
          <w:footerReference r:id="rId22" w:type="default"/>
          <w:footerReference r:id="rId23"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VEINTICUATRO</w:t>
      </w:r>
      <w:r w:rsidDel="00000000" w:rsidR="00000000" w:rsidRPr="00000000">
        <w:rPr>
          <w:rFonts w:ascii="Palatino Linotype" w:cs="Palatino Linotype" w:eastAsia="Palatino Linotype" w:hAnsi="Palatino Linotype"/>
          <w:rtl w:val="0"/>
        </w:rPr>
        <w:t xml:space="preserve"> DE MARZO DEL DOS MIL VEINTIDÓS, ANTE EL SECRETARIO TÉCNICO DEL PLENO ALEXIS TAPIA RAMÍREZ.</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24"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4">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BURGOA ORIHUELA Ignacio. Diccionario De Derecho Constitucional, Garantías y Amparo. Ed. Porrúa, S.A., México. 1992, p.115.</w:t>
      </w:r>
    </w:p>
  </w:footnote>
  <w:footnote w:id="1">
    <w:p w:rsidR="00000000" w:rsidDel="00000000" w:rsidP="00000000" w:rsidRDefault="00000000" w:rsidRPr="00000000" w14:paraId="00000095">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CIENFUEGOS SALGADO David. El Derecho de Petición en México. Ed. Instituto de Investigaciones Jurídica UNAM. México 2004. p. 31</w:t>
      </w:r>
    </w:p>
  </w:footnote>
  <w:footnote w:id="2">
    <w:p w:rsidR="00000000" w:rsidDel="00000000" w:rsidP="00000000" w:rsidRDefault="00000000" w:rsidRPr="00000000" w14:paraId="00000096">
      <w:pPr>
        <w:spacing w:after="240"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Carbonell, M. (2004). Los Derechos Fundamentales (Primera Edición ed.), México: Instituto de investigaciones Jurídicas.</w:t>
      </w:r>
    </w:p>
  </w:footnote>
  <w:footnote w:id="3">
    <w:p w:rsidR="00000000" w:rsidDel="00000000" w:rsidP="00000000" w:rsidRDefault="00000000" w:rsidRPr="00000000" w14:paraId="00000097">
      <w:pPr>
        <w:pBdr>
          <w:top w:space="0" w:sz="0" w:val="nil"/>
          <w:left w:space="0" w:sz="0" w:val="nil"/>
          <w:bottom w:space="0" w:sz="0" w:val="nil"/>
          <w:right w:space="0" w:sz="0" w:val="nil"/>
          <w:between w:space="0" w:sz="0" w:val="nil"/>
        </w:pBdr>
        <w:spacing w:line="198" w:lineRule="auto"/>
        <w:ind w:left="93" w:firstLine="0"/>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color w:val="000000"/>
          <w:sz w:val="23"/>
          <w:szCs w:val="23"/>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VILLANUEVA VILLANUEVA Ernesto, Derecho de la Información, Ed, Porrúa S.A., México. 2006, pág.270.</w:t>
      </w:r>
    </w:p>
  </w:footnote>
  <w:footnote w:id="4">
    <w:p w:rsidR="00000000" w:rsidDel="00000000" w:rsidP="00000000" w:rsidRDefault="00000000" w:rsidRPr="00000000" w14:paraId="00000098">
      <w:pPr>
        <w:pBdr>
          <w:top w:space="0" w:sz="0" w:val="nil"/>
          <w:left w:space="0" w:sz="0" w:val="nil"/>
          <w:bottom w:space="0" w:sz="0" w:val="nil"/>
          <w:right w:space="0" w:sz="0" w:val="nil"/>
          <w:between w:space="0" w:sz="0" w:val="nil"/>
        </w:pBdr>
        <w:ind w:right="96"/>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color w:val="000000"/>
          <w:sz w:val="23"/>
          <w:szCs w:val="23"/>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ROBLES HERNÁNDEZ José Guadalupe. Derecho de la Información y Comunicación Pública. Ed.Universidad de Occidente de México, 2004, pág.72.</w:t>
      </w:r>
    </w:p>
  </w:footnote>
  <w:footnote w:id="5">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color w:val="000000"/>
          <w:sz w:val="18"/>
          <w:szCs w:val="18"/>
          <w:highlight w:val="whit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8"/>
          <w:szCs w:val="18"/>
          <w:rtl w:val="0"/>
        </w:rPr>
        <w:t xml:space="preserve"> </w:t>
      </w:r>
      <w:r w:rsidDel="00000000" w:rsidR="00000000" w:rsidRPr="00000000">
        <w:rPr>
          <w:rFonts w:ascii="Palatino Linotype" w:cs="Palatino Linotype" w:eastAsia="Palatino Linotype" w:hAnsi="Palatino Linotype"/>
          <w:b w:val="1"/>
          <w:color w:val="000000"/>
          <w:sz w:val="18"/>
          <w:szCs w:val="18"/>
          <w:rtl w:val="0"/>
        </w:rPr>
        <w:t xml:space="preserve">Localización</w:t>
      </w:r>
      <w:r w:rsidDel="00000000" w:rsidR="00000000" w:rsidRPr="00000000">
        <w:rPr>
          <w:rFonts w:ascii="Palatino Linotype" w:cs="Palatino Linotype" w:eastAsia="Palatino Linotype" w:hAnsi="Palatino Linotype"/>
          <w:color w:val="000000"/>
          <w:sz w:val="18"/>
          <w:szCs w:val="18"/>
          <w:rtl w:val="0"/>
        </w:rPr>
        <w:t xml:space="preserve">: 2</w:t>
      </w:r>
      <w:r w:rsidDel="00000000" w:rsidR="00000000" w:rsidRPr="00000000">
        <w:rPr>
          <w:rFonts w:ascii="Palatino Linotype" w:cs="Palatino Linotype" w:eastAsia="Palatino Linotype" w:hAnsi="Palatino Linotype"/>
          <w:color w:val="000000"/>
          <w:sz w:val="18"/>
          <w:szCs w:val="18"/>
          <w:highlight w:val="white"/>
          <w:rtl w:val="0"/>
        </w:rPr>
        <w:t xml:space="preserve">13609. II.2o.183 K. Tribunales Colegiados de Circuito. Octava Época. Semanario Judicial de la Federación. Tomo XIII, Febrero de 1994, Pág. 420</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color w:val="000000"/>
          <w:sz w:val="19"/>
          <w:szCs w:val="19"/>
        </w:rPr>
      </w:pPr>
      <w:r w:rsidDel="00000000" w:rsidR="00000000" w:rsidRPr="00000000">
        <w:rPr>
          <w:rFonts w:ascii="Palatino Linotype" w:cs="Palatino Linotype" w:eastAsia="Palatino Linotype" w:hAnsi="Palatino Linotype"/>
          <w:b w:val="1"/>
          <w:color w:val="000000"/>
          <w:sz w:val="18"/>
          <w:szCs w:val="18"/>
          <w:rtl w:val="0"/>
        </w:rPr>
        <w:t xml:space="preserve">Cuerpo de tesis:</w:t>
      </w:r>
      <w:r w:rsidDel="00000000" w:rsidR="00000000" w:rsidRPr="00000000">
        <w:rPr>
          <w:rFonts w:ascii="Palatino Linotype" w:cs="Palatino Linotype" w:eastAsia="Palatino Linotype" w:hAnsi="Palatino Linotype"/>
          <w:color w:val="000000"/>
          <w:sz w:val="18"/>
          <w:szCs w:val="18"/>
          <w:rtl w:val="0"/>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r w:rsidDel="00000000" w:rsidR="00000000" w:rsidRPr="00000000">
        <w:rPr>
          <w:rtl w:val="0"/>
        </w:rPr>
      </w:r>
    </w:p>
  </w:footnote>
  <w:footnote w:id="6">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9"/>
          <w:szCs w:val="19"/>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20"/>
          <w:szCs w:val="20"/>
          <w:rtl w:val="0"/>
        </w:rPr>
        <w:t xml:space="preserve"> </w:t>
      </w:r>
      <w:r w:rsidDel="00000000" w:rsidR="00000000" w:rsidRPr="00000000">
        <w:rPr>
          <w:rFonts w:ascii="Palatino Linotype" w:cs="Palatino Linotype" w:eastAsia="Palatino Linotype" w:hAnsi="Palatino Linotype"/>
          <w:b w:val="1"/>
          <w:color w:val="000000"/>
          <w:sz w:val="19"/>
          <w:szCs w:val="19"/>
          <w:rtl w:val="0"/>
        </w:rPr>
        <w:t xml:space="preserve">Cuerpo de la tesis</w:t>
      </w:r>
      <w:r w:rsidDel="00000000" w:rsidR="00000000" w:rsidRPr="00000000">
        <w:rPr>
          <w:rFonts w:ascii="Palatino Linotype" w:cs="Palatino Linotype" w:eastAsia="Palatino Linotype" w:hAnsi="Palatino Linotype"/>
          <w:color w:val="000000"/>
          <w:sz w:val="19"/>
          <w:szCs w:val="19"/>
          <w:rtl w:val="0"/>
        </w:rPr>
        <w:t xml:space="preserve">: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-846158</wp:posOffset>
          </wp:positionH>
          <wp:positionV relativeFrom="paragraph">
            <wp:posOffset>-171229</wp:posOffset>
          </wp:positionV>
          <wp:extent cx="7809876" cy="10165823"/>
          <wp:effectExtent b="0" l="0" r="0" t="0"/>
          <wp:wrapNone/>
          <wp:docPr id="4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9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9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00399/INFOEM/IP/RR/2022. </w:t>
          </w:r>
        </w:p>
      </w:tc>
    </w:tr>
    <w:tr>
      <w:trPr>
        <w:cantSplit w:val="0"/>
        <w:tblHeader w:val="0"/>
      </w:trPr>
      <w:tc>
        <w:tcPr>
          <w:vAlign w:val="center"/>
        </w:tcPr>
        <w:p w:rsidR="00000000" w:rsidDel="00000000" w:rsidP="00000000" w:rsidRDefault="00000000" w:rsidRPr="00000000" w14:paraId="0000009F">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A0">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A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A2">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Texcoco.</w:t>
          </w:r>
        </w:p>
      </w:tc>
    </w:tr>
    <w:tr>
      <w:trPr>
        <w:cantSplit w:val="0"/>
        <w:trHeight w:val="255" w:hRule="atLeast"/>
        <w:tblHeader w:val="0"/>
      </w:trPr>
      <w:tc>
        <w:tcPr>
          <w:vAlign w:val="center"/>
        </w:tcPr>
        <w:p w:rsidR="00000000" w:rsidDel="00000000" w:rsidP="00000000" w:rsidRDefault="00000000" w:rsidRPr="00000000" w14:paraId="000000A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A4">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0A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A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00399/INFOEM/IP/RR/2022</w:t>
          </w:r>
        </w:p>
      </w:tc>
    </w:tr>
    <w:tr>
      <w:trPr>
        <w:cantSplit w:val="0"/>
        <w:trHeight w:val="228" w:hRule="atLeast"/>
        <w:tblHeader w:val="0"/>
      </w:trPr>
      <w:tc>
        <w:tcPr>
          <w:vAlign w:val="center"/>
        </w:tcPr>
        <w:p w:rsidR="00000000" w:rsidDel="00000000" w:rsidP="00000000" w:rsidRDefault="00000000" w:rsidRPr="00000000" w14:paraId="000000A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A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Texcoco.</w:t>
          </w:r>
        </w:p>
      </w:tc>
    </w:tr>
    <w:tr>
      <w:trPr>
        <w:cantSplit w:val="0"/>
        <w:tblHeader w:val="0"/>
      </w:trPr>
      <w:tc>
        <w:tcPr>
          <w:vAlign w:val="center"/>
        </w:tcPr>
        <w:p w:rsidR="00000000" w:rsidDel="00000000" w:rsidP="00000000" w:rsidRDefault="00000000" w:rsidRPr="00000000" w14:paraId="000000A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AC">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-695768</wp:posOffset>
          </wp:positionH>
          <wp:positionV relativeFrom="paragraph">
            <wp:posOffset>-1200943</wp:posOffset>
          </wp:positionV>
          <wp:extent cx="7809876" cy="10165823"/>
          <wp:effectExtent b="0" l="0" r="0" t="0"/>
          <wp:wrapNone/>
          <wp:docPr id="4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C3C64"/>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
    <w:link w:val="SinespaciadoCar"/>
    <w:uiPriority w:val="1"/>
    <w:qFormat w:val="1"/>
    <w:rsid w:val="00CE2CFE"/>
  </w:style>
  <w:style w:type="character" w:styleId="SinespaciadoCar" w:customStyle="1">
    <w:name w:val="Sin espaciado Car"/>
    <w:aliases w:val="Francesa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www.saimex.org.mx/saimex/solicitud/downloadAttach/1338907.page" TargetMode="External"/><Relationship Id="rId22" Type="http://schemas.openxmlformats.org/officeDocument/2006/relationships/footer" Target="footer2.xml"/><Relationship Id="rId10" Type="http://schemas.openxmlformats.org/officeDocument/2006/relationships/hyperlink" Target="https://www.saimex.org.mx/saimex/solicitud/downloadAttach/1346854.page" TargetMode="External"/><Relationship Id="rId21" Type="http://schemas.openxmlformats.org/officeDocument/2006/relationships/header" Target="header1.xml"/><Relationship Id="rId13" Type="http://schemas.openxmlformats.org/officeDocument/2006/relationships/image" Target="media/image4.png"/><Relationship Id="rId24" Type="http://schemas.openxmlformats.org/officeDocument/2006/relationships/header" Target="header3.xml"/><Relationship Id="rId12" Type="http://schemas.openxmlformats.org/officeDocument/2006/relationships/hyperlink" Target="https://www.saimex.org.mx/saimex/solicitud/downloadAttach/1314775.page"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imex.org.mx/saimex/solicitud/downloadAttach/1314775.page" TargetMode="External"/><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hyperlink" Target="https://www.saimex.org.mx/saimex/solicitud/downloadAttach/1338907.page" TargetMode="External"/><Relationship Id="rId5" Type="http://schemas.openxmlformats.org/officeDocument/2006/relationships/numbering" Target="numbering.xml"/><Relationship Id="rId19" Type="http://schemas.openxmlformats.org/officeDocument/2006/relationships/image" Target="media/image3.png"/><Relationship Id="rId6" Type="http://schemas.openxmlformats.org/officeDocument/2006/relationships/styles" Target="styles.xml"/><Relationship Id="rId18" Type="http://schemas.openxmlformats.org/officeDocument/2006/relationships/image" Target="media/image1.png"/><Relationship Id="rId7" Type="http://schemas.openxmlformats.org/officeDocument/2006/relationships/customXml" Target="../customXML/item1.xml"/><Relationship Id="rId8" Type="http://schemas.openxmlformats.org/officeDocument/2006/relationships/hyperlink" Target="https://www.saimex.org.mx/saimex/solicitud/downloadAttach/1299606.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hlEECwnnOhApf6PPteQ+EOX39Q==">AMUW2mX+Q0tNC5MFH7vPmcn+FPc1vN9fM7CJu9+UTorQOCozA2PcMUCBO5DsMCCUsu3DpBSzCv0JWd03qsfMwDYLVY+rdOTeI4NrEcQdF/DimcrDkon9sb2HHqHAWigEuW7nWXlKxpR9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2022-03-16T04:28:00Z</dcterms:created>
  <dc:creator>USER</dc:creator>
</cp:coreProperties>
</file>