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B0321" w14:textId="77777777" w:rsidR="00D75F4A" w:rsidRDefault="00D75F4A">
      <w:pPr>
        <w:tabs>
          <w:tab w:val="left" w:pos="0"/>
        </w:tabs>
        <w:spacing w:line="360" w:lineRule="auto"/>
        <w:jc w:val="both"/>
        <w:rPr>
          <w:rFonts w:ascii="Palatino Linotype" w:eastAsia="Palatino Linotype" w:hAnsi="Palatino Linotype" w:cs="Palatino Linotype"/>
          <w:color w:val="000000"/>
        </w:rPr>
      </w:pPr>
    </w:p>
    <w:p w14:paraId="2CEDEEC4" w14:textId="77777777" w:rsidR="00D75F4A" w:rsidRDefault="00D75F4A">
      <w:pPr>
        <w:tabs>
          <w:tab w:val="left" w:pos="0"/>
        </w:tabs>
        <w:spacing w:line="360" w:lineRule="auto"/>
        <w:jc w:val="both"/>
        <w:rPr>
          <w:rFonts w:ascii="Palatino Linotype" w:eastAsia="Palatino Linotype" w:hAnsi="Palatino Linotype" w:cs="Palatino Linotype"/>
          <w:color w:val="000000"/>
        </w:rPr>
      </w:pPr>
    </w:p>
    <w:p w14:paraId="05E6AC75" w14:textId="07F3BEDE" w:rsidR="00BC44E5" w:rsidRPr="002979C1" w:rsidRDefault="00BC44E5">
      <w:pPr>
        <w:tabs>
          <w:tab w:val="left" w:pos="0"/>
        </w:tabs>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celebrada el ocho de junio de dos mil veintidós.</w:t>
      </w:r>
    </w:p>
    <w:p w14:paraId="34CF6C71" w14:textId="77777777" w:rsidR="00BC44E5" w:rsidRPr="002979C1" w:rsidRDefault="00BC44E5">
      <w:pPr>
        <w:tabs>
          <w:tab w:val="left" w:pos="0"/>
        </w:tabs>
        <w:spacing w:line="360" w:lineRule="auto"/>
        <w:jc w:val="both"/>
        <w:rPr>
          <w:rFonts w:ascii="Palatino Linotype" w:eastAsia="Palatino Linotype" w:hAnsi="Palatino Linotype" w:cs="Palatino Linotype"/>
          <w:color w:val="000000"/>
        </w:rPr>
      </w:pPr>
    </w:p>
    <w:p w14:paraId="28937633" w14:textId="44A95A8B" w:rsidR="00E6212E" w:rsidRPr="002979C1" w:rsidRDefault="004046EE">
      <w:pPr>
        <w:tabs>
          <w:tab w:val="left" w:pos="0"/>
        </w:tabs>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b/>
          <w:color w:val="000000"/>
        </w:rPr>
        <w:t>VISTO</w:t>
      </w:r>
      <w:r w:rsidRPr="002979C1">
        <w:rPr>
          <w:rFonts w:ascii="Palatino Linotype" w:eastAsia="Palatino Linotype" w:hAnsi="Palatino Linotype" w:cs="Palatino Linotype"/>
          <w:color w:val="000000"/>
        </w:rPr>
        <w:t xml:space="preserve"> el expediente electrónico formado con motivo del Recurso de Revisión</w:t>
      </w:r>
      <w:r w:rsidRPr="002979C1">
        <w:rPr>
          <w:rFonts w:ascii="Palatino Linotype" w:eastAsia="Palatino Linotype" w:hAnsi="Palatino Linotype" w:cs="Palatino Linotype"/>
          <w:b/>
          <w:color w:val="000000"/>
        </w:rPr>
        <w:t xml:space="preserve"> 06518/INFOEM/IP/RR/2021, </w:t>
      </w:r>
      <w:r w:rsidRPr="002979C1">
        <w:rPr>
          <w:rFonts w:ascii="Palatino Linotype" w:eastAsia="Palatino Linotype" w:hAnsi="Palatino Linotype" w:cs="Palatino Linotype"/>
          <w:color w:val="000000"/>
        </w:rPr>
        <w:t xml:space="preserve">promovido por </w:t>
      </w:r>
      <w:r w:rsidR="00312097" w:rsidRPr="002979C1">
        <w:rPr>
          <w:rFonts w:ascii="Palatino Linotype" w:eastAsia="Palatino Linotype" w:hAnsi="Palatino Linotype" w:cs="Palatino Linotype"/>
          <w:color w:val="000000"/>
        </w:rPr>
        <w:t xml:space="preserve">el </w:t>
      </w:r>
      <w:r w:rsidR="00312097" w:rsidRPr="002979C1">
        <w:rPr>
          <w:rFonts w:ascii="Palatino Linotype" w:eastAsia="Palatino Linotype" w:hAnsi="Palatino Linotype" w:cs="Palatino Linotype"/>
          <w:b/>
          <w:bCs/>
          <w:color w:val="000000"/>
        </w:rPr>
        <w:t xml:space="preserve">C. </w:t>
      </w:r>
      <w:r w:rsidR="006163AD">
        <w:rPr>
          <w:rFonts w:ascii="Palatino Linotype" w:eastAsia="Palatino Linotype" w:hAnsi="Palatino Linotype" w:cs="Palatino Linotype"/>
          <w:b/>
          <w:color w:val="000000"/>
        </w:rPr>
        <w:t xml:space="preserve">XXXX </w:t>
      </w:r>
      <w:proofErr w:type="spellStart"/>
      <w:r w:rsidR="006163AD">
        <w:rPr>
          <w:rFonts w:ascii="Palatino Linotype" w:eastAsia="Palatino Linotype" w:hAnsi="Palatino Linotype" w:cs="Palatino Linotype"/>
          <w:b/>
          <w:color w:val="000000"/>
        </w:rPr>
        <w:t>XXXXXXX</w:t>
      </w:r>
      <w:r w:rsidRPr="002979C1">
        <w:rPr>
          <w:rFonts w:ascii="Palatino Linotype" w:eastAsia="Palatino Linotype" w:hAnsi="Palatino Linotype" w:cs="Palatino Linotype"/>
          <w:color w:val="000000"/>
        </w:rPr>
        <w:t>en</w:t>
      </w:r>
      <w:proofErr w:type="spellEnd"/>
      <w:r w:rsidRPr="002979C1">
        <w:rPr>
          <w:rFonts w:ascii="Palatino Linotype" w:eastAsia="Palatino Linotype" w:hAnsi="Palatino Linotype" w:cs="Palatino Linotype"/>
          <w:color w:val="000000"/>
        </w:rPr>
        <w:t xml:space="preserve"> </w:t>
      </w:r>
      <w:r w:rsidR="009C042C" w:rsidRPr="002979C1">
        <w:rPr>
          <w:rFonts w:ascii="Palatino Linotype" w:eastAsia="Palatino Linotype" w:hAnsi="Palatino Linotype" w:cs="Palatino Linotype"/>
          <w:color w:val="000000"/>
        </w:rPr>
        <w:t>lo sucesivo</w:t>
      </w:r>
      <w:r w:rsidRPr="002979C1">
        <w:rPr>
          <w:rFonts w:ascii="Palatino Linotype" w:eastAsia="Palatino Linotype" w:hAnsi="Palatino Linotype" w:cs="Palatino Linotype"/>
          <w:color w:val="000000"/>
        </w:rPr>
        <w:t xml:space="preserve"> </w:t>
      </w:r>
      <w:r w:rsidR="009C042C" w:rsidRPr="002979C1">
        <w:rPr>
          <w:rFonts w:ascii="Palatino Linotype" w:eastAsia="Palatino Linotype" w:hAnsi="Palatino Linotype" w:cs="Palatino Linotype"/>
          <w:b/>
          <w:color w:val="000000"/>
        </w:rPr>
        <w:t>EL</w:t>
      </w:r>
      <w:r w:rsidR="009C042C" w:rsidRPr="002979C1">
        <w:rPr>
          <w:rFonts w:ascii="Palatino Linotype" w:eastAsia="Palatino Linotype" w:hAnsi="Palatino Linotype" w:cs="Palatino Linotype"/>
          <w:color w:val="000000"/>
        </w:rPr>
        <w:t xml:space="preserve"> </w:t>
      </w:r>
      <w:r w:rsidRPr="002979C1">
        <w:rPr>
          <w:rFonts w:ascii="Palatino Linotype" w:eastAsia="Palatino Linotype" w:hAnsi="Palatino Linotype" w:cs="Palatino Linotype"/>
          <w:b/>
          <w:color w:val="000000"/>
        </w:rPr>
        <w:t>RECURRENTE</w:t>
      </w:r>
      <w:r w:rsidRPr="002979C1">
        <w:rPr>
          <w:rFonts w:ascii="Palatino Linotype" w:eastAsia="Palatino Linotype" w:hAnsi="Palatino Linotype" w:cs="Palatino Linotype"/>
          <w:color w:val="000000"/>
        </w:rPr>
        <w:t xml:space="preserve">, en contra de la respuesta de la </w:t>
      </w:r>
      <w:r w:rsidRPr="002979C1">
        <w:rPr>
          <w:rFonts w:ascii="Palatino Linotype" w:eastAsia="Palatino Linotype" w:hAnsi="Palatino Linotype" w:cs="Palatino Linotype"/>
          <w:b/>
          <w:color w:val="000000"/>
        </w:rPr>
        <w:t xml:space="preserve">Fiscalía General de Justicia del Estado de México </w:t>
      </w:r>
      <w:r w:rsidRPr="002979C1">
        <w:rPr>
          <w:rFonts w:ascii="Palatino Linotype" w:eastAsia="Palatino Linotype" w:hAnsi="Palatino Linotype" w:cs="Palatino Linotype"/>
          <w:color w:val="000000"/>
        </w:rPr>
        <w:t>en lo sucesivo el</w:t>
      </w:r>
      <w:r w:rsidRPr="002979C1">
        <w:rPr>
          <w:rFonts w:ascii="Palatino Linotype" w:eastAsia="Palatino Linotype" w:hAnsi="Palatino Linotype" w:cs="Palatino Linotype"/>
          <w:b/>
          <w:color w:val="000000"/>
        </w:rPr>
        <w:t xml:space="preserve"> SUJETO OBLIGADO, </w:t>
      </w:r>
      <w:r w:rsidRPr="002979C1">
        <w:rPr>
          <w:rFonts w:ascii="Palatino Linotype" w:eastAsia="Palatino Linotype" w:hAnsi="Palatino Linotype" w:cs="Palatino Linotype"/>
          <w:color w:val="000000"/>
        </w:rPr>
        <w:t>se procede a dictar la presente resolución, con base en los siguientes:</w:t>
      </w:r>
    </w:p>
    <w:p w14:paraId="3C2A3BA0" w14:textId="77777777" w:rsidR="00E6212E" w:rsidRPr="002979C1" w:rsidRDefault="00E6212E">
      <w:pPr>
        <w:tabs>
          <w:tab w:val="left" w:pos="0"/>
        </w:tabs>
        <w:spacing w:line="360" w:lineRule="auto"/>
        <w:jc w:val="both"/>
        <w:rPr>
          <w:rFonts w:ascii="Palatino Linotype" w:eastAsia="Palatino Linotype" w:hAnsi="Palatino Linotype" w:cs="Palatino Linotype"/>
          <w:color w:val="000000"/>
        </w:rPr>
      </w:pPr>
    </w:p>
    <w:p w14:paraId="3B3E2C56" w14:textId="52D7103E" w:rsidR="00E6212E" w:rsidRPr="002979C1" w:rsidRDefault="004046EE">
      <w:pPr>
        <w:jc w:val="center"/>
        <w:rPr>
          <w:rFonts w:ascii="Palatino Linotype" w:eastAsia="Palatino Linotype" w:hAnsi="Palatino Linotype" w:cs="Palatino Linotype"/>
          <w:b/>
          <w:sz w:val="28"/>
          <w:szCs w:val="28"/>
        </w:rPr>
      </w:pPr>
      <w:r w:rsidRPr="002979C1">
        <w:rPr>
          <w:rFonts w:ascii="Palatino Linotype" w:eastAsia="Palatino Linotype" w:hAnsi="Palatino Linotype" w:cs="Palatino Linotype"/>
          <w:b/>
          <w:sz w:val="28"/>
          <w:szCs w:val="28"/>
        </w:rPr>
        <w:t>A</w:t>
      </w:r>
      <w:r w:rsidR="00D75F4A" w:rsidRPr="002979C1">
        <w:rPr>
          <w:rFonts w:ascii="Palatino Linotype" w:eastAsia="Palatino Linotype" w:hAnsi="Palatino Linotype" w:cs="Palatino Linotype"/>
          <w:b/>
          <w:sz w:val="28"/>
          <w:szCs w:val="28"/>
        </w:rPr>
        <w:t xml:space="preserve"> </w:t>
      </w:r>
      <w:r w:rsidRPr="002979C1">
        <w:rPr>
          <w:rFonts w:ascii="Palatino Linotype" w:eastAsia="Palatino Linotype" w:hAnsi="Palatino Linotype" w:cs="Palatino Linotype"/>
          <w:b/>
          <w:sz w:val="28"/>
          <w:szCs w:val="28"/>
        </w:rPr>
        <w:t>N</w:t>
      </w:r>
      <w:r w:rsidR="00D75F4A" w:rsidRPr="002979C1">
        <w:rPr>
          <w:rFonts w:ascii="Palatino Linotype" w:eastAsia="Palatino Linotype" w:hAnsi="Palatino Linotype" w:cs="Palatino Linotype"/>
          <w:b/>
          <w:sz w:val="28"/>
          <w:szCs w:val="28"/>
        </w:rPr>
        <w:t xml:space="preserve"> </w:t>
      </w:r>
      <w:r w:rsidRPr="002979C1">
        <w:rPr>
          <w:rFonts w:ascii="Palatino Linotype" w:eastAsia="Palatino Linotype" w:hAnsi="Palatino Linotype" w:cs="Palatino Linotype"/>
          <w:b/>
          <w:sz w:val="28"/>
          <w:szCs w:val="28"/>
        </w:rPr>
        <w:t>T</w:t>
      </w:r>
      <w:r w:rsidR="00D75F4A" w:rsidRPr="002979C1">
        <w:rPr>
          <w:rFonts w:ascii="Palatino Linotype" w:eastAsia="Palatino Linotype" w:hAnsi="Palatino Linotype" w:cs="Palatino Linotype"/>
          <w:b/>
          <w:sz w:val="28"/>
          <w:szCs w:val="28"/>
        </w:rPr>
        <w:t xml:space="preserve"> </w:t>
      </w:r>
      <w:r w:rsidRPr="002979C1">
        <w:rPr>
          <w:rFonts w:ascii="Palatino Linotype" w:eastAsia="Palatino Linotype" w:hAnsi="Palatino Linotype" w:cs="Palatino Linotype"/>
          <w:b/>
          <w:sz w:val="28"/>
          <w:szCs w:val="28"/>
        </w:rPr>
        <w:t>E</w:t>
      </w:r>
      <w:r w:rsidR="00D75F4A" w:rsidRPr="002979C1">
        <w:rPr>
          <w:rFonts w:ascii="Palatino Linotype" w:eastAsia="Palatino Linotype" w:hAnsi="Palatino Linotype" w:cs="Palatino Linotype"/>
          <w:b/>
          <w:sz w:val="28"/>
          <w:szCs w:val="28"/>
        </w:rPr>
        <w:t xml:space="preserve"> </w:t>
      </w:r>
      <w:r w:rsidRPr="002979C1">
        <w:rPr>
          <w:rFonts w:ascii="Palatino Linotype" w:eastAsia="Palatino Linotype" w:hAnsi="Palatino Linotype" w:cs="Palatino Linotype"/>
          <w:b/>
          <w:sz w:val="28"/>
          <w:szCs w:val="28"/>
        </w:rPr>
        <w:t>C</w:t>
      </w:r>
      <w:r w:rsidR="00D75F4A" w:rsidRPr="002979C1">
        <w:rPr>
          <w:rFonts w:ascii="Palatino Linotype" w:eastAsia="Palatino Linotype" w:hAnsi="Palatino Linotype" w:cs="Palatino Linotype"/>
          <w:b/>
          <w:sz w:val="28"/>
          <w:szCs w:val="28"/>
        </w:rPr>
        <w:t xml:space="preserve"> </w:t>
      </w:r>
      <w:r w:rsidRPr="002979C1">
        <w:rPr>
          <w:rFonts w:ascii="Palatino Linotype" w:eastAsia="Palatino Linotype" w:hAnsi="Palatino Linotype" w:cs="Palatino Linotype"/>
          <w:b/>
          <w:sz w:val="28"/>
          <w:szCs w:val="28"/>
        </w:rPr>
        <w:t>E</w:t>
      </w:r>
      <w:r w:rsidR="00D75F4A" w:rsidRPr="002979C1">
        <w:rPr>
          <w:rFonts w:ascii="Palatino Linotype" w:eastAsia="Palatino Linotype" w:hAnsi="Palatino Linotype" w:cs="Palatino Linotype"/>
          <w:b/>
          <w:sz w:val="28"/>
          <w:szCs w:val="28"/>
        </w:rPr>
        <w:t xml:space="preserve"> </w:t>
      </w:r>
      <w:r w:rsidRPr="002979C1">
        <w:rPr>
          <w:rFonts w:ascii="Palatino Linotype" w:eastAsia="Palatino Linotype" w:hAnsi="Palatino Linotype" w:cs="Palatino Linotype"/>
          <w:b/>
          <w:sz w:val="28"/>
          <w:szCs w:val="28"/>
        </w:rPr>
        <w:t>D</w:t>
      </w:r>
      <w:r w:rsidR="00D75F4A" w:rsidRPr="002979C1">
        <w:rPr>
          <w:rFonts w:ascii="Palatino Linotype" w:eastAsia="Palatino Linotype" w:hAnsi="Palatino Linotype" w:cs="Palatino Linotype"/>
          <w:b/>
          <w:sz w:val="28"/>
          <w:szCs w:val="28"/>
        </w:rPr>
        <w:t xml:space="preserve"> </w:t>
      </w:r>
      <w:r w:rsidRPr="002979C1">
        <w:rPr>
          <w:rFonts w:ascii="Palatino Linotype" w:eastAsia="Palatino Linotype" w:hAnsi="Palatino Linotype" w:cs="Palatino Linotype"/>
          <w:b/>
          <w:sz w:val="28"/>
          <w:szCs w:val="28"/>
        </w:rPr>
        <w:t>E</w:t>
      </w:r>
      <w:r w:rsidR="00D75F4A" w:rsidRPr="002979C1">
        <w:rPr>
          <w:rFonts w:ascii="Palatino Linotype" w:eastAsia="Palatino Linotype" w:hAnsi="Palatino Linotype" w:cs="Palatino Linotype"/>
          <w:b/>
          <w:sz w:val="28"/>
          <w:szCs w:val="28"/>
        </w:rPr>
        <w:t xml:space="preserve"> </w:t>
      </w:r>
      <w:r w:rsidRPr="002979C1">
        <w:rPr>
          <w:rFonts w:ascii="Palatino Linotype" w:eastAsia="Palatino Linotype" w:hAnsi="Palatino Linotype" w:cs="Palatino Linotype"/>
          <w:b/>
          <w:sz w:val="28"/>
          <w:szCs w:val="28"/>
        </w:rPr>
        <w:t>N</w:t>
      </w:r>
      <w:r w:rsidR="00D75F4A" w:rsidRPr="002979C1">
        <w:rPr>
          <w:rFonts w:ascii="Palatino Linotype" w:eastAsia="Palatino Linotype" w:hAnsi="Palatino Linotype" w:cs="Palatino Linotype"/>
          <w:b/>
          <w:sz w:val="28"/>
          <w:szCs w:val="28"/>
        </w:rPr>
        <w:t xml:space="preserve"> </w:t>
      </w:r>
      <w:r w:rsidRPr="002979C1">
        <w:rPr>
          <w:rFonts w:ascii="Palatino Linotype" w:eastAsia="Palatino Linotype" w:hAnsi="Palatino Linotype" w:cs="Palatino Linotype"/>
          <w:b/>
          <w:sz w:val="28"/>
          <w:szCs w:val="28"/>
        </w:rPr>
        <w:t>T</w:t>
      </w:r>
      <w:r w:rsidR="00D75F4A" w:rsidRPr="002979C1">
        <w:rPr>
          <w:rFonts w:ascii="Palatino Linotype" w:eastAsia="Palatino Linotype" w:hAnsi="Palatino Linotype" w:cs="Palatino Linotype"/>
          <w:b/>
          <w:sz w:val="28"/>
          <w:szCs w:val="28"/>
        </w:rPr>
        <w:t xml:space="preserve"> </w:t>
      </w:r>
      <w:r w:rsidRPr="002979C1">
        <w:rPr>
          <w:rFonts w:ascii="Palatino Linotype" w:eastAsia="Palatino Linotype" w:hAnsi="Palatino Linotype" w:cs="Palatino Linotype"/>
          <w:b/>
          <w:sz w:val="28"/>
          <w:szCs w:val="28"/>
        </w:rPr>
        <w:t>E</w:t>
      </w:r>
      <w:r w:rsidR="00D75F4A" w:rsidRPr="002979C1">
        <w:rPr>
          <w:rFonts w:ascii="Palatino Linotype" w:eastAsia="Palatino Linotype" w:hAnsi="Palatino Linotype" w:cs="Palatino Linotype"/>
          <w:b/>
          <w:sz w:val="28"/>
          <w:szCs w:val="28"/>
        </w:rPr>
        <w:t xml:space="preserve"> </w:t>
      </w:r>
      <w:r w:rsidRPr="002979C1">
        <w:rPr>
          <w:rFonts w:ascii="Palatino Linotype" w:eastAsia="Palatino Linotype" w:hAnsi="Palatino Linotype" w:cs="Palatino Linotype"/>
          <w:b/>
          <w:sz w:val="28"/>
          <w:szCs w:val="28"/>
        </w:rPr>
        <w:t>S</w:t>
      </w:r>
    </w:p>
    <w:p w14:paraId="5B37B675" w14:textId="77777777" w:rsidR="00E6212E" w:rsidRPr="002979C1" w:rsidRDefault="00E6212E">
      <w:pPr>
        <w:rPr>
          <w:rFonts w:ascii="Palatino Linotype" w:eastAsia="Palatino Linotype" w:hAnsi="Palatino Linotype" w:cs="Palatino Linotype"/>
          <w:b/>
        </w:rPr>
      </w:pPr>
    </w:p>
    <w:p w14:paraId="035F90D5" w14:textId="77777777" w:rsidR="00E6212E" w:rsidRPr="002979C1" w:rsidRDefault="004046EE">
      <w:pPr>
        <w:spacing w:line="360" w:lineRule="auto"/>
        <w:jc w:val="both"/>
        <w:rPr>
          <w:rFonts w:ascii="Palatino Linotype" w:eastAsia="Palatino Linotype" w:hAnsi="Palatino Linotype" w:cs="Palatino Linotype"/>
          <w:b/>
        </w:rPr>
      </w:pPr>
      <w:r w:rsidRPr="002979C1">
        <w:rPr>
          <w:rFonts w:ascii="Palatino Linotype" w:eastAsia="Palatino Linotype" w:hAnsi="Palatino Linotype" w:cs="Palatino Linotype"/>
          <w:b/>
          <w:sz w:val="28"/>
          <w:szCs w:val="28"/>
        </w:rPr>
        <w:t>I. De la Solicitud de Información</w:t>
      </w:r>
    </w:p>
    <w:p w14:paraId="0443E531" w14:textId="3E507152" w:rsidR="00E6212E" w:rsidRPr="002979C1" w:rsidRDefault="004046EE">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El </w:t>
      </w:r>
      <w:r w:rsidRPr="002979C1">
        <w:rPr>
          <w:rFonts w:ascii="Palatino Linotype" w:eastAsia="Palatino Linotype" w:hAnsi="Palatino Linotype" w:cs="Palatino Linotype"/>
          <w:b/>
          <w:bCs/>
          <w:color w:val="000000"/>
        </w:rPr>
        <w:t>uno de noviembre de dos mil veintiuno</w:t>
      </w:r>
      <w:r w:rsidRPr="002979C1">
        <w:rPr>
          <w:rFonts w:ascii="Palatino Linotype" w:eastAsia="Palatino Linotype" w:hAnsi="Palatino Linotype" w:cs="Palatino Linotype"/>
          <w:color w:val="000000"/>
        </w:rPr>
        <w:t xml:space="preserve">, </w:t>
      </w:r>
      <w:r w:rsidRPr="002979C1">
        <w:rPr>
          <w:rFonts w:ascii="Palatino Linotype" w:eastAsia="Palatino Linotype" w:hAnsi="Palatino Linotype" w:cs="Palatino Linotype"/>
          <w:b/>
          <w:color w:val="000000"/>
        </w:rPr>
        <w:t>EL RECURRENTE</w:t>
      </w:r>
      <w:r w:rsidRPr="002979C1">
        <w:rPr>
          <w:rFonts w:ascii="Palatino Linotype" w:eastAsia="Palatino Linotype" w:hAnsi="Palatino Linotype" w:cs="Palatino Linotype"/>
          <w:color w:val="000000"/>
        </w:rPr>
        <w:t xml:space="preserve"> presentó</w:t>
      </w:r>
      <w:r w:rsidRPr="002979C1">
        <w:rPr>
          <w:rFonts w:ascii="Palatino Linotype" w:eastAsia="Palatino Linotype" w:hAnsi="Palatino Linotype" w:cs="Palatino Linotype"/>
          <w:b/>
          <w:color w:val="000000"/>
        </w:rPr>
        <w:t xml:space="preserve"> </w:t>
      </w:r>
      <w:r w:rsidRPr="002979C1">
        <w:rPr>
          <w:rFonts w:ascii="Palatino Linotype" w:eastAsia="Palatino Linotype" w:hAnsi="Palatino Linotype" w:cs="Palatino Linotype"/>
          <w:color w:val="000000"/>
        </w:rPr>
        <w:t xml:space="preserve">a través del Sistema de Acceso a la Información Mexiquense, en lo </w:t>
      </w:r>
      <w:r w:rsidR="00286714" w:rsidRPr="002979C1">
        <w:rPr>
          <w:rFonts w:ascii="Palatino Linotype" w:eastAsia="Palatino Linotype" w:hAnsi="Palatino Linotype" w:cs="Palatino Linotype"/>
          <w:color w:val="000000"/>
        </w:rPr>
        <w:t>subsecuente</w:t>
      </w:r>
      <w:r w:rsidR="00286714" w:rsidRPr="002979C1">
        <w:rPr>
          <w:rFonts w:ascii="Palatino Linotype" w:eastAsia="Palatino Linotype" w:hAnsi="Palatino Linotype" w:cs="Palatino Linotype"/>
          <w:b/>
          <w:color w:val="000000"/>
        </w:rPr>
        <w:t xml:space="preserve"> EL</w:t>
      </w:r>
      <w:r w:rsidRPr="002979C1">
        <w:rPr>
          <w:rFonts w:ascii="Palatino Linotype" w:eastAsia="Palatino Linotype" w:hAnsi="Palatino Linotype" w:cs="Palatino Linotype"/>
          <w:b/>
          <w:color w:val="000000"/>
        </w:rPr>
        <w:t xml:space="preserve"> SAIMEX, </w:t>
      </w:r>
      <w:r w:rsidRPr="002979C1">
        <w:rPr>
          <w:rFonts w:ascii="Palatino Linotype" w:eastAsia="Palatino Linotype" w:hAnsi="Palatino Linotype" w:cs="Palatino Linotype"/>
          <w:color w:val="000000"/>
        </w:rPr>
        <w:t xml:space="preserve">ante </w:t>
      </w:r>
      <w:r w:rsidR="009C042C" w:rsidRPr="002979C1">
        <w:rPr>
          <w:rFonts w:ascii="Palatino Linotype" w:eastAsia="Palatino Linotype" w:hAnsi="Palatino Linotype" w:cs="Palatino Linotype"/>
          <w:color w:val="000000"/>
        </w:rPr>
        <w:t>el</w:t>
      </w:r>
      <w:r w:rsidRPr="002979C1">
        <w:rPr>
          <w:rFonts w:ascii="Palatino Linotype" w:eastAsia="Palatino Linotype" w:hAnsi="Palatino Linotype" w:cs="Palatino Linotype"/>
          <w:b/>
          <w:color w:val="000000"/>
        </w:rPr>
        <w:t xml:space="preserve"> SUJETO OBLIGADO</w:t>
      </w:r>
      <w:r w:rsidRPr="002979C1">
        <w:rPr>
          <w:rFonts w:ascii="Palatino Linotype" w:eastAsia="Palatino Linotype" w:hAnsi="Palatino Linotype" w:cs="Palatino Linotype"/>
          <w:color w:val="000000"/>
        </w:rPr>
        <w:t>, la solicitud de acceso a la información pública a la que se le asignó el número de expediente</w:t>
      </w:r>
      <w:r w:rsidRPr="002979C1">
        <w:rPr>
          <w:rFonts w:ascii="Palatino Linotype" w:eastAsia="Palatino Linotype" w:hAnsi="Palatino Linotype" w:cs="Palatino Linotype"/>
          <w:b/>
          <w:color w:val="000000"/>
        </w:rPr>
        <w:t xml:space="preserve"> 01102/FGJ/IP/2021, </w:t>
      </w:r>
      <w:r w:rsidRPr="002979C1">
        <w:rPr>
          <w:rFonts w:ascii="Palatino Linotype" w:eastAsia="Palatino Linotype" w:hAnsi="Palatino Linotype" w:cs="Palatino Linotype"/>
          <w:color w:val="000000"/>
        </w:rPr>
        <w:t>mediante el cual requirió lo siguiente:</w:t>
      </w:r>
    </w:p>
    <w:p w14:paraId="3BBC49EA" w14:textId="3E948C52" w:rsidR="00E6212E" w:rsidRPr="002979C1" w:rsidRDefault="004046EE">
      <w:pPr>
        <w:ind w:left="567" w:right="567"/>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i/>
          <w:color w:val="000000"/>
        </w:rPr>
        <w:t xml:space="preserve">“SOLICITO LOS DICTÁMENES PERICIALES DEL ACTOR </w:t>
      </w:r>
      <w:r w:rsidR="006163AD">
        <w:rPr>
          <w:rFonts w:ascii="Palatino Linotype" w:eastAsia="Palatino Linotype" w:hAnsi="Palatino Linotype" w:cs="Palatino Linotype"/>
          <w:i/>
          <w:color w:val="000000"/>
        </w:rPr>
        <w:t>XXXXXXX XXXXX</w:t>
      </w:r>
      <w:r w:rsidRPr="002979C1">
        <w:rPr>
          <w:rFonts w:ascii="Palatino Linotype" w:eastAsia="Palatino Linotype" w:hAnsi="Palatino Linotype" w:cs="Palatino Linotype"/>
          <w:i/>
          <w:color w:val="000000"/>
        </w:rPr>
        <w:t xml:space="preserve"> MEJOR CONOCIDO COMO "</w:t>
      </w:r>
      <w:r w:rsidR="006163AD">
        <w:rPr>
          <w:rFonts w:ascii="Palatino Linotype" w:eastAsia="Palatino Linotype" w:hAnsi="Palatino Linotype" w:cs="Palatino Linotype"/>
          <w:i/>
          <w:color w:val="000000"/>
        </w:rPr>
        <w:t>XXXXXX</w:t>
      </w:r>
      <w:r w:rsidRPr="002979C1">
        <w:rPr>
          <w:rFonts w:ascii="Palatino Linotype" w:eastAsia="Palatino Linotype" w:hAnsi="Palatino Linotype" w:cs="Palatino Linotype"/>
          <w:i/>
          <w:color w:val="000000"/>
        </w:rPr>
        <w:t xml:space="preserve">" QUE FALLECIÓ TRAS UNA PERSECUCIÓN EL PASADO VIERNES 29 DE OCTUBRE DE 2021 EN LA AUTOPISTA CHAMAPA - LECHERÍA, COLONIA PRADOS </w:t>
      </w:r>
      <w:r w:rsidRPr="002979C1">
        <w:rPr>
          <w:rFonts w:ascii="Palatino Linotype" w:eastAsia="Palatino Linotype" w:hAnsi="Palatino Linotype" w:cs="Palatino Linotype"/>
          <w:i/>
          <w:color w:val="000000"/>
        </w:rPr>
        <w:lastRenderedPageBreak/>
        <w:t>IZTACALA, ATIZAPÁN DE ZARAGOZA. EVITEN CLASIFICAR LA INFORMACIÓN COMO RESERVADA, PUES LOS CIUDADANOS EXIGIMOS UNA INVESTIGACIÓN PROFESIONAL Y REAL DE LOS ACONTECIMIENTOS Y NO LA CRIMINALIZACIÓN Y LA REVICTIMIZACIÓN DEL FALLECIDO. AL CONOCER LOS DICTÁMENES Y LAS PERSONAS QUE LOS FIRMAN, LOS MEDIOS DE COMUNICACIÓN PODREMOS INDAGAR CON ELLOS Y CON OTROS EXPERTOS LA VERACIDAD DE SUS OPINIONES. NO MÁS CORRUPCIÓN Y NO MÁS IMPUNIDAD EN EL ESTADO DE MÉXICO #JUSTICIAPARA</w:t>
      </w:r>
      <w:r w:rsidR="006163AD">
        <w:rPr>
          <w:rFonts w:ascii="Palatino Linotype" w:eastAsia="Palatino Linotype" w:hAnsi="Palatino Linotype" w:cs="Palatino Linotype"/>
          <w:i/>
          <w:color w:val="000000"/>
        </w:rPr>
        <w:t>XXXXXXXXXXXX</w:t>
      </w:r>
      <w:r w:rsidRPr="002979C1">
        <w:rPr>
          <w:rFonts w:ascii="Palatino Linotype" w:eastAsia="Palatino Linotype" w:hAnsi="Palatino Linotype" w:cs="Palatino Linotype"/>
          <w:i/>
          <w:color w:val="000000"/>
        </w:rPr>
        <w:t xml:space="preserve"> #JUSTICIAPARA</w:t>
      </w:r>
      <w:r w:rsidR="006163AD">
        <w:rPr>
          <w:rFonts w:ascii="Palatino Linotype" w:eastAsia="Palatino Linotype" w:hAnsi="Palatino Linotype" w:cs="Palatino Linotype"/>
          <w:i/>
          <w:color w:val="000000"/>
        </w:rPr>
        <w:t>XXXXXX</w:t>
      </w:r>
      <w:r w:rsidRPr="002979C1">
        <w:rPr>
          <w:rFonts w:ascii="Palatino Linotype" w:eastAsia="Palatino Linotype" w:hAnsi="Palatino Linotype" w:cs="Palatino Linotype"/>
          <w:i/>
          <w:color w:val="000000"/>
        </w:rPr>
        <w:t xml:space="preserve">.” </w:t>
      </w:r>
      <w:r w:rsidRPr="002979C1">
        <w:rPr>
          <w:rFonts w:ascii="Palatino Linotype" w:eastAsia="Palatino Linotype" w:hAnsi="Palatino Linotype" w:cs="Palatino Linotype"/>
          <w:color w:val="000000"/>
        </w:rPr>
        <w:t>(Sic).</w:t>
      </w:r>
    </w:p>
    <w:p w14:paraId="416C69EE" w14:textId="77777777" w:rsidR="00E6212E" w:rsidRPr="002979C1" w:rsidRDefault="00E6212E">
      <w:pPr>
        <w:pBdr>
          <w:top w:val="nil"/>
          <w:left w:val="nil"/>
          <w:bottom w:val="nil"/>
          <w:right w:val="nil"/>
          <w:between w:val="nil"/>
        </w:pBdr>
        <w:spacing w:line="360" w:lineRule="auto"/>
        <w:ind w:right="567"/>
        <w:rPr>
          <w:rFonts w:ascii="Palatino Linotype" w:eastAsia="Palatino Linotype" w:hAnsi="Palatino Linotype" w:cs="Palatino Linotype"/>
          <w:i/>
          <w:color w:val="000000"/>
        </w:rPr>
      </w:pPr>
    </w:p>
    <w:p w14:paraId="772893B8" w14:textId="77777777" w:rsidR="00E6212E" w:rsidRPr="002979C1" w:rsidRDefault="004046EE">
      <w:pPr>
        <w:widowControl w:val="0"/>
        <w:spacing w:line="360" w:lineRule="auto"/>
        <w:jc w:val="both"/>
        <w:rPr>
          <w:rFonts w:ascii="Palatino Linotype" w:eastAsia="Palatino Linotype" w:hAnsi="Palatino Linotype" w:cs="Palatino Linotype"/>
          <w:b/>
        </w:rPr>
      </w:pPr>
      <w:r w:rsidRPr="002979C1">
        <w:rPr>
          <w:rFonts w:ascii="Palatino Linotype" w:eastAsia="Palatino Linotype" w:hAnsi="Palatino Linotype" w:cs="Palatino Linotype"/>
          <w:b/>
        </w:rPr>
        <w:t xml:space="preserve">MODALIDAD DE ENTREGA: </w:t>
      </w:r>
      <w:r w:rsidRPr="002979C1">
        <w:rPr>
          <w:rFonts w:ascii="Palatino Linotype" w:eastAsia="Palatino Linotype" w:hAnsi="Palatino Linotype" w:cs="Palatino Linotype"/>
        </w:rPr>
        <w:t>Vía</w:t>
      </w:r>
      <w:r w:rsidRPr="002979C1">
        <w:rPr>
          <w:rFonts w:ascii="Palatino Linotype" w:eastAsia="Palatino Linotype" w:hAnsi="Palatino Linotype" w:cs="Palatino Linotype"/>
          <w:b/>
        </w:rPr>
        <w:t xml:space="preserve"> SAIMEX.</w:t>
      </w:r>
    </w:p>
    <w:p w14:paraId="6AB7E5E3" w14:textId="77777777" w:rsidR="00E6212E" w:rsidRPr="002979C1" w:rsidRDefault="00E6212E">
      <w:pPr>
        <w:widowControl w:val="0"/>
        <w:spacing w:line="360" w:lineRule="auto"/>
        <w:jc w:val="both"/>
        <w:rPr>
          <w:rFonts w:ascii="Palatino Linotype" w:eastAsia="Palatino Linotype" w:hAnsi="Palatino Linotype" w:cs="Palatino Linotype"/>
          <w:b/>
          <w:sz w:val="28"/>
          <w:szCs w:val="28"/>
        </w:rPr>
      </w:pPr>
    </w:p>
    <w:p w14:paraId="2BFB32F9" w14:textId="77777777" w:rsidR="00E6212E" w:rsidRPr="002979C1" w:rsidRDefault="004046EE">
      <w:pPr>
        <w:widowControl w:val="0"/>
        <w:spacing w:line="360" w:lineRule="auto"/>
        <w:jc w:val="both"/>
        <w:rPr>
          <w:rFonts w:ascii="Palatino Linotype" w:eastAsia="Palatino Linotype" w:hAnsi="Palatino Linotype" w:cs="Palatino Linotype"/>
          <w:b/>
          <w:sz w:val="28"/>
          <w:szCs w:val="28"/>
        </w:rPr>
      </w:pPr>
      <w:r w:rsidRPr="002979C1">
        <w:rPr>
          <w:rFonts w:ascii="Palatino Linotype" w:eastAsia="Palatino Linotype" w:hAnsi="Palatino Linotype" w:cs="Palatino Linotype"/>
          <w:b/>
          <w:sz w:val="28"/>
          <w:szCs w:val="28"/>
        </w:rPr>
        <w:t>II. Prórroga</w:t>
      </w:r>
    </w:p>
    <w:p w14:paraId="5EDF3772" w14:textId="77777777" w:rsidR="00E6212E" w:rsidRPr="002979C1" w:rsidRDefault="004046EE">
      <w:pPr>
        <w:widowControl w:val="0"/>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El </w:t>
      </w:r>
      <w:r w:rsidRPr="002979C1">
        <w:rPr>
          <w:rFonts w:ascii="Palatino Linotype" w:eastAsia="Palatino Linotype" w:hAnsi="Palatino Linotype" w:cs="Palatino Linotype"/>
          <w:b/>
          <w:bCs/>
          <w:color w:val="000000"/>
        </w:rPr>
        <w:t>veinticuatro de noviembre de dos mil veintiuno</w:t>
      </w:r>
      <w:r w:rsidRPr="002979C1">
        <w:rPr>
          <w:rFonts w:ascii="Palatino Linotype" w:eastAsia="Palatino Linotype" w:hAnsi="Palatino Linotype" w:cs="Palatino Linotype"/>
          <w:color w:val="000000"/>
        </w:rPr>
        <w:t xml:space="preserve">, el </w:t>
      </w:r>
      <w:r w:rsidRPr="002979C1">
        <w:rPr>
          <w:rFonts w:ascii="Palatino Linotype" w:eastAsia="Palatino Linotype" w:hAnsi="Palatino Linotype" w:cs="Palatino Linotype"/>
          <w:b/>
          <w:color w:val="000000"/>
        </w:rPr>
        <w:t xml:space="preserve">SUJETO OBLIGADO </w:t>
      </w:r>
      <w:r w:rsidRPr="002979C1">
        <w:rPr>
          <w:rFonts w:ascii="Palatino Linotype" w:eastAsia="Palatino Linotype" w:hAnsi="Palatino Linotype" w:cs="Palatino Linotype"/>
          <w:color w:val="000000"/>
        </w:rPr>
        <w:t xml:space="preserve">solicitó una prórroga en los siguientes términos: </w:t>
      </w:r>
    </w:p>
    <w:p w14:paraId="345F0B13" w14:textId="77777777" w:rsidR="00E6212E" w:rsidRPr="002979C1" w:rsidRDefault="004046EE">
      <w:pPr>
        <w:pBdr>
          <w:top w:val="nil"/>
          <w:left w:val="nil"/>
          <w:bottom w:val="nil"/>
          <w:right w:val="nil"/>
          <w:between w:val="nil"/>
        </w:pBdr>
        <w:tabs>
          <w:tab w:val="left" w:pos="426"/>
        </w:tabs>
        <w:spacing w:before="240"/>
        <w:ind w:left="709"/>
        <w:jc w:val="right"/>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“Metepec, México a 24 de Noviembre de 2021</w:t>
      </w:r>
    </w:p>
    <w:p w14:paraId="3D3898A4" w14:textId="0025E7F1" w:rsidR="00E6212E" w:rsidRPr="002979C1" w:rsidRDefault="004046EE">
      <w:pPr>
        <w:pBdr>
          <w:top w:val="nil"/>
          <w:left w:val="nil"/>
          <w:bottom w:val="nil"/>
          <w:right w:val="nil"/>
          <w:between w:val="nil"/>
        </w:pBdr>
        <w:tabs>
          <w:tab w:val="left" w:pos="426"/>
        </w:tabs>
        <w:ind w:left="709"/>
        <w:jc w:val="right"/>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xml:space="preserve">Nombre del solicitante: </w:t>
      </w:r>
      <w:r w:rsidR="006163AD">
        <w:rPr>
          <w:rFonts w:ascii="Palatino Linotype" w:eastAsia="Palatino Linotype" w:hAnsi="Palatino Linotype" w:cs="Palatino Linotype"/>
          <w:i/>
          <w:color w:val="000000"/>
        </w:rPr>
        <w:t>XXXX XXXXXXX</w:t>
      </w:r>
    </w:p>
    <w:p w14:paraId="3F44A305" w14:textId="77777777" w:rsidR="00E6212E" w:rsidRPr="002979C1" w:rsidRDefault="004046EE">
      <w:pPr>
        <w:pBdr>
          <w:top w:val="nil"/>
          <w:left w:val="nil"/>
          <w:bottom w:val="nil"/>
          <w:right w:val="nil"/>
          <w:between w:val="nil"/>
        </w:pBdr>
        <w:tabs>
          <w:tab w:val="left" w:pos="426"/>
        </w:tabs>
        <w:ind w:left="709"/>
        <w:jc w:val="right"/>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Folio de la solicitud: 01102/FGJ/IP/2021</w:t>
      </w:r>
    </w:p>
    <w:p w14:paraId="472ECFAE" w14:textId="77777777" w:rsidR="00E6212E" w:rsidRPr="002979C1" w:rsidRDefault="00E6212E">
      <w:pPr>
        <w:pBdr>
          <w:top w:val="nil"/>
          <w:left w:val="nil"/>
          <w:bottom w:val="nil"/>
          <w:right w:val="nil"/>
          <w:between w:val="nil"/>
        </w:pBdr>
        <w:tabs>
          <w:tab w:val="left" w:pos="426"/>
        </w:tabs>
        <w:ind w:left="709"/>
        <w:jc w:val="both"/>
        <w:rPr>
          <w:rFonts w:ascii="Palatino Linotype" w:eastAsia="Palatino Linotype" w:hAnsi="Palatino Linotype" w:cs="Palatino Linotype"/>
          <w:i/>
          <w:color w:val="000000"/>
        </w:rPr>
      </w:pPr>
    </w:p>
    <w:p w14:paraId="69E23062" w14:textId="77777777" w:rsidR="00E6212E" w:rsidRPr="002979C1" w:rsidRDefault="004046EE">
      <w:pPr>
        <w:pBdr>
          <w:top w:val="nil"/>
          <w:left w:val="nil"/>
          <w:bottom w:val="nil"/>
          <w:right w:val="nil"/>
          <w:between w:val="nil"/>
        </w:pBdr>
        <w:tabs>
          <w:tab w:val="left" w:pos="426"/>
        </w:tabs>
        <w:ind w:left="7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5670834" w14:textId="77777777" w:rsidR="00E6212E" w:rsidRPr="002979C1" w:rsidRDefault="00E6212E">
      <w:pPr>
        <w:pBdr>
          <w:top w:val="nil"/>
          <w:left w:val="nil"/>
          <w:bottom w:val="nil"/>
          <w:right w:val="nil"/>
          <w:between w:val="nil"/>
        </w:pBdr>
        <w:tabs>
          <w:tab w:val="left" w:pos="426"/>
        </w:tabs>
        <w:ind w:left="709"/>
        <w:jc w:val="both"/>
        <w:rPr>
          <w:rFonts w:ascii="Palatino Linotype" w:eastAsia="Palatino Linotype" w:hAnsi="Palatino Linotype" w:cs="Palatino Linotype"/>
          <w:i/>
          <w:color w:val="000000"/>
        </w:rPr>
      </w:pPr>
    </w:p>
    <w:p w14:paraId="7CB27C3E" w14:textId="5A830A0C" w:rsidR="00E6212E" w:rsidRPr="002979C1" w:rsidRDefault="004046EE">
      <w:pPr>
        <w:pBdr>
          <w:top w:val="nil"/>
          <w:left w:val="nil"/>
          <w:bottom w:val="nil"/>
          <w:right w:val="nil"/>
          <w:between w:val="nil"/>
        </w:pBdr>
        <w:tabs>
          <w:tab w:val="left" w:pos="426"/>
        </w:tabs>
        <w:ind w:left="7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xml:space="preserve">RESOLUCIÓN DE LA AMPLIACIÓN DE PLAZO PARA LA ENTREGA DE INFORMACIÓN DE LA SOLICITUD 01102/FGJ/IP/2021. El Comité de Transparencia de la Fiscalía General de Justicia del Estado de México, integrado por la C. </w:t>
      </w:r>
      <w:proofErr w:type="spellStart"/>
      <w:r w:rsidRPr="002979C1">
        <w:rPr>
          <w:rFonts w:ascii="Palatino Linotype" w:eastAsia="Palatino Linotype" w:hAnsi="Palatino Linotype" w:cs="Palatino Linotype"/>
          <w:i/>
          <w:color w:val="000000"/>
        </w:rPr>
        <w:t>Yamilit</w:t>
      </w:r>
      <w:proofErr w:type="spellEnd"/>
      <w:r w:rsidRPr="002979C1">
        <w:rPr>
          <w:rFonts w:ascii="Palatino Linotype" w:eastAsia="Palatino Linotype" w:hAnsi="Palatino Linotype" w:cs="Palatino Linotype"/>
          <w:i/>
          <w:color w:val="000000"/>
        </w:rPr>
        <w:t xml:space="preserve"> Leyva Gutiérrez, Titular de la Unidad de Transparencia; la Lic. Claudia Romero Landázuri, Titular del Órgano Interno de Control; y el Lic. Delfino </w:t>
      </w:r>
      <w:r w:rsidRPr="002979C1">
        <w:rPr>
          <w:rFonts w:ascii="Palatino Linotype" w:eastAsia="Palatino Linotype" w:hAnsi="Palatino Linotype" w:cs="Palatino Linotype"/>
          <w:i/>
          <w:color w:val="000000"/>
        </w:rPr>
        <w:lastRenderedPageBreak/>
        <w:t xml:space="preserve">Rodríguez Manzanares, Coordinador de Archivos; tuvieron a bien reunirse siendo las 10:30 horas del día 24 de noviembre del año 2021, en la sala de juntas de la Oficialía 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II. Con fecha primero de diciembre del presente año, se recibió la solicitud de acceso a la información pública, a través de la Plataforma Nacional de Transparencia, la cual fue registrada bajo el folio número 01102/FGJ/IP/2021. III. Con fundamento en lo dispuesto en el artículo 163, párrafo segundo de la Ley de la materia, la solicitud de mérito fue turnada al Servidor Público Habilitado correspondiente, mismo que refiere que se está validando la información que obra en los archivos de la unidad administrativa, a efecto de que no sea errónea y en aras de privilegiar el principio de máxima publicidad, solicita una prórroga de siete días hábiles para la entrega de la información. Por lo antes expuesto, este Comité: RESUELVE PRIMERO. Aprobar la ampliación del plazo para la entrega de la información solicitada, por un periodo de siete días hábiles, los cuales correrán del 25 de noviembre al 3 de diciembre de 2021. SEGUNDO. Notifíquese al C. </w:t>
      </w:r>
      <w:r w:rsidR="006163AD">
        <w:rPr>
          <w:rFonts w:ascii="Palatino Linotype" w:eastAsia="Palatino Linotype" w:hAnsi="Palatino Linotype" w:cs="Palatino Linotype"/>
          <w:i/>
          <w:color w:val="000000"/>
        </w:rPr>
        <w:t>XXXX XXXXXXX</w:t>
      </w:r>
      <w:r w:rsidRPr="002979C1">
        <w:rPr>
          <w:rFonts w:ascii="Palatino Linotype" w:eastAsia="Palatino Linotype" w:hAnsi="Palatino Linotype" w:cs="Palatino Linotype"/>
          <w:i/>
          <w:color w:val="000000"/>
        </w:rPr>
        <w:t xml:space="preserve">, la aprobación de la ampliación del plazo para dar contestación a su solitud de información. C. YAMILIT LEYVA GUTIÉRREZ TITULAR DE LA </w:t>
      </w:r>
      <w:r w:rsidRPr="002979C1">
        <w:rPr>
          <w:rFonts w:ascii="Palatino Linotype" w:eastAsia="Palatino Linotype" w:hAnsi="Palatino Linotype" w:cs="Palatino Linotype"/>
          <w:i/>
          <w:color w:val="000000"/>
        </w:rPr>
        <w:lastRenderedPageBreak/>
        <w:t>UNIDAD DE TRANSPARENCIA LIC. CLAUDIA ROMERO LANDÁZURI TITULAR DEL ÓRGANO INTERNO DE CONTROL LIC. DELFINO RODRÍGUEZ MANZANARES COORDINADOR DE ARCHIVOS YLG/</w:t>
      </w:r>
      <w:proofErr w:type="spellStart"/>
      <w:r w:rsidRPr="002979C1">
        <w:rPr>
          <w:rFonts w:ascii="Palatino Linotype" w:eastAsia="Palatino Linotype" w:hAnsi="Palatino Linotype" w:cs="Palatino Linotype"/>
          <w:i/>
          <w:color w:val="000000"/>
        </w:rPr>
        <w:t>pcs</w:t>
      </w:r>
      <w:proofErr w:type="spellEnd"/>
    </w:p>
    <w:p w14:paraId="6655500E" w14:textId="77777777" w:rsidR="00E6212E" w:rsidRPr="002979C1" w:rsidRDefault="004046EE">
      <w:pPr>
        <w:pBdr>
          <w:top w:val="nil"/>
          <w:left w:val="nil"/>
          <w:bottom w:val="nil"/>
          <w:right w:val="nil"/>
          <w:between w:val="nil"/>
        </w:pBdr>
        <w:tabs>
          <w:tab w:val="left" w:pos="426"/>
        </w:tabs>
        <w:ind w:left="7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YAMILIT LEYVA GUTIÉRREZ</w:t>
      </w:r>
    </w:p>
    <w:p w14:paraId="71ED1AE6" w14:textId="77777777" w:rsidR="00E6212E" w:rsidRPr="002979C1" w:rsidRDefault="004046EE">
      <w:pPr>
        <w:pBdr>
          <w:top w:val="nil"/>
          <w:left w:val="nil"/>
          <w:bottom w:val="nil"/>
          <w:right w:val="nil"/>
          <w:between w:val="nil"/>
        </w:pBdr>
        <w:tabs>
          <w:tab w:val="left" w:pos="426"/>
        </w:tabs>
        <w:ind w:left="7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Responsable de la Unidad de Transparencia” (Sic)</w:t>
      </w:r>
    </w:p>
    <w:p w14:paraId="302DE663" w14:textId="77777777" w:rsidR="00E6212E" w:rsidRPr="002979C1" w:rsidRDefault="00E6212E">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p>
    <w:p w14:paraId="6BEC2F1E" w14:textId="77777777" w:rsidR="00E6212E" w:rsidRPr="002979C1" w:rsidRDefault="004046EE">
      <w:pPr>
        <w:widowControl w:val="0"/>
        <w:spacing w:line="360" w:lineRule="auto"/>
        <w:jc w:val="both"/>
        <w:rPr>
          <w:rFonts w:ascii="Palatino Linotype" w:eastAsia="Palatino Linotype" w:hAnsi="Palatino Linotype" w:cs="Palatino Linotype"/>
        </w:rPr>
      </w:pPr>
      <w:r w:rsidRPr="002979C1">
        <w:rPr>
          <w:rFonts w:ascii="Palatino Linotype" w:eastAsia="Palatino Linotype" w:hAnsi="Palatino Linotype" w:cs="Palatino Linotype"/>
          <w:b/>
          <w:sz w:val="28"/>
          <w:szCs w:val="28"/>
        </w:rPr>
        <w:t>III. Respuesta del Sujeto Obligado</w:t>
      </w:r>
      <w:r w:rsidRPr="002979C1">
        <w:rPr>
          <w:rFonts w:ascii="Palatino Linotype" w:eastAsia="Palatino Linotype" w:hAnsi="Palatino Linotype" w:cs="Palatino Linotype"/>
        </w:rPr>
        <w:t xml:space="preserve"> </w:t>
      </w:r>
    </w:p>
    <w:p w14:paraId="5ED872DB" w14:textId="77777777" w:rsidR="00E6212E" w:rsidRPr="002979C1" w:rsidRDefault="004046EE">
      <w:pPr>
        <w:widowControl w:val="0"/>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rPr>
        <w:t>En cumplimiento al artículo 162 de la Ley de Transparencia y Acceso a la Información Pública del Estado de México y Municipios</w:t>
      </w:r>
      <w:r w:rsidRPr="002979C1">
        <w:rPr>
          <w:rFonts w:ascii="Palatino Linotype" w:eastAsia="Palatino Linotype" w:hAnsi="Palatino Linotype" w:cs="Palatino Linotype"/>
          <w:color w:val="000000"/>
        </w:rPr>
        <w:t xml:space="preserve">, el </w:t>
      </w:r>
      <w:r w:rsidRPr="002979C1">
        <w:rPr>
          <w:rFonts w:ascii="Palatino Linotype" w:eastAsia="Palatino Linotype" w:hAnsi="Palatino Linotype" w:cs="Palatino Linotype"/>
          <w:b/>
          <w:bCs/>
          <w:color w:val="000000"/>
        </w:rPr>
        <w:t>tres de diciembre de dos mil veintiuno,</w:t>
      </w:r>
      <w:r w:rsidRPr="002979C1">
        <w:rPr>
          <w:rFonts w:ascii="Palatino Linotype" w:eastAsia="Palatino Linotype" w:hAnsi="Palatino Linotype" w:cs="Palatino Linotype"/>
          <w:color w:val="000000"/>
        </w:rPr>
        <w:t xml:space="preserve">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dio respuesta a la solicitud de información en los siguientes términos:</w:t>
      </w:r>
    </w:p>
    <w:p w14:paraId="30BB1732" w14:textId="77777777" w:rsidR="00E6212E" w:rsidRPr="002979C1" w:rsidRDefault="00E6212E">
      <w:pPr>
        <w:widowControl w:val="0"/>
        <w:spacing w:line="360" w:lineRule="auto"/>
        <w:jc w:val="both"/>
        <w:rPr>
          <w:rFonts w:ascii="Palatino Linotype" w:eastAsia="Palatino Linotype" w:hAnsi="Palatino Linotype" w:cs="Palatino Linotype"/>
          <w:color w:val="000000"/>
        </w:rPr>
      </w:pPr>
    </w:p>
    <w:p w14:paraId="1475B8A0" w14:textId="77777777" w:rsidR="00E6212E" w:rsidRPr="002979C1" w:rsidRDefault="004046EE">
      <w:pPr>
        <w:ind w:left="567" w:right="567"/>
        <w:jc w:val="right"/>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“Metepec, México a 03 de Diciembre de 2021</w:t>
      </w:r>
    </w:p>
    <w:p w14:paraId="03389557" w14:textId="2B991BAD" w:rsidR="00E6212E" w:rsidRPr="002979C1" w:rsidRDefault="004046EE">
      <w:pPr>
        <w:ind w:left="567" w:right="567"/>
        <w:jc w:val="right"/>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xml:space="preserve">Nombre del solicitante: </w:t>
      </w:r>
      <w:r w:rsidR="006163AD">
        <w:rPr>
          <w:rFonts w:ascii="Palatino Linotype" w:eastAsia="Palatino Linotype" w:hAnsi="Palatino Linotype" w:cs="Palatino Linotype"/>
          <w:i/>
          <w:color w:val="000000"/>
        </w:rPr>
        <w:t>XXXX XXXXXXX</w:t>
      </w:r>
    </w:p>
    <w:p w14:paraId="2CC5DB76" w14:textId="77777777" w:rsidR="00E6212E" w:rsidRPr="002979C1" w:rsidRDefault="004046EE">
      <w:pPr>
        <w:ind w:left="567" w:right="567"/>
        <w:jc w:val="right"/>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Folio de la solicitud: 01102/FGJ/IP/2021</w:t>
      </w:r>
    </w:p>
    <w:p w14:paraId="3D8101D4" w14:textId="77777777" w:rsidR="00E6212E" w:rsidRPr="002979C1" w:rsidRDefault="00E6212E">
      <w:pPr>
        <w:ind w:left="567" w:right="567"/>
        <w:jc w:val="right"/>
        <w:rPr>
          <w:rFonts w:ascii="Palatino Linotype" w:eastAsia="Palatino Linotype" w:hAnsi="Palatino Linotype" w:cs="Palatino Linotype"/>
          <w:i/>
          <w:color w:val="000000"/>
        </w:rPr>
      </w:pPr>
    </w:p>
    <w:p w14:paraId="19300932" w14:textId="77777777" w:rsidR="00E6212E" w:rsidRPr="002979C1" w:rsidRDefault="004046EE">
      <w:pPr>
        <w:ind w:left="567" w:right="567"/>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DD7B35" w14:textId="77777777" w:rsidR="00E6212E" w:rsidRPr="002979C1" w:rsidRDefault="004046EE">
      <w:pPr>
        <w:ind w:left="567" w:right="567"/>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Se remite respuesta vía saimex</w:t>
      </w:r>
    </w:p>
    <w:p w14:paraId="65CC9B5C" w14:textId="77777777" w:rsidR="00E6212E" w:rsidRPr="002979C1" w:rsidRDefault="00E6212E">
      <w:pPr>
        <w:ind w:left="567" w:right="567"/>
        <w:jc w:val="right"/>
        <w:rPr>
          <w:rFonts w:ascii="Palatino Linotype" w:eastAsia="Palatino Linotype" w:hAnsi="Palatino Linotype" w:cs="Palatino Linotype"/>
          <w:i/>
          <w:color w:val="000000"/>
        </w:rPr>
      </w:pPr>
    </w:p>
    <w:p w14:paraId="757102F8" w14:textId="77777777" w:rsidR="00E6212E" w:rsidRPr="002979C1" w:rsidRDefault="004046EE">
      <w:pPr>
        <w:ind w:left="567" w:right="567"/>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ATENTAMENTE</w:t>
      </w:r>
    </w:p>
    <w:p w14:paraId="0B8BC92D" w14:textId="77777777" w:rsidR="00E6212E" w:rsidRPr="002979C1" w:rsidRDefault="004046EE">
      <w:pPr>
        <w:ind w:left="567" w:right="567"/>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YAMILIT LEYVA GUTIÉRREZ.” (Sic)</w:t>
      </w:r>
    </w:p>
    <w:p w14:paraId="0CB1782D" w14:textId="77777777" w:rsidR="00E6212E" w:rsidRPr="002979C1" w:rsidRDefault="00E6212E">
      <w:pPr>
        <w:spacing w:after="240" w:line="360" w:lineRule="auto"/>
        <w:ind w:right="567"/>
        <w:jc w:val="both"/>
        <w:rPr>
          <w:rFonts w:ascii="Palatino Linotype" w:eastAsia="Palatino Linotype" w:hAnsi="Palatino Linotype" w:cs="Palatino Linotype"/>
          <w:color w:val="000000"/>
        </w:rPr>
      </w:pPr>
    </w:p>
    <w:p w14:paraId="0F5C0C00" w14:textId="77777777" w:rsidR="00E6212E" w:rsidRPr="002979C1" w:rsidRDefault="004046EE">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Asimismo,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adjuntó a su respuesta los archivos electrónicos que se describen a continuación:</w:t>
      </w:r>
    </w:p>
    <w:p w14:paraId="59451193" w14:textId="77777777" w:rsidR="00E6212E" w:rsidRPr="002979C1" w:rsidRDefault="00E6212E">
      <w:pPr>
        <w:tabs>
          <w:tab w:val="left" w:pos="284"/>
          <w:tab w:val="left" w:pos="426"/>
        </w:tabs>
        <w:spacing w:line="360" w:lineRule="auto"/>
        <w:jc w:val="both"/>
        <w:rPr>
          <w:rFonts w:ascii="Palatino Linotype" w:eastAsia="Palatino Linotype" w:hAnsi="Palatino Linotype" w:cs="Palatino Linotype"/>
          <w:color w:val="000000"/>
        </w:rPr>
      </w:pPr>
    </w:p>
    <w:p w14:paraId="49C0095F" w14:textId="77777777" w:rsidR="00E6212E" w:rsidRPr="002979C1" w:rsidRDefault="004046EE">
      <w:pPr>
        <w:numPr>
          <w:ilvl w:val="0"/>
          <w:numId w:val="12"/>
        </w:numPr>
        <w:pBdr>
          <w:top w:val="nil"/>
          <w:left w:val="nil"/>
          <w:bottom w:val="nil"/>
          <w:right w:val="nil"/>
          <w:between w:val="nil"/>
        </w:pBdr>
        <w:tabs>
          <w:tab w:val="left" w:pos="284"/>
          <w:tab w:val="left" w:pos="993"/>
          <w:tab w:val="left" w:pos="1134"/>
        </w:tabs>
        <w:spacing w:line="360" w:lineRule="auto"/>
        <w:ind w:left="567" w:right="616" w:firstLine="0"/>
        <w:jc w:val="both"/>
        <w:rPr>
          <w:color w:val="000000"/>
        </w:rPr>
      </w:pPr>
      <w:r w:rsidRPr="002979C1">
        <w:rPr>
          <w:rFonts w:ascii="Palatino Linotype" w:eastAsia="Palatino Linotype" w:hAnsi="Palatino Linotype" w:cs="Palatino Linotype"/>
          <w:b/>
          <w:color w:val="000000"/>
        </w:rPr>
        <w:t>1102_2021_12_03_19_40_03_578.pd</w:t>
      </w:r>
      <w:r w:rsidRPr="002979C1">
        <w:rPr>
          <w:rFonts w:ascii="Palatino Linotype" w:eastAsia="Palatino Linotype" w:hAnsi="Palatino Linotype" w:cs="Palatino Linotype"/>
          <w:color w:val="000000"/>
        </w:rPr>
        <w:t>: Documento electrónico que en una (01) hoja contiene, el oficio 02463/MAIP/FGJ/2021, suscrito por el Titular de la Unidad de Transparencia y dirigido al particular, mediante el cual se refiere que:</w:t>
      </w:r>
    </w:p>
    <w:p w14:paraId="67345A99" w14:textId="77777777" w:rsidR="00E6212E" w:rsidRPr="002979C1" w:rsidRDefault="00E6212E">
      <w:pPr>
        <w:pBdr>
          <w:top w:val="nil"/>
          <w:left w:val="nil"/>
          <w:bottom w:val="nil"/>
          <w:right w:val="nil"/>
          <w:between w:val="nil"/>
        </w:pBdr>
        <w:tabs>
          <w:tab w:val="left" w:pos="284"/>
          <w:tab w:val="left" w:pos="993"/>
          <w:tab w:val="left" w:pos="1134"/>
        </w:tabs>
        <w:spacing w:line="360" w:lineRule="auto"/>
        <w:ind w:left="567" w:right="616"/>
        <w:jc w:val="both"/>
        <w:rPr>
          <w:rFonts w:ascii="Palatino Linotype" w:eastAsia="Palatino Linotype" w:hAnsi="Palatino Linotype" w:cs="Palatino Linotype"/>
          <w:b/>
          <w:color w:val="000000"/>
        </w:rPr>
      </w:pPr>
    </w:p>
    <w:p w14:paraId="5E849EA9" w14:textId="77777777" w:rsidR="00E6212E" w:rsidRPr="002979C1" w:rsidRDefault="004046EE">
      <w:pPr>
        <w:pBdr>
          <w:top w:val="nil"/>
          <w:left w:val="nil"/>
          <w:bottom w:val="nil"/>
          <w:right w:val="nil"/>
          <w:between w:val="nil"/>
        </w:pBdr>
        <w:tabs>
          <w:tab w:val="left" w:pos="284"/>
          <w:tab w:val="left" w:pos="993"/>
          <w:tab w:val="left" w:pos="1134"/>
        </w:tabs>
        <w:ind w:left="567" w:right="618"/>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xml:space="preserve">“Sobre el particular, esta Fiscalía General de Justicia del Estado de México hace de su conocimiento que por medio del oficio número 400L4010/1890/2021 del diez de noviembre del presente año, la Coordinación General de Servicios Periciales, informó que lo solicitado encuadra en los supuestos de reserva que establece el artículo 140 de la Ley de Transparencia y Acceso a la Información Pública del Estado de México y Municipios, por lo cual no puede ser puesta a disposición de terceros no autorizados. </w:t>
      </w:r>
    </w:p>
    <w:p w14:paraId="20C795A2" w14:textId="77777777" w:rsidR="00E6212E" w:rsidRPr="002979C1" w:rsidRDefault="00E6212E">
      <w:pPr>
        <w:pBdr>
          <w:top w:val="nil"/>
          <w:left w:val="nil"/>
          <w:bottom w:val="nil"/>
          <w:right w:val="nil"/>
          <w:between w:val="nil"/>
        </w:pBdr>
        <w:tabs>
          <w:tab w:val="left" w:pos="284"/>
          <w:tab w:val="left" w:pos="993"/>
          <w:tab w:val="left" w:pos="1134"/>
        </w:tabs>
        <w:ind w:left="567" w:right="618"/>
        <w:jc w:val="both"/>
        <w:rPr>
          <w:rFonts w:ascii="Palatino Linotype" w:eastAsia="Palatino Linotype" w:hAnsi="Palatino Linotype" w:cs="Palatino Linotype"/>
          <w:i/>
          <w:color w:val="000000"/>
        </w:rPr>
      </w:pPr>
    </w:p>
    <w:p w14:paraId="23C43255" w14:textId="77777777" w:rsidR="00E6212E" w:rsidRPr="002979C1" w:rsidRDefault="004046EE">
      <w:pPr>
        <w:pBdr>
          <w:top w:val="nil"/>
          <w:left w:val="nil"/>
          <w:bottom w:val="nil"/>
          <w:right w:val="nil"/>
          <w:between w:val="nil"/>
        </w:pBdr>
        <w:tabs>
          <w:tab w:val="left" w:pos="284"/>
          <w:tab w:val="left" w:pos="993"/>
          <w:tab w:val="left" w:pos="1134"/>
        </w:tabs>
        <w:ind w:left="567" w:right="618"/>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i/>
          <w:color w:val="000000"/>
        </w:rPr>
        <w:t>En ese sentido, a través del Acuerdo 88/2021, el Comité de Transparencia de la Fiscalía General de Justicia del Estado de México, clasificó como información RESERVADA, LOS DOCUMENTOS QUE INTEGRAN LA CARPETA DE INVESTIGACIÓN NÚMERO LER/FHT/FHT/054/303750/21/10, RADICADA EN LA FISCALIA ESPECIALIZADA DE HOMICIDIOS VALLE DE MÉXICO, razón por la cual no se puede ser puesta a su disposición la información solicitada, mismo que se adjunta al presente</w:t>
      </w:r>
      <w:r w:rsidRPr="002979C1">
        <w:rPr>
          <w:rFonts w:ascii="Palatino Linotype" w:eastAsia="Palatino Linotype" w:hAnsi="Palatino Linotype" w:cs="Palatino Linotype"/>
          <w:color w:val="000000"/>
        </w:rPr>
        <w:t xml:space="preserve">. “ </w:t>
      </w:r>
    </w:p>
    <w:p w14:paraId="38CBAF7C" w14:textId="77777777" w:rsidR="00E6212E" w:rsidRPr="002979C1" w:rsidRDefault="00E6212E">
      <w:pPr>
        <w:pBdr>
          <w:top w:val="nil"/>
          <w:left w:val="nil"/>
          <w:bottom w:val="nil"/>
          <w:right w:val="nil"/>
          <w:between w:val="nil"/>
        </w:pBdr>
        <w:tabs>
          <w:tab w:val="left" w:pos="284"/>
          <w:tab w:val="left" w:pos="993"/>
          <w:tab w:val="left" w:pos="1134"/>
        </w:tabs>
        <w:spacing w:line="360" w:lineRule="auto"/>
        <w:ind w:left="567" w:right="616"/>
        <w:jc w:val="both"/>
        <w:rPr>
          <w:rFonts w:ascii="Palatino Linotype" w:eastAsia="Palatino Linotype" w:hAnsi="Palatino Linotype" w:cs="Palatino Linotype"/>
          <w:color w:val="000000"/>
        </w:rPr>
      </w:pPr>
    </w:p>
    <w:p w14:paraId="79180242" w14:textId="77777777" w:rsidR="00E6212E" w:rsidRPr="002979C1" w:rsidRDefault="004046EE">
      <w:pPr>
        <w:numPr>
          <w:ilvl w:val="0"/>
          <w:numId w:val="5"/>
        </w:numPr>
        <w:pBdr>
          <w:top w:val="nil"/>
          <w:left w:val="nil"/>
          <w:bottom w:val="nil"/>
          <w:right w:val="nil"/>
          <w:between w:val="nil"/>
        </w:pBdr>
        <w:tabs>
          <w:tab w:val="left" w:pos="284"/>
          <w:tab w:val="left" w:pos="993"/>
          <w:tab w:val="left" w:pos="1134"/>
        </w:tabs>
        <w:spacing w:line="360" w:lineRule="auto"/>
        <w:ind w:left="630" w:right="616" w:firstLine="0"/>
        <w:jc w:val="both"/>
        <w:rPr>
          <w:color w:val="000000"/>
        </w:rPr>
      </w:pPr>
      <w:r w:rsidRPr="002979C1">
        <w:rPr>
          <w:rFonts w:ascii="Palatino Linotype" w:eastAsia="Palatino Linotype" w:hAnsi="Palatino Linotype" w:cs="Palatino Linotype"/>
          <w:color w:val="000000"/>
        </w:rPr>
        <w:t xml:space="preserve"> </w:t>
      </w:r>
      <w:r w:rsidRPr="002979C1">
        <w:rPr>
          <w:rFonts w:ascii="Palatino Linotype" w:eastAsia="Palatino Linotype" w:hAnsi="Palatino Linotype" w:cs="Palatino Linotype"/>
          <w:b/>
          <w:color w:val="000000"/>
        </w:rPr>
        <w:t xml:space="preserve">ACUERDO </w:t>
      </w:r>
      <w:proofErr w:type="gramStart"/>
      <w:r w:rsidRPr="002979C1">
        <w:rPr>
          <w:rFonts w:ascii="Palatino Linotype" w:eastAsia="Palatino Linotype" w:hAnsi="Palatino Linotype" w:cs="Palatino Linotype"/>
          <w:b/>
          <w:color w:val="000000"/>
        </w:rPr>
        <w:t>8821.pdf</w:t>
      </w:r>
      <w:r w:rsidRPr="002979C1">
        <w:rPr>
          <w:rFonts w:ascii="Palatino Linotype" w:eastAsia="Palatino Linotype" w:hAnsi="Palatino Linotype" w:cs="Palatino Linotype"/>
          <w:color w:val="000000"/>
        </w:rPr>
        <w:t xml:space="preserve"> :</w:t>
      </w:r>
      <w:proofErr w:type="gramEnd"/>
      <w:r w:rsidRPr="002979C1">
        <w:rPr>
          <w:rFonts w:ascii="Palatino Linotype" w:eastAsia="Palatino Linotype" w:hAnsi="Palatino Linotype" w:cs="Palatino Linotype"/>
          <w:color w:val="000000"/>
        </w:rPr>
        <w:t xml:space="preserve"> Documento electrónico que en diez (10) hojas contiene, el Acuerdo 88/2021, que tiene por objeto clasificar como información reservada los documentos que integran la carpeta de investigación número LER/FHT/FHT/054/303750/21/10, radicada en la Fiscalía Especializada en Homicidios Valle de México.</w:t>
      </w:r>
    </w:p>
    <w:p w14:paraId="291B927E" w14:textId="77777777" w:rsidR="00E6212E" w:rsidRPr="002979C1" w:rsidRDefault="00E6212E">
      <w:pPr>
        <w:tabs>
          <w:tab w:val="left" w:pos="284"/>
          <w:tab w:val="left" w:pos="426"/>
        </w:tabs>
        <w:spacing w:line="360" w:lineRule="auto"/>
        <w:jc w:val="both"/>
        <w:rPr>
          <w:rFonts w:ascii="Palatino Linotype" w:eastAsia="Palatino Linotype" w:hAnsi="Palatino Linotype" w:cs="Palatino Linotype"/>
          <w:color w:val="000000"/>
        </w:rPr>
      </w:pPr>
    </w:p>
    <w:p w14:paraId="21CFB0A2" w14:textId="77777777" w:rsidR="00E6212E" w:rsidRPr="002979C1" w:rsidRDefault="004046EE">
      <w:pPr>
        <w:tabs>
          <w:tab w:val="left" w:pos="709"/>
        </w:tabs>
        <w:spacing w:line="360" w:lineRule="auto"/>
        <w:jc w:val="both"/>
        <w:rPr>
          <w:rFonts w:ascii="Palatino Linotype" w:eastAsia="Palatino Linotype" w:hAnsi="Palatino Linotype" w:cs="Palatino Linotype"/>
          <w:b/>
        </w:rPr>
      </w:pPr>
      <w:r w:rsidRPr="002979C1">
        <w:rPr>
          <w:rFonts w:ascii="Palatino Linotype" w:eastAsia="Palatino Linotype" w:hAnsi="Palatino Linotype" w:cs="Palatino Linotype"/>
          <w:b/>
          <w:sz w:val="28"/>
          <w:szCs w:val="28"/>
        </w:rPr>
        <w:lastRenderedPageBreak/>
        <w:t>IV</w:t>
      </w:r>
      <w:r w:rsidRPr="002979C1">
        <w:rPr>
          <w:rFonts w:ascii="Palatino Linotype" w:eastAsia="Palatino Linotype" w:hAnsi="Palatino Linotype" w:cs="Palatino Linotype"/>
          <w:b/>
        </w:rPr>
        <w:t xml:space="preserve">. </w:t>
      </w:r>
      <w:r w:rsidRPr="002979C1">
        <w:rPr>
          <w:rFonts w:ascii="Palatino Linotype" w:eastAsia="Palatino Linotype" w:hAnsi="Palatino Linotype" w:cs="Palatino Linotype"/>
          <w:b/>
          <w:sz w:val="28"/>
          <w:szCs w:val="28"/>
        </w:rPr>
        <w:t>Del Recurso de Revisión</w:t>
      </w:r>
    </w:p>
    <w:p w14:paraId="37B80DEB" w14:textId="77777777" w:rsidR="00E6212E" w:rsidRPr="002979C1" w:rsidRDefault="004046EE">
      <w:pPr>
        <w:pBdr>
          <w:top w:val="nil"/>
          <w:left w:val="nil"/>
          <w:bottom w:val="nil"/>
          <w:right w:val="nil"/>
          <w:between w:val="nil"/>
        </w:pBdr>
        <w:tabs>
          <w:tab w:val="left" w:pos="0"/>
          <w:tab w:val="left" w:pos="426"/>
        </w:tabs>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Derivado de la respuesta emitida por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el </w:t>
      </w:r>
      <w:r w:rsidRPr="002979C1">
        <w:rPr>
          <w:rFonts w:ascii="Palatino Linotype" w:eastAsia="Palatino Linotype" w:hAnsi="Palatino Linotype" w:cs="Palatino Linotype"/>
          <w:b/>
          <w:bCs/>
          <w:color w:val="000000"/>
        </w:rPr>
        <w:t>veinte de diciembre de dos mil veintiuno</w:t>
      </w:r>
      <w:r w:rsidRPr="002979C1">
        <w:rPr>
          <w:rFonts w:ascii="Palatino Linotype" w:eastAsia="Palatino Linotype" w:hAnsi="Palatino Linotype" w:cs="Palatino Linotype"/>
          <w:color w:val="000000"/>
        </w:rPr>
        <w:t xml:space="preserve">, el particular interpuso el recurso de revisión </w:t>
      </w:r>
      <w:r w:rsidRPr="002979C1">
        <w:rPr>
          <w:rFonts w:ascii="Palatino Linotype" w:eastAsia="Palatino Linotype" w:hAnsi="Palatino Linotype" w:cs="Palatino Linotype"/>
          <w:b/>
          <w:color w:val="000000"/>
        </w:rPr>
        <w:t>06518/INFOEM/IP/RR/2021;</w:t>
      </w:r>
      <w:r w:rsidRPr="002979C1">
        <w:rPr>
          <w:rFonts w:ascii="Palatino Linotype" w:eastAsia="Palatino Linotype" w:hAnsi="Palatino Linotype" w:cs="Palatino Linotype"/>
          <w:color w:val="000000"/>
        </w:rPr>
        <w:t xml:space="preserve"> impugnación en la que refirió lo siguiente:</w:t>
      </w:r>
    </w:p>
    <w:p w14:paraId="2AFACCC2" w14:textId="77777777" w:rsidR="00E6212E" w:rsidRPr="002979C1" w:rsidRDefault="00E6212E">
      <w:pPr>
        <w:tabs>
          <w:tab w:val="left" w:pos="426"/>
        </w:tabs>
        <w:spacing w:line="360" w:lineRule="auto"/>
        <w:ind w:left="284"/>
        <w:jc w:val="both"/>
        <w:rPr>
          <w:rFonts w:ascii="Palatino Linotype" w:eastAsia="Palatino Linotype" w:hAnsi="Palatino Linotype" w:cs="Palatino Linotype"/>
          <w:color w:val="000000"/>
        </w:rPr>
      </w:pPr>
    </w:p>
    <w:p w14:paraId="728E06E4" w14:textId="77777777" w:rsidR="00E6212E" w:rsidRPr="002979C1" w:rsidRDefault="004046EE">
      <w:pPr>
        <w:numPr>
          <w:ilvl w:val="0"/>
          <w:numId w:val="11"/>
        </w:numPr>
        <w:tabs>
          <w:tab w:val="left" w:pos="426"/>
          <w:tab w:val="left" w:pos="720"/>
          <w:tab w:val="left" w:pos="900"/>
        </w:tabs>
        <w:ind w:left="720" w:right="618" w:firstLine="0"/>
        <w:jc w:val="both"/>
        <w:rPr>
          <w:color w:val="000000"/>
        </w:rPr>
      </w:pPr>
      <w:r w:rsidRPr="002979C1">
        <w:rPr>
          <w:rFonts w:ascii="Palatino Linotype" w:eastAsia="Palatino Linotype" w:hAnsi="Palatino Linotype" w:cs="Palatino Linotype"/>
          <w:b/>
          <w:color w:val="000000"/>
        </w:rPr>
        <w:t>Acto impugnado:</w:t>
      </w:r>
      <w:r w:rsidRPr="002979C1">
        <w:rPr>
          <w:rFonts w:ascii="Palatino Linotype" w:eastAsia="Palatino Linotype" w:hAnsi="Palatino Linotype" w:cs="Palatino Linotype"/>
          <w:color w:val="000000"/>
        </w:rPr>
        <w:t xml:space="preserve"> </w:t>
      </w:r>
      <w:r w:rsidRPr="002979C1">
        <w:rPr>
          <w:rFonts w:ascii="Palatino Linotype" w:eastAsia="Palatino Linotype" w:hAnsi="Palatino Linotype" w:cs="Palatino Linotype"/>
          <w:i/>
          <w:color w:val="000000"/>
        </w:rPr>
        <w:t>“POR LA CLASIFICACIÓN DE LA INFORMACIÓN...”</w:t>
      </w:r>
      <w:r w:rsidRPr="002979C1">
        <w:rPr>
          <w:rFonts w:ascii="Palatino Linotype" w:eastAsia="Palatino Linotype" w:hAnsi="Palatino Linotype" w:cs="Palatino Linotype"/>
          <w:color w:val="000000"/>
        </w:rPr>
        <w:t xml:space="preserve"> (Sic).</w:t>
      </w:r>
    </w:p>
    <w:p w14:paraId="4DAB3F8E" w14:textId="77777777" w:rsidR="00E6212E" w:rsidRPr="002979C1" w:rsidRDefault="00E6212E">
      <w:pPr>
        <w:tabs>
          <w:tab w:val="left" w:pos="0"/>
          <w:tab w:val="left" w:pos="900"/>
        </w:tabs>
        <w:spacing w:line="360" w:lineRule="auto"/>
        <w:ind w:left="630" w:right="616"/>
        <w:jc w:val="both"/>
        <w:rPr>
          <w:rFonts w:ascii="Palatino Linotype" w:eastAsia="Palatino Linotype" w:hAnsi="Palatino Linotype" w:cs="Palatino Linotype"/>
          <w:color w:val="000000"/>
        </w:rPr>
      </w:pPr>
    </w:p>
    <w:p w14:paraId="3DB205A0" w14:textId="34CBE686" w:rsidR="00E6212E" w:rsidRPr="002979C1" w:rsidRDefault="004046EE">
      <w:pPr>
        <w:numPr>
          <w:ilvl w:val="0"/>
          <w:numId w:val="11"/>
        </w:numPr>
        <w:tabs>
          <w:tab w:val="left" w:pos="0"/>
          <w:tab w:val="left" w:pos="900"/>
        </w:tabs>
        <w:ind w:left="720" w:right="618" w:firstLine="0"/>
        <w:jc w:val="both"/>
        <w:rPr>
          <w:color w:val="000000"/>
        </w:rPr>
      </w:pPr>
      <w:r w:rsidRPr="002979C1">
        <w:rPr>
          <w:rFonts w:ascii="Palatino Linotype" w:eastAsia="Palatino Linotype" w:hAnsi="Palatino Linotype" w:cs="Palatino Linotype"/>
          <w:b/>
          <w:color w:val="000000"/>
        </w:rPr>
        <w:t>Razones o motivos de inconformidad:</w:t>
      </w:r>
      <w:r w:rsidRPr="002979C1">
        <w:rPr>
          <w:rFonts w:ascii="Palatino Linotype" w:eastAsia="Palatino Linotype" w:hAnsi="Palatino Linotype" w:cs="Palatino Linotype"/>
          <w:color w:val="000000"/>
        </w:rPr>
        <w:t xml:space="preserve"> </w:t>
      </w:r>
      <w:r w:rsidRPr="002979C1">
        <w:rPr>
          <w:rFonts w:ascii="Palatino Linotype" w:eastAsia="Palatino Linotype" w:hAnsi="Palatino Linotype" w:cs="Palatino Linotype"/>
          <w:i/>
          <w:color w:val="000000"/>
        </w:rPr>
        <w:t xml:space="preserve">“SI BIEN SE PODRÍA CLASIFICAR LA INFORMACIÓN QUE FUE SOLICITADA, BAJO EL ARTÍCULO 142 DE LA LEY DE TRANSPARENCIA LOCAL, NO PUEDE CLASIFICARSE COMO TAL, POR LAS VIOLACIONES GRAVES DE DERECHOS HUMANOS, QUE INCLUSO POR LA ACTUACIÓN DE LOS ELEMENTOS DE LA POLICÍA TRAJO COMO CONSECUENCIA EL FATAL DECESO DEL ACTOR </w:t>
      </w:r>
      <w:r w:rsidR="006163AD">
        <w:rPr>
          <w:rFonts w:ascii="Palatino Linotype" w:eastAsia="Palatino Linotype" w:hAnsi="Palatino Linotype" w:cs="Palatino Linotype"/>
          <w:i/>
          <w:color w:val="000000"/>
        </w:rPr>
        <w:t>XXXXXXX XXXXX</w:t>
      </w:r>
      <w:r w:rsidRPr="002979C1">
        <w:rPr>
          <w:rFonts w:ascii="Palatino Linotype" w:eastAsia="Palatino Linotype" w:hAnsi="Palatino Linotype" w:cs="Palatino Linotype"/>
          <w:i/>
          <w:color w:val="000000"/>
        </w:rPr>
        <w:t xml:space="preserve">.” </w:t>
      </w:r>
      <w:r w:rsidRPr="002979C1">
        <w:rPr>
          <w:rFonts w:ascii="Palatino Linotype" w:eastAsia="Palatino Linotype" w:hAnsi="Palatino Linotype" w:cs="Palatino Linotype"/>
          <w:color w:val="000000"/>
        </w:rPr>
        <w:t>(Sic).</w:t>
      </w:r>
    </w:p>
    <w:p w14:paraId="718E9933" w14:textId="77777777" w:rsidR="00E6212E" w:rsidRPr="002979C1" w:rsidRDefault="00E6212E">
      <w:pPr>
        <w:tabs>
          <w:tab w:val="left" w:pos="0"/>
        </w:tabs>
        <w:spacing w:line="360" w:lineRule="auto"/>
        <w:ind w:left="567" w:right="616"/>
        <w:jc w:val="both"/>
        <w:rPr>
          <w:rFonts w:ascii="Palatino Linotype" w:eastAsia="Palatino Linotype" w:hAnsi="Palatino Linotype" w:cs="Palatino Linotype"/>
          <w:color w:val="000000"/>
        </w:rPr>
      </w:pPr>
    </w:p>
    <w:p w14:paraId="06981DB6" w14:textId="77777777" w:rsidR="00E6212E" w:rsidRPr="002979C1" w:rsidRDefault="004046EE">
      <w:pPr>
        <w:spacing w:line="360" w:lineRule="auto"/>
        <w:jc w:val="both"/>
        <w:rPr>
          <w:rFonts w:ascii="Palatino Linotype" w:eastAsia="Palatino Linotype" w:hAnsi="Palatino Linotype" w:cs="Palatino Linotype"/>
          <w:b/>
          <w:color w:val="000000"/>
          <w:sz w:val="28"/>
          <w:szCs w:val="28"/>
        </w:rPr>
      </w:pPr>
      <w:r w:rsidRPr="002979C1">
        <w:rPr>
          <w:rFonts w:ascii="Palatino Linotype" w:eastAsia="Palatino Linotype" w:hAnsi="Palatino Linotype" w:cs="Palatino Linotype"/>
          <w:b/>
          <w:color w:val="000000"/>
          <w:sz w:val="28"/>
          <w:szCs w:val="28"/>
        </w:rPr>
        <w:t xml:space="preserve">V. </w:t>
      </w:r>
      <w:r w:rsidRPr="002979C1">
        <w:rPr>
          <w:rFonts w:ascii="Palatino Linotype" w:eastAsia="Palatino Linotype" w:hAnsi="Palatino Linotype" w:cs="Palatino Linotype"/>
          <w:b/>
          <w:sz w:val="28"/>
          <w:szCs w:val="28"/>
        </w:rPr>
        <w:t>Del turno del Recurso de Revisión</w:t>
      </w:r>
    </w:p>
    <w:p w14:paraId="14B87D0D" w14:textId="77777777" w:rsidR="00E6212E" w:rsidRPr="002979C1" w:rsidRDefault="004046EE">
      <w:pPr>
        <w:spacing w:line="360" w:lineRule="auto"/>
        <w:jc w:val="both"/>
        <w:rPr>
          <w:rFonts w:ascii="Palatino Linotype" w:eastAsia="Palatino Linotype" w:hAnsi="Palatino Linotype" w:cs="Palatino Linotype"/>
        </w:rPr>
      </w:pPr>
      <w:r w:rsidRPr="002979C1">
        <w:rPr>
          <w:rFonts w:ascii="Palatino Linotype" w:eastAsia="Palatino Linotype" w:hAnsi="Palatino Linotype" w:cs="Palatino Linotype"/>
        </w:rPr>
        <w:t xml:space="preserve">El </w:t>
      </w:r>
      <w:r w:rsidRPr="002979C1">
        <w:rPr>
          <w:rFonts w:ascii="Palatino Linotype" w:eastAsia="Palatino Linotype" w:hAnsi="Palatino Linotype" w:cs="Palatino Linotype"/>
          <w:b/>
          <w:bCs/>
        </w:rPr>
        <w:t>veinte de diciembre de dos mil veintiuno</w:t>
      </w:r>
      <w:r w:rsidRPr="002979C1">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2979C1">
        <w:rPr>
          <w:rFonts w:ascii="Palatino Linotype" w:eastAsia="Palatino Linotype" w:hAnsi="Palatino Linotype" w:cs="Palatino Linotype"/>
          <w:b/>
        </w:rPr>
        <w:t>SAIMEX</w:t>
      </w:r>
      <w:r w:rsidRPr="002979C1">
        <w:rPr>
          <w:rFonts w:ascii="Palatino Linotype" w:eastAsia="Palatino Linotype" w:hAnsi="Palatino Linotype" w:cs="Palatino Linotype"/>
        </w:rPr>
        <w:t xml:space="preserve">, el recurso de revisión </w:t>
      </w:r>
      <w:r w:rsidRPr="002979C1">
        <w:rPr>
          <w:rFonts w:ascii="Palatino Linotype" w:eastAsia="Palatino Linotype" w:hAnsi="Palatino Linotype" w:cs="Palatino Linotype"/>
          <w:b/>
        </w:rPr>
        <w:t xml:space="preserve">06518/INFOEM/IP/RR/2021 </w:t>
      </w:r>
      <w:r w:rsidRPr="002979C1">
        <w:rPr>
          <w:rFonts w:ascii="Palatino Linotype" w:eastAsia="Palatino Linotype" w:hAnsi="Palatino Linotype" w:cs="Palatino Linotype"/>
        </w:rPr>
        <w:t xml:space="preserve">a la </w:t>
      </w:r>
      <w:r w:rsidRPr="002979C1">
        <w:rPr>
          <w:rFonts w:ascii="Palatino Linotype" w:eastAsia="Palatino Linotype" w:hAnsi="Palatino Linotype" w:cs="Palatino Linotype"/>
          <w:b/>
        </w:rPr>
        <w:t xml:space="preserve">Comisionada </w:t>
      </w:r>
      <w:r w:rsidRPr="002979C1">
        <w:rPr>
          <w:rFonts w:ascii="Palatino Linotype" w:eastAsia="Palatino Linotype" w:hAnsi="Palatino Linotype" w:cs="Palatino Linotype"/>
          <w:b/>
          <w:color w:val="000000"/>
        </w:rPr>
        <w:t>María del Rosario Mejía Ayala</w:t>
      </w:r>
      <w:r w:rsidRPr="002979C1">
        <w:rPr>
          <w:rFonts w:ascii="Palatino Linotype" w:eastAsia="Palatino Linotype" w:hAnsi="Palatino Linotype" w:cs="Palatino Linotype"/>
          <w:b/>
        </w:rPr>
        <w:t>;</w:t>
      </w:r>
      <w:r w:rsidRPr="002979C1">
        <w:rPr>
          <w:rFonts w:ascii="Palatino Linotype" w:eastAsia="Palatino Linotype" w:hAnsi="Palatino Linotype" w:cs="Palatino Linotype"/>
        </w:rPr>
        <w:t xml:space="preserve"> a efecto de que decretara su admisión o </w:t>
      </w:r>
      <w:proofErr w:type="spellStart"/>
      <w:r w:rsidRPr="002979C1">
        <w:rPr>
          <w:rFonts w:ascii="Palatino Linotype" w:eastAsia="Palatino Linotype" w:hAnsi="Palatino Linotype" w:cs="Palatino Linotype"/>
        </w:rPr>
        <w:t>desechamiento</w:t>
      </w:r>
      <w:proofErr w:type="spellEnd"/>
      <w:r w:rsidRPr="002979C1">
        <w:rPr>
          <w:rFonts w:ascii="Palatino Linotype" w:eastAsia="Palatino Linotype" w:hAnsi="Palatino Linotype" w:cs="Palatino Linotype"/>
        </w:rPr>
        <w:t>.</w:t>
      </w:r>
    </w:p>
    <w:p w14:paraId="04A21C77" w14:textId="77777777" w:rsidR="00E6212E" w:rsidRPr="002979C1" w:rsidRDefault="00E6212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A2AB24F" w14:textId="77777777" w:rsidR="00E6212E" w:rsidRPr="002979C1" w:rsidRDefault="004046EE">
      <w:pPr>
        <w:tabs>
          <w:tab w:val="center" w:pos="4252"/>
          <w:tab w:val="right" w:pos="8504"/>
        </w:tabs>
        <w:spacing w:line="360" w:lineRule="auto"/>
        <w:jc w:val="both"/>
        <w:rPr>
          <w:rFonts w:ascii="Palatino Linotype" w:eastAsia="Palatino Linotype" w:hAnsi="Palatino Linotype" w:cs="Palatino Linotype"/>
          <w:b/>
          <w:color w:val="000000"/>
        </w:rPr>
      </w:pPr>
      <w:r w:rsidRPr="002979C1">
        <w:rPr>
          <w:rFonts w:ascii="Palatino Linotype" w:eastAsia="Palatino Linotype" w:hAnsi="Palatino Linotype" w:cs="Palatino Linotype"/>
          <w:b/>
          <w:color w:val="000000"/>
        </w:rPr>
        <w:lastRenderedPageBreak/>
        <w:t>a) Admisión del Recurso de Revisión</w:t>
      </w:r>
    </w:p>
    <w:p w14:paraId="33075991" w14:textId="77777777" w:rsidR="00E6212E" w:rsidRPr="002979C1" w:rsidRDefault="004046EE">
      <w:pPr>
        <w:tabs>
          <w:tab w:val="center" w:pos="4252"/>
          <w:tab w:val="right" w:pos="8504"/>
        </w:tabs>
        <w:spacing w:line="360" w:lineRule="auto"/>
        <w:jc w:val="both"/>
        <w:rPr>
          <w:rFonts w:ascii="Palatino Linotype" w:eastAsia="Palatino Linotype" w:hAnsi="Palatino Linotype" w:cs="Palatino Linotype"/>
        </w:rPr>
      </w:pPr>
      <w:r w:rsidRPr="002979C1">
        <w:rPr>
          <w:rFonts w:ascii="Palatino Linotype" w:eastAsia="Palatino Linotype" w:hAnsi="Palatino Linotype" w:cs="Palatino Linotype"/>
        </w:rPr>
        <w:t>De las constancias que obran en el expediente electrónico del</w:t>
      </w:r>
      <w:r w:rsidRPr="002979C1">
        <w:rPr>
          <w:rFonts w:ascii="Palatino Linotype" w:eastAsia="Palatino Linotype" w:hAnsi="Palatino Linotype" w:cs="Palatino Linotype"/>
          <w:b/>
        </w:rPr>
        <w:t xml:space="preserve"> SAIMEX</w:t>
      </w:r>
      <w:r w:rsidRPr="002979C1">
        <w:rPr>
          <w:rFonts w:ascii="Palatino Linotype" w:eastAsia="Palatino Linotype" w:hAnsi="Palatino Linotype" w:cs="Palatino Linotype"/>
        </w:rPr>
        <w:t xml:space="preserve">, se advierte que el </w:t>
      </w:r>
      <w:r w:rsidRPr="002979C1">
        <w:rPr>
          <w:rFonts w:ascii="Palatino Linotype" w:eastAsia="Palatino Linotype" w:hAnsi="Palatino Linotype" w:cs="Palatino Linotype"/>
          <w:b/>
          <w:bCs/>
        </w:rPr>
        <w:t>veintidós de diciembre de dos mil veintidós</w:t>
      </w:r>
      <w:r w:rsidRPr="002979C1">
        <w:rPr>
          <w:rFonts w:ascii="Palatino Linotype" w:eastAsia="Palatino Linotype" w:hAnsi="Palatino Linotype" w:cs="Palatino Linotype"/>
        </w:rPr>
        <w:t xml:space="preserve">, se acordó la admisión a trámite del recurso de revisión que nos ocupa; así como la integración del expediente respectivo, mismo que fue puesto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979C1">
        <w:rPr>
          <w:rFonts w:ascii="Palatino Linotype" w:eastAsia="Palatino Linotype" w:hAnsi="Palatino Linotype" w:cs="Palatino Linotype"/>
          <w:b/>
        </w:rPr>
        <w:t xml:space="preserve">EL SUJETO OBLIGADO </w:t>
      </w:r>
      <w:r w:rsidRPr="002979C1">
        <w:rPr>
          <w:rFonts w:ascii="Palatino Linotype" w:eastAsia="Palatino Linotype" w:hAnsi="Palatino Linotype" w:cs="Palatino Linotype"/>
        </w:rPr>
        <w:t>rindiera el correspondiente</w:t>
      </w:r>
      <w:r w:rsidRPr="002979C1">
        <w:rPr>
          <w:rFonts w:ascii="Palatino Linotype" w:eastAsia="Palatino Linotype" w:hAnsi="Palatino Linotype" w:cs="Palatino Linotype"/>
          <w:b/>
        </w:rPr>
        <w:t xml:space="preserve"> </w:t>
      </w:r>
      <w:r w:rsidRPr="002979C1">
        <w:rPr>
          <w:rFonts w:ascii="Palatino Linotype" w:eastAsia="Palatino Linotype" w:hAnsi="Palatino Linotype" w:cs="Palatino Linotype"/>
        </w:rPr>
        <w:t>Informe Justificado.</w:t>
      </w:r>
    </w:p>
    <w:p w14:paraId="3C03D37D" w14:textId="77777777" w:rsidR="00E6212E" w:rsidRPr="002979C1" w:rsidRDefault="00E6212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9D524A5" w14:textId="77777777" w:rsidR="00E6212E" w:rsidRPr="002979C1" w:rsidRDefault="004046EE">
      <w:pPr>
        <w:spacing w:line="360" w:lineRule="auto"/>
        <w:jc w:val="both"/>
        <w:rPr>
          <w:rFonts w:ascii="Palatino Linotype" w:eastAsia="Palatino Linotype" w:hAnsi="Palatino Linotype" w:cs="Palatino Linotype"/>
          <w:b/>
          <w:color w:val="000000"/>
        </w:rPr>
      </w:pPr>
      <w:r w:rsidRPr="002979C1">
        <w:rPr>
          <w:rFonts w:ascii="Palatino Linotype" w:eastAsia="Palatino Linotype" w:hAnsi="Palatino Linotype" w:cs="Palatino Linotype"/>
          <w:b/>
          <w:color w:val="000000"/>
        </w:rPr>
        <w:t xml:space="preserve">b) </w:t>
      </w:r>
      <w:r w:rsidRPr="002979C1">
        <w:rPr>
          <w:rFonts w:ascii="Palatino Linotype" w:eastAsia="Palatino Linotype" w:hAnsi="Palatino Linotype" w:cs="Palatino Linotype"/>
          <w:b/>
        </w:rPr>
        <w:t>Informe Justificado</w:t>
      </w:r>
    </w:p>
    <w:p w14:paraId="00EBBDAA" w14:textId="77777777" w:rsidR="00E6212E" w:rsidRPr="002979C1" w:rsidRDefault="004046EE">
      <w:pPr>
        <w:tabs>
          <w:tab w:val="center" w:pos="4252"/>
          <w:tab w:val="right" w:pos="8504"/>
        </w:tabs>
        <w:spacing w:line="360" w:lineRule="auto"/>
        <w:jc w:val="both"/>
        <w:rPr>
          <w:rFonts w:ascii="Palatino Linotype" w:eastAsia="Palatino Linotype" w:hAnsi="Palatino Linotype" w:cs="Palatino Linotype"/>
        </w:rPr>
      </w:pPr>
      <w:r w:rsidRPr="002979C1">
        <w:rPr>
          <w:rFonts w:ascii="Palatino Linotype" w:eastAsia="Palatino Linotype" w:hAnsi="Palatino Linotype" w:cs="Palatino Linotype"/>
        </w:rPr>
        <w:t>De las constancias del expediente electrónico del </w:t>
      </w:r>
      <w:r w:rsidRPr="002979C1">
        <w:rPr>
          <w:rFonts w:ascii="Palatino Linotype" w:eastAsia="Palatino Linotype" w:hAnsi="Palatino Linotype" w:cs="Palatino Linotype"/>
          <w:b/>
        </w:rPr>
        <w:t>SAIMEX</w:t>
      </w:r>
      <w:r w:rsidRPr="002979C1">
        <w:rPr>
          <w:rFonts w:ascii="Palatino Linotype" w:eastAsia="Palatino Linotype" w:hAnsi="Palatino Linotype" w:cs="Palatino Linotype"/>
        </w:rPr>
        <w:t>, se advierte que el particular no realizó sus manifestaciones conforme a derecho le correspondían.</w:t>
      </w:r>
    </w:p>
    <w:p w14:paraId="6ED7CFA3" w14:textId="77777777" w:rsidR="00E6212E" w:rsidRPr="002979C1" w:rsidRDefault="00E6212E">
      <w:pPr>
        <w:tabs>
          <w:tab w:val="center" w:pos="4252"/>
          <w:tab w:val="right" w:pos="8504"/>
        </w:tabs>
        <w:spacing w:line="360" w:lineRule="auto"/>
        <w:jc w:val="both"/>
        <w:rPr>
          <w:rFonts w:ascii="Palatino Linotype" w:eastAsia="Palatino Linotype" w:hAnsi="Palatino Linotype" w:cs="Palatino Linotype"/>
        </w:rPr>
      </w:pPr>
    </w:p>
    <w:p w14:paraId="684598D9" w14:textId="77777777" w:rsidR="00E6212E" w:rsidRPr="002979C1" w:rsidRDefault="004046EE">
      <w:pPr>
        <w:tabs>
          <w:tab w:val="center" w:pos="4252"/>
          <w:tab w:val="right" w:pos="8504"/>
        </w:tabs>
        <w:spacing w:line="360" w:lineRule="auto"/>
        <w:jc w:val="both"/>
        <w:rPr>
          <w:rFonts w:ascii="Palatino Linotype" w:eastAsia="Palatino Linotype" w:hAnsi="Palatino Linotype" w:cs="Palatino Linotype"/>
        </w:rPr>
      </w:pPr>
      <w:r w:rsidRPr="002979C1">
        <w:rPr>
          <w:rFonts w:ascii="Palatino Linotype" w:eastAsia="Palatino Linotype" w:hAnsi="Palatino Linotype" w:cs="Palatino Linotype"/>
        </w:rPr>
        <w:t>Por su parte, </w:t>
      </w:r>
      <w:r w:rsidRPr="002979C1">
        <w:rPr>
          <w:rFonts w:ascii="Palatino Linotype" w:eastAsia="Palatino Linotype" w:hAnsi="Palatino Linotype" w:cs="Palatino Linotype"/>
          <w:b/>
        </w:rPr>
        <w:t xml:space="preserve">EL SUJETO OBLIGADO </w:t>
      </w:r>
      <w:r w:rsidRPr="002979C1">
        <w:rPr>
          <w:rFonts w:ascii="Palatino Linotype" w:eastAsia="Palatino Linotype" w:hAnsi="Palatino Linotype" w:cs="Palatino Linotype"/>
        </w:rPr>
        <w:t xml:space="preserve">rindió el Informe Justificado, el </w:t>
      </w:r>
      <w:r w:rsidRPr="002979C1">
        <w:rPr>
          <w:rFonts w:ascii="Palatino Linotype" w:eastAsia="Palatino Linotype" w:hAnsi="Palatino Linotype" w:cs="Palatino Linotype"/>
          <w:b/>
          <w:bCs/>
        </w:rPr>
        <w:t>dieciocho de enero de dos mil veintidós</w:t>
      </w:r>
      <w:r w:rsidRPr="002979C1">
        <w:rPr>
          <w:rFonts w:ascii="Palatino Linotype" w:eastAsia="Palatino Linotype" w:hAnsi="Palatino Linotype" w:cs="Palatino Linotype"/>
        </w:rPr>
        <w:t xml:space="preserve">, mismo que fue puesto a disposición del </w:t>
      </w:r>
      <w:r w:rsidRPr="002979C1">
        <w:rPr>
          <w:rFonts w:ascii="Palatino Linotype" w:eastAsia="Palatino Linotype" w:hAnsi="Palatino Linotype" w:cs="Palatino Linotype"/>
          <w:b/>
        </w:rPr>
        <w:t xml:space="preserve">RECURRENTE, </w:t>
      </w:r>
      <w:r w:rsidRPr="002979C1">
        <w:rPr>
          <w:rFonts w:ascii="Palatino Linotype" w:eastAsia="Palatino Linotype" w:hAnsi="Palatino Linotype" w:cs="Palatino Linotype"/>
        </w:rPr>
        <w:t>el veintisiete de enero de dos mil veintidós, tal y como se desprende en la imagen que a continuación se inserta:</w:t>
      </w:r>
    </w:p>
    <w:p w14:paraId="5105B325" w14:textId="77777777" w:rsidR="00E6212E" w:rsidRPr="002979C1" w:rsidRDefault="004046E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2979C1">
        <w:rPr>
          <w:noProof/>
          <w:color w:val="000000"/>
          <w:lang w:val="es-MX"/>
        </w:rPr>
        <w:lastRenderedPageBreak/>
        <w:drawing>
          <wp:inline distT="0" distB="0" distL="0" distR="0" wp14:anchorId="0C92E80D" wp14:editId="7ADCF34A">
            <wp:extent cx="5606415" cy="26416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606415" cy="2641600"/>
                    </a:xfrm>
                    <a:prstGeom prst="rect">
                      <a:avLst/>
                    </a:prstGeom>
                    <a:ln/>
                  </pic:spPr>
                </pic:pic>
              </a:graphicData>
            </a:graphic>
          </wp:inline>
        </w:drawing>
      </w:r>
    </w:p>
    <w:p w14:paraId="62B66503" w14:textId="77777777" w:rsidR="00E6212E" w:rsidRPr="002979C1" w:rsidRDefault="004046E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Sin embargo, con la finalidad de que no exista opacidad, se describe a continuación: </w:t>
      </w:r>
    </w:p>
    <w:p w14:paraId="0A4E0460" w14:textId="77777777" w:rsidR="00E6212E" w:rsidRPr="002979C1" w:rsidRDefault="00E6212E">
      <w:pPr>
        <w:pBdr>
          <w:top w:val="nil"/>
          <w:left w:val="nil"/>
          <w:bottom w:val="nil"/>
          <w:right w:val="nil"/>
          <w:between w:val="nil"/>
        </w:pBdr>
        <w:ind w:left="708"/>
        <w:rPr>
          <w:rFonts w:ascii="Palatino Linotype" w:eastAsia="Palatino Linotype" w:hAnsi="Palatino Linotype" w:cs="Palatino Linotype"/>
          <w:color w:val="000000"/>
        </w:rPr>
      </w:pPr>
    </w:p>
    <w:p w14:paraId="6E0A9A02" w14:textId="0D33524D" w:rsidR="00E6212E" w:rsidRPr="002979C1" w:rsidRDefault="006163AD">
      <w:pPr>
        <w:numPr>
          <w:ilvl w:val="0"/>
          <w:numId w:val="4"/>
        </w:numPr>
        <w:pBdr>
          <w:top w:val="nil"/>
          <w:left w:val="nil"/>
          <w:bottom w:val="nil"/>
          <w:right w:val="nil"/>
          <w:between w:val="nil"/>
        </w:pBdr>
        <w:tabs>
          <w:tab w:val="left" w:pos="426"/>
          <w:tab w:val="left" w:pos="7650"/>
        </w:tabs>
        <w:ind w:right="729"/>
        <w:jc w:val="both"/>
        <w:rPr>
          <w:color w:val="000000"/>
        </w:rPr>
      </w:pPr>
      <w:hyperlink r:id="rId8">
        <w:r w:rsidR="004046EE" w:rsidRPr="002979C1">
          <w:rPr>
            <w:rFonts w:ascii="Palatino Linotype" w:eastAsia="Palatino Linotype" w:hAnsi="Palatino Linotype" w:cs="Palatino Linotype"/>
            <w:b/>
            <w:color w:val="000000"/>
          </w:rPr>
          <w:t>ofc6518_2022_01_18_13_31_22_515.pdf</w:t>
        </w:r>
      </w:hyperlink>
      <w:r w:rsidR="004046EE" w:rsidRPr="002979C1">
        <w:rPr>
          <w:rFonts w:ascii="Palatino Linotype" w:eastAsia="Palatino Linotype" w:hAnsi="Palatino Linotype" w:cs="Palatino Linotype"/>
          <w:color w:val="000000"/>
        </w:rPr>
        <w:t>: Documento electrónico que en una (01) hoja contiene el oficio 0045/MAIP/FGJ/2021 dirigido a la Comisionada Ponente y suscrito por la Titular de la Unidad de Transparencia, mediante el cual se refriere que:</w:t>
      </w:r>
    </w:p>
    <w:p w14:paraId="27C33557" w14:textId="77777777" w:rsidR="00E6212E" w:rsidRPr="002979C1" w:rsidRDefault="004046EE">
      <w:pPr>
        <w:pBdr>
          <w:top w:val="nil"/>
          <w:left w:val="nil"/>
          <w:bottom w:val="nil"/>
          <w:right w:val="nil"/>
          <w:between w:val="nil"/>
        </w:pBdr>
        <w:tabs>
          <w:tab w:val="left" w:pos="426"/>
          <w:tab w:val="left" w:pos="7650"/>
        </w:tabs>
        <w:ind w:left="720" w:right="72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 </w:t>
      </w:r>
      <w:r w:rsidRPr="002979C1">
        <w:rPr>
          <w:rFonts w:ascii="Palatino Linotype" w:eastAsia="Palatino Linotype" w:hAnsi="Palatino Linotype" w:cs="Palatino Linotype"/>
          <w:i/>
          <w:color w:val="000000"/>
        </w:rPr>
        <w:t>“Sobre el particular, se adjunta al presente, el Informe Justificado correspondiente, por medio del cual se señalan los razonamientos lógico-jurídicos por los cuales debe ser confirmada la respuesta emitida por este sujeto obligado en la solicitud de información antes referida</w:t>
      </w:r>
      <w:r w:rsidRPr="002979C1">
        <w:rPr>
          <w:rFonts w:ascii="Palatino Linotype" w:eastAsia="Palatino Linotype" w:hAnsi="Palatino Linotype" w:cs="Palatino Linotype"/>
          <w:color w:val="000000"/>
        </w:rPr>
        <w:t xml:space="preserve">” </w:t>
      </w:r>
    </w:p>
    <w:p w14:paraId="06E212C4" w14:textId="77777777" w:rsidR="00E6212E" w:rsidRPr="002979C1" w:rsidRDefault="00E6212E">
      <w:pPr>
        <w:tabs>
          <w:tab w:val="left" w:pos="426"/>
          <w:tab w:val="left" w:pos="7650"/>
        </w:tabs>
        <w:ind w:right="729"/>
        <w:jc w:val="both"/>
        <w:rPr>
          <w:rFonts w:ascii="Palatino Linotype" w:eastAsia="Palatino Linotype" w:hAnsi="Palatino Linotype" w:cs="Palatino Linotype"/>
          <w:i/>
          <w:color w:val="000000"/>
        </w:rPr>
      </w:pPr>
    </w:p>
    <w:p w14:paraId="29F6999C" w14:textId="77777777" w:rsidR="00E6212E" w:rsidRPr="002979C1" w:rsidRDefault="004046EE">
      <w:pPr>
        <w:numPr>
          <w:ilvl w:val="0"/>
          <w:numId w:val="4"/>
        </w:numPr>
        <w:tabs>
          <w:tab w:val="left" w:pos="426"/>
        </w:tabs>
        <w:ind w:right="729"/>
        <w:jc w:val="both"/>
        <w:rPr>
          <w:color w:val="000000"/>
        </w:rPr>
      </w:pPr>
      <w:proofErr w:type="spellStart"/>
      <w:r w:rsidRPr="002979C1">
        <w:rPr>
          <w:rFonts w:ascii="Palatino Linotype" w:eastAsia="Palatino Linotype" w:hAnsi="Palatino Linotype" w:cs="Palatino Linotype"/>
          <w:b/>
          <w:color w:val="000000"/>
        </w:rPr>
        <w:t>inf</w:t>
      </w:r>
      <w:proofErr w:type="spellEnd"/>
      <w:r w:rsidRPr="002979C1">
        <w:rPr>
          <w:rFonts w:ascii="Palatino Linotype" w:eastAsia="Palatino Linotype" w:hAnsi="Palatino Linotype" w:cs="Palatino Linotype"/>
          <w:b/>
          <w:color w:val="000000"/>
        </w:rPr>
        <w:t xml:space="preserve"> 6518_2022_01_18_13_30_11_794.pdf</w:t>
      </w:r>
      <w:r w:rsidRPr="002979C1">
        <w:rPr>
          <w:rFonts w:ascii="Palatino Linotype" w:eastAsia="Palatino Linotype" w:hAnsi="Palatino Linotype" w:cs="Palatino Linotype"/>
          <w:color w:val="000000"/>
        </w:rPr>
        <w:t>: Documento electrónico que en seis (06) hojas contiene el oficio 0044/MAIP/FGJ/2022 dirigido a la Comisionada Ponente y suscrito por el Titular de la Unidad de Transparencia, mediante el cual medularmente se refiere la respuesta inicial y se refriere que:</w:t>
      </w:r>
    </w:p>
    <w:p w14:paraId="746FB62F" w14:textId="77777777" w:rsidR="00E6212E" w:rsidRPr="002979C1" w:rsidRDefault="00E6212E">
      <w:pPr>
        <w:tabs>
          <w:tab w:val="left" w:pos="426"/>
        </w:tabs>
        <w:ind w:left="720" w:right="729"/>
        <w:jc w:val="both"/>
        <w:rPr>
          <w:rFonts w:ascii="Palatino Linotype" w:eastAsia="Palatino Linotype" w:hAnsi="Palatino Linotype" w:cs="Palatino Linotype"/>
          <w:color w:val="000000"/>
        </w:rPr>
      </w:pPr>
    </w:p>
    <w:p w14:paraId="7CAD11F8" w14:textId="77777777" w:rsidR="00E6212E" w:rsidRPr="002979C1" w:rsidRDefault="004046EE">
      <w:pPr>
        <w:tabs>
          <w:tab w:val="left" w:pos="426"/>
        </w:tabs>
        <w:ind w:left="720" w:right="72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color w:val="000000"/>
        </w:rPr>
        <w:t xml:space="preserve"> </w:t>
      </w:r>
      <w:r w:rsidRPr="002979C1">
        <w:rPr>
          <w:rFonts w:ascii="Palatino Linotype" w:eastAsia="Palatino Linotype" w:hAnsi="Palatino Linotype" w:cs="Palatino Linotype"/>
          <w:i/>
          <w:color w:val="000000"/>
        </w:rPr>
        <w:t xml:space="preserve">“Por lo que corresponde a las razones de inconformidad señaladas por el recurrente, referente a que “de conformidad con el artículo 142 de la Ley de Transparencia de la Entidad, la información no puede clasificarse por las </w:t>
      </w:r>
      <w:r w:rsidRPr="002979C1">
        <w:rPr>
          <w:rFonts w:ascii="Palatino Linotype" w:eastAsia="Palatino Linotype" w:hAnsi="Palatino Linotype" w:cs="Palatino Linotype"/>
          <w:i/>
          <w:color w:val="000000"/>
        </w:rPr>
        <w:lastRenderedPageBreak/>
        <w:t xml:space="preserve">violaciones graves a derechos humanos” Estas manifestaciones resultan infundadas e inoperantes, y, en consecuencia, deben de ser desestimadas, toda vez que como se ha señalado anteriormente, la investigación relacionada con los hechos requeridos aún se encuentra en trámite, sin que a la fecha de la solicitud, se haya determinado por la autoridad competente si hubo o no violaciones a los derechos humanos. </w:t>
      </w:r>
    </w:p>
    <w:p w14:paraId="169762B0" w14:textId="77777777" w:rsidR="00E6212E" w:rsidRPr="002979C1" w:rsidRDefault="00E6212E">
      <w:pPr>
        <w:tabs>
          <w:tab w:val="left" w:pos="426"/>
        </w:tabs>
        <w:ind w:left="720" w:right="729"/>
        <w:jc w:val="both"/>
        <w:rPr>
          <w:rFonts w:ascii="Palatino Linotype" w:eastAsia="Palatino Linotype" w:hAnsi="Palatino Linotype" w:cs="Palatino Linotype"/>
          <w:i/>
          <w:color w:val="000000"/>
        </w:rPr>
      </w:pPr>
    </w:p>
    <w:p w14:paraId="48B1BCB3" w14:textId="77777777" w:rsidR="00E6212E" w:rsidRPr="002979C1" w:rsidRDefault="004046EE">
      <w:pPr>
        <w:tabs>
          <w:tab w:val="left" w:pos="426"/>
        </w:tabs>
        <w:ind w:left="720" w:right="72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w:t>
      </w:r>
    </w:p>
    <w:p w14:paraId="65A0F2CC" w14:textId="77777777" w:rsidR="00E6212E" w:rsidRPr="002979C1" w:rsidRDefault="00E6212E">
      <w:pPr>
        <w:tabs>
          <w:tab w:val="left" w:pos="426"/>
        </w:tabs>
        <w:ind w:left="720" w:right="729"/>
        <w:jc w:val="both"/>
        <w:rPr>
          <w:rFonts w:ascii="Palatino Linotype" w:eastAsia="Palatino Linotype" w:hAnsi="Palatino Linotype" w:cs="Palatino Linotype"/>
          <w:i/>
          <w:color w:val="000000"/>
        </w:rPr>
      </w:pPr>
    </w:p>
    <w:p w14:paraId="6A8F58CB" w14:textId="77777777" w:rsidR="00E6212E" w:rsidRPr="002979C1" w:rsidRDefault="004046EE">
      <w:pPr>
        <w:tabs>
          <w:tab w:val="left" w:pos="426"/>
        </w:tabs>
        <w:ind w:left="720" w:right="72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xml:space="preserve"> Si bien es cierto que la Ley de Transparencia y Acceso a la Información Pública del Estado de México, señala en su artículo 142 las circunstancias por las cuales no se podrá invocar el carácter de reservado, este no resulta aplicable al presente caso, toda vez que como se ha señalado, al momento de haber presentado la solicitud de información y de su respuesta correspondiente, no existe pronunciamiento de autoridad competente que determine  o no violaciones graves a derechos humanos que verse sobre la investigación a la cual desea tener acceso, por lo que se trata de una simple manifestación del hoy recurrente que carece de sustento legal que acredite su dicho.</w:t>
      </w:r>
    </w:p>
    <w:p w14:paraId="184E580A" w14:textId="77777777" w:rsidR="00E6212E" w:rsidRPr="002979C1" w:rsidRDefault="004046EE">
      <w:pPr>
        <w:tabs>
          <w:tab w:val="left" w:pos="426"/>
        </w:tabs>
        <w:ind w:left="720" w:right="72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xml:space="preserve"> Así mismo, la reserva de información llevada a cabo por este Sujeto Obligado, no se refiere a investigaciones de posibles violaciones graves de derechos humanos, delitos de la humanidad conforme a los tratados internacionales o información relacionada con actos de corrupción, por lo cual no resulta aplicable el citado artículo 142 de la Ley de Transparencia de la entidad, como lo pretende hacer valer el ahora recurrente.</w:t>
      </w:r>
    </w:p>
    <w:p w14:paraId="10942784" w14:textId="77777777" w:rsidR="00E6212E" w:rsidRPr="002979C1" w:rsidRDefault="00E6212E">
      <w:pPr>
        <w:tabs>
          <w:tab w:val="left" w:pos="426"/>
        </w:tabs>
        <w:ind w:left="720" w:right="729"/>
        <w:jc w:val="both"/>
        <w:rPr>
          <w:rFonts w:ascii="Palatino Linotype" w:eastAsia="Palatino Linotype" w:hAnsi="Palatino Linotype" w:cs="Palatino Linotype"/>
          <w:i/>
          <w:color w:val="000000"/>
        </w:rPr>
      </w:pPr>
    </w:p>
    <w:p w14:paraId="1EBCA90E" w14:textId="77777777" w:rsidR="00E6212E" w:rsidRPr="002979C1" w:rsidRDefault="004046EE">
      <w:pPr>
        <w:tabs>
          <w:tab w:val="left" w:pos="426"/>
        </w:tabs>
        <w:ind w:left="720" w:right="72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xml:space="preserve">Por lo anteriormente expuesto, y toda vez que este órgano público autónomo ha acreditado que atendió la solicitud de acceso a la información en términos de los artículos 6 de la Constitución Política de los Estados Unidos Mexicanos, 5 de la Constitución Política del Estado Libre y Soberano de México, 4,12, 49, fracción VII, 150 y 160 de la Ley de Transparencia y Acceso a la Información Pública del Estado de México y Municipios y de conformidad con la información que obra en sus archivos, a usted comisionada del Instituto </w:t>
      </w:r>
      <w:r w:rsidRPr="002979C1">
        <w:rPr>
          <w:rFonts w:ascii="Palatino Linotype" w:eastAsia="Palatino Linotype" w:hAnsi="Palatino Linotype" w:cs="Palatino Linotype"/>
          <w:i/>
          <w:color w:val="000000"/>
        </w:rPr>
        <w:lastRenderedPageBreak/>
        <w:t xml:space="preserve">de Transparencia, Acceso a la Información Pública y Protección de Datos Personales del Estado de México y Municipios, pido atentamente se sirva. </w:t>
      </w:r>
    </w:p>
    <w:p w14:paraId="46AE371B" w14:textId="77777777" w:rsidR="00E6212E" w:rsidRPr="002979C1" w:rsidRDefault="00E6212E">
      <w:pPr>
        <w:tabs>
          <w:tab w:val="left" w:pos="426"/>
        </w:tabs>
        <w:ind w:left="720" w:right="729"/>
        <w:jc w:val="both"/>
        <w:rPr>
          <w:rFonts w:ascii="Palatino Linotype" w:eastAsia="Palatino Linotype" w:hAnsi="Palatino Linotype" w:cs="Palatino Linotype"/>
          <w:i/>
          <w:color w:val="000000"/>
        </w:rPr>
      </w:pPr>
    </w:p>
    <w:p w14:paraId="2484E96B" w14:textId="77777777" w:rsidR="00E6212E" w:rsidRPr="002979C1" w:rsidRDefault="004046EE">
      <w:pPr>
        <w:tabs>
          <w:tab w:val="left" w:pos="426"/>
        </w:tabs>
        <w:ind w:left="720" w:right="72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xml:space="preserve">(…)  ” </w:t>
      </w:r>
    </w:p>
    <w:p w14:paraId="19FB62D9" w14:textId="77777777" w:rsidR="00E6212E" w:rsidRPr="002979C1" w:rsidRDefault="00E6212E">
      <w:pPr>
        <w:pBdr>
          <w:top w:val="nil"/>
          <w:left w:val="nil"/>
          <w:bottom w:val="nil"/>
          <w:right w:val="nil"/>
          <w:between w:val="nil"/>
        </w:pBdr>
        <w:spacing w:line="360" w:lineRule="auto"/>
        <w:ind w:left="708"/>
        <w:rPr>
          <w:rFonts w:ascii="Palatino Linotype" w:eastAsia="Palatino Linotype" w:hAnsi="Palatino Linotype" w:cs="Palatino Linotype"/>
          <w:color w:val="000000"/>
        </w:rPr>
      </w:pPr>
      <w:bookmarkStart w:id="0" w:name="_gjdgxs" w:colFirst="0" w:colLast="0"/>
      <w:bookmarkEnd w:id="0"/>
    </w:p>
    <w:p w14:paraId="5C0BE26A" w14:textId="77777777" w:rsidR="00E6212E" w:rsidRPr="002979C1" w:rsidRDefault="004046E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2979C1">
        <w:rPr>
          <w:rFonts w:ascii="Palatino Linotype" w:eastAsia="Palatino Linotype" w:hAnsi="Palatino Linotype" w:cs="Palatino Linotype"/>
          <w:b/>
          <w:color w:val="000000"/>
        </w:rPr>
        <w:t>c) Cierre de Instrucción</w:t>
      </w:r>
    </w:p>
    <w:p w14:paraId="4EF9F691" w14:textId="77777777" w:rsidR="00E6212E" w:rsidRPr="002979C1" w:rsidRDefault="004046E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Una vez analizado el estado procesal que guarda el expediente, el </w:t>
      </w:r>
      <w:r w:rsidRPr="002979C1">
        <w:rPr>
          <w:rFonts w:ascii="Palatino Linotype" w:eastAsia="Palatino Linotype" w:hAnsi="Palatino Linotype" w:cs="Palatino Linotype"/>
          <w:b/>
          <w:bCs/>
          <w:color w:val="000000"/>
        </w:rPr>
        <w:t>cuatro de mayo de dos mil veintidós</w:t>
      </w:r>
      <w:r w:rsidRPr="002979C1">
        <w:rPr>
          <w:rFonts w:ascii="Palatino Linotype" w:eastAsia="Palatino Linotype" w:hAnsi="Palatino Linotype" w:cs="Palatino Linotype"/>
          <w:color w:val="000000"/>
        </w:rPr>
        <w:t xml:space="preserve">, la </w:t>
      </w:r>
      <w:r w:rsidRPr="002979C1">
        <w:rPr>
          <w:rFonts w:ascii="Palatino Linotype" w:eastAsia="Palatino Linotype" w:hAnsi="Palatino Linotype" w:cs="Palatino Linotype"/>
          <w:b/>
          <w:color w:val="000000"/>
        </w:rPr>
        <w:t>Comisionada María del Rosario Mejía Ayala</w:t>
      </w:r>
      <w:r w:rsidRPr="002979C1">
        <w:rPr>
          <w:rFonts w:ascii="Palatino Linotype" w:eastAsia="Palatino Linotype" w:hAnsi="Palatino Linotype" w:cs="Palatino Linotype"/>
          <w:color w:val="000000"/>
        </w:rPr>
        <w:t xml:space="preserve">, acordó el cierre de instrucción; así como, la remisión </w:t>
      </w:r>
      <w:proofErr w:type="gramStart"/>
      <w:r w:rsidRPr="002979C1">
        <w:rPr>
          <w:rFonts w:ascii="Palatino Linotype" w:eastAsia="Palatino Linotype" w:hAnsi="Palatino Linotype" w:cs="Palatino Linotype"/>
          <w:color w:val="000000"/>
        </w:rPr>
        <w:t>del mismo</w:t>
      </w:r>
      <w:proofErr w:type="gramEnd"/>
      <w:r w:rsidRPr="002979C1">
        <w:rPr>
          <w:rFonts w:ascii="Palatino Linotype" w:eastAsia="Palatino Linotype" w:hAnsi="Palatino Linotype" w:cs="Palatino Linotype"/>
          <w:color w:val="000000"/>
        </w:rPr>
        <w:t xml:space="preserve"> a efecto de ser resuelto, de conformidad con lo establecido en el artículo 185, fracciones VI y VIII de la Ley de Transparencia y Acceso a la Información Pública del Estado de México y Municipios. </w:t>
      </w:r>
    </w:p>
    <w:p w14:paraId="6674EE64" w14:textId="77777777" w:rsidR="00E6212E" w:rsidRPr="002979C1" w:rsidRDefault="00E6212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sz w:val="28"/>
          <w:szCs w:val="28"/>
        </w:rPr>
      </w:pPr>
    </w:p>
    <w:p w14:paraId="2EEA6ABD" w14:textId="77777777" w:rsidR="00E6212E" w:rsidRPr="002979C1" w:rsidRDefault="004046E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2979C1">
        <w:rPr>
          <w:rFonts w:ascii="Palatino Linotype" w:eastAsia="Palatino Linotype" w:hAnsi="Palatino Linotype" w:cs="Palatino Linotype"/>
          <w:b/>
          <w:color w:val="000000"/>
        </w:rPr>
        <w:t>d) De la ampliación para resolver el Recurso de Revisión:</w:t>
      </w:r>
    </w:p>
    <w:p w14:paraId="720DAA86" w14:textId="77777777" w:rsidR="00E6212E" w:rsidRPr="002979C1" w:rsidRDefault="004046E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El </w:t>
      </w:r>
      <w:r w:rsidRPr="002979C1">
        <w:rPr>
          <w:rFonts w:ascii="Palatino Linotype" w:eastAsia="Palatino Linotype" w:hAnsi="Palatino Linotype" w:cs="Palatino Linotype"/>
          <w:b/>
          <w:bCs/>
          <w:color w:val="000000"/>
        </w:rPr>
        <w:t>cuatro de mayo de dos mil veintidós</w:t>
      </w:r>
      <w:r w:rsidRPr="002979C1">
        <w:rPr>
          <w:rFonts w:ascii="Palatino Linotype" w:eastAsia="Palatino Linotype" w:hAnsi="Palatino Linotype" w:cs="Palatino Linotype"/>
          <w:color w:val="000000"/>
        </w:rPr>
        <w:t xml:space="preserve">, la </w:t>
      </w:r>
      <w:r w:rsidRPr="002979C1">
        <w:rPr>
          <w:rFonts w:ascii="Palatino Linotype" w:eastAsia="Palatino Linotype" w:hAnsi="Palatino Linotype" w:cs="Palatino Linotype"/>
          <w:b/>
          <w:color w:val="000000"/>
        </w:rPr>
        <w:t xml:space="preserve">Comisionada María del Rosario Mejía Ayala, </w:t>
      </w:r>
      <w:r w:rsidRPr="002979C1">
        <w:rPr>
          <w:rFonts w:ascii="Palatino Linotype" w:eastAsia="Palatino Linotype" w:hAnsi="Palatino Linotype" w:cs="Palatino Linotype"/>
          <w:color w:val="000000"/>
        </w:rPr>
        <w:t xml:space="preserve">acordó </w:t>
      </w:r>
      <w:r w:rsidRPr="002979C1">
        <w:rPr>
          <w:rFonts w:ascii="Palatino Linotype" w:eastAsia="Palatino Linotype" w:hAnsi="Palatino Linotype" w:cs="Palatino Linotype"/>
          <w:b/>
          <w:color w:val="000000"/>
        </w:rPr>
        <w:t>ampliar el plazo</w:t>
      </w:r>
      <w:r w:rsidRPr="002979C1">
        <w:rPr>
          <w:rFonts w:ascii="Palatino Linotype" w:eastAsia="Palatino Linotype" w:hAnsi="Palatino Linotype" w:cs="Palatino Linotype"/>
          <w:color w:val="000000"/>
        </w:rPr>
        <w:t xml:space="preserve"> para resolver el recurso de revisión de mérito, por un periodo de hasta quince días hábiles, de conformidad con el artículo 181, tercer párrafo de la Ley de Transparencia y Acceso a la Información Pública del Estado de México y Municipios.</w:t>
      </w:r>
    </w:p>
    <w:p w14:paraId="1153DD07" w14:textId="77777777" w:rsidR="00E6212E" w:rsidRPr="002979C1" w:rsidRDefault="00E6212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sz w:val="28"/>
          <w:szCs w:val="28"/>
        </w:rPr>
      </w:pPr>
    </w:p>
    <w:p w14:paraId="5953233E" w14:textId="77777777" w:rsidR="00E6212E" w:rsidRPr="002979C1" w:rsidRDefault="004046EE">
      <w:pPr>
        <w:spacing w:line="360" w:lineRule="auto"/>
        <w:jc w:val="both"/>
        <w:rPr>
          <w:rFonts w:ascii="Palatino Linotype" w:eastAsia="Palatino Linotype" w:hAnsi="Palatino Linotype" w:cs="Palatino Linotype"/>
          <w:b/>
          <w:color w:val="000000"/>
        </w:rPr>
      </w:pPr>
      <w:r w:rsidRPr="002979C1">
        <w:rPr>
          <w:rFonts w:ascii="Palatino Linotype" w:eastAsia="Palatino Linotype" w:hAnsi="Palatino Linotype" w:cs="Palatino Linotype"/>
          <w:b/>
          <w:color w:val="000000"/>
        </w:rPr>
        <w:t xml:space="preserve">e) Del </w:t>
      </w:r>
      <w:proofErr w:type="spellStart"/>
      <w:r w:rsidRPr="002979C1">
        <w:rPr>
          <w:rFonts w:ascii="Palatino Linotype" w:eastAsia="Palatino Linotype" w:hAnsi="Palatino Linotype" w:cs="Palatino Linotype"/>
          <w:b/>
          <w:color w:val="000000"/>
        </w:rPr>
        <w:t>returno</w:t>
      </w:r>
      <w:proofErr w:type="spellEnd"/>
      <w:r w:rsidRPr="002979C1">
        <w:rPr>
          <w:rFonts w:ascii="Palatino Linotype" w:eastAsia="Palatino Linotype" w:hAnsi="Palatino Linotype" w:cs="Palatino Linotype"/>
          <w:b/>
          <w:color w:val="000000"/>
        </w:rPr>
        <w:t xml:space="preserve"> del Recurso de Revisión</w:t>
      </w:r>
    </w:p>
    <w:p w14:paraId="657BE939" w14:textId="7AEF3706" w:rsidR="00E6212E" w:rsidRPr="002979C1" w:rsidRDefault="004046E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En la Décima Séptima Sesión Ordinaria celebrada el once de mayo de dos mil veintidós, el pleno de </w:t>
      </w:r>
      <w:r w:rsidR="00286714" w:rsidRPr="002979C1">
        <w:rPr>
          <w:rFonts w:ascii="Palatino Linotype" w:eastAsia="Palatino Linotype" w:hAnsi="Palatino Linotype" w:cs="Palatino Linotype"/>
          <w:color w:val="000000"/>
        </w:rPr>
        <w:t>este</w:t>
      </w:r>
      <w:r w:rsidRPr="002979C1">
        <w:rPr>
          <w:rFonts w:ascii="Palatino Linotype" w:eastAsia="Palatino Linotype" w:hAnsi="Palatino Linotype" w:cs="Palatino Linotype"/>
          <w:color w:val="000000"/>
        </w:rPr>
        <w:t xml:space="preserve"> </w:t>
      </w:r>
      <w:proofErr w:type="gramStart"/>
      <w:r w:rsidRPr="002979C1">
        <w:rPr>
          <w:rFonts w:ascii="Palatino Linotype" w:eastAsia="Palatino Linotype" w:hAnsi="Palatino Linotype" w:cs="Palatino Linotype"/>
          <w:color w:val="000000"/>
        </w:rPr>
        <w:t>Instituto,</w:t>
      </w:r>
      <w:proofErr w:type="gramEnd"/>
      <w:r w:rsidRPr="002979C1">
        <w:rPr>
          <w:rFonts w:ascii="Palatino Linotype" w:eastAsia="Palatino Linotype" w:hAnsi="Palatino Linotype" w:cs="Palatino Linotype"/>
          <w:color w:val="000000"/>
        </w:rPr>
        <w:t xml:space="preserve"> acordó </w:t>
      </w:r>
      <w:proofErr w:type="spellStart"/>
      <w:r w:rsidRPr="002979C1">
        <w:rPr>
          <w:rFonts w:ascii="Palatino Linotype" w:eastAsia="Palatino Linotype" w:hAnsi="Palatino Linotype" w:cs="Palatino Linotype"/>
          <w:color w:val="000000"/>
        </w:rPr>
        <w:t>returnarlo</w:t>
      </w:r>
      <w:proofErr w:type="spellEnd"/>
      <w:r w:rsidRPr="002979C1">
        <w:rPr>
          <w:rFonts w:ascii="Palatino Linotype" w:eastAsia="Palatino Linotype" w:hAnsi="Palatino Linotype" w:cs="Palatino Linotype"/>
          <w:color w:val="000000"/>
        </w:rPr>
        <w:t xml:space="preserve"> a la ponencia de la suscrita, para su resolución y presentación al Pleno.</w:t>
      </w:r>
    </w:p>
    <w:p w14:paraId="5DAF1888" w14:textId="77777777" w:rsidR="00E6212E" w:rsidRPr="002979C1" w:rsidRDefault="00E6212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214CF7AB" w14:textId="77777777" w:rsidR="00E6212E" w:rsidRPr="002979C1" w:rsidRDefault="004046EE">
      <w:pPr>
        <w:jc w:val="center"/>
        <w:rPr>
          <w:rFonts w:ascii="Palatino Linotype" w:eastAsia="Palatino Linotype" w:hAnsi="Palatino Linotype" w:cs="Palatino Linotype"/>
          <w:b/>
          <w:sz w:val="28"/>
          <w:szCs w:val="28"/>
        </w:rPr>
      </w:pPr>
      <w:r w:rsidRPr="002979C1">
        <w:rPr>
          <w:rFonts w:ascii="Palatino Linotype" w:eastAsia="Palatino Linotype" w:hAnsi="Palatino Linotype" w:cs="Palatino Linotype"/>
          <w:b/>
          <w:sz w:val="28"/>
          <w:szCs w:val="28"/>
        </w:rPr>
        <w:lastRenderedPageBreak/>
        <w:t>CONSIDERANDO</w:t>
      </w:r>
    </w:p>
    <w:p w14:paraId="20C621EE" w14:textId="77777777" w:rsidR="00E6212E" w:rsidRPr="002979C1" w:rsidRDefault="00E6212E">
      <w:pPr>
        <w:jc w:val="center"/>
        <w:rPr>
          <w:rFonts w:ascii="Palatino Linotype" w:eastAsia="Palatino Linotype" w:hAnsi="Palatino Linotype" w:cs="Palatino Linotype"/>
          <w:b/>
          <w:sz w:val="28"/>
          <w:szCs w:val="28"/>
        </w:rPr>
      </w:pPr>
    </w:p>
    <w:p w14:paraId="6C1073E3" w14:textId="77777777" w:rsidR="00E6212E" w:rsidRPr="002979C1" w:rsidRDefault="004046EE">
      <w:pPr>
        <w:widowControl w:val="0"/>
        <w:tabs>
          <w:tab w:val="left" w:pos="1701"/>
        </w:tabs>
        <w:spacing w:line="360" w:lineRule="auto"/>
        <w:jc w:val="both"/>
        <w:rPr>
          <w:rFonts w:ascii="Palatino Linotype" w:eastAsia="Palatino Linotype" w:hAnsi="Palatino Linotype" w:cs="Palatino Linotype"/>
        </w:rPr>
      </w:pPr>
      <w:r w:rsidRPr="002979C1">
        <w:rPr>
          <w:rFonts w:ascii="Palatino Linotype" w:eastAsia="Palatino Linotype" w:hAnsi="Palatino Linotype" w:cs="Palatino Linotype"/>
          <w:b/>
          <w:sz w:val="28"/>
          <w:szCs w:val="28"/>
        </w:rPr>
        <w:t>PRIMERO.</w:t>
      </w:r>
      <w:r w:rsidRPr="002979C1">
        <w:rPr>
          <w:rFonts w:ascii="Palatino Linotype" w:eastAsia="Palatino Linotype" w:hAnsi="Palatino Linotype" w:cs="Palatino Linotype"/>
          <w:b/>
        </w:rPr>
        <w:t xml:space="preserve"> Competencia</w:t>
      </w:r>
      <w:r w:rsidRPr="002979C1">
        <w:rPr>
          <w:rFonts w:ascii="Palatino Linotype" w:eastAsia="Palatino Linotype" w:hAnsi="Palatino Linotype" w:cs="Palatino Linotype"/>
        </w:rPr>
        <w:t>.</w:t>
      </w:r>
      <w:r w:rsidRPr="002979C1">
        <w:rPr>
          <w:rFonts w:ascii="Palatino Linotype" w:eastAsia="Palatino Linotype" w:hAnsi="Palatino Linotype" w:cs="Palatino Linotype"/>
          <w:b/>
        </w:rPr>
        <w:t xml:space="preserve"> </w:t>
      </w:r>
    </w:p>
    <w:p w14:paraId="4E3AAFCB" w14:textId="77777777" w:rsidR="00E6212E" w:rsidRPr="002979C1" w:rsidRDefault="004046EE">
      <w:pPr>
        <w:widowControl w:val="0"/>
        <w:tabs>
          <w:tab w:val="left" w:pos="1701"/>
        </w:tabs>
        <w:spacing w:line="360" w:lineRule="auto"/>
        <w:jc w:val="both"/>
        <w:rPr>
          <w:rFonts w:ascii="Palatino Linotype" w:eastAsia="Palatino Linotype" w:hAnsi="Palatino Linotype" w:cs="Palatino Linotype"/>
        </w:rPr>
      </w:pPr>
      <w:bookmarkStart w:id="1" w:name="_30j0zll" w:colFirst="0" w:colLast="0"/>
      <w:bookmarkEnd w:id="1"/>
      <w:r w:rsidRPr="002979C1">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C76E0FA" w14:textId="77777777" w:rsidR="00E6212E" w:rsidRPr="002979C1" w:rsidRDefault="00E6212E">
      <w:pPr>
        <w:widowControl w:val="0"/>
        <w:tabs>
          <w:tab w:val="left" w:pos="1701"/>
          <w:tab w:val="left" w:pos="2977"/>
        </w:tabs>
        <w:spacing w:line="360" w:lineRule="auto"/>
        <w:jc w:val="both"/>
        <w:rPr>
          <w:rFonts w:ascii="Palatino Linotype" w:eastAsia="Palatino Linotype" w:hAnsi="Palatino Linotype" w:cs="Palatino Linotype"/>
        </w:rPr>
      </w:pPr>
    </w:p>
    <w:p w14:paraId="37A1B5AE" w14:textId="77777777" w:rsidR="00E6212E" w:rsidRPr="002979C1" w:rsidRDefault="004046EE">
      <w:pPr>
        <w:spacing w:line="360" w:lineRule="auto"/>
        <w:jc w:val="both"/>
        <w:rPr>
          <w:rFonts w:ascii="Palatino Linotype" w:eastAsia="Palatino Linotype" w:hAnsi="Palatino Linotype" w:cs="Palatino Linotype"/>
          <w:b/>
        </w:rPr>
      </w:pPr>
      <w:r w:rsidRPr="002979C1">
        <w:rPr>
          <w:rFonts w:ascii="Palatino Linotype" w:eastAsia="Palatino Linotype" w:hAnsi="Palatino Linotype" w:cs="Palatino Linotype"/>
          <w:b/>
          <w:sz w:val="28"/>
          <w:szCs w:val="28"/>
        </w:rPr>
        <w:t>SEGUNDO</w:t>
      </w:r>
      <w:r w:rsidRPr="002979C1">
        <w:rPr>
          <w:rFonts w:ascii="Palatino Linotype" w:eastAsia="Palatino Linotype" w:hAnsi="Palatino Linotype" w:cs="Palatino Linotype"/>
          <w:b/>
        </w:rPr>
        <w:t xml:space="preserve">. Interés. </w:t>
      </w:r>
    </w:p>
    <w:p w14:paraId="51C3AC67" w14:textId="22310089" w:rsidR="00E6212E" w:rsidRPr="002979C1" w:rsidRDefault="004046EE">
      <w:pPr>
        <w:spacing w:line="360" w:lineRule="auto"/>
        <w:jc w:val="both"/>
        <w:rPr>
          <w:rFonts w:ascii="Palatino Linotype" w:eastAsia="Palatino Linotype" w:hAnsi="Palatino Linotype" w:cs="Palatino Linotype"/>
          <w:b/>
        </w:rPr>
      </w:pPr>
      <w:r w:rsidRPr="002979C1">
        <w:rPr>
          <w:rFonts w:ascii="Palatino Linotype" w:eastAsia="Palatino Linotype" w:hAnsi="Palatino Linotype" w:cs="Palatino Linotype"/>
        </w:rPr>
        <w:t xml:space="preserve">El recurso de revisión fue interpuesto por parte legítima, en atención a que se presentó por </w:t>
      </w:r>
      <w:r w:rsidR="00DA19B9" w:rsidRPr="002979C1">
        <w:rPr>
          <w:rFonts w:ascii="Palatino Linotype" w:eastAsia="Palatino Linotype" w:hAnsi="Palatino Linotype" w:cs="Palatino Linotype"/>
          <w:b/>
        </w:rPr>
        <w:t>EL</w:t>
      </w:r>
      <w:r w:rsidRPr="002979C1">
        <w:rPr>
          <w:rFonts w:ascii="Palatino Linotype" w:eastAsia="Palatino Linotype" w:hAnsi="Palatino Linotype" w:cs="Palatino Linotype"/>
          <w:b/>
        </w:rPr>
        <w:t xml:space="preserve"> RECURRENTE,</w:t>
      </w:r>
      <w:r w:rsidRPr="002979C1">
        <w:rPr>
          <w:rFonts w:ascii="Palatino Linotype" w:eastAsia="Palatino Linotype" w:hAnsi="Palatino Linotype" w:cs="Palatino Linotype"/>
        </w:rPr>
        <w:t xml:space="preserve"> quien es la misma persona que formuló la solicitud de acceso a la información pública al </w:t>
      </w:r>
      <w:r w:rsidRPr="002979C1">
        <w:rPr>
          <w:rFonts w:ascii="Palatino Linotype" w:eastAsia="Palatino Linotype" w:hAnsi="Palatino Linotype" w:cs="Palatino Linotype"/>
          <w:b/>
        </w:rPr>
        <w:t>SUJETO OBLIGADO.</w:t>
      </w:r>
    </w:p>
    <w:p w14:paraId="5AB9BD3D" w14:textId="77777777" w:rsidR="00E6212E" w:rsidRPr="002979C1" w:rsidRDefault="00E6212E">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229DB47D" w14:textId="77777777" w:rsidR="00E6212E" w:rsidRPr="002979C1" w:rsidRDefault="004046EE">
      <w:pPr>
        <w:tabs>
          <w:tab w:val="center" w:pos="4252"/>
          <w:tab w:val="right" w:pos="8504"/>
        </w:tabs>
        <w:spacing w:line="360" w:lineRule="auto"/>
        <w:ind w:left="-57"/>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b/>
          <w:sz w:val="28"/>
          <w:szCs w:val="28"/>
        </w:rPr>
        <w:t>TERCERO.</w:t>
      </w:r>
      <w:r w:rsidRPr="002979C1">
        <w:rPr>
          <w:rFonts w:ascii="Palatino Linotype" w:eastAsia="Palatino Linotype" w:hAnsi="Palatino Linotype" w:cs="Palatino Linotype"/>
          <w:b/>
          <w:color w:val="000000"/>
        </w:rPr>
        <w:t xml:space="preserve"> Oportunidad</w:t>
      </w:r>
      <w:r w:rsidRPr="002979C1">
        <w:rPr>
          <w:rFonts w:ascii="Palatino Linotype" w:eastAsia="Palatino Linotype" w:hAnsi="Palatino Linotype" w:cs="Palatino Linotype"/>
          <w:color w:val="000000"/>
        </w:rPr>
        <w:t xml:space="preserve">. </w:t>
      </w:r>
    </w:p>
    <w:p w14:paraId="1721E565" w14:textId="77777777" w:rsidR="00E6212E" w:rsidRPr="002979C1" w:rsidRDefault="004046EE">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2979C1">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2979C1">
        <w:rPr>
          <w:rFonts w:ascii="Palatino Linotype" w:eastAsia="Palatino Linotype" w:hAnsi="Palatino Linotype" w:cs="Palatino Linotype"/>
          <w:b/>
          <w:color w:val="000000"/>
        </w:rPr>
        <w:t xml:space="preserve">EL RECURRENTE </w:t>
      </w:r>
      <w:r w:rsidRPr="002979C1">
        <w:rPr>
          <w:rFonts w:ascii="Palatino Linotype" w:eastAsia="Palatino Linotype" w:hAnsi="Palatino Linotype" w:cs="Palatino Linotype"/>
          <w:color w:val="000000"/>
        </w:rPr>
        <w:t xml:space="preserve">tuvo conocimiento de </w:t>
      </w:r>
      <w:r w:rsidRPr="002979C1">
        <w:rPr>
          <w:rFonts w:ascii="Palatino Linotype" w:eastAsia="Palatino Linotype" w:hAnsi="Palatino Linotype" w:cs="Palatino Linotype"/>
          <w:color w:val="000000"/>
        </w:rPr>
        <w:lastRenderedPageBreak/>
        <w:t>la respuesta impugnada; tal y como, lo prevé el artículo 178 de la Ley de Transparencia y Acceso a la Información Pública del Estado de México y Municipios, que establece:</w:t>
      </w:r>
    </w:p>
    <w:p w14:paraId="0A6A2032" w14:textId="77777777" w:rsidR="00E6212E" w:rsidRPr="002979C1" w:rsidRDefault="00E6212E">
      <w:pPr>
        <w:ind w:left="720" w:right="709"/>
        <w:jc w:val="both"/>
        <w:rPr>
          <w:rFonts w:ascii="Palatino Linotype" w:eastAsia="Palatino Linotype" w:hAnsi="Palatino Linotype" w:cs="Palatino Linotype"/>
          <w:i/>
          <w:sz w:val="22"/>
          <w:szCs w:val="22"/>
        </w:rPr>
      </w:pPr>
    </w:p>
    <w:p w14:paraId="2461E31A" w14:textId="77777777" w:rsidR="00E6212E" w:rsidRPr="002979C1" w:rsidRDefault="004046EE">
      <w:pPr>
        <w:ind w:left="851"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w:t>
      </w:r>
      <w:r w:rsidRPr="002979C1">
        <w:rPr>
          <w:rFonts w:ascii="Palatino Linotype" w:eastAsia="Palatino Linotype" w:hAnsi="Palatino Linotype" w:cs="Palatino Linotype"/>
          <w:b/>
          <w:i/>
          <w:sz w:val="22"/>
          <w:szCs w:val="22"/>
        </w:rPr>
        <w:t>Artículo 178.</w:t>
      </w:r>
      <w:r w:rsidRPr="002979C1">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2141E" w14:textId="77777777" w:rsidR="00E6212E" w:rsidRPr="002979C1" w:rsidRDefault="00E6212E">
      <w:pPr>
        <w:ind w:left="851" w:right="899"/>
        <w:jc w:val="both"/>
        <w:rPr>
          <w:rFonts w:ascii="Palatino Linotype" w:eastAsia="Palatino Linotype" w:hAnsi="Palatino Linotype" w:cs="Palatino Linotype"/>
          <w:i/>
          <w:sz w:val="22"/>
          <w:szCs w:val="22"/>
        </w:rPr>
      </w:pPr>
    </w:p>
    <w:p w14:paraId="19DA9B2B" w14:textId="77777777" w:rsidR="00E6212E" w:rsidRPr="002979C1" w:rsidRDefault="004046EE">
      <w:pPr>
        <w:ind w:left="851"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27F730C" w14:textId="77777777" w:rsidR="00E6212E" w:rsidRPr="002979C1" w:rsidRDefault="00E6212E">
      <w:pPr>
        <w:ind w:left="851" w:right="899"/>
        <w:jc w:val="both"/>
        <w:rPr>
          <w:rFonts w:ascii="Palatino Linotype" w:eastAsia="Palatino Linotype" w:hAnsi="Palatino Linotype" w:cs="Palatino Linotype"/>
          <w:i/>
          <w:sz w:val="22"/>
          <w:szCs w:val="22"/>
        </w:rPr>
      </w:pPr>
    </w:p>
    <w:p w14:paraId="1E6D7691" w14:textId="77777777" w:rsidR="00E6212E" w:rsidRPr="002979C1" w:rsidRDefault="004046EE">
      <w:pPr>
        <w:ind w:left="851"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686A5F08" w14:textId="77777777" w:rsidR="00E6212E" w:rsidRPr="002979C1" w:rsidRDefault="00E6212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3CCA540" w14:textId="77777777" w:rsidR="00E6212E" w:rsidRPr="002979C1" w:rsidRDefault="004046EE">
      <w:pPr>
        <w:spacing w:line="360" w:lineRule="auto"/>
        <w:jc w:val="both"/>
        <w:rPr>
          <w:rFonts w:ascii="Palatino Linotype" w:eastAsia="Palatino Linotype" w:hAnsi="Palatino Linotype" w:cs="Palatino Linotype"/>
        </w:rPr>
      </w:pPr>
      <w:r w:rsidRPr="002979C1">
        <w:rPr>
          <w:rFonts w:ascii="Palatino Linotype" w:eastAsia="Palatino Linotype" w:hAnsi="Palatino Linotype" w:cs="Palatino Linotype"/>
        </w:rPr>
        <w:t xml:space="preserve">En esa tesitura, atendiendo a que </w:t>
      </w:r>
      <w:r w:rsidRPr="002979C1">
        <w:rPr>
          <w:rFonts w:ascii="Palatino Linotype" w:eastAsia="Palatino Linotype" w:hAnsi="Palatino Linotype" w:cs="Palatino Linotype"/>
          <w:b/>
        </w:rPr>
        <w:t>EL SUJETO OBLIGADO</w:t>
      </w:r>
      <w:r w:rsidRPr="002979C1">
        <w:rPr>
          <w:rFonts w:ascii="Palatino Linotype" w:eastAsia="Palatino Linotype" w:hAnsi="Palatino Linotype" w:cs="Palatino Linotype"/>
        </w:rPr>
        <w:t xml:space="preserve"> notificó la respuesta a la solicitud de acceso a la información pública el </w:t>
      </w:r>
      <w:r w:rsidRPr="002979C1">
        <w:rPr>
          <w:rFonts w:ascii="Palatino Linotype" w:eastAsia="Palatino Linotype" w:hAnsi="Palatino Linotype" w:cs="Palatino Linotype"/>
          <w:b/>
        </w:rPr>
        <w:t>día tres de diciembre de dos mil veintiuno</w:t>
      </w:r>
      <w:r w:rsidRPr="002979C1">
        <w:rPr>
          <w:rFonts w:ascii="Palatino Linotype" w:eastAsia="Palatino Linotype" w:hAnsi="Palatino Linotype" w:cs="Palatino Linotype"/>
        </w:rPr>
        <w:t>; así, el plazo de quince días hábiles que el artículo 178 de la Ley de la materia otorga al</w:t>
      </w:r>
      <w:r w:rsidRPr="002979C1">
        <w:rPr>
          <w:rFonts w:ascii="Palatino Linotype" w:eastAsia="Palatino Linotype" w:hAnsi="Palatino Linotype" w:cs="Palatino Linotype"/>
          <w:b/>
        </w:rPr>
        <w:t xml:space="preserve"> RECURRENTE</w:t>
      </w:r>
      <w:r w:rsidRPr="002979C1">
        <w:rPr>
          <w:rFonts w:ascii="Palatino Linotype" w:eastAsia="Palatino Linotype" w:hAnsi="Palatino Linotype" w:cs="Palatino Linotype"/>
        </w:rPr>
        <w:t xml:space="preserve"> para presentar el respectivo recurso de revisión, transcurrió del </w:t>
      </w:r>
      <w:r w:rsidRPr="002979C1">
        <w:rPr>
          <w:rFonts w:ascii="Palatino Linotype" w:eastAsia="Palatino Linotype" w:hAnsi="Palatino Linotype" w:cs="Palatino Linotype"/>
          <w:b/>
        </w:rPr>
        <w:t>seis de diciembre de dos mil veintiuno al once de enero de dos mil veintidós</w:t>
      </w:r>
      <w:r w:rsidRPr="002979C1">
        <w:rPr>
          <w:rFonts w:ascii="Palatino Linotype" w:eastAsia="Palatino Linotype" w:hAnsi="Palatino Linotype" w:cs="Palatino Linotype"/>
        </w:rPr>
        <w:t xml:space="preserve">, sin contemplar en el cómputo los días quince, dieciséis, veintidós, veintitrés, veintinueve y treinta de enero de dos mil veintidós, por corresponder a sábados y domingos, considerados como días inhábiles, en términos del artículo 3, fracción X de la Ley de Transparencia y Acceso a la Información Pública del Estado de México y Municipios. </w:t>
      </w:r>
    </w:p>
    <w:p w14:paraId="6CEC5EF1" w14:textId="77777777" w:rsidR="00E6212E" w:rsidRPr="002979C1" w:rsidRDefault="00E6212E">
      <w:pPr>
        <w:spacing w:line="360" w:lineRule="auto"/>
        <w:jc w:val="both"/>
        <w:rPr>
          <w:rFonts w:ascii="Palatino Linotype" w:eastAsia="Palatino Linotype" w:hAnsi="Palatino Linotype" w:cs="Palatino Linotype"/>
        </w:rPr>
      </w:pPr>
      <w:bookmarkStart w:id="2" w:name="_1fob9te" w:colFirst="0" w:colLast="0"/>
      <w:bookmarkEnd w:id="2"/>
    </w:p>
    <w:p w14:paraId="43032376" w14:textId="77777777" w:rsidR="00E6212E" w:rsidRPr="002979C1" w:rsidRDefault="004046EE">
      <w:pPr>
        <w:spacing w:line="360" w:lineRule="auto"/>
        <w:jc w:val="both"/>
        <w:rPr>
          <w:rFonts w:ascii="Palatino Linotype" w:eastAsia="Palatino Linotype" w:hAnsi="Palatino Linotype" w:cs="Palatino Linotype"/>
        </w:rPr>
      </w:pPr>
      <w:bookmarkStart w:id="3" w:name="_3znysh7" w:colFirst="0" w:colLast="0"/>
      <w:bookmarkEnd w:id="3"/>
      <w:r w:rsidRPr="002979C1">
        <w:rPr>
          <w:rFonts w:ascii="Palatino Linotype" w:eastAsia="Palatino Linotype" w:hAnsi="Palatino Linotype" w:cs="Palatino Linotype"/>
        </w:rPr>
        <w:t>En ese tenor, si el recurso de revisión que nos ocupa, se interpuso el</w:t>
      </w:r>
      <w:r w:rsidRPr="002979C1">
        <w:rPr>
          <w:rFonts w:ascii="Palatino Linotype" w:eastAsia="Palatino Linotype" w:hAnsi="Palatino Linotype" w:cs="Palatino Linotype"/>
          <w:b/>
        </w:rPr>
        <w:t xml:space="preserve"> veinte de diciembre de dos mil veintiuno,</w:t>
      </w:r>
      <w:r w:rsidRPr="002979C1">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6A742C86" w14:textId="77777777" w:rsidR="00E6212E" w:rsidRPr="002979C1" w:rsidRDefault="00E6212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05DCF589" w14:textId="77777777" w:rsidR="00E6212E" w:rsidRPr="002979C1" w:rsidRDefault="004046EE">
      <w:pPr>
        <w:spacing w:line="360" w:lineRule="auto"/>
        <w:ind w:right="49"/>
        <w:jc w:val="both"/>
        <w:rPr>
          <w:rFonts w:ascii="Palatino Linotype" w:eastAsia="Palatino Linotype" w:hAnsi="Palatino Linotype" w:cs="Palatino Linotype"/>
          <w:b/>
        </w:rPr>
      </w:pPr>
      <w:r w:rsidRPr="002979C1">
        <w:rPr>
          <w:rFonts w:ascii="Palatino Linotype" w:eastAsia="Palatino Linotype" w:hAnsi="Palatino Linotype" w:cs="Palatino Linotype"/>
          <w:b/>
          <w:sz w:val="28"/>
          <w:szCs w:val="28"/>
        </w:rPr>
        <w:t>CUARTO</w:t>
      </w:r>
      <w:r w:rsidRPr="002979C1">
        <w:rPr>
          <w:rFonts w:ascii="Palatino Linotype" w:eastAsia="Palatino Linotype" w:hAnsi="Palatino Linotype" w:cs="Palatino Linotype"/>
          <w:b/>
        </w:rPr>
        <w:t xml:space="preserve">. Procedibilidad. </w:t>
      </w:r>
    </w:p>
    <w:p w14:paraId="08C44EFB" w14:textId="77777777" w:rsidR="00E6212E" w:rsidRPr="002979C1" w:rsidRDefault="004046EE">
      <w:pPr>
        <w:spacing w:line="360" w:lineRule="auto"/>
        <w:ind w:right="49"/>
        <w:jc w:val="both"/>
        <w:rPr>
          <w:rFonts w:ascii="Palatino Linotype" w:eastAsia="Palatino Linotype" w:hAnsi="Palatino Linotype" w:cs="Palatino Linotype"/>
          <w:b/>
        </w:rPr>
      </w:pPr>
      <w:r w:rsidRPr="002979C1">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sidRPr="002979C1">
        <w:rPr>
          <w:rFonts w:ascii="Palatino Linotype" w:eastAsia="Palatino Linotype" w:hAnsi="Palatino Linotype" w:cs="Palatino Linotype"/>
          <w:b/>
        </w:rPr>
        <w:t>EL SAIMEX.</w:t>
      </w:r>
    </w:p>
    <w:p w14:paraId="6E16AE39" w14:textId="77777777" w:rsidR="00E6212E" w:rsidRPr="002979C1" w:rsidRDefault="00E6212E">
      <w:pPr>
        <w:spacing w:line="360" w:lineRule="auto"/>
        <w:jc w:val="both"/>
        <w:rPr>
          <w:rFonts w:ascii="Palatino Linotype" w:eastAsia="Palatino Linotype" w:hAnsi="Palatino Linotype" w:cs="Palatino Linotype"/>
        </w:rPr>
      </w:pPr>
    </w:p>
    <w:p w14:paraId="7726C600" w14:textId="77777777" w:rsidR="00E6212E" w:rsidRPr="002979C1" w:rsidRDefault="004046EE">
      <w:pPr>
        <w:spacing w:line="360" w:lineRule="auto"/>
        <w:jc w:val="both"/>
        <w:rPr>
          <w:rFonts w:ascii="Palatino Linotype" w:eastAsia="Palatino Linotype" w:hAnsi="Palatino Linotype" w:cs="Palatino Linotype"/>
          <w:b/>
        </w:rPr>
      </w:pPr>
      <w:r w:rsidRPr="002979C1">
        <w:rPr>
          <w:rFonts w:ascii="Palatino Linotype" w:eastAsia="Palatino Linotype" w:hAnsi="Palatino Linotype" w:cs="Palatino Linotype"/>
          <w:b/>
          <w:sz w:val="28"/>
          <w:szCs w:val="28"/>
        </w:rPr>
        <w:t>QUINTO</w:t>
      </w:r>
      <w:r w:rsidRPr="002979C1">
        <w:rPr>
          <w:rFonts w:ascii="Palatino Linotype" w:eastAsia="Palatino Linotype" w:hAnsi="Palatino Linotype" w:cs="Palatino Linotype"/>
          <w:b/>
        </w:rPr>
        <w:t xml:space="preserve">. Estudio y resolución del asunto. </w:t>
      </w:r>
    </w:p>
    <w:p w14:paraId="2586F399" w14:textId="77777777" w:rsidR="00E6212E" w:rsidRPr="002979C1" w:rsidRDefault="004046EE">
      <w:pPr>
        <w:spacing w:line="360" w:lineRule="auto"/>
        <w:jc w:val="both"/>
        <w:rPr>
          <w:rFonts w:ascii="Palatino Linotype" w:eastAsia="Palatino Linotype" w:hAnsi="Palatino Linotype" w:cs="Palatino Linotype"/>
        </w:rPr>
      </w:pPr>
      <w:r w:rsidRPr="002979C1">
        <w:rPr>
          <w:rFonts w:ascii="Palatino Linotype" w:eastAsia="Palatino Linotype" w:hAnsi="Palatino Linotype" w:cs="Palatino Linotype"/>
        </w:rPr>
        <w:t xml:space="preserve">Del análisis efectuado, el presente recurso de revisión es procedente, pues se actualiza la hipótesis prevista en la fracción II, del artículo 179 de la Ley de la materia, el cual a la letra dice: </w:t>
      </w:r>
    </w:p>
    <w:p w14:paraId="453C0953" w14:textId="77777777" w:rsidR="00E6212E" w:rsidRPr="002979C1" w:rsidRDefault="00E6212E">
      <w:pPr>
        <w:spacing w:line="360" w:lineRule="auto"/>
        <w:jc w:val="both"/>
        <w:rPr>
          <w:rFonts w:ascii="Palatino Linotype" w:eastAsia="Palatino Linotype" w:hAnsi="Palatino Linotype" w:cs="Palatino Linotype"/>
        </w:rPr>
      </w:pPr>
    </w:p>
    <w:p w14:paraId="2B3E9FB4" w14:textId="77777777" w:rsidR="00E6212E" w:rsidRPr="002979C1" w:rsidRDefault="004046EE">
      <w:pPr>
        <w:spacing w:line="360" w:lineRule="auto"/>
        <w:ind w:left="851" w:right="901"/>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w:t>
      </w:r>
      <w:r w:rsidRPr="002979C1">
        <w:rPr>
          <w:rFonts w:ascii="Palatino Linotype" w:eastAsia="Palatino Linotype" w:hAnsi="Palatino Linotype" w:cs="Palatino Linotype"/>
          <w:b/>
          <w:i/>
          <w:sz w:val="22"/>
          <w:szCs w:val="22"/>
        </w:rPr>
        <w:t>Artículo 179.</w:t>
      </w:r>
      <w:r w:rsidRPr="002979C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C817B1C" w14:textId="77777777" w:rsidR="00E6212E" w:rsidRPr="002979C1" w:rsidRDefault="004046EE">
      <w:pPr>
        <w:spacing w:line="360" w:lineRule="auto"/>
        <w:ind w:left="851" w:right="901"/>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w:t>
      </w:r>
    </w:p>
    <w:p w14:paraId="2E5C95EC" w14:textId="77777777" w:rsidR="00E6212E" w:rsidRPr="002979C1" w:rsidRDefault="004046EE">
      <w:pPr>
        <w:spacing w:line="360" w:lineRule="auto"/>
        <w:ind w:left="851" w:right="901"/>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b/>
          <w:i/>
          <w:sz w:val="22"/>
          <w:szCs w:val="22"/>
        </w:rPr>
        <w:t>II. La clasificación de información;”</w:t>
      </w:r>
    </w:p>
    <w:p w14:paraId="30F053C7" w14:textId="77777777" w:rsidR="00E6212E" w:rsidRPr="002979C1" w:rsidRDefault="004046EE">
      <w:pPr>
        <w:spacing w:line="360" w:lineRule="auto"/>
        <w:ind w:left="851" w:right="901"/>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(Énfasis añadido)</w:t>
      </w:r>
    </w:p>
    <w:p w14:paraId="0ECAD95B" w14:textId="77777777" w:rsidR="00E6212E" w:rsidRPr="002979C1" w:rsidRDefault="00E6212E"/>
    <w:p w14:paraId="1701264B" w14:textId="1D5BE9A5" w:rsidR="00E6212E" w:rsidRPr="002979C1" w:rsidRDefault="004046EE">
      <w:pPr>
        <w:spacing w:line="360" w:lineRule="auto"/>
        <w:ind w:right="4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rPr>
        <w:t xml:space="preserve">El precepto legal antes citado, establece como supuesto de procedencia del recurso de revisión, cuando </w:t>
      </w:r>
      <w:r w:rsidRPr="002979C1">
        <w:rPr>
          <w:rFonts w:ascii="Palatino Linotype" w:eastAsia="Palatino Linotype" w:hAnsi="Palatino Linotype" w:cs="Palatino Linotype"/>
          <w:b/>
        </w:rPr>
        <w:t xml:space="preserve">EL SUJETO </w:t>
      </w:r>
      <w:r w:rsidR="00286714" w:rsidRPr="002979C1">
        <w:rPr>
          <w:rFonts w:ascii="Palatino Linotype" w:eastAsia="Palatino Linotype" w:hAnsi="Palatino Linotype" w:cs="Palatino Linotype"/>
          <w:b/>
        </w:rPr>
        <w:t>OBLIGADO</w:t>
      </w:r>
      <w:r w:rsidR="00286714" w:rsidRPr="002979C1">
        <w:rPr>
          <w:rFonts w:ascii="Palatino Linotype" w:eastAsia="Palatino Linotype" w:hAnsi="Palatino Linotype" w:cs="Palatino Linotype"/>
        </w:rPr>
        <w:t>, reserva</w:t>
      </w:r>
      <w:r w:rsidRPr="002979C1">
        <w:rPr>
          <w:rFonts w:ascii="Palatino Linotype" w:eastAsia="Palatino Linotype" w:hAnsi="Palatino Linotype" w:cs="Palatino Linotype"/>
        </w:rPr>
        <w:t xml:space="preserve"> la entrega de información solicitada, que en el caso particular lo es, en atención a la determinación de clasificación de la información solicitada; sin embargo, </w:t>
      </w:r>
      <w:r w:rsidRPr="002979C1">
        <w:rPr>
          <w:rFonts w:ascii="Palatino Linotype" w:eastAsia="Palatino Linotype" w:hAnsi="Palatino Linotype" w:cs="Palatino Linotype"/>
          <w:color w:val="000000"/>
        </w:rPr>
        <w:t>para efectos de mejor estudio y comprensión, conviene recordar los antecedentes en su parte medular, pues, los rubros solicitados por el peticionario en su solicitud primigenia son los siguientes:</w:t>
      </w:r>
    </w:p>
    <w:p w14:paraId="2226C17F" w14:textId="77777777" w:rsidR="00E6212E" w:rsidRPr="002979C1" w:rsidRDefault="00E6212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43D9EC18" w14:textId="0886B4FF" w:rsidR="00E6212E" w:rsidRPr="002979C1" w:rsidRDefault="004046EE">
      <w:pPr>
        <w:spacing w:line="360" w:lineRule="auto"/>
        <w:jc w:val="both"/>
        <w:rPr>
          <w:rFonts w:ascii="Palatino Linotype" w:eastAsia="Palatino Linotype" w:hAnsi="Palatino Linotype" w:cs="Palatino Linotype"/>
          <w:b/>
          <w:color w:val="000000"/>
        </w:rPr>
      </w:pPr>
      <w:r w:rsidRPr="002979C1">
        <w:rPr>
          <w:rFonts w:ascii="Palatino Linotype" w:eastAsia="Palatino Linotype" w:hAnsi="Palatino Linotype" w:cs="Palatino Linotype"/>
          <w:color w:val="000000"/>
        </w:rPr>
        <w:t xml:space="preserve">Se advierten pronunciamientos de naturaleza subjetiva y otros </w:t>
      </w:r>
      <w:r w:rsidR="00286714" w:rsidRPr="002979C1">
        <w:rPr>
          <w:rFonts w:ascii="Palatino Linotype" w:eastAsia="Palatino Linotype" w:hAnsi="Palatino Linotype" w:cs="Palatino Linotype"/>
          <w:color w:val="000000"/>
        </w:rPr>
        <w:t>que,</w:t>
      </w:r>
      <w:r w:rsidRPr="002979C1">
        <w:rPr>
          <w:rFonts w:ascii="Palatino Linotype" w:eastAsia="Palatino Linotype" w:hAnsi="Palatino Linotype" w:cs="Palatino Linotype"/>
          <w:color w:val="000000"/>
        </w:rPr>
        <w:t xml:space="preserve"> si se pueden atender por esta vía, como a continuación se analiza</w:t>
      </w:r>
      <w:r w:rsidRPr="002979C1">
        <w:rPr>
          <w:rFonts w:ascii="Palatino Linotype" w:eastAsia="Palatino Linotype" w:hAnsi="Palatino Linotype" w:cs="Palatino Linotype"/>
          <w:b/>
          <w:color w:val="000000"/>
        </w:rPr>
        <w:t xml:space="preserve">: </w:t>
      </w:r>
    </w:p>
    <w:p w14:paraId="1A432F16" w14:textId="77777777" w:rsidR="00E6212E" w:rsidRPr="002979C1" w:rsidRDefault="00E6212E">
      <w:pPr>
        <w:spacing w:line="360" w:lineRule="auto"/>
        <w:jc w:val="both"/>
        <w:rPr>
          <w:rFonts w:ascii="Palatino Linotype" w:eastAsia="Palatino Linotype" w:hAnsi="Palatino Linotype" w:cs="Palatino Linotype"/>
          <w:b/>
          <w:color w:val="000000"/>
        </w:rPr>
      </w:pPr>
    </w:p>
    <w:p w14:paraId="1E7214B8" w14:textId="006CFE79" w:rsidR="00E6212E" w:rsidRPr="002979C1" w:rsidRDefault="004046EE">
      <w:pPr>
        <w:numPr>
          <w:ilvl w:val="0"/>
          <w:numId w:val="7"/>
        </w:numPr>
        <w:pBdr>
          <w:top w:val="nil"/>
          <w:left w:val="nil"/>
          <w:bottom w:val="nil"/>
          <w:right w:val="nil"/>
          <w:between w:val="nil"/>
        </w:pBdr>
        <w:ind w:right="567"/>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xml:space="preserve">“SOLICITO LOS DICTÁMENES PERICIALES DEL ACTOR </w:t>
      </w:r>
      <w:r w:rsidR="006163AD">
        <w:rPr>
          <w:rFonts w:ascii="Palatino Linotype" w:eastAsia="Palatino Linotype" w:hAnsi="Palatino Linotype" w:cs="Palatino Linotype"/>
          <w:i/>
          <w:color w:val="000000"/>
        </w:rPr>
        <w:t>XXXXXXX XXXXX</w:t>
      </w:r>
      <w:r w:rsidRPr="002979C1">
        <w:rPr>
          <w:rFonts w:ascii="Palatino Linotype" w:eastAsia="Palatino Linotype" w:hAnsi="Palatino Linotype" w:cs="Palatino Linotype"/>
          <w:i/>
          <w:color w:val="000000"/>
        </w:rPr>
        <w:t xml:space="preserve"> MEJOR CONOCIDO COMO "</w:t>
      </w:r>
      <w:r w:rsidR="006163AD">
        <w:rPr>
          <w:rFonts w:ascii="Palatino Linotype" w:eastAsia="Palatino Linotype" w:hAnsi="Palatino Linotype" w:cs="Palatino Linotype"/>
          <w:i/>
          <w:color w:val="000000"/>
        </w:rPr>
        <w:t>XXXXXX</w:t>
      </w:r>
      <w:r w:rsidRPr="002979C1">
        <w:rPr>
          <w:rFonts w:ascii="Palatino Linotype" w:eastAsia="Palatino Linotype" w:hAnsi="Palatino Linotype" w:cs="Palatino Linotype"/>
          <w:i/>
          <w:color w:val="000000"/>
        </w:rPr>
        <w:t>" QUE FALLECIÓ TRAS UNA PERSECUCIÓN EL PASADO VIERNES 29 DE OCTUBRE DE 2021 EN LA AUTOPISTA CHAMAPA - LECHERÍA, COLONIA PRADOS IZTACALA, ATIZAPÁN DE ZARAGOZA</w:t>
      </w:r>
      <w:r w:rsidR="00286714" w:rsidRPr="002979C1">
        <w:rPr>
          <w:rFonts w:ascii="Palatino Linotype" w:eastAsia="Palatino Linotype" w:hAnsi="Palatino Linotype" w:cs="Palatino Linotype"/>
          <w:i/>
          <w:color w:val="000000"/>
        </w:rPr>
        <w:t>.” (</w:t>
      </w:r>
      <w:r w:rsidRPr="002979C1">
        <w:rPr>
          <w:rFonts w:ascii="Palatino Linotype" w:eastAsia="Palatino Linotype" w:hAnsi="Palatino Linotype" w:cs="Palatino Linotype"/>
          <w:i/>
          <w:color w:val="000000"/>
        </w:rPr>
        <w:t>Sic)</w:t>
      </w:r>
    </w:p>
    <w:p w14:paraId="19919363" w14:textId="77777777" w:rsidR="00E6212E" w:rsidRPr="002979C1" w:rsidRDefault="00E6212E">
      <w:pPr>
        <w:ind w:left="567" w:right="567"/>
        <w:jc w:val="both"/>
        <w:rPr>
          <w:rFonts w:ascii="Palatino Linotype" w:eastAsia="Palatino Linotype" w:hAnsi="Palatino Linotype" w:cs="Palatino Linotype"/>
          <w:i/>
          <w:color w:val="000000"/>
        </w:rPr>
      </w:pPr>
    </w:p>
    <w:p w14:paraId="00D00DD1" w14:textId="709073FE" w:rsidR="00E6212E" w:rsidRPr="002979C1" w:rsidRDefault="004046EE">
      <w:pPr>
        <w:numPr>
          <w:ilvl w:val="0"/>
          <w:numId w:val="7"/>
        </w:numPr>
        <w:pBdr>
          <w:top w:val="nil"/>
          <w:left w:val="nil"/>
          <w:bottom w:val="nil"/>
          <w:right w:val="nil"/>
          <w:between w:val="nil"/>
        </w:pBdr>
        <w:tabs>
          <w:tab w:val="left" w:pos="450"/>
        </w:tabs>
        <w:ind w:right="729"/>
        <w:jc w:val="both"/>
        <w:rPr>
          <w:i/>
          <w:color w:val="000000"/>
        </w:rPr>
      </w:pPr>
      <w:r w:rsidRPr="002979C1">
        <w:rPr>
          <w:i/>
          <w:color w:val="000000"/>
        </w:rPr>
        <w:t>“…EVITEN CLASIFICAR LA INFORMACIÓN COMO RESERVADA, PUES LOS CIUDADANOS EXIGIMOS UNA INVESTIGACIÓN PROFESIONAL Y REAL DE LOS ACONTECIMIENTOS Y NO LA CRIMINALIZACIÓN Y LA REVICTIMIZACIÓN DEL FALLECIDO. AL CONOCER LOS DICTÁMENES Y LAS PERSONAS QUE LOS FIRMAN, LOS MEDIOS DE COMUNICACIÓN PODREMOS INDAGAR CON ELLOS Y CON OTROS EXPERTOS LA VERACIDAD DE SUS OPINIONES. NO MÁS CORRUPCIÓN Y NO MÁS IMPUNIDAD EN EL ESTADO DE MÉXICO #JUSTICIAPARA</w:t>
      </w:r>
      <w:r w:rsidR="006163AD">
        <w:rPr>
          <w:i/>
          <w:color w:val="000000"/>
        </w:rPr>
        <w:t>XXXXXXXXXXXX</w:t>
      </w:r>
      <w:r w:rsidRPr="002979C1">
        <w:rPr>
          <w:i/>
          <w:color w:val="000000"/>
        </w:rPr>
        <w:t xml:space="preserve"> #JUSTICIAPARA</w:t>
      </w:r>
      <w:r w:rsidR="006163AD">
        <w:rPr>
          <w:i/>
          <w:color w:val="000000"/>
        </w:rPr>
        <w:t>XXXXXX</w:t>
      </w:r>
      <w:r w:rsidRPr="002979C1">
        <w:rPr>
          <w:i/>
          <w:color w:val="000000"/>
        </w:rPr>
        <w:t>” (Sic)</w:t>
      </w:r>
    </w:p>
    <w:p w14:paraId="48AEBE07" w14:textId="77777777" w:rsidR="00E6212E" w:rsidRPr="002979C1" w:rsidRDefault="00E6212E">
      <w:pPr>
        <w:pBdr>
          <w:top w:val="nil"/>
          <w:left w:val="nil"/>
          <w:bottom w:val="nil"/>
          <w:right w:val="nil"/>
          <w:between w:val="nil"/>
        </w:pBdr>
        <w:tabs>
          <w:tab w:val="left" w:pos="450"/>
        </w:tabs>
        <w:spacing w:line="360" w:lineRule="auto"/>
        <w:ind w:left="540" w:right="729"/>
        <w:jc w:val="both"/>
        <w:rPr>
          <w:i/>
          <w:color w:val="000000"/>
        </w:rPr>
      </w:pPr>
    </w:p>
    <w:p w14:paraId="72BCE7BC" w14:textId="77777777" w:rsidR="00E6212E" w:rsidRPr="002979C1" w:rsidRDefault="004046EE">
      <w:pPr>
        <w:pBdr>
          <w:top w:val="nil"/>
          <w:left w:val="nil"/>
          <w:bottom w:val="nil"/>
          <w:right w:val="nil"/>
          <w:between w:val="nil"/>
        </w:pBdr>
        <w:spacing w:line="360" w:lineRule="auto"/>
        <w:jc w:val="both"/>
        <w:rPr>
          <w:color w:val="000000"/>
        </w:rPr>
      </w:pPr>
      <w:r w:rsidRPr="002979C1">
        <w:rPr>
          <w:rFonts w:ascii="Palatino Linotype" w:eastAsia="Palatino Linotype" w:hAnsi="Palatino Linotype" w:cs="Palatino Linotype"/>
          <w:color w:val="000000"/>
        </w:rPr>
        <w:lastRenderedPageBreak/>
        <w:t xml:space="preserve">De la petición diseminada se aprecia que en inciso B) el </w:t>
      </w:r>
      <w:r w:rsidRPr="002979C1">
        <w:rPr>
          <w:rFonts w:ascii="Palatino Linotype" w:eastAsia="Palatino Linotype" w:hAnsi="Palatino Linotype" w:cs="Palatino Linotype"/>
          <w:b/>
          <w:color w:val="000000"/>
        </w:rPr>
        <w:t>RECURRENTE</w:t>
      </w:r>
      <w:r w:rsidRPr="002979C1">
        <w:rPr>
          <w:rFonts w:ascii="Palatino Linotype" w:eastAsia="Palatino Linotype" w:hAnsi="Palatino Linotype" w:cs="Palatino Linotype"/>
          <w:color w:val="000000"/>
        </w:rPr>
        <w:t xml:space="preserve"> realizó manifestaciones que no se pueden atender mediante el ejercicio del Derecho de Acceso a la Información Pública, como a continuación se observa: </w:t>
      </w:r>
    </w:p>
    <w:p w14:paraId="541310C1" w14:textId="77777777" w:rsidR="00E6212E" w:rsidRPr="002979C1" w:rsidRDefault="00E6212E">
      <w:pPr>
        <w:pBdr>
          <w:top w:val="nil"/>
          <w:left w:val="nil"/>
          <w:bottom w:val="nil"/>
          <w:right w:val="nil"/>
          <w:between w:val="nil"/>
        </w:pBdr>
        <w:tabs>
          <w:tab w:val="left" w:pos="450"/>
        </w:tabs>
        <w:spacing w:line="360" w:lineRule="auto"/>
        <w:ind w:left="540" w:right="729"/>
        <w:jc w:val="both"/>
        <w:rPr>
          <w:i/>
          <w:color w:val="000000"/>
        </w:rPr>
      </w:pPr>
    </w:p>
    <w:p w14:paraId="7A76A6E2" w14:textId="43355478" w:rsidR="00E6212E" w:rsidRPr="002979C1" w:rsidRDefault="004046EE">
      <w:pPr>
        <w:pBdr>
          <w:top w:val="nil"/>
          <w:left w:val="nil"/>
          <w:bottom w:val="nil"/>
          <w:right w:val="nil"/>
          <w:between w:val="nil"/>
        </w:pBdr>
        <w:spacing w:line="360" w:lineRule="auto"/>
        <w:ind w:right="9"/>
        <w:jc w:val="both"/>
        <w:rPr>
          <w:i/>
          <w:color w:val="000000"/>
        </w:rPr>
      </w:pPr>
      <w:r w:rsidRPr="002979C1">
        <w:rPr>
          <w:rFonts w:ascii="Palatino Linotype" w:eastAsia="Palatino Linotype" w:hAnsi="Palatino Linotype" w:cs="Palatino Linotype"/>
          <w:color w:val="000000"/>
        </w:rPr>
        <w:t xml:space="preserve">En efecto, la materia elemental del derecho de acceso a la información pública reside en documentos en posesión de los entes gubernamentales, por lo que lo señalado por </w:t>
      </w:r>
      <w:proofErr w:type="gramStart"/>
      <w:r w:rsidRPr="002979C1">
        <w:rPr>
          <w:rFonts w:ascii="Palatino Linotype" w:eastAsia="Palatino Linotype" w:hAnsi="Palatino Linotype" w:cs="Palatino Linotype"/>
          <w:color w:val="000000"/>
        </w:rPr>
        <w:t>el particular resulta</w:t>
      </w:r>
      <w:proofErr w:type="gramEnd"/>
      <w:r w:rsidR="00286714" w:rsidRPr="002979C1">
        <w:rPr>
          <w:rFonts w:ascii="Palatino Linotype" w:eastAsia="Palatino Linotype" w:hAnsi="Palatino Linotype" w:cs="Palatino Linotype"/>
          <w:b/>
          <w:color w:val="000000"/>
        </w:rPr>
        <w:t xml:space="preserve"> </w:t>
      </w:r>
      <w:r w:rsidRPr="002979C1">
        <w:rPr>
          <w:rFonts w:ascii="Palatino Linotype" w:eastAsia="Palatino Linotype" w:hAnsi="Palatino Linotype" w:cs="Palatino Linotype"/>
          <w:color w:val="000000"/>
        </w:rPr>
        <w:t>ajeno a la práctica de este, y en su lugar, se encuentra ejerciendo su derecho de petición, el cual resulta ser, en esencia, un planteamiento hecho a la autoridad.</w:t>
      </w:r>
    </w:p>
    <w:p w14:paraId="34ED2616" w14:textId="77777777" w:rsidR="00E6212E" w:rsidRPr="002979C1" w:rsidRDefault="00E6212E">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08DAE8BF" w14:textId="77777777" w:rsidR="00E6212E" w:rsidRPr="002979C1" w:rsidRDefault="004046EE">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sz w:val="22"/>
          <w:szCs w:val="22"/>
        </w:rPr>
      </w:pPr>
      <w:r w:rsidRPr="002979C1">
        <w:rPr>
          <w:rFonts w:ascii="Palatino Linotype" w:eastAsia="Palatino Linotype" w:hAnsi="Palatino Linotype" w:cs="Palatino Linotype"/>
          <w:color w:val="000000"/>
        </w:rPr>
        <w:t>Robustece lo anterior la tesis jurisprudencial administrativa 2011611 publicada por el Máximo Juzgador de la nación, la cual se transcribe a continuación:</w:t>
      </w:r>
    </w:p>
    <w:p w14:paraId="511F9731" w14:textId="77777777" w:rsidR="00E6212E" w:rsidRPr="002979C1" w:rsidRDefault="004046EE">
      <w:pPr>
        <w:tabs>
          <w:tab w:val="left" w:pos="426"/>
        </w:tabs>
        <w:spacing w:before="240"/>
        <w:ind w:left="567" w:right="731"/>
        <w:jc w:val="both"/>
        <w:rPr>
          <w:rFonts w:ascii="Palatino Linotype" w:eastAsia="Palatino Linotype" w:hAnsi="Palatino Linotype" w:cs="Palatino Linotype"/>
          <w:sz w:val="22"/>
          <w:szCs w:val="22"/>
        </w:rPr>
      </w:pPr>
      <w:r w:rsidRPr="002979C1">
        <w:rPr>
          <w:rFonts w:ascii="Palatino Linotype" w:eastAsia="Palatino Linotype" w:hAnsi="Palatino Linotype" w:cs="Palatino Linotype"/>
          <w:b/>
          <w:i/>
          <w:sz w:val="22"/>
          <w:szCs w:val="22"/>
        </w:rPr>
        <w:t>DERECHO DE PETICIÓN. SU DIFERENCIA CON RESPECTO AL RECURSO ADMINISTRATIVO. “</w:t>
      </w:r>
      <w:r w:rsidRPr="002979C1">
        <w:rPr>
          <w:rFonts w:ascii="Palatino Linotype" w:eastAsia="Palatino Linotype" w:hAnsi="Palatino Linotype" w:cs="Palatino Linotype"/>
          <w:i/>
          <w:sz w:val="22"/>
          <w:szCs w:val="22"/>
        </w:rPr>
        <w:t>El derecho de petición busca la respuesta de la autoridad a un planteamiento específico, mientras que el recurso administrativo, la nulidad o modificación de un acto de la autoridad a través de su impugnación; es decir, el recurso presupone la existencia de un acto administrativo previo que puede ser revisado por la autoridad que lo emitió o en otra instancia, mientras que aquél se limita a solicitar una respuesta determinada. Así, para recurrir una actuación administrativa se requiere de un derecho subjetivo específico; a la vez que el derecho de petición constituye simplemente la posibilidad de todo gobernado de hacer un planteamiento a la autoridad; por tanto, este último no puede sustituir los procedimientos o recursos específicos establecidos para atender ciertas materias, ni constituirse como un medio para la revisión de determinaciones administrativas.”</w:t>
      </w:r>
    </w:p>
    <w:p w14:paraId="43F8084B" w14:textId="77777777" w:rsidR="00E6212E" w:rsidRPr="002979C1" w:rsidRDefault="00E6212E">
      <w:pPr>
        <w:tabs>
          <w:tab w:val="left" w:pos="426"/>
        </w:tabs>
        <w:spacing w:line="360" w:lineRule="auto"/>
        <w:ind w:right="49"/>
        <w:jc w:val="both"/>
        <w:rPr>
          <w:rFonts w:ascii="Palatino Linotype" w:eastAsia="Palatino Linotype" w:hAnsi="Palatino Linotype" w:cs="Palatino Linotype"/>
          <w:sz w:val="22"/>
          <w:szCs w:val="22"/>
        </w:rPr>
      </w:pPr>
    </w:p>
    <w:p w14:paraId="1D6308C1" w14:textId="77777777" w:rsidR="00E6212E" w:rsidRPr="002979C1" w:rsidRDefault="004046EE">
      <w:pPr>
        <w:tabs>
          <w:tab w:val="left" w:pos="426"/>
        </w:tabs>
        <w:spacing w:line="360" w:lineRule="auto"/>
        <w:ind w:right="49"/>
        <w:jc w:val="both"/>
        <w:rPr>
          <w:rFonts w:ascii="Palatino Linotype" w:eastAsia="Palatino Linotype" w:hAnsi="Palatino Linotype" w:cs="Palatino Linotype"/>
        </w:rPr>
      </w:pPr>
      <w:r w:rsidRPr="002979C1">
        <w:rPr>
          <w:rFonts w:ascii="Palatino Linotype" w:eastAsia="Palatino Linotype" w:hAnsi="Palatino Linotype" w:cs="Palatino Linotype"/>
        </w:rPr>
        <w:t xml:space="preserve">Por lo anterior, este Órgano Garante encuentra dicho requerimiento como inoperante, toda vez que no existe </w:t>
      </w:r>
      <w:proofErr w:type="gramStart"/>
      <w:r w:rsidRPr="002979C1">
        <w:rPr>
          <w:rFonts w:ascii="Palatino Linotype" w:eastAsia="Palatino Linotype" w:hAnsi="Palatino Linotype" w:cs="Palatino Linotype"/>
        </w:rPr>
        <w:t>documental pública</w:t>
      </w:r>
      <w:proofErr w:type="gramEnd"/>
      <w:r w:rsidRPr="002979C1">
        <w:rPr>
          <w:rFonts w:ascii="Palatino Linotype" w:eastAsia="Palatino Linotype" w:hAnsi="Palatino Linotype" w:cs="Palatino Linotype"/>
        </w:rPr>
        <w:t xml:space="preserve"> que pueda dar atención a lo </w:t>
      </w:r>
      <w:r w:rsidRPr="002979C1">
        <w:rPr>
          <w:rFonts w:ascii="Palatino Linotype" w:eastAsia="Palatino Linotype" w:hAnsi="Palatino Linotype" w:cs="Palatino Linotype"/>
        </w:rPr>
        <w:lastRenderedPageBreak/>
        <w:t xml:space="preserve">manifestado por el entonces </w:t>
      </w:r>
      <w:r w:rsidRPr="002979C1">
        <w:rPr>
          <w:rFonts w:ascii="Palatino Linotype" w:eastAsia="Palatino Linotype" w:hAnsi="Palatino Linotype" w:cs="Palatino Linotype"/>
          <w:b/>
        </w:rPr>
        <w:t>SOLICITANTE</w:t>
      </w:r>
      <w:r w:rsidRPr="002979C1">
        <w:rPr>
          <w:rFonts w:ascii="Palatino Linotype" w:eastAsia="Palatino Linotype" w:hAnsi="Palatino Linotype" w:cs="Palatino Linotype"/>
        </w:rPr>
        <w:t>, y su calificación como improcedente no refuerza ni violenta la esfera del derecho de acceso a la información del particular.</w:t>
      </w:r>
    </w:p>
    <w:p w14:paraId="7B538FFA" w14:textId="77777777" w:rsidR="00E6212E" w:rsidRPr="002979C1" w:rsidRDefault="00E6212E">
      <w:pPr>
        <w:tabs>
          <w:tab w:val="left" w:pos="426"/>
        </w:tabs>
        <w:spacing w:line="360" w:lineRule="auto"/>
        <w:ind w:right="49"/>
        <w:jc w:val="both"/>
        <w:rPr>
          <w:rFonts w:ascii="Palatino Linotype" w:eastAsia="Palatino Linotype" w:hAnsi="Palatino Linotype" w:cs="Palatino Linotype"/>
        </w:rPr>
      </w:pPr>
    </w:p>
    <w:p w14:paraId="4FC76F0B" w14:textId="77777777" w:rsidR="00E6212E" w:rsidRPr="002979C1" w:rsidRDefault="004046EE">
      <w:pPr>
        <w:tabs>
          <w:tab w:val="left" w:pos="426"/>
        </w:tabs>
        <w:spacing w:after="240" w:line="360" w:lineRule="auto"/>
        <w:ind w:right="49"/>
        <w:jc w:val="both"/>
        <w:rPr>
          <w:rFonts w:ascii="Palatino Linotype" w:eastAsia="Palatino Linotype" w:hAnsi="Palatino Linotype" w:cs="Palatino Linotype"/>
          <w:sz w:val="22"/>
          <w:szCs w:val="22"/>
        </w:rPr>
      </w:pPr>
      <w:r w:rsidRPr="002979C1">
        <w:rPr>
          <w:rFonts w:ascii="Palatino Linotype" w:eastAsia="Palatino Linotype" w:hAnsi="Palatino Linotype" w:cs="Palatino Linotype"/>
        </w:rPr>
        <w:t>Ahora bien, hecha la precisión anterior, se procede a plasmar de manera diseminada y medular la solicitud de Información, atendiendo a lo peticionado y que será materia de análisis de fondo por parte de este Instituto:</w:t>
      </w:r>
    </w:p>
    <w:p w14:paraId="30FBD156" w14:textId="63D1CF27" w:rsidR="00E6212E" w:rsidRPr="002979C1" w:rsidRDefault="004046EE">
      <w:pPr>
        <w:numPr>
          <w:ilvl w:val="0"/>
          <w:numId w:val="8"/>
        </w:numPr>
        <w:pBdr>
          <w:top w:val="nil"/>
          <w:left w:val="nil"/>
          <w:bottom w:val="nil"/>
          <w:right w:val="nil"/>
          <w:between w:val="nil"/>
        </w:pBdr>
        <w:ind w:right="567"/>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xml:space="preserve">“SOLICITO LOS DICTÁMENES PERICIALES DEL ACTOR </w:t>
      </w:r>
      <w:r w:rsidR="006163AD">
        <w:rPr>
          <w:rFonts w:ascii="Palatino Linotype" w:eastAsia="Palatino Linotype" w:hAnsi="Palatino Linotype" w:cs="Palatino Linotype"/>
          <w:i/>
          <w:color w:val="000000"/>
        </w:rPr>
        <w:t>XXXXXXX XXXXX</w:t>
      </w:r>
      <w:r w:rsidRPr="002979C1">
        <w:rPr>
          <w:rFonts w:ascii="Palatino Linotype" w:eastAsia="Palatino Linotype" w:hAnsi="Palatino Linotype" w:cs="Palatino Linotype"/>
          <w:i/>
          <w:color w:val="000000"/>
        </w:rPr>
        <w:t xml:space="preserve"> MEJOR CONOCIDO COMO "</w:t>
      </w:r>
      <w:r w:rsidR="006163AD">
        <w:rPr>
          <w:rFonts w:ascii="Palatino Linotype" w:eastAsia="Palatino Linotype" w:hAnsi="Palatino Linotype" w:cs="Palatino Linotype"/>
          <w:i/>
          <w:color w:val="000000"/>
        </w:rPr>
        <w:t>XXXXXX</w:t>
      </w:r>
      <w:r w:rsidRPr="002979C1">
        <w:rPr>
          <w:rFonts w:ascii="Palatino Linotype" w:eastAsia="Palatino Linotype" w:hAnsi="Palatino Linotype" w:cs="Palatino Linotype"/>
          <w:i/>
          <w:color w:val="000000"/>
        </w:rPr>
        <w:t>" QUE FALLECIÓ TRAS UNA PERSECUCIÓN EL PASADO VIERNES 29 DE OCTUBRE DE 2021 EN LA AUTOPISTA CHAMAPA - LECHERÍA, COLONIA PRADOS IZTACALA, ATIZAPÁN DE ZARAGOZA.”</w:t>
      </w:r>
    </w:p>
    <w:p w14:paraId="479AB000" w14:textId="77777777" w:rsidR="00E6212E" w:rsidRPr="002979C1" w:rsidRDefault="00E6212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45ECF16" w14:textId="77777777" w:rsidR="00E6212E" w:rsidRPr="002979C1" w:rsidRDefault="004046E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bookmarkStart w:id="4" w:name="_2et92p0" w:colFirst="0" w:colLast="0"/>
      <w:bookmarkEnd w:id="4"/>
      <w:r w:rsidRPr="002979C1">
        <w:rPr>
          <w:rFonts w:ascii="Palatino Linotype" w:eastAsia="Palatino Linotype" w:hAnsi="Palatino Linotype" w:cs="Palatino Linotype"/>
          <w:color w:val="000000"/>
        </w:rPr>
        <w:t xml:space="preserve">En razón de lo anterior,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atendió la solicitud de información en los siguientes términos: </w:t>
      </w:r>
    </w:p>
    <w:p w14:paraId="143B45BA" w14:textId="77777777" w:rsidR="00E6212E" w:rsidRPr="002979C1" w:rsidRDefault="00E6212E">
      <w:pPr>
        <w:pBdr>
          <w:top w:val="nil"/>
          <w:left w:val="nil"/>
          <w:bottom w:val="nil"/>
          <w:right w:val="nil"/>
          <w:between w:val="nil"/>
        </w:pBdr>
        <w:tabs>
          <w:tab w:val="left" w:pos="284"/>
          <w:tab w:val="left" w:pos="993"/>
          <w:tab w:val="left" w:pos="1134"/>
        </w:tabs>
        <w:spacing w:line="360" w:lineRule="auto"/>
        <w:ind w:left="1440" w:right="918"/>
        <w:jc w:val="both"/>
        <w:rPr>
          <w:rFonts w:ascii="Palatino Linotype" w:eastAsia="Palatino Linotype" w:hAnsi="Palatino Linotype" w:cs="Palatino Linotype"/>
          <w:i/>
          <w:color w:val="000000"/>
        </w:rPr>
      </w:pPr>
    </w:p>
    <w:p w14:paraId="40EEB607" w14:textId="270858AD" w:rsidR="00E6212E" w:rsidRPr="002979C1" w:rsidRDefault="004046EE">
      <w:pPr>
        <w:numPr>
          <w:ilvl w:val="0"/>
          <w:numId w:val="5"/>
        </w:numPr>
        <w:pBdr>
          <w:top w:val="nil"/>
          <w:left w:val="nil"/>
          <w:bottom w:val="nil"/>
          <w:right w:val="nil"/>
          <w:between w:val="nil"/>
        </w:pBdr>
        <w:tabs>
          <w:tab w:val="left" w:pos="284"/>
          <w:tab w:val="left" w:pos="993"/>
          <w:tab w:val="left" w:pos="1134"/>
        </w:tabs>
        <w:spacing w:line="360" w:lineRule="auto"/>
        <w:ind w:left="630" w:right="729" w:firstLine="0"/>
        <w:jc w:val="both"/>
        <w:rPr>
          <w:color w:val="000000"/>
        </w:rPr>
      </w:pPr>
      <w:r w:rsidRPr="002979C1">
        <w:rPr>
          <w:rFonts w:ascii="Palatino Linotype" w:eastAsia="Palatino Linotype" w:hAnsi="Palatino Linotype" w:cs="Palatino Linotype"/>
          <w:b/>
          <w:color w:val="000000"/>
        </w:rPr>
        <w:t xml:space="preserve">ACUERDO </w:t>
      </w:r>
      <w:r w:rsidR="00286714" w:rsidRPr="002979C1">
        <w:rPr>
          <w:rFonts w:ascii="Palatino Linotype" w:eastAsia="Palatino Linotype" w:hAnsi="Palatino Linotype" w:cs="Palatino Linotype"/>
          <w:b/>
          <w:color w:val="000000"/>
        </w:rPr>
        <w:t>8821.pdf</w:t>
      </w:r>
      <w:r w:rsidR="00286714" w:rsidRPr="002979C1">
        <w:rPr>
          <w:rFonts w:ascii="Palatino Linotype" w:eastAsia="Palatino Linotype" w:hAnsi="Palatino Linotype" w:cs="Palatino Linotype"/>
          <w:color w:val="000000"/>
        </w:rPr>
        <w:t>:</w:t>
      </w:r>
      <w:r w:rsidRPr="002979C1">
        <w:rPr>
          <w:rFonts w:ascii="Palatino Linotype" w:eastAsia="Palatino Linotype" w:hAnsi="Palatino Linotype" w:cs="Palatino Linotype"/>
          <w:color w:val="000000"/>
        </w:rPr>
        <w:t xml:space="preserve"> Documento electrónico que en diez hojas contiene, el Acuerdo 88/2021, que tiene por objeto clasificar como información reservada los documentos que integran la carpeta de investigación número LER/FHT/FHT/054/303750/21/10, radicada en la Fiscalía Especializada en Homicidios Valle de México.</w:t>
      </w:r>
    </w:p>
    <w:p w14:paraId="20CA12FF" w14:textId="77777777" w:rsidR="00E6212E" w:rsidRPr="002979C1" w:rsidRDefault="00E6212E">
      <w:pPr>
        <w:tabs>
          <w:tab w:val="left" w:pos="284"/>
          <w:tab w:val="left" w:pos="993"/>
          <w:tab w:val="left" w:pos="1134"/>
        </w:tabs>
        <w:spacing w:line="360" w:lineRule="auto"/>
        <w:ind w:right="729"/>
        <w:jc w:val="both"/>
        <w:rPr>
          <w:rFonts w:ascii="Palatino Linotype" w:eastAsia="Palatino Linotype" w:hAnsi="Palatino Linotype" w:cs="Palatino Linotype"/>
          <w:color w:val="000000"/>
        </w:rPr>
      </w:pPr>
    </w:p>
    <w:p w14:paraId="03477C0F" w14:textId="4354F5DF" w:rsidR="00E6212E" w:rsidRPr="002979C1" w:rsidRDefault="00980930">
      <w:pPr>
        <w:tabs>
          <w:tab w:val="left" w:pos="284"/>
          <w:tab w:val="left" w:pos="993"/>
          <w:tab w:val="left" w:pos="1134"/>
        </w:tabs>
        <w:spacing w:line="360" w:lineRule="auto"/>
        <w:ind w:right="729"/>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2D694481" wp14:editId="32B1C954">
            <wp:extent cx="5606415" cy="628332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22-06-29 a las 0.51.08.png"/>
                    <pic:cNvPicPr/>
                  </pic:nvPicPr>
                  <pic:blipFill>
                    <a:blip r:embed="rId9">
                      <a:extLst>
                        <a:ext uri="{28A0092B-C50C-407E-A947-70E740481C1C}">
                          <a14:useLocalDpi xmlns:a14="http://schemas.microsoft.com/office/drawing/2010/main" val="0"/>
                        </a:ext>
                      </a:extLst>
                    </a:blip>
                    <a:stretch>
                      <a:fillRect/>
                    </a:stretch>
                  </pic:blipFill>
                  <pic:spPr>
                    <a:xfrm>
                      <a:off x="0" y="0"/>
                      <a:ext cx="5606415" cy="6283325"/>
                    </a:xfrm>
                    <a:prstGeom prst="rect">
                      <a:avLst/>
                    </a:prstGeom>
                  </pic:spPr>
                </pic:pic>
              </a:graphicData>
            </a:graphic>
          </wp:inline>
        </w:drawing>
      </w:r>
    </w:p>
    <w:p w14:paraId="686F007F" w14:textId="77777777" w:rsidR="00E6212E" w:rsidRPr="002979C1" w:rsidRDefault="00E6212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572F90F" w14:textId="77777777" w:rsidR="00E6212E" w:rsidRPr="002979C1" w:rsidRDefault="004046E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lastRenderedPageBreak/>
        <w:t xml:space="preserve">Así, es importante señalar que se omite el estudio de la naturaleza jurídica de la información pública solicitada, en virtud de que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en su respuesta aceptó contar con la información solicitada, de lo que se deduce que, derivado de sus facultades y atribuciones, genera posee y administra.</w:t>
      </w:r>
    </w:p>
    <w:p w14:paraId="26C974AA" w14:textId="77777777" w:rsidR="00E6212E" w:rsidRPr="002979C1" w:rsidRDefault="00E6212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98D6AC9" w14:textId="77777777" w:rsidR="00E6212E" w:rsidRPr="002979C1" w:rsidRDefault="004046E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De hecho, el estudio de la naturaleza jurídica de la información pública </w:t>
      </w:r>
      <w:proofErr w:type="gramStart"/>
      <w:r w:rsidRPr="002979C1">
        <w:rPr>
          <w:rFonts w:ascii="Palatino Linotype" w:eastAsia="Palatino Linotype" w:hAnsi="Palatino Linotype" w:cs="Palatino Linotype"/>
          <w:color w:val="000000"/>
        </w:rPr>
        <w:t>solicitada,</w:t>
      </w:r>
      <w:proofErr w:type="gramEnd"/>
      <w:r w:rsidRPr="002979C1">
        <w:rPr>
          <w:rFonts w:ascii="Palatino Linotype" w:eastAsia="Palatino Linotype" w:hAnsi="Palatino Linotype" w:cs="Palatino Linotype"/>
          <w:color w:val="000000"/>
        </w:rPr>
        <w:t xml:space="preserve"> tiene por objeto determinar si ésta la genera, posee o administra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sin embargo, en aquellos casos en que éste la asume al pretender su clasificación, ello implica que la genera, posee o administra, por consiguiente, a nada práctico conduce su estudio, ya que se insiste la información pública solicitada, fue asumida por el </w:t>
      </w:r>
      <w:r w:rsidRPr="002979C1">
        <w:rPr>
          <w:rFonts w:ascii="Palatino Linotype" w:eastAsia="Palatino Linotype" w:hAnsi="Palatino Linotype" w:cs="Palatino Linotype"/>
          <w:b/>
          <w:color w:val="000000"/>
        </w:rPr>
        <w:t>SUJETO OBLIGADO.</w:t>
      </w:r>
    </w:p>
    <w:p w14:paraId="6146705E" w14:textId="77777777" w:rsidR="00E6212E" w:rsidRPr="002979C1" w:rsidRDefault="00E6212E">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6651ADB3" w14:textId="77777777" w:rsidR="00E6212E" w:rsidRPr="002979C1" w:rsidRDefault="004046E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Lo anterior se afirma así, ya que ante una clasificación de la información, no puede coexistir a su vez inexistencia de la misma, en virtud de que la inexistencia significa necesariamente que la información solicitada no se encuentra en los archivos del Sujeto Obligado, en atención a que no la genera, administra y/o posee; y la clasificación de manera contraria implica que la información se ubica en los archivos del Sujeto Obligado, tan es así que le otorga el carácter de confidencial o reservada. </w:t>
      </w:r>
    </w:p>
    <w:p w14:paraId="668186EA" w14:textId="77777777" w:rsidR="00E6212E" w:rsidRPr="002979C1" w:rsidRDefault="00E6212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221A583" w14:textId="77777777" w:rsidR="00E6212E" w:rsidRPr="002979C1" w:rsidRDefault="004046E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En otras palabras, la clasificación y la inexistencia se excluyen entre sí, por tanto, si en el presente caso, el Sujeto Obligado niega la entrega de la información que le solicitó el particular, está reconociendo implícitamente que la misma obra en sus archivos.</w:t>
      </w:r>
    </w:p>
    <w:p w14:paraId="2FD758A6" w14:textId="77777777" w:rsidR="00E6212E" w:rsidRPr="002979C1" w:rsidRDefault="00E6212E">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7370ABC6" w14:textId="77777777" w:rsidR="00E6212E" w:rsidRPr="002979C1" w:rsidRDefault="004046E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Tiene aplicación al respecto el criterio sostenido por el ahora Instituto Nacional de Transparencia, Acceso a la Información y Protección de Datos Personales número 29/10, mismo que tiene como contenido el que a continuación se transcribe:</w:t>
      </w:r>
    </w:p>
    <w:p w14:paraId="447AB21B" w14:textId="77777777" w:rsidR="00E6212E" w:rsidRPr="002979C1" w:rsidRDefault="00E6212E">
      <w:pPr>
        <w:spacing w:before="240" w:line="360" w:lineRule="auto"/>
        <w:ind w:right="49"/>
        <w:jc w:val="both"/>
        <w:rPr>
          <w:rFonts w:ascii="Palatino Linotype" w:eastAsia="Palatino Linotype" w:hAnsi="Palatino Linotype" w:cs="Palatino Linotype"/>
          <w:color w:val="000000"/>
        </w:rPr>
      </w:pPr>
    </w:p>
    <w:p w14:paraId="320F944B" w14:textId="77777777" w:rsidR="00E6212E" w:rsidRPr="002979C1" w:rsidRDefault="004046EE">
      <w:pPr>
        <w:spacing w:after="240"/>
        <w:ind w:left="851" w:right="902"/>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“La clasificación y la inexistencia de información son conceptos que no pueden coexistir.</w:t>
      </w:r>
      <w:r w:rsidRPr="002979C1">
        <w:rPr>
          <w:rFonts w:ascii="Palatino Linotype" w:eastAsia="Palatino Linotype" w:hAnsi="Palatino Linotype" w:cs="Palatino Linotype"/>
          <w:i/>
          <w:color w:val="000000"/>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w:t>
      </w:r>
      <w:proofErr w:type="gramStart"/>
      <w:r w:rsidRPr="002979C1">
        <w:rPr>
          <w:rFonts w:ascii="Palatino Linotype" w:eastAsia="Palatino Linotype" w:hAnsi="Palatino Linotype" w:cs="Palatino Linotype"/>
          <w:i/>
          <w:color w:val="000000"/>
        </w:rPr>
        <w:t>los mismos</w:t>
      </w:r>
      <w:proofErr w:type="gramEnd"/>
      <w:r w:rsidRPr="002979C1">
        <w:rPr>
          <w:rFonts w:ascii="Palatino Linotype" w:eastAsia="Palatino Linotype" w:hAnsi="Palatino Linotype" w:cs="Palatino Linotype"/>
          <w:i/>
          <w:color w:val="000000"/>
        </w:rPr>
        <w:t xml:space="preserve"> en los archivos de la dependencia o entidad de que se trate.”</w:t>
      </w:r>
    </w:p>
    <w:p w14:paraId="1AB8DCF6" w14:textId="77777777" w:rsidR="00E6212E" w:rsidRPr="002979C1" w:rsidRDefault="00E6212E">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4101896E" w14:textId="77777777" w:rsidR="00E6212E" w:rsidRPr="002979C1" w:rsidRDefault="004046EE">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En 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w:t>
      </w:r>
      <w:r w:rsidRPr="002979C1">
        <w:rPr>
          <w:rFonts w:ascii="Palatino Linotype" w:eastAsia="Palatino Linotype" w:hAnsi="Palatino Linotype" w:cs="Palatino Linotype"/>
          <w:color w:val="000000"/>
        </w:rPr>
        <w:lastRenderedPageBreak/>
        <w:t>que deberán apegarse en todo momento a los criterios de publicidad, veracidad, oportunidad entre otros, y que a la letra señalan:</w:t>
      </w:r>
    </w:p>
    <w:p w14:paraId="73022669" w14:textId="77777777" w:rsidR="00E6212E" w:rsidRPr="002979C1" w:rsidRDefault="00E6212E">
      <w:pPr>
        <w:tabs>
          <w:tab w:val="left" w:pos="426"/>
        </w:tabs>
        <w:spacing w:before="240" w:line="360" w:lineRule="auto"/>
        <w:ind w:right="51"/>
        <w:jc w:val="both"/>
        <w:rPr>
          <w:rFonts w:ascii="Palatino Linotype" w:eastAsia="Palatino Linotype" w:hAnsi="Palatino Linotype" w:cs="Palatino Linotype"/>
          <w:color w:val="000000"/>
        </w:rPr>
      </w:pPr>
    </w:p>
    <w:p w14:paraId="3488881A" w14:textId="77777777" w:rsidR="00E6212E" w:rsidRPr="002979C1" w:rsidRDefault="004046EE">
      <w:pPr>
        <w:ind w:left="567" w:right="567"/>
        <w:jc w:val="both"/>
        <w:rPr>
          <w:rFonts w:ascii="Palatino Linotype" w:eastAsia="Palatino Linotype" w:hAnsi="Palatino Linotype" w:cs="Palatino Linotype"/>
          <w:b/>
          <w:i/>
        </w:rPr>
      </w:pPr>
      <w:r w:rsidRPr="002979C1">
        <w:rPr>
          <w:rFonts w:ascii="Palatino Linotype" w:eastAsia="Palatino Linotype" w:hAnsi="Palatino Linotype" w:cs="Palatino Linotype"/>
          <w:b/>
          <w:i/>
        </w:rPr>
        <w:t>Artículo 3.-</w:t>
      </w:r>
      <w:r w:rsidRPr="002979C1">
        <w:rPr>
          <w:rFonts w:ascii="Palatino Linotype" w:eastAsia="Palatino Linotype" w:hAnsi="Palatino Linotype" w:cs="Palatino Linotype"/>
          <w:i/>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2979C1">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
    <w:p w14:paraId="74DA0DF5" w14:textId="77777777" w:rsidR="00E6212E" w:rsidRPr="002979C1" w:rsidRDefault="004046EE">
      <w:pPr>
        <w:ind w:left="567" w:right="567"/>
        <w:jc w:val="both"/>
        <w:rPr>
          <w:rFonts w:ascii="Palatino Linotype" w:eastAsia="Palatino Linotype" w:hAnsi="Palatino Linotype" w:cs="Palatino Linotype"/>
        </w:rPr>
      </w:pPr>
      <w:r w:rsidRPr="002979C1">
        <w:rPr>
          <w:rFonts w:ascii="Palatino Linotype" w:eastAsia="Palatino Linotype" w:hAnsi="Palatino Linotype" w:cs="Palatino Linotype"/>
        </w:rPr>
        <w:t>(Énfasis añadido)</w:t>
      </w:r>
    </w:p>
    <w:p w14:paraId="6C5658E7"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479D7B25" w14:textId="77777777" w:rsidR="00130AAF" w:rsidRPr="002979C1" w:rsidRDefault="00130AAF" w:rsidP="00130AAF">
      <w:pPr>
        <w:widowControl w:val="0"/>
        <w:pBdr>
          <w:top w:val="nil"/>
          <w:left w:val="nil"/>
          <w:bottom w:val="nil"/>
          <w:right w:val="nil"/>
          <w:between w:val="nil"/>
        </w:pBdr>
        <w:spacing w:before="280"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Dicho lo anterior, conviene en primer término referir, que se analizara la naturaleza jurídica de la información identificada en el presente estudio como inconformidad expuesta por el peticionario en su recurso, al aducir medularmente que:</w:t>
      </w:r>
    </w:p>
    <w:p w14:paraId="7F8A2390" w14:textId="77777777" w:rsidR="00130AAF" w:rsidRPr="002979C1" w:rsidRDefault="00130AAF" w:rsidP="00130AAF">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1834571" w14:textId="5124A8AD" w:rsidR="00130AAF" w:rsidRPr="002979C1" w:rsidRDefault="00130AAF" w:rsidP="00130AAF">
      <w:pPr>
        <w:pBdr>
          <w:top w:val="nil"/>
          <w:left w:val="nil"/>
          <w:bottom w:val="nil"/>
          <w:right w:val="nil"/>
          <w:between w:val="nil"/>
        </w:pBdr>
        <w:ind w:left="928" w:right="567"/>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xml:space="preserve">“SI BIEN SE PODRÍA CLASIFICAR LA INFORMACIÓN QUE FUE SOLICITADA, BAJO EL ARTÍCULO 142 DE LA LEY DE TRANSPARENCIA LOCAL, NO PUEDE CLASIFICARSE COMO TAL, POR LAS VIOLACIONES GRAVES DE DERECHOS HUMANOS, QUE INCLUSO POR LA ACTUACIÓN DE LOS ELEMENTOS DE LA POLICÍA TRAJO COMO CONSECUENCIA EL FATAL DECESO DEL ACTOR </w:t>
      </w:r>
      <w:r w:rsidR="006163AD">
        <w:rPr>
          <w:rFonts w:ascii="Palatino Linotype" w:eastAsia="Palatino Linotype" w:hAnsi="Palatino Linotype" w:cs="Palatino Linotype"/>
          <w:i/>
          <w:color w:val="000000"/>
        </w:rPr>
        <w:t>XXXXXXX XXXXX</w:t>
      </w:r>
      <w:r w:rsidRPr="002979C1">
        <w:rPr>
          <w:rFonts w:ascii="Palatino Linotype" w:eastAsia="Palatino Linotype" w:hAnsi="Palatino Linotype" w:cs="Palatino Linotype"/>
          <w:i/>
          <w:color w:val="000000"/>
        </w:rPr>
        <w:t xml:space="preserve">.” </w:t>
      </w:r>
      <w:r w:rsidRPr="002979C1">
        <w:rPr>
          <w:rFonts w:ascii="Palatino Linotype" w:eastAsia="Palatino Linotype" w:hAnsi="Palatino Linotype" w:cs="Palatino Linotype"/>
          <w:color w:val="000000"/>
        </w:rPr>
        <w:t>(Sic).</w:t>
      </w:r>
      <w:r w:rsidRPr="002979C1">
        <w:rPr>
          <w:rFonts w:ascii="Palatino Linotype" w:eastAsia="Palatino Linotype" w:hAnsi="Palatino Linotype" w:cs="Palatino Linotype"/>
          <w:i/>
          <w:color w:val="000000"/>
        </w:rPr>
        <w:t>”</w:t>
      </w:r>
    </w:p>
    <w:p w14:paraId="540C0340" w14:textId="77777777" w:rsidR="00130AAF" w:rsidRPr="002979C1" w:rsidRDefault="00130AAF" w:rsidP="00130AAF">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BE58A2F" w14:textId="77777777" w:rsidR="00130AAF" w:rsidRPr="002979C1" w:rsidRDefault="00130AAF" w:rsidP="00130AAF">
      <w:pPr>
        <w:rPr>
          <w:rFonts w:ascii="Verdana" w:hAnsi="Verdana"/>
          <w:color w:val="000000"/>
        </w:rPr>
      </w:pPr>
    </w:p>
    <w:p w14:paraId="5FF32868" w14:textId="77777777" w:rsidR="00130AAF" w:rsidRPr="002979C1" w:rsidRDefault="00130AAF" w:rsidP="00130AAF">
      <w:pPr>
        <w:spacing w:line="360" w:lineRule="auto"/>
        <w:jc w:val="both"/>
        <w:rPr>
          <w:rFonts w:ascii="Palatino Linotype" w:hAnsi="Palatino Linotype"/>
          <w:color w:val="000000"/>
        </w:rPr>
      </w:pPr>
      <w:r w:rsidRPr="002979C1">
        <w:rPr>
          <w:rFonts w:ascii="Palatino Linotype" w:hAnsi="Palatino Linotype"/>
          <w:color w:val="222222"/>
        </w:rPr>
        <w:t xml:space="preserve">En mérito de lo mencionado con anterioridad, este Órgano Garante considera las razones o motivos de inconformidad que plantea </w:t>
      </w:r>
      <w:r w:rsidRPr="002979C1">
        <w:rPr>
          <w:rFonts w:ascii="Palatino Linotype" w:hAnsi="Palatino Linotype"/>
          <w:b/>
          <w:bCs/>
          <w:color w:val="222222"/>
        </w:rPr>
        <w:t>EL RECURRENTE</w:t>
      </w:r>
      <w:r w:rsidRPr="002979C1">
        <w:rPr>
          <w:rFonts w:ascii="Palatino Linotype" w:hAnsi="Palatino Linotype"/>
          <w:color w:val="222222"/>
        </w:rPr>
        <w:t xml:space="preserve">, </w:t>
      </w:r>
      <w:r w:rsidRPr="002979C1">
        <w:rPr>
          <w:rFonts w:ascii="Palatino Linotype" w:hAnsi="Palatino Linotype"/>
          <w:b/>
          <w:color w:val="222222"/>
        </w:rPr>
        <w:lastRenderedPageBreak/>
        <w:t>manifestaciones subjetivas,</w:t>
      </w:r>
      <w:r w:rsidRPr="002979C1">
        <w:rPr>
          <w:rFonts w:ascii="Palatino Linotype" w:hAnsi="Palatino Linotype"/>
          <w:color w:val="222222"/>
        </w:rPr>
        <w:t xml:space="preserve"> </w:t>
      </w:r>
      <w:r w:rsidRPr="002979C1">
        <w:rPr>
          <w:rFonts w:ascii="Palatino Linotype" w:hAnsi="Palatino Linotype"/>
          <w:color w:val="000000"/>
        </w:rPr>
        <w:t xml:space="preserve">ya que el pronunciarse sobre ellas, como atribución, derecho o facultad, implicaría un juicio de valor referente a un cuestionamiento realizado, los cuales, al constituir inquietudes y manifestaciones del </w:t>
      </w:r>
      <w:r w:rsidRPr="002979C1">
        <w:rPr>
          <w:rFonts w:ascii="Palatino Linotype" w:hAnsi="Palatino Linotype"/>
          <w:b/>
          <w:color w:val="000000"/>
        </w:rPr>
        <w:t>RECURRENTE</w:t>
      </w:r>
      <w:r w:rsidRPr="002979C1">
        <w:rPr>
          <w:rFonts w:ascii="Palatino Linotype" w:hAnsi="Palatino Linotype"/>
          <w:color w:val="000000"/>
        </w:rPr>
        <w:t>, no contravienen lo expuesto en la solicitud primigenia, pues como se ha señalado son manifestaciones subjetivas, y por ello, este Instituto solo se avocara a analizar lo concerniente al acto impugnado que es relativo a la reserva de información.</w:t>
      </w:r>
    </w:p>
    <w:p w14:paraId="0E61F706" w14:textId="77777777" w:rsidR="00130AAF" w:rsidRPr="002979C1" w:rsidRDefault="00130AAF">
      <w:pPr>
        <w:widowControl w:val="0"/>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p>
    <w:p w14:paraId="5F4E6177" w14:textId="77777777" w:rsidR="00E6212E" w:rsidRPr="002979C1" w:rsidRDefault="004046EE">
      <w:pPr>
        <w:widowControl w:val="0"/>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 Ahora bien, primeramente, se debe partir señalando que el Estado, entre muchos objetivos, busca, a través de la existencia del derecho, la armonía social, delimitando lo que cada miembro de la colectividad debe o no hacer, así como el establecimiento y aplicación de las sanciones a quienes realicen hechos calificados como delitos, por lo que con base en el procedimiento penal es como se procura una sanción a un hecho que la ley señale como delito.</w:t>
      </w:r>
    </w:p>
    <w:p w14:paraId="5CFE0C96" w14:textId="77777777" w:rsidR="00E6212E" w:rsidRPr="002979C1" w:rsidRDefault="004046EE">
      <w:pPr>
        <w:spacing w:line="360" w:lineRule="auto"/>
        <w:jc w:val="both"/>
        <w:rPr>
          <w:rFonts w:ascii="Palatino Linotype" w:eastAsia="Palatino Linotype" w:hAnsi="Palatino Linotype" w:cs="Palatino Linotype"/>
        </w:rPr>
      </w:pPr>
      <w:r w:rsidRPr="002979C1">
        <w:rPr>
          <w:rFonts w:ascii="Palatino Linotype" w:eastAsia="Palatino Linotype" w:hAnsi="Palatino Linotype" w:cs="Palatino Linotype"/>
        </w:rPr>
        <w:t>En este sentido, es de señalar que el procedimiento penal se encuentra conformado por diversas etapas, como se reconoce en el artículo 211 del Código Nacional de Procedimientos Penales, en donde se enlistan las siguientes:</w:t>
      </w:r>
    </w:p>
    <w:p w14:paraId="1935C816" w14:textId="06F8792E" w:rsidR="00E6212E" w:rsidRPr="002979C1" w:rsidRDefault="00E6212E">
      <w:pPr>
        <w:ind w:left="851" w:right="899"/>
        <w:jc w:val="center"/>
        <w:rPr>
          <w:rFonts w:ascii="Palatino Linotype" w:eastAsia="Palatino Linotype" w:hAnsi="Palatino Linotype" w:cs="Palatino Linotype"/>
          <w:b/>
          <w:i/>
          <w:sz w:val="22"/>
          <w:szCs w:val="22"/>
        </w:rPr>
      </w:pPr>
    </w:p>
    <w:p w14:paraId="054D7D9B" w14:textId="77777777" w:rsidR="0007046A" w:rsidRPr="002979C1" w:rsidRDefault="0007046A">
      <w:pPr>
        <w:ind w:left="851" w:right="899"/>
        <w:jc w:val="center"/>
        <w:rPr>
          <w:rFonts w:ascii="Palatino Linotype" w:eastAsia="Palatino Linotype" w:hAnsi="Palatino Linotype" w:cs="Palatino Linotype"/>
          <w:b/>
          <w:i/>
          <w:sz w:val="22"/>
          <w:szCs w:val="22"/>
        </w:rPr>
      </w:pPr>
    </w:p>
    <w:p w14:paraId="3F49B58E" w14:textId="77777777" w:rsidR="00E6212E" w:rsidRPr="002979C1" w:rsidRDefault="004046EE">
      <w:pPr>
        <w:ind w:left="851" w:right="899"/>
        <w:jc w:val="center"/>
        <w:rPr>
          <w:rFonts w:ascii="Palatino Linotype" w:eastAsia="Palatino Linotype" w:hAnsi="Palatino Linotype" w:cs="Palatino Linotype"/>
          <w:b/>
          <w:i/>
          <w:sz w:val="22"/>
          <w:szCs w:val="22"/>
        </w:rPr>
      </w:pPr>
      <w:r w:rsidRPr="002979C1">
        <w:rPr>
          <w:rFonts w:ascii="Palatino Linotype" w:eastAsia="Palatino Linotype" w:hAnsi="Palatino Linotype" w:cs="Palatino Linotype"/>
          <w:b/>
          <w:i/>
          <w:sz w:val="22"/>
          <w:szCs w:val="22"/>
        </w:rPr>
        <w:t>TÍTULO II</w:t>
      </w:r>
    </w:p>
    <w:p w14:paraId="09C6DFF5" w14:textId="77777777" w:rsidR="00E6212E" w:rsidRPr="002979C1" w:rsidRDefault="004046EE">
      <w:pPr>
        <w:ind w:left="851" w:right="899"/>
        <w:jc w:val="center"/>
        <w:rPr>
          <w:rFonts w:ascii="Palatino Linotype" w:eastAsia="Palatino Linotype" w:hAnsi="Palatino Linotype" w:cs="Palatino Linotype"/>
          <w:b/>
          <w:i/>
          <w:sz w:val="22"/>
          <w:szCs w:val="22"/>
        </w:rPr>
      </w:pPr>
      <w:r w:rsidRPr="002979C1">
        <w:rPr>
          <w:rFonts w:ascii="Palatino Linotype" w:eastAsia="Palatino Linotype" w:hAnsi="Palatino Linotype" w:cs="Palatino Linotype"/>
          <w:b/>
          <w:i/>
          <w:sz w:val="22"/>
          <w:szCs w:val="22"/>
        </w:rPr>
        <w:t>PROCEDIMIENTO ORDINARIO</w:t>
      </w:r>
    </w:p>
    <w:p w14:paraId="2D8A658A" w14:textId="77777777" w:rsidR="00E6212E" w:rsidRPr="002979C1" w:rsidRDefault="004046EE">
      <w:pPr>
        <w:ind w:left="851" w:right="899"/>
        <w:jc w:val="center"/>
        <w:rPr>
          <w:rFonts w:ascii="Palatino Linotype" w:eastAsia="Palatino Linotype" w:hAnsi="Palatino Linotype" w:cs="Palatino Linotype"/>
          <w:b/>
          <w:i/>
          <w:sz w:val="22"/>
          <w:szCs w:val="22"/>
        </w:rPr>
      </w:pPr>
      <w:r w:rsidRPr="002979C1">
        <w:rPr>
          <w:rFonts w:ascii="Palatino Linotype" w:eastAsia="Palatino Linotype" w:hAnsi="Palatino Linotype" w:cs="Palatino Linotype"/>
          <w:b/>
          <w:i/>
          <w:sz w:val="22"/>
          <w:szCs w:val="22"/>
        </w:rPr>
        <w:t>CAPÍTULO ÚNICO</w:t>
      </w:r>
    </w:p>
    <w:p w14:paraId="31662711" w14:textId="77777777" w:rsidR="00E6212E" w:rsidRPr="002979C1" w:rsidRDefault="004046EE">
      <w:pPr>
        <w:ind w:left="851" w:right="899"/>
        <w:jc w:val="center"/>
        <w:rPr>
          <w:rFonts w:ascii="Palatino Linotype" w:eastAsia="Palatino Linotype" w:hAnsi="Palatino Linotype" w:cs="Palatino Linotype"/>
          <w:b/>
          <w:i/>
          <w:sz w:val="22"/>
          <w:szCs w:val="22"/>
        </w:rPr>
      </w:pPr>
      <w:r w:rsidRPr="002979C1">
        <w:rPr>
          <w:rFonts w:ascii="Palatino Linotype" w:eastAsia="Palatino Linotype" w:hAnsi="Palatino Linotype" w:cs="Palatino Linotype"/>
          <w:b/>
          <w:i/>
          <w:sz w:val="22"/>
          <w:szCs w:val="22"/>
        </w:rPr>
        <w:t>ETAPAS DEL PROCEDIMIENTO</w:t>
      </w:r>
    </w:p>
    <w:p w14:paraId="36F5790A" w14:textId="77777777" w:rsidR="00E6212E" w:rsidRPr="002979C1" w:rsidRDefault="00E6212E">
      <w:pPr>
        <w:ind w:left="851" w:right="899"/>
        <w:jc w:val="both"/>
        <w:rPr>
          <w:rFonts w:ascii="Palatino Linotype" w:eastAsia="Palatino Linotype" w:hAnsi="Palatino Linotype" w:cs="Palatino Linotype"/>
          <w:i/>
          <w:sz w:val="22"/>
          <w:szCs w:val="22"/>
        </w:rPr>
      </w:pPr>
    </w:p>
    <w:p w14:paraId="02314183" w14:textId="77777777" w:rsidR="00E6212E" w:rsidRPr="002979C1" w:rsidRDefault="004046EE">
      <w:pPr>
        <w:ind w:left="851"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b/>
          <w:i/>
          <w:sz w:val="22"/>
          <w:szCs w:val="22"/>
        </w:rPr>
        <w:t>Artículo 211</w:t>
      </w:r>
      <w:r w:rsidRPr="002979C1">
        <w:rPr>
          <w:rFonts w:ascii="Palatino Linotype" w:eastAsia="Palatino Linotype" w:hAnsi="Palatino Linotype" w:cs="Palatino Linotype"/>
          <w:i/>
          <w:sz w:val="22"/>
          <w:szCs w:val="22"/>
        </w:rPr>
        <w:t>. Etapas del procedimiento penal</w:t>
      </w:r>
    </w:p>
    <w:p w14:paraId="36AB0001" w14:textId="77777777" w:rsidR="00E6212E" w:rsidRPr="002979C1" w:rsidRDefault="004046EE">
      <w:pPr>
        <w:ind w:left="851"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lastRenderedPageBreak/>
        <w:t>El procedimiento penal comprende las siguientes etapas:</w:t>
      </w:r>
    </w:p>
    <w:p w14:paraId="592BEFCB" w14:textId="77777777" w:rsidR="00E6212E" w:rsidRPr="002979C1" w:rsidRDefault="00E6212E">
      <w:pPr>
        <w:ind w:left="851" w:right="899"/>
        <w:jc w:val="both"/>
        <w:rPr>
          <w:rFonts w:ascii="Palatino Linotype" w:eastAsia="Palatino Linotype" w:hAnsi="Palatino Linotype" w:cs="Palatino Linotype"/>
          <w:i/>
          <w:sz w:val="22"/>
          <w:szCs w:val="22"/>
        </w:rPr>
      </w:pPr>
    </w:p>
    <w:p w14:paraId="059B2FE4" w14:textId="77777777" w:rsidR="00E6212E" w:rsidRPr="002979C1" w:rsidRDefault="004046EE">
      <w:pPr>
        <w:ind w:left="851"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I. La de investigación, que comprende las siguientes fases:</w:t>
      </w:r>
    </w:p>
    <w:p w14:paraId="2D88FBF2" w14:textId="77777777" w:rsidR="00E6212E" w:rsidRPr="002979C1" w:rsidRDefault="00E6212E">
      <w:pPr>
        <w:ind w:left="851" w:right="899"/>
        <w:jc w:val="both"/>
        <w:rPr>
          <w:rFonts w:ascii="Palatino Linotype" w:eastAsia="Palatino Linotype" w:hAnsi="Palatino Linotype" w:cs="Palatino Linotype"/>
          <w:i/>
          <w:sz w:val="22"/>
          <w:szCs w:val="22"/>
        </w:rPr>
      </w:pPr>
    </w:p>
    <w:p w14:paraId="7B363CA4" w14:textId="77777777" w:rsidR="00E6212E" w:rsidRPr="002979C1" w:rsidRDefault="004046EE">
      <w:pPr>
        <w:ind w:left="851" w:right="899"/>
        <w:jc w:val="both"/>
        <w:rPr>
          <w:rFonts w:ascii="Palatino Linotype" w:eastAsia="Palatino Linotype" w:hAnsi="Palatino Linotype" w:cs="Palatino Linotype"/>
          <w:b/>
          <w:i/>
          <w:sz w:val="22"/>
          <w:szCs w:val="22"/>
        </w:rPr>
      </w:pPr>
      <w:r w:rsidRPr="002979C1">
        <w:rPr>
          <w:rFonts w:ascii="Palatino Linotype" w:eastAsia="Palatino Linotype" w:hAnsi="Palatino Linotype" w:cs="Palatino Linotype"/>
          <w:i/>
          <w:sz w:val="22"/>
          <w:szCs w:val="22"/>
        </w:rPr>
        <w:t xml:space="preserve"> </w:t>
      </w:r>
      <w:r w:rsidRPr="002979C1">
        <w:rPr>
          <w:rFonts w:ascii="Palatino Linotype" w:eastAsia="Palatino Linotype" w:hAnsi="Palatino Linotype" w:cs="Palatino Linotype"/>
          <w:b/>
          <w:i/>
          <w:sz w:val="22"/>
          <w:szCs w:val="22"/>
        </w:rPr>
        <w:t>a) Investigación inicial, que comienza con la presentación de la denuncia, querella u otro requisito equivalente y concluye cuando el imputado queda a disposición del Juez de control para que se le formule imputación, e</w:t>
      </w:r>
    </w:p>
    <w:p w14:paraId="6AC15597" w14:textId="77777777" w:rsidR="00E6212E" w:rsidRPr="002979C1" w:rsidRDefault="00E6212E">
      <w:pPr>
        <w:ind w:left="851" w:right="899"/>
        <w:jc w:val="both"/>
        <w:rPr>
          <w:rFonts w:ascii="Palatino Linotype" w:eastAsia="Palatino Linotype" w:hAnsi="Palatino Linotype" w:cs="Palatino Linotype"/>
          <w:i/>
          <w:sz w:val="22"/>
          <w:szCs w:val="22"/>
        </w:rPr>
      </w:pPr>
    </w:p>
    <w:p w14:paraId="15FD5EFF" w14:textId="77777777" w:rsidR="00E6212E" w:rsidRPr="002979C1" w:rsidRDefault="004046EE">
      <w:pPr>
        <w:ind w:left="851"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b) Investigación complementaria, que comprende desde la formulación de la imputación y se agota una vez que se haya cerrado la investigación;</w:t>
      </w:r>
    </w:p>
    <w:p w14:paraId="343207A6" w14:textId="77777777" w:rsidR="00E6212E" w:rsidRPr="002979C1" w:rsidRDefault="00E6212E">
      <w:pPr>
        <w:ind w:left="851" w:right="899"/>
        <w:jc w:val="both"/>
        <w:rPr>
          <w:rFonts w:ascii="Palatino Linotype" w:eastAsia="Palatino Linotype" w:hAnsi="Palatino Linotype" w:cs="Palatino Linotype"/>
          <w:i/>
          <w:sz w:val="22"/>
          <w:szCs w:val="22"/>
        </w:rPr>
      </w:pPr>
    </w:p>
    <w:p w14:paraId="7E5C28D1" w14:textId="77777777" w:rsidR="00E6212E" w:rsidRPr="002979C1" w:rsidRDefault="004046EE">
      <w:pPr>
        <w:ind w:left="851"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II. La intermedia o de preparación del juicio, que comprende desde la formulación de la acusación hasta el auto de apertura del juicio, y</w:t>
      </w:r>
    </w:p>
    <w:p w14:paraId="3096DF00" w14:textId="77777777" w:rsidR="00E6212E" w:rsidRPr="002979C1" w:rsidRDefault="00E6212E">
      <w:pPr>
        <w:ind w:left="851" w:right="899"/>
        <w:jc w:val="both"/>
        <w:rPr>
          <w:rFonts w:ascii="Palatino Linotype" w:eastAsia="Palatino Linotype" w:hAnsi="Palatino Linotype" w:cs="Palatino Linotype"/>
          <w:i/>
          <w:sz w:val="22"/>
          <w:szCs w:val="22"/>
        </w:rPr>
      </w:pPr>
    </w:p>
    <w:p w14:paraId="26F5CD41" w14:textId="77777777" w:rsidR="00E6212E" w:rsidRPr="002979C1" w:rsidRDefault="004046EE">
      <w:pPr>
        <w:ind w:left="851"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III. La de juicio, que comprende desde que se recibe el auto de apertura a juicio hasta la sentencia emitida por el Tribunal de enjuiciamiento.</w:t>
      </w:r>
    </w:p>
    <w:p w14:paraId="3ED010AD" w14:textId="77777777" w:rsidR="00E6212E" w:rsidRPr="002979C1" w:rsidRDefault="00E6212E">
      <w:pPr>
        <w:ind w:left="851" w:right="899"/>
        <w:jc w:val="both"/>
        <w:rPr>
          <w:rFonts w:ascii="Palatino Linotype" w:eastAsia="Palatino Linotype" w:hAnsi="Palatino Linotype" w:cs="Palatino Linotype"/>
          <w:i/>
          <w:sz w:val="22"/>
          <w:szCs w:val="22"/>
        </w:rPr>
      </w:pPr>
    </w:p>
    <w:p w14:paraId="4F1CA36D" w14:textId="77777777" w:rsidR="00E6212E" w:rsidRPr="002979C1" w:rsidRDefault="004046EE">
      <w:pPr>
        <w:ind w:left="851"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La investigación no se interrumpe ni se suspende durante el tiempo en que se lleve a cabo la audiencia inicial hasta su conclusión o durante la víspera de la ejecución de una orden de aprehensión. El ejercicio de la acción inicia con la solicitud de citatorio a audiencia inicial, puesta a disposición del detenido ante la autoridad judicial o cuando se solicita la orden de aprehensión o comparecencia, con lo cual el Ministerio Público no perderá la dirección de la investigación. El proceso dará inicio con la audiencia inicial, y terminará con la sentencia firme.</w:t>
      </w:r>
    </w:p>
    <w:p w14:paraId="392E3DF1" w14:textId="3E0B0C4F" w:rsidR="00195D45" w:rsidRPr="002979C1" w:rsidRDefault="00195D45" w:rsidP="00195D45">
      <w:p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 xml:space="preserve">               (Énfasis añadido)</w:t>
      </w:r>
    </w:p>
    <w:p w14:paraId="74D8B896" w14:textId="77777777" w:rsidR="00195D45" w:rsidRPr="002979C1" w:rsidRDefault="00195D45">
      <w:pPr>
        <w:ind w:left="851" w:right="899"/>
        <w:jc w:val="both"/>
        <w:rPr>
          <w:rFonts w:ascii="Palatino Linotype" w:eastAsia="Palatino Linotype" w:hAnsi="Palatino Linotype" w:cs="Palatino Linotype"/>
          <w:i/>
          <w:sz w:val="22"/>
          <w:szCs w:val="22"/>
        </w:rPr>
      </w:pPr>
    </w:p>
    <w:p w14:paraId="18B659A0" w14:textId="77777777" w:rsidR="00E6212E" w:rsidRPr="002979C1" w:rsidRDefault="00E6212E">
      <w:pPr>
        <w:spacing w:line="360" w:lineRule="auto"/>
        <w:jc w:val="both"/>
        <w:rPr>
          <w:rFonts w:ascii="Palatino Linotype" w:eastAsia="Palatino Linotype" w:hAnsi="Palatino Linotype" w:cs="Palatino Linotype"/>
        </w:rPr>
      </w:pPr>
    </w:p>
    <w:p w14:paraId="26991E7A" w14:textId="77777777" w:rsidR="00E6212E" w:rsidRPr="002979C1" w:rsidRDefault="004046EE">
      <w:pPr>
        <w:spacing w:line="360" w:lineRule="auto"/>
        <w:ind w:right="159"/>
        <w:jc w:val="both"/>
        <w:rPr>
          <w:rFonts w:ascii="Palatino Linotype" w:eastAsia="Palatino Linotype" w:hAnsi="Palatino Linotype" w:cs="Palatino Linotype"/>
          <w:color w:val="202124"/>
        </w:rPr>
      </w:pPr>
      <w:r w:rsidRPr="002979C1">
        <w:rPr>
          <w:rFonts w:ascii="Palatino Linotype" w:eastAsia="Palatino Linotype" w:hAnsi="Palatino Linotype" w:cs="Palatino Linotype"/>
        </w:rPr>
        <w:t xml:space="preserve">La primera etapa, que es la que nos interesa del Procedimiento Penal es la </w:t>
      </w:r>
      <w:r w:rsidRPr="002979C1">
        <w:rPr>
          <w:rFonts w:ascii="Palatino Linotype" w:eastAsia="Palatino Linotype" w:hAnsi="Palatino Linotype" w:cs="Palatino Linotype"/>
          <w:b/>
        </w:rPr>
        <w:t>Investigación Inicial</w:t>
      </w:r>
      <w:r w:rsidRPr="002979C1">
        <w:rPr>
          <w:rFonts w:ascii="Palatino Linotype" w:eastAsia="Palatino Linotype" w:hAnsi="Palatino Linotype" w:cs="Palatino Linotype"/>
        </w:rPr>
        <w:t>, la cual se</w:t>
      </w:r>
      <w:r w:rsidRPr="002979C1">
        <w:rPr>
          <w:rFonts w:ascii="Palatino Linotype" w:eastAsia="Palatino Linotype" w:hAnsi="Palatino Linotype" w:cs="Palatino Linotype"/>
          <w:color w:val="202124"/>
        </w:rPr>
        <w:t xml:space="preserve"> comienza con la denuncia o querella o por cualquier otro medio que se haga del conocimiento de un hecho posiblemente constitutivo de delito o apariencia de delito y concluye cuando el imputado queda a disposición del juez de control para que se le formule imputación </w:t>
      </w:r>
      <w:r w:rsidRPr="002979C1">
        <w:rPr>
          <w:rFonts w:ascii="Palatino Linotype" w:eastAsia="Palatino Linotype" w:hAnsi="Palatino Linotype" w:cs="Palatino Linotype"/>
          <w:color w:val="202124"/>
        </w:rPr>
        <w:lastRenderedPageBreak/>
        <w:t>correspondiente; la cual tiene como finalidad que el Ministerio Público reúna indicios para el esclarecimiento de los hechos, así como datos de prueba para sustentar el inicio del ejercicio de la acción penal.</w:t>
      </w:r>
    </w:p>
    <w:p w14:paraId="5B32EF82" w14:textId="77777777" w:rsidR="00E6212E" w:rsidRPr="002979C1" w:rsidRDefault="00E6212E">
      <w:pPr>
        <w:spacing w:line="360" w:lineRule="auto"/>
        <w:ind w:right="159"/>
        <w:jc w:val="both"/>
        <w:rPr>
          <w:rFonts w:ascii="Palatino Linotype" w:eastAsia="Palatino Linotype" w:hAnsi="Palatino Linotype" w:cs="Palatino Linotype"/>
          <w:color w:val="202124"/>
        </w:rPr>
      </w:pPr>
    </w:p>
    <w:p w14:paraId="4C1B291D" w14:textId="77777777" w:rsidR="00E6212E" w:rsidRPr="002979C1" w:rsidRDefault="004046EE">
      <w:pPr>
        <w:spacing w:line="360" w:lineRule="auto"/>
        <w:ind w:right="159"/>
        <w:jc w:val="both"/>
        <w:rPr>
          <w:rFonts w:ascii="Palatino Linotype" w:eastAsia="Palatino Linotype" w:hAnsi="Palatino Linotype" w:cs="Palatino Linotype"/>
          <w:color w:val="202124"/>
        </w:rPr>
      </w:pPr>
      <w:r w:rsidRPr="002979C1">
        <w:rPr>
          <w:rFonts w:ascii="Palatino Linotype" w:eastAsia="Palatino Linotype" w:hAnsi="Palatino Linotype" w:cs="Palatino Linotype"/>
        </w:rPr>
        <w:t>De las anteriores delimitaciones, habrá de entenderse por "investigación inicial", como la primera etapa procedimental constituida por una serie de actos, actividades y formalidades necesarias para el ejercicio o no de la acción penal, mostrándose con un carácter preparatorio al procedimiento penal.</w:t>
      </w:r>
    </w:p>
    <w:p w14:paraId="49052409" w14:textId="77777777" w:rsidR="00E6212E" w:rsidRPr="002979C1" w:rsidRDefault="00E6212E">
      <w:pPr>
        <w:spacing w:line="360" w:lineRule="auto"/>
        <w:ind w:right="159"/>
        <w:jc w:val="both"/>
        <w:rPr>
          <w:rFonts w:ascii="Arial" w:eastAsia="Arial" w:hAnsi="Arial" w:cs="Arial"/>
          <w:color w:val="202124"/>
        </w:rPr>
      </w:pPr>
    </w:p>
    <w:p w14:paraId="654459B0" w14:textId="77777777" w:rsidR="00E6212E" w:rsidRPr="002979C1" w:rsidRDefault="004046EE">
      <w:pPr>
        <w:spacing w:line="360" w:lineRule="auto"/>
        <w:ind w:right="156"/>
        <w:jc w:val="both"/>
        <w:rPr>
          <w:rFonts w:ascii="Palatino Linotype" w:eastAsia="Palatino Linotype" w:hAnsi="Palatino Linotype" w:cs="Palatino Linotype"/>
        </w:rPr>
      </w:pPr>
      <w:r w:rsidRPr="002979C1">
        <w:rPr>
          <w:rFonts w:ascii="Palatino Linotype" w:eastAsia="Palatino Linotype" w:hAnsi="Palatino Linotype" w:cs="Palatino Linotype"/>
        </w:rPr>
        <w:t xml:space="preserve">Una vez delimitada la naturaleza de lo que habrá de entenderse por </w:t>
      </w:r>
      <w:r w:rsidRPr="002979C1">
        <w:rPr>
          <w:rFonts w:ascii="Palatino Linotype" w:eastAsia="Palatino Linotype" w:hAnsi="Palatino Linotype" w:cs="Palatino Linotype"/>
          <w:i/>
        </w:rPr>
        <w:t xml:space="preserve">"investigación inicial ", </w:t>
      </w:r>
      <w:r w:rsidRPr="002979C1">
        <w:rPr>
          <w:rFonts w:ascii="Palatino Linotype" w:eastAsia="Palatino Linotype" w:hAnsi="Palatino Linotype" w:cs="Palatino Linotype"/>
        </w:rPr>
        <w:t>debemos de analizar los sujetos que intervienen en esta.</w:t>
      </w:r>
    </w:p>
    <w:p w14:paraId="0A31AEC6" w14:textId="77777777" w:rsidR="00E6212E" w:rsidRPr="002979C1" w:rsidRDefault="00E6212E">
      <w:pPr>
        <w:spacing w:line="360" w:lineRule="auto"/>
        <w:rPr>
          <w:rFonts w:ascii="Palatino Linotype" w:eastAsia="Palatino Linotype" w:hAnsi="Palatino Linotype" w:cs="Palatino Linotype"/>
          <w:b/>
        </w:rPr>
      </w:pPr>
    </w:p>
    <w:p w14:paraId="2F0AA2BE" w14:textId="77777777" w:rsidR="00E6212E" w:rsidRPr="002979C1" w:rsidRDefault="004046EE">
      <w:pPr>
        <w:widowControl w:val="0"/>
        <w:pBdr>
          <w:top w:val="nil"/>
          <w:left w:val="nil"/>
          <w:bottom w:val="nil"/>
          <w:right w:val="nil"/>
          <w:between w:val="nil"/>
        </w:pBdr>
        <w:spacing w:line="360" w:lineRule="auto"/>
        <w:ind w:left="112" w:right="146"/>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Primeramente, se alude al </w:t>
      </w:r>
      <w:r w:rsidRPr="002979C1">
        <w:rPr>
          <w:rFonts w:ascii="Palatino Linotype" w:eastAsia="Palatino Linotype" w:hAnsi="Palatino Linotype" w:cs="Palatino Linotype"/>
          <w:b/>
          <w:color w:val="000000"/>
        </w:rPr>
        <w:t>concepto mismo de parte</w:t>
      </w:r>
      <w:r w:rsidRPr="002979C1">
        <w:rPr>
          <w:rFonts w:ascii="Palatino Linotype" w:eastAsia="Palatino Linotype" w:hAnsi="Palatino Linotype" w:cs="Palatino Linotype"/>
          <w:color w:val="000000"/>
        </w:rPr>
        <w:t xml:space="preserve">, es decir, "la persona que exige del órgano jurisdiccional la aplicación de una norma sustantiva a un caso concreto, en interés propio o ajeno"; como regla general se dice que en todo proceso existen dos </w:t>
      </w:r>
      <w:r w:rsidRPr="002979C1">
        <w:rPr>
          <w:rFonts w:ascii="Palatino Linotype" w:eastAsia="Palatino Linotype" w:hAnsi="Palatino Linotype" w:cs="Palatino Linotype"/>
          <w:b/>
          <w:i/>
          <w:color w:val="000000"/>
        </w:rPr>
        <w:t xml:space="preserve">partes, </w:t>
      </w:r>
      <w:r w:rsidRPr="002979C1">
        <w:rPr>
          <w:rFonts w:ascii="Palatino Linotype" w:eastAsia="Palatino Linotype" w:hAnsi="Palatino Linotype" w:cs="Palatino Linotype"/>
          <w:color w:val="000000"/>
        </w:rPr>
        <w:t xml:space="preserve">cuya existencia </w:t>
      </w:r>
      <w:r w:rsidRPr="002979C1">
        <w:rPr>
          <w:rFonts w:ascii="Palatino Linotype" w:eastAsia="Palatino Linotype" w:hAnsi="Palatino Linotype" w:cs="Palatino Linotype"/>
          <w:i/>
          <w:color w:val="000000"/>
        </w:rPr>
        <w:t xml:space="preserve">per se </w:t>
      </w:r>
      <w:r w:rsidRPr="002979C1">
        <w:rPr>
          <w:rFonts w:ascii="Palatino Linotype" w:eastAsia="Palatino Linotype" w:hAnsi="Palatino Linotype" w:cs="Palatino Linotype"/>
          <w:color w:val="000000"/>
        </w:rPr>
        <w:t>es necesaria y antagónica entre sí, las cuales se denominan actora y demandada.</w:t>
      </w:r>
    </w:p>
    <w:p w14:paraId="4612316F" w14:textId="77777777" w:rsidR="00E6212E" w:rsidRPr="002979C1" w:rsidRDefault="00E6212E">
      <w:pPr>
        <w:widowControl w:val="0"/>
        <w:pBdr>
          <w:top w:val="nil"/>
          <w:left w:val="nil"/>
          <w:bottom w:val="nil"/>
          <w:right w:val="nil"/>
          <w:between w:val="nil"/>
        </w:pBdr>
        <w:spacing w:line="360" w:lineRule="auto"/>
        <w:ind w:left="112" w:right="128" w:hanging="10"/>
        <w:jc w:val="both"/>
        <w:rPr>
          <w:rFonts w:ascii="Palatino Linotype" w:eastAsia="Palatino Linotype" w:hAnsi="Palatino Linotype" w:cs="Palatino Linotype"/>
          <w:color w:val="000000"/>
        </w:rPr>
      </w:pPr>
    </w:p>
    <w:p w14:paraId="42FF4411" w14:textId="77777777" w:rsidR="00E6212E" w:rsidRPr="002979C1" w:rsidRDefault="004046EE">
      <w:pPr>
        <w:widowControl w:val="0"/>
        <w:pBdr>
          <w:top w:val="nil"/>
          <w:left w:val="nil"/>
          <w:bottom w:val="nil"/>
          <w:right w:val="nil"/>
          <w:between w:val="nil"/>
        </w:pBdr>
        <w:spacing w:line="360" w:lineRule="auto"/>
        <w:ind w:left="112" w:right="130" w:hanging="10"/>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Ahora bien, en el área penal se alude a sujeto, no así a parte, por lo que los sujetos que intervienen en la etapa procedimental de la investigación inicial son los siguientes:</w:t>
      </w:r>
    </w:p>
    <w:p w14:paraId="55E32AB9" w14:textId="77777777" w:rsidR="00E6212E" w:rsidRPr="002979C1" w:rsidRDefault="00E6212E">
      <w:pPr>
        <w:spacing w:line="360" w:lineRule="auto"/>
        <w:jc w:val="both"/>
        <w:rPr>
          <w:rFonts w:ascii="Palatino Linotype" w:eastAsia="Palatino Linotype" w:hAnsi="Palatino Linotype" w:cs="Palatino Linotype"/>
        </w:rPr>
      </w:pPr>
    </w:p>
    <w:p w14:paraId="06EAE04A" w14:textId="77777777" w:rsidR="00E6212E" w:rsidRPr="002979C1" w:rsidRDefault="004046EE">
      <w:pPr>
        <w:ind w:right="899"/>
        <w:jc w:val="center"/>
        <w:rPr>
          <w:rFonts w:ascii="Palatino Linotype" w:eastAsia="Palatino Linotype" w:hAnsi="Palatino Linotype" w:cs="Palatino Linotype"/>
          <w:b/>
          <w:i/>
          <w:sz w:val="22"/>
          <w:szCs w:val="22"/>
        </w:rPr>
      </w:pPr>
      <w:r w:rsidRPr="002979C1">
        <w:rPr>
          <w:rFonts w:ascii="Palatino Linotype" w:eastAsia="Palatino Linotype" w:hAnsi="Palatino Linotype" w:cs="Palatino Linotype"/>
          <w:b/>
          <w:i/>
          <w:sz w:val="22"/>
          <w:szCs w:val="22"/>
        </w:rPr>
        <w:t>TÍTULO V</w:t>
      </w:r>
    </w:p>
    <w:p w14:paraId="7BAB2BA1" w14:textId="77777777" w:rsidR="00E6212E" w:rsidRPr="002979C1" w:rsidRDefault="004046EE">
      <w:pPr>
        <w:ind w:right="899"/>
        <w:jc w:val="center"/>
        <w:rPr>
          <w:rFonts w:ascii="Palatino Linotype" w:eastAsia="Palatino Linotype" w:hAnsi="Palatino Linotype" w:cs="Palatino Linotype"/>
          <w:b/>
          <w:i/>
          <w:sz w:val="22"/>
          <w:szCs w:val="22"/>
        </w:rPr>
      </w:pPr>
      <w:r w:rsidRPr="002979C1">
        <w:rPr>
          <w:rFonts w:ascii="Palatino Linotype" w:eastAsia="Palatino Linotype" w:hAnsi="Palatino Linotype" w:cs="Palatino Linotype"/>
          <w:b/>
          <w:i/>
          <w:sz w:val="22"/>
          <w:szCs w:val="22"/>
        </w:rPr>
        <w:t>SUJETOS DEL PROCEDIMIENTO Y SUS AUXILIARES</w:t>
      </w:r>
    </w:p>
    <w:p w14:paraId="70B5BAE4" w14:textId="77777777" w:rsidR="00E6212E" w:rsidRPr="002979C1" w:rsidRDefault="00E6212E">
      <w:pPr>
        <w:ind w:right="899"/>
        <w:jc w:val="center"/>
        <w:rPr>
          <w:rFonts w:ascii="Palatino Linotype" w:eastAsia="Palatino Linotype" w:hAnsi="Palatino Linotype" w:cs="Palatino Linotype"/>
          <w:b/>
          <w:i/>
          <w:sz w:val="22"/>
          <w:szCs w:val="22"/>
        </w:rPr>
      </w:pPr>
    </w:p>
    <w:p w14:paraId="06CFC354" w14:textId="77777777" w:rsidR="00E6212E" w:rsidRPr="002979C1" w:rsidRDefault="004046EE">
      <w:pPr>
        <w:ind w:right="899"/>
        <w:jc w:val="center"/>
        <w:rPr>
          <w:rFonts w:ascii="Palatino Linotype" w:eastAsia="Palatino Linotype" w:hAnsi="Palatino Linotype" w:cs="Palatino Linotype"/>
          <w:b/>
          <w:i/>
          <w:sz w:val="22"/>
          <w:szCs w:val="22"/>
        </w:rPr>
      </w:pPr>
      <w:r w:rsidRPr="002979C1">
        <w:rPr>
          <w:rFonts w:ascii="Palatino Linotype" w:eastAsia="Palatino Linotype" w:hAnsi="Palatino Linotype" w:cs="Palatino Linotype"/>
          <w:b/>
          <w:i/>
          <w:sz w:val="22"/>
          <w:szCs w:val="22"/>
        </w:rPr>
        <w:t>CAPÍTULO I</w:t>
      </w:r>
    </w:p>
    <w:p w14:paraId="6B8522CA" w14:textId="77777777" w:rsidR="00E6212E" w:rsidRPr="002979C1" w:rsidRDefault="00E6212E">
      <w:pPr>
        <w:ind w:right="899"/>
        <w:jc w:val="center"/>
        <w:rPr>
          <w:rFonts w:ascii="Palatino Linotype" w:eastAsia="Palatino Linotype" w:hAnsi="Palatino Linotype" w:cs="Palatino Linotype"/>
          <w:b/>
          <w:i/>
          <w:sz w:val="22"/>
          <w:szCs w:val="22"/>
        </w:rPr>
      </w:pPr>
    </w:p>
    <w:p w14:paraId="6D947ED7" w14:textId="77777777" w:rsidR="00E6212E" w:rsidRPr="002979C1" w:rsidRDefault="004046EE">
      <w:pPr>
        <w:ind w:right="899"/>
        <w:jc w:val="center"/>
        <w:rPr>
          <w:rFonts w:ascii="Palatino Linotype" w:eastAsia="Palatino Linotype" w:hAnsi="Palatino Linotype" w:cs="Palatino Linotype"/>
          <w:b/>
          <w:i/>
          <w:sz w:val="22"/>
          <w:szCs w:val="22"/>
        </w:rPr>
      </w:pPr>
      <w:r w:rsidRPr="002979C1">
        <w:rPr>
          <w:rFonts w:ascii="Palatino Linotype" w:eastAsia="Palatino Linotype" w:hAnsi="Palatino Linotype" w:cs="Palatino Linotype"/>
          <w:b/>
          <w:i/>
          <w:sz w:val="22"/>
          <w:szCs w:val="22"/>
        </w:rPr>
        <w:t>DISPOSICIONES COMUNES</w:t>
      </w:r>
    </w:p>
    <w:p w14:paraId="74D2E7D4" w14:textId="77777777" w:rsidR="00E6212E" w:rsidRPr="002979C1" w:rsidRDefault="00E6212E">
      <w:pPr>
        <w:ind w:right="899"/>
        <w:jc w:val="both"/>
        <w:rPr>
          <w:rFonts w:ascii="Palatino Linotype" w:eastAsia="Palatino Linotype" w:hAnsi="Palatino Linotype" w:cs="Palatino Linotype"/>
          <w:i/>
          <w:sz w:val="22"/>
          <w:szCs w:val="22"/>
        </w:rPr>
      </w:pPr>
    </w:p>
    <w:p w14:paraId="5A14953E" w14:textId="77777777" w:rsidR="00E6212E" w:rsidRPr="002979C1" w:rsidRDefault="004046EE">
      <w:pPr>
        <w:ind w:right="899"/>
        <w:jc w:val="both"/>
        <w:rPr>
          <w:rFonts w:ascii="Palatino Linotype" w:eastAsia="Palatino Linotype" w:hAnsi="Palatino Linotype" w:cs="Palatino Linotype"/>
          <w:b/>
          <w:i/>
          <w:sz w:val="22"/>
          <w:szCs w:val="22"/>
        </w:rPr>
      </w:pPr>
      <w:r w:rsidRPr="002979C1">
        <w:rPr>
          <w:rFonts w:ascii="Palatino Linotype" w:eastAsia="Palatino Linotype" w:hAnsi="Palatino Linotype" w:cs="Palatino Linotype"/>
          <w:b/>
          <w:i/>
          <w:sz w:val="22"/>
          <w:szCs w:val="22"/>
        </w:rPr>
        <w:t>Artículo 105. Sujetos de procedimiento penal</w:t>
      </w:r>
    </w:p>
    <w:p w14:paraId="62AE54A5" w14:textId="77777777" w:rsidR="00E6212E" w:rsidRPr="002979C1" w:rsidRDefault="004046EE">
      <w:pPr>
        <w:ind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i/>
          <w:sz w:val="22"/>
          <w:szCs w:val="22"/>
        </w:rPr>
        <w:t>Son sujetos del procedimiento penal los siguientes:</w:t>
      </w:r>
    </w:p>
    <w:p w14:paraId="54F23813" w14:textId="77777777" w:rsidR="00E6212E" w:rsidRPr="002979C1" w:rsidRDefault="004046EE">
      <w:pPr>
        <w:numPr>
          <w:ilvl w:val="0"/>
          <w:numId w:val="10"/>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La víctima u ofendido;</w:t>
      </w:r>
    </w:p>
    <w:p w14:paraId="6B5E0D96" w14:textId="77777777" w:rsidR="00E6212E" w:rsidRPr="002979C1" w:rsidRDefault="004046EE">
      <w:pPr>
        <w:numPr>
          <w:ilvl w:val="0"/>
          <w:numId w:val="10"/>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El Asesor jurídico;</w:t>
      </w:r>
    </w:p>
    <w:p w14:paraId="123C27C9" w14:textId="77777777" w:rsidR="00E6212E" w:rsidRPr="002979C1" w:rsidRDefault="004046EE">
      <w:pPr>
        <w:numPr>
          <w:ilvl w:val="0"/>
          <w:numId w:val="10"/>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El imputado;</w:t>
      </w:r>
    </w:p>
    <w:p w14:paraId="28CEF9E7" w14:textId="77777777" w:rsidR="00E6212E" w:rsidRPr="002979C1" w:rsidRDefault="004046EE">
      <w:pPr>
        <w:numPr>
          <w:ilvl w:val="0"/>
          <w:numId w:val="10"/>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El Defensor;</w:t>
      </w:r>
    </w:p>
    <w:p w14:paraId="2755C905" w14:textId="77777777" w:rsidR="00E6212E" w:rsidRPr="002979C1" w:rsidRDefault="004046EE">
      <w:pPr>
        <w:numPr>
          <w:ilvl w:val="0"/>
          <w:numId w:val="10"/>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El Ministerio Público;</w:t>
      </w:r>
    </w:p>
    <w:p w14:paraId="210D7DD7" w14:textId="77777777" w:rsidR="00E6212E" w:rsidRPr="002979C1" w:rsidRDefault="004046EE">
      <w:pPr>
        <w:numPr>
          <w:ilvl w:val="0"/>
          <w:numId w:val="10"/>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La Policía;</w:t>
      </w:r>
    </w:p>
    <w:p w14:paraId="1DA15D5A" w14:textId="77777777" w:rsidR="00E6212E" w:rsidRPr="002979C1" w:rsidRDefault="004046EE">
      <w:pPr>
        <w:numPr>
          <w:ilvl w:val="0"/>
          <w:numId w:val="10"/>
        </w:numPr>
        <w:pBdr>
          <w:top w:val="nil"/>
          <w:left w:val="nil"/>
          <w:bottom w:val="nil"/>
          <w:right w:val="nil"/>
          <w:between w:val="nil"/>
        </w:pBdr>
        <w:ind w:left="284" w:right="899" w:firstLine="0"/>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 xml:space="preserve">     El Órgano jurisdiccional, y</w:t>
      </w:r>
    </w:p>
    <w:p w14:paraId="5286FAAB" w14:textId="77777777" w:rsidR="00E6212E" w:rsidRPr="002979C1" w:rsidRDefault="004046EE">
      <w:pPr>
        <w:numPr>
          <w:ilvl w:val="0"/>
          <w:numId w:val="10"/>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 xml:space="preserve">La autoridad de supervisión de medidas cautelares y de la suspensión condicional del proceso. Los sujetos del procedimiento que tendrán la calidad de parte en los procedimientos previstos en este </w:t>
      </w:r>
      <w:proofErr w:type="gramStart"/>
      <w:r w:rsidRPr="002979C1">
        <w:rPr>
          <w:rFonts w:ascii="Palatino Linotype" w:eastAsia="Palatino Linotype" w:hAnsi="Palatino Linotype" w:cs="Palatino Linotype"/>
          <w:i/>
          <w:color w:val="000000"/>
          <w:sz w:val="22"/>
          <w:szCs w:val="22"/>
        </w:rPr>
        <w:t>Código,</w:t>
      </w:r>
      <w:proofErr w:type="gramEnd"/>
      <w:r w:rsidRPr="002979C1">
        <w:rPr>
          <w:rFonts w:ascii="Palatino Linotype" w:eastAsia="Palatino Linotype" w:hAnsi="Palatino Linotype" w:cs="Palatino Linotype"/>
          <w:i/>
          <w:color w:val="000000"/>
          <w:sz w:val="22"/>
          <w:szCs w:val="22"/>
        </w:rPr>
        <w:t xml:space="preserve"> son el imputado y su Defensor, el Ministerio Público, la víctima u ofendido y su Asesor jurídico.</w:t>
      </w:r>
    </w:p>
    <w:p w14:paraId="1F4B5C12" w14:textId="3868AF2B" w:rsidR="00E6212E" w:rsidRPr="002979C1" w:rsidRDefault="00195D45">
      <w:pPr>
        <w:pBdr>
          <w:top w:val="nil"/>
          <w:left w:val="nil"/>
          <w:bottom w:val="nil"/>
          <w:right w:val="nil"/>
          <w:between w:val="nil"/>
        </w:pBdr>
        <w:ind w:left="1004"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(Énfasis añadido)</w:t>
      </w:r>
    </w:p>
    <w:p w14:paraId="2917F23C" w14:textId="77777777" w:rsidR="00E6212E" w:rsidRPr="002979C1" w:rsidRDefault="00E6212E">
      <w:pPr>
        <w:pBdr>
          <w:top w:val="nil"/>
          <w:left w:val="nil"/>
          <w:bottom w:val="nil"/>
          <w:right w:val="nil"/>
          <w:between w:val="nil"/>
        </w:pBdr>
        <w:ind w:left="1004" w:right="899"/>
        <w:jc w:val="both"/>
        <w:rPr>
          <w:rFonts w:ascii="Palatino Linotype" w:eastAsia="Palatino Linotype" w:hAnsi="Palatino Linotype" w:cs="Palatino Linotype"/>
          <w:i/>
          <w:color w:val="000000"/>
          <w:sz w:val="22"/>
          <w:szCs w:val="22"/>
        </w:rPr>
      </w:pPr>
    </w:p>
    <w:p w14:paraId="16B4BD85" w14:textId="77777777" w:rsidR="00E6212E" w:rsidRPr="002979C1" w:rsidRDefault="004046EE">
      <w:pPr>
        <w:widowControl w:val="0"/>
        <w:pBdr>
          <w:top w:val="nil"/>
          <w:left w:val="nil"/>
          <w:bottom w:val="nil"/>
          <w:right w:val="nil"/>
          <w:between w:val="nil"/>
        </w:pBdr>
        <w:spacing w:line="360" w:lineRule="auto"/>
        <w:ind w:left="121" w:right="277"/>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Ahora bien, para el inicio y desarrollo de la investigación inicial, se requiere del uso de determinado sistema de investigación, además de una serie de actos, actividades, diligencias y formalidades necesarias para su integración, las cuales deberán seguir una estructura sistemática y coherente.</w:t>
      </w:r>
    </w:p>
    <w:p w14:paraId="2ED74300" w14:textId="77777777" w:rsidR="00E6212E" w:rsidRPr="002979C1" w:rsidRDefault="00E6212E">
      <w:pPr>
        <w:widowControl w:val="0"/>
        <w:pBdr>
          <w:top w:val="nil"/>
          <w:left w:val="nil"/>
          <w:bottom w:val="nil"/>
          <w:right w:val="nil"/>
          <w:between w:val="nil"/>
        </w:pBdr>
        <w:spacing w:line="360" w:lineRule="auto"/>
        <w:ind w:left="121" w:right="277"/>
        <w:jc w:val="both"/>
        <w:rPr>
          <w:rFonts w:ascii="Palatino Linotype" w:eastAsia="Palatino Linotype" w:hAnsi="Palatino Linotype" w:cs="Palatino Linotype"/>
          <w:color w:val="000000"/>
        </w:rPr>
      </w:pPr>
    </w:p>
    <w:p w14:paraId="13322CDF" w14:textId="6F8D5444" w:rsidR="00E6212E" w:rsidRPr="002979C1" w:rsidRDefault="004046EE">
      <w:pPr>
        <w:widowControl w:val="0"/>
        <w:pBdr>
          <w:top w:val="nil"/>
          <w:left w:val="nil"/>
          <w:bottom w:val="nil"/>
          <w:right w:val="nil"/>
          <w:between w:val="nil"/>
        </w:pBdr>
        <w:spacing w:line="360" w:lineRule="auto"/>
        <w:ind w:left="121" w:right="277"/>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En términos generales, del contenido de la investigación inicial previa, se destacan diversas diligencias que debe realizar el Ministerio Público</w:t>
      </w:r>
      <w:r w:rsidR="00286714" w:rsidRPr="002979C1">
        <w:rPr>
          <w:rFonts w:ascii="Palatino Linotype" w:eastAsia="Palatino Linotype" w:hAnsi="Palatino Linotype" w:cs="Palatino Linotype"/>
          <w:color w:val="000000"/>
        </w:rPr>
        <w:t xml:space="preserve"> que,</w:t>
      </w:r>
      <w:r w:rsidRPr="002979C1">
        <w:rPr>
          <w:rFonts w:ascii="Palatino Linotype" w:eastAsia="Palatino Linotype" w:hAnsi="Palatino Linotype" w:cs="Palatino Linotype"/>
          <w:color w:val="000000"/>
        </w:rPr>
        <w:t xml:space="preserve"> entre muchas otras, a </w:t>
      </w:r>
      <w:r w:rsidR="00286714" w:rsidRPr="002979C1">
        <w:rPr>
          <w:rFonts w:ascii="Palatino Linotype" w:eastAsia="Palatino Linotype" w:hAnsi="Palatino Linotype" w:cs="Palatino Linotype"/>
          <w:color w:val="000000"/>
        </w:rPr>
        <w:t>saber,</w:t>
      </w:r>
      <w:r w:rsidRPr="002979C1">
        <w:rPr>
          <w:rFonts w:ascii="Palatino Linotype" w:eastAsia="Palatino Linotype" w:hAnsi="Palatino Linotype" w:cs="Palatino Linotype"/>
          <w:color w:val="000000"/>
        </w:rPr>
        <w:t xml:space="preserve"> se mencionan algunas de ellas, siendo las siguientes:</w:t>
      </w:r>
    </w:p>
    <w:p w14:paraId="06F020A3" w14:textId="77777777" w:rsidR="00E6212E" w:rsidRPr="002979C1" w:rsidRDefault="004046EE">
      <w:pPr>
        <w:numPr>
          <w:ilvl w:val="0"/>
          <w:numId w:val="2"/>
        </w:numPr>
        <w:pBdr>
          <w:top w:val="nil"/>
          <w:left w:val="nil"/>
          <w:bottom w:val="nil"/>
          <w:right w:val="nil"/>
          <w:between w:val="nil"/>
        </w:pBdr>
        <w:ind w:left="851" w:right="899" w:firstLine="0"/>
        <w:jc w:val="both"/>
        <w:rPr>
          <w:rFonts w:ascii="Palatino Linotype" w:eastAsia="Palatino Linotype" w:hAnsi="Palatino Linotype" w:cs="Palatino Linotype"/>
          <w:i/>
          <w:color w:val="444241"/>
          <w:sz w:val="22"/>
          <w:szCs w:val="22"/>
        </w:rPr>
      </w:pPr>
      <w:r w:rsidRPr="002979C1">
        <w:rPr>
          <w:rFonts w:ascii="Palatino Linotype" w:eastAsia="Palatino Linotype" w:hAnsi="Palatino Linotype" w:cs="Palatino Linotype"/>
          <w:i/>
          <w:color w:val="444241"/>
          <w:sz w:val="22"/>
          <w:szCs w:val="22"/>
        </w:rPr>
        <w:t>Practicar actos de investigación,</w:t>
      </w:r>
    </w:p>
    <w:p w14:paraId="4520B47A" w14:textId="77777777" w:rsidR="00E6212E" w:rsidRPr="002979C1" w:rsidRDefault="004046EE">
      <w:pPr>
        <w:numPr>
          <w:ilvl w:val="0"/>
          <w:numId w:val="2"/>
        </w:numPr>
        <w:pBdr>
          <w:top w:val="nil"/>
          <w:left w:val="nil"/>
          <w:bottom w:val="nil"/>
          <w:right w:val="nil"/>
          <w:between w:val="nil"/>
        </w:pBdr>
        <w:ind w:left="851" w:right="899" w:firstLine="0"/>
        <w:jc w:val="both"/>
        <w:rPr>
          <w:rFonts w:ascii="Palatino Linotype" w:eastAsia="Palatino Linotype" w:hAnsi="Palatino Linotype" w:cs="Palatino Linotype"/>
          <w:i/>
          <w:color w:val="444241"/>
          <w:sz w:val="22"/>
          <w:szCs w:val="22"/>
        </w:rPr>
      </w:pPr>
      <w:r w:rsidRPr="002979C1">
        <w:rPr>
          <w:rFonts w:ascii="Palatino Linotype" w:eastAsia="Palatino Linotype" w:hAnsi="Palatino Linotype" w:cs="Palatino Linotype"/>
          <w:i/>
          <w:color w:val="444241"/>
          <w:sz w:val="22"/>
          <w:szCs w:val="22"/>
        </w:rPr>
        <w:t>Ordenar la inspección del lugar de los hechos,</w:t>
      </w:r>
    </w:p>
    <w:p w14:paraId="12B88D0E" w14:textId="77777777" w:rsidR="00E6212E" w:rsidRPr="002979C1" w:rsidRDefault="004046EE">
      <w:pPr>
        <w:numPr>
          <w:ilvl w:val="0"/>
          <w:numId w:val="2"/>
        </w:numPr>
        <w:pBdr>
          <w:top w:val="nil"/>
          <w:left w:val="nil"/>
          <w:bottom w:val="nil"/>
          <w:right w:val="nil"/>
          <w:between w:val="nil"/>
        </w:pBdr>
        <w:ind w:left="851" w:right="899" w:firstLine="0"/>
        <w:jc w:val="both"/>
        <w:rPr>
          <w:rFonts w:ascii="Palatino Linotype" w:eastAsia="Palatino Linotype" w:hAnsi="Palatino Linotype" w:cs="Palatino Linotype"/>
          <w:i/>
          <w:color w:val="444241"/>
          <w:sz w:val="22"/>
          <w:szCs w:val="22"/>
        </w:rPr>
      </w:pPr>
      <w:r w:rsidRPr="002979C1">
        <w:rPr>
          <w:rFonts w:ascii="Palatino Linotype" w:eastAsia="Palatino Linotype" w:hAnsi="Palatino Linotype" w:cs="Palatino Linotype"/>
          <w:i/>
          <w:color w:val="444241"/>
          <w:sz w:val="22"/>
          <w:szCs w:val="22"/>
        </w:rPr>
        <w:t>Solicitar la intervención de peritos,</w:t>
      </w:r>
    </w:p>
    <w:p w14:paraId="4D0818AB" w14:textId="77777777" w:rsidR="00E6212E" w:rsidRPr="002979C1" w:rsidRDefault="004046EE">
      <w:pPr>
        <w:numPr>
          <w:ilvl w:val="0"/>
          <w:numId w:val="2"/>
        </w:numPr>
        <w:pBdr>
          <w:top w:val="nil"/>
          <w:left w:val="nil"/>
          <w:bottom w:val="nil"/>
          <w:right w:val="nil"/>
          <w:between w:val="nil"/>
        </w:pBdr>
        <w:ind w:left="851" w:right="899" w:firstLine="0"/>
        <w:jc w:val="both"/>
        <w:rPr>
          <w:rFonts w:ascii="Palatino Linotype" w:eastAsia="Palatino Linotype" w:hAnsi="Palatino Linotype" w:cs="Palatino Linotype"/>
          <w:i/>
          <w:color w:val="444241"/>
          <w:sz w:val="22"/>
          <w:szCs w:val="22"/>
        </w:rPr>
      </w:pPr>
      <w:r w:rsidRPr="002979C1">
        <w:rPr>
          <w:rFonts w:ascii="Palatino Linotype" w:eastAsia="Palatino Linotype" w:hAnsi="Palatino Linotype" w:cs="Palatino Linotype"/>
          <w:i/>
          <w:color w:val="444241"/>
          <w:sz w:val="22"/>
          <w:szCs w:val="22"/>
        </w:rPr>
        <w:t>Entrevistar testigos,</w:t>
      </w:r>
    </w:p>
    <w:p w14:paraId="4AA73602" w14:textId="77777777" w:rsidR="00E6212E" w:rsidRPr="002979C1" w:rsidRDefault="004046EE">
      <w:pPr>
        <w:numPr>
          <w:ilvl w:val="0"/>
          <w:numId w:val="2"/>
        </w:numPr>
        <w:pBdr>
          <w:top w:val="nil"/>
          <w:left w:val="nil"/>
          <w:bottom w:val="nil"/>
          <w:right w:val="nil"/>
          <w:between w:val="nil"/>
        </w:pBdr>
        <w:ind w:left="851" w:right="899" w:firstLine="0"/>
        <w:jc w:val="both"/>
        <w:rPr>
          <w:rFonts w:ascii="Palatino Linotype" w:eastAsia="Palatino Linotype" w:hAnsi="Palatino Linotype" w:cs="Palatino Linotype"/>
          <w:i/>
          <w:color w:val="444241"/>
          <w:sz w:val="22"/>
          <w:szCs w:val="22"/>
        </w:rPr>
      </w:pPr>
      <w:r w:rsidRPr="002979C1">
        <w:rPr>
          <w:rFonts w:ascii="Palatino Linotype" w:eastAsia="Palatino Linotype" w:hAnsi="Palatino Linotype" w:cs="Palatino Linotype"/>
          <w:i/>
          <w:color w:val="444241"/>
          <w:sz w:val="22"/>
          <w:szCs w:val="22"/>
        </w:rPr>
        <w:lastRenderedPageBreak/>
        <w:t>Solicitar diversa información y documentos a otras autoridades,</w:t>
      </w:r>
    </w:p>
    <w:p w14:paraId="0BCFB50F" w14:textId="3C08D187" w:rsidR="00E6212E" w:rsidRPr="002979C1" w:rsidRDefault="004046EE">
      <w:pPr>
        <w:widowControl w:val="0"/>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En atención a lo anterior, es claro </w:t>
      </w:r>
      <w:r w:rsidR="00286714" w:rsidRPr="002979C1">
        <w:rPr>
          <w:rFonts w:ascii="Palatino Linotype" w:eastAsia="Palatino Linotype" w:hAnsi="Palatino Linotype" w:cs="Palatino Linotype"/>
          <w:color w:val="000000"/>
        </w:rPr>
        <w:t>que,</w:t>
      </w:r>
      <w:r w:rsidRPr="002979C1">
        <w:rPr>
          <w:rFonts w:ascii="Palatino Linotype" w:eastAsia="Palatino Linotype" w:hAnsi="Palatino Linotype" w:cs="Palatino Linotype"/>
          <w:color w:val="000000"/>
        </w:rPr>
        <w:t xml:space="preserve"> en ejercicio de sus atribuciones de investigación, la Fiscalía General de Justicia del Estado de México, debe recabar información relacionada con los hechos que la ley señala como delito, relacionados con los posibles responsables, las víctimas u ofendidos, los testigos e incluso terceras personas.</w:t>
      </w:r>
    </w:p>
    <w:p w14:paraId="3A61BB1E" w14:textId="77777777" w:rsidR="00E6212E" w:rsidRPr="002979C1" w:rsidRDefault="00E6212E">
      <w:pPr>
        <w:spacing w:before="6" w:line="360" w:lineRule="auto"/>
        <w:ind w:right="51"/>
        <w:rPr>
          <w:rFonts w:ascii="Palatino Linotype" w:eastAsia="Palatino Linotype" w:hAnsi="Palatino Linotype" w:cs="Palatino Linotype"/>
        </w:rPr>
      </w:pPr>
    </w:p>
    <w:p w14:paraId="5254505A" w14:textId="77777777" w:rsidR="00E6212E" w:rsidRPr="002979C1" w:rsidRDefault="004046EE">
      <w:pPr>
        <w:spacing w:line="360" w:lineRule="auto"/>
        <w:ind w:right="51" w:hanging="5"/>
        <w:jc w:val="both"/>
        <w:rPr>
          <w:rFonts w:ascii="Palatino Linotype" w:eastAsia="Palatino Linotype" w:hAnsi="Palatino Linotype" w:cs="Palatino Linotype"/>
        </w:rPr>
      </w:pPr>
      <w:r w:rsidRPr="002979C1">
        <w:rPr>
          <w:rFonts w:ascii="Palatino Linotype" w:eastAsia="Palatino Linotype" w:hAnsi="Palatino Linotype" w:cs="Palatino Linotype"/>
        </w:rPr>
        <w:t xml:space="preserve">Además, se recaban los datos generales de estos sujetos (como el nombre, domicilio, estado civil, ocupación, ingresos, entre otros datos). </w:t>
      </w:r>
      <w:r w:rsidRPr="002979C1">
        <w:rPr>
          <w:rFonts w:ascii="Palatino Linotype" w:eastAsia="Palatino Linotype" w:hAnsi="Palatino Linotype" w:cs="Palatino Linotype"/>
          <w:b/>
        </w:rPr>
        <w:t xml:space="preserve">Por lo que se concluye que, las actuaciones de una investigación pueden comprender detalles muy íntimos de las personas involucradas en la investigación. </w:t>
      </w:r>
      <w:r w:rsidRPr="002979C1">
        <w:rPr>
          <w:rFonts w:ascii="Palatino Linotype" w:eastAsia="Palatino Linotype" w:hAnsi="Palatino Linotype" w:cs="Palatino Linotype"/>
        </w:rPr>
        <w:t>Sólo a manera de ejemplo, es posible</w:t>
      </w:r>
      <w:r w:rsidRPr="002979C1">
        <w:rPr>
          <w:rFonts w:ascii="Palatino Linotype" w:eastAsia="Palatino Linotype" w:hAnsi="Palatino Linotype" w:cs="Palatino Linotype"/>
          <w:b/>
        </w:rPr>
        <w:t xml:space="preserve"> </w:t>
      </w:r>
      <w:r w:rsidRPr="002979C1">
        <w:rPr>
          <w:rFonts w:ascii="Palatino Linotype" w:eastAsia="Palatino Linotype" w:hAnsi="Palatino Linotype" w:cs="Palatino Linotype"/>
        </w:rPr>
        <w:t>decir que, en una investigación inicial, puede figurar información atinente a las propiedades, cuentas bancarias, filiación, relaciones sentimentales o al estado de salud de los sujetos implicados en alguna investigación o diligencia, entre otros datos personales y sensibles.</w:t>
      </w:r>
    </w:p>
    <w:p w14:paraId="079B8077" w14:textId="77777777" w:rsidR="00E6212E" w:rsidRPr="002979C1" w:rsidRDefault="00E6212E">
      <w:pPr>
        <w:spacing w:line="360" w:lineRule="auto"/>
        <w:ind w:right="51" w:hanging="5"/>
        <w:jc w:val="both"/>
        <w:rPr>
          <w:rFonts w:ascii="Palatino Linotype" w:eastAsia="Palatino Linotype" w:hAnsi="Palatino Linotype" w:cs="Palatino Linotype"/>
        </w:rPr>
      </w:pPr>
    </w:p>
    <w:p w14:paraId="739BFAB1" w14:textId="5D01E8A6" w:rsidR="00E6212E" w:rsidRPr="002979C1" w:rsidRDefault="004046EE">
      <w:pPr>
        <w:spacing w:line="360" w:lineRule="auto"/>
        <w:jc w:val="both"/>
        <w:rPr>
          <w:rFonts w:ascii="Palatino Linotype" w:eastAsia="Palatino Linotype" w:hAnsi="Palatino Linotype" w:cs="Palatino Linotype"/>
        </w:rPr>
      </w:pPr>
      <w:r w:rsidRPr="002979C1">
        <w:rPr>
          <w:rFonts w:ascii="Palatino Linotype" w:eastAsia="Palatino Linotype" w:hAnsi="Palatino Linotype" w:cs="Palatino Linotype"/>
          <w:b/>
        </w:rPr>
        <w:t xml:space="preserve">Debe destacarse que, al solicitar dictámenes periciales del </w:t>
      </w:r>
      <w:r w:rsidR="006163AD">
        <w:rPr>
          <w:rFonts w:ascii="Palatino Linotype" w:eastAsia="Palatino Linotype" w:hAnsi="Palatino Linotype" w:cs="Palatino Linotype"/>
          <w:b/>
        </w:rPr>
        <w:t>XXXXXXX XXXXX</w:t>
      </w:r>
      <w:r w:rsidRPr="002979C1">
        <w:rPr>
          <w:rFonts w:ascii="Palatino Linotype" w:eastAsia="Palatino Linotype" w:hAnsi="Palatino Linotype" w:cs="Palatino Linotype"/>
          <w:b/>
        </w:rPr>
        <w:t xml:space="preserve"> de manera general, en respuesta el Sujeto Obligado, pone en relieve que dichos dictámenes, materia de la solicitud, obran dentro de la carpeta de investigación </w:t>
      </w:r>
      <w:r w:rsidRPr="002979C1">
        <w:rPr>
          <w:rFonts w:ascii="Palatino Linotype" w:eastAsia="Palatino Linotype" w:hAnsi="Palatino Linotype" w:cs="Palatino Linotype"/>
          <w:b/>
          <w:i/>
        </w:rPr>
        <w:t xml:space="preserve">NIC:FHT/FHT/00/MPI/401/00480/21/10 y NUC: LER/FHT/FHT/054/303750/21/10, </w:t>
      </w:r>
      <w:r w:rsidRPr="002979C1">
        <w:rPr>
          <w:rFonts w:ascii="Palatino Linotype" w:eastAsia="Palatino Linotype" w:hAnsi="Palatino Linotype" w:cs="Palatino Linotype"/>
          <w:b/>
        </w:rPr>
        <w:t xml:space="preserve">la cual es precisamente seguida en relación al caso del actor </w:t>
      </w:r>
      <w:r w:rsidR="006163AD">
        <w:rPr>
          <w:rFonts w:ascii="Palatino Linotype" w:eastAsia="Palatino Linotype" w:hAnsi="Palatino Linotype" w:cs="Palatino Linotype"/>
          <w:b/>
        </w:rPr>
        <w:t>XXXXXXX XXXXX</w:t>
      </w:r>
      <w:r w:rsidRPr="002979C1">
        <w:rPr>
          <w:rFonts w:ascii="Palatino Linotype" w:eastAsia="Palatino Linotype" w:hAnsi="Palatino Linotype" w:cs="Palatino Linotype"/>
        </w:rPr>
        <w:t xml:space="preserve">; por ende, el dar a conocer la información contenida en esta carpeta, </w:t>
      </w:r>
      <w:r w:rsidRPr="002979C1">
        <w:rPr>
          <w:rFonts w:ascii="Palatino Linotype" w:eastAsia="Palatino Linotype" w:hAnsi="Palatino Linotype" w:cs="Palatino Linotype"/>
          <w:color w:val="000000"/>
        </w:rPr>
        <w:t xml:space="preserve">involucra conocer la </w:t>
      </w:r>
      <w:r w:rsidRPr="002979C1">
        <w:rPr>
          <w:rFonts w:ascii="Palatino Linotype" w:eastAsia="Palatino Linotype" w:hAnsi="Palatino Linotype" w:cs="Palatino Linotype"/>
          <w:color w:val="000000"/>
        </w:rPr>
        <w:lastRenderedPageBreak/>
        <w:t>identidad del personal sustantivo, como es el caso de los Policías, Ministerios Públicos y Peritos, que los vuelve identificables y posiblemente reconocibles.</w:t>
      </w:r>
    </w:p>
    <w:p w14:paraId="41ED519C" w14:textId="77777777" w:rsidR="00E6212E" w:rsidRPr="002979C1" w:rsidRDefault="00E6212E">
      <w:pPr>
        <w:spacing w:line="360" w:lineRule="auto"/>
        <w:ind w:right="51" w:hanging="5"/>
        <w:jc w:val="both"/>
        <w:rPr>
          <w:rFonts w:ascii="Palatino Linotype" w:eastAsia="Palatino Linotype" w:hAnsi="Palatino Linotype" w:cs="Palatino Linotype"/>
        </w:rPr>
      </w:pPr>
    </w:p>
    <w:p w14:paraId="4860AA82" w14:textId="77777777" w:rsidR="00E6212E" w:rsidRPr="002979C1" w:rsidRDefault="004046EE">
      <w:pPr>
        <w:spacing w:line="360" w:lineRule="auto"/>
        <w:ind w:right="51" w:hanging="6"/>
        <w:jc w:val="both"/>
        <w:rPr>
          <w:rFonts w:ascii="Palatino Linotype" w:eastAsia="Palatino Linotype" w:hAnsi="Palatino Linotype" w:cs="Palatino Linotype"/>
        </w:rPr>
      </w:pPr>
      <w:r w:rsidRPr="002979C1">
        <w:rPr>
          <w:rFonts w:ascii="Palatino Linotype" w:eastAsia="Palatino Linotype" w:hAnsi="Palatino Linotype" w:cs="Palatino Linotype"/>
        </w:rPr>
        <w:t xml:space="preserve">Aunado a lo anterior, conviene citar lo concerniente a la Controversia Constitucional 325/2019, resuelta por la Suprema Corte de Justicia de la Nación el doce de mayo de dos mil veintidós, en la que determinó clasificar como reservada la información relativa al personal sustantivo/operativo, entendiéndose aquellos servidores públicos que realizan funciones sustantivas y de averiguación, como lo son Ministerios Públicos, Policías y Peritos pues en la citada resolución determinó que divulgar su información </w:t>
      </w:r>
      <w:r w:rsidRPr="002979C1">
        <w:rPr>
          <w:rFonts w:ascii="Palatino Linotype" w:eastAsia="Palatino Linotype" w:hAnsi="Palatino Linotype" w:cs="Palatino Linotype"/>
          <w:b/>
        </w:rPr>
        <w:t>representa un riesgo real, demostrable e identificable,</w:t>
      </w:r>
      <w:r w:rsidRPr="002979C1">
        <w:rPr>
          <w:rFonts w:ascii="Palatino Linotype" w:eastAsia="Palatino Linotype" w:hAnsi="Palatino Linotype" w:cs="Palatino Linotype"/>
        </w:rPr>
        <w:t xml:space="preserve"> pues el proporcionar información relativa a la carpeta de investigación, en la que intervienen estas tres figuras en su integración, implica dar a conocer la identidad del personal sustantivo/operativo, por lo que provocaría identificar a cada una de las personas que intervienen en dicha investigación.</w:t>
      </w:r>
    </w:p>
    <w:p w14:paraId="3F7A1917" w14:textId="77777777" w:rsidR="00E6212E" w:rsidRPr="002979C1" w:rsidRDefault="00E6212E">
      <w:pPr>
        <w:spacing w:line="360" w:lineRule="auto"/>
        <w:jc w:val="both"/>
        <w:rPr>
          <w:rFonts w:ascii="Palatino Linotype" w:eastAsia="Palatino Linotype" w:hAnsi="Palatino Linotype" w:cs="Palatino Linotype"/>
          <w:color w:val="000000"/>
        </w:rPr>
      </w:pPr>
    </w:p>
    <w:p w14:paraId="4A21555B" w14:textId="77777777" w:rsidR="00E6212E" w:rsidRPr="002979C1" w:rsidRDefault="004046EE">
      <w:pPr>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Es por ello, que, </w:t>
      </w:r>
      <w:r w:rsidRPr="002979C1">
        <w:rPr>
          <w:rFonts w:ascii="Palatino Linotype" w:eastAsia="Palatino Linotype" w:hAnsi="Palatino Linotype" w:cs="Palatino Linotype"/>
          <w:b/>
          <w:color w:val="000000"/>
        </w:rPr>
        <w:t>la suscrita considera</w:t>
      </w:r>
      <w:r w:rsidRPr="002979C1">
        <w:rPr>
          <w:rFonts w:ascii="Palatino Linotype" w:eastAsia="Palatino Linotype" w:hAnsi="Palatino Linotype" w:cs="Palatino Linotype"/>
          <w:color w:val="000000"/>
        </w:rPr>
        <w:t xml:space="preserve"> </w:t>
      </w:r>
      <w:r w:rsidRPr="002979C1">
        <w:rPr>
          <w:rFonts w:ascii="Palatino Linotype" w:eastAsia="Palatino Linotype" w:hAnsi="Palatino Linotype" w:cs="Palatino Linotype"/>
          <w:b/>
          <w:color w:val="000000"/>
        </w:rPr>
        <w:t xml:space="preserve">de suma importancia la reserva de dicha carpeta de investigación y con ello de los dictámenes que obran en ella, </w:t>
      </w:r>
      <w:r w:rsidRPr="002979C1">
        <w:rPr>
          <w:rFonts w:ascii="Palatino Linotype" w:eastAsia="Palatino Linotype" w:hAnsi="Palatino Linotype" w:cs="Palatino Linotype"/>
          <w:color w:val="000000"/>
        </w:rPr>
        <w:t xml:space="preserve">ya que dar a conocer información de aquellos servidores públicos que realizan funciones de seguridad nacional, tal como es el caso de Policías, Ministerios Públicos y Peritos, los vuelve identificables, al dar a conocer esa información se  puede vulnerar la vida, integridad, seguridad o salud de dichos servidores públicos, incluso la de sus familias o entorno social, aumentando, el riesgo de que personas ajenas a los intereses institucionales intenten realizar actos para amenazar, inhibir o extorsionar </w:t>
      </w:r>
      <w:r w:rsidRPr="002979C1">
        <w:rPr>
          <w:rFonts w:ascii="Palatino Linotype" w:eastAsia="Palatino Linotype" w:hAnsi="Palatino Linotype" w:cs="Palatino Linotype"/>
          <w:color w:val="000000"/>
        </w:rPr>
        <w:lastRenderedPageBreak/>
        <w:t>las funciones de los Servidores Públicos, al encontrarse en trámite la carpeta de investigación.</w:t>
      </w:r>
    </w:p>
    <w:p w14:paraId="7BD46144" w14:textId="77777777" w:rsidR="00E6212E" w:rsidRPr="002979C1" w:rsidRDefault="00E6212E">
      <w:pPr>
        <w:spacing w:line="360" w:lineRule="auto"/>
        <w:jc w:val="both"/>
        <w:rPr>
          <w:rFonts w:ascii="Palatino Linotype" w:eastAsia="Palatino Linotype" w:hAnsi="Palatino Linotype" w:cs="Palatino Linotype"/>
          <w:color w:val="000000"/>
        </w:rPr>
      </w:pPr>
    </w:p>
    <w:p w14:paraId="1DA46C69" w14:textId="77777777" w:rsidR="00E6212E" w:rsidRPr="002979C1" w:rsidRDefault="004046EE">
      <w:pPr>
        <w:spacing w:line="360" w:lineRule="auto"/>
        <w:ind w:right="4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Ahora bien, la Suprema Corte de Justicia de la Nación se ha pronunciado, estableciendo que es jurídicamente correcto hacer restricciones al derecho de Acceso a la Información cuando estas persiguen un fin constitucionalmente válido, como se puede apreciar en las siguientes tesis:</w:t>
      </w:r>
    </w:p>
    <w:p w14:paraId="47DFB19D" w14:textId="77777777" w:rsidR="00E6212E" w:rsidRPr="002979C1" w:rsidRDefault="004046EE">
      <w:pPr>
        <w:spacing w:before="280" w:after="280"/>
        <w:jc w:val="both"/>
        <w:rPr>
          <w:rFonts w:ascii="Palatino Linotype" w:eastAsia="Palatino Linotype" w:hAnsi="Palatino Linotype" w:cs="Palatino Linotype"/>
          <w:i/>
          <w:u w:val="single"/>
        </w:rPr>
      </w:pPr>
      <w:r w:rsidRPr="002979C1">
        <w:rPr>
          <w:rFonts w:ascii="Palatino Linotype" w:eastAsia="Palatino Linotype" w:hAnsi="Palatino Linotype" w:cs="Palatino Linotype"/>
        </w:rPr>
        <w:t>Semanario Judicial de la Federación y su Gaceta, Novena Época, Tomo 1, página 656, con rubro: “</w:t>
      </w:r>
      <w:r w:rsidRPr="002979C1">
        <w:rPr>
          <w:rFonts w:ascii="Palatino Linotype" w:eastAsia="Palatino Linotype" w:hAnsi="Palatino Linotype" w:cs="Palatino Linotype"/>
          <w:b/>
          <w:i/>
          <w:u w:val="single"/>
        </w:rPr>
        <w:t>INFORMACIÓN RESERVADA. LÍMITE AL DERECHO DE ACCESO A LA INFORMACIÓN (LEY FEDERAL DE TRANSPARENCIA Y ACCESO A LA INFORMACIÓN PÚBLICA GUBERNAMENTAL”.</w:t>
      </w:r>
    </w:p>
    <w:p w14:paraId="6BADBA16" w14:textId="77777777" w:rsidR="00E6212E" w:rsidRPr="002979C1" w:rsidRDefault="004046EE">
      <w:pPr>
        <w:ind w:left="1417" w:right="1468"/>
        <w:jc w:val="both"/>
        <w:rPr>
          <w:rFonts w:ascii="Palatino Linotype" w:eastAsia="Palatino Linotype" w:hAnsi="Palatino Linotype" w:cs="Palatino Linotype"/>
          <w:i/>
          <w:color w:val="000000"/>
          <w:sz w:val="20"/>
          <w:szCs w:val="20"/>
        </w:rPr>
      </w:pPr>
      <w:bookmarkStart w:id="5" w:name="_tyjcwt" w:colFirst="0" w:colLast="0"/>
      <w:bookmarkEnd w:id="5"/>
      <w:r w:rsidRPr="002979C1">
        <w:rPr>
          <w:rFonts w:ascii="Palatino Linotype" w:eastAsia="Palatino Linotype" w:hAnsi="Palatino Linotype" w:cs="Palatino Linotype"/>
          <w:i/>
          <w:color w:val="000000"/>
          <w:sz w:val="20"/>
          <w:szCs w:val="20"/>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w:t>
      </w:r>
      <w:r w:rsidRPr="002979C1">
        <w:rPr>
          <w:rFonts w:ascii="Palatino Linotype" w:eastAsia="Palatino Linotype" w:hAnsi="Palatino Linotype" w:cs="Palatino Linotype"/>
          <w:b/>
          <w:i/>
          <w:color w:val="000000"/>
          <w:sz w:val="20"/>
          <w:szCs w:val="20"/>
        </w:rPr>
        <w:t xml:space="preserve">4) poner en riesgo </w:t>
      </w:r>
      <w:r w:rsidRPr="002979C1">
        <w:rPr>
          <w:rFonts w:ascii="Palatino Linotype" w:eastAsia="Palatino Linotype" w:hAnsi="Palatino Linotype" w:cs="Palatino Linotype"/>
          <w:b/>
          <w:i/>
          <w:color w:val="000000"/>
          <w:sz w:val="20"/>
          <w:szCs w:val="20"/>
        </w:rPr>
        <w:lastRenderedPageBreak/>
        <w:t>la vida, seguridad o salud de alguna persona</w:t>
      </w:r>
      <w:r w:rsidRPr="002979C1">
        <w:rPr>
          <w:rFonts w:ascii="Palatino Linotype" w:eastAsia="Palatino Linotype" w:hAnsi="Palatino Linotype" w:cs="Palatino Linotype"/>
          <w:i/>
          <w:color w:val="000000"/>
          <w:sz w:val="20"/>
          <w:szCs w:val="20"/>
        </w:rPr>
        <w:t xml:space="preserve">; o </w:t>
      </w:r>
      <w:r w:rsidRPr="002979C1">
        <w:rPr>
          <w:rFonts w:ascii="Palatino Linotype" w:eastAsia="Palatino Linotype" w:hAnsi="Palatino Linotype" w:cs="Palatino Linotype"/>
          <w:b/>
          <w:i/>
          <w:color w:val="000000"/>
          <w:sz w:val="20"/>
          <w:szCs w:val="20"/>
        </w:rPr>
        <w:t>5) causar perjuicio al cumplimiento de las leyes, prevención o verificación de delitos</w:t>
      </w:r>
      <w:r w:rsidRPr="002979C1">
        <w:rPr>
          <w:rFonts w:ascii="Palatino Linotype" w:eastAsia="Palatino Linotype" w:hAnsi="Palatino Linotype" w:cs="Palatino Linotype"/>
          <w:i/>
          <w:color w:val="000000"/>
          <w:sz w:val="20"/>
          <w:szCs w:val="20"/>
        </w:rPr>
        <w:t xml:space="preserve">,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específico, de supuestos en los cuales la información también se considerará reservada: 1) la que expresamente se clasifique como confidencial, reservada, comercial reservada o gubernamental reservada; 2) secretos comercial, industrial, fiscal, bancario, fiduciario u otros; </w:t>
      </w:r>
      <w:r w:rsidRPr="002979C1">
        <w:rPr>
          <w:rFonts w:ascii="Palatino Linotype" w:eastAsia="Palatino Linotype" w:hAnsi="Palatino Linotype" w:cs="Palatino Linotype"/>
          <w:b/>
          <w:i/>
          <w:color w:val="000000"/>
          <w:sz w:val="20"/>
          <w:szCs w:val="20"/>
        </w:rPr>
        <w:t>3) averiguaciones previas</w:t>
      </w:r>
      <w:r w:rsidRPr="002979C1">
        <w:rPr>
          <w:rFonts w:ascii="Palatino Linotype" w:eastAsia="Palatino Linotype" w:hAnsi="Palatino Linotype" w:cs="Palatino Linotype"/>
          <w:i/>
          <w:color w:val="000000"/>
          <w:sz w:val="20"/>
          <w:szCs w:val="20"/>
        </w:rPr>
        <w:t>;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w:t>
      </w:r>
    </w:p>
    <w:p w14:paraId="02C8C6F9" w14:textId="77777777" w:rsidR="00E6212E" w:rsidRPr="002979C1" w:rsidRDefault="00E6212E">
      <w:pPr>
        <w:spacing w:line="360" w:lineRule="auto"/>
        <w:ind w:right="49"/>
        <w:jc w:val="both"/>
        <w:rPr>
          <w:rFonts w:ascii="Palatino Linotype" w:eastAsia="Palatino Linotype" w:hAnsi="Palatino Linotype" w:cs="Palatino Linotype"/>
          <w:color w:val="000000"/>
        </w:rPr>
      </w:pPr>
    </w:p>
    <w:p w14:paraId="6B85DE00" w14:textId="77777777" w:rsidR="00E6212E" w:rsidRPr="002979C1" w:rsidRDefault="004046EE">
      <w:pPr>
        <w:spacing w:line="360" w:lineRule="auto"/>
        <w:ind w:right="4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Semanario Judicial de la Federación y su Gaceta, Novena Época, Tomo XI, abril de 2000, página 74; con rubro: </w:t>
      </w:r>
      <w:r w:rsidRPr="002979C1">
        <w:rPr>
          <w:rFonts w:ascii="Palatino Linotype" w:eastAsia="Palatino Linotype" w:hAnsi="Palatino Linotype" w:cs="Palatino Linotype"/>
          <w:b/>
          <w:i/>
          <w:color w:val="000000"/>
          <w:u w:val="single"/>
        </w:rPr>
        <w:t>“DERECHO A LA INFORMACIÓN. SU EJERCICIO SE ENCUENTRA LIMITADO TANTO POR LOS INTERESES NACIONALES Y DE LA SOCIEDAD, COMO POR LOS DERECHOS DE TERCEROS</w:t>
      </w:r>
      <w:r w:rsidRPr="002979C1">
        <w:rPr>
          <w:rFonts w:ascii="Palatino Linotype" w:eastAsia="Palatino Linotype" w:hAnsi="Palatino Linotype" w:cs="Palatino Linotype"/>
          <w:color w:val="000000"/>
        </w:rPr>
        <w:t xml:space="preserve">, la cual señala: </w:t>
      </w:r>
    </w:p>
    <w:p w14:paraId="09A291E7" w14:textId="77777777" w:rsidR="00E6212E" w:rsidRPr="002979C1" w:rsidRDefault="00E6212E">
      <w:pPr>
        <w:spacing w:line="360" w:lineRule="auto"/>
        <w:ind w:right="49"/>
        <w:jc w:val="both"/>
        <w:rPr>
          <w:rFonts w:ascii="Palatino Linotype" w:eastAsia="Palatino Linotype" w:hAnsi="Palatino Linotype" w:cs="Palatino Linotype"/>
          <w:color w:val="000000"/>
          <w:sz w:val="22"/>
          <w:szCs w:val="22"/>
        </w:rPr>
      </w:pPr>
    </w:p>
    <w:p w14:paraId="3CC404B0" w14:textId="77777777" w:rsidR="00E6212E" w:rsidRPr="002979C1" w:rsidRDefault="004046EE">
      <w:pPr>
        <w:ind w:left="1417" w:right="1468"/>
        <w:jc w:val="both"/>
        <w:rPr>
          <w:rFonts w:ascii="Palatino Linotype" w:eastAsia="Palatino Linotype" w:hAnsi="Palatino Linotype" w:cs="Palatino Linotype"/>
          <w:color w:val="000000"/>
          <w:sz w:val="20"/>
          <w:szCs w:val="20"/>
        </w:rPr>
      </w:pPr>
      <w:r w:rsidRPr="002979C1">
        <w:rPr>
          <w:rFonts w:ascii="Palatino Linotype" w:eastAsia="Palatino Linotype" w:hAnsi="Palatino Linotype" w:cs="Palatino Linotype"/>
          <w:b/>
          <w:i/>
          <w:color w:val="000000"/>
          <w:sz w:val="20"/>
          <w:szCs w:val="20"/>
        </w:rPr>
        <w:t>El ejercicio del derecho a la información no es irrestricto, sino que tiene límites que se sustentan en la protección de la seguridad nacional y en el respeto a los intereses de la sociedad y a los derechos de los gobernados, en atención a la materia de que se trat</w:t>
      </w:r>
      <w:r w:rsidRPr="002979C1">
        <w:rPr>
          <w:rFonts w:ascii="Palatino Linotype" w:eastAsia="Palatino Linotype" w:hAnsi="Palatino Linotype" w:cs="Palatino Linotype"/>
          <w:i/>
          <w:color w:val="000000"/>
          <w:sz w:val="20"/>
          <w:szCs w:val="20"/>
        </w:rPr>
        <w:t xml:space="preserve">e. En ese sentido, el citado precepto, al remitir a diversas normas ordinarias que establezcan restricciones a la información, no viola la garantía de acceso a la información contenida en el artículo 6o. de la Constitución Política de los Estados Unidos Mexicanos, porque </w:t>
      </w:r>
      <w:r w:rsidRPr="002979C1">
        <w:rPr>
          <w:rFonts w:ascii="Palatino Linotype" w:eastAsia="Palatino Linotype" w:hAnsi="Palatino Linotype" w:cs="Palatino Linotype"/>
          <w:b/>
          <w:i/>
          <w:color w:val="000000"/>
          <w:sz w:val="20"/>
          <w:szCs w:val="20"/>
        </w:rPr>
        <w:t xml:space="preserve">es jurídicamente adecuado que en las leyes reguladoras de cada materia, el legislador federal o local establezca las restricciones correspondientes y </w:t>
      </w:r>
      <w:r w:rsidRPr="002979C1">
        <w:rPr>
          <w:rFonts w:ascii="Palatino Linotype" w:eastAsia="Palatino Linotype" w:hAnsi="Palatino Linotype" w:cs="Palatino Linotype"/>
          <w:b/>
          <w:i/>
          <w:color w:val="000000"/>
          <w:sz w:val="20"/>
          <w:szCs w:val="20"/>
        </w:rPr>
        <w:lastRenderedPageBreak/>
        <w:t>clasifique a determinados datos como confidenciales o reservados, con la condición de que tales límites atiendan a intereses públicos o de los particulares y encuentren justificación racional en función del bien jurídico a proteger</w:t>
      </w:r>
      <w:r w:rsidRPr="002979C1">
        <w:rPr>
          <w:rFonts w:ascii="Palatino Linotype" w:eastAsia="Palatino Linotype" w:hAnsi="Palatino Linotype" w:cs="Palatino Linotype"/>
          <w:i/>
          <w:color w:val="000000"/>
          <w:sz w:val="20"/>
          <w:szCs w:val="20"/>
        </w:rPr>
        <w:t>,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sacrificio que ésta implique para los titulares de la garantía individual mencionada o para la sociedad en general</w:t>
      </w:r>
      <w:r w:rsidRPr="002979C1">
        <w:rPr>
          <w:rFonts w:ascii="Palatino Linotype" w:eastAsia="Palatino Linotype" w:hAnsi="Palatino Linotype" w:cs="Palatino Linotype"/>
          <w:color w:val="000000"/>
          <w:sz w:val="20"/>
          <w:szCs w:val="20"/>
        </w:rPr>
        <w:t>.”</w:t>
      </w:r>
    </w:p>
    <w:p w14:paraId="46F4AF80" w14:textId="77777777" w:rsidR="00E6212E" w:rsidRPr="002979C1" w:rsidRDefault="004046EE">
      <w:pPr>
        <w:ind w:left="1417" w:right="1467"/>
        <w:jc w:val="both"/>
        <w:rPr>
          <w:rFonts w:ascii="Palatino Linotype" w:eastAsia="Palatino Linotype" w:hAnsi="Palatino Linotype" w:cs="Palatino Linotype"/>
          <w:color w:val="000000"/>
          <w:sz w:val="20"/>
          <w:szCs w:val="20"/>
        </w:rPr>
      </w:pPr>
      <w:r w:rsidRPr="002979C1">
        <w:rPr>
          <w:rFonts w:ascii="Palatino Linotype" w:eastAsia="Palatino Linotype" w:hAnsi="Palatino Linotype" w:cs="Palatino Linotype"/>
          <w:i/>
          <w:color w:val="000000"/>
          <w:sz w:val="20"/>
          <w:szCs w:val="20"/>
        </w:rPr>
        <w:t>(Énfasis añadido)</w:t>
      </w:r>
    </w:p>
    <w:p w14:paraId="33FD99FE" w14:textId="77777777" w:rsidR="00E6212E" w:rsidRPr="002979C1" w:rsidRDefault="00E6212E">
      <w:pPr>
        <w:spacing w:line="360" w:lineRule="auto"/>
        <w:ind w:right="49"/>
        <w:jc w:val="both"/>
        <w:rPr>
          <w:rFonts w:ascii="Palatino Linotype" w:eastAsia="Palatino Linotype" w:hAnsi="Palatino Linotype" w:cs="Palatino Linotype"/>
          <w:color w:val="000000"/>
        </w:rPr>
      </w:pPr>
    </w:p>
    <w:p w14:paraId="23096C9B" w14:textId="77777777" w:rsidR="00E6212E" w:rsidRPr="002979C1" w:rsidRDefault="004046EE">
      <w:pPr>
        <w:spacing w:line="360" w:lineRule="auto"/>
        <w:ind w:right="4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En atención a los criterios ya señalados, se establece que resguardar la Seguridad Pública y no causar perjuicio al cumplimiento de las leyes, prevención o verificación de delitos son criterios objetivos para indicar la reserva de información, pues tienen como fin salvaguardar la integridad y derechos de las personas, así como preservar el cumplimiento de las leyes, cuando se trate de algún delito.</w:t>
      </w:r>
    </w:p>
    <w:p w14:paraId="3B984D27" w14:textId="77777777" w:rsidR="00E6212E" w:rsidRPr="002979C1" w:rsidRDefault="00E6212E">
      <w:pPr>
        <w:spacing w:line="360" w:lineRule="auto"/>
        <w:ind w:right="49"/>
        <w:jc w:val="both"/>
        <w:rPr>
          <w:rFonts w:ascii="Palatino Linotype" w:eastAsia="Palatino Linotype" w:hAnsi="Palatino Linotype" w:cs="Palatino Linotype"/>
          <w:color w:val="000000"/>
        </w:rPr>
      </w:pPr>
    </w:p>
    <w:p w14:paraId="5CD498A6" w14:textId="77777777" w:rsidR="00E6212E" w:rsidRPr="002979C1" w:rsidRDefault="004046EE">
      <w:pPr>
        <w:spacing w:line="360" w:lineRule="auto"/>
        <w:ind w:right="49"/>
        <w:jc w:val="both"/>
        <w:rPr>
          <w:rFonts w:ascii="Palatino Linotype" w:eastAsia="Palatino Linotype" w:hAnsi="Palatino Linotype" w:cs="Palatino Linotype"/>
        </w:rPr>
      </w:pPr>
      <w:r w:rsidRPr="002979C1">
        <w:rPr>
          <w:rFonts w:ascii="Palatino Linotype" w:eastAsia="Palatino Linotype" w:hAnsi="Palatino Linotype" w:cs="Palatino Linotype"/>
          <w:color w:val="000000"/>
        </w:rPr>
        <w:t xml:space="preserve">Ahora bien, resulta importante resaltar </w:t>
      </w:r>
      <w:proofErr w:type="gramStart"/>
      <w:r w:rsidRPr="002979C1">
        <w:rPr>
          <w:rFonts w:ascii="Palatino Linotype" w:eastAsia="Palatino Linotype" w:hAnsi="Palatino Linotype" w:cs="Palatino Linotype"/>
          <w:color w:val="000000"/>
        </w:rPr>
        <w:t>que</w:t>
      </w:r>
      <w:proofErr w:type="gramEnd"/>
      <w:r w:rsidRPr="002979C1">
        <w:rPr>
          <w:rFonts w:ascii="Palatino Linotype" w:eastAsia="Palatino Linotype" w:hAnsi="Palatino Linotype" w:cs="Palatino Linotype"/>
          <w:color w:val="000000"/>
        </w:rPr>
        <w:t xml:space="preserve"> </w:t>
      </w:r>
      <w:r w:rsidRPr="002979C1">
        <w:rPr>
          <w:rFonts w:ascii="Palatino Linotype" w:eastAsia="Palatino Linotype" w:hAnsi="Palatino Linotype" w:cs="Palatino Linotype"/>
        </w:rPr>
        <w:t>durante el desarrollo de la investigación inicial, y en especial por lo que hace al desahogo de los medios probatorios conducentes, una serie de datos de carácter personal y sensible, pueden quedar al escrutinio de quien tenga acceso a ellos; lo que se destaca el 106 del Código Nacional de Procedimientos Penales, que a letra refiere:</w:t>
      </w:r>
    </w:p>
    <w:p w14:paraId="62F0FD15"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b/>
          <w:i/>
          <w:color w:val="000000"/>
          <w:sz w:val="22"/>
          <w:szCs w:val="22"/>
        </w:rPr>
        <w:t>Artículo 106.</w:t>
      </w:r>
      <w:r w:rsidRPr="002979C1">
        <w:rPr>
          <w:rFonts w:ascii="Palatino Linotype" w:eastAsia="Palatino Linotype" w:hAnsi="Palatino Linotype" w:cs="Palatino Linotype"/>
          <w:i/>
          <w:color w:val="000000"/>
          <w:sz w:val="22"/>
          <w:szCs w:val="22"/>
        </w:rPr>
        <w:t xml:space="preserve"> </w:t>
      </w:r>
      <w:r w:rsidRPr="002979C1">
        <w:rPr>
          <w:rFonts w:ascii="Palatino Linotype" w:eastAsia="Palatino Linotype" w:hAnsi="Palatino Linotype" w:cs="Palatino Linotype"/>
          <w:b/>
          <w:i/>
          <w:color w:val="000000"/>
          <w:sz w:val="22"/>
          <w:szCs w:val="22"/>
        </w:rPr>
        <w:t>Reserva sobre la identidad</w:t>
      </w:r>
    </w:p>
    <w:p w14:paraId="5229F43B"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2E8B60F6"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b/>
          <w:i/>
          <w:color w:val="000000"/>
          <w:sz w:val="22"/>
          <w:szCs w:val="22"/>
          <w:u w:val="single"/>
        </w:rPr>
      </w:pPr>
      <w:r w:rsidRPr="002979C1">
        <w:rPr>
          <w:rFonts w:ascii="Palatino Linotype" w:eastAsia="Palatino Linotype" w:hAnsi="Palatino Linotype" w:cs="Palatino Linotype"/>
          <w:b/>
          <w:i/>
          <w:color w:val="000000"/>
          <w:sz w:val="22"/>
          <w:szCs w:val="22"/>
          <w:u w:val="single"/>
        </w:rPr>
        <w:t>En ningún caso se podrá hacer referencia o comunicar a terceros no legitimados la información confidencial relativa a los datos personales de los sujetos del procedimiento penal o de cualquier persona relacionada o mencionada en éste.</w:t>
      </w:r>
    </w:p>
    <w:p w14:paraId="34139BEE"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6F51B5C7"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lastRenderedPageBreak/>
        <w:t xml:space="preserve">Toda violación al deber de reserva por parte de los servidores </w:t>
      </w:r>
      <w:proofErr w:type="gramStart"/>
      <w:r w:rsidRPr="002979C1">
        <w:rPr>
          <w:rFonts w:ascii="Palatino Linotype" w:eastAsia="Palatino Linotype" w:hAnsi="Palatino Linotype" w:cs="Palatino Linotype"/>
          <w:i/>
          <w:color w:val="000000"/>
          <w:sz w:val="22"/>
          <w:szCs w:val="22"/>
        </w:rPr>
        <w:t>públicos,</w:t>
      </w:r>
      <w:proofErr w:type="gramEnd"/>
      <w:r w:rsidRPr="002979C1">
        <w:rPr>
          <w:rFonts w:ascii="Palatino Linotype" w:eastAsia="Palatino Linotype" w:hAnsi="Palatino Linotype" w:cs="Palatino Linotype"/>
          <w:i/>
          <w:color w:val="000000"/>
          <w:sz w:val="22"/>
          <w:szCs w:val="22"/>
        </w:rPr>
        <w:t xml:space="preserve"> será sancionada por la legislación aplicable.</w:t>
      </w:r>
    </w:p>
    <w:p w14:paraId="2CB7759A"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1527546A"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En los casos de personas sustraídas de la acción de la justicia, se admitirá la publicación de los datos que permitan la identificación del imputado para ejecutar la orden judicial de aprehensión o de comparecencia.</w:t>
      </w:r>
    </w:p>
    <w:p w14:paraId="20DE1437"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02BA542E" w14:textId="77777777" w:rsidR="00E6212E" w:rsidRPr="002979C1" w:rsidRDefault="00E6212E">
      <w:pPr>
        <w:widowControl w:val="0"/>
        <w:pBdr>
          <w:top w:val="nil"/>
          <w:left w:val="nil"/>
          <w:bottom w:val="nil"/>
          <w:right w:val="nil"/>
          <w:between w:val="nil"/>
        </w:pBdr>
        <w:spacing w:line="360" w:lineRule="auto"/>
        <w:ind w:left="112" w:right="51" w:hanging="10"/>
        <w:jc w:val="both"/>
        <w:rPr>
          <w:rFonts w:ascii="Palatino Linotype" w:eastAsia="Palatino Linotype" w:hAnsi="Palatino Linotype" w:cs="Palatino Linotype"/>
          <w:color w:val="000000"/>
          <w:sz w:val="25"/>
          <w:szCs w:val="25"/>
        </w:rPr>
      </w:pPr>
    </w:p>
    <w:p w14:paraId="413C2627" w14:textId="77777777" w:rsidR="00E6212E" w:rsidRPr="002979C1" w:rsidRDefault="004046EE">
      <w:pPr>
        <w:widowControl w:val="0"/>
        <w:pBdr>
          <w:top w:val="nil"/>
          <w:left w:val="nil"/>
          <w:bottom w:val="nil"/>
          <w:right w:val="nil"/>
          <w:between w:val="nil"/>
        </w:pBdr>
        <w:spacing w:line="360" w:lineRule="auto"/>
        <w:ind w:left="112" w:right="51" w:hanging="10"/>
        <w:jc w:val="both"/>
        <w:rPr>
          <w:rFonts w:ascii="Palatino Linotype" w:eastAsia="Palatino Linotype" w:hAnsi="Palatino Linotype" w:cs="Palatino Linotype"/>
          <w:color w:val="000000"/>
          <w:sz w:val="25"/>
          <w:szCs w:val="25"/>
        </w:rPr>
      </w:pPr>
      <w:r w:rsidRPr="002979C1">
        <w:rPr>
          <w:rFonts w:ascii="Palatino Linotype" w:eastAsia="Palatino Linotype" w:hAnsi="Palatino Linotype" w:cs="Palatino Linotype"/>
          <w:color w:val="000000"/>
          <w:sz w:val="25"/>
          <w:szCs w:val="25"/>
        </w:rPr>
        <w:t>En este sentido, el derecho a la protección de la información personal, incluyendo la que se puede encontrar en las investigaciones en curso a cargo de la Fiscalía General de Justicia del Estado de México, está regulada en términos de la tutela que confieren los artículos 6º, 16 y 20, apartado C, inciso V, de la Constitución Política de los Estados Unidos Mexicanos.</w:t>
      </w:r>
    </w:p>
    <w:p w14:paraId="3B907DE9" w14:textId="77777777" w:rsidR="00E6212E" w:rsidRPr="002979C1" w:rsidRDefault="00E6212E">
      <w:pPr>
        <w:widowControl w:val="0"/>
        <w:pBdr>
          <w:top w:val="nil"/>
          <w:left w:val="nil"/>
          <w:bottom w:val="nil"/>
          <w:right w:val="nil"/>
          <w:between w:val="nil"/>
        </w:pBdr>
        <w:spacing w:line="360" w:lineRule="auto"/>
        <w:ind w:left="112" w:right="51" w:hanging="10"/>
        <w:jc w:val="both"/>
        <w:rPr>
          <w:rFonts w:ascii="Palatino Linotype" w:eastAsia="Palatino Linotype" w:hAnsi="Palatino Linotype" w:cs="Palatino Linotype"/>
          <w:color w:val="000000"/>
          <w:sz w:val="25"/>
          <w:szCs w:val="25"/>
        </w:rPr>
      </w:pPr>
    </w:p>
    <w:p w14:paraId="313B3906" w14:textId="77777777" w:rsidR="00E6212E" w:rsidRPr="002979C1" w:rsidRDefault="004046EE">
      <w:pPr>
        <w:spacing w:line="360" w:lineRule="auto"/>
        <w:ind w:left="851" w:right="899" w:hanging="5"/>
        <w:jc w:val="both"/>
        <w:rPr>
          <w:rFonts w:ascii="Palatino Linotype" w:eastAsia="Palatino Linotype" w:hAnsi="Palatino Linotype" w:cs="Palatino Linotype"/>
          <w:b/>
          <w:i/>
          <w:sz w:val="22"/>
          <w:szCs w:val="22"/>
        </w:rPr>
      </w:pPr>
      <w:r w:rsidRPr="002979C1">
        <w:rPr>
          <w:rFonts w:ascii="Palatino Linotype" w:eastAsia="Palatino Linotype" w:hAnsi="Palatino Linotype" w:cs="Palatino Linotype"/>
          <w:b/>
          <w:i/>
          <w:sz w:val="22"/>
          <w:szCs w:val="22"/>
        </w:rPr>
        <w:t>Artículo 6º…</w:t>
      </w:r>
    </w:p>
    <w:p w14:paraId="48076BCD" w14:textId="77777777" w:rsidR="00E6212E" w:rsidRPr="002979C1" w:rsidRDefault="004046E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w:t>
      </w:r>
    </w:p>
    <w:p w14:paraId="5FBF8265" w14:textId="77777777" w:rsidR="00E6212E" w:rsidRPr="002979C1" w:rsidRDefault="00E6212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p>
    <w:p w14:paraId="50FA3E3F" w14:textId="77777777" w:rsidR="00E6212E" w:rsidRPr="002979C1" w:rsidRDefault="004046E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II. La información que se refiere a la vida privada y los datos personales será protegida en los términos y con las excepciones que fijen las leyes.</w:t>
      </w:r>
    </w:p>
    <w:p w14:paraId="2B32E3C2" w14:textId="77777777" w:rsidR="00E6212E" w:rsidRPr="002979C1" w:rsidRDefault="00E6212E">
      <w:pPr>
        <w:pBdr>
          <w:top w:val="nil"/>
          <w:left w:val="nil"/>
          <w:bottom w:val="nil"/>
          <w:right w:val="nil"/>
          <w:between w:val="nil"/>
        </w:pBdr>
        <w:ind w:left="1004" w:right="899"/>
        <w:jc w:val="both"/>
        <w:rPr>
          <w:rFonts w:ascii="Palatino Linotype" w:eastAsia="Palatino Linotype" w:hAnsi="Palatino Linotype" w:cs="Palatino Linotype"/>
          <w:i/>
          <w:color w:val="000000"/>
          <w:sz w:val="22"/>
          <w:szCs w:val="22"/>
        </w:rPr>
      </w:pPr>
    </w:p>
    <w:p w14:paraId="5A586064" w14:textId="77777777" w:rsidR="00E6212E" w:rsidRPr="002979C1" w:rsidRDefault="004046E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0B76D125" w14:textId="77777777" w:rsidR="00E6212E" w:rsidRPr="002979C1" w:rsidRDefault="00E6212E">
      <w:pPr>
        <w:pBdr>
          <w:top w:val="nil"/>
          <w:left w:val="nil"/>
          <w:bottom w:val="nil"/>
          <w:right w:val="nil"/>
          <w:between w:val="nil"/>
        </w:pBdr>
        <w:ind w:left="1004" w:right="899"/>
        <w:jc w:val="both"/>
        <w:rPr>
          <w:rFonts w:ascii="Palatino Linotype" w:eastAsia="Palatino Linotype" w:hAnsi="Palatino Linotype" w:cs="Palatino Linotype"/>
          <w:i/>
          <w:color w:val="000000"/>
          <w:sz w:val="22"/>
          <w:szCs w:val="22"/>
        </w:rPr>
      </w:pPr>
    </w:p>
    <w:p w14:paraId="684232BC" w14:textId="77777777" w:rsidR="00E6212E" w:rsidRPr="002979C1" w:rsidRDefault="00E6212E">
      <w:pPr>
        <w:pBdr>
          <w:top w:val="nil"/>
          <w:left w:val="nil"/>
          <w:bottom w:val="nil"/>
          <w:right w:val="nil"/>
          <w:between w:val="nil"/>
        </w:pBdr>
        <w:ind w:left="1004" w:right="899"/>
        <w:jc w:val="both"/>
        <w:rPr>
          <w:rFonts w:ascii="Palatino Linotype" w:eastAsia="Palatino Linotype" w:hAnsi="Palatino Linotype" w:cs="Palatino Linotype"/>
          <w:i/>
          <w:color w:val="000000"/>
          <w:sz w:val="22"/>
          <w:szCs w:val="22"/>
        </w:rPr>
      </w:pPr>
    </w:p>
    <w:p w14:paraId="4EA13C46" w14:textId="77777777" w:rsidR="00E6212E" w:rsidRPr="002979C1" w:rsidRDefault="004046EE">
      <w:pPr>
        <w:pBdr>
          <w:top w:val="nil"/>
          <w:left w:val="nil"/>
          <w:bottom w:val="nil"/>
          <w:right w:val="nil"/>
          <w:between w:val="nil"/>
        </w:pBdr>
        <w:ind w:left="851" w:right="899"/>
        <w:jc w:val="both"/>
        <w:rPr>
          <w:rFonts w:ascii="Palatino Linotype" w:eastAsia="Palatino Linotype" w:hAnsi="Palatino Linotype" w:cs="Palatino Linotype"/>
          <w:b/>
          <w:i/>
          <w:color w:val="000000"/>
          <w:sz w:val="22"/>
          <w:szCs w:val="22"/>
        </w:rPr>
      </w:pPr>
      <w:r w:rsidRPr="002979C1">
        <w:rPr>
          <w:rFonts w:ascii="Palatino Linotype" w:eastAsia="Palatino Linotype" w:hAnsi="Palatino Linotype" w:cs="Palatino Linotype"/>
          <w:b/>
          <w:i/>
          <w:color w:val="000000"/>
          <w:sz w:val="22"/>
          <w:szCs w:val="22"/>
        </w:rPr>
        <w:t>Artículo 16…</w:t>
      </w:r>
    </w:p>
    <w:p w14:paraId="1A922B70" w14:textId="77777777" w:rsidR="00E6212E" w:rsidRPr="002979C1" w:rsidRDefault="00E6212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p>
    <w:p w14:paraId="749931A4" w14:textId="77777777" w:rsidR="00E6212E" w:rsidRPr="002979C1" w:rsidRDefault="004046E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w:t>
      </w:r>
    </w:p>
    <w:p w14:paraId="34124522" w14:textId="77777777" w:rsidR="00E6212E" w:rsidRPr="002979C1" w:rsidRDefault="00E6212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p>
    <w:p w14:paraId="3BF2FA33" w14:textId="77777777" w:rsidR="00E6212E" w:rsidRPr="002979C1" w:rsidRDefault="004046E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 xml:space="preserve">Toda persona tiene derecho a la protección de sus datos personales, al acceso, rectificación y cancelación de </w:t>
      </w:r>
      <w:proofErr w:type="gramStart"/>
      <w:r w:rsidRPr="002979C1">
        <w:rPr>
          <w:rFonts w:ascii="Palatino Linotype" w:eastAsia="Palatino Linotype" w:hAnsi="Palatino Linotype" w:cs="Palatino Linotype"/>
          <w:i/>
          <w:color w:val="000000"/>
          <w:sz w:val="22"/>
          <w:szCs w:val="22"/>
        </w:rPr>
        <w:t>los mismos</w:t>
      </w:r>
      <w:proofErr w:type="gramEnd"/>
      <w:r w:rsidRPr="002979C1">
        <w:rPr>
          <w:rFonts w:ascii="Palatino Linotype" w:eastAsia="Palatino Linotype" w:hAnsi="Palatino Linotype" w:cs="Palatino Linotype"/>
          <w:i/>
          <w:color w:val="000000"/>
          <w:sz w:val="22"/>
          <w:szCs w:val="22"/>
        </w:rPr>
        <w:t xml:space="preserve">, así como a manifestar su oposición, en los términos que fije la ley, la cual establecerá los supuestos de excepción a los </w:t>
      </w:r>
      <w:r w:rsidRPr="002979C1">
        <w:rPr>
          <w:rFonts w:ascii="Palatino Linotype" w:eastAsia="Palatino Linotype" w:hAnsi="Palatino Linotype" w:cs="Palatino Linotype"/>
          <w:i/>
          <w:color w:val="000000"/>
          <w:sz w:val="22"/>
          <w:szCs w:val="22"/>
        </w:rPr>
        <w:lastRenderedPageBreak/>
        <w:t>principios que rijan el tratamiento de datos, por razones de seguridad nacional, disposiciones de orden público, seguridad y salud públicas o para proteger los derechos de terceros.</w:t>
      </w:r>
    </w:p>
    <w:p w14:paraId="73754FFD" w14:textId="77777777" w:rsidR="00E6212E" w:rsidRPr="002979C1" w:rsidRDefault="00E6212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p>
    <w:p w14:paraId="768A9877" w14:textId="77777777" w:rsidR="00E6212E" w:rsidRPr="002979C1" w:rsidRDefault="00E6212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p>
    <w:p w14:paraId="3E07FB4D" w14:textId="77777777" w:rsidR="00E6212E" w:rsidRPr="002979C1" w:rsidRDefault="004046EE">
      <w:pPr>
        <w:pBdr>
          <w:top w:val="nil"/>
          <w:left w:val="nil"/>
          <w:bottom w:val="nil"/>
          <w:right w:val="nil"/>
          <w:between w:val="nil"/>
        </w:pBdr>
        <w:ind w:left="851" w:right="89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Artículo 20.</w:t>
      </w:r>
      <w:r w:rsidRPr="002979C1">
        <w:rPr>
          <w:rFonts w:ascii="Palatino Linotype" w:eastAsia="Palatino Linotype" w:hAnsi="Palatino Linotype" w:cs="Palatino Linotype"/>
          <w:i/>
          <w:color w:val="000000"/>
        </w:rPr>
        <w:t xml:space="preserve"> El proceso penal será acusatorio y oral. Se regirá por los principios de publicidad, contradicción, concentración, continuidad e inmediación.</w:t>
      </w:r>
    </w:p>
    <w:p w14:paraId="53408C5E" w14:textId="77777777" w:rsidR="00E6212E" w:rsidRPr="002979C1" w:rsidRDefault="00E6212E">
      <w:pPr>
        <w:pBdr>
          <w:top w:val="nil"/>
          <w:left w:val="nil"/>
          <w:bottom w:val="nil"/>
          <w:right w:val="nil"/>
          <w:between w:val="nil"/>
        </w:pBdr>
        <w:ind w:left="851" w:right="899"/>
        <w:jc w:val="both"/>
        <w:rPr>
          <w:rFonts w:ascii="Palatino Linotype" w:eastAsia="Palatino Linotype" w:hAnsi="Palatino Linotype" w:cs="Palatino Linotype"/>
          <w:color w:val="000000"/>
          <w:sz w:val="22"/>
          <w:szCs w:val="22"/>
        </w:rPr>
      </w:pPr>
    </w:p>
    <w:p w14:paraId="6E55D25B" w14:textId="77777777" w:rsidR="00E6212E" w:rsidRPr="002979C1" w:rsidRDefault="004046EE">
      <w:pPr>
        <w:pBdr>
          <w:top w:val="nil"/>
          <w:left w:val="nil"/>
          <w:bottom w:val="nil"/>
          <w:right w:val="nil"/>
          <w:between w:val="nil"/>
        </w:pBdr>
        <w:ind w:left="851" w:right="899"/>
        <w:jc w:val="both"/>
        <w:rPr>
          <w:rFonts w:ascii="Palatino Linotype" w:eastAsia="Palatino Linotype" w:hAnsi="Palatino Linotype" w:cs="Palatino Linotype"/>
          <w:color w:val="000000"/>
          <w:sz w:val="22"/>
          <w:szCs w:val="22"/>
        </w:rPr>
      </w:pPr>
      <w:r w:rsidRPr="002979C1">
        <w:rPr>
          <w:rFonts w:ascii="Palatino Linotype" w:eastAsia="Palatino Linotype" w:hAnsi="Palatino Linotype" w:cs="Palatino Linotype"/>
          <w:color w:val="000000"/>
          <w:sz w:val="22"/>
          <w:szCs w:val="22"/>
        </w:rPr>
        <w:t>(…)</w:t>
      </w:r>
    </w:p>
    <w:p w14:paraId="6D73CF96" w14:textId="77777777" w:rsidR="00E6212E" w:rsidRPr="002979C1" w:rsidRDefault="00E6212E">
      <w:pPr>
        <w:pBdr>
          <w:top w:val="nil"/>
          <w:left w:val="nil"/>
          <w:bottom w:val="nil"/>
          <w:right w:val="nil"/>
          <w:between w:val="nil"/>
        </w:pBdr>
        <w:ind w:left="851" w:right="899"/>
        <w:jc w:val="both"/>
        <w:rPr>
          <w:rFonts w:ascii="Palatino Linotype" w:eastAsia="Palatino Linotype" w:hAnsi="Palatino Linotype" w:cs="Palatino Linotype"/>
          <w:color w:val="000000"/>
          <w:sz w:val="22"/>
          <w:szCs w:val="22"/>
        </w:rPr>
      </w:pPr>
    </w:p>
    <w:p w14:paraId="0EEFA84E" w14:textId="77777777" w:rsidR="00E6212E" w:rsidRPr="002979C1" w:rsidRDefault="004046EE">
      <w:pPr>
        <w:pBdr>
          <w:top w:val="nil"/>
          <w:left w:val="nil"/>
          <w:bottom w:val="nil"/>
          <w:right w:val="nil"/>
          <w:between w:val="nil"/>
        </w:pBdr>
        <w:ind w:left="851" w:right="899"/>
        <w:jc w:val="both"/>
        <w:rPr>
          <w:rFonts w:ascii="Palatino Linotype" w:eastAsia="Palatino Linotype" w:hAnsi="Palatino Linotype" w:cs="Palatino Linotype"/>
          <w:b/>
          <w:i/>
          <w:color w:val="000000"/>
          <w:sz w:val="22"/>
          <w:szCs w:val="22"/>
        </w:rPr>
      </w:pPr>
      <w:r w:rsidRPr="002979C1">
        <w:rPr>
          <w:rFonts w:ascii="Palatino Linotype" w:eastAsia="Palatino Linotype" w:hAnsi="Palatino Linotype" w:cs="Palatino Linotype"/>
          <w:b/>
          <w:i/>
          <w:color w:val="000000"/>
          <w:sz w:val="22"/>
          <w:szCs w:val="22"/>
        </w:rPr>
        <w:t>C. De los derechos de la víctima o del ofendido:</w:t>
      </w:r>
    </w:p>
    <w:p w14:paraId="1B1860BA" w14:textId="77777777" w:rsidR="00E6212E" w:rsidRPr="002979C1" w:rsidRDefault="00E6212E">
      <w:pPr>
        <w:pBdr>
          <w:top w:val="nil"/>
          <w:left w:val="nil"/>
          <w:bottom w:val="nil"/>
          <w:right w:val="nil"/>
          <w:between w:val="nil"/>
        </w:pBdr>
        <w:ind w:left="851" w:right="899"/>
        <w:jc w:val="both"/>
        <w:rPr>
          <w:rFonts w:ascii="Palatino Linotype" w:eastAsia="Palatino Linotype" w:hAnsi="Palatino Linotype" w:cs="Palatino Linotype"/>
          <w:b/>
          <w:i/>
          <w:color w:val="000000"/>
          <w:sz w:val="22"/>
          <w:szCs w:val="22"/>
        </w:rPr>
      </w:pPr>
    </w:p>
    <w:p w14:paraId="11436F61" w14:textId="77777777" w:rsidR="00E6212E" w:rsidRPr="002979C1" w:rsidRDefault="004046E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w:t>
      </w:r>
    </w:p>
    <w:p w14:paraId="63148B5E" w14:textId="77777777" w:rsidR="00E6212E" w:rsidRPr="002979C1" w:rsidRDefault="00E6212E">
      <w:pPr>
        <w:pBdr>
          <w:top w:val="nil"/>
          <w:left w:val="nil"/>
          <w:bottom w:val="nil"/>
          <w:right w:val="nil"/>
          <w:between w:val="nil"/>
        </w:pBdr>
        <w:ind w:left="851" w:right="899"/>
        <w:jc w:val="both"/>
        <w:rPr>
          <w:rFonts w:ascii="Palatino Linotype" w:eastAsia="Palatino Linotype" w:hAnsi="Palatino Linotype" w:cs="Palatino Linotype"/>
          <w:b/>
          <w:i/>
          <w:color w:val="000000"/>
          <w:sz w:val="22"/>
          <w:szCs w:val="22"/>
        </w:rPr>
      </w:pPr>
    </w:p>
    <w:p w14:paraId="263378A8" w14:textId="77777777" w:rsidR="00E6212E" w:rsidRPr="002979C1" w:rsidRDefault="004046EE">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b/>
          <w:i/>
          <w:color w:val="000000"/>
          <w:sz w:val="22"/>
          <w:szCs w:val="22"/>
        </w:rPr>
        <w:t>V.</w:t>
      </w:r>
      <w:r w:rsidRPr="002979C1">
        <w:rPr>
          <w:rFonts w:ascii="Palatino Linotype" w:eastAsia="Palatino Linotype" w:hAnsi="Palatino Linotype" w:cs="Palatino Linotype"/>
          <w:i/>
          <w:color w:val="000000"/>
          <w:sz w:val="22"/>
          <w:szCs w:val="22"/>
        </w:rPr>
        <w:t xml:space="preserve"> Al resguardo de su identidad y otros datos personales en los siguientes casos: cuando sean menores de edad; cuando se trate de delitos de violación, trata de personas, secuestro o delincuencia organizada; y cuando a juicio del juzgador sea necesario para su protección, salvaguardando en todo caso los derechos de la defensa.</w:t>
      </w:r>
    </w:p>
    <w:p w14:paraId="165C56A9" w14:textId="6F7548C4" w:rsidR="00195D45" w:rsidRPr="002979C1" w:rsidRDefault="00195D45" w:rsidP="00195D45">
      <w:p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 xml:space="preserve">               (Énfasis añadido)</w:t>
      </w:r>
    </w:p>
    <w:p w14:paraId="1FA880E7" w14:textId="77777777" w:rsidR="00E6212E" w:rsidRPr="002979C1" w:rsidRDefault="00E6212E">
      <w:pPr>
        <w:pBdr>
          <w:top w:val="nil"/>
          <w:left w:val="nil"/>
          <w:bottom w:val="nil"/>
          <w:right w:val="nil"/>
          <w:between w:val="nil"/>
        </w:pBdr>
        <w:ind w:left="851" w:right="899"/>
        <w:jc w:val="both"/>
        <w:rPr>
          <w:rFonts w:ascii="Palatino Linotype" w:eastAsia="Palatino Linotype" w:hAnsi="Palatino Linotype" w:cs="Palatino Linotype"/>
          <w:color w:val="000000"/>
          <w:sz w:val="22"/>
          <w:szCs w:val="22"/>
        </w:rPr>
      </w:pPr>
    </w:p>
    <w:p w14:paraId="1E65D66B" w14:textId="77777777" w:rsidR="00E6212E" w:rsidRPr="002979C1" w:rsidRDefault="00E6212E">
      <w:pPr>
        <w:pBdr>
          <w:top w:val="nil"/>
          <w:left w:val="nil"/>
          <w:bottom w:val="nil"/>
          <w:right w:val="nil"/>
          <w:between w:val="nil"/>
        </w:pBdr>
        <w:ind w:left="851" w:right="899"/>
        <w:jc w:val="both"/>
        <w:rPr>
          <w:rFonts w:ascii="Palatino Linotype" w:eastAsia="Palatino Linotype" w:hAnsi="Palatino Linotype" w:cs="Palatino Linotype"/>
          <w:color w:val="000000"/>
          <w:sz w:val="22"/>
          <w:szCs w:val="22"/>
        </w:rPr>
      </w:pPr>
    </w:p>
    <w:p w14:paraId="43DF78B3" w14:textId="77777777" w:rsidR="00E6212E" w:rsidRPr="002979C1" w:rsidRDefault="004046E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Así, el manto protector sobre los datos de carácter personal que se contienen y exteriorizan en una investigación inicial, se traduce en la exigencia de un grado de confidencialidad sobre este tipo de datos, los cuales no podrán ser difundidos distribuidos o comercializados al poner en riesgo la vida, seguridad o salud de cualquier persona.</w:t>
      </w:r>
    </w:p>
    <w:p w14:paraId="6F263CD9" w14:textId="77777777" w:rsidR="00E6212E" w:rsidRPr="002979C1" w:rsidRDefault="00E6212E">
      <w:pPr>
        <w:widowControl w:val="0"/>
        <w:pBdr>
          <w:top w:val="nil"/>
          <w:left w:val="nil"/>
          <w:bottom w:val="nil"/>
          <w:right w:val="nil"/>
          <w:between w:val="nil"/>
        </w:pBdr>
        <w:spacing w:before="4"/>
        <w:ind w:left="112"/>
        <w:rPr>
          <w:color w:val="000000"/>
        </w:rPr>
      </w:pPr>
    </w:p>
    <w:p w14:paraId="28F93829" w14:textId="77777777" w:rsidR="00E6212E" w:rsidRPr="002979C1" w:rsidRDefault="004046EE" w:rsidP="0007046A">
      <w:pPr>
        <w:widowControl w:val="0"/>
        <w:pBdr>
          <w:top w:val="nil"/>
          <w:left w:val="nil"/>
          <w:bottom w:val="nil"/>
          <w:right w:val="nil"/>
          <w:between w:val="nil"/>
        </w:pBdr>
        <w:spacing w:line="360" w:lineRule="auto"/>
        <w:ind w:left="5" w:right="51" w:hanging="5"/>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En este sentido, la Ley General de Protección de Datos Personales en el sistema jurídico mexicano se traduce en el ordenamiento legal que busca garantizar y proteger el derecho a la protección de los datos de carácter personal, los cuales se </w:t>
      </w:r>
      <w:r w:rsidRPr="002979C1">
        <w:rPr>
          <w:rFonts w:ascii="Palatino Linotype" w:eastAsia="Palatino Linotype" w:hAnsi="Palatino Linotype" w:cs="Palatino Linotype"/>
          <w:color w:val="000000"/>
        </w:rPr>
        <w:lastRenderedPageBreak/>
        <w:t>posan en la intimidad y en la libertad personal del ser humano.</w:t>
      </w:r>
    </w:p>
    <w:p w14:paraId="7BEC42F3" w14:textId="77777777" w:rsidR="00E6212E" w:rsidRPr="002979C1" w:rsidRDefault="00E6212E" w:rsidP="0007046A">
      <w:pPr>
        <w:widowControl w:val="0"/>
        <w:pBdr>
          <w:top w:val="nil"/>
          <w:left w:val="nil"/>
          <w:bottom w:val="nil"/>
          <w:right w:val="nil"/>
          <w:between w:val="nil"/>
        </w:pBdr>
        <w:spacing w:line="360" w:lineRule="auto"/>
        <w:ind w:left="5" w:right="51" w:hanging="5"/>
        <w:jc w:val="both"/>
        <w:rPr>
          <w:rFonts w:ascii="Palatino Linotype" w:eastAsia="Palatino Linotype" w:hAnsi="Palatino Linotype" w:cs="Palatino Linotype"/>
          <w:color w:val="000000"/>
        </w:rPr>
      </w:pPr>
    </w:p>
    <w:p w14:paraId="31D15E1D" w14:textId="77777777" w:rsidR="00E6212E" w:rsidRPr="002979C1" w:rsidRDefault="004046EE" w:rsidP="0007046A">
      <w:pPr>
        <w:widowControl w:val="0"/>
        <w:pBdr>
          <w:top w:val="nil"/>
          <w:left w:val="nil"/>
          <w:bottom w:val="nil"/>
          <w:right w:val="nil"/>
          <w:between w:val="nil"/>
        </w:pBdr>
        <w:spacing w:line="360" w:lineRule="auto"/>
        <w:ind w:left="5" w:right="51" w:hanging="5"/>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En otro orden de ideas, el artículo 20 de la Constitución Política de los Estados Unidos Mexicanos, en relación con los derechos de la persona imputada, particularmente lo dispuesto en la fracción VI del apartado B:</w:t>
      </w:r>
    </w:p>
    <w:p w14:paraId="48143F7F" w14:textId="77777777" w:rsidR="00E6212E" w:rsidRPr="002979C1" w:rsidRDefault="00E6212E">
      <w:pPr>
        <w:pBdr>
          <w:top w:val="nil"/>
          <w:left w:val="nil"/>
          <w:bottom w:val="nil"/>
          <w:right w:val="nil"/>
          <w:between w:val="nil"/>
        </w:pBdr>
        <w:spacing w:line="360" w:lineRule="auto"/>
        <w:ind w:right="51"/>
        <w:jc w:val="both"/>
        <w:rPr>
          <w:rFonts w:ascii="Palatino Linotype" w:eastAsia="Palatino Linotype" w:hAnsi="Palatino Linotype" w:cs="Palatino Linotype"/>
          <w:b/>
          <w:i/>
          <w:color w:val="000000"/>
        </w:rPr>
      </w:pPr>
    </w:p>
    <w:p w14:paraId="4BD4D77C"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b/>
          <w:i/>
          <w:color w:val="000000"/>
          <w:sz w:val="22"/>
          <w:szCs w:val="22"/>
        </w:rPr>
      </w:pPr>
      <w:r w:rsidRPr="002979C1">
        <w:rPr>
          <w:rFonts w:ascii="Palatino Linotype" w:eastAsia="Palatino Linotype" w:hAnsi="Palatino Linotype" w:cs="Palatino Linotype"/>
          <w:b/>
          <w:i/>
          <w:color w:val="000000"/>
          <w:sz w:val="22"/>
          <w:szCs w:val="22"/>
        </w:rPr>
        <w:t>B. De los derechos de toda persona imputada:</w:t>
      </w:r>
    </w:p>
    <w:p w14:paraId="3F5B7C8D"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33C5F228"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w:t>
      </w:r>
    </w:p>
    <w:p w14:paraId="4BE7C691"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15B980F2"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b/>
          <w:i/>
          <w:color w:val="000000"/>
          <w:sz w:val="22"/>
          <w:szCs w:val="22"/>
        </w:rPr>
        <w:t>VI.</w:t>
      </w:r>
      <w:r w:rsidRPr="002979C1">
        <w:rPr>
          <w:rFonts w:ascii="Palatino Linotype" w:eastAsia="Palatino Linotype" w:hAnsi="Palatino Linotype" w:cs="Palatino Linotype"/>
          <w:i/>
          <w:color w:val="000000"/>
          <w:sz w:val="22"/>
          <w:szCs w:val="22"/>
        </w:rPr>
        <w:t xml:space="preserve"> Le serán facilitados todos los datos que solicite para su defensa y que consten en el proceso.</w:t>
      </w:r>
    </w:p>
    <w:p w14:paraId="08947658"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428CCAD0"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 xml:space="preserve">El imputado y su defensor tendrán acceso a los registros de la investigación cuando el primero se encuentre detenido y cuando pretenda recibírsele declaración o entrevistarlo. Asimismo, antes de su primera comparecencia ante juez podrán consultar dichos registros, con la oportunidad debida para preparar la defensa. </w:t>
      </w:r>
      <w:r w:rsidRPr="002979C1">
        <w:rPr>
          <w:rFonts w:ascii="Palatino Linotype" w:eastAsia="Palatino Linotype" w:hAnsi="Palatino Linotype" w:cs="Palatino Linotype"/>
          <w:b/>
          <w:i/>
          <w:color w:val="000000"/>
          <w:sz w:val="22"/>
          <w:szCs w:val="22"/>
        </w:rPr>
        <w:t xml:space="preserve">A partir de este momento no podrán mantenerse en reserva las actuaciones de la investigación, salvo los casos excepcionales expresamente señalados en la ley cuando ello sea imprescindible para salvaguardar el éxito de la investigación </w:t>
      </w:r>
      <w:r w:rsidRPr="002979C1">
        <w:rPr>
          <w:rFonts w:ascii="Palatino Linotype" w:eastAsia="Palatino Linotype" w:hAnsi="Palatino Linotype" w:cs="Palatino Linotype"/>
          <w:i/>
          <w:color w:val="000000"/>
          <w:sz w:val="22"/>
          <w:szCs w:val="22"/>
        </w:rPr>
        <w:t>y siempre que sean oportunamente revelados para no afectar el derecho de defensa;</w:t>
      </w:r>
    </w:p>
    <w:p w14:paraId="2E4D53EC"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67994DB6"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7F473C2B"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b/>
          <w:i/>
          <w:color w:val="000000"/>
          <w:sz w:val="22"/>
          <w:szCs w:val="22"/>
        </w:rPr>
      </w:pPr>
      <w:r w:rsidRPr="002979C1">
        <w:rPr>
          <w:rFonts w:ascii="Palatino Linotype" w:eastAsia="Palatino Linotype" w:hAnsi="Palatino Linotype" w:cs="Palatino Linotype"/>
          <w:b/>
          <w:i/>
          <w:color w:val="000000"/>
          <w:sz w:val="22"/>
          <w:szCs w:val="22"/>
        </w:rPr>
        <w:t>C. De los derechos de la víctima o del ofendido:</w:t>
      </w:r>
    </w:p>
    <w:p w14:paraId="6ADC43E4"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b/>
          <w:i/>
          <w:color w:val="000000"/>
          <w:sz w:val="22"/>
          <w:szCs w:val="22"/>
        </w:rPr>
      </w:pPr>
    </w:p>
    <w:p w14:paraId="1F256EDA"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w:t>
      </w:r>
    </w:p>
    <w:p w14:paraId="7A1A5FC2"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60D88904"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 xml:space="preserve">El Ministerio Público deberá garantizar la protección de víctimas, ofendidos, testigos y en general </w:t>
      </w:r>
      <w:proofErr w:type="gramStart"/>
      <w:r w:rsidRPr="002979C1">
        <w:rPr>
          <w:rFonts w:ascii="Palatino Linotype" w:eastAsia="Palatino Linotype" w:hAnsi="Palatino Linotype" w:cs="Palatino Linotype"/>
          <w:i/>
          <w:color w:val="000000"/>
          <w:sz w:val="22"/>
          <w:szCs w:val="22"/>
        </w:rPr>
        <w:t>todas los sujetos</w:t>
      </w:r>
      <w:proofErr w:type="gramEnd"/>
      <w:r w:rsidRPr="002979C1">
        <w:rPr>
          <w:rFonts w:ascii="Palatino Linotype" w:eastAsia="Palatino Linotype" w:hAnsi="Palatino Linotype" w:cs="Palatino Linotype"/>
          <w:i/>
          <w:color w:val="000000"/>
          <w:sz w:val="22"/>
          <w:szCs w:val="22"/>
        </w:rPr>
        <w:t xml:space="preserve"> que intervengan en el proceso. Los jueces deberán vigilar el buen cumplimiento de esta obligación;</w:t>
      </w:r>
    </w:p>
    <w:p w14:paraId="017569F6" w14:textId="106EC56E" w:rsidR="00195D45" w:rsidRPr="002979C1" w:rsidRDefault="00195D45" w:rsidP="00195D45">
      <w:p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 xml:space="preserve">               (Énfasis añadido)</w:t>
      </w:r>
    </w:p>
    <w:p w14:paraId="6E0D3BE3"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0CBF60B7"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24EDF9AA" w14:textId="77777777" w:rsidR="00E6212E" w:rsidRPr="002979C1" w:rsidRDefault="004046E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lastRenderedPageBreak/>
        <w:t>Este artículo constitucional, reconoce el derecho fundamental de defensa de todo imputado en un proceso penal, incluida, desde luego, la fase de investigación, y asegura su adecuado ejercicio mediante la afirmación expresa del derecho a ofrecer pruebas y a conocer los datos que sean necesarios para ejercerlo y que obren en el proceso; así mismo establece el derecho al inculpado a tener acceso a los registros de la investigación, a partir de su primera comparecencia ante el Juez, no podrán mantenerse en reserva las actuaciones de la investigación, excepto en los casos en que esta reserva sea “imprescindible para salvaguardar el éxito de la investigación y siempre que sean oportunamente revelados para no afectar el derecho de defensa”.</w:t>
      </w:r>
    </w:p>
    <w:p w14:paraId="588FB68A"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1C5AA66D" w14:textId="77777777" w:rsidR="00E6212E" w:rsidRPr="002979C1" w:rsidRDefault="004046EE">
      <w:pPr>
        <w:spacing w:line="360" w:lineRule="auto"/>
        <w:ind w:right="51" w:firstLine="10"/>
        <w:jc w:val="both"/>
        <w:rPr>
          <w:rFonts w:ascii="Palatino Linotype" w:eastAsia="Palatino Linotype" w:hAnsi="Palatino Linotype" w:cs="Palatino Linotype"/>
        </w:rPr>
      </w:pPr>
      <w:r w:rsidRPr="002979C1">
        <w:rPr>
          <w:rFonts w:ascii="Palatino Linotype" w:eastAsia="Palatino Linotype" w:hAnsi="Palatino Linotype" w:cs="Palatino Linotype"/>
        </w:rPr>
        <w:t>A partir de esta armonización de artículos, se extraen varias conclusiones. En primer lugar, se destaca que las actuaciones de la investigación no pueden mantenerse en reserva desde el instante en que el imputado comparece ante el juez. Esto implica que, antes de ese momento, las actuaciones relativas a las investigaciones en curso tienen el carácter de reservadas. Lo anterior se traduce en una obligación del órgano investigador de mantener en sigilo la investigación inicial.</w:t>
      </w:r>
    </w:p>
    <w:p w14:paraId="5CAF525A" w14:textId="77777777" w:rsidR="00E6212E" w:rsidRPr="002979C1" w:rsidRDefault="00E6212E">
      <w:pPr>
        <w:spacing w:line="360" w:lineRule="auto"/>
        <w:ind w:right="51" w:hanging="4"/>
        <w:jc w:val="both"/>
        <w:rPr>
          <w:rFonts w:ascii="Palatino Linotype" w:eastAsia="Palatino Linotype" w:hAnsi="Palatino Linotype" w:cs="Palatino Linotype"/>
        </w:rPr>
      </w:pPr>
    </w:p>
    <w:p w14:paraId="4CF72DB9" w14:textId="77777777" w:rsidR="00E6212E" w:rsidRPr="002979C1" w:rsidRDefault="004046EE">
      <w:pPr>
        <w:spacing w:line="360" w:lineRule="auto"/>
        <w:ind w:right="51" w:hanging="4"/>
        <w:jc w:val="both"/>
        <w:rPr>
          <w:rFonts w:ascii="Palatino Linotype" w:eastAsia="Palatino Linotype" w:hAnsi="Palatino Linotype" w:cs="Palatino Linotype"/>
        </w:rPr>
      </w:pPr>
      <w:r w:rsidRPr="002979C1">
        <w:rPr>
          <w:rFonts w:ascii="Palatino Linotype" w:eastAsia="Palatino Linotype" w:hAnsi="Palatino Linotype" w:cs="Palatino Linotype"/>
        </w:rPr>
        <w:t>Cabe destacar que, es posible que, en ciertos casos excepcionales, se mantenga en reserva la investigación, aun cuando ya hubiera comparecido el imputado ante el juez, siempre y cuando sea necesario para salvaguardar el éxito de la investigación.</w:t>
      </w:r>
    </w:p>
    <w:p w14:paraId="41A1E2AE" w14:textId="77777777" w:rsidR="00E6212E" w:rsidRPr="002979C1" w:rsidRDefault="00E6212E">
      <w:pPr>
        <w:spacing w:line="360" w:lineRule="auto"/>
        <w:ind w:right="51" w:hanging="4"/>
        <w:jc w:val="both"/>
        <w:rPr>
          <w:rFonts w:ascii="Palatino Linotype" w:eastAsia="Palatino Linotype" w:hAnsi="Palatino Linotype" w:cs="Palatino Linotype"/>
        </w:rPr>
      </w:pPr>
    </w:p>
    <w:p w14:paraId="7A820A32" w14:textId="77777777" w:rsidR="00E6212E" w:rsidRPr="002979C1" w:rsidRDefault="004046EE">
      <w:pPr>
        <w:spacing w:line="360" w:lineRule="auto"/>
        <w:ind w:right="51" w:hanging="4"/>
        <w:jc w:val="both"/>
        <w:rPr>
          <w:rFonts w:ascii="Palatino Linotype" w:eastAsia="Palatino Linotype" w:hAnsi="Palatino Linotype" w:cs="Palatino Linotype"/>
          <w:b/>
        </w:rPr>
      </w:pPr>
      <w:r w:rsidRPr="002979C1">
        <w:rPr>
          <w:rFonts w:ascii="Palatino Linotype" w:eastAsia="Palatino Linotype" w:hAnsi="Palatino Linotype" w:cs="Palatino Linotype"/>
        </w:rPr>
        <w:lastRenderedPageBreak/>
        <w:t xml:space="preserve">De lo anterior, se advierte que la intención del Numeral Constitucional en </w:t>
      </w:r>
      <w:proofErr w:type="gramStart"/>
      <w:r w:rsidRPr="002979C1">
        <w:rPr>
          <w:rFonts w:ascii="Palatino Linotype" w:eastAsia="Palatino Linotype" w:hAnsi="Palatino Linotype" w:cs="Palatino Linotype"/>
        </w:rPr>
        <w:t>cita,</w:t>
      </w:r>
      <w:proofErr w:type="gramEnd"/>
      <w:r w:rsidRPr="002979C1">
        <w:rPr>
          <w:rFonts w:ascii="Palatino Linotype" w:eastAsia="Palatino Linotype" w:hAnsi="Palatino Linotype" w:cs="Palatino Linotype"/>
        </w:rPr>
        <w:t xml:space="preserve"> es tutelar la correcta consecución de la investigación o garantizar la salvaguarda de derechos y libertades de terceros, para lo cual </w:t>
      </w:r>
      <w:r w:rsidRPr="002979C1">
        <w:rPr>
          <w:rFonts w:ascii="Palatino Linotype" w:eastAsia="Palatino Linotype" w:hAnsi="Palatino Linotype" w:cs="Palatino Linotype"/>
          <w:b/>
        </w:rPr>
        <w:t>establece una reserva de actuaciones en la etapa de averiguación previa, así como el deber a cargo del Ministerio Público, en su carácter de órgano investigador de los delitos, de mantener sigilo respecto de su labor.</w:t>
      </w:r>
    </w:p>
    <w:p w14:paraId="69CE09F6" w14:textId="77777777" w:rsidR="00E6212E" w:rsidRPr="002979C1" w:rsidRDefault="00E6212E">
      <w:pPr>
        <w:spacing w:line="360" w:lineRule="auto"/>
        <w:ind w:right="51" w:hanging="4"/>
        <w:jc w:val="both"/>
        <w:rPr>
          <w:rFonts w:ascii="Palatino Linotype" w:eastAsia="Palatino Linotype" w:hAnsi="Palatino Linotype" w:cs="Palatino Linotype"/>
          <w:b/>
        </w:rPr>
      </w:pPr>
    </w:p>
    <w:p w14:paraId="20610E7E" w14:textId="77777777" w:rsidR="00E6212E" w:rsidRPr="002979C1" w:rsidRDefault="004046EE">
      <w:pPr>
        <w:spacing w:line="360" w:lineRule="auto"/>
        <w:ind w:right="51" w:hanging="4"/>
        <w:jc w:val="both"/>
        <w:rPr>
          <w:rFonts w:ascii="Palatino Linotype" w:eastAsia="Palatino Linotype" w:hAnsi="Palatino Linotype" w:cs="Palatino Linotype"/>
        </w:rPr>
      </w:pPr>
      <w:r w:rsidRPr="002979C1">
        <w:rPr>
          <w:rFonts w:ascii="Palatino Linotype" w:eastAsia="Palatino Linotype" w:hAnsi="Palatino Linotype" w:cs="Palatino Linotype"/>
        </w:rPr>
        <w:t>Apoyo con el criterio jurisprudencial siguiente:</w:t>
      </w:r>
    </w:p>
    <w:p w14:paraId="4675AF5F" w14:textId="77777777" w:rsidR="00E6212E" w:rsidRPr="002979C1" w:rsidRDefault="00E6212E">
      <w:pPr>
        <w:ind w:left="851" w:right="899"/>
        <w:jc w:val="both"/>
        <w:rPr>
          <w:rFonts w:ascii="Palatino Linotype" w:eastAsia="Palatino Linotype" w:hAnsi="Palatino Linotype" w:cs="Palatino Linotype"/>
          <w:b/>
          <w:sz w:val="22"/>
          <w:szCs w:val="22"/>
        </w:rPr>
      </w:pPr>
    </w:p>
    <w:p w14:paraId="2BD5A0CF" w14:textId="77777777" w:rsidR="00E6212E" w:rsidRPr="002979C1" w:rsidRDefault="004046EE">
      <w:pPr>
        <w:ind w:left="851" w:right="899"/>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b/>
          <w:i/>
          <w:sz w:val="22"/>
          <w:szCs w:val="22"/>
        </w:rPr>
        <w:t xml:space="preserve">ACCESO A LOS REGISTROS DE LA INVESTIGACIÓN EN LA ETAPA INICIAL ANTE EL MINISTERIO PÚBLICO. CONSTITUYE UN DERECHO DEL IMPUTADO Y SU DEFENSOR, QUE CONLLEVA LA POSIBILIDAD DE OBTENER COPIAS O SU REGISTRO FOTOGRÁFICO, CON LO QUE SE GARANTIZA EL EJERCICIO DE UNA DEFENSA ADECUADA. </w:t>
      </w:r>
      <w:r w:rsidRPr="002979C1">
        <w:rPr>
          <w:rFonts w:ascii="Palatino Linotype" w:eastAsia="Palatino Linotype" w:hAnsi="Palatino Linotype" w:cs="Palatino Linotype"/>
          <w:i/>
          <w:sz w:val="22"/>
          <w:szCs w:val="22"/>
        </w:rPr>
        <w:t xml:space="preserve">El artículo 218 del Código Nacional de Procedimientos Penales, dispone que el imputado y su defensor podrán tener "acceso" a los registros de la investigación cuando se encuentre detenido, sea citado para comparecer con tal carácter (imputado), o bien, sea sujeto de un acto de molestia y se pretenda recibir su entrevista. Sin embargo, no es dable señalar que el "acceso" a los registros de la investigación se limite a permitir que el imputado o su defensor los tengan a la vista, pues ello resulta insuficiente para garantizar una defensa adecuada, toda vez que para el goce efectivo de ese derecho fundamental debe permitírseles obtener una reproducción de dichos registros, ya sea en copia fotostática o como registro fotográfico, lo que es acorde con los principios del nuevo sistema de justicia penal acusatorio, relativos a la igualdad y al equilibrio procesal de las partes. Además, el artículo 219 del código mencionado establece que el imputado y su defensor tienen derecho a consultar los registros de la investigación y obtener copia de ella cuando sean citados a la audiencia inicial, lo cual debe interpretarse como una garantía más en favor de aquél, a efecto de gozar de una defensa adecuada, dada la especial trascendencia de dicha audiencia y, en consecuencia, no debe interpretarse como una regla restrictiva del momento a partir del cual pueden obtener las copias, pues el propio </w:t>
      </w:r>
      <w:r w:rsidRPr="002979C1">
        <w:rPr>
          <w:rFonts w:ascii="Palatino Linotype" w:eastAsia="Palatino Linotype" w:hAnsi="Palatino Linotype" w:cs="Palatino Linotype"/>
          <w:i/>
          <w:sz w:val="22"/>
          <w:szCs w:val="22"/>
        </w:rPr>
        <w:lastRenderedPageBreak/>
        <w:t>numeral, inmediatamente después, dispone que en caso de que el Ministerio Público se niegue a permitir el acceso a los registros o a la obtención de las copias, se podrá acudir ante el Juez de Control para que resuelva lo conducente. Por tanto, debe entenderse que la palabra "acceso" conlleva la posibilidad de que se obtenga una copia o el registro fotográfico de los registros de la investigación en la etapa de investigación inicial ante el Ministerio Público, excluyendo siempre los registros no vinculados directamente con la imputación formulada, salvaguardando también la reserva contenida en el artículo 109, fracción XXVI, del Código Nacional de Procedimientos Penales, respecto de la identidad y los datos personales de la víctima u ofendido, en los supuestos previstos por dicho numeral.</w:t>
      </w:r>
    </w:p>
    <w:p w14:paraId="3D87021C" w14:textId="77777777" w:rsidR="00E6212E" w:rsidRPr="002979C1" w:rsidRDefault="00E6212E">
      <w:pPr>
        <w:spacing w:line="360" w:lineRule="auto"/>
        <w:ind w:right="51" w:hanging="6"/>
        <w:jc w:val="both"/>
        <w:rPr>
          <w:rFonts w:ascii="Palatino Linotype" w:eastAsia="Palatino Linotype" w:hAnsi="Palatino Linotype" w:cs="Palatino Linotype"/>
        </w:rPr>
      </w:pPr>
    </w:p>
    <w:p w14:paraId="7F68CF00" w14:textId="77777777" w:rsidR="00E6212E" w:rsidRPr="002979C1" w:rsidRDefault="004046EE">
      <w:pPr>
        <w:spacing w:line="360" w:lineRule="auto"/>
        <w:ind w:right="51" w:hanging="6"/>
        <w:jc w:val="both"/>
        <w:rPr>
          <w:rFonts w:ascii="Palatino Linotype" w:eastAsia="Palatino Linotype" w:hAnsi="Palatino Linotype" w:cs="Palatino Linotype"/>
        </w:rPr>
      </w:pPr>
      <w:r w:rsidRPr="002979C1">
        <w:rPr>
          <w:rFonts w:ascii="Palatino Linotype" w:eastAsia="Palatino Linotype" w:hAnsi="Palatino Linotype" w:cs="Palatino Linotype"/>
        </w:rPr>
        <w:t>Aunado a ello, se debe resaltar que el artículo 20, apartado C, inciso V, segundo párrafo de la Constitución Política de los Estados Unidos Mexicanos, encomienda directamente al Ministerio Público la función de garantizar la protección de las víctimas, los ofendidos, los testigos y de todos los sujetos que intervengan en el proceso penal.</w:t>
      </w:r>
    </w:p>
    <w:p w14:paraId="72DA233D" w14:textId="77777777" w:rsidR="00E6212E" w:rsidRPr="002979C1" w:rsidRDefault="00E6212E">
      <w:pPr>
        <w:spacing w:line="360" w:lineRule="auto"/>
        <w:ind w:right="51" w:hanging="6"/>
        <w:jc w:val="both"/>
        <w:rPr>
          <w:rFonts w:ascii="Palatino Linotype" w:eastAsia="Palatino Linotype" w:hAnsi="Palatino Linotype" w:cs="Palatino Linotype"/>
        </w:rPr>
      </w:pPr>
    </w:p>
    <w:p w14:paraId="3586DF42" w14:textId="77777777" w:rsidR="00E6212E" w:rsidRPr="002979C1" w:rsidRDefault="004046EE">
      <w:pPr>
        <w:spacing w:line="360" w:lineRule="auto"/>
        <w:ind w:right="51" w:hanging="6"/>
        <w:jc w:val="both"/>
        <w:rPr>
          <w:rFonts w:ascii="Palatino Linotype" w:eastAsia="Palatino Linotype" w:hAnsi="Palatino Linotype" w:cs="Palatino Linotype"/>
        </w:rPr>
      </w:pPr>
      <w:r w:rsidRPr="002979C1">
        <w:rPr>
          <w:rFonts w:ascii="Palatino Linotype" w:eastAsia="Palatino Linotype" w:hAnsi="Palatino Linotype" w:cs="Palatino Linotype"/>
        </w:rPr>
        <w:t>Es decir, tiene un deber consagrado constitucionalmente, que de manera específica consiste en garantizar la protección de todas las personas involucradas en la investigación y prosecución penal.</w:t>
      </w:r>
    </w:p>
    <w:p w14:paraId="122FC9CF" w14:textId="77777777" w:rsidR="00E6212E" w:rsidRPr="002979C1" w:rsidRDefault="00E6212E">
      <w:pPr>
        <w:spacing w:line="360" w:lineRule="auto"/>
        <w:ind w:right="51" w:hanging="6"/>
        <w:jc w:val="both"/>
        <w:rPr>
          <w:rFonts w:ascii="Palatino Linotype" w:eastAsia="Palatino Linotype" w:hAnsi="Palatino Linotype" w:cs="Palatino Linotype"/>
        </w:rPr>
      </w:pPr>
    </w:p>
    <w:p w14:paraId="4E5DD414" w14:textId="77777777" w:rsidR="00E6212E" w:rsidRPr="002979C1" w:rsidRDefault="004046EE">
      <w:pPr>
        <w:spacing w:line="360" w:lineRule="auto"/>
        <w:ind w:right="51" w:hanging="6"/>
        <w:jc w:val="both"/>
        <w:rPr>
          <w:rFonts w:ascii="Palatino Linotype" w:eastAsia="Palatino Linotype" w:hAnsi="Palatino Linotype" w:cs="Palatino Linotype"/>
        </w:rPr>
      </w:pPr>
      <w:r w:rsidRPr="002979C1">
        <w:rPr>
          <w:rFonts w:ascii="Palatino Linotype" w:eastAsia="Palatino Linotype" w:hAnsi="Palatino Linotype" w:cs="Palatino Linotype"/>
        </w:rPr>
        <w:t>Ahora bien, el artículo 218 del Código Nacional de Procedimientos Penales, señala que únicamente las partes, pueden tener acceso a la carpeta, como a continuación se verifica:</w:t>
      </w:r>
    </w:p>
    <w:p w14:paraId="009DE0DB" w14:textId="77777777" w:rsidR="00E6212E" w:rsidRPr="002979C1" w:rsidRDefault="00E6212E">
      <w:pPr>
        <w:spacing w:line="360" w:lineRule="auto"/>
        <w:ind w:right="51" w:hanging="4"/>
        <w:jc w:val="both"/>
        <w:rPr>
          <w:rFonts w:ascii="Palatino Linotype" w:eastAsia="Palatino Linotype" w:hAnsi="Palatino Linotype" w:cs="Palatino Linotype"/>
        </w:rPr>
      </w:pPr>
    </w:p>
    <w:p w14:paraId="43C7E004"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b/>
          <w:i/>
          <w:color w:val="000000"/>
          <w:sz w:val="22"/>
          <w:szCs w:val="22"/>
        </w:rPr>
      </w:pPr>
      <w:r w:rsidRPr="002979C1">
        <w:rPr>
          <w:rFonts w:ascii="Palatino Linotype" w:eastAsia="Palatino Linotype" w:hAnsi="Palatino Linotype" w:cs="Palatino Linotype"/>
          <w:b/>
          <w:i/>
          <w:color w:val="000000"/>
          <w:sz w:val="22"/>
          <w:szCs w:val="22"/>
        </w:rPr>
        <w:t>Artículo 218. Reserva de los actos de investigación</w:t>
      </w:r>
    </w:p>
    <w:p w14:paraId="65E9C49B"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b/>
          <w:i/>
          <w:color w:val="000000"/>
          <w:sz w:val="22"/>
          <w:szCs w:val="22"/>
        </w:rPr>
      </w:pPr>
    </w:p>
    <w:p w14:paraId="54285ABB"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lastRenderedPageBreak/>
        <w:t xml:space="preserve">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con las limitaciones establecidas en este Código y demás disposiciones aplicables. </w:t>
      </w:r>
    </w:p>
    <w:p w14:paraId="2B2D8B68"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0D49D599" w14:textId="77777777" w:rsidR="00E6212E" w:rsidRPr="002979C1" w:rsidRDefault="00E6212E">
      <w:pPr>
        <w:pBdr>
          <w:top w:val="nil"/>
          <w:left w:val="nil"/>
          <w:bottom w:val="nil"/>
          <w:right w:val="nil"/>
          <w:between w:val="nil"/>
        </w:pBdr>
        <w:ind w:left="851" w:right="902"/>
        <w:jc w:val="both"/>
        <w:rPr>
          <w:rFonts w:ascii="Palatino Linotype" w:eastAsia="Palatino Linotype" w:hAnsi="Palatino Linotype" w:cs="Palatino Linotype"/>
          <w:i/>
          <w:color w:val="000000"/>
          <w:sz w:val="22"/>
          <w:szCs w:val="22"/>
        </w:rPr>
      </w:pPr>
    </w:p>
    <w:p w14:paraId="649406A0" w14:textId="77777777" w:rsidR="00E6212E" w:rsidRPr="002979C1" w:rsidRDefault="004046EE">
      <w:pPr>
        <w:spacing w:line="360" w:lineRule="auto"/>
        <w:ind w:right="51" w:hanging="6"/>
        <w:jc w:val="both"/>
        <w:rPr>
          <w:rFonts w:ascii="Palatino Linotype" w:eastAsia="Palatino Linotype" w:hAnsi="Palatino Linotype" w:cs="Palatino Linotype"/>
        </w:rPr>
      </w:pPr>
      <w:r w:rsidRPr="002979C1">
        <w:rPr>
          <w:rFonts w:ascii="Palatino Linotype" w:eastAsia="Palatino Linotype" w:hAnsi="Palatino Linotype" w:cs="Palatino Linotype"/>
        </w:rPr>
        <w:t xml:space="preserve">Del numeral en cita, se advierte que los registros de la investigación como son los </w:t>
      </w:r>
      <w:r w:rsidRPr="002979C1">
        <w:rPr>
          <w:rFonts w:ascii="Palatino Linotype" w:eastAsia="Palatino Linotype" w:hAnsi="Palatino Linotype" w:cs="Palatino Linotype"/>
          <w:b/>
        </w:rPr>
        <w:t>dictámenes periciales</w:t>
      </w:r>
      <w:r w:rsidRPr="002979C1">
        <w:rPr>
          <w:rFonts w:ascii="Palatino Linotype" w:eastAsia="Palatino Linotype" w:hAnsi="Palatino Linotype" w:cs="Palatino Linotype"/>
        </w:rPr>
        <w:t>, así como todos los documentos, independientemente de su contenido o naturaleza, los objetos, los registros de voz e imágenes, son estrictamente reservados, por lo que únicamente la víctima u ofendido, su asesor jurídico, el imputado y su defensor, estos dos últimos cuando se haya dictado auto de vinculación a proceso, o bien el imputado se encuentre detenido, sea citado para su comparecencia o sea sujeto a un acto de molestia y se pretenda recibir su entrevista, podrán tener acceso a los mismos. En este sentido, la reserva de información debe entenderse en relación con personas ajenas a la investigación, sin que el impedimento pueda hacerse extensivo a la persona con la calidad de imputada.</w:t>
      </w:r>
    </w:p>
    <w:p w14:paraId="1DCF233C" w14:textId="77777777" w:rsidR="00E6212E" w:rsidRPr="002979C1" w:rsidRDefault="00E6212E">
      <w:pPr>
        <w:spacing w:line="360" w:lineRule="auto"/>
        <w:ind w:right="51" w:hanging="6"/>
        <w:jc w:val="both"/>
        <w:rPr>
          <w:rFonts w:ascii="Palatino Linotype" w:eastAsia="Palatino Linotype" w:hAnsi="Palatino Linotype" w:cs="Palatino Linotype"/>
        </w:rPr>
      </w:pPr>
    </w:p>
    <w:p w14:paraId="2E8778FC" w14:textId="77777777" w:rsidR="00E6212E" w:rsidRPr="002979C1" w:rsidRDefault="004046EE">
      <w:pPr>
        <w:spacing w:line="360" w:lineRule="auto"/>
        <w:ind w:right="51" w:hanging="7"/>
        <w:jc w:val="both"/>
        <w:rPr>
          <w:rFonts w:ascii="Palatino Linotype" w:eastAsia="Palatino Linotype" w:hAnsi="Palatino Linotype" w:cs="Palatino Linotype"/>
        </w:rPr>
      </w:pPr>
      <w:r w:rsidRPr="002979C1">
        <w:rPr>
          <w:rFonts w:ascii="Palatino Linotype" w:eastAsia="Palatino Linotype" w:hAnsi="Palatino Linotype" w:cs="Palatino Linotype"/>
        </w:rPr>
        <w:t xml:space="preserve">Por ende, para poder acceder a los dictámenes periciales que se encuentran dentro de la carpeta de investigación con número </w:t>
      </w:r>
      <w:r w:rsidRPr="002979C1">
        <w:rPr>
          <w:rFonts w:ascii="Palatino Linotype" w:eastAsia="Palatino Linotype" w:hAnsi="Palatino Linotype" w:cs="Palatino Linotype"/>
          <w:b/>
          <w:color w:val="000000"/>
        </w:rPr>
        <w:t>NIC: FHT/FHT/00/MPI/401/00480/21/10 y NUC: LER/FHT/FHT/054/303750/21/10</w:t>
      </w:r>
      <w:r w:rsidRPr="002979C1">
        <w:rPr>
          <w:rFonts w:ascii="Palatino Linotype" w:eastAsia="Palatino Linotype" w:hAnsi="Palatino Linotype" w:cs="Palatino Linotype"/>
          <w:color w:val="000000"/>
        </w:rPr>
        <w:t>, es</w:t>
      </w:r>
      <w:r w:rsidRPr="002979C1">
        <w:rPr>
          <w:rFonts w:ascii="Palatino Linotype" w:eastAsia="Palatino Linotype" w:hAnsi="Palatino Linotype" w:cs="Palatino Linotype"/>
        </w:rPr>
        <w:t xml:space="preserve"> requisito indispensable acreditar ser parte, acreditar la personalidad jurídica ante el Ministerio Público que conoce de los hechos que se investigan, es decir; sólo podrán tener acceso a los registros y los documentos de la investigación: el imputado y los demás intervinientes en el procedimiento penal; acreditación que </w:t>
      </w:r>
      <w:r w:rsidRPr="002979C1">
        <w:rPr>
          <w:rFonts w:ascii="Palatino Linotype" w:eastAsia="Palatino Linotype" w:hAnsi="Palatino Linotype" w:cs="Palatino Linotype"/>
          <w:b/>
        </w:rPr>
        <w:t xml:space="preserve">no es competencia de la Unidad de </w:t>
      </w:r>
      <w:r w:rsidRPr="002979C1">
        <w:rPr>
          <w:rFonts w:ascii="Palatino Linotype" w:eastAsia="Palatino Linotype" w:hAnsi="Palatino Linotype" w:cs="Palatino Linotype"/>
          <w:b/>
        </w:rPr>
        <w:lastRenderedPageBreak/>
        <w:t>Transparencia del SUJETO OBLIGADO</w:t>
      </w:r>
      <w:r w:rsidRPr="002979C1">
        <w:rPr>
          <w:rFonts w:ascii="Palatino Linotype" w:eastAsia="Palatino Linotype" w:hAnsi="Palatino Linotype" w:cs="Palatino Linotype"/>
        </w:rPr>
        <w:t xml:space="preserve">, o bien, de este Instituto, ya que se trata de un procedimiento penal en el cual, el </w:t>
      </w:r>
      <w:r w:rsidRPr="002979C1">
        <w:rPr>
          <w:rFonts w:ascii="Palatino Linotype" w:eastAsia="Palatino Linotype" w:hAnsi="Palatino Linotype" w:cs="Palatino Linotype"/>
          <w:b/>
        </w:rPr>
        <w:t xml:space="preserve">MINISTERIO PÚBLICO </w:t>
      </w:r>
      <w:r w:rsidRPr="002979C1">
        <w:rPr>
          <w:rFonts w:ascii="Palatino Linotype" w:eastAsia="Palatino Linotype" w:hAnsi="Palatino Linotype" w:cs="Palatino Linotype"/>
        </w:rPr>
        <w:t>en uso de la facultad otorgada por el artículo 20 de nuestro máximo ordenamiento jurídico, determina la viabilidad de otorgar el acceso a la investigación inicial o consulta de la carpeta de investigación, o en su caso, la posibilidad de reservar las documentales que la integran, atendiendo a la salvaguarda de la investigación y el aseguramiento de derechos de terceros.</w:t>
      </w:r>
    </w:p>
    <w:p w14:paraId="1E391A44" w14:textId="77777777" w:rsidR="00E6212E" w:rsidRPr="002979C1" w:rsidRDefault="00E6212E">
      <w:pPr>
        <w:widowControl w:val="0"/>
        <w:pBdr>
          <w:top w:val="nil"/>
          <w:left w:val="nil"/>
          <w:bottom w:val="nil"/>
          <w:right w:val="nil"/>
          <w:between w:val="nil"/>
        </w:pBdr>
        <w:spacing w:before="8"/>
        <w:ind w:left="112"/>
        <w:rPr>
          <w:color w:val="000000"/>
          <w:sz w:val="28"/>
          <w:szCs w:val="28"/>
        </w:rPr>
      </w:pPr>
    </w:p>
    <w:p w14:paraId="0FB15775" w14:textId="77777777" w:rsidR="00E6212E" w:rsidRPr="002979C1" w:rsidRDefault="004046EE">
      <w:pPr>
        <w:spacing w:line="360" w:lineRule="auto"/>
        <w:ind w:right="51" w:hanging="6"/>
        <w:jc w:val="both"/>
        <w:rPr>
          <w:rFonts w:ascii="Palatino Linotype" w:eastAsia="Palatino Linotype" w:hAnsi="Palatino Linotype" w:cs="Palatino Linotype"/>
        </w:rPr>
      </w:pPr>
      <w:r w:rsidRPr="002979C1">
        <w:rPr>
          <w:rFonts w:ascii="Palatino Linotype" w:eastAsia="Palatino Linotype" w:hAnsi="Palatino Linotype" w:cs="Palatino Linotype"/>
        </w:rPr>
        <w:t>Es decir, se insiste en que es la propia Constitución Política de los Estados Unidos Mexicanos, que prevé en su artículo 20, la protección del procedimiento penal, y por lo tanto, señala las reglas a seguir realizando una debida ponderación de derechos, al garantizar la protección de las víctimas, los ofendidos, los testigos y de todos los sujetos que intervengan en el procedimiento penal, el cual, tiene por objeto salvaguardar la integridad física, el honor e imagen de las personas, así como la debida procuración y administración de justicia, al amparo del derecho de acceso a la información.</w:t>
      </w:r>
    </w:p>
    <w:p w14:paraId="2174D230" w14:textId="77777777" w:rsidR="00E6212E" w:rsidRPr="002979C1" w:rsidRDefault="00E6212E">
      <w:pPr>
        <w:widowControl w:val="0"/>
        <w:pBdr>
          <w:top w:val="nil"/>
          <w:left w:val="nil"/>
          <w:bottom w:val="nil"/>
          <w:right w:val="nil"/>
          <w:between w:val="nil"/>
        </w:pBdr>
        <w:tabs>
          <w:tab w:val="left" w:pos="1642"/>
        </w:tabs>
        <w:spacing w:before="4"/>
        <w:ind w:left="112"/>
        <w:rPr>
          <w:color w:val="000000"/>
          <w:sz w:val="36"/>
          <w:szCs w:val="36"/>
        </w:rPr>
      </w:pPr>
    </w:p>
    <w:p w14:paraId="19B03523" w14:textId="77777777" w:rsidR="00E6212E" w:rsidRPr="002979C1" w:rsidRDefault="004046E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Por las razones ya expuestas, esta finalidad se justifica en atención a que la propia Constitución establece, el deber de sigilo a cargo del Ministerio Público y de reserva de información relativa a las investigaciones y la obligación de garantizar la protección de los sujetos involucrados en la investigación. </w:t>
      </w:r>
    </w:p>
    <w:p w14:paraId="17F32DF3" w14:textId="77777777" w:rsidR="00E6212E" w:rsidRPr="002979C1" w:rsidRDefault="00E6212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67367986" w14:textId="77777777" w:rsidR="00E6212E" w:rsidRPr="002979C1" w:rsidRDefault="004046E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lastRenderedPageBreak/>
        <w:t>De esta forma, el Ministerio Publico puede negar información a los propios intervinientes o partes cuando estime que, con la entrega de esos datos, se pongan en riesgo o peligro investigaciones en curso o la seguridad de personas.</w:t>
      </w:r>
    </w:p>
    <w:p w14:paraId="2FE0F700" w14:textId="77777777" w:rsidR="00E6212E" w:rsidRPr="002979C1" w:rsidRDefault="00E6212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6470955D" w14:textId="77777777" w:rsidR="00E6212E" w:rsidRPr="002979C1" w:rsidRDefault="004046E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Luego entonces, debe señalarse claramente que hay un procedimiento ex profeso y ad-hoc, el cual establece las propias reglas para el acceso a las carpetas de investigación. </w:t>
      </w:r>
    </w:p>
    <w:p w14:paraId="4E1EECDF" w14:textId="77777777" w:rsidR="00E6212E" w:rsidRPr="002979C1" w:rsidRDefault="00E6212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137209EC" w14:textId="77777777" w:rsidR="00E6212E" w:rsidRPr="002979C1" w:rsidRDefault="004046E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En tal sentido, </w:t>
      </w:r>
      <w:r w:rsidRPr="002979C1">
        <w:rPr>
          <w:rFonts w:ascii="Palatino Linotype" w:eastAsia="Palatino Linotype" w:hAnsi="Palatino Linotype" w:cs="Palatino Linotype"/>
          <w:b/>
          <w:color w:val="000000"/>
        </w:rPr>
        <w:t>el procedimiento de acceso a la información pública no debe contraponerse a procedimientos de consulta previo y ex profeso ya señalados en otras normatividades, a fin de no sustituir la ley especial prevista para casos particulares como lo es el acceso a expedientes por parte de las partes a investigaciones no concluidas</w:t>
      </w:r>
      <w:r w:rsidRPr="002979C1">
        <w:rPr>
          <w:rFonts w:ascii="Palatino Linotype" w:eastAsia="Palatino Linotype" w:hAnsi="Palatino Linotype" w:cs="Palatino Linotype"/>
          <w:color w:val="000000"/>
        </w:rPr>
        <w:t>; por lo que cualquier persona que solicite acceso a las investigaciones en curso, debe acreditar ser parte del procedimiento penal como ya se ha señalado en párrafos anteriores.</w:t>
      </w:r>
    </w:p>
    <w:p w14:paraId="18F34D39" w14:textId="77777777" w:rsidR="00E6212E" w:rsidRPr="002979C1" w:rsidRDefault="00E6212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48E636CF" w14:textId="77777777" w:rsidR="00E6212E" w:rsidRPr="002979C1" w:rsidRDefault="004046EE">
      <w:pPr>
        <w:spacing w:line="360" w:lineRule="auto"/>
        <w:ind w:right="49" w:hanging="4"/>
        <w:jc w:val="both"/>
        <w:rPr>
          <w:rFonts w:ascii="Palatino Linotype" w:eastAsia="Palatino Linotype" w:hAnsi="Palatino Linotype" w:cs="Palatino Linotype"/>
        </w:rPr>
      </w:pPr>
      <w:r w:rsidRPr="002979C1">
        <w:rPr>
          <w:rFonts w:ascii="Palatino Linotype" w:eastAsia="Palatino Linotype" w:hAnsi="Palatino Linotype" w:cs="Palatino Linotype"/>
        </w:rPr>
        <w:t>Aunado a ello, esta determinación es una medida proporcional, porque, además de proteger las investigaciones en curso y la seguridad de las personas, no afecta de manera innecesaria o desmedida el derecho de acudir ante la autoridad ministerial para acceder como “parte” a los registros que obran en la carpeta de investigación, entre ellos los dictámenes periciales.</w:t>
      </w:r>
    </w:p>
    <w:p w14:paraId="42D17865" w14:textId="77777777" w:rsidR="00E6212E" w:rsidRPr="002979C1" w:rsidRDefault="00E6212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79048252" w14:textId="77777777" w:rsidR="00E6212E" w:rsidRPr="002979C1" w:rsidRDefault="004046E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lastRenderedPageBreak/>
        <w:t xml:space="preserve">Incluso queda patente el dejar a salvo los derechos del recurrente para el caso de considerarlo pertinente, acuda ante la autoridad competente </w:t>
      </w:r>
      <w:r w:rsidR="008B3849" w:rsidRPr="002979C1">
        <w:rPr>
          <w:rFonts w:ascii="Palatino Linotype" w:eastAsia="Palatino Linotype" w:hAnsi="Palatino Linotype" w:cs="Palatino Linotype"/>
          <w:color w:val="000000"/>
        </w:rPr>
        <w:t>para</w:t>
      </w:r>
      <w:r w:rsidRPr="002979C1">
        <w:rPr>
          <w:rFonts w:ascii="Palatino Linotype" w:eastAsia="Palatino Linotype" w:hAnsi="Palatino Linotype" w:cs="Palatino Linotype"/>
          <w:color w:val="000000"/>
        </w:rPr>
        <w:t xml:space="preserve"> efecto de ejercer sus derechos como parte y acceder a los registros contenidos en la carpeta de Investigación señalada por el sujeto obligado particularmente al caso concreto a los dictámenes que obran dentro de ella y que son materia del presente estudio.</w:t>
      </w:r>
    </w:p>
    <w:p w14:paraId="3D087681" w14:textId="77777777" w:rsidR="00E6212E" w:rsidRPr="002979C1" w:rsidRDefault="00E6212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08B7104D" w14:textId="77777777" w:rsidR="00E6212E" w:rsidRPr="002979C1" w:rsidRDefault="004046E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Finalmente, se reitera que la limitante en otorgar el acceso a la información por parte de este Instituto como es el caso, información relacionada dentro de una carpeta de investigación, como son los dictámenes periciales, resulta ser una medida debidamente justificada, la cual es </w:t>
      </w:r>
      <w:r w:rsidRPr="002979C1">
        <w:rPr>
          <w:rFonts w:ascii="Palatino Linotype" w:eastAsia="Palatino Linotype" w:hAnsi="Palatino Linotype" w:cs="Palatino Linotype"/>
          <w:b/>
          <w:color w:val="000000"/>
        </w:rPr>
        <w:t xml:space="preserve">idónea, necesaria y proporcional </w:t>
      </w:r>
      <w:r w:rsidRPr="002979C1">
        <w:rPr>
          <w:rFonts w:ascii="Palatino Linotype" w:eastAsia="Palatino Linotype" w:hAnsi="Palatino Linotype" w:cs="Palatino Linotype"/>
          <w:color w:val="000000"/>
        </w:rPr>
        <w:t xml:space="preserve">para que las investigaciones no se vean afectadas, y que la Fiscalía pueda perseguir eficazmente los hechos que la ley señale como delito, y con ello, no se afecten las </w:t>
      </w:r>
      <w:r w:rsidRPr="002979C1">
        <w:rPr>
          <w:rFonts w:ascii="Palatino Linotype" w:eastAsia="Palatino Linotype" w:hAnsi="Palatino Linotype" w:cs="Palatino Linotype"/>
          <w:b/>
          <w:color w:val="000000"/>
        </w:rPr>
        <w:t>garantías de debido proceso, el principio de presunción de inocencia, los derechos de las personas involucradas en la carpeta de investigación (el indiciado, la víctima y el ofendido).</w:t>
      </w:r>
    </w:p>
    <w:p w14:paraId="71F920DA" w14:textId="77777777" w:rsidR="00E6212E" w:rsidRPr="002979C1" w:rsidRDefault="00E6212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7D6E44F3" w14:textId="77777777" w:rsidR="00E6212E" w:rsidRPr="002979C1" w:rsidRDefault="004046EE">
      <w:pPr>
        <w:pBdr>
          <w:top w:val="nil"/>
          <w:left w:val="nil"/>
          <w:bottom w:val="nil"/>
          <w:right w:val="nil"/>
          <w:between w:val="nil"/>
        </w:pBdr>
        <w:spacing w:line="360" w:lineRule="auto"/>
        <w:ind w:right="51"/>
        <w:jc w:val="both"/>
        <w:rPr>
          <w:rFonts w:ascii="Palatino Linotype" w:eastAsia="Palatino Linotype" w:hAnsi="Palatino Linotype" w:cs="Palatino Linotype"/>
          <w:b/>
          <w:i/>
          <w:color w:val="000000"/>
        </w:rPr>
      </w:pPr>
      <w:r w:rsidRPr="002979C1">
        <w:rPr>
          <w:rFonts w:ascii="Palatino Linotype" w:eastAsia="Palatino Linotype" w:hAnsi="Palatino Linotype" w:cs="Palatino Linotype"/>
          <w:color w:val="000000"/>
        </w:rPr>
        <w:t xml:space="preserve">Tiene sustento con la siguiente Tesis: Semanario Judicial de la Federación y su Gaceta. Libro XX, Mayo de 2013, Tomo 1, página 565, cuyo rubro: </w:t>
      </w:r>
      <w:r w:rsidRPr="002979C1">
        <w:rPr>
          <w:rFonts w:ascii="Palatino Linotype" w:eastAsia="Palatino Linotype" w:hAnsi="Palatino Linotype" w:cs="Palatino Linotype"/>
          <w:b/>
          <w:color w:val="000000"/>
        </w:rPr>
        <w:t>“</w:t>
      </w:r>
      <w:r w:rsidRPr="002979C1">
        <w:rPr>
          <w:rFonts w:ascii="Palatino Linotype" w:eastAsia="Palatino Linotype" w:hAnsi="Palatino Linotype" w:cs="Palatino Linotype"/>
          <w:b/>
          <w:i/>
          <w:color w:val="000000"/>
        </w:rPr>
        <w:t>PRESUNCIÓN DE INOCENCIA Y DERECHO A LA INFORMACIÓN. SU RELACIÓN CON LA EXPOSICIÓN DE DETENIDOS ANTE LOS MEDIOS DE COMUNICACIÓN”.</w:t>
      </w:r>
    </w:p>
    <w:p w14:paraId="0A5824ED" w14:textId="77777777" w:rsidR="00E6212E" w:rsidRPr="002979C1" w:rsidRDefault="004046EE">
      <w:pPr>
        <w:pBdr>
          <w:top w:val="nil"/>
          <w:left w:val="nil"/>
          <w:bottom w:val="nil"/>
          <w:right w:val="nil"/>
          <w:between w:val="nil"/>
        </w:pBdr>
        <w:ind w:left="851" w:right="902"/>
        <w:jc w:val="both"/>
        <w:rPr>
          <w:rFonts w:ascii="Palatino Linotype" w:eastAsia="Palatino Linotype" w:hAnsi="Palatino Linotype" w:cs="Palatino Linotype"/>
          <w:b/>
          <w:i/>
          <w:color w:val="000000"/>
          <w:sz w:val="22"/>
          <w:szCs w:val="22"/>
        </w:rPr>
      </w:pPr>
      <w:r w:rsidRPr="002979C1">
        <w:rPr>
          <w:rFonts w:ascii="Palatino Linotype" w:eastAsia="Palatino Linotype" w:hAnsi="Palatino Linotype" w:cs="Palatino Linotype"/>
          <w:i/>
          <w:color w:val="000000"/>
          <w:sz w:val="22"/>
          <w:szCs w:val="22"/>
        </w:rPr>
        <w:t xml:space="preserve">A lo largo de su jurisprudencia, esta Primera Sala de la Suprema Corte de Justicia de la Nación ha reconocido el papel central que juegan la libertad de expresión y el derecho a la información en un Estado democrático constitucional de Derecho, como piezas centrales para el adecuado funcionamiento de la democracia representativa. El orden constitucional mexicano promueve la comunicación libre </w:t>
      </w:r>
      <w:r w:rsidRPr="002979C1">
        <w:rPr>
          <w:rFonts w:ascii="Palatino Linotype" w:eastAsia="Palatino Linotype" w:hAnsi="Palatino Linotype" w:cs="Palatino Linotype"/>
          <w:i/>
          <w:color w:val="000000"/>
          <w:sz w:val="22"/>
          <w:szCs w:val="22"/>
        </w:rPr>
        <w:lastRenderedPageBreak/>
        <w:t xml:space="preserve">y socialmente trascendente, pues el intercambio de información y opiniones entre los distintos comunicadores contribuirá a la formación de la voluntad social y estatal, de modo que es posible afirmar que el despliegue comunicativo es constitutivo de los procesos sociales y políticos. Sin embargo, el proporcionar información sobre eventos de interés nacional para un debido ejercicio del derecho a la información no puede justificar la violación de los derechos fundamentales de los detenidos y acusados. Es decir, la finalidad de brindar información sobre hechos delictuosos a los medios periodísticos no puede justificar la violación a la presunción de inocencia, como regla de trato en su vertiente extraprocesal, por parte de las autoridades que exponen como culpables a los detenidos. En este sentido, se estima </w:t>
      </w:r>
      <w:proofErr w:type="gramStart"/>
      <w:r w:rsidRPr="002979C1">
        <w:rPr>
          <w:rFonts w:ascii="Palatino Linotype" w:eastAsia="Palatino Linotype" w:hAnsi="Palatino Linotype" w:cs="Palatino Linotype"/>
          <w:i/>
          <w:color w:val="000000"/>
          <w:sz w:val="22"/>
          <w:szCs w:val="22"/>
        </w:rPr>
        <w:t>que</w:t>
      </w:r>
      <w:proofErr w:type="gramEnd"/>
      <w:r w:rsidRPr="002979C1">
        <w:rPr>
          <w:rFonts w:ascii="Palatino Linotype" w:eastAsia="Palatino Linotype" w:hAnsi="Palatino Linotype" w:cs="Palatino Linotype"/>
          <w:i/>
          <w:color w:val="000000"/>
          <w:sz w:val="22"/>
          <w:szCs w:val="22"/>
        </w:rPr>
        <w:t xml:space="preserve"> al proporcionar información sobre hechos delictuosos, las autoridades deben abstenerse de deformar la realidad a fin de exponer a una persona frente a la sociedad y, principalmente, frente a las futuras partes del proceso, como los culpables del hecho delictivo. Por el contrario, deben constreñirse a presentar en forma descriptiva y no valorativa la información relativa a la causa penal que pueda tener relevancia pública, absteniéndose de brindar información sugestiva que exponga al detenido a un juicio paralelo y viole su derecho a ser tratado como inocente durante el trámite del procedimiento e, incluso, desde antes de que se inicie. Esta misma lógica ha sido sostenida por la Corte Interamericana de Derechos Humanos, la cual estableció en el Caso Cabrera García y Montiel Flores vs. México, que el principio de presunción de inocencia implica que los juzgadores no inicien el proceso con una idea preconcebida de que el acusado ha cometido el delito que se le imputa, por lo que la carga de la prueba está a cargo de quien acusa y cualquier duda debe ser usada en beneficio del acusado. En el mismo sentido, al dictar sentencia en el Caso Loayza Tamayo vs. Perú, la Corte Interamericana condenó enfáticamente la práctica consistente en exponer ante los medios de comunicación a personas acusadas por la comisión de delitos, cuando aún no han sido condenadas por sentencia firme. Al respecto, dicho tribunal sostuvo que </w:t>
      </w:r>
      <w:r w:rsidRPr="002979C1">
        <w:rPr>
          <w:rFonts w:ascii="Palatino Linotype" w:eastAsia="Palatino Linotype" w:hAnsi="Palatino Linotype" w:cs="Palatino Linotype"/>
          <w:b/>
          <w:i/>
          <w:color w:val="000000"/>
          <w:sz w:val="22"/>
          <w:szCs w:val="22"/>
        </w:rPr>
        <w:t>el derecho a la presunción de inocencia exige que el Estado no condene informalmente a una persona o emita un juicio ante la sociedad que contribuya así a formar una opinión pública, mientras no se acredite conforme a la ley la responsabilidad penal de aquélla.</w:t>
      </w:r>
    </w:p>
    <w:p w14:paraId="728D5B4E" w14:textId="77777777" w:rsidR="00E6212E" w:rsidRPr="002979C1" w:rsidRDefault="00E6212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33F4BCEB" w14:textId="77777777" w:rsidR="00E6212E" w:rsidRPr="002979C1" w:rsidRDefault="00E6212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4F004755" w14:textId="77777777" w:rsidR="00E6212E" w:rsidRPr="002979C1" w:rsidRDefault="004046E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lastRenderedPageBreak/>
        <w:t>Del criterio citado, se advierte que, de no protegerse la información relacionada con una investigación por la comisión de un delito, ésta podría ser usada para causar algún daño físico, familiar o patrimonial a cualquiera de los sujetos involucrados (el indiciado, la víctima u ofendido y testigos) incluyendo a los testigos del acto delictivo.</w:t>
      </w:r>
    </w:p>
    <w:p w14:paraId="58BD580D" w14:textId="77777777" w:rsidR="00E6212E" w:rsidRPr="002979C1" w:rsidRDefault="00E6212E">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72E7D232" w14:textId="77777777" w:rsidR="00E6212E" w:rsidRPr="002979C1" w:rsidRDefault="004046EE" w:rsidP="008B3849">
      <w:pPr>
        <w:widowControl w:val="0"/>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En el mismo sentido, la Convención Americana de Derechos Humanos en su artículo 8.2 señala que toda persona inculpada de delito tiene derecho a que se presuma su inocencia mientras no se establezca legalmente su culpabilidad.</w:t>
      </w:r>
    </w:p>
    <w:p w14:paraId="4277C272" w14:textId="77777777" w:rsidR="00E6212E" w:rsidRPr="002979C1" w:rsidRDefault="00E6212E" w:rsidP="008B3849">
      <w:pPr>
        <w:widowControl w:val="0"/>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076B7A0A" w14:textId="77777777" w:rsidR="00E6212E" w:rsidRPr="002979C1" w:rsidRDefault="004046EE" w:rsidP="008B3849">
      <w:pPr>
        <w:widowControl w:val="0"/>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El principio de la presunción de inocencia, tal y como se desprende el referido artículo 8.2 de la Convención, exige que una persona no pueda ser condenada mientras no exista prueba plena de su responsabilidad penal.</w:t>
      </w:r>
    </w:p>
    <w:p w14:paraId="41359751" w14:textId="77777777" w:rsidR="00E6212E" w:rsidRPr="002979C1" w:rsidRDefault="00E6212E" w:rsidP="008B3849">
      <w:pPr>
        <w:widowControl w:val="0"/>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3FFAD56B" w14:textId="77777777" w:rsidR="00E6212E" w:rsidRPr="002979C1" w:rsidRDefault="004046EE" w:rsidP="008B3849">
      <w:pPr>
        <w:widowControl w:val="0"/>
        <w:pBdr>
          <w:top w:val="nil"/>
          <w:left w:val="nil"/>
          <w:bottom w:val="nil"/>
          <w:right w:val="nil"/>
          <w:between w:val="nil"/>
        </w:pBdr>
        <w:spacing w:line="360" w:lineRule="auto"/>
        <w:ind w:right="51"/>
        <w:jc w:val="both"/>
        <w:rPr>
          <w:rFonts w:ascii="Palatino Linotype" w:eastAsia="Palatino Linotype" w:hAnsi="Palatino Linotype" w:cs="Palatino Linotype"/>
          <w:color w:val="000000"/>
          <w:sz w:val="25"/>
          <w:szCs w:val="25"/>
        </w:rPr>
      </w:pPr>
      <w:r w:rsidRPr="002979C1">
        <w:rPr>
          <w:rFonts w:ascii="Palatino Linotype" w:eastAsia="Palatino Linotype" w:hAnsi="Palatino Linotype" w:cs="Palatino Linotype"/>
          <w:color w:val="000000"/>
        </w:rPr>
        <w:t>Tiene sustento con la siguiente Tesis: Semanario Judicial de la Federación y su Gaceta. Libro 5, Abril de 2014, Tomo 1, página 497, cuyo rubro</w:t>
      </w:r>
      <w:r w:rsidRPr="002979C1">
        <w:rPr>
          <w:rFonts w:ascii="Palatino Linotype" w:eastAsia="Palatino Linotype" w:hAnsi="Palatino Linotype" w:cs="Palatino Linotype"/>
          <w:color w:val="000000"/>
          <w:sz w:val="25"/>
          <w:szCs w:val="25"/>
        </w:rPr>
        <w:t>:</w:t>
      </w:r>
    </w:p>
    <w:p w14:paraId="14DA3F4B" w14:textId="77777777" w:rsidR="00E6212E" w:rsidRPr="002979C1" w:rsidRDefault="004046EE">
      <w:pPr>
        <w:spacing w:before="280" w:after="280"/>
        <w:ind w:left="851" w:right="607"/>
        <w:jc w:val="both"/>
        <w:rPr>
          <w:rFonts w:ascii="Palatino Linotype" w:eastAsia="Palatino Linotype" w:hAnsi="Palatino Linotype" w:cs="Palatino Linotype"/>
          <w:i/>
          <w:sz w:val="22"/>
          <w:szCs w:val="22"/>
        </w:rPr>
      </w:pPr>
      <w:r w:rsidRPr="002979C1">
        <w:rPr>
          <w:rFonts w:ascii="Palatino Linotype" w:eastAsia="Palatino Linotype" w:hAnsi="Palatino Linotype" w:cs="Palatino Linotype"/>
          <w:b/>
          <w:i/>
          <w:sz w:val="22"/>
          <w:szCs w:val="22"/>
        </w:rPr>
        <w:t>PRESUNCIÓN DE INOCENCIA COMO REGLA DE TRATO PROCESAL</w:t>
      </w:r>
      <w:r w:rsidRPr="002979C1">
        <w:rPr>
          <w:rFonts w:ascii="Palatino Linotype" w:eastAsia="Palatino Linotype" w:hAnsi="Palatino Linotype" w:cs="Palatino Linotype"/>
          <w:i/>
          <w:sz w:val="22"/>
          <w:szCs w:val="22"/>
        </w:rPr>
        <w:t xml:space="preserve">.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de tratamiento” del imputado, en la medida en que este derecho establece la forma en la que debe tratarse 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w:t>
      </w:r>
      <w:r w:rsidRPr="002979C1">
        <w:rPr>
          <w:rFonts w:ascii="Palatino Linotype" w:eastAsia="Palatino Linotype" w:hAnsi="Palatino Linotype" w:cs="Palatino Linotype"/>
          <w:i/>
          <w:sz w:val="22"/>
          <w:szCs w:val="22"/>
        </w:rPr>
        <w:lastRenderedPageBreak/>
        <w:t>medida posible la aplicación de medidas que impliquen una equiparación de hecho entre imputado y culpable, es decir, conlleva la prohibición de cualquier tipo de resolución judicial que suponga la anticipación de la pena.</w:t>
      </w:r>
    </w:p>
    <w:p w14:paraId="13BAD66C" w14:textId="77777777" w:rsidR="00E6212E" w:rsidRPr="002979C1" w:rsidRDefault="00E6212E">
      <w:pPr>
        <w:spacing w:line="360" w:lineRule="auto"/>
        <w:ind w:right="49" w:hanging="4"/>
        <w:jc w:val="both"/>
        <w:rPr>
          <w:rFonts w:ascii="Palatino Linotype" w:eastAsia="Palatino Linotype" w:hAnsi="Palatino Linotype" w:cs="Palatino Linotype"/>
          <w:b/>
        </w:rPr>
      </w:pPr>
    </w:p>
    <w:p w14:paraId="01C0AD3A" w14:textId="77777777" w:rsidR="00E6212E" w:rsidRPr="002979C1" w:rsidRDefault="004046EE">
      <w:pPr>
        <w:spacing w:line="360" w:lineRule="auto"/>
        <w:ind w:right="49" w:hanging="4"/>
        <w:jc w:val="both"/>
        <w:rPr>
          <w:rFonts w:ascii="Palatino Linotype" w:eastAsia="Palatino Linotype" w:hAnsi="Palatino Linotype" w:cs="Palatino Linotype"/>
          <w:b/>
        </w:rPr>
      </w:pPr>
      <w:r w:rsidRPr="002979C1">
        <w:rPr>
          <w:rFonts w:ascii="Palatino Linotype" w:eastAsia="Palatino Linotype" w:hAnsi="Palatino Linotype" w:cs="Palatino Linotype"/>
          <w:b/>
        </w:rPr>
        <w:t>CLASIFICACIÓN DE LA INFORMACIÓN</w:t>
      </w:r>
    </w:p>
    <w:p w14:paraId="57C24231" w14:textId="77777777" w:rsidR="00E6212E" w:rsidRPr="002979C1" w:rsidRDefault="00E6212E">
      <w:pPr>
        <w:spacing w:line="360" w:lineRule="auto"/>
        <w:ind w:right="49" w:hanging="4"/>
        <w:jc w:val="both"/>
        <w:rPr>
          <w:rFonts w:ascii="Palatino Linotype" w:eastAsia="Palatino Linotype" w:hAnsi="Palatino Linotype" w:cs="Palatino Linotype"/>
          <w:b/>
        </w:rPr>
      </w:pPr>
    </w:p>
    <w:p w14:paraId="52722D84" w14:textId="6FB53731" w:rsidR="00E6212E" w:rsidRPr="002979C1" w:rsidRDefault="004046EE">
      <w:pPr>
        <w:widowControl w:val="0"/>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Una vez determinado lo anterior, y toda vez que el </w:t>
      </w:r>
      <w:r w:rsidRPr="002979C1">
        <w:rPr>
          <w:rFonts w:ascii="Palatino Linotype" w:eastAsia="Palatino Linotype" w:hAnsi="Palatino Linotype" w:cs="Palatino Linotype"/>
          <w:b/>
          <w:color w:val="000000"/>
        </w:rPr>
        <w:t>RECURRENTE</w:t>
      </w:r>
      <w:r w:rsidRPr="002979C1">
        <w:rPr>
          <w:rFonts w:ascii="Palatino Linotype" w:eastAsia="Palatino Linotype" w:hAnsi="Palatino Linotype" w:cs="Palatino Linotype"/>
          <w:color w:val="000000"/>
        </w:rPr>
        <w:t xml:space="preserve">, se duele de la reserva de </w:t>
      </w:r>
      <w:r w:rsidR="00242EC5" w:rsidRPr="002979C1">
        <w:rPr>
          <w:rFonts w:ascii="Palatino Linotype" w:eastAsia="Palatino Linotype" w:hAnsi="Palatino Linotype" w:cs="Palatino Linotype"/>
          <w:color w:val="000000"/>
        </w:rPr>
        <w:t>la información</w:t>
      </w:r>
      <w:r w:rsidRPr="002979C1">
        <w:rPr>
          <w:rFonts w:ascii="Palatino Linotype" w:eastAsia="Palatino Linotype" w:hAnsi="Palatino Linotype" w:cs="Palatino Linotype"/>
          <w:color w:val="000000"/>
        </w:rPr>
        <w:t xml:space="preserve"> este órgano garante, considera pertinente analizar el </w:t>
      </w:r>
      <w:r w:rsidR="00286714" w:rsidRPr="002979C1">
        <w:rPr>
          <w:rFonts w:ascii="Palatino Linotype" w:eastAsia="Palatino Linotype" w:hAnsi="Palatino Linotype" w:cs="Palatino Linotype"/>
          <w:color w:val="000000"/>
        </w:rPr>
        <w:t>Acuerdo de</w:t>
      </w:r>
      <w:r w:rsidRPr="002979C1">
        <w:rPr>
          <w:rFonts w:ascii="Palatino Linotype" w:eastAsia="Palatino Linotype" w:hAnsi="Palatino Linotype" w:cs="Palatino Linotype"/>
          <w:color w:val="000000"/>
        </w:rPr>
        <w:t xml:space="preserve"> Clasificación presentado por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w:t>
      </w:r>
    </w:p>
    <w:p w14:paraId="0148F806" w14:textId="77777777" w:rsidR="00E6212E" w:rsidRPr="002979C1" w:rsidRDefault="004046EE">
      <w:pPr>
        <w:tabs>
          <w:tab w:val="left" w:pos="426"/>
        </w:tabs>
        <w:spacing w:before="240"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75FB433" w14:textId="77777777" w:rsidR="00E6212E" w:rsidRPr="002979C1" w:rsidRDefault="00E6212E">
      <w:pPr>
        <w:tabs>
          <w:tab w:val="left" w:pos="426"/>
        </w:tabs>
        <w:spacing w:line="360" w:lineRule="auto"/>
        <w:ind w:left="142" w:right="51"/>
        <w:jc w:val="both"/>
        <w:rPr>
          <w:rFonts w:ascii="Palatino Linotype" w:eastAsia="Palatino Linotype" w:hAnsi="Palatino Linotype" w:cs="Palatino Linotype"/>
          <w:color w:val="000000"/>
        </w:rPr>
      </w:pPr>
    </w:p>
    <w:p w14:paraId="5D91074E"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rPr>
      </w:pPr>
      <w:r w:rsidRPr="002979C1">
        <w:rPr>
          <w:rFonts w:ascii="Palatino Linotype" w:eastAsia="Palatino Linotype" w:hAnsi="Palatino Linotype" w:cs="Palatino Linotype"/>
          <w:color w:val="000000"/>
        </w:rPr>
        <w:t xml:space="preserve">Para </w:t>
      </w:r>
      <w:r w:rsidRPr="002979C1">
        <w:rPr>
          <w:rFonts w:ascii="Palatino Linotype" w:eastAsia="Palatino Linotype" w:hAnsi="Palatino Linotype" w:cs="Palatino Linotype"/>
        </w:rPr>
        <w:t xml:space="preserve">atender las solicitudes de información, los Sujetos Obligados contarán con un área denominada </w:t>
      </w:r>
      <w:r w:rsidRPr="002979C1">
        <w:rPr>
          <w:rFonts w:ascii="Palatino Linotype" w:eastAsia="Palatino Linotype" w:hAnsi="Palatino Linotype" w:cs="Palatino Linotype"/>
          <w:b/>
        </w:rPr>
        <w:t>Unidad de Transparencia</w:t>
      </w:r>
      <w:r w:rsidRPr="002979C1">
        <w:rPr>
          <w:rFonts w:ascii="Palatino Linotype" w:eastAsia="Palatino Linotype" w:hAnsi="Palatino Linotype" w:cs="Palatino Linotype"/>
          <w:vertAlign w:val="superscript"/>
        </w:rPr>
        <w:footnoteReference w:id="1"/>
      </w:r>
      <w:r w:rsidRPr="002979C1">
        <w:rPr>
          <w:rFonts w:ascii="Palatino Linotype" w:eastAsia="Palatino Linotype" w:hAnsi="Palatino Linotype" w:cs="Palatino Linotype"/>
        </w:rPr>
        <w:t>, la cual será presidida por un Titular, quien fungirá como enlace entre éstos y los solicitantes.</w:t>
      </w:r>
    </w:p>
    <w:p w14:paraId="1FD22D87"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rPr>
      </w:pPr>
    </w:p>
    <w:p w14:paraId="5D2966FD"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rPr>
      </w:pPr>
      <w:r w:rsidRPr="002979C1">
        <w:rPr>
          <w:rFonts w:ascii="Palatino Linotype" w:eastAsia="Palatino Linotype" w:hAnsi="Palatino Linotype" w:cs="Palatino Linotype"/>
        </w:rPr>
        <w:lastRenderedPageBreak/>
        <w:t xml:space="preserve">Dicha Unidad </w:t>
      </w:r>
      <w:r w:rsidRPr="002979C1">
        <w:rPr>
          <w:rFonts w:ascii="Palatino Linotype" w:eastAsia="Palatino Linotype" w:hAnsi="Palatino Linotype" w:cs="Palatino Linotype"/>
          <w:b/>
        </w:rPr>
        <w:t>será la encargada de tramitar internamente la solicitud de información</w:t>
      </w:r>
      <w:r w:rsidRPr="002979C1">
        <w:rPr>
          <w:rFonts w:ascii="Palatino Linotype" w:eastAsia="Palatino Linotype" w:hAnsi="Palatino Linotype" w:cs="Palatino Linotype"/>
        </w:rPr>
        <w:t xml:space="preserve"> y tendrá la responsabilidad de verificar en cada caso que la misma no sea confidencial o reservada. </w:t>
      </w:r>
    </w:p>
    <w:p w14:paraId="1860D4AD"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rPr>
      </w:pPr>
    </w:p>
    <w:p w14:paraId="55CB9F61"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rPr>
        <w:t xml:space="preserve">Asimismo, contará con las facultades internas necesarias para </w:t>
      </w:r>
      <w:r w:rsidRPr="002979C1">
        <w:rPr>
          <w:rFonts w:ascii="Palatino Linotype" w:eastAsia="Palatino Linotype" w:hAnsi="Palatino Linotype" w:cs="Palatino Linotype"/>
          <w:b/>
        </w:rPr>
        <w:t xml:space="preserve">gestionar la atención a las solicitudes de información </w:t>
      </w:r>
      <w:r w:rsidRPr="002979C1">
        <w:rPr>
          <w:rFonts w:ascii="Palatino Linotype" w:eastAsia="Palatino Linotype" w:hAnsi="Palatino Linotype" w:cs="Palatino Linotype"/>
        </w:rPr>
        <w:t>en los términos de la Ley General y la Ley de Transparencia y Acceso a la Información Pública del Estado de México y Municipios</w:t>
      </w:r>
      <w:r w:rsidRPr="002979C1">
        <w:rPr>
          <w:rFonts w:ascii="Palatino Linotype" w:eastAsia="Palatino Linotype" w:hAnsi="Palatino Linotype" w:cs="Palatino Linotype"/>
          <w:vertAlign w:val="superscript"/>
        </w:rPr>
        <w:footnoteReference w:id="2"/>
      </w:r>
      <w:r w:rsidRPr="002979C1">
        <w:rPr>
          <w:rFonts w:ascii="Palatino Linotype" w:eastAsia="Palatino Linotype" w:hAnsi="Palatino Linotype" w:cs="Palatino Linotype"/>
        </w:rPr>
        <w:t>.</w:t>
      </w:r>
    </w:p>
    <w:p w14:paraId="7FAE1E5B"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4C3391AD" w14:textId="77777777" w:rsidR="0007046A" w:rsidRPr="002979C1" w:rsidRDefault="0007046A">
      <w:pPr>
        <w:tabs>
          <w:tab w:val="left" w:pos="426"/>
        </w:tabs>
        <w:spacing w:line="360" w:lineRule="auto"/>
        <w:ind w:right="51"/>
        <w:jc w:val="both"/>
        <w:rPr>
          <w:rFonts w:ascii="Palatino Linotype" w:eastAsia="Palatino Linotype" w:hAnsi="Palatino Linotype" w:cs="Palatino Linotype"/>
          <w:color w:val="000000"/>
        </w:rPr>
      </w:pPr>
    </w:p>
    <w:p w14:paraId="55CF8C42" w14:textId="0D608DFB"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De conformidad con lo dispuesto por el artículo 53 de la Ley de Transparencia y Acceso a la Información Pública del Estado de México y Municipios, las Unidades de Transparencia tendrán, entre sus atribuciones, las siguientes:</w:t>
      </w:r>
    </w:p>
    <w:p w14:paraId="16449BEB"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611E34FA" w14:textId="77777777" w:rsidR="00E6212E" w:rsidRPr="002979C1" w:rsidRDefault="004046EE">
      <w:pPr>
        <w:numPr>
          <w:ilvl w:val="1"/>
          <w:numId w:val="1"/>
        </w:numPr>
        <w:tabs>
          <w:tab w:val="left" w:pos="720"/>
          <w:tab w:val="left" w:pos="990"/>
        </w:tabs>
        <w:spacing w:line="360" w:lineRule="auto"/>
        <w:ind w:left="720" w:right="909" w:firstLine="0"/>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Recibir, tramitar y dar respuesta a las solicitudes de acceso a la información;</w:t>
      </w:r>
    </w:p>
    <w:p w14:paraId="5EE333E9" w14:textId="77777777" w:rsidR="00E6212E" w:rsidRPr="002979C1" w:rsidRDefault="004046EE">
      <w:pPr>
        <w:numPr>
          <w:ilvl w:val="1"/>
          <w:numId w:val="1"/>
        </w:numPr>
        <w:tabs>
          <w:tab w:val="left" w:pos="720"/>
          <w:tab w:val="left" w:pos="990"/>
        </w:tabs>
        <w:spacing w:line="360" w:lineRule="auto"/>
        <w:ind w:left="720" w:right="909" w:firstLine="0"/>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Realizar, con efectividad, los trámites internos necesarios para la atención de las solicitudes de acceso a la información; </w:t>
      </w:r>
    </w:p>
    <w:p w14:paraId="4D4B4A5C" w14:textId="77777777" w:rsidR="00E6212E" w:rsidRPr="002979C1" w:rsidRDefault="004046EE">
      <w:pPr>
        <w:numPr>
          <w:ilvl w:val="1"/>
          <w:numId w:val="1"/>
        </w:numPr>
        <w:tabs>
          <w:tab w:val="left" w:pos="720"/>
          <w:tab w:val="left" w:pos="990"/>
        </w:tabs>
        <w:spacing w:line="360" w:lineRule="auto"/>
        <w:ind w:left="720" w:right="909" w:firstLine="0"/>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Entregar, en su caso, a los particulares la información solicitada; y </w:t>
      </w:r>
    </w:p>
    <w:p w14:paraId="5C7087A8" w14:textId="77777777" w:rsidR="00E6212E" w:rsidRPr="002979C1" w:rsidRDefault="004046EE">
      <w:pPr>
        <w:numPr>
          <w:ilvl w:val="1"/>
          <w:numId w:val="1"/>
        </w:numPr>
        <w:tabs>
          <w:tab w:val="left" w:pos="720"/>
          <w:tab w:val="left" w:pos="990"/>
        </w:tabs>
        <w:spacing w:line="360" w:lineRule="auto"/>
        <w:ind w:left="720" w:right="909" w:firstLine="0"/>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Hacer del conocimiento de la instancia competente la probable responsabilidad por el incumplimiento de las obligaciones previstas en la presente Ley.</w:t>
      </w:r>
    </w:p>
    <w:p w14:paraId="641128DF"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0159E1FC"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Otros sujetos del proceso de atención a las solicitudes de información son los servidores públicos habilitados, quienes serán designados por el titular del Sujeto Obligado a propuesta del responsable de la Unidad de Transparencia</w:t>
      </w:r>
      <w:r w:rsidRPr="002979C1">
        <w:rPr>
          <w:rFonts w:ascii="Palatino Linotype" w:eastAsia="Palatino Linotype" w:hAnsi="Palatino Linotype" w:cs="Palatino Linotype"/>
          <w:color w:val="000000"/>
          <w:vertAlign w:val="superscript"/>
        </w:rPr>
        <w:footnoteReference w:id="3"/>
      </w:r>
      <w:r w:rsidRPr="002979C1">
        <w:rPr>
          <w:rFonts w:ascii="Palatino Linotype" w:eastAsia="Palatino Linotype" w:hAnsi="Palatino Linotype" w:cs="Palatino Linotype"/>
          <w:color w:val="000000"/>
        </w:rPr>
        <w:t xml:space="preserve"> y tendrán, entre sus atribuciones, las siguientes</w:t>
      </w:r>
      <w:r w:rsidRPr="002979C1">
        <w:rPr>
          <w:rFonts w:ascii="Palatino Linotype" w:eastAsia="Palatino Linotype" w:hAnsi="Palatino Linotype" w:cs="Palatino Linotype"/>
          <w:color w:val="000000"/>
          <w:vertAlign w:val="superscript"/>
        </w:rPr>
        <w:footnoteReference w:id="4"/>
      </w:r>
      <w:r w:rsidRPr="002979C1">
        <w:rPr>
          <w:rFonts w:ascii="Palatino Linotype" w:eastAsia="Palatino Linotype" w:hAnsi="Palatino Linotype" w:cs="Palatino Linotype"/>
          <w:color w:val="000000"/>
        </w:rPr>
        <w:t>:</w:t>
      </w:r>
    </w:p>
    <w:p w14:paraId="703F3465"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43C9FB35" w14:textId="77777777" w:rsidR="00E6212E" w:rsidRPr="002979C1" w:rsidRDefault="004046EE">
      <w:pPr>
        <w:numPr>
          <w:ilvl w:val="1"/>
          <w:numId w:val="1"/>
        </w:numPr>
        <w:tabs>
          <w:tab w:val="left" w:pos="426"/>
        </w:tabs>
        <w:spacing w:line="360" w:lineRule="auto"/>
        <w:ind w:left="1134" w:right="90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Localizar la información que le solicite la Unidad de Transparencia; y</w:t>
      </w:r>
    </w:p>
    <w:p w14:paraId="36B6F0A7" w14:textId="77777777" w:rsidR="00E6212E" w:rsidRPr="002979C1" w:rsidRDefault="004046EE">
      <w:pPr>
        <w:numPr>
          <w:ilvl w:val="1"/>
          <w:numId w:val="1"/>
        </w:numPr>
        <w:tabs>
          <w:tab w:val="left" w:pos="426"/>
        </w:tabs>
        <w:spacing w:line="360" w:lineRule="auto"/>
        <w:ind w:left="1134" w:right="90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Proporcionar la información que obre en los archivos y que le sea solicitada por la Unidad de Transparencia.</w:t>
      </w:r>
    </w:p>
    <w:p w14:paraId="233B0CB0"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2B62837F"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De tal manera que cada una de las áreas administrativas del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7D5B6484"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362C23CD"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Ahora bien, el artículo 122 de la Ley de Transparencia y Acceso a la Información Pública del Estado de México y Municipios, establece que la </w:t>
      </w:r>
      <w:r w:rsidRPr="002979C1">
        <w:rPr>
          <w:rFonts w:ascii="Palatino Linotype" w:eastAsia="Palatino Linotype" w:hAnsi="Palatino Linotype" w:cs="Palatino Linotype"/>
          <w:b/>
          <w:color w:val="000000"/>
        </w:rPr>
        <w:t>clasificación</w:t>
      </w:r>
      <w:r w:rsidRPr="002979C1">
        <w:rPr>
          <w:rFonts w:ascii="Palatino Linotype" w:eastAsia="Palatino Linotype" w:hAnsi="Palatino Linotype" w:cs="Palatino Linotype"/>
          <w:color w:val="000000"/>
        </w:rPr>
        <w:t xml:space="preserve"> es el proceso mediante el cual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determina que la información en </w:t>
      </w:r>
      <w:r w:rsidRPr="002979C1">
        <w:rPr>
          <w:rFonts w:ascii="Palatino Linotype" w:eastAsia="Palatino Linotype" w:hAnsi="Palatino Linotype" w:cs="Palatino Linotype"/>
          <w:color w:val="000000"/>
        </w:rPr>
        <w:lastRenderedPageBreak/>
        <w:t>su poder actualiza alguno de los supuestos de reserva o confidencialidad contenidos en los artículos 140 o 143 de la Ley de mérito.</w:t>
      </w:r>
    </w:p>
    <w:p w14:paraId="56662F16"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29294100"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Aunado a lo anterior, la Ley de la materia establece que la clasificación de la información se llevará a cabo en el momento en que</w:t>
      </w:r>
      <w:r w:rsidRPr="002979C1">
        <w:rPr>
          <w:rFonts w:ascii="Palatino Linotype" w:eastAsia="Palatino Linotype" w:hAnsi="Palatino Linotype" w:cs="Palatino Linotype"/>
          <w:color w:val="000000"/>
          <w:vertAlign w:val="superscript"/>
        </w:rPr>
        <w:footnoteReference w:id="5"/>
      </w:r>
      <w:r w:rsidRPr="002979C1">
        <w:rPr>
          <w:rFonts w:ascii="Palatino Linotype" w:eastAsia="Palatino Linotype" w:hAnsi="Palatino Linotype" w:cs="Palatino Linotype"/>
          <w:color w:val="000000"/>
        </w:rPr>
        <w:t>:</w:t>
      </w:r>
    </w:p>
    <w:p w14:paraId="2EAF66F5"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1A0D8332" w14:textId="77777777" w:rsidR="00E6212E" w:rsidRPr="002979C1" w:rsidRDefault="004046EE">
      <w:pPr>
        <w:numPr>
          <w:ilvl w:val="1"/>
          <w:numId w:val="9"/>
        </w:numPr>
        <w:tabs>
          <w:tab w:val="left" w:pos="426"/>
        </w:tabs>
        <w:spacing w:line="360" w:lineRule="auto"/>
        <w:ind w:left="1134" w:right="90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Se reciba una solicitud de acceso a la información; </w:t>
      </w:r>
    </w:p>
    <w:p w14:paraId="136EE5DD" w14:textId="77777777" w:rsidR="00E6212E" w:rsidRPr="002979C1" w:rsidRDefault="004046EE">
      <w:pPr>
        <w:numPr>
          <w:ilvl w:val="1"/>
          <w:numId w:val="9"/>
        </w:numPr>
        <w:tabs>
          <w:tab w:val="left" w:pos="426"/>
        </w:tabs>
        <w:spacing w:line="360" w:lineRule="auto"/>
        <w:ind w:left="1134" w:right="90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Se determine mediante resolución de autoridad competente; o </w:t>
      </w:r>
    </w:p>
    <w:p w14:paraId="20751AD1" w14:textId="77777777" w:rsidR="00E6212E" w:rsidRPr="002979C1" w:rsidRDefault="004046EE">
      <w:pPr>
        <w:numPr>
          <w:ilvl w:val="1"/>
          <w:numId w:val="9"/>
        </w:numPr>
        <w:tabs>
          <w:tab w:val="left" w:pos="426"/>
        </w:tabs>
        <w:spacing w:line="360" w:lineRule="auto"/>
        <w:ind w:left="1134" w:right="90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Se generen versiones públicas para dar cumplimiento a las obligaciones de transparencia previstas en esta Ley.</w:t>
      </w:r>
    </w:p>
    <w:p w14:paraId="47927AFF"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598575E2"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En ese tenor, conviene señalar que </w:t>
      </w:r>
      <w:r w:rsidRPr="002979C1">
        <w:rPr>
          <w:rFonts w:ascii="Palatino Linotype" w:eastAsia="Palatino Linotype" w:hAnsi="Palatino Linotype" w:cs="Palatino Linotype"/>
          <w:b/>
          <w:color w:val="000000"/>
        </w:rPr>
        <w:t>en los casos en que se niegue el acceso a la información, por actualizarse alguno de los supuestos de clasificación</w:t>
      </w:r>
      <w:r w:rsidRPr="002979C1">
        <w:rPr>
          <w:rFonts w:ascii="Palatino Linotype" w:eastAsia="Palatino Linotype" w:hAnsi="Palatino Linotype" w:cs="Palatino Linotype"/>
          <w:color w:val="000000"/>
        </w:rPr>
        <w:t xml:space="preserve">, </w:t>
      </w:r>
      <w:r w:rsidRPr="002979C1">
        <w:rPr>
          <w:rFonts w:ascii="Palatino Linotype" w:eastAsia="Palatino Linotype" w:hAnsi="Palatino Linotype" w:cs="Palatino Linotype"/>
          <w:b/>
          <w:color w:val="000000"/>
        </w:rPr>
        <w:t>el Comité de Transparencia deberá confirmar, modificar o revocar la decisión</w:t>
      </w:r>
      <w:r w:rsidRPr="002979C1">
        <w:rPr>
          <w:rFonts w:ascii="Palatino Linotype" w:eastAsia="Palatino Linotype" w:hAnsi="Palatino Linotype" w:cs="Palatino Linotype"/>
          <w:color w:val="000000"/>
        </w:rPr>
        <w:t xml:space="preserve">; y,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w:t>
      </w:r>
      <w:r w:rsidRPr="002979C1">
        <w:rPr>
          <w:rFonts w:ascii="Palatino Linotype" w:eastAsia="Palatino Linotype" w:hAnsi="Palatino Linotype" w:cs="Palatino Linotype"/>
          <w:b/>
          <w:color w:val="000000"/>
        </w:rPr>
        <w:t>prueba de daño</w:t>
      </w:r>
      <w:r w:rsidRPr="002979C1">
        <w:rPr>
          <w:rFonts w:ascii="Palatino Linotype" w:eastAsia="Palatino Linotype" w:hAnsi="Palatino Linotype" w:cs="Palatino Linotype"/>
          <w:b/>
          <w:color w:val="000000"/>
          <w:vertAlign w:val="superscript"/>
        </w:rPr>
        <w:footnoteReference w:id="6"/>
      </w:r>
      <w:r w:rsidRPr="002979C1">
        <w:rPr>
          <w:rFonts w:ascii="Palatino Linotype" w:eastAsia="Palatino Linotype" w:hAnsi="Palatino Linotype" w:cs="Palatino Linotype"/>
          <w:color w:val="000000"/>
        </w:rPr>
        <w:t>.</w:t>
      </w:r>
    </w:p>
    <w:p w14:paraId="7008327F"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05861259"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lastRenderedPageBreak/>
        <w:t xml:space="preserve">Cabe destacar que, en la aplicación de la prueba de daño,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deberá precisar las razones objetivas por las que la apertura de la información generaría una afectación, justificando que</w:t>
      </w:r>
      <w:r w:rsidRPr="002979C1">
        <w:rPr>
          <w:rFonts w:ascii="Palatino Linotype" w:eastAsia="Palatino Linotype" w:hAnsi="Palatino Linotype" w:cs="Palatino Linotype"/>
          <w:color w:val="000000"/>
          <w:vertAlign w:val="superscript"/>
        </w:rPr>
        <w:footnoteReference w:id="7"/>
      </w:r>
      <w:r w:rsidRPr="002979C1">
        <w:rPr>
          <w:rFonts w:ascii="Palatino Linotype" w:eastAsia="Palatino Linotype" w:hAnsi="Palatino Linotype" w:cs="Palatino Linotype"/>
          <w:color w:val="000000"/>
        </w:rPr>
        <w:t>:</w:t>
      </w:r>
    </w:p>
    <w:p w14:paraId="037A9C81"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11D2AEDF" w14:textId="77777777" w:rsidR="00E6212E" w:rsidRPr="002979C1" w:rsidRDefault="004046EE">
      <w:pPr>
        <w:numPr>
          <w:ilvl w:val="1"/>
          <w:numId w:val="6"/>
        </w:numPr>
        <w:tabs>
          <w:tab w:val="left" w:pos="426"/>
        </w:tabs>
        <w:spacing w:line="360" w:lineRule="auto"/>
        <w:ind w:left="1134" w:right="90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La divulgación de la información representa un riesgo real, demostrable e identificable del perjuicio significativo al interés público o a la seguridad pública; </w:t>
      </w:r>
    </w:p>
    <w:p w14:paraId="5A8B68B8" w14:textId="77777777" w:rsidR="00E6212E" w:rsidRPr="002979C1" w:rsidRDefault="004046EE">
      <w:pPr>
        <w:numPr>
          <w:ilvl w:val="1"/>
          <w:numId w:val="6"/>
        </w:numPr>
        <w:tabs>
          <w:tab w:val="left" w:pos="426"/>
        </w:tabs>
        <w:spacing w:line="360" w:lineRule="auto"/>
        <w:ind w:left="1134" w:right="90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El riesgo de perjuicio que supondría la divulgación supera el interés público general de que se difunda; y </w:t>
      </w:r>
    </w:p>
    <w:p w14:paraId="313D2E2A" w14:textId="77777777" w:rsidR="00E6212E" w:rsidRPr="002979C1" w:rsidRDefault="004046EE">
      <w:pPr>
        <w:numPr>
          <w:ilvl w:val="1"/>
          <w:numId w:val="6"/>
        </w:numPr>
        <w:tabs>
          <w:tab w:val="left" w:pos="426"/>
        </w:tabs>
        <w:spacing w:after="240" w:line="360" w:lineRule="auto"/>
        <w:ind w:left="1134" w:right="90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La limitación se adecua al principio de proporcionalidad y representa el medio menos restrictivo disponible representa el medio menos restrictivo disponible para evitar el perjuicio.</w:t>
      </w:r>
    </w:p>
    <w:p w14:paraId="1320DA80" w14:textId="77777777" w:rsidR="00E6212E" w:rsidRPr="002979C1" w:rsidRDefault="004046EE">
      <w:pPr>
        <w:widowControl w:val="0"/>
        <w:pBdr>
          <w:top w:val="nil"/>
          <w:left w:val="nil"/>
          <w:bottom w:val="nil"/>
          <w:right w:val="nil"/>
          <w:between w:val="nil"/>
        </w:pBdr>
        <w:spacing w:before="24" w:line="360" w:lineRule="auto"/>
        <w:ind w:left="360" w:right="51"/>
        <w:jc w:val="both"/>
        <w:rPr>
          <w:rFonts w:ascii="Palatino Linotype" w:eastAsia="Palatino Linotype" w:hAnsi="Palatino Linotype" w:cs="Palatino Linotype"/>
          <w:color w:val="000000"/>
          <w:sz w:val="25"/>
          <w:szCs w:val="25"/>
        </w:rPr>
      </w:pPr>
      <w:r w:rsidRPr="002979C1">
        <w:rPr>
          <w:rFonts w:ascii="Palatino Linotype" w:eastAsia="Palatino Linotype" w:hAnsi="Palatino Linotype" w:cs="Palatino Linotype"/>
          <w:color w:val="000000"/>
          <w:sz w:val="25"/>
          <w:szCs w:val="25"/>
        </w:rPr>
        <w:t xml:space="preserve">Ahora bien, conviene definir los siguientes preceptos: </w:t>
      </w:r>
    </w:p>
    <w:p w14:paraId="6E6B20C9" w14:textId="77777777" w:rsidR="00E6212E" w:rsidRPr="002979C1" w:rsidRDefault="00E6212E">
      <w:pPr>
        <w:widowControl w:val="0"/>
        <w:pBdr>
          <w:top w:val="nil"/>
          <w:left w:val="nil"/>
          <w:bottom w:val="nil"/>
          <w:right w:val="nil"/>
          <w:between w:val="nil"/>
        </w:pBdr>
        <w:spacing w:line="360" w:lineRule="auto"/>
        <w:ind w:left="360" w:right="51"/>
        <w:jc w:val="both"/>
        <w:rPr>
          <w:rFonts w:ascii="Palatino Linotype" w:eastAsia="Palatino Linotype" w:hAnsi="Palatino Linotype" w:cs="Palatino Linotype"/>
          <w:b/>
          <w:color w:val="000000"/>
          <w:sz w:val="25"/>
          <w:szCs w:val="25"/>
        </w:rPr>
      </w:pPr>
    </w:p>
    <w:p w14:paraId="1ED5B961" w14:textId="77777777" w:rsidR="00E6212E" w:rsidRPr="002979C1" w:rsidRDefault="004046EE">
      <w:pPr>
        <w:widowControl w:val="0"/>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sz w:val="25"/>
          <w:szCs w:val="25"/>
        </w:rPr>
      </w:pPr>
      <w:r w:rsidRPr="002979C1">
        <w:rPr>
          <w:rFonts w:ascii="Palatino Linotype" w:eastAsia="Palatino Linotype" w:hAnsi="Palatino Linotype" w:cs="Palatino Linotype"/>
          <w:b/>
          <w:color w:val="000000"/>
          <w:sz w:val="25"/>
          <w:szCs w:val="25"/>
        </w:rPr>
        <w:t>Riesgo</w:t>
      </w:r>
      <w:r w:rsidRPr="002979C1">
        <w:rPr>
          <w:rFonts w:ascii="Palatino Linotype" w:eastAsia="Palatino Linotype" w:hAnsi="Palatino Linotype" w:cs="Palatino Linotype"/>
          <w:color w:val="000000"/>
          <w:sz w:val="25"/>
          <w:szCs w:val="25"/>
        </w:rPr>
        <w:t xml:space="preserve">: Posibilidad de que una acción o actividad resulte en una perdida, probabilidad de que ocurra un daño, también se habla de riesgo para hablar de la ocurrencia ante un potencial perjuicio o daño para las unidades, personas, organizaciones o entidades en general bienes jurídicamente protegidos, cuando mayor es la vulnerabilidad mayor es el riesgo, pero cuando más factible es el perjuicio o daño, mayor es el peligro. Por tanto, el riesgo se refiere solo a la teórica posibilidad de daño bajo determinadas </w:t>
      </w:r>
      <w:r w:rsidRPr="002979C1">
        <w:rPr>
          <w:rFonts w:ascii="Palatino Linotype" w:eastAsia="Palatino Linotype" w:hAnsi="Palatino Linotype" w:cs="Palatino Linotype"/>
          <w:color w:val="000000"/>
          <w:sz w:val="25"/>
          <w:szCs w:val="25"/>
        </w:rPr>
        <w:lastRenderedPageBreak/>
        <w:t>circunstancias.</w:t>
      </w:r>
    </w:p>
    <w:p w14:paraId="0835898C" w14:textId="77777777" w:rsidR="00E6212E" w:rsidRPr="002979C1" w:rsidRDefault="00E6212E">
      <w:pPr>
        <w:widowControl w:val="0"/>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sz w:val="25"/>
          <w:szCs w:val="25"/>
        </w:rPr>
      </w:pPr>
    </w:p>
    <w:p w14:paraId="08EA6208" w14:textId="77777777" w:rsidR="00E6212E" w:rsidRPr="002979C1" w:rsidRDefault="004046EE">
      <w:pPr>
        <w:widowControl w:val="0"/>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sz w:val="25"/>
          <w:szCs w:val="25"/>
        </w:rPr>
      </w:pPr>
      <w:r w:rsidRPr="002979C1">
        <w:rPr>
          <w:rFonts w:ascii="Palatino Linotype" w:eastAsia="Palatino Linotype" w:hAnsi="Palatino Linotype" w:cs="Palatino Linotype"/>
          <w:b/>
          <w:color w:val="000000"/>
          <w:sz w:val="25"/>
          <w:szCs w:val="25"/>
        </w:rPr>
        <w:t>Riesgo real</w:t>
      </w:r>
      <w:r w:rsidRPr="002979C1">
        <w:rPr>
          <w:rFonts w:ascii="Palatino Linotype" w:eastAsia="Palatino Linotype" w:hAnsi="Palatino Linotype" w:cs="Palatino Linotype"/>
          <w:color w:val="000000"/>
          <w:sz w:val="25"/>
          <w:szCs w:val="25"/>
        </w:rPr>
        <w:t>, se orienta a verificar que exista un riesgo para el interés público o la seguridad nacional, derivado de la publicación de determinada información.</w:t>
      </w:r>
    </w:p>
    <w:p w14:paraId="22BF79CA" w14:textId="77777777" w:rsidR="00E6212E" w:rsidRPr="002979C1" w:rsidRDefault="00E6212E">
      <w:pPr>
        <w:widowControl w:val="0"/>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sz w:val="25"/>
          <w:szCs w:val="25"/>
        </w:rPr>
      </w:pPr>
    </w:p>
    <w:p w14:paraId="26B00CA8" w14:textId="77777777" w:rsidR="00E6212E" w:rsidRPr="002979C1" w:rsidRDefault="004046EE">
      <w:pPr>
        <w:widowControl w:val="0"/>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sz w:val="25"/>
          <w:szCs w:val="25"/>
        </w:rPr>
      </w:pPr>
      <w:r w:rsidRPr="002979C1">
        <w:rPr>
          <w:rFonts w:ascii="Palatino Linotype" w:eastAsia="Palatino Linotype" w:hAnsi="Palatino Linotype" w:cs="Palatino Linotype"/>
          <w:b/>
          <w:color w:val="000000"/>
          <w:sz w:val="25"/>
          <w:szCs w:val="25"/>
        </w:rPr>
        <w:t xml:space="preserve">Riesgo demostrable </w:t>
      </w:r>
      <w:r w:rsidRPr="002979C1">
        <w:rPr>
          <w:rFonts w:ascii="Palatino Linotype" w:eastAsia="Palatino Linotype" w:hAnsi="Palatino Linotype" w:cs="Palatino Linotype"/>
          <w:color w:val="000000"/>
          <w:sz w:val="25"/>
          <w:szCs w:val="25"/>
        </w:rPr>
        <w:t>se basa en que una vez que se acreditó el riesgo, éste se pondera con el interés público de conocer la información, demostrando que el riesgo que se pudiese ocasionar supera el interés de acceder a la información.</w:t>
      </w:r>
    </w:p>
    <w:p w14:paraId="4AE24D71" w14:textId="77777777" w:rsidR="00E6212E" w:rsidRPr="002979C1" w:rsidRDefault="00E6212E">
      <w:pPr>
        <w:widowControl w:val="0"/>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sz w:val="25"/>
          <w:szCs w:val="25"/>
        </w:rPr>
      </w:pPr>
    </w:p>
    <w:p w14:paraId="66C1BBAB" w14:textId="77777777" w:rsidR="00E6212E" w:rsidRPr="002979C1" w:rsidRDefault="004046EE">
      <w:pPr>
        <w:widowControl w:val="0"/>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sz w:val="25"/>
          <w:szCs w:val="25"/>
        </w:rPr>
      </w:pPr>
      <w:r w:rsidRPr="002979C1">
        <w:rPr>
          <w:rFonts w:ascii="Palatino Linotype" w:eastAsia="Palatino Linotype" w:hAnsi="Palatino Linotype" w:cs="Palatino Linotype"/>
          <w:b/>
          <w:color w:val="000000"/>
          <w:sz w:val="25"/>
          <w:szCs w:val="25"/>
        </w:rPr>
        <w:t>Riesgo identificable</w:t>
      </w:r>
      <w:r w:rsidRPr="002979C1">
        <w:rPr>
          <w:rFonts w:ascii="Palatino Linotype" w:eastAsia="Palatino Linotype" w:hAnsi="Palatino Linotype" w:cs="Palatino Linotype"/>
          <w:color w:val="000000"/>
          <w:sz w:val="25"/>
          <w:szCs w:val="25"/>
        </w:rPr>
        <w:t xml:space="preserve"> hace alusión a desglosar la ponderación a través del principio de proporcionalidad, el explicar por qué se optó por la reserva de la información, procurando provocar el menor daño a los intereses del solicitante.</w:t>
      </w:r>
      <w:r w:rsidRPr="002979C1">
        <w:rPr>
          <w:rFonts w:ascii="Palatino Linotype" w:eastAsia="Palatino Linotype" w:hAnsi="Palatino Linotype" w:cs="Palatino Linotype"/>
          <w:color w:val="000000"/>
          <w:sz w:val="25"/>
          <w:szCs w:val="25"/>
          <w:vertAlign w:val="superscript"/>
        </w:rPr>
        <w:footnoteReference w:id="8"/>
      </w:r>
    </w:p>
    <w:p w14:paraId="3149843C" w14:textId="77777777" w:rsidR="00E6212E" w:rsidRPr="002979C1" w:rsidRDefault="004046EE">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Por su parte, el Lineamiento Trigésimo Tercero, fracción V, de los Lineamientos Generales en Materia de Clasificación y Desclasificación de la Información, así como </w:t>
      </w:r>
      <w:r w:rsidRPr="002979C1">
        <w:rPr>
          <w:rFonts w:ascii="Palatino Linotype" w:eastAsia="Palatino Linotype" w:hAnsi="Palatino Linotype" w:cs="Palatino Linotype"/>
          <w:color w:val="000000"/>
        </w:rPr>
        <w:lastRenderedPageBreak/>
        <w:t xml:space="preserve">para la Elaboración de Versiones Públicas, precisa que para motivar la clasificación también se deben acreditar las circunstancias de </w:t>
      </w:r>
      <w:r w:rsidRPr="002979C1">
        <w:rPr>
          <w:rFonts w:ascii="Palatino Linotype" w:eastAsia="Palatino Linotype" w:hAnsi="Palatino Linotype" w:cs="Palatino Linotype"/>
          <w:b/>
          <w:color w:val="000000"/>
        </w:rPr>
        <w:t>tiempo</w:t>
      </w:r>
      <w:r w:rsidRPr="002979C1">
        <w:rPr>
          <w:rFonts w:ascii="Palatino Linotype" w:eastAsia="Palatino Linotype" w:hAnsi="Palatino Linotype" w:cs="Palatino Linotype"/>
          <w:color w:val="000000"/>
        </w:rPr>
        <w:t xml:space="preserve">, </w:t>
      </w:r>
      <w:r w:rsidRPr="002979C1">
        <w:rPr>
          <w:rFonts w:ascii="Palatino Linotype" w:eastAsia="Palatino Linotype" w:hAnsi="Palatino Linotype" w:cs="Palatino Linotype"/>
          <w:b/>
          <w:color w:val="000000"/>
        </w:rPr>
        <w:t>modo</w:t>
      </w:r>
      <w:r w:rsidRPr="002979C1">
        <w:rPr>
          <w:rFonts w:ascii="Palatino Linotype" w:eastAsia="Palatino Linotype" w:hAnsi="Palatino Linotype" w:cs="Palatino Linotype"/>
          <w:color w:val="000000"/>
        </w:rPr>
        <w:t xml:space="preserve"> y </w:t>
      </w:r>
      <w:r w:rsidRPr="002979C1">
        <w:rPr>
          <w:rFonts w:ascii="Palatino Linotype" w:eastAsia="Palatino Linotype" w:hAnsi="Palatino Linotype" w:cs="Palatino Linotype"/>
          <w:b/>
          <w:color w:val="000000"/>
        </w:rPr>
        <w:t>lugar</w:t>
      </w:r>
      <w:r w:rsidRPr="002979C1">
        <w:rPr>
          <w:rFonts w:ascii="Palatino Linotype" w:eastAsia="Palatino Linotype" w:hAnsi="Palatino Linotype" w:cs="Palatino Linotype"/>
          <w:color w:val="000000"/>
        </w:rPr>
        <w:t>.</w:t>
      </w:r>
    </w:p>
    <w:p w14:paraId="6C62C7F6" w14:textId="77777777" w:rsidR="00E6212E" w:rsidRPr="002979C1" w:rsidRDefault="004046EE">
      <w:pPr>
        <w:tabs>
          <w:tab w:val="left" w:pos="426"/>
        </w:tabs>
        <w:spacing w:before="240"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Consecuencia de lo anterior,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Transparencia y Acceso a la Información Pública del Estado de México y Municipios, como información clasificada</w:t>
      </w:r>
      <w:r w:rsidRPr="002979C1">
        <w:rPr>
          <w:rFonts w:ascii="Palatino Linotype" w:eastAsia="Palatino Linotype" w:hAnsi="Palatino Linotype" w:cs="Palatino Linotype"/>
          <w:color w:val="000000"/>
          <w:vertAlign w:val="superscript"/>
        </w:rPr>
        <w:footnoteReference w:id="9"/>
      </w:r>
      <w:r w:rsidRPr="002979C1">
        <w:rPr>
          <w:rFonts w:ascii="Palatino Linotype" w:eastAsia="Palatino Linotype" w:hAnsi="Palatino Linotype" w:cs="Palatino Linotype"/>
          <w:color w:val="000000"/>
        </w:rPr>
        <w:t>.</w:t>
      </w:r>
    </w:p>
    <w:p w14:paraId="249E243A"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61E08249"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Al respecto, las </w:t>
      </w:r>
      <w:r w:rsidRPr="002979C1">
        <w:rPr>
          <w:rFonts w:ascii="Palatino Linotype" w:eastAsia="Palatino Linotype" w:hAnsi="Palatino Linotype" w:cs="Palatino Linotype"/>
        </w:rPr>
        <w:t>disposiciones constitucionales y legales en la materia establecen los dos supuestos generales para clasificar la información: por reserva y por confidencialidad.</w:t>
      </w:r>
    </w:p>
    <w:p w14:paraId="7CF313B7"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14485496"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Por cuanto hace a la reserva de la información, el 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2979C1">
        <w:rPr>
          <w:rFonts w:ascii="Palatino Linotype" w:eastAsia="Palatino Linotype" w:hAnsi="Palatino Linotype" w:cs="Palatino Linotype"/>
          <w:b/>
          <w:color w:val="000000"/>
        </w:rPr>
        <w:t>reservada</w:t>
      </w:r>
      <w:r w:rsidRPr="002979C1">
        <w:rPr>
          <w:rFonts w:ascii="Palatino Linotype" w:eastAsia="Palatino Linotype" w:hAnsi="Palatino Linotype" w:cs="Palatino Linotype"/>
          <w:color w:val="000000"/>
        </w:rPr>
        <w:t>, conforme a los criterios siguientes:</w:t>
      </w:r>
    </w:p>
    <w:p w14:paraId="35E1B0C5"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2E474AD6"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rPr>
      </w:pPr>
      <w:r w:rsidRPr="002979C1">
        <w:rPr>
          <w:rFonts w:ascii="Palatino Linotype" w:eastAsia="Palatino Linotype" w:hAnsi="Palatino Linotype" w:cs="Palatino Linotype"/>
          <w:i/>
        </w:rPr>
        <w:lastRenderedPageBreak/>
        <w:t>“</w:t>
      </w:r>
      <w:r w:rsidRPr="002979C1">
        <w:rPr>
          <w:rFonts w:ascii="Palatino Linotype" w:eastAsia="Palatino Linotype" w:hAnsi="Palatino Linotype" w:cs="Palatino Linotype"/>
          <w:b/>
          <w:i/>
        </w:rPr>
        <w:t>I.</w:t>
      </w:r>
      <w:r w:rsidRPr="002979C1">
        <w:rPr>
          <w:rFonts w:ascii="Palatino Linotype" w:eastAsia="Palatino Linotype" w:hAnsi="Palatino Linotype" w:cs="Palatino Linotype"/>
          <w:i/>
        </w:rPr>
        <w:t xml:space="preserve"> Comprometa la seguridad pública y cuente con un propósito genuino y un efecto demostrable; </w:t>
      </w:r>
    </w:p>
    <w:p w14:paraId="000EC259"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rPr>
      </w:pPr>
      <w:r w:rsidRPr="002979C1">
        <w:rPr>
          <w:rFonts w:ascii="Palatino Linotype" w:eastAsia="Palatino Linotype" w:hAnsi="Palatino Linotype" w:cs="Palatino Linotype"/>
          <w:b/>
          <w:i/>
        </w:rPr>
        <w:t>II.</w:t>
      </w:r>
      <w:r w:rsidRPr="002979C1">
        <w:rPr>
          <w:rFonts w:ascii="Palatino Linotype" w:eastAsia="Palatino Linotype" w:hAnsi="Palatino Linotype" w:cs="Palatino Linotype"/>
          <w:i/>
        </w:rPr>
        <w:t xml:space="preserve"> Pueda menoscabar la conducción de las negociaciones y relaciones internacionales; </w:t>
      </w:r>
    </w:p>
    <w:p w14:paraId="51427233"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rPr>
      </w:pPr>
      <w:r w:rsidRPr="002979C1">
        <w:rPr>
          <w:rFonts w:ascii="Palatino Linotype" w:eastAsia="Palatino Linotype" w:hAnsi="Palatino Linotype" w:cs="Palatino Linotype"/>
          <w:b/>
          <w:i/>
        </w:rPr>
        <w:t>III.</w:t>
      </w:r>
      <w:r w:rsidRPr="002979C1">
        <w:rPr>
          <w:rFonts w:ascii="Palatino Linotype" w:eastAsia="Palatino Linotype" w:hAnsi="Palatino Linotype" w:cs="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D23EC43"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rPr>
      </w:pPr>
      <w:r w:rsidRPr="002979C1">
        <w:rPr>
          <w:rFonts w:ascii="Palatino Linotype" w:eastAsia="Palatino Linotype" w:hAnsi="Palatino Linotype" w:cs="Palatino Linotype"/>
          <w:b/>
          <w:i/>
        </w:rPr>
        <w:t>IV.</w:t>
      </w:r>
      <w:r w:rsidRPr="002979C1">
        <w:rPr>
          <w:rFonts w:ascii="Palatino Linotype" w:eastAsia="Palatino Linotype" w:hAnsi="Palatino Linotype" w:cs="Palatino Linotype"/>
          <w:i/>
        </w:rPr>
        <w:t xml:space="preserve"> Ponga en riesgo la vida, la seguridad o la salud de una persona física; </w:t>
      </w:r>
    </w:p>
    <w:p w14:paraId="662BB6BB" w14:textId="77777777" w:rsidR="00E6212E" w:rsidRPr="002979C1" w:rsidRDefault="00E6212E">
      <w:pPr>
        <w:tabs>
          <w:tab w:val="left" w:pos="426"/>
        </w:tabs>
        <w:spacing w:line="360" w:lineRule="auto"/>
        <w:ind w:left="567" w:right="567"/>
        <w:jc w:val="both"/>
        <w:rPr>
          <w:rFonts w:ascii="Palatino Linotype" w:eastAsia="Palatino Linotype" w:hAnsi="Palatino Linotype" w:cs="Palatino Linotype"/>
          <w:i/>
        </w:rPr>
      </w:pPr>
    </w:p>
    <w:p w14:paraId="360E0F75" w14:textId="77777777" w:rsidR="00E6212E" w:rsidRPr="002979C1" w:rsidRDefault="004046EE">
      <w:pPr>
        <w:numPr>
          <w:ilvl w:val="0"/>
          <w:numId w:val="3"/>
        </w:numPr>
        <w:pBdr>
          <w:top w:val="nil"/>
          <w:left w:val="nil"/>
          <w:bottom w:val="nil"/>
          <w:right w:val="nil"/>
          <w:between w:val="nil"/>
        </w:pBdr>
        <w:tabs>
          <w:tab w:val="left" w:pos="426"/>
        </w:tabs>
        <w:spacing w:line="360" w:lineRule="auto"/>
        <w:ind w:right="567"/>
        <w:jc w:val="both"/>
        <w:rPr>
          <w:i/>
        </w:rPr>
      </w:pPr>
      <w:r w:rsidRPr="002979C1">
        <w:rPr>
          <w:rFonts w:ascii="Palatino Linotype" w:eastAsia="Palatino Linotype" w:hAnsi="Palatino Linotype" w:cs="Palatino Linotype"/>
          <w:i/>
          <w:color w:val="000000"/>
        </w:rPr>
        <w:t xml:space="preserve">Aquella cuya divulgación obstruya o pueda causar un serio perjuicio a: </w:t>
      </w:r>
    </w:p>
    <w:p w14:paraId="5473C814" w14:textId="77777777" w:rsidR="00E6212E" w:rsidRPr="002979C1" w:rsidRDefault="00E6212E">
      <w:pPr>
        <w:pBdr>
          <w:top w:val="nil"/>
          <w:left w:val="nil"/>
          <w:bottom w:val="nil"/>
          <w:right w:val="nil"/>
          <w:between w:val="nil"/>
        </w:pBdr>
        <w:tabs>
          <w:tab w:val="left" w:pos="426"/>
        </w:tabs>
        <w:spacing w:line="360" w:lineRule="auto"/>
        <w:ind w:left="1080" w:right="567"/>
        <w:jc w:val="both"/>
        <w:rPr>
          <w:rFonts w:ascii="Palatino Linotype" w:eastAsia="Palatino Linotype" w:hAnsi="Palatino Linotype" w:cs="Palatino Linotype"/>
          <w:i/>
          <w:color w:val="000000"/>
        </w:rPr>
      </w:pPr>
    </w:p>
    <w:p w14:paraId="78CF9987" w14:textId="77777777" w:rsidR="00E6212E" w:rsidRPr="002979C1" w:rsidRDefault="004046EE">
      <w:pPr>
        <w:tabs>
          <w:tab w:val="left" w:pos="426"/>
        </w:tabs>
        <w:spacing w:line="360" w:lineRule="auto"/>
        <w:ind w:left="851" w:right="567"/>
        <w:jc w:val="both"/>
        <w:rPr>
          <w:rFonts w:ascii="Palatino Linotype" w:eastAsia="Palatino Linotype" w:hAnsi="Palatino Linotype" w:cs="Palatino Linotype"/>
          <w:i/>
        </w:rPr>
      </w:pPr>
      <w:r w:rsidRPr="002979C1">
        <w:rPr>
          <w:rFonts w:ascii="Palatino Linotype" w:eastAsia="Palatino Linotype" w:hAnsi="Palatino Linotype" w:cs="Palatino Linotype"/>
          <w:b/>
          <w:i/>
        </w:rPr>
        <w:t>1.</w:t>
      </w:r>
      <w:r w:rsidRPr="002979C1">
        <w:rPr>
          <w:rFonts w:ascii="Palatino Linotype" w:eastAsia="Palatino Linotype" w:hAnsi="Palatino Linotype" w:cs="Palatino Linotype"/>
          <w:i/>
        </w:rPr>
        <w:t xml:space="preserve"> Las actividades de fiscalización, verificación, inspección, comprobación y auditoría sobre el cumplimiento de las Leyes; o </w:t>
      </w:r>
    </w:p>
    <w:p w14:paraId="4F41D052" w14:textId="77777777" w:rsidR="00E6212E" w:rsidRPr="002979C1" w:rsidRDefault="004046EE">
      <w:pPr>
        <w:tabs>
          <w:tab w:val="left" w:pos="426"/>
        </w:tabs>
        <w:spacing w:line="360" w:lineRule="auto"/>
        <w:ind w:left="851" w:right="567"/>
        <w:jc w:val="both"/>
        <w:rPr>
          <w:rFonts w:ascii="Palatino Linotype" w:eastAsia="Palatino Linotype" w:hAnsi="Palatino Linotype" w:cs="Palatino Linotype"/>
          <w:i/>
        </w:rPr>
      </w:pPr>
      <w:r w:rsidRPr="002979C1">
        <w:rPr>
          <w:rFonts w:ascii="Palatino Linotype" w:eastAsia="Palatino Linotype" w:hAnsi="Palatino Linotype" w:cs="Palatino Linotype"/>
          <w:b/>
          <w:i/>
        </w:rPr>
        <w:t>2.</w:t>
      </w:r>
      <w:r w:rsidRPr="002979C1">
        <w:rPr>
          <w:rFonts w:ascii="Palatino Linotype" w:eastAsia="Palatino Linotype" w:hAnsi="Palatino Linotype" w:cs="Palatino Linotype"/>
          <w:i/>
        </w:rPr>
        <w:t xml:space="preserve"> La recaudación de las contribuciones. </w:t>
      </w:r>
    </w:p>
    <w:p w14:paraId="2AE1B26E" w14:textId="77777777" w:rsidR="00E6212E" w:rsidRPr="002979C1" w:rsidRDefault="00E6212E">
      <w:pPr>
        <w:tabs>
          <w:tab w:val="left" w:pos="426"/>
        </w:tabs>
        <w:spacing w:line="360" w:lineRule="auto"/>
        <w:ind w:left="851" w:right="567"/>
        <w:jc w:val="both"/>
        <w:rPr>
          <w:rFonts w:ascii="Palatino Linotype" w:eastAsia="Palatino Linotype" w:hAnsi="Palatino Linotype" w:cs="Palatino Linotype"/>
          <w:i/>
        </w:rPr>
      </w:pPr>
    </w:p>
    <w:p w14:paraId="2F86FB3B"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b/>
          <w:i/>
        </w:rPr>
      </w:pPr>
      <w:r w:rsidRPr="002979C1">
        <w:rPr>
          <w:rFonts w:ascii="Palatino Linotype" w:eastAsia="Palatino Linotype" w:hAnsi="Palatino Linotype" w:cs="Palatino Linotype"/>
          <w:b/>
          <w:i/>
        </w:rPr>
        <w:t>VI.</w:t>
      </w:r>
      <w:r w:rsidRPr="002979C1">
        <w:rPr>
          <w:rFonts w:ascii="Palatino Linotype" w:eastAsia="Palatino Linotype" w:hAnsi="Palatino Linotype" w:cs="Palatino Linotype"/>
          <w:i/>
        </w:rPr>
        <w:t xml:space="preserve"> </w:t>
      </w:r>
      <w:r w:rsidRPr="002979C1">
        <w:rPr>
          <w:rFonts w:ascii="Palatino Linotype" w:eastAsia="Palatino Linotype" w:hAnsi="Palatino Linotype" w:cs="Palatino Linotype"/>
          <w:b/>
          <w:i/>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w:t>
      </w:r>
      <w:r w:rsidRPr="002979C1">
        <w:rPr>
          <w:rFonts w:ascii="Palatino Linotype" w:eastAsia="Palatino Linotype" w:hAnsi="Palatino Linotype" w:cs="Palatino Linotype"/>
          <w:b/>
          <w:i/>
        </w:rPr>
        <w:lastRenderedPageBreak/>
        <w:t xml:space="preserve">querellante o testigo, así como sus familias, en los términos de las disposiciones jurídicas aplicables; </w:t>
      </w:r>
    </w:p>
    <w:p w14:paraId="6860D508"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rPr>
      </w:pPr>
      <w:r w:rsidRPr="002979C1">
        <w:rPr>
          <w:rFonts w:ascii="Palatino Linotype" w:eastAsia="Palatino Linotype" w:hAnsi="Palatino Linotype" w:cs="Palatino Linotype"/>
          <w:b/>
          <w:i/>
        </w:rPr>
        <w:t>VII.</w:t>
      </w:r>
      <w:r w:rsidRPr="002979C1">
        <w:rPr>
          <w:rFonts w:ascii="Palatino Linotype" w:eastAsia="Palatino Linotype" w:hAnsi="Palatino Linotype" w:cs="Palatino Linotype"/>
          <w:i/>
        </w:rPr>
        <w:t xml:space="preserve"> La que contengan las opiniones, recomendaciones o puntos de vista que formen parte del proceso deliberativo de los servidores públicos, hasta en tanto sea adoptada la decisión definitiva, la cual deberá estar documentada; </w:t>
      </w:r>
    </w:p>
    <w:p w14:paraId="65D98280"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rPr>
      </w:pPr>
      <w:r w:rsidRPr="002979C1">
        <w:rPr>
          <w:rFonts w:ascii="Palatino Linotype" w:eastAsia="Palatino Linotype" w:hAnsi="Palatino Linotype" w:cs="Palatino Linotype"/>
          <w:b/>
          <w:i/>
        </w:rPr>
        <w:t>VIII.</w:t>
      </w:r>
      <w:r w:rsidRPr="002979C1">
        <w:rPr>
          <w:rFonts w:ascii="Palatino Linotype" w:eastAsia="Palatino Linotype" w:hAnsi="Palatino Linotype" w:cs="Palatino Linotype"/>
          <w:i/>
        </w:rPr>
        <w:t xml:space="preserve"> Vulnere la conducción de los expedientes judiciales o de los procedimientos administrativos seguidos en forma de juicio, en tanto no hayan quedado firmes; </w:t>
      </w:r>
    </w:p>
    <w:p w14:paraId="6470463C"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rPr>
      </w:pPr>
      <w:r w:rsidRPr="002979C1">
        <w:rPr>
          <w:rFonts w:ascii="Palatino Linotype" w:eastAsia="Palatino Linotype" w:hAnsi="Palatino Linotype" w:cs="Palatino Linotype"/>
          <w:b/>
          <w:i/>
        </w:rPr>
        <w:t>IX.</w:t>
      </w:r>
      <w:r w:rsidRPr="002979C1">
        <w:rPr>
          <w:rFonts w:ascii="Palatino Linotype" w:eastAsia="Palatino Linotype" w:hAnsi="Palatino Linotype" w:cs="Palatino Linotype"/>
          <w:i/>
        </w:rPr>
        <w:t xml:space="preserve"> Se encuentre contenida dentro de las investigaciones de hechos que la Ley señale como delitos y se tramiten ante el Ministerio Público; </w:t>
      </w:r>
    </w:p>
    <w:p w14:paraId="42434E8D"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rPr>
      </w:pPr>
      <w:r w:rsidRPr="002979C1">
        <w:rPr>
          <w:rFonts w:ascii="Palatino Linotype" w:eastAsia="Palatino Linotype" w:hAnsi="Palatino Linotype" w:cs="Palatino Linotype"/>
          <w:b/>
          <w:i/>
        </w:rPr>
        <w:t>X.</w:t>
      </w:r>
      <w:r w:rsidRPr="002979C1">
        <w:rPr>
          <w:rFonts w:ascii="Palatino Linotype" w:eastAsia="Palatino Linotype" w:hAnsi="Palatino Linotype" w:cs="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2B296080"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rPr>
      </w:pPr>
      <w:r w:rsidRPr="002979C1">
        <w:rPr>
          <w:rFonts w:ascii="Palatino Linotype" w:eastAsia="Palatino Linotype" w:hAnsi="Palatino Linotype" w:cs="Palatino Linotype"/>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65FE039" w14:textId="7EC8270B" w:rsidR="00195D45" w:rsidRPr="002979C1" w:rsidRDefault="004046EE" w:rsidP="00195D45">
      <w:pPr>
        <w:tabs>
          <w:tab w:val="left" w:pos="426"/>
        </w:tabs>
        <w:spacing w:line="360" w:lineRule="auto"/>
        <w:ind w:left="567" w:right="567"/>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rPr>
        <w:t>XI.</w:t>
      </w:r>
      <w:r w:rsidRPr="002979C1">
        <w:rPr>
          <w:rFonts w:ascii="Palatino Linotype" w:eastAsia="Palatino Linotype" w:hAnsi="Palatino Linotype" w:cs="Palatino Linotype"/>
          <w:i/>
        </w:rPr>
        <w:t xml:space="preserve"> Las que por disposición expresa de una ley tengan tal carácter, siempre que sean acordes con las bases, principios y disposiciones establecidos en esta Ley y no la contravengan; así como las previstas en tratados internacionales.”</w:t>
      </w:r>
      <w:r w:rsidR="00195D45" w:rsidRPr="002979C1">
        <w:rPr>
          <w:rFonts w:ascii="Palatino Linotype" w:eastAsia="Palatino Linotype" w:hAnsi="Palatino Linotype" w:cs="Palatino Linotype"/>
          <w:color w:val="000000"/>
        </w:rPr>
        <w:t xml:space="preserve">       </w:t>
      </w:r>
      <w:r w:rsidR="00195D45" w:rsidRPr="002979C1">
        <w:rPr>
          <w:rFonts w:ascii="Palatino Linotype" w:eastAsia="Palatino Linotype" w:hAnsi="Palatino Linotype" w:cs="Palatino Linotype"/>
          <w:i/>
          <w:color w:val="000000"/>
          <w:sz w:val="22"/>
          <w:szCs w:val="22"/>
        </w:rPr>
        <w:t>(Énfasis añadido)</w:t>
      </w:r>
    </w:p>
    <w:p w14:paraId="41B737EA" w14:textId="0498D63F"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2CE8DAC2"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lastRenderedPageBreak/>
        <w:t xml:space="preserve">Mientras que el artículo 143 de la Ley de mérito reconoce que se considerará a información </w:t>
      </w:r>
      <w:r w:rsidRPr="002979C1">
        <w:rPr>
          <w:rFonts w:ascii="Palatino Linotype" w:eastAsia="Palatino Linotype" w:hAnsi="Palatino Linotype" w:cs="Palatino Linotype"/>
          <w:b/>
          <w:color w:val="000000"/>
        </w:rPr>
        <w:t>confidencial</w:t>
      </w:r>
      <w:r w:rsidRPr="002979C1">
        <w:rPr>
          <w:rFonts w:ascii="Palatino Linotype" w:eastAsia="Palatino Linotype" w:hAnsi="Palatino Linotype" w:cs="Palatino Linotype"/>
          <w:color w:val="000000"/>
        </w:rPr>
        <w:t>, la clasificada como tal, de manera permanente, por su naturaleza, cuando:</w:t>
      </w:r>
    </w:p>
    <w:p w14:paraId="7C1D1AA4"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03940170"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w:t>
      </w:r>
      <w:r w:rsidRPr="002979C1">
        <w:rPr>
          <w:rFonts w:ascii="Palatino Linotype" w:eastAsia="Palatino Linotype" w:hAnsi="Palatino Linotype" w:cs="Palatino Linotype"/>
          <w:b/>
          <w:i/>
          <w:color w:val="000000"/>
        </w:rPr>
        <w:t>I.</w:t>
      </w:r>
      <w:r w:rsidRPr="002979C1">
        <w:rPr>
          <w:rFonts w:ascii="Palatino Linotype" w:eastAsia="Palatino Linotype" w:hAnsi="Palatino Linotype" w:cs="Palatino Linotype"/>
          <w:i/>
          <w:color w:val="000000"/>
        </w:rPr>
        <w:t xml:space="preserve"> Se refiera a la información privada y los datos personales concernientes a una persona física o jurídico colectiva identificada o identificable; </w:t>
      </w:r>
    </w:p>
    <w:p w14:paraId="6007E2E7"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II.</w:t>
      </w:r>
      <w:r w:rsidRPr="002979C1">
        <w:rPr>
          <w:rFonts w:ascii="Palatino Linotype" w:eastAsia="Palatino Linotype" w:hAnsi="Palatino Linotype" w:cs="Palatino Linotype"/>
          <w:i/>
          <w:color w:val="000000"/>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998A11E" w14:textId="77777777" w:rsidR="00E6212E" w:rsidRPr="002979C1" w:rsidRDefault="004046EE">
      <w:pPr>
        <w:tabs>
          <w:tab w:val="left" w:pos="426"/>
        </w:tabs>
        <w:spacing w:line="360" w:lineRule="auto"/>
        <w:ind w:left="567" w:right="567"/>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III.</w:t>
      </w:r>
      <w:r w:rsidRPr="002979C1">
        <w:rPr>
          <w:rFonts w:ascii="Palatino Linotype" w:eastAsia="Palatino Linotype" w:hAnsi="Palatino Linotype" w:cs="Palatino Linotype"/>
          <w:i/>
          <w:color w:val="000000"/>
        </w:rPr>
        <w:t xml:space="preserve"> La que presenten los particulares a los sujetos obligados, de conformidad con lo dispuesto por las leyes o los tratados internacionales.”</w:t>
      </w:r>
    </w:p>
    <w:p w14:paraId="7F047434" w14:textId="68EADA7C" w:rsidR="00195D45" w:rsidRPr="002979C1" w:rsidRDefault="00195D45" w:rsidP="00195D45">
      <w:p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 xml:space="preserve">          (Énfasis añadido)</w:t>
      </w:r>
    </w:p>
    <w:p w14:paraId="5F69D6A3" w14:textId="77777777" w:rsidR="00E6212E" w:rsidRPr="002979C1" w:rsidRDefault="00E6212E">
      <w:pPr>
        <w:tabs>
          <w:tab w:val="left" w:pos="426"/>
        </w:tabs>
        <w:spacing w:after="40" w:line="360" w:lineRule="auto"/>
        <w:ind w:right="51"/>
        <w:jc w:val="both"/>
        <w:rPr>
          <w:rFonts w:ascii="Palatino Linotype" w:eastAsia="Palatino Linotype" w:hAnsi="Palatino Linotype" w:cs="Palatino Linotype"/>
          <w:color w:val="000000"/>
        </w:rPr>
      </w:pPr>
    </w:p>
    <w:p w14:paraId="7A5C03C7" w14:textId="77777777" w:rsidR="00E6212E" w:rsidRPr="002979C1" w:rsidRDefault="004046EE">
      <w:pPr>
        <w:tabs>
          <w:tab w:val="left" w:pos="426"/>
        </w:tabs>
        <w:spacing w:before="40" w:after="280"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Así las cosas, los Sujetos Obligados deberán aplicar, de manera restrictiva y limitada, las excepciones al derecho de acceso a la información y sólo podrán invocarlas cuando acrediten su procedencia, sin ampliar las excepciones o supuestos de </w:t>
      </w:r>
      <w:r w:rsidRPr="002979C1">
        <w:rPr>
          <w:rFonts w:ascii="Palatino Linotype" w:eastAsia="Palatino Linotype" w:hAnsi="Palatino Linotype" w:cs="Palatino Linotype"/>
          <w:b/>
          <w:color w:val="000000"/>
        </w:rPr>
        <w:t>reserva</w:t>
      </w:r>
      <w:r w:rsidRPr="002979C1">
        <w:rPr>
          <w:rFonts w:ascii="Palatino Linotype" w:eastAsia="Palatino Linotype" w:hAnsi="Palatino Linotype" w:cs="Palatino Linotype"/>
          <w:color w:val="000000"/>
        </w:rPr>
        <w:t xml:space="preserve"> o </w:t>
      </w:r>
      <w:r w:rsidRPr="002979C1">
        <w:rPr>
          <w:rFonts w:ascii="Palatino Linotype" w:eastAsia="Palatino Linotype" w:hAnsi="Palatino Linotype" w:cs="Palatino Linotype"/>
          <w:b/>
          <w:color w:val="000000"/>
        </w:rPr>
        <w:t>confidencialidad</w:t>
      </w:r>
      <w:r w:rsidRPr="002979C1">
        <w:rPr>
          <w:rFonts w:ascii="Palatino Linotype" w:eastAsia="Palatino Linotype" w:hAnsi="Palatino Linotype" w:cs="Palatino Linotype"/>
          <w:color w:val="000000"/>
        </w:rPr>
        <w:t xml:space="preserve"> previstos en la Ley General y la Ley de Transparencia y Acceso a la Información Pública del Estado de México y Municipios, aduciendo analogía o mayoría de razón</w:t>
      </w:r>
      <w:r w:rsidRPr="002979C1">
        <w:rPr>
          <w:rFonts w:ascii="Palatino Linotype" w:eastAsia="Palatino Linotype" w:hAnsi="Palatino Linotype" w:cs="Palatino Linotype"/>
          <w:color w:val="000000"/>
          <w:vertAlign w:val="superscript"/>
        </w:rPr>
        <w:footnoteReference w:id="10"/>
      </w:r>
      <w:r w:rsidRPr="002979C1">
        <w:rPr>
          <w:rFonts w:ascii="Palatino Linotype" w:eastAsia="Palatino Linotype" w:hAnsi="Palatino Linotype" w:cs="Palatino Linotype"/>
          <w:color w:val="000000"/>
        </w:rPr>
        <w:t>.</w:t>
      </w:r>
    </w:p>
    <w:p w14:paraId="3709DDF5" w14:textId="77777777" w:rsidR="00E6212E" w:rsidRPr="002979C1" w:rsidRDefault="004046EE">
      <w:pPr>
        <w:tabs>
          <w:tab w:val="left" w:pos="426"/>
        </w:tabs>
        <w:spacing w:before="280" w:after="280"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lastRenderedPageBreak/>
        <w:t xml:space="preserve">Precisado lo anterior, y como ha sido reiterado a lo largo del presente estudio, se advierte que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presentó el Acuerdo de Clasificación número 88/2021 de veintiséis de noviembre del año 2021, emitido por el Comité de Transparencia, a través del cual se aprobó la reserva de la información requerida en la solicitud de información </w:t>
      </w:r>
      <w:r w:rsidRPr="002979C1">
        <w:rPr>
          <w:rFonts w:ascii="Palatino Linotype" w:eastAsia="Palatino Linotype" w:hAnsi="Palatino Linotype" w:cs="Palatino Linotype"/>
          <w:b/>
          <w:color w:val="000000"/>
        </w:rPr>
        <w:t xml:space="preserve">01102/FGJ/IP/2021, mismo que se inserta a continuación a efecto de </w:t>
      </w:r>
      <w:r w:rsidRPr="002979C1">
        <w:rPr>
          <w:rFonts w:ascii="Palatino Linotype" w:eastAsia="Palatino Linotype" w:hAnsi="Palatino Linotype" w:cs="Palatino Linotype"/>
          <w:color w:val="000000"/>
        </w:rPr>
        <w:t xml:space="preserve">cumple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w:t>
      </w:r>
    </w:p>
    <w:p w14:paraId="1094D2CE" w14:textId="77777777" w:rsidR="006C3E56" w:rsidRPr="002979C1" w:rsidRDefault="006C3E56">
      <w:pPr>
        <w:tabs>
          <w:tab w:val="left" w:pos="426"/>
        </w:tabs>
        <w:spacing w:before="280" w:after="280" w:line="360" w:lineRule="auto"/>
        <w:ind w:right="51"/>
        <w:jc w:val="both"/>
        <w:rPr>
          <w:rFonts w:ascii="Palatino Linotype" w:eastAsia="Palatino Linotype" w:hAnsi="Palatino Linotype" w:cs="Palatino Linotype"/>
          <w:color w:val="000000"/>
        </w:rPr>
      </w:pPr>
    </w:p>
    <w:p w14:paraId="3867D14C" w14:textId="77777777" w:rsidR="00E6212E" w:rsidRPr="002979C1" w:rsidRDefault="00E6212E">
      <w:pPr>
        <w:spacing w:line="360" w:lineRule="auto"/>
        <w:jc w:val="both"/>
        <w:rPr>
          <w:rFonts w:ascii="Palatino Linotype" w:eastAsia="Palatino Linotype" w:hAnsi="Palatino Linotype" w:cs="Palatino Linotype"/>
          <w:color w:val="000000"/>
        </w:rPr>
      </w:pPr>
    </w:p>
    <w:tbl>
      <w:tblPr>
        <w:tblStyle w:val="a"/>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6302"/>
      </w:tblGrid>
      <w:tr w:rsidR="00E6212E" w:rsidRPr="002979C1" w14:paraId="0570FB5D" w14:textId="77777777" w:rsidTr="00ED3AC3">
        <w:trPr>
          <w:jc w:val="center"/>
        </w:trPr>
        <w:tc>
          <w:tcPr>
            <w:tcW w:w="2340" w:type="dxa"/>
            <w:tcBorders>
              <w:top w:val="nil"/>
              <w:left w:val="nil"/>
            </w:tcBorders>
          </w:tcPr>
          <w:p w14:paraId="01D52DC0" w14:textId="77777777" w:rsidR="00E6212E" w:rsidRPr="002979C1" w:rsidRDefault="00E6212E">
            <w:pPr>
              <w:spacing w:after="120" w:line="360" w:lineRule="auto"/>
              <w:ind w:left="47"/>
              <w:jc w:val="both"/>
              <w:rPr>
                <w:rFonts w:ascii="Palatino Linotype" w:eastAsia="Palatino Linotype" w:hAnsi="Palatino Linotype" w:cs="Palatino Linotype"/>
                <w:b/>
                <w:sz w:val="24"/>
                <w:szCs w:val="24"/>
              </w:rPr>
            </w:pPr>
          </w:p>
        </w:tc>
        <w:tc>
          <w:tcPr>
            <w:tcW w:w="6302" w:type="dxa"/>
            <w:tcBorders>
              <w:bottom w:val="single" w:sz="4" w:space="0" w:color="000000"/>
            </w:tcBorders>
            <w:shd w:val="clear" w:color="auto" w:fill="BFBFBF"/>
            <w:vAlign w:val="bottom"/>
          </w:tcPr>
          <w:p w14:paraId="6A48C9C2" w14:textId="77777777" w:rsidR="00E6212E" w:rsidRPr="002979C1" w:rsidRDefault="004046EE">
            <w:pPr>
              <w:spacing w:after="120" w:line="360" w:lineRule="auto"/>
              <w:ind w:left="47"/>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b/>
                <w:sz w:val="24"/>
                <w:szCs w:val="24"/>
              </w:rPr>
              <w:t>Contenido</w:t>
            </w:r>
          </w:p>
        </w:tc>
      </w:tr>
      <w:tr w:rsidR="00E6212E" w:rsidRPr="002979C1" w14:paraId="59F5D285" w14:textId="77777777" w:rsidTr="00ED3AC3">
        <w:trPr>
          <w:jc w:val="center"/>
        </w:trPr>
        <w:tc>
          <w:tcPr>
            <w:tcW w:w="2340" w:type="dxa"/>
            <w:vAlign w:val="center"/>
          </w:tcPr>
          <w:p w14:paraId="5A67C7C5" w14:textId="77777777" w:rsidR="00E6212E" w:rsidRPr="002979C1" w:rsidRDefault="004046EE">
            <w:pPr>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b/>
                <w:sz w:val="24"/>
                <w:szCs w:val="24"/>
              </w:rPr>
              <w:t>Número de folio de la solicitud</w:t>
            </w:r>
          </w:p>
        </w:tc>
        <w:tc>
          <w:tcPr>
            <w:tcW w:w="6302" w:type="dxa"/>
            <w:tcBorders>
              <w:top w:val="single" w:sz="4" w:space="0" w:color="000000"/>
            </w:tcBorders>
            <w:vAlign w:val="center"/>
          </w:tcPr>
          <w:p w14:paraId="5A67B81E" w14:textId="77777777" w:rsidR="00E6212E" w:rsidRPr="002979C1" w:rsidRDefault="00E6212E">
            <w:pPr>
              <w:spacing w:after="120" w:line="360" w:lineRule="auto"/>
              <w:ind w:left="-115"/>
              <w:jc w:val="center"/>
              <w:rPr>
                <w:rFonts w:ascii="Palatino Linotype" w:eastAsia="Palatino Linotype" w:hAnsi="Palatino Linotype" w:cs="Palatino Linotype"/>
                <w:sz w:val="24"/>
                <w:szCs w:val="24"/>
              </w:rPr>
            </w:pPr>
          </w:p>
          <w:p w14:paraId="580F31C9" w14:textId="77777777" w:rsidR="00E6212E" w:rsidRPr="002979C1" w:rsidRDefault="004046EE">
            <w:pPr>
              <w:spacing w:after="120" w:line="360" w:lineRule="auto"/>
              <w:ind w:left="-115"/>
              <w:jc w:val="center"/>
              <w:rPr>
                <w:rFonts w:ascii="Palatino Linotype" w:eastAsia="Palatino Linotype" w:hAnsi="Palatino Linotype" w:cs="Palatino Linotype"/>
                <w:sz w:val="24"/>
                <w:szCs w:val="24"/>
              </w:rPr>
            </w:pPr>
            <w:r w:rsidRPr="002979C1">
              <w:rPr>
                <w:rFonts w:ascii="Palatino Linotype" w:eastAsia="Palatino Linotype" w:hAnsi="Palatino Linotype" w:cs="Palatino Linotype"/>
                <w:noProof/>
                <w:lang w:val="es-MX"/>
              </w:rPr>
              <w:drawing>
                <wp:inline distT="0" distB="0" distL="0" distR="0" wp14:anchorId="6EE9C820" wp14:editId="19AF545C">
                  <wp:extent cx="3848944" cy="477142"/>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52560" t="45358" r="4065" b="45083"/>
                          <a:stretch>
                            <a:fillRect/>
                          </a:stretch>
                        </pic:blipFill>
                        <pic:spPr>
                          <a:xfrm>
                            <a:off x="0" y="0"/>
                            <a:ext cx="3848944" cy="477142"/>
                          </a:xfrm>
                          <a:prstGeom prst="rect">
                            <a:avLst/>
                          </a:prstGeom>
                          <a:ln/>
                        </pic:spPr>
                      </pic:pic>
                    </a:graphicData>
                  </a:graphic>
                </wp:inline>
              </w:drawing>
            </w:r>
            <w:r w:rsidRPr="002979C1">
              <w:rPr>
                <w:noProof/>
                <w:lang w:val="es-MX"/>
              </w:rPr>
              <mc:AlternateContent>
                <mc:Choice Requires="wps">
                  <w:drawing>
                    <wp:anchor distT="0" distB="0" distL="114300" distR="114300" simplePos="0" relativeHeight="251658240" behindDoc="0" locked="0" layoutInCell="1" hidden="0" allowOverlap="1" wp14:anchorId="76441414" wp14:editId="2CC3281F">
                      <wp:simplePos x="0" y="0"/>
                      <wp:positionH relativeFrom="column">
                        <wp:posOffset>2479675</wp:posOffset>
                      </wp:positionH>
                      <wp:positionV relativeFrom="paragraph">
                        <wp:posOffset>256540</wp:posOffset>
                      </wp:positionV>
                      <wp:extent cx="704850" cy="133350"/>
                      <wp:effectExtent l="57150" t="19050" r="76200" b="95250"/>
                      <wp:wrapNone/>
                      <wp:docPr id="3" name="Rectángulo 3"/>
                      <wp:cNvGraphicFramePr/>
                      <a:graphic xmlns:a="http://schemas.openxmlformats.org/drawingml/2006/main">
                        <a:graphicData uri="http://schemas.microsoft.com/office/word/2010/wordprocessingShape">
                          <wps:wsp>
                            <wps:cNvSpPr/>
                            <wps:spPr>
                              <a:xfrm>
                                <a:off x="0" y="0"/>
                                <a:ext cx="704850" cy="133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2479675</wp:posOffset>
                      </wp:positionH>
                      <wp:positionV relativeFrom="paragraph">
                        <wp:posOffset>256540</wp:posOffset>
                      </wp:positionV>
                      <wp:extent cx="838200" cy="247650"/>
                      <wp:effectExtent b="0" l="0" r="0" t="0"/>
                      <wp:wrapNone/>
                      <wp:docPr id="3"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838200" cy="247650"/>
                              </a:xfrm>
                              <a:prstGeom prst="rect"/>
                              <a:ln/>
                            </pic:spPr>
                          </pic:pic>
                        </a:graphicData>
                      </a:graphic>
                    </wp:anchor>
                  </w:drawing>
                </mc:Fallback>
              </mc:AlternateContent>
            </w:r>
          </w:p>
        </w:tc>
      </w:tr>
      <w:tr w:rsidR="00E6212E" w:rsidRPr="002979C1" w14:paraId="2C42EB2B" w14:textId="77777777" w:rsidTr="00ED3AC3">
        <w:trPr>
          <w:jc w:val="center"/>
        </w:trPr>
        <w:tc>
          <w:tcPr>
            <w:tcW w:w="2340" w:type="dxa"/>
            <w:vAlign w:val="center"/>
          </w:tcPr>
          <w:p w14:paraId="469A24BD" w14:textId="77777777" w:rsidR="00E6212E" w:rsidRPr="002979C1" w:rsidRDefault="004046EE">
            <w:pPr>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b/>
                <w:sz w:val="24"/>
                <w:szCs w:val="24"/>
              </w:rPr>
              <w:lastRenderedPageBreak/>
              <w:t>Referencia de la información solicitada</w:t>
            </w:r>
          </w:p>
        </w:tc>
        <w:tc>
          <w:tcPr>
            <w:tcW w:w="6302" w:type="dxa"/>
            <w:vAlign w:val="center"/>
          </w:tcPr>
          <w:p w14:paraId="22803A22" w14:textId="06885B4D" w:rsidR="00E6212E" w:rsidRPr="002979C1" w:rsidRDefault="00980930">
            <w:pPr>
              <w:spacing w:after="12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noProof/>
                <w:sz w:val="24"/>
                <w:szCs w:val="24"/>
              </w:rPr>
              <w:drawing>
                <wp:inline distT="0" distB="0" distL="0" distR="0" wp14:anchorId="38235BA9" wp14:editId="06E42B03">
                  <wp:extent cx="3864610" cy="120840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22-06-29 a las 0.54.59.png"/>
                          <pic:cNvPicPr/>
                        </pic:nvPicPr>
                        <pic:blipFill>
                          <a:blip r:embed="rId12">
                            <a:extLst>
                              <a:ext uri="{28A0092B-C50C-407E-A947-70E740481C1C}">
                                <a14:useLocalDpi xmlns:a14="http://schemas.microsoft.com/office/drawing/2010/main" val="0"/>
                              </a:ext>
                            </a:extLst>
                          </a:blip>
                          <a:stretch>
                            <a:fillRect/>
                          </a:stretch>
                        </pic:blipFill>
                        <pic:spPr>
                          <a:xfrm>
                            <a:off x="0" y="0"/>
                            <a:ext cx="3864610" cy="1208405"/>
                          </a:xfrm>
                          <a:prstGeom prst="rect">
                            <a:avLst/>
                          </a:prstGeom>
                        </pic:spPr>
                      </pic:pic>
                    </a:graphicData>
                  </a:graphic>
                </wp:inline>
              </w:drawing>
            </w:r>
          </w:p>
        </w:tc>
      </w:tr>
      <w:tr w:rsidR="00E6212E" w:rsidRPr="002979C1" w14:paraId="162898E9" w14:textId="77777777" w:rsidTr="00ED3AC3">
        <w:trPr>
          <w:jc w:val="center"/>
        </w:trPr>
        <w:tc>
          <w:tcPr>
            <w:tcW w:w="2340" w:type="dxa"/>
            <w:vAlign w:val="center"/>
          </w:tcPr>
          <w:p w14:paraId="1E4488AB" w14:textId="77777777" w:rsidR="00E6212E" w:rsidRPr="002979C1" w:rsidRDefault="004046EE">
            <w:pPr>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b/>
                <w:sz w:val="24"/>
                <w:szCs w:val="24"/>
              </w:rPr>
              <w:t>Causal aplicable del artículo 113 de la Ley General, vinculándola con el Lineamiento específico del presente ordenamiento y, cuando corresponda, el supuesto normativo que expresamente le otorga el carácter de información reservada</w:t>
            </w:r>
          </w:p>
        </w:tc>
        <w:tc>
          <w:tcPr>
            <w:tcW w:w="6302" w:type="dxa"/>
            <w:vAlign w:val="center"/>
          </w:tcPr>
          <w:p w14:paraId="463BDCDD" w14:textId="77777777" w:rsidR="00E6212E" w:rsidRPr="002979C1" w:rsidRDefault="004046EE">
            <w:pPr>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noProof/>
                <w:lang w:val="es-MX"/>
              </w:rPr>
              <w:drawing>
                <wp:inline distT="0" distB="0" distL="0" distR="0" wp14:anchorId="2759C6B8" wp14:editId="3A293A64">
                  <wp:extent cx="3524439" cy="234219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53836" t="23586" r="5850" b="28787"/>
                          <a:stretch>
                            <a:fillRect/>
                          </a:stretch>
                        </pic:blipFill>
                        <pic:spPr>
                          <a:xfrm>
                            <a:off x="0" y="0"/>
                            <a:ext cx="3524439" cy="2342190"/>
                          </a:xfrm>
                          <a:prstGeom prst="rect">
                            <a:avLst/>
                          </a:prstGeom>
                          <a:ln/>
                        </pic:spPr>
                      </pic:pic>
                    </a:graphicData>
                  </a:graphic>
                </wp:inline>
              </w:drawing>
            </w:r>
          </w:p>
          <w:p w14:paraId="0194F4D6" w14:textId="77777777" w:rsidR="00E6212E" w:rsidRPr="002979C1" w:rsidRDefault="004046EE">
            <w:pPr>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noProof/>
                <w:lang w:val="es-MX"/>
              </w:rPr>
              <w:drawing>
                <wp:inline distT="0" distB="0" distL="0" distR="0" wp14:anchorId="5AB1D4FC" wp14:editId="7344AC66">
                  <wp:extent cx="3563377" cy="279823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53070" t="27216" r="5340" b="14726"/>
                          <a:stretch>
                            <a:fillRect/>
                          </a:stretch>
                        </pic:blipFill>
                        <pic:spPr>
                          <a:xfrm>
                            <a:off x="0" y="0"/>
                            <a:ext cx="3563377" cy="2798235"/>
                          </a:xfrm>
                          <a:prstGeom prst="rect">
                            <a:avLst/>
                          </a:prstGeom>
                          <a:ln/>
                        </pic:spPr>
                      </pic:pic>
                    </a:graphicData>
                  </a:graphic>
                </wp:inline>
              </w:drawing>
            </w:r>
            <w:bookmarkStart w:id="6" w:name="_GoBack"/>
            <w:bookmarkEnd w:id="6"/>
            <w:r w:rsidRPr="002979C1">
              <w:rPr>
                <w:noProof/>
                <w:lang w:val="es-MX"/>
              </w:rPr>
              <mc:AlternateContent>
                <mc:Choice Requires="wps">
                  <w:drawing>
                    <wp:anchor distT="0" distB="0" distL="114300" distR="114300" simplePos="0" relativeHeight="251659264" behindDoc="0" locked="0" layoutInCell="1" hidden="0" allowOverlap="1" wp14:anchorId="2C96B1A1" wp14:editId="2C29289C">
                      <wp:simplePos x="0" y="0"/>
                      <wp:positionH relativeFrom="column">
                        <wp:posOffset>517525</wp:posOffset>
                      </wp:positionH>
                      <wp:positionV relativeFrom="paragraph">
                        <wp:posOffset>786765</wp:posOffset>
                      </wp:positionV>
                      <wp:extent cx="2743200" cy="723900"/>
                      <wp:effectExtent l="57150" t="19050" r="76200" b="95250"/>
                      <wp:wrapNone/>
                      <wp:docPr id="2" name="Rectángulo 2"/>
                      <wp:cNvGraphicFramePr/>
                      <a:graphic xmlns:a="http://schemas.openxmlformats.org/drawingml/2006/main">
                        <a:graphicData uri="http://schemas.microsoft.com/office/word/2010/wordprocessingShape">
                          <wps:wsp>
                            <wps:cNvSpPr/>
                            <wps:spPr>
                              <a:xfrm>
                                <a:off x="0" y="0"/>
                                <a:ext cx="2743200" cy="7239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517525</wp:posOffset>
                      </wp:positionH>
                      <wp:positionV relativeFrom="paragraph">
                        <wp:posOffset>786765</wp:posOffset>
                      </wp:positionV>
                      <wp:extent cx="2876550" cy="838200"/>
                      <wp:effectExtent b="0" l="0" r="0" t="0"/>
                      <wp:wrapNone/>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876550" cy="838200"/>
                              </a:xfrm>
                              <a:prstGeom prst="rect"/>
                              <a:ln/>
                            </pic:spPr>
                          </pic:pic>
                        </a:graphicData>
                      </a:graphic>
                    </wp:anchor>
                  </w:drawing>
                </mc:Fallback>
              </mc:AlternateContent>
            </w:r>
            <w:r w:rsidRPr="002979C1">
              <w:rPr>
                <w:noProof/>
                <w:lang w:val="es-MX"/>
              </w:rPr>
              <mc:AlternateContent>
                <mc:Choice Requires="wps">
                  <w:drawing>
                    <wp:anchor distT="0" distB="0" distL="114300" distR="114300" simplePos="0" relativeHeight="251660288" behindDoc="0" locked="0" layoutInCell="1" hidden="0" allowOverlap="1" wp14:anchorId="4207A836" wp14:editId="3ACCFAA8">
                      <wp:simplePos x="0" y="0"/>
                      <wp:positionH relativeFrom="column">
                        <wp:posOffset>210820</wp:posOffset>
                      </wp:positionH>
                      <wp:positionV relativeFrom="paragraph">
                        <wp:posOffset>1546860</wp:posOffset>
                      </wp:positionV>
                      <wp:extent cx="3371850" cy="133350"/>
                      <wp:effectExtent l="57150" t="19050" r="76200" b="95250"/>
                      <wp:wrapNone/>
                      <wp:docPr id="5" name="Rectángulo 5"/>
                      <wp:cNvGraphicFramePr/>
                      <a:graphic xmlns:a="http://schemas.openxmlformats.org/drawingml/2006/main">
                        <a:graphicData uri="http://schemas.microsoft.com/office/word/2010/wordprocessingShape">
                          <wps:wsp>
                            <wps:cNvSpPr/>
                            <wps:spPr>
                              <a:xfrm>
                                <a:off x="0" y="0"/>
                                <a:ext cx="3371850" cy="133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210820</wp:posOffset>
                      </wp:positionH>
                      <wp:positionV relativeFrom="paragraph">
                        <wp:posOffset>1546860</wp:posOffset>
                      </wp:positionV>
                      <wp:extent cx="3505200" cy="247650"/>
                      <wp:effectExtent b="0" l="0" r="0" t="0"/>
                      <wp:wrapNone/>
                      <wp:docPr id="5"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3505200" cy="247650"/>
                              </a:xfrm>
                              <a:prstGeom prst="rect"/>
                              <a:ln/>
                            </pic:spPr>
                          </pic:pic>
                        </a:graphicData>
                      </a:graphic>
                    </wp:anchor>
                  </w:drawing>
                </mc:Fallback>
              </mc:AlternateContent>
            </w:r>
          </w:p>
          <w:p w14:paraId="4A817475" w14:textId="77777777" w:rsidR="00E6212E" w:rsidRPr="002979C1" w:rsidRDefault="004046EE">
            <w:pPr>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noProof/>
                <w:lang w:val="es-MX"/>
              </w:rPr>
              <w:lastRenderedPageBreak/>
              <w:drawing>
                <wp:inline distT="0" distB="0" distL="0" distR="0" wp14:anchorId="64B8CD1B" wp14:editId="20A168FD">
                  <wp:extent cx="3503265" cy="391240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l="58684" t="26760" r="6361" b="3839"/>
                          <a:stretch>
                            <a:fillRect/>
                          </a:stretch>
                        </pic:blipFill>
                        <pic:spPr>
                          <a:xfrm>
                            <a:off x="0" y="0"/>
                            <a:ext cx="3503265" cy="3912405"/>
                          </a:xfrm>
                          <a:prstGeom prst="rect">
                            <a:avLst/>
                          </a:prstGeom>
                          <a:ln/>
                        </pic:spPr>
                      </pic:pic>
                    </a:graphicData>
                  </a:graphic>
                </wp:inline>
              </w:drawing>
            </w:r>
          </w:p>
          <w:p w14:paraId="635D879E" w14:textId="77777777" w:rsidR="00E6212E" w:rsidRPr="002979C1" w:rsidRDefault="00E6212E">
            <w:pPr>
              <w:spacing w:after="120" w:line="360" w:lineRule="auto"/>
              <w:jc w:val="center"/>
              <w:rPr>
                <w:rFonts w:ascii="Palatino Linotype" w:eastAsia="Palatino Linotype" w:hAnsi="Palatino Linotype" w:cs="Palatino Linotype"/>
                <w:b/>
                <w:sz w:val="24"/>
                <w:szCs w:val="24"/>
              </w:rPr>
            </w:pPr>
          </w:p>
        </w:tc>
      </w:tr>
      <w:tr w:rsidR="00E6212E" w:rsidRPr="002979C1" w14:paraId="2E15A986" w14:textId="77777777" w:rsidTr="00ED3AC3">
        <w:trPr>
          <w:jc w:val="center"/>
        </w:trPr>
        <w:tc>
          <w:tcPr>
            <w:tcW w:w="2340" w:type="dxa"/>
            <w:vAlign w:val="center"/>
          </w:tcPr>
          <w:p w14:paraId="2E7ED453" w14:textId="77777777" w:rsidR="00E6212E" w:rsidRPr="002979C1" w:rsidRDefault="004046EE">
            <w:pPr>
              <w:tabs>
                <w:tab w:val="left" w:pos="317"/>
              </w:tabs>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b/>
                <w:sz w:val="24"/>
                <w:szCs w:val="24"/>
              </w:rPr>
              <w:lastRenderedPageBreak/>
              <w:t>Fundamento y Motivación Legal</w:t>
            </w:r>
          </w:p>
        </w:tc>
        <w:tc>
          <w:tcPr>
            <w:tcW w:w="6302" w:type="dxa"/>
            <w:vAlign w:val="center"/>
          </w:tcPr>
          <w:p w14:paraId="52A43809" w14:textId="77777777" w:rsidR="00E6212E" w:rsidRPr="002979C1" w:rsidRDefault="00E6212E">
            <w:pPr>
              <w:spacing w:after="120" w:line="360" w:lineRule="auto"/>
              <w:jc w:val="center"/>
              <w:rPr>
                <w:rFonts w:ascii="Palatino Linotype" w:eastAsia="Palatino Linotype" w:hAnsi="Palatino Linotype" w:cs="Palatino Linotype"/>
                <w:b/>
                <w:sz w:val="24"/>
                <w:szCs w:val="24"/>
              </w:rPr>
            </w:pPr>
          </w:p>
          <w:p w14:paraId="0106A0D8" w14:textId="77777777" w:rsidR="00E6212E" w:rsidRPr="002979C1" w:rsidRDefault="004046EE">
            <w:pPr>
              <w:spacing w:after="120" w:line="360" w:lineRule="auto"/>
              <w:ind w:left="47"/>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noProof/>
                <w:lang w:val="es-MX"/>
              </w:rPr>
              <w:lastRenderedPageBreak/>
              <w:drawing>
                <wp:inline distT="0" distB="0" distL="0" distR="0" wp14:anchorId="6B458621" wp14:editId="6537801F">
                  <wp:extent cx="3557307" cy="2890312"/>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53326" t="31296" r="5851" b="9737"/>
                          <a:stretch>
                            <a:fillRect/>
                          </a:stretch>
                        </pic:blipFill>
                        <pic:spPr>
                          <a:xfrm>
                            <a:off x="0" y="0"/>
                            <a:ext cx="3557307" cy="2890312"/>
                          </a:xfrm>
                          <a:prstGeom prst="rect">
                            <a:avLst/>
                          </a:prstGeom>
                          <a:ln/>
                        </pic:spPr>
                      </pic:pic>
                    </a:graphicData>
                  </a:graphic>
                </wp:inline>
              </w:drawing>
            </w:r>
          </w:p>
          <w:p w14:paraId="76551D56" w14:textId="77777777" w:rsidR="00E6212E" w:rsidRPr="002979C1" w:rsidRDefault="004046EE">
            <w:pPr>
              <w:spacing w:after="120" w:line="360" w:lineRule="auto"/>
              <w:ind w:left="47"/>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noProof/>
                <w:lang w:val="es-MX"/>
              </w:rPr>
              <w:drawing>
                <wp:inline distT="0" distB="0" distL="0" distR="0" wp14:anchorId="1D3B00E7" wp14:editId="7B9E5703">
                  <wp:extent cx="3603788" cy="2205304"/>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l="56641" t="42183" r="9168" b="20622"/>
                          <a:stretch>
                            <a:fillRect/>
                          </a:stretch>
                        </pic:blipFill>
                        <pic:spPr>
                          <a:xfrm>
                            <a:off x="0" y="0"/>
                            <a:ext cx="3603788" cy="2205304"/>
                          </a:xfrm>
                          <a:prstGeom prst="rect">
                            <a:avLst/>
                          </a:prstGeom>
                          <a:ln/>
                        </pic:spPr>
                      </pic:pic>
                    </a:graphicData>
                  </a:graphic>
                </wp:inline>
              </w:drawing>
            </w:r>
          </w:p>
          <w:p w14:paraId="3A536627" w14:textId="77777777" w:rsidR="00E6212E" w:rsidRPr="002979C1" w:rsidRDefault="004046EE">
            <w:pPr>
              <w:spacing w:after="120" w:line="360" w:lineRule="auto"/>
              <w:ind w:left="47"/>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noProof/>
                <w:lang w:val="es-MX"/>
              </w:rPr>
              <w:lastRenderedPageBreak/>
              <w:drawing>
                <wp:inline distT="0" distB="0" distL="0" distR="0" wp14:anchorId="047CF7AB" wp14:editId="49360C0D">
                  <wp:extent cx="3422121" cy="2698746"/>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l="59448" t="34019" r="9167" b="21984"/>
                          <a:stretch>
                            <a:fillRect/>
                          </a:stretch>
                        </pic:blipFill>
                        <pic:spPr>
                          <a:xfrm>
                            <a:off x="0" y="0"/>
                            <a:ext cx="3422121" cy="2698746"/>
                          </a:xfrm>
                          <a:prstGeom prst="rect">
                            <a:avLst/>
                          </a:prstGeom>
                          <a:ln/>
                        </pic:spPr>
                      </pic:pic>
                    </a:graphicData>
                  </a:graphic>
                </wp:inline>
              </w:drawing>
            </w:r>
          </w:p>
          <w:p w14:paraId="2C82B991" w14:textId="77777777" w:rsidR="00E6212E" w:rsidRPr="002979C1" w:rsidRDefault="00E6212E">
            <w:pPr>
              <w:spacing w:after="120" w:line="360" w:lineRule="auto"/>
              <w:ind w:left="47"/>
              <w:jc w:val="center"/>
              <w:rPr>
                <w:rFonts w:ascii="Palatino Linotype" w:eastAsia="Palatino Linotype" w:hAnsi="Palatino Linotype" w:cs="Palatino Linotype"/>
                <w:b/>
                <w:sz w:val="24"/>
                <w:szCs w:val="24"/>
              </w:rPr>
            </w:pPr>
          </w:p>
        </w:tc>
      </w:tr>
      <w:tr w:rsidR="00E6212E" w:rsidRPr="002979C1" w14:paraId="75A6742E" w14:textId="77777777" w:rsidTr="00ED3AC3">
        <w:trPr>
          <w:jc w:val="center"/>
        </w:trPr>
        <w:tc>
          <w:tcPr>
            <w:tcW w:w="2340" w:type="dxa"/>
            <w:vAlign w:val="center"/>
          </w:tcPr>
          <w:p w14:paraId="101535DA" w14:textId="77777777" w:rsidR="00E6212E" w:rsidRPr="002979C1" w:rsidRDefault="004046EE">
            <w:pPr>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b/>
                <w:sz w:val="24"/>
                <w:szCs w:val="24"/>
              </w:rPr>
              <w:lastRenderedPageBreak/>
              <w:t>Conexión entre los fundamentos y motivos que dieron origen a la Reserva de la información</w:t>
            </w:r>
          </w:p>
        </w:tc>
        <w:tc>
          <w:tcPr>
            <w:tcW w:w="6302" w:type="dxa"/>
            <w:vAlign w:val="center"/>
          </w:tcPr>
          <w:p w14:paraId="18BF9A34" w14:textId="77777777" w:rsidR="00E6212E" w:rsidRPr="002979C1" w:rsidRDefault="00E6212E">
            <w:pPr>
              <w:spacing w:after="120" w:line="360" w:lineRule="auto"/>
              <w:rPr>
                <w:rFonts w:ascii="Palatino Linotype" w:eastAsia="Palatino Linotype" w:hAnsi="Palatino Linotype" w:cs="Palatino Linotype"/>
                <w:sz w:val="24"/>
                <w:szCs w:val="24"/>
              </w:rPr>
            </w:pPr>
          </w:p>
          <w:p w14:paraId="098B849A" w14:textId="77777777" w:rsidR="00E6212E" w:rsidRPr="002979C1" w:rsidRDefault="004046EE">
            <w:pPr>
              <w:spacing w:after="120" w:line="360" w:lineRule="auto"/>
              <w:ind w:left="29" w:firstLine="18"/>
              <w:jc w:val="center"/>
              <w:rPr>
                <w:rFonts w:ascii="Palatino Linotype" w:eastAsia="Palatino Linotype" w:hAnsi="Palatino Linotype" w:cs="Palatino Linotype"/>
                <w:sz w:val="24"/>
                <w:szCs w:val="24"/>
              </w:rPr>
            </w:pPr>
            <w:r w:rsidRPr="002979C1">
              <w:rPr>
                <w:rFonts w:ascii="Palatino Linotype" w:eastAsia="Palatino Linotype" w:hAnsi="Palatino Linotype" w:cs="Palatino Linotype"/>
                <w:noProof/>
                <w:lang w:val="es-MX"/>
              </w:rPr>
              <w:drawing>
                <wp:inline distT="0" distB="0" distL="0" distR="0" wp14:anchorId="397919A7" wp14:editId="75D9E7B8">
                  <wp:extent cx="3446849" cy="3261249"/>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l="58174" t="16782" r="8657" b="27426"/>
                          <a:stretch>
                            <a:fillRect/>
                          </a:stretch>
                        </pic:blipFill>
                        <pic:spPr>
                          <a:xfrm>
                            <a:off x="0" y="0"/>
                            <a:ext cx="3446849" cy="3261249"/>
                          </a:xfrm>
                          <a:prstGeom prst="rect">
                            <a:avLst/>
                          </a:prstGeom>
                          <a:ln/>
                        </pic:spPr>
                      </pic:pic>
                    </a:graphicData>
                  </a:graphic>
                </wp:inline>
              </w:drawing>
            </w:r>
          </w:p>
          <w:p w14:paraId="486AB4E7" w14:textId="77777777" w:rsidR="00E6212E" w:rsidRPr="002979C1" w:rsidRDefault="00E6212E">
            <w:pPr>
              <w:spacing w:after="120" w:line="360" w:lineRule="auto"/>
              <w:ind w:left="29" w:firstLine="18"/>
              <w:jc w:val="center"/>
              <w:rPr>
                <w:rFonts w:ascii="Palatino Linotype" w:eastAsia="Palatino Linotype" w:hAnsi="Palatino Linotype" w:cs="Palatino Linotype"/>
                <w:sz w:val="24"/>
                <w:szCs w:val="24"/>
              </w:rPr>
            </w:pPr>
          </w:p>
          <w:p w14:paraId="40AADB28" w14:textId="77777777" w:rsidR="00E6212E" w:rsidRPr="002979C1" w:rsidRDefault="00E6212E">
            <w:pPr>
              <w:spacing w:after="120" w:line="360" w:lineRule="auto"/>
              <w:ind w:left="29" w:firstLine="18"/>
              <w:jc w:val="center"/>
              <w:rPr>
                <w:rFonts w:ascii="Palatino Linotype" w:eastAsia="Palatino Linotype" w:hAnsi="Palatino Linotype" w:cs="Palatino Linotype"/>
                <w:sz w:val="24"/>
                <w:szCs w:val="24"/>
              </w:rPr>
            </w:pPr>
          </w:p>
        </w:tc>
      </w:tr>
      <w:tr w:rsidR="00E6212E" w:rsidRPr="002979C1" w14:paraId="758DCA4B" w14:textId="77777777" w:rsidTr="00ED3AC3">
        <w:trPr>
          <w:jc w:val="center"/>
        </w:trPr>
        <w:tc>
          <w:tcPr>
            <w:tcW w:w="2340" w:type="dxa"/>
            <w:vAlign w:val="center"/>
          </w:tcPr>
          <w:p w14:paraId="0DC40312" w14:textId="77777777" w:rsidR="00E6212E" w:rsidRPr="002979C1" w:rsidRDefault="004046EE">
            <w:pPr>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b/>
                <w:sz w:val="24"/>
                <w:szCs w:val="24"/>
              </w:rPr>
              <w:lastRenderedPageBreak/>
              <w:t>Riesgo Real, Demostrable e Identificable</w:t>
            </w:r>
          </w:p>
          <w:p w14:paraId="33B694D8" w14:textId="77777777" w:rsidR="00E6212E" w:rsidRPr="002979C1" w:rsidRDefault="004046EE">
            <w:pPr>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b/>
                <w:sz w:val="24"/>
                <w:szCs w:val="24"/>
              </w:rPr>
              <w:t>(Modo, Tiempo y Lugar)</w:t>
            </w:r>
          </w:p>
        </w:tc>
        <w:tc>
          <w:tcPr>
            <w:tcW w:w="6302" w:type="dxa"/>
            <w:vAlign w:val="center"/>
          </w:tcPr>
          <w:p w14:paraId="7E78EAFF" w14:textId="77777777" w:rsidR="00E6212E" w:rsidRPr="002979C1" w:rsidRDefault="004046EE">
            <w:pPr>
              <w:spacing w:after="120" w:line="360" w:lineRule="auto"/>
              <w:ind w:left="29" w:firstLine="18"/>
              <w:jc w:val="center"/>
              <w:rPr>
                <w:rFonts w:ascii="Palatino Linotype" w:eastAsia="Palatino Linotype" w:hAnsi="Palatino Linotype" w:cs="Palatino Linotype"/>
                <w:sz w:val="24"/>
                <w:szCs w:val="24"/>
              </w:rPr>
            </w:pPr>
            <w:r w:rsidRPr="002979C1">
              <w:rPr>
                <w:rFonts w:ascii="Palatino Linotype" w:eastAsia="Palatino Linotype" w:hAnsi="Palatino Linotype" w:cs="Palatino Linotype"/>
                <w:noProof/>
                <w:lang w:val="es-MX"/>
              </w:rPr>
              <w:drawing>
                <wp:inline distT="0" distB="0" distL="0" distR="0" wp14:anchorId="439B65B2" wp14:editId="3B992E36">
                  <wp:extent cx="2727026" cy="2852889"/>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l="58428" t="25401" r="8403" b="12911"/>
                          <a:stretch>
                            <a:fillRect/>
                          </a:stretch>
                        </pic:blipFill>
                        <pic:spPr>
                          <a:xfrm>
                            <a:off x="0" y="0"/>
                            <a:ext cx="2727026" cy="2852889"/>
                          </a:xfrm>
                          <a:prstGeom prst="rect">
                            <a:avLst/>
                          </a:prstGeom>
                          <a:ln/>
                        </pic:spPr>
                      </pic:pic>
                    </a:graphicData>
                  </a:graphic>
                </wp:inline>
              </w:drawing>
            </w:r>
          </w:p>
          <w:p w14:paraId="7FDC323E" w14:textId="77777777" w:rsidR="00E6212E" w:rsidRPr="002979C1" w:rsidRDefault="00E6212E">
            <w:pPr>
              <w:spacing w:after="120" w:line="360" w:lineRule="auto"/>
              <w:ind w:left="29" w:firstLine="18"/>
              <w:jc w:val="center"/>
              <w:rPr>
                <w:rFonts w:ascii="Palatino Linotype" w:eastAsia="Palatino Linotype" w:hAnsi="Palatino Linotype" w:cs="Palatino Linotype"/>
                <w:sz w:val="24"/>
                <w:szCs w:val="24"/>
              </w:rPr>
            </w:pPr>
          </w:p>
          <w:p w14:paraId="3D806D3C" w14:textId="77777777" w:rsidR="00E6212E" w:rsidRPr="002979C1" w:rsidRDefault="00E6212E">
            <w:pPr>
              <w:spacing w:after="120" w:line="360" w:lineRule="auto"/>
              <w:ind w:left="29" w:firstLine="18"/>
              <w:jc w:val="center"/>
              <w:rPr>
                <w:rFonts w:ascii="Palatino Linotype" w:eastAsia="Palatino Linotype" w:hAnsi="Palatino Linotype" w:cs="Palatino Linotype"/>
                <w:sz w:val="24"/>
                <w:szCs w:val="24"/>
              </w:rPr>
            </w:pPr>
          </w:p>
          <w:p w14:paraId="02EB6241" w14:textId="77777777" w:rsidR="00E6212E" w:rsidRPr="002979C1" w:rsidRDefault="004046EE">
            <w:pPr>
              <w:spacing w:after="120" w:line="360" w:lineRule="auto"/>
              <w:ind w:left="29" w:firstLine="18"/>
              <w:jc w:val="center"/>
              <w:rPr>
                <w:rFonts w:ascii="Palatino Linotype" w:eastAsia="Palatino Linotype" w:hAnsi="Palatino Linotype" w:cs="Palatino Linotype"/>
                <w:sz w:val="24"/>
                <w:szCs w:val="24"/>
              </w:rPr>
            </w:pPr>
            <w:r w:rsidRPr="002979C1">
              <w:rPr>
                <w:rFonts w:ascii="Palatino Linotype" w:eastAsia="Palatino Linotype" w:hAnsi="Palatino Linotype" w:cs="Palatino Linotype"/>
                <w:noProof/>
                <w:lang w:val="es-MX"/>
              </w:rPr>
              <w:lastRenderedPageBreak/>
              <w:drawing>
                <wp:inline distT="0" distB="0" distL="0" distR="0" wp14:anchorId="7E8EB191" wp14:editId="433F13B8">
                  <wp:extent cx="3245708" cy="343789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l="58682" t="18597" r="8657" b="17448"/>
                          <a:stretch>
                            <a:fillRect/>
                          </a:stretch>
                        </pic:blipFill>
                        <pic:spPr>
                          <a:xfrm>
                            <a:off x="0" y="0"/>
                            <a:ext cx="3248646" cy="3441002"/>
                          </a:xfrm>
                          <a:prstGeom prst="rect">
                            <a:avLst/>
                          </a:prstGeom>
                          <a:ln/>
                        </pic:spPr>
                      </pic:pic>
                    </a:graphicData>
                  </a:graphic>
                </wp:inline>
              </w:drawing>
            </w:r>
          </w:p>
          <w:p w14:paraId="1B2507B8" w14:textId="77777777" w:rsidR="00E6212E" w:rsidRPr="002979C1" w:rsidRDefault="00E6212E">
            <w:pPr>
              <w:spacing w:after="120" w:line="360" w:lineRule="auto"/>
              <w:ind w:left="29" w:firstLine="18"/>
              <w:jc w:val="center"/>
              <w:rPr>
                <w:rFonts w:ascii="Palatino Linotype" w:eastAsia="Palatino Linotype" w:hAnsi="Palatino Linotype" w:cs="Palatino Linotype"/>
                <w:sz w:val="24"/>
                <w:szCs w:val="24"/>
              </w:rPr>
            </w:pPr>
          </w:p>
          <w:p w14:paraId="76A5E8D9" w14:textId="77777777" w:rsidR="00E6212E" w:rsidRPr="002979C1" w:rsidRDefault="004046EE">
            <w:pPr>
              <w:spacing w:after="120" w:line="360" w:lineRule="auto"/>
              <w:ind w:left="29" w:firstLine="18"/>
              <w:jc w:val="center"/>
              <w:rPr>
                <w:rFonts w:ascii="Palatino Linotype" w:eastAsia="Palatino Linotype" w:hAnsi="Palatino Linotype" w:cs="Palatino Linotype"/>
                <w:sz w:val="24"/>
                <w:szCs w:val="24"/>
              </w:rPr>
            </w:pPr>
            <w:r w:rsidRPr="002979C1">
              <w:rPr>
                <w:rFonts w:ascii="Palatino Linotype" w:eastAsia="Palatino Linotype" w:hAnsi="Palatino Linotype" w:cs="Palatino Linotype"/>
                <w:noProof/>
                <w:lang w:val="es-MX"/>
              </w:rPr>
              <w:drawing>
                <wp:inline distT="0" distB="0" distL="0" distR="0" wp14:anchorId="65E4400D" wp14:editId="007A1422">
                  <wp:extent cx="3900480" cy="2811974"/>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l="58682" t="33565" r="8402" b="24250"/>
                          <a:stretch>
                            <a:fillRect/>
                          </a:stretch>
                        </pic:blipFill>
                        <pic:spPr>
                          <a:xfrm>
                            <a:off x="0" y="0"/>
                            <a:ext cx="3900480" cy="2811974"/>
                          </a:xfrm>
                          <a:prstGeom prst="rect">
                            <a:avLst/>
                          </a:prstGeom>
                          <a:ln/>
                        </pic:spPr>
                      </pic:pic>
                    </a:graphicData>
                  </a:graphic>
                </wp:inline>
              </w:drawing>
            </w:r>
          </w:p>
          <w:p w14:paraId="55E2B6DB" w14:textId="77777777" w:rsidR="00E6212E" w:rsidRPr="002979C1" w:rsidRDefault="00E6212E">
            <w:pPr>
              <w:spacing w:after="120" w:line="360" w:lineRule="auto"/>
              <w:ind w:left="29" w:firstLine="18"/>
              <w:jc w:val="center"/>
              <w:rPr>
                <w:rFonts w:ascii="Palatino Linotype" w:eastAsia="Palatino Linotype" w:hAnsi="Palatino Linotype" w:cs="Palatino Linotype"/>
                <w:sz w:val="24"/>
                <w:szCs w:val="24"/>
              </w:rPr>
            </w:pPr>
          </w:p>
        </w:tc>
      </w:tr>
      <w:tr w:rsidR="00E6212E" w:rsidRPr="002979C1" w14:paraId="40F4B12E" w14:textId="77777777" w:rsidTr="00ED3AC3">
        <w:trPr>
          <w:jc w:val="center"/>
        </w:trPr>
        <w:tc>
          <w:tcPr>
            <w:tcW w:w="2340" w:type="dxa"/>
            <w:vAlign w:val="center"/>
          </w:tcPr>
          <w:p w14:paraId="5B969E2C" w14:textId="77777777" w:rsidR="00E6212E" w:rsidRPr="002979C1" w:rsidRDefault="004046EE">
            <w:pPr>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b/>
                <w:sz w:val="24"/>
                <w:szCs w:val="24"/>
              </w:rPr>
              <w:lastRenderedPageBreak/>
              <w:t>Temporalidad de la Reserva de la información</w:t>
            </w:r>
          </w:p>
        </w:tc>
        <w:tc>
          <w:tcPr>
            <w:tcW w:w="6302" w:type="dxa"/>
            <w:vAlign w:val="center"/>
          </w:tcPr>
          <w:p w14:paraId="3C3EF2CC" w14:textId="77777777" w:rsidR="00E6212E" w:rsidRPr="002979C1" w:rsidRDefault="004046EE">
            <w:pPr>
              <w:spacing w:after="120" w:line="360" w:lineRule="auto"/>
              <w:ind w:left="29" w:firstLine="18"/>
              <w:jc w:val="center"/>
              <w:rPr>
                <w:rFonts w:ascii="Palatino Linotype" w:eastAsia="Palatino Linotype" w:hAnsi="Palatino Linotype" w:cs="Palatino Linotype"/>
                <w:sz w:val="24"/>
                <w:szCs w:val="24"/>
              </w:rPr>
            </w:pPr>
            <w:r w:rsidRPr="002979C1">
              <w:rPr>
                <w:rFonts w:ascii="Palatino Linotype" w:eastAsia="Palatino Linotype" w:hAnsi="Palatino Linotype" w:cs="Palatino Linotype"/>
                <w:noProof/>
                <w:lang w:val="es-MX"/>
              </w:rPr>
              <w:drawing>
                <wp:inline distT="0" distB="0" distL="0" distR="0" wp14:anchorId="666314EC" wp14:editId="022680E6">
                  <wp:extent cx="3613952" cy="70585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l="58682" t="42183" r="8657" b="46477"/>
                          <a:stretch>
                            <a:fillRect/>
                          </a:stretch>
                        </pic:blipFill>
                        <pic:spPr>
                          <a:xfrm>
                            <a:off x="0" y="0"/>
                            <a:ext cx="3613952" cy="705850"/>
                          </a:xfrm>
                          <a:prstGeom prst="rect">
                            <a:avLst/>
                          </a:prstGeom>
                          <a:ln/>
                        </pic:spPr>
                      </pic:pic>
                    </a:graphicData>
                  </a:graphic>
                </wp:inline>
              </w:drawing>
            </w:r>
            <w:r w:rsidRPr="002979C1">
              <w:rPr>
                <w:noProof/>
                <w:lang w:val="es-MX"/>
              </w:rPr>
              <mc:AlternateContent>
                <mc:Choice Requires="wps">
                  <w:drawing>
                    <wp:anchor distT="0" distB="0" distL="114300" distR="114300" simplePos="0" relativeHeight="251661312" behindDoc="0" locked="0" layoutInCell="1" hidden="0" allowOverlap="1" wp14:anchorId="1A2BAA5C" wp14:editId="183344BF">
                      <wp:simplePos x="0" y="0"/>
                      <wp:positionH relativeFrom="column">
                        <wp:posOffset>2315845</wp:posOffset>
                      </wp:positionH>
                      <wp:positionV relativeFrom="paragraph">
                        <wp:posOffset>365760</wp:posOffset>
                      </wp:positionV>
                      <wp:extent cx="323850" cy="95250"/>
                      <wp:effectExtent l="57150" t="19050" r="76200" b="95250"/>
                      <wp:wrapNone/>
                      <wp:docPr id="4" name="Rectángulo 4"/>
                      <wp:cNvGraphicFramePr/>
                      <a:graphic xmlns:a="http://schemas.openxmlformats.org/drawingml/2006/main">
                        <a:graphicData uri="http://schemas.microsoft.com/office/word/2010/wordprocessingShape">
                          <wps:wsp>
                            <wps:cNvSpPr/>
                            <wps:spPr>
                              <a:xfrm>
                                <a:off x="0" y="0"/>
                                <a:ext cx="323850" cy="952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2315845</wp:posOffset>
                      </wp:positionH>
                      <wp:positionV relativeFrom="paragraph">
                        <wp:posOffset>365760</wp:posOffset>
                      </wp:positionV>
                      <wp:extent cx="457200" cy="209550"/>
                      <wp:effectExtent b="0" l="0" r="0" t="0"/>
                      <wp:wrapNone/>
                      <wp:docPr id="4"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457200" cy="209550"/>
                              </a:xfrm>
                              <a:prstGeom prst="rect"/>
                              <a:ln/>
                            </pic:spPr>
                          </pic:pic>
                        </a:graphicData>
                      </a:graphic>
                    </wp:anchor>
                  </w:drawing>
                </mc:Fallback>
              </mc:AlternateContent>
            </w:r>
          </w:p>
          <w:p w14:paraId="55F55CC4" w14:textId="77777777" w:rsidR="00E6212E" w:rsidRPr="002979C1" w:rsidRDefault="00E6212E">
            <w:pPr>
              <w:spacing w:after="120" w:line="360" w:lineRule="auto"/>
              <w:ind w:left="29" w:firstLine="18"/>
              <w:jc w:val="center"/>
              <w:rPr>
                <w:rFonts w:ascii="Palatino Linotype" w:eastAsia="Palatino Linotype" w:hAnsi="Palatino Linotype" w:cs="Palatino Linotype"/>
                <w:sz w:val="24"/>
                <w:szCs w:val="24"/>
              </w:rPr>
            </w:pPr>
          </w:p>
        </w:tc>
      </w:tr>
      <w:tr w:rsidR="00E6212E" w:rsidRPr="002979C1" w14:paraId="771EC374" w14:textId="77777777" w:rsidTr="00ED3AC3">
        <w:trPr>
          <w:trHeight w:val="3517"/>
          <w:jc w:val="center"/>
        </w:trPr>
        <w:tc>
          <w:tcPr>
            <w:tcW w:w="2340" w:type="dxa"/>
            <w:vAlign w:val="center"/>
          </w:tcPr>
          <w:p w14:paraId="063E13B9" w14:textId="77777777" w:rsidR="00E6212E" w:rsidRPr="002979C1" w:rsidRDefault="004046EE">
            <w:pPr>
              <w:tabs>
                <w:tab w:val="left" w:pos="317"/>
              </w:tabs>
              <w:spacing w:after="120" w:line="360" w:lineRule="auto"/>
              <w:jc w:val="center"/>
              <w:rPr>
                <w:rFonts w:ascii="Palatino Linotype" w:eastAsia="Palatino Linotype" w:hAnsi="Palatino Linotype" w:cs="Palatino Linotype"/>
                <w:b/>
                <w:sz w:val="24"/>
                <w:szCs w:val="24"/>
              </w:rPr>
            </w:pPr>
            <w:r w:rsidRPr="002979C1">
              <w:rPr>
                <w:rFonts w:ascii="Palatino Linotype" w:eastAsia="Palatino Linotype" w:hAnsi="Palatino Linotype" w:cs="Palatino Linotype"/>
                <w:b/>
                <w:sz w:val="24"/>
                <w:szCs w:val="24"/>
              </w:rPr>
              <w:t>Autoridades competentes.</w:t>
            </w:r>
          </w:p>
        </w:tc>
        <w:tc>
          <w:tcPr>
            <w:tcW w:w="6302" w:type="dxa"/>
          </w:tcPr>
          <w:p w14:paraId="168743CD" w14:textId="77777777" w:rsidR="00E6212E" w:rsidRPr="002979C1" w:rsidRDefault="00E6212E">
            <w:pPr>
              <w:spacing w:line="360" w:lineRule="auto"/>
              <w:rPr>
                <w:rFonts w:ascii="Palatino Linotype" w:eastAsia="Palatino Linotype" w:hAnsi="Palatino Linotype" w:cs="Palatino Linotype"/>
                <w:sz w:val="24"/>
                <w:szCs w:val="24"/>
              </w:rPr>
            </w:pPr>
          </w:p>
          <w:p w14:paraId="5E40CDA9" w14:textId="77777777" w:rsidR="00E6212E" w:rsidRPr="002979C1" w:rsidRDefault="004046EE">
            <w:pPr>
              <w:spacing w:line="360" w:lineRule="auto"/>
              <w:jc w:val="center"/>
              <w:rPr>
                <w:rFonts w:ascii="Palatino Linotype" w:eastAsia="Palatino Linotype" w:hAnsi="Palatino Linotype" w:cs="Palatino Linotype"/>
                <w:sz w:val="24"/>
                <w:szCs w:val="24"/>
              </w:rPr>
            </w:pPr>
            <w:r w:rsidRPr="002979C1">
              <w:rPr>
                <w:rFonts w:ascii="Palatino Linotype" w:eastAsia="Palatino Linotype" w:hAnsi="Palatino Linotype" w:cs="Palatino Linotype"/>
                <w:noProof/>
                <w:lang w:val="es-MX"/>
              </w:rPr>
              <w:drawing>
                <wp:inline distT="0" distB="0" distL="0" distR="0" wp14:anchorId="01E11C25" wp14:editId="3401793B">
                  <wp:extent cx="2921924" cy="202973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l="58428" t="31751" r="8148" b="26973"/>
                          <a:stretch>
                            <a:fillRect/>
                          </a:stretch>
                        </pic:blipFill>
                        <pic:spPr>
                          <a:xfrm>
                            <a:off x="0" y="0"/>
                            <a:ext cx="2921924" cy="2029733"/>
                          </a:xfrm>
                          <a:prstGeom prst="rect">
                            <a:avLst/>
                          </a:prstGeom>
                          <a:ln/>
                        </pic:spPr>
                      </pic:pic>
                    </a:graphicData>
                  </a:graphic>
                </wp:inline>
              </w:drawing>
            </w:r>
            <w:r w:rsidRPr="002979C1">
              <w:rPr>
                <w:noProof/>
                <w:lang w:val="es-MX"/>
              </w:rPr>
              <mc:AlternateContent>
                <mc:Choice Requires="wps">
                  <w:drawing>
                    <wp:anchor distT="0" distB="0" distL="114300" distR="114300" simplePos="0" relativeHeight="251662336" behindDoc="0" locked="0" layoutInCell="1" hidden="0" allowOverlap="1" wp14:anchorId="37949258" wp14:editId="59BF1681">
                      <wp:simplePos x="0" y="0"/>
                      <wp:positionH relativeFrom="column">
                        <wp:posOffset>1050925</wp:posOffset>
                      </wp:positionH>
                      <wp:positionV relativeFrom="paragraph">
                        <wp:posOffset>532131</wp:posOffset>
                      </wp:positionV>
                      <wp:extent cx="1647825" cy="1447800"/>
                      <wp:effectExtent l="57150" t="19050" r="85725" b="95250"/>
                      <wp:wrapNone/>
                      <wp:docPr id="1" name="Rectángulo 1"/>
                      <wp:cNvGraphicFramePr/>
                      <a:graphic xmlns:a="http://schemas.openxmlformats.org/drawingml/2006/main">
                        <a:graphicData uri="http://schemas.microsoft.com/office/word/2010/wordprocessingShape">
                          <wps:wsp>
                            <wps:cNvSpPr/>
                            <wps:spPr>
                              <a:xfrm>
                                <a:off x="0" y="0"/>
                                <a:ext cx="1647825" cy="14478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1050925</wp:posOffset>
                      </wp:positionH>
                      <wp:positionV relativeFrom="paragraph">
                        <wp:posOffset>532131</wp:posOffset>
                      </wp:positionV>
                      <wp:extent cx="1790700" cy="1562100"/>
                      <wp:effectExtent b="0" l="0" r="0" t="0"/>
                      <wp:wrapNone/>
                      <wp:docPr id="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1790700" cy="1562100"/>
                              </a:xfrm>
                              <a:prstGeom prst="rect"/>
                              <a:ln/>
                            </pic:spPr>
                          </pic:pic>
                        </a:graphicData>
                      </a:graphic>
                    </wp:anchor>
                  </w:drawing>
                </mc:Fallback>
              </mc:AlternateContent>
            </w:r>
          </w:p>
        </w:tc>
      </w:tr>
    </w:tbl>
    <w:p w14:paraId="723D2B07" w14:textId="77777777" w:rsidR="00E6212E" w:rsidRPr="002979C1" w:rsidRDefault="00E6212E">
      <w:pPr>
        <w:spacing w:line="360" w:lineRule="auto"/>
        <w:jc w:val="both"/>
        <w:rPr>
          <w:rFonts w:ascii="Palatino Linotype" w:eastAsia="Palatino Linotype" w:hAnsi="Palatino Linotype" w:cs="Palatino Linotype"/>
          <w:color w:val="000000"/>
        </w:rPr>
      </w:pPr>
    </w:p>
    <w:p w14:paraId="2FA8AF58" w14:textId="77777777" w:rsidR="00E6212E" w:rsidRPr="002979C1" w:rsidRDefault="004046E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Es así que, del análisis del Acuerdo que tiene por objeto clasificar como información reservada los documentos que integran la carpeta de investigación número </w:t>
      </w:r>
      <w:r w:rsidRPr="002979C1">
        <w:rPr>
          <w:rFonts w:ascii="Palatino Linotype" w:eastAsia="Palatino Linotype" w:hAnsi="Palatino Linotype" w:cs="Palatino Linotype"/>
          <w:b/>
          <w:color w:val="000000"/>
        </w:rPr>
        <w:t>LER/FHT/FHT/054/303750/21/10</w:t>
      </w:r>
      <w:r w:rsidRPr="002979C1">
        <w:rPr>
          <w:rFonts w:ascii="Palatino Linotype" w:eastAsia="Palatino Linotype" w:hAnsi="Palatino Linotype" w:cs="Palatino Linotype"/>
          <w:color w:val="000000"/>
        </w:rPr>
        <w:t>, de veintiséis de noviembre de dos mil veintiuno, en el que clasifica la información solicitada, con base en las fracciones VI, IX y XI del artículo 140 de la Ley de Transparencia y Acceso a la Información Pública del Estado de México y Municipios, los cuales, como se ha referido anteriormente, consisten en:</w:t>
      </w:r>
    </w:p>
    <w:p w14:paraId="755B89EC" w14:textId="77777777" w:rsidR="00E6212E" w:rsidRPr="002979C1" w:rsidRDefault="004046EE">
      <w:pPr>
        <w:tabs>
          <w:tab w:val="left" w:pos="426"/>
        </w:tabs>
        <w:spacing w:before="240"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i/>
        </w:rPr>
        <w:lastRenderedPageBreak/>
        <w:t>“</w:t>
      </w:r>
      <w:r w:rsidRPr="002979C1">
        <w:rPr>
          <w:rFonts w:ascii="Palatino Linotype" w:eastAsia="Palatino Linotype" w:hAnsi="Palatino Linotype" w:cs="Palatino Linotype"/>
          <w:b/>
          <w:i/>
        </w:rPr>
        <w:t>Artículo 140.</w:t>
      </w:r>
      <w:r w:rsidRPr="002979C1">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14:paraId="53C72376"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i/>
        </w:rPr>
        <w:t xml:space="preserve"> (…)</w:t>
      </w:r>
    </w:p>
    <w:p w14:paraId="19A8421B"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b/>
          <w:i/>
        </w:rPr>
        <w:t>VI. Pueda causar daño u obstruya la prevención o persecución de los delitos, altere el proceso de investigación</w:t>
      </w:r>
      <w:r w:rsidRPr="002979C1">
        <w:rPr>
          <w:rFonts w:ascii="Palatino Linotype" w:eastAsia="Palatino Linotype" w:hAnsi="Palatino Linotype" w:cs="Palatino Linotype"/>
          <w:i/>
        </w:rPr>
        <w:t xml:space="preserve"> de las carpetas de investigación, afecte </w:t>
      </w:r>
      <w:r w:rsidRPr="002979C1">
        <w:rPr>
          <w:rFonts w:ascii="Palatino Linotype" w:eastAsia="Palatino Linotype" w:hAnsi="Palatino Linotype" w:cs="Palatino Linotype"/>
          <w:b/>
          <w:i/>
        </w:rPr>
        <w:t xml:space="preserve">o vulnere la conducción o los derechos del debido proceso </w:t>
      </w:r>
      <w:r w:rsidRPr="002979C1">
        <w:rPr>
          <w:rFonts w:ascii="Palatino Linotype" w:eastAsia="Palatino Linotype" w:hAnsi="Palatino Linotype" w:cs="Palatino Linotype"/>
          <w:i/>
        </w:rPr>
        <w:t>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6FCD049"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i/>
        </w:rPr>
        <w:t>(…)</w:t>
      </w:r>
    </w:p>
    <w:p w14:paraId="0BCF6F7E"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b/>
          <w:i/>
        </w:rPr>
        <w:t>IX. Se encuentre contenida dentro de</w:t>
      </w:r>
      <w:r w:rsidRPr="002979C1">
        <w:rPr>
          <w:rFonts w:ascii="Palatino Linotype" w:eastAsia="Palatino Linotype" w:hAnsi="Palatino Linotype" w:cs="Palatino Linotype"/>
          <w:i/>
        </w:rPr>
        <w:t xml:space="preserve"> las </w:t>
      </w:r>
      <w:r w:rsidRPr="002979C1">
        <w:rPr>
          <w:rFonts w:ascii="Palatino Linotype" w:eastAsia="Palatino Linotype" w:hAnsi="Palatino Linotype" w:cs="Palatino Linotype"/>
          <w:b/>
          <w:i/>
        </w:rPr>
        <w:t>investigaciones</w:t>
      </w:r>
      <w:r w:rsidRPr="002979C1">
        <w:rPr>
          <w:rFonts w:ascii="Palatino Linotype" w:eastAsia="Palatino Linotype" w:hAnsi="Palatino Linotype" w:cs="Palatino Linotype"/>
          <w:i/>
        </w:rPr>
        <w:t xml:space="preserve"> de hechos que la Ley señale como delitos </w:t>
      </w:r>
      <w:r w:rsidRPr="002979C1">
        <w:rPr>
          <w:rFonts w:ascii="Palatino Linotype" w:eastAsia="Palatino Linotype" w:hAnsi="Palatino Linotype" w:cs="Palatino Linotype"/>
          <w:b/>
          <w:i/>
        </w:rPr>
        <w:t>y se tramiten ante el Ministerio Público</w:t>
      </w:r>
      <w:r w:rsidRPr="002979C1">
        <w:rPr>
          <w:rFonts w:ascii="Palatino Linotype" w:eastAsia="Palatino Linotype" w:hAnsi="Palatino Linotype" w:cs="Palatino Linotype"/>
          <w:i/>
        </w:rPr>
        <w:t xml:space="preserve">; </w:t>
      </w:r>
    </w:p>
    <w:p w14:paraId="2FF4E8A0"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i/>
        </w:rPr>
        <w:t>(…)</w:t>
      </w:r>
    </w:p>
    <w:p w14:paraId="618D1046"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b/>
          <w:i/>
        </w:rPr>
        <w:t>XI. Las que por disposición expresa de una ley tengan tal carácter</w:t>
      </w:r>
      <w:r w:rsidRPr="002979C1">
        <w:rPr>
          <w:rFonts w:ascii="Palatino Linotype" w:eastAsia="Palatino Linotype" w:hAnsi="Palatino Linotype" w:cs="Palatino Linotype"/>
          <w:i/>
        </w:rPr>
        <w:t>, siempre que sean acordes con las bases, principios y disposiciones establecidos en esta Ley y no la contravengan; así como las previstas en tratados internacionales.”</w:t>
      </w:r>
    </w:p>
    <w:p w14:paraId="7BB63893" w14:textId="77777777" w:rsidR="00E6212E" w:rsidRPr="002979C1" w:rsidRDefault="00E6212E">
      <w:pPr>
        <w:tabs>
          <w:tab w:val="left" w:pos="426"/>
        </w:tabs>
        <w:spacing w:line="360" w:lineRule="auto"/>
        <w:ind w:left="567" w:right="909"/>
        <w:jc w:val="both"/>
        <w:rPr>
          <w:rFonts w:ascii="Palatino Linotype" w:eastAsia="Palatino Linotype" w:hAnsi="Palatino Linotype" w:cs="Palatino Linotype"/>
          <w:i/>
        </w:rPr>
      </w:pPr>
    </w:p>
    <w:p w14:paraId="18A555DE" w14:textId="77777777" w:rsidR="00E6212E" w:rsidRPr="002979C1" w:rsidRDefault="004046EE">
      <w:pPr>
        <w:tabs>
          <w:tab w:val="left" w:pos="426"/>
        </w:tabs>
        <w:spacing w:after="240" w:line="360" w:lineRule="auto"/>
        <w:ind w:left="567" w:right="909"/>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rPr>
        <w:t>(Énfasis añadido)</w:t>
      </w:r>
    </w:p>
    <w:p w14:paraId="19DBDFDF" w14:textId="77777777" w:rsidR="00E6212E" w:rsidRPr="002979C1" w:rsidRDefault="004046EE">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lastRenderedPageBreak/>
        <w:t>Dicho lo anterior, resulta elemental referir que las causales de reserva contenidas en el dispositivo legal antes transcrito armonizan las causales de reserva establecidas en la Ley General de Transparencia y Acceso a la Información Pública, específicamente en su artículo 113, dentro de las que se encuentran las siguientes:</w:t>
      </w:r>
    </w:p>
    <w:p w14:paraId="232826A9" w14:textId="77777777" w:rsidR="00E6212E" w:rsidRPr="002979C1" w:rsidRDefault="00E6212E">
      <w:pPr>
        <w:tabs>
          <w:tab w:val="left" w:pos="426"/>
        </w:tabs>
        <w:spacing w:before="240" w:line="360" w:lineRule="auto"/>
        <w:ind w:right="51"/>
        <w:jc w:val="both"/>
        <w:rPr>
          <w:rFonts w:ascii="Palatino Linotype" w:eastAsia="Palatino Linotype" w:hAnsi="Palatino Linotype" w:cs="Palatino Linotype"/>
          <w:color w:val="000000"/>
        </w:rPr>
      </w:pPr>
    </w:p>
    <w:p w14:paraId="565FE128"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i/>
        </w:rPr>
        <w:t>“</w:t>
      </w:r>
      <w:r w:rsidRPr="002979C1">
        <w:rPr>
          <w:rFonts w:ascii="Palatino Linotype" w:eastAsia="Palatino Linotype" w:hAnsi="Palatino Linotype" w:cs="Palatino Linotype"/>
          <w:b/>
          <w:i/>
        </w:rPr>
        <w:t>Artículo 113.</w:t>
      </w:r>
      <w:r w:rsidRPr="002979C1">
        <w:rPr>
          <w:rFonts w:ascii="Palatino Linotype" w:eastAsia="Palatino Linotype" w:hAnsi="Palatino Linotype" w:cs="Palatino Linotype"/>
          <w:i/>
        </w:rPr>
        <w:t xml:space="preserve"> Como información reservada podrá clasificarse aquella cuya publicación: </w:t>
      </w:r>
    </w:p>
    <w:p w14:paraId="374DAB7A"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i/>
        </w:rPr>
        <w:t xml:space="preserve"> (…)</w:t>
      </w:r>
    </w:p>
    <w:p w14:paraId="39B82908"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b/>
          <w:i/>
        </w:rPr>
        <w:t>VII. Obstruya la prevención o persecución de los delitos</w:t>
      </w:r>
      <w:r w:rsidRPr="002979C1">
        <w:rPr>
          <w:rFonts w:ascii="Palatino Linotype" w:eastAsia="Palatino Linotype" w:hAnsi="Palatino Linotype" w:cs="Palatino Linotype"/>
          <w:i/>
        </w:rPr>
        <w:t>;</w:t>
      </w:r>
    </w:p>
    <w:p w14:paraId="690AFD35"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i/>
        </w:rPr>
        <w:t>(…)</w:t>
      </w:r>
    </w:p>
    <w:p w14:paraId="65A0CA45"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b/>
          <w:i/>
        </w:rPr>
        <w:t>XII. Se encuentre contenida dentro de las investigaciones</w:t>
      </w:r>
      <w:r w:rsidRPr="002979C1">
        <w:rPr>
          <w:rFonts w:ascii="Palatino Linotype" w:eastAsia="Palatino Linotype" w:hAnsi="Palatino Linotype" w:cs="Palatino Linotype"/>
          <w:i/>
        </w:rPr>
        <w:t xml:space="preserve"> de hechos que la ley señale como delitos </w:t>
      </w:r>
      <w:r w:rsidRPr="002979C1">
        <w:rPr>
          <w:rFonts w:ascii="Palatino Linotype" w:eastAsia="Palatino Linotype" w:hAnsi="Palatino Linotype" w:cs="Palatino Linotype"/>
          <w:b/>
          <w:i/>
        </w:rPr>
        <w:t>y se tramiten ante el Ministerio Público</w:t>
      </w:r>
      <w:r w:rsidRPr="002979C1">
        <w:rPr>
          <w:rFonts w:ascii="Palatino Linotype" w:eastAsia="Palatino Linotype" w:hAnsi="Palatino Linotype" w:cs="Palatino Linotype"/>
          <w:i/>
        </w:rPr>
        <w:t xml:space="preserve">, y </w:t>
      </w:r>
    </w:p>
    <w:p w14:paraId="647CA81C"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rPr>
      </w:pPr>
      <w:r w:rsidRPr="002979C1">
        <w:rPr>
          <w:rFonts w:ascii="Palatino Linotype" w:eastAsia="Palatino Linotype" w:hAnsi="Palatino Linotype" w:cs="Palatino Linotype"/>
          <w:b/>
          <w:i/>
        </w:rPr>
        <w:t>XIII. Las que por disposición expresa de una ley tengan tal carácter</w:t>
      </w:r>
      <w:r w:rsidRPr="002979C1">
        <w:rPr>
          <w:rFonts w:ascii="Palatino Linotype" w:eastAsia="Palatino Linotype" w:hAnsi="Palatino Linotype" w:cs="Palatino Linotype"/>
          <w:i/>
        </w:rPr>
        <w:t>, siempre que sean acordes con las bases, principios y disposiciones establecidos en esta Ley y no la contravengan; así como las previstas en tratados internacionales.”</w:t>
      </w:r>
    </w:p>
    <w:p w14:paraId="1D4A1B5B"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rPr>
      </w:pPr>
      <w:r w:rsidRPr="002979C1">
        <w:rPr>
          <w:rFonts w:ascii="Palatino Linotype" w:eastAsia="Palatino Linotype" w:hAnsi="Palatino Linotype" w:cs="Palatino Linotype"/>
        </w:rPr>
        <w:t>(Énfasis añadido)</w:t>
      </w:r>
    </w:p>
    <w:p w14:paraId="3F083C17" w14:textId="77777777" w:rsidR="00E6212E" w:rsidRPr="002979C1" w:rsidRDefault="00E6212E">
      <w:pPr>
        <w:tabs>
          <w:tab w:val="left" w:pos="426"/>
        </w:tabs>
        <w:spacing w:line="360" w:lineRule="auto"/>
        <w:ind w:left="567" w:right="909"/>
        <w:jc w:val="both"/>
        <w:rPr>
          <w:rFonts w:ascii="Palatino Linotype" w:eastAsia="Palatino Linotype" w:hAnsi="Palatino Linotype" w:cs="Palatino Linotype"/>
          <w:color w:val="000000"/>
        </w:rPr>
      </w:pPr>
    </w:p>
    <w:p w14:paraId="39F60384"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Por cuanto hace a las causales de reserva establecidas en las fracciones VII, XII y XIII del artículo 113 de la Ley General de Transparencia y Acceso a la Información Pública, los Lineamientos establecen de manera precisa los elementos que se deberán acreditar para demostrar, de manera fundada y motivada, que la </w:t>
      </w:r>
      <w:r w:rsidRPr="002979C1">
        <w:rPr>
          <w:rFonts w:ascii="Palatino Linotype" w:eastAsia="Palatino Linotype" w:hAnsi="Palatino Linotype" w:cs="Palatino Linotype"/>
          <w:color w:val="000000"/>
        </w:rPr>
        <w:lastRenderedPageBreak/>
        <w:t xml:space="preserve">información pública solicitada acredita la necesidad de limitar su acceso temporalmente:  </w:t>
      </w:r>
    </w:p>
    <w:p w14:paraId="2DF1AB88"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2B4E4C4F"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Vigésimo sexto.</w:t>
      </w:r>
      <w:r w:rsidRPr="002979C1">
        <w:rPr>
          <w:rFonts w:ascii="Palatino Linotype" w:eastAsia="Palatino Linotype" w:hAnsi="Palatino Linotype" w:cs="Palatino Linotype"/>
          <w:i/>
          <w:color w:val="000000"/>
        </w:rPr>
        <w:t>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75D24C9C"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Para que se verifique el supuesto de reserva, cuando se cause un perjuicio a las actividades de persecución de los delitos, deben de actualizarse los siguientes elementos:</w:t>
      </w:r>
    </w:p>
    <w:p w14:paraId="1FD1FBAD" w14:textId="77777777" w:rsidR="00E6212E" w:rsidRPr="002979C1" w:rsidRDefault="004046EE">
      <w:pPr>
        <w:tabs>
          <w:tab w:val="left" w:pos="1276"/>
        </w:tabs>
        <w:spacing w:line="360" w:lineRule="auto"/>
        <w:ind w:left="851"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 </w:t>
      </w:r>
      <w:r w:rsidRPr="002979C1">
        <w:rPr>
          <w:rFonts w:ascii="Palatino Linotype" w:eastAsia="Palatino Linotype" w:hAnsi="Palatino Linotype" w:cs="Palatino Linotype"/>
          <w:b/>
          <w:i/>
          <w:color w:val="000000"/>
        </w:rPr>
        <w:t>I.</w:t>
      </w:r>
      <w:r w:rsidRPr="002979C1">
        <w:rPr>
          <w:rFonts w:ascii="Palatino Linotype" w:eastAsia="Palatino Linotype" w:hAnsi="Palatino Linotype" w:cs="Palatino Linotype"/>
          <w:i/>
          <w:color w:val="000000"/>
        </w:rPr>
        <w:t> La existencia de un proceso penal en sustanciación o una carpeta de investigación en trámite;</w:t>
      </w:r>
    </w:p>
    <w:p w14:paraId="55B0F131" w14:textId="77777777" w:rsidR="00E6212E" w:rsidRPr="002979C1" w:rsidRDefault="004046EE">
      <w:pPr>
        <w:tabs>
          <w:tab w:val="left" w:pos="1276"/>
        </w:tabs>
        <w:spacing w:line="360" w:lineRule="auto"/>
        <w:ind w:left="851"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II.</w:t>
      </w:r>
      <w:r w:rsidRPr="002979C1">
        <w:rPr>
          <w:rFonts w:ascii="Palatino Linotype" w:eastAsia="Palatino Linotype" w:hAnsi="Palatino Linotype" w:cs="Palatino Linotype"/>
          <w:i/>
          <w:color w:val="000000"/>
        </w:rPr>
        <w:t> Que se acredite el vínculo que existe entre la información solicitada y la carpeta de investigación, o el proceso penal, según sea el caso, y</w:t>
      </w:r>
    </w:p>
    <w:p w14:paraId="0021BA60" w14:textId="77777777" w:rsidR="00E6212E" w:rsidRPr="002979C1" w:rsidRDefault="004046EE">
      <w:pPr>
        <w:tabs>
          <w:tab w:val="left" w:pos="1276"/>
        </w:tabs>
        <w:spacing w:after="240" w:line="360" w:lineRule="auto"/>
        <w:ind w:left="851"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III.</w:t>
      </w:r>
      <w:r w:rsidRPr="002979C1">
        <w:rPr>
          <w:rFonts w:ascii="Palatino Linotype" w:eastAsia="Palatino Linotype" w:hAnsi="Palatino Linotype" w:cs="Palatino Linotype"/>
          <w:i/>
          <w:color w:val="000000"/>
        </w:rPr>
        <w:t> Que la difusión de la información pueda impedir u obstruir las funciones que ejerce el Ministerio Público o su equivalente durante la etapa de investigación o ante los tribunales judiciales con motivo del ejercicio de la acción penal.</w:t>
      </w:r>
    </w:p>
    <w:p w14:paraId="411637FE" w14:textId="4873DED2" w:rsidR="00195D45" w:rsidRPr="002979C1" w:rsidRDefault="00195D45" w:rsidP="00195D45">
      <w:p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 xml:space="preserve">              (Énfasis añadido)</w:t>
      </w:r>
    </w:p>
    <w:p w14:paraId="14CCC0F5" w14:textId="77777777" w:rsidR="00195D45" w:rsidRPr="002979C1" w:rsidRDefault="00195D45">
      <w:pPr>
        <w:tabs>
          <w:tab w:val="left" w:pos="1276"/>
        </w:tabs>
        <w:spacing w:after="240" w:line="360" w:lineRule="auto"/>
        <w:ind w:left="851" w:right="909"/>
        <w:jc w:val="both"/>
        <w:rPr>
          <w:rFonts w:ascii="Palatino Linotype" w:eastAsia="Palatino Linotype" w:hAnsi="Palatino Linotype" w:cs="Palatino Linotype"/>
          <w:i/>
          <w:color w:val="000000"/>
        </w:rPr>
      </w:pPr>
    </w:p>
    <w:p w14:paraId="28F792A0" w14:textId="77777777" w:rsidR="00E6212E" w:rsidRPr="002979C1" w:rsidRDefault="004046EE">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lastRenderedPageBreak/>
        <w:t xml:space="preserve">Ahora bien, en los </w:t>
      </w:r>
      <w:r w:rsidRPr="002979C1">
        <w:rPr>
          <w:rFonts w:ascii="Palatino Linotype" w:eastAsia="Palatino Linotype" w:hAnsi="Palatino Linotype" w:cs="Palatino Linotype"/>
          <w:i/>
          <w:color w:val="000000"/>
        </w:rPr>
        <w:t>Lineamientos Generales en Materia de Clasificación y Desclasificación de la Información, así como para la Elaboración de la Versiones Públicas</w:t>
      </w:r>
      <w:r w:rsidRPr="002979C1">
        <w:rPr>
          <w:rFonts w:ascii="Palatino Linotype" w:eastAsia="Palatino Linotype" w:hAnsi="Palatino Linotype" w:cs="Palatino Linotype"/>
          <w:color w:val="000000"/>
        </w:rPr>
        <w:t xml:space="preserve">, que tienen por objeto establecer los criterios con base en los cuales los sujetos obligados clasificarán como reservada o confidencial la información que posean y la desclasificarán y generarán, en su caso, versiones públicas de expedientes o documentos que contengan partes o secciones clasificadas. Asimismo, se establece que el cuerpo normativo de referencia será de observancia </w:t>
      </w:r>
      <w:r w:rsidRPr="002979C1">
        <w:rPr>
          <w:rFonts w:ascii="Palatino Linotype" w:eastAsia="Palatino Linotype" w:hAnsi="Palatino Linotype" w:cs="Palatino Linotype"/>
          <w:b/>
          <w:color w:val="000000"/>
        </w:rPr>
        <w:t>obligatoria</w:t>
      </w:r>
      <w:r w:rsidRPr="002979C1">
        <w:rPr>
          <w:rFonts w:ascii="Palatino Linotype" w:eastAsia="Palatino Linotype" w:hAnsi="Palatino Linotype" w:cs="Palatino Linotype"/>
          <w:color w:val="000000"/>
        </w:rPr>
        <w:t xml:space="preserve"> para todos los Sujetos Obligados, los cuales considerarán a </w:t>
      </w:r>
      <w:r w:rsidRPr="002979C1">
        <w:rPr>
          <w:rFonts w:ascii="Palatino Linotype" w:eastAsia="Palatino Linotype" w:hAnsi="Palatino Linotype" w:cs="Palatino Linotype"/>
          <w:b/>
          <w:color w:val="000000"/>
        </w:rPr>
        <w:t>cualquier autoridad</w:t>
      </w:r>
      <w:r w:rsidRPr="002979C1">
        <w:rPr>
          <w:rFonts w:ascii="Palatino Linotype" w:eastAsia="Palatino Linotype" w:hAnsi="Palatino Linotype" w:cs="Palatino Linotype"/>
          <w:color w:val="000000"/>
        </w:rPr>
        <w:t xml:space="preserve">, entidad, órgano y organismo de los poderes Ejecutivo, Legislativo y Judicial, órganos autónomos, partidos políticos, fideicomisos y fondos públicos, así como cualquier persona física, moral o sindicato </w:t>
      </w:r>
      <w:r w:rsidRPr="002979C1">
        <w:rPr>
          <w:rFonts w:ascii="Palatino Linotype" w:eastAsia="Palatino Linotype" w:hAnsi="Palatino Linotype" w:cs="Palatino Linotype"/>
          <w:b/>
          <w:color w:val="000000"/>
        </w:rPr>
        <w:t>que reciba y ejerza recursos públicos o realice actos de autoridad en los ámbitos</w:t>
      </w:r>
      <w:r w:rsidRPr="002979C1">
        <w:rPr>
          <w:rFonts w:ascii="Palatino Linotype" w:eastAsia="Palatino Linotype" w:hAnsi="Palatino Linotype" w:cs="Palatino Linotype"/>
          <w:color w:val="000000"/>
        </w:rPr>
        <w:t xml:space="preserve"> federal, estatal y municipal</w:t>
      </w:r>
      <w:r w:rsidRPr="002979C1">
        <w:rPr>
          <w:b/>
          <w:color w:val="000000"/>
          <w:vertAlign w:val="superscript"/>
        </w:rPr>
        <w:footnoteReference w:id="11"/>
      </w:r>
      <w:r w:rsidRPr="002979C1">
        <w:rPr>
          <w:rFonts w:ascii="Palatino Linotype" w:eastAsia="Palatino Linotype" w:hAnsi="Palatino Linotype" w:cs="Palatino Linotype"/>
          <w:color w:val="000000"/>
        </w:rPr>
        <w:t>.</w:t>
      </w:r>
    </w:p>
    <w:p w14:paraId="3CC0BBE0" w14:textId="77777777" w:rsidR="00E6212E" w:rsidRPr="002979C1" w:rsidRDefault="004046EE">
      <w:pPr>
        <w:tabs>
          <w:tab w:val="left" w:pos="426"/>
        </w:tabs>
        <w:spacing w:before="240" w:line="360" w:lineRule="auto"/>
        <w:ind w:right="51"/>
        <w:jc w:val="both"/>
        <w:rPr>
          <w:rFonts w:ascii="Palatino Linotype" w:eastAsia="Palatino Linotype" w:hAnsi="Palatino Linotype" w:cs="Palatino Linotype"/>
          <w:b/>
          <w:color w:val="000000"/>
        </w:rPr>
      </w:pPr>
      <w:r w:rsidRPr="002979C1">
        <w:rPr>
          <w:rFonts w:ascii="Palatino Linotype" w:eastAsia="Palatino Linotype" w:hAnsi="Palatino Linotype" w:cs="Palatino Linotype"/>
          <w:color w:val="000000"/>
        </w:rPr>
        <w:t xml:space="preserve">Dentro del presente asunto, y como ha sido demostrado a través de la transcripción del contenido del Acuerdo de Clasificación 88/2021, de veintiséis de noviembre de dos mil veintiuno, se advierte que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atendió los criterios de fondo para demostrar que, en el caso específico, se actualizan las causales de reserva de la información requerida a través de la solicitud </w:t>
      </w:r>
      <w:r w:rsidRPr="002979C1">
        <w:rPr>
          <w:rFonts w:ascii="Palatino Linotype" w:eastAsia="Palatino Linotype" w:hAnsi="Palatino Linotype" w:cs="Palatino Linotype"/>
          <w:b/>
          <w:color w:val="000000"/>
        </w:rPr>
        <w:t xml:space="preserve">01102/FGJ/IP/2021, </w:t>
      </w:r>
      <w:r w:rsidRPr="002979C1">
        <w:rPr>
          <w:rFonts w:ascii="Palatino Linotype" w:eastAsia="Palatino Linotype" w:hAnsi="Palatino Linotype" w:cs="Palatino Linotype"/>
          <w:color w:val="000000"/>
        </w:rPr>
        <w:t xml:space="preserve">pues </w:t>
      </w:r>
      <w:r w:rsidRPr="002979C1">
        <w:rPr>
          <w:rFonts w:ascii="Palatino Linotype" w:eastAsia="Palatino Linotype" w:hAnsi="Palatino Linotype" w:cs="Palatino Linotype"/>
          <w:b/>
          <w:color w:val="000000"/>
        </w:rPr>
        <w:t>si se logró demostrar la procedencia de la reserva.</w:t>
      </w:r>
    </w:p>
    <w:p w14:paraId="48F447A2"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5E6CE1B9"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lastRenderedPageBreak/>
        <w:t xml:space="preserve">Aunado a lo anterior,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realizó la prueba de daño que mandata la que mandata la Ley General de Transparencia y Acceso a la Información Pública y la Ley de Transparencia y Acceso a la Información Pública del Estado de México y Municipios, la cual se advierte que cuenta con los elementos que permiten reservar la información materia del presente asunto.</w:t>
      </w:r>
    </w:p>
    <w:p w14:paraId="121C682D"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66D54463" w14:textId="77777777" w:rsidR="00E6212E" w:rsidRPr="002979C1" w:rsidRDefault="004046EE">
      <w:pPr>
        <w:tabs>
          <w:tab w:val="left" w:pos="426"/>
        </w:tabs>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Por lo anterior, este Organismo Garante estima necesario referir que el Lineamiento Trigésimo Tercero de los </w:t>
      </w:r>
      <w:r w:rsidRPr="002979C1">
        <w:rPr>
          <w:rFonts w:ascii="Palatino Linotype" w:eastAsia="Palatino Linotype" w:hAnsi="Palatino Linotype" w:cs="Palatino Linotype"/>
          <w:i/>
          <w:color w:val="000000"/>
        </w:rPr>
        <w:t>Lineamientos Generales en Materia de Clasificación y Desclasificación de la Información, así como para la Elaboración de la Versiones Públicas</w:t>
      </w:r>
      <w:r w:rsidRPr="002979C1">
        <w:rPr>
          <w:rFonts w:ascii="Palatino Linotype" w:eastAsia="Palatino Linotype" w:hAnsi="Palatino Linotype" w:cs="Palatino Linotype"/>
          <w:color w:val="000000"/>
        </w:rPr>
        <w:t>, establece lo siguiente:</w:t>
      </w:r>
    </w:p>
    <w:p w14:paraId="1EAD7317" w14:textId="77777777" w:rsidR="00E6212E" w:rsidRPr="002979C1" w:rsidRDefault="00E6212E">
      <w:pPr>
        <w:tabs>
          <w:tab w:val="left" w:pos="426"/>
        </w:tabs>
        <w:spacing w:line="360" w:lineRule="auto"/>
        <w:ind w:right="51"/>
        <w:jc w:val="both"/>
        <w:rPr>
          <w:rFonts w:ascii="Palatino Linotype" w:eastAsia="Palatino Linotype" w:hAnsi="Palatino Linotype" w:cs="Palatino Linotype"/>
          <w:color w:val="000000"/>
        </w:rPr>
      </w:pPr>
    </w:p>
    <w:p w14:paraId="7F250D1F"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i/>
          <w:color w:val="000000"/>
        </w:rPr>
        <w:t>“</w:t>
      </w:r>
      <w:r w:rsidRPr="002979C1">
        <w:rPr>
          <w:rFonts w:ascii="Palatino Linotype" w:eastAsia="Palatino Linotype" w:hAnsi="Palatino Linotype" w:cs="Palatino Linotype"/>
          <w:b/>
          <w:i/>
          <w:color w:val="000000"/>
        </w:rPr>
        <w:t>Trigésimo tercero. </w:t>
      </w:r>
      <w:r w:rsidRPr="002979C1">
        <w:rPr>
          <w:rFonts w:ascii="Palatino Linotype" w:eastAsia="Palatino Linotype" w:hAnsi="Palatino Linotype" w:cs="Palatino Linotype"/>
          <w:i/>
          <w:color w:val="000000"/>
        </w:rPr>
        <w:t>Para la aplicación de la prueba de daño a la que hace referencia el artículo 104 de la Ley General, los sujetos obligados atenderán lo siguiente:</w:t>
      </w:r>
    </w:p>
    <w:p w14:paraId="4B756150"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I.</w:t>
      </w:r>
      <w:r w:rsidRPr="002979C1">
        <w:rPr>
          <w:rFonts w:ascii="Palatino Linotype" w:eastAsia="Palatino Linotype" w:hAnsi="Palatino Linotype" w:cs="Palatino Linotype"/>
          <w:i/>
          <w:color w:val="000000"/>
        </w:rPr>
        <w:t>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7123080F"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II.</w:t>
      </w:r>
      <w:r w:rsidRPr="002979C1">
        <w:rPr>
          <w:rFonts w:ascii="Palatino Linotype" w:eastAsia="Palatino Linotype" w:hAnsi="Palatino Linotype" w:cs="Palatino Linotype"/>
          <w:i/>
          <w:color w:val="000000"/>
        </w:rPr>
        <w:t xml:space="preserve"> Mediante la ponderación de los intereses en conflicto, los sujetos obligados deberán demostrar que la publicidad de la información solicitada generaría un riesgo de perjuicio </w:t>
      </w:r>
      <w:proofErr w:type="gramStart"/>
      <w:r w:rsidRPr="002979C1">
        <w:rPr>
          <w:rFonts w:ascii="Palatino Linotype" w:eastAsia="Palatino Linotype" w:hAnsi="Palatino Linotype" w:cs="Palatino Linotype"/>
          <w:i/>
          <w:color w:val="000000"/>
        </w:rPr>
        <w:t>y</w:t>
      </w:r>
      <w:proofErr w:type="gramEnd"/>
      <w:r w:rsidRPr="002979C1">
        <w:rPr>
          <w:rFonts w:ascii="Palatino Linotype" w:eastAsia="Palatino Linotype" w:hAnsi="Palatino Linotype" w:cs="Palatino Linotype"/>
          <w:i/>
          <w:color w:val="000000"/>
        </w:rPr>
        <w:t xml:space="preserve"> por lo tanto, tendrán que acreditar que este último rebasa el interés público protegido por la reserva;</w:t>
      </w:r>
    </w:p>
    <w:p w14:paraId="67F92B05"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lastRenderedPageBreak/>
        <w:t>III.</w:t>
      </w:r>
      <w:r w:rsidRPr="002979C1">
        <w:rPr>
          <w:rFonts w:ascii="Palatino Linotype" w:eastAsia="Palatino Linotype" w:hAnsi="Palatino Linotype" w:cs="Palatino Linotype"/>
          <w:i/>
          <w:color w:val="000000"/>
        </w:rPr>
        <w:t> Se debe de acreditar el vínculo entre la difusión de la información y la afectación del interés jurídico tutelado de que se trate;</w:t>
      </w:r>
    </w:p>
    <w:p w14:paraId="5CF45D85"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IV.</w:t>
      </w:r>
      <w:r w:rsidRPr="002979C1">
        <w:rPr>
          <w:rFonts w:ascii="Palatino Linotype" w:eastAsia="Palatino Linotype" w:hAnsi="Palatino Linotype" w:cs="Palatino Linotype"/>
          <w:i/>
          <w:color w:val="000000"/>
        </w:rPr>
        <w:t> Precisar las razones objetivas por las que la apertura de la información generaría una afectación, a través de los elementos de un riesgo real, demostrable e identificable;</w:t>
      </w:r>
    </w:p>
    <w:p w14:paraId="25B49714"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V.</w:t>
      </w:r>
      <w:r w:rsidRPr="002979C1">
        <w:rPr>
          <w:rFonts w:ascii="Palatino Linotype" w:eastAsia="Palatino Linotype" w:hAnsi="Palatino Linotype" w:cs="Palatino Linotype"/>
          <w:i/>
          <w:color w:val="000000"/>
        </w:rPr>
        <w:t> En la motivación de la clasificación, el sujeto obligado deberá acreditar las circunstancias de modo, tiempo y lugar del daño, y</w:t>
      </w:r>
    </w:p>
    <w:p w14:paraId="1C1492FD" w14:textId="77777777" w:rsidR="00E6212E" w:rsidRPr="002979C1" w:rsidRDefault="004046EE">
      <w:pPr>
        <w:tabs>
          <w:tab w:val="left" w:pos="426"/>
        </w:tabs>
        <w:spacing w:line="360" w:lineRule="auto"/>
        <w:ind w:left="567" w:right="909"/>
        <w:jc w:val="both"/>
        <w:rPr>
          <w:rFonts w:ascii="Palatino Linotype" w:eastAsia="Palatino Linotype" w:hAnsi="Palatino Linotype" w:cs="Palatino Linotype"/>
          <w:i/>
          <w:color w:val="000000"/>
        </w:rPr>
      </w:pPr>
      <w:r w:rsidRPr="002979C1">
        <w:rPr>
          <w:rFonts w:ascii="Palatino Linotype" w:eastAsia="Palatino Linotype" w:hAnsi="Palatino Linotype" w:cs="Palatino Linotype"/>
          <w:b/>
          <w:i/>
          <w:color w:val="000000"/>
        </w:rPr>
        <w:t>VI.</w:t>
      </w:r>
      <w:r w:rsidRPr="002979C1">
        <w:rPr>
          <w:rFonts w:ascii="Palatino Linotype" w:eastAsia="Palatino Linotype" w:hAnsi="Palatino Linotype" w:cs="Palatino Linotype"/>
          <w:i/>
          <w:color w:val="000000"/>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5C57BAA4" w14:textId="77777777" w:rsidR="00E6212E" w:rsidRPr="002979C1" w:rsidRDefault="00E6212E">
      <w:pPr>
        <w:tabs>
          <w:tab w:val="left" w:pos="426"/>
        </w:tabs>
        <w:spacing w:after="240" w:line="360" w:lineRule="auto"/>
        <w:ind w:left="567" w:right="909"/>
        <w:jc w:val="both"/>
        <w:rPr>
          <w:rFonts w:ascii="Palatino Linotype" w:eastAsia="Palatino Linotype" w:hAnsi="Palatino Linotype" w:cs="Palatino Linotype"/>
          <w:i/>
          <w:color w:val="000000"/>
        </w:rPr>
      </w:pPr>
    </w:p>
    <w:p w14:paraId="2CA01167" w14:textId="77777777" w:rsidR="00E6212E" w:rsidRPr="002979C1" w:rsidRDefault="004046E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b/>
          <w:color w:val="000000"/>
          <w:sz w:val="25"/>
          <w:szCs w:val="25"/>
        </w:rPr>
      </w:pPr>
      <w:r w:rsidRPr="002979C1">
        <w:rPr>
          <w:rFonts w:ascii="Palatino Linotype" w:eastAsia="Palatino Linotype" w:hAnsi="Palatino Linotype" w:cs="Palatino Linotype"/>
          <w:color w:val="000000"/>
        </w:rPr>
        <w:t xml:space="preserve">De lo expuesto con antelación, este Instituto considera que el </w:t>
      </w:r>
      <w:r w:rsidRPr="002979C1">
        <w:rPr>
          <w:rFonts w:ascii="Palatino Linotype" w:eastAsia="Palatino Linotype" w:hAnsi="Palatino Linotype" w:cs="Palatino Linotype"/>
          <w:b/>
          <w:color w:val="000000"/>
        </w:rPr>
        <w:t>SUJETO OBLIGADO</w:t>
      </w:r>
      <w:r w:rsidRPr="002979C1">
        <w:rPr>
          <w:rFonts w:ascii="Palatino Linotype" w:eastAsia="Palatino Linotype" w:hAnsi="Palatino Linotype" w:cs="Palatino Linotype"/>
          <w:color w:val="000000"/>
        </w:rPr>
        <w:t xml:space="preserve">, si satisface los requisitos previstos por la normatividad, toda vez que realiza un ejercicio de ponderación con elementos fácticos en relación con la normatividad, demostrando en el Acuerdo de Clasificación la reserva acreditando  el riesgo real, demostrable e identificable que podría causar la entrega de los dictámenes periciales que se encuentran en la Carpeta de Investigación </w:t>
      </w:r>
      <w:r w:rsidRPr="002979C1">
        <w:rPr>
          <w:rFonts w:ascii="Palatino Linotype" w:eastAsia="Palatino Linotype" w:hAnsi="Palatino Linotype" w:cs="Palatino Linotype"/>
          <w:b/>
          <w:color w:val="000000"/>
        </w:rPr>
        <w:t>NIC:FHT/FHT/00/MPI/401/00480/21/10 y NUC: LER/FHT/FHT/054/303750/21/10</w:t>
      </w:r>
      <w:r w:rsidRPr="002979C1">
        <w:rPr>
          <w:rFonts w:ascii="Palatino Linotype" w:eastAsia="Palatino Linotype" w:hAnsi="Palatino Linotype" w:cs="Palatino Linotype"/>
          <w:b/>
          <w:color w:val="000000"/>
          <w:sz w:val="25"/>
          <w:szCs w:val="25"/>
        </w:rPr>
        <w:t>.</w:t>
      </w:r>
    </w:p>
    <w:p w14:paraId="13C85E82" w14:textId="77777777" w:rsidR="00E6212E" w:rsidRPr="002979C1" w:rsidRDefault="00E6212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i/>
          <w:color w:val="000000"/>
          <w:sz w:val="25"/>
          <w:szCs w:val="25"/>
        </w:rPr>
      </w:pPr>
    </w:p>
    <w:p w14:paraId="08DE5CA6" w14:textId="77777777" w:rsidR="00E6212E" w:rsidRPr="002979C1" w:rsidRDefault="004046E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color w:val="000000"/>
        </w:rPr>
      </w:pPr>
      <w:proofErr w:type="gramStart"/>
      <w:r w:rsidRPr="002979C1">
        <w:rPr>
          <w:rFonts w:ascii="Palatino Linotype" w:eastAsia="Palatino Linotype" w:hAnsi="Palatino Linotype" w:cs="Palatino Linotype"/>
          <w:color w:val="000000"/>
        </w:rPr>
        <w:t>Además</w:t>
      </w:r>
      <w:proofErr w:type="gramEnd"/>
      <w:r w:rsidRPr="002979C1">
        <w:rPr>
          <w:rFonts w:ascii="Palatino Linotype" w:eastAsia="Palatino Linotype" w:hAnsi="Palatino Linotype" w:cs="Palatino Linotype"/>
          <w:color w:val="000000"/>
        </w:rPr>
        <w:t xml:space="preserve"> cumplió con las formalidades exigidas por con el artículo 113 de la Ley General de Transparencia y Acceso a la Información Pública, numeral trigésimo </w:t>
      </w:r>
      <w:r w:rsidRPr="002979C1">
        <w:rPr>
          <w:rFonts w:ascii="Palatino Linotype" w:eastAsia="Palatino Linotype" w:hAnsi="Palatino Linotype" w:cs="Palatino Linotype"/>
          <w:color w:val="000000"/>
        </w:rPr>
        <w:lastRenderedPageBreak/>
        <w:t>fracción I de los Lineamientos Generales en Materia de Clasificación y Desclasificación de la Información, así como para la Elaboración de Versiones Públicas, y los artículos 91, 128, 129, 140, fracción VIII y 141, de la Ley de Transparencia y Acceso a la Información Pública del Estado de México y Municipios:</w:t>
      </w:r>
    </w:p>
    <w:p w14:paraId="5595015A" w14:textId="77777777" w:rsidR="00E6212E" w:rsidRPr="002979C1" w:rsidRDefault="00E6212E">
      <w:pPr>
        <w:widowControl w:val="0"/>
        <w:pBdr>
          <w:top w:val="nil"/>
          <w:left w:val="nil"/>
          <w:bottom w:val="nil"/>
          <w:right w:val="nil"/>
          <w:between w:val="nil"/>
        </w:pBdr>
        <w:spacing w:line="360" w:lineRule="auto"/>
        <w:ind w:left="112" w:right="49"/>
        <w:jc w:val="both"/>
        <w:rPr>
          <w:rFonts w:ascii="Palatino Linotype" w:eastAsia="Palatino Linotype" w:hAnsi="Palatino Linotype" w:cs="Palatino Linotype"/>
          <w:color w:val="000000"/>
          <w:sz w:val="25"/>
          <w:szCs w:val="25"/>
        </w:rPr>
      </w:pPr>
    </w:p>
    <w:p w14:paraId="5061CA9D" w14:textId="77777777" w:rsidR="00E6212E" w:rsidRPr="002979C1" w:rsidRDefault="004046E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De manera que, como se ha analizado en líneas anteriores, el </w:t>
      </w:r>
      <w:r w:rsidRPr="002979C1">
        <w:rPr>
          <w:rFonts w:ascii="Palatino Linotype" w:eastAsia="Palatino Linotype" w:hAnsi="Palatino Linotype" w:cs="Palatino Linotype"/>
          <w:b/>
          <w:color w:val="000000"/>
        </w:rPr>
        <w:t xml:space="preserve">Sujeto Obligado </w:t>
      </w:r>
      <w:r w:rsidRPr="002979C1">
        <w:rPr>
          <w:rFonts w:ascii="Palatino Linotype" w:eastAsia="Palatino Linotype" w:hAnsi="Palatino Linotype" w:cs="Palatino Linotype"/>
          <w:color w:val="000000"/>
        </w:rPr>
        <w:t xml:space="preserve">determinó que lo requerido por el </w:t>
      </w:r>
      <w:r w:rsidRPr="002979C1">
        <w:rPr>
          <w:rFonts w:ascii="Palatino Linotype" w:eastAsia="Palatino Linotype" w:hAnsi="Palatino Linotype" w:cs="Palatino Linotype"/>
          <w:b/>
          <w:color w:val="000000"/>
        </w:rPr>
        <w:t xml:space="preserve">Recurrente </w:t>
      </w:r>
      <w:r w:rsidRPr="002979C1">
        <w:rPr>
          <w:rFonts w:ascii="Palatino Linotype" w:eastAsia="Palatino Linotype" w:hAnsi="Palatino Linotype" w:cs="Palatino Linotype"/>
          <w:color w:val="000000"/>
        </w:rPr>
        <w:t xml:space="preserve">configura lo dispuesto por el artículo 140 de la Ley de Transparencia y Acceso  la Información Pública del Estado de México y sus Municipios, por lo que se concluye que excepcionalmente, la premisa mayor en la que toda información generada por los Sujetos Obligados en el marco de sus atribuciones es de carácter público, se ve limitada temporalmente porque </w:t>
      </w:r>
      <w:r w:rsidRPr="002979C1">
        <w:rPr>
          <w:rFonts w:ascii="Palatino Linotype" w:eastAsia="Palatino Linotype" w:hAnsi="Palatino Linotype" w:cs="Palatino Linotype"/>
          <w:b/>
          <w:color w:val="000000"/>
        </w:rPr>
        <w:t>las investigaciones no han causado estado</w:t>
      </w:r>
      <w:r w:rsidRPr="002979C1">
        <w:rPr>
          <w:rFonts w:ascii="Palatino Linotype" w:eastAsia="Palatino Linotype" w:hAnsi="Palatino Linotype" w:cs="Palatino Linotype"/>
          <w:color w:val="000000"/>
        </w:rPr>
        <w:t>, por lo tanto, con su difusión podría causarse un daño real, demostrable e identificable.</w:t>
      </w:r>
    </w:p>
    <w:p w14:paraId="52A6B89C" w14:textId="77777777" w:rsidR="00E6212E" w:rsidRPr="002979C1" w:rsidRDefault="00E6212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color w:val="000000"/>
        </w:rPr>
      </w:pPr>
    </w:p>
    <w:p w14:paraId="61050EC3" w14:textId="1AF2F70B" w:rsidR="00E6212E" w:rsidRPr="002979C1" w:rsidRDefault="004046EE" w:rsidP="00BD609B">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color w:val="000000"/>
          <w:sz w:val="25"/>
          <w:szCs w:val="25"/>
        </w:rPr>
      </w:pPr>
      <w:r w:rsidRPr="002979C1">
        <w:rPr>
          <w:rFonts w:ascii="Palatino Linotype" w:eastAsia="Palatino Linotype" w:hAnsi="Palatino Linotype" w:cs="Palatino Linotype"/>
          <w:color w:val="000000"/>
          <w:sz w:val="25"/>
          <w:szCs w:val="25"/>
        </w:rPr>
        <w:t xml:space="preserve">Una vez puntualizado lo anterior, de la presente solicitud de acceso a la información en estudio, </w:t>
      </w:r>
      <w:r w:rsidRPr="002979C1">
        <w:rPr>
          <w:rFonts w:ascii="Palatino Linotype" w:eastAsia="Palatino Linotype" w:hAnsi="Palatino Linotype" w:cs="Palatino Linotype"/>
          <w:b/>
          <w:color w:val="000000"/>
          <w:sz w:val="25"/>
          <w:szCs w:val="25"/>
        </w:rPr>
        <w:t>EL RECURRENTE</w:t>
      </w:r>
      <w:r w:rsidR="00BD609B" w:rsidRPr="002979C1">
        <w:rPr>
          <w:rFonts w:ascii="Palatino Linotype" w:eastAsia="Palatino Linotype" w:hAnsi="Palatino Linotype" w:cs="Palatino Linotype"/>
          <w:color w:val="000000"/>
          <w:sz w:val="25"/>
          <w:szCs w:val="25"/>
        </w:rPr>
        <w:t xml:space="preserve"> </w:t>
      </w:r>
      <w:r w:rsidRPr="002979C1">
        <w:rPr>
          <w:rFonts w:ascii="Palatino Linotype" w:eastAsia="Palatino Linotype" w:hAnsi="Palatino Linotype" w:cs="Palatino Linotype"/>
          <w:color w:val="000000"/>
          <w:sz w:val="25"/>
          <w:szCs w:val="25"/>
        </w:rPr>
        <w:t xml:space="preserve">menciona que </w:t>
      </w:r>
      <w:r w:rsidR="00BD609B" w:rsidRPr="002979C1">
        <w:rPr>
          <w:rFonts w:ascii="Palatino Linotype" w:eastAsia="Palatino Linotype" w:hAnsi="Palatino Linotype" w:cs="Palatino Linotype"/>
          <w:color w:val="000000"/>
          <w:sz w:val="25"/>
          <w:szCs w:val="25"/>
        </w:rPr>
        <w:t>d</w:t>
      </w:r>
      <w:r w:rsidR="006C3E56" w:rsidRPr="002979C1">
        <w:rPr>
          <w:rFonts w:ascii="Palatino Linotype" w:eastAsia="Palatino Linotype" w:hAnsi="Palatino Linotype" w:cs="Palatino Linotype"/>
          <w:color w:val="000000"/>
          <w:sz w:val="25"/>
          <w:szCs w:val="25"/>
        </w:rPr>
        <w:t>esea tener acceso a los dictámenes</w:t>
      </w:r>
      <w:r w:rsidR="00BD609B" w:rsidRPr="002979C1">
        <w:rPr>
          <w:rFonts w:ascii="Palatino Linotype" w:eastAsia="Palatino Linotype" w:hAnsi="Palatino Linotype" w:cs="Palatino Linotype"/>
          <w:color w:val="000000"/>
          <w:sz w:val="25"/>
          <w:szCs w:val="25"/>
        </w:rPr>
        <w:t xml:space="preserve"> periciales de </w:t>
      </w:r>
      <w:r w:rsidR="006163AD">
        <w:rPr>
          <w:rFonts w:ascii="Palatino Linotype" w:eastAsia="Palatino Linotype" w:hAnsi="Palatino Linotype" w:cs="Palatino Linotype"/>
          <w:color w:val="000000"/>
          <w:sz w:val="25"/>
          <w:szCs w:val="25"/>
        </w:rPr>
        <w:t>XXXXXXX XXXXX</w:t>
      </w:r>
      <w:r w:rsidR="00BD609B" w:rsidRPr="002979C1">
        <w:rPr>
          <w:rFonts w:ascii="Palatino Linotype" w:eastAsia="Palatino Linotype" w:hAnsi="Palatino Linotype" w:cs="Palatino Linotype"/>
          <w:color w:val="000000"/>
          <w:sz w:val="25"/>
          <w:szCs w:val="25"/>
        </w:rPr>
        <w:t xml:space="preserve">; sin embargo,  </w:t>
      </w:r>
      <w:r w:rsidRPr="002979C1">
        <w:rPr>
          <w:rFonts w:ascii="Palatino Linotype" w:eastAsia="Palatino Linotype" w:hAnsi="Palatino Linotype" w:cs="Palatino Linotype"/>
          <w:color w:val="000000"/>
          <w:sz w:val="25"/>
          <w:szCs w:val="25"/>
        </w:rPr>
        <w:t xml:space="preserve">como se ha desarrollado en el presente análisis, el </w:t>
      </w:r>
      <w:r w:rsidRPr="002979C1">
        <w:rPr>
          <w:rFonts w:ascii="Palatino Linotype" w:eastAsia="Palatino Linotype" w:hAnsi="Palatino Linotype" w:cs="Palatino Linotype"/>
          <w:b/>
          <w:color w:val="000000"/>
          <w:sz w:val="25"/>
          <w:szCs w:val="25"/>
        </w:rPr>
        <w:t>SUJETO OBLIGADO</w:t>
      </w:r>
      <w:r w:rsidRPr="002979C1">
        <w:rPr>
          <w:rFonts w:ascii="Palatino Linotype" w:eastAsia="Palatino Linotype" w:hAnsi="Palatino Linotype" w:cs="Palatino Linotype"/>
          <w:color w:val="000000"/>
          <w:sz w:val="25"/>
          <w:szCs w:val="25"/>
        </w:rPr>
        <w:t xml:space="preserve">, acredito el </w:t>
      </w:r>
      <w:r w:rsidRPr="002979C1">
        <w:rPr>
          <w:rFonts w:ascii="Palatino Linotype" w:eastAsia="Palatino Linotype" w:hAnsi="Palatino Linotype" w:cs="Palatino Linotype"/>
          <w:b/>
          <w:color w:val="000000"/>
          <w:sz w:val="25"/>
          <w:szCs w:val="25"/>
        </w:rPr>
        <w:t>riesgo real, demostrable e identificable</w:t>
      </w:r>
      <w:r w:rsidRPr="002979C1">
        <w:rPr>
          <w:rFonts w:ascii="Palatino Linotype" w:eastAsia="Palatino Linotype" w:hAnsi="Palatino Linotype" w:cs="Palatino Linotype"/>
          <w:color w:val="000000"/>
          <w:sz w:val="25"/>
          <w:szCs w:val="25"/>
        </w:rPr>
        <w:t xml:space="preserve">, pues revelar los dictámenes periciales contenidos en la carpeta de investigación </w:t>
      </w:r>
      <w:r w:rsidRPr="002979C1">
        <w:rPr>
          <w:rFonts w:ascii="Palatino Linotype" w:eastAsia="Palatino Linotype" w:hAnsi="Palatino Linotype" w:cs="Palatino Linotype"/>
          <w:b/>
          <w:color w:val="000000"/>
          <w:sz w:val="25"/>
          <w:szCs w:val="25"/>
        </w:rPr>
        <w:t xml:space="preserve">NIC:FHT/FHT/00/MPI/401/00480/21/10 y NUC: LER/FHT/FHT/054/303750/21/10,  </w:t>
      </w:r>
      <w:r w:rsidRPr="002979C1">
        <w:rPr>
          <w:rFonts w:ascii="Palatino Linotype" w:eastAsia="Palatino Linotype" w:hAnsi="Palatino Linotype" w:cs="Palatino Linotype"/>
          <w:color w:val="000000"/>
          <w:sz w:val="25"/>
          <w:szCs w:val="25"/>
        </w:rPr>
        <w:t xml:space="preserve">podría vulnerar los derechos de las víctimas, </w:t>
      </w:r>
      <w:r w:rsidRPr="002979C1">
        <w:rPr>
          <w:rFonts w:ascii="Palatino Linotype" w:eastAsia="Palatino Linotype" w:hAnsi="Palatino Linotype" w:cs="Palatino Linotype"/>
          <w:color w:val="000000"/>
          <w:sz w:val="25"/>
          <w:szCs w:val="25"/>
        </w:rPr>
        <w:lastRenderedPageBreak/>
        <w:t xml:space="preserve">testigos e incluso de los servidores públicos que intervienen, toda vez que se colocarían en una situación de riesgo, ya que se podría atentar contra su integridad física y psicológica, incluso material; además no constituye un beneficio para la sociedad, pues se rompería con el sigilo que ha sido patentado a lo largo de la resolución, relativo a las carpetas de investigación en trámite, máxime que se trata de una investigación iniciada por el delito de homicidio, cometido en contra de un particular; no obstante lo anterior, no existe indicio de que la divulgación de la información contenida en la carpeta  resulte útil  para la debida comprensión de las actividades que lleva el </w:t>
      </w:r>
      <w:r w:rsidRPr="002979C1">
        <w:rPr>
          <w:rFonts w:ascii="Palatino Linotype" w:eastAsia="Palatino Linotype" w:hAnsi="Palatino Linotype" w:cs="Palatino Linotype"/>
          <w:b/>
          <w:color w:val="000000"/>
          <w:sz w:val="25"/>
          <w:szCs w:val="25"/>
        </w:rPr>
        <w:t>SUJETO OBLIGADO</w:t>
      </w:r>
      <w:r w:rsidRPr="002979C1">
        <w:rPr>
          <w:rFonts w:ascii="Palatino Linotype" w:eastAsia="Palatino Linotype" w:hAnsi="Palatino Linotype" w:cs="Palatino Linotype"/>
          <w:color w:val="000000"/>
          <w:sz w:val="25"/>
          <w:szCs w:val="25"/>
        </w:rPr>
        <w:t>, quedando patente lo referente al artículo 3 de la Ley de Transparencia y Acceso a la Información Pública del Estado de México y Municipios.</w:t>
      </w:r>
    </w:p>
    <w:p w14:paraId="1A1443BB" w14:textId="77777777" w:rsidR="00E6212E" w:rsidRPr="002979C1" w:rsidRDefault="00E6212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color w:val="000000"/>
          <w:sz w:val="25"/>
          <w:szCs w:val="25"/>
        </w:rPr>
      </w:pPr>
    </w:p>
    <w:p w14:paraId="16771E33" w14:textId="77777777" w:rsidR="00E6212E" w:rsidRPr="002979C1" w:rsidRDefault="00E6212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color w:val="000000"/>
          <w:sz w:val="25"/>
          <w:szCs w:val="25"/>
        </w:rPr>
      </w:pPr>
    </w:p>
    <w:p w14:paraId="72CE4605" w14:textId="77777777" w:rsidR="00E6212E" w:rsidRPr="002979C1" w:rsidRDefault="004046EE">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5"/>
          <w:szCs w:val="25"/>
        </w:rPr>
      </w:pPr>
      <w:r w:rsidRPr="002979C1">
        <w:rPr>
          <w:rFonts w:ascii="Palatino Linotype" w:eastAsia="Palatino Linotype" w:hAnsi="Palatino Linotype" w:cs="Palatino Linotype"/>
          <w:b/>
          <w:i/>
          <w:color w:val="000000"/>
          <w:sz w:val="25"/>
          <w:szCs w:val="25"/>
        </w:rPr>
        <w:t>Artículo 3</w:t>
      </w:r>
      <w:r w:rsidRPr="002979C1">
        <w:rPr>
          <w:rFonts w:ascii="Palatino Linotype" w:eastAsia="Palatino Linotype" w:hAnsi="Palatino Linotype" w:cs="Palatino Linotype"/>
          <w:i/>
          <w:color w:val="000000"/>
          <w:sz w:val="25"/>
          <w:szCs w:val="25"/>
        </w:rPr>
        <w:t>. Para los efectos de la presente Ley se entenderá por</w:t>
      </w:r>
    </w:p>
    <w:p w14:paraId="6E611032" w14:textId="77777777" w:rsidR="00E6212E" w:rsidRPr="002979C1" w:rsidRDefault="004046EE">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5"/>
          <w:szCs w:val="25"/>
        </w:rPr>
      </w:pPr>
      <w:r w:rsidRPr="002979C1">
        <w:rPr>
          <w:rFonts w:ascii="Palatino Linotype" w:eastAsia="Palatino Linotype" w:hAnsi="Palatino Linotype" w:cs="Palatino Linotype"/>
          <w:i/>
          <w:color w:val="000000"/>
          <w:sz w:val="25"/>
          <w:szCs w:val="25"/>
        </w:rPr>
        <w:t>(…)</w:t>
      </w:r>
    </w:p>
    <w:p w14:paraId="1CB73B0A" w14:textId="77777777" w:rsidR="00E6212E" w:rsidRPr="002979C1" w:rsidRDefault="004046EE">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5"/>
          <w:szCs w:val="25"/>
        </w:rPr>
      </w:pPr>
      <w:r w:rsidRPr="002979C1">
        <w:rPr>
          <w:rFonts w:ascii="Palatino Linotype" w:eastAsia="Palatino Linotype" w:hAnsi="Palatino Linotype" w:cs="Palatino Linotype"/>
          <w:b/>
          <w:i/>
          <w:color w:val="000000"/>
          <w:sz w:val="25"/>
          <w:szCs w:val="25"/>
        </w:rPr>
        <w:t>XXII.</w:t>
      </w:r>
      <w:r w:rsidRPr="002979C1">
        <w:rPr>
          <w:rFonts w:ascii="Palatino Linotype" w:eastAsia="Palatino Linotype" w:hAnsi="Palatino Linotype" w:cs="Palatino Linotype"/>
          <w:i/>
          <w:color w:val="000000"/>
          <w:sz w:val="25"/>
          <w:szCs w:val="25"/>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14:paraId="5BC49EF6" w14:textId="77777777" w:rsidR="00204FC2" w:rsidRPr="002979C1" w:rsidRDefault="00204FC2" w:rsidP="00204FC2">
      <w:pPr>
        <w:pBdr>
          <w:top w:val="nil"/>
          <w:left w:val="nil"/>
          <w:bottom w:val="nil"/>
          <w:right w:val="nil"/>
          <w:between w:val="nil"/>
        </w:pBdr>
        <w:ind w:left="1004" w:right="899"/>
        <w:jc w:val="both"/>
        <w:rPr>
          <w:rFonts w:ascii="Palatino Linotype" w:eastAsia="Palatino Linotype" w:hAnsi="Palatino Linotype" w:cs="Palatino Linotype"/>
          <w:i/>
          <w:color w:val="000000"/>
          <w:sz w:val="22"/>
          <w:szCs w:val="22"/>
        </w:rPr>
      </w:pPr>
      <w:r w:rsidRPr="002979C1">
        <w:rPr>
          <w:rFonts w:ascii="Palatino Linotype" w:eastAsia="Palatino Linotype" w:hAnsi="Palatino Linotype" w:cs="Palatino Linotype"/>
          <w:i/>
          <w:color w:val="000000"/>
          <w:sz w:val="22"/>
          <w:szCs w:val="22"/>
        </w:rPr>
        <w:t>(Énfasis añadido)</w:t>
      </w:r>
    </w:p>
    <w:p w14:paraId="0AB1A2F1" w14:textId="77777777" w:rsidR="00204FC2" w:rsidRPr="002979C1" w:rsidRDefault="00204FC2">
      <w:pPr>
        <w:widowControl w:val="0"/>
        <w:pBdr>
          <w:top w:val="nil"/>
          <w:left w:val="nil"/>
          <w:bottom w:val="nil"/>
          <w:right w:val="nil"/>
          <w:between w:val="nil"/>
        </w:pBdr>
        <w:ind w:left="851" w:right="902"/>
        <w:jc w:val="both"/>
        <w:rPr>
          <w:rFonts w:ascii="Palatino Linotype" w:eastAsia="Palatino Linotype" w:hAnsi="Palatino Linotype" w:cs="Palatino Linotype"/>
          <w:i/>
          <w:color w:val="000000"/>
          <w:sz w:val="25"/>
          <w:szCs w:val="25"/>
        </w:rPr>
      </w:pPr>
    </w:p>
    <w:p w14:paraId="3C609F43" w14:textId="77777777" w:rsidR="00E6212E" w:rsidRPr="002979C1" w:rsidRDefault="00E6212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color w:val="000000"/>
          <w:sz w:val="25"/>
          <w:szCs w:val="25"/>
        </w:rPr>
      </w:pPr>
    </w:p>
    <w:p w14:paraId="61CAA2C2" w14:textId="77777777" w:rsidR="00E6212E" w:rsidRPr="002979C1" w:rsidRDefault="004046E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En conclusión, si bien en el presente asunto está de por medio aclarar hechos posiblemente constitutivos de un delito y que con ello ocasionaron la muerte de </w:t>
      </w:r>
      <w:r w:rsidRPr="002979C1">
        <w:rPr>
          <w:rFonts w:ascii="Palatino Linotype" w:eastAsia="Palatino Linotype" w:hAnsi="Palatino Linotype" w:cs="Palatino Linotype"/>
          <w:color w:val="000000"/>
        </w:rPr>
        <w:lastRenderedPageBreak/>
        <w:t xml:space="preserve">una figura pública, tal cuestión, por sí misma, no podría derivarse como un interés público. </w:t>
      </w:r>
    </w:p>
    <w:p w14:paraId="35D2C904" w14:textId="77777777" w:rsidR="00E6212E" w:rsidRPr="002979C1" w:rsidRDefault="00E6212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color w:val="000000"/>
        </w:rPr>
      </w:pPr>
    </w:p>
    <w:p w14:paraId="72765E70" w14:textId="77777777" w:rsidR="00E6212E" w:rsidRPr="002979C1" w:rsidRDefault="004046EE" w:rsidP="001711AE">
      <w:pPr>
        <w:widowControl w:val="0"/>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Más aún, si fuera el caso de que se investigara la participación de funcionarios públicos, los sucesos acaecidos impactan de manera directa en la esfera jurídica de un particular, por lo que la divulgación de la información contenida </w:t>
      </w:r>
      <w:proofErr w:type="gramStart"/>
      <w:r w:rsidRPr="002979C1">
        <w:rPr>
          <w:rFonts w:ascii="Palatino Linotype" w:eastAsia="Palatino Linotype" w:hAnsi="Palatino Linotype" w:cs="Palatino Linotype"/>
          <w:color w:val="000000"/>
        </w:rPr>
        <w:t>en  la</w:t>
      </w:r>
      <w:proofErr w:type="gramEnd"/>
      <w:r w:rsidRPr="002979C1">
        <w:rPr>
          <w:rFonts w:ascii="Palatino Linotype" w:eastAsia="Palatino Linotype" w:hAnsi="Palatino Linotype" w:cs="Palatino Linotype"/>
          <w:color w:val="000000"/>
        </w:rPr>
        <w:t xml:space="preserve"> carpeta de investigación, no supera el interés de la sociedad de conocer las diligencias llevadas a cabo para la oportuna investigación. </w:t>
      </w:r>
    </w:p>
    <w:p w14:paraId="4211F389" w14:textId="77777777" w:rsidR="00E6212E" w:rsidRPr="002979C1" w:rsidRDefault="00E6212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color w:val="000000"/>
        </w:rPr>
      </w:pPr>
    </w:p>
    <w:p w14:paraId="45B8AA8F" w14:textId="77777777" w:rsidR="00E6212E" w:rsidRPr="002979C1" w:rsidRDefault="004046EE" w:rsidP="001711AE">
      <w:pPr>
        <w:widowControl w:val="0"/>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Máxime que estos supuestos (como notoriamente se han conocido ante la opinión pública) sólo afectan a las víctimas u ofendidos en forma directa por los hechos antijurídicos, como son los familiares de la víctima. </w:t>
      </w:r>
    </w:p>
    <w:p w14:paraId="5873F6FB" w14:textId="77777777" w:rsidR="00E6212E" w:rsidRPr="002979C1" w:rsidRDefault="00E6212E">
      <w:pPr>
        <w:widowControl w:val="0"/>
        <w:pBdr>
          <w:top w:val="nil"/>
          <w:left w:val="nil"/>
          <w:bottom w:val="nil"/>
          <w:right w:val="nil"/>
          <w:between w:val="nil"/>
        </w:pBdr>
        <w:spacing w:line="360" w:lineRule="auto"/>
        <w:ind w:left="112" w:right="51"/>
        <w:jc w:val="both"/>
        <w:rPr>
          <w:rFonts w:ascii="Palatino Linotype" w:eastAsia="Palatino Linotype" w:hAnsi="Palatino Linotype" w:cs="Palatino Linotype"/>
          <w:color w:val="000000"/>
        </w:rPr>
      </w:pPr>
    </w:p>
    <w:p w14:paraId="73D6DC83" w14:textId="77777777" w:rsidR="00E6212E" w:rsidRPr="002979C1" w:rsidRDefault="004046EE" w:rsidP="001711AE">
      <w:pPr>
        <w:widowControl w:val="0"/>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 xml:space="preserve">Además, el destino de divulgar esa información a un tercero ajeno que no es parte en el </w:t>
      </w:r>
      <w:proofErr w:type="gramStart"/>
      <w:r w:rsidRPr="002979C1">
        <w:rPr>
          <w:rFonts w:ascii="Palatino Linotype" w:eastAsia="Palatino Linotype" w:hAnsi="Palatino Linotype" w:cs="Palatino Linotype"/>
          <w:color w:val="000000"/>
        </w:rPr>
        <w:t>proceso,</w:t>
      </w:r>
      <w:proofErr w:type="gramEnd"/>
      <w:r w:rsidRPr="002979C1">
        <w:rPr>
          <w:rFonts w:ascii="Palatino Linotype" w:eastAsia="Palatino Linotype" w:hAnsi="Palatino Linotype" w:cs="Palatino Linotype"/>
          <w:color w:val="000000"/>
        </w:rPr>
        <w:t xml:space="preserve"> generaría la posibilidad de una difusión con fines de lucro o morbo, al inmiscuirse una figura pública y ello precisamente no podría darse en un Estado de Derecho, al prevalecer la reputación y honra del </w:t>
      </w:r>
      <w:r w:rsidR="001711AE" w:rsidRPr="002979C1">
        <w:rPr>
          <w:rFonts w:ascii="Palatino Linotype" w:eastAsia="Palatino Linotype" w:hAnsi="Palatino Linotype" w:cs="Palatino Linotype"/>
          <w:color w:val="000000"/>
        </w:rPr>
        <w:t xml:space="preserve">fallecido y desde luego, de las </w:t>
      </w:r>
      <w:r w:rsidRPr="002979C1">
        <w:rPr>
          <w:rFonts w:ascii="Palatino Linotype" w:eastAsia="Palatino Linotype" w:hAnsi="Palatino Linotype" w:cs="Palatino Linotype"/>
          <w:color w:val="000000"/>
        </w:rPr>
        <w:t>personas que son parte de esa investigación, de ahí que, por esas razones, el interés público alegado, no se acredita en el presente asunto.</w:t>
      </w:r>
    </w:p>
    <w:p w14:paraId="14D68BEC" w14:textId="77777777" w:rsidR="00E6212E" w:rsidRPr="002979C1" w:rsidRDefault="004046EE">
      <w:pPr>
        <w:spacing w:before="280" w:line="360" w:lineRule="auto"/>
        <w:jc w:val="both"/>
        <w:rPr>
          <w:rFonts w:ascii="Palatino Linotype" w:eastAsia="Palatino Linotype" w:hAnsi="Palatino Linotype" w:cs="Palatino Linotype"/>
        </w:rPr>
      </w:pPr>
      <w:r w:rsidRPr="002979C1">
        <w:rPr>
          <w:rFonts w:ascii="Palatino Linotype" w:eastAsia="Palatino Linotype" w:hAnsi="Palatino Linotype" w:cs="Palatino Linotype"/>
        </w:rPr>
        <w:t xml:space="preserve">De este modo, se colige que si bien, la información requerida por el Recurrente encuadra el supuesto de reserva, ésta no pierde el carácter de pública, sino que se reserva temporalmente del conocimiento público, es decir, que, por un tiempo </w:t>
      </w:r>
      <w:r w:rsidRPr="002979C1">
        <w:rPr>
          <w:rFonts w:ascii="Palatino Linotype" w:eastAsia="Palatino Linotype" w:hAnsi="Palatino Linotype" w:cs="Palatino Linotype"/>
        </w:rPr>
        <w:lastRenderedPageBreak/>
        <w:t>determinado, se conservará y custodiará la información de manera especial, siendo que, transcurrido el plazo de reserva, el documento podrá divulgarse.</w:t>
      </w:r>
    </w:p>
    <w:p w14:paraId="05C299CE" w14:textId="77777777" w:rsidR="00E6212E" w:rsidRPr="002979C1" w:rsidRDefault="00E6212E">
      <w:pPr>
        <w:spacing w:line="360" w:lineRule="auto"/>
        <w:jc w:val="both"/>
        <w:rPr>
          <w:rFonts w:ascii="Palatino Linotype" w:eastAsia="Palatino Linotype" w:hAnsi="Palatino Linotype" w:cs="Palatino Linotype"/>
        </w:rPr>
      </w:pPr>
    </w:p>
    <w:p w14:paraId="159328BD" w14:textId="77777777" w:rsidR="00E6212E" w:rsidRPr="002979C1" w:rsidRDefault="004046EE">
      <w:pPr>
        <w:spacing w:line="360" w:lineRule="auto"/>
        <w:jc w:val="both"/>
        <w:rPr>
          <w:rFonts w:ascii="Palatino Linotype" w:eastAsia="Palatino Linotype" w:hAnsi="Palatino Linotype" w:cs="Palatino Linotype"/>
          <w:b/>
        </w:rPr>
      </w:pPr>
      <w:r w:rsidRPr="002979C1">
        <w:rPr>
          <w:rFonts w:ascii="Palatino Linotype" w:eastAsia="Palatino Linotype" w:hAnsi="Palatino Linotype" w:cs="Palatino Linotype"/>
        </w:rPr>
        <w:t xml:space="preserve">Por lo anterior, se considera que las razones o motivos de inconformidad planteadas por </w:t>
      </w:r>
      <w:r w:rsidRPr="002979C1">
        <w:rPr>
          <w:rFonts w:ascii="Palatino Linotype" w:eastAsia="Palatino Linotype" w:hAnsi="Palatino Linotype" w:cs="Palatino Linotype"/>
          <w:b/>
        </w:rPr>
        <w:t xml:space="preserve">EL RECURRENTE, </w:t>
      </w:r>
      <w:r w:rsidRPr="002979C1">
        <w:rPr>
          <w:rFonts w:ascii="Palatino Linotype" w:eastAsia="Palatino Linotype" w:hAnsi="Palatino Linotype" w:cs="Palatino Linotype"/>
        </w:rPr>
        <w:t xml:space="preserve">resultan </w:t>
      </w:r>
      <w:r w:rsidRPr="002979C1">
        <w:rPr>
          <w:rFonts w:ascii="Palatino Linotype" w:eastAsia="Palatino Linotype" w:hAnsi="Palatino Linotype" w:cs="Palatino Linotype"/>
          <w:b/>
        </w:rPr>
        <w:t>infundadas</w:t>
      </w:r>
      <w:r w:rsidRPr="002979C1">
        <w:rPr>
          <w:rFonts w:ascii="Palatino Linotype" w:eastAsia="Palatino Linotype" w:hAnsi="Palatino Linotype" w:cs="Palatino Linotype"/>
        </w:rPr>
        <w:t xml:space="preserve">; en consecuencia, este Órgano Garante determina </w:t>
      </w:r>
      <w:r w:rsidRPr="002979C1">
        <w:rPr>
          <w:rFonts w:ascii="Palatino Linotype" w:eastAsia="Palatino Linotype" w:hAnsi="Palatino Linotype" w:cs="Palatino Linotype"/>
          <w:b/>
        </w:rPr>
        <w:t xml:space="preserve">CONFIRMAR </w:t>
      </w:r>
      <w:r w:rsidRPr="002979C1">
        <w:rPr>
          <w:rFonts w:ascii="Palatino Linotype" w:eastAsia="Palatino Linotype" w:hAnsi="Palatino Linotype" w:cs="Palatino Linotype"/>
        </w:rPr>
        <w:t xml:space="preserve">la respuesta otorgada por el </w:t>
      </w:r>
      <w:r w:rsidRPr="002979C1">
        <w:rPr>
          <w:rFonts w:ascii="Palatino Linotype" w:eastAsia="Palatino Linotype" w:hAnsi="Palatino Linotype" w:cs="Palatino Linotype"/>
          <w:b/>
        </w:rPr>
        <w:t xml:space="preserve">SUJETO OBLIGADO </w:t>
      </w:r>
      <w:r w:rsidRPr="002979C1">
        <w:rPr>
          <w:rFonts w:ascii="Palatino Linotype" w:eastAsia="Palatino Linotype" w:hAnsi="Palatino Linotype" w:cs="Palatino Linotype"/>
        </w:rPr>
        <w:t xml:space="preserve">en la solicitud </w:t>
      </w:r>
      <w:r w:rsidRPr="002979C1">
        <w:rPr>
          <w:rFonts w:ascii="Palatino Linotype" w:eastAsia="Palatino Linotype" w:hAnsi="Palatino Linotype" w:cs="Palatino Linotype"/>
          <w:b/>
          <w:color w:val="000000"/>
        </w:rPr>
        <w:t>01102/FGJ/IP/2021</w:t>
      </w:r>
      <w:r w:rsidRPr="002979C1">
        <w:rPr>
          <w:rFonts w:ascii="Palatino Linotype" w:eastAsia="Palatino Linotype" w:hAnsi="Palatino Linotype" w:cs="Palatino Linotype"/>
          <w:b/>
        </w:rPr>
        <w:t>.</w:t>
      </w:r>
    </w:p>
    <w:p w14:paraId="498E9747" w14:textId="77777777" w:rsidR="00E6212E" w:rsidRPr="002979C1" w:rsidRDefault="00E6212E">
      <w:pPr>
        <w:spacing w:line="360" w:lineRule="auto"/>
        <w:jc w:val="both"/>
        <w:rPr>
          <w:rFonts w:ascii="Palatino Linotype" w:eastAsia="Palatino Linotype" w:hAnsi="Palatino Linotype" w:cs="Palatino Linotype"/>
          <w:b/>
        </w:rPr>
      </w:pPr>
    </w:p>
    <w:p w14:paraId="7E4E569B" w14:textId="77777777" w:rsidR="00E6212E" w:rsidRPr="002979C1" w:rsidRDefault="004046EE">
      <w:pPr>
        <w:widowControl w:val="0"/>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color w:val="000000"/>
        </w:rPr>
        <w:t>Así, con fundamento en lo señalado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0238931A" w14:textId="71687C3A" w:rsidR="00E6212E" w:rsidRPr="002979C1" w:rsidRDefault="004046EE">
      <w:pPr>
        <w:jc w:val="center"/>
        <w:rPr>
          <w:rFonts w:ascii="Palatino Linotype" w:eastAsia="Palatino Linotype" w:hAnsi="Palatino Linotype" w:cs="Palatino Linotype"/>
          <w:b/>
          <w:sz w:val="28"/>
          <w:szCs w:val="28"/>
        </w:rPr>
      </w:pPr>
      <w:r w:rsidRPr="002979C1">
        <w:rPr>
          <w:rFonts w:ascii="Palatino Linotype" w:eastAsia="Palatino Linotype" w:hAnsi="Palatino Linotype" w:cs="Palatino Linotype"/>
          <w:b/>
          <w:sz w:val="28"/>
          <w:szCs w:val="28"/>
        </w:rPr>
        <w:t>R E S U E L V E</w:t>
      </w:r>
    </w:p>
    <w:p w14:paraId="5072A9DE" w14:textId="77777777" w:rsidR="0007046A" w:rsidRPr="002979C1" w:rsidRDefault="0007046A">
      <w:pPr>
        <w:jc w:val="center"/>
        <w:rPr>
          <w:rFonts w:ascii="Palatino Linotype" w:eastAsia="Palatino Linotype" w:hAnsi="Palatino Linotype" w:cs="Palatino Linotype"/>
          <w:b/>
          <w:sz w:val="28"/>
          <w:szCs w:val="28"/>
        </w:rPr>
      </w:pPr>
    </w:p>
    <w:p w14:paraId="4F6FF129" w14:textId="77777777" w:rsidR="00E6212E" w:rsidRPr="002979C1" w:rsidRDefault="004046EE">
      <w:pPr>
        <w:widowControl w:val="0"/>
        <w:spacing w:before="280" w:after="280" w:line="360" w:lineRule="auto"/>
        <w:jc w:val="both"/>
        <w:rPr>
          <w:rFonts w:ascii="Palatino Linotype" w:eastAsia="Palatino Linotype" w:hAnsi="Palatino Linotype" w:cs="Palatino Linotype"/>
          <w:b/>
        </w:rPr>
      </w:pPr>
      <w:r w:rsidRPr="002979C1">
        <w:rPr>
          <w:rFonts w:ascii="Palatino Linotype" w:eastAsia="Palatino Linotype" w:hAnsi="Palatino Linotype" w:cs="Palatino Linotype"/>
          <w:b/>
          <w:color w:val="000000"/>
          <w:sz w:val="28"/>
          <w:szCs w:val="28"/>
        </w:rPr>
        <w:t>PRIMERO.</w:t>
      </w:r>
      <w:r w:rsidRPr="002979C1">
        <w:rPr>
          <w:rFonts w:ascii="Palatino Linotype" w:eastAsia="Palatino Linotype" w:hAnsi="Palatino Linotype" w:cs="Palatino Linotype"/>
          <w:color w:val="000000"/>
        </w:rPr>
        <w:t xml:space="preserve"> Resultan </w:t>
      </w:r>
      <w:r w:rsidRPr="002979C1">
        <w:rPr>
          <w:rFonts w:ascii="Palatino Linotype" w:eastAsia="Palatino Linotype" w:hAnsi="Palatino Linotype" w:cs="Palatino Linotype"/>
          <w:b/>
          <w:color w:val="000000"/>
        </w:rPr>
        <w:t>infundadas</w:t>
      </w:r>
      <w:r w:rsidRPr="002979C1">
        <w:rPr>
          <w:rFonts w:ascii="Palatino Linotype" w:eastAsia="Palatino Linotype" w:hAnsi="Palatino Linotype" w:cs="Palatino Linotype"/>
          <w:color w:val="000000"/>
        </w:rPr>
        <w:t xml:space="preserve"> las razones o motivos de inconformidad planteadas por </w:t>
      </w:r>
      <w:r w:rsidRPr="002979C1">
        <w:rPr>
          <w:rFonts w:ascii="Palatino Linotype" w:eastAsia="Palatino Linotype" w:hAnsi="Palatino Linotype" w:cs="Palatino Linotype"/>
          <w:b/>
          <w:color w:val="000000"/>
        </w:rPr>
        <w:t>EL RECURRENTE</w:t>
      </w:r>
      <w:r w:rsidRPr="002979C1">
        <w:rPr>
          <w:rFonts w:ascii="Palatino Linotype" w:eastAsia="Palatino Linotype" w:hAnsi="Palatino Linotype" w:cs="Palatino Linotype"/>
          <w:color w:val="000000"/>
        </w:rPr>
        <w:t xml:space="preserve"> y analizadas en el Considerando </w:t>
      </w:r>
      <w:r w:rsidRPr="002979C1">
        <w:rPr>
          <w:rFonts w:ascii="Palatino Linotype" w:eastAsia="Palatino Linotype" w:hAnsi="Palatino Linotype" w:cs="Palatino Linotype"/>
          <w:b/>
          <w:color w:val="000000"/>
        </w:rPr>
        <w:t>QUINTO</w:t>
      </w:r>
      <w:r w:rsidRPr="002979C1">
        <w:rPr>
          <w:rFonts w:ascii="Palatino Linotype" w:eastAsia="Palatino Linotype" w:hAnsi="Palatino Linotype" w:cs="Palatino Linotype"/>
          <w:color w:val="000000"/>
        </w:rPr>
        <w:t xml:space="preserve"> de esta resolución</w:t>
      </w:r>
    </w:p>
    <w:p w14:paraId="14838BE4" w14:textId="77777777" w:rsidR="00E6212E" w:rsidRPr="002979C1" w:rsidRDefault="004046EE">
      <w:pPr>
        <w:widowControl w:val="0"/>
        <w:spacing w:before="280" w:after="280"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b/>
          <w:color w:val="000000"/>
          <w:sz w:val="28"/>
          <w:szCs w:val="28"/>
        </w:rPr>
        <w:t xml:space="preserve">SEGUNDO. </w:t>
      </w:r>
      <w:r w:rsidRPr="002979C1">
        <w:rPr>
          <w:rFonts w:ascii="Palatino Linotype" w:eastAsia="Palatino Linotype" w:hAnsi="Palatino Linotype" w:cs="Palatino Linotype"/>
          <w:color w:val="000000"/>
        </w:rPr>
        <w:t>Se</w:t>
      </w:r>
      <w:r w:rsidRPr="002979C1">
        <w:rPr>
          <w:rFonts w:ascii="Palatino Linotype" w:eastAsia="Palatino Linotype" w:hAnsi="Palatino Linotype" w:cs="Palatino Linotype"/>
          <w:b/>
          <w:color w:val="000000"/>
        </w:rPr>
        <w:t xml:space="preserve"> CONFIRMA </w:t>
      </w:r>
      <w:r w:rsidRPr="002979C1">
        <w:rPr>
          <w:rFonts w:ascii="Palatino Linotype" w:eastAsia="Palatino Linotype" w:hAnsi="Palatino Linotype" w:cs="Palatino Linotype"/>
          <w:color w:val="000000"/>
        </w:rPr>
        <w:t xml:space="preserve">la respuesta del </w:t>
      </w:r>
      <w:r w:rsidRPr="002979C1">
        <w:rPr>
          <w:rFonts w:ascii="Palatino Linotype" w:eastAsia="Palatino Linotype" w:hAnsi="Palatino Linotype" w:cs="Palatino Linotype"/>
          <w:b/>
          <w:color w:val="000000"/>
        </w:rPr>
        <w:t xml:space="preserve">SUJETO OBLIGADO </w:t>
      </w:r>
      <w:r w:rsidRPr="002979C1">
        <w:rPr>
          <w:rFonts w:ascii="Palatino Linotype" w:eastAsia="Palatino Linotype" w:hAnsi="Palatino Linotype" w:cs="Palatino Linotype"/>
          <w:color w:val="000000"/>
        </w:rPr>
        <w:t xml:space="preserve">otorgada a la solicitud de información número </w:t>
      </w:r>
      <w:r w:rsidRPr="002979C1">
        <w:rPr>
          <w:rFonts w:ascii="Palatino Linotype" w:eastAsia="Palatino Linotype" w:hAnsi="Palatino Linotype" w:cs="Palatino Linotype"/>
          <w:b/>
          <w:color w:val="000000"/>
        </w:rPr>
        <w:t>01102/FGJ/IP/2021</w:t>
      </w:r>
      <w:r w:rsidRPr="002979C1">
        <w:rPr>
          <w:rFonts w:ascii="Palatino Linotype" w:eastAsia="Palatino Linotype" w:hAnsi="Palatino Linotype" w:cs="Palatino Linotype"/>
          <w:color w:val="000000"/>
        </w:rPr>
        <w:t xml:space="preserve">, que generó el recurso de revisión número </w:t>
      </w:r>
      <w:r w:rsidRPr="002979C1">
        <w:rPr>
          <w:rFonts w:ascii="Palatino Linotype" w:eastAsia="Palatino Linotype" w:hAnsi="Palatino Linotype" w:cs="Palatino Linotype"/>
          <w:b/>
        </w:rPr>
        <w:t>06518/INFOEM/IP/RR/2021,</w:t>
      </w:r>
      <w:r w:rsidRPr="002979C1">
        <w:rPr>
          <w:rFonts w:ascii="Palatino Linotype" w:eastAsia="Palatino Linotype" w:hAnsi="Palatino Linotype" w:cs="Palatino Linotype"/>
          <w:color w:val="000000"/>
        </w:rPr>
        <w:t xml:space="preserve"> en términos del Considerando </w:t>
      </w:r>
      <w:r w:rsidRPr="002979C1">
        <w:rPr>
          <w:rFonts w:ascii="Palatino Linotype" w:eastAsia="Palatino Linotype" w:hAnsi="Palatino Linotype" w:cs="Palatino Linotype"/>
          <w:b/>
          <w:color w:val="000000"/>
        </w:rPr>
        <w:t>QUINTO</w:t>
      </w:r>
      <w:r w:rsidRPr="002979C1">
        <w:rPr>
          <w:rFonts w:ascii="Palatino Linotype" w:eastAsia="Palatino Linotype" w:hAnsi="Palatino Linotype" w:cs="Palatino Linotype"/>
          <w:color w:val="000000"/>
        </w:rPr>
        <w:t>.</w:t>
      </w:r>
    </w:p>
    <w:p w14:paraId="159A53B7" w14:textId="77777777" w:rsidR="00E6212E" w:rsidRPr="002979C1" w:rsidRDefault="004046EE">
      <w:pPr>
        <w:spacing w:line="360" w:lineRule="auto"/>
        <w:jc w:val="both"/>
        <w:rPr>
          <w:rFonts w:ascii="Palatino Linotype" w:eastAsia="Palatino Linotype" w:hAnsi="Palatino Linotype" w:cs="Palatino Linotype"/>
          <w:color w:val="000000"/>
        </w:rPr>
      </w:pPr>
      <w:r w:rsidRPr="002979C1">
        <w:rPr>
          <w:rFonts w:ascii="Palatino Linotype" w:eastAsia="Palatino Linotype" w:hAnsi="Palatino Linotype" w:cs="Palatino Linotype"/>
          <w:b/>
          <w:color w:val="000000"/>
          <w:sz w:val="28"/>
          <w:szCs w:val="28"/>
        </w:rPr>
        <w:lastRenderedPageBreak/>
        <w:t>TERCERO.</w:t>
      </w:r>
      <w:r w:rsidRPr="002979C1">
        <w:rPr>
          <w:rFonts w:ascii="Palatino Linotype" w:eastAsia="Palatino Linotype" w:hAnsi="Palatino Linotype" w:cs="Palatino Linotype"/>
          <w:b/>
          <w:color w:val="000000"/>
        </w:rPr>
        <w:t> Notifíquese</w:t>
      </w:r>
      <w:r w:rsidRPr="002979C1">
        <w:rPr>
          <w:rFonts w:ascii="Palatino Linotype" w:eastAsia="Palatino Linotype" w:hAnsi="Palatino Linotype" w:cs="Palatino Linotype"/>
          <w:color w:val="000000"/>
        </w:rPr>
        <w:t xml:space="preserve"> al Titular de la Unidad de Transparencia del</w:t>
      </w:r>
      <w:r w:rsidRPr="002979C1">
        <w:rPr>
          <w:rFonts w:ascii="Palatino Linotype" w:eastAsia="Palatino Linotype" w:hAnsi="Palatino Linotype" w:cs="Palatino Linotype"/>
          <w:b/>
          <w:color w:val="000000"/>
        </w:rPr>
        <w:t> SUJETO OBLIGADO</w:t>
      </w:r>
      <w:r w:rsidRPr="002979C1">
        <w:rPr>
          <w:rFonts w:ascii="Palatino Linotype" w:eastAsia="Palatino Linotype" w:hAnsi="Palatino Linotype" w:cs="Palatino Linotype"/>
          <w:color w:val="000000"/>
        </w:rPr>
        <w:t>, para su conocimiento.</w:t>
      </w:r>
    </w:p>
    <w:p w14:paraId="5C8A5B8F" w14:textId="77777777" w:rsidR="00E6212E" w:rsidRPr="002979C1" w:rsidRDefault="00E6212E">
      <w:pPr>
        <w:spacing w:line="360" w:lineRule="auto"/>
        <w:ind w:right="49"/>
        <w:jc w:val="both"/>
        <w:rPr>
          <w:rFonts w:ascii="Palatino Linotype" w:eastAsia="Palatino Linotype" w:hAnsi="Palatino Linotype" w:cs="Palatino Linotype"/>
          <w:b/>
          <w:color w:val="000000"/>
        </w:rPr>
      </w:pPr>
    </w:p>
    <w:p w14:paraId="42E7731C" w14:textId="77777777" w:rsidR="00E6212E" w:rsidRPr="002979C1" w:rsidRDefault="004046EE">
      <w:pPr>
        <w:spacing w:line="360" w:lineRule="auto"/>
        <w:ind w:right="49"/>
        <w:jc w:val="both"/>
        <w:rPr>
          <w:rFonts w:ascii="Palatino Linotype" w:eastAsia="Palatino Linotype" w:hAnsi="Palatino Linotype" w:cs="Palatino Linotype"/>
          <w:b/>
          <w:color w:val="000000"/>
        </w:rPr>
      </w:pPr>
      <w:r w:rsidRPr="002979C1">
        <w:rPr>
          <w:rFonts w:ascii="Palatino Linotype" w:eastAsia="Palatino Linotype" w:hAnsi="Palatino Linotype" w:cs="Palatino Linotype"/>
          <w:b/>
          <w:color w:val="000000"/>
          <w:sz w:val="28"/>
          <w:szCs w:val="28"/>
        </w:rPr>
        <w:t xml:space="preserve">CUARTO. </w:t>
      </w:r>
      <w:r w:rsidRPr="002979C1">
        <w:rPr>
          <w:rFonts w:ascii="Palatino Linotype" w:eastAsia="Palatino Linotype" w:hAnsi="Palatino Linotype" w:cs="Palatino Linotype"/>
          <w:b/>
        </w:rPr>
        <w:t>Notifíquese</w:t>
      </w:r>
      <w:r w:rsidRPr="002979C1">
        <w:rPr>
          <w:rFonts w:ascii="Palatino Linotype" w:eastAsia="Palatino Linotype" w:hAnsi="Palatino Linotype" w:cs="Palatino Linotype"/>
        </w:rPr>
        <w:t xml:space="preserve"> al</w:t>
      </w:r>
      <w:r w:rsidRPr="002979C1">
        <w:rPr>
          <w:rFonts w:ascii="Palatino Linotype" w:eastAsia="Palatino Linotype" w:hAnsi="Palatino Linotype" w:cs="Palatino Linotype"/>
          <w:b/>
        </w:rPr>
        <w:t xml:space="preserve"> RECURRENTE</w:t>
      </w:r>
      <w:r w:rsidRPr="002979C1">
        <w:rPr>
          <w:rFonts w:ascii="Palatino Linotype" w:eastAsia="Palatino Linotype" w:hAnsi="Palatino Linotype" w:cs="Palatino Linotype"/>
        </w:rPr>
        <w:t xml:space="preserve"> a través del Sistema de Acceso a la Información Mexiquense (SAIMEX), la presente resolución</w:t>
      </w:r>
    </w:p>
    <w:p w14:paraId="4437E42B" w14:textId="77777777" w:rsidR="00E6212E" w:rsidRPr="002979C1" w:rsidRDefault="00E6212E">
      <w:pPr>
        <w:spacing w:line="360" w:lineRule="auto"/>
        <w:ind w:right="49"/>
        <w:jc w:val="both"/>
        <w:rPr>
          <w:rFonts w:ascii="Palatino Linotype" w:eastAsia="Palatino Linotype" w:hAnsi="Palatino Linotype" w:cs="Palatino Linotype"/>
          <w:b/>
          <w:color w:val="000000"/>
          <w:sz w:val="28"/>
          <w:szCs w:val="28"/>
        </w:rPr>
      </w:pPr>
    </w:p>
    <w:p w14:paraId="2F392E26" w14:textId="77777777" w:rsidR="006054EC" w:rsidRPr="002979C1" w:rsidRDefault="006054EC" w:rsidP="006054EC">
      <w:pPr>
        <w:tabs>
          <w:tab w:val="left" w:pos="709"/>
        </w:tabs>
        <w:spacing w:line="360" w:lineRule="auto"/>
        <w:ind w:right="51"/>
        <w:jc w:val="both"/>
        <w:rPr>
          <w:rFonts w:ascii="Palatino Linotype" w:eastAsiaTheme="minorEastAsia" w:hAnsi="Palatino Linotype"/>
          <w:szCs w:val="17"/>
          <w:lang w:eastAsia="es-ES_tradnl"/>
        </w:rPr>
      </w:pPr>
      <w:r w:rsidRPr="002979C1">
        <w:rPr>
          <w:rFonts w:ascii="Palatino Linotype" w:eastAsia="Palatino Linotype" w:hAnsi="Palatino Linotype" w:cs="Palatino Linotype"/>
          <w:b/>
          <w:color w:val="000000"/>
          <w:sz w:val="28"/>
          <w:szCs w:val="28"/>
        </w:rPr>
        <w:t>QUINTO.</w:t>
      </w:r>
      <w:r w:rsidRPr="002979C1">
        <w:rPr>
          <w:rFonts w:ascii="Palatino Linotype" w:hAnsi="Palatino Linotype" w:cs="Arial"/>
          <w:b/>
          <w:bCs/>
          <w:color w:val="000000" w:themeColor="text1"/>
          <w:sz w:val="28"/>
        </w:rPr>
        <w:t xml:space="preserve"> H</w:t>
      </w:r>
      <w:r w:rsidRPr="002979C1">
        <w:rPr>
          <w:rFonts w:ascii="Palatino Linotype" w:hAnsi="Palatino Linotype"/>
          <w:b/>
          <w:szCs w:val="17"/>
          <w:lang w:eastAsia="es-ES_tradnl"/>
        </w:rPr>
        <w:t>ágase</w:t>
      </w:r>
      <w:r w:rsidRPr="002979C1">
        <w:rPr>
          <w:rFonts w:ascii="Palatino Linotype" w:hAnsi="Palatino Linotype"/>
          <w:szCs w:val="17"/>
          <w:lang w:eastAsia="es-ES_tradnl"/>
        </w:rPr>
        <w:t xml:space="preserve"> </w:t>
      </w:r>
      <w:r w:rsidRPr="002979C1">
        <w:rPr>
          <w:rFonts w:ascii="Palatino Linotype" w:hAnsi="Palatino Linotype"/>
          <w:b/>
          <w:szCs w:val="17"/>
          <w:lang w:eastAsia="es-ES_tradnl"/>
        </w:rPr>
        <w:t>del conocimiento</w:t>
      </w:r>
      <w:r w:rsidRPr="002979C1">
        <w:rPr>
          <w:rFonts w:ascii="Palatino Linotype" w:hAnsi="Palatino Linotype"/>
          <w:szCs w:val="17"/>
          <w:lang w:eastAsia="es-ES_tradnl"/>
        </w:rPr>
        <w:t xml:space="preserve"> </w:t>
      </w:r>
      <w:r w:rsidRPr="002979C1">
        <w:rPr>
          <w:rFonts w:ascii="Palatino Linotype" w:hAnsi="Palatino Linotype"/>
        </w:rPr>
        <w:t>del</w:t>
      </w:r>
      <w:r w:rsidRPr="002979C1">
        <w:rPr>
          <w:rFonts w:ascii="Palatino Linotype" w:hAnsi="Palatino Linotype" w:cs="Arial"/>
          <w:b/>
        </w:rPr>
        <w:t xml:space="preserve"> RECURRENTE</w:t>
      </w:r>
      <w:r w:rsidRPr="002979C1">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FAC2A31" w14:textId="77777777" w:rsidR="00E6212E" w:rsidRPr="002979C1" w:rsidRDefault="00E6212E">
      <w:pPr>
        <w:spacing w:line="360" w:lineRule="auto"/>
        <w:ind w:right="49"/>
        <w:jc w:val="both"/>
        <w:rPr>
          <w:rFonts w:ascii="Palatino Linotype" w:eastAsia="Palatino Linotype" w:hAnsi="Palatino Linotype" w:cs="Palatino Linotype"/>
          <w:color w:val="000000"/>
        </w:rPr>
      </w:pPr>
    </w:p>
    <w:p w14:paraId="345E2FD4" w14:textId="4624FDC5" w:rsidR="00286714" w:rsidRPr="002979C1" w:rsidRDefault="00286714" w:rsidP="00286714">
      <w:pPr>
        <w:widowControl w:val="0"/>
        <w:autoSpaceDE w:val="0"/>
        <w:autoSpaceDN w:val="0"/>
        <w:adjustRightInd w:val="0"/>
        <w:spacing w:before="100" w:beforeAutospacing="1" w:after="100" w:afterAutospacing="1" w:line="360" w:lineRule="auto"/>
        <w:jc w:val="both"/>
        <w:rPr>
          <w:rFonts w:ascii="Palatino Linotype" w:hAnsi="Palatino Linotype" w:cs="Arial"/>
        </w:rPr>
      </w:pPr>
      <w:bookmarkStart w:id="7" w:name="_Hlk105619519"/>
      <w:r w:rsidRPr="002979C1">
        <w:rPr>
          <w:rFonts w:ascii="Palatino Linotype" w:hAnsi="Palatino Linotype" w:cs="Arial"/>
        </w:rPr>
        <w:t xml:space="preserve">ASÍ LO RESUELVE, POR </w:t>
      </w:r>
      <w:r w:rsidR="00246E61" w:rsidRPr="002979C1">
        <w:rPr>
          <w:rFonts w:ascii="Palatino Linotype" w:hAnsi="Palatino Linotype" w:cs="Arial"/>
        </w:rPr>
        <w:t xml:space="preserve">MAYORÍA </w:t>
      </w:r>
      <w:r w:rsidRPr="002979C1">
        <w:rPr>
          <w:rFonts w:ascii="Palatino Linotype" w:hAnsi="Palatino Linotype" w:cs="Arial"/>
        </w:rPr>
        <w:t>DE VOTOS EL PLENO DEL</w:t>
      </w:r>
      <w:r w:rsidRPr="002979C1">
        <w:rPr>
          <w:rFonts w:ascii="Palatino Linotype" w:eastAsia="Arial Unicode MS" w:hAnsi="Palatino Linotype" w:cs="Arial"/>
        </w:rPr>
        <w:t xml:space="preserve"> INSTITUTO DE </w:t>
      </w:r>
      <w:r w:rsidRPr="002979C1">
        <w:rPr>
          <w:rFonts w:ascii="Palatino Linotype" w:hAnsi="Palatino Linotype"/>
          <w:lang w:eastAsia="en-US"/>
        </w:rPr>
        <w:t>TRANSPARENCIA</w:t>
      </w:r>
      <w:r w:rsidRPr="002979C1">
        <w:rPr>
          <w:rFonts w:ascii="Palatino Linotype" w:eastAsia="Arial Unicode MS" w:hAnsi="Palatino Linotype" w:cs="Arial"/>
        </w:rPr>
        <w:t>, ACCESO A LA INFORMACIÓN PÚBLICA Y PROTECCIÓN DE DATOS PERSONALES DEL ESTADO DE MÉXICO Y MUNICIPIOS</w:t>
      </w:r>
      <w:r w:rsidRPr="002979C1">
        <w:rPr>
          <w:rFonts w:ascii="Palatino Linotype" w:hAnsi="Palatino Linotype" w:cs="Arial"/>
        </w:rPr>
        <w:t xml:space="preserve">, CONFORMADO POR LOS COMISIONADOS JOSÉ MARTÍNEZ VILCHIS; MARÍA DEL ROSARIO MEJÍA AYALA EMITIENDO VOTO DISIDENTE; SHARON CRISTINA MORALES MARTÍNEZ; LUIS GUSTAVO PARRA NORIEGA EMITIENDO VOTO DISIDENTE Y GUADALUPE RAMÍREZ PEÑA; EN LA VIGÉSIMA PRIMERA SESIÓN ORDINARIA CELEBRADA EL OCHO DE JUNIO </w:t>
      </w:r>
      <w:r w:rsidRPr="002979C1">
        <w:rPr>
          <w:rFonts w:ascii="Palatino Linotype" w:hAnsi="Palatino Linotype" w:cs="Arial"/>
        </w:rPr>
        <w:lastRenderedPageBreak/>
        <w:t>DE DOS MIL VEINTIDÓS, ANTE EL SECRETARIO TÉCNICO DEL PLENO, ALEXIS TAPIA RAMÍREZ.</w:t>
      </w:r>
    </w:p>
    <w:p w14:paraId="39A4B527" w14:textId="5F948CE0" w:rsidR="0007046A" w:rsidRPr="0007046A" w:rsidRDefault="0007046A" w:rsidP="00286714">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bookmarkStart w:id="8" w:name="_Hlk105621156"/>
      <w:r w:rsidRPr="002979C1">
        <w:rPr>
          <w:rFonts w:ascii="Palatino Linotype" w:hAnsi="Palatino Linotype" w:cs="Arial"/>
          <w:sz w:val="16"/>
          <w:szCs w:val="16"/>
        </w:rPr>
        <w:t>SCMM/BLA/DEMF/AGE</w:t>
      </w:r>
      <w:bookmarkEnd w:id="7"/>
    </w:p>
    <w:bookmarkEnd w:id="8"/>
    <w:p w14:paraId="74EDF89F" w14:textId="77777777" w:rsidR="00D75F4A" w:rsidRDefault="00D75F4A" w:rsidP="00286714">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4ADB7118" w14:textId="51689663" w:rsidR="00E6212E" w:rsidRDefault="00E6212E">
      <w:pPr>
        <w:spacing w:line="360" w:lineRule="auto"/>
        <w:jc w:val="both"/>
        <w:rPr>
          <w:rFonts w:ascii="Palatino Linotype" w:eastAsia="Palatino Linotype" w:hAnsi="Palatino Linotype" w:cs="Palatino Linotype"/>
        </w:rPr>
      </w:pPr>
    </w:p>
    <w:p w14:paraId="5F8E70A5" w14:textId="77777777" w:rsidR="00E6212E" w:rsidRDefault="00E6212E">
      <w:pPr>
        <w:tabs>
          <w:tab w:val="left" w:pos="426"/>
        </w:tabs>
        <w:spacing w:line="360" w:lineRule="auto"/>
        <w:ind w:right="51"/>
        <w:jc w:val="both"/>
        <w:rPr>
          <w:rFonts w:ascii="Palatino Linotype" w:eastAsia="Palatino Linotype" w:hAnsi="Palatino Linotype" w:cs="Palatino Linotype"/>
          <w:color w:val="000000"/>
        </w:rPr>
      </w:pPr>
    </w:p>
    <w:p w14:paraId="76845C5B" w14:textId="77777777" w:rsidR="00E6212E" w:rsidRDefault="00E6212E">
      <w:pPr>
        <w:tabs>
          <w:tab w:val="left" w:pos="426"/>
        </w:tabs>
        <w:spacing w:line="360" w:lineRule="auto"/>
        <w:ind w:right="51"/>
        <w:jc w:val="both"/>
        <w:rPr>
          <w:rFonts w:ascii="Palatino Linotype" w:eastAsia="Palatino Linotype" w:hAnsi="Palatino Linotype" w:cs="Palatino Linotype"/>
          <w:color w:val="000000"/>
        </w:rPr>
      </w:pPr>
    </w:p>
    <w:p w14:paraId="4ED7F6E9" w14:textId="77777777" w:rsidR="00E6212E" w:rsidRDefault="00E6212E">
      <w:pPr>
        <w:tabs>
          <w:tab w:val="left" w:pos="426"/>
        </w:tabs>
        <w:spacing w:after="240" w:line="360" w:lineRule="auto"/>
        <w:ind w:right="51"/>
        <w:jc w:val="both"/>
        <w:rPr>
          <w:rFonts w:ascii="Palatino Linotype" w:eastAsia="Palatino Linotype" w:hAnsi="Palatino Linotype" w:cs="Palatino Linotype"/>
          <w:color w:val="000000"/>
        </w:rPr>
      </w:pPr>
    </w:p>
    <w:p w14:paraId="4E281931" w14:textId="77777777" w:rsidR="00E6212E" w:rsidRDefault="00E6212E">
      <w:pPr>
        <w:pStyle w:val="Ttulo1"/>
        <w:spacing w:line="360" w:lineRule="auto"/>
        <w:jc w:val="center"/>
        <w:rPr>
          <w:rFonts w:ascii="Palatino Linotype" w:eastAsia="Palatino Linotype" w:hAnsi="Palatino Linotype" w:cs="Palatino Linotype"/>
          <w:b/>
          <w:color w:val="000000"/>
          <w:sz w:val="24"/>
          <w:szCs w:val="24"/>
        </w:rPr>
      </w:pPr>
      <w:bookmarkStart w:id="9" w:name="_3dy6vkm" w:colFirst="0" w:colLast="0"/>
      <w:bookmarkEnd w:id="9"/>
    </w:p>
    <w:p w14:paraId="735B50C1" w14:textId="77777777" w:rsidR="00E6212E" w:rsidRDefault="00E6212E">
      <w:pPr>
        <w:pStyle w:val="Ttulo1"/>
        <w:spacing w:line="360" w:lineRule="auto"/>
        <w:jc w:val="center"/>
        <w:rPr>
          <w:rFonts w:ascii="Palatino Linotype" w:eastAsia="Palatino Linotype" w:hAnsi="Palatino Linotype" w:cs="Palatino Linotype"/>
          <w:b/>
          <w:color w:val="000000"/>
          <w:sz w:val="24"/>
          <w:szCs w:val="24"/>
        </w:rPr>
      </w:pPr>
    </w:p>
    <w:p w14:paraId="1135E1CB" w14:textId="77777777" w:rsidR="00E6212E" w:rsidRDefault="00E6212E">
      <w:pPr>
        <w:pStyle w:val="Ttulo1"/>
        <w:spacing w:line="360" w:lineRule="auto"/>
        <w:jc w:val="center"/>
        <w:rPr>
          <w:rFonts w:ascii="Palatino Linotype" w:eastAsia="Palatino Linotype" w:hAnsi="Palatino Linotype" w:cs="Palatino Linotype"/>
          <w:b/>
          <w:color w:val="000000"/>
          <w:sz w:val="24"/>
          <w:szCs w:val="24"/>
        </w:rPr>
      </w:pPr>
    </w:p>
    <w:p w14:paraId="5B23EEF4" w14:textId="4D5F7295" w:rsidR="00E6212E" w:rsidRDefault="00E6212E">
      <w:pPr>
        <w:pStyle w:val="Ttulo1"/>
        <w:spacing w:line="360" w:lineRule="auto"/>
        <w:jc w:val="center"/>
        <w:rPr>
          <w:rFonts w:ascii="Palatino Linotype" w:eastAsia="Palatino Linotype" w:hAnsi="Palatino Linotype" w:cs="Palatino Linotype"/>
          <w:b/>
          <w:color w:val="000000"/>
          <w:sz w:val="24"/>
          <w:szCs w:val="24"/>
        </w:rPr>
      </w:pPr>
    </w:p>
    <w:p w14:paraId="61BB95CB" w14:textId="746E7A83" w:rsidR="00F3323E" w:rsidRDefault="00F3323E" w:rsidP="00F3323E">
      <w:pPr>
        <w:rPr>
          <w:rFonts w:eastAsia="Palatino Linotype"/>
        </w:rPr>
      </w:pPr>
    </w:p>
    <w:p w14:paraId="4D5EF7C3" w14:textId="4F53DD90" w:rsidR="00F3323E" w:rsidRDefault="00F3323E" w:rsidP="00F3323E">
      <w:pPr>
        <w:rPr>
          <w:rFonts w:eastAsia="Palatino Linotype"/>
        </w:rPr>
      </w:pPr>
    </w:p>
    <w:p w14:paraId="5F67C277" w14:textId="2A9C3150" w:rsidR="00F3323E" w:rsidRDefault="00F3323E" w:rsidP="00F3323E">
      <w:pPr>
        <w:rPr>
          <w:rFonts w:eastAsia="Palatino Linotype"/>
        </w:rPr>
      </w:pPr>
    </w:p>
    <w:p w14:paraId="451C9AFC" w14:textId="757295FA" w:rsidR="00F3323E" w:rsidRDefault="00F3323E" w:rsidP="00F3323E">
      <w:pPr>
        <w:rPr>
          <w:rFonts w:eastAsia="Palatino Linotype"/>
        </w:rPr>
      </w:pPr>
    </w:p>
    <w:p w14:paraId="47F08F42" w14:textId="72B49F21" w:rsidR="00F3323E" w:rsidRDefault="00F3323E" w:rsidP="00F3323E">
      <w:pPr>
        <w:rPr>
          <w:rFonts w:eastAsia="Palatino Linotype"/>
        </w:rPr>
      </w:pPr>
    </w:p>
    <w:p w14:paraId="1649B21F" w14:textId="24430FED" w:rsidR="00F3323E" w:rsidRDefault="00F3323E" w:rsidP="00F3323E">
      <w:pPr>
        <w:rPr>
          <w:rFonts w:eastAsia="Palatino Linotype"/>
        </w:rPr>
      </w:pPr>
    </w:p>
    <w:p w14:paraId="3BC6C792" w14:textId="53E30906" w:rsidR="00F3323E" w:rsidRDefault="00F3323E" w:rsidP="00F3323E">
      <w:pPr>
        <w:rPr>
          <w:rFonts w:eastAsia="Palatino Linotype"/>
        </w:rPr>
      </w:pPr>
    </w:p>
    <w:p w14:paraId="47DE14FA" w14:textId="2DD7A6F1" w:rsidR="00F3323E" w:rsidRDefault="00F3323E" w:rsidP="00F3323E">
      <w:pPr>
        <w:rPr>
          <w:rFonts w:eastAsia="Palatino Linotype"/>
        </w:rPr>
      </w:pPr>
    </w:p>
    <w:p w14:paraId="452C4983" w14:textId="4F0CF7E3" w:rsidR="00F3323E" w:rsidRDefault="00F3323E" w:rsidP="00F3323E">
      <w:pPr>
        <w:rPr>
          <w:rFonts w:eastAsia="Palatino Linotype"/>
        </w:rPr>
      </w:pPr>
    </w:p>
    <w:p w14:paraId="3F8E9C60" w14:textId="5D11F1B4" w:rsidR="00F3323E" w:rsidRDefault="00F3323E" w:rsidP="00F3323E">
      <w:pPr>
        <w:rPr>
          <w:rFonts w:eastAsia="Palatino Linotype"/>
        </w:rPr>
      </w:pPr>
    </w:p>
    <w:p w14:paraId="147276A3" w14:textId="063E0271" w:rsidR="00F3323E" w:rsidRDefault="00F3323E" w:rsidP="00F3323E">
      <w:pPr>
        <w:rPr>
          <w:rFonts w:eastAsia="Palatino Linotype"/>
        </w:rPr>
      </w:pPr>
    </w:p>
    <w:p w14:paraId="13F05782" w14:textId="0659E162" w:rsidR="00F3323E" w:rsidRDefault="00F3323E" w:rsidP="00F3323E">
      <w:pPr>
        <w:rPr>
          <w:rFonts w:eastAsia="Palatino Linotype"/>
        </w:rPr>
      </w:pPr>
    </w:p>
    <w:p w14:paraId="41282732" w14:textId="3C7484A7" w:rsidR="00F3323E" w:rsidRDefault="00F3323E" w:rsidP="00F3323E">
      <w:pPr>
        <w:rPr>
          <w:rFonts w:eastAsia="Palatino Linotype"/>
        </w:rPr>
      </w:pPr>
    </w:p>
    <w:p w14:paraId="5D11CC30" w14:textId="0ED33F42" w:rsidR="00F3323E" w:rsidRDefault="00F3323E" w:rsidP="00F3323E">
      <w:pPr>
        <w:rPr>
          <w:rFonts w:eastAsia="Palatino Linotype"/>
        </w:rPr>
      </w:pPr>
    </w:p>
    <w:p w14:paraId="592E7714" w14:textId="77777777" w:rsidR="00F3323E" w:rsidRPr="00F3323E" w:rsidRDefault="00F3323E" w:rsidP="00F3323E">
      <w:pPr>
        <w:rPr>
          <w:rFonts w:eastAsia="Palatino Linotype"/>
        </w:rPr>
      </w:pPr>
    </w:p>
    <w:sectPr w:rsidR="00F3323E" w:rsidRPr="00F3323E">
      <w:headerReference w:type="default" r:id="rId29"/>
      <w:footerReference w:type="default" r:id="rId30"/>
      <w:headerReference w:type="first" r:id="rId31"/>
      <w:footerReference w:type="first" r:id="rId32"/>
      <w:pgSz w:w="12240" w:h="15840"/>
      <w:pgMar w:top="1417" w:right="1701" w:bottom="1417" w:left="171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362FA" w14:textId="77777777" w:rsidR="00A93986" w:rsidRDefault="00A93986">
      <w:r>
        <w:separator/>
      </w:r>
    </w:p>
  </w:endnote>
  <w:endnote w:type="continuationSeparator" w:id="0">
    <w:p w14:paraId="384BBC2A" w14:textId="77777777" w:rsidR="00A93986" w:rsidRDefault="00A93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6DB22" w14:textId="77777777" w:rsidR="006163AD" w:rsidRDefault="006163A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Pr>
        <w:rFonts w:ascii="Palatino Linotype" w:eastAsia="Palatino Linotype" w:hAnsi="Palatino Linotype" w:cs="Palatino Linotype"/>
        <w:b/>
        <w:noProof/>
        <w:color w:val="000000"/>
      </w:rPr>
      <w:t>70</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Pr>
        <w:rFonts w:ascii="Palatino Linotype" w:eastAsia="Palatino Linotype" w:hAnsi="Palatino Linotype" w:cs="Palatino Linotype"/>
        <w:b/>
        <w:noProof/>
        <w:color w:val="000000"/>
      </w:rPr>
      <w:t>71</w:t>
    </w:r>
    <w:r>
      <w:rPr>
        <w:rFonts w:ascii="Palatino Linotype" w:eastAsia="Palatino Linotype" w:hAnsi="Palatino Linotype" w:cs="Palatino Linotype"/>
        <w:b/>
        <w:color w:val="000000"/>
      </w:rPr>
      <w:fldChar w:fldCharType="end"/>
    </w:r>
  </w:p>
  <w:p w14:paraId="71115A3A" w14:textId="77777777" w:rsidR="006163AD" w:rsidRDefault="006163AD">
    <w:pPr>
      <w:pBdr>
        <w:top w:val="nil"/>
        <w:left w:val="nil"/>
        <w:bottom w:val="nil"/>
        <w:right w:val="nil"/>
        <w:between w:val="nil"/>
      </w:pBdr>
      <w:tabs>
        <w:tab w:val="center" w:pos="4252"/>
        <w:tab w:val="right" w:pos="8504"/>
      </w:tabs>
      <w:rPr>
        <w:color w:val="000000"/>
      </w:rPr>
    </w:pPr>
  </w:p>
  <w:p w14:paraId="41BF49B9" w14:textId="77777777" w:rsidR="006163AD" w:rsidRDefault="006163A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AC6BF" w14:textId="77777777" w:rsidR="006163AD" w:rsidRDefault="006163A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71</w:t>
    </w:r>
    <w:r>
      <w:rPr>
        <w:rFonts w:ascii="Arial" w:eastAsia="Arial" w:hAnsi="Arial" w:cs="Arial"/>
        <w:b/>
        <w:color w:val="000000"/>
        <w:sz w:val="20"/>
        <w:szCs w:val="20"/>
      </w:rPr>
      <w:fldChar w:fldCharType="end"/>
    </w:r>
  </w:p>
  <w:p w14:paraId="0BD7595E" w14:textId="77777777" w:rsidR="006163AD" w:rsidRDefault="006163A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F3A9F" w14:textId="77777777" w:rsidR="00A93986" w:rsidRDefault="00A93986">
      <w:r>
        <w:separator/>
      </w:r>
    </w:p>
  </w:footnote>
  <w:footnote w:type="continuationSeparator" w:id="0">
    <w:p w14:paraId="53EC36F9" w14:textId="77777777" w:rsidR="00A93986" w:rsidRDefault="00A93986">
      <w:r>
        <w:continuationSeparator/>
      </w:r>
    </w:p>
  </w:footnote>
  <w:footnote w:id="1">
    <w:p w14:paraId="74229463" w14:textId="77777777" w:rsidR="006163AD" w:rsidRDefault="006163AD">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50, Ley de Transparencia y Acceso a la Información Pública del Estado de México y Municipios.</w:t>
      </w:r>
    </w:p>
  </w:footnote>
  <w:footnote w:id="2">
    <w:p w14:paraId="6DA38F4D" w14:textId="77777777" w:rsidR="006163AD" w:rsidRDefault="006163AD">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51, Ídem.</w:t>
      </w:r>
    </w:p>
  </w:footnote>
  <w:footnote w:id="3">
    <w:p w14:paraId="36BD6832" w14:textId="77777777" w:rsidR="006163AD" w:rsidRDefault="006163A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58, Ley de Transparencia y Acceso a la Información Pública del Estado de México y Municipios.</w:t>
      </w:r>
    </w:p>
  </w:footnote>
  <w:footnote w:id="4">
    <w:p w14:paraId="1B531D4F" w14:textId="77777777" w:rsidR="006163AD" w:rsidRDefault="006163A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59, Ídem.</w:t>
      </w:r>
    </w:p>
  </w:footnote>
  <w:footnote w:id="5">
    <w:p w14:paraId="5E981CB0" w14:textId="77777777" w:rsidR="006163AD" w:rsidRDefault="006163AD">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132, Ley de Transparencia y Acceso a la Información Pública del Estado de México y Municipios.</w:t>
      </w:r>
    </w:p>
  </w:footnote>
  <w:footnote w:id="6">
    <w:p w14:paraId="0C918699" w14:textId="77777777" w:rsidR="006163AD" w:rsidRDefault="006163A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128, Ley de Transparencia y Acceso a la Información Pública del Estado de México y Municipios.</w:t>
      </w:r>
    </w:p>
  </w:footnote>
  <w:footnote w:id="7">
    <w:p w14:paraId="45E55C52" w14:textId="77777777" w:rsidR="006163AD" w:rsidRDefault="006163A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129, Ídem.</w:t>
      </w:r>
    </w:p>
  </w:footnote>
  <w:footnote w:id="8">
    <w:p w14:paraId="0B138D3C" w14:textId="77777777" w:rsidR="006163AD" w:rsidRDefault="006163AD">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Benjamín, C. (sin fecha). La prueba de daño a la luz del principio de proporcionalidad. Recuperado de http://dx.doi.org/10.22201/iij.25940082e.2018.6.12466. El Derecho de Acceso a la Información Pública como Derecho Llave para el Acceso a otros derechos fundamentales. Experiencias levantadas a partir de reclamos ante el Consejo para la Transparencia. Cuaderno de trabajo No 10 / septiembre 2018. Recuperado de https://www.consejotransparencia.cl/wp-content/uploads/estudios/2019/01/derecho llave_actualizado-2018.pdf</w:t>
      </w:r>
    </w:p>
  </w:footnote>
  <w:footnote w:id="9">
    <w:p w14:paraId="081DE94D" w14:textId="77777777" w:rsidR="006163AD" w:rsidRDefault="006163A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134, Ley de Transparencia y Acceso a la Información Pública del Estado de México y Municipios</w:t>
      </w:r>
      <w:r>
        <w:rPr>
          <w:rFonts w:ascii="Cambria" w:eastAsia="Cambria" w:hAnsi="Cambria" w:cs="Cambria"/>
          <w:color w:val="000000"/>
          <w:sz w:val="20"/>
          <w:szCs w:val="20"/>
        </w:rPr>
        <w:t>.</w:t>
      </w:r>
    </w:p>
  </w:footnote>
  <w:footnote w:id="10">
    <w:p w14:paraId="7E8BF2C7" w14:textId="77777777" w:rsidR="006163AD" w:rsidRDefault="006163A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130, Ley de Transparencia y Acceso a la Información Pública del Estado de México y Municipios.</w:t>
      </w:r>
    </w:p>
  </w:footnote>
  <w:footnote w:id="11">
    <w:p w14:paraId="59EDCB41" w14:textId="77777777" w:rsidR="006163AD" w:rsidRDefault="006163AD">
      <w:pPr>
        <w:tabs>
          <w:tab w:val="left" w:pos="426"/>
        </w:tabs>
        <w:spacing w:before="240" w:after="240"/>
        <w:ind w:left="567" w:right="907"/>
        <w:jc w:val="both"/>
        <w:rPr>
          <w:sz w:val="20"/>
          <w:szCs w:val="20"/>
        </w:rPr>
      </w:pPr>
      <w:r>
        <w:rPr>
          <w:vertAlign w:val="superscript"/>
        </w:rPr>
        <w:footnoteRef/>
      </w:r>
      <w:r>
        <w:rPr>
          <w:rFonts w:ascii="Palatino Linotype" w:eastAsia="Palatino Linotype" w:hAnsi="Palatino Linotype" w:cs="Palatino Linotype"/>
          <w:sz w:val="16"/>
          <w:szCs w:val="16"/>
        </w:rPr>
        <w:t xml:space="preserve"> Lineamiento Segundo, fracción XVI, Lineamientos Generales en Materia de Clasificación y Desclasificación de la Información, así como para la Elaboración de la Versiones Públicas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B429" w14:textId="77777777" w:rsidR="006163AD" w:rsidRDefault="006163AD">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4AF9A39" wp14:editId="1FBC47CA">
          <wp:simplePos x="0" y="0"/>
          <wp:positionH relativeFrom="page">
            <wp:align>left</wp:align>
          </wp:positionH>
          <wp:positionV relativeFrom="paragraph">
            <wp:posOffset>238657</wp:posOffset>
          </wp:positionV>
          <wp:extent cx="7635875" cy="9943465"/>
          <wp:effectExtent l="0" t="0" r="3175" b="635"/>
          <wp:wrapNone/>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1"/>
      <w:tblW w:w="6859" w:type="dxa"/>
      <w:tblInd w:w="2199" w:type="dxa"/>
      <w:tblLayout w:type="fixed"/>
      <w:tblLook w:val="0400" w:firstRow="0" w:lastRow="0" w:firstColumn="0" w:lastColumn="0" w:noHBand="0" w:noVBand="1"/>
    </w:tblPr>
    <w:tblGrid>
      <w:gridCol w:w="2873"/>
      <w:gridCol w:w="3986"/>
    </w:tblGrid>
    <w:tr w:rsidR="006163AD" w14:paraId="4533F491" w14:textId="77777777" w:rsidTr="008B3849">
      <w:trPr>
        <w:trHeight w:val="382"/>
      </w:trPr>
      <w:tc>
        <w:tcPr>
          <w:tcW w:w="2873" w:type="dxa"/>
          <w:vAlign w:val="center"/>
        </w:tcPr>
        <w:p w14:paraId="5B7E6AE6" w14:textId="77777777" w:rsidR="006163AD" w:rsidRDefault="006163A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986" w:type="dxa"/>
          <w:vAlign w:val="center"/>
        </w:tcPr>
        <w:p w14:paraId="1BD7E9E0" w14:textId="77777777" w:rsidR="006163AD" w:rsidRDefault="006163AD">
          <w:pPr>
            <w:rPr>
              <w:rFonts w:ascii="Palatino Linotype" w:eastAsia="Palatino Linotype" w:hAnsi="Palatino Linotype" w:cs="Palatino Linotype"/>
              <w:b/>
            </w:rPr>
          </w:pPr>
          <w:r>
            <w:rPr>
              <w:rFonts w:ascii="Palatino Linotype" w:eastAsia="Palatino Linotype" w:hAnsi="Palatino Linotype" w:cs="Palatino Linotype"/>
              <w:b/>
            </w:rPr>
            <w:t>06518/INFOEM/IP/RR/2021</w:t>
          </w:r>
        </w:p>
      </w:tc>
    </w:tr>
    <w:tr w:rsidR="006163AD" w14:paraId="0D31E9DB" w14:textId="77777777" w:rsidTr="008B3849">
      <w:trPr>
        <w:trHeight w:val="268"/>
      </w:trPr>
      <w:tc>
        <w:tcPr>
          <w:tcW w:w="2873" w:type="dxa"/>
          <w:vAlign w:val="center"/>
        </w:tcPr>
        <w:p w14:paraId="753A2F5F" w14:textId="77777777" w:rsidR="006163AD" w:rsidRDefault="006163A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986" w:type="dxa"/>
          <w:vAlign w:val="center"/>
        </w:tcPr>
        <w:p w14:paraId="54384167" w14:textId="77777777" w:rsidR="006163AD" w:rsidRDefault="006163AD">
          <w:pPr>
            <w:jc w:val="both"/>
            <w:rPr>
              <w:rFonts w:ascii="Palatino Linotype" w:eastAsia="Palatino Linotype" w:hAnsi="Palatino Linotype" w:cs="Palatino Linotype"/>
              <w:b/>
            </w:rPr>
          </w:pPr>
          <w:r>
            <w:rPr>
              <w:rFonts w:ascii="Palatino Linotype" w:eastAsia="Palatino Linotype" w:hAnsi="Palatino Linotype" w:cs="Palatino Linotype"/>
              <w:b/>
            </w:rPr>
            <w:t>Fiscalía General de Justicia del Estado de México</w:t>
          </w:r>
        </w:p>
      </w:tc>
    </w:tr>
    <w:tr w:rsidR="006163AD" w14:paraId="12BF54A0" w14:textId="77777777" w:rsidTr="008B3849">
      <w:trPr>
        <w:trHeight w:val="382"/>
      </w:trPr>
      <w:tc>
        <w:tcPr>
          <w:tcW w:w="2873" w:type="dxa"/>
          <w:vAlign w:val="center"/>
        </w:tcPr>
        <w:p w14:paraId="4EE53D71" w14:textId="77777777" w:rsidR="006163AD" w:rsidRDefault="006163A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986" w:type="dxa"/>
          <w:vAlign w:val="center"/>
        </w:tcPr>
        <w:p w14:paraId="4B72EB72" w14:textId="77777777" w:rsidR="006163AD" w:rsidRDefault="006163AD">
          <w:pPr>
            <w:ind w:right="-533"/>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11E3A4B" w14:textId="77777777" w:rsidR="006163AD" w:rsidRDefault="006163A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0FAF239E" w14:textId="77777777" w:rsidR="006163AD" w:rsidRDefault="006163AD">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8DFDC" w14:textId="77777777" w:rsidR="006163AD" w:rsidRDefault="006163A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151AC403" wp14:editId="3EDE6056">
          <wp:simplePos x="0" y="0"/>
          <wp:positionH relativeFrom="column">
            <wp:posOffset>-1085849</wp:posOffset>
          </wp:positionH>
          <wp:positionV relativeFrom="paragraph">
            <wp:posOffset>-353059</wp:posOffset>
          </wp:positionV>
          <wp:extent cx="7635875" cy="9943465"/>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0"/>
      <w:tblW w:w="6811" w:type="dxa"/>
      <w:tblInd w:w="3114" w:type="dxa"/>
      <w:tblLayout w:type="fixed"/>
      <w:tblLook w:val="0400" w:firstRow="0" w:lastRow="0" w:firstColumn="0" w:lastColumn="0" w:noHBand="0" w:noVBand="1"/>
    </w:tblPr>
    <w:tblGrid>
      <w:gridCol w:w="2835"/>
      <w:gridCol w:w="3976"/>
    </w:tblGrid>
    <w:tr w:rsidR="006163AD" w14:paraId="2510D474" w14:textId="77777777" w:rsidTr="00286714">
      <w:trPr>
        <w:trHeight w:val="277"/>
      </w:trPr>
      <w:tc>
        <w:tcPr>
          <w:tcW w:w="2835" w:type="dxa"/>
          <w:vAlign w:val="center"/>
        </w:tcPr>
        <w:p w14:paraId="3710DA9B" w14:textId="77777777" w:rsidR="006163AD" w:rsidRDefault="006163A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976" w:type="dxa"/>
          <w:vAlign w:val="center"/>
        </w:tcPr>
        <w:p w14:paraId="1C9F446D" w14:textId="77777777" w:rsidR="006163AD" w:rsidRDefault="006163AD">
          <w:pPr>
            <w:rPr>
              <w:rFonts w:ascii="Palatino Linotype" w:eastAsia="Palatino Linotype" w:hAnsi="Palatino Linotype" w:cs="Palatino Linotype"/>
              <w:b/>
            </w:rPr>
          </w:pPr>
          <w:r>
            <w:rPr>
              <w:rFonts w:ascii="Palatino Linotype" w:eastAsia="Palatino Linotype" w:hAnsi="Palatino Linotype" w:cs="Palatino Linotype"/>
              <w:b/>
            </w:rPr>
            <w:t>06518/INFOEM/IP/RR/2021</w:t>
          </w:r>
        </w:p>
      </w:tc>
    </w:tr>
    <w:tr w:rsidR="006163AD" w14:paraId="62E2843C" w14:textId="77777777" w:rsidTr="00286714">
      <w:tc>
        <w:tcPr>
          <w:tcW w:w="2835" w:type="dxa"/>
          <w:vAlign w:val="center"/>
        </w:tcPr>
        <w:p w14:paraId="11B32B3A" w14:textId="77777777" w:rsidR="006163AD" w:rsidRDefault="006163A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976" w:type="dxa"/>
          <w:vAlign w:val="center"/>
        </w:tcPr>
        <w:p w14:paraId="218E15AE" w14:textId="2C3692B2" w:rsidR="006163AD" w:rsidRDefault="006163AD">
          <w:pPr>
            <w:rPr>
              <w:rFonts w:ascii="Palatino Linotype" w:eastAsia="Palatino Linotype" w:hAnsi="Palatino Linotype" w:cs="Palatino Linotype"/>
              <w:b/>
            </w:rPr>
          </w:pPr>
          <w:r>
            <w:rPr>
              <w:rFonts w:ascii="Palatino Linotype" w:eastAsia="Palatino Linotype" w:hAnsi="Palatino Linotype" w:cs="Palatino Linotype"/>
              <w:b/>
            </w:rPr>
            <w:t>XXXX XXXXXXX</w:t>
          </w:r>
        </w:p>
      </w:tc>
    </w:tr>
    <w:tr w:rsidR="006163AD" w14:paraId="443E1F4B" w14:textId="77777777" w:rsidTr="00286714">
      <w:trPr>
        <w:trHeight w:val="228"/>
      </w:trPr>
      <w:tc>
        <w:tcPr>
          <w:tcW w:w="2835" w:type="dxa"/>
          <w:vAlign w:val="center"/>
        </w:tcPr>
        <w:p w14:paraId="26F7CB57" w14:textId="77777777" w:rsidR="006163AD" w:rsidRDefault="006163A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976" w:type="dxa"/>
          <w:vAlign w:val="center"/>
        </w:tcPr>
        <w:p w14:paraId="0B407E68" w14:textId="77777777" w:rsidR="006163AD" w:rsidRDefault="006163AD">
          <w:pPr>
            <w:jc w:val="both"/>
            <w:rPr>
              <w:rFonts w:ascii="Palatino Linotype" w:eastAsia="Palatino Linotype" w:hAnsi="Palatino Linotype" w:cs="Palatino Linotype"/>
              <w:b/>
            </w:rPr>
          </w:pPr>
          <w:r>
            <w:rPr>
              <w:rFonts w:ascii="Palatino Linotype" w:eastAsia="Palatino Linotype" w:hAnsi="Palatino Linotype" w:cs="Palatino Linotype"/>
              <w:b/>
            </w:rPr>
            <w:t>Fiscalía General de Justicia del Estado de México</w:t>
          </w:r>
        </w:p>
      </w:tc>
    </w:tr>
    <w:tr w:rsidR="006163AD" w14:paraId="14802349" w14:textId="77777777" w:rsidTr="00286714">
      <w:tc>
        <w:tcPr>
          <w:tcW w:w="2835" w:type="dxa"/>
          <w:vAlign w:val="center"/>
        </w:tcPr>
        <w:p w14:paraId="1E434CFA" w14:textId="77777777" w:rsidR="006163AD" w:rsidRDefault="006163A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976" w:type="dxa"/>
          <w:vAlign w:val="center"/>
        </w:tcPr>
        <w:p w14:paraId="16ECC64D" w14:textId="77777777" w:rsidR="006163AD" w:rsidRDefault="006163AD">
          <w:pPr>
            <w:ind w:right="-533"/>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12D65A8C" w14:textId="77777777" w:rsidR="006163AD" w:rsidRDefault="006163A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B4123"/>
    <w:multiLevelType w:val="multilevel"/>
    <w:tmpl w:val="3BD6EC5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265517"/>
    <w:multiLevelType w:val="multilevel"/>
    <w:tmpl w:val="25B2962A"/>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1FBF1200"/>
    <w:multiLevelType w:val="multilevel"/>
    <w:tmpl w:val="7390BAE6"/>
    <w:lvl w:ilvl="0">
      <w:start w:val="1"/>
      <w:numFmt w:val="decimal"/>
      <w:lvlText w:val="%1."/>
      <w:lvlJc w:val="left"/>
      <w:pPr>
        <w:ind w:left="36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4"/>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801462"/>
    <w:multiLevelType w:val="multilevel"/>
    <w:tmpl w:val="546C35A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25F32611"/>
    <w:multiLevelType w:val="multilevel"/>
    <w:tmpl w:val="1D6C1AA4"/>
    <w:lvl w:ilvl="0">
      <w:start w:val="10"/>
      <w:numFmt w:val="decimal"/>
      <w:lvlText w:val="%1."/>
      <w:lvlJc w:val="left"/>
      <w:pPr>
        <w:ind w:left="720" w:hanging="360"/>
      </w:pPr>
      <w:rPr>
        <w:rFonts w:ascii="Palatino Linotype" w:eastAsia="Palatino Linotype" w:hAnsi="Palatino Linotype" w:cs="Palatino Linotype"/>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2D2441"/>
    <w:multiLevelType w:val="multilevel"/>
    <w:tmpl w:val="237EDD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770B7C"/>
    <w:multiLevelType w:val="multilevel"/>
    <w:tmpl w:val="88D4BAF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339C31CE"/>
    <w:multiLevelType w:val="multilevel"/>
    <w:tmpl w:val="CC02F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2B6E6B"/>
    <w:multiLevelType w:val="multilevel"/>
    <w:tmpl w:val="A68CC41A"/>
    <w:lvl w:ilvl="0">
      <w:start w:val="1"/>
      <w:numFmt w:val="upp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9" w15:restartNumberingAfterBreak="0">
    <w:nsid w:val="65E71A43"/>
    <w:multiLevelType w:val="multilevel"/>
    <w:tmpl w:val="5D8A1356"/>
    <w:lvl w:ilvl="0">
      <w:start w:val="1"/>
      <w:numFmt w:val="upp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 w15:restartNumberingAfterBreak="0">
    <w:nsid w:val="6FD75857"/>
    <w:multiLevelType w:val="multilevel"/>
    <w:tmpl w:val="6FE06906"/>
    <w:lvl w:ilvl="0">
      <w:start w:val="1"/>
      <w:numFmt w:val="upperRoman"/>
      <w:lvlText w:val="%1."/>
      <w:lvlJc w:val="left"/>
      <w:pPr>
        <w:ind w:left="1080" w:hanging="720"/>
      </w:pPr>
      <w:rPr>
        <w:rFonts w:ascii="Palatino Linotype" w:eastAsia="Palatino Linotype" w:hAnsi="Palatino Linotype" w:cs="Palatino Linotype"/>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85D51B4"/>
    <w:multiLevelType w:val="multilevel"/>
    <w:tmpl w:val="461CF1D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4"/>
  </w:num>
  <w:num w:numId="2">
    <w:abstractNumId w:val="5"/>
  </w:num>
  <w:num w:numId="3">
    <w:abstractNumId w:val="10"/>
  </w:num>
  <w:num w:numId="4">
    <w:abstractNumId w:val="7"/>
  </w:num>
  <w:num w:numId="5">
    <w:abstractNumId w:val="11"/>
  </w:num>
  <w:num w:numId="6">
    <w:abstractNumId w:val="2"/>
  </w:num>
  <w:num w:numId="7">
    <w:abstractNumId w:val="8"/>
  </w:num>
  <w:num w:numId="8">
    <w:abstractNumId w:val="9"/>
  </w:num>
  <w:num w:numId="9">
    <w:abstractNumId w:val="0"/>
  </w:num>
  <w:num w:numId="10">
    <w:abstractNumId w:val="1"/>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12E"/>
    <w:rsid w:val="0007046A"/>
    <w:rsid w:val="000C0AEE"/>
    <w:rsid w:val="00130AAF"/>
    <w:rsid w:val="001711AE"/>
    <w:rsid w:val="00195D45"/>
    <w:rsid w:val="00204FC2"/>
    <w:rsid w:val="00242EC5"/>
    <w:rsid w:val="00246E61"/>
    <w:rsid w:val="00286714"/>
    <w:rsid w:val="002979C1"/>
    <w:rsid w:val="00312097"/>
    <w:rsid w:val="003235D3"/>
    <w:rsid w:val="004046EE"/>
    <w:rsid w:val="00423BC8"/>
    <w:rsid w:val="005E1FF8"/>
    <w:rsid w:val="006054EC"/>
    <w:rsid w:val="006163AD"/>
    <w:rsid w:val="006935BC"/>
    <w:rsid w:val="006C3E56"/>
    <w:rsid w:val="008B3849"/>
    <w:rsid w:val="00980930"/>
    <w:rsid w:val="009C042C"/>
    <w:rsid w:val="00A93986"/>
    <w:rsid w:val="00BA1793"/>
    <w:rsid w:val="00BC44E5"/>
    <w:rsid w:val="00BD609B"/>
    <w:rsid w:val="00BD6B4D"/>
    <w:rsid w:val="00CA3F29"/>
    <w:rsid w:val="00CA50EE"/>
    <w:rsid w:val="00CE7D54"/>
    <w:rsid w:val="00D75F4A"/>
    <w:rsid w:val="00DA19B9"/>
    <w:rsid w:val="00DE0D67"/>
    <w:rsid w:val="00E02F19"/>
    <w:rsid w:val="00E6212E"/>
    <w:rsid w:val="00ED3AC3"/>
    <w:rsid w:val="00F3323E"/>
    <w:rsid w:val="00F653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BDA07"/>
  <w15:docId w15:val="{CE2E97BA-6506-4871-8B41-ADBA7F5C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40"/>
      <w:outlineLvl w:val="4"/>
    </w:pPr>
    <w:rPr>
      <w:rFonts w:ascii="Calibri" w:eastAsia="Calibri" w:hAnsi="Calibri" w:cs="Calibri"/>
      <w:color w:val="366091"/>
    </w:rPr>
  </w:style>
  <w:style w:type="paragraph" w:styleId="Ttulo6">
    <w:name w:val="heading 6"/>
    <w:basedOn w:val="Normal"/>
    <w:next w:val="Normal"/>
    <w:pPr>
      <w:keepNext/>
      <w:keepLines/>
      <w:spacing w:before="40"/>
      <w:outlineLvl w:val="5"/>
    </w:pPr>
    <w:rPr>
      <w:rFonts w:ascii="Calibri" w:eastAsia="Calibri" w:hAnsi="Calibri" w:cs="Calibr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2"/>
      <w:szCs w:val="22"/>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8B3849"/>
    <w:pPr>
      <w:tabs>
        <w:tab w:val="center" w:pos="4419"/>
        <w:tab w:val="right" w:pos="8838"/>
      </w:tabs>
    </w:pPr>
  </w:style>
  <w:style w:type="character" w:customStyle="1" w:styleId="EncabezadoCar">
    <w:name w:val="Encabezado Car"/>
    <w:basedOn w:val="Fuentedeprrafopredeter"/>
    <w:link w:val="Encabezado"/>
    <w:uiPriority w:val="99"/>
    <w:rsid w:val="008B3849"/>
  </w:style>
  <w:style w:type="paragraph" w:styleId="Piedepgina">
    <w:name w:val="footer"/>
    <w:basedOn w:val="Normal"/>
    <w:link w:val="PiedepginaCar"/>
    <w:uiPriority w:val="99"/>
    <w:unhideWhenUsed/>
    <w:rsid w:val="008B3849"/>
    <w:pPr>
      <w:tabs>
        <w:tab w:val="center" w:pos="4419"/>
        <w:tab w:val="right" w:pos="8838"/>
      </w:tabs>
    </w:pPr>
  </w:style>
  <w:style w:type="character" w:customStyle="1" w:styleId="PiedepginaCar">
    <w:name w:val="Pie de página Car"/>
    <w:basedOn w:val="Fuentedeprrafopredeter"/>
    <w:link w:val="Piedepgina"/>
    <w:uiPriority w:val="99"/>
    <w:rsid w:val="008B3849"/>
  </w:style>
  <w:style w:type="paragraph" w:styleId="Prrafodelista">
    <w:name w:val="List Paragraph"/>
    <w:basedOn w:val="Normal"/>
    <w:uiPriority w:val="34"/>
    <w:qFormat/>
    <w:rsid w:val="00195D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1.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0.png"/><Relationship Id="rId23" Type="http://schemas.openxmlformats.org/officeDocument/2006/relationships/image" Target="media/image14.png"/><Relationship Id="rId28" Type="http://schemas.openxmlformats.org/officeDocument/2006/relationships/image" Target="media/image110.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hyperlink" Target="https://www.saimex.org.mx/saimex/solicitud/downloadAttach/1306833.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72</Pages>
  <Words>14006</Words>
  <Characters>77035</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Microsoft Office User</cp:lastModifiedBy>
  <cp:revision>14</cp:revision>
  <cp:lastPrinted>2022-06-09T21:31:00Z</cp:lastPrinted>
  <dcterms:created xsi:type="dcterms:W3CDTF">2022-06-03T11:01:00Z</dcterms:created>
  <dcterms:modified xsi:type="dcterms:W3CDTF">2022-06-29T05:57:00Z</dcterms:modified>
</cp:coreProperties>
</file>