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41990" w:rsidR="00C853D1" w:rsidP="00F80F48" w:rsidRDefault="00C853D1" w14:paraId="1DF6BBF6" w14:textId="6A0A3CD9">
      <w:pPr>
        <w:spacing w:after="0" w:line="360" w:lineRule="auto"/>
        <w:rPr>
          <w:rFonts w:eastAsia="Times New Roman" w:cs="Tahoma"/>
          <w:bCs/>
          <w:color w:val="auto"/>
          <w:lang w:eastAsia="es-ES"/>
        </w:rPr>
      </w:pPr>
      <w:r w:rsidRPr="00841990">
        <w:rPr>
          <w:rFonts w:eastAsia="Calibri" w:cs="Tahoma"/>
          <w:bCs/>
          <w:color w:val="000000"/>
        </w:rPr>
        <w:t xml:space="preserve">Resolución del Pleno del Instituto de Transparencia, Acceso a la Información Pública y </w:t>
      </w:r>
      <w:r w:rsidRPr="00841990">
        <w:rPr>
          <w:rFonts w:eastAsia="Times New Roman" w:cs="Tahoma"/>
          <w:bCs/>
          <w:color w:val="auto"/>
          <w:lang w:eastAsia="es-ES"/>
        </w:rPr>
        <w:t xml:space="preserve">Protección de Datos Personales del Estado de México y Municipios, con domicilio en Metepec, Estado de México, de fecha </w:t>
      </w:r>
      <w:r w:rsidR="00FF2ADF">
        <w:rPr>
          <w:rFonts w:eastAsia="Times New Roman" w:cs="Tahoma"/>
          <w:bCs/>
          <w:color w:val="auto"/>
          <w:lang w:eastAsia="es-ES"/>
        </w:rPr>
        <w:t>veintinueve</w:t>
      </w:r>
      <w:r w:rsidRPr="00841990" w:rsidR="00D9561F">
        <w:rPr>
          <w:rFonts w:eastAsia="Times New Roman" w:cs="Tahoma"/>
          <w:bCs/>
          <w:color w:val="auto"/>
          <w:lang w:eastAsia="es-ES"/>
        </w:rPr>
        <w:t xml:space="preserve"> de junio de dos mil veintidós.</w:t>
      </w:r>
    </w:p>
    <w:p w:rsidRPr="00841990" w:rsidR="00C853D1" w:rsidP="00F80F48" w:rsidRDefault="00C853D1" w14:paraId="1D95A1A3" w14:textId="77777777">
      <w:pPr>
        <w:tabs>
          <w:tab w:val="left" w:pos="2839"/>
        </w:tabs>
        <w:spacing w:after="0" w:line="360" w:lineRule="auto"/>
        <w:rPr>
          <w:rFonts w:eastAsia="Times New Roman" w:cs="Tahoma"/>
          <w:bCs/>
          <w:color w:val="auto"/>
          <w:lang w:eastAsia="es-ES"/>
        </w:rPr>
      </w:pPr>
    </w:p>
    <w:p w:rsidRPr="00841990" w:rsidR="00C853D1" w:rsidP="00F80F48" w:rsidRDefault="00C853D1" w14:paraId="1066B8D1" w14:textId="36664897">
      <w:pPr>
        <w:spacing w:after="0" w:line="360" w:lineRule="auto"/>
        <w:rPr>
          <w:rFonts w:eastAsia="Calibri" w:cs="Tahoma"/>
          <w:color w:val="0D0D0D"/>
        </w:rPr>
      </w:pPr>
      <w:r w:rsidRPr="4651A0A3" w:rsidR="4651A0A3">
        <w:rPr>
          <w:rFonts w:eastAsia="Times New Roman" w:cs="Tahoma"/>
          <w:b w:val="1"/>
          <w:bCs w:val="1"/>
          <w:color w:val="auto"/>
          <w:lang w:eastAsia="es-ES"/>
        </w:rPr>
        <w:t>VISTO</w:t>
      </w:r>
      <w:r w:rsidRPr="4651A0A3" w:rsidR="4651A0A3">
        <w:rPr>
          <w:rFonts w:eastAsia="Calibri" w:cs="Tahoma"/>
          <w:color w:val="0D0D0D" w:themeColor="text1" w:themeTint="F2" w:themeShade="FF"/>
        </w:rPr>
        <w:t xml:space="preserve"> el expediente conformado con motivo del Recurso de Revisión </w:t>
      </w:r>
      <w:r w:rsidRPr="4651A0A3" w:rsidR="4651A0A3">
        <w:rPr>
          <w:rFonts w:eastAsia="Calibri" w:cs="Tahoma"/>
          <w:color w:val="000000" w:themeColor="text1" w:themeTint="FF" w:themeShade="FF"/>
        </w:rPr>
        <w:t xml:space="preserve">03961/INFOEM/IP/RR/2022, interpuesto por </w:t>
      </w:r>
      <w:r w:rsidRPr="4651A0A3" w:rsidR="4651A0A3">
        <w:rPr>
          <w:rFonts w:eastAsia="Calibri" w:cs="Tahoma"/>
          <w:color w:val="000000" w:themeColor="text1" w:themeTint="FF" w:themeShade="FF"/>
          <w:highlight w:val="black"/>
        </w:rPr>
        <w:t>XXXXXXXXXXXXXX</w:t>
      </w:r>
      <w:r w:rsidRPr="4651A0A3" w:rsidR="4651A0A3">
        <w:rPr>
          <w:rFonts w:eastAsia="Calibri" w:cs="Tahoma"/>
          <w:color w:val="000000" w:themeColor="text1" w:themeTint="FF" w:themeShade="FF"/>
        </w:rPr>
        <w:t xml:space="preserve">, en lo sucesivo, </w:t>
      </w:r>
      <w:r w:rsidRPr="4651A0A3" w:rsidR="4651A0A3">
        <w:rPr>
          <w:rFonts w:eastAsia="Calibri" w:cs="Tahoma"/>
          <w:color w:val="0D0D0D" w:themeColor="text1" w:themeTint="F2" w:themeShade="FF"/>
        </w:rPr>
        <w:t>Recurrente o Particular, en contra de la respuesta del Sujeto Obligado,</w:t>
      </w:r>
      <w:r w:rsidRPr="4651A0A3" w:rsidR="4651A0A3">
        <w:rPr>
          <w:rFonts w:eastAsia="Calibri" w:cs="Tahoma"/>
          <w:color w:val="000000" w:themeColor="text1" w:themeTint="FF" w:themeShade="FF"/>
        </w:rPr>
        <w:t xml:space="preserve"> Ayuntamiento de Toluca, a la solicitud de acceso a la información 00526/TOLUCA/IP/2022, se emite la presente Resolución, con base en los Antecedentes y Considerandos que se exponen a continuación:</w:t>
      </w:r>
    </w:p>
    <w:p w:rsidRPr="00841990" w:rsidR="00C853D1" w:rsidP="00F80F48" w:rsidRDefault="00C853D1" w14:paraId="4FCCF228" w14:textId="77777777">
      <w:pPr>
        <w:spacing w:after="0" w:line="360" w:lineRule="auto"/>
        <w:rPr>
          <w:rFonts w:eastAsia="Calibri" w:cs="Tahoma"/>
          <w:color w:val="000000"/>
        </w:rPr>
      </w:pPr>
    </w:p>
    <w:p w:rsidRPr="00841990" w:rsidR="00C853D1" w:rsidP="00F80F48" w:rsidRDefault="00C853D1" w14:paraId="0472C645" w14:textId="77777777">
      <w:pPr>
        <w:tabs>
          <w:tab w:val="center" w:pos="4522"/>
          <w:tab w:val="left" w:pos="7245"/>
        </w:tabs>
        <w:spacing w:after="0" w:line="360" w:lineRule="auto"/>
        <w:jc w:val="center"/>
        <w:rPr>
          <w:rFonts w:eastAsia="Calibri" w:cs="Tahoma"/>
          <w:b/>
          <w:color w:val="000000"/>
        </w:rPr>
      </w:pPr>
      <w:r w:rsidRPr="00841990">
        <w:rPr>
          <w:rFonts w:eastAsia="Calibri" w:cs="Tahoma"/>
          <w:b/>
          <w:color w:val="000000"/>
        </w:rPr>
        <w:t>A N T E C E D E N T E S:</w:t>
      </w:r>
    </w:p>
    <w:p w:rsidRPr="00841990" w:rsidR="00C853D1" w:rsidP="00F80F48" w:rsidRDefault="00C853D1" w14:paraId="422D0175" w14:textId="77777777">
      <w:pPr>
        <w:spacing w:after="0" w:line="360" w:lineRule="auto"/>
      </w:pPr>
    </w:p>
    <w:p w:rsidRPr="00841990" w:rsidR="00C853D1" w:rsidP="00F80F48" w:rsidRDefault="00C853D1" w14:paraId="539DCEC7" w14:textId="77777777">
      <w:pPr>
        <w:tabs>
          <w:tab w:val="left" w:pos="567"/>
        </w:tabs>
        <w:spacing w:after="0" w:line="360" w:lineRule="auto"/>
        <w:rPr>
          <w:rFonts w:eastAsia="Times New Roman" w:cs="Tahoma"/>
          <w:b/>
          <w:color w:val="auto"/>
          <w:lang w:eastAsia="es-ES"/>
        </w:rPr>
      </w:pPr>
      <w:r w:rsidRPr="00841990">
        <w:rPr>
          <w:rFonts w:eastAsia="Times New Roman" w:cs="Tahoma"/>
          <w:b/>
          <w:color w:val="auto"/>
          <w:lang w:eastAsia="es-ES"/>
        </w:rPr>
        <w:t>I. Presentación de la solicitud de información:</w:t>
      </w:r>
    </w:p>
    <w:p w:rsidRPr="00841990" w:rsidR="00C853D1" w:rsidP="00F80F48" w:rsidRDefault="00C853D1" w14:paraId="681289FF" w14:textId="77777777">
      <w:pPr>
        <w:tabs>
          <w:tab w:val="left" w:pos="567"/>
        </w:tabs>
        <w:spacing w:after="0" w:line="360" w:lineRule="auto"/>
        <w:rPr>
          <w:rFonts w:eastAsia="Times New Roman" w:cs="Tahoma"/>
          <w:color w:val="auto"/>
          <w:lang w:eastAsia="es-ES"/>
        </w:rPr>
      </w:pPr>
    </w:p>
    <w:p w:rsidRPr="00841990" w:rsidR="00C853D1" w:rsidP="00F80F48" w:rsidRDefault="00C853D1" w14:paraId="2A44F672" w14:textId="225C7DD6">
      <w:pPr>
        <w:spacing w:after="0" w:line="360" w:lineRule="auto"/>
        <w:rPr>
          <w:rFonts w:eastAsia="Times New Roman" w:cs="Tahoma"/>
          <w:color w:val="auto"/>
          <w:lang w:eastAsia="es-ES"/>
        </w:rPr>
      </w:pPr>
      <w:r w:rsidRPr="00841990">
        <w:rPr>
          <w:rFonts w:eastAsia="Times New Roman" w:cs="Tahoma"/>
          <w:color w:val="auto"/>
          <w:lang w:eastAsia="es-ES"/>
        </w:rPr>
        <w:t xml:space="preserve">Con fecha </w:t>
      </w:r>
      <w:r w:rsidR="00C67251">
        <w:rPr>
          <w:rFonts w:eastAsia="Times New Roman" w:cs="Tahoma"/>
          <w:color w:val="auto"/>
          <w:lang w:eastAsia="es-ES"/>
        </w:rPr>
        <w:t>veintiuno</w:t>
      </w:r>
      <w:r w:rsidR="00005E7C">
        <w:rPr>
          <w:rFonts w:eastAsia="Times New Roman" w:cs="Tahoma"/>
          <w:color w:val="auto"/>
          <w:lang w:eastAsia="es-ES"/>
        </w:rPr>
        <w:t xml:space="preserve"> de </w:t>
      </w:r>
      <w:r w:rsidR="00C67251">
        <w:rPr>
          <w:rFonts w:eastAsia="Times New Roman" w:cs="Tahoma"/>
          <w:color w:val="auto"/>
          <w:lang w:eastAsia="es-ES"/>
        </w:rPr>
        <w:t>febrero</w:t>
      </w:r>
      <w:r w:rsidRPr="00841990" w:rsidR="00130842">
        <w:rPr>
          <w:rFonts w:eastAsia="Times New Roman" w:cs="Tahoma"/>
          <w:color w:val="auto"/>
          <w:lang w:eastAsia="es-ES"/>
        </w:rPr>
        <w:t xml:space="preserve"> de dos mil veintidós</w:t>
      </w:r>
      <w:r w:rsidRPr="00841990">
        <w:rPr>
          <w:rFonts w:eastAsia="Times New Roman" w:cs="Tahoma"/>
          <w:color w:val="auto"/>
          <w:lang w:eastAsia="es-ES"/>
        </w:rPr>
        <w:t>,</w:t>
      </w:r>
      <w:r w:rsidR="00005E7C">
        <w:rPr>
          <w:rFonts w:eastAsia="Times New Roman" w:cs="Tahoma"/>
          <w:color w:val="auto"/>
          <w:lang w:eastAsia="es-ES"/>
        </w:rPr>
        <w:t xml:space="preserve"> </w:t>
      </w:r>
      <w:r w:rsidR="00C67251">
        <w:rPr>
          <w:rFonts w:eastAsia="Times New Roman" w:cs="Tahoma"/>
          <w:color w:val="auto"/>
          <w:lang w:eastAsia="es-ES"/>
        </w:rPr>
        <w:t>la</w:t>
      </w:r>
      <w:r w:rsidRPr="00841990">
        <w:rPr>
          <w:rFonts w:eastAsia="Times New Roman" w:cs="Tahoma"/>
          <w:color w:val="auto"/>
          <w:lang w:eastAsia="es-ES"/>
        </w:rPr>
        <w:t xml:space="preserve"> Particular presentó una solicitud de acceso a la información pública, a través del Sistema de Acceso a la Información Mexiquense (SAIMEX), ante el </w:t>
      </w:r>
      <w:r w:rsidR="00005E7C">
        <w:rPr>
          <w:rFonts w:eastAsia="Calibri" w:cs="Tahoma"/>
        </w:rPr>
        <w:t>Ayuntamiento de Toluca</w:t>
      </w:r>
      <w:r w:rsidRPr="00841990">
        <w:rPr>
          <w:rFonts w:eastAsia="Calibri" w:cs="Tahoma"/>
        </w:rPr>
        <w:t xml:space="preserve">, en los siguientes términos: </w:t>
      </w:r>
    </w:p>
    <w:p w:rsidRPr="00841990" w:rsidR="00C853D1" w:rsidP="00F80F48" w:rsidRDefault="00C853D1" w14:paraId="32AF4217" w14:textId="77777777">
      <w:pPr>
        <w:spacing w:after="0" w:line="360" w:lineRule="auto"/>
        <w:rPr>
          <w:rFonts w:eastAsia="Calibri" w:cs="Tahoma"/>
        </w:rPr>
      </w:pPr>
    </w:p>
    <w:p w:rsidRPr="00841990" w:rsidR="00C853D1" w:rsidP="00F80F48" w:rsidRDefault="00C853D1" w14:paraId="08873B8F" w14:textId="77777777">
      <w:pPr>
        <w:tabs>
          <w:tab w:val="left" w:pos="4667"/>
        </w:tabs>
        <w:spacing w:after="0" w:line="360" w:lineRule="auto"/>
        <w:ind w:left="567" w:right="567"/>
        <w:rPr>
          <w:rFonts w:eastAsia="Times New Roman" w:cs="Tahoma"/>
          <w:b/>
          <w:i/>
          <w:iCs/>
          <w:color w:val="auto"/>
          <w:sz w:val="20"/>
          <w:szCs w:val="20"/>
          <w:lang w:eastAsia="es-ES"/>
        </w:rPr>
      </w:pPr>
      <w:r w:rsidRPr="00841990">
        <w:rPr>
          <w:rFonts w:eastAsia="Times New Roman" w:cs="Tahoma"/>
          <w:b/>
          <w:i/>
          <w:iCs/>
          <w:color w:val="auto"/>
          <w:sz w:val="20"/>
          <w:szCs w:val="20"/>
          <w:lang w:eastAsia="es-ES"/>
        </w:rPr>
        <w:t>“DESCRIPCIÓN CLARA Y PRECISA DE LA INFORMACIÓN SOLICITADA.</w:t>
      </w:r>
    </w:p>
    <w:p w:rsidRPr="00841990" w:rsidR="00C853D1" w:rsidP="00F80F48" w:rsidRDefault="00985714" w14:paraId="47049033" w14:textId="066CFF3D">
      <w:pPr>
        <w:tabs>
          <w:tab w:val="left" w:pos="4667"/>
        </w:tabs>
        <w:spacing w:after="0" w:line="360" w:lineRule="auto"/>
        <w:ind w:left="567" w:right="567"/>
        <w:rPr>
          <w:rFonts w:eastAsia="Times New Roman" w:cs="Tahoma"/>
          <w:bCs/>
          <w:i/>
          <w:iCs/>
          <w:color w:val="auto"/>
          <w:sz w:val="20"/>
          <w:szCs w:val="20"/>
          <w:lang w:eastAsia="es-ES"/>
        </w:rPr>
      </w:pPr>
      <w:r w:rsidRPr="00985714">
        <w:rPr>
          <w:rFonts w:eastAsia="Times New Roman" w:cs="Tahoma"/>
          <w:bCs/>
          <w:i/>
          <w:iCs/>
          <w:color w:val="auto"/>
          <w:sz w:val="20"/>
          <w:szCs w:val="20"/>
          <w:lang w:eastAsia="es-ES"/>
        </w:rPr>
        <w:t>SOLICITO TODOS LOS MOVIMIENTOS DE PERSONAL DE BASE Y DE CONFIANZA DEL MES DE FEBRERO DEL AÑO 2022.</w:t>
      </w:r>
      <w:r w:rsidRPr="00841990" w:rsidR="00C853D1">
        <w:rPr>
          <w:rFonts w:eastAsia="Times New Roman" w:cs="Tahoma"/>
          <w:bCs/>
          <w:i/>
          <w:iCs/>
          <w:color w:val="auto"/>
          <w:sz w:val="20"/>
          <w:szCs w:val="20"/>
          <w:lang w:eastAsia="es-ES"/>
        </w:rPr>
        <w:t xml:space="preserve">” (Sic) </w:t>
      </w:r>
    </w:p>
    <w:p w:rsidRPr="00841990" w:rsidR="00C853D1" w:rsidP="00F80F48" w:rsidRDefault="00C853D1" w14:paraId="151CD7A9" w14:textId="77777777">
      <w:pPr>
        <w:tabs>
          <w:tab w:val="left" w:pos="4667"/>
        </w:tabs>
        <w:spacing w:after="0" w:line="360" w:lineRule="auto"/>
        <w:ind w:left="567" w:right="567"/>
        <w:rPr>
          <w:rFonts w:eastAsia="Times New Roman" w:cs="Tahoma"/>
          <w:b/>
          <w:bCs/>
          <w:i/>
          <w:iCs/>
          <w:color w:val="auto"/>
          <w:sz w:val="20"/>
          <w:lang w:eastAsia="es-ES"/>
        </w:rPr>
      </w:pPr>
    </w:p>
    <w:p w:rsidRPr="00841990" w:rsidR="00C853D1" w:rsidP="00F80F48" w:rsidRDefault="00C853D1" w14:paraId="0E8A2DCA" w14:textId="77777777">
      <w:pPr>
        <w:tabs>
          <w:tab w:val="left" w:pos="4667"/>
        </w:tabs>
        <w:spacing w:after="0" w:line="360" w:lineRule="auto"/>
        <w:ind w:left="567" w:right="567"/>
        <w:rPr>
          <w:rFonts w:eastAsia="Times New Roman" w:cs="Tahoma"/>
          <w:b/>
          <w:bCs/>
          <w:i/>
          <w:iCs/>
          <w:color w:val="auto"/>
          <w:sz w:val="20"/>
          <w:lang w:eastAsia="es-ES"/>
        </w:rPr>
      </w:pPr>
      <w:r w:rsidRPr="00841990">
        <w:rPr>
          <w:rFonts w:eastAsia="Times New Roman" w:cs="Tahoma"/>
          <w:b/>
          <w:bCs/>
          <w:i/>
          <w:iCs/>
          <w:color w:val="auto"/>
          <w:sz w:val="20"/>
          <w:lang w:eastAsia="es-ES"/>
        </w:rPr>
        <w:t>“MODALIDAD DE ENTREGA</w:t>
      </w:r>
    </w:p>
    <w:p w:rsidRPr="00841990" w:rsidR="00C853D1" w:rsidP="00F80F48" w:rsidRDefault="00C853D1" w14:paraId="59678C94" w14:textId="1E32CB35">
      <w:pPr>
        <w:spacing w:after="0" w:line="360" w:lineRule="auto"/>
        <w:ind w:left="567" w:right="567"/>
        <w:rPr>
          <w:rFonts w:eastAsia="Times New Roman" w:cs="Arial"/>
          <w:bCs/>
          <w:i/>
          <w:iCs/>
          <w:color w:val="auto"/>
          <w:sz w:val="20"/>
          <w:lang w:eastAsia="es-ES"/>
        </w:rPr>
      </w:pPr>
      <w:r w:rsidRPr="00841990">
        <w:rPr>
          <w:rFonts w:eastAsia="Times New Roman" w:cs="Arial"/>
          <w:bCs/>
          <w:i/>
          <w:iCs/>
          <w:color w:val="auto"/>
          <w:sz w:val="20"/>
          <w:lang w:eastAsia="es-ES"/>
        </w:rPr>
        <w:t>A través del SAIMEX”</w:t>
      </w:r>
    </w:p>
    <w:p w:rsidRPr="00841990" w:rsidR="00682222" w:rsidP="00F80F48" w:rsidRDefault="00682222" w14:paraId="1DAA8380" w14:textId="77777777">
      <w:pPr>
        <w:spacing w:after="0" w:line="360" w:lineRule="auto"/>
        <w:ind w:left="567" w:right="567"/>
        <w:rPr>
          <w:rFonts w:eastAsia="Times New Roman" w:cs="Arial"/>
          <w:bCs/>
          <w:i/>
          <w:iCs/>
          <w:color w:val="auto"/>
          <w:sz w:val="20"/>
          <w:lang w:eastAsia="es-ES"/>
        </w:rPr>
      </w:pPr>
    </w:p>
    <w:p w:rsidRPr="00841990" w:rsidR="00C853D1" w:rsidP="00F80F48" w:rsidRDefault="00C853D1" w14:paraId="7488ED31" w14:textId="77777777">
      <w:pPr>
        <w:autoSpaceDE w:val="0"/>
        <w:autoSpaceDN w:val="0"/>
        <w:adjustRightInd w:val="0"/>
        <w:spacing w:after="0" w:line="360" w:lineRule="auto"/>
        <w:rPr>
          <w:b/>
          <w:bCs/>
        </w:rPr>
      </w:pPr>
      <w:r w:rsidRPr="00841990">
        <w:rPr>
          <w:rFonts w:cs="Tahoma"/>
          <w:b/>
        </w:rPr>
        <w:t>II.</w:t>
      </w:r>
      <w:r w:rsidRPr="00841990">
        <w:rPr>
          <w:b/>
          <w:bCs/>
        </w:rPr>
        <w:t xml:space="preserve"> Respuesta del Sujeto Obligado. </w:t>
      </w:r>
    </w:p>
    <w:p w:rsidR="0027410D" w:rsidP="00F80F48" w:rsidRDefault="00C853D1" w14:paraId="7C2DC236" w14:textId="5BEA67EE">
      <w:pPr>
        <w:spacing w:after="0" w:line="360" w:lineRule="auto"/>
      </w:pPr>
      <w:r w:rsidRPr="00841990">
        <w:lastRenderedPageBreak/>
        <w:t>Con fecha</w:t>
      </w:r>
      <w:r w:rsidRPr="00841990" w:rsidR="002F68E2">
        <w:t xml:space="preserve"> </w:t>
      </w:r>
      <w:r w:rsidR="00985714">
        <w:t>quince</w:t>
      </w:r>
      <w:r w:rsidR="00005E7C">
        <w:t xml:space="preserve"> de </w:t>
      </w:r>
      <w:r w:rsidR="00985714">
        <w:t>marzo</w:t>
      </w:r>
      <w:r w:rsidRPr="00841990" w:rsidR="002F68E2">
        <w:t xml:space="preserve"> de dos mil veintidós, el Sujeto Obligado notificó, a través del Sistema de Acceso a la Información Mexiquense (SAIMEX), la respuesta a la solicitud de acceso a la información pública, mediante el oficio</w:t>
      </w:r>
      <w:r w:rsidR="00005E7C">
        <w:t xml:space="preserve"> </w:t>
      </w:r>
      <w:r w:rsidRPr="00841990" w:rsidR="00472F9D">
        <w:t>número</w:t>
      </w:r>
      <w:r w:rsidR="00763B92">
        <w:t xml:space="preserve"> 00526/TOLUCA/IP/2022</w:t>
      </w:r>
      <w:r w:rsidRPr="00841990" w:rsidR="00472F9D">
        <w:t>, de la misma fecha</w:t>
      </w:r>
      <w:r w:rsidR="00BC0CBD">
        <w:t xml:space="preserve"> de recepción</w:t>
      </w:r>
      <w:r w:rsidRPr="00841990" w:rsidR="00472F9D">
        <w:t>, suscrito por la Titular de la Unidad de Transparencia y dirigido a la Solicitante</w:t>
      </w:r>
      <w:r w:rsidRPr="00841990" w:rsidR="0027410D">
        <w:t xml:space="preserve">, </w:t>
      </w:r>
      <w:r w:rsidR="00005E7C">
        <w:t xml:space="preserve">por medio del </w:t>
      </w:r>
      <w:r w:rsidR="00BC0CBD">
        <w:t xml:space="preserve">manifestó lo siguiente: </w:t>
      </w:r>
    </w:p>
    <w:p w:rsidR="00BC0CBD" w:rsidP="00F80F48" w:rsidRDefault="00BC0CBD" w14:paraId="4AA20AF3" w14:textId="0BC716CD">
      <w:pPr>
        <w:spacing w:after="0" w:line="360" w:lineRule="auto"/>
      </w:pPr>
    </w:p>
    <w:p w:rsidRPr="007D171D" w:rsidR="00BC0CBD" w:rsidP="007D171D" w:rsidRDefault="00507733" w14:paraId="7B96EAFB" w14:textId="239F05A4">
      <w:pPr>
        <w:spacing w:after="0" w:line="360" w:lineRule="auto"/>
        <w:ind w:left="567" w:right="567"/>
        <w:rPr>
          <w:i/>
          <w:iCs/>
          <w:sz w:val="20"/>
          <w:szCs w:val="20"/>
        </w:rPr>
      </w:pPr>
      <w:r w:rsidRPr="007D171D">
        <w:rPr>
          <w:i/>
          <w:iCs/>
          <w:sz w:val="20"/>
          <w:szCs w:val="20"/>
        </w:rPr>
        <w:t xml:space="preserve">“… hago de su conocimiento </w:t>
      </w:r>
      <w:r w:rsidRPr="007D171D" w:rsidR="00B8591E">
        <w:rPr>
          <w:i/>
          <w:iCs/>
          <w:sz w:val="20"/>
          <w:szCs w:val="20"/>
        </w:rPr>
        <w:t xml:space="preserve">que la </w:t>
      </w:r>
      <w:r w:rsidRPr="007D171D" w:rsidR="00B8591E">
        <w:rPr>
          <w:b/>
          <w:bCs/>
          <w:i/>
          <w:iCs/>
          <w:sz w:val="20"/>
          <w:szCs w:val="20"/>
        </w:rPr>
        <w:t>Directora General de Administración y Servidora Pública Habilitada,</w:t>
      </w:r>
      <w:r w:rsidRPr="007D171D" w:rsidR="00B8591E">
        <w:rPr>
          <w:i/>
          <w:iCs/>
          <w:sz w:val="20"/>
          <w:szCs w:val="20"/>
        </w:rPr>
        <w:t xml:space="preserve"> informo a la que suscribe, por lo que respecta a su solicitud de información pública y después de realizar una búsqueda exhaustiva y minuciosa en la </w:t>
      </w:r>
      <w:r w:rsidRPr="007D171D" w:rsidR="00B8591E">
        <w:rPr>
          <w:b/>
          <w:bCs/>
          <w:i/>
          <w:iCs/>
          <w:sz w:val="20"/>
          <w:szCs w:val="20"/>
        </w:rPr>
        <w:t xml:space="preserve">Dirección de Recursos Humanos, </w:t>
      </w:r>
      <w:r w:rsidRPr="007D171D" w:rsidR="00B8591E">
        <w:rPr>
          <w:i/>
          <w:iCs/>
          <w:sz w:val="20"/>
          <w:szCs w:val="20"/>
        </w:rPr>
        <w:t xml:space="preserve">y para dar atención a la solicitud, al respecto me permito informarle que durante el mes de febrero del año 2022 se realizaron un total de 285 movimientos de personal de base y de confianza, de los cuales 165 corresponden a altas y 120 a bajas. </w:t>
      </w:r>
    </w:p>
    <w:p w:rsidRPr="007D171D" w:rsidR="00B8591E" w:rsidP="007D171D" w:rsidRDefault="00B8591E" w14:paraId="26A83308" w14:textId="1DBA7434">
      <w:pPr>
        <w:spacing w:after="0" w:line="360" w:lineRule="auto"/>
        <w:ind w:left="567" w:right="567"/>
        <w:rPr>
          <w:i/>
          <w:iCs/>
          <w:sz w:val="20"/>
          <w:szCs w:val="20"/>
        </w:rPr>
      </w:pPr>
    </w:p>
    <w:p w:rsidRPr="007D171D" w:rsidR="00B8591E" w:rsidP="007D171D" w:rsidRDefault="00B8591E" w14:paraId="1508AE82" w14:textId="07340322">
      <w:pPr>
        <w:spacing w:after="0" w:line="360" w:lineRule="auto"/>
        <w:ind w:left="567" w:right="567"/>
        <w:rPr>
          <w:i/>
          <w:iCs/>
          <w:sz w:val="20"/>
          <w:szCs w:val="20"/>
        </w:rPr>
      </w:pPr>
      <w:r w:rsidRPr="007D171D">
        <w:rPr>
          <w:i/>
          <w:iCs/>
          <w:sz w:val="20"/>
          <w:szCs w:val="20"/>
        </w:rPr>
        <w:t>Ahora bien</w:t>
      </w:r>
      <w:r w:rsidR="00383C11">
        <w:rPr>
          <w:i/>
          <w:iCs/>
          <w:sz w:val="20"/>
          <w:szCs w:val="20"/>
        </w:rPr>
        <w:t>,</w:t>
      </w:r>
      <w:r w:rsidRPr="007D171D">
        <w:rPr>
          <w:i/>
          <w:iCs/>
          <w:sz w:val="20"/>
          <w:szCs w:val="20"/>
        </w:rPr>
        <w:t xml:space="preserve"> la </w:t>
      </w:r>
      <w:r w:rsidRPr="007D171D">
        <w:rPr>
          <w:b/>
          <w:bCs/>
          <w:i/>
          <w:iCs/>
          <w:sz w:val="20"/>
          <w:szCs w:val="20"/>
        </w:rPr>
        <w:t>Directora General del Instituto Municipal de Cultura Física y Deporte de Toluca</w:t>
      </w:r>
      <w:r w:rsidRPr="007D171D">
        <w:rPr>
          <w:i/>
          <w:iCs/>
          <w:sz w:val="20"/>
          <w:szCs w:val="20"/>
        </w:rPr>
        <w:t xml:space="preserve">, informó a la que suscribe por lo que respecta a lo solicitado </w:t>
      </w:r>
      <w:r w:rsidRPr="007D171D" w:rsidR="00133D89">
        <w:rPr>
          <w:i/>
          <w:iCs/>
          <w:sz w:val="20"/>
          <w:szCs w:val="20"/>
        </w:rPr>
        <w:t xml:space="preserve">le informo lo siguiente: </w:t>
      </w:r>
    </w:p>
    <w:p w:rsidRPr="007D171D" w:rsidR="00ED011D" w:rsidP="007D171D" w:rsidRDefault="00ED011D" w14:paraId="4D780C06" w14:textId="77777777">
      <w:pPr>
        <w:spacing w:after="0" w:line="360" w:lineRule="auto"/>
        <w:ind w:left="567" w:right="567"/>
        <w:rPr>
          <w:i/>
          <w:iCs/>
          <w:noProof/>
          <w:sz w:val="20"/>
          <w:szCs w:val="20"/>
        </w:rPr>
      </w:pPr>
    </w:p>
    <w:p w:rsidRPr="007D171D" w:rsidR="00ED011D" w:rsidP="007D171D" w:rsidRDefault="00ED011D" w14:paraId="0F386B2F" w14:textId="35938462">
      <w:pPr>
        <w:spacing w:after="0" w:line="360" w:lineRule="auto"/>
        <w:ind w:left="567" w:right="567"/>
        <w:jc w:val="center"/>
        <w:rPr>
          <w:i/>
          <w:iCs/>
          <w:sz w:val="20"/>
          <w:szCs w:val="20"/>
        </w:rPr>
      </w:pPr>
      <w:r w:rsidRPr="007D171D">
        <w:rPr>
          <w:i/>
          <w:iCs/>
          <w:noProof/>
          <w:sz w:val="20"/>
          <w:szCs w:val="20"/>
        </w:rPr>
        <w:drawing>
          <wp:inline distT="0" distB="0" distL="0" distR="0" wp14:anchorId="4006FFFC" wp14:editId="70405B96">
            <wp:extent cx="5029200" cy="697189"/>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3512" cy="707491"/>
                    </a:xfrm>
                    <a:prstGeom prst="rect">
                      <a:avLst/>
                    </a:prstGeom>
                    <a:noFill/>
                  </pic:spPr>
                </pic:pic>
              </a:graphicData>
            </a:graphic>
          </wp:inline>
        </w:drawing>
      </w:r>
    </w:p>
    <w:p w:rsidRPr="007D171D" w:rsidR="00005E7C" w:rsidP="007D171D" w:rsidRDefault="00005E7C" w14:paraId="1407EC2C" w14:textId="77F5BDBF">
      <w:pPr>
        <w:spacing w:after="0" w:line="360" w:lineRule="auto"/>
        <w:ind w:left="567" w:right="567"/>
        <w:rPr>
          <w:i/>
          <w:iCs/>
          <w:sz w:val="20"/>
          <w:szCs w:val="20"/>
        </w:rPr>
      </w:pPr>
    </w:p>
    <w:p w:rsidRPr="007D171D" w:rsidR="007D171D" w:rsidP="007D171D" w:rsidRDefault="007D171D" w14:paraId="297D5135" w14:textId="386D5B6A">
      <w:pPr>
        <w:spacing w:after="0" w:line="360" w:lineRule="auto"/>
        <w:ind w:left="567" w:right="567"/>
        <w:rPr>
          <w:i/>
          <w:iCs/>
          <w:sz w:val="20"/>
          <w:szCs w:val="20"/>
        </w:rPr>
      </w:pPr>
      <w:r w:rsidRPr="007D171D">
        <w:rPr>
          <w:i/>
          <w:iCs/>
          <w:sz w:val="20"/>
          <w:szCs w:val="20"/>
        </w:rPr>
        <w:t xml:space="preserve">Asimismo, la </w:t>
      </w:r>
      <w:r w:rsidRPr="007D171D">
        <w:rPr>
          <w:b/>
          <w:bCs/>
          <w:i/>
          <w:iCs/>
          <w:sz w:val="20"/>
          <w:szCs w:val="20"/>
        </w:rPr>
        <w:t xml:space="preserve">Directora General </w:t>
      </w:r>
      <w:bookmarkStart w:name="_Hlk106811416" w:id="0"/>
      <w:r w:rsidRPr="007D171D">
        <w:rPr>
          <w:b/>
          <w:bCs/>
          <w:i/>
          <w:iCs/>
          <w:sz w:val="20"/>
          <w:szCs w:val="20"/>
        </w:rPr>
        <w:t>del Instituto Municipal de la Mujer</w:t>
      </w:r>
      <w:bookmarkEnd w:id="0"/>
      <w:r w:rsidRPr="007D171D">
        <w:rPr>
          <w:b/>
          <w:bCs/>
          <w:i/>
          <w:iCs/>
          <w:sz w:val="20"/>
          <w:szCs w:val="20"/>
        </w:rPr>
        <w:t xml:space="preserve"> de Toluca</w:t>
      </w:r>
      <w:r w:rsidRPr="007D171D">
        <w:rPr>
          <w:i/>
          <w:iCs/>
          <w:sz w:val="20"/>
          <w:szCs w:val="20"/>
        </w:rPr>
        <w:t xml:space="preserve">, informó a la que suscribe respecto a lo solicitado que se adjunta la información en formato </w:t>
      </w:r>
      <w:proofErr w:type="spellStart"/>
      <w:r w:rsidRPr="007D171D">
        <w:rPr>
          <w:i/>
          <w:iCs/>
          <w:sz w:val="20"/>
          <w:szCs w:val="20"/>
        </w:rPr>
        <w:t>pdf</w:t>
      </w:r>
      <w:proofErr w:type="spellEnd"/>
      <w:r w:rsidRPr="007D171D">
        <w:rPr>
          <w:i/>
          <w:iCs/>
          <w:sz w:val="20"/>
          <w:szCs w:val="20"/>
        </w:rPr>
        <w:t xml:space="preserve"> como anexo 1 lo correspondiente. </w:t>
      </w:r>
    </w:p>
    <w:p w:rsidR="007D171D" w:rsidP="007D171D" w:rsidRDefault="007D171D" w14:paraId="5658C9D9" w14:textId="6D2157EB">
      <w:pPr>
        <w:spacing w:after="0" w:line="360" w:lineRule="auto"/>
        <w:ind w:left="567" w:right="567"/>
        <w:rPr>
          <w:i/>
          <w:iCs/>
          <w:sz w:val="20"/>
          <w:szCs w:val="20"/>
        </w:rPr>
      </w:pPr>
      <w:r w:rsidRPr="007D171D">
        <w:rPr>
          <w:i/>
          <w:iCs/>
          <w:sz w:val="20"/>
          <w:szCs w:val="20"/>
        </w:rPr>
        <w:t>…”</w:t>
      </w:r>
    </w:p>
    <w:p w:rsidRPr="007D171D" w:rsidR="00C14652" w:rsidP="007D171D" w:rsidRDefault="00C14652" w14:paraId="3336B25B" w14:textId="77777777">
      <w:pPr>
        <w:spacing w:after="0" w:line="360" w:lineRule="auto"/>
        <w:ind w:left="567" w:right="567"/>
        <w:rPr>
          <w:i/>
          <w:iCs/>
          <w:sz w:val="20"/>
          <w:szCs w:val="20"/>
        </w:rPr>
      </w:pPr>
    </w:p>
    <w:p w:rsidR="0027410D" w:rsidP="00005E7C" w:rsidRDefault="00F80F48" w14:paraId="5A53D0C3" w14:textId="7B1852FA">
      <w:pPr>
        <w:spacing w:after="0" w:line="360" w:lineRule="auto"/>
        <w:rPr>
          <w:rFonts w:eastAsia="Calibri" w:cs="Tahoma"/>
        </w:rPr>
      </w:pPr>
      <w:r>
        <w:t>E</w:t>
      </w:r>
      <w:r w:rsidRPr="00841990" w:rsidR="00A662F3">
        <w:t xml:space="preserve">l </w:t>
      </w:r>
      <w:r w:rsidR="00C14652">
        <w:rPr>
          <w:rFonts w:eastAsia="Calibri" w:cs="Tahoma"/>
        </w:rPr>
        <w:t>Sujeto Obligado</w:t>
      </w:r>
      <w:r w:rsidRPr="00841990" w:rsidR="00A662F3">
        <w:rPr>
          <w:rFonts w:eastAsia="Calibri" w:cs="Tahoma"/>
        </w:rPr>
        <w:t>, adjunt</w:t>
      </w:r>
      <w:r>
        <w:rPr>
          <w:rFonts w:eastAsia="Calibri" w:cs="Tahoma"/>
        </w:rPr>
        <w:t>ó</w:t>
      </w:r>
      <w:r w:rsidRPr="00841990" w:rsidR="00A662F3">
        <w:rPr>
          <w:rFonts w:eastAsia="Calibri" w:cs="Tahoma"/>
        </w:rPr>
        <w:t xml:space="preserve"> la digitalización </w:t>
      </w:r>
      <w:r w:rsidR="00C14652">
        <w:rPr>
          <w:rFonts w:eastAsia="Calibri" w:cs="Tahoma"/>
        </w:rPr>
        <w:t>de la siguiente relación:</w:t>
      </w:r>
    </w:p>
    <w:p w:rsidR="009C6891" w:rsidP="00005E7C" w:rsidRDefault="009C6891" w14:paraId="6CD2947B" w14:textId="77777777">
      <w:pPr>
        <w:spacing w:after="0" w:line="360" w:lineRule="auto"/>
        <w:rPr>
          <w:noProof/>
        </w:rPr>
      </w:pPr>
    </w:p>
    <w:p w:rsidRPr="00841990" w:rsidR="009C6891" w:rsidP="009C6891" w:rsidRDefault="009C6891" w14:paraId="2B1A2B92" w14:textId="0F8E9ABA">
      <w:pPr>
        <w:spacing w:after="0" w:line="360" w:lineRule="auto"/>
        <w:jc w:val="center"/>
        <w:rPr>
          <w:i/>
          <w:iCs/>
          <w:sz w:val="20"/>
          <w:szCs w:val="20"/>
        </w:rPr>
      </w:pPr>
      <w:r>
        <w:rPr>
          <w:noProof/>
        </w:rPr>
        <w:lastRenderedPageBreak/>
        <w:drawing>
          <wp:inline distT="0" distB="0" distL="0" distR="0" wp14:anchorId="23B63E99" wp14:editId="315F5458">
            <wp:extent cx="3783657" cy="84645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827" t="45426" r="34169" b="31096"/>
                    <a:stretch/>
                  </pic:blipFill>
                  <pic:spPr bwMode="auto">
                    <a:xfrm>
                      <a:off x="0" y="0"/>
                      <a:ext cx="3787737" cy="847368"/>
                    </a:xfrm>
                    <a:prstGeom prst="rect">
                      <a:avLst/>
                    </a:prstGeom>
                    <a:ln>
                      <a:noFill/>
                    </a:ln>
                    <a:extLst>
                      <a:ext uri="{53640926-AAD7-44D8-BBD7-CCE9431645EC}">
                        <a14:shadowObscured xmlns:a14="http://schemas.microsoft.com/office/drawing/2010/main"/>
                      </a:ext>
                    </a:extLst>
                  </pic:spPr>
                </pic:pic>
              </a:graphicData>
            </a:graphic>
          </wp:inline>
        </w:drawing>
      </w:r>
    </w:p>
    <w:p w:rsidRPr="00841990" w:rsidR="00C853D1" w:rsidP="00F80F48" w:rsidRDefault="00C853D1" w14:paraId="5A132506" w14:textId="77777777">
      <w:pPr>
        <w:spacing w:after="0" w:line="360" w:lineRule="auto"/>
        <w:ind w:right="567"/>
      </w:pPr>
    </w:p>
    <w:p w:rsidRPr="00841990" w:rsidR="00C853D1" w:rsidP="00F80F48" w:rsidRDefault="00C853D1" w14:paraId="2B803E22" w14:textId="77777777">
      <w:pPr>
        <w:spacing w:after="0" w:line="360" w:lineRule="auto"/>
        <w:rPr>
          <w:b/>
        </w:rPr>
      </w:pPr>
      <w:r w:rsidRPr="00841990">
        <w:rPr>
          <w:b/>
        </w:rPr>
        <w:t xml:space="preserve">III. Interposición del Recurso de Revisión. </w:t>
      </w:r>
    </w:p>
    <w:p w:rsidRPr="00841990" w:rsidR="00C853D1" w:rsidP="00F80F48" w:rsidRDefault="00C853D1" w14:paraId="71DC67DA" w14:textId="77777777">
      <w:pPr>
        <w:spacing w:after="0" w:line="360" w:lineRule="auto"/>
        <w:rPr>
          <w:bCs/>
        </w:rPr>
      </w:pPr>
    </w:p>
    <w:p w:rsidRPr="00841990" w:rsidR="00C853D1" w:rsidP="00F80F48" w:rsidRDefault="00C853D1" w14:paraId="2F891DAB" w14:textId="7D3B491B">
      <w:pPr>
        <w:spacing w:after="0" w:line="360" w:lineRule="auto"/>
        <w:rPr>
          <w:bCs/>
        </w:rPr>
      </w:pPr>
      <w:r w:rsidRPr="00841990">
        <w:rPr>
          <w:bCs/>
        </w:rPr>
        <w:t>Con fecha</w:t>
      </w:r>
      <w:r w:rsidRPr="00841990" w:rsidR="00827B0C">
        <w:rPr>
          <w:bCs/>
        </w:rPr>
        <w:t xml:space="preserve"> </w:t>
      </w:r>
      <w:r w:rsidR="00E861B9">
        <w:rPr>
          <w:bCs/>
        </w:rPr>
        <w:t>quince</w:t>
      </w:r>
      <w:r w:rsidRPr="00841990" w:rsidR="00D43AC0">
        <w:rPr>
          <w:bCs/>
        </w:rPr>
        <w:t xml:space="preserve"> de </w:t>
      </w:r>
      <w:r w:rsidR="00E861B9">
        <w:rPr>
          <w:bCs/>
        </w:rPr>
        <w:t>marzo</w:t>
      </w:r>
      <w:r w:rsidRPr="00841990" w:rsidR="00D43AC0">
        <w:rPr>
          <w:bCs/>
        </w:rPr>
        <w:t xml:space="preserve"> de dos mil veintidós</w:t>
      </w:r>
      <w:r w:rsidRPr="00841990">
        <w:rPr>
          <w:bCs/>
        </w:rPr>
        <w:t xml:space="preserve">, se recibió en este Instituto, a través del </w:t>
      </w:r>
      <w:r w:rsidRPr="00841990">
        <w:rPr>
          <w:bCs/>
          <w:lang w:val="es-ES"/>
        </w:rPr>
        <w:t>Sistema de Acceso a la Información Mexiquense (SAIMEX)</w:t>
      </w:r>
      <w:r w:rsidRPr="00841990">
        <w:rPr>
          <w:bCs/>
        </w:rPr>
        <w:t>, Recurso de Revisión interpuesto por la parte Recurrente, en contra de la respuesta por el Sujeto Obligado, a la solicitud de información, en los siguientes términos:</w:t>
      </w:r>
    </w:p>
    <w:p w:rsidRPr="00841990" w:rsidR="00C853D1" w:rsidP="00F80F48" w:rsidRDefault="00C853D1" w14:paraId="3A43EC2F" w14:textId="77777777">
      <w:pPr>
        <w:spacing w:after="0" w:line="360" w:lineRule="auto"/>
        <w:rPr>
          <w:bCs/>
        </w:rPr>
      </w:pPr>
    </w:p>
    <w:p w:rsidRPr="00841990" w:rsidR="00C853D1" w:rsidP="00F80F48" w:rsidRDefault="00C853D1" w14:paraId="5AC8905A" w14:textId="77777777">
      <w:pPr>
        <w:spacing w:after="0" w:line="360" w:lineRule="auto"/>
        <w:ind w:left="567" w:right="567"/>
        <w:rPr>
          <w:bCs/>
          <w:i/>
          <w:sz w:val="20"/>
          <w:szCs w:val="20"/>
        </w:rPr>
      </w:pPr>
      <w:r w:rsidRPr="00841990">
        <w:rPr>
          <w:b/>
          <w:bCs/>
          <w:i/>
          <w:sz w:val="20"/>
          <w:szCs w:val="20"/>
        </w:rPr>
        <w:t>“ACTO IMPUGNADO</w:t>
      </w:r>
    </w:p>
    <w:p w:rsidRPr="00841990" w:rsidR="00C853D1" w:rsidP="00F80F48" w:rsidRDefault="00E861B9" w14:paraId="5B56BF42" w14:textId="655C33D5">
      <w:pPr>
        <w:spacing w:after="0" w:line="360" w:lineRule="auto"/>
        <w:ind w:left="567" w:right="567"/>
        <w:rPr>
          <w:i/>
          <w:sz w:val="20"/>
          <w:szCs w:val="20"/>
        </w:rPr>
      </w:pPr>
      <w:r w:rsidRPr="00E861B9">
        <w:rPr>
          <w:i/>
          <w:sz w:val="20"/>
          <w:szCs w:val="20"/>
        </w:rPr>
        <w:t>RESPUESTA INCOMPLETA</w:t>
      </w:r>
      <w:r w:rsidR="004D5266">
        <w:rPr>
          <w:i/>
          <w:sz w:val="20"/>
          <w:szCs w:val="20"/>
        </w:rPr>
        <w:t xml:space="preserve">” </w:t>
      </w:r>
      <w:r w:rsidRPr="00841990" w:rsidR="00C853D1">
        <w:rPr>
          <w:i/>
          <w:sz w:val="20"/>
          <w:szCs w:val="20"/>
        </w:rPr>
        <w:t>(Sic.)</w:t>
      </w:r>
    </w:p>
    <w:p w:rsidRPr="00841990" w:rsidR="00C853D1" w:rsidP="00F80F48" w:rsidRDefault="00C853D1" w14:paraId="29F43CC4" w14:textId="77777777">
      <w:pPr>
        <w:spacing w:after="0" w:line="360" w:lineRule="auto"/>
        <w:ind w:left="567" w:right="567"/>
        <w:rPr>
          <w:i/>
          <w:sz w:val="20"/>
          <w:szCs w:val="20"/>
        </w:rPr>
      </w:pPr>
    </w:p>
    <w:p w:rsidRPr="00841990" w:rsidR="00C853D1" w:rsidP="00F80F48" w:rsidRDefault="00C853D1" w14:paraId="19CBF35D" w14:textId="77777777">
      <w:pPr>
        <w:spacing w:after="0" w:line="360" w:lineRule="auto"/>
        <w:ind w:left="567" w:right="567"/>
        <w:rPr>
          <w:b/>
          <w:i/>
          <w:sz w:val="20"/>
          <w:szCs w:val="20"/>
        </w:rPr>
      </w:pPr>
      <w:r w:rsidRPr="00841990">
        <w:rPr>
          <w:b/>
          <w:i/>
          <w:sz w:val="20"/>
          <w:szCs w:val="20"/>
        </w:rPr>
        <w:t>“RAZONES O MOTIVOS DE LA INCONFORMIDAD</w:t>
      </w:r>
    </w:p>
    <w:p w:rsidRPr="00841990" w:rsidR="00C853D1" w:rsidP="00F80F48" w:rsidRDefault="00E861B9" w14:paraId="4043E730" w14:textId="0BCFB98B">
      <w:pPr>
        <w:spacing w:after="0" w:line="360" w:lineRule="auto"/>
        <w:ind w:left="567" w:right="567"/>
        <w:rPr>
          <w:i/>
          <w:sz w:val="20"/>
          <w:szCs w:val="20"/>
        </w:rPr>
      </w:pPr>
      <w:r w:rsidRPr="00E861B9">
        <w:rPr>
          <w:i/>
          <w:sz w:val="20"/>
          <w:szCs w:val="20"/>
        </w:rPr>
        <w:t>RESPUESTA INCOMPLETA</w:t>
      </w:r>
      <w:r w:rsidRPr="00841990" w:rsidR="00C853D1">
        <w:rPr>
          <w:i/>
          <w:sz w:val="20"/>
          <w:szCs w:val="20"/>
        </w:rPr>
        <w:t>” (Sic.)</w:t>
      </w:r>
    </w:p>
    <w:p w:rsidRPr="00841990" w:rsidR="00682222" w:rsidP="00F80F48" w:rsidRDefault="00682222" w14:paraId="08852F84" w14:textId="77777777">
      <w:pPr>
        <w:spacing w:after="0" w:line="360" w:lineRule="auto"/>
      </w:pPr>
    </w:p>
    <w:p w:rsidRPr="00841990" w:rsidR="00C853D1" w:rsidP="00F80F48" w:rsidRDefault="00C853D1" w14:paraId="5CD0FCF6" w14:textId="77777777">
      <w:pPr>
        <w:spacing w:after="0" w:line="360" w:lineRule="auto"/>
        <w:rPr>
          <w:b/>
          <w:bCs/>
        </w:rPr>
      </w:pPr>
      <w:r w:rsidRPr="00841990">
        <w:rPr>
          <w:b/>
        </w:rPr>
        <w:t xml:space="preserve">IV. </w:t>
      </w:r>
      <w:r w:rsidRPr="00841990">
        <w:rPr>
          <w:b/>
          <w:bCs/>
        </w:rPr>
        <w:t xml:space="preserve">Trámite del </w:t>
      </w:r>
      <w:r w:rsidRPr="00841990">
        <w:rPr>
          <w:b/>
        </w:rPr>
        <w:t xml:space="preserve">Recurso de Revisión </w:t>
      </w:r>
      <w:r w:rsidRPr="00841990">
        <w:rPr>
          <w:b/>
          <w:bCs/>
        </w:rPr>
        <w:t>ante este Instituto.</w:t>
      </w:r>
    </w:p>
    <w:p w:rsidRPr="00841990" w:rsidR="00C853D1" w:rsidP="00F80F48" w:rsidRDefault="00C853D1" w14:paraId="58854E98" w14:textId="77777777">
      <w:pPr>
        <w:spacing w:after="0" w:line="360" w:lineRule="auto"/>
        <w:rPr>
          <w:b/>
          <w:bCs/>
        </w:rPr>
      </w:pPr>
    </w:p>
    <w:p w:rsidRPr="00841990" w:rsidR="00C853D1" w:rsidP="00F80F48" w:rsidRDefault="00C853D1" w14:paraId="0D250646" w14:textId="463A7744">
      <w:pPr>
        <w:spacing w:after="0" w:line="360" w:lineRule="auto"/>
        <w:rPr>
          <w:b/>
          <w:bCs/>
        </w:rPr>
      </w:pPr>
      <w:r w:rsidRPr="00841990">
        <w:rPr>
          <w:b/>
          <w:bCs/>
        </w:rPr>
        <w:t xml:space="preserve">a) Turno del Medio de Impugnación. </w:t>
      </w:r>
      <w:r w:rsidRPr="00841990">
        <w:rPr>
          <w:bCs/>
        </w:rPr>
        <w:t xml:space="preserve">El </w:t>
      </w:r>
      <w:r w:rsidR="00E861B9">
        <w:rPr>
          <w:bCs/>
        </w:rPr>
        <w:t>quince</w:t>
      </w:r>
      <w:r w:rsidRPr="00841990" w:rsidR="00DB4728">
        <w:rPr>
          <w:bCs/>
        </w:rPr>
        <w:t xml:space="preserve"> de </w:t>
      </w:r>
      <w:r w:rsidR="00E861B9">
        <w:rPr>
          <w:bCs/>
        </w:rPr>
        <w:t>marzo</w:t>
      </w:r>
      <w:r w:rsidRPr="00841990" w:rsidR="00DB4728">
        <w:rPr>
          <w:bCs/>
        </w:rPr>
        <w:t xml:space="preserve"> de dos mil veintidós</w:t>
      </w:r>
      <w:r w:rsidRPr="00841990">
        <w:rPr>
          <w:bCs/>
        </w:rPr>
        <w:t xml:space="preserve">, el </w:t>
      </w:r>
      <w:r w:rsidRPr="00841990">
        <w:rPr>
          <w:lang w:val="es-ES"/>
        </w:rPr>
        <w:t>Sistema de Acceso a la Información Mexiquense (SAIMEX),</w:t>
      </w:r>
      <w:r w:rsidRPr="00841990">
        <w:rPr>
          <w:bCs/>
        </w:rPr>
        <w:t xml:space="preserve"> asignó el número de expediente </w:t>
      </w:r>
      <w:r w:rsidRPr="00E861B9" w:rsidR="00E861B9">
        <w:rPr>
          <w:b/>
          <w:bCs/>
        </w:rPr>
        <w:t>03961/INFOEM/IP/RR/2022</w:t>
      </w:r>
      <w:r w:rsidRPr="00841990">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841990" w:rsidR="00C853D1" w:rsidP="00F80F48" w:rsidRDefault="00C853D1" w14:paraId="606E51DE" w14:textId="77777777">
      <w:pPr>
        <w:spacing w:after="0" w:line="360" w:lineRule="auto"/>
        <w:rPr>
          <w:bCs/>
        </w:rPr>
      </w:pPr>
    </w:p>
    <w:p w:rsidRPr="00841990" w:rsidR="00C853D1" w:rsidP="00F80F48" w:rsidRDefault="00C853D1" w14:paraId="03479276" w14:textId="2AF9968C">
      <w:pPr>
        <w:spacing w:after="0" w:line="360" w:lineRule="auto"/>
      </w:pPr>
      <w:r w:rsidRPr="00841990">
        <w:rPr>
          <w:b/>
          <w:bCs/>
        </w:rPr>
        <w:lastRenderedPageBreak/>
        <w:t>b) Admisión del Recurso de Revisión</w:t>
      </w:r>
      <w:r w:rsidRPr="00841990">
        <w:rPr>
          <w:b/>
          <w:bCs/>
          <w:lang w:val="es-ES_tradnl"/>
        </w:rPr>
        <w:t xml:space="preserve">. </w:t>
      </w:r>
      <w:r w:rsidRPr="00841990">
        <w:rPr>
          <w:bCs/>
          <w:lang w:val="es-ES_tradnl"/>
        </w:rPr>
        <w:t xml:space="preserve">El </w:t>
      </w:r>
      <w:r w:rsidR="00E861B9">
        <w:rPr>
          <w:bCs/>
          <w:lang w:val="es-ES_tradnl"/>
        </w:rPr>
        <w:t>dieciocho</w:t>
      </w:r>
      <w:r w:rsidRPr="00841990" w:rsidR="000403C2">
        <w:rPr>
          <w:bCs/>
          <w:lang w:val="es-ES_tradnl"/>
        </w:rPr>
        <w:t xml:space="preserve"> de marzo de dos mil veintidós</w:t>
      </w:r>
      <w:r w:rsidRPr="00841990">
        <w:rPr>
          <w:bCs/>
          <w:lang w:val="es-ES_tradnl"/>
        </w:rPr>
        <w:t xml:space="preserve">, se acordó la admisión del Recurso de Revisión interpuesto por </w:t>
      </w:r>
      <w:r w:rsidR="005B1631">
        <w:rPr>
          <w:bCs/>
          <w:lang w:val="es-ES_tradnl"/>
        </w:rPr>
        <w:t>la</w:t>
      </w:r>
      <w:r w:rsidRPr="00841990">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el </w:t>
      </w:r>
      <w:r w:rsidR="00E861B9">
        <w:rPr>
          <w:bCs/>
          <w:lang w:val="es-ES_tradnl"/>
        </w:rPr>
        <w:t>veintidós de dicho mes y año</w:t>
      </w:r>
      <w:r w:rsidRPr="00841990">
        <w:rPr>
          <w:bCs/>
          <w:lang w:val="es-ES_tradnl"/>
        </w:rPr>
        <w:t>, a través del Sistema de Acceso a la Información Mexiquense (SAIMEX), en el que se les otorgó un plazo de siete días hábiles posteriores a la misma, para que manifestaran lo que a su derecho conviniera y formularan alegatos.</w:t>
      </w:r>
    </w:p>
    <w:p w:rsidRPr="00841990" w:rsidR="00C853D1" w:rsidP="00F80F48" w:rsidRDefault="00C853D1" w14:paraId="6BCA600D" w14:textId="77777777">
      <w:pPr>
        <w:spacing w:after="0" w:line="360" w:lineRule="auto"/>
      </w:pPr>
    </w:p>
    <w:p w:rsidR="009B426E" w:rsidP="009B426E" w:rsidRDefault="00C853D1" w14:paraId="581BD9BF" w14:textId="2B87A035">
      <w:pPr>
        <w:tabs>
          <w:tab w:val="center" w:pos="4522"/>
        </w:tabs>
        <w:spacing w:line="360" w:lineRule="auto"/>
        <w:contextualSpacing/>
        <w:rPr>
          <w:bCs/>
          <w:lang w:val="es-ES_tradnl"/>
        </w:rPr>
      </w:pPr>
      <w:r w:rsidRPr="00841990">
        <w:rPr>
          <w:b/>
        </w:rPr>
        <w:t xml:space="preserve">c) </w:t>
      </w:r>
      <w:r w:rsidRPr="009F26B2" w:rsidR="009B426E">
        <w:rPr>
          <w:rFonts w:eastAsia="Batang" w:cs="Tahoma"/>
          <w:b/>
          <w:bCs/>
          <w:lang w:val="es-ES_tradnl"/>
        </w:rPr>
        <w:t>Informe Justificado o manifestaciones</w:t>
      </w:r>
      <w:r w:rsidRPr="009F26B2" w:rsidR="009B426E">
        <w:rPr>
          <w:b/>
          <w:lang w:val="es-ES_tradnl"/>
        </w:rPr>
        <w:t xml:space="preserve">. </w:t>
      </w:r>
      <w:r w:rsidR="00D059E5">
        <w:rPr>
          <w:bCs/>
          <w:lang w:val="es-ES_tradnl"/>
        </w:rPr>
        <w:t xml:space="preserve">El treinta y uno de marzo de dos mil veintidós, se recibió, a través de Sistema de Acceso a la Información Mexiquense (SAIMEX), el Informe Justificado del Sujeto Obligado, mediante oficio número UT/RR/00165/2022, signado por el Titular de la Unidad de Transparencia y dirigido al Comisionado Ponente, por medio del cual ratifica su respuesta. </w:t>
      </w:r>
    </w:p>
    <w:p w:rsidR="000E7F83" w:rsidP="009B426E" w:rsidRDefault="000E7F83" w14:paraId="0D19EB9F" w14:textId="77777777">
      <w:pPr>
        <w:tabs>
          <w:tab w:val="center" w:pos="4522"/>
        </w:tabs>
        <w:spacing w:line="360" w:lineRule="auto"/>
        <w:contextualSpacing/>
        <w:rPr>
          <w:bCs/>
          <w:lang w:val="es-ES_tradnl"/>
        </w:rPr>
      </w:pPr>
    </w:p>
    <w:p w:rsidR="000E7F83" w:rsidP="000E7F83" w:rsidRDefault="000E7F83" w14:paraId="5DAA929B" w14:textId="426BCA17">
      <w:pPr>
        <w:spacing w:after="0" w:line="360" w:lineRule="auto"/>
        <w:rPr>
          <w:rFonts w:eastAsia="Times New Roman" w:cs="Tahoma"/>
          <w:bCs/>
          <w:color w:val="auto"/>
          <w:lang w:val="es-ES" w:eastAsia="es-ES"/>
        </w:rPr>
      </w:pPr>
      <w:r w:rsidRPr="000E7F83">
        <w:rPr>
          <w:rFonts w:eastAsia="Calibri" w:cs="Tahoma"/>
          <w:b/>
          <w:bCs/>
        </w:rPr>
        <w:t xml:space="preserve">d) </w:t>
      </w:r>
      <w:r w:rsidRPr="000E7F83">
        <w:rPr>
          <w:rFonts w:eastAsia="Times New Roman" w:cs="Tahoma"/>
          <w:b/>
          <w:bCs/>
          <w:color w:val="auto"/>
          <w:lang w:val="es-ES" w:eastAsia="es-ES"/>
        </w:rPr>
        <w:t xml:space="preserve">Ampliación de plazo para resolver. </w:t>
      </w:r>
      <w:r w:rsidRPr="000E7F83">
        <w:rPr>
          <w:rFonts w:eastAsia="Times New Roman" w:cs="Tahoma"/>
          <w:bCs/>
          <w:color w:val="auto"/>
          <w:lang w:val="es-ES" w:eastAsia="es-ES"/>
        </w:rPr>
        <w:t>El seis de mayo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0E7F83" w:rsidR="00E34225" w:rsidP="000E7F83" w:rsidRDefault="00E34225" w14:paraId="3C34BF34" w14:textId="77777777">
      <w:pPr>
        <w:spacing w:after="0" w:line="360" w:lineRule="auto"/>
        <w:rPr>
          <w:rFonts w:eastAsia="Times New Roman" w:cs="Tahoma"/>
          <w:bCs/>
          <w:color w:val="auto"/>
          <w:lang w:val="es-ES" w:eastAsia="es-ES"/>
        </w:rPr>
      </w:pPr>
    </w:p>
    <w:p w:rsidRPr="00E34225" w:rsidR="00E34225" w:rsidP="00E34225" w:rsidRDefault="00E34225" w14:paraId="718B79FD" w14:textId="77777777">
      <w:pPr>
        <w:tabs>
          <w:tab w:val="center" w:pos="4522"/>
        </w:tabs>
        <w:spacing w:line="360" w:lineRule="auto"/>
        <w:contextualSpacing/>
        <w:rPr>
          <w:bCs/>
          <w:lang w:val="es-ES_tradnl"/>
        </w:rPr>
      </w:pPr>
      <w:r w:rsidRPr="00E34225">
        <w:rPr>
          <w:bCs/>
          <w:lang w:val="es-ES_tradn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E34225" w:rsidR="00E34225" w:rsidP="00E34225" w:rsidRDefault="00E34225" w14:paraId="0ED3CEDB" w14:textId="26C3466A">
      <w:pPr>
        <w:tabs>
          <w:tab w:val="center" w:pos="4522"/>
        </w:tabs>
        <w:spacing w:line="360" w:lineRule="auto"/>
        <w:contextualSpacing/>
        <w:rPr>
          <w:bCs/>
          <w:lang w:val="es-ES_tradnl"/>
        </w:rPr>
      </w:pPr>
    </w:p>
    <w:p w:rsidRPr="00E34225" w:rsidR="00E34225" w:rsidP="00E34225" w:rsidRDefault="00E34225" w14:paraId="6EB3696B" w14:textId="77777777">
      <w:pPr>
        <w:tabs>
          <w:tab w:val="center" w:pos="4522"/>
        </w:tabs>
        <w:spacing w:line="360" w:lineRule="auto"/>
        <w:contextualSpacing/>
        <w:rPr>
          <w:bCs/>
          <w:lang w:val="es-ES_tradnl"/>
        </w:rPr>
      </w:pPr>
      <w:r w:rsidRPr="00E34225">
        <w:rPr>
          <w:bCs/>
          <w:lang w:val="es-ES_tradn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E34225" w:rsidR="00E34225" w:rsidP="00E34225" w:rsidRDefault="00E34225" w14:paraId="73E0211C" w14:textId="6D352456">
      <w:pPr>
        <w:tabs>
          <w:tab w:val="center" w:pos="4522"/>
        </w:tabs>
        <w:spacing w:line="360" w:lineRule="auto"/>
        <w:contextualSpacing/>
        <w:rPr>
          <w:bCs/>
          <w:lang w:val="es-ES_tradnl"/>
        </w:rPr>
      </w:pPr>
    </w:p>
    <w:p w:rsidRPr="00E34225" w:rsidR="00E34225" w:rsidP="00E34225" w:rsidRDefault="00E34225" w14:paraId="78631718" w14:textId="77777777">
      <w:pPr>
        <w:tabs>
          <w:tab w:val="center" w:pos="4522"/>
        </w:tabs>
        <w:spacing w:line="360" w:lineRule="auto"/>
        <w:contextualSpacing/>
        <w:rPr>
          <w:bCs/>
          <w:lang w:val="es-ES_tradnl"/>
        </w:rPr>
      </w:pPr>
      <w:r w:rsidRPr="00E34225">
        <w:rPr>
          <w:bCs/>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E34225" w:rsidR="00E34225" w:rsidP="00E34225" w:rsidRDefault="00E34225" w14:paraId="0C79F187" w14:textId="77777777">
      <w:pPr>
        <w:tabs>
          <w:tab w:val="center" w:pos="4522"/>
        </w:tabs>
        <w:spacing w:line="360" w:lineRule="auto"/>
        <w:contextualSpacing/>
        <w:rPr>
          <w:bCs/>
          <w:lang w:val="es-ES_tradnl"/>
        </w:rPr>
      </w:pPr>
      <w:r w:rsidRPr="00E34225">
        <w:rPr>
          <w:bCs/>
          <w:lang w:val="es-ES_tradnl"/>
        </w:rPr>
        <w:t xml:space="preserve"> </w:t>
      </w:r>
    </w:p>
    <w:p w:rsidRPr="00E34225" w:rsidR="00E34225" w:rsidP="00E34225" w:rsidRDefault="00E34225" w14:paraId="3D337A9F" w14:textId="77777777">
      <w:pPr>
        <w:tabs>
          <w:tab w:val="center" w:pos="4522"/>
        </w:tabs>
        <w:spacing w:line="360" w:lineRule="auto"/>
        <w:contextualSpacing/>
        <w:rPr>
          <w:bCs/>
          <w:lang w:val="es-ES_tradnl"/>
        </w:rPr>
      </w:pPr>
      <w:r w:rsidRPr="00E34225">
        <w:rPr>
          <w:bCs/>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E34225" w:rsidR="00E34225" w:rsidP="00E34225" w:rsidRDefault="00E34225" w14:paraId="7AF3F089" w14:textId="6C1B836C">
      <w:pPr>
        <w:tabs>
          <w:tab w:val="center" w:pos="4522"/>
        </w:tabs>
        <w:spacing w:line="360" w:lineRule="auto"/>
        <w:contextualSpacing/>
        <w:rPr>
          <w:bCs/>
          <w:lang w:val="es-ES_tradnl"/>
        </w:rPr>
      </w:pPr>
    </w:p>
    <w:p w:rsidRPr="00E34225" w:rsidR="00E34225" w:rsidP="00E34225" w:rsidRDefault="00E34225" w14:paraId="7B5FC29C" w14:textId="77777777">
      <w:pPr>
        <w:tabs>
          <w:tab w:val="center" w:pos="4522"/>
        </w:tabs>
        <w:spacing w:line="360" w:lineRule="auto"/>
        <w:contextualSpacing/>
        <w:rPr>
          <w:bCs/>
          <w:lang w:val="es-ES_tradnl"/>
        </w:rPr>
      </w:pPr>
      <w:r w:rsidRPr="00E34225">
        <w:rPr>
          <w:bCs/>
          <w:lang w:val="es-ES_tradnl"/>
        </w:rPr>
        <w:t xml:space="preserve">Por ello, excepcionalmente, si un asunto es resuelto con posterioridad a los plazos señalados por la norma debe analizarse la razonabilidad del tiempo necesario para su resolución, atentos a los siguientes criterios:  </w:t>
      </w:r>
    </w:p>
    <w:p w:rsidRPr="00E34225" w:rsidR="00E34225" w:rsidP="00E34225" w:rsidRDefault="00E34225" w14:paraId="23B9CAD7" w14:textId="010D08E9">
      <w:pPr>
        <w:tabs>
          <w:tab w:val="center" w:pos="4522"/>
        </w:tabs>
        <w:spacing w:line="360" w:lineRule="auto"/>
        <w:contextualSpacing/>
        <w:rPr>
          <w:bCs/>
          <w:lang w:val="es-ES_tradnl"/>
        </w:rPr>
      </w:pPr>
    </w:p>
    <w:p w:rsidRPr="00E34225" w:rsidR="00E34225" w:rsidP="00E34225" w:rsidRDefault="00E34225" w14:paraId="29A770CD" w14:textId="77777777">
      <w:pPr>
        <w:tabs>
          <w:tab w:val="center" w:pos="4522"/>
        </w:tabs>
        <w:spacing w:line="360" w:lineRule="auto"/>
        <w:contextualSpacing/>
        <w:rPr>
          <w:bCs/>
          <w:lang w:val="es-ES_tradnl"/>
        </w:rPr>
      </w:pPr>
      <w:r w:rsidRPr="00E34225">
        <w:rPr>
          <w:bCs/>
          <w:lang w:val="es-ES_tradnl"/>
        </w:rPr>
        <w:t>a)      Complejidad del asunto: La complejidad de la prueba, la pluralidad de sujetos procesales, el tiempo transcurrido, las características y contexto del recurso.</w:t>
      </w:r>
    </w:p>
    <w:p w:rsidRPr="00E34225" w:rsidR="00E34225" w:rsidP="00E34225" w:rsidRDefault="00E34225" w14:paraId="179F2205" w14:textId="77777777">
      <w:pPr>
        <w:tabs>
          <w:tab w:val="center" w:pos="4522"/>
        </w:tabs>
        <w:spacing w:line="360" w:lineRule="auto"/>
        <w:contextualSpacing/>
        <w:rPr>
          <w:bCs/>
          <w:lang w:val="es-ES_tradnl"/>
        </w:rPr>
      </w:pPr>
      <w:r w:rsidRPr="00E34225">
        <w:rPr>
          <w:bCs/>
          <w:lang w:val="es-ES_tradnl"/>
        </w:rPr>
        <w:t>b)     Actividad Procesal del interesado: Acciones u omisiones del interesado.</w:t>
      </w:r>
    </w:p>
    <w:p w:rsidRPr="00E34225" w:rsidR="00E34225" w:rsidP="00E34225" w:rsidRDefault="00E34225" w14:paraId="4EE8E079" w14:textId="77777777">
      <w:pPr>
        <w:tabs>
          <w:tab w:val="center" w:pos="4522"/>
        </w:tabs>
        <w:spacing w:line="360" w:lineRule="auto"/>
        <w:contextualSpacing/>
        <w:rPr>
          <w:bCs/>
          <w:lang w:val="es-ES_tradnl"/>
        </w:rPr>
      </w:pPr>
      <w:r w:rsidRPr="00E34225">
        <w:rPr>
          <w:bCs/>
          <w:lang w:val="es-ES_tradnl"/>
        </w:rPr>
        <w:t>c)      Conducta de la Autoridad: Las Acciones u omisiones realizadas en el procedimiento. Así como si la autoridad actuó con la debida diligencia.</w:t>
      </w:r>
    </w:p>
    <w:p w:rsidRPr="00E34225" w:rsidR="00E34225" w:rsidP="00E34225" w:rsidRDefault="00E34225" w14:paraId="56F866CF" w14:textId="77777777">
      <w:pPr>
        <w:tabs>
          <w:tab w:val="center" w:pos="4522"/>
        </w:tabs>
        <w:spacing w:line="360" w:lineRule="auto"/>
        <w:contextualSpacing/>
        <w:rPr>
          <w:bCs/>
          <w:lang w:val="es-ES_tradnl"/>
        </w:rPr>
      </w:pPr>
      <w:r w:rsidRPr="00E34225">
        <w:rPr>
          <w:bCs/>
          <w:lang w:val="es-ES_tradnl"/>
        </w:rPr>
        <w:t>d) La afectación generada en la situación jurídica de la persona involucrada en el proceso: Violación a sus derechos humanos.</w:t>
      </w:r>
    </w:p>
    <w:p w:rsidRPr="00E34225" w:rsidR="00E34225" w:rsidP="00E34225" w:rsidRDefault="00E34225" w14:paraId="128CFFC6" w14:textId="77777777">
      <w:pPr>
        <w:tabs>
          <w:tab w:val="center" w:pos="4522"/>
        </w:tabs>
        <w:spacing w:line="360" w:lineRule="auto"/>
        <w:contextualSpacing/>
        <w:rPr>
          <w:bCs/>
          <w:lang w:val="es-ES_tradnl"/>
        </w:rPr>
      </w:pPr>
    </w:p>
    <w:p w:rsidRPr="00E34225" w:rsidR="00E34225" w:rsidP="00E34225" w:rsidRDefault="00E34225" w14:paraId="463D09F9" w14:textId="2EB56C6B">
      <w:pPr>
        <w:tabs>
          <w:tab w:val="center" w:pos="4522"/>
        </w:tabs>
        <w:spacing w:line="360" w:lineRule="auto"/>
        <w:contextualSpacing/>
        <w:rPr>
          <w:bCs/>
          <w:lang w:val="es-ES_tradnl"/>
        </w:rPr>
      </w:pPr>
      <w:r w:rsidRPr="00E34225">
        <w:rPr>
          <w:bCs/>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E34225" w:rsidR="00E34225" w:rsidP="00E34225" w:rsidRDefault="00E34225" w14:paraId="2EB47464" w14:textId="2720C1BE">
      <w:pPr>
        <w:tabs>
          <w:tab w:val="center" w:pos="4522"/>
        </w:tabs>
        <w:spacing w:line="360" w:lineRule="auto"/>
        <w:contextualSpacing/>
        <w:rPr>
          <w:bCs/>
          <w:lang w:val="es-ES_tradnl"/>
        </w:rPr>
      </w:pPr>
    </w:p>
    <w:p w:rsidRPr="00E34225" w:rsidR="00E34225" w:rsidP="00E34225" w:rsidRDefault="00E34225" w14:paraId="5BE1FF7C" w14:textId="77777777">
      <w:pPr>
        <w:tabs>
          <w:tab w:val="center" w:pos="4522"/>
        </w:tabs>
        <w:spacing w:line="360" w:lineRule="auto"/>
        <w:contextualSpacing/>
        <w:rPr>
          <w:bCs/>
          <w:lang w:val="es-ES_tradnl"/>
        </w:rPr>
      </w:pPr>
      <w:r w:rsidRPr="00E34225">
        <w:rPr>
          <w:bCs/>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Pr="00E34225" w:rsidR="00E34225" w:rsidP="00E34225" w:rsidRDefault="00E34225" w14:paraId="08132C1D" w14:textId="796EB4F3">
      <w:pPr>
        <w:tabs>
          <w:tab w:val="center" w:pos="4522"/>
        </w:tabs>
        <w:spacing w:line="360" w:lineRule="auto"/>
        <w:contextualSpacing/>
        <w:rPr>
          <w:bCs/>
          <w:lang w:val="es-ES_tradnl"/>
        </w:rPr>
      </w:pPr>
    </w:p>
    <w:p w:rsidRPr="00E34225" w:rsidR="00E34225" w:rsidP="00E34225" w:rsidRDefault="00E34225" w14:paraId="629015DF" w14:textId="77777777">
      <w:pPr>
        <w:tabs>
          <w:tab w:val="center" w:pos="4522"/>
        </w:tabs>
        <w:spacing w:line="360" w:lineRule="auto"/>
        <w:contextualSpacing/>
        <w:rPr>
          <w:bCs/>
          <w:lang w:val="es-ES_tradnl"/>
        </w:rPr>
      </w:pPr>
      <w:r w:rsidRPr="00E34225">
        <w:rPr>
          <w:bCs/>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E34225" w:rsidR="00E34225" w:rsidP="00E34225" w:rsidRDefault="00E34225" w14:paraId="4CA3F4D6" w14:textId="77777777">
      <w:pPr>
        <w:tabs>
          <w:tab w:val="center" w:pos="4522"/>
        </w:tabs>
        <w:spacing w:line="360" w:lineRule="auto"/>
        <w:contextualSpacing/>
        <w:rPr>
          <w:bCs/>
          <w:lang w:val="es-ES_tradnl"/>
        </w:rPr>
      </w:pPr>
    </w:p>
    <w:p w:rsidRPr="00E34225" w:rsidR="00E34225" w:rsidP="00E34225" w:rsidRDefault="00E34225" w14:paraId="48F49400" w14:textId="77777777">
      <w:pPr>
        <w:tabs>
          <w:tab w:val="center" w:pos="4522"/>
        </w:tabs>
        <w:spacing w:line="360" w:lineRule="auto"/>
        <w:contextualSpacing/>
        <w:rPr>
          <w:bCs/>
          <w:lang w:val="es-ES_tradnl"/>
        </w:rPr>
      </w:pPr>
      <w:r w:rsidRPr="00E34225">
        <w:rPr>
          <w:bCs/>
          <w:lang w:val="es-ES_tradnl"/>
        </w:rPr>
        <w:t>Al respecto, también son de considerar los criterios sostenidos por el Cuarto Tribunal Colegiado en Materia Administrativa del Primer Circuito, cuyos rubros y datos de identificación son los siguientes:</w:t>
      </w:r>
    </w:p>
    <w:p w:rsidRPr="00E34225" w:rsidR="00E34225" w:rsidP="00E34225" w:rsidRDefault="00E34225" w14:paraId="69DEB12B" w14:textId="684D52CF">
      <w:pPr>
        <w:tabs>
          <w:tab w:val="center" w:pos="4522"/>
        </w:tabs>
        <w:spacing w:line="360" w:lineRule="auto"/>
        <w:contextualSpacing/>
        <w:rPr>
          <w:bCs/>
          <w:lang w:val="es-ES_tradnl"/>
        </w:rPr>
      </w:pPr>
    </w:p>
    <w:p w:rsidRPr="00E34225" w:rsidR="00E34225" w:rsidP="00E34225" w:rsidRDefault="00E34225" w14:paraId="1F3FB16A" w14:textId="77777777">
      <w:pPr>
        <w:tabs>
          <w:tab w:val="center" w:pos="4522"/>
        </w:tabs>
        <w:spacing w:line="360" w:lineRule="auto"/>
        <w:contextualSpacing/>
        <w:rPr>
          <w:bCs/>
          <w:lang w:val="es-ES_tradnl"/>
        </w:rPr>
      </w:pPr>
      <w:r w:rsidRPr="00E34225">
        <w:rPr>
          <w:bCs/>
          <w:lang w:val="es-ES_tradnl"/>
        </w:rPr>
        <w:t xml:space="preserve"> “PLAZO RAZONABLE PARA RESOLVER. DIMENSIÓN Y EFECTOS DE ESTE CONCEPTO CUANDO SE ADUCE EXCESIVA CARGA DE TRABAJO.” consultable en el Seminario Judicial de la Federación y su gaceta, con el registro digital 2002351.</w:t>
      </w:r>
    </w:p>
    <w:p w:rsidRPr="00E34225" w:rsidR="00E34225" w:rsidP="00E34225" w:rsidRDefault="00E34225" w14:paraId="6985ED79" w14:textId="77777777">
      <w:pPr>
        <w:tabs>
          <w:tab w:val="center" w:pos="4522"/>
        </w:tabs>
        <w:spacing w:line="360" w:lineRule="auto"/>
        <w:contextualSpacing/>
        <w:rPr>
          <w:bCs/>
          <w:lang w:val="es-ES_tradnl"/>
        </w:rPr>
      </w:pPr>
      <w:r w:rsidRPr="00E34225">
        <w:rPr>
          <w:bCs/>
          <w:lang w:val="es-ES_tradnl"/>
        </w:rPr>
        <w:t xml:space="preserve"> </w:t>
      </w:r>
    </w:p>
    <w:p w:rsidRPr="00E34225" w:rsidR="00E34225" w:rsidP="00E34225" w:rsidRDefault="00E34225" w14:paraId="51F41D1D" w14:textId="77777777">
      <w:pPr>
        <w:tabs>
          <w:tab w:val="center" w:pos="4522"/>
        </w:tabs>
        <w:spacing w:line="360" w:lineRule="auto"/>
        <w:contextualSpacing/>
        <w:rPr>
          <w:bCs/>
          <w:lang w:val="es-ES_tradnl"/>
        </w:rPr>
      </w:pPr>
      <w:r w:rsidRPr="00E34225">
        <w:rPr>
          <w:bCs/>
          <w:lang w:val="es-ES_tradnl"/>
        </w:rPr>
        <w:t>“PLAZO RAZONABLE PARA RESOLVER. CONCEPTO Y ELEMENTOS QUE LO INTEGRAN A LA LUZ DEL DERECHO INTERNACIONAL DE LOS DERECHOS HUMANOS.”, visible en el Seminario Judicial de la Federación y su gaceta, con el registro digital 2002350.</w:t>
      </w:r>
    </w:p>
    <w:p w:rsidRPr="00E34225" w:rsidR="00E34225" w:rsidP="00E34225" w:rsidRDefault="00E34225" w14:paraId="1D0DB96E" w14:textId="77777777">
      <w:pPr>
        <w:tabs>
          <w:tab w:val="center" w:pos="4522"/>
        </w:tabs>
        <w:spacing w:line="360" w:lineRule="auto"/>
        <w:contextualSpacing/>
        <w:rPr>
          <w:bCs/>
          <w:lang w:val="es-ES_tradnl"/>
        </w:rPr>
      </w:pPr>
    </w:p>
    <w:p w:rsidR="00D059E5" w:rsidP="00E34225" w:rsidRDefault="00E34225" w14:paraId="13F74A37" w14:textId="4E98087A">
      <w:pPr>
        <w:tabs>
          <w:tab w:val="center" w:pos="4522"/>
        </w:tabs>
        <w:spacing w:line="360" w:lineRule="auto"/>
        <w:contextualSpacing/>
        <w:rPr>
          <w:bCs/>
          <w:lang w:val="es-ES_tradnl"/>
        </w:rPr>
      </w:pPr>
      <w:r w:rsidRPr="00E34225">
        <w:rPr>
          <w:bCs/>
          <w:lang w:val="es-ES_tradnl"/>
        </w:rPr>
        <w:t>Por ello, este organismo garante comprometido con la tutela de los derechos humanos confiados, señala que este exceso del plazo legal para resolver el presente asunto, resulta de carácter excepcional.</w:t>
      </w:r>
    </w:p>
    <w:p w:rsidR="00E34225" w:rsidP="00E34225" w:rsidRDefault="00E34225" w14:paraId="398A2150" w14:textId="77777777">
      <w:pPr>
        <w:tabs>
          <w:tab w:val="center" w:pos="4522"/>
        </w:tabs>
        <w:spacing w:line="360" w:lineRule="auto"/>
        <w:contextualSpacing/>
        <w:rPr>
          <w:bCs/>
          <w:lang w:val="es-ES_tradnl"/>
        </w:rPr>
      </w:pPr>
    </w:p>
    <w:p w:rsidRPr="00D059E5" w:rsidR="00D059E5" w:rsidP="00D059E5" w:rsidRDefault="000E7F83" w14:paraId="390FE6D8" w14:textId="187828AF">
      <w:pPr>
        <w:autoSpaceDE w:val="0"/>
        <w:autoSpaceDN w:val="0"/>
        <w:adjustRightInd w:val="0"/>
        <w:spacing w:after="0" w:line="360" w:lineRule="auto"/>
        <w:rPr>
          <w:rFonts w:eastAsia="Times New Roman" w:cs="Tahoma"/>
          <w:b/>
          <w:bCs/>
          <w:color w:val="auto"/>
          <w:lang w:eastAsia="es-ES"/>
        </w:rPr>
      </w:pPr>
      <w:r>
        <w:rPr>
          <w:rFonts w:eastAsia="Times New Roman" w:cs="Tahoma"/>
          <w:b/>
          <w:bCs/>
          <w:color w:val="auto"/>
          <w:lang w:eastAsia="es-ES"/>
        </w:rPr>
        <w:t>e</w:t>
      </w:r>
      <w:r w:rsidRPr="00D059E5" w:rsidR="00D059E5">
        <w:rPr>
          <w:rFonts w:eastAsia="Times New Roman" w:cs="Tahoma"/>
          <w:b/>
          <w:bCs/>
          <w:color w:val="auto"/>
          <w:lang w:eastAsia="es-ES"/>
        </w:rPr>
        <w:t xml:space="preserve">) Vista del informe Justificado: </w:t>
      </w:r>
      <w:r w:rsidRPr="00D059E5" w:rsidR="00D059E5">
        <w:rPr>
          <w:rFonts w:eastAsia="Times New Roman" w:cs="Tahoma"/>
          <w:color w:val="auto"/>
          <w:lang w:eastAsia="es-ES"/>
        </w:rPr>
        <w:t>El veinti</w:t>
      </w:r>
      <w:r w:rsidR="00D059E5">
        <w:rPr>
          <w:rFonts w:eastAsia="Times New Roman" w:cs="Tahoma"/>
          <w:color w:val="auto"/>
          <w:lang w:eastAsia="es-ES"/>
        </w:rPr>
        <w:t>uno</w:t>
      </w:r>
      <w:r w:rsidRPr="00D059E5" w:rsidR="00D059E5">
        <w:rPr>
          <w:rFonts w:eastAsia="Times New Roman" w:cs="Tahoma"/>
          <w:color w:val="auto"/>
          <w:lang w:eastAsia="es-ES"/>
        </w:rPr>
        <w:t xml:space="preserve"> de </w:t>
      </w:r>
      <w:r w:rsidR="00D059E5">
        <w:rPr>
          <w:rFonts w:eastAsia="Times New Roman" w:cs="Tahoma"/>
          <w:color w:val="auto"/>
          <w:lang w:eastAsia="es-ES"/>
        </w:rPr>
        <w:t>juni</w:t>
      </w:r>
      <w:r w:rsidRPr="00D059E5" w:rsidR="00D059E5">
        <w:rPr>
          <w:rFonts w:eastAsia="Times New Roman" w:cs="Tahoma"/>
          <w:color w:val="auto"/>
          <w:lang w:eastAsia="es-ES"/>
        </w:rPr>
        <w:t xml:space="preserve">o de dos mil veintidós, se dictó acuerdo por medio del cual </w:t>
      </w:r>
      <w:r w:rsidRPr="00D059E5" w:rsidR="00D059E5">
        <w:rPr>
          <w:rFonts w:eastAsia="Times New Roman" w:cs="Tahoma"/>
          <w:b/>
          <w:bCs/>
          <w:color w:val="auto"/>
          <w:lang w:eastAsia="es-ES"/>
        </w:rPr>
        <w:t xml:space="preserve">se puso a la vista del Recurrente el Informe Justificado </w:t>
      </w:r>
      <w:r w:rsidRPr="00D059E5" w:rsidR="00D059E5">
        <w:rPr>
          <w:rFonts w:eastAsia="Times New Roman" w:cs="Tahoma"/>
          <w:color w:val="auto"/>
          <w:lang w:eastAsia="es-ES"/>
        </w:rPr>
        <w:t xml:space="preserve">entregado por el Sujeto Obligado, el cual fue notificado a las partes, a través del Sistema de Acceso a la Información Mexiquense (SAIMEX), el treinta y uno del mismo mes y año. </w:t>
      </w:r>
      <w:r w:rsidRPr="00D059E5" w:rsidR="00D059E5">
        <w:rPr>
          <w:rFonts w:eastAsia="Times New Roman" w:cs="Tahoma"/>
          <w:b/>
          <w:bCs/>
          <w:color w:val="auto"/>
          <w:lang w:eastAsia="es-ES"/>
        </w:rPr>
        <w:t xml:space="preserve">Cabe señalar que </w:t>
      </w:r>
      <w:r w:rsidR="005B1631">
        <w:rPr>
          <w:rFonts w:eastAsia="Times New Roman" w:cs="Tahoma"/>
          <w:b/>
          <w:bCs/>
          <w:color w:val="auto"/>
          <w:lang w:eastAsia="es-ES"/>
        </w:rPr>
        <w:t>la</w:t>
      </w:r>
      <w:r w:rsidRPr="00D059E5" w:rsidR="00D059E5">
        <w:rPr>
          <w:rFonts w:eastAsia="Times New Roman" w:cs="Tahoma"/>
          <w:b/>
          <w:bCs/>
          <w:color w:val="auto"/>
          <w:lang w:eastAsia="es-ES"/>
        </w:rPr>
        <w:t xml:space="preserve"> Particular fue omiso en realizar manifestación alguna.</w:t>
      </w:r>
    </w:p>
    <w:p w:rsidRPr="00841990" w:rsidR="00C21871" w:rsidP="00F80F48" w:rsidRDefault="00C21871" w14:paraId="7BB2ECE6" w14:textId="77777777">
      <w:pPr>
        <w:spacing w:after="0" w:line="360" w:lineRule="auto"/>
        <w:rPr>
          <w:rFonts w:eastAsia="Palatino Linotype" w:cs="Palatino Linotype"/>
          <w:b/>
          <w:bCs/>
        </w:rPr>
      </w:pPr>
    </w:p>
    <w:p w:rsidRPr="00841990" w:rsidR="004548CD" w:rsidP="00F80F48" w:rsidRDefault="000E7F83" w14:paraId="39328222" w14:textId="2480D0CD">
      <w:pPr>
        <w:spacing w:after="0" w:line="360" w:lineRule="auto"/>
        <w:rPr>
          <w:rFonts w:eastAsia="Palatino Linotype" w:cs="Palatino Linotype"/>
          <w:b/>
          <w:bCs/>
        </w:rPr>
      </w:pPr>
      <w:r>
        <w:rPr>
          <w:rFonts w:eastAsia="Times New Roman" w:cs="Tahoma"/>
          <w:b/>
          <w:color w:val="auto"/>
          <w:szCs w:val="24"/>
          <w:lang w:eastAsia="es-ES"/>
        </w:rPr>
        <w:t>f</w:t>
      </w:r>
      <w:r w:rsidRPr="00841990" w:rsidR="004548CD">
        <w:rPr>
          <w:rFonts w:eastAsia="Times New Roman" w:cs="Tahoma"/>
          <w:b/>
          <w:color w:val="auto"/>
          <w:szCs w:val="24"/>
          <w:lang w:eastAsia="es-ES"/>
        </w:rPr>
        <w:t>) Cierre de instrucción.</w:t>
      </w:r>
      <w:r w:rsidRPr="00841990" w:rsidR="004548CD">
        <w:rPr>
          <w:rFonts w:eastAsia="Times New Roman" w:cs="Tahoma"/>
          <w:color w:val="auto"/>
          <w:szCs w:val="24"/>
          <w:lang w:eastAsia="es-ES"/>
        </w:rPr>
        <w:t xml:space="preserve"> El</w:t>
      </w:r>
      <w:r w:rsidRPr="00841990" w:rsidR="00843AB9">
        <w:rPr>
          <w:rFonts w:eastAsia="Times New Roman" w:cs="Tahoma"/>
          <w:color w:val="auto"/>
          <w:szCs w:val="24"/>
          <w:lang w:eastAsia="es-ES"/>
        </w:rPr>
        <w:t xml:space="preserve"> </w:t>
      </w:r>
      <w:r w:rsidR="0024712D">
        <w:rPr>
          <w:rFonts w:eastAsia="Times New Roman" w:cs="Tahoma"/>
          <w:color w:val="auto"/>
          <w:szCs w:val="24"/>
          <w:lang w:eastAsia="es-ES"/>
        </w:rPr>
        <w:t>veintisiete</w:t>
      </w:r>
      <w:r w:rsidRPr="00841990" w:rsidR="00682222">
        <w:rPr>
          <w:rFonts w:eastAsia="Times New Roman" w:cs="Tahoma"/>
          <w:color w:val="auto"/>
          <w:szCs w:val="24"/>
          <w:lang w:eastAsia="es-ES"/>
        </w:rPr>
        <w:t xml:space="preserve"> </w:t>
      </w:r>
      <w:r w:rsidRPr="00841990" w:rsidR="004548CD">
        <w:rPr>
          <w:rFonts w:eastAsia="Times New Roman" w:cs="Tahoma"/>
          <w:color w:val="auto"/>
          <w:szCs w:val="24"/>
          <w:lang w:val="es-ES" w:eastAsia="es-ES"/>
        </w:rPr>
        <w:t xml:space="preserve">de </w:t>
      </w:r>
      <w:r w:rsidR="0024712D">
        <w:rPr>
          <w:rFonts w:eastAsia="Times New Roman" w:cs="Tahoma"/>
          <w:color w:val="auto"/>
          <w:szCs w:val="24"/>
          <w:lang w:val="es-ES" w:eastAsia="es-ES"/>
        </w:rPr>
        <w:t>juni</w:t>
      </w:r>
      <w:r w:rsidRPr="00841990" w:rsidR="00772009">
        <w:rPr>
          <w:rFonts w:eastAsia="Times New Roman" w:cs="Tahoma"/>
          <w:color w:val="auto"/>
          <w:szCs w:val="24"/>
          <w:lang w:val="es-ES" w:eastAsia="es-ES"/>
        </w:rPr>
        <w:t>o de dos mil veintidós</w:t>
      </w:r>
      <w:r w:rsidRPr="00841990" w:rsidR="004548CD">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841990" w:rsidR="004548CD">
        <w:rPr>
          <w:rFonts w:eastAsia="Palatino Linotype" w:cs="Palatino Linotype"/>
          <w:lang w:val="es-ES"/>
        </w:rPr>
        <w:t>acto que fue notificado a las partes, mediante el Sistema de Acceso a la Información Mexiquense (SAIMEX), el mismo día.</w:t>
      </w:r>
    </w:p>
    <w:p w:rsidRPr="00841990" w:rsidR="004548CD" w:rsidP="00F80F48" w:rsidRDefault="004548CD" w14:paraId="61B73302" w14:textId="77777777">
      <w:pPr>
        <w:spacing w:after="0" w:line="360" w:lineRule="auto"/>
        <w:rPr>
          <w:rFonts w:eastAsia="Times New Roman" w:cs="Tahoma"/>
          <w:color w:val="auto"/>
          <w:szCs w:val="24"/>
          <w:lang w:eastAsia="es-ES"/>
        </w:rPr>
      </w:pPr>
    </w:p>
    <w:p w:rsidRPr="00841990" w:rsidR="00C853D1" w:rsidP="00F80F48" w:rsidRDefault="00C853D1" w14:paraId="5795BBB6" w14:textId="77777777">
      <w:pPr>
        <w:spacing w:after="0" w:line="360" w:lineRule="auto"/>
        <w:rPr>
          <w:rFonts w:eastAsia="Times New Roman" w:cs="Tahoma"/>
          <w:color w:val="auto"/>
          <w:szCs w:val="24"/>
          <w:lang w:eastAsia="es-ES"/>
        </w:rPr>
      </w:pPr>
      <w:r w:rsidRPr="00841990">
        <w:rPr>
          <w:rFonts w:eastAsia="Times New Roman" w:cs="Tahoma"/>
          <w:color w:val="auto"/>
          <w:szCs w:val="24"/>
          <w:lang w:eastAsia="es-ES"/>
        </w:rPr>
        <w:lastRenderedPageBreak/>
        <w:t xml:space="preserve">En razón de que fue debidamente sustanciado e integrado el expediente electrónico y no existe diligencia pendiente de desahogo, se emite la resolución que conforme a Derecho proceda, de acuerdo a los siguientes: </w:t>
      </w:r>
    </w:p>
    <w:p w:rsidRPr="00841990" w:rsidR="00C853D1" w:rsidP="00F80F48" w:rsidRDefault="00C853D1" w14:paraId="264F2B95" w14:textId="77777777">
      <w:pPr>
        <w:spacing w:after="0" w:line="360" w:lineRule="auto"/>
        <w:rPr>
          <w:rFonts w:eastAsia="Times New Roman" w:cs="Tahoma"/>
          <w:bCs/>
          <w:iCs/>
          <w:color w:val="auto"/>
          <w:lang w:val="es-ES" w:eastAsia="es-ES"/>
        </w:rPr>
      </w:pPr>
    </w:p>
    <w:p w:rsidRPr="00841990" w:rsidR="00C853D1" w:rsidP="00F80F48" w:rsidRDefault="00C853D1" w14:paraId="4647AD46" w14:textId="77777777">
      <w:pPr>
        <w:spacing w:after="0" w:line="360" w:lineRule="auto"/>
        <w:jc w:val="center"/>
        <w:rPr>
          <w:rFonts w:eastAsia="Times New Roman" w:cs="Tahoma"/>
          <w:b/>
          <w:color w:val="auto"/>
          <w:lang w:val="es-ES" w:eastAsia="es-ES"/>
        </w:rPr>
      </w:pPr>
      <w:r w:rsidRPr="00841990">
        <w:rPr>
          <w:rFonts w:eastAsia="Times New Roman" w:cs="Tahoma"/>
          <w:b/>
          <w:color w:val="auto"/>
          <w:lang w:val="es-ES" w:eastAsia="es-ES"/>
        </w:rPr>
        <w:t>C O N S I D E R A N D O S:</w:t>
      </w:r>
    </w:p>
    <w:p w:rsidRPr="00841990" w:rsidR="00C853D1" w:rsidP="00F80F48" w:rsidRDefault="00C853D1" w14:paraId="46CF2E78" w14:textId="77777777">
      <w:pPr>
        <w:spacing w:after="0" w:line="360" w:lineRule="auto"/>
        <w:rPr>
          <w:b/>
        </w:rPr>
      </w:pPr>
    </w:p>
    <w:p w:rsidRPr="00841990" w:rsidR="00C853D1" w:rsidP="00F80F48" w:rsidRDefault="00C853D1" w14:paraId="15369BD8" w14:textId="77777777">
      <w:pPr>
        <w:autoSpaceDE w:val="0"/>
        <w:autoSpaceDN w:val="0"/>
        <w:adjustRightInd w:val="0"/>
        <w:spacing w:after="0" w:line="360" w:lineRule="auto"/>
        <w:rPr>
          <w:rFonts w:eastAsia="Times New Roman" w:cs="Tahoma"/>
          <w:b/>
          <w:color w:val="auto"/>
          <w:szCs w:val="24"/>
          <w:lang w:val="es-ES" w:eastAsia="es-ES"/>
        </w:rPr>
      </w:pPr>
      <w:r w:rsidRPr="00841990">
        <w:rPr>
          <w:rFonts w:eastAsia="Calibri" w:cs="Tahoma"/>
          <w:b/>
          <w:color w:val="000000"/>
          <w:szCs w:val="24"/>
          <w:lang w:val="es-ES" w:eastAsia="es-MX"/>
        </w:rPr>
        <w:t>PRIMERO</w:t>
      </w:r>
      <w:r w:rsidRPr="00841990">
        <w:rPr>
          <w:rFonts w:eastAsia="Calibri" w:cs="Tahoma"/>
          <w:color w:val="000000"/>
          <w:szCs w:val="24"/>
          <w:lang w:val="es-ES" w:eastAsia="es-MX"/>
        </w:rPr>
        <w:t xml:space="preserve">. </w:t>
      </w:r>
      <w:r w:rsidRPr="00841990">
        <w:rPr>
          <w:rFonts w:eastAsia="Times New Roman" w:cs="Tahoma"/>
          <w:b/>
          <w:color w:val="auto"/>
          <w:szCs w:val="24"/>
          <w:lang w:val="es-ES" w:eastAsia="es-ES"/>
        </w:rPr>
        <w:t>Competencia.</w:t>
      </w:r>
    </w:p>
    <w:p w:rsidRPr="00841990" w:rsidR="00C853D1" w:rsidP="00F80F48" w:rsidRDefault="00C853D1" w14:paraId="6B0576AC" w14:textId="77777777">
      <w:pPr>
        <w:autoSpaceDE w:val="0"/>
        <w:autoSpaceDN w:val="0"/>
        <w:adjustRightInd w:val="0"/>
        <w:spacing w:after="0" w:line="360" w:lineRule="auto"/>
        <w:rPr>
          <w:rFonts w:eastAsia="Times New Roman" w:cs="Tahoma"/>
          <w:b/>
          <w:color w:val="auto"/>
          <w:szCs w:val="24"/>
          <w:lang w:val="es-ES" w:eastAsia="es-ES"/>
        </w:rPr>
      </w:pPr>
    </w:p>
    <w:p w:rsidRPr="00841990" w:rsidR="00C853D1" w:rsidP="00F80F48" w:rsidRDefault="00C853D1" w14:paraId="4BA69015" w14:textId="35F4A5AE">
      <w:pPr>
        <w:spacing w:after="0" w:line="360" w:lineRule="auto"/>
        <w:rPr>
          <w:rFonts w:eastAsia="Times New Roman" w:cs="Tahoma"/>
          <w:bCs/>
          <w:color w:val="auto"/>
          <w:lang w:eastAsia="es-ES"/>
        </w:rPr>
      </w:pPr>
      <w:r w:rsidRPr="00841990">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841990" w:rsidR="00682222">
        <w:rPr>
          <w:rFonts w:eastAsia="Times New Roman" w:cs="Tahoma"/>
          <w:bCs/>
          <w:color w:val="auto"/>
          <w:lang w:eastAsia="es-ES"/>
        </w:rPr>
        <w:t>trig</w:t>
      </w:r>
      <w:r w:rsidRPr="00841990" w:rsidR="00682222">
        <w:rPr>
          <w:rFonts w:eastAsia="Times New Roman" w:cs="Tahoma"/>
          <w:bCs/>
          <w:color w:val="auto"/>
          <w:lang w:val="x-none" w:eastAsia="es-ES"/>
        </w:rPr>
        <w:t>ésimo</w:t>
      </w:r>
      <w:proofErr w:type="spellEnd"/>
      <w:r w:rsidRPr="00841990" w:rsidR="00682222">
        <w:rPr>
          <w:rFonts w:eastAsia="Times New Roman" w:cs="Tahoma"/>
          <w:bCs/>
          <w:color w:val="auto"/>
          <w:lang w:val="x-none" w:eastAsia="es-ES"/>
        </w:rPr>
        <w:t>, trigésimo primero</w:t>
      </w:r>
      <w:r w:rsidRPr="00841990">
        <w:rPr>
          <w:rFonts w:eastAsia="Times New Roman" w:cs="Tahoma"/>
          <w:bCs/>
          <w:color w:val="auto"/>
          <w:lang w:eastAsia="es-ES"/>
        </w:rPr>
        <w:t xml:space="preserve"> y trigésimo </w:t>
      </w:r>
      <w:r w:rsidRPr="00841990" w:rsidR="00682222">
        <w:rPr>
          <w:rFonts w:eastAsia="Times New Roman" w:cs="Tahoma"/>
          <w:bCs/>
          <w:color w:val="auto"/>
          <w:lang w:eastAsia="es-ES"/>
        </w:rPr>
        <w:t>segundo</w:t>
      </w:r>
      <w:r w:rsidRPr="00841990">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41990">
        <w:rPr>
          <w:rFonts w:eastAsia="Times New Roman" w:cs="Times New Roman"/>
          <w:bCs/>
          <w:color w:val="auto"/>
          <w:lang w:eastAsia="es-ES"/>
        </w:rPr>
        <w:t xml:space="preserve"> 7°, </w:t>
      </w:r>
      <w:r w:rsidRPr="00841990">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841990" w:rsidR="00C853D1" w:rsidP="00F80F48" w:rsidRDefault="00C853D1" w14:paraId="4FF2492C" w14:textId="77777777">
      <w:pPr>
        <w:spacing w:after="0" w:line="360" w:lineRule="auto"/>
        <w:rPr>
          <w:rFonts w:eastAsia="Times New Roman" w:cs="Tahoma"/>
          <w:bCs/>
          <w:color w:val="auto"/>
          <w:lang w:eastAsia="es-ES"/>
        </w:rPr>
      </w:pPr>
    </w:p>
    <w:p w:rsidRPr="00841990" w:rsidR="00C853D1" w:rsidP="00F80F48" w:rsidRDefault="00C853D1" w14:paraId="1CEE0B22" w14:textId="77777777">
      <w:pPr>
        <w:autoSpaceDE w:val="0"/>
        <w:autoSpaceDN w:val="0"/>
        <w:adjustRightInd w:val="0"/>
        <w:spacing w:after="0" w:line="360" w:lineRule="auto"/>
        <w:rPr>
          <w:rFonts w:eastAsia="Times New Roman" w:cs="Tahoma"/>
          <w:color w:val="auto"/>
          <w:szCs w:val="24"/>
          <w:lang w:val="es-ES" w:eastAsia="es-ES"/>
        </w:rPr>
      </w:pPr>
      <w:r w:rsidRPr="00841990">
        <w:rPr>
          <w:rFonts w:eastAsia="Calibri" w:cs="Tahoma"/>
          <w:b/>
          <w:color w:val="000000"/>
          <w:szCs w:val="24"/>
          <w:lang w:val="es-ES" w:eastAsia="es-MX"/>
        </w:rPr>
        <w:t>SEGUNDO</w:t>
      </w:r>
      <w:r w:rsidRPr="00841990">
        <w:rPr>
          <w:rFonts w:eastAsia="Calibri" w:cs="Tahoma"/>
          <w:color w:val="000000"/>
          <w:szCs w:val="24"/>
          <w:lang w:val="es-ES" w:eastAsia="es-MX"/>
        </w:rPr>
        <w:t xml:space="preserve">. </w:t>
      </w:r>
      <w:r w:rsidRPr="00841990">
        <w:rPr>
          <w:rFonts w:eastAsia="Times New Roman" w:cs="Tahoma"/>
          <w:b/>
          <w:color w:val="auto"/>
          <w:szCs w:val="24"/>
          <w:lang w:val="es-ES" w:eastAsia="es-ES"/>
        </w:rPr>
        <w:t>Causales de improcedencia y sobreseimiento.</w:t>
      </w:r>
      <w:r w:rsidRPr="00841990">
        <w:rPr>
          <w:rFonts w:eastAsia="Times New Roman" w:cs="Tahoma"/>
          <w:color w:val="auto"/>
          <w:szCs w:val="24"/>
          <w:lang w:val="es-ES" w:eastAsia="es-ES"/>
        </w:rPr>
        <w:t xml:space="preserve"> </w:t>
      </w:r>
    </w:p>
    <w:p w:rsidRPr="00841990" w:rsidR="00C853D1" w:rsidP="00F80F48" w:rsidRDefault="00C853D1" w14:paraId="732DCB46" w14:textId="77777777">
      <w:pPr>
        <w:autoSpaceDE w:val="0"/>
        <w:autoSpaceDN w:val="0"/>
        <w:adjustRightInd w:val="0"/>
        <w:spacing w:after="0" w:line="360" w:lineRule="auto"/>
        <w:rPr>
          <w:rFonts w:eastAsia="Times New Roman" w:cs="Tahoma"/>
          <w:color w:val="auto"/>
          <w:szCs w:val="24"/>
          <w:lang w:val="es-ES" w:eastAsia="es-ES"/>
        </w:rPr>
      </w:pPr>
    </w:p>
    <w:p w:rsidRPr="00841990" w:rsidR="00C853D1" w:rsidP="00F80F48" w:rsidRDefault="00C853D1" w14:paraId="3EDC37E9" w14:textId="77777777">
      <w:pPr>
        <w:autoSpaceDE w:val="0"/>
        <w:autoSpaceDN w:val="0"/>
        <w:adjustRightInd w:val="0"/>
        <w:spacing w:after="0" w:line="360" w:lineRule="auto"/>
        <w:rPr>
          <w:rFonts w:eastAsia="Times New Roman" w:cs="Tahoma"/>
          <w:color w:val="auto"/>
          <w:szCs w:val="24"/>
          <w:lang w:val="es-ES" w:eastAsia="es-ES"/>
        </w:rPr>
      </w:pPr>
      <w:r w:rsidRPr="00841990">
        <w:rPr>
          <w:rFonts w:eastAsia="Times New Roman" w:cs="Tahoma"/>
          <w:color w:val="auto"/>
          <w:szCs w:val="24"/>
          <w:lang w:val="es-ES" w:eastAsia="es-ES"/>
        </w:rPr>
        <w:t xml:space="preserve">De las constancias que forma parte del Recurso de Revisión que se analiza, se advierte que previo al estudio del fondo de la </w:t>
      </w:r>
      <w:r w:rsidRPr="00841990">
        <w:rPr>
          <w:rFonts w:eastAsia="Times New Roman" w:cs="Tahoma"/>
          <w:i/>
          <w:color w:val="auto"/>
          <w:szCs w:val="24"/>
          <w:lang w:val="es-ES" w:eastAsia="es-ES"/>
        </w:rPr>
        <w:t>litis</w:t>
      </w:r>
      <w:r w:rsidRPr="00841990">
        <w:rPr>
          <w:rFonts w:eastAsia="Times New Roman" w:cs="Tahoma"/>
          <w:color w:val="auto"/>
          <w:szCs w:val="24"/>
          <w:lang w:val="es-ES" w:eastAsia="es-ES"/>
        </w:rPr>
        <w:t>, es necesario estudiar las causales de improcedencia y sobreseimiento que se adviertan, para determinar lo que en Derecho proceda.</w:t>
      </w:r>
    </w:p>
    <w:p w:rsidRPr="00841990" w:rsidR="00C853D1" w:rsidP="00F80F48" w:rsidRDefault="00C853D1" w14:paraId="2159CCAC" w14:textId="77777777">
      <w:pPr>
        <w:autoSpaceDE w:val="0"/>
        <w:autoSpaceDN w:val="0"/>
        <w:adjustRightInd w:val="0"/>
        <w:spacing w:after="0" w:line="360" w:lineRule="auto"/>
        <w:rPr>
          <w:rFonts w:eastAsia="Times New Roman" w:cs="Tahoma"/>
          <w:color w:val="auto"/>
          <w:szCs w:val="24"/>
          <w:lang w:val="es-ES" w:eastAsia="es-ES"/>
        </w:rPr>
      </w:pPr>
    </w:p>
    <w:p w:rsidRPr="00841990" w:rsidR="00C853D1" w:rsidP="00F80F48" w:rsidRDefault="00C853D1" w14:paraId="0D0DB2F6" w14:textId="77777777">
      <w:pPr>
        <w:autoSpaceDE w:val="0"/>
        <w:autoSpaceDN w:val="0"/>
        <w:adjustRightInd w:val="0"/>
        <w:spacing w:after="0" w:line="360" w:lineRule="auto"/>
        <w:rPr>
          <w:rFonts w:eastAsia="Calibri" w:cs="Tahoma"/>
          <w:color w:val="000000"/>
          <w:szCs w:val="24"/>
          <w:lang w:val="es-ES" w:eastAsia="es-MX"/>
        </w:rPr>
      </w:pPr>
      <w:r w:rsidRPr="00841990">
        <w:rPr>
          <w:rFonts w:eastAsia="Calibri" w:cs="Tahoma"/>
          <w:b/>
          <w:color w:val="000000"/>
          <w:szCs w:val="24"/>
          <w:lang w:val="es-ES" w:eastAsia="es-MX"/>
        </w:rPr>
        <w:t>Causales de improcedencia.</w:t>
      </w:r>
      <w:r w:rsidRPr="00841990">
        <w:rPr>
          <w:rFonts w:eastAsia="Calibri" w:cs="Tahoma"/>
          <w:color w:val="000000"/>
          <w:szCs w:val="24"/>
          <w:lang w:val="es-ES" w:eastAsia="es-MX"/>
        </w:rPr>
        <w:t xml:space="preserve"> </w:t>
      </w:r>
    </w:p>
    <w:p w:rsidRPr="00841990" w:rsidR="00C853D1" w:rsidP="00F80F48" w:rsidRDefault="00C853D1" w14:paraId="61973DFD" w14:textId="77777777">
      <w:pPr>
        <w:autoSpaceDE w:val="0"/>
        <w:autoSpaceDN w:val="0"/>
        <w:adjustRightInd w:val="0"/>
        <w:spacing w:after="0" w:line="360" w:lineRule="auto"/>
        <w:rPr>
          <w:rFonts w:eastAsia="Calibri" w:cs="Tahoma"/>
          <w:color w:val="000000"/>
          <w:szCs w:val="24"/>
          <w:lang w:val="es-ES" w:eastAsia="es-MX"/>
        </w:rPr>
      </w:pPr>
    </w:p>
    <w:p w:rsidRPr="00841990" w:rsidR="00C853D1" w:rsidP="00F80F48" w:rsidRDefault="00C853D1" w14:paraId="0231FCB7" w14:textId="77777777">
      <w:pPr>
        <w:autoSpaceDE w:val="0"/>
        <w:autoSpaceDN w:val="0"/>
        <w:adjustRightInd w:val="0"/>
        <w:spacing w:after="0" w:line="360" w:lineRule="auto"/>
        <w:rPr>
          <w:rFonts w:eastAsia="Calibri" w:cs="Tahoma"/>
          <w:color w:val="000000"/>
          <w:lang w:val="es-ES" w:eastAsia="es-MX"/>
        </w:rPr>
      </w:pPr>
      <w:r w:rsidRPr="00841990">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841990">
        <w:rPr>
          <w:rFonts w:eastAsia="Calibri" w:cs="Tahoma"/>
          <w:b/>
          <w:bCs/>
          <w:color w:val="000000"/>
          <w:lang w:eastAsia="es-MX"/>
        </w:rPr>
        <w:t xml:space="preserve"> </w:t>
      </w:r>
      <w:r w:rsidRPr="00841990">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841990" w:rsidR="00C853D1" w:rsidP="00F80F48" w:rsidRDefault="00C853D1" w14:paraId="52B897E0" w14:textId="77777777">
      <w:pPr>
        <w:autoSpaceDE w:val="0"/>
        <w:autoSpaceDN w:val="0"/>
        <w:adjustRightInd w:val="0"/>
        <w:spacing w:after="0" w:line="360" w:lineRule="auto"/>
        <w:rPr>
          <w:rFonts w:eastAsia="Calibri" w:cs="Tahoma"/>
          <w:color w:val="000000"/>
          <w:lang w:eastAsia="es-MX"/>
        </w:rPr>
      </w:pPr>
    </w:p>
    <w:p w:rsidRPr="00841990" w:rsidR="00C853D1" w:rsidP="00F80F48" w:rsidRDefault="00C853D1" w14:paraId="0EA74A57" w14:textId="15F3D720">
      <w:pPr>
        <w:autoSpaceDE w:val="0"/>
        <w:autoSpaceDN w:val="0"/>
        <w:adjustRightInd w:val="0"/>
        <w:spacing w:after="0" w:line="360" w:lineRule="auto"/>
        <w:rPr>
          <w:rFonts w:eastAsia="Calibri" w:cs="Tahoma"/>
          <w:color w:val="000000"/>
          <w:lang w:eastAsia="es-MX"/>
        </w:rPr>
      </w:pPr>
      <w:r w:rsidRPr="00841990">
        <w:rPr>
          <w:rFonts w:eastAsia="Calibri" w:cs="Tahoma"/>
          <w:color w:val="000000"/>
          <w:lang w:eastAsia="es-MX"/>
        </w:rPr>
        <w:t xml:space="preserve">En el presente caso, </w:t>
      </w:r>
      <w:r w:rsidRPr="00841990">
        <w:rPr>
          <w:rFonts w:eastAsia="Calibri" w:cs="Tahoma"/>
          <w:b/>
          <w:color w:val="000000"/>
          <w:lang w:eastAsia="es-MX"/>
        </w:rPr>
        <w:t>no se actualiza ninguna de las causales de improcedencia</w:t>
      </w:r>
      <w:r w:rsidRPr="00841990">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w:t>
      </w:r>
      <w:r w:rsidR="005B1631">
        <w:rPr>
          <w:rFonts w:eastAsia="Calibri" w:cs="Tahoma"/>
          <w:color w:val="000000"/>
          <w:lang w:eastAsia="es-MX"/>
        </w:rPr>
        <w:t xml:space="preserve">la </w:t>
      </w:r>
      <w:r w:rsidRPr="00841990">
        <w:rPr>
          <w:rFonts w:eastAsia="Calibri" w:cs="Tahoma"/>
          <w:color w:val="000000"/>
          <w:lang w:eastAsia="es-MX"/>
        </w:rPr>
        <w:t>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841990" w:rsidR="00C853D1" w:rsidP="00F80F48" w:rsidRDefault="00C853D1" w14:paraId="42DBAD8B" w14:textId="77777777">
      <w:pPr>
        <w:spacing w:after="0" w:line="360" w:lineRule="auto"/>
        <w:rPr>
          <w:rFonts w:eastAsia="Times New Roman" w:cs="Tahoma"/>
          <w:b/>
          <w:bCs/>
          <w:color w:val="auto"/>
          <w:lang w:eastAsia="es-ES"/>
        </w:rPr>
      </w:pPr>
    </w:p>
    <w:p w:rsidR="00C853D1" w:rsidP="00F80F48" w:rsidRDefault="00DD116F" w14:paraId="3577CA43" w14:textId="1F5136C8">
      <w:pPr>
        <w:spacing w:after="0" w:line="360" w:lineRule="auto"/>
        <w:rPr>
          <w:rFonts w:eastAsia="Calibri" w:cs="Tahoma"/>
          <w:color w:val="000000"/>
          <w:lang w:eastAsia="es-MX"/>
        </w:rPr>
      </w:pPr>
      <w:r w:rsidRPr="00841990">
        <w:rPr>
          <w:rFonts w:eastAsia="Times New Roman" w:cs="Tahoma"/>
          <w:color w:val="auto"/>
          <w:lang w:eastAsia="es-ES"/>
        </w:rPr>
        <w:t xml:space="preserve">Asimismo, </w:t>
      </w:r>
      <w:r w:rsidRPr="00841990" w:rsidR="00C853D1">
        <w:rPr>
          <w:rFonts w:eastAsia="Times New Roman" w:cs="Tahoma"/>
          <w:color w:val="auto"/>
          <w:lang w:eastAsia="es-ES"/>
        </w:rPr>
        <w:t xml:space="preserve">se actualiza la causal de procedencia del Recurso de Revisión señalada en el artículo 179, fracciones </w:t>
      </w:r>
      <w:r w:rsidR="00F80F48">
        <w:rPr>
          <w:rFonts w:eastAsia="Times New Roman" w:cs="Tahoma"/>
          <w:color w:val="auto"/>
          <w:lang w:eastAsia="es-ES"/>
        </w:rPr>
        <w:t>V</w:t>
      </w:r>
      <w:r w:rsidRPr="00841990" w:rsidR="00682222">
        <w:rPr>
          <w:rFonts w:eastAsia="Times New Roman" w:cs="Tahoma"/>
          <w:color w:val="auto"/>
          <w:lang w:eastAsia="es-ES"/>
        </w:rPr>
        <w:t>,</w:t>
      </w:r>
      <w:r w:rsidRPr="00841990" w:rsidR="00C853D1">
        <w:rPr>
          <w:rFonts w:eastAsia="Times New Roman" w:cs="Tahoma"/>
          <w:color w:val="auto"/>
          <w:lang w:eastAsia="es-ES"/>
        </w:rPr>
        <w:t xml:space="preserve"> de la Ley en cita, </w:t>
      </w:r>
      <w:r w:rsidRPr="00841990" w:rsidR="00C853D1">
        <w:rPr>
          <w:rFonts w:eastAsia="Calibri" w:cs="Tahoma"/>
          <w:color w:val="000000"/>
          <w:lang w:eastAsia="es-MX"/>
        </w:rPr>
        <w:t>pues la Recurrente se inconformó</w:t>
      </w:r>
      <w:r w:rsidRPr="00841990" w:rsidR="00D85A7D">
        <w:rPr>
          <w:rFonts w:eastAsia="Calibri" w:cs="Tahoma"/>
          <w:color w:val="000000"/>
          <w:lang w:eastAsia="es-MX"/>
        </w:rPr>
        <w:t xml:space="preserve"> </w:t>
      </w:r>
      <w:r w:rsidR="00F80F48">
        <w:rPr>
          <w:rFonts w:eastAsia="Calibri" w:cs="Tahoma"/>
          <w:color w:val="000000"/>
          <w:lang w:eastAsia="es-MX"/>
        </w:rPr>
        <w:t xml:space="preserve">con la entrega de información </w:t>
      </w:r>
      <w:r w:rsidR="009B426E">
        <w:rPr>
          <w:rFonts w:eastAsia="Calibri" w:cs="Tahoma"/>
          <w:color w:val="000000"/>
          <w:lang w:eastAsia="es-MX"/>
        </w:rPr>
        <w:t>incompleta</w:t>
      </w:r>
      <w:r w:rsidR="00F80F48">
        <w:rPr>
          <w:rFonts w:eastAsia="Calibri" w:cs="Tahoma"/>
          <w:color w:val="000000"/>
          <w:lang w:eastAsia="es-MX"/>
        </w:rPr>
        <w:t>.</w:t>
      </w:r>
    </w:p>
    <w:p w:rsidRPr="00841990" w:rsidR="00C853D1" w:rsidP="00F80F48" w:rsidRDefault="00C853D1" w14:paraId="4F973625" w14:textId="77777777">
      <w:pPr>
        <w:spacing w:after="0" w:line="360" w:lineRule="auto"/>
        <w:rPr>
          <w:rFonts w:eastAsia="Times New Roman" w:cs="Tahoma"/>
          <w:b/>
          <w:bCs/>
          <w:color w:val="auto"/>
          <w:lang w:eastAsia="es-ES"/>
        </w:rPr>
      </w:pPr>
      <w:r w:rsidRPr="00841990">
        <w:rPr>
          <w:rFonts w:eastAsia="Times New Roman" w:cs="Tahoma"/>
          <w:b/>
          <w:bCs/>
          <w:color w:val="auto"/>
          <w:lang w:eastAsia="es-ES"/>
        </w:rPr>
        <w:t>Causales de sobreseimiento.</w:t>
      </w:r>
    </w:p>
    <w:p w:rsidRPr="00841990" w:rsidR="00CD573E" w:rsidP="00F80F48" w:rsidRDefault="00CD573E" w14:paraId="3FF75C55" w14:textId="77777777">
      <w:pPr>
        <w:spacing w:after="0" w:line="360" w:lineRule="auto"/>
        <w:rPr>
          <w:rFonts w:eastAsia="Times New Roman" w:cs="Tahoma"/>
          <w:b/>
          <w:bCs/>
          <w:color w:val="auto"/>
          <w:lang w:eastAsia="es-ES"/>
        </w:rPr>
      </w:pPr>
    </w:p>
    <w:p w:rsidRPr="00841990" w:rsidR="00C853D1" w:rsidP="00F80F48" w:rsidRDefault="00C853D1" w14:paraId="77050B85" w14:textId="77777777">
      <w:pPr>
        <w:spacing w:after="0" w:line="360" w:lineRule="auto"/>
        <w:rPr>
          <w:rFonts w:eastAsia="Times New Roman" w:cs="Tahoma"/>
          <w:color w:val="auto"/>
          <w:szCs w:val="24"/>
          <w:lang w:eastAsia="es-ES"/>
        </w:rPr>
      </w:pPr>
      <w:r w:rsidRPr="00841990">
        <w:rPr>
          <w:rFonts w:eastAsia="Times New Roman" w:cs="Tahoma"/>
          <w:color w:val="auto"/>
          <w:szCs w:val="24"/>
          <w:lang w:eastAsia="es-ES"/>
        </w:rPr>
        <w:t>Por ser de previo y especial pronunciamiento, este Instituto analiza si se actualiza alguna causal de sobreseimiento.</w:t>
      </w:r>
    </w:p>
    <w:p w:rsidRPr="00841990" w:rsidR="00C853D1" w:rsidP="00F80F48" w:rsidRDefault="00C853D1" w14:paraId="1797E49B" w14:textId="77777777">
      <w:pPr>
        <w:spacing w:after="0" w:line="360" w:lineRule="auto"/>
        <w:rPr>
          <w:rFonts w:eastAsia="Times New Roman" w:cs="Tahoma"/>
          <w:color w:val="auto"/>
          <w:szCs w:val="24"/>
          <w:lang w:eastAsia="es-ES"/>
        </w:rPr>
      </w:pPr>
    </w:p>
    <w:p w:rsidRPr="00841990" w:rsidR="00C853D1" w:rsidP="00F80F48" w:rsidRDefault="00C853D1" w14:paraId="3929C861" w14:textId="79ED2BC0">
      <w:pPr>
        <w:spacing w:after="0" w:line="360" w:lineRule="auto"/>
        <w:rPr>
          <w:rFonts w:eastAsia="Times New Roman" w:cs="Tahoma"/>
          <w:color w:val="auto"/>
          <w:szCs w:val="24"/>
          <w:lang w:eastAsia="es-ES"/>
        </w:rPr>
      </w:pPr>
      <w:r w:rsidRPr="00841990">
        <w:rPr>
          <w:rFonts w:eastAsia="Times New Roman" w:cs="Tahoma"/>
          <w:color w:val="auto"/>
          <w:szCs w:val="24"/>
          <w:lang w:eastAsia="es-ES"/>
        </w:rPr>
        <w:t xml:space="preserve">El artículo 192 de la Ley Transparencia y Acceso a la Información Pública del Estado de México y Municipios, señala las causales por las cuales se puede sobreseer en todo o en parte, el </w:t>
      </w:r>
      <w:r w:rsidRPr="00841990">
        <w:rPr>
          <w:rFonts w:eastAsia="Times New Roman" w:cs="Tahoma"/>
          <w:color w:val="auto"/>
          <w:szCs w:val="24"/>
          <w:lang w:eastAsia="es-ES"/>
        </w:rPr>
        <w:lastRenderedPageBreak/>
        <w:t xml:space="preserve">Recurso de Revisión; así, del análisis realizado por este Instituto, se advierte que no se actualiza algún supuesto de sobreseimiento; lo anterior, en virtud de que no hay constancias en el expediente en que se actúa, de que </w:t>
      </w:r>
      <w:r w:rsidR="005B1631">
        <w:rPr>
          <w:rFonts w:eastAsia="Times New Roman" w:cs="Tahoma"/>
          <w:color w:val="auto"/>
          <w:szCs w:val="24"/>
          <w:lang w:eastAsia="es-ES"/>
        </w:rPr>
        <w:t>la</w:t>
      </w:r>
      <w:r w:rsidRPr="00841990">
        <w:rPr>
          <w:rFonts w:eastAsia="Times New Roman" w:cs="Tahoma"/>
          <w:color w:val="auto"/>
          <w:szCs w:val="24"/>
          <w:lang w:eastAsia="es-ES"/>
        </w:rPr>
        <w:t xml:space="preserve"> Recurrente se haya desistido del recurso, haya fallecido, sobreviniera alguna causal de improcedencia, que el Sujeto Obligado hubiese modificado o revocado el acto impugnado o bien, haya quedado sin materia.</w:t>
      </w:r>
    </w:p>
    <w:p w:rsidRPr="00841990" w:rsidR="00C853D1" w:rsidP="00F80F48" w:rsidRDefault="00C853D1" w14:paraId="12F90250" w14:textId="77777777">
      <w:pPr>
        <w:spacing w:after="0" w:line="360" w:lineRule="auto"/>
        <w:rPr>
          <w:rFonts w:eastAsia="Times New Roman" w:cs="Tahoma"/>
          <w:color w:val="auto"/>
          <w:szCs w:val="24"/>
          <w:lang w:eastAsia="es-ES"/>
        </w:rPr>
      </w:pPr>
    </w:p>
    <w:p w:rsidRPr="00841990" w:rsidR="00C853D1" w:rsidP="00F80F48" w:rsidRDefault="00C853D1" w14:paraId="75DA7F11" w14:textId="77777777">
      <w:pPr>
        <w:spacing w:after="0" w:line="360" w:lineRule="auto"/>
        <w:rPr>
          <w:rFonts w:eastAsia="Times New Roman" w:cs="Tahoma"/>
          <w:color w:val="auto"/>
          <w:szCs w:val="24"/>
          <w:lang w:val="es-ES" w:eastAsia="es-ES"/>
        </w:rPr>
      </w:pPr>
      <w:r w:rsidRPr="00841990">
        <w:rPr>
          <w:rFonts w:eastAsia="Times New Roman" w:cs="Tahoma"/>
          <w:bCs/>
          <w:color w:val="auto"/>
          <w:szCs w:val="24"/>
          <w:lang w:val="es-ES" w:eastAsia="es-ES"/>
        </w:rPr>
        <w:t xml:space="preserve">Por tales motivos, </w:t>
      </w:r>
      <w:r w:rsidRPr="00841990">
        <w:rPr>
          <w:rFonts w:eastAsia="Times New Roman" w:cs="Tahoma"/>
          <w:color w:val="auto"/>
          <w:szCs w:val="24"/>
          <w:lang w:val="es-ES" w:eastAsia="es-ES"/>
        </w:rPr>
        <w:t>se considera procedente entrar al fondo del presente asunto.</w:t>
      </w:r>
    </w:p>
    <w:p w:rsidRPr="00841990" w:rsidR="00C853D1" w:rsidP="00F80F48" w:rsidRDefault="00C853D1" w14:paraId="5A499E5E" w14:textId="77777777">
      <w:pPr>
        <w:spacing w:after="0" w:line="360" w:lineRule="auto"/>
      </w:pPr>
    </w:p>
    <w:p w:rsidRPr="00841990" w:rsidR="00C853D1" w:rsidP="00F80F48" w:rsidRDefault="00C853D1" w14:paraId="554D6B44" w14:textId="77777777">
      <w:pPr>
        <w:spacing w:after="0" w:line="360" w:lineRule="auto"/>
        <w:rPr>
          <w:rFonts w:eastAsia="Times New Roman" w:cs="Tahoma"/>
          <w:b/>
          <w:bCs/>
          <w:iCs/>
          <w:color w:val="auto"/>
          <w:lang w:val="es-ES" w:eastAsia="es-ES"/>
        </w:rPr>
      </w:pPr>
      <w:r w:rsidRPr="00841990">
        <w:rPr>
          <w:rFonts w:eastAsia="Times New Roman" w:cs="Tahoma"/>
          <w:b/>
          <w:bCs/>
          <w:iCs/>
          <w:color w:val="auto"/>
          <w:lang w:val="es-ES" w:eastAsia="es-ES"/>
        </w:rPr>
        <w:t xml:space="preserve">TERCERO. Determinación de la Controversia. </w:t>
      </w:r>
    </w:p>
    <w:p w:rsidRPr="00841990" w:rsidR="00C853D1" w:rsidP="00F80F48" w:rsidRDefault="00C853D1" w14:paraId="1618F7DB" w14:textId="77777777">
      <w:pPr>
        <w:autoSpaceDE w:val="0"/>
        <w:autoSpaceDN w:val="0"/>
        <w:adjustRightInd w:val="0"/>
        <w:spacing w:after="0" w:line="360" w:lineRule="auto"/>
        <w:rPr>
          <w:rFonts w:eastAsia="Calibri" w:cs="Tahoma"/>
          <w:color w:val="000000"/>
          <w:szCs w:val="24"/>
          <w:lang w:val="es-ES" w:eastAsia="es-MX"/>
        </w:rPr>
      </w:pPr>
    </w:p>
    <w:p w:rsidRPr="00841990" w:rsidR="00F96A7D" w:rsidP="00F80F48" w:rsidRDefault="00CD573E" w14:paraId="37FBD712" w14:textId="31339441">
      <w:pPr>
        <w:autoSpaceDE w:val="0"/>
        <w:autoSpaceDN w:val="0"/>
        <w:adjustRightInd w:val="0"/>
        <w:spacing w:after="0" w:line="360" w:lineRule="auto"/>
        <w:rPr>
          <w:rFonts w:eastAsia="Calibri" w:cs="Tahoma"/>
          <w:color w:val="000000"/>
          <w:szCs w:val="24"/>
          <w:lang w:val="es-ES" w:eastAsia="es-MX"/>
        </w:rPr>
      </w:pPr>
      <w:r w:rsidRPr="00841990">
        <w:rPr>
          <w:rFonts w:eastAsia="Calibri" w:cs="Tahoma"/>
          <w:color w:val="000000"/>
          <w:szCs w:val="24"/>
          <w:lang w:val="es-ES" w:eastAsia="es-MX"/>
        </w:rPr>
        <w:t xml:space="preserve">Una vez realizado el estudio de las constancias que obran en el expediente electrónico en el que se actúa, se advierte que </w:t>
      </w:r>
      <w:r w:rsidR="007D5661">
        <w:rPr>
          <w:rFonts w:eastAsia="Calibri" w:cs="Tahoma"/>
          <w:color w:val="000000"/>
          <w:szCs w:val="24"/>
          <w:lang w:val="es-ES" w:eastAsia="es-MX"/>
        </w:rPr>
        <w:t>la</w:t>
      </w:r>
      <w:r w:rsidRPr="00841990">
        <w:rPr>
          <w:rFonts w:eastAsia="Calibri" w:cs="Tahoma"/>
          <w:color w:val="000000"/>
          <w:szCs w:val="24"/>
          <w:lang w:val="es-ES" w:eastAsia="es-MX"/>
        </w:rPr>
        <w:t xml:space="preserve"> Solicitante requirió</w:t>
      </w:r>
      <w:r w:rsidRPr="00841990" w:rsidR="00EB3BEB">
        <w:rPr>
          <w:rFonts w:eastAsia="Calibri" w:cs="Tahoma"/>
          <w:color w:val="000000"/>
          <w:szCs w:val="24"/>
          <w:lang w:val="es-ES" w:eastAsia="es-MX"/>
        </w:rPr>
        <w:t xml:space="preserve"> </w:t>
      </w:r>
      <w:r w:rsidR="009B426E">
        <w:rPr>
          <w:rFonts w:eastAsia="Calibri" w:cs="Tahoma"/>
          <w:color w:val="000000"/>
          <w:szCs w:val="24"/>
          <w:lang w:val="es-ES" w:eastAsia="es-MX"/>
        </w:rPr>
        <w:t xml:space="preserve">los </w:t>
      </w:r>
      <w:r w:rsidR="007D5661">
        <w:rPr>
          <w:rFonts w:eastAsia="Calibri" w:cs="Tahoma"/>
          <w:color w:val="000000"/>
          <w:szCs w:val="24"/>
          <w:lang w:val="es-ES" w:eastAsia="es-MX"/>
        </w:rPr>
        <w:t>movimientos de personal de base y confianza</w:t>
      </w:r>
      <w:r w:rsidR="001674D7">
        <w:rPr>
          <w:rFonts w:eastAsia="Calibri" w:cs="Tahoma"/>
          <w:color w:val="000000"/>
          <w:szCs w:val="24"/>
          <w:lang w:val="es-ES" w:eastAsia="es-MX"/>
        </w:rPr>
        <w:t>,</w:t>
      </w:r>
      <w:r w:rsidR="007D5661">
        <w:rPr>
          <w:rFonts w:eastAsia="Calibri" w:cs="Tahoma"/>
          <w:color w:val="000000"/>
          <w:szCs w:val="24"/>
          <w:lang w:val="es-ES" w:eastAsia="es-MX"/>
        </w:rPr>
        <w:t xml:space="preserve"> del mes de febrero de dos mil veintidós.</w:t>
      </w:r>
    </w:p>
    <w:p w:rsidRPr="00841990" w:rsidR="00F96A7D" w:rsidP="00F80F48" w:rsidRDefault="00F96A7D" w14:paraId="06990D1A" w14:textId="77777777">
      <w:pPr>
        <w:autoSpaceDE w:val="0"/>
        <w:autoSpaceDN w:val="0"/>
        <w:adjustRightInd w:val="0"/>
        <w:spacing w:after="0" w:line="360" w:lineRule="auto"/>
        <w:rPr>
          <w:rFonts w:eastAsia="Calibri" w:cs="Tahoma"/>
          <w:color w:val="000000"/>
          <w:szCs w:val="24"/>
          <w:lang w:val="es-ES" w:eastAsia="es-MX"/>
        </w:rPr>
      </w:pPr>
    </w:p>
    <w:p w:rsidRPr="00841990" w:rsidR="00FD7AF9" w:rsidP="00F80F48" w:rsidRDefault="009F78B3" w14:paraId="47BD55AE" w14:textId="46E2F8AD">
      <w:pPr>
        <w:autoSpaceDE w:val="0"/>
        <w:autoSpaceDN w:val="0"/>
        <w:adjustRightInd w:val="0"/>
        <w:spacing w:after="0" w:line="360" w:lineRule="auto"/>
        <w:rPr>
          <w:rFonts w:eastAsia="Calibri" w:cs="Tahoma"/>
          <w:bCs/>
          <w:iCs/>
          <w:lang w:val="es-ES"/>
        </w:rPr>
      </w:pPr>
      <w:r w:rsidRPr="00841990">
        <w:rPr>
          <w:rFonts w:eastAsia="Calibri" w:cs="Tahoma"/>
          <w:color w:val="000000"/>
          <w:szCs w:val="24"/>
          <w:lang w:val="es-ES" w:eastAsia="es-MX"/>
        </w:rPr>
        <w:t>En respuesta, el Sujeto Obligado</w:t>
      </w:r>
      <w:r w:rsidR="009B426E">
        <w:rPr>
          <w:rFonts w:eastAsia="Calibri" w:cs="Tahoma"/>
          <w:color w:val="000000"/>
          <w:szCs w:val="24"/>
          <w:lang w:val="es-ES" w:eastAsia="es-MX"/>
        </w:rPr>
        <w:t>,</w:t>
      </w:r>
      <w:r w:rsidRPr="00841990">
        <w:rPr>
          <w:rFonts w:eastAsia="Calibri" w:cs="Tahoma"/>
          <w:color w:val="000000"/>
          <w:szCs w:val="24"/>
          <w:lang w:val="es-ES" w:eastAsia="es-MX"/>
        </w:rPr>
        <w:t xml:space="preserve"> </w:t>
      </w:r>
      <w:r w:rsidR="00AB4685">
        <w:rPr>
          <w:rFonts w:eastAsia="Calibri" w:cs="Tahoma"/>
          <w:color w:val="000000"/>
          <w:szCs w:val="24"/>
          <w:lang w:val="es-ES" w:eastAsia="es-MX"/>
        </w:rPr>
        <w:t xml:space="preserve">a través de la Dirección General de Administración precisó </w:t>
      </w:r>
      <w:r w:rsidR="00653E62">
        <w:rPr>
          <w:rFonts w:eastAsia="Calibri" w:cs="Tahoma"/>
          <w:color w:val="000000"/>
          <w:szCs w:val="24"/>
          <w:lang w:val="es-ES" w:eastAsia="es-MX"/>
        </w:rPr>
        <w:t>el número de bajas y altas del Ayuntamiento</w:t>
      </w:r>
      <w:r w:rsidR="00AB4685">
        <w:rPr>
          <w:rFonts w:eastAsia="Calibri" w:cs="Tahoma"/>
          <w:color w:val="000000"/>
          <w:szCs w:val="24"/>
          <w:lang w:val="es-ES" w:eastAsia="es-MX"/>
        </w:rPr>
        <w:t xml:space="preserve">; mientras que el </w:t>
      </w:r>
      <w:r w:rsidRPr="00653E62" w:rsidR="00653E62">
        <w:rPr>
          <w:rFonts w:eastAsia="Calibri" w:cs="Tahoma"/>
          <w:color w:val="000000"/>
          <w:szCs w:val="24"/>
          <w:lang w:val="es-ES" w:eastAsia="es-MX"/>
        </w:rPr>
        <w:t>Instituto Municipal de Cultura Física y Deporte</w:t>
      </w:r>
      <w:r w:rsidR="00653E62">
        <w:rPr>
          <w:rFonts w:eastAsia="Calibri" w:cs="Tahoma"/>
          <w:color w:val="000000"/>
          <w:szCs w:val="24"/>
          <w:lang w:val="es-ES" w:eastAsia="es-MX"/>
        </w:rPr>
        <w:t xml:space="preserve"> y </w:t>
      </w:r>
      <w:r w:rsidRPr="00653E62" w:rsidR="00653E62">
        <w:rPr>
          <w:rFonts w:eastAsia="Calibri" w:cs="Tahoma"/>
          <w:color w:val="000000"/>
          <w:szCs w:val="24"/>
          <w:lang w:val="es-ES" w:eastAsia="es-MX"/>
        </w:rPr>
        <w:t>del Instituto Municipal de la Mujer</w:t>
      </w:r>
      <w:r w:rsidR="00AB4685">
        <w:rPr>
          <w:rFonts w:eastAsia="Calibri" w:cs="Tahoma"/>
          <w:color w:val="000000"/>
          <w:szCs w:val="24"/>
          <w:lang w:val="es-ES" w:eastAsia="es-MX"/>
        </w:rPr>
        <w:t xml:space="preserve"> proporcionaron los nombres de los servidores públicos que habían causado algún movimiento durante febrero de dos mil veintidós</w:t>
      </w:r>
      <w:r w:rsidR="009B426E">
        <w:rPr>
          <w:rFonts w:eastAsia="Calibri" w:cs="Tahoma"/>
          <w:color w:val="000000"/>
          <w:szCs w:val="24"/>
          <w:lang w:val="es-ES" w:eastAsia="es-MX"/>
        </w:rPr>
        <w:t>; a</w:t>
      </w:r>
      <w:r w:rsidRPr="00841990" w:rsidR="00E07924">
        <w:rPr>
          <w:rFonts w:eastAsia="Calibri" w:cs="Tahoma"/>
          <w:color w:val="000000"/>
          <w:szCs w:val="24"/>
          <w:lang w:val="es-ES" w:eastAsia="es-MX"/>
        </w:rPr>
        <w:t xml:space="preserve">nte tal circunstancia, </w:t>
      </w:r>
      <w:r w:rsidRPr="00841990" w:rsidR="0037194C">
        <w:rPr>
          <w:rFonts w:eastAsia="Calibri" w:cs="Tahoma"/>
          <w:color w:val="000000"/>
          <w:szCs w:val="24"/>
          <w:lang w:val="es-ES" w:eastAsia="es-MX"/>
        </w:rPr>
        <w:t>la Solicitante se agravi</w:t>
      </w:r>
      <w:r w:rsidR="00D60EB1">
        <w:rPr>
          <w:rFonts w:eastAsia="Calibri" w:cs="Tahoma"/>
          <w:color w:val="000000"/>
          <w:szCs w:val="24"/>
          <w:lang w:val="es-ES" w:eastAsia="es-MX"/>
        </w:rPr>
        <w:t xml:space="preserve">ó por la entrega de información </w:t>
      </w:r>
      <w:r w:rsidR="009B426E">
        <w:rPr>
          <w:rFonts w:eastAsia="Calibri" w:cs="Tahoma"/>
          <w:color w:val="000000"/>
          <w:szCs w:val="24"/>
          <w:lang w:val="es-ES" w:eastAsia="es-MX"/>
        </w:rPr>
        <w:t>incompleta</w:t>
      </w:r>
      <w:r w:rsidR="00D60EB1">
        <w:rPr>
          <w:rFonts w:eastAsia="Calibri" w:cs="Tahoma"/>
          <w:color w:val="000000"/>
          <w:szCs w:val="24"/>
          <w:lang w:val="es-ES" w:eastAsia="es-MX"/>
        </w:rPr>
        <w:t>, lo cual actualiza la causal de procedencia establecida en el artículo 179, fracción V, de la Ley de Transparencia y Acceso a la Información Pública del Estado de México y Municipios.</w:t>
      </w:r>
      <w:r w:rsidR="009B426E">
        <w:rPr>
          <w:rFonts w:eastAsia="Calibri" w:cs="Tahoma"/>
          <w:color w:val="000000"/>
          <w:szCs w:val="24"/>
          <w:lang w:val="es-ES" w:eastAsia="es-MX"/>
        </w:rPr>
        <w:t xml:space="preserve"> </w:t>
      </w:r>
      <w:r w:rsidRPr="00841990" w:rsidR="00C853D1">
        <w:rPr>
          <w:rFonts w:eastAsia="Calibri" w:cs="Tahoma"/>
          <w:bCs/>
          <w:lang w:val="es-ES_tradnl"/>
        </w:rPr>
        <w:t xml:space="preserve">Así las cosas, </w:t>
      </w:r>
      <w:r w:rsidRPr="00841990" w:rsidR="00C853D1">
        <w:rPr>
          <w:rFonts w:eastAsia="Calibri" w:cs="Tahoma"/>
          <w:bCs/>
          <w:iCs/>
          <w:lang w:val="es-ES"/>
        </w:rPr>
        <w:t>una vez admitido y notificado el Recurso de Revisión</w:t>
      </w:r>
      <w:r w:rsidR="002D6EEA">
        <w:rPr>
          <w:rFonts w:eastAsia="Calibri" w:cs="Tahoma"/>
          <w:bCs/>
          <w:iCs/>
          <w:lang w:val="es-ES"/>
        </w:rPr>
        <w:t>, el sujeto obligado confirmó su respuesta in</w:t>
      </w:r>
      <w:r w:rsidR="004A33F1">
        <w:rPr>
          <w:rFonts w:eastAsia="Calibri" w:cs="Tahoma"/>
          <w:bCs/>
          <w:iCs/>
          <w:lang w:val="es-ES"/>
        </w:rPr>
        <w:t xml:space="preserve">icial. </w:t>
      </w:r>
    </w:p>
    <w:p w:rsidRPr="00841990" w:rsidR="00C853D1" w:rsidP="00F80F48" w:rsidRDefault="00C853D1" w14:paraId="282C5439" w14:textId="77777777">
      <w:pPr>
        <w:autoSpaceDE w:val="0"/>
        <w:autoSpaceDN w:val="0"/>
        <w:adjustRightInd w:val="0"/>
        <w:spacing w:after="0" w:line="360" w:lineRule="auto"/>
        <w:rPr>
          <w:rFonts w:eastAsia="Calibri" w:cs="Tahoma"/>
          <w:iCs/>
          <w:color w:val="auto"/>
          <w:lang w:val="es-ES" w:eastAsia="es-ES_tradnl"/>
        </w:rPr>
      </w:pPr>
    </w:p>
    <w:p w:rsidRPr="00841990" w:rsidR="00C853D1" w:rsidP="00F80F48" w:rsidRDefault="00C853D1" w14:paraId="47A7D7E9" w14:textId="771D1711">
      <w:pPr>
        <w:spacing w:after="0" w:line="360" w:lineRule="auto"/>
      </w:pPr>
      <w:r w:rsidRPr="00841990">
        <w:t xml:space="preserve">Lo anterior, se desprende de las documentales que obran en el expediente de referencia, materia de la presente Resolución, consistentes en: la solicitud de acceso a la información; la respuesta del Sujeto Obligado; </w:t>
      </w:r>
      <w:r w:rsidRPr="00841990">
        <w:rPr>
          <w:bCs/>
        </w:rPr>
        <w:t xml:space="preserve">el </w:t>
      </w:r>
      <w:r w:rsidRPr="00841990">
        <w:t>escrito recursal y el Informe Justificado re</w:t>
      </w:r>
      <w:r w:rsidR="001F2D90">
        <w:t>mitido</w:t>
      </w:r>
      <w:r w:rsidRPr="00841990">
        <w:t xml:space="preserve"> por el Sujeto </w:t>
      </w:r>
      <w:r w:rsidRPr="00841990">
        <w:lastRenderedPageBreak/>
        <w:t>Obligado, instrumentales que se toman en cuenta a efecto de resolver el presente medio de impugnación, conforme a lo dispuesto por el artículo 185, fracción IV, de la Ley de Transparencia y Acceso a la Información Pública del Estado de México y Municipios.</w:t>
      </w:r>
    </w:p>
    <w:p w:rsidRPr="00841990" w:rsidR="00C853D1" w:rsidP="00F80F48" w:rsidRDefault="00C853D1" w14:paraId="5796AF7E" w14:textId="77777777">
      <w:pPr>
        <w:spacing w:after="0" w:line="360" w:lineRule="auto"/>
      </w:pPr>
    </w:p>
    <w:p w:rsidRPr="00841990" w:rsidR="00C853D1" w:rsidP="00F80F48" w:rsidRDefault="00C853D1" w14:paraId="4AD760E5" w14:textId="77777777">
      <w:pPr>
        <w:spacing w:after="0" w:line="360" w:lineRule="auto"/>
        <w:rPr>
          <w:rFonts w:eastAsia="Times New Roman" w:cs="Tahoma"/>
          <w:b/>
          <w:bCs/>
          <w:iCs/>
          <w:color w:val="auto"/>
          <w:lang w:eastAsia="es-ES"/>
        </w:rPr>
      </w:pPr>
      <w:r w:rsidRPr="00841990">
        <w:rPr>
          <w:rFonts w:eastAsia="Times New Roman" w:cs="Tahoma"/>
          <w:b/>
          <w:bCs/>
          <w:iCs/>
          <w:color w:val="auto"/>
          <w:lang w:val="es-ES" w:eastAsia="es-ES"/>
        </w:rPr>
        <w:t xml:space="preserve">CUARTO. </w:t>
      </w:r>
      <w:r w:rsidRPr="00841990">
        <w:rPr>
          <w:rFonts w:eastAsia="Times New Roman" w:cs="Tahoma"/>
          <w:b/>
          <w:bCs/>
          <w:iCs/>
          <w:color w:val="auto"/>
          <w:lang w:eastAsia="es-ES"/>
        </w:rPr>
        <w:t>Marco normativo aplicable en materia de transparencia y acceso a la información pública.</w:t>
      </w:r>
    </w:p>
    <w:p w:rsidRPr="00841990" w:rsidR="00C853D1" w:rsidP="00F80F48" w:rsidRDefault="00C853D1" w14:paraId="43AD0F27" w14:textId="77777777">
      <w:pPr>
        <w:spacing w:after="0" w:line="360" w:lineRule="auto"/>
        <w:rPr>
          <w:rFonts w:eastAsia="Times New Roman" w:cs="Tahoma"/>
          <w:b/>
          <w:bCs/>
          <w:iCs/>
          <w:color w:val="auto"/>
          <w:lang w:eastAsia="es-ES"/>
        </w:rPr>
      </w:pPr>
    </w:p>
    <w:p w:rsidRPr="00841990" w:rsidR="00C853D1" w:rsidP="00F80F48" w:rsidRDefault="00C853D1" w14:paraId="612B1C77" w14:textId="77777777">
      <w:pPr>
        <w:spacing w:after="0" w:line="360" w:lineRule="auto"/>
        <w:rPr>
          <w:rFonts w:eastAsia="Times New Roman" w:cs="Tahoma"/>
          <w:bCs/>
          <w:iCs/>
          <w:color w:val="auto"/>
          <w:lang w:eastAsia="es-ES"/>
        </w:rPr>
      </w:pPr>
      <w:r w:rsidRPr="00841990">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841990" w:rsidR="00C853D1" w:rsidP="00F80F48" w:rsidRDefault="00C853D1" w14:paraId="4DEFDE24" w14:textId="77777777">
      <w:pPr>
        <w:spacing w:after="0" w:line="360" w:lineRule="auto"/>
        <w:rPr>
          <w:rFonts w:eastAsia="Times New Roman" w:cs="Tahoma"/>
          <w:bCs/>
          <w:iCs/>
          <w:color w:val="auto"/>
          <w:lang w:eastAsia="es-ES"/>
        </w:rPr>
      </w:pPr>
    </w:p>
    <w:p w:rsidRPr="00841990" w:rsidR="00C853D1" w:rsidP="00F80F48" w:rsidRDefault="00C853D1" w14:paraId="0629EDEA" w14:textId="77777777">
      <w:pPr>
        <w:spacing w:after="0" w:line="360" w:lineRule="auto"/>
        <w:rPr>
          <w:rFonts w:eastAsia="Times New Roman" w:cs="Tahoma"/>
          <w:bCs/>
          <w:iCs/>
          <w:color w:val="auto"/>
          <w:lang w:eastAsia="es-ES"/>
        </w:rPr>
      </w:pPr>
      <w:r w:rsidRPr="00841990">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841990" w:rsidR="00C853D1" w:rsidP="00F80F48" w:rsidRDefault="00C853D1" w14:paraId="1198CD87" w14:textId="77777777">
      <w:pPr>
        <w:spacing w:after="0" w:line="360" w:lineRule="auto"/>
        <w:rPr>
          <w:rFonts w:eastAsia="Times New Roman" w:cs="Tahoma"/>
          <w:bCs/>
          <w:iCs/>
          <w:color w:val="auto"/>
          <w:lang w:eastAsia="es-ES"/>
        </w:rPr>
      </w:pPr>
    </w:p>
    <w:p w:rsidRPr="00841990" w:rsidR="00C853D1" w:rsidP="00F80F48" w:rsidRDefault="00C853D1" w14:paraId="2E116B44" w14:textId="77777777">
      <w:pPr>
        <w:spacing w:after="0" w:line="360" w:lineRule="auto"/>
        <w:rPr>
          <w:rFonts w:eastAsia="Times New Roman" w:cs="Tahoma"/>
          <w:bCs/>
          <w:iCs/>
          <w:color w:val="auto"/>
          <w:lang w:eastAsia="es-ES"/>
        </w:rPr>
      </w:pPr>
      <w:r w:rsidRPr="00841990">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841990" w:rsidR="00C853D1" w:rsidP="00F80F48" w:rsidRDefault="00C853D1" w14:paraId="6D4CE485" w14:textId="77777777">
      <w:pPr>
        <w:spacing w:after="0" w:line="360" w:lineRule="auto"/>
        <w:rPr>
          <w:rFonts w:eastAsia="Times New Roman" w:cs="Tahoma"/>
          <w:bCs/>
          <w:iCs/>
          <w:color w:val="auto"/>
          <w:lang w:eastAsia="es-ES"/>
        </w:rPr>
      </w:pPr>
    </w:p>
    <w:p w:rsidRPr="00841990" w:rsidR="00C853D1" w:rsidP="00F80F48" w:rsidRDefault="00C853D1" w14:paraId="39E7B3D5" w14:textId="77777777">
      <w:pPr>
        <w:spacing w:after="0" w:line="360" w:lineRule="auto"/>
        <w:rPr>
          <w:rFonts w:eastAsia="Times New Roman" w:cs="Tahoma"/>
          <w:bCs/>
          <w:iCs/>
          <w:color w:val="auto"/>
          <w:lang w:eastAsia="es-ES"/>
        </w:rPr>
      </w:pPr>
      <w:r w:rsidRPr="00841990">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841990" w:rsidR="00C853D1" w:rsidP="00F80F48" w:rsidRDefault="00C853D1" w14:paraId="08EAD36A" w14:textId="77777777">
      <w:pPr>
        <w:spacing w:after="0" w:line="360" w:lineRule="auto"/>
        <w:rPr>
          <w:rFonts w:eastAsia="Times New Roman" w:cs="Tahoma"/>
          <w:bCs/>
          <w:iCs/>
          <w:color w:val="auto"/>
          <w:lang w:eastAsia="es-ES"/>
        </w:rPr>
      </w:pPr>
    </w:p>
    <w:p w:rsidRPr="00841990" w:rsidR="00C853D1" w:rsidP="00F80F48" w:rsidRDefault="00C853D1" w14:paraId="33BD459A" w14:textId="77777777">
      <w:pPr>
        <w:spacing w:after="0" w:line="360" w:lineRule="auto"/>
        <w:rPr>
          <w:rFonts w:eastAsia="Times New Roman" w:cs="Tahoma"/>
          <w:bCs/>
          <w:iCs/>
          <w:color w:val="auto"/>
          <w:lang w:eastAsia="es-ES"/>
        </w:rPr>
      </w:pPr>
      <w:r w:rsidRPr="00841990">
        <w:rPr>
          <w:rFonts w:eastAsia="Times New Roman" w:cs="Tahoma"/>
          <w:bCs/>
          <w:iCs/>
          <w:color w:val="auto"/>
          <w:lang w:eastAsia="es-ES"/>
        </w:rPr>
        <w:t>El artículo 12, que, quienes generen, recopilen, administren, manejen, procesen, archiven o conserven información pública serán responsables de la misma.</w:t>
      </w:r>
    </w:p>
    <w:p w:rsidRPr="00841990" w:rsidR="00C853D1" w:rsidP="00F80F48" w:rsidRDefault="00C853D1" w14:paraId="7F23F258" w14:textId="77777777">
      <w:pPr>
        <w:spacing w:after="0" w:line="360" w:lineRule="auto"/>
        <w:rPr>
          <w:rFonts w:eastAsia="Times New Roman" w:cs="Tahoma"/>
          <w:bCs/>
          <w:iCs/>
          <w:color w:val="auto"/>
          <w:lang w:eastAsia="es-ES"/>
        </w:rPr>
      </w:pPr>
    </w:p>
    <w:p w:rsidRPr="00841990" w:rsidR="00C853D1" w:rsidP="00F80F48" w:rsidRDefault="00C853D1" w14:paraId="21150C29" w14:textId="77777777">
      <w:pPr>
        <w:spacing w:after="0" w:line="360" w:lineRule="auto"/>
        <w:rPr>
          <w:rFonts w:eastAsia="Times New Roman" w:cs="Tahoma"/>
          <w:bCs/>
          <w:iCs/>
          <w:color w:val="auto"/>
          <w:lang w:eastAsia="es-ES"/>
        </w:rPr>
      </w:pPr>
      <w:r w:rsidRPr="00841990">
        <w:rPr>
          <w:rFonts w:eastAsia="Times New Roman" w:cs="Tahoma"/>
          <w:bCs/>
          <w:iCs/>
          <w:color w:val="auto"/>
          <w:lang w:eastAsia="es-ES"/>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Pr="00841990" w:rsidR="00C853D1" w:rsidP="00F80F48" w:rsidRDefault="00C853D1" w14:paraId="3F8053D7" w14:textId="77777777">
      <w:pPr>
        <w:spacing w:after="0" w:line="360" w:lineRule="auto"/>
        <w:rPr>
          <w:rFonts w:eastAsia="Times New Roman" w:cs="Tahoma"/>
          <w:bCs/>
          <w:iCs/>
          <w:color w:val="auto"/>
          <w:lang w:eastAsia="es-ES"/>
        </w:rPr>
      </w:pPr>
    </w:p>
    <w:p w:rsidRPr="00841990" w:rsidR="00C853D1" w:rsidP="00F80F48" w:rsidRDefault="00C853D1" w14:paraId="391D3BDE" w14:textId="77777777">
      <w:pPr>
        <w:spacing w:after="0" w:line="360" w:lineRule="auto"/>
        <w:rPr>
          <w:rFonts w:eastAsia="Times New Roman" w:cs="Tahoma"/>
          <w:bCs/>
          <w:iCs/>
          <w:color w:val="auto"/>
          <w:lang w:eastAsia="es-ES"/>
        </w:rPr>
      </w:pPr>
      <w:r w:rsidRPr="00841990">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841990" w:rsidR="00C853D1" w:rsidP="00F80F48" w:rsidRDefault="00C853D1" w14:paraId="1052A03D" w14:textId="77777777">
      <w:pPr>
        <w:spacing w:after="0" w:line="360" w:lineRule="auto"/>
        <w:rPr>
          <w:rFonts w:eastAsia="Times New Roman" w:cs="Tahoma"/>
          <w:b/>
          <w:bCs/>
          <w:iCs/>
          <w:color w:val="auto"/>
          <w:lang w:val="es-ES" w:eastAsia="es-ES"/>
        </w:rPr>
      </w:pPr>
    </w:p>
    <w:p w:rsidRPr="00841990" w:rsidR="00C853D1" w:rsidP="00F80F48" w:rsidRDefault="00C853D1" w14:paraId="4CD9F9A9" w14:textId="77777777">
      <w:pPr>
        <w:spacing w:after="0" w:line="360" w:lineRule="auto"/>
        <w:rPr>
          <w:rFonts w:eastAsia="Times New Roman" w:cs="Tahoma"/>
          <w:b/>
          <w:bCs/>
          <w:iCs/>
          <w:color w:val="auto"/>
          <w:lang w:val="es-ES" w:eastAsia="es-ES"/>
        </w:rPr>
      </w:pPr>
      <w:r w:rsidRPr="00AB4685">
        <w:rPr>
          <w:rFonts w:eastAsia="Times New Roman" w:cs="Tahoma"/>
          <w:b/>
          <w:bCs/>
          <w:iCs/>
          <w:color w:val="auto"/>
          <w:lang w:val="es-ES" w:eastAsia="es-ES"/>
        </w:rPr>
        <w:t>Quinto. Estudio</w:t>
      </w:r>
      <w:r w:rsidRPr="00841990">
        <w:rPr>
          <w:rFonts w:eastAsia="Times New Roman" w:cs="Tahoma"/>
          <w:b/>
          <w:bCs/>
          <w:iCs/>
          <w:color w:val="auto"/>
          <w:lang w:val="es-ES" w:eastAsia="es-ES"/>
        </w:rPr>
        <w:t xml:space="preserve"> de Fondo.</w:t>
      </w:r>
    </w:p>
    <w:p w:rsidRPr="00841990" w:rsidR="00C853D1" w:rsidP="00F80F48" w:rsidRDefault="00C853D1" w14:paraId="614B9665" w14:textId="5578038A">
      <w:pPr>
        <w:spacing w:after="0" w:line="360" w:lineRule="auto"/>
        <w:rPr>
          <w:rFonts w:eastAsia="Times New Roman" w:cs="Tahoma"/>
          <w:iCs/>
          <w:color w:val="auto"/>
          <w:lang w:val="es-ES" w:eastAsia="es-ES"/>
        </w:rPr>
      </w:pPr>
    </w:p>
    <w:p w:rsidRPr="00841990" w:rsidR="000614FE" w:rsidP="000614FE" w:rsidRDefault="000614FE" w14:paraId="6874DF69" w14:textId="14D3FEED">
      <w:pPr>
        <w:autoSpaceDE w:val="0"/>
        <w:autoSpaceDN w:val="0"/>
        <w:adjustRightInd w:val="0"/>
        <w:spacing w:after="0" w:line="360" w:lineRule="auto"/>
        <w:rPr>
          <w:rFonts w:eastAsia="Calibri" w:cs="Tahoma"/>
          <w:color w:val="000000"/>
          <w:szCs w:val="24"/>
          <w:lang w:val="es-ES" w:eastAsia="es-MX"/>
        </w:rPr>
      </w:pPr>
      <w:r w:rsidRPr="000614FE">
        <w:rPr>
          <w:rFonts w:eastAsia="Calibri" w:cs="Tahoma"/>
          <w:bCs/>
          <w:color w:val="auto"/>
        </w:rPr>
        <w:t xml:space="preserve">Expuestas las posturas de las partes, se procede a analizar los agravios hechos valer por </w:t>
      </w:r>
      <w:r w:rsidR="00AC44E4">
        <w:rPr>
          <w:rFonts w:eastAsia="Calibri" w:cs="Tahoma"/>
          <w:bCs/>
          <w:color w:val="auto"/>
        </w:rPr>
        <w:t xml:space="preserve">la </w:t>
      </w:r>
      <w:r w:rsidRPr="000614FE">
        <w:rPr>
          <w:rFonts w:eastAsia="Calibri" w:cs="Tahoma"/>
          <w:bCs/>
          <w:color w:val="auto"/>
        </w:rPr>
        <w:t>ahora Recurrente, por lo cual, en un principio es necesario contextualizar el requerimiento de información, para lo cual, de la lectura y análisis de este, se logra desprender que la pretensión de</w:t>
      </w:r>
      <w:r w:rsidR="005B1631">
        <w:rPr>
          <w:rFonts w:eastAsia="Calibri" w:cs="Tahoma"/>
          <w:bCs/>
          <w:color w:val="auto"/>
        </w:rPr>
        <w:t xml:space="preserve"> </w:t>
      </w:r>
      <w:r w:rsidRPr="000614FE">
        <w:rPr>
          <w:rFonts w:eastAsia="Calibri" w:cs="Tahoma"/>
          <w:bCs/>
          <w:color w:val="auto"/>
        </w:rPr>
        <w:t>l</w:t>
      </w:r>
      <w:r w:rsidR="005B1631">
        <w:rPr>
          <w:rFonts w:eastAsia="Calibri" w:cs="Tahoma"/>
          <w:bCs/>
          <w:color w:val="auto"/>
        </w:rPr>
        <w:t>a</w:t>
      </w:r>
      <w:r w:rsidRPr="000614FE">
        <w:rPr>
          <w:rFonts w:eastAsia="Calibri" w:cs="Tahoma"/>
          <w:bCs/>
          <w:color w:val="auto"/>
        </w:rPr>
        <w:t xml:space="preserve"> ahora Recurrente, es obtener </w:t>
      </w:r>
      <w:r w:rsidR="00AC44E4">
        <w:rPr>
          <w:rFonts w:eastAsia="Calibri" w:cs="Tahoma"/>
          <w:bCs/>
          <w:color w:val="auto"/>
        </w:rPr>
        <w:t>los movimientos del personal de base y confianza del Ayuntamiento, del mes de febrero de dos mil veintidós.</w:t>
      </w:r>
    </w:p>
    <w:p w:rsidR="000614FE" w:rsidP="000614FE" w:rsidRDefault="000614FE" w14:paraId="61FCD9E8" w14:textId="095292F2">
      <w:pPr>
        <w:spacing w:after="0" w:line="360" w:lineRule="auto"/>
        <w:ind w:right="-28"/>
        <w:contextualSpacing/>
        <w:rPr>
          <w:rFonts w:eastAsia="Calibri" w:cs="Tahoma"/>
          <w:bCs/>
          <w:color w:val="auto"/>
        </w:rPr>
      </w:pPr>
    </w:p>
    <w:p w:rsidRPr="00414ACB" w:rsidR="00414ACB" w:rsidP="00414ACB" w:rsidRDefault="00414ACB" w14:paraId="3D7BD6BF" w14:textId="40739B98">
      <w:pPr>
        <w:spacing w:after="0" w:line="360" w:lineRule="auto"/>
        <w:rPr>
          <w:rFonts w:eastAsia="Calibri" w:cs="Times New Roman"/>
          <w:bCs/>
          <w:lang w:val="es-ES_tradnl"/>
        </w:rPr>
      </w:pPr>
      <w:r>
        <w:rPr>
          <w:rFonts w:eastAsia="Calibri" w:cs="Times New Roman"/>
          <w:bCs/>
          <w:lang w:val="es-ES_tradnl"/>
        </w:rPr>
        <w:t>En principio</w:t>
      </w:r>
      <w:r w:rsidRPr="00414ACB">
        <w:rPr>
          <w:rFonts w:eastAsia="Calibri" w:cs="Times New Roman"/>
          <w:bCs/>
          <w:lang w:val="es-ES_tradnl"/>
        </w:rPr>
        <w:t xml:space="preserve">, cabe traer a colación el artículo 4°, fracción VI, de la Ley del Trabajo de los Servidores Públicos del Estado y Municipios, precisa que son </w:t>
      </w:r>
      <w:r w:rsidRPr="00414ACB">
        <w:rPr>
          <w:rFonts w:eastAsia="Calibri" w:cs="Times New Roman"/>
          <w:b/>
          <w:lang w:val="es-ES_tradnl"/>
        </w:rPr>
        <w:t>servidores públicos</w:t>
      </w:r>
      <w:r w:rsidRPr="00414ACB">
        <w:rPr>
          <w:rFonts w:eastAsia="Calibri" w:cs="Times New Roman"/>
          <w:bCs/>
          <w:lang w:val="es-ES_tradnl"/>
        </w:rPr>
        <w:t xml:space="preserve">, todas las personas físicas que preste a una institución pública un trabajo personal subordinado, mediante el pago de un sueldo. </w:t>
      </w:r>
    </w:p>
    <w:p w:rsidRPr="00414ACB" w:rsidR="00414ACB" w:rsidP="00414ACB" w:rsidRDefault="00414ACB" w14:paraId="52EA2BC3" w14:textId="77777777">
      <w:pPr>
        <w:spacing w:after="0" w:line="360" w:lineRule="auto"/>
        <w:rPr>
          <w:rFonts w:eastAsia="Calibri" w:cs="Times New Roman"/>
          <w:bCs/>
          <w:lang w:val="es-ES_tradnl"/>
        </w:rPr>
      </w:pPr>
    </w:p>
    <w:p w:rsidRPr="00414ACB" w:rsidR="00414ACB" w:rsidP="00414ACB" w:rsidRDefault="00414ACB" w14:paraId="7C9DB187" w14:textId="77777777">
      <w:pPr>
        <w:spacing w:after="0" w:line="360" w:lineRule="auto"/>
        <w:ind w:right="-28"/>
        <w:contextualSpacing/>
        <w:rPr>
          <w:rFonts w:eastAsia="Calibri" w:cs="Tahoma"/>
          <w:b/>
          <w:color w:val="auto"/>
        </w:rPr>
      </w:pPr>
      <w:r w:rsidRPr="00414ACB">
        <w:rPr>
          <w:rFonts w:eastAsia="Calibri" w:cs="Times New Roman"/>
          <w:bCs/>
          <w:lang w:val="es-ES_tradnl"/>
        </w:rPr>
        <w:t xml:space="preserve">En ese contexto, </w:t>
      </w:r>
      <w:r w:rsidRPr="00414ACB">
        <w:rPr>
          <w:rFonts w:eastAsia="Calibri" w:cs="Tahoma"/>
          <w:bCs/>
          <w:color w:val="auto"/>
        </w:rPr>
        <w:t xml:space="preserve">la Guía Técnica 9 “La Administración del Personal Municipal” (consultado el diecinueve de mayo de la presente anualidad, a las once horas, con veintiséis minutos, en </w:t>
      </w:r>
      <w:hyperlink w:history="1" r:id="rId10">
        <w:r w:rsidRPr="00414ACB">
          <w:rPr>
            <w:rFonts w:eastAsia="Calibri" w:cs="Tahoma"/>
            <w:color w:val="0563C1" w:themeColor="hyperlink"/>
            <w:u w:val="single"/>
          </w:rPr>
          <w:t>http://www.inafed.gob.mx/work/models/inafed/Resource/335/1/images/guia09_la_administracion_del_personal_municipal.pdf</w:t>
        </w:r>
      </w:hyperlink>
      <w:r w:rsidRPr="00414ACB">
        <w:rPr>
          <w:rFonts w:eastAsia="Calibri" w:cs="Tahoma"/>
          <w:bCs/>
          <w:color w:val="auto"/>
        </w:rPr>
        <w:t xml:space="preserve">), que establece que son servidores públicos, son todas aquellas personas que prestan su trabajo al servicio del municipio, conformado por las </w:t>
      </w:r>
      <w:r w:rsidRPr="00414ACB">
        <w:rPr>
          <w:rFonts w:eastAsia="Calibri" w:cs="Tahoma"/>
          <w:bCs/>
          <w:color w:val="auto"/>
        </w:rPr>
        <w:lastRenderedPageBreak/>
        <w:t>autoridades (Presidente Municipal, Síndico, Regidores, Comisarios, Delegados y Agentes Municipales), funcionarios (Secretario del Ayuntamiento, Directores, Tesoreros, Contralores y Jefes de Departamento) y empleados (puestos administrativos y técnicos).</w:t>
      </w:r>
    </w:p>
    <w:p w:rsidR="00414ACB" w:rsidP="000614FE" w:rsidRDefault="00414ACB" w14:paraId="2CE297C9" w14:textId="77777777">
      <w:pPr>
        <w:spacing w:after="0" w:line="360" w:lineRule="auto"/>
        <w:ind w:right="-28"/>
        <w:contextualSpacing/>
        <w:rPr>
          <w:rFonts w:eastAsia="Calibri" w:cs="Tahoma"/>
          <w:bCs/>
          <w:color w:val="auto"/>
        </w:rPr>
      </w:pPr>
    </w:p>
    <w:p w:rsidRPr="00E359A0" w:rsidR="00E359A0" w:rsidP="00E359A0" w:rsidRDefault="00414ACB" w14:paraId="23118989" w14:textId="406B8BD8">
      <w:pPr>
        <w:spacing w:after="0" w:line="360" w:lineRule="auto"/>
        <w:rPr>
          <w:rFonts w:eastAsia="Times New Roman" w:cs="Times New Roman"/>
          <w:color w:val="auto"/>
          <w:lang w:eastAsia="es-MX"/>
        </w:rPr>
      </w:pPr>
      <w:r>
        <w:rPr>
          <w:rFonts w:eastAsia="Times New Roman" w:cs="Times New Roman"/>
          <w:color w:val="auto"/>
          <w:lang w:eastAsia="es-MX"/>
        </w:rPr>
        <w:t>En ese orden de ideas y a manera de referencia</w:t>
      </w:r>
      <w:r w:rsidRPr="00E359A0" w:rsidR="00E359A0">
        <w:rPr>
          <w:rFonts w:eastAsia="Times New Roman" w:cs="Times New Roman"/>
          <w:color w:val="auto"/>
          <w:lang w:eastAsia="es-MX"/>
        </w:rPr>
        <w:t>, el Manual de Normas y Procedimientos de Desarrollo y Administración de Personal, emitido por la Secretaría de Finanzas del Estado de México, que de sus procedimientos “021 Alta o Reingreso de Servidoras Públicas y Servidores Públicos Generales y de Confianza” y “031 Baja de Servidoras Públicas y Servidores Públicos Generales y de Confianza”, se desprende lo siguiente:</w:t>
      </w:r>
    </w:p>
    <w:p w:rsidRPr="00E359A0" w:rsidR="00E359A0" w:rsidP="00E359A0" w:rsidRDefault="00E359A0" w14:paraId="72D5FEF8" w14:textId="77777777">
      <w:pPr>
        <w:spacing w:after="0" w:line="360" w:lineRule="auto"/>
        <w:rPr>
          <w:rFonts w:eastAsia="Times New Roman" w:cs="Times New Roman"/>
          <w:color w:val="auto"/>
          <w:lang w:eastAsia="es-MX"/>
        </w:rPr>
      </w:pPr>
    </w:p>
    <w:p w:rsidRPr="00E359A0" w:rsidR="00E359A0" w:rsidP="00E359A0" w:rsidRDefault="00E359A0" w14:paraId="16A364C3" w14:textId="77777777">
      <w:pPr>
        <w:numPr>
          <w:ilvl w:val="0"/>
          <w:numId w:val="32"/>
        </w:numPr>
        <w:spacing w:after="0" w:line="360" w:lineRule="auto"/>
        <w:contextualSpacing/>
        <w:rPr>
          <w:rFonts w:eastAsia="Times New Roman" w:cs="Times New Roman"/>
          <w:color w:val="auto"/>
          <w:lang w:eastAsia="es-MX"/>
        </w:rPr>
      </w:pPr>
      <w:r w:rsidRPr="00E359A0">
        <w:rPr>
          <w:rFonts w:eastAsia="Times New Roman" w:cs="Times New Roman"/>
          <w:b/>
          <w:bCs/>
          <w:color w:val="auto"/>
          <w:lang w:eastAsia="es-MX"/>
        </w:rPr>
        <w:t xml:space="preserve">Movimiento de alta: </w:t>
      </w:r>
      <w:r w:rsidRPr="00E359A0">
        <w:rPr>
          <w:rFonts w:eastAsia="Times New Roman" w:cs="Times New Roman"/>
          <w:color w:val="auto"/>
          <w:lang w:eastAsia="es-MX"/>
        </w:rPr>
        <w:t>Corresponde aquel mediante el cual se registra el ingreso o reingreso de una persona al servicio público, con el propósito de emitir su pago quincenal y establecer la relación laboral entre este y la institución pública.</w:t>
      </w:r>
    </w:p>
    <w:p w:rsidRPr="00E359A0" w:rsidR="00E359A0" w:rsidP="00E359A0" w:rsidRDefault="00E359A0" w14:paraId="155D3946" w14:textId="77777777">
      <w:pPr>
        <w:spacing w:after="0" w:line="360" w:lineRule="auto"/>
        <w:ind w:left="720"/>
        <w:contextualSpacing/>
        <w:rPr>
          <w:rFonts w:eastAsia="Times New Roman" w:cs="Times New Roman"/>
          <w:color w:val="auto"/>
          <w:lang w:eastAsia="es-MX"/>
        </w:rPr>
      </w:pPr>
    </w:p>
    <w:p w:rsidRPr="00E359A0" w:rsidR="00E359A0" w:rsidP="00E359A0" w:rsidRDefault="00E359A0" w14:paraId="346B0141" w14:textId="77777777">
      <w:pPr>
        <w:numPr>
          <w:ilvl w:val="0"/>
          <w:numId w:val="32"/>
        </w:numPr>
        <w:spacing w:after="0" w:line="360" w:lineRule="auto"/>
        <w:contextualSpacing/>
        <w:rPr>
          <w:rFonts w:eastAsia="Times New Roman" w:cs="Times New Roman"/>
          <w:color w:val="auto"/>
          <w:lang w:eastAsia="es-MX"/>
        </w:rPr>
      </w:pPr>
      <w:r w:rsidRPr="00E359A0">
        <w:rPr>
          <w:rFonts w:eastAsia="Times New Roman" w:cs="Times New Roman"/>
          <w:b/>
          <w:color w:val="auto"/>
          <w:lang w:eastAsia="es-MX"/>
        </w:rPr>
        <w:t xml:space="preserve">Movimiento de baja: </w:t>
      </w:r>
      <w:r w:rsidRPr="00E359A0">
        <w:rPr>
          <w:rFonts w:eastAsia="Times New Roman" w:cs="Times New Roman"/>
          <w:bCs/>
          <w:color w:val="auto"/>
          <w:lang w:eastAsia="es-MX"/>
        </w:rPr>
        <w:t>Corresponde aquel mediante el cual se registra que una persona deja de prestar sus servicios en una institución pública y, por lo tanto, dar por concluida la relación laboral.</w:t>
      </w:r>
    </w:p>
    <w:p w:rsidRPr="00E359A0" w:rsidR="00E359A0" w:rsidP="00E359A0" w:rsidRDefault="00E359A0" w14:paraId="081BF7C1" w14:textId="77777777">
      <w:pPr>
        <w:rPr>
          <w:rFonts w:eastAsia="Times New Roman" w:cs="Times New Roman"/>
          <w:b/>
          <w:bCs/>
          <w:color w:val="auto"/>
          <w:lang w:eastAsia="es-MX"/>
        </w:rPr>
      </w:pPr>
    </w:p>
    <w:p w:rsidRPr="00E359A0" w:rsidR="00E359A0" w:rsidP="00E359A0" w:rsidRDefault="00E359A0" w14:paraId="33FC5220" w14:textId="77777777">
      <w:pPr>
        <w:spacing w:after="0" w:line="360" w:lineRule="auto"/>
        <w:rPr>
          <w:rFonts w:eastAsia="Calibri" w:cs="Tahoma"/>
          <w:bCs/>
          <w:color w:val="auto"/>
        </w:rPr>
      </w:pPr>
      <w:r w:rsidRPr="00E359A0">
        <w:rPr>
          <w:rFonts w:eastAsia="Calibri" w:cs="Tahoma"/>
          <w:bCs/>
          <w:color w:val="auto"/>
        </w:rPr>
        <w:t xml:space="preserve">En ese orden de ideas, el Manual de Procedimientos para la afiliación y credencialización de los derechohabientes del ISSEMYM, que establece, que el servidor público designado por la institución pública, que incluye a los Municipios (Usuario Autorizado), será el responsable de generar y entregar con oportunidad a los trabajadores, </w:t>
      </w:r>
      <w:r w:rsidRPr="00E359A0">
        <w:rPr>
          <w:rFonts w:eastAsia="Calibri" w:cs="Tahoma"/>
          <w:b/>
          <w:bCs/>
          <w:color w:val="auto"/>
        </w:rPr>
        <w:t xml:space="preserve">los Avisos de Movimiento (Alta y Baja), </w:t>
      </w:r>
      <w:r w:rsidRPr="00E359A0">
        <w:rPr>
          <w:rFonts w:eastAsia="Calibri" w:cs="Tahoma"/>
          <w:bCs/>
          <w:color w:val="auto"/>
        </w:rPr>
        <w:t>para realizar sus respectivos trámites ante el Instituto de Seguridad Social del Estado de México y Municipios.</w:t>
      </w:r>
    </w:p>
    <w:p w:rsidR="00E359A0" w:rsidP="000614FE" w:rsidRDefault="00E359A0" w14:paraId="3165D83E" w14:textId="187FCAF2">
      <w:pPr>
        <w:spacing w:after="0" w:line="360" w:lineRule="auto"/>
        <w:ind w:right="-28"/>
        <w:contextualSpacing/>
        <w:rPr>
          <w:rFonts w:eastAsia="Calibri" w:cs="Tahoma"/>
          <w:bCs/>
          <w:color w:val="auto"/>
        </w:rPr>
      </w:pPr>
    </w:p>
    <w:p w:rsidR="00496531" w:rsidP="000614FE" w:rsidRDefault="00496531" w14:paraId="79995FC1" w14:textId="6C6A69D2">
      <w:pPr>
        <w:spacing w:after="0" w:line="360" w:lineRule="auto"/>
        <w:ind w:right="-28"/>
        <w:contextualSpacing/>
        <w:rPr>
          <w:rFonts w:eastAsia="Calibri" w:cs="Tahoma"/>
          <w:bCs/>
          <w:color w:val="auto"/>
        </w:rPr>
      </w:pPr>
      <w:r>
        <w:rPr>
          <w:rFonts w:eastAsia="Calibri" w:cs="Tahoma"/>
          <w:bCs/>
          <w:color w:val="auto"/>
        </w:rPr>
        <w:t xml:space="preserve">En ese contexto, el Manual de Procedimientos de la Dirección General de Administración, precisa que los movimientos de personal se centran en el alta y baja de servidores públicos, </w:t>
      </w:r>
      <w:r>
        <w:rPr>
          <w:rFonts w:eastAsia="Calibri" w:cs="Tahoma"/>
          <w:bCs/>
          <w:color w:val="auto"/>
        </w:rPr>
        <w:lastRenderedPageBreak/>
        <w:t xml:space="preserve">dado que el primero se centra en establecer una relación laboral entre el servidor público municipal y el Ayuntamiento; mientras que el segundo, </w:t>
      </w:r>
      <w:r w:rsidR="00881518">
        <w:rPr>
          <w:rFonts w:eastAsia="Calibri" w:cs="Tahoma"/>
          <w:bCs/>
          <w:color w:val="auto"/>
        </w:rPr>
        <w:t>tiene como propósito finalizar las relaciones laborales entre dichas partes.</w:t>
      </w:r>
    </w:p>
    <w:p w:rsidR="00881518" w:rsidP="000614FE" w:rsidRDefault="00881518" w14:paraId="0518733C" w14:textId="16097C66">
      <w:pPr>
        <w:spacing w:after="0" w:line="360" w:lineRule="auto"/>
        <w:ind w:right="-28"/>
        <w:contextualSpacing/>
        <w:rPr>
          <w:rFonts w:eastAsia="Calibri" w:cs="Tahoma"/>
          <w:bCs/>
          <w:color w:val="auto"/>
        </w:rPr>
      </w:pPr>
    </w:p>
    <w:p w:rsidR="00881518" w:rsidP="000614FE" w:rsidRDefault="00414ACB" w14:paraId="04F5FFFE" w14:textId="3236F02B">
      <w:pPr>
        <w:spacing w:after="0" w:line="360" w:lineRule="auto"/>
        <w:ind w:right="-28"/>
        <w:contextualSpacing/>
        <w:rPr>
          <w:rFonts w:eastAsia="Calibri" w:cs="Tahoma"/>
          <w:bCs/>
          <w:color w:val="auto"/>
        </w:rPr>
      </w:pPr>
      <w:r>
        <w:rPr>
          <w:rFonts w:eastAsia="Calibri" w:cs="Tahoma"/>
          <w:bCs/>
          <w:color w:val="auto"/>
        </w:rPr>
        <w:t xml:space="preserve">Así y en atención del artículo 13 de la Ley de Transparencia y Acceso a la Información Pública del Estado de México y Municipios, se considera que la pretensión del ahora Recurrente, es obtener los documentos donde conste el nombre de las personas que hayan tenido algún movimiento de personal, del primero al veintiocho de febrero de dos mil veintidós. </w:t>
      </w:r>
    </w:p>
    <w:p w:rsidRPr="000614FE" w:rsidR="00E359A0" w:rsidP="000614FE" w:rsidRDefault="00E359A0" w14:paraId="5A0CA591" w14:textId="77777777">
      <w:pPr>
        <w:spacing w:after="0" w:line="360" w:lineRule="auto"/>
        <w:ind w:right="-28"/>
        <w:contextualSpacing/>
        <w:rPr>
          <w:rFonts w:eastAsia="Calibri" w:cs="Tahoma"/>
          <w:bCs/>
          <w:color w:val="auto"/>
        </w:rPr>
      </w:pPr>
    </w:p>
    <w:p w:rsidRPr="007558D3" w:rsidR="007558D3" w:rsidP="007558D3" w:rsidRDefault="007558D3" w14:paraId="15BA44F8" w14:textId="77777777">
      <w:pPr>
        <w:spacing w:after="0" w:line="360" w:lineRule="auto"/>
        <w:rPr>
          <w:rFonts w:eastAsia="Times New Roman" w:cs="Tahoma"/>
          <w:bCs/>
          <w:color w:val="auto"/>
          <w:lang w:eastAsia="es-ES"/>
        </w:rPr>
      </w:pPr>
      <w:r w:rsidRPr="007558D3">
        <w:rPr>
          <w:rFonts w:eastAsia="Times New Roman" w:cs="Tahoma"/>
          <w:bCs/>
          <w:color w:val="auto"/>
          <w:lang w:eastAsia="es-ES"/>
        </w:rPr>
        <w:t>Establecido lo anterior, se procede analizar la respuesta proporcionada por el Ayuntamiento de Toluca; por lo que, en principio es de señalar que de las constancias que obran en el expediente, se advierte que el Sujeto Obligado turnó la solicitud de información a la Dirección General de Administración,  Dirección General del Instituto Municipal de la Mujer y a la Dirección General del Instituto Municipal de Cultura Física y Deporte; sobre lo anterior,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rsidRPr="007558D3" w:rsidR="007558D3" w:rsidP="007558D3" w:rsidRDefault="007558D3" w14:paraId="345BAA60" w14:textId="77777777">
      <w:pPr>
        <w:numPr>
          <w:ilvl w:val="0"/>
          <w:numId w:val="1"/>
        </w:numPr>
        <w:spacing w:after="0" w:line="360" w:lineRule="auto"/>
        <w:rPr>
          <w:rFonts w:eastAsia="Calibri" w:cs="Tahoma"/>
          <w:bCs/>
          <w:color w:val="000000"/>
          <w:lang w:val="es-ES"/>
        </w:rPr>
      </w:pPr>
      <w:r w:rsidRPr="007558D3">
        <w:rPr>
          <w:rFonts w:eastAsia="Calibri" w:cs="Tahoma"/>
          <w:bCs/>
          <w:color w:val="000000"/>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7558D3" w:rsidR="007558D3" w:rsidP="007558D3" w:rsidRDefault="007558D3" w14:paraId="3BA3E277" w14:textId="77777777">
      <w:pPr>
        <w:spacing w:after="0" w:line="360" w:lineRule="auto"/>
        <w:ind w:left="720"/>
        <w:rPr>
          <w:rFonts w:eastAsia="Calibri" w:cs="Tahoma"/>
          <w:bCs/>
          <w:color w:val="000000"/>
          <w:lang w:val="es-ES"/>
        </w:rPr>
      </w:pPr>
    </w:p>
    <w:p w:rsidRPr="007558D3" w:rsidR="007558D3" w:rsidP="007558D3" w:rsidRDefault="007558D3" w14:paraId="1933D4E9" w14:textId="77777777">
      <w:pPr>
        <w:numPr>
          <w:ilvl w:val="0"/>
          <w:numId w:val="1"/>
        </w:numPr>
        <w:spacing w:after="0" w:line="360" w:lineRule="auto"/>
        <w:rPr>
          <w:rFonts w:eastAsia="Calibri" w:cs="Tahoma"/>
          <w:bCs/>
          <w:color w:val="000000"/>
          <w:lang w:val="es-ES"/>
        </w:rPr>
      </w:pPr>
      <w:r w:rsidRPr="007558D3">
        <w:rPr>
          <w:rFonts w:eastAsia="Calibri" w:cs="Tahoma"/>
          <w:bCs/>
          <w:color w:val="000000"/>
          <w:lang w:val="es-ES"/>
        </w:rPr>
        <w:t xml:space="preserve">Los sujetos obligados otorgaran acceso a los documentos que se encuentren en sus archivos o que estén obligados a documentar de acuerdo con sus facultades, </w:t>
      </w:r>
      <w:r w:rsidRPr="007558D3">
        <w:rPr>
          <w:rFonts w:eastAsia="Calibri" w:cs="Tahoma"/>
          <w:bCs/>
          <w:color w:val="000000"/>
          <w:lang w:val="es-ES"/>
        </w:rPr>
        <w:lastRenderedPageBreak/>
        <w:t>competencias o funciones, en el formato en que la solicitante manifieste, de entre aquellos formatos existentes.</w:t>
      </w:r>
    </w:p>
    <w:p w:rsidRPr="007558D3" w:rsidR="007558D3" w:rsidP="007558D3" w:rsidRDefault="007558D3" w14:paraId="747BB4C6" w14:textId="77777777">
      <w:pPr>
        <w:spacing w:after="0" w:line="360" w:lineRule="auto"/>
        <w:rPr>
          <w:rFonts w:eastAsia="Times New Roman" w:cs="Tahoma"/>
          <w:bCs/>
          <w:color w:val="auto"/>
          <w:sz w:val="20"/>
          <w:szCs w:val="20"/>
          <w:lang w:eastAsia="es-ES"/>
        </w:rPr>
      </w:pPr>
    </w:p>
    <w:p w:rsidRPr="007558D3" w:rsidR="007558D3" w:rsidP="007558D3" w:rsidRDefault="007558D3" w14:paraId="48D310BB" w14:textId="6DDE03FD">
      <w:pPr>
        <w:spacing w:after="0" w:line="360" w:lineRule="auto"/>
        <w:ind w:right="-28"/>
        <w:contextualSpacing/>
        <w:rPr>
          <w:rFonts w:eastAsia="Calibri" w:cs="Tahoma"/>
          <w:b/>
          <w:color w:val="000000"/>
        </w:rPr>
      </w:pPr>
      <w:r w:rsidRPr="007558D3">
        <w:rPr>
          <w:rFonts w:eastAsia="Calibri" w:cs="Tahoma"/>
          <w:bCs/>
          <w:color w:val="000000"/>
        </w:rPr>
        <w:t>Atendiendo a lo dispuesto en los preceptos legales de referencia, a efecto de determinar si el Sujeto Obligado cumplió con el procedimiento de búsqueda, resulta necesario citar el artículo 3.4</w:t>
      </w:r>
      <w:r>
        <w:rPr>
          <w:rFonts w:eastAsia="Calibri" w:cs="Tahoma"/>
          <w:bCs/>
          <w:color w:val="000000"/>
        </w:rPr>
        <w:t>0</w:t>
      </w:r>
      <w:r w:rsidRPr="007558D3">
        <w:rPr>
          <w:rFonts w:eastAsia="Calibri" w:cs="Tahoma"/>
          <w:bCs/>
          <w:color w:val="000000"/>
        </w:rPr>
        <w:t xml:space="preserve"> del </w:t>
      </w:r>
      <w:r w:rsidRPr="007558D3">
        <w:rPr>
          <w:rFonts w:eastAsia="Times New Roman" w:cs="Times New Roman"/>
          <w:iCs/>
          <w:color w:val="auto"/>
          <w:szCs w:val="20"/>
          <w:lang w:eastAsia="es-ES"/>
        </w:rPr>
        <w:t>Código Reglamentario Municipal de Toluca, que establece que el Sujeto Obligado cuenta con diversas unidades administrativas para el ejercicio de sus funciones, entre las cuales se encuentra la Dirección General de Administración, encargada de coordinar y dirigir los sistemas de reclutamiento, selección, contratación e inducción y desarrollo de personal; autorizar las altas, bajas, cambios, permisos, licencias y comisiones del personal, así como autorizar a elaboración y distribución oportuna de la nómina al personal que labora en el Ayuntamiento; lo anterior, a través de la Dirección de Recursos Humanos que elabora, opera y mejora los procedimientos administrativos de control para la selección, reclutamiento, contratación, escalafón, capacitación, retiro, sanción, comisión y desarrollo del personal; registra as altas, reingresos, bajas, permisos y licencias por incapacidad, entre otras, del personal y coadyuva en la a elaboración y distribución oportuna de la nómina para el pago al personal que labora en el Ayuntamiento, apegándose al presupuesto autorizado y aplicar los descuentos procedentes, así como, en la emisión de los CFDI correspondientes una vez realizado el pago, en términos del diverso 3.4</w:t>
      </w:r>
      <w:r>
        <w:rPr>
          <w:rFonts w:eastAsia="Times New Roman" w:cs="Times New Roman"/>
          <w:iCs/>
          <w:color w:val="auto"/>
          <w:szCs w:val="20"/>
          <w:lang w:eastAsia="es-ES"/>
        </w:rPr>
        <w:t>2</w:t>
      </w:r>
      <w:r w:rsidRPr="007558D3">
        <w:rPr>
          <w:rFonts w:eastAsia="Times New Roman" w:cs="Times New Roman"/>
          <w:iCs/>
          <w:color w:val="auto"/>
          <w:szCs w:val="20"/>
          <w:lang w:eastAsia="es-ES"/>
        </w:rPr>
        <w:t xml:space="preserve"> del ordenamiento referido.</w:t>
      </w:r>
    </w:p>
    <w:p w:rsidRPr="007558D3" w:rsidR="007558D3" w:rsidP="007558D3" w:rsidRDefault="007558D3" w14:paraId="6435B910" w14:textId="77777777">
      <w:pPr>
        <w:spacing w:after="0" w:line="360" w:lineRule="auto"/>
        <w:ind w:right="-28"/>
        <w:contextualSpacing/>
        <w:rPr>
          <w:rFonts w:eastAsia="Calibri" w:cs="Tahoma"/>
          <w:bCs/>
          <w:color w:val="000000"/>
        </w:rPr>
      </w:pPr>
    </w:p>
    <w:p w:rsidRPr="007558D3" w:rsidR="007558D3" w:rsidP="007558D3" w:rsidRDefault="007558D3" w14:paraId="7C098090" w14:textId="494ACA7F">
      <w:pPr>
        <w:spacing w:after="0" w:line="360" w:lineRule="auto"/>
        <w:ind w:right="-28"/>
        <w:contextualSpacing/>
        <w:rPr>
          <w:rFonts w:eastAsia="Calibri" w:cs="Tahoma"/>
          <w:bCs/>
          <w:color w:val="000000"/>
        </w:rPr>
      </w:pPr>
      <w:r w:rsidRPr="007558D3">
        <w:rPr>
          <w:rFonts w:eastAsia="Calibri" w:cs="Tahoma"/>
          <w:bCs/>
          <w:color w:val="000000"/>
        </w:rPr>
        <w:t>Además, el apartado VII. Objetivo y Funciones del as Unidades Administrativas, del Manual de Organización del Instituto Municipal de Cultura Física y Deporte, establece que dicho organismo público descentralizado, cuenta con una Dirección General encargada de supervisar los recursos humanos y económicos; lo anterior, a través de la Coordinación de Administración y Finanzas, que administra el manejo adecuado de los recursos humanos y financieros, así como, recibe, captura y revisa todos los movimientos que se generan en cada quincena, tales como, altas, bajas, tiempo extraordinario, ausencias y préstamos.</w:t>
      </w:r>
    </w:p>
    <w:p w:rsidRPr="007558D3" w:rsidR="007558D3" w:rsidP="007558D3" w:rsidRDefault="007558D3" w14:paraId="139607C8" w14:textId="77777777">
      <w:pPr>
        <w:spacing w:after="0" w:line="360" w:lineRule="auto"/>
        <w:ind w:right="-28"/>
        <w:contextualSpacing/>
        <w:rPr>
          <w:rFonts w:eastAsia="Calibri" w:cs="Tahoma"/>
          <w:bCs/>
          <w:color w:val="000000"/>
        </w:rPr>
      </w:pPr>
    </w:p>
    <w:p w:rsidRPr="007558D3" w:rsidR="007558D3" w:rsidP="007558D3" w:rsidRDefault="007558D3" w14:paraId="7DB533AF" w14:textId="77777777">
      <w:pPr>
        <w:spacing w:after="0" w:line="360" w:lineRule="auto"/>
        <w:ind w:right="-28"/>
        <w:contextualSpacing/>
        <w:rPr>
          <w:rFonts w:eastAsia="Calibri" w:cs="Tahoma"/>
          <w:bCs/>
          <w:color w:val="000000"/>
        </w:rPr>
      </w:pPr>
      <w:r w:rsidRPr="007558D3">
        <w:rPr>
          <w:rFonts w:eastAsia="Calibri" w:cs="Tahoma"/>
          <w:bCs/>
          <w:color w:val="000000"/>
        </w:rPr>
        <w:t>Asimismo, el apartado VII. Objetivo y Funciones del as Unidades Administrativas, del Manual de Organización del Instituto Municipal de la Mujer, precisa que dicho organismo cuenta con una Dirección General, encargada de la administración de los recursos financieros y humanos; lo anterior, a través del Enlace Administrativo, que planea, organiza, coordina, tramita y controla la administración y aplicación de los recursos humanos y financieros; además que recaba la firma de nómina.</w:t>
      </w:r>
    </w:p>
    <w:p w:rsidRPr="007558D3" w:rsidR="007558D3" w:rsidP="007558D3" w:rsidRDefault="007558D3" w14:paraId="4E87E999" w14:textId="77777777">
      <w:pPr>
        <w:spacing w:after="0" w:line="360" w:lineRule="auto"/>
        <w:ind w:right="-28"/>
        <w:contextualSpacing/>
        <w:rPr>
          <w:rFonts w:eastAsia="Calibri" w:cs="Tahoma"/>
          <w:bCs/>
          <w:color w:val="000000"/>
        </w:rPr>
      </w:pPr>
    </w:p>
    <w:p w:rsidR="007558D3" w:rsidP="001C1FDF" w:rsidRDefault="007558D3" w14:paraId="1199A440" w14:textId="0F0C9EFC">
      <w:pPr>
        <w:spacing w:after="0" w:line="360" w:lineRule="auto"/>
        <w:rPr>
          <w:rFonts w:eastAsia="Times New Roman" w:cs="Tahoma"/>
          <w:b/>
          <w:bCs/>
          <w:color w:val="auto"/>
          <w:lang w:eastAsia="es-ES"/>
        </w:rPr>
      </w:pPr>
      <w:r w:rsidRPr="007558D3">
        <w:rPr>
          <w:rFonts w:eastAsia="Times New Roman" w:cs="Tahoma"/>
          <w:bCs/>
          <w:color w:val="auto"/>
          <w:lang w:eastAsia="es-ES"/>
        </w:rPr>
        <w:t>Conforme a lo anterior, se advierte que el Ente Recurrido cuenta con tres áreas específica para conocer de la solicitud de información, a saber, las Direcciones Generales</w:t>
      </w:r>
      <w:r w:rsidRPr="007558D3">
        <w:rPr>
          <w:rFonts w:eastAsia="Calibri" w:cs="Tahoma"/>
          <w:bCs/>
          <w:color w:val="000000"/>
        </w:rPr>
        <w:t xml:space="preserve"> de Administración, del Instituto Municipal de Cultura Física y Deporte y del Instituto Municipal de la Mujer, que ven todas las cuestiones relacionadas con el personal del Sujeto Obligado, incluido sus altas y bajas, como el pago de nómina</w:t>
      </w:r>
      <w:r w:rsidRPr="007558D3">
        <w:rPr>
          <w:rFonts w:eastAsia="Times New Roman" w:cs="Tahoma"/>
          <w:bCs/>
          <w:color w:val="auto"/>
          <w:lang w:eastAsia="es-ES"/>
        </w:rPr>
        <w:t xml:space="preserve">; por lo que, se colige que cumplió con parte del artículo 162 de la Ley de la materia, </w:t>
      </w:r>
      <w:r w:rsidRPr="007558D3">
        <w:rPr>
          <w:rFonts w:eastAsia="Times New Roman" w:cs="Tahoma"/>
          <w:b/>
          <w:bCs/>
          <w:color w:val="auto"/>
          <w:lang w:eastAsia="es-ES"/>
        </w:rPr>
        <w:t>pues gestionó el requerimiento a</w:t>
      </w:r>
      <w:r>
        <w:rPr>
          <w:rFonts w:eastAsia="Times New Roman" w:cs="Tahoma"/>
          <w:b/>
          <w:bCs/>
          <w:color w:val="auto"/>
          <w:lang w:eastAsia="es-ES"/>
        </w:rPr>
        <w:t xml:space="preserve"> </w:t>
      </w:r>
      <w:r w:rsidRPr="007558D3">
        <w:rPr>
          <w:rFonts w:eastAsia="Times New Roman" w:cs="Tahoma"/>
          <w:b/>
          <w:bCs/>
          <w:color w:val="auto"/>
          <w:lang w:eastAsia="es-ES"/>
        </w:rPr>
        <w:t>l</w:t>
      </w:r>
      <w:r>
        <w:rPr>
          <w:rFonts w:eastAsia="Times New Roman" w:cs="Tahoma"/>
          <w:b/>
          <w:bCs/>
          <w:color w:val="auto"/>
          <w:lang w:eastAsia="es-ES"/>
        </w:rPr>
        <w:t>as</w:t>
      </w:r>
      <w:r w:rsidRPr="007558D3">
        <w:rPr>
          <w:rFonts w:eastAsia="Times New Roman" w:cs="Tahoma"/>
          <w:b/>
          <w:bCs/>
          <w:color w:val="auto"/>
          <w:lang w:eastAsia="es-ES"/>
        </w:rPr>
        <w:t xml:space="preserve"> área</w:t>
      </w:r>
      <w:r>
        <w:rPr>
          <w:rFonts w:eastAsia="Times New Roman" w:cs="Tahoma"/>
          <w:b/>
          <w:bCs/>
          <w:color w:val="auto"/>
          <w:lang w:eastAsia="es-ES"/>
        </w:rPr>
        <w:t>s</w:t>
      </w:r>
      <w:r w:rsidRPr="007558D3">
        <w:rPr>
          <w:rFonts w:eastAsia="Times New Roman" w:cs="Tahoma"/>
          <w:b/>
          <w:bCs/>
          <w:color w:val="auto"/>
          <w:lang w:eastAsia="es-ES"/>
        </w:rPr>
        <w:t xml:space="preserve"> competente para conocer de lo peticionado. </w:t>
      </w:r>
    </w:p>
    <w:p w:rsidR="001C1FDF" w:rsidP="001C1FDF" w:rsidRDefault="001C1FDF" w14:paraId="723BF4D9" w14:textId="012D17BB">
      <w:pPr>
        <w:spacing w:after="0" w:line="360" w:lineRule="auto"/>
        <w:rPr>
          <w:rFonts w:eastAsia="Times New Roman" w:cs="Tahoma"/>
          <w:b/>
          <w:bCs/>
          <w:color w:val="auto"/>
          <w:lang w:eastAsia="es-ES"/>
        </w:rPr>
      </w:pPr>
    </w:p>
    <w:p w:rsidRPr="001C1FDF" w:rsidR="001C1FDF" w:rsidP="001C1FDF" w:rsidRDefault="001C1FDF" w14:paraId="39F40DD1" w14:textId="0C18377C">
      <w:pPr>
        <w:spacing w:after="0" w:line="360" w:lineRule="auto"/>
        <w:rPr>
          <w:rFonts w:eastAsia="Times New Roman" w:cs="Tahoma"/>
          <w:color w:val="auto"/>
          <w:lang w:eastAsia="es-ES"/>
        </w:rPr>
      </w:pPr>
      <w:r w:rsidRPr="001C1FDF">
        <w:rPr>
          <w:rFonts w:eastAsia="Times New Roman" w:cs="Tahoma"/>
          <w:color w:val="auto"/>
          <w:lang w:eastAsia="es-ES"/>
        </w:rPr>
        <w:t xml:space="preserve">Ahora bien, </w:t>
      </w:r>
      <w:r>
        <w:rPr>
          <w:rFonts w:eastAsia="Times New Roman" w:cs="Tahoma"/>
          <w:color w:val="auto"/>
          <w:lang w:eastAsia="es-ES"/>
        </w:rPr>
        <w:t xml:space="preserve">la Dirección General del </w:t>
      </w:r>
      <w:r>
        <w:rPr>
          <w:rFonts w:eastAsia="Calibri" w:cs="Tahoma"/>
          <w:bCs/>
          <w:color w:val="000000"/>
        </w:rPr>
        <w:t xml:space="preserve">Instituto Municipal de Cultura Física y Deporte y del </w:t>
      </w:r>
      <w:bookmarkStart w:name="_Hlk106845003" w:id="1"/>
      <w:r>
        <w:rPr>
          <w:rFonts w:eastAsia="Calibri" w:cs="Tahoma"/>
          <w:bCs/>
          <w:color w:val="000000"/>
        </w:rPr>
        <w:t>Instituto Municipal de la Mujer</w:t>
      </w:r>
      <w:bookmarkEnd w:id="1"/>
      <w:r>
        <w:rPr>
          <w:rFonts w:eastAsia="Calibri" w:cs="Tahoma"/>
          <w:bCs/>
          <w:color w:val="000000"/>
        </w:rPr>
        <w:t>, proporcionaron la relación con el nombre de las personas que habían tenido algún movimiento de personal, del primero al veintiocho de febrero de dos mil veintidós, tal como se muestra a continuación:</w:t>
      </w:r>
    </w:p>
    <w:p w:rsidR="009C36C6" w:rsidP="009C36C6" w:rsidRDefault="009C36C6" w14:paraId="6C80CBCD" w14:textId="666DFDD4">
      <w:pPr>
        <w:spacing w:after="0" w:line="360" w:lineRule="auto"/>
        <w:jc w:val="center"/>
        <w:rPr>
          <w:rFonts w:eastAsia="Times New Roman" w:cs="Tahoma"/>
          <w:iCs/>
          <w:color w:val="auto"/>
          <w:szCs w:val="24"/>
          <w:lang w:eastAsia="es-ES"/>
        </w:rPr>
      </w:pPr>
    </w:p>
    <w:p w:rsidRPr="009C36C6" w:rsidR="009C36C6" w:rsidP="009C36C6" w:rsidRDefault="009C36C6" w14:paraId="24AF9532" w14:textId="384EBF0C">
      <w:pPr>
        <w:spacing w:after="0" w:line="360" w:lineRule="auto"/>
        <w:jc w:val="center"/>
        <w:rPr>
          <w:rFonts w:eastAsia="Times New Roman" w:cs="Tahoma"/>
          <w:b/>
          <w:iCs/>
          <w:color w:val="auto"/>
          <w:szCs w:val="24"/>
          <w:lang w:eastAsia="es-ES"/>
        </w:rPr>
      </w:pPr>
      <w:r w:rsidRPr="009C36C6">
        <w:rPr>
          <w:rFonts w:eastAsia="Calibri" w:cs="Tahoma"/>
          <w:b/>
          <w:color w:val="000000"/>
        </w:rPr>
        <w:t>Instituto Municipal de Cultura Física y Deporte</w:t>
      </w:r>
    </w:p>
    <w:p w:rsidR="007558D3" w:rsidP="009C36C6" w:rsidRDefault="009C36C6" w14:paraId="7D6E6B0A" w14:textId="6F60D7BB">
      <w:pPr>
        <w:spacing w:after="0" w:line="360" w:lineRule="auto"/>
        <w:jc w:val="center"/>
        <w:rPr>
          <w:rFonts w:eastAsia="Times New Roman" w:cs="Tahoma"/>
          <w:iCs/>
          <w:color w:val="auto"/>
          <w:szCs w:val="24"/>
          <w:lang w:eastAsia="es-ES"/>
        </w:rPr>
      </w:pPr>
      <w:r>
        <w:rPr>
          <w:noProof/>
        </w:rPr>
        <w:drawing>
          <wp:inline distT="0" distB="0" distL="0" distR="0" wp14:anchorId="7A05D196" wp14:editId="4C465317">
            <wp:extent cx="5133975" cy="7048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33975" cy="704850"/>
                    </a:xfrm>
                    <a:prstGeom prst="rect">
                      <a:avLst/>
                    </a:prstGeom>
                  </pic:spPr>
                </pic:pic>
              </a:graphicData>
            </a:graphic>
          </wp:inline>
        </w:drawing>
      </w:r>
    </w:p>
    <w:p w:rsidR="009C36C6" w:rsidP="009C36C6" w:rsidRDefault="009C36C6" w14:paraId="7141051C" w14:textId="7DC4D532">
      <w:pPr>
        <w:spacing w:after="0" w:line="360" w:lineRule="auto"/>
        <w:jc w:val="center"/>
        <w:rPr>
          <w:rFonts w:eastAsia="Times New Roman" w:cs="Tahoma"/>
          <w:iCs/>
          <w:color w:val="auto"/>
          <w:szCs w:val="24"/>
          <w:lang w:eastAsia="es-ES"/>
        </w:rPr>
      </w:pPr>
    </w:p>
    <w:p w:rsidRPr="009C36C6" w:rsidR="009C36C6" w:rsidP="009C36C6" w:rsidRDefault="009C36C6" w14:paraId="0333D661" w14:textId="0A79A2A0">
      <w:pPr>
        <w:spacing w:after="0" w:line="360" w:lineRule="auto"/>
        <w:jc w:val="center"/>
        <w:rPr>
          <w:rFonts w:eastAsia="Times New Roman" w:cs="Tahoma"/>
          <w:b/>
          <w:bCs/>
          <w:iCs/>
          <w:color w:val="auto"/>
          <w:szCs w:val="24"/>
          <w:lang w:eastAsia="es-ES"/>
        </w:rPr>
      </w:pPr>
      <w:r w:rsidRPr="009C36C6">
        <w:rPr>
          <w:rFonts w:eastAsia="Times New Roman" w:cs="Tahoma"/>
          <w:b/>
          <w:bCs/>
          <w:iCs/>
          <w:color w:val="auto"/>
          <w:szCs w:val="24"/>
          <w:lang w:eastAsia="es-ES"/>
        </w:rPr>
        <w:t>Instituto Municipal de la Mujer</w:t>
      </w:r>
    </w:p>
    <w:p w:rsidR="009C36C6" w:rsidP="009C36C6" w:rsidRDefault="009C36C6" w14:paraId="17926627" w14:textId="3DDCC3CA">
      <w:pPr>
        <w:spacing w:after="0" w:line="360" w:lineRule="auto"/>
        <w:jc w:val="center"/>
        <w:rPr>
          <w:rFonts w:eastAsia="Times New Roman" w:cs="Tahoma"/>
          <w:iCs/>
          <w:color w:val="auto"/>
          <w:szCs w:val="24"/>
          <w:lang w:eastAsia="es-ES"/>
        </w:rPr>
      </w:pPr>
      <w:r>
        <w:rPr>
          <w:noProof/>
        </w:rPr>
        <w:lastRenderedPageBreak/>
        <w:drawing>
          <wp:inline distT="0" distB="0" distL="0" distR="0" wp14:anchorId="594FE49D" wp14:editId="5287AC7C">
            <wp:extent cx="3865245" cy="1022350"/>
            <wp:effectExtent l="0" t="0" r="1905"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t="41772"/>
                    <a:stretch/>
                  </pic:blipFill>
                  <pic:spPr bwMode="auto">
                    <a:xfrm>
                      <a:off x="0" y="0"/>
                      <a:ext cx="3865245" cy="1022350"/>
                    </a:xfrm>
                    <a:prstGeom prst="rect">
                      <a:avLst/>
                    </a:prstGeom>
                    <a:noFill/>
                    <a:ln>
                      <a:noFill/>
                    </a:ln>
                    <a:extLst>
                      <a:ext uri="{53640926-AAD7-44D8-BBD7-CCE9431645EC}">
                        <a14:shadowObscured xmlns:a14="http://schemas.microsoft.com/office/drawing/2010/main"/>
                      </a:ext>
                    </a:extLst>
                  </pic:spPr>
                </pic:pic>
              </a:graphicData>
            </a:graphic>
          </wp:inline>
        </w:drawing>
      </w:r>
    </w:p>
    <w:p w:rsidR="007558D3" w:rsidP="00B22E82" w:rsidRDefault="007558D3" w14:paraId="6983A5F0" w14:textId="7A81E0D2">
      <w:pPr>
        <w:spacing w:after="0" w:line="360" w:lineRule="auto"/>
        <w:rPr>
          <w:rFonts w:eastAsia="Times New Roman" w:cs="Tahoma"/>
          <w:iCs/>
          <w:color w:val="auto"/>
          <w:szCs w:val="24"/>
          <w:lang w:eastAsia="es-ES"/>
        </w:rPr>
      </w:pPr>
    </w:p>
    <w:p w:rsidRPr="009C36C6" w:rsidR="009C36C6" w:rsidP="009C36C6" w:rsidRDefault="009C36C6" w14:paraId="7D8B70D3" w14:textId="77777777">
      <w:pPr>
        <w:spacing w:after="0" w:line="360" w:lineRule="auto"/>
        <w:rPr>
          <w:rFonts w:eastAsia="Calibri" w:cs="Tahoma"/>
          <w:bCs/>
          <w:color w:val="000000"/>
        </w:rPr>
      </w:pPr>
      <w:r w:rsidRPr="009C36C6">
        <w:rPr>
          <w:rFonts w:eastAsia="Calibri" w:cs="Tahoma"/>
          <w:bCs/>
          <w:color w:val="000000"/>
        </w:rPr>
        <w:t>Al respecto, cabe precisar que este Instituto, no tiene atribuciones para pronunciarse sobre la veracidad de la información. Apoya lo anterior, el Criterio histórico 31/10, emitido por el Pleno del entonces Instituto Federal de Acceso a la Información y Protección de Datos, que a continuación se cita:</w:t>
      </w:r>
    </w:p>
    <w:p w:rsidRPr="009C36C6" w:rsidR="009C36C6" w:rsidP="009C36C6" w:rsidRDefault="009C36C6" w14:paraId="69744410" w14:textId="77777777">
      <w:pPr>
        <w:spacing w:after="0" w:line="360" w:lineRule="auto"/>
        <w:rPr>
          <w:rFonts w:eastAsia="Times New Roman" w:cs="Tahoma"/>
          <w:color w:val="auto"/>
          <w:lang w:eastAsia="es-ES"/>
        </w:rPr>
      </w:pPr>
    </w:p>
    <w:p w:rsidRPr="009C36C6" w:rsidR="009C36C6" w:rsidP="009C36C6" w:rsidRDefault="009C36C6" w14:paraId="2C640BEE" w14:textId="77777777">
      <w:pPr>
        <w:spacing w:after="0" w:line="360" w:lineRule="auto"/>
        <w:ind w:left="567" w:right="567"/>
        <w:rPr>
          <w:rFonts w:eastAsia="Calibri" w:cs="Tahoma"/>
          <w:bCs/>
          <w:i/>
          <w:iCs/>
          <w:color w:val="000000"/>
          <w:sz w:val="20"/>
          <w:szCs w:val="20"/>
        </w:rPr>
      </w:pPr>
      <w:r w:rsidRPr="009C36C6">
        <w:rPr>
          <w:rFonts w:eastAsia="Calibri" w:cs="Tahoma"/>
          <w:b/>
          <w:i/>
          <w:iCs/>
          <w:color w:val="000000"/>
          <w:sz w:val="20"/>
          <w:szCs w:val="20"/>
        </w:rPr>
        <w:t>“El Instituto Federal de Acceso a la Información y Protección de Datos no cuenta con facultades para pronunciarse respecto de la veracidad de los documentos proporcionados por los sujetos obligados.</w:t>
      </w:r>
      <w:r w:rsidRPr="009C36C6">
        <w:rPr>
          <w:rFonts w:eastAsia="Calibri" w:cs="Tahoma"/>
          <w:bCs/>
          <w:i/>
          <w:iCs/>
          <w:color w:val="000000"/>
          <w:sz w:val="20"/>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w:t>
      </w:r>
      <w:proofErr w:type="gramStart"/>
      <w:r w:rsidRPr="009C36C6">
        <w:rPr>
          <w:rFonts w:eastAsia="Calibri" w:cs="Tahoma"/>
          <w:bCs/>
          <w:i/>
          <w:iCs/>
          <w:color w:val="000000"/>
          <w:sz w:val="20"/>
          <w:szCs w:val="20"/>
        </w:rPr>
        <w:t>a  las</w:t>
      </w:r>
      <w:proofErr w:type="gramEnd"/>
      <w:r w:rsidRPr="009C36C6">
        <w:rPr>
          <w:rFonts w:eastAsia="Calibri" w:cs="Tahoma"/>
          <w:bCs/>
          <w:i/>
          <w:iCs/>
          <w:color w:val="000000"/>
          <w:sz w:val="20"/>
          <w:szCs w:val="20"/>
        </w:rPr>
        <w:t xml:space="preserve">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9C36C6" w:rsidR="009C36C6" w:rsidP="009C36C6" w:rsidRDefault="009C36C6" w14:paraId="152A7571" w14:textId="77777777">
      <w:pPr>
        <w:spacing w:after="0" w:line="360" w:lineRule="auto"/>
        <w:rPr>
          <w:rFonts w:eastAsia="Times New Roman" w:cs="Times New Roman"/>
          <w:iCs/>
          <w:color w:val="auto"/>
          <w:szCs w:val="20"/>
          <w:lang w:val="es-ES" w:eastAsia="es-ES"/>
        </w:rPr>
      </w:pPr>
    </w:p>
    <w:p w:rsidRPr="009C36C6" w:rsidR="009C36C6" w:rsidP="009C36C6" w:rsidRDefault="009C36C6" w14:paraId="18E82A93" w14:textId="7F5D6FE9">
      <w:pPr>
        <w:spacing w:after="0" w:line="360" w:lineRule="auto"/>
        <w:rPr>
          <w:rFonts w:eastAsia="Times New Roman" w:cs="Tahoma"/>
          <w:color w:val="auto"/>
          <w:lang w:eastAsia="es-ES"/>
        </w:rPr>
      </w:pPr>
      <w:r>
        <w:rPr>
          <w:rFonts w:eastAsia="Times New Roman" w:cs="Times New Roman"/>
          <w:iCs/>
          <w:color w:val="auto"/>
          <w:szCs w:val="20"/>
          <w:lang w:val="es-ES" w:eastAsia="es-ES"/>
        </w:rPr>
        <w:t>Conforme a lo anterior, se logra vislumbrar, que las áreas mencionadas proporcionaron la información que</w:t>
      </w:r>
      <w:r w:rsidRPr="009C36C6">
        <w:rPr>
          <w:rFonts w:eastAsia="Times New Roman" w:cs="Times New Roman"/>
          <w:iCs/>
          <w:color w:val="auto"/>
          <w:szCs w:val="20"/>
          <w:lang w:val="es-ES" w:eastAsia="es-ES"/>
        </w:rPr>
        <w:t xml:space="preserve"> obraba en sus archivos y daba cuenta de la información solicitada;</w:t>
      </w:r>
      <w:r w:rsidRPr="009C36C6">
        <w:rPr>
          <w:rFonts w:eastAsia="Times New Roman" w:cs="Tahoma"/>
          <w:color w:val="auto"/>
          <w:lang w:eastAsia="es-ES"/>
        </w:rPr>
        <w:t xml:space="preserve"> </w:t>
      </w:r>
      <w:r w:rsidRPr="009C36C6">
        <w:rPr>
          <w:rFonts w:eastAsia="Calibri" w:cs="Tahoma"/>
          <w:bCs/>
          <w:iCs/>
          <w:color w:val="auto"/>
          <w:lang w:val="es-ES"/>
        </w:rPr>
        <w:t>d</w:t>
      </w:r>
      <w:r w:rsidRPr="009C36C6">
        <w:rPr>
          <w:rFonts w:eastAsia="Times New Roman" w:cs="Tahoma"/>
          <w:bCs/>
          <w:iCs/>
          <w:color w:val="auto"/>
          <w:szCs w:val="24"/>
          <w:lang w:val="es-ES" w:eastAsia="es-ES"/>
        </w:rPr>
        <w:t xml:space="preserve">icha manifestación toma relevancia, pues </w:t>
      </w:r>
      <w:r w:rsidRPr="009C36C6">
        <w:rPr>
          <w:rFonts w:eastAsia="Times New Roman" w:cs="Tahoma"/>
          <w:color w:val="auto"/>
          <w:lang w:eastAsia="es-ES"/>
        </w:rPr>
        <w:t xml:space="preserve">conforme al artículo 12 de la Ley de Transparencia y Acceso a la Información Pública del Estado de México y Municipios, los sujetos obligados sólo están constreñidos a proporcionar la información pública que obre en sus archivos, en el estado </w:t>
      </w:r>
      <w:r w:rsidRPr="009C36C6">
        <w:rPr>
          <w:rFonts w:eastAsia="Times New Roman" w:cs="Tahoma"/>
          <w:color w:val="auto"/>
          <w:lang w:eastAsia="es-ES"/>
        </w:rPr>
        <w:lastRenderedPageBreak/>
        <w:t>en que esta se encuentre; por lo que, la entrega no comprende el procesamiento de la misma, ni presentarla conforme al interés del solicitante, además, que tampoco deberá generarla, resumirla, efectuar cálculos o practicar investigaciones.</w:t>
      </w:r>
    </w:p>
    <w:p w:rsidRPr="009C36C6" w:rsidR="009C36C6" w:rsidP="009C36C6" w:rsidRDefault="009C36C6" w14:paraId="1DB5F790" w14:textId="77777777">
      <w:pPr>
        <w:tabs>
          <w:tab w:val="left" w:pos="4962"/>
        </w:tabs>
        <w:spacing w:after="0" w:line="360" w:lineRule="auto"/>
        <w:rPr>
          <w:rFonts w:eastAsia="Times New Roman" w:cs="Tahoma"/>
          <w:color w:val="auto"/>
          <w:lang w:eastAsia="es-ES"/>
        </w:rPr>
      </w:pPr>
    </w:p>
    <w:p w:rsidRPr="009C36C6" w:rsidR="009C36C6" w:rsidP="009C36C6" w:rsidRDefault="009C36C6" w14:paraId="68E6FE97" w14:textId="77777777">
      <w:pPr>
        <w:tabs>
          <w:tab w:val="left" w:pos="4962"/>
        </w:tabs>
        <w:spacing w:after="0" w:line="360" w:lineRule="auto"/>
        <w:rPr>
          <w:rFonts w:eastAsia="Times New Roman" w:cs="Tahoma"/>
          <w:color w:val="auto"/>
          <w:lang w:eastAsia="es-ES"/>
        </w:rPr>
      </w:pPr>
      <w:r w:rsidRPr="009C36C6">
        <w:rPr>
          <w:rFonts w:eastAsia="Times New Roman" w:cs="Tahoma"/>
          <w:color w:val="auto"/>
          <w:lang w:eastAsia="es-ES"/>
        </w:rPr>
        <w:t xml:space="preserve">De esta manera, </w:t>
      </w:r>
      <w:r w:rsidRPr="009C36C6">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9C36C6">
        <w:rPr>
          <w:rFonts w:eastAsia="Times New Roman" w:cs="Tahoma"/>
          <w:i/>
          <w:color w:val="auto"/>
          <w:lang w:eastAsia="es-ES"/>
        </w:rPr>
        <w:t>ad hoc</w:t>
      </w:r>
      <w:r w:rsidRPr="009C36C6">
        <w:rPr>
          <w:rFonts w:eastAsia="Times New Roman" w:cs="Tahoma"/>
          <w:color w:val="auto"/>
          <w:lang w:eastAsia="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rsidRPr="009C36C6" w:rsidR="009C36C6" w:rsidP="009C36C6" w:rsidRDefault="009C36C6" w14:paraId="00C1D84D" w14:textId="77777777">
      <w:pPr>
        <w:tabs>
          <w:tab w:val="left" w:pos="4962"/>
        </w:tabs>
        <w:spacing w:after="0" w:line="360" w:lineRule="auto"/>
        <w:rPr>
          <w:rFonts w:eastAsia="Times New Roman" w:cs="Tahoma"/>
          <w:color w:val="auto"/>
          <w:szCs w:val="24"/>
          <w:lang w:val="es-ES" w:eastAsia="es-ES"/>
        </w:rPr>
      </w:pPr>
    </w:p>
    <w:p w:rsidR="009C36C6" w:rsidP="009C36C6" w:rsidRDefault="009C36C6" w14:paraId="251ED4AA" w14:textId="17B0EBF3">
      <w:pPr>
        <w:spacing w:after="0" w:line="360" w:lineRule="auto"/>
        <w:rPr>
          <w:rFonts w:eastAsia="Times New Roman" w:cs="Tahoma"/>
          <w:color w:val="auto"/>
          <w:lang w:val="es-ES" w:eastAsia="es-ES"/>
        </w:rPr>
      </w:pPr>
      <w:r w:rsidRPr="009C36C6">
        <w:rPr>
          <w:rFonts w:eastAsia="Times New Roman" w:cs="Tahoma"/>
          <w:color w:val="auto"/>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w:t>
      </w:r>
      <w:r>
        <w:rPr>
          <w:rFonts w:eastAsia="Times New Roman" w:cs="Tahoma"/>
          <w:color w:val="auto"/>
          <w:lang w:val="es-ES" w:eastAsia="es-ES"/>
        </w:rPr>
        <w:t>las áreas competentes proporcionaron los listados con los nombres de las personas que habían tenido algún movimiento de personal</w:t>
      </w:r>
      <w:r w:rsidR="00050169">
        <w:rPr>
          <w:rFonts w:eastAsia="Times New Roman" w:cs="Tahoma"/>
          <w:color w:val="auto"/>
          <w:lang w:val="es-ES" w:eastAsia="es-ES"/>
        </w:rPr>
        <w:t xml:space="preserve"> dentro del </w:t>
      </w:r>
      <w:r w:rsidRPr="009C36C6" w:rsidR="00050169">
        <w:rPr>
          <w:rFonts w:eastAsia="Calibri" w:cs="Tahoma"/>
          <w:bCs/>
          <w:color w:val="000000"/>
        </w:rPr>
        <w:t>Instituto Municipal de Cultura Física y Deporte y del Instituto Municipal de la Mujer</w:t>
      </w:r>
      <w:r>
        <w:rPr>
          <w:rFonts w:eastAsia="Times New Roman" w:cs="Tahoma"/>
          <w:color w:val="auto"/>
          <w:lang w:val="es-ES" w:eastAsia="es-ES"/>
        </w:rPr>
        <w:t>, del primero al veintiocho de febrero de dos mil veintidós</w:t>
      </w:r>
      <w:r w:rsidR="00050169">
        <w:rPr>
          <w:rFonts w:eastAsia="Times New Roman" w:cs="Tahoma"/>
          <w:color w:val="auto"/>
          <w:lang w:val="es-ES" w:eastAsia="es-ES"/>
        </w:rPr>
        <w:t>.</w:t>
      </w:r>
    </w:p>
    <w:p w:rsidR="009C36C6" w:rsidP="009C36C6" w:rsidRDefault="009C36C6" w14:paraId="3AC72984" w14:textId="77777777">
      <w:pPr>
        <w:spacing w:after="0" w:line="360" w:lineRule="auto"/>
        <w:rPr>
          <w:rFonts w:eastAsia="Times New Roman" w:cs="Tahoma"/>
          <w:color w:val="auto"/>
          <w:lang w:val="es-ES" w:eastAsia="es-ES"/>
        </w:rPr>
      </w:pPr>
    </w:p>
    <w:p w:rsidR="007558D3" w:rsidP="00B22E82" w:rsidRDefault="007558D3" w14:paraId="259820F2" w14:textId="79589447">
      <w:pPr>
        <w:spacing w:after="0" w:line="360" w:lineRule="auto"/>
        <w:rPr>
          <w:rFonts w:eastAsia="Times New Roman" w:cs="Tahoma"/>
          <w:color w:val="auto"/>
          <w:lang w:val="es-ES" w:eastAsia="es-ES"/>
        </w:rPr>
      </w:pPr>
    </w:p>
    <w:p w:rsidR="00050169" w:rsidP="00B22E82" w:rsidRDefault="00050169" w14:paraId="563D612D" w14:textId="40AB58B9">
      <w:pPr>
        <w:spacing w:after="0" w:line="360" w:lineRule="auto"/>
        <w:rPr>
          <w:rFonts w:eastAsia="Times New Roman" w:cs="Tahoma"/>
          <w:color w:val="auto"/>
          <w:lang w:val="es-ES" w:eastAsia="es-ES"/>
        </w:rPr>
      </w:pPr>
      <w:r>
        <w:rPr>
          <w:rFonts w:eastAsia="Times New Roman" w:cs="Tahoma"/>
          <w:color w:val="auto"/>
          <w:lang w:val="es-ES" w:eastAsia="es-ES"/>
        </w:rPr>
        <w:t>Ahora bien, la Dirección General de Administración, en respuesta únicamente proporcionó el número total de movimientos de personal que había realizado durante el periodo requerido, a saber, doscientos ochenta y cinco movimientos, de los cuales, ciento sesenta y cinco correspondían a altas y ciento veinte a bajas.</w:t>
      </w:r>
    </w:p>
    <w:p w:rsidR="00050169" w:rsidP="00B22E82" w:rsidRDefault="00050169" w14:paraId="410BD30A" w14:textId="7DABF920">
      <w:pPr>
        <w:spacing w:after="0" w:line="360" w:lineRule="auto"/>
        <w:rPr>
          <w:rFonts w:eastAsia="Times New Roman" w:cs="Tahoma"/>
          <w:color w:val="auto"/>
          <w:lang w:val="es-ES" w:eastAsia="es-ES"/>
        </w:rPr>
      </w:pPr>
    </w:p>
    <w:p w:rsidRPr="00C00C97" w:rsidR="00050169" w:rsidP="00B22E82" w:rsidRDefault="00050169" w14:paraId="4981404D" w14:textId="50C2C576">
      <w:pPr>
        <w:spacing w:after="0" w:line="360" w:lineRule="auto"/>
        <w:rPr>
          <w:rFonts w:eastAsia="Times New Roman" w:cs="Tahoma"/>
          <w:b/>
          <w:bCs/>
          <w:color w:val="auto"/>
          <w:lang w:val="es-ES" w:eastAsia="es-ES"/>
        </w:rPr>
      </w:pPr>
      <w:r>
        <w:rPr>
          <w:rFonts w:eastAsia="Times New Roman" w:cs="Tahoma"/>
          <w:color w:val="auto"/>
          <w:lang w:val="es-ES" w:eastAsia="es-ES"/>
        </w:rPr>
        <w:t>En ese contexto, es de señalar que si bien lo proporcionado</w:t>
      </w:r>
      <w:r w:rsidR="00C00C97">
        <w:rPr>
          <w:rFonts w:eastAsia="Times New Roman" w:cs="Tahoma"/>
          <w:color w:val="auto"/>
          <w:lang w:val="es-ES" w:eastAsia="es-ES"/>
        </w:rPr>
        <w:t xml:space="preserve"> esta relacionado con lo peticionado, lo cierto es que no da cuenta de lo peticionado, pues la pretensión del ahora Recurrente no es obtener información estadística, sino el nombre de aquellas personas que tuvieron algún </w:t>
      </w:r>
      <w:r w:rsidR="00C00C97">
        <w:rPr>
          <w:rFonts w:eastAsia="Times New Roman" w:cs="Tahoma"/>
          <w:color w:val="auto"/>
          <w:lang w:val="es-ES" w:eastAsia="es-ES"/>
        </w:rPr>
        <w:lastRenderedPageBreak/>
        <w:t xml:space="preserve">movimiento dentro del Ayuntamiento; por lo que, se considera que la respuesta entregada es </w:t>
      </w:r>
      <w:r w:rsidR="00C00C97">
        <w:rPr>
          <w:rFonts w:eastAsia="Times New Roman" w:cs="Tahoma"/>
          <w:b/>
          <w:bCs/>
          <w:color w:val="auto"/>
          <w:lang w:val="es-ES" w:eastAsia="es-ES"/>
        </w:rPr>
        <w:t>incongruente.</w:t>
      </w:r>
    </w:p>
    <w:p w:rsidR="00050169" w:rsidP="00B22E82" w:rsidRDefault="00050169" w14:paraId="776C1217" w14:textId="77777777">
      <w:pPr>
        <w:spacing w:after="0" w:line="360" w:lineRule="auto"/>
        <w:rPr>
          <w:rFonts w:eastAsia="Times New Roman" w:cs="Tahoma"/>
          <w:iCs/>
          <w:color w:val="auto"/>
          <w:szCs w:val="24"/>
          <w:lang w:eastAsia="es-ES"/>
        </w:rPr>
      </w:pPr>
    </w:p>
    <w:p w:rsidRPr="004A2DCA" w:rsidR="004A2DCA" w:rsidP="004A2DCA" w:rsidRDefault="004A2DCA" w14:paraId="736F787E" w14:textId="77777777">
      <w:pPr>
        <w:spacing w:after="0" w:line="360" w:lineRule="auto"/>
        <w:rPr>
          <w:rFonts w:eastAsia="Calibri" w:cs="Tahoma"/>
          <w:bCs/>
          <w:color w:val="auto"/>
          <w:lang w:val="es-ES"/>
        </w:rPr>
      </w:pPr>
      <w:r w:rsidRPr="004A2DCA">
        <w:rPr>
          <w:rFonts w:eastAsia="Times New Roman" w:cs="Tahoma"/>
          <w:bCs/>
          <w:iCs/>
          <w:color w:val="auto"/>
          <w:lang w:val="es-ES" w:eastAsia="es-ES"/>
        </w:rPr>
        <w:t>S</w:t>
      </w:r>
      <w:r w:rsidRPr="004A2DCA">
        <w:rPr>
          <w:rFonts w:eastAsia="Calibri" w:cs="Tahoma"/>
          <w:lang w:val="es-ES"/>
        </w:rPr>
        <w:t xml:space="preserve">obre el tema </w:t>
      </w:r>
      <w:r w:rsidRPr="004A2DCA">
        <w:rPr>
          <w:rFonts w:eastAsia="Calibri" w:cs="Times New Roman"/>
        </w:rPr>
        <w:t xml:space="preserve">el </w:t>
      </w:r>
      <w:r w:rsidRPr="004A2DCA">
        <w:rPr>
          <w:rFonts w:eastAsia="Times New Roman" w:cs="Tahoma"/>
          <w:color w:val="auto"/>
          <w:lang w:val="es-ES" w:eastAsia="es-ES"/>
        </w:rPr>
        <w:t>artículo 1.8, fracción IX, del Código Administrativo del Estado de México, establece que para que un acto administrativo tenga validez, deberá guardar congruencia con lo solicitado; as</w:t>
      </w:r>
      <w:r w:rsidRPr="004A2DCA">
        <w:rPr>
          <w:rFonts w:eastAsia="Times New Roman" w:cs="Times New Roman"/>
          <w:color w:val="auto"/>
          <w:lang w:val="es-ES" w:eastAsia="es-ES"/>
        </w:rPr>
        <w:t>imismo,</w:t>
      </w:r>
      <w:r w:rsidRPr="004A2DCA">
        <w:rPr>
          <w:rFonts w:eastAsia="Times New Roman" w:cs="Tahoma"/>
          <w:color w:val="auto"/>
          <w:szCs w:val="20"/>
          <w:lang w:eastAsia="es-MX"/>
        </w:rPr>
        <w:t xml:space="preserve"> resulta necesario traer</w:t>
      </w:r>
      <w:r w:rsidRPr="004A2DCA">
        <w:rPr>
          <w:rFonts w:eastAsia="Calibri" w:cs="Tahoma"/>
          <w:bCs/>
          <w:color w:val="auto"/>
          <w:lang w:val="es-ES"/>
        </w:rPr>
        <w:t xml:space="preserve"> por analogía, el Criterio 02/17, emitido por el Instituto Nacional de Transparencia, Acceso a la Información y Protección de Datos Personales, que señala lo siguiente:</w:t>
      </w:r>
    </w:p>
    <w:p w:rsidRPr="004A2DCA" w:rsidR="004A2DCA" w:rsidP="004A2DCA" w:rsidRDefault="004A2DCA" w14:paraId="166E7C4D" w14:textId="77777777">
      <w:pPr>
        <w:spacing w:after="0" w:line="360" w:lineRule="auto"/>
        <w:rPr>
          <w:rFonts w:eastAsia="Calibri" w:cs="Tahoma"/>
          <w:bCs/>
          <w:color w:val="auto"/>
          <w:lang w:val="es-ES"/>
        </w:rPr>
      </w:pPr>
    </w:p>
    <w:p w:rsidRPr="004A2DCA" w:rsidR="004A2DCA" w:rsidP="004A2DCA" w:rsidRDefault="004A2DCA" w14:paraId="27A359A2" w14:textId="77777777">
      <w:pPr>
        <w:spacing w:after="0" w:line="360" w:lineRule="auto"/>
        <w:ind w:left="567" w:right="567"/>
        <w:rPr>
          <w:rFonts w:eastAsia="Calibri" w:cs="Tahoma"/>
          <w:i/>
          <w:color w:val="auto"/>
          <w:sz w:val="20"/>
          <w:szCs w:val="20"/>
        </w:rPr>
      </w:pPr>
      <w:r w:rsidRPr="004A2DCA">
        <w:rPr>
          <w:rFonts w:eastAsia="Calibri" w:cs="Tahoma"/>
          <w:b/>
          <w:bCs/>
          <w:i/>
          <w:color w:val="auto"/>
          <w:sz w:val="20"/>
          <w:szCs w:val="20"/>
        </w:rPr>
        <w:t xml:space="preserve">“Congruencia y exhaustividad. Sus alcances para garantizar el derecho de acceso a la información. </w:t>
      </w:r>
      <w:r w:rsidRPr="004A2DCA">
        <w:rPr>
          <w:rFonts w:eastAsia="Calibri" w:cs="Tahoma"/>
          <w:bCs/>
          <w:i/>
          <w:color w:val="auto"/>
          <w:sz w:val="20"/>
          <w:szCs w:val="20"/>
        </w:rPr>
        <w:t xml:space="preserve">De conformidad con el artículo </w:t>
      </w:r>
      <w:r w:rsidRPr="004A2DCA">
        <w:rPr>
          <w:rFonts w:eastAsia="Calibri" w:cs="Tahoma"/>
          <w:bCs/>
          <w:i/>
          <w:color w:val="auto"/>
          <w:sz w:val="20"/>
          <w:szCs w:val="20"/>
          <w:lang w:val="es-ES_tradnl"/>
        </w:rPr>
        <w:t>3 de la Ley Federal de Procedimiento Administrativo</w:t>
      </w:r>
      <w:r w:rsidRPr="004A2DCA">
        <w:rPr>
          <w:rFonts w:eastAsia="Calibri" w:cs="Tahoma"/>
          <w:bCs/>
          <w:i/>
          <w:color w:val="auto"/>
          <w:sz w:val="20"/>
          <w:szCs w:val="20"/>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w:t>
      </w:r>
      <w:r w:rsidRPr="004A2DCA">
        <w:rPr>
          <w:rFonts w:eastAsia="Calibri" w:cs="Tahoma"/>
          <w:bCs/>
          <w:i/>
          <w:color w:val="auto"/>
          <w:sz w:val="20"/>
          <w:szCs w:val="20"/>
          <w:u w:val="single"/>
        </w:rPr>
        <w:t>a congruencia implica que exista concordancia entre el requerimiento formulado por el particular y la respuesta proporcionada por el sujeto obligado</w:t>
      </w:r>
      <w:r w:rsidRPr="004A2DCA">
        <w:rPr>
          <w:rFonts w:eastAsia="Calibri" w:cs="Tahoma"/>
          <w:bCs/>
          <w:i/>
          <w:color w:val="auto"/>
          <w:sz w:val="20"/>
          <w:szCs w:val="20"/>
        </w:rPr>
        <w:t xml:space="preserve">; mientras que </w:t>
      </w:r>
      <w:r w:rsidRPr="004A2DCA">
        <w:rPr>
          <w:rFonts w:eastAsia="Calibri" w:cs="Tahoma"/>
          <w:i/>
          <w:color w:val="auto"/>
          <w:sz w:val="20"/>
          <w:szCs w:val="20"/>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Pr="004A2DCA" w:rsidR="004A2DCA" w:rsidP="004A2DCA" w:rsidRDefault="004A2DCA" w14:paraId="40B27684" w14:textId="77777777">
      <w:pPr>
        <w:spacing w:after="0" w:line="360" w:lineRule="auto"/>
        <w:rPr>
          <w:rFonts w:eastAsia="Calibri" w:cs="Times New Roman"/>
        </w:rPr>
      </w:pPr>
    </w:p>
    <w:p w:rsidRPr="004A2DCA" w:rsidR="004A2DCA" w:rsidP="004A2DCA" w:rsidRDefault="004A2DCA" w14:paraId="1979778D" w14:textId="77777777">
      <w:pPr>
        <w:spacing w:after="0" w:line="360" w:lineRule="auto"/>
        <w:rPr>
          <w:rFonts w:eastAsia="Calibri" w:cs="Times New Roman"/>
          <w:lang w:val="es-ES"/>
        </w:rPr>
      </w:pPr>
      <w:r w:rsidRPr="004A2DCA">
        <w:rPr>
          <w:rFonts w:eastAsia="Calibri" w:cs="Times New Roman"/>
        </w:rPr>
        <w:t xml:space="preserve">Del citado criterio, se desprende que </w:t>
      </w:r>
      <w:r w:rsidRPr="004A2DCA">
        <w:rPr>
          <w:rFonts w:eastAsia="Calibri" w:cs="Times New Roman"/>
          <w:bCs/>
        </w:rPr>
        <w:t>todo acto administrativo debe apegarse al</w:t>
      </w:r>
      <w:r w:rsidRPr="004A2DCA">
        <w:rPr>
          <w:rFonts w:eastAsia="Calibri" w:cs="Times New Roman"/>
          <w:lang w:val="es-ES"/>
        </w:rPr>
        <w:t xml:space="preserve"> </w:t>
      </w:r>
      <w:r w:rsidRPr="004A2DCA">
        <w:rPr>
          <w:rFonts w:eastAsia="Calibri" w:cs="Times New Roman"/>
          <w:b/>
          <w:lang w:val="es-ES"/>
        </w:rPr>
        <w:t xml:space="preserve">Principio de Congruencia, </w:t>
      </w:r>
      <w:r w:rsidRPr="004A2DCA">
        <w:rPr>
          <w:rFonts w:eastAsia="Calibri" w:cs="Times New Roman"/>
          <w:lang w:val="es-ES"/>
        </w:rPr>
        <w:t>el cual</w:t>
      </w:r>
      <w:r w:rsidRPr="004A2DCA">
        <w:rPr>
          <w:rFonts w:eastAsia="Calibri" w:cs="Times New Roman"/>
          <w:b/>
          <w:lang w:val="es-ES"/>
        </w:rPr>
        <w:t xml:space="preserve"> </w:t>
      </w:r>
      <w:r w:rsidRPr="004A2DCA">
        <w:rPr>
          <w:rFonts w:eastAsia="Calibri" w:cs="Times New Roman"/>
          <w:lang w:val="es-ES"/>
        </w:rPr>
        <w:t>implica que exista concordancia entre el requerimiento formulado y la respuesta entregada.</w:t>
      </w:r>
    </w:p>
    <w:p w:rsidRPr="004A2DCA" w:rsidR="004A2DCA" w:rsidP="004A2DCA" w:rsidRDefault="004A2DCA" w14:paraId="63EC2EA4" w14:textId="77777777">
      <w:pPr>
        <w:spacing w:after="0" w:line="360" w:lineRule="auto"/>
        <w:rPr>
          <w:rFonts w:eastAsia="Calibri" w:cs="Times New Roman"/>
          <w:bCs/>
          <w:lang w:val="es-ES_tradnl"/>
        </w:rPr>
      </w:pPr>
    </w:p>
    <w:p w:rsidR="004A2DCA" w:rsidP="004A2DCA" w:rsidRDefault="004A2DCA" w14:paraId="76C64249" w14:textId="22FFBE2A">
      <w:pPr>
        <w:spacing w:after="0" w:line="360" w:lineRule="auto"/>
        <w:ind w:right="-28"/>
        <w:rPr>
          <w:rFonts w:eastAsia="Times New Roman" w:cs="Tahoma"/>
          <w:b/>
          <w:bCs/>
          <w:iCs/>
          <w:color w:val="auto"/>
          <w:lang w:val="es-ES" w:eastAsia="es-ES"/>
        </w:rPr>
      </w:pPr>
      <w:r w:rsidRPr="004A2DCA">
        <w:rPr>
          <w:rFonts w:eastAsia="Times New Roman" w:cs="Tahoma"/>
          <w:iCs/>
          <w:color w:val="auto"/>
          <w:lang w:val="es-ES" w:eastAsia="es-ES"/>
        </w:rPr>
        <w:t xml:space="preserve">Conforme a lo expuesto, se considera que la respuesta proporcionada incumplió con el Principio de Congruencia, pues como se refirió la respuesta entregada no guarda relación con lo peticionado, pues en el presente caso, no se pidió información </w:t>
      </w:r>
      <w:r w:rsidR="000B350E">
        <w:rPr>
          <w:rFonts w:eastAsia="Times New Roman" w:cs="Tahoma"/>
          <w:iCs/>
          <w:color w:val="auto"/>
          <w:lang w:val="es-ES" w:eastAsia="es-ES"/>
        </w:rPr>
        <w:t>estadística</w:t>
      </w:r>
      <w:r w:rsidRPr="004A2DCA">
        <w:rPr>
          <w:rFonts w:eastAsia="Times New Roman" w:cs="Tahoma"/>
          <w:iCs/>
          <w:color w:val="auto"/>
          <w:lang w:val="es-ES" w:eastAsia="es-ES"/>
        </w:rPr>
        <w:t xml:space="preserve">, sino documentos </w:t>
      </w:r>
      <w:r w:rsidR="000B350E">
        <w:rPr>
          <w:rFonts w:eastAsia="Times New Roman" w:cs="Tahoma"/>
          <w:iCs/>
          <w:color w:val="auto"/>
          <w:lang w:val="es-ES" w:eastAsia="es-ES"/>
        </w:rPr>
        <w:lastRenderedPageBreak/>
        <w:t xml:space="preserve">que den cuenta </w:t>
      </w:r>
      <w:r w:rsidR="00C00C97">
        <w:rPr>
          <w:rFonts w:eastAsia="Times New Roman" w:cs="Tahoma"/>
          <w:iCs/>
          <w:color w:val="auto"/>
          <w:lang w:val="es-ES" w:eastAsia="es-ES"/>
        </w:rPr>
        <w:t>del nombre de aquellas personas que tuvieron algún</w:t>
      </w:r>
      <w:r w:rsidR="000B350E">
        <w:rPr>
          <w:rFonts w:eastAsia="Times New Roman" w:cs="Tahoma"/>
          <w:iCs/>
          <w:color w:val="auto"/>
          <w:lang w:val="es-ES" w:eastAsia="es-ES"/>
        </w:rPr>
        <w:t xml:space="preserve"> movimiento</w:t>
      </w:r>
      <w:r w:rsidRPr="004A2DCA">
        <w:rPr>
          <w:rFonts w:eastAsia="Times New Roman" w:cs="Tahoma"/>
          <w:iCs/>
          <w:color w:val="auto"/>
          <w:lang w:val="es-ES" w:eastAsia="es-ES"/>
        </w:rPr>
        <w:t>,</w:t>
      </w:r>
      <w:r w:rsidR="000B350E">
        <w:rPr>
          <w:rFonts w:eastAsia="Times New Roman" w:cs="Tahoma"/>
          <w:iCs/>
          <w:color w:val="auto"/>
          <w:lang w:val="es-ES" w:eastAsia="es-ES"/>
        </w:rPr>
        <w:t xml:space="preserve"> en el mes de febrero de dos mil veintidós</w:t>
      </w:r>
      <w:r w:rsidR="00C00C97">
        <w:rPr>
          <w:rFonts w:eastAsia="Times New Roman" w:cs="Tahoma"/>
          <w:iCs/>
          <w:color w:val="auto"/>
          <w:lang w:val="es-ES" w:eastAsia="es-ES"/>
        </w:rPr>
        <w:t xml:space="preserve">, </w:t>
      </w:r>
      <w:r w:rsidRPr="004A2DCA">
        <w:rPr>
          <w:rFonts w:eastAsia="Times New Roman" w:cs="Tahoma"/>
          <w:iCs/>
          <w:color w:val="auto"/>
          <w:lang w:val="es-ES" w:eastAsia="es-ES"/>
        </w:rPr>
        <w:t xml:space="preserve">lo cual da como resultado que el agravio sea </w:t>
      </w:r>
      <w:r w:rsidRPr="004A2DCA">
        <w:rPr>
          <w:rFonts w:eastAsia="Times New Roman" w:cs="Tahoma"/>
          <w:b/>
          <w:bCs/>
          <w:iCs/>
          <w:color w:val="auto"/>
          <w:lang w:val="es-ES" w:eastAsia="es-ES"/>
        </w:rPr>
        <w:t>FUNDADO.</w:t>
      </w:r>
    </w:p>
    <w:p w:rsidRPr="004A2DCA" w:rsidR="003E0631" w:rsidP="004A2DCA" w:rsidRDefault="003E0631" w14:paraId="44725937" w14:textId="77777777">
      <w:pPr>
        <w:spacing w:after="0" w:line="360" w:lineRule="auto"/>
        <w:ind w:right="-28"/>
        <w:rPr>
          <w:rFonts w:eastAsia="Times New Roman" w:cs="Tahoma"/>
          <w:b/>
          <w:bCs/>
          <w:iCs/>
          <w:color w:val="auto"/>
          <w:lang w:val="es-ES" w:eastAsia="es-ES"/>
        </w:rPr>
      </w:pPr>
    </w:p>
    <w:p w:rsidRPr="003E0631" w:rsidR="00383C11" w:rsidP="003E0631" w:rsidRDefault="003E0631" w14:paraId="6F0BF825" w14:textId="6B08ACD3">
      <w:pPr>
        <w:spacing w:after="0" w:line="360" w:lineRule="auto"/>
        <w:ind w:right="-28"/>
        <w:contextualSpacing/>
        <w:rPr>
          <w:rFonts w:eastAsia="Times New Roman" w:cs="Tahoma"/>
          <w:iCs/>
          <w:color w:val="auto"/>
          <w:lang w:val="es-ES" w:eastAsia="es-ES"/>
        </w:rPr>
      </w:pPr>
      <w:r w:rsidRPr="003E0631">
        <w:rPr>
          <w:rFonts w:eastAsia="Times New Roman" w:cs="Tahoma"/>
          <w:iCs/>
          <w:color w:val="auto"/>
          <w:lang w:val="es-ES" w:eastAsia="es-ES"/>
        </w:rPr>
        <w:t xml:space="preserve">Conforme a lo anterior, </w:t>
      </w:r>
      <w:r w:rsidR="00C00C97">
        <w:rPr>
          <w:rFonts w:eastAsia="Times New Roman" w:cs="Tahoma"/>
          <w:iCs/>
          <w:color w:val="auto"/>
          <w:lang w:val="es-ES" w:eastAsia="es-ES"/>
        </w:rPr>
        <w:t>se considera que para atender el requerimiento de información</w:t>
      </w:r>
      <w:r w:rsidR="00F679C8">
        <w:rPr>
          <w:rFonts w:eastAsia="Times New Roman" w:cs="Tahoma"/>
          <w:iCs/>
          <w:color w:val="auto"/>
          <w:lang w:val="es-ES" w:eastAsia="es-ES"/>
        </w:rPr>
        <w:t xml:space="preserve"> y dar cumplimiento a los artículos 12, 160 y 162 de la Ley de la materia</w:t>
      </w:r>
      <w:r w:rsidR="00C00C97">
        <w:rPr>
          <w:rFonts w:eastAsia="Times New Roman" w:cs="Tahoma"/>
          <w:iCs/>
          <w:color w:val="auto"/>
          <w:lang w:val="es-ES" w:eastAsia="es-ES"/>
        </w:rPr>
        <w:t xml:space="preserve">, la Dirección General de Administración, deberá realizar una búsqueda exhaustiva y razonable en sus archivos, a efecto de proporcionar los documentos donde conste el nombre de los doscientos ochenta y cinco servidores públicos que tuvieron algún movimiento </w:t>
      </w:r>
      <w:r w:rsidR="00F679C8">
        <w:rPr>
          <w:rFonts w:eastAsia="Times New Roman" w:cs="Tahoma"/>
          <w:iCs/>
          <w:color w:val="auto"/>
          <w:lang w:val="es-ES" w:eastAsia="es-ES"/>
        </w:rPr>
        <w:t>de personal, conforme a la respuesta entregada.</w:t>
      </w:r>
    </w:p>
    <w:p w:rsidR="000A2A5D" w:rsidP="00B22E82" w:rsidRDefault="000A2A5D" w14:paraId="4B2C5C60" w14:textId="449547D4">
      <w:pPr>
        <w:spacing w:after="0" w:line="360" w:lineRule="auto"/>
        <w:rPr>
          <w:i/>
          <w:iCs/>
          <w:sz w:val="20"/>
          <w:szCs w:val="20"/>
        </w:rPr>
      </w:pPr>
    </w:p>
    <w:p w:rsidR="00DC02D8" w:rsidP="00DC02D8" w:rsidRDefault="00DC02D8" w14:paraId="5AB5D913" w14:textId="0F8DEBEB">
      <w:pPr>
        <w:spacing w:after="0" w:line="360" w:lineRule="auto"/>
        <w:ind w:right="-93"/>
        <w:rPr>
          <w:rFonts w:eastAsia="Calibri" w:cs="Tahoma"/>
          <w:bCs/>
          <w:lang w:val="es-ES_tradnl"/>
        </w:rPr>
      </w:pPr>
      <w:r w:rsidRPr="00DC02D8">
        <w:rPr>
          <w:rFonts w:eastAsia="Calibri" w:cs="Tahoma"/>
          <w:bCs/>
          <w:lang w:val="es-ES_tradnl"/>
        </w:rPr>
        <w:t xml:space="preserve">Ahora bien, no pasa desapercibido, que conforme a los artículos </w:t>
      </w:r>
      <w:r>
        <w:rPr>
          <w:rFonts w:eastAsia="Calibri" w:cs="Tahoma"/>
          <w:bCs/>
          <w:lang w:val="es-ES_tradnl"/>
        </w:rPr>
        <w:t>3.2, numeral 4,</w:t>
      </w:r>
      <w:r w:rsidRPr="00DC02D8">
        <w:rPr>
          <w:rFonts w:eastAsia="Calibri" w:cs="Tahoma"/>
          <w:bCs/>
          <w:lang w:val="es-ES_tradnl"/>
        </w:rPr>
        <w:t xml:space="preserve"> y </w:t>
      </w:r>
      <w:r>
        <w:rPr>
          <w:rFonts w:eastAsia="Calibri" w:cs="Tahoma"/>
          <w:bCs/>
          <w:lang w:val="es-ES_tradnl"/>
        </w:rPr>
        <w:t>3.31</w:t>
      </w:r>
      <w:r w:rsidRPr="00DC02D8">
        <w:rPr>
          <w:rFonts w:eastAsia="Calibri" w:cs="Tahoma"/>
          <w:bCs/>
          <w:lang w:val="es-ES_tradnl"/>
        </w:rPr>
        <w:t xml:space="preserve"> del </w:t>
      </w:r>
      <w:r w:rsidRPr="007558D3" w:rsidR="002501D2">
        <w:rPr>
          <w:rFonts w:eastAsia="Times New Roman" w:cs="Times New Roman"/>
          <w:iCs/>
          <w:color w:val="auto"/>
          <w:szCs w:val="20"/>
          <w:lang w:eastAsia="es-ES"/>
        </w:rPr>
        <w:t>Código Reglamentario Municipal de Toluca</w:t>
      </w:r>
      <w:r w:rsidRPr="00DC02D8">
        <w:rPr>
          <w:rFonts w:eastAsia="Calibri" w:cs="Tahoma"/>
          <w:bCs/>
          <w:lang w:val="es-ES_tradnl"/>
        </w:rPr>
        <w:t xml:space="preserve">, el Sujeto Obligado cuenta con la Dirección </w:t>
      </w:r>
      <w:r w:rsidR="002501D2">
        <w:rPr>
          <w:rFonts w:eastAsia="Calibri" w:cs="Tahoma"/>
          <w:bCs/>
          <w:lang w:val="es-ES_tradnl"/>
        </w:rPr>
        <w:t xml:space="preserve">General </w:t>
      </w:r>
      <w:r w:rsidRPr="00DC02D8">
        <w:rPr>
          <w:rFonts w:eastAsia="Calibri" w:cs="Tahoma"/>
          <w:bCs/>
          <w:lang w:val="es-ES_tradnl"/>
        </w:rPr>
        <w:t xml:space="preserve">de Seguridad Pública </w:t>
      </w:r>
      <w:r w:rsidR="002501D2">
        <w:rPr>
          <w:rFonts w:eastAsia="Calibri" w:cs="Tahoma"/>
          <w:bCs/>
          <w:lang w:val="es-ES_tradnl"/>
        </w:rPr>
        <w:t>y Protección</w:t>
      </w:r>
      <w:r w:rsidRPr="00DC02D8">
        <w:rPr>
          <w:rFonts w:eastAsia="Calibri" w:cs="Tahoma"/>
          <w:bCs/>
          <w:lang w:val="es-ES_tradnl"/>
        </w:rPr>
        <w:t>, encargada de salvaguardar y garantizar el orden público y la paz social, así como de  la prevención, combate y persecución de delitos; por lo que, este Instituto considera que en dicha área existen servidores públicos que realizan funciones operativas en materia de seguridad pública.</w:t>
      </w:r>
    </w:p>
    <w:p w:rsidRPr="00DC02D8" w:rsidR="00DC02D8" w:rsidP="00DC02D8" w:rsidRDefault="00DC02D8" w14:paraId="09B422BA" w14:textId="77777777">
      <w:pPr>
        <w:spacing w:after="0" w:line="360" w:lineRule="auto"/>
        <w:ind w:right="-93"/>
        <w:rPr>
          <w:rFonts w:eastAsia="Calibri" w:cs="Tahoma"/>
          <w:bCs/>
          <w:lang w:val="es-ES_tradnl"/>
        </w:rPr>
      </w:pPr>
    </w:p>
    <w:p w:rsidRPr="00DC02D8" w:rsidR="00DC02D8" w:rsidP="00DC02D8" w:rsidRDefault="00DC02D8" w14:paraId="0D559F0C" w14:textId="531EA953">
      <w:pPr>
        <w:spacing w:after="0" w:line="360" w:lineRule="auto"/>
        <w:rPr>
          <w:rFonts w:eastAsia="Calibri" w:cs="Times New Roman"/>
          <w:color w:val="auto"/>
          <w:szCs w:val="20"/>
          <w:lang w:eastAsia="es-ES"/>
        </w:rPr>
      </w:pPr>
      <w:r w:rsidRPr="00DC02D8">
        <w:rPr>
          <w:rFonts w:eastAsia="Calibri" w:cs="Times New Roman"/>
          <w:color w:val="auto"/>
          <w:szCs w:val="20"/>
          <w:lang w:eastAsia="es-ES"/>
        </w:rPr>
        <w:t xml:space="preserve">Así resulta necesario analizar si el </w:t>
      </w:r>
      <w:r w:rsidR="002501D2">
        <w:rPr>
          <w:rFonts w:eastAsia="Calibri" w:cs="Times New Roman"/>
          <w:color w:val="auto"/>
          <w:szCs w:val="20"/>
          <w:lang w:eastAsia="es-ES"/>
        </w:rPr>
        <w:t>nombre del personal operativo, en el caso, que hayan tenido algún movimiento de personal en febrero, es clasificado</w:t>
      </w:r>
      <w:r w:rsidRPr="00DC02D8">
        <w:rPr>
          <w:rFonts w:eastAsia="Calibri" w:cs="Times New Roman"/>
          <w:color w:val="auto"/>
          <w:szCs w:val="20"/>
          <w:lang w:eastAsia="es-ES"/>
        </w:rPr>
        <w:t>; al respecto,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rsidRPr="00DC02D8" w:rsidR="00DC02D8" w:rsidP="00DC02D8" w:rsidRDefault="00DC02D8" w14:paraId="28C34D7A" w14:textId="77777777">
      <w:pPr>
        <w:spacing w:after="0" w:line="360" w:lineRule="auto"/>
        <w:rPr>
          <w:rFonts w:eastAsia="Times New Roman" w:cs="Tahoma"/>
          <w:color w:val="auto"/>
          <w:lang w:eastAsia="es-ES"/>
        </w:rPr>
      </w:pPr>
    </w:p>
    <w:p w:rsidRPr="00DC02D8" w:rsidR="00DC02D8" w:rsidP="00DC02D8" w:rsidRDefault="00DC02D8" w14:paraId="67800B0C" w14:textId="77777777">
      <w:pPr>
        <w:tabs>
          <w:tab w:val="left" w:pos="4962"/>
        </w:tabs>
        <w:spacing w:after="0" w:line="360" w:lineRule="auto"/>
        <w:ind w:left="567" w:right="567"/>
        <w:rPr>
          <w:rFonts w:eastAsia="Calibri" w:cs="Tahoma"/>
          <w:i/>
          <w:iCs/>
          <w:color w:val="auto"/>
          <w:sz w:val="20"/>
          <w:szCs w:val="20"/>
          <w:lang w:val="es-ES" w:eastAsia="es-ES_tradnl"/>
        </w:rPr>
      </w:pPr>
      <w:r w:rsidRPr="00DC02D8">
        <w:rPr>
          <w:rFonts w:eastAsia="Calibri" w:cs="Tahoma"/>
          <w:i/>
          <w:iCs/>
          <w:color w:val="auto"/>
          <w:sz w:val="20"/>
          <w:szCs w:val="20"/>
          <w:lang w:val="es-ES" w:eastAsia="es-ES_tradnl"/>
        </w:rPr>
        <w:t>“</w:t>
      </w:r>
      <w:r w:rsidRPr="00DC02D8">
        <w:rPr>
          <w:rFonts w:eastAsia="Calibri" w:cs="Tahoma"/>
          <w:b/>
          <w:i/>
          <w:iCs/>
          <w:color w:val="auto"/>
          <w:sz w:val="20"/>
          <w:szCs w:val="20"/>
          <w:lang w:val="es-ES" w:eastAsia="es-ES_tradnl"/>
        </w:rPr>
        <w:t>Artículo 140.</w:t>
      </w:r>
      <w:r w:rsidRPr="00DC02D8">
        <w:rPr>
          <w:rFonts w:eastAsia="Calibri" w:cs="Tahoma"/>
          <w:i/>
          <w:iCs/>
          <w:color w:val="auto"/>
          <w:sz w:val="20"/>
          <w:szCs w:val="20"/>
          <w:lang w:val="es-ES" w:eastAsia="es-ES_tradnl"/>
        </w:rPr>
        <w:t xml:space="preserve"> El acceso a la información pública será restringido excepcionalmente, cuando por razones de interés público, ésta sea clasificada como reservada, conforme a los criterios siguientes: </w:t>
      </w:r>
    </w:p>
    <w:p w:rsidRPr="00DC02D8" w:rsidR="00DC02D8" w:rsidP="00DC02D8" w:rsidRDefault="00DC02D8" w14:paraId="3634C15F" w14:textId="77777777">
      <w:pPr>
        <w:tabs>
          <w:tab w:val="left" w:pos="4962"/>
        </w:tabs>
        <w:spacing w:after="0" w:line="360" w:lineRule="auto"/>
        <w:ind w:left="567" w:right="567"/>
        <w:rPr>
          <w:rFonts w:eastAsia="Calibri" w:cs="Tahoma"/>
          <w:i/>
          <w:iCs/>
          <w:color w:val="auto"/>
          <w:sz w:val="20"/>
          <w:szCs w:val="20"/>
          <w:lang w:val="es-ES" w:eastAsia="es-ES_tradnl"/>
        </w:rPr>
      </w:pPr>
      <w:r w:rsidRPr="00DC02D8">
        <w:rPr>
          <w:rFonts w:eastAsia="Calibri" w:cs="Tahoma"/>
          <w:i/>
          <w:iCs/>
          <w:color w:val="auto"/>
          <w:sz w:val="20"/>
          <w:szCs w:val="20"/>
          <w:lang w:val="es-ES" w:eastAsia="es-ES_tradnl"/>
        </w:rPr>
        <w:t>…</w:t>
      </w:r>
    </w:p>
    <w:p w:rsidRPr="00DC02D8" w:rsidR="00DC02D8" w:rsidP="00DC02D8" w:rsidRDefault="00DC02D8" w14:paraId="20EB3693" w14:textId="77777777">
      <w:pPr>
        <w:tabs>
          <w:tab w:val="left" w:pos="4962"/>
        </w:tabs>
        <w:spacing w:after="0" w:line="360" w:lineRule="auto"/>
        <w:ind w:left="567" w:right="567"/>
        <w:rPr>
          <w:rFonts w:eastAsia="Calibri" w:cs="Tahoma"/>
          <w:i/>
          <w:iCs/>
          <w:color w:val="auto"/>
          <w:sz w:val="20"/>
          <w:szCs w:val="20"/>
          <w:lang w:eastAsia="es-ES_tradnl"/>
        </w:rPr>
      </w:pPr>
      <w:r w:rsidRPr="00DC02D8">
        <w:rPr>
          <w:rFonts w:eastAsia="Calibri" w:cs="Tahoma"/>
          <w:i/>
          <w:iCs/>
          <w:color w:val="auto"/>
          <w:sz w:val="20"/>
          <w:szCs w:val="20"/>
          <w:lang w:eastAsia="es-ES_tradnl"/>
        </w:rPr>
        <w:t>IV. Ponga en riesgo la vida, la seguridad o la salud de una persona física;</w:t>
      </w:r>
    </w:p>
    <w:p w:rsidRPr="00DC02D8" w:rsidR="00DC02D8" w:rsidP="00DC02D8" w:rsidRDefault="00DC02D8" w14:paraId="7A996FCE" w14:textId="77777777">
      <w:pPr>
        <w:tabs>
          <w:tab w:val="left" w:pos="4962"/>
        </w:tabs>
        <w:spacing w:after="0" w:line="360" w:lineRule="auto"/>
        <w:ind w:left="567" w:right="567"/>
        <w:rPr>
          <w:rFonts w:eastAsia="Calibri" w:cs="Tahoma"/>
          <w:i/>
          <w:iCs/>
          <w:color w:val="auto"/>
          <w:sz w:val="20"/>
          <w:szCs w:val="20"/>
          <w:lang w:val="es-ES" w:eastAsia="es-ES_tradnl"/>
        </w:rPr>
      </w:pPr>
      <w:r w:rsidRPr="00DC02D8">
        <w:rPr>
          <w:rFonts w:eastAsia="Calibri" w:cs="Tahoma"/>
          <w:i/>
          <w:iCs/>
          <w:color w:val="auto"/>
          <w:sz w:val="20"/>
          <w:szCs w:val="20"/>
          <w:lang w:val="es-ES" w:eastAsia="es-ES_tradnl"/>
        </w:rPr>
        <w:t xml:space="preserve">…” </w:t>
      </w:r>
    </w:p>
    <w:p w:rsidRPr="00DC02D8" w:rsidR="00DC02D8" w:rsidP="00DC02D8" w:rsidRDefault="00DC02D8" w14:paraId="6B6319D6" w14:textId="77777777">
      <w:pPr>
        <w:spacing w:after="0" w:line="360" w:lineRule="auto"/>
        <w:rPr>
          <w:rFonts w:eastAsia="Calibri" w:cs="Tahoma"/>
          <w:bCs/>
          <w:color w:val="auto"/>
        </w:rPr>
      </w:pPr>
    </w:p>
    <w:p w:rsidRPr="00DC02D8" w:rsidR="00DC02D8" w:rsidP="00DC02D8" w:rsidRDefault="00DC02D8" w14:paraId="53E30513" w14:textId="77777777">
      <w:pPr>
        <w:spacing w:after="0" w:line="360" w:lineRule="auto"/>
        <w:rPr>
          <w:rFonts w:eastAsia="Calibri" w:cs="Tahoma"/>
          <w:bCs/>
          <w:color w:val="auto"/>
        </w:rPr>
      </w:pPr>
      <w:r w:rsidRPr="00DC02D8">
        <w:rPr>
          <w:rFonts w:eastAsia="Calibri" w:cs="Tahoma"/>
          <w:bCs/>
          <w:color w:val="auto"/>
        </w:rPr>
        <w:t xml:space="preserve">Del precepto legal anteriormente citado se desprende que como información reservada podrá clasificarse aquella cuya publicación pueda poner en riesgo la vida, seguridad o salud de una persona física; para acreditar lo anterior, los </w:t>
      </w:r>
      <w:r w:rsidRPr="00DC02D8">
        <w:rPr>
          <w:rFonts w:eastAsia="Calibri" w:cs="Tahoma"/>
          <w:bCs/>
          <w:color w:val="auto"/>
          <w:lang w:val="es-ES"/>
        </w:rPr>
        <w:t xml:space="preserve">Lineamientos Generales, </w:t>
      </w:r>
      <w:r w:rsidRPr="00DC02D8">
        <w:rPr>
          <w:rFonts w:eastAsia="Calibri" w:cs="Tahoma"/>
          <w:bCs/>
          <w:color w:val="auto"/>
        </w:rPr>
        <w:t>establecen lo siguiente:</w:t>
      </w:r>
    </w:p>
    <w:p w:rsidRPr="00DC02D8" w:rsidR="00DC02D8" w:rsidP="00DC02D8" w:rsidRDefault="00DC02D8" w14:paraId="47469E1E" w14:textId="77777777">
      <w:pPr>
        <w:spacing w:after="0" w:line="360" w:lineRule="auto"/>
        <w:rPr>
          <w:rFonts w:eastAsia="Calibri" w:cs="Tahoma"/>
          <w:bCs/>
          <w:color w:val="auto"/>
        </w:rPr>
      </w:pPr>
    </w:p>
    <w:p w:rsidRPr="00DC02D8" w:rsidR="00DC02D8" w:rsidP="00DC02D8" w:rsidRDefault="00DC02D8" w14:paraId="7B2CB42B" w14:textId="77777777">
      <w:pPr>
        <w:spacing w:after="0" w:line="360" w:lineRule="auto"/>
        <w:ind w:left="567" w:right="567"/>
        <w:rPr>
          <w:rFonts w:eastAsia="Calibri" w:cs="Tahoma"/>
          <w:bCs/>
          <w:i/>
          <w:color w:val="auto"/>
          <w:sz w:val="20"/>
          <w:szCs w:val="20"/>
        </w:rPr>
      </w:pPr>
      <w:r w:rsidRPr="00DC02D8">
        <w:rPr>
          <w:rFonts w:eastAsia="Calibri" w:cs="Tahoma"/>
          <w:b/>
          <w:bCs/>
          <w:i/>
          <w:color w:val="auto"/>
          <w:sz w:val="20"/>
          <w:szCs w:val="20"/>
        </w:rPr>
        <w:t xml:space="preserve">“Vigésimo tercero. </w:t>
      </w:r>
      <w:r w:rsidRPr="00DC02D8">
        <w:rPr>
          <w:rFonts w:eastAsia="Calibri" w:cs="Tahoma"/>
          <w:bCs/>
          <w:i/>
          <w:color w:val="auto"/>
          <w:sz w:val="20"/>
          <w:szCs w:val="20"/>
        </w:rPr>
        <w:t>Para clasificar la información como reservada, de conformidad con el artículo 113, fracción V de la Ley General, será necesario acreditar un vínculo, entre la persona física y la información que pueda poner en riesgo su vida, seguridad o salud.”</w:t>
      </w:r>
    </w:p>
    <w:p w:rsidRPr="00DC02D8" w:rsidR="00DC02D8" w:rsidP="00DC02D8" w:rsidRDefault="00DC02D8" w14:paraId="7D08DC90" w14:textId="77777777">
      <w:pPr>
        <w:spacing w:after="0" w:line="360" w:lineRule="auto"/>
        <w:ind w:left="567" w:right="567"/>
        <w:rPr>
          <w:rFonts w:eastAsia="Calibri" w:cs="Tahoma"/>
          <w:bCs/>
          <w:i/>
          <w:color w:val="auto"/>
          <w:sz w:val="20"/>
          <w:szCs w:val="20"/>
        </w:rPr>
      </w:pPr>
    </w:p>
    <w:p w:rsidRPr="00DC02D8" w:rsidR="00DC02D8" w:rsidP="00DC02D8" w:rsidRDefault="00DC02D8" w14:paraId="580285C2" w14:textId="77777777">
      <w:pPr>
        <w:spacing w:after="0" w:line="360" w:lineRule="auto"/>
        <w:rPr>
          <w:rFonts w:eastAsia="Calibri" w:cs="Tahoma"/>
          <w:bCs/>
          <w:color w:val="auto"/>
        </w:rPr>
      </w:pPr>
      <w:r w:rsidRPr="00DC02D8">
        <w:rPr>
          <w:rFonts w:eastAsia="Calibri" w:cs="Tahoma"/>
          <w:bCs/>
          <w:color w:val="auto"/>
        </w:rPr>
        <w:t xml:space="preserve">Del Lineamiento referido, se desprende que para clasificar la información como reservada, será necesario </w:t>
      </w:r>
      <w:r w:rsidRPr="00DC02D8">
        <w:rPr>
          <w:rFonts w:eastAsia="Calibri" w:cs="Tahoma"/>
          <w:b/>
          <w:bCs/>
          <w:color w:val="auto"/>
        </w:rPr>
        <w:t>acreditar un vínculo, entre la persona física y la información que pueda poner en riesgo su vida, seguridad o salud</w:t>
      </w:r>
      <w:r w:rsidRPr="00DC02D8">
        <w:rPr>
          <w:rFonts w:eastAsia="Calibri" w:cs="Tahoma"/>
          <w:bCs/>
          <w:color w:val="auto"/>
        </w:rPr>
        <w:t>.</w:t>
      </w:r>
    </w:p>
    <w:p w:rsidRPr="00DC02D8" w:rsidR="00DC02D8" w:rsidP="00DC02D8" w:rsidRDefault="00DC02D8" w14:paraId="73D250A5" w14:textId="77777777">
      <w:pPr>
        <w:spacing w:after="0" w:line="360" w:lineRule="auto"/>
        <w:rPr>
          <w:rFonts w:eastAsia="Calibri" w:cs="Tahoma"/>
          <w:bCs/>
          <w:color w:val="auto"/>
          <w:highlight w:val="green"/>
        </w:rPr>
      </w:pPr>
    </w:p>
    <w:p w:rsidRPr="00DC02D8" w:rsidR="00DC02D8" w:rsidP="00DC02D8" w:rsidRDefault="00DC02D8" w14:paraId="666CBCBB" w14:textId="77777777">
      <w:pPr>
        <w:spacing w:after="0" w:line="360" w:lineRule="auto"/>
        <w:rPr>
          <w:rFonts w:eastAsia="Calibri" w:cs="Tahoma"/>
          <w:bCs/>
          <w:color w:val="auto"/>
        </w:rPr>
      </w:pPr>
      <w:r w:rsidRPr="00DC02D8">
        <w:rPr>
          <w:rFonts w:eastAsia="Calibri" w:cs="Tahoma"/>
          <w:bCs/>
          <w:color w:val="auto"/>
        </w:rPr>
        <w:t>Además, el artículo 81, fracción III, de la Ley de Seguridad del Estado de México, establece lo siguiente:</w:t>
      </w:r>
    </w:p>
    <w:p w:rsidRPr="00DC02D8" w:rsidR="00DC02D8" w:rsidP="00DC02D8" w:rsidRDefault="00DC02D8" w14:paraId="74913642" w14:textId="77777777">
      <w:pPr>
        <w:spacing w:after="0" w:line="360" w:lineRule="auto"/>
        <w:rPr>
          <w:rFonts w:eastAsia="Calibri" w:cs="Tahoma"/>
          <w:bCs/>
          <w:color w:val="auto"/>
        </w:rPr>
      </w:pPr>
    </w:p>
    <w:p w:rsidRPr="00DC02D8" w:rsidR="00DC02D8" w:rsidP="00DC02D8" w:rsidRDefault="00DC02D8" w14:paraId="01DB8A80" w14:textId="77777777">
      <w:pPr>
        <w:spacing w:after="0" w:line="360" w:lineRule="auto"/>
        <w:ind w:left="567" w:right="567"/>
        <w:rPr>
          <w:rFonts w:eastAsia="Calibri" w:cs="Tahoma"/>
          <w:bCs/>
          <w:i/>
          <w:color w:val="auto"/>
          <w:sz w:val="20"/>
          <w:szCs w:val="20"/>
        </w:rPr>
      </w:pPr>
      <w:r w:rsidRPr="00DC02D8">
        <w:rPr>
          <w:rFonts w:eastAsia="Calibri" w:cs="Tahoma"/>
          <w:b/>
          <w:bCs/>
          <w:i/>
          <w:color w:val="auto"/>
          <w:sz w:val="20"/>
          <w:szCs w:val="20"/>
        </w:rPr>
        <w:t>“Artículo 81.-</w:t>
      </w:r>
      <w:r w:rsidRPr="00DC02D8">
        <w:rPr>
          <w:rFonts w:eastAsia="Calibri" w:cs="Tahoma"/>
          <w:bCs/>
          <w:i/>
          <w:color w:val="auto"/>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Pr="00DC02D8" w:rsidR="00DC02D8" w:rsidP="00DC02D8" w:rsidRDefault="00DC02D8" w14:paraId="5E5D022D" w14:textId="77777777">
      <w:pPr>
        <w:spacing w:after="0" w:line="360" w:lineRule="auto"/>
        <w:ind w:left="567" w:right="567"/>
        <w:rPr>
          <w:rFonts w:eastAsia="Calibri" w:cs="Tahoma"/>
          <w:bCs/>
          <w:i/>
          <w:color w:val="auto"/>
          <w:sz w:val="20"/>
          <w:szCs w:val="20"/>
        </w:rPr>
      </w:pPr>
      <w:r w:rsidRPr="00DC02D8">
        <w:rPr>
          <w:rFonts w:eastAsia="Calibri" w:cs="Tahoma"/>
          <w:bCs/>
          <w:i/>
          <w:color w:val="auto"/>
          <w:sz w:val="20"/>
          <w:szCs w:val="20"/>
        </w:rPr>
        <w:t>…</w:t>
      </w:r>
    </w:p>
    <w:p w:rsidRPr="00DC02D8" w:rsidR="00DC02D8" w:rsidP="00DC02D8" w:rsidRDefault="00DC02D8" w14:paraId="31296299" w14:textId="77777777">
      <w:pPr>
        <w:spacing w:after="0" w:line="360" w:lineRule="auto"/>
        <w:ind w:left="567" w:right="567"/>
        <w:rPr>
          <w:rFonts w:eastAsia="Calibri" w:cs="Tahoma"/>
          <w:bCs/>
          <w:i/>
          <w:color w:val="auto"/>
          <w:sz w:val="20"/>
          <w:szCs w:val="20"/>
        </w:rPr>
      </w:pPr>
      <w:r w:rsidRPr="00DC02D8">
        <w:rPr>
          <w:rFonts w:eastAsia="Calibri" w:cs="Tahoma"/>
          <w:bCs/>
          <w:i/>
          <w:color w:val="auto"/>
          <w:sz w:val="20"/>
          <w:szCs w:val="20"/>
        </w:rPr>
        <w:t>III. La relativa a los servidores públicos integrantes de las instituciones de seguridad pública, cuya revelación pueda poner en riesgo su vida e integridad física con motivo de sus funciones;</w:t>
      </w:r>
    </w:p>
    <w:p w:rsidRPr="00DC02D8" w:rsidR="00DC02D8" w:rsidP="00DC02D8" w:rsidRDefault="00DC02D8" w14:paraId="1BB867CB" w14:textId="77777777">
      <w:pPr>
        <w:spacing w:after="0" w:line="360" w:lineRule="auto"/>
        <w:ind w:left="567" w:right="567"/>
        <w:rPr>
          <w:rFonts w:eastAsia="Calibri" w:cs="Tahoma"/>
          <w:bCs/>
          <w:i/>
          <w:color w:val="auto"/>
          <w:sz w:val="20"/>
          <w:szCs w:val="20"/>
        </w:rPr>
      </w:pPr>
      <w:r w:rsidRPr="00DC02D8">
        <w:rPr>
          <w:rFonts w:eastAsia="Calibri" w:cs="Tahoma"/>
          <w:bCs/>
          <w:i/>
          <w:color w:val="auto"/>
          <w:sz w:val="20"/>
          <w:szCs w:val="20"/>
        </w:rPr>
        <w:t>…”</w:t>
      </w:r>
    </w:p>
    <w:p w:rsidRPr="00DC02D8" w:rsidR="00DC02D8" w:rsidP="00DC02D8" w:rsidRDefault="00DC02D8" w14:paraId="0C7292EB" w14:textId="77777777">
      <w:pPr>
        <w:spacing w:after="0" w:line="360" w:lineRule="auto"/>
        <w:rPr>
          <w:rFonts w:eastAsia="Calibri" w:cs="Tahoma"/>
          <w:bCs/>
          <w:color w:val="auto"/>
          <w:sz w:val="20"/>
          <w:szCs w:val="20"/>
        </w:rPr>
      </w:pPr>
    </w:p>
    <w:p w:rsidRPr="00DC02D8" w:rsidR="00DC02D8" w:rsidP="00DC02D8" w:rsidRDefault="00DC02D8" w14:paraId="227AEF61" w14:textId="77777777">
      <w:pPr>
        <w:spacing w:after="0" w:line="360" w:lineRule="auto"/>
        <w:rPr>
          <w:rFonts w:eastAsia="Times New Roman" w:cs="Tahoma"/>
          <w:color w:val="auto"/>
          <w:lang w:eastAsia="es-ES"/>
        </w:rPr>
      </w:pPr>
      <w:r w:rsidRPr="00DC02D8">
        <w:rPr>
          <w:rFonts w:eastAsia="Times New Roman" w:cs="Tahoma"/>
          <w:color w:val="auto"/>
          <w:lang w:eastAsia="es-ES"/>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rsidRPr="00DC02D8" w:rsidR="00DC02D8" w:rsidP="00DC02D8" w:rsidRDefault="00DC02D8" w14:paraId="613E23F1" w14:textId="77777777">
      <w:pPr>
        <w:spacing w:after="0" w:line="360" w:lineRule="auto"/>
        <w:rPr>
          <w:rFonts w:eastAsia="Times New Roman" w:cs="Tahoma"/>
          <w:color w:val="auto"/>
          <w:lang w:eastAsia="es-ES"/>
        </w:rPr>
      </w:pPr>
    </w:p>
    <w:p w:rsidRPr="00DC02D8" w:rsidR="00DC02D8" w:rsidP="00DC02D8" w:rsidRDefault="00DC02D8" w14:paraId="27F5CE3C" w14:textId="77777777">
      <w:pPr>
        <w:spacing w:after="0" w:line="360" w:lineRule="auto"/>
        <w:rPr>
          <w:rFonts w:eastAsia="Calibri" w:cs="Tahoma"/>
          <w:bCs/>
          <w:color w:val="auto"/>
        </w:rPr>
      </w:pPr>
      <w:r w:rsidRPr="00DC02D8">
        <w:rPr>
          <w:rFonts w:eastAsia="Calibri" w:cs="Tahoma"/>
          <w:bCs/>
          <w:color w:val="auto"/>
        </w:rPr>
        <w:t>En ese contexto, es de señalar que los datos de servidores públicos, entre los que se encuentran el nombre de los trabajadores, por regla general,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rsidRPr="00DC02D8" w:rsidR="00DC02D8" w:rsidP="00DC02D8" w:rsidRDefault="00DC02D8" w14:paraId="1BF5AD0A" w14:textId="77777777">
      <w:pPr>
        <w:spacing w:after="0" w:line="360" w:lineRule="auto"/>
        <w:rPr>
          <w:rFonts w:eastAsia="Calibri" w:cs="Tahoma"/>
          <w:bCs/>
          <w:color w:val="auto"/>
        </w:rPr>
      </w:pPr>
    </w:p>
    <w:p w:rsidRPr="00DC02D8" w:rsidR="00DC02D8" w:rsidP="00DC02D8" w:rsidRDefault="00DC02D8" w14:paraId="3AFC18EC" w14:textId="77777777">
      <w:pPr>
        <w:spacing w:after="0" w:line="360" w:lineRule="auto"/>
        <w:rPr>
          <w:rFonts w:eastAsia="Times New Roman" w:cs="Tahoma"/>
          <w:color w:val="auto"/>
          <w:lang w:eastAsia="es-ES"/>
        </w:rPr>
      </w:pPr>
      <w:r w:rsidRPr="00DC02D8">
        <w:rPr>
          <w:rFonts w:eastAsia="Calibri" w:cs="Tahoma"/>
          <w:bCs/>
          <w:color w:val="auto"/>
        </w:rPr>
        <w:t xml:space="preserve">No obstante, resulta necesario traer a colación por analogía, el Criterio 06/09, emitido por </w:t>
      </w:r>
      <w:r w:rsidRPr="00DC02D8">
        <w:rPr>
          <w:rFonts w:eastAsia="Times New Roman" w:cs="Tahoma"/>
          <w:color w:val="auto"/>
          <w:lang w:eastAsia="es-ES"/>
        </w:rPr>
        <w:t>el entonces Instituto Federal de Acceso a la Información y Protección de Datos ahora Instituto Nacional de Transparencia, Acceso a la Información y Protección de Datos Personales, que establece lo siguiente:</w:t>
      </w:r>
    </w:p>
    <w:p w:rsidRPr="00DC02D8" w:rsidR="00DC02D8" w:rsidP="00DC02D8" w:rsidRDefault="00DC02D8" w14:paraId="7454E9BA" w14:textId="77777777">
      <w:pPr>
        <w:spacing w:after="0" w:line="360" w:lineRule="auto"/>
        <w:rPr>
          <w:rFonts w:eastAsia="Times New Roman" w:cs="Tahoma"/>
          <w:i/>
          <w:color w:val="auto"/>
          <w:lang w:eastAsia="es-ES"/>
        </w:rPr>
      </w:pPr>
    </w:p>
    <w:p w:rsidRPr="00DC02D8" w:rsidR="00DC02D8" w:rsidP="00DC02D8" w:rsidRDefault="00DC02D8" w14:paraId="78977629" w14:textId="77777777">
      <w:pPr>
        <w:tabs>
          <w:tab w:val="left" w:pos="4962"/>
        </w:tabs>
        <w:spacing w:after="0" w:line="360" w:lineRule="auto"/>
        <w:ind w:left="567" w:right="567"/>
        <w:rPr>
          <w:rFonts w:eastAsia="Times New Roman" w:cs="Tahoma"/>
          <w:i/>
          <w:color w:val="auto"/>
          <w:sz w:val="20"/>
          <w:lang w:eastAsia="es-ES"/>
        </w:rPr>
      </w:pPr>
      <w:r w:rsidRPr="00DC02D8">
        <w:rPr>
          <w:rFonts w:eastAsia="Times New Roman" w:cs="Tahoma"/>
          <w:b/>
          <w:i/>
          <w:color w:val="auto"/>
          <w:sz w:val="20"/>
          <w:lang w:eastAsia="es-ES"/>
        </w:rPr>
        <w:t>“Nombres de servidores públicos dedicados a actividades en materia de seguridad, por excepción pueden considerarse información reservada.</w:t>
      </w:r>
      <w:r w:rsidRPr="00DC02D8">
        <w:rPr>
          <w:rFonts w:eastAsia="Times New Roman" w:cs="Tahoma"/>
          <w:i/>
          <w:color w:val="auto"/>
          <w:sz w:val="20"/>
          <w:lang w:eastAsia="es-E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w:t>
      </w:r>
      <w:r w:rsidRPr="00DC02D8">
        <w:rPr>
          <w:rFonts w:eastAsia="Times New Roman" w:cs="Tahoma"/>
          <w:i/>
          <w:color w:val="auto"/>
          <w:sz w:val="20"/>
          <w:lang w:eastAsia="es-ES"/>
        </w:rPr>
        <w:lastRenderedPageBreak/>
        <w:t>el esfuerzo que realiza el Estado Mexicano para garantizar la seguridad del país en sus diferentes vertientes.”</w:t>
      </w:r>
    </w:p>
    <w:p w:rsidRPr="00DC02D8" w:rsidR="00DC02D8" w:rsidP="00DC02D8" w:rsidRDefault="00DC02D8" w14:paraId="659CEAD1" w14:textId="77777777">
      <w:pPr>
        <w:spacing w:after="0" w:line="360" w:lineRule="auto"/>
        <w:rPr>
          <w:rFonts w:eastAsia="Calibri" w:cs="Tahoma"/>
          <w:bCs/>
          <w:color w:val="auto"/>
        </w:rPr>
      </w:pPr>
    </w:p>
    <w:p w:rsidRPr="00DC02D8" w:rsidR="00DC02D8" w:rsidP="00DC02D8" w:rsidRDefault="00DC02D8" w14:paraId="4FE951BB" w14:textId="77777777">
      <w:pPr>
        <w:spacing w:after="0" w:line="360" w:lineRule="auto"/>
        <w:rPr>
          <w:rFonts w:eastAsia="Calibri" w:cs="Tahoma"/>
          <w:bCs/>
          <w:color w:val="auto"/>
        </w:rPr>
      </w:pPr>
      <w:r w:rsidRPr="00DC02D8">
        <w:rPr>
          <w:rFonts w:eastAsia="Calibri" w:cs="Tahoma"/>
          <w:bCs/>
          <w:color w:val="auto"/>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Pr="00DC02D8" w:rsidR="00DC02D8" w:rsidP="00DC02D8" w:rsidRDefault="00DC02D8" w14:paraId="44F14BCC" w14:textId="77777777">
      <w:pPr>
        <w:spacing w:after="0" w:line="360" w:lineRule="auto"/>
        <w:rPr>
          <w:rFonts w:eastAsia="Calibri" w:cs="Tahoma"/>
          <w:bCs/>
          <w:color w:val="auto"/>
        </w:rPr>
      </w:pPr>
    </w:p>
    <w:p w:rsidRPr="00DC02D8" w:rsidR="00DC02D8" w:rsidP="00DC02D8" w:rsidRDefault="00DC02D8" w14:paraId="77F5BB48" w14:textId="77777777">
      <w:pPr>
        <w:spacing w:after="0" w:line="360" w:lineRule="auto"/>
        <w:rPr>
          <w:rFonts w:eastAsia="Calibri" w:cs="Tahoma"/>
          <w:bCs/>
          <w:color w:val="auto"/>
        </w:rPr>
      </w:pPr>
      <w:r w:rsidRPr="00DC02D8">
        <w:rPr>
          <w:rFonts w:eastAsia="Calibri" w:cs="Tahoma"/>
          <w:bCs/>
          <w:color w:val="auto"/>
        </w:rPr>
        <w:t xml:space="preserve">En ese orden de ideas, si bien por regla general los nombres de los trabajadores gubernamentales son información pública de oficio, existe una excepción relativa a </w:t>
      </w:r>
      <w:r w:rsidRPr="00DC02D8">
        <w:rPr>
          <w:rFonts w:eastAsia="Calibri" w:cs="Tahoma"/>
          <w:b/>
          <w:bCs/>
          <w:color w:val="auto"/>
        </w:rPr>
        <w:t>aquellos que realicen actividades operativas en materia de seguridad,</w:t>
      </w:r>
      <w:r w:rsidRPr="00DC02D8">
        <w:rPr>
          <w:rFonts w:eastAsia="Calibri" w:cs="Tahoma"/>
          <w:bCs/>
          <w:color w:val="auto"/>
        </w:rPr>
        <w:t xml:space="preserve"> como es el caso de los elementos operativos y la policía municipal.</w:t>
      </w:r>
    </w:p>
    <w:p w:rsidRPr="00DC02D8" w:rsidR="00DC02D8" w:rsidP="00DC02D8" w:rsidRDefault="00DC02D8" w14:paraId="291EA1C2" w14:textId="77777777">
      <w:pPr>
        <w:spacing w:after="0" w:line="360" w:lineRule="auto"/>
        <w:rPr>
          <w:rFonts w:eastAsia="Calibri" w:cs="Tahoma"/>
          <w:bCs/>
          <w:color w:val="auto"/>
        </w:rPr>
      </w:pPr>
    </w:p>
    <w:p w:rsidRPr="00DC02D8" w:rsidR="00DC02D8" w:rsidP="00DC02D8" w:rsidRDefault="00DC02D8" w14:paraId="173058D6" w14:textId="77777777">
      <w:pPr>
        <w:spacing w:after="0" w:line="360" w:lineRule="auto"/>
        <w:rPr>
          <w:rFonts w:eastAsia="Calibri" w:cs="Tahoma"/>
          <w:bCs/>
          <w:color w:val="auto"/>
        </w:rPr>
      </w:pPr>
      <w:r w:rsidRPr="00DC02D8">
        <w:rPr>
          <w:rFonts w:eastAsia="Calibri" w:cs="Tahoma"/>
          <w:bCs/>
          <w:color w:val="auto"/>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Pr="00DC02D8" w:rsidR="00DC02D8" w:rsidP="00DC02D8" w:rsidRDefault="00DC02D8" w14:paraId="34CCB68D" w14:textId="77777777">
      <w:pPr>
        <w:spacing w:after="0" w:line="360" w:lineRule="auto"/>
        <w:rPr>
          <w:rFonts w:eastAsia="Calibri" w:cs="Tahoma"/>
          <w:bCs/>
          <w:color w:val="auto"/>
        </w:rPr>
      </w:pPr>
    </w:p>
    <w:p w:rsidRPr="00DC02D8" w:rsidR="00DC02D8" w:rsidP="00DC02D8" w:rsidRDefault="00DC02D8" w14:paraId="2C840A87" w14:textId="77777777">
      <w:pPr>
        <w:spacing w:after="0" w:line="360" w:lineRule="auto"/>
        <w:rPr>
          <w:rFonts w:eastAsia="Calibri" w:cs="Tahoma"/>
          <w:bCs/>
          <w:color w:val="auto"/>
        </w:rPr>
      </w:pPr>
      <w:r w:rsidRPr="00DC02D8">
        <w:rPr>
          <w:rFonts w:eastAsia="Calibri" w:cs="Tahoma"/>
          <w:bCs/>
          <w:color w:val="auto"/>
        </w:rPr>
        <w:t>En ese contexto, el artículo 6, fracciones XI y XII de dicho ordenamiento jurídico, establece los siguientes conceptos:</w:t>
      </w:r>
    </w:p>
    <w:p w:rsidRPr="00DC02D8" w:rsidR="00DC02D8" w:rsidP="00DC02D8" w:rsidRDefault="00DC02D8" w14:paraId="6094A592" w14:textId="77777777">
      <w:pPr>
        <w:spacing w:after="0" w:line="360" w:lineRule="auto"/>
        <w:rPr>
          <w:rFonts w:eastAsia="Calibri" w:cs="Tahoma"/>
          <w:bCs/>
          <w:color w:val="auto"/>
        </w:rPr>
      </w:pPr>
    </w:p>
    <w:p w:rsidRPr="00DC02D8" w:rsidR="00DC02D8" w:rsidP="00DC02D8" w:rsidRDefault="00DC02D8" w14:paraId="41A0CBA6" w14:textId="77777777">
      <w:pPr>
        <w:numPr>
          <w:ilvl w:val="0"/>
          <w:numId w:val="34"/>
        </w:numPr>
        <w:spacing w:line="360" w:lineRule="auto"/>
        <w:contextualSpacing/>
        <w:jc w:val="left"/>
        <w:rPr>
          <w:rFonts w:eastAsia="Calibri" w:cs="Tahoma"/>
          <w:b/>
          <w:bCs/>
          <w:color w:val="auto"/>
        </w:rPr>
      </w:pPr>
      <w:r w:rsidRPr="00DC02D8">
        <w:rPr>
          <w:rFonts w:eastAsia="Calibri" w:cs="Tahoma"/>
          <w:b/>
          <w:bCs/>
          <w:color w:val="auto"/>
        </w:rPr>
        <w:t xml:space="preserve">Instituciones Policiales: </w:t>
      </w:r>
      <w:r w:rsidRPr="00DC02D8">
        <w:rPr>
          <w:rFonts w:eastAsia="Calibri" w:cs="Tahoma"/>
          <w:bCs/>
          <w:color w:val="auto"/>
        </w:rPr>
        <w:t xml:space="preserve">Son los cuerpos de policía, de vigilancia y custodia de los establecimientos penitenciarios, detención preventiva, centros de arraigo y en general, </w:t>
      </w:r>
      <w:r w:rsidRPr="00DC02D8">
        <w:rPr>
          <w:rFonts w:eastAsia="Calibri" w:cs="Tahoma"/>
          <w:b/>
          <w:bCs/>
          <w:color w:val="auto"/>
        </w:rPr>
        <w:lastRenderedPageBreak/>
        <w:t>todas las dependencias encargadas de la seguridad pública a nivel</w:t>
      </w:r>
      <w:r w:rsidRPr="00DC02D8">
        <w:rPr>
          <w:rFonts w:eastAsia="Calibri" w:cs="Tahoma"/>
          <w:bCs/>
          <w:color w:val="auto"/>
        </w:rPr>
        <w:t xml:space="preserve"> estatal y </w:t>
      </w:r>
      <w:r w:rsidRPr="00DC02D8">
        <w:rPr>
          <w:rFonts w:eastAsia="Calibri" w:cs="Tahoma"/>
          <w:b/>
          <w:bCs/>
          <w:color w:val="auto"/>
        </w:rPr>
        <w:t>municipal.</w:t>
      </w:r>
    </w:p>
    <w:p w:rsidRPr="00DC02D8" w:rsidR="00DC02D8" w:rsidP="00DC02D8" w:rsidRDefault="00DC02D8" w14:paraId="50B17193" w14:textId="77777777">
      <w:pPr>
        <w:spacing w:after="0" w:line="360" w:lineRule="auto"/>
        <w:ind w:left="720"/>
        <w:contextualSpacing/>
        <w:rPr>
          <w:rFonts w:eastAsia="Calibri" w:cs="Tahoma"/>
          <w:bCs/>
          <w:color w:val="auto"/>
        </w:rPr>
      </w:pPr>
    </w:p>
    <w:p w:rsidRPr="00DC02D8" w:rsidR="00DC02D8" w:rsidP="00DC02D8" w:rsidRDefault="00DC02D8" w14:paraId="425EFF2D" w14:textId="77777777">
      <w:pPr>
        <w:numPr>
          <w:ilvl w:val="0"/>
          <w:numId w:val="34"/>
        </w:numPr>
        <w:spacing w:line="360" w:lineRule="auto"/>
        <w:contextualSpacing/>
        <w:jc w:val="left"/>
        <w:rPr>
          <w:rFonts w:eastAsia="Calibri" w:cs="Tahoma"/>
          <w:b/>
          <w:bCs/>
          <w:color w:val="auto"/>
        </w:rPr>
      </w:pPr>
      <w:r w:rsidRPr="00DC02D8">
        <w:rPr>
          <w:rFonts w:eastAsia="Calibri" w:cs="Tahoma"/>
          <w:b/>
          <w:bCs/>
          <w:color w:val="auto"/>
        </w:rPr>
        <w:t xml:space="preserve">Instituciones de Seguridad Pública: </w:t>
      </w:r>
      <w:r w:rsidRPr="00DC02D8">
        <w:rPr>
          <w:rFonts w:eastAsia="Calibri" w:cs="Tahoma"/>
          <w:bCs/>
          <w:color w:val="auto"/>
        </w:rPr>
        <w:t xml:space="preserve">Instituciones Policiales, Procuración de Justicia, Sistema Penitenciario y </w:t>
      </w:r>
      <w:r w:rsidRPr="00DC02D8">
        <w:rPr>
          <w:rFonts w:eastAsia="Calibri" w:cs="Tahoma"/>
          <w:b/>
          <w:bCs/>
          <w:color w:val="auto"/>
        </w:rPr>
        <w:t xml:space="preserve">dependencias encargadas de la seguridad pública a nivel </w:t>
      </w:r>
      <w:r w:rsidRPr="00DC02D8">
        <w:rPr>
          <w:rFonts w:eastAsia="Calibri" w:cs="Tahoma"/>
          <w:bCs/>
          <w:color w:val="auto"/>
        </w:rPr>
        <w:t xml:space="preserve">estatal y </w:t>
      </w:r>
      <w:r w:rsidRPr="00DC02D8">
        <w:rPr>
          <w:rFonts w:eastAsia="Calibri" w:cs="Tahoma"/>
          <w:b/>
          <w:bCs/>
          <w:color w:val="auto"/>
        </w:rPr>
        <w:t>municipal.</w:t>
      </w:r>
    </w:p>
    <w:p w:rsidRPr="00DC02D8" w:rsidR="00DC02D8" w:rsidP="00DC02D8" w:rsidRDefault="00DC02D8" w14:paraId="517034F8" w14:textId="77777777">
      <w:pPr>
        <w:spacing w:line="360" w:lineRule="auto"/>
        <w:contextualSpacing/>
        <w:rPr>
          <w:rFonts w:eastAsia="Calibri" w:cs="Tahoma"/>
          <w:b/>
          <w:bCs/>
          <w:color w:val="auto"/>
        </w:rPr>
      </w:pPr>
    </w:p>
    <w:p w:rsidR="00DC02D8" w:rsidP="00DC02D8" w:rsidRDefault="00DC02D8" w14:paraId="58ACDCD8" w14:textId="64ECFF18">
      <w:pPr>
        <w:spacing w:after="0" w:line="360" w:lineRule="auto"/>
        <w:rPr>
          <w:rFonts w:eastAsia="Calibri" w:cs="Times New Roman"/>
          <w:color w:val="auto"/>
          <w:szCs w:val="20"/>
          <w:lang w:eastAsia="es-ES"/>
        </w:rPr>
      </w:pPr>
      <w:r w:rsidRPr="00DC02D8">
        <w:rPr>
          <w:rFonts w:eastAsia="Calibri" w:cs="Tahoma"/>
          <w:iCs/>
          <w:color w:val="auto"/>
          <w:szCs w:val="20"/>
          <w:lang w:val="es-ES" w:eastAsia="es-ES_tradnl"/>
        </w:rPr>
        <w:t>Conforme a lo anterior</w:t>
      </w:r>
      <w:r w:rsidRPr="00DC02D8">
        <w:rPr>
          <w:rFonts w:eastAsia="Calibri" w:cs="Tahoma"/>
          <w:bCs/>
          <w:color w:val="auto"/>
        </w:rPr>
        <w:t xml:space="preserve">, se puede deducir que la </w:t>
      </w:r>
      <w:r w:rsidRPr="00DC02D8" w:rsidR="002501D2">
        <w:rPr>
          <w:rFonts w:eastAsia="Calibri" w:cs="Tahoma"/>
          <w:bCs/>
          <w:lang w:val="es-ES_tradnl"/>
        </w:rPr>
        <w:t xml:space="preserve">Dirección </w:t>
      </w:r>
      <w:r w:rsidR="002501D2">
        <w:rPr>
          <w:rFonts w:eastAsia="Calibri" w:cs="Tahoma"/>
          <w:bCs/>
          <w:lang w:val="es-ES_tradnl"/>
        </w:rPr>
        <w:t xml:space="preserve">General </w:t>
      </w:r>
      <w:r w:rsidRPr="00DC02D8" w:rsidR="002501D2">
        <w:rPr>
          <w:rFonts w:eastAsia="Calibri" w:cs="Tahoma"/>
          <w:bCs/>
          <w:lang w:val="es-ES_tradnl"/>
        </w:rPr>
        <w:t xml:space="preserve">de Seguridad Pública </w:t>
      </w:r>
      <w:r w:rsidR="002501D2">
        <w:rPr>
          <w:rFonts w:eastAsia="Calibri" w:cs="Tahoma"/>
          <w:bCs/>
          <w:lang w:val="es-ES_tradnl"/>
        </w:rPr>
        <w:t>y Protección</w:t>
      </w:r>
      <w:r w:rsidRPr="00DC02D8">
        <w:rPr>
          <w:rFonts w:eastAsia="Calibri" w:cs="Tahoma"/>
          <w:bCs/>
          <w:color w:val="auto"/>
        </w:rPr>
        <w:t xml:space="preserve">, es una institución de seguridad pública, pues tiene como atribución principal, la prevención de delitos </w:t>
      </w:r>
      <w:r w:rsidRPr="00DC02D8">
        <w:rPr>
          <w:rFonts w:eastAsia="Calibri" w:cs="Times New Roman"/>
          <w:color w:val="auto"/>
          <w:szCs w:val="20"/>
          <w:lang w:eastAsia="es-ES"/>
        </w:rPr>
        <w:t>y proteger a las personas, sus propiedades, posesiones y derechos.</w:t>
      </w:r>
    </w:p>
    <w:p w:rsidRPr="00DC02D8" w:rsidR="002501D2" w:rsidP="00DC02D8" w:rsidRDefault="002501D2" w14:paraId="326BE84C" w14:textId="77777777">
      <w:pPr>
        <w:spacing w:after="0" w:line="360" w:lineRule="auto"/>
        <w:rPr>
          <w:rFonts w:eastAsia="Calibri" w:cs="Times New Roman"/>
          <w:color w:val="auto"/>
          <w:szCs w:val="20"/>
          <w:lang w:eastAsia="es-ES"/>
        </w:rPr>
      </w:pPr>
    </w:p>
    <w:p w:rsidRPr="00DC02D8" w:rsidR="00DC02D8" w:rsidP="00DC02D8" w:rsidRDefault="00DC02D8" w14:paraId="7AA120A2" w14:textId="77777777">
      <w:pPr>
        <w:tabs>
          <w:tab w:val="left" w:pos="4962"/>
        </w:tabs>
        <w:spacing w:after="0" w:line="360" w:lineRule="auto"/>
        <w:ind w:right="-28"/>
        <w:rPr>
          <w:rFonts w:eastAsia="Calibri" w:cs="Tahoma"/>
          <w:bCs/>
          <w:color w:val="auto"/>
        </w:rPr>
      </w:pPr>
      <w:r w:rsidRPr="00DC02D8">
        <w:rPr>
          <w:rFonts w:eastAsia="Calibri" w:cs="Tahoma"/>
          <w:bCs/>
          <w:color w:val="auto"/>
          <w:lang w:val="es-ES"/>
        </w:rPr>
        <w:t xml:space="preserve">Además, </w:t>
      </w:r>
      <w:r w:rsidRPr="00DC02D8">
        <w:rPr>
          <w:rFonts w:eastAsia="Calibri" w:cs="Tahoma"/>
          <w:bCs/>
          <w:color w:val="auto"/>
        </w:rPr>
        <w:t xml:space="preserve">el Instructivo de llenado del Formato “Personal de Seguridad Pública”, del Secretariado Ejecutivo del Sistema Nacional de Seguridad Pública (consultado el veintidós de junio de dos mil veintidós, a las dieciséis horas, en la liga electrónica </w:t>
      </w:r>
      <w:hyperlink w:history="1" r:id="rId13">
        <w:r w:rsidRPr="00DC02D8">
          <w:rPr>
            <w:rFonts w:eastAsia="Calibri" w:cs="Tahoma"/>
            <w:bCs/>
            <w:color w:val="0563C1"/>
            <w:u w:val="single"/>
          </w:rPr>
          <w:t>http://secretariadoejecutivo.gob.mx/work/models/SecretariadoEjecutivo/Resource/328/1/images/instructivo_final_edo_fuerza(1).pdf</w:t>
        </w:r>
      </w:hyperlink>
      <w:r w:rsidRPr="00DC02D8">
        <w:rPr>
          <w:rFonts w:eastAsia="Calibri" w:cs="Tahoma"/>
          <w:bCs/>
          <w:color w:val="auto"/>
        </w:rPr>
        <w:t xml:space="preserve">), establece que los elementos operativos de seguridad pública, son aquellos que desempeñan funciones de campo (policiacas, especializadas o equivalentes y que no </w:t>
      </w:r>
      <w:r w:rsidRPr="00DC02D8">
        <w:rPr>
          <w:rFonts w:eastAsia="Calibri" w:cs="Tahoma"/>
          <w:b/>
          <w:bCs/>
          <w:color w:val="auto"/>
        </w:rPr>
        <w:t>desempeña funciones de mando</w:t>
      </w:r>
      <w:r w:rsidRPr="00DC02D8">
        <w:rPr>
          <w:rFonts w:eastAsia="Calibri" w:cs="Tahoma"/>
          <w:bCs/>
          <w:color w:val="auto"/>
        </w:rPr>
        <w:t xml:space="preserve">), entre los cuales, se encuentra </w:t>
      </w:r>
      <w:r w:rsidRPr="00DC02D8">
        <w:rPr>
          <w:rFonts w:eastAsia="Calibri" w:cs="Tahoma"/>
          <w:b/>
          <w:bCs/>
          <w:color w:val="auto"/>
        </w:rPr>
        <w:t>la Policía Municipal</w:t>
      </w:r>
      <w:r w:rsidRPr="00DC02D8">
        <w:rPr>
          <w:rFonts w:eastAsia="Calibri" w:cs="Tahoma"/>
          <w:bCs/>
          <w:color w:val="auto"/>
        </w:rPr>
        <w:t>.</w:t>
      </w:r>
    </w:p>
    <w:p w:rsidRPr="00DC02D8" w:rsidR="00DC02D8" w:rsidP="00DC02D8" w:rsidRDefault="00DC02D8" w14:paraId="126DE2B6" w14:textId="77777777">
      <w:pPr>
        <w:tabs>
          <w:tab w:val="left" w:pos="4962"/>
        </w:tabs>
        <w:spacing w:after="0" w:line="360" w:lineRule="auto"/>
        <w:ind w:right="-28"/>
        <w:rPr>
          <w:rFonts w:eastAsia="Calibri" w:cs="Tahoma"/>
          <w:bCs/>
          <w:color w:val="auto"/>
        </w:rPr>
      </w:pPr>
    </w:p>
    <w:p w:rsidRPr="00DC02D8" w:rsidR="00DC02D8" w:rsidP="00DC02D8" w:rsidRDefault="00DC02D8" w14:paraId="1C9F1D56" w14:textId="77777777">
      <w:pPr>
        <w:tabs>
          <w:tab w:val="left" w:pos="4962"/>
        </w:tabs>
        <w:spacing w:after="0" w:line="360" w:lineRule="auto"/>
        <w:ind w:right="-28"/>
        <w:rPr>
          <w:rFonts w:eastAsia="Calibri" w:cs="Tahoma"/>
          <w:bCs/>
          <w:color w:val="auto"/>
        </w:rPr>
      </w:pPr>
      <w:r w:rsidRPr="00DC02D8">
        <w:rPr>
          <w:rFonts w:eastAsia="Calibri" w:cs="Tahoma"/>
          <w:bCs/>
          <w:color w:val="auto"/>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rsidRPr="00DC02D8" w:rsidR="00DC02D8" w:rsidP="00DC02D8" w:rsidRDefault="00DC02D8" w14:paraId="1F352F15" w14:textId="77777777">
      <w:pPr>
        <w:spacing w:after="0" w:line="360" w:lineRule="auto"/>
        <w:rPr>
          <w:rFonts w:eastAsia="Calibri" w:cs="Tahoma"/>
          <w:bCs/>
          <w:color w:val="auto"/>
        </w:rPr>
      </w:pPr>
    </w:p>
    <w:p w:rsidRPr="00DC02D8" w:rsidR="00DC02D8" w:rsidP="00DC02D8" w:rsidRDefault="00DC02D8" w14:paraId="565BED01" w14:textId="680755AA">
      <w:pPr>
        <w:spacing w:after="0" w:line="360" w:lineRule="auto"/>
        <w:rPr>
          <w:rFonts w:eastAsia="Calibri" w:cs="Tahoma"/>
          <w:bCs/>
          <w:color w:val="auto"/>
        </w:rPr>
      </w:pPr>
      <w:r w:rsidRPr="00DC02D8">
        <w:rPr>
          <w:rFonts w:eastAsia="Calibri" w:cs="Tahoma"/>
          <w:bCs/>
          <w:color w:val="auto"/>
        </w:rPr>
        <w:lastRenderedPageBreak/>
        <w:t xml:space="preserve">De tales circunstancias, se puede observar que la </w:t>
      </w:r>
      <w:bookmarkStart w:name="_Hlk106872417" w:id="2"/>
      <w:r w:rsidRPr="00DC02D8" w:rsidR="002501D2">
        <w:rPr>
          <w:rFonts w:eastAsia="Calibri" w:cs="Tahoma"/>
          <w:bCs/>
          <w:lang w:val="es-ES_tradnl"/>
        </w:rPr>
        <w:t xml:space="preserve">Dirección </w:t>
      </w:r>
      <w:r w:rsidR="002501D2">
        <w:rPr>
          <w:rFonts w:eastAsia="Calibri" w:cs="Tahoma"/>
          <w:bCs/>
          <w:lang w:val="es-ES_tradnl"/>
        </w:rPr>
        <w:t xml:space="preserve">General </w:t>
      </w:r>
      <w:r w:rsidRPr="00DC02D8" w:rsidR="002501D2">
        <w:rPr>
          <w:rFonts w:eastAsia="Calibri" w:cs="Tahoma"/>
          <w:bCs/>
          <w:lang w:val="es-ES_tradnl"/>
        </w:rPr>
        <w:t xml:space="preserve">de Seguridad Pública </w:t>
      </w:r>
      <w:r w:rsidR="002501D2">
        <w:rPr>
          <w:rFonts w:eastAsia="Calibri" w:cs="Tahoma"/>
          <w:bCs/>
          <w:lang w:val="es-ES_tradnl"/>
        </w:rPr>
        <w:t>y Protección</w:t>
      </w:r>
      <w:bookmarkEnd w:id="2"/>
      <w:r w:rsidRPr="00DC02D8">
        <w:rPr>
          <w:rFonts w:eastAsia="Calibri" w:cs="Tahoma"/>
          <w:bCs/>
          <w:color w:val="auto"/>
        </w:rPr>
        <w:t>, tiene dos clases de servidores públicos, por una parte, los operativos (policía municipal) y por otra, los administrativos, de apoyo y personal de mando, los cuales no realizan funciones operativas.</w:t>
      </w:r>
    </w:p>
    <w:p w:rsidRPr="00DC02D8" w:rsidR="00DC02D8" w:rsidP="00DC02D8" w:rsidRDefault="00DC02D8" w14:paraId="1FA017EE" w14:textId="77777777">
      <w:pPr>
        <w:spacing w:after="0" w:line="360" w:lineRule="auto"/>
        <w:rPr>
          <w:rFonts w:eastAsia="Calibri" w:cs="Tahoma"/>
          <w:bCs/>
          <w:color w:val="auto"/>
        </w:rPr>
      </w:pPr>
    </w:p>
    <w:p w:rsidRPr="00DC02D8" w:rsidR="00DC02D8" w:rsidP="00DC02D8" w:rsidRDefault="00DC02D8" w14:paraId="5BC2D3C2" w14:textId="77777777">
      <w:pPr>
        <w:spacing w:after="0" w:line="360" w:lineRule="auto"/>
        <w:rPr>
          <w:rFonts w:eastAsia="Calibri" w:cs="Tahoma"/>
          <w:bCs/>
          <w:color w:val="auto"/>
        </w:rPr>
      </w:pPr>
      <w:r w:rsidRPr="00DC02D8">
        <w:rPr>
          <w:rFonts w:eastAsia="Calibri" w:cs="Tahoma"/>
          <w:bCs/>
          <w:color w:val="auto"/>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Pr="00DC02D8" w:rsidR="00DC02D8" w:rsidP="00DC02D8" w:rsidRDefault="00DC02D8" w14:paraId="5C42B28F" w14:textId="77777777">
      <w:pPr>
        <w:spacing w:after="0" w:line="360" w:lineRule="auto"/>
        <w:rPr>
          <w:rFonts w:eastAsia="Calibri" w:cs="Tahoma"/>
          <w:bCs/>
          <w:color w:val="auto"/>
        </w:rPr>
      </w:pPr>
    </w:p>
    <w:p w:rsidRPr="00DC02D8" w:rsidR="00DC02D8" w:rsidP="00DC02D8" w:rsidRDefault="00DC02D8" w14:paraId="05C9062C" w14:textId="77777777">
      <w:pPr>
        <w:spacing w:after="0" w:line="360" w:lineRule="auto"/>
        <w:rPr>
          <w:rFonts w:eastAsia="Calibri" w:cs="Tahoma"/>
          <w:bCs/>
          <w:color w:val="auto"/>
        </w:rPr>
      </w:pPr>
      <w:r w:rsidRPr="00DC02D8">
        <w:rPr>
          <w:rFonts w:eastAsia="Calibri" w:cs="Tahoma"/>
          <w:bCs/>
          <w:color w:val="auto"/>
        </w:rPr>
        <w:t xml:space="preserve">Lo anterior, se robustece con las Cifras de Incidencia Delictiva Municipal 2015-2022, publicado por el Secretariado Ejecutivo del Sistema Nacional de Seguridad Pública, en la página </w:t>
      </w:r>
      <w:hyperlink w:history="1" r:id="rId14">
        <w:r w:rsidRPr="00DC02D8">
          <w:rPr>
            <w:rFonts w:eastAsia="Times New Roman" w:cs="Times New Roman"/>
            <w:color w:val="0563C1"/>
            <w:u w:val="single"/>
            <w:lang w:eastAsia="es-ES"/>
          </w:rPr>
          <w:t>https://www.gob.mx/sesnsp/acciones-y-programas/incidencia-delictiva-del-fuero-comun-nueva-metodologia?state=published</w:t>
        </w:r>
      </w:hyperlink>
      <w:r w:rsidRPr="00DC02D8">
        <w:rPr>
          <w:rFonts w:eastAsia="Calibri" w:cs="Tahoma"/>
          <w:bCs/>
          <w:color w:val="auto"/>
        </w:rPr>
        <w:t xml:space="preserve"> (consultado el seis de junio de dos mil veintidós, a las dieciocho horas con tres minutos) de cual se desprenden algunos delitos que se han cometido en el Municipio de Ecatepec de Morelos, tal como se observa a continuación:</w:t>
      </w:r>
    </w:p>
    <w:p w:rsidRPr="00DC02D8" w:rsidR="00DC02D8" w:rsidP="00DC02D8" w:rsidRDefault="00DC02D8" w14:paraId="0BFE80E2" w14:textId="77777777">
      <w:pPr>
        <w:spacing w:after="0" w:line="360" w:lineRule="auto"/>
        <w:rPr>
          <w:rFonts w:eastAsia="Calibri" w:cs="Tahoma"/>
          <w:bCs/>
          <w:color w:val="auto"/>
        </w:rPr>
      </w:pPr>
    </w:p>
    <w:p w:rsidRPr="00DC02D8" w:rsidR="00DC02D8" w:rsidP="00DC02D8" w:rsidRDefault="00911D65" w14:paraId="3DA308BC" w14:textId="468E7950">
      <w:pPr>
        <w:spacing w:after="0" w:line="360" w:lineRule="auto"/>
        <w:ind w:right="-93"/>
        <w:jc w:val="center"/>
        <w:rPr>
          <w:rFonts w:eastAsia="Calibri" w:cs="Tahoma"/>
          <w:bCs/>
          <w:color w:val="auto"/>
        </w:rPr>
      </w:pPr>
      <w:r>
        <w:rPr>
          <w:noProof/>
        </w:rPr>
        <w:lastRenderedPageBreak/>
        <w:drawing>
          <wp:inline distT="0" distB="0" distL="0" distR="0" wp14:anchorId="62D0BC04" wp14:editId="0339F1E5">
            <wp:extent cx="5791835" cy="34766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3476625"/>
                    </a:xfrm>
                    <a:prstGeom prst="rect">
                      <a:avLst/>
                    </a:prstGeom>
                  </pic:spPr>
                </pic:pic>
              </a:graphicData>
            </a:graphic>
          </wp:inline>
        </w:drawing>
      </w:r>
    </w:p>
    <w:p w:rsidRPr="00DC02D8" w:rsidR="00DC02D8" w:rsidP="00DC02D8" w:rsidRDefault="00DC02D8" w14:paraId="3292FBB3" w14:textId="77777777">
      <w:pPr>
        <w:spacing w:after="0" w:line="360" w:lineRule="auto"/>
        <w:ind w:right="-93"/>
        <w:jc w:val="center"/>
        <w:rPr>
          <w:rFonts w:eastAsia="Calibri" w:cs="Tahoma"/>
          <w:bCs/>
          <w:color w:val="auto"/>
        </w:rPr>
      </w:pPr>
    </w:p>
    <w:p w:rsidRPr="00DC02D8" w:rsidR="00DC02D8" w:rsidP="00DC02D8" w:rsidRDefault="00DC02D8" w14:paraId="57E73B90" w14:textId="093E723C">
      <w:pPr>
        <w:spacing w:after="0" w:line="360" w:lineRule="auto"/>
        <w:rPr>
          <w:rFonts w:eastAsia="Calibri" w:cs="Tahoma"/>
          <w:bCs/>
          <w:color w:val="auto"/>
        </w:rPr>
      </w:pPr>
      <w:r w:rsidRPr="00DC02D8">
        <w:rPr>
          <w:rFonts w:eastAsia="Calibri" w:cs="Tahoma"/>
          <w:bCs/>
          <w:color w:val="auto"/>
        </w:rPr>
        <w:t xml:space="preserve">Como se logra observar, en el Municipio de Ecatepec de Morelos durante la presente anualidad, se han realizado diversos actos ilícitos, entre los más resaltantes encontramos </w:t>
      </w:r>
      <w:r w:rsidRPr="00DC02D8">
        <w:rPr>
          <w:rFonts w:eastAsia="Calibri" w:cs="Tahoma"/>
          <w:b/>
          <w:color w:val="auto"/>
        </w:rPr>
        <w:t>homicidio,</w:t>
      </w:r>
      <w:r w:rsidRPr="00DC02D8">
        <w:rPr>
          <w:rFonts w:eastAsia="Calibri" w:cs="Tahoma"/>
          <w:bCs/>
          <w:color w:val="auto"/>
        </w:rPr>
        <w:t xml:space="preserve"> </w:t>
      </w:r>
      <w:r w:rsidRPr="00DC02D8">
        <w:rPr>
          <w:rFonts w:eastAsia="Calibri" w:cs="Tahoma"/>
          <w:b/>
          <w:color w:val="auto"/>
        </w:rPr>
        <w:t>lesiones,</w:t>
      </w:r>
      <w:r w:rsidRPr="00DC02D8">
        <w:rPr>
          <w:rFonts w:eastAsia="Calibri" w:cs="Tahoma"/>
          <w:bCs/>
          <w:color w:val="auto"/>
        </w:rPr>
        <w:t xml:space="preserve"> </w:t>
      </w:r>
      <w:r w:rsidRPr="00DC02D8">
        <w:rPr>
          <w:rFonts w:eastAsia="Calibri" w:cs="Tahoma"/>
          <w:b/>
          <w:bCs/>
          <w:color w:val="auto"/>
        </w:rPr>
        <w:t>secuestro, abuso y acoso sexual,</w:t>
      </w:r>
      <w:r w:rsidR="00911D65">
        <w:rPr>
          <w:rFonts w:eastAsia="Calibri" w:cs="Tahoma"/>
          <w:b/>
          <w:bCs/>
          <w:color w:val="auto"/>
        </w:rPr>
        <w:t xml:space="preserve"> hostigamiento</w:t>
      </w:r>
      <w:r w:rsidRPr="00DC02D8">
        <w:rPr>
          <w:rFonts w:eastAsia="Calibri" w:cs="Tahoma"/>
          <w:b/>
          <w:bCs/>
          <w:color w:val="auto"/>
        </w:rPr>
        <w:t xml:space="preserve"> violación, robo y narcomenudeo, </w:t>
      </w:r>
      <w:r w:rsidRPr="00DC02D8">
        <w:rPr>
          <w:rFonts w:eastAsia="Calibri" w:cs="Tahoma"/>
          <w:bCs/>
          <w:color w:val="auto"/>
        </w:rPr>
        <w:t xml:space="preserve">hechos que pueden llegar a ser atendidos directamente por este personal operativo en apoyo de los afectados o incluso de las autoridades encargadas de la procuración de justicia. </w:t>
      </w:r>
    </w:p>
    <w:p w:rsidRPr="00DC02D8" w:rsidR="00DC02D8" w:rsidP="00DC02D8" w:rsidRDefault="00DC02D8" w14:paraId="5CE4EEFC" w14:textId="77777777">
      <w:pPr>
        <w:spacing w:after="0" w:line="360" w:lineRule="auto"/>
        <w:rPr>
          <w:rFonts w:eastAsia="Calibri" w:cs="Tahoma"/>
          <w:bCs/>
          <w:color w:val="auto"/>
          <w:highlight w:val="green"/>
        </w:rPr>
      </w:pPr>
    </w:p>
    <w:p w:rsidRPr="00DC02D8" w:rsidR="00DC02D8" w:rsidP="00DC02D8" w:rsidRDefault="00DC02D8" w14:paraId="55B1140F" w14:textId="77777777">
      <w:pPr>
        <w:spacing w:after="0" w:line="360" w:lineRule="auto"/>
        <w:rPr>
          <w:rFonts w:eastAsia="Calibri" w:cs="Tahoma"/>
          <w:bCs/>
          <w:color w:val="auto"/>
        </w:rPr>
      </w:pPr>
      <w:r w:rsidRPr="00DC02D8">
        <w:rPr>
          <w:rFonts w:eastAsia="Calibri" w:cs="Tahoma"/>
          <w:bCs/>
          <w:color w:val="auto"/>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Pr="00DC02D8" w:rsidR="00DC02D8" w:rsidP="00DC02D8" w:rsidRDefault="00DC02D8" w14:paraId="055B6D7A" w14:textId="77777777">
      <w:pPr>
        <w:spacing w:after="0" w:line="360" w:lineRule="auto"/>
        <w:rPr>
          <w:rFonts w:eastAsia="Calibri" w:cs="Tahoma"/>
          <w:bCs/>
          <w:color w:val="auto"/>
        </w:rPr>
      </w:pPr>
    </w:p>
    <w:p w:rsidRPr="00DC02D8" w:rsidR="00DC02D8" w:rsidP="00DC02D8" w:rsidRDefault="00DC02D8" w14:paraId="1F83959F" w14:textId="77777777">
      <w:pPr>
        <w:tabs>
          <w:tab w:val="left" w:pos="4962"/>
        </w:tabs>
        <w:spacing w:after="0" w:line="360" w:lineRule="auto"/>
        <w:rPr>
          <w:rFonts w:eastAsia="Calibri" w:cs="Tahoma"/>
          <w:iCs/>
          <w:color w:val="auto"/>
          <w:lang w:val="es-ES" w:eastAsia="es-ES_tradnl"/>
        </w:rPr>
      </w:pPr>
      <w:r w:rsidRPr="00DC02D8">
        <w:rPr>
          <w:rFonts w:eastAsia="Calibri" w:cs="Tahoma"/>
          <w:iCs/>
          <w:color w:val="auto"/>
          <w:lang w:val="es-ES" w:eastAsia="es-ES_tradnl"/>
        </w:rPr>
        <w:lastRenderedPageBreak/>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rsidRPr="00DC02D8" w:rsidR="00DC02D8" w:rsidP="00DC02D8" w:rsidRDefault="00DC02D8" w14:paraId="160FC65D" w14:textId="77777777">
      <w:pPr>
        <w:tabs>
          <w:tab w:val="left" w:pos="4962"/>
        </w:tabs>
        <w:spacing w:after="0" w:line="360" w:lineRule="auto"/>
        <w:rPr>
          <w:rFonts w:eastAsia="Calibri" w:cs="Tahoma"/>
          <w:iCs/>
          <w:color w:val="auto"/>
          <w:lang w:val="es-ES" w:eastAsia="es-ES_tradnl"/>
        </w:rPr>
      </w:pPr>
    </w:p>
    <w:p w:rsidRPr="00DC02D8" w:rsidR="00DC02D8" w:rsidP="00911D65" w:rsidRDefault="00DC02D8" w14:paraId="763989D7" w14:textId="77777777">
      <w:pPr>
        <w:numPr>
          <w:ilvl w:val="0"/>
          <w:numId w:val="35"/>
        </w:numPr>
        <w:tabs>
          <w:tab w:val="left" w:pos="4962"/>
        </w:tabs>
        <w:spacing w:after="0" w:line="360" w:lineRule="auto"/>
        <w:rPr>
          <w:rFonts w:eastAsia="Calibri" w:cs="Tahoma"/>
          <w:iCs/>
          <w:color w:val="auto"/>
          <w:lang w:val="es-ES_tradnl" w:eastAsia="es-ES_tradnl"/>
        </w:rPr>
      </w:pPr>
      <w:r w:rsidRPr="00DC02D8">
        <w:rPr>
          <w:rFonts w:eastAsia="Calibri" w:cs="Tahoma"/>
          <w:iCs/>
          <w:color w:val="auto"/>
          <w:lang w:val="es-ES_tradnl" w:eastAsia="es-ES_tradnl"/>
        </w:rPr>
        <w:t>La divulgación de la información representa un riesgo real, demostrable e identificable de perjuicio significativo al interés público o a la seguridad nacional.</w:t>
      </w:r>
    </w:p>
    <w:p w:rsidRPr="00DC02D8" w:rsidR="00DC02D8" w:rsidP="00911D65" w:rsidRDefault="00DC02D8" w14:paraId="1869F5D1" w14:textId="77777777">
      <w:pPr>
        <w:tabs>
          <w:tab w:val="left" w:pos="4962"/>
        </w:tabs>
        <w:spacing w:after="0" w:line="360" w:lineRule="auto"/>
        <w:rPr>
          <w:rFonts w:eastAsia="Calibri" w:cs="Tahoma"/>
          <w:iCs/>
          <w:color w:val="auto"/>
          <w:lang w:val="es-ES_tradnl" w:eastAsia="es-ES_tradnl"/>
        </w:rPr>
      </w:pPr>
    </w:p>
    <w:p w:rsidR="00DC02D8" w:rsidP="00911D65" w:rsidRDefault="00DC02D8" w14:paraId="34081E61" w14:textId="3BB129E2">
      <w:pPr>
        <w:numPr>
          <w:ilvl w:val="0"/>
          <w:numId w:val="35"/>
        </w:numPr>
        <w:tabs>
          <w:tab w:val="left" w:pos="4962"/>
        </w:tabs>
        <w:spacing w:after="0" w:line="360" w:lineRule="auto"/>
        <w:rPr>
          <w:rFonts w:eastAsia="Calibri" w:cs="Tahoma"/>
          <w:iCs/>
          <w:color w:val="auto"/>
          <w:lang w:val="es-ES_tradnl" w:eastAsia="es-ES_tradnl"/>
        </w:rPr>
      </w:pPr>
      <w:r w:rsidRPr="00DC02D8">
        <w:rPr>
          <w:rFonts w:eastAsia="Calibri" w:cs="Tahoma"/>
          <w:iCs/>
          <w:color w:val="auto"/>
          <w:lang w:val="es-ES_tradnl" w:eastAsia="es-ES_tradnl"/>
        </w:rPr>
        <w:t>El riesgo de perjuicio supera el interés público general de que se difunda.</w:t>
      </w:r>
    </w:p>
    <w:p w:rsidR="00911D65" w:rsidP="00911D65" w:rsidRDefault="00911D65" w14:paraId="2BE24D84" w14:textId="77777777">
      <w:pPr>
        <w:pStyle w:val="Prrafodelista"/>
        <w:rPr>
          <w:rFonts w:eastAsia="Calibri" w:cs="Tahoma"/>
          <w:iCs/>
          <w:color w:val="auto"/>
          <w:lang w:val="es-ES_tradnl" w:eastAsia="es-ES_tradnl"/>
        </w:rPr>
      </w:pPr>
    </w:p>
    <w:p w:rsidRPr="00DC02D8" w:rsidR="00DC02D8" w:rsidP="00911D65" w:rsidRDefault="00DC02D8" w14:paraId="368245B5" w14:textId="77777777">
      <w:pPr>
        <w:numPr>
          <w:ilvl w:val="0"/>
          <w:numId w:val="35"/>
        </w:numPr>
        <w:tabs>
          <w:tab w:val="left" w:pos="4962"/>
        </w:tabs>
        <w:spacing w:after="0" w:line="360" w:lineRule="auto"/>
        <w:rPr>
          <w:rFonts w:eastAsia="Calibri" w:cs="Tahoma"/>
          <w:iCs/>
          <w:color w:val="auto"/>
          <w:lang w:val="es-ES_tradnl" w:eastAsia="es-ES_tradnl"/>
        </w:rPr>
      </w:pPr>
      <w:r w:rsidRPr="00DC02D8">
        <w:rPr>
          <w:rFonts w:eastAsia="Calibri" w:cs="Tahoma"/>
          <w:iCs/>
          <w:color w:val="auto"/>
          <w:lang w:val="es-ES_tradnl" w:eastAsia="es-ES_tradnl"/>
        </w:rPr>
        <w:t>Que la limitación se adecua al principio de proporcionalidad y representa el medio menos restrictivo disponible para evitar el perjuicio.</w:t>
      </w:r>
    </w:p>
    <w:p w:rsidRPr="00DC02D8" w:rsidR="00DC02D8" w:rsidP="00DC02D8" w:rsidRDefault="00DC02D8" w14:paraId="3EB8FBC2" w14:textId="77777777">
      <w:pPr>
        <w:spacing w:after="0" w:line="360" w:lineRule="auto"/>
        <w:rPr>
          <w:rFonts w:eastAsia="Calibri" w:cs="Tahoma"/>
          <w:iCs/>
          <w:color w:val="auto"/>
          <w:lang w:eastAsia="es-ES_tradnl"/>
        </w:rPr>
      </w:pPr>
    </w:p>
    <w:p w:rsidRPr="00DC02D8" w:rsidR="00DC02D8" w:rsidP="00DC02D8" w:rsidRDefault="00DC02D8" w14:paraId="599F147F" w14:textId="77777777">
      <w:pPr>
        <w:spacing w:after="0" w:line="360" w:lineRule="auto"/>
        <w:rPr>
          <w:rFonts w:eastAsia="Calibri" w:cs="Tahoma"/>
          <w:iCs/>
          <w:color w:val="auto"/>
          <w:lang w:eastAsia="es-ES_tradnl"/>
        </w:rPr>
      </w:pPr>
      <w:r w:rsidRPr="00DC02D8">
        <w:rPr>
          <w:rFonts w:eastAsia="Calibri" w:cs="Tahoma"/>
          <w:iCs/>
          <w:color w:val="auto"/>
          <w:lang w:eastAsia="es-ES_tradnl"/>
        </w:rPr>
        <w:t>Al respecto, este Instituto advierte lo siguiente:</w:t>
      </w:r>
    </w:p>
    <w:p w:rsidRPr="00DC02D8" w:rsidR="00DC02D8" w:rsidP="00DC02D8" w:rsidRDefault="00DC02D8" w14:paraId="46E22FDE" w14:textId="77777777">
      <w:pPr>
        <w:spacing w:after="0" w:line="360" w:lineRule="auto"/>
        <w:rPr>
          <w:rFonts w:eastAsia="Calibri" w:cs="Tahoma"/>
          <w:iCs/>
          <w:color w:val="auto"/>
          <w:lang w:eastAsia="es-ES_tradnl"/>
        </w:rPr>
      </w:pPr>
    </w:p>
    <w:p w:rsidR="0003131B" w:rsidP="00DC02D8" w:rsidRDefault="00DC02D8" w14:paraId="4206DC1B" w14:textId="77777777">
      <w:pPr>
        <w:numPr>
          <w:ilvl w:val="0"/>
          <w:numId w:val="36"/>
        </w:numPr>
        <w:spacing w:line="360" w:lineRule="auto"/>
        <w:contextualSpacing/>
        <w:rPr>
          <w:rFonts w:eastAsia="Calibri" w:cs="Tahoma"/>
          <w:bCs/>
          <w:color w:val="auto"/>
        </w:rPr>
      </w:pPr>
      <w:r w:rsidRPr="00DC02D8">
        <w:rPr>
          <w:rFonts w:eastAsia="Calibri" w:cs="Tahoma"/>
          <w:bCs/>
          <w:color w:val="auto"/>
        </w:rPr>
        <w:t xml:space="preserve">Que existe un </w:t>
      </w:r>
      <w:r w:rsidRPr="00DC02D8">
        <w:rPr>
          <w:rFonts w:eastAsia="Calibri" w:cs="Tahoma"/>
          <w:b/>
          <w:bCs/>
          <w:color w:val="auto"/>
        </w:rPr>
        <w:t xml:space="preserve">riesgo real, demostrable e identificable, </w:t>
      </w:r>
      <w:r w:rsidRPr="00DC02D8">
        <w:rPr>
          <w:rFonts w:eastAsia="Calibri" w:cs="Tahoma"/>
          <w:bCs/>
          <w:color w:val="auto"/>
        </w:rPr>
        <w:t xml:space="preserve">toda vez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w:t>
      </w:r>
    </w:p>
    <w:p w:rsidR="0003131B" w:rsidP="0003131B" w:rsidRDefault="0003131B" w14:paraId="7EC21737" w14:textId="77777777">
      <w:pPr>
        <w:spacing w:line="360" w:lineRule="auto"/>
        <w:ind w:left="720"/>
        <w:contextualSpacing/>
        <w:rPr>
          <w:rFonts w:eastAsia="Calibri" w:cs="Tahoma"/>
          <w:bCs/>
          <w:color w:val="auto"/>
        </w:rPr>
      </w:pPr>
    </w:p>
    <w:p w:rsidR="0003131B" w:rsidP="0003131B" w:rsidRDefault="0003131B" w14:paraId="10BDD016" w14:textId="77777777">
      <w:pPr>
        <w:spacing w:line="360" w:lineRule="auto"/>
        <w:ind w:left="720"/>
        <w:contextualSpacing/>
        <w:rPr>
          <w:rFonts w:eastAsia="Calibri" w:cs="Tahoma"/>
          <w:bCs/>
          <w:color w:val="auto"/>
        </w:rPr>
      </w:pPr>
    </w:p>
    <w:p w:rsidRPr="00DC02D8" w:rsidR="00DC02D8" w:rsidP="0003131B" w:rsidRDefault="00DC02D8" w14:paraId="6E53286B" w14:textId="770187A6">
      <w:pPr>
        <w:spacing w:line="360" w:lineRule="auto"/>
        <w:ind w:left="720"/>
        <w:contextualSpacing/>
        <w:rPr>
          <w:rFonts w:eastAsia="Calibri" w:cs="Tahoma"/>
          <w:bCs/>
          <w:color w:val="auto"/>
        </w:rPr>
      </w:pPr>
      <w:r w:rsidRPr="00DC02D8">
        <w:rPr>
          <w:rFonts w:eastAsia="Calibri" w:cs="Tahoma"/>
          <w:bCs/>
          <w:color w:val="auto"/>
        </w:rPr>
        <w:t xml:space="preserve">Además que comprometería el cumplimiento de los objetivos de la </w:t>
      </w:r>
      <w:r w:rsidRPr="00DC02D8" w:rsidR="0003131B">
        <w:rPr>
          <w:rFonts w:eastAsia="Calibri" w:cs="Tahoma"/>
          <w:bCs/>
          <w:lang w:val="es-ES_tradnl"/>
        </w:rPr>
        <w:t xml:space="preserve">Dirección </w:t>
      </w:r>
      <w:r w:rsidR="0003131B">
        <w:rPr>
          <w:rFonts w:eastAsia="Calibri" w:cs="Tahoma"/>
          <w:bCs/>
          <w:lang w:val="es-ES_tradnl"/>
        </w:rPr>
        <w:t xml:space="preserve">General </w:t>
      </w:r>
      <w:r w:rsidRPr="00DC02D8" w:rsidR="0003131B">
        <w:rPr>
          <w:rFonts w:eastAsia="Calibri" w:cs="Tahoma"/>
          <w:bCs/>
          <w:lang w:val="es-ES_tradnl"/>
        </w:rPr>
        <w:t xml:space="preserve">de Seguridad Pública </w:t>
      </w:r>
      <w:r w:rsidR="0003131B">
        <w:rPr>
          <w:rFonts w:eastAsia="Calibri" w:cs="Tahoma"/>
          <w:bCs/>
          <w:lang w:val="es-ES_tradnl"/>
        </w:rPr>
        <w:t>y Protección</w:t>
      </w:r>
      <w:r w:rsidRPr="00DC02D8">
        <w:rPr>
          <w:rFonts w:eastAsia="Calibri" w:cs="Tahoma"/>
          <w:bCs/>
          <w:color w:val="auto"/>
        </w:rPr>
        <w:t>.</w:t>
      </w:r>
    </w:p>
    <w:p w:rsidRPr="00DC02D8" w:rsidR="00DC02D8" w:rsidP="00DC02D8" w:rsidRDefault="00DC02D8" w14:paraId="074289BC" w14:textId="77777777">
      <w:pPr>
        <w:spacing w:after="0" w:line="360" w:lineRule="auto"/>
        <w:ind w:left="720"/>
        <w:contextualSpacing/>
        <w:rPr>
          <w:rFonts w:eastAsia="Calibri" w:cs="Tahoma"/>
          <w:bCs/>
          <w:color w:val="auto"/>
        </w:rPr>
      </w:pPr>
    </w:p>
    <w:p w:rsidRPr="00DC02D8" w:rsidR="00DC02D8" w:rsidP="00DC02D8" w:rsidRDefault="00DC02D8" w14:paraId="1EAAA453" w14:textId="77777777">
      <w:pPr>
        <w:numPr>
          <w:ilvl w:val="0"/>
          <w:numId w:val="36"/>
        </w:numPr>
        <w:spacing w:line="360" w:lineRule="auto"/>
        <w:contextualSpacing/>
        <w:rPr>
          <w:rFonts w:eastAsia="Calibri" w:cs="Tahoma"/>
          <w:b/>
          <w:bCs/>
          <w:color w:val="auto"/>
        </w:rPr>
      </w:pPr>
      <w:r w:rsidRPr="00DC02D8">
        <w:rPr>
          <w:rFonts w:eastAsia="Calibri" w:cs="Tahoma"/>
          <w:b/>
          <w:bCs/>
          <w:color w:val="auto"/>
        </w:rPr>
        <w:lastRenderedPageBreak/>
        <w:t>Que el riesgo de perjuicio que supone la divulgación de la información supera el interés público general</w:t>
      </w:r>
      <w:r w:rsidRPr="00DC02D8">
        <w:rPr>
          <w:rFonts w:eastAsia="Calibri" w:cs="Tahoma"/>
          <w:bCs/>
          <w:color w:val="auto"/>
        </w:rPr>
        <w:t xml:space="preserve">, ya que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w:t>
      </w:r>
      <w:r w:rsidRPr="00DC02D8">
        <w:rPr>
          <w:rFonts w:eastAsia="Calibri" w:cs="Tahoma"/>
          <w:b/>
          <w:bCs/>
          <w:color w:val="auto"/>
        </w:rPr>
        <w:t>vulnerando así, el interés general.</w:t>
      </w:r>
    </w:p>
    <w:p w:rsidRPr="00DC02D8" w:rsidR="00DC02D8" w:rsidP="00DC02D8" w:rsidRDefault="00DC02D8" w14:paraId="136ED261" w14:textId="77777777">
      <w:pPr>
        <w:spacing w:after="0" w:line="360" w:lineRule="auto"/>
        <w:ind w:left="720"/>
        <w:contextualSpacing/>
        <w:rPr>
          <w:rFonts w:eastAsia="Calibri" w:cs="Tahoma"/>
          <w:bCs/>
          <w:color w:val="auto"/>
        </w:rPr>
      </w:pPr>
    </w:p>
    <w:p w:rsidRPr="00DC02D8" w:rsidR="00DC02D8" w:rsidP="00DC02D8" w:rsidRDefault="00DC02D8" w14:paraId="1D899EFE" w14:textId="77777777">
      <w:pPr>
        <w:numPr>
          <w:ilvl w:val="0"/>
          <w:numId w:val="36"/>
        </w:numPr>
        <w:spacing w:line="360" w:lineRule="auto"/>
        <w:contextualSpacing/>
        <w:rPr>
          <w:rFonts w:eastAsia="Calibri" w:cs="Tahoma"/>
          <w:bCs/>
          <w:color w:val="auto"/>
        </w:rPr>
      </w:pPr>
      <w:r w:rsidRPr="00DC02D8">
        <w:rPr>
          <w:rFonts w:eastAsia="Calibri" w:cs="Tahoma"/>
          <w:b/>
          <w:bCs/>
          <w:color w:val="auto"/>
        </w:rPr>
        <w:t xml:space="preserve">Que la reserva no se traduzca en un medio restrictivo al derecho de acceso a la información, </w:t>
      </w:r>
      <w:r w:rsidRPr="00DC02D8">
        <w:rPr>
          <w:rFonts w:eastAsia="Calibri" w:cs="Tahoma"/>
          <w:bCs/>
          <w:color w:val="auto"/>
        </w:rPr>
        <w:t xml:space="preserve">en virtud de que la misma prevalece al proteger alguno de los derechos más importantes, como lo son la vida, la salud y la seguridad de </w:t>
      </w:r>
      <w:r w:rsidRPr="00DC02D8">
        <w:rPr>
          <w:rFonts w:eastAsia="Calibri" w:cs="Tahoma"/>
          <w:b/>
          <w:bCs/>
          <w:color w:val="auto"/>
        </w:rPr>
        <w:t>los servidores públicos,</w:t>
      </w:r>
      <w:r w:rsidRPr="00DC02D8">
        <w:rPr>
          <w:rFonts w:eastAsia="Calibri" w:cs="Tahoma"/>
          <w:bCs/>
          <w:color w:val="auto"/>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rsidRPr="00DC02D8" w:rsidR="00DC02D8" w:rsidP="00DC02D8" w:rsidRDefault="00DC02D8" w14:paraId="43A54240" w14:textId="77777777">
      <w:pPr>
        <w:spacing w:after="0" w:line="360" w:lineRule="auto"/>
        <w:rPr>
          <w:rFonts w:eastAsia="Calibri" w:cs="Tahoma"/>
          <w:bCs/>
          <w:color w:val="auto"/>
        </w:rPr>
      </w:pPr>
    </w:p>
    <w:p w:rsidRPr="00DC02D8" w:rsidR="00DC02D8" w:rsidP="00DC02D8" w:rsidRDefault="00DC02D8" w14:paraId="35EB7222" w14:textId="696BA52F">
      <w:pPr>
        <w:spacing w:after="0" w:line="360" w:lineRule="auto"/>
        <w:rPr>
          <w:rFonts w:eastAsia="Calibri" w:cs="Tahoma"/>
          <w:b/>
          <w:iCs/>
          <w:color w:val="auto"/>
          <w:lang w:val="es-ES" w:eastAsia="es-ES_tradnl"/>
        </w:rPr>
      </w:pPr>
      <w:r w:rsidRPr="00DC02D8">
        <w:rPr>
          <w:rFonts w:eastAsia="Calibri" w:cs="Tahoma"/>
          <w:bCs/>
          <w:color w:val="auto"/>
        </w:rPr>
        <w:t xml:space="preserve">Por tales consideraciones, </w:t>
      </w:r>
      <w:r w:rsidRPr="00DC02D8">
        <w:rPr>
          <w:rFonts w:eastAsia="Calibri" w:cs="Tahoma"/>
          <w:b/>
          <w:bCs/>
          <w:color w:val="auto"/>
        </w:rPr>
        <w:t xml:space="preserve">resulta procedente la reserva del nombre de los elementos operativos de la </w:t>
      </w:r>
      <w:r w:rsidRPr="00DC02D8" w:rsidR="0003131B">
        <w:rPr>
          <w:rFonts w:eastAsia="Calibri" w:cs="Tahoma"/>
          <w:b/>
          <w:bCs/>
          <w:color w:val="auto"/>
          <w:lang w:val="es-ES_tradnl"/>
        </w:rPr>
        <w:t xml:space="preserve">Dirección </w:t>
      </w:r>
      <w:r w:rsidRPr="0003131B" w:rsidR="0003131B">
        <w:rPr>
          <w:rFonts w:eastAsia="Calibri" w:cs="Tahoma"/>
          <w:b/>
          <w:bCs/>
          <w:color w:val="auto"/>
          <w:lang w:val="es-ES_tradnl"/>
        </w:rPr>
        <w:t xml:space="preserve">General </w:t>
      </w:r>
      <w:r w:rsidRPr="00DC02D8" w:rsidR="0003131B">
        <w:rPr>
          <w:rFonts w:eastAsia="Calibri" w:cs="Tahoma"/>
          <w:b/>
          <w:bCs/>
          <w:color w:val="auto"/>
          <w:lang w:val="es-ES_tradnl"/>
        </w:rPr>
        <w:t xml:space="preserve">de Seguridad Pública </w:t>
      </w:r>
      <w:r w:rsidRPr="0003131B" w:rsidR="0003131B">
        <w:rPr>
          <w:rFonts w:eastAsia="Calibri" w:cs="Tahoma"/>
          <w:b/>
          <w:bCs/>
          <w:color w:val="auto"/>
          <w:lang w:val="es-ES_tradnl"/>
        </w:rPr>
        <w:t>y Protección</w:t>
      </w:r>
      <w:r w:rsidR="0003131B">
        <w:rPr>
          <w:rFonts w:eastAsia="Calibri" w:cs="Tahoma"/>
          <w:b/>
          <w:bCs/>
          <w:color w:val="auto"/>
          <w:lang w:val="es-ES_tradnl"/>
        </w:rPr>
        <w:t>, en el caso que exista algún supuesto</w:t>
      </w:r>
      <w:r w:rsidRPr="00DC02D8">
        <w:rPr>
          <w:rFonts w:eastAsia="Calibri" w:cs="Tahoma"/>
          <w:b/>
          <w:bCs/>
          <w:color w:val="auto"/>
        </w:rPr>
        <w:t xml:space="preserve">, en términos del artículo 140, fracción IV, de </w:t>
      </w:r>
      <w:r w:rsidRPr="00DC02D8">
        <w:rPr>
          <w:rFonts w:eastAsia="Calibri" w:cs="Tahoma"/>
          <w:b/>
          <w:iCs/>
          <w:color w:val="auto"/>
          <w:lang w:val="es-ES" w:eastAsia="es-ES_tradnl"/>
        </w:rPr>
        <w:t>de la Ley de Transparencia y Acceso a la Información Pública del Estado de México y Municipios.</w:t>
      </w:r>
    </w:p>
    <w:p w:rsidRPr="00DC02D8" w:rsidR="00DC02D8" w:rsidP="00DC02D8" w:rsidRDefault="00DC02D8" w14:paraId="248656DF" w14:textId="77777777">
      <w:pPr>
        <w:spacing w:after="0" w:line="360" w:lineRule="auto"/>
        <w:rPr>
          <w:rFonts w:eastAsia="Times New Roman" w:cs="Times New Roman"/>
          <w:bCs/>
          <w:iCs/>
          <w:color w:val="auto"/>
          <w:szCs w:val="20"/>
          <w:highlight w:val="green"/>
          <w:lang w:val="es-ES" w:eastAsia="es-ES"/>
        </w:rPr>
      </w:pPr>
    </w:p>
    <w:p w:rsidRPr="00DC02D8" w:rsidR="00DC02D8" w:rsidP="00DC02D8" w:rsidRDefault="00DC02D8" w14:paraId="50BF7EA7" w14:textId="77777777">
      <w:pPr>
        <w:autoSpaceDE w:val="0"/>
        <w:autoSpaceDN w:val="0"/>
        <w:spacing w:after="0" w:line="360" w:lineRule="auto"/>
        <w:rPr>
          <w:rFonts w:eastAsia="Times New Roman" w:cs="Tahoma"/>
          <w:color w:val="auto"/>
          <w:lang w:eastAsia="es-ES"/>
        </w:rPr>
      </w:pPr>
      <w:r w:rsidRPr="00DC02D8">
        <w:rPr>
          <w:rFonts w:eastAsia="Calibri" w:cs="Tahoma"/>
          <w:iCs/>
          <w:color w:val="auto"/>
          <w:lang w:val="es-ES" w:eastAsia="es-ES_tradnl"/>
        </w:rPr>
        <w:t>Finalmente,</w:t>
      </w:r>
      <w:r w:rsidRPr="00DC02D8">
        <w:rPr>
          <w:rFonts w:eastAsia="Calibri" w:cs="Tahoma"/>
          <w:b/>
          <w:iCs/>
          <w:color w:val="auto"/>
          <w:lang w:val="es-ES" w:eastAsia="es-ES_tradnl"/>
        </w:rPr>
        <w:t xml:space="preserve"> </w:t>
      </w:r>
      <w:r w:rsidRPr="00DC02D8">
        <w:rPr>
          <w:rFonts w:eastAsia="Calibri" w:cs="Tahoma"/>
          <w:bCs/>
          <w:color w:val="auto"/>
        </w:rPr>
        <w:t xml:space="preserve">respecto al plazo de reserva, el artículo 125 de la Ley de la materia, establece </w:t>
      </w:r>
      <w:r w:rsidRPr="00DC02D8">
        <w:rPr>
          <w:rFonts w:eastAsia="Times New Roman" w:cs="Tahoma"/>
          <w:bCs/>
          <w:color w:val="auto"/>
          <w:lang w:eastAsia="es-ES"/>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w:t>
      </w:r>
      <w:r w:rsidRPr="00DC02D8">
        <w:rPr>
          <w:rFonts w:eastAsia="Times New Roman" w:cs="Tahoma"/>
          <w:bCs/>
          <w:color w:val="auto"/>
          <w:lang w:eastAsia="es-ES"/>
        </w:rPr>
        <w:lastRenderedPageBreak/>
        <w:t xml:space="preserve">de Transparencia considere pertinente la desclasificación o se trate de información que esté relacionada con violaciones graves a derechos humanos o delitos de lesa humanidad; por lo que, en las </w:t>
      </w:r>
      <w:r w:rsidRPr="00DC02D8">
        <w:rPr>
          <w:rFonts w:eastAsia="Times New Roman" w:cs="Tahoma"/>
          <w:color w:val="auto"/>
          <w:lang w:eastAsia="es-ES"/>
        </w:rPr>
        <w:t>versiones públicas, deberá clasificar el nombre de los elementos operativos en materia de seguridad, y proporcionar, su respectivo acuerdo de Clasificación.</w:t>
      </w:r>
    </w:p>
    <w:p w:rsidR="00F679C8" w:rsidP="00B22E82" w:rsidRDefault="00F679C8" w14:paraId="7AF5D910" w14:textId="77777777">
      <w:pPr>
        <w:spacing w:after="0" w:line="360" w:lineRule="auto"/>
        <w:rPr>
          <w:i/>
          <w:iCs/>
          <w:sz w:val="20"/>
          <w:szCs w:val="20"/>
        </w:rPr>
      </w:pPr>
    </w:p>
    <w:p w:rsidRPr="00F679C8" w:rsidR="00F679C8" w:rsidP="00F679C8" w:rsidRDefault="00DC02D8" w14:paraId="4B78FE7B" w14:textId="353F2899">
      <w:pPr>
        <w:spacing w:after="0" w:line="360" w:lineRule="auto"/>
        <w:rPr>
          <w:rFonts w:eastAsia="Times New Roman" w:cs="Tahoma"/>
          <w:bCs/>
          <w:iCs/>
          <w:color w:val="auto"/>
          <w:lang w:val="es-ES" w:eastAsia="es-ES"/>
        </w:rPr>
      </w:pPr>
      <w:r>
        <w:rPr>
          <w:rFonts w:eastAsia="Times New Roman" w:cs="Tahoma"/>
          <w:bCs/>
          <w:iCs/>
          <w:color w:val="auto"/>
          <w:lang w:val="es-ES_tradnl" w:eastAsia="es-ES"/>
        </w:rPr>
        <w:t>Por otra parte, no</w:t>
      </w:r>
      <w:r w:rsidRPr="00F679C8" w:rsidR="00F679C8">
        <w:rPr>
          <w:rFonts w:eastAsia="Times New Roman" w:cs="Tahoma"/>
          <w:bCs/>
          <w:iCs/>
          <w:color w:val="auto"/>
          <w:lang w:val="es-ES_tradnl" w:eastAsia="es-ES"/>
        </w:rPr>
        <w:t xml:space="preserve"> pasa desapercibido para este Instituto que </w:t>
      </w:r>
      <w:r>
        <w:rPr>
          <w:rFonts w:eastAsia="Times New Roman" w:cs="Tahoma"/>
          <w:bCs/>
          <w:iCs/>
          <w:color w:val="auto"/>
          <w:lang w:val="es-ES_tradnl" w:eastAsia="es-ES"/>
        </w:rPr>
        <w:t>los documentos requeridos</w:t>
      </w:r>
      <w:r w:rsidRPr="00F679C8" w:rsidR="00F679C8">
        <w:rPr>
          <w:rFonts w:eastAsia="Times New Roman" w:cs="Tahoma"/>
          <w:bCs/>
          <w:iCs/>
          <w:color w:val="auto"/>
          <w:lang w:val="es-ES_tradnl" w:eastAsia="es-ES"/>
        </w:rPr>
        <w:t>, pudiera</w:t>
      </w:r>
      <w:r>
        <w:rPr>
          <w:rFonts w:eastAsia="Times New Roman" w:cs="Tahoma"/>
          <w:bCs/>
          <w:iCs/>
          <w:color w:val="auto"/>
          <w:lang w:val="es-ES_tradnl" w:eastAsia="es-ES"/>
        </w:rPr>
        <w:t>n</w:t>
      </w:r>
      <w:r w:rsidRPr="00F679C8" w:rsidR="00F679C8">
        <w:rPr>
          <w:rFonts w:eastAsia="Times New Roman" w:cs="Tahoma"/>
          <w:bCs/>
          <w:iCs/>
          <w:color w:val="auto"/>
          <w:lang w:val="es-ES_tradnl" w:eastAsia="es-ES"/>
        </w:rPr>
        <w:t xml:space="preserve"> contener datos o información clasificada; a</w:t>
      </w:r>
      <w:r w:rsidRPr="00F679C8" w:rsidR="00F679C8">
        <w:rPr>
          <w:rFonts w:eastAsia="Times New Roman" w:cs="Tahoma"/>
          <w:bCs/>
          <w:i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F679C8" w:rsidR="00F679C8" w:rsidP="00F679C8" w:rsidRDefault="00F679C8" w14:paraId="7BC79CC1" w14:textId="77777777">
      <w:pPr>
        <w:spacing w:after="0" w:line="360" w:lineRule="auto"/>
        <w:rPr>
          <w:rFonts w:eastAsia="Times New Roman" w:cs="Tahoma"/>
          <w:bCs/>
          <w:iCs/>
          <w:color w:val="auto"/>
          <w:lang w:val="es-ES" w:eastAsia="es-ES"/>
        </w:rPr>
      </w:pPr>
    </w:p>
    <w:p w:rsidRPr="00F679C8" w:rsidR="00F679C8" w:rsidP="00F679C8" w:rsidRDefault="00F679C8" w14:paraId="33D5A3C8" w14:textId="77777777">
      <w:pPr>
        <w:spacing w:after="0" w:line="360" w:lineRule="auto"/>
        <w:rPr>
          <w:rFonts w:eastAsia="Times New Roman" w:cs="Tahoma"/>
          <w:bCs/>
          <w:iCs/>
          <w:color w:val="auto"/>
          <w:lang w:val="es-ES" w:eastAsia="es-ES"/>
        </w:rPr>
      </w:pPr>
      <w:r w:rsidRPr="00F679C8">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C00C97" w:rsidP="00B22E82" w:rsidRDefault="00C00C97" w14:paraId="52FD021E" w14:textId="4F471C07">
      <w:pPr>
        <w:spacing w:after="0" w:line="360" w:lineRule="auto"/>
        <w:rPr>
          <w:i/>
          <w:iCs/>
          <w:sz w:val="20"/>
          <w:szCs w:val="20"/>
        </w:rPr>
      </w:pPr>
    </w:p>
    <w:p w:rsidR="001900B4" w:rsidP="00F80F48" w:rsidRDefault="001900B4" w14:paraId="1C5A2A33" w14:textId="6A626BC3">
      <w:pPr>
        <w:spacing w:after="0" w:line="360" w:lineRule="auto"/>
        <w:rPr>
          <w:rFonts w:cs="Tahoma"/>
          <w:b/>
        </w:rPr>
      </w:pPr>
      <w:r w:rsidRPr="00841990">
        <w:rPr>
          <w:rFonts w:cs="Tahoma"/>
          <w:b/>
        </w:rPr>
        <w:t xml:space="preserve">SEXTO. Decisión. </w:t>
      </w:r>
    </w:p>
    <w:p w:rsidRPr="00841990" w:rsidR="00BD7F02" w:rsidP="00F80F48" w:rsidRDefault="00BD7F02" w14:paraId="5CCD168B" w14:textId="77777777">
      <w:pPr>
        <w:spacing w:after="0" w:line="360" w:lineRule="auto"/>
        <w:rPr>
          <w:rFonts w:cs="Tahoma"/>
          <w:b/>
        </w:rPr>
      </w:pPr>
    </w:p>
    <w:p w:rsidRPr="00841990" w:rsidR="00BA48D6" w:rsidP="00085525" w:rsidRDefault="001900B4" w14:paraId="29DDCEB5" w14:textId="0CEBF036">
      <w:pPr>
        <w:spacing w:after="0" w:line="360" w:lineRule="auto"/>
        <w:rPr>
          <w:rFonts w:eastAsia="Calibri" w:cs="Tahoma"/>
          <w:iCs/>
          <w:lang w:eastAsia="es-ES_tradnl"/>
        </w:rPr>
      </w:pPr>
      <w:r w:rsidRPr="00841990">
        <w:rPr>
          <w:rFonts w:cs="Tahoma"/>
        </w:rPr>
        <w:t xml:space="preserve">Con fundamento en el artículo 186, fracción III, de la Ley de Transparencia y Acceso a la Información Pública del Estado de México y Municipios, este Instituto considera procedente </w:t>
      </w:r>
      <w:r w:rsidR="00246B2F">
        <w:rPr>
          <w:rFonts w:cs="Tahoma"/>
          <w:b/>
        </w:rPr>
        <w:t>MODIFICAR</w:t>
      </w:r>
      <w:r w:rsidRPr="00841990">
        <w:rPr>
          <w:rFonts w:cs="Tahoma"/>
          <w:b/>
        </w:rPr>
        <w:t xml:space="preserve"> </w:t>
      </w:r>
      <w:r w:rsidRPr="00841990">
        <w:rPr>
          <w:rFonts w:cs="Tahoma"/>
          <w:bCs/>
        </w:rPr>
        <w:t>la</w:t>
      </w:r>
      <w:r w:rsidRPr="00841990">
        <w:rPr>
          <w:rFonts w:cs="Tahoma"/>
        </w:rPr>
        <w:t xml:space="preserve"> respuesta otorgada por el</w:t>
      </w:r>
      <w:r w:rsidRPr="00841990" w:rsidR="00EF0D39">
        <w:rPr>
          <w:rFonts w:cs="Tahoma"/>
        </w:rPr>
        <w:t xml:space="preserve"> </w:t>
      </w:r>
      <w:r w:rsidR="00005E7C">
        <w:rPr>
          <w:rFonts w:eastAsia="Calibri" w:cs="Tahoma"/>
        </w:rPr>
        <w:t>Ayuntamiento de Toluca</w:t>
      </w:r>
      <w:r w:rsidR="00246B2F">
        <w:rPr>
          <w:rFonts w:eastAsia="Calibri" w:cs="Tahoma"/>
        </w:rPr>
        <w:t>,</w:t>
      </w:r>
      <w:r w:rsidRPr="00841990" w:rsidR="00DD2536">
        <w:rPr>
          <w:rFonts w:eastAsia="Calibri" w:cs="Tahoma"/>
        </w:rPr>
        <w:t xml:space="preserve"> </w:t>
      </w:r>
      <w:r w:rsidRPr="00841990">
        <w:rPr>
          <w:rFonts w:cs="Tahoma"/>
        </w:rPr>
        <w:t>a efecto de que</w:t>
      </w:r>
      <w:r w:rsidR="00246B2F">
        <w:rPr>
          <w:rFonts w:cs="Tahoma"/>
        </w:rPr>
        <w:t>, previa búsqueda exhaustiva y razonable,</w:t>
      </w:r>
      <w:r w:rsidRPr="00841990" w:rsidR="006A0781">
        <w:rPr>
          <w:rFonts w:cs="Tahoma"/>
        </w:rPr>
        <w:t xml:space="preserve"> </w:t>
      </w:r>
      <w:r w:rsidRPr="00841990">
        <w:rPr>
          <w:rFonts w:cs="Tahoma"/>
        </w:rPr>
        <w:t xml:space="preserve">entregue, </w:t>
      </w:r>
      <w:r w:rsidRPr="00841990">
        <w:rPr>
          <w:rFonts w:eastAsia="Calibri" w:cs="Tahoma"/>
          <w:iCs/>
          <w:lang w:eastAsia="es-ES_tradnl"/>
        </w:rPr>
        <w:t>a través del Sistema de Acceso a la Información Mexiquense (SAIMEX),</w:t>
      </w:r>
      <w:r w:rsidRPr="00841990" w:rsidR="00682222">
        <w:rPr>
          <w:rFonts w:eastAsia="Calibri" w:cs="Tahoma"/>
          <w:iCs/>
          <w:lang w:eastAsia="es-ES_tradnl"/>
        </w:rPr>
        <w:t xml:space="preserve"> </w:t>
      </w:r>
      <w:bookmarkStart w:name="_Hlk106832640" w:id="3"/>
      <w:r w:rsidR="00F679C8">
        <w:rPr>
          <w:rFonts w:eastAsia="Calibri" w:cs="Tahoma"/>
          <w:iCs/>
          <w:lang w:eastAsia="es-ES_tradnl"/>
        </w:rPr>
        <w:t xml:space="preserve">en su caso, en versión pública, los documentos donde conste </w:t>
      </w:r>
      <w:r w:rsidR="00F679C8">
        <w:rPr>
          <w:rFonts w:eastAsia="Times New Roman" w:cs="Tahoma"/>
          <w:iCs/>
          <w:color w:val="auto"/>
          <w:lang w:val="es-ES" w:eastAsia="es-ES"/>
        </w:rPr>
        <w:t xml:space="preserve">el nombre </w:t>
      </w:r>
      <w:r w:rsidR="00F679C8">
        <w:rPr>
          <w:rFonts w:eastAsia="Times New Roman" w:cs="Tahoma"/>
          <w:iCs/>
          <w:color w:val="auto"/>
          <w:lang w:val="es-ES" w:eastAsia="es-ES"/>
        </w:rPr>
        <w:lastRenderedPageBreak/>
        <w:t>de los doscientos ochenta y cinco servidores públicos que tuvieron algún movimiento de personal, conforme a la respuesta entregada.</w:t>
      </w:r>
    </w:p>
    <w:bookmarkEnd w:id="3"/>
    <w:p w:rsidR="00682222" w:rsidP="00F80F48" w:rsidRDefault="00682222" w14:paraId="3CF302AD" w14:textId="6FA55A07">
      <w:pPr>
        <w:spacing w:after="0" w:line="360" w:lineRule="auto"/>
      </w:pPr>
    </w:p>
    <w:p w:rsidRPr="00F679C8" w:rsidR="00F679C8" w:rsidP="00F679C8" w:rsidRDefault="00F679C8" w14:paraId="60E6A164" w14:textId="77777777">
      <w:pPr>
        <w:spacing w:after="0" w:line="360" w:lineRule="auto"/>
        <w:rPr>
          <w:rFonts w:eastAsia="Times New Roman" w:cs="Tahoma"/>
          <w:color w:val="auto"/>
          <w:lang w:eastAsia="es-MX"/>
        </w:rPr>
      </w:pPr>
      <w:r w:rsidRPr="00F679C8">
        <w:rPr>
          <w:rFonts w:eastAsia="Times New Roman" w:cs="Tahoma"/>
          <w:bCs/>
          <w:color w:val="auto"/>
          <w:lang w:eastAsia="es-MX"/>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841990" w:rsidR="00F679C8" w:rsidP="00F80F48" w:rsidRDefault="00F679C8" w14:paraId="7AC0F8DE" w14:textId="77777777">
      <w:pPr>
        <w:spacing w:after="0" w:line="360" w:lineRule="auto"/>
      </w:pPr>
    </w:p>
    <w:p w:rsidRPr="00841990" w:rsidR="00C853D1" w:rsidP="00F80F48" w:rsidRDefault="00C853D1" w14:paraId="1BD24118" w14:textId="77777777">
      <w:pPr>
        <w:spacing w:after="0" w:line="360" w:lineRule="auto"/>
        <w:rPr>
          <w:b/>
          <w:bCs/>
        </w:rPr>
      </w:pPr>
      <w:r w:rsidRPr="00841990">
        <w:rPr>
          <w:b/>
          <w:bCs/>
        </w:rPr>
        <w:t>Términos de la Resolución.</w:t>
      </w:r>
    </w:p>
    <w:p w:rsidRPr="00841990" w:rsidR="00C853D1" w:rsidP="00F80F48" w:rsidRDefault="00C853D1" w14:paraId="6C1809B6" w14:textId="3933B954">
      <w:pPr>
        <w:spacing w:after="0" w:line="360" w:lineRule="auto"/>
      </w:pPr>
    </w:p>
    <w:p w:rsidRPr="0050427F" w:rsidR="00085525" w:rsidP="0050427F" w:rsidRDefault="000223B0" w14:paraId="3B7EAD36" w14:textId="30D5E91D">
      <w:pPr>
        <w:spacing w:after="0" w:line="360" w:lineRule="auto"/>
        <w:rPr>
          <w:rFonts w:eastAsia="Calibri" w:cs="Tahoma"/>
          <w:iCs/>
          <w:lang w:eastAsia="es-ES_tradnl"/>
        </w:rPr>
      </w:pPr>
      <w:r w:rsidRPr="00841990">
        <w:rPr>
          <w:rFonts w:eastAsia="Times New Roman" w:cs="Times New Roman"/>
          <w:lang w:eastAsia="es-MX"/>
        </w:rPr>
        <w:t>Se le hace del conocimiento a</w:t>
      </w:r>
      <w:r w:rsidRPr="00841990" w:rsidR="00D0396A">
        <w:rPr>
          <w:rFonts w:eastAsia="Times New Roman" w:cs="Times New Roman"/>
          <w:lang w:eastAsia="es-MX"/>
        </w:rPr>
        <w:t xml:space="preserve"> la</w:t>
      </w:r>
      <w:r w:rsidRPr="00841990">
        <w:rPr>
          <w:rFonts w:eastAsia="Times New Roman" w:cs="Times New Roman"/>
          <w:lang w:eastAsia="es-MX"/>
        </w:rPr>
        <w:t xml:space="preserve"> Particular, que, en el presente caso, se le concede </w:t>
      </w:r>
      <w:r w:rsidR="00F679C8">
        <w:rPr>
          <w:rFonts w:eastAsia="Times New Roman" w:cs="Times New Roman"/>
          <w:lang w:eastAsia="es-MX"/>
        </w:rPr>
        <w:t>parcialmente la</w:t>
      </w:r>
      <w:r w:rsidRPr="00841990">
        <w:rPr>
          <w:rFonts w:eastAsia="Times New Roman" w:cs="Times New Roman"/>
          <w:lang w:eastAsia="es-MX"/>
        </w:rPr>
        <w:t xml:space="preserve"> razón, pues el </w:t>
      </w:r>
      <w:r w:rsidR="00005E7C">
        <w:rPr>
          <w:rFonts w:eastAsia="Calibri" w:cs="Tahoma"/>
        </w:rPr>
        <w:t>Ayuntamiento de Toluca</w:t>
      </w:r>
      <w:r w:rsidRPr="00841990">
        <w:rPr>
          <w:rFonts w:eastAsia="Calibri" w:cs="Tahoma"/>
        </w:rPr>
        <w:t xml:space="preserve">, </w:t>
      </w:r>
      <w:r w:rsidR="00246B2F">
        <w:rPr>
          <w:rFonts w:eastAsia="Calibri" w:cs="Tahoma"/>
        </w:rPr>
        <w:t>proporcionó la información de manera incompleta</w:t>
      </w:r>
      <w:r w:rsidR="00F679C8">
        <w:rPr>
          <w:rFonts w:eastAsia="Calibri" w:cs="Tahoma"/>
        </w:rPr>
        <w:t>; por lo que, deberá proporcionarle el nombre de los servidores públicos faltantes que sufrieron algún movimiento de personal.</w:t>
      </w:r>
      <w:r w:rsidR="0050427F">
        <w:rPr>
          <w:rFonts w:eastAsia="Calibri" w:cs="Tahoma"/>
          <w:iCs/>
          <w:lang w:eastAsia="es-ES_tradnl"/>
        </w:rPr>
        <w:t xml:space="preserve"> </w:t>
      </w:r>
    </w:p>
    <w:p w:rsidR="00085525" w:rsidP="00F80F48" w:rsidRDefault="00085525" w14:paraId="5BC8C685" w14:textId="77777777">
      <w:pPr>
        <w:spacing w:after="0" w:line="360" w:lineRule="auto"/>
        <w:ind w:right="-28"/>
        <w:rPr>
          <w:rFonts w:eastAsia="Calibri" w:cs="Tahoma"/>
        </w:rPr>
      </w:pPr>
    </w:p>
    <w:p w:rsidRPr="00841990" w:rsidR="000223B0" w:rsidP="00F80F48" w:rsidRDefault="000223B0" w14:paraId="1FB30D36" w14:textId="05C7C477">
      <w:pPr>
        <w:spacing w:after="0" w:line="360" w:lineRule="auto"/>
        <w:ind w:right="-28"/>
        <w:rPr>
          <w:rFonts w:eastAsia="Calibri" w:cs="Tahoma"/>
        </w:rPr>
      </w:pPr>
      <w:r w:rsidRPr="00841990">
        <w:rPr>
          <w:rFonts w:eastAsia="Calibri" w:cs="Tahoma"/>
          <w:bCs/>
          <w:iCs/>
          <w:color w:val="auto"/>
        </w:rPr>
        <w:t xml:space="preserve">Finalmente, la labor </w:t>
      </w:r>
      <w:r w:rsidR="00904CFA">
        <w:rPr>
          <w:rFonts w:eastAsia="Calibri" w:cs="Tahoma"/>
          <w:bCs/>
          <w:iCs/>
          <w:color w:val="auto"/>
        </w:rPr>
        <w:t>del Instituto</w:t>
      </w:r>
      <w:r w:rsidRPr="00841990">
        <w:rPr>
          <w:rFonts w:eastAsia="Calibri" w:cs="Tahoma"/>
          <w:bCs/>
          <w:iCs/>
          <w:color w:val="auto"/>
        </w:rPr>
        <w:t>, es apoyar a la población a acceder a la información pública y garantizar la protección de los datos personales.</w:t>
      </w:r>
    </w:p>
    <w:p w:rsidRPr="00841990" w:rsidR="00904CFA" w:rsidP="00F80F48" w:rsidRDefault="00904CFA" w14:paraId="22B03D0E" w14:textId="77777777">
      <w:pPr>
        <w:spacing w:after="0" w:line="360" w:lineRule="auto"/>
      </w:pPr>
    </w:p>
    <w:p w:rsidRPr="00841990" w:rsidR="00C853D1" w:rsidP="00F80F48" w:rsidRDefault="00C853D1" w14:paraId="4469D1A7" w14:textId="77777777">
      <w:pPr>
        <w:spacing w:after="0" w:line="360" w:lineRule="auto"/>
        <w:rPr>
          <w:rFonts w:eastAsia="Calibri" w:cs="Tahoma"/>
          <w:bCs/>
          <w:color w:val="auto"/>
        </w:rPr>
      </w:pPr>
      <w:r w:rsidRPr="00841990">
        <w:t>Por</w:t>
      </w:r>
      <w:r w:rsidRPr="00841990">
        <w:rPr>
          <w:rFonts w:eastAsia="Calibri" w:cs="Tahoma"/>
          <w:bCs/>
          <w:color w:val="auto"/>
        </w:rPr>
        <w:t xml:space="preserve"> lo expuesto y fundado, este Pleno:</w:t>
      </w:r>
    </w:p>
    <w:p w:rsidRPr="00841990" w:rsidR="00C853D1" w:rsidP="00F80F48" w:rsidRDefault="00C853D1" w14:paraId="2A9CCC89" w14:textId="77777777">
      <w:pPr>
        <w:spacing w:after="0" w:line="360" w:lineRule="auto"/>
        <w:ind w:right="-28"/>
        <w:rPr>
          <w:rFonts w:eastAsia="Calibri" w:cs="Tahoma"/>
          <w:bCs/>
          <w:color w:val="auto"/>
        </w:rPr>
      </w:pPr>
    </w:p>
    <w:p w:rsidRPr="00841990" w:rsidR="00C853D1" w:rsidP="00F80F48" w:rsidRDefault="00C853D1" w14:paraId="5C5F6794" w14:textId="77777777">
      <w:pPr>
        <w:spacing w:after="0" w:line="360" w:lineRule="auto"/>
        <w:ind w:right="-28"/>
        <w:jc w:val="center"/>
        <w:rPr>
          <w:rFonts w:eastAsia="Calibri" w:cs="Tahoma"/>
          <w:b/>
          <w:bCs/>
          <w:color w:val="auto"/>
        </w:rPr>
      </w:pPr>
      <w:r w:rsidRPr="00841990">
        <w:rPr>
          <w:rFonts w:eastAsia="Calibri" w:cs="Tahoma"/>
          <w:b/>
          <w:bCs/>
          <w:color w:val="auto"/>
        </w:rPr>
        <w:t>R E S U E L V E:</w:t>
      </w:r>
    </w:p>
    <w:p w:rsidRPr="00841990" w:rsidR="00C853D1" w:rsidP="00F80F48" w:rsidRDefault="00C853D1" w14:paraId="5315815D" w14:textId="77777777">
      <w:pPr>
        <w:spacing w:after="0" w:line="360" w:lineRule="auto"/>
        <w:rPr>
          <w:lang w:val="es-ES" w:eastAsia="es-ES_tradnl"/>
        </w:rPr>
      </w:pPr>
    </w:p>
    <w:p w:rsidRPr="00841990" w:rsidR="00782132" w:rsidP="00F80F48" w:rsidRDefault="00782132" w14:paraId="3F37601B" w14:textId="48F0045B">
      <w:pPr>
        <w:spacing w:after="0" w:line="360" w:lineRule="auto"/>
        <w:contextualSpacing/>
        <w:rPr>
          <w:rFonts w:eastAsia="Calibri" w:cs="Tahoma"/>
          <w:bCs/>
        </w:rPr>
      </w:pPr>
      <w:r w:rsidRPr="00841990">
        <w:rPr>
          <w:rFonts w:cs="Tahoma"/>
          <w:b/>
          <w:bCs/>
        </w:rPr>
        <w:t xml:space="preserve">PRIMERO. </w:t>
      </w:r>
      <w:r w:rsidRPr="00841990">
        <w:rPr>
          <w:rFonts w:cs="Tahoma"/>
          <w:bCs/>
        </w:rPr>
        <w:t xml:space="preserve">Se </w:t>
      </w:r>
      <w:r w:rsidR="00246B2F">
        <w:rPr>
          <w:rFonts w:cs="Tahoma"/>
          <w:b/>
          <w:bCs/>
        </w:rPr>
        <w:t>MODIFICA</w:t>
      </w:r>
      <w:r w:rsidRPr="00841990">
        <w:rPr>
          <w:rFonts w:cs="Tahoma"/>
          <w:bCs/>
        </w:rPr>
        <w:t xml:space="preserve"> la respuesta entregada por el </w:t>
      </w:r>
      <w:r w:rsidR="00005E7C">
        <w:rPr>
          <w:rFonts w:eastAsia="Calibri" w:cs="Tahoma"/>
        </w:rPr>
        <w:t>Ayuntamiento de Toluca</w:t>
      </w:r>
      <w:r w:rsidR="00246B2F">
        <w:rPr>
          <w:rFonts w:eastAsia="Calibri" w:cs="Tahoma"/>
        </w:rPr>
        <w:t>,</w:t>
      </w:r>
      <w:r w:rsidRPr="00841990" w:rsidR="00F060A2">
        <w:rPr>
          <w:rFonts w:cs="Tahoma"/>
          <w:bCs/>
        </w:rPr>
        <w:t xml:space="preserve"> </w:t>
      </w:r>
      <w:r w:rsidRPr="00841990">
        <w:rPr>
          <w:rFonts w:cs="Tahoma"/>
          <w:bCs/>
        </w:rPr>
        <w:t xml:space="preserve">a la solicitud de </w:t>
      </w:r>
      <w:r w:rsidRPr="00841990">
        <w:rPr>
          <w:rFonts w:eastAsia="Calibri" w:cs="Tahoma"/>
        </w:rPr>
        <w:t xml:space="preserve">información </w:t>
      </w:r>
      <w:r w:rsidRPr="00437F4A" w:rsidR="00437F4A">
        <w:rPr>
          <w:rFonts w:eastAsia="Calibri" w:cs="Tahoma"/>
        </w:rPr>
        <w:t>00526/TOLUCA/IP/2022</w:t>
      </w:r>
      <w:r w:rsidRPr="00A649DF" w:rsidR="00246B2F">
        <w:rPr>
          <w:rFonts w:eastAsia="Calibri" w:cs="Tahoma"/>
        </w:rPr>
        <w:t>,</w:t>
      </w:r>
      <w:r w:rsidRPr="00841990" w:rsidR="00E92B4A">
        <w:t xml:space="preserve"> </w:t>
      </w:r>
      <w:r w:rsidRPr="00841990">
        <w:t>por resultar</w:t>
      </w:r>
      <w:r w:rsidR="00F679C8">
        <w:t xml:space="preserve"> PARCIALMENTE</w:t>
      </w:r>
      <w:r w:rsidRPr="00841990">
        <w:t xml:space="preserve"> </w:t>
      </w:r>
      <w:r w:rsidRPr="00F679C8">
        <w:rPr>
          <w:bCs/>
        </w:rPr>
        <w:t>FUNDADAS</w:t>
      </w:r>
      <w:r w:rsidRPr="00F679C8">
        <w:rPr>
          <w:rFonts w:cs="Tahoma"/>
          <w:bCs/>
        </w:rPr>
        <w:t xml:space="preserve"> </w:t>
      </w:r>
      <w:r w:rsidRPr="00F679C8">
        <w:rPr>
          <w:rFonts w:eastAsia="Calibri" w:cs="Tahoma"/>
          <w:bCs/>
        </w:rPr>
        <w:t>las</w:t>
      </w:r>
      <w:r w:rsidRPr="00841990">
        <w:rPr>
          <w:rFonts w:eastAsia="Calibri" w:cs="Tahoma"/>
        </w:rPr>
        <w:t xml:space="preserve"> razones o motivos de inconformidad hechos valer por </w:t>
      </w:r>
      <w:r w:rsidR="005B1631">
        <w:rPr>
          <w:rFonts w:eastAsia="Calibri" w:cs="Tahoma"/>
        </w:rPr>
        <w:t>la</w:t>
      </w:r>
      <w:r w:rsidRPr="00841990">
        <w:rPr>
          <w:rFonts w:eastAsia="Calibri" w:cs="Tahoma"/>
        </w:rPr>
        <w:t xml:space="preserve"> Particular, en</w:t>
      </w:r>
      <w:r w:rsidRPr="00841990">
        <w:rPr>
          <w:rFonts w:eastAsia="Calibri" w:cs="Tahoma"/>
          <w:bCs/>
        </w:rPr>
        <w:t xml:space="preserve"> términos de los considerandos </w:t>
      </w:r>
      <w:r w:rsidRPr="00A649DF">
        <w:rPr>
          <w:rFonts w:eastAsia="Calibri" w:cs="Tahoma"/>
        </w:rPr>
        <w:t>QUINTO y SEXTO de la presente</w:t>
      </w:r>
      <w:r w:rsidRPr="00841990">
        <w:rPr>
          <w:rFonts w:eastAsia="Calibri" w:cs="Tahoma"/>
          <w:bCs/>
        </w:rPr>
        <w:t xml:space="preserve"> Resolución.</w:t>
      </w:r>
    </w:p>
    <w:p w:rsidRPr="00841990" w:rsidR="00782132" w:rsidP="00F80F48" w:rsidRDefault="00782132" w14:paraId="4A6EB131" w14:textId="77777777">
      <w:pPr>
        <w:spacing w:after="0" w:line="360" w:lineRule="auto"/>
        <w:contextualSpacing/>
        <w:rPr>
          <w:rFonts w:eastAsia="Calibri" w:cs="Tahoma"/>
          <w:bCs/>
        </w:rPr>
      </w:pPr>
    </w:p>
    <w:p w:rsidR="00413F33" w:rsidP="00413F33" w:rsidRDefault="00782132" w14:paraId="1993A315" w14:textId="77777777">
      <w:pPr>
        <w:spacing w:after="0" w:line="360" w:lineRule="auto"/>
        <w:rPr>
          <w:rFonts w:eastAsia="Calibri" w:cs="Tahoma"/>
          <w:iCs/>
          <w:lang w:eastAsia="es-ES_tradnl"/>
        </w:rPr>
      </w:pPr>
      <w:r w:rsidRPr="00841990">
        <w:rPr>
          <w:rFonts w:cs="Tahoma"/>
          <w:b/>
          <w:bCs/>
        </w:rPr>
        <w:lastRenderedPageBreak/>
        <w:t xml:space="preserve">SEGUNDO. </w:t>
      </w:r>
      <w:r w:rsidRPr="00841990">
        <w:rPr>
          <w:rFonts w:cs="Tahoma"/>
        </w:rPr>
        <w:t xml:space="preserve">Se </w:t>
      </w:r>
      <w:r w:rsidRPr="00841990">
        <w:rPr>
          <w:rFonts w:cs="Tahoma"/>
          <w:b/>
        </w:rPr>
        <w:t xml:space="preserve">ORDENA </w:t>
      </w:r>
      <w:r w:rsidRPr="00841990">
        <w:rPr>
          <w:rFonts w:cs="Tahoma"/>
          <w:bCs/>
        </w:rPr>
        <w:t xml:space="preserve">al </w:t>
      </w:r>
      <w:r w:rsidRPr="00841990">
        <w:rPr>
          <w:rFonts w:cs="Tahoma"/>
        </w:rPr>
        <w:t xml:space="preserve">Ente Recurrido, </w:t>
      </w:r>
      <w:r w:rsidRPr="00841990" w:rsidR="00246B2F">
        <w:rPr>
          <w:rFonts w:cs="Tahoma"/>
        </w:rPr>
        <w:t>a efecto de que</w:t>
      </w:r>
      <w:r w:rsidR="00246B2F">
        <w:rPr>
          <w:rFonts w:cs="Tahoma"/>
        </w:rPr>
        <w:t>, previa búsqueda exhaustiva y razonable,</w:t>
      </w:r>
      <w:r w:rsidRPr="00841990" w:rsidR="00246B2F">
        <w:rPr>
          <w:rFonts w:cs="Tahoma"/>
        </w:rPr>
        <w:t xml:space="preserve"> entregue, </w:t>
      </w:r>
      <w:r w:rsidRPr="00841990" w:rsidR="00246B2F">
        <w:rPr>
          <w:rFonts w:eastAsia="Calibri" w:cs="Tahoma"/>
          <w:iCs/>
          <w:lang w:eastAsia="es-ES_tradnl"/>
        </w:rPr>
        <w:t>a través del Sistema de Acceso a la Información Mexiquense (SAIMEX</w:t>
      </w:r>
      <w:r w:rsidRPr="00841990" w:rsidR="00413F33">
        <w:rPr>
          <w:rFonts w:eastAsia="Calibri" w:cs="Tahoma"/>
          <w:iCs/>
          <w:lang w:eastAsia="es-ES_tradnl"/>
        </w:rPr>
        <w:t xml:space="preserve">), </w:t>
      </w:r>
      <w:r w:rsidR="00413F33">
        <w:rPr>
          <w:rFonts w:eastAsia="Calibri" w:cs="Tahoma"/>
          <w:iCs/>
          <w:lang w:eastAsia="es-ES_tradnl"/>
        </w:rPr>
        <w:t>en su caso, en versión pública, los documentos donde conste, lo siguiente:</w:t>
      </w:r>
    </w:p>
    <w:p w:rsidR="00413F33" w:rsidP="00413F33" w:rsidRDefault="00413F33" w14:paraId="7E5B6A2C" w14:textId="77777777">
      <w:pPr>
        <w:spacing w:after="0" w:line="360" w:lineRule="auto"/>
        <w:rPr>
          <w:rFonts w:eastAsia="Calibri" w:cs="Tahoma"/>
          <w:iCs/>
          <w:lang w:eastAsia="es-ES_tradnl"/>
        </w:rPr>
      </w:pPr>
    </w:p>
    <w:p w:rsidRPr="00413F33" w:rsidR="00413F33" w:rsidP="00413F33" w:rsidRDefault="00413F33" w14:paraId="56DC5895" w14:textId="20D92BA3">
      <w:pPr>
        <w:pStyle w:val="Prrafodelista"/>
        <w:numPr>
          <w:ilvl w:val="0"/>
          <w:numId w:val="33"/>
        </w:numPr>
        <w:spacing w:line="360" w:lineRule="auto"/>
        <w:rPr>
          <w:rFonts w:eastAsia="Calibri" w:cs="Tahoma"/>
          <w:iCs/>
          <w:lang w:eastAsia="es-ES_tradnl"/>
        </w:rPr>
      </w:pPr>
      <w:r w:rsidRPr="00413F33">
        <w:rPr>
          <w:rFonts w:cs="Tahoma"/>
          <w:iCs/>
          <w:color w:val="auto"/>
          <w:lang w:val="es-ES"/>
        </w:rPr>
        <w:t>El nombre de los doscientos ochenta y cinco servidores públicos que tuvieron algún movimiento de personal, conforme a la respuesta entregada.</w:t>
      </w:r>
    </w:p>
    <w:p w:rsidR="00413F33" w:rsidP="00413F33" w:rsidRDefault="00413F33" w14:paraId="5E3F2119" w14:textId="77777777">
      <w:pPr>
        <w:spacing w:after="0" w:line="360" w:lineRule="auto"/>
      </w:pPr>
    </w:p>
    <w:p w:rsidRPr="00F679C8" w:rsidR="00413F33" w:rsidP="00413F33" w:rsidRDefault="00413F33" w14:paraId="36E5952C" w14:textId="77777777">
      <w:pPr>
        <w:spacing w:after="0" w:line="360" w:lineRule="auto"/>
        <w:rPr>
          <w:rFonts w:eastAsia="Times New Roman" w:cs="Tahoma"/>
          <w:color w:val="auto"/>
          <w:lang w:eastAsia="es-MX"/>
        </w:rPr>
      </w:pPr>
      <w:r w:rsidRPr="00F679C8">
        <w:rPr>
          <w:rFonts w:eastAsia="Times New Roman" w:cs="Tahoma"/>
          <w:bCs/>
          <w:color w:val="auto"/>
          <w:lang w:eastAsia="es-MX"/>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413F33" w:rsidP="00F80F48" w:rsidRDefault="00413F33" w14:paraId="4097CBEB" w14:textId="77777777">
      <w:pPr>
        <w:spacing w:after="0" w:line="360" w:lineRule="auto"/>
        <w:rPr>
          <w:rFonts w:cs="Arial"/>
          <w:b/>
          <w:lang w:val="es-ES_tradnl"/>
        </w:rPr>
      </w:pPr>
    </w:p>
    <w:p w:rsidRPr="00841990" w:rsidR="00782132" w:rsidP="00F80F48" w:rsidRDefault="00782132" w14:paraId="3B54D014" w14:textId="45253CBC">
      <w:pPr>
        <w:spacing w:after="0" w:line="360" w:lineRule="auto"/>
        <w:rPr>
          <w:rFonts w:cs="Tahoma"/>
        </w:rPr>
      </w:pPr>
      <w:r w:rsidRPr="00841990">
        <w:rPr>
          <w:rFonts w:cs="Arial"/>
          <w:b/>
          <w:lang w:val="es-ES_tradnl"/>
        </w:rPr>
        <w:t>TERCERO.</w:t>
      </w:r>
      <w:r w:rsidRPr="00841990">
        <w:rPr>
          <w:rFonts w:cs="Tahoma"/>
          <w:b/>
        </w:rPr>
        <w:t xml:space="preserve"> NOTIFÍQUESE </w:t>
      </w:r>
      <w:r w:rsidRPr="00841990">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841990" w:rsidR="00904CFA" w:rsidP="00F80F48" w:rsidRDefault="00904CFA" w14:paraId="4E5F20B1" w14:textId="77777777">
      <w:pPr>
        <w:spacing w:after="0" w:line="360" w:lineRule="auto"/>
        <w:rPr>
          <w:rFonts w:cs="Tahoma"/>
        </w:rPr>
      </w:pPr>
    </w:p>
    <w:p w:rsidR="00413F33" w:rsidP="00F80F48" w:rsidRDefault="00682222" w14:paraId="322F4541" w14:textId="77777777">
      <w:pPr>
        <w:spacing w:after="0" w:line="360" w:lineRule="auto"/>
        <w:contextualSpacing/>
        <w:rPr>
          <w:rFonts w:eastAsia="Calibri" w:cs="Tahoma"/>
          <w:iCs/>
        </w:rPr>
      </w:pPr>
      <w:bookmarkStart w:name="_Hlk61509110" w:id="4"/>
      <w:r w:rsidRPr="00841990">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4"/>
    </w:p>
    <w:p w:rsidR="00413F33" w:rsidP="00F80F48" w:rsidRDefault="00413F33" w14:paraId="1549B620" w14:textId="77777777">
      <w:pPr>
        <w:spacing w:after="0" w:line="360" w:lineRule="auto"/>
        <w:contextualSpacing/>
        <w:rPr>
          <w:rFonts w:eastAsia="Calibri" w:cs="Tahoma"/>
          <w:iCs/>
        </w:rPr>
      </w:pPr>
    </w:p>
    <w:p w:rsidRPr="00841990" w:rsidR="00782132" w:rsidP="00F80F48" w:rsidRDefault="00782132" w14:paraId="2C0ACFAC" w14:textId="5A80ABBF">
      <w:pPr>
        <w:spacing w:after="0" w:line="360" w:lineRule="auto"/>
        <w:contextualSpacing/>
        <w:rPr>
          <w:rFonts w:cs="Tahoma"/>
        </w:rPr>
      </w:pPr>
      <w:r w:rsidRPr="00841990">
        <w:rPr>
          <w:rFonts w:cs="Tahoma"/>
          <w:b/>
        </w:rPr>
        <w:t>CUARTO. NOTIFÍQUESE</w:t>
      </w:r>
      <w:r w:rsidRPr="00841990">
        <w:rPr>
          <w:rFonts w:cs="Tahoma"/>
        </w:rPr>
        <w:t xml:space="preserve"> a</w:t>
      </w:r>
      <w:r w:rsidR="005B1631">
        <w:rPr>
          <w:rFonts w:cs="Tahoma"/>
        </w:rPr>
        <w:t xml:space="preserve"> </w:t>
      </w:r>
      <w:r w:rsidRPr="00841990">
        <w:rPr>
          <w:rFonts w:cs="Tahoma"/>
        </w:rPr>
        <w:t>l</w:t>
      </w:r>
      <w:r w:rsidR="005B1631">
        <w:rPr>
          <w:rFonts w:cs="Tahoma"/>
        </w:rPr>
        <w:t>a</w:t>
      </w:r>
      <w:r w:rsidRPr="00841990">
        <w:rPr>
          <w:rFonts w:cs="Tahoma"/>
        </w:rPr>
        <w:t xml:space="preserve"> Recurrente la presente Resolución, asimismo, se hace de su conocimiento que de conformidad con lo establecido en el artículo 196 de la Ley de </w:t>
      </w:r>
      <w:r w:rsidRPr="00841990">
        <w:rPr>
          <w:rFonts w:cs="Tahoma"/>
        </w:rPr>
        <w:lastRenderedPageBreak/>
        <w:t>Transparencia y Acceso a la Información Pública del Estado de México y Municipios podrá promover el Juicio de Amparo en los términos de las leyes aplicables.</w:t>
      </w:r>
    </w:p>
    <w:p w:rsidRPr="00841990" w:rsidR="00782132" w:rsidP="00F80F48" w:rsidRDefault="00782132" w14:paraId="42C8D564" w14:textId="77777777">
      <w:pPr>
        <w:spacing w:after="0" w:line="360" w:lineRule="auto"/>
        <w:rPr>
          <w:rFonts w:eastAsia="Calibri" w:cs="Tahoma"/>
          <w:bCs/>
          <w:lang w:val="es-ES"/>
        </w:rPr>
      </w:pPr>
    </w:p>
    <w:p w:rsidR="00C853D1" w:rsidP="00F80F48" w:rsidRDefault="0045726D" w14:paraId="61493576" w14:textId="335ACDD5">
      <w:pPr>
        <w:spacing w:after="0" w:line="360" w:lineRule="auto"/>
        <w:rPr>
          <w:rFonts w:eastAsia="Calibri" w:cs="Tahoma"/>
          <w:bCs/>
        </w:rPr>
      </w:pPr>
      <w:r w:rsidRPr="00841990">
        <w:rPr>
          <w:rFonts w:eastAsia="Calibri" w:cs="Tahoma"/>
          <w:bCs/>
        </w:rPr>
        <w:t xml:space="preserve">ASÍ LO RESUELVE, POR </w:t>
      </w:r>
      <w:r w:rsidRPr="00841990">
        <w:rPr>
          <w:rFonts w:eastAsia="Calibri" w:cs="Tahoma"/>
          <w:b/>
        </w:rPr>
        <w:t>UNANIMIDAD</w:t>
      </w:r>
      <w:r w:rsidRPr="00841990">
        <w:rPr>
          <w:rFonts w:eastAsia="Calibri" w:cs="Tahoma"/>
          <w:bCs/>
        </w:rPr>
        <w:t xml:space="preserve"> DE VOTOS EL PLENO DEL INSTITUTO DE TRANSPARENCIA, ACCESO A LA INFORMACIÓN PÚBLICA Y PROTECCIÓN DE DATOS PERSONALES DEL ESTADO DE MÉXICO Y MUNICIPIOS, CONFORMADO POR LOS COMISIONADOS JOSÉ MARTÍNEZ VILCHIS</w:t>
      </w:r>
      <w:r>
        <w:rPr>
          <w:rFonts w:eastAsia="Calibri" w:cs="Tahoma"/>
          <w:bCs/>
        </w:rPr>
        <w:t xml:space="preserve"> CON VOTO PARTICULAR</w:t>
      </w:r>
      <w:r w:rsidRPr="00841990">
        <w:rPr>
          <w:rFonts w:eastAsia="Calibri" w:cs="Tahoma"/>
          <w:bCs/>
        </w:rPr>
        <w:t>, MARÍA DEL ROSARIO MEJÍA AYALA, SHARON CRISTINA MORALES MARTÍNEZ</w:t>
      </w:r>
      <w:r>
        <w:rPr>
          <w:rFonts w:eastAsia="Calibri" w:cs="Tahoma"/>
          <w:bCs/>
        </w:rPr>
        <w:t xml:space="preserve"> (AUSENCIA JUSTIFICADA)</w:t>
      </w:r>
      <w:r w:rsidRPr="00841990">
        <w:rPr>
          <w:rFonts w:eastAsia="Calibri" w:cs="Tahoma"/>
          <w:bCs/>
        </w:rPr>
        <w:t>, LUIS GUSTAVO PARRA NORIEGA Y GUADALUPE RAMÍREZ PEÑA</w:t>
      </w:r>
      <w:r>
        <w:rPr>
          <w:rFonts w:eastAsia="Calibri" w:cs="Tahoma"/>
          <w:bCs/>
        </w:rPr>
        <w:t xml:space="preserve"> CON OPINIÓN PARTICULAR</w:t>
      </w:r>
      <w:r w:rsidRPr="00841990">
        <w:rPr>
          <w:rFonts w:eastAsia="Calibri" w:cs="Tahoma"/>
          <w:bCs/>
        </w:rPr>
        <w:t>, EN LA VIGÉSIMA</w:t>
      </w:r>
      <w:r>
        <w:rPr>
          <w:rFonts w:eastAsia="Calibri" w:cs="Tahoma"/>
          <w:bCs/>
        </w:rPr>
        <w:t xml:space="preserve"> CUARTA</w:t>
      </w:r>
      <w:r w:rsidRPr="00841990">
        <w:rPr>
          <w:rFonts w:eastAsia="Calibri" w:cs="Tahoma"/>
          <w:bCs/>
        </w:rPr>
        <w:t xml:space="preserve"> SESIÓN ORDINARIA, CELEBRADA EL </w:t>
      </w:r>
      <w:r>
        <w:rPr>
          <w:rFonts w:eastAsia="Calibri" w:cs="Tahoma"/>
          <w:bCs/>
        </w:rPr>
        <w:t>VEINTINUEVE</w:t>
      </w:r>
      <w:r w:rsidRPr="00841990">
        <w:rPr>
          <w:rFonts w:eastAsia="Calibri" w:cs="Tahoma"/>
          <w:bCs/>
        </w:rPr>
        <w:t xml:space="preserve"> DE JUNIO DE DOS MIL VEINTIDÓS, ANTE EL SECRETARIO TÉCNICO DEL PLENO, ALEXIS TAPIA RAMÍREZ.</w:t>
      </w:r>
    </w:p>
    <w:p w:rsidRPr="00276F3B" w:rsidR="00C853D1" w:rsidP="00F80F48" w:rsidRDefault="00C853D1" w14:paraId="189BD5D9" w14:textId="5AA6579D">
      <w:pPr>
        <w:spacing w:after="0" w:line="360" w:lineRule="auto"/>
        <w:jc w:val="left"/>
        <w:rPr>
          <w:rFonts w:eastAsia="Calibri" w:cs="Tahoma"/>
          <w:b/>
          <w:bCs/>
        </w:rPr>
      </w:pPr>
      <w:r w:rsidRPr="00276F3B">
        <w:rPr>
          <w:rFonts w:eastAsia="Calibri" w:cs="Tahoma"/>
          <w:b/>
          <w:bCs/>
        </w:rPr>
        <w:br w:type="page"/>
      </w:r>
    </w:p>
    <w:p w:rsidRPr="00276F3B" w:rsidR="00A6477D" w:rsidP="00F80F48" w:rsidRDefault="00A6477D" w14:paraId="3A7BF8F4" w14:textId="77777777">
      <w:pPr>
        <w:spacing w:after="0" w:line="360" w:lineRule="auto"/>
      </w:pPr>
    </w:p>
    <w:sectPr w:rsidRPr="00276F3B" w:rsidR="00A6477D" w:rsidSect="002C59A0">
      <w:headerReference w:type="even" r:id="rId16"/>
      <w:headerReference w:type="default" r:id="rId17"/>
      <w:footerReference w:type="even" r:id="rId18"/>
      <w:footerReference w:type="default" r:id="rId19"/>
      <w:headerReference w:type="first" r:id="rId20"/>
      <w:footerReference w:type="first" r:id="rId21"/>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6FF4" w:rsidP="00C853D1" w:rsidRDefault="00216FF4" w14:paraId="4BC1762F" w14:textId="77777777">
      <w:pPr>
        <w:spacing w:after="0" w:line="240" w:lineRule="auto"/>
      </w:pPr>
      <w:r>
        <w:separator/>
      </w:r>
    </w:p>
  </w:endnote>
  <w:endnote w:type="continuationSeparator" w:id="0">
    <w:p w:rsidR="00216FF4" w:rsidP="00C853D1" w:rsidRDefault="00216FF4" w14:paraId="3D28C97C" w14:textId="77777777">
      <w:pPr>
        <w:spacing w:after="0" w:line="240" w:lineRule="auto"/>
      </w:pPr>
      <w:r>
        <w:continuationSeparator/>
      </w:r>
    </w:p>
  </w:endnote>
  <w:endnote w:type="continuationNotice" w:id="1">
    <w:p w:rsidR="00216FF4" w:rsidRDefault="00216FF4" w14:paraId="362DD61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59A0" w:rsidRDefault="002C59A0"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77BD">
      <w:rPr>
        <w:b/>
        <w:bCs/>
        <w:noProof/>
      </w:rPr>
      <w:t>1</w:t>
    </w:r>
    <w:r>
      <w:rPr>
        <w:b/>
        <w:bCs/>
        <w:sz w:val="24"/>
        <w:szCs w:val="24"/>
      </w:rPr>
      <w:fldChar w:fldCharType="end"/>
    </w:r>
  </w:p>
  <w:p w:rsidR="002C59A0" w:rsidRDefault="002C59A0" w14:paraId="5F4318B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2C59A0" w:rsidRDefault="002C59A0"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26</w:t>
            </w:r>
            <w:r>
              <w:rPr>
                <w:b/>
                <w:bCs/>
                <w:sz w:val="24"/>
                <w:szCs w:val="24"/>
              </w:rPr>
              <w:fldChar w:fldCharType="end"/>
            </w:r>
          </w:p>
        </w:sdtContent>
      </w:sdt>
    </w:sdtContent>
  </w:sdt>
  <w:p w:rsidR="002C59A0" w:rsidRDefault="002C59A0" w14:paraId="3F35B7C0"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59A0" w:rsidRDefault="002C59A0"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27</w:t>
    </w:r>
    <w:r>
      <w:rPr>
        <w:b/>
        <w:bCs/>
        <w:sz w:val="24"/>
        <w:szCs w:val="24"/>
      </w:rPr>
      <w:fldChar w:fldCharType="end"/>
    </w:r>
  </w:p>
  <w:p w:rsidR="002C59A0" w:rsidRDefault="002C59A0" w14:paraId="1A7218C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6FF4" w:rsidP="00C853D1" w:rsidRDefault="00216FF4" w14:paraId="24C3A6EC" w14:textId="77777777">
      <w:pPr>
        <w:spacing w:after="0" w:line="240" w:lineRule="auto"/>
      </w:pPr>
      <w:r>
        <w:separator/>
      </w:r>
    </w:p>
  </w:footnote>
  <w:footnote w:type="continuationSeparator" w:id="0">
    <w:p w:rsidR="00216FF4" w:rsidP="00C853D1" w:rsidRDefault="00216FF4" w14:paraId="49C04F52" w14:textId="77777777">
      <w:pPr>
        <w:spacing w:after="0" w:line="240" w:lineRule="auto"/>
      </w:pPr>
      <w:r>
        <w:continuationSeparator/>
      </w:r>
    </w:p>
  </w:footnote>
  <w:footnote w:type="continuationNotice" w:id="1">
    <w:p w:rsidR="00216FF4" w:rsidRDefault="00216FF4" w14:paraId="015C808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2C59A0" w:rsidTr="002C59A0" w14:paraId="282B3A75" w14:textId="77777777">
      <w:trPr>
        <w:trHeight w:val="141"/>
      </w:trPr>
      <w:tc>
        <w:tcPr>
          <w:tcW w:w="2404" w:type="dxa"/>
        </w:tcPr>
        <w:p w:rsidRPr="001B5FB6" w:rsidR="002C59A0" w:rsidP="002C59A0" w:rsidRDefault="002C59A0"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2C59A0" w:rsidP="002C59A0" w:rsidRDefault="002C59A0"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2C59A0" w:rsidTr="002C59A0" w14:paraId="46AFE2B4" w14:textId="77777777">
      <w:trPr>
        <w:trHeight w:val="276"/>
      </w:trPr>
      <w:tc>
        <w:tcPr>
          <w:tcW w:w="2404" w:type="dxa"/>
        </w:tcPr>
        <w:p w:rsidRPr="001B5FB6" w:rsidR="002C59A0" w:rsidP="002C59A0" w:rsidRDefault="002C59A0"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2C59A0" w:rsidP="002C59A0" w:rsidRDefault="002C59A0"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2C59A0" w:rsidTr="002C59A0" w14:paraId="1FA679E9" w14:textId="77777777">
      <w:trPr>
        <w:trHeight w:val="276"/>
      </w:trPr>
      <w:tc>
        <w:tcPr>
          <w:tcW w:w="2404" w:type="dxa"/>
        </w:tcPr>
        <w:p w:rsidRPr="001B5FB6" w:rsidR="002C59A0" w:rsidP="002C59A0" w:rsidRDefault="002C59A0"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2C59A0" w:rsidP="002C59A0" w:rsidRDefault="002C59A0"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2C59A0" w:rsidRDefault="0045726D"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8240;mso-wrap-edited:f;mso-width-percent:0;mso-height-percent:0;mso-position-horizontal:center;mso-position-horizontal-relative:margin;mso-position-vertical:center;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2C59A0" w:rsidRDefault="002C59A0" w14:paraId="435693B3" w14:textId="77777777">
    <w:pPr>
      <w:rPr>
        <w:sz w:val="18"/>
        <w:szCs w:val="18"/>
      </w:rPr>
    </w:pPr>
  </w:p>
  <w:tbl>
    <w:tblPr>
      <w:tblStyle w:val="Tablaconcuadrcula"/>
      <w:tblW w:w="6521" w:type="dxa"/>
      <w:tblInd w:w="3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2C59A0" w:rsidTr="004A1C0A" w14:paraId="1E2FF18B" w14:textId="77777777">
      <w:trPr>
        <w:trHeight w:val="141"/>
      </w:trPr>
      <w:tc>
        <w:tcPr>
          <w:tcW w:w="2404" w:type="dxa"/>
        </w:tcPr>
        <w:p w:rsidRPr="001B5FB6" w:rsidR="002C59A0" w:rsidP="00682222" w:rsidRDefault="002C59A0"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rsidRPr="00C853D1" w:rsidR="002C59A0" w:rsidP="00682222" w:rsidRDefault="00FF2ADF" w14:paraId="503BB8DE" w14:textId="5FC3911E">
          <w:pPr>
            <w:tabs>
              <w:tab w:val="right" w:pos="8838"/>
            </w:tabs>
            <w:ind w:left="-28" w:right="454"/>
            <w:rPr>
              <w:rFonts w:eastAsia="Calibri" w:cs="Tahoma"/>
            </w:rPr>
          </w:pPr>
          <w:r w:rsidRPr="00FF2ADF">
            <w:rPr>
              <w:rFonts w:eastAsia="Calibri" w:cs="Tahoma"/>
              <w:lang w:val="es-MX"/>
            </w:rPr>
            <w:t>03961/INFOEM/IP/RR/2022</w:t>
          </w:r>
        </w:p>
      </w:tc>
    </w:tr>
    <w:tr w:rsidR="002C59A0" w:rsidTr="004A1C0A" w14:paraId="110906AA" w14:textId="77777777">
      <w:trPr>
        <w:trHeight w:val="276"/>
      </w:trPr>
      <w:tc>
        <w:tcPr>
          <w:tcW w:w="2404" w:type="dxa"/>
        </w:tcPr>
        <w:p w:rsidRPr="001B5FB6" w:rsidR="002C59A0" w:rsidP="002C59A0" w:rsidRDefault="002C59A0"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4117" w:type="dxa"/>
        </w:tcPr>
        <w:p w:rsidRPr="00A8173F" w:rsidR="002C59A0" w:rsidP="00682222" w:rsidRDefault="00005E7C" w14:paraId="5C93113C" w14:textId="7FC8FB1B">
          <w:pPr>
            <w:tabs>
              <w:tab w:val="right" w:pos="8838"/>
            </w:tabs>
            <w:ind w:right="454"/>
            <w:rPr>
              <w:rFonts w:eastAsia="Calibri" w:cs="Tahoma"/>
              <w:lang w:val="es-MX"/>
            </w:rPr>
          </w:pPr>
          <w:r>
            <w:rPr>
              <w:rFonts w:eastAsia="Calibri" w:cs="Tahoma"/>
              <w:lang w:val="es-MX"/>
            </w:rPr>
            <w:t>Ayuntamiento de Toluca</w:t>
          </w:r>
        </w:p>
      </w:tc>
    </w:tr>
    <w:tr w:rsidR="002C59A0" w:rsidTr="004A1C0A" w14:paraId="065F2043" w14:textId="77777777">
      <w:trPr>
        <w:trHeight w:val="276"/>
      </w:trPr>
      <w:tc>
        <w:tcPr>
          <w:tcW w:w="2404" w:type="dxa"/>
        </w:tcPr>
        <w:p w:rsidRPr="001B5FB6" w:rsidR="002C59A0" w:rsidP="002C59A0" w:rsidRDefault="002C59A0"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rsidRPr="00A8173F" w:rsidR="002C59A0" w:rsidP="00682222" w:rsidRDefault="002C59A0"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2C59A0" w:rsidRDefault="0045726D" w14:paraId="0A6563BD" w14:textId="77777777">
    <w:pPr>
      <w:pStyle w:val="Encabezado"/>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8239;mso-wrap-edited:f;mso-width-percent:0;mso-height-percent:0;mso-position-horizontal:center;mso-position-horizontal-relative:margin;mso-position-vertical:center;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2C59A0" w:rsidTr="4651A0A3" w14:paraId="5D26797B" w14:textId="77777777">
      <w:trPr>
        <w:trHeight w:val="1546"/>
      </w:trPr>
      <w:tc>
        <w:tcPr>
          <w:tcW w:w="2127" w:type="dxa"/>
          <w:shd w:val="clear" w:color="auto" w:fill="auto"/>
          <w:tcMar/>
        </w:tcPr>
        <w:p w:rsidRPr="005C106F" w:rsidR="002C59A0" w:rsidP="002C59A0" w:rsidRDefault="002C59A0" w14:paraId="76E7DE43"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5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2C59A0" w:rsidTr="4651A0A3" w14:paraId="5CB74832" w14:textId="77777777">
            <w:trPr>
              <w:trHeight w:val="141"/>
            </w:trPr>
            <w:tc>
              <w:tcPr>
                <w:tcW w:w="2404" w:type="dxa"/>
                <w:tcMar/>
                <w:vAlign w:val="bottom"/>
              </w:tcPr>
              <w:p w:rsidRPr="001B5FB6" w:rsidR="002C59A0" w:rsidP="002C59A0" w:rsidRDefault="002C59A0" w14:paraId="38469831" w14:textId="77777777">
                <w:pPr>
                  <w:tabs>
                    <w:tab w:val="right" w:pos="8838"/>
                  </w:tabs>
                  <w:ind w:right="-105"/>
                  <w:rPr>
                    <w:rFonts w:eastAsia="Calibri" w:cs="Tahoma"/>
                    <w:b/>
                    <w:lang w:val="es-MX"/>
                  </w:rPr>
                </w:pPr>
                <w:r w:rsidRPr="001B5FB6">
                  <w:rPr>
                    <w:rFonts w:eastAsia="Calibri" w:cs="Tahoma"/>
                    <w:b/>
                    <w:lang w:val="es-MX"/>
                  </w:rPr>
                  <w:t>Recurso de Revisión:</w:t>
                </w:r>
              </w:p>
            </w:tc>
            <w:tc>
              <w:tcPr>
                <w:tcW w:w="4150" w:type="dxa"/>
                <w:tcMar/>
              </w:tcPr>
              <w:p w:rsidR="002C59A0" w:rsidP="002C59A0" w:rsidRDefault="002C59A0" w14:paraId="0749605A" w14:textId="77777777">
                <w:pPr>
                  <w:tabs>
                    <w:tab w:val="right" w:pos="8838"/>
                  </w:tabs>
                  <w:ind w:left="-28" w:right="-107"/>
                  <w:rPr>
                    <w:rFonts w:eastAsia="Calibri" w:cs="Tahoma"/>
                    <w:lang w:val="es-MX"/>
                  </w:rPr>
                </w:pPr>
              </w:p>
              <w:p w:rsidRPr="00C853D1" w:rsidR="002C59A0" w:rsidP="002C59A0" w:rsidRDefault="00FF2ADF" w14:paraId="25021A4A" w14:textId="42FF7E30">
                <w:pPr>
                  <w:tabs>
                    <w:tab w:val="right" w:pos="8838"/>
                  </w:tabs>
                  <w:ind w:left="-28" w:right="-107"/>
                  <w:rPr>
                    <w:rFonts w:eastAsia="Calibri" w:cs="Tahoma"/>
                  </w:rPr>
                </w:pPr>
                <w:r w:rsidRPr="00FF2ADF">
                  <w:rPr>
                    <w:rFonts w:eastAsia="Calibri" w:cs="Tahoma"/>
                    <w:lang w:val="es-MX"/>
                  </w:rPr>
                  <w:t>03961/INFOEM/IP/RR/2022</w:t>
                </w:r>
              </w:p>
            </w:tc>
          </w:tr>
          <w:tr w:rsidR="002C59A0" w:rsidTr="4651A0A3" w14:paraId="65D6C982" w14:textId="77777777">
            <w:trPr>
              <w:trHeight w:val="141"/>
            </w:trPr>
            <w:tc>
              <w:tcPr>
                <w:tcW w:w="2404" w:type="dxa"/>
                <w:tcMar/>
              </w:tcPr>
              <w:p w:rsidRPr="001B5FB6" w:rsidR="002C59A0" w:rsidP="002C59A0" w:rsidRDefault="002C59A0" w14:paraId="7E5992A8"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3405AF" w:rsidR="002C59A0" w:rsidP="4651A0A3" w:rsidRDefault="00FF2ADF" w14:paraId="4D5C37D5" w14:textId="659325F0">
                <w:pPr>
                  <w:pStyle w:val="Normal"/>
                  <w:tabs>
                    <w:tab w:val="right" w:leader="none" w:pos="8838"/>
                  </w:tabs>
                  <w:bidi w:val="0"/>
                  <w:spacing w:before="0" w:beforeAutospacing="off" w:after="0" w:afterAutospacing="off" w:line="259" w:lineRule="auto"/>
                  <w:ind w:left="0" w:right="-107"/>
                  <w:jc w:val="both"/>
                  <w:rPr>
                    <w:rFonts w:ascii="Palatino Linotype" w:hAnsi="Palatino Linotype" w:eastAsia="Calibri" w:cs=""/>
                    <w:color w:val="000000" w:themeColor="text1" w:themeTint="FF" w:themeShade="FF"/>
                    <w:highlight w:val="black"/>
                    <w:lang w:val="es-MX"/>
                  </w:rPr>
                </w:pPr>
                <w:r w:rsidRPr="4651A0A3" w:rsidR="4651A0A3">
                  <w:rPr>
                    <w:rFonts w:eastAsia="Calibri" w:cs="Tahoma"/>
                    <w:highlight w:val="black"/>
                    <w:lang w:val="es-MX"/>
                  </w:rPr>
                  <w:t>XXXXXXXXXXXXXX</w:t>
                </w:r>
              </w:p>
            </w:tc>
          </w:tr>
          <w:tr w:rsidR="002C59A0" w:rsidTr="4651A0A3" w14:paraId="40A995EA" w14:textId="77777777">
            <w:trPr>
              <w:trHeight w:val="276"/>
            </w:trPr>
            <w:tc>
              <w:tcPr>
                <w:tcW w:w="2404" w:type="dxa"/>
                <w:tcMar/>
              </w:tcPr>
              <w:p w:rsidRPr="001B5FB6" w:rsidR="002C59A0" w:rsidP="002C59A0" w:rsidRDefault="002C59A0"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4150" w:type="dxa"/>
                <w:tcMar/>
              </w:tcPr>
              <w:p w:rsidRPr="00C853D1" w:rsidR="002C59A0" w:rsidP="002C59A0" w:rsidRDefault="00005E7C" w14:paraId="433E1B49" w14:textId="73B26D5E">
                <w:pPr>
                  <w:tabs>
                    <w:tab w:val="right" w:pos="8838"/>
                  </w:tabs>
                  <w:ind w:right="-107"/>
                  <w:rPr>
                    <w:rFonts w:eastAsia="Calibri" w:cs="Tahoma"/>
                    <w:lang w:val="es-MX"/>
                  </w:rPr>
                </w:pPr>
                <w:r>
                  <w:rPr>
                    <w:rFonts w:eastAsia="Calibri" w:cs="Tahoma"/>
                    <w:lang w:val="es-MX"/>
                  </w:rPr>
                  <w:t>Ayuntamiento de Toluca</w:t>
                </w:r>
              </w:p>
            </w:tc>
          </w:tr>
          <w:tr w:rsidR="002C59A0" w:rsidTr="4651A0A3" w14:paraId="386AB112" w14:textId="77777777">
            <w:trPr>
              <w:trHeight w:val="276"/>
            </w:trPr>
            <w:tc>
              <w:tcPr>
                <w:tcW w:w="2404" w:type="dxa"/>
                <w:tcMar/>
              </w:tcPr>
              <w:p w:rsidRPr="001B5FB6" w:rsidR="002C59A0" w:rsidP="002C59A0" w:rsidRDefault="002C59A0"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4150" w:type="dxa"/>
                <w:tcMar/>
              </w:tcPr>
              <w:p w:rsidRPr="00A8173F" w:rsidR="002C59A0" w:rsidP="002C59A0" w:rsidRDefault="002C59A0"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2C59A0" w:rsidP="002C59A0" w:rsidRDefault="002C59A0" w14:paraId="7017D3D5" w14:textId="77777777">
          <w:pPr>
            <w:tabs>
              <w:tab w:val="right" w:pos="8838"/>
            </w:tabs>
            <w:ind w:left="-28"/>
            <w:rPr>
              <w:rFonts w:ascii="Arial" w:hAnsi="Arial" w:eastAsia="Calibri" w:cs="Arial"/>
              <w:b/>
            </w:rPr>
          </w:pPr>
        </w:p>
      </w:tc>
    </w:tr>
  </w:tbl>
  <w:p w:rsidR="002C59A0" w:rsidRDefault="0045726D"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8238;mso-wrap-edited:f;mso-width-percent:0;mso-height-percent:0;mso-position-horizontal-relative:margin;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094424A5"/>
    <w:multiLevelType w:val="hybridMultilevel"/>
    <w:tmpl w:val="167E239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706CCC"/>
    <w:multiLevelType w:val="hybridMultilevel"/>
    <w:tmpl w:val="4C56E9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2A660B2"/>
    <w:multiLevelType w:val="hybridMultilevel"/>
    <w:tmpl w:val="D618D1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30940A0"/>
    <w:multiLevelType w:val="hybridMultilevel"/>
    <w:tmpl w:val="DBF002C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4905CBB"/>
    <w:multiLevelType w:val="hybridMultilevel"/>
    <w:tmpl w:val="56207AD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3" w15:restartNumberingAfterBreak="0">
    <w:nsid w:val="31425BB2"/>
    <w:multiLevelType w:val="hybridMultilevel"/>
    <w:tmpl w:val="1FD6B6B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33F50772"/>
    <w:multiLevelType w:val="hybridMultilevel"/>
    <w:tmpl w:val="92625556"/>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6" w15:restartNumberingAfterBreak="0">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35E2DB0"/>
    <w:multiLevelType w:val="hybridMultilevel"/>
    <w:tmpl w:val="FBC2CC0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9" w15:restartNumberingAfterBreak="0">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511C5B28"/>
    <w:multiLevelType w:val="hybridMultilevel"/>
    <w:tmpl w:val="B906971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8" w15:restartNumberingAfterBreak="0">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4" w15:restartNumberingAfterBreak="0">
    <w:nsid w:val="7D806E4E"/>
    <w:multiLevelType w:val="hybridMultilevel"/>
    <w:tmpl w:val="4E76674A"/>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4335520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169232">
    <w:abstractNumId w:val="2"/>
  </w:num>
  <w:num w:numId="3" w16cid:durableId="1267884270">
    <w:abstractNumId w:val="10"/>
  </w:num>
  <w:num w:numId="4" w16cid:durableId="1307197225">
    <w:abstractNumId w:val="16"/>
  </w:num>
  <w:num w:numId="5" w16cid:durableId="612175880">
    <w:abstractNumId w:val="26"/>
  </w:num>
  <w:num w:numId="6" w16cid:durableId="1333099379">
    <w:abstractNumId w:val="24"/>
  </w:num>
  <w:num w:numId="7" w16cid:durableId="4122406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3643448">
    <w:abstractNumId w:val="4"/>
  </w:num>
  <w:num w:numId="9" w16cid:durableId="953175145">
    <w:abstractNumId w:val="31"/>
  </w:num>
  <w:num w:numId="10" w16cid:durableId="424574641">
    <w:abstractNumId w:val="5"/>
  </w:num>
  <w:num w:numId="11" w16cid:durableId="293367193">
    <w:abstractNumId w:val="23"/>
  </w:num>
  <w:num w:numId="12" w16cid:durableId="1490513255">
    <w:abstractNumId w:val="19"/>
  </w:num>
  <w:num w:numId="13" w16cid:durableId="288705801">
    <w:abstractNumId w:val="32"/>
  </w:num>
  <w:num w:numId="14" w16cid:durableId="1905293986">
    <w:abstractNumId w:val="25"/>
  </w:num>
  <w:num w:numId="15" w16cid:durableId="1311596351">
    <w:abstractNumId w:val="20"/>
  </w:num>
  <w:num w:numId="16" w16cid:durableId="1188107508">
    <w:abstractNumId w:val="28"/>
  </w:num>
  <w:num w:numId="17" w16cid:durableId="964584171">
    <w:abstractNumId w:val="18"/>
  </w:num>
  <w:num w:numId="18" w16cid:durableId="953639465">
    <w:abstractNumId w:val="29"/>
  </w:num>
  <w:num w:numId="19" w16cid:durableId="397021515">
    <w:abstractNumId w:val="11"/>
  </w:num>
  <w:num w:numId="20" w16cid:durableId="1864055048">
    <w:abstractNumId w:val="0"/>
  </w:num>
  <w:num w:numId="21" w16cid:durableId="938221327">
    <w:abstractNumId w:val="27"/>
  </w:num>
  <w:num w:numId="22" w16cid:durableId="1897812031">
    <w:abstractNumId w:val="15"/>
  </w:num>
  <w:num w:numId="23" w16cid:durableId="1707371057">
    <w:abstractNumId w:val="13"/>
  </w:num>
  <w:num w:numId="24" w16cid:durableId="1198543818">
    <w:abstractNumId w:val="7"/>
  </w:num>
  <w:num w:numId="25" w16cid:durableId="180555804">
    <w:abstractNumId w:val="14"/>
  </w:num>
  <w:num w:numId="26" w16cid:durableId="979530814">
    <w:abstractNumId w:val="22"/>
  </w:num>
  <w:num w:numId="27" w16cid:durableId="1931620911">
    <w:abstractNumId w:val="9"/>
  </w:num>
  <w:num w:numId="28" w16cid:durableId="1796363173">
    <w:abstractNumId w:val="8"/>
  </w:num>
  <w:num w:numId="29" w16cid:durableId="2049796617">
    <w:abstractNumId w:val="34"/>
  </w:num>
  <w:num w:numId="30" w16cid:durableId="270867472">
    <w:abstractNumId w:val="17"/>
  </w:num>
  <w:num w:numId="31" w16cid:durableId="1851335519">
    <w:abstractNumId w:val="3"/>
  </w:num>
  <w:num w:numId="32" w16cid:durableId="277419691">
    <w:abstractNumId w:val="6"/>
  </w:num>
  <w:num w:numId="33" w16cid:durableId="1923760272">
    <w:abstractNumId w:val="1"/>
  </w:num>
  <w:num w:numId="34" w16cid:durableId="1732145229">
    <w:abstractNumId w:val="33"/>
  </w:num>
  <w:num w:numId="35" w16cid:durableId="9130046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832919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F87"/>
    <w:rsid w:val="00002E53"/>
    <w:rsid w:val="000039BC"/>
    <w:rsid w:val="000051F1"/>
    <w:rsid w:val="000059A8"/>
    <w:rsid w:val="00005E7C"/>
    <w:rsid w:val="00007008"/>
    <w:rsid w:val="00007EB8"/>
    <w:rsid w:val="0001499A"/>
    <w:rsid w:val="00017A8F"/>
    <w:rsid w:val="00017D8C"/>
    <w:rsid w:val="000223B0"/>
    <w:rsid w:val="00027F27"/>
    <w:rsid w:val="00027FA3"/>
    <w:rsid w:val="00030561"/>
    <w:rsid w:val="0003131B"/>
    <w:rsid w:val="000403C2"/>
    <w:rsid w:val="000477C6"/>
    <w:rsid w:val="00050169"/>
    <w:rsid w:val="000519B8"/>
    <w:rsid w:val="00052A57"/>
    <w:rsid w:val="00053A6B"/>
    <w:rsid w:val="00054A18"/>
    <w:rsid w:val="000567BD"/>
    <w:rsid w:val="000614FE"/>
    <w:rsid w:val="00061FDD"/>
    <w:rsid w:val="000624D0"/>
    <w:rsid w:val="00062AAC"/>
    <w:rsid w:val="00062C8B"/>
    <w:rsid w:val="00065B42"/>
    <w:rsid w:val="000705A9"/>
    <w:rsid w:val="00081145"/>
    <w:rsid w:val="00084A29"/>
    <w:rsid w:val="00085525"/>
    <w:rsid w:val="0009103C"/>
    <w:rsid w:val="00093914"/>
    <w:rsid w:val="000939CD"/>
    <w:rsid w:val="00096694"/>
    <w:rsid w:val="000A18E3"/>
    <w:rsid w:val="000A2588"/>
    <w:rsid w:val="000A259F"/>
    <w:rsid w:val="000A2A5D"/>
    <w:rsid w:val="000A61A2"/>
    <w:rsid w:val="000A62FA"/>
    <w:rsid w:val="000A6BB0"/>
    <w:rsid w:val="000A7187"/>
    <w:rsid w:val="000A785D"/>
    <w:rsid w:val="000B0EAF"/>
    <w:rsid w:val="000B350E"/>
    <w:rsid w:val="000B7029"/>
    <w:rsid w:val="000C715C"/>
    <w:rsid w:val="000D1A72"/>
    <w:rsid w:val="000D2522"/>
    <w:rsid w:val="000D45D9"/>
    <w:rsid w:val="000D59F5"/>
    <w:rsid w:val="000D69EB"/>
    <w:rsid w:val="000D6E68"/>
    <w:rsid w:val="000D73F7"/>
    <w:rsid w:val="000E28E6"/>
    <w:rsid w:val="000E4E10"/>
    <w:rsid w:val="000E7F83"/>
    <w:rsid w:val="000F05A6"/>
    <w:rsid w:val="000F2A9A"/>
    <w:rsid w:val="000F3403"/>
    <w:rsid w:val="000F45A1"/>
    <w:rsid w:val="001004CE"/>
    <w:rsid w:val="00100EB3"/>
    <w:rsid w:val="0010232F"/>
    <w:rsid w:val="0010413E"/>
    <w:rsid w:val="001059E3"/>
    <w:rsid w:val="00105EF9"/>
    <w:rsid w:val="00107995"/>
    <w:rsid w:val="0011000C"/>
    <w:rsid w:val="001105F1"/>
    <w:rsid w:val="00115309"/>
    <w:rsid w:val="001202DE"/>
    <w:rsid w:val="00120881"/>
    <w:rsid w:val="0012662A"/>
    <w:rsid w:val="00127836"/>
    <w:rsid w:val="001302E7"/>
    <w:rsid w:val="00130842"/>
    <w:rsid w:val="00133D89"/>
    <w:rsid w:val="00134C39"/>
    <w:rsid w:val="00142455"/>
    <w:rsid w:val="00146731"/>
    <w:rsid w:val="001601CC"/>
    <w:rsid w:val="00161E74"/>
    <w:rsid w:val="00164599"/>
    <w:rsid w:val="00165E88"/>
    <w:rsid w:val="001672DE"/>
    <w:rsid w:val="001674D7"/>
    <w:rsid w:val="001675D9"/>
    <w:rsid w:val="0017427D"/>
    <w:rsid w:val="00174F57"/>
    <w:rsid w:val="00175405"/>
    <w:rsid w:val="00175572"/>
    <w:rsid w:val="00180003"/>
    <w:rsid w:val="00184349"/>
    <w:rsid w:val="00184D7C"/>
    <w:rsid w:val="001900B4"/>
    <w:rsid w:val="00190EBA"/>
    <w:rsid w:val="001935D3"/>
    <w:rsid w:val="00194DD1"/>
    <w:rsid w:val="0019678D"/>
    <w:rsid w:val="001972F5"/>
    <w:rsid w:val="001A4813"/>
    <w:rsid w:val="001A641F"/>
    <w:rsid w:val="001B0166"/>
    <w:rsid w:val="001B3B40"/>
    <w:rsid w:val="001B77BD"/>
    <w:rsid w:val="001C1007"/>
    <w:rsid w:val="001C1FDF"/>
    <w:rsid w:val="001C207F"/>
    <w:rsid w:val="001C241D"/>
    <w:rsid w:val="001C3C7E"/>
    <w:rsid w:val="001C3D02"/>
    <w:rsid w:val="001C614D"/>
    <w:rsid w:val="001C6764"/>
    <w:rsid w:val="001D02DD"/>
    <w:rsid w:val="001D37BB"/>
    <w:rsid w:val="001E1814"/>
    <w:rsid w:val="001E386E"/>
    <w:rsid w:val="001E60E5"/>
    <w:rsid w:val="001E6D1F"/>
    <w:rsid w:val="001E7300"/>
    <w:rsid w:val="001F162F"/>
    <w:rsid w:val="001F2D90"/>
    <w:rsid w:val="001F50EB"/>
    <w:rsid w:val="001F7C51"/>
    <w:rsid w:val="00202760"/>
    <w:rsid w:val="00204AF1"/>
    <w:rsid w:val="0020771C"/>
    <w:rsid w:val="002111A8"/>
    <w:rsid w:val="00213776"/>
    <w:rsid w:val="0021520E"/>
    <w:rsid w:val="00216FF4"/>
    <w:rsid w:val="00220583"/>
    <w:rsid w:val="0022261D"/>
    <w:rsid w:val="00235BA0"/>
    <w:rsid w:val="002402DE"/>
    <w:rsid w:val="002419E9"/>
    <w:rsid w:val="0024313A"/>
    <w:rsid w:val="00246B2F"/>
    <w:rsid w:val="0024712D"/>
    <w:rsid w:val="002501D2"/>
    <w:rsid w:val="00251A4C"/>
    <w:rsid w:val="00252EF3"/>
    <w:rsid w:val="0025433F"/>
    <w:rsid w:val="00254436"/>
    <w:rsid w:val="002557A7"/>
    <w:rsid w:val="002565C9"/>
    <w:rsid w:val="00257F3B"/>
    <w:rsid w:val="00260AAA"/>
    <w:rsid w:val="00261807"/>
    <w:rsid w:val="00261BED"/>
    <w:rsid w:val="002634E5"/>
    <w:rsid w:val="002718A0"/>
    <w:rsid w:val="00271D9C"/>
    <w:rsid w:val="00272886"/>
    <w:rsid w:val="00273E3B"/>
    <w:rsid w:val="0027410D"/>
    <w:rsid w:val="00276ACA"/>
    <w:rsid w:val="00276F3B"/>
    <w:rsid w:val="0028305A"/>
    <w:rsid w:val="00296E2A"/>
    <w:rsid w:val="002A233D"/>
    <w:rsid w:val="002A5C31"/>
    <w:rsid w:val="002B3565"/>
    <w:rsid w:val="002B3FDA"/>
    <w:rsid w:val="002B54AE"/>
    <w:rsid w:val="002B7626"/>
    <w:rsid w:val="002C1472"/>
    <w:rsid w:val="002C514D"/>
    <w:rsid w:val="002C59A0"/>
    <w:rsid w:val="002C6390"/>
    <w:rsid w:val="002C7309"/>
    <w:rsid w:val="002D138E"/>
    <w:rsid w:val="002D2E5D"/>
    <w:rsid w:val="002D6434"/>
    <w:rsid w:val="002D6EEA"/>
    <w:rsid w:val="002E0552"/>
    <w:rsid w:val="002E05D6"/>
    <w:rsid w:val="002E25E7"/>
    <w:rsid w:val="002E333F"/>
    <w:rsid w:val="002E33E8"/>
    <w:rsid w:val="002E5CED"/>
    <w:rsid w:val="002F68E2"/>
    <w:rsid w:val="00300286"/>
    <w:rsid w:val="0030168D"/>
    <w:rsid w:val="00302A3E"/>
    <w:rsid w:val="003100D3"/>
    <w:rsid w:val="00311288"/>
    <w:rsid w:val="003114A1"/>
    <w:rsid w:val="00311811"/>
    <w:rsid w:val="00315103"/>
    <w:rsid w:val="003160D6"/>
    <w:rsid w:val="00316C63"/>
    <w:rsid w:val="00320671"/>
    <w:rsid w:val="003208B9"/>
    <w:rsid w:val="00320B93"/>
    <w:rsid w:val="003265A2"/>
    <w:rsid w:val="00334B20"/>
    <w:rsid w:val="00335981"/>
    <w:rsid w:val="00336980"/>
    <w:rsid w:val="0034462A"/>
    <w:rsid w:val="00345528"/>
    <w:rsid w:val="00350D55"/>
    <w:rsid w:val="003537E3"/>
    <w:rsid w:val="00355553"/>
    <w:rsid w:val="003573DF"/>
    <w:rsid w:val="00360690"/>
    <w:rsid w:val="00362DE2"/>
    <w:rsid w:val="00363046"/>
    <w:rsid w:val="0036370E"/>
    <w:rsid w:val="003647F7"/>
    <w:rsid w:val="00365075"/>
    <w:rsid w:val="003702B8"/>
    <w:rsid w:val="0037194C"/>
    <w:rsid w:val="00371DAE"/>
    <w:rsid w:val="00372BAB"/>
    <w:rsid w:val="00376559"/>
    <w:rsid w:val="00380368"/>
    <w:rsid w:val="00381E74"/>
    <w:rsid w:val="00381FDE"/>
    <w:rsid w:val="00382850"/>
    <w:rsid w:val="00383C11"/>
    <w:rsid w:val="00384A4A"/>
    <w:rsid w:val="0038632C"/>
    <w:rsid w:val="0038779D"/>
    <w:rsid w:val="00390733"/>
    <w:rsid w:val="003936D2"/>
    <w:rsid w:val="003955C4"/>
    <w:rsid w:val="003975AD"/>
    <w:rsid w:val="00397660"/>
    <w:rsid w:val="003A1B84"/>
    <w:rsid w:val="003A4895"/>
    <w:rsid w:val="003A7D5C"/>
    <w:rsid w:val="003B0BA2"/>
    <w:rsid w:val="003B46DC"/>
    <w:rsid w:val="003B744E"/>
    <w:rsid w:val="003C2ED7"/>
    <w:rsid w:val="003C470A"/>
    <w:rsid w:val="003C5B59"/>
    <w:rsid w:val="003D0D3A"/>
    <w:rsid w:val="003D15D4"/>
    <w:rsid w:val="003D30B4"/>
    <w:rsid w:val="003D3467"/>
    <w:rsid w:val="003D4A58"/>
    <w:rsid w:val="003D7ED4"/>
    <w:rsid w:val="003E0631"/>
    <w:rsid w:val="003E2FB0"/>
    <w:rsid w:val="003E6425"/>
    <w:rsid w:val="003E7060"/>
    <w:rsid w:val="003F0CE1"/>
    <w:rsid w:val="003F0E14"/>
    <w:rsid w:val="003F0F63"/>
    <w:rsid w:val="004010D6"/>
    <w:rsid w:val="004059D0"/>
    <w:rsid w:val="00405B57"/>
    <w:rsid w:val="00406C6D"/>
    <w:rsid w:val="004122A9"/>
    <w:rsid w:val="00413F33"/>
    <w:rsid w:val="00414ACB"/>
    <w:rsid w:val="00415A15"/>
    <w:rsid w:val="00415A25"/>
    <w:rsid w:val="00416C15"/>
    <w:rsid w:val="00417EED"/>
    <w:rsid w:val="0042422A"/>
    <w:rsid w:val="00425CB1"/>
    <w:rsid w:val="00430B0D"/>
    <w:rsid w:val="00433CAA"/>
    <w:rsid w:val="00433FD2"/>
    <w:rsid w:val="00437F4A"/>
    <w:rsid w:val="004417E2"/>
    <w:rsid w:val="004421EC"/>
    <w:rsid w:val="00442C3B"/>
    <w:rsid w:val="00445A6F"/>
    <w:rsid w:val="00450E6E"/>
    <w:rsid w:val="004519BF"/>
    <w:rsid w:val="00452038"/>
    <w:rsid w:val="004542DC"/>
    <w:rsid w:val="0045448F"/>
    <w:rsid w:val="004548CD"/>
    <w:rsid w:val="0045726D"/>
    <w:rsid w:val="0046049F"/>
    <w:rsid w:val="00460EAD"/>
    <w:rsid w:val="00462A63"/>
    <w:rsid w:val="004633F1"/>
    <w:rsid w:val="00463A70"/>
    <w:rsid w:val="00464242"/>
    <w:rsid w:val="00465EC8"/>
    <w:rsid w:val="004673C4"/>
    <w:rsid w:val="00467751"/>
    <w:rsid w:val="00470A7A"/>
    <w:rsid w:val="00470AF6"/>
    <w:rsid w:val="00471A6E"/>
    <w:rsid w:val="00472F9D"/>
    <w:rsid w:val="00473242"/>
    <w:rsid w:val="00474538"/>
    <w:rsid w:val="00474E4C"/>
    <w:rsid w:val="00476ED1"/>
    <w:rsid w:val="00480527"/>
    <w:rsid w:val="004829B9"/>
    <w:rsid w:val="004839B5"/>
    <w:rsid w:val="0048648B"/>
    <w:rsid w:val="0048697B"/>
    <w:rsid w:val="00487B38"/>
    <w:rsid w:val="00490550"/>
    <w:rsid w:val="0049061B"/>
    <w:rsid w:val="00491C3E"/>
    <w:rsid w:val="00494387"/>
    <w:rsid w:val="004949AC"/>
    <w:rsid w:val="00496426"/>
    <w:rsid w:val="00496531"/>
    <w:rsid w:val="004A1C0A"/>
    <w:rsid w:val="004A1E88"/>
    <w:rsid w:val="004A27DB"/>
    <w:rsid w:val="004A2DCA"/>
    <w:rsid w:val="004A33F1"/>
    <w:rsid w:val="004A528D"/>
    <w:rsid w:val="004B15BE"/>
    <w:rsid w:val="004B38FC"/>
    <w:rsid w:val="004B720F"/>
    <w:rsid w:val="004B726A"/>
    <w:rsid w:val="004C1B53"/>
    <w:rsid w:val="004C34C6"/>
    <w:rsid w:val="004C3C1A"/>
    <w:rsid w:val="004D15B6"/>
    <w:rsid w:val="004D2468"/>
    <w:rsid w:val="004D4220"/>
    <w:rsid w:val="004D4C9B"/>
    <w:rsid w:val="004D5266"/>
    <w:rsid w:val="004D66A3"/>
    <w:rsid w:val="004D6DDD"/>
    <w:rsid w:val="004E1BF6"/>
    <w:rsid w:val="004E2875"/>
    <w:rsid w:val="004E3B3E"/>
    <w:rsid w:val="004E5602"/>
    <w:rsid w:val="004E617D"/>
    <w:rsid w:val="004E6D06"/>
    <w:rsid w:val="004F4445"/>
    <w:rsid w:val="004F6003"/>
    <w:rsid w:val="004F662C"/>
    <w:rsid w:val="004F736C"/>
    <w:rsid w:val="004F7666"/>
    <w:rsid w:val="004F7F90"/>
    <w:rsid w:val="005020B6"/>
    <w:rsid w:val="0050427F"/>
    <w:rsid w:val="00504E02"/>
    <w:rsid w:val="00506EFE"/>
    <w:rsid w:val="00506F24"/>
    <w:rsid w:val="00507733"/>
    <w:rsid w:val="00510CFB"/>
    <w:rsid w:val="00513F33"/>
    <w:rsid w:val="00515CA2"/>
    <w:rsid w:val="00516A21"/>
    <w:rsid w:val="00517B06"/>
    <w:rsid w:val="00520182"/>
    <w:rsid w:val="00522F3F"/>
    <w:rsid w:val="005230CF"/>
    <w:rsid w:val="00523E88"/>
    <w:rsid w:val="00524D81"/>
    <w:rsid w:val="005277CB"/>
    <w:rsid w:val="00532C46"/>
    <w:rsid w:val="00533C3F"/>
    <w:rsid w:val="00534853"/>
    <w:rsid w:val="00534932"/>
    <w:rsid w:val="005355AD"/>
    <w:rsid w:val="00537072"/>
    <w:rsid w:val="0054028E"/>
    <w:rsid w:val="00540994"/>
    <w:rsid w:val="005420CA"/>
    <w:rsid w:val="005455A6"/>
    <w:rsid w:val="00547EF1"/>
    <w:rsid w:val="00550CA8"/>
    <w:rsid w:val="00550D10"/>
    <w:rsid w:val="00551230"/>
    <w:rsid w:val="005706CC"/>
    <w:rsid w:val="00571737"/>
    <w:rsid w:val="00572AAD"/>
    <w:rsid w:val="005747FF"/>
    <w:rsid w:val="00580853"/>
    <w:rsid w:val="00581915"/>
    <w:rsid w:val="00583138"/>
    <w:rsid w:val="005861E7"/>
    <w:rsid w:val="00587FE6"/>
    <w:rsid w:val="00593E62"/>
    <w:rsid w:val="0059523B"/>
    <w:rsid w:val="005957E2"/>
    <w:rsid w:val="00596883"/>
    <w:rsid w:val="005A0BBF"/>
    <w:rsid w:val="005A3C89"/>
    <w:rsid w:val="005A5845"/>
    <w:rsid w:val="005B1631"/>
    <w:rsid w:val="005B5271"/>
    <w:rsid w:val="005C40CA"/>
    <w:rsid w:val="005C5CBF"/>
    <w:rsid w:val="005C6308"/>
    <w:rsid w:val="005C6804"/>
    <w:rsid w:val="005C7219"/>
    <w:rsid w:val="005D2ABF"/>
    <w:rsid w:val="005D2E05"/>
    <w:rsid w:val="005D3368"/>
    <w:rsid w:val="005E0A33"/>
    <w:rsid w:val="005E1588"/>
    <w:rsid w:val="005E38CA"/>
    <w:rsid w:val="005E3C14"/>
    <w:rsid w:val="005E4483"/>
    <w:rsid w:val="005E5646"/>
    <w:rsid w:val="005F0AA5"/>
    <w:rsid w:val="005F0F77"/>
    <w:rsid w:val="005F251F"/>
    <w:rsid w:val="005F2BAD"/>
    <w:rsid w:val="005F4E56"/>
    <w:rsid w:val="00601202"/>
    <w:rsid w:val="006026B5"/>
    <w:rsid w:val="00604FB9"/>
    <w:rsid w:val="00606229"/>
    <w:rsid w:val="00607213"/>
    <w:rsid w:val="00607F00"/>
    <w:rsid w:val="006104AD"/>
    <w:rsid w:val="006134B9"/>
    <w:rsid w:val="0061403D"/>
    <w:rsid w:val="00614CDB"/>
    <w:rsid w:val="00621E91"/>
    <w:rsid w:val="00625925"/>
    <w:rsid w:val="00631373"/>
    <w:rsid w:val="00631FD1"/>
    <w:rsid w:val="0063438C"/>
    <w:rsid w:val="00635177"/>
    <w:rsid w:val="0063599F"/>
    <w:rsid w:val="006441E1"/>
    <w:rsid w:val="00644838"/>
    <w:rsid w:val="00644CE6"/>
    <w:rsid w:val="006473A8"/>
    <w:rsid w:val="006507ED"/>
    <w:rsid w:val="00650EB5"/>
    <w:rsid w:val="006510F8"/>
    <w:rsid w:val="00653E62"/>
    <w:rsid w:val="006565CC"/>
    <w:rsid w:val="00660363"/>
    <w:rsid w:val="00660E60"/>
    <w:rsid w:val="006631C9"/>
    <w:rsid w:val="006642B4"/>
    <w:rsid w:val="006703A5"/>
    <w:rsid w:val="006733E5"/>
    <w:rsid w:val="006762D7"/>
    <w:rsid w:val="00676911"/>
    <w:rsid w:val="00682222"/>
    <w:rsid w:val="00687641"/>
    <w:rsid w:val="00687F9C"/>
    <w:rsid w:val="006901C3"/>
    <w:rsid w:val="0069249E"/>
    <w:rsid w:val="00695E03"/>
    <w:rsid w:val="006A0781"/>
    <w:rsid w:val="006A0B45"/>
    <w:rsid w:val="006A1691"/>
    <w:rsid w:val="006A4247"/>
    <w:rsid w:val="006A4E8D"/>
    <w:rsid w:val="006A60B0"/>
    <w:rsid w:val="006B06CA"/>
    <w:rsid w:val="006B5B3E"/>
    <w:rsid w:val="006C03ED"/>
    <w:rsid w:val="006D1782"/>
    <w:rsid w:val="006D30DB"/>
    <w:rsid w:val="006D325C"/>
    <w:rsid w:val="006D4AB9"/>
    <w:rsid w:val="006D6F5A"/>
    <w:rsid w:val="006E035D"/>
    <w:rsid w:val="006E0643"/>
    <w:rsid w:val="006E1A0E"/>
    <w:rsid w:val="006E2CA9"/>
    <w:rsid w:val="006E353E"/>
    <w:rsid w:val="006E5273"/>
    <w:rsid w:val="006F0508"/>
    <w:rsid w:val="006F3217"/>
    <w:rsid w:val="006F6104"/>
    <w:rsid w:val="00706604"/>
    <w:rsid w:val="0072101E"/>
    <w:rsid w:val="00721566"/>
    <w:rsid w:val="00723CF2"/>
    <w:rsid w:val="007241C0"/>
    <w:rsid w:val="00724A49"/>
    <w:rsid w:val="007268C8"/>
    <w:rsid w:val="007268F6"/>
    <w:rsid w:val="00726A94"/>
    <w:rsid w:val="007273DA"/>
    <w:rsid w:val="00732599"/>
    <w:rsid w:val="007359A2"/>
    <w:rsid w:val="00740CD0"/>
    <w:rsid w:val="007411C8"/>
    <w:rsid w:val="007430FE"/>
    <w:rsid w:val="00743B72"/>
    <w:rsid w:val="00744439"/>
    <w:rsid w:val="00745AEC"/>
    <w:rsid w:val="007474FF"/>
    <w:rsid w:val="00750797"/>
    <w:rsid w:val="00750A9D"/>
    <w:rsid w:val="007550F6"/>
    <w:rsid w:val="007556BC"/>
    <w:rsid w:val="007558D3"/>
    <w:rsid w:val="0075605D"/>
    <w:rsid w:val="0076077F"/>
    <w:rsid w:val="00762999"/>
    <w:rsid w:val="00763125"/>
    <w:rsid w:val="00763B92"/>
    <w:rsid w:val="00765809"/>
    <w:rsid w:val="00771352"/>
    <w:rsid w:val="00771725"/>
    <w:rsid w:val="00772009"/>
    <w:rsid w:val="007745CA"/>
    <w:rsid w:val="00774742"/>
    <w:rsid w:val="00775D8A"/>
    <w:rsid w:val="00776368"/>
    <w:rsid w:val="00782132"/>
    <w:rsid w:val="0079077D"/>
    <w:rsid w:val="007913A4"/>
    <w:rsid w:val="00792748"/>
    <w:rsid w:val="00796733"/>
    <w:rsid w:val="007A0941"/>
    <w:rsid w:val="007A0978"/>
    <w:rsid w:val="007A0D0B"/>
    <w:rsid w:val="007A5334"/>
    <w:rsid w:val="007A66D1"/>
    <w:rsid w:val="007B18F1"/>
    <w:rsid w:val="007B1AA2"/>
    <w:rsid w:val="007C2BFF"/>
    <w:rsid w:val="007C385B"/>
    <w:rsid w:val="007C42E6"/>
    <w:rsid w:val="007C53B9"/>
    <w:rsid w:val="007C7F7D"/>
    <w:rsid w:val="007D171D"/>
    <w:rsid w:val="007D35D6"/>
    <w:rsid w:val="007D42C2"/>
    <w:rsid w:val="007D5661"/>
    <w:rsid w:val="007D779A"/>
    <w:rsid w:val="007D7AB9"/>
    <w:rsid w:val="007E1C77"/>
    <w:rsid w:val="007E2548"/>
    <w:rsid w:val="007E38E8"/>
    <w:rsid w:val="007E5D97"/>
    <w:rsid w:val="007E600B"/>
    <w:rsid w:val="007F06F2"/>
    <w:rsid w:val="007F2021"/>
    <w:rsid w:val="007F400F"/>
    <w:rsid w:val="007F507C"/>
    <w:rsid w:val="007F7D92"/>
    <w:rsid w:val="008006C4"/>
    <w:rsid w:val="00800FED"/>
    <w:rsid w:val="0080401B"/>
    <w:rsid w:val="00804053"/>
    <w:rsid w:val="00804248"/>
    <w:rsid w:val="00810184"/>
    <w:rsid w:val="008116CF"/>
    <w:rsid w:val="00812A0C"/>
    <w:rsid w:val="00812CFA"/>
    <w:rsid w:val="0081663D"/>
    <w:rsid w:val="0082087F"/>
    <w:rsid w:val="00820C1B"/>
    <w:rsid w:val="00823130"/>
    <w:rsid w:val="00825475"/>
    <w:rsid w:val="0082578E"/>
    <w:rsid w:val="008262C2"/>
    <w:rsid w:val="00826FBE"/>
    <w:rsid w:val="00827B0C"/>
    <w:rsid w:val="00831EAC"/>
    <w:rsid w:val="00834A0C"/>
    <w:rsid w:val="00836F1F"/>
    <w:rsid w:val="00841990"/>
    <w:rsid w:val="00842168"/>
    <w:rsid w:val="00842704"/>
    <w:rsid w:val="00843AB9"/>
    <w:rsid w:val="00845AB7"/>
    <w:rsid w:val="008463E2"/>
    <w:rsid w:val="008508E2"/>
    <w:rsid w:val="00850A5F"/>
    <w:rsid w:val="00852049"/>
    <w:rsid w:val="008538DF"/>
    <w:rsid w:val="00853ACB"/>
    <w:rsid w:val="00853F28"/>
    <w:rsid w:val="0085649B"/>
    <w:rsid w:val="00857F62"/>
    <w:rsid w:val="008603D2"/>
    <w:rsid w:val="008644E3"/>
    <w:rsid w:val="008654D0"/>
    <w:rsid w:val="00867011"/>
    <w:rsid w:val="008702B3"/>
    <w:rsid w:val="008756A6"/>
    <w:rsid w:val="008760EF"/>
    <w:rsid w:val="00880F6A"/>
    <w:rsid w:val="00881518"/>
    <w:rsid w:val="00883D63"/>
    <w:rsid w:val="00884387"/>
    <w:rsid w:val="00884AD3"/>
    <w:rsid w:val="00892595"/>
    <w:rsid w:val="008934EE"/>
    <w:rsid w:val="008948AD"/>
    <w:rsid w:val="008949CD"/>
    <w:rsid w:val="00896B99"/>
    <w:rsid w:val="008977F6"/>
    <w:rsid w:val="00897AC3"/>
    <w:rsid w:val="00897D57"/>
    <w:rsid w:val="008A34BD"/>
    <w:rsid w:val="008A43BA"/>
    <w:rsid w:val="008B0792"/>
    <w:rsid w:val="008B2FFC"/>
    <w:rsid w:val="008B42C1"/>
    <w:rsid w:val="008B4F02"/>
    <w:rsid w:val="008B5B74"/>
    <w:rsid w:val="008C1062"/>
    <w:rsid w:val="008C4F3D"/>
    <w:rsid w:val="008C5A8C"/>
    <w:rsid w:val="008C7C01"/>
    <w:rsid w:val="008D1382"/>
    <w:rsid w:val="008D4F4A"/>
    <w:rsid w:val="008E3B00"/>
    <w:rsid w:val="008E7022"/>
    <w:rsid w:val="008E702E"/>
    <w:rsid w:val="008F1584"/>
    <w:rsid w:val="008F2DD7"/>
    <w:rsid w:val="008F3FB3"/>
    <w:rsid w:val="008F436E"/>
    <w:rsid w:val="008F5FA0"/>
    <w:rsid w:val="008F619E"/>
    <w:rsid w:val="00904433"/>
    <w:rsid w:val="00904CFA"/>
    <w:rsid w:val="00907631"/>
    <w:rsid w:val="00911857"/>
    <w:rsid w:val="00911D65"/>
    <w:rsid w:val="0091221A"/>
    <w:rsid w:val="00912D87"/>
    <w:rsid w:val="009144C6"/>
    <w:rsid w:val="0091790E"/>
    <w:rsid w:val="009237C1"/>
    <w:rsid w:val="009264DB"/>
    <w:rsid w:val="00927AEA"/>
    <w:rsid w:val="0093192E"/>
    <w:rsid w:val="0093249D"/>
    <w:rsid w:val="009366D5"/>
    <w:rsid w:val="009402FE"/>
    <w:rsid w:val="009418D2"/>
    <w:rsid w:val="00942065"/>
    <w:rsid w:val="009430B1"/>
    <w:rsid w:val="00943E54"/>
    <w:rsid w:val="009508A6"/>
    <w:rsid w:val="00951B5E"/>
    <w:rsid w:val="00951F34"/>
    <w:rsid w:val="0096288F"/>
    <w:rsid w:val="00963588"/>
    <w:rsid w:val="009660F7"/>
    <w:rsid w:val="00967589"/>
    <w:rsid w:val="00970A7D"/>
    <w:rsid w:val="00977207"/>
    <w:rsid w:val="0097775B"/>
    <w:rsid w:val="00977D0A"/>
    <w:rsid w:val="00980165"/>
    <w:rsid w:val="00985714"/>
    <w:rsid w:val="00993F22"/>
    <w:rsid w:val="009A4D2B"/>
    <w:rsid w:val="009A57DD"/>
    <w:rsid w:val="009B1AE5"/>
    <w:rsid w:val="009B2A82"/>
    <w:rsid w:val="009B2F68"/>
    <w:rsid w:val="009B31FE"/>
    <w:rsid w:val="009B3CF0"/>
    <w:rsid w:val="009B426E"/>
    <w:rsid w:val="009B772D"/>
    <w:rsid w:val="009C0C2C"/>
    <w:rsid w:val="009C1CED"/>
    <w:rsid w:val="009C36C6"/>
    <w:rsid w:val="009C6891"/>
    <w:rsid w:val="009D03DE"/>
    <w:rsid w:val="009D03F2"/>
    <w:rsid w:val="009D4D92"/>
    <w:rsid w:val="009D53AC"/>
    <w:rsid w:val="009D60B1"/>
    <w:rsid w:val="009D6CD2"/>
    <w:rsid w:val="009D7F75"/>
    <w:rsid w:val="009E3B82"/>
    <w:rsid w:val="009E5AC3"/>
    <w:rsid w:val="009E6313"/>
    <w:rsid w:val="009F508D"/>
    <w:rsid w:val="009F78B3"/>
    <w:rsid w:val="00A0114C"/>
    <w:rsid w:val="00A05BA1"/>
    <w:rsid w:val="00A1044E"/>
    <w:rsid w:val="00A12996"/>
    <w:rsid w:val="00A143DD"/>
    <w:rsid w:val="00A159E8"/>
    <w:rsid w:val="00A17DFE"/>
    <w:rsid w:val="00A22D36"/>
    <w:rsid w:val="00A26733"/>
    <w:rsid w:val="00A27233"/>
    <w:rsid w:val="00A3342E"/>
    <w:rsid w:val="00A41C4A"/>
    <w:rsid w:val="00A44740"/>
    <w:rsid w:val="00A46802"/>
    <w:rsid w:val="00A477DA"/>
    <w:rsid w:val="00A47DC9"/>
    <w:rsid w:val="00A50618"/>
    <w:rsid w:val="00A519CC"/>
    <w:rsid w:val="00A523E1"/>
    <w:rsid w:val="00A556D2"/>
    <w:rsid w:val="00A62844"/>
    <w:rsid w:val="00A6477D"/>
    <w:rsid w:val="00A649DF"/>
    <w:rsid w:val="00A662F3"/>
    <w:rsid w:val="00A715FF"/>
    <w:rsid w:val="00A7345F"/>
    <w:rsid w:val="00A760F1"/>
    <w:rsid w:val="00A77BAC"/>
    <w:rsid w:val="00A82B69"/>
    <w:rsid w:val="00A91D47"/>
    <w:rsid w:val="00A92676"/>
    <w:rsid w:val="00A944F4"/>
    <w:rsid w:val="00A95337"/>
    <w:rsid w:val="00A97944"/>
    <w:rsid w:val="00AA484B"/>
    <w:rsid w:val="00AA64FB"/>
    <w:rsid w:val="00AB0C45"/>
    <w:rsid w:val="00AB26B7"/>
    <w:rsid w:val="00AB4685"/>
    <w:rsid w:val="00AC44E4"/>
    <w:rsid w:val="00AC4743"/>
    <w:rsid w:val="00AC5758"/>
    <w:rsid w:val="00AC6254"/>
    <w:rsid w:val="00AD02F5"/>
    <w:rsid w:val="00AD4CDA"/>
    <w:rsid w:val="00AD546F"/>
    <w:rsid w:val="00AD5B92"/>
    <w:rsid w:val="00AD663B"/>
    <w:rsid w:val="00AD6FA4"/>
    <w:rsid w:val="00AE1BEB"/>
    <w:rsid w:val="00AE29CA"/>
    <w:rsid w:val="00AE3AE5"/>
    <w:rsid w:val="00AE58ED"/>
    <w:rsid w:val="00AE6E01"/>
    <w:rsid w:val="00AF469B"/>
    <w:rsid w:val="00AF5260"/>
    <w:rsid w:val="00AF5CDA"/>
    <w:rsid w:val="00B01566"/>
    <w:rsid w:val="00B042A0"/>
    <w:rsid w:val="00B06C0F"/>
    <w:rsid w:val="00B125A8"/>
    <w:rsid w:val="00B15379"/>
    <w:rsid w:val="00B20B03"/>
    <w:rsid w:val="00B211ED"/>
    <w:rsid w:val="00B22E82"/>
    <w:rsid w:val="00B25B74"/>
    <w:rsid w:val="00B265BF"/>
    <w:rsid w:val="00B30B2A"/>
    <w:rsid w:val="00B30B57"/>
    <w:rsid w:val="00B30D07"/>
    <w:rsid w:val="00B31157"/>
    <w:rsid w:val="00B332FC"/>
    <w:rsid w:val="00B33A5D"/>
    <w:rsid w:val="00B43451"/>
    <w:rsid w:val="00B4500A"/>
    <w:rsid w:val="00B46370"/>
    <w:rsid w:val="00B46D38"/>
    <w:rsid w:val="00B50F7D"/>
    <w:rsid w:val="00B5197F"/>
    <w:rsid w:val="00B561F9"/>
    <w:rsid w:val="00B57547"/>
    <w:rsid w:val="00B57EC4"/>
    <w:rsid w:val="00B606C3"/>
    <w:rsid w:val="00B60710"/>
    <w:rsid w:val="00B6255E"/>
    <w:rsid w:val="00B65640"/>
    <w:rsid w:val="00B70C84"/>
    <w:rsid w:val="00B73AE4"/>
    <w:rsid w:val="00B8071B"/>
    <w:rsid w:val="00B808EE"/>
    <w:rsid w:val="00B81498"/>
    <w:rsid w:val="00B82D8E"/>
    <w:rsid w:val="00B8591E"/>
    <w:rsid w:val="00B85DBE"/>
    <w:rsid w:val="00B922BD"/>
    <w:rsid w:val="00B935E7"/>
    <w:rsid w:val="00B959E4"/>
    <w:rsid w:val="00BA0189"/>
    <w:rsid w:val="00BA122E"/>
    <w:rsid w:val="00BA48D6"/>
    <w:rsid w:val="00BA75B1"/>
    <w:rsid w:val="00BB1C7F"/>
    <w:rsid w:val="00BB672D"/>
    <w:rsid w:val="00BC012A"/>
    <w:rsid w:val="00BC0CBD"/>
    <w:rsid w:val="00BC2DAE"/>
    <w:rsid w:val="00BC3F9C"/>
    <w:rsid w:val="00BC6F77"/>
    <w:rsid w:val="00BD6BDC"/>
    <w:rsid w:val="00BD7F02"/>
    <w:rsid w:val="00BE0C4E"/>
    <w:rsid w:val="00BE23DD"/>
    <w:rsid w:val="00BE2A2E"/>
    <w:rsid w:val="00BF0782"/>
    <w:rsid w:val="00BF0FAB"/>
    <w:rsid w:val="00BF27F5"/>
    <w:rsid w:val="00BF548C"/>
    <w:rsid w:val="00BF7714"/>
    <w:rsid w:val="00C00C97"/>
    <w:rsid w:val="00C00FE4"/>
    <w:rsid w:val="00C04901"/>
    <w:rsid w:val="00C04DBE"/>
    <w:rsid w:val="00C058EC"/>
    <w:rsid w:val="00C14652"/>
    <w:rsid w:val="00C160F9"/>
    <w:rsid w:val="00C169CE"/>
    <w:rsid w:val="00C171B9"/>
    <w:rsid w:val="00C20846"/>
    <w:rsid w:val="00C20F8A"/>
    <w:rsid w:val="00C21871"/>
    <w:rsid w:val="00C21CEE"/>
    <w:rsid w:val="00C228A9"/>
    <w:rsid w:val="00C252B9"/>
    <w:rsid w:val="00C26F66"/>
    <w:rsid w:val="00C334F1"/>
    <w:rsid w:val="00C35A21"/>
    <w:rsid w:val="00C452FF"/>
    <w:rsid w:val="00C513B1"/>
    <w:rsid w:val="00C546C5"/>
    <w:rsid w:val="00C60F81"/>
    <w:rsid w:val="00C67251"/>
    <w:rsid w:val="00C72970"/>
    <w:rsid w:val="00C72F8C"/>
    <w:rsid w:val="00C734DD"/>
    <w:rsid w:val="00C739D8"/>
    <w:rsid w:val="00C74988"/>
    <w:rsid w:val="00C76951"/>
    <w:rsid w:val="00C84C2B"/>
    <w:rsid w:val="00C853D1"/>
    <w:rsid w:val="00C85A96"/>
    <w:rsid w:val="00C93299"/>
    <w:rsid w:val="00CA0C1D"/>
    <w:rsid w:val="00CA2F84"/>
    <w:rsid w:val="00CB2B7B"/>
    <w:rsid w:val="00CB5A9E"/>
    <w:rsid w:val="00CC12D9"/>
    <w:rsid w:val="00CC2EBD"/>
    <w:rsid w:val="00CC38F5"/>
    <w:rsid w:val="00CC5561"/>
    <w:rsid w:val="00CC7111"/>
    <w:rsid w:val="00CC7EAC"/>
    <w:rsid w:val="00CD233B"/>
    <w:rsid w:val="00CD573E"/>
    <w:rsid w:val="00CD70E9"/>
    <w:rsid w:val="00CE04D7"/>
    <w:rsid w:val="00CF1FCE"/>
    <w:rsid w:val="00CF38E2"/>
    <w:rsid w:val="00CF5199"/>
    <w:rsid w:val="00CF7911"/>
    <w:rsid w:val="00D01015"/>
    <w:rsid w:val="00D02413"/>
    <w:rsid w:val="00D0396A"/>
    <w:rsid w:val="00D042E7"/>
    <w:rsid w:val="00D04493"/>
    <w:rsid w:val="00D059E5"/>
    <w:rsid w:val="00D060B7"/>
    <w:rsid w:val="00D069DF"/>
    <w:rsid w:val="00D104DB"/>
    <w:rsid w:val="00D10BBE"/>
    <w:rsid w:val="00D114F9"/>
    <w:rsid w:val="00D11E84"/>
    <w:rsid w:val="00D121F9"/>
    <w:rsid w:val="00D15032"/>
    <w:rsid w:val="00D15DAB"/>
    <w:rsid w:val="00D16932"/>
    <w:rsid w:val="00D16C0D"/>
    <w:rsid w:val="00D237F3"/>
    <w:rsid w:val="00D2535A"/>
    <w:rsid w:val="00D26EF0"/>
    <w:rsid w:val="00D27054"/>
    <w:rsid w:val="00D349C8"/>
    <w:rsid w:val="00D4202B"/>
    <w:rsid w:val="00D43062"/>
    <w:rsid w:val="00D43AC0"/>
    <w:rsid w:val="00D440B3"/>
    <w:rsid w:val="00D47266"/>
    <w:rsid w:val="00D5012F"/>
    <w:rsid w:val="00D53A0C"/>
    <w:rsid w:val="00D54BE8"/>
    <w:rsid w:val="00D553B2"/>
    <w:rsid w:val="00D603BF"/>
    <w:rsid w:val="00D60EB1"/>
    <w:rsid w:val="00D6200B"/>
    <w:rsid w:val="00D62C6E"/>
    <w:rsid w:val="00D6407D"/>
    <w:rsid w:val="00D640FF"/>
    <w:rsid w:val="00D64B0B"/>
    <w:rsid w:val="00D733EF"/>
    <w:rsid w:val="00D743C9"/>
    <w:rsid w:val="00D752D2"/>
    <w:rsid w:val="00D76975"/>
    <w:rsid w:val="00D772C9"/>
    <w:rsid w:val="00D77542"/>
    <w:rsid w:val="00D827A8"/>
    <w:rsid w:val="00D855D1"/>
    <w:rsid w:val="00D85A7D"/>
    <w:rsid w:val="00D86647"/>
    <w:rsid w:val="00D90E06"/>
    <w:rsid w:val="00D93EFD"/>
    <w:rsid w:val="00D94C0C"/>
    <w:rsid w:val="00D9561F"/>
    <w:rsid w:val="00D96276"/>
    <w:rsid w:val="00DA3751"/>
    <w:rsid w:val="00DA4FC6"/>
    <w:rsid w:val="00DA6768"/>
    <w:rsid w:val="00DA7965"/>
    <w:rsid w:val="00DB10DD"/>
    <w:rsid w:val="00DB18A2"/>
    <w:rsid w:val="00DB268E"/>
    <w:rsid w:val="00DB3BDF"/>
    <w:rsid w:val="00DB4728"/>
    <w:rsid w:val="00DB6D27"/>
    <w:rsid w:val="00DC02D8"/>
    <w:rsid w:val="00DC054A"/>
    <w:rsid w:val="00DC133E"/>
    <w:rsid w:val="00DC1375"/>
    <w:rsid w:val="00DC6387"/>
    <w:rsid w:val="00DD116F"/>
    <w:rsid w:val="00DD2536"/>
    <w:rsid w:val="00DD3459"/>
    <w:rsid w:val="00DD5573"/>
    <w:rsid w:val="00DD6442"/>
    <w:rsid w:val="00DD6D93"/>
    <w:rsid w:val="00DD7430"/>
    <w:rsid w:val="00DE2AB2"/>
    <w:rsid w:val="00DE5720"/>
    <w:rsid w:val="00DE6290"/>
    <w:rsid w:val="00DF2B03"/>
    <w:rsid w:val="00DF2DD7"/>
    <w:rsid w:val="00DF4326"/>
    <w:rsid w:val="00DF5A12"/>
    <w:rsid w:val="00DF63B1"/>
    <w:rsid w:val="00E00CF7"/>
    <w:rsid w:val="00E010F7"/>
    <w:rsid w:val="00E0369E"/>
    <w:rsid w:val="00E04D30"/>
    <w:rsid w:val="00E06552"/>
    <w:rsid w:val="00E07924"/>
    <w:rsid w:val="00E160CE"/>
    <w:rsid w:val="00E240BC"/>
    <w:rsid w:val="00E278F2"/>
    <w:rsid w:val="00E30E7E"/>
    <w:rsid w:val="00E317EA"/>
    <w:rsid w:val="00E32D11"/>
    <w:rsid w:val="00E33E03"/>
    <w:rsid w:val="00E34225"/>
    <w:rsid w:val="00E359A0"/>
    <w:rsid w:val="00E378A7"/>
    <w:rsid w:val="00E37EC0"/>
    <w:rsid w:val="00E4195D"/>
    <w:rsid w:val="00E41E5D"/>
    <w:rsid w:val="00E45953"/>
    <w:rsid w:val="00E462FF"/>
    <w:rsid w:val="00E46DA8"/>
    <w:rsid w:val="00E47B89"/>
    <w:rsid w:val="00E520E6"/>
    <w:rsid w:val="00E5473E"/>
    <w:rsid w:val="00E6067D"/>
    <w:rsid w:val="00E61E5E"/>
    <w:rsid w:val="00E625C7"/>
    <w:rsid w:val="00E766F9"/>
    <w:rsid w:val="00E81484"/>
    <w:rsid w:val="00E8346C"/>
    <w:rsid w:val="00E83494"/>
    <w:rsid w:val="00E84427"/>
    <w:rsid w:val="00E861B9"/>
    <w:rsid w:val="00E9186A"/>
    <w:rsid w:val="00E92B4A"/>
    <w:rsid w:val="00E93EDF"/>
    <w:rsid w:val="00E95172"/>
    <w:rsid w:val="00E966F3"/>
    <w:rsid w:val="00E9701C"/>
    <w:rsid w:val="00E97929"/>
    <w:rsid w:val="00EA0EBF"/>
    <w:rsid w:val="00EA1004"/>
    <w:rsid w:val="00EA2CF6"/>
    <w:rsid w:val="00EA30B1"/>
    <w:rsid w:val="00EA4522"/>
    <w:rsid w:val="00EB051B"/>
    <w:rsid w:val="00EB0AEA"/>
    <w:rsid w:val="00EB1A2F"/>
    <w:rsid w:val="00EB1E57"/>
    <w:rsid w:val="00EB3BEB"/>
    <w:rsid w:val="00EB43DB"/>
    <w:rsid w:val="00EB4A38"/>
    <w:rsid w:val="00EC01B9"/>
    <w:rsid w:val="00EC023F"/>
    <w:rsid w:val="00ED011D"/>
    <w:rsid w:val="00ED23EB"/>
    <w:rsid w:val="00ED5AEF"/>
    <w:rsid w:val="00EE23E5"/>
    <w:rsid w:val="00EE2F16"/>
    <w:rsid w:val="00EE53C5"/>
    <w:rsid w:val="00EF0402"/>
    <w:rsid w:val="00EF0D39"/>
    <w:rsid w:val="00EF5B2D"/>
    <w:rsid w:val="00EF5B87"/>
    <w:rsid w:val="00EF639E"/>
    <w:rsid w:val="00EF7967"/>
    <w:rsid w:val="00F03067"/>
    <w:rsid w:val="00F03666"/>
    <w:rsid w:val="00F05DDC"/>
    <w:rsid w:val="00F060A2"/>
    <w:rsid w:val="00F07CD6"/>
    <w:rsid w:val="00F121AE"/>
    <w:rsid w:val="00F15CC0"/>
    <w:rsid w:val="00F1662E"/>
    <w:rsid w:val="00F3096E"/>
    <w:rsid w:val="00F35A10"/>
    <w:rsid w:val="00F35F68"/>
    <w:rsid w:val="00F3717E"/>
    <w:rsid w:val="00F4029B"/>
    <w:rsid w:val="00F44120"/>
    <w:rsid w:val="00F46D09"/>
    <w:rsid w:val="00F516F1"/>
    <w:rsid w:val="00F54246"/>
    <w:rsid w:val="00F561D0"/>
    <w:rsid w:val="00F57154"/>
    <w:rsid w:val="00F622BA"/>
    <w:rsid w:val="00F679C8"/>
    <w:rsid w:val="00F7369F"/>
    <w:rsid w:val="00F74146"/>
    <w:rsid w:val="00F762D3"/>
    <w:rsid w:val="00F80F48"/>
    <w:rsid w:val="00F81A9B"/>
    <w:rsid w:val="00F821C8"/>
    <w:rsid w:val="00F860E9"/>
    <w:rsid w:val="00F926A0"/>
    <w:rsid w:val="00F96A7D"/>
    <w:rsid w:val="00FA3952"/>
    <w:rsid w:val="00FA5759"/>
    <w:rsid w:val="00FA6DC8"/>
    <w:rsid w:val="00FC21BA"/>
    <w:rsid w:val="00FC4CB0"/>
    <w:rsid w:val="00FC6454"/>
    <w:rsid w:val="00FC6B3E"/>
    <w:rsid w:val="00FD1A44"/>
    <w:rsid w:val="00FD7AF9"/>
    <w:rsid w:val="00FE3038"/>
    <w:rsid w:val="00FE53FE"/>
    <w:rsid w:val="00FE5E84"/>
    <w:rsid w:val="00FE7975"/>
    <w:rsid w:val="00FF2ADF"/>
    <w:rsid w:val="00FF4977"/>
    <w:rsid w:val="00FF69E9"/>
    <w:rsid w:val="00FF6DAF"/>
    <w:rsid w:val="4651A0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427F"/>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F07CD6"/>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07CD6"/>
    <w:pPr>
      <w:spacing w:after="0" w:line="240" w:lineRule="auto"/>
      <w:ind w:left="720"/>
      <w:contextualSpacing/>
    </w:pPr>
    <w:rPr>
      <w:rFonts w:eastAsia="Times New Roman" w:cs="Times New Roman"/>
      <w:szCs w:val="24"/>
      <w:lang w:eastAsia="es-ES"/>
    </w:rPr>
  </w:style>
  <w:style w:type="character" w:styleId="Mencinsinresolver">
    <w:name w:val="Unresolved Mention"/>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7769">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3716946">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3173">
      <w:bodyDiv w:val="1"/>
      <w:marLeft w:val="0"/>
      <w:marRight w:val="0"/>
      <w:marTop w:val="0"/>
      <w:marBottom w:val="0"/>
      <w:divBdr>
        <w:top w:val="none" w:sz="0" w:space="0" w:color="auto"/>
        <w:left w:val="none" w:sz="0" w:space="0" w:color="auto"/>
        <w:bottom w:val="none" w:sz="0" w:space="0" w:color="auto"/>
        <w:right w:val="none" w:sz="0" w:space="0" w:color="auto"/>
      </w:divBdr>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328887">
      <w:bodyDiv w:val="1"/>
      <w:marLeft w:val="0"/>
      <w:marRight w:val="0"/>
      <w:marTop w:val="0"/>
      <w:marBottom w:val="0"/>
      <w:divBdr>
        <w:top w:val="none" w:sz="0" w:space="0" w:color="auto"/>
        <w:left w:val="none" w:sz="0" w:space="0" w:color="auto"/>
        <w:bottom w:val="none" w:sz="0" w:space="0" w:color="auto"/>
        <w:right w:val="none" w:sz="0" w:space="0" w:color="auto"/>
      </w:divBdr>
    </w:div>
    <w:div w:id="1106389017">
      <w:bodyDiv w:val="1"/>
      <w:marLeft w:val="0"/>
      <w:marRight w:val="0"/>
      <w:marTop w:val="0"/>
      <w:marBottom w:val="0"/>
      <w:divBdr>
        <w:top w:val="none" w:sz="0" w:space="0" w:color="auto"/>
        <w:left w:val="none" w:sz="0" w:space="0" w:color="auto"/>
        <w:bottom w:val="none" w:sz="0" w:space="0" w:color="auto"/>
        <w:right w:val="none" w:sz="0" w:space="0" w:color="auto"/>
      </w:divBdr>
    </w:div>
    <w:div w:id="1126582591">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26302">
      <w:bodyDiv w:val="1"/>
      <w:marLeft w:val="0"/>
      <w:marRight w:val="0"/>
      <w:marTop w:val="0"/>
      <w:marBottom w:val="0"/>
      <w:divBdr>
        <w:top w:val="none" w:sz="0" w:space="0" w:color="auto"/>
        <w:left w:val="none" w:sz="0" w:space="0" w:color="auto"/>
        <w:bottom w:val="none" w:sz="0" w:space="0" w:color="auto"/>
        <w:right w:val="none" w:sz="0" w:space="0" w:color="auto"/>
      </w:divBdr>
    </w:div>
    <w:div w:id="1656296780">
      <w:bodyDiv w:val="1"/>
      <w:marLeft w:val="0"/>
      <w:marRight w:val="0"/>
      <w:marTop w:val="0"/>
      <w:marBottom w:val="0"/>
      <w:divBdr>
        <w:top w:val="none" w:sz="0" w:space="0" w:color="auto"/>
        <w:left w:val="none" w:sz="0" w:space="0" w:color="auto"/>
        <w:bottom w:val="none" w:sz="0" w:space="0" w:color="auto"/>
        <w:right w:val="none" w:sz="0" w:space="0" w:color="auto"/>
      </w:divBdr>
    </w:div>
    <w:div w:id="1698432375">
      <w:bodyDiv w:val="1"/>
      <w:marLeft w:val="0"/>
      <w:marRight w:val="0"/>
      <w:marTop w:val="0"/>
      <w:marBottom w:val="0"/>
      <w:divBdr>
        <w:top w:val="none" w:sz="0" w:space="0" w:color="auto"/>
        <w:left w:val="none" w:sz="0" w:space="0" w:color="auto"/>
        <w:bottom w:val="none" w:sz="0" w:space="0" w:color="auto"/>
        <w:right w:val="none" w:sz="0" w:space="0" w:color="auto"/>
      </w:divBdr>
    </w:div>
    <w:div w:id="1814329354">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208964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ecretariadoejecutivo.gob.mx/work/models/SecretariadoEjecutivo/Resource/328/1/images/instructivo_final_edo_fuerza(1).pdf" TargetMode="External"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footer" Target="footer3.xml" Id="rId21" /><Relationship Type="http://schemas.openxmlformats.org/officeDocument/2006/relationships/endnotes" Target="endnotes.xml" Id="rId7" /><Relationship Type="http://schemas.openxmlformats.org/officeDocument/2006/relationships/image" Target="media/image4.png"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image" Target="media/image5.png" Id="rId15" /><Relationship Type="http://schemas.openxmlformats.org/officeDocument/2006/relationships/theme" Target="theme/theme1.xml" Id="rId23" /><Relationship Type="http://schemas.openxmlformats.org/officeDocument/2006/relationships/hyperlink" Target="http://www.inafed.gob.mx/work/models/inafed/Resource/335/1/images/guia09_la_administracion_del_personal_municipal.pdf" TargetMode="External" Id="rId10"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www.gob.mx/sesnsp/acciones-y-programas/incidencia-delictiva-del-fuero-comun-nueva-metodologia?state=published" TargetMode="External" Id="rId14" /><Relationship Type="http://schemas.openxmlformats.org/officeDocument/2006/relationships/fontTable" Target="fontTable.xml" Id="rId22" /><Relationship Type="http://schemas.openxmlformats.org/officeDocument/2006/relationships/glossaryDocument" Target="glossary/document.xml" Id="R962034d2cb1d46f9" /></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3f291b0-f8cd-4a49-955e-45e8d22ca617}"/>
      </w:docPartPr>
      <w:docPartBody>
        <w:p w14:paraId="18644DEB">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5B29-71D8-5D48-8613-4044A99FE33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11</revision>
  <dcterms:created xsi:type="dcterms:W3CDTF">2022-06-23T15:28:00.0000000Z</dcterms:created>
  <dcterms:modified xsi:type="dcterms:W3CDTF">2022-07-13T05:06:34.7516297Z</dcterms:modified>
</coreProperties>
</file>