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79C7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catorce de septiembre de dos mil veintidós.</w:t>
      </w:r>
    </w:p>
    <w:p w14:paraId="5F59AC69" w14:textId="77777777" w:rsidR="00DA39BC" w:rsidRDefault="00DA39BC">
      <w:pPr>
        <w:spacing w:line="360" w:lineRule="auto"/>
        <w:jc w:val="both"/>
        <w:rPr>
          <w:rFonts w:ascii="Palatino Linotype" w:eastAsia="Palatino Linotype" w:hAnsi="Palatino Linotype" w:cs="Palatino Linotype"/>
          <w:b/>
        </w:rPr>
      </w:pPr>
    </w:p>
    <w:p w14:paraId="0E3820AC" w14:textId="143C4CF6"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06304/INFOEM/IP/RR/2022</w:t>
      </w:r>
      <w:r>
        <w:rPr>
          <w:rFonts w:ascii="Palatino Linotype" w:eastAsia="Palatino Linotype" w:hAnsi="Palatino Linotype" w:cs="Palatino Linotype"/>
        </w:rPr>
        <w:t xml:space="preserve">, interpuesto por </w:t>
      </w:r>
      <w:r w:rsidR="001A27F7">
        <w:rPr>
          <w:rFonts w:ascii="Palatino Linotype" w:eastAsia="Palatino Linotype" w:hAnsi="Palatino Linotype" w:cs="Palatino Linotype"/>
          <w:b/>
        </w:rPr>
        <w:t xml:space="preserve">XXXXXXX XXXX </w:t>
      </w:r>
      <w:proofErr w:type="spellStart"/>
      <w:r w:rsidR="001A27F7">
        <w:rPr>
          <w:rFonts w:ascii="Palatino Linotype" w:eastAsia="Palatino Linotype" w:hAnsi="Palatino Linotype" w:cs="Palatino Linotype"/>
          <w:b/>
        </w:rPr>
        <w:t>XXXX</w:t>
      </w:r>
      <w:proofErr w:type="spellEnd"/>
      <w:r>
        <w:rPr>
          <w:rFonts w:ascii="Palatino Linotype" w:eastAsia="Palatino Linotype" w:hAnsi="Palatino Linotype" w:cs="Palatino Linotype"/>
        </w:rPr>
        <w:t xml:space="preserve">, a quien se le denominará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00253/CUAUTIZC/IP/2022,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Cuautitlán Izcalli,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1A4A28E0" w14:textId="77777777" w:rsidR="00DA39BC" w:rsidRDefault="00B30168">
      <w:pPr>
        <w:numPr>
          <w:ilvl w:val="0"/>
          <w:numId w:val="8"/>
        </w:num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2A0ECA4E"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En fecha once de marzo de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473DD44" w14:textId="77777777" w:rsidR="00DA39BC" w:rsidRDefault="00DA39BC">
      <w:pPr>
        <w:spacing w:line="360" w:lineRule="auto"/>
        <w:jc w:val="both"/>
        <w:rPr>
          <w:rFonts w:ascii="Palatino Linotype" w:eastAsia="Palatino Linotype" w:hAnsi="Palatino Linotype" w:cs="Palatino Linotype"/>
        </w:rPr>
      </w:pPr>
    </w:p>
    <w:p w14:paraId="3BFC45C2" w14:textId="77777777" w:rsidR="00DA39BC" w:rsidRDefault="00B30168">
      <w:pPr>
        <w:spacing w:line="276"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“Quiero los recibos de nómina de los mandos medios y superiores de la última quincena de febrero 2022.” (Sic)</w:t>
      </w:r>
    </w:p>
    <w:p w14:paraId="580CE4F6" w14:textId="77777777" w:rsidR="00DA39BC" w:rsidRDefault="00DA39BC">
      <w:pPr>
        <w:spacing w:line="360" w:lineRule="auto"/>
        <w:jc w:val="both"/>
        <w:rPr>
          <w:rFonts w:ascii="Palatino Linotype" w:eastAsia="Palatino Linotype" w:hAnsi="Palatino Linotype" w:cs="Palatino Linotype"/>
          <w:b/>
        </w:rPr>
      </w:pPr>
    </w:p>
    <w:p w14:paraId="01B8A82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2416D002" w14:textId="77777777" w:rsidR="00DA39BC" w:rsidRDefault="00DA39BC">
      <w:pPr>
        <w:spacing w:line="360" w:lineRule="auto"/>
        <w:jc w:val="both"/>
        <w:rPr>
          <w:rFonts w:ascii="Palatino Linotype" w:eastAsia="Palatino Linotype" w:hAnsi="Palatino Linotype" w:cs="Palatino Linotype"/>
          <w:b/>
        </w:rPr>
      </w:pPr>
    </w:p>
    <w:p w14:paraId="1A36A44A"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veinte de abril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3D4960E8" w14:textId="77777777" w:rsidR="00DA39BC" w:rsidRDefault="00B30168">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3177CB2" w14:textId="77777777" w:rsidR="00DA39BC" w:rsidRDefault="00B30168">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Dirección de Administración. 1.- “Con fundamento en lo dispuesto por el artículo 6° de la Constitución Política de los Estados Unidos Mexicanos; 5° de la Constitución Política del Estado Libre y Soberano de México; 3 fracción XLV, 12, 23 fracción IV, 24 fracción XI y XXV, 25, 52 Y 88 de la Ley de Transparencia y Acceso a la Información Pública del Estado de México y Municipios; 86 de la Ley Orgánica Municipal del Estado de México; 24 fracción X del Bando Municipal 2022 de Cuautitlán Izcalli; 39 y 40 del Reglamento Interior de la Administración Pública Municipal de Cuautitlán Izcalli, Estado de México; en el ámbito de competencia de esta Dirección de Administración, y en atención a la Solicitud de Información Pública marcada con el número de folio 00253/CUAUTIZC/IP/2022 turnada a través del Sistema SAIMEX a esta Unidad Administrativa, en la que se solicitó lo siguiente: “Quiero los recibos de nómina de los mandos medios y superiores de la última quincena de febrero 2022” (SIC). </w:t>
      </w:r>
      <w:r>
        <w:rPr>
          <w:rFonts w:ascii="Palatino Linotype" w:eastAsia="Palatino Linotype" w:hAnsi="Palatino Linotype" w:cs="Palatino Linotype"/>
          <w:b/>
          <w:i/>
          <w:color w:val="000000"/>
          <w:sz w:val="22"/>
          <w:szCs w:val="22"/>
          <w:u w:val="single"/>
        </w:rPr>
        <w:t>Al respecto, se remite la respuesta emitida por la persona Encargada del Despacho de la Subdirección de Recursos Humanos, en la que brinda atención a la solicitud de mérito</w:t>
      </w:r>
      <w:r>
        <w:rPr>
          <w:rFonts w:ascii="Palatino Linotype" w:eastAsia="Palatino Linotype" w:hAnsi="Palatino Linotype" w:cs="Palatino Linotype"/>
          <w:i/>
          <w:color w:val="000000"/>
          <w:sz w:val="22"/>
          <w:szCs w:val="22"/>
        </w:rPr>
        <w:t>.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77179F63" w14:textId="77777777" w:rsidR="00DA39BC" w:rsidRDefault="00B30168">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604A9A4A" w14:textId="77777777" w:rsidR="00DA39BC" w:rsidRDefault="00B30168">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MTRA. MARÍA ISABEL CISNEROS MÁRQUEZ” (Sic)</w:t>
      </w:r>
    </w:p>
    <w:p w14:paraId="290DF681" w14:textId="77777777" w:rsidR="00DA39BC" w:rsidRDefault="00DA39BC">
      <w:pPr>
        <w:spacing w:line="360" w:lineRule="auto"/>
        <w:ind w:right="902"/>
        <w:jc w:val="both"/>
        <w:rPr>
          <w:rFonts w:ascii="Palatino Linotype" w:eastAsia="Palatino Linotype" w:hAnsi="Palatino Linotype" w:cs="Palatino Linotype"/>
          <w:i/>
          <w:color w:val="000000"/>
        </w:rPr>
      </w:pPr>
    </w:p>
    <w:p w14:paraId="17B682BD"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los archivos electrónicos denominados “ANEXO 00253.CUAUTIZC.IP.22.pdf” el cual contiene una relación con los nombres, cargo, adscripción y sueldo de diversos servidores públicos, dicho archivo se integra por un total de 5 hojas de la cuales solo se incorpora la primera a manera de ejemplo:</w:t>
      </w:r>
    </w:p>
    <w:p w14:paraId="4FC25843"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0E2143AF" wp14:editId="2D2E49D2">
            <wp:extent cx="5531134" cy="2368672"/>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531134" cy="2368672"/>
                    </a:xfrm>
                    <a:prstGeom prst="rect">
                      <a:avLst/>
                    </a:prstGeom>
                    <a:ln/>
                  </pic:spPr>
                </pic:pic>
              </a:graphicData>
            </a:graphic>
          </wp:inline>
        </w:drawing>
      </w:r>
    </w:p>
    <w:p w14:paraId="6DC0E6BE" w14:textId="77777777" w:rsidR="00DA39BC" w:rsidRDefault="00DA39BC">
      <w:pPr>
        <w:spacing w:line="360" w:lineRule="auto"/>
        <w:jc w:val="both"/>
        <w:rPr>
          <w:rFonts w:ascii="Palatino Linotype" w:eastAsia="Palatino Linotype" w:hAnsi="Palatino Linotype" w:cs="Palatino Linotype"/>
        </w:rPr>
      </w:pPr>
    </w:p>
    <w:p w14:paraId="1C60F026"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“ACUSE 00253.CUAUTIZC.IP.22.pdf”, mismo que contiene lo siguiente: </w:t>
      </w:r>
    </w:p>
    <w:p w14:paraId="4DE9B5A6" w14:textId="77777777" w:rsidR="00DA39BC" w:rsidRDefault="00DA39BC">
      <w:pPr>
        <w:spacing w:line="360" w:lineRule="auto"/>
        <w:jc w:val="both"/>
        <w:rPr>
          <w:rFonts w:ascii="Palatino Linotype" w:eastAsia="Palatino Linotype" w:hAnsi="Palatino Linotype" w:cs="Palatino Linotype"/>
        </w:rPr>
      </w:pPr>
    </w:p>
    <w:p w14:paraId="19EA84F6" w14:textId="77777777" w:rsidR="00DA39BC" w:rsidRDefault="00B30168">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Número DA/2460/2022 signado por el Director de Administración, y dirigido a la Titular de la Coordinación de Transparencia, a través del cual señala que se remite la respuesta emitida por la persona encargada del Despacho de la Subdirección de Recursos Humanos, en la que brinda atención a la solicitud de mérito. </w:t>
      </w:r>
    </w:p>
    <w:p w14:paraId="54FB9B2C" w14:textId="77777777" w:rsidR="00DA39BC" w:rsidRDefault="00B30168">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número DA/SRH/0019/2022 signado por la encargada de despacho de la Subdirección de Recursos Humanos y dirigido al Director de </w:t>
      </w:r>
      <w:r>
        <w:rPr>
          <w:rFonts w:ascii="Palatino Linotype" w:eastAsia="Palatino Linotype" w:hAnsi="Palatino Linotype" w:cs="Palatino Linotype"/>
          <w:color w:val="000000"/>
        </w:rPr>
        <w:lastRenderedPageBreak/>
        <w:t>Administración a través del cual señala que “</w:t>
      </w:r>
      <w:r>
        <w:rPr>
          <w:rFonts w:ascii="Palatino Linotype" w:eastAsia="Palatino Linotype" w:hAnsi="Palatino Linotype" w:cs="Palatino Linotype"/>
          <w:b/>
          <w:i/>
          <w:color w:val="000000"/>
        </w:rPr>
        <w:t>esta dependencia administrativa estima que la información a la que se requiere  acceder es consultar las percepciones que tuvieron los mandos medios y superiores en la segunda quincena de febrero del año en curso. En este orden de ideas y con fundamento en los artículos 4, 6, 11, 12 y 23 fracción IV de la Ley de Transparencia y Acceso a la Información Pública del Estado de México y Municipios; así como 39 y 40 del Reglamento Interior de la Administración Pública Municipal de Cuautitlán Izcalli, Estado de México; me permito adjunta al presente el archivo electrónico con la base de datos de las percepciones de mandos medios y superiores de la segunda quincena de febrero de la presente anualidad</w:t>
      </w:r>
      <w:r>
        <w:rPr>
          <w:rFonts w:ascii="Palatino Linotype" w:eastAsia="Palatino Linotype" w:hAnsi="Palatino Linotype" w:cs="Palatino Linotype"/>
          <w:color w:val="000000"/>
        </w:rPr>
        <w:t>.”</w:t>
      </w:r>
    </w:p>
    <w:p w14:paraId="537CBD9A" w14:textId="77777777" w:rsidR="00DA39BC" w:rsidRDefault="00DA39BC">
      <w:pPr>
        <w:spacing w:line="360" w:lineRule="auto"/>
        <w:jc w:val="both"/>
        <w:rPr>
          <w:rFonts w:ascii="Palatino Linotype" w:eastAsia="Palatino Linotype" w:hAnsi="Palatino Linotype" w:cs="Palatino Linotype"/>
          <w:b/>
        </w:rPr>
      </w:pPr>
    </w:p>
    <w:p w14:paraId="738295E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el solicitante interpuso el recurso de revisión a través del SAIMEX en fecha veintiuno de abril del dos mil veintidós, a través del cual expresó lo siguiente:</w:t>
      </w:r>
    </w:p>
    <w:p w14:paraId="73BCF03E" w14:textId="77777777" w:rsidR="00DA39BC" w:rsidRDefault="00DA39BC">
      <w:pPr>
        <w:spacing w:line="360" w:lineRule="auto"/>
        <w:jc w:val="both"/>
        <w:rPr>
          <w:rFonts w:ascii="Palatino Linotype" w:eastAsia="Palatino Linotype" w:hAnsi="Palatino Linotype" w:cs="Palatino Linotype"/>
        </w:rPr>
      </w:pPr>
    </w:p>
    <w:p w14:paraId="32595F27" w14:textId="77777777" w:rsidR="00DA39BC" w:rsidRDefault="00B30168">
      <w:pPr>
        <w:numPr>
          <w:ilvl w:val="0"/>
          <w:numId w:val="3"/>
        </w:num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Acto impugnado.</w:t>
      </w:r>
    </w:p>
    <w:p w14:paraId="29A432E9" w14:textId="77777777" w:rsidR="00DA39BC" w:rsidRDefault="00DA39BC">
      <w:pPr>
        <w:pBdr>
          <w:top w:val="nil"/>
          <w:left w:val="nil"/>
          <w:bottom w:val="nil"/>
          <w:right w:val="nil"/>
          <w:between w:val="nil"/>
        </w:pBdr>
        <w:spacing w:line="360" w:lineRule="auto"/>
        <w:ind w:left="720"/>
        <w:rPr>
          <w:rFonts w:ascii="Palatino Linotype" w:eastAsia="Palatino Linotype" w:hAnsi="Palatino Linotype" w:cs="Palatino Linotype"/>
          <w:b/>
          <w:color w:val="000000"/>
          <w:sz w:val="22"/>
          <w:szCs w:val="22"/>
        </w:rPr>
      </w:pPr>
    </w:p>
    <w:p w14:paraId="1B41E306" w14:textId="77777777" w:rsidR="00DA39BC" w:rsidRDefault="00B30168">
      <w:pPr>
        <w:spacing w:line="360"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“entrega de información.” (Sic)</w:t>
      </w:r>
    </w:p>
    <w:p w14:paraId="49AF1081" w14:textId="77777777" w:rsidR="00DA39BC" w:rsidRDefault="00DA39BC">
      <w:pPr>
        <w:spacing w:line="360" w:lineRule="auto"/>
        <w:ind w:left="851" w:right="900"/>
        <w:jc w:val="both"/>
        <w:rPr>
          <w:rFonts w:ascii="Palatino Linotype" w:eastAsia="Palatino Linotype" w:hAnsi="Palatino Linotype" w:cs="Palatino Linotype"/>
          <w:i/>
          <w:color w:val="000000"/>
        </w:rPr>
      </w:pPr>
    </w:p>
    <w:p w14:paraId="5C190EF6" w14:textId="77777777" w:rsidR="00DA39BC" w:rsidRDefault="00B3016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Motivos de inconformidad.</w:t>
      </w:r>
    </w:p>
    <w:p w14:paraId="485FD500" w14:textId="77777777" w:rsidR="00DA39BC" w:rsidRDefault="00DA39BC">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1F7B2E7A" w14:textId="77777777" w:rsidR="00DA39BC" w:rsidRDefault="00B30168">
      <w:pPr>
        <w:spacing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“me inconformo toda vez que me entregan información procesada que no corresponde a lo solicitado ya que estiman , suponen, piensan, creen o consideran que la documentación que los </w:t>
      </w:r>
      <w:proofErr w:type="spellStart"/>
      <w:r>
        <w:rPr>
          <w:rFonts w:ascii="Palatino Linotype" w:eastAsia="Palatino Linotype" w:hAnsi="Palatino Linotype" w:cs="Palatino Linotype"/>
          <w:i/>
          <w:color w:val="000000"/>
          <w:sz w:val="22"/>
          <w:szCs w:val="22"/>
        </w:rPr>
        <w:t>izcalllenses</w:t>
      </w:r>
      <w:proofErr w:type="spellEnd"/>
      <w:r>
        <w:rPr>
          <w:rFonts w:ascii="Palatino Linotype" w:eastAsia="Palatino Linotype" w:hAnsi="Palatino Linotype" w:cs="Palatino Linotype"/>
          <w:i/>
          <w:color w:val="000000"/>
          <w:sz w:val="22"/>
          <w:szCs w:val="22"/>
        </w:rPr>
        <w:t xml:space="preserve"> pedimos en nuestro derecho rector a la </w:t>
      </w:r>
      <w:r>
        <w:rPr>
          <w:rFonts w:ascii="Palatino Linotype" w:eastAsia="Palatino Linotype" w:hAnsi="Palatino Linotype" w:cs="Palatino Linotype"/>
          <w:i/>
          <w:color w:val="000000"/>
          <w:sz w:val="22"/>
          <w:szCs w:val="22"/>
        </w:rPr>
        <w:lastRenderedPageBreak/>
        <w:t xml:space="preserve">información </w:t>
      </w:r>
      <w:proofErr w:type="spellStart"/>
      <w:r>
        <w:rPr>
          <w:rFonts w:ascii="Palatino Linotype" w:eastAsia="Palatino Linotype" w:hAnsi="Palatino Linotype" w:cs="Palatino Linotype"/>
          <w:i/>
          <w:color w:val="000000"/>
          <w:sz w:val="22"/>
          <w:szCs w:val="22"/>
        </w:rPr>
        <w:t>publica</w:t>
      </w:r>
      <w:proofErr w:type="spellEnd"/>
      <w:r>
        <w:rPr>
          <w:rFonts w:ascii="Palatino Linotype" w:eastAsia="Palatino Linotype" w:hAnsi="Palatino Linotype" w:cs="Palatino Linotype"/>
          <w:i/>
          <w:color w:val="000000"/>
          <w:sz w:val="22"/>
          <w:szCs w:val="22"/>
        </w:rPr>
        <w:t xml:space="preserve"> es como ellos lo tienen a bien determinar y no a lo que la ley dice</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 xml:space="preserve"> </w:t>
      </w:r>
      <w:proofErr w:type="gramStart"/>
      <w:r>
        <w:rPr>
          <w:rFonts w:ascii="Palatino Linotype" w:eastAsia="Palatino Linotype" w:hAnsi="Palatino Linotype" w:cs="Palatino Linotype"/>
          <w:i/>
          <w:color w:val="000000"/>
          <w:sz w:val="22"/>
          <w:szCs w:val="22"/>
        </w:rPr>
        <w:t>por</w:t>
      </w:r>
      <w:proofErr w:type="gramEnd"/>
      <w:r>
        <w:rPr>
          <w:rFonts w:ascii="Palatino Linotype" w:eastAsia="Palatino Linotype" w:hAnsi="Palatino Linotype" w:cs="Palatino Linotype"/>
          <w:i/>
          <w:color w:val="000000"/>
          <w:sz w:val="22"/>
          <w:szCs w:val="22"/>
        </w:rPr>
        <w:t xml:space="preserve"> eso ratifico mi inconformidad y se entregue lo solicitado..” (Sic)</w:t>
      </w:r>
    </w:p>
    <w:p w14:paraId="53B2D11D" w14:textId="77777777" w:rsidR="00DA39BC" w:rsidRDefault="00DA39BC">
      <w:pPr>
        <w:spacing w:line="276" w:lineRule="auto"/>
        <w:ind w:left="851" w:right="900"/>
        <w:jc w:val="both"/>
        <w:rPr>
          <w:rFonts w:ascii="Palatino Linotype" w:eastAsia="Palatino Linotype" w:hAnsi="Palatino Linotype" w:cs="Palatino Linotype"/>
          <w:i/>
          <w:color w:val="000000"/>
          <w:sz w:val="22"/>
          <w:szCs w:val="22"/>
        </w:rPr>
      </w:pPr>
    </w:p>
    <w:p w14:paraId="0E0D3ABA"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06304/INFOEM/IP/RR/2022 </w:t>
      </w:r>
      <w:r>
        <w:rPr>
          <w:rFonts w:ascii="Palatino Linotype" w:eastAsia="Palatino Linotype" w:hAnsi="Palatino Linotype" w:cs="Palatino Linotype"/>
        </w:rPr>
        <w:t>se turnó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2C92A858" w14:textId="77777777" w:rsidR="00DA39BC" w:rsidRDefault="00DA39BC">
      <w:pPr>
        <w:spacing w:line="360" w:lineRule="auto"/>
        <w:jc w:val="both"/>
        <w:rPr>
          <w:rFonts w:ascii="Palatino Linotype" w:eastAsia="Palatino Linotype" w:hAnsi="Palatino Linotype" w:cs="Palatino Linotype"/>
        </w:rPr>
      </w:pPr>
    </w:p>
    <w:p w14:paraId="11510958"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veintiséis de abril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CE0327C" w14:textId="77777777" w:rsidR="00DA39BC" w:rsidRDefault="00DA39BC">
      <w:pPr>
        <w:spacing w:line="360" w:lineRule="auto"/>
        <w:jc w:val="both"/>
        <w:rPr>
          <w:rFonts w:ascii="Palatino Linotype" w:eastAsia="Palatino Linotype" w:hAnsi="Palatino Linotype" w:cs="Palatino Linotype"/>
        </w:rPr>
      </w:pPr>
    </w:p>
    <w:p w14:paraId="6FFD9DC1" w14:textId="77777777" w:rsidR="00DA39BC" w:rsidRDefault="00B3016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actúan se advierte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omisa en ofrecer alegatos, por su parte, 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tres de mayo de dos mil veintidós, presentó su informe justificado a través del SAIMEX, mediante el archivo denominado “253-6304 INFORME JUSTIFICADO.pdf” tal como se observa en la imagen siguiente:</w:t>
      </w:r>
    </w:p>
    <w:p w14:paraId="6F99E5BA" w14:textId="77777777" w:rsidR="00DA39BC" w:rsidRDefault="00B3016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63D2CE6F" wp14:editId="29466DAA">
            <wp:extent cx="5534978" cy="3143250"/>
            <wp:effectExtent l="12700" t="12700" r="12700" b="1270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5601" t="8449" r="52647" b="42366"/>
                    <a:stretch>
                      <a:fillRect/>
                    </a:stretch>
                  </pic:blipFill>
                  <pic:spPr>
                    <a:xfrm>
                      <a:off x="0" y="0"/>
                      <a:ext cx="5534978" cy="3143250"/>
                    </a:xfrm>
                    <a:prstGeom prst="rect">
                      <a:avLst/>
                    </a:prstGeom>
                    <a:ln w="12700">
                      <a:solidFill>
                        <a:srgbClr val="5B9BD5"/>
                      </a:solidFill>
                      <a:prstDash val="solid"/>
                    </a:ln>
                  </pic:spPr>
                </pic:pic>
              </a:graphicData>
            </a:graphic>
          </wp:inline>
        </w:drawing>
      </w:r>
    </w:p>
    <w:p w14:paraId="7E0F1112" w14:textId="77777777" w:rsidR="00DA39BC" w:rsidRDefault="00B3016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  A través del cual, ratifica en términos generales su respuesta inicial, al señalar que “…</w:t>
      </w:r>
      <w:r>
        <w:rPr>
          <w:rFonts w:ascii="Palatino Linotype" w:eastAsia="Palatino Linotype" w:hAnsi="Palatino Linotype" w:cs="Palatino Linotype"/>
          <w:i/>
        </w:rPr>
        <w:t xml:space="preserve">esta Dirección advierte que efectivamente se remitió el archivo electrónico a que hizo referencia la persona encargada del despacho de la Subdirección de Recursos Humanos, en el que se dio cabal atención a la solicitud de información realizada por el entonces peticionario, ahora recurrente, teniendo en cuenta en todo momento que el derecho constitucional al acceso a la información pública es un eje sustancial dentro de un gobierno democrático. En razón de lo anterior, esta Dependencia puede verificar que el ahora recurrente expresa en su acto impugnado o razones o motivos de inconformidad, manifestaciones subjetivas que resultan de carácter inimputable a las atribuciones normativas conferidas a esta Dirección de Administración, por  lo que resulta ocioso emitir algún pronunciamiento al respecto, en virtud de que las mismas no constituyen hechos que pueden apreciarse con los sentidos, sin necesidad de conocimientos técnico-jurídicos. Así pues, toda vez que el acto impugnado resulta a todas luces inoperante, esta unidad administrativa se encuentra imposibilitada, material y jurídicamente para emitir pronunciamiento alguno, ya que en su momento </w:t>
      </w:r>
      <w:r>
        <w:rPr>
          <w:rFonts w:ascii="Palatino Linotype" w:eastAsia="Palatino Linotype" w:hAnsi="Palatino Linotype" w:cs="Palatino Linotype"/>
          <w:i/>
        </w:rPr>
        <w:lastRenderedPageBreak/>
        <w:t>cumplimentó en sus términos la solicitud primigenia ingresada por el ahora recurrente.”</w:t>
      </w:r>
    </w:p>
    <w:p w14:paraId="230ECD29" w14:textId="77777777" w:rsidR="00DA39BC" w:rsidRDefault="00DA39B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rPr>
      </w:pPr>
    </w:p>
    <w:p w14:paraId="09E16DD9" w14:textId="77777777" w:rsidR="00DA39BC" w:rsidRDefault="00B3016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“No omito manifestar que, el interés de la ciudadanía en general es consultar el sueldo base, cargo y área de adscripción de los servidores públicos de alguna institución pública, misma información que le fue otorgada al recurrente toda vez que, la demás información que contiene el comprobante fiscal digital por internet (CFDI) es contemplada como reservada y confidencial, como lo es el número de seguridad social, CURP, RFC, aportaciones de seguridad social, código QR, folios y cadenas fiscales, motivo por el cual se solicita </w:t>
      </w:r>
      <w:proofErr w:type="spellStart"/>
      <w:r>
        <w:rPr>
          <w:rFonts w:ascii="Palatino Linotype" w:eastAsia="Palatino Linotype" w:hAnsi="Palatino Linotype" w:cs="Palatino Linotype"/>
          <w:i/>
        </w:rPr>
        <w:t>se de</w:t>
      </w:r>
      <w:proofErr w:type="spellEnd"/>
      <w:r>
        <w:rPr>
          <w:rFonts w:ascii="Palatino Linotype" w:eastAsia="Palatino Linotype" w:hAnsi="Palatino Linotype" w:cs="Palatino Linotype"/>
          <w:i/>
        </w:rPr>
        <w:t xml:space="preserve"> por atendida la solicitud de información en referencia”</w:t>
      </w:r>
    </w:p>
    <w:p w14:paraId="283FCA0B" w14:textId="77777777" w:rsidR="00DA39BC" w:rsidRDefault="00DA39B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rPr>
      </w:pPr>
    </w:p>
    <w:p w14:paraId="3236C1EB"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En fecha diecisiete de agosto de dos mil veintidós, este Instituto con fundamento en el artículo 181, párrafo tercero, de la Ley de Transparencia y Acceso a la Información Pública del Estado de México y Municipios.</w:t>
      </w:r>
    </w:p>
    <w:p w14:paraId="79BA1781" w14:textId="77777777" w:rsidR="00DA39BC" w:rsidRDefault="00DA39BC">
      <w:pPr>
        <w:spacing w:line="360" w:lineRule="auto"/>
        <w:jc w:val="both"/>
        <w:rPr>
          <w:rFonts w:ascii="Palatino Linotype" w:eastAsia="Palatino Linotype" w:hAnsi="Palatino Linotype" w:cs="Palatino Linotype"/>
        </w:rPr>
      </w:pPr>
    </w:p>
    <w:p w14:paraId="7324A67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135E7A" w14:textId="77777777" w:rsidR="00DA39BC" w:rsidRDefault="00DA39BC">
      <w:pPr>
        <w:spacing w:line="360" w:lineRule="auto"/>
        <w:jc w:val="both"/>
        <w:rPr>
          <w:rFonts w:ascii="Palatino Linotype" w:eastAsia="Palatino Linotype" w:hAnsi="Palatino Linotype" w:cs="Palatino Linotype"/>
        </w:rPr>
      </w:pPr>
    </w:p>
    <w:p w14:paraId="621C452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19623BD" w14:textId="77777777" w:rsidR="00DA39BC" w:rsidRDefault="00DA39BC">
      <w:pPr>
        <w:spacing w:line="360" w:lineRule="auto"/>
        <w:jc w:val="both"/>
        <w:rPr>
          <w:rFonts w:ascii="Palatino Linotype" w:eastAsia="Palatino Linotype" w:hAnsi="Palatino Linotype" w:cs="Palatino Linotype"/>
        </w:rPr>
      </w:pPr>
    </w:p>
    <w:p w14:paraId="27E5EE7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F9245E" w14:textId="77777777" w:rsidR="00DA39BC" w:rsidRDefault="00DA39BC">
      <w:pPr>
        <w:spacing w:line="360" w:lineRule="auto"/>
        <w:jc w:val="both"/>
        <w:rPr>
          <w:rFonts w:ascii="Palatino Linotype" w:eastAsia="Palatino Linotype" w:hAnsi="Palatino Linotype" w:cs="Palatino Linotype"/>
        </w:rPr>
      </w:pPr>
    </w:p>
    <w:p w14:paraId="02F4F04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9B2D499" w14:textId="77777777" w:rsidR="00DA39BC" w:rsidRDefault="00DA39BC">
      <w:pPr>
        <w:spacing w:line="360" w:lineRule="auto"/>
        <w:jc w:val="both"/>
        <w:rPr>
          <w:rFonts w:ascii="Palatino Linotype" w:eastAsia="Palatino Linotype" w:hAnsi="Palatino Linotype" w:cs="Palatino Linotype"/>
        </w:rPr>
      </w:pPr>
    </w:p>
    <w:p w14:paraId="2C92AE47" w14:textId="77777777" w:rsidR="00DA39BC" w:rsidRDefault="00B30168">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34A936" w14:textId="77777777" w:rsidR="00DA39BC" w:rsidRDefault="00DA39BC">
      <w:pPr>
        <w:spacing w:line="360" w:lineRule="auto"/>
        <w:jc w:val="both"/>
        <w:rPr>
          <w:rFonts w:ascii="Palatino Linotype" w:eastAsia="Palatino Linotype" w:hAnsi="Palatino Linotype" w:cs="Palatino Linotype"/>
        </w:rPr>
      </w:pPr>
    </w:p>
    <w:p w14:paraId="094C3587" w14:textId="77777777" w:rsidR="00DA39BC" w:rsidRDefault="00B30168">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BAE4104" w14:textId="77777777" w:rsidR="00DA39BC" w:rsidRDefault="00DA39BC">
      <w:pPr>
        <w:spacing w:line="360" w:lineRule="auto"/>
        <w:ind w:left="927"/>
        <w:jc w:val="both"/>
        <w:rPr>
          <w:rFonts w:ascii="Palatino Linotype" w:eastAsia="Palatino Linotype" w:hAnsi="Palatino Linotype" w:cs="Palatino Linotype"/>
        </w:rPr>
      </w:pPr>
    </w:p>
    <w:p w14:paraId="770104CA" w14:textId="77777777" w:rsidR="00DA39BC" w:rsidRDefault="00B30168">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7D21A2BB" w14:textId="77777777" w:rsidR="00DA39BC" w:rsidRDefault="00DA39BC">
      <w:pPr>
        <w:spacing w:line="360" w:lineRule="auto"/>
        <w:jc w:val="both"/>
        <w:rPr>
          <w:rFonts w:ascii="Palatino Linotype" w:eastAsia="Palatino Linotype" w:hAnsi="Palatino Linotype" w:cs="Palatino Linotype"/>
        </w:rPr>
      </w:pPr>
    </w:p>
    <w:p w14:paraId="0E6CC8C3" w14:textId="77777777" w:rsidR="00DA39BC" w:rsidRDefault="00B30168">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7E5E98CF" w14:textId="77777777" w:rsidR="00DA39BC" w:rsidRDefault="00DA39BC">
      <w:pPr>
        <w:spacing w:line="360" w:lineRule="auto"/>
        <w:ind w:left="708"/>
        <w:rPr>
          <w:rFonts w:ascii="Palatino Linotype" w:eastAsia="Palatino Linotype" w:hAnsi="Palatino Linotype" w:cs="Palatino Linotype"/>
        </w:rPr>
      </w:pPr>
    </w:p>
    <w:p w14:paraId="0E193157" w14:textId="77777777" w:rsidR="00DA39BC" w:rsidRDefault="00B30168">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7869F0F" w14:textId="77777777" w:rsidR="00DA39BC" w:rsidRDefault="00DA39BC">
      <w:pPr>
        <w:spacing w:line="360" w:lineRule="auto"/>
        <w:jc w:val="both"/>
        <w:rPr>
          <w:rFonts w:ascii="Palatino Linotype" w:eastAsia="Palatino Linotype" w:hAnsi="Palatino Linotype" w:cs="Palatino Linotype"/>
        </w:rPr>
      </w:pPr>
    </w:p>
    <w:p w14:paraId="0290F518"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1749E7" w14:textId="77777777" w:rsidR="00DA39BC" w:rsidRDefault="00DA39BC">
      <w:pPr>
        <w:spacing w:line="360" w:lineRule="auto"/>
        <w:jc w:val="both"/>
        <w:rPr>
          <w:rFonts w:ascii="Palatino Linotype" w:eastAsia="Palatino Linotype" w:hAnsi="Palatino Linotype" w:cs="Palatino Linotype"/>
        </w:rPr>
      </w:pPr>
    </w:p>
    <w:p w14:paraId="2E7ACE88" w14:textId="77777777" w:rsidR="00DA39BC" w:rsidRDefault="00B3016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3851F6F2" w14:textId="77777777" w:rsidR="00DA39BC" w:rsidRDefault="00DA39BC">
      <w:pPr>
        <w:spacing w:line="360" w:lineRule="auto"/>
        <w:jc w:val="both"/>
        <w:rPr>
          <w:rFonts w:ascii="Palatino Linotype" w:eastAsia="Palatino Linotype" w:hAnsi="Palatino Linotype" w:cs="Palatino Linotype"/>
        </w:rPr>
      </w:pPr>
    </w:p>
    <w:p w14:paraId="3B7B7CF4"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756AB8" w14:textId="77777777" w:rsidR="00DA39BC" w:rsidRDefault="00DA39BC">
      <w:pPr>
        <w:spacing w:line="360" w:lineRule="auto"/>
        <w:jc w:val="both"/>
        <w:rPr>
          <w:rFonts w:ascii="Palatino Linotype" w:eastAsia="Palatino Linotype" w:hAnsi="Palatino Linotype" w:cs="Palatino Linotype"/>
        </w:rPr>
      </w:pPr>
    </w:p>
    <w:p w14:paraId="328BD2A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91D719D" w14:textId="77777777" w:rsidR="00DA39BC" w:rsidRDefault="00DA39BC">
      <w:pPr>
        <w:spacing w:line="360" w:lineRule="auto"/>
        <w:jc w:val="both"/>
        <w:rPr>
          <w:rFonts w:ascii="Palatino Linotype" w:eastAsia="Palatino Linotype" w:hAnsi="Palatino Linotype" w:cs="Palatino Linotype"/>
        </w:rPr>
      </w:pPr>
    </w:p>
    <w:p w14:paraId="399C742B"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4221712F" w14:textId="77777777" w:rsidR="00DA39BC" w:rsidRDefault="00DA39BC">
      <w:pPr>
        <w:spacing w:line="360" w:lineRule="auto"/>
        <w:jc w:val="both"/>
        <w:rPr>
          <w:rFonts w:ascii="Palatino Linotype" w:eastAsia="Palatino Linotype" w:hAnsi="Palatino Linotype" w:cs="Palatino Linotype"/>
          <w:b/>
        </w:rPr>
      </w:pPr>
    </w:p>
    <w:p w14:paraId="17FFF09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50BCB202" w14:textId="77777777" w:rsidR="00DA39BC" w:rsidRDefault="00DA39BC">
      <w:pPr>
        <w:spacing w:line="360" w:lineRule="auto"/>
        <w:jc w:val="both"/>
        <w:rPr>
          <w:rFonts w:ascii="Palatino Linotype" w:eastAsia="Palatino Linotype" w:hAnsi="Palatino Linotype" w:cs="Palatino Linotype"/>
        </w:rPr>
      </w:pPr>
    </w:p>
    <w:p w14:paraId="7205CD9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63AC2185" w14:textId="77777777" w:rsidR="00DA39BC" w:rsidRDefault="00DA39BC">
      <w:pPr>
        <w:spacing w:line="360" w:lineRule="auto"/>
        <w:jc w:val="both"/>
        <w:rPr>
          <w:rFonts w:ascii="Palatino Linotype" w:eastAsia="Palatino Linotype" w:hAnsi="Palatino Linotype" w:cs="Palatino Linotype"/>
        </w:rPr>
      </w:pPr>
    </w:p>
    <w:p w14:paraId="5D8ED03E" w14:textId="77777777" w:rsidR="00DA39BC" w:rsidRDefault="00B3016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En fecha veintinueve de agosto de dos mil veintidós </w:t>
      </w:r>
      <w:r>
        <w:rPr>
          <w:rFonts w:ascii="Palatino Linotype" w:eastAsia="Palatino Linotype" w:hAnsi="Palatino Linotype" w:cs="Palatino Linotype"/>
          <w:color w:val="000000"/>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AD7CE10" w14:textId="77777777" w:rsidR="00DA39BC" w:rsidRDefault="00DA39BC">
      <w:pPr>
        <w:spacing w:line="360" w:lineRule="auto"/>
        <w:jc w:val="both"/>
        <w:rPr>
          <w:rFonts w:ascii="Palatino Linotype" w:eastAsia="Palatino Linotype" w:hAnsi="Palatino Linotype" w:cs="Palatino Linotype"/>
          <w:b/>
        </w:rPr>
      </w:pPr>
    </w:p>
    <w:p w14:paraId="5409191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C14B363" w14:textId="77777777" w:rsidR="00DA39BC" w:rsidRDefault="00DA39BC">
      <w:pPr>
        <w:spacing w:line="360" w:lineRule="auto"/>
        <w:jc w:val="both"/>
        <w:rPr>
          <w:rFonts w:ascii="Palatino Linotype" w:eastAsia="Palatino Linotype" w:hAnsi="Palatino Linotype" w:cs="Palatino Linotype"/>
        </w:rPr>
      </w:pPr>
    </w:p>
    <w:p w14:paraId="4132DEF7" w14:textId="77777777" w:rsidR="00DA39BC" w:rsidRDefault="00B30168">
      <w:pPr>
        <w:widowControl w:val="0"/>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14:paraId="57A08943" w14:textId="77777777" w:rsidR="00DA39BC" w:rsidRDefault="00DA39BC">
      <w:pPr>
        <w:widowControl w:val="0"/>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color w:val="000000"/>
        </w:rPr>
      </w:pPr>
    </w:p>
    <w:p w14:paraId="44BEBFE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w:t>
      </w:r>
      <w:r>
        <w:rPr>
          <w:rFonts w:ascii="Palatino Linotype" w:eastAsia="Palatino Linotype" w:hAnsi="Palatino Linotype" w:cs="Palatino Linotype"/>
        </w:rPr>
        <w:lastRenderedPageBreak/>
        <w:t>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4D41432" w14:textId="77777777" w:rsidR="00DA39BC" w:rsidRDefault="00DA39BC">
      <w:pPr>
        <w:spacing w:line="360" w:lineRule="auto"/>
        <w:jc w:val="both"/>
        <w:rPr>
          <w:rFonts w:ascii="Palatino Linotype" w:eastAsia="Palatino Linotype" w:hAnsi="Palatino Linotype" w:cs="Palatino Linotype"/>
        </w:rPr>
      </w:pPr>
    </w:p>
    <w:p w14:paraId="3717ACDD"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solicitante en fecha veinte de abril del año dos mil veintidós y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presentó su recurso de revisión el veintiuno de abril del mismo año, esto es, al primer día hábil siguiente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224F66F0" w14:textId="77777777" w:rsidR="00DA39BC" w:rsidRDefault="00DA39BC">
      <w:pPr>
        <w:spacing w:line="360" w:lineRule="auto"/>
        <w:jc w:val="both"/>
        <w:rPr>
          <w:rFonts w:ascii="Palatino Linotype" w:eastAsia="Palatino Linotype" w:hAnsi="Palatino Linotype" w:cs="Palatino Linotype"/>
        </w:rPr>
      </w:pPr>
    </w:p>
    <w:p w14:paraId="5B2CD80F" w14:textId="77777777" w:rsidR="00DA39BC" w:rsidRDefault="00B30168">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w:t>
      </w:r>
      <w:r>
        <w:rPr>
          <w:rFonts w:ascii="Palatino Linotype" w:eastAsia="Palatino Linotype" w:hAnsi="Palatino Linotype" w:cs="Palatino Linotype"/>
          <w:color w:val="000000"/>
        </w:rPr>
        <w:lastRenderedPageBreak/>
        <w:t xml:space="preserve">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62698D3E" w14:textId="77777777" w:rsidR="00DA39BC" w:rsidRDefault="00DA39BC">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065C5C8B" w14:textId="77777777" w:rsidR="00DA39BC" w:rsidRDefault="00B30168">
      <w:pPr>
        <w:pBdr>
          <w:top w:val="nil"/>
          <w:left w:val="nil"/>
          <w:bottom w:val="nil"/>
          <w:right w:val="nil"/>
          <w:between w:val="nil"/>
        </w:pBdr>
        <w:spacing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resulta procedente la interposición del recurso, según lo aducido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razones o motivos de inconformidad, de acuerdo al artículo 179, fracción VI de la Ley de Transparencia y Acceso a la Información Pública del Estado de México y Municipios; que a la letra dice:</w:t>
      </w:r>
    </w:p>
    <w:p w14:paraId="2056EBE2" w14:textId="77777777" w:rsidR="00DA39BC" w:rsidRDefault="00DA39BC">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41A3F719" w14:textId="77777777" w:rsidR="00DA39BC" w:rsidRDefault="00B30168">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recurso de revisión</w:t>
      </w:r>
      <w:r>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sz w:val="22"/>
          <w:szCs w:val="22"/>
        </w:rPr>
        <w:t>, y procederá en contra de las siguientes causas</w:t>
      </w:r>
      <w:r>
        <w:rPr>
          <w:rFonts w:ascii="Palatino Linotype" w:eastAsia="Palatino Linotype" w:hAnsi="Palatino Linotype" w:cs="Palatino Linotype"/>
          <w:i/>
          <w:sz w:val="22"/>
          <w:szCs w:val="22"/>
        </w:rPr>
        <w:t>:</w:t>
      </w:r>
    </w:p>
    <w:p w14:paraId="4A4B4430" w14:textId="77777777" w:rsidR="00DA39BC" w:rsidRDefault="00B30168">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483B191" w14:textId="77777777" w:rsidR="00DA39BC" w:rsidRDefault="00B30168">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La entrega de información que no corresponda con lo solicitado;</w:t>
      </w:r>
    </w:p>
    <w:p w14:paraId="0B3FD023" w14:textId="77777777" w:rsidR="00DA39BC" w:rsidRDefault="00B30168">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A2074A1" w14:textId="77777777" w:rsidR="00DA39BC" w:rsidRDefault="00DA39BC">
      <w:pPr>
        <w:spacing w:line="360" w:lineRule="auto"/>
        <w:jc w:val="both"/>
        <w:rPr>
          <w:rFonts w:ascii="Palatino Linotype" w:eastAsia="Palatino Linotype" w:hAnsi="Palatino Linotype" w:cs="Palatino Linotype"/>
          <w:b/>
        </w:rPr>
      </w:pPr>
    </w:p>
    <w:p w14:paraId="3A271AE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adecuada y suficiente para satisfacer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093F1424" w14:textId="77777777" w:rsidR="00DA39BC" w:rsidRDefault="00DA39BC">
      <w:pPr>
        <w:spacing w:line="360" w:lineRule="auto"/>
        <w:jc w:val="both"/>
        <w:rPr>
          <w:rFonts w:ascii="Palatino Linotype" w:eastAsia="Palatino Linotype" w:hAnsi="Palatino Linotype" w:cs="Palatino Linotype"/>
        </w:rPr>
      </w:pPr>
    </w:p>
    <w:p w14:paraId="53F459DB" w14:textId="77777777" w:rsidR="00DA39BC" w:rsidRDefault="00B30168">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resaltar que la Ley de Transparencia de la Entidad, señala expresamente que toda la información generada, administrada o en posesión de los Sujetos Obligados, derivado del </w:t>
      </w:r>
      <w:r>
        <w:rPr>
          <w:rFonts w:ascii="Palatino Linotype" w:eastAsia="Palatino Linotype" w:hAnsi="Palatino Linotype" w:cs="Palatino Linotype"/>
        </w:rPr>
        <w:lastRenderedPageBreak/>
        <w:t>ejercicio de sus atribuciones debe ser accesible de manera permanente a cualquier persona, ello en privilegio del principio de máxima publicidad, en razón de que tiene el carácter de ser pública, tal y como se lee a continuación:</w:t>
      </w:r>
    </w:p>
    <w:p w14:paraId="602809E9" w14:textId="77777777" w:rsidR="00DA39BC" w:rsidRDefault="00DA39B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B112A4D"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C90B313" w14:textId="77777777" w:rsidR="00DA39BC" w:rsidRDefault="00B30168">
      <w:pPr>
        <w:spacing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32B758" w14:textId="77777777" w:rsidR="00DA39BC" w:rsidRDefault="00DA39BC">
      <w:pPr>
        <w:spacing w:line="360" w:lineRule="auto"/>
        <w:jc w:val="both"/>
        <w:rPr>
          <w:rFonts w:ascii="Palatino Linotype" w:eastAsia="Palatino Linotype" w:hAnsi="Palatino Linotype" w:cs="Palatino Linotype"/>
        </w:rPr>
      </w:pPr>
    </w:p>
    <w:p w14:paraId="52B083D5"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8BE6C8D" w14:textId="77777777" w:rsidR="00DA39BC" w:rsidRDefault="00DA39BC">
      <w:pPr>
        <w:spacing w:line="276" w:lineRule="auto"/>
        <w:jc w:val="both"/>
        <w:rPr>
          <w:rFonts w:ascii="Palatino Linotype" w:eastAsia="Palatino Linotype" w:hAnsi="Palatino Linotype" w:cs="Palatino Linotype"/>
          <w:sz w:val="22"/>
          <w:szCs w:val="22"/>
        </w:rPr>
      </w:pPr>
    </w:p>
    <w:p w14:paraId="1C5745D3"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B1E7901"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w:t>
      </w:r>
      <w:r>
        <w:rPr>
          <w:rFonts w:ascii="Palatino Linotype" w:eastAsia="Palatino Linotype" w:hAnsi="Palatino Linotype" w:cs="Palatino Linotype"/>
          <w:i/>
          <w:sz w:val="22"/>
          <w:szCs w:val="22"/>
        </w:rPr>
        <w:lastRenderedPageBreak/>
        <w:t>misma, ni el presentarla conforme al interés del solicitante; no estarán obligados a generarla, resumirla, efectuar cálculos o practicar investigaciones.</w:t>
      </w:r>
    </w:p>
    <w:p w14:paraId="3B1514E6" w14:textId="77777777" w:rsidR="00DA39BC" w:rsidRDefault="00DA39BC">
      <w:pPr>
        <w:spacing w:line="360" w:lineRule="auto"/>
        <w:jc w:val="both"/>
        <w:rPr>
          <w:rFonts w:ascii="Palatino Linotype" w:eastAsia="Palatino Linotype" w:hAnsi="Palatino Linotype" w:cs="Palatino Linotype"/>
        </w:rPr>
      </w:pPr>
    </w:p>
    <w:p w14:paraId="32CF86DC"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5E756E73" w14:textId="77777777" w:rsidR="00DA39BC" w:rsidRDefault="00DA39BC">
      <w:pPr>
        <w:spacing w:line="360" w:lineRule="auto"/>
        <w:jc w:val="both"/>
        <w:rPr>
          <w:rFonts w:ascii="Palatino Linotype" w:eastAsia="Palatino Linotype" w:hAnsi="Palatino Linotype" w:cs="Palatino Linotype"/>
        </w:rPr>
      </w:pPr>
    </w:p>
    <w:p w14:paraId="5A1B2B6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el artículo 24 de la Ley de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5C473C" w14:textId="77777777" w:rsidR="00DA39BC" w:rsidRDefault="00DA39BC">
      <w:pPr>
        <w:spacing w:line="360" w:lineRule="auto"/>
        <w:jc w:val="both"/>
        <w:rPr>
          <w:rFonts w:ascii="Palatino Linotype" w:eastAsia="Palatino Linotype" w:hAnsi="Palatino Linotype" w:cs="Palatino Linotype"/>
        </w:rPr>
      </w:pPr>
    </w:p>
    <w:p w14:paraId="7225B39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xml:space="preserve">; los que, </w:t>
      </w:r>
      <w:r>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2B66BBA9" w14:textId="77777777" w:rsidR="00DA39BC" w:rsidRDefault="00DA39BC">
      <w:pPr>
        <w:spacing w:line="360" w:lineRule="auto"/>
        <w:jc w:val="both"/>
        <w:rPr>
          <w:rFonts w:ascii="Palatino Linotype" w:eastAsia="Palatino Linotype" w:hAnsi="Palatino Linotype" w:cs="Palatino Linotype"/>
        </w:rPr>
      </w:pPr>
    </w:p>
    <w:p w14:paraId="1F3A1126" w14:textId="77777777" w:rsidR="00DA39BC" w:rsidRDefault="00B30168">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1B08E9D" w14:textId="77777777" w:rsidR="00DA39BC" w:rsidRDefault="00B30168">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5BCC2A" w14:textId="77777777" w:rsidR="00DA39BC" w:rsidRDefault="00B30168">
      <w:pPr>
        <w:spacing w:line="276"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05B44AC4" w14:textId="77777777" w:rsidR="00DA39BC" w:rsidRDefault="00DA39BC">
      <w:pPr>
        <w:spacing w:line="276" w:lineRule="auto"/>
        <w:jc w:val="both"/>
        <w:rPr>
          <w:rFonts w:ascii="Palatino Linotype" w:eastAsia="Palatino Linotype" w:hAnsi="Palatino Linotype" w:cs="Palatino Linotype"/>
          <w:sz w:val="22"/>
          <w:szCs w:val="22"/>
        </w:rPr>
      </w:pPr>
    </w:p>
    <w:p w14:paraId="70A4FD1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8D7A67" w14:textId="77777777" w:rsidR="00DA39BC" w:rsidRDefault="00DA39BC">
      <w:pPr>
        <w:spacing w:line="360" w:lineRule="auto"/>
        <w:jc w:val="both"/>
        <w:rPr>
          <w:rFonts w:ascii="Palatino Linotype" w:eastAsia="Palatino Linotype" w:hAnsi="Palatino Linotype" w:cs="Palatino Linotype"/>
        </w:rPr>
      </w:pPr>
    </w:p>
    <w:p w14:paraId="429D7365"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D60C974"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1D1FDC"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795C2804" w14:textId="77777777" w:rsidR="00DA39BC" w:rsidRDefault="00B30168">
      <w:pPr>
        <w:spacing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5F780D46" w14:textId="77777777" w:rsidR="00DA39BC" w:rsidRDefault="00B30168">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BA21EF5" w14:textId="77777777" w:rsidR="00DA39BC" w:rsidRDefault="00B30168">
      <w:pPr>
        <w:spacing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358A5F64" w14:textId="77777777" w:rsidR="00DA39BC" w:rsidRDefault="00DA39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7A569F" w14:textId="77777777" w:rsidR="00DA39BC" w:rsidRDefault="00B3016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859DCB1" w14:textId="77777777" w:rsidR="00DA39BC" w:rsidRDefault="00DA39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A743E5B" w14:textId="77777777" w:rsidR="00DA39BC" w:rsidRDefault="00B3016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le proporcione, información consistente en lo siguiente:</w:t>
      </w:r>
    </w:p>
    <w:p w14:paraId="7888EA8B" w14:textId="77777777" w:rsidR="00DA39BC" w:rsidRDefault="00DA39B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79ACD42" w14:textId="77777777" w:rsidR="00DA39BC" w:rsidRDefault="00B3016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u w:val="single"/>
        </w:rPr>
        <w:t>Los recibos de nómina</w:t>
      </w:r>
      <w:r>
        <w:rPr>
          <w:rFonts w:ascii="Palatino Linotype" w:eastAsia="Palatino Linotype" w:hAnsi="Palatino Linotype" w:cs="Palatino Linotype"/>
          <w:color w:val="000000"/>
        </w:rPr>
        <w:t xml:space="preserve"> de los mandos medios y superiores de la última quincena de febrero del 2022. </w:t>
      </w:r>
    </w:p>
    <w:p w14:paraId="48C13312" w14:textId="77777777" w:rsidR="00DA39BC" w:rsidRDefault="00DA39BC">
      <w:pPr>
        <w:spacing w:line="360" w:lineRule="auto"/>
        <w:jc w:val="both"/>
        <w:rPr>
          <w:rFonts w:ascii="Palatino Linotype" w:eastAsia="Palatino Linotype" w:hAnsi="Palatino Linotype" w:cs="Palatino Linotype"/>
          <w:color w:val="000000"/>
        </w:rPr>
      </w:pPr>
    </w:p>
    <w:p w14:paraId="36D1081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En este sentido,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 xml:space="preserve">otorgó respuesta, a través del archivo electrónico denominado “ACUSE 00253.CUAUTIZC.IP.22.pdf” que contiene: </w:t>
      </w:r>
    </w:p>
    <w:p w14:paraId="0C2F3571" w14:textId="77777777" w:rsidR="00DA39BC" w:rsidRDefault="00B30168">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DA/2460/2022 signado por el Lic. Emmanuel Medina González, Director de Administración del Ayuntamiento de Cuautitlán Izcalli</w:t>
      </w:r>
    </w:p>
    <w:p w14:paraId="0A21EB8C" w14:textId="77777777" w:rsidR="00DA39BC" w:rsidRDefault="00B30168">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DA/SRH/0019/2022, signado por la C. María Guadalupe Ramírez Bueno, Encargada de Despacho de la Subdirección de Recursos Humanos del referido ayuntamiento, a continuación se ilustran para mayor referencia:</w:t>
      </w:r>
    </w:p>
    <w:p w14:paraId="525615E0" w14:textId="77777777" w:rsidR="00DA39BC" w:rsidRDefault="00DA39BC">
      <w:pPr>
        <w:spacing w:line="360" w:lineRule="auto"/>
        <w:jc w:val="both"/>
        <w:rPr>
          <w:rFonts w:ascii="Palatino Linotype" w:eastAsia="Palatino Linotype" w:hAnsi="Palatino Linotype" w:cs="Palatino Linotype"/>
        </w:rPr>
      </w:pPr>
    </w:p>
    <w:p w14:paraId="4B921F2C"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0DE9D778" wp14:editId="5EFBDFB9">
            <wp:extent cx="5528951" cy="6946632"/>
            <wp:effectExtent l="12700" t="12700" r="12700" b="12700"/>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65852" t="15993" r="1052" b="10078"/>
                    <a:stretch>
                      <a:fillRect/>
                    </a:stretch>
                  </pic:blipFill>
                  <pic:spPr>
                    <a:xfrm>
                      <a:off x="0" y="0"/>
                      <a:ext cx="5528951" cy="6946632"/>
                    </a:xfrm>
                    <a:prstGeom prst="rect">
                      <a:avLst/>
                    </a:prstGeom>
                    <a:ln w="12700">
                      <a:solidFill>
                        <a:srgbClr val="5B9BD5"/>
                      </a:solidFill>
                      <a:prstDash val="solid"/>
                    </a:ln>
                  </pic:spPr>
                </pic:pic>
              </a:graphicData>
            </a:graphic>
          </wp:inline>
        </w:drawing>
      </w:r>
    </w:p>
    <w:p w14:paraId="3FC2AAEF"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7FC2A0D5" wp14:editId="68A10968">
            <wp:extent cx="5524389" cy="6919725"/>
            <wp:effectExtent l="12700" t="12700" r="12700" b="12700"/>
            <wp:docPr id="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66192" t="17200" r="881" b="9475"/>
                    <a:stretch>
                      <a:fillRect/>
                    </a:stretch>
                  </pic:blipFill>
                  <pic:spPr>
                    <a:xfrm>
                      <a:off x="0" y="0"/>
                      <a:ext cx="5524389" cy="6919725"/>
                    </a:xfrm>
                    <a:prstGeom prst="rect">
                      <a:avLst/>
                    </a:prstGeom>
                    <a:ln w="12700">
                      <a:solidFill>
                        <a:srgbClr val="5B9BD5"/>
                      </a:solidFill>
                      <a:prstDash val="solid"/>
                    </a:ln>
                  </pic:spPr>
                </pic:pic>
              </a:graphicData>
            </a:graphic>
          </wp:inline>
        </w:drawing>
      </w:r>
    </w:p>
    <w:p w14:paraId="2A246566" w14:textId="77777777" w:rsidR="00DA39BC" w:rsidRDefault="00DA39BC">
      <w:pPr>
        <w:spacing w:line="360" w:lineRule="auto"/>
        <w:jc w:val="both"/>
        <w:rPr>
          <w:rFonts w:ascii="Palatino Linotype" w:eastAsia="Palatino Linotype" w:hAnsi="Palatino Linotype" w:cs="Palatino Linotype"/>
        </w:rPr>
      </w:pPr>
    </w:p>
    <w:p w14:paraId="5152B3F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igual forma el SUJETO OBLIGADO adjuntó el  archivo denominado “ANEXO 00253.CUAUTIZC.IP.22.pdf” que consiste en una lista de servidores públicos con referencia a su nombre, cargo, adscripción y sueldo, a manera de referencia se inserta una de las 5 páginas con las que consta el referido archivo:</w:t>
      </w:r>
    </w:p>
    <w:p w14:paraId="6CCF40F4" w14:textId="77777777" w:rsidR="00DA39BC" w:rsidRDefault="00DA39BC">
      <w:pPr>
        <w:spacing w:line="360" w:lineRule="auto"/>
        <w:jc w:val="both"/>
        <w:rPr>
          <w:rFonts w:ascii="Palatino Linotype" w:eastAsia="Palatino Linotype" w:hAnsi="Palatino Linotype" w:cs="Palatino Linotype"/>
        </w:rPr>
      </w:pPr>
    </w:p>
    <w:p w14:paraId="65FBC740"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04F2C8B4" wp14:editId="710A66C6">
            <wp:extent cx="5565215" cy="4291992"/>
            <wp:effectExtent l="12700" t="12700" r="12700" b="1270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50915" t="16294" r="3088" b="20640"/>
                    <a:stretch>
                      <a:fillRect/>
                    </a:stretch>
                  </pic:blipFill>
                  <pic:spPr>
                    <a:xfrm>
                      <a:off x="0" y="0"/>
                      <a:ext cx="5565215" cy="4291992"/>
                    </a:xfrm>
                    <a:prstGeom prst="rect">
                      <a:avLst/>
                    </a:prstGeom>
                    <a:ln w="12700">
                      <a:solidFill>
                        <a:srgbClr val="5B9BD5"/>
                      </a:solidFill>
                      <a:prstDash val="solid"/>
                    </a:ln>
                  </pic:spPr>
                </pic:pic>
              </a:graphicData>
            </a:graphic>
          </wp:inline>
        </w:drawing>
      </w:r>
      <w:r>
        <w:rPr>
          <w:rFonts w:ascii="Palatino Linotype" w:eastAsia="Palatino Linotype" w:hAnsi="Palatino Linotype" w:cs="Palatino Linotype"/>
        </w:rPr>
        <w:t xml:space="preserve"> </w:t>
      </w:r>
    </w:p>
    <w:p w14:paraId="0717D0C6" w14:textId="77777777" w:rsidR="00DA39BC" w:rsidRDefault="00DA39BC">
      <w:pPr>
        <w:spacing w:line="360" w:lineRule="auto"/>
        <w:jc w:val="both"/>
        <w:rPr>
          <w:rFonts w:ascii="Palatino Linotype" w:eastAsia="Palatino Linotype" w:hAnsi="Palatino Linotype" w:cs="Palatino Linotype"/>
        </w:rPr>
      </w:pPr>
    </w:p>
    <w:p w14:paraId="37B0EC56"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Conocida la respuesta por el particular, al no estar conforme con los términos de la misma, presentó el recurso de revisión que nos ocupa, mediante el cual señaló como motivo de inconformidad, en lo medular que no se le proporcionó la información como fue solicitada. </w:t>
      </w:r>
    </w:p>
    <w:p w14:paraId="19675FC2" w14:textId="77777777" w:rsidR="00DA39BC" w:rsidRDefault="00DA39BC">
      <w:pPr>
        <w:spacing w:line="360" w:lineRule="auto"/>
        <w:jc w:val="both"/>
        <w:rPr>
          <w:rFonts w:ascii="Palatino Linotype" w:eastAsia="Palatino Linotype" w:hAnsi="Palatino Linotype" w:cs="Palatino Linotype"/>
          <w:color w:val="000000"/>
        </w:rPr>
      </w:pPr>
    </w:p>
    <w:p w14:paraId="2DD15804"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32A5051" w14:textId="77777777" w:rsidR="00DA39BC" w:rsidRDefault="00DA39BC">
      <w:pPr>
        <w:spacing w:line="360" w:lineRule="auto"/>
        <w:jc w:val="both"/>
        <w:rPr>
          <w:rFonts w:ascii="Palatino Linotype" w:eastAsia="Palatino Linotype" w:hAnsi="Palatino Linotype" w:cs="Palatino Linotype"/>
        </w:rPr>
      </w:pPr>
    </w:p>
    <w:p w14:paraId="19581C7A" w14:textId="77777777" w:rsidR="00DA39BC" w:rsidRDefault="00B3016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su informe justificado, mediante el cual, ratificó en lo sustancial la respuesta proporcionada en primera instancia, pero además agrega que la información que contiene el comprobante fiscal digital por internet (CFDI) es contemplada como reservada y confidencial, como lo es el número de seguridad social, CURP, RFC, aportaciones de seguridad social, código QR, folios y cadenas fiscales, motivo por el cual se solicita se dé por atendida la solicitud de información en referencia.</w:t>
      </w:r>
    </w:p>
    <w:p w14:paraId="6449411F" w14:textId="77777777" w:rsidR="00DA39BC" w:rsidRDefault="00DA39B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rPr>
      </w:pPr>
    </w:p>
    <w:p w14:paraId="6954231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la parte </w:t>
      </w:r>
      <w:r>
        <w:rPr>
          <w:rFonts w:ascii="Palatino Linotype" w:eastAsia="Palatino Linotype" w:hAnsi="Palatino Linotype" w:cs="Palatino Linotype"/>
          <w:b/>
        </w:rPr>
        <w:t>RECURRENTE</w:t>
      </w:r>
      <w:r>
        <w:rPr>
          <w:rFonts w:ascii="Palatino Linotype" w:eastAsia="Palatino Linotype" w:hAnsi="Palatino Linotype" w:cs="Palatino Linotype"/>
        </w:rPr>
        <w:t>, resulto omiso de rendir manifestación alguna.</w:t>
      </w:r>
    </w:p>
    <w:p w14:paraId="5BD23717" w14:textId="77777777" w:rsidR="00DA39BC" w:rsidRDefault="00DA39BC">
      <w:pPr>
        <w:spacing w:line="360" w:lineRule="auto"/>
        <w:jc w:val="both"/>
        <w:rPr>
          <w:rFonts w:ascii="Palatino Linotype" w:eastAsia="Palatino Linotype" w:hAnsi="Palatino Linotype" w:cs="Palatino Linotype"/>
        </w:rPr>
      </w:pPr>
    </w:p>
    <w:p w14:paraId="2A98471F" w14:textId="77777777" w:rsidR="00DA39BC" w:rsidRDefault="00B3016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esta manera, se procede al análisis de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efecto de determinar si es suficiente para tener por colmado el derecho de acceso a la información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o en su defecto ordenar la entrega del o los documentos que lo satisfagan.</w:t>
      </w:r>
    </w:p>
    <w:p w14:paraId="2EED3AF7" w14:textId="77777777" w:rsidR="00DA39BC" w:rsidRDefault="00DA39BC">
      <w:pPr>
        <w:spacing w:line="360" w:lineRule="auto"/>
        <w:jc w:val="both"/>
        <w:rPr>
          <w:rFonts w:ascii="Palatino Linotype" w:eastAsia="Palatino Linotype" w:hAnsi="Palatino Linotype" w:cs="Palatino Linotype"/>
          <w:color w:val="000000"/>
        </w:rPr>
      </w:pPr>
    </w:p>
    <w:p w14:paraId="5DFBF33D" w14:textId="77777777" w:rsidR="00DA39BC" w:rsidRDefault="00B3016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Como se advierte de la respuesta inicial el Sujeto Obligado en la respuesta inicial únicamente remite un documento ad hoc para atender la solicitud de información, sin embargo tal como lo refirió el ahora recurrente dicho documento no corresponde con lo solicitado. </w:t>
      </w:r>
    </w:p>
    <w:p w14:paraId="25AF5F60" w14:textId="77777777" w:rsidR="00DA39BC" w:rsidRDefault="00DA39B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p>
    <w:p w14:paraId="53EAB526" w14:textId="77777777" w:rsidR="00DA39BC" w:rsidRDefault="00B3016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 efecto de fundar y motivar lo anterior, </w:t>
      </w:r>
      <w:r>
        <w:rPr>
          <w:rFonts w:ascii="Palatino Linotype" w:eastAsia="Palatino Linotype" w:hAnsi="Palatino Linotype" w:cs="Palatino Linotype"/>
        </w:rPr>
        <w:t>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6E345362" w14:textId="77777777" w:rsidR="00DA39BC" w:rsidRDefault="00DA39BC">
      <w:pPr>
        <w:spacing w:line="360" w:lineRule="auto"/>
        <w:jc w:val="both"/>
        <w:rPr>
          <w:rFonts w:ascii="Palatino Linotype" w:eastAsia="Palatino Linotype" w:hAnsi="Palatino Linotype" w:cs="Palatino Linotype"/>
        </w:rPr>
      </w:pPr>
    </w:p>
    <w:p w14:paraId="686FDBF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656C596" w14:textId="77777777" w:rsidR="00DA39BC" w:rsidRDefault="00DA39BC">
      <w:pPr>
        <w:spacing w:line="360" w:lineRule="auto"/>
        <w:jc w:val="both"/>
        <w:rPr>
          <w:rFonts w:ascii="Palatino Linotype" w:eastAsia="Palatino Linotype" w:hAnsi="Palatino Linotype" w:cs="Palatino Linotype"/>
        </w:rPr>
      </w:pPr>
      <w:bookmarkStart w:id="0" w:name="_heading=h.gjdgxs" w:colFirst="0" w:colLast="0"/>
      <w:bookmarkEnd w:id="0"/>
    </w:p>
    <w:p w14:paraId="69E6D51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5788FB9D" w14:textId="77777777" w:rsidR="00DA39BC" w:rsidRDefault="00DA39BC">
      <w:pPr>
        <w:spacing w:line="360" w:lineRule="auto"/>
        <w:jc w:val="both"/>
        <w:rPr>
          <w:rFonts w:ascii="Palatino Linotype" w:eastAsia="Palatino Linotype" w:hAnsi="Palatino Linotype" w:cs="Palatino Linotype"/>
        </w:rPr>
      </w:pPr>
    </w:p>
    <w:p w14:paraId="3D299B57"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00392244"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2AE42D06" w14:textId="77777777" w:rsidR="00DA39BC" w:rsidRDefault="00B30168">
      <w:pPr>
        <w:spacing w:line="276" w:lineRule="auto"/>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II. Recibos de pagos de salarios o las constancias documentales del pago de salario cuando sea por depósito o mediante información electrónica;</w:t>
      </w:r>
    </w:p>
    <w:p w14:paraId="0E9FFA01"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Controles de asistencia o la información magnética o electrónica de asistencia de los servidores públicos;</w:t>
      </w:r>
    </w:p>
    <w:p w14:paraId="2A46AA6B"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w:t>
      </w:r>
      <w:r>
        <w:rPr>
          <w:rFonts w:ascii="Palatino Linotype" w:eastAsia="Palatino Linotype" w:hAnsi="Palatino Linotype" w:cs="Palatino Linotype"/>
          <w:i/>
          <w:sz w:val="22"/>
          <w:szCs w:val="22"/>
        </w:rPr>
        <w:t xml:space="preserve"> y</w:t>
      </w:r>
    </w:p>
    <w:p w14:paraId="74048B3B"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Los demás que señalen las leyes.</w:t>
      </w:r>
    </w:p>
    <w:p w14:paraId="6D5E57C2"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7599B18" w14:textId="77777777" w:rsidR="00DA39BC" w:rsidRDefault="00DA39BC">
      <w:pPr>
        <w:spacing w:line="276" w:lineRule="auto"/>
        <w:jc w:val="both"/>
        <w:rPr>
          <w:rFonts w:ascii="Palatino Linotype" w:eastAsia="Palatino Linotype" w:hAnsi="Palatino Linotype" w:cs="Palatino Linotype"/>
          <w:sz w:val="22"/>
          <w:szCs w:val="22"/>
        </w:rPr>
      </w:pPr>
    </w:p>
    <w:p w14:paraId="239FDE08"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4715AB7A" w14:textId="77777777" w:rsidR="00DA39BC" w:rsidRDefault="00DA39BC">
      <w:pPr>
        <w:spacing w:line="360" w:lineRule="auto"/>
        <w:jc w:val="both"/>
        <w:rPr>
          <w:rFonts w:ascii="Palatino Linotype" w:eastAsia="Palatino Linotype" w:hAnsi="Palatino Linotype" w:cs="Palatino Linotype"/>
        </w:rPr>
      </w:pPr>
    </w:p>
    <w:p w14:paraId="2560479B" w14:textId="77777777" w:rsidR="00DA39BC" w:rsidRDefault="00B30168">
      <w:pPr>
        <w:tabs>
          <w:tab w:val="right" w:pos="850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considerado </w:t>
      </w:r>
      <w:r>
        <w:rPr>
          <w:rFonts w:ascii="Palatino Linotype" w:eastAsia="Palatino Linotype" w:hAnsi="Palatino Linotype" w:cs="Palatino Linotype"/>
        </w:rPr>
        <w:lastRenderedPageBreak/>
        <w:t>como ente fiscalizable, como así lo señala el artículo 4 fracción II de la Ley de Fiscalización Superior del Estado de México, el cual señala:</w:t>
      </w:r>
    </w:p>
    <w:p w14:paraId="79A7C871" w14:textId="77777777" w:rsidR="00DA39BC" w:rsidRDefault="00B30168">
      <w:pPr>
        <w:spacing w:line="360"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14:paraId="34C18DAA" w14:textId="77777777" w:rsidR="00DA39BC" w:rsidRDefault="00B30168">
      <w:pPr>
        <w:spacing w:line="360"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647AEB" w14:textId="77777777" w:rsidR="00DA39BC" w:rsidRDefault="00B30168">
      <w:pPr>
        <w:numPr>
          <w:ilvl w:val="0"/>
          <w:numId w:val="5"/>
        </w:numPr>
        <w:spacing w:line="360" w:lineRule="auto"/>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municipios del Estado de México…” (Sic)</w:t>
      </w:r>
    </w:p>
    <w:p w14:paraId="29CC39C7" w14:textId="77777777" w:rsidR="00DA39BC" w:rsidRDefault="00DA39BC">
      <w:pPr>
        <w:spacing w:line="360" w:lineRule="auto"/>
        <w:ind w:left="851" w:right="851"/>
        <w:jc w:val="both"/>
        <w:rPr>
          <w:rFonts w:ascii="Palatino Linotype" w:eastAsia="Palatino Linotype" w:hAnsi="Palatino Linotype" w:cs="Palatino Linotype"/>
          <w:b/>
        </w:rPr>
      </w:pPr>
    </w:p>
    <w:p w14:paraId="1AD147CF" w14:textId="77777777" w:rsidR="00DA39BC" w:rsidRDefault="00B30168">
      <w:pPr>
        <w:spacing w:line="360" w:lineRule="auto"/>
        <w:ind w:right="49"/>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69BCA11F" w14:textId="77777777" w:rsidR="00DA39BC" w:rsidRDefault="00DA39BC">
      <w:pPr>
        <w:spacing w:line="360" w:lineRule="auto"/>
        <w:ind w:right="49"/>
        <w:jc w:val="both"/>
        <w:rPr>
          <w:rFonts w:ascii="Palatino Linotype" w:eastAsia="Palatino Linotype" w:hAnsi="Palatino Linotype" w:cs="Palatino Linotype"/>
        </w:rPr>
      </w:pPr>
    </w:p>
    <w:p w14:paraId="047E02B3"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14:paraId="713A37BC"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17915AA" w14:textId="77777777" w:rsidR="00DA39BC" w:rsidRDefault="00B30168">
      <w:pPr>
        <w:spacing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w:t>
      </w:r>
      <w:r>
        <w:rPr>
          <w:rFonts w:ascii="Palatino Linotype" w:eastAsia="Palatino Linotype" w:hAnsi="Palatino Linotype" w:cs="Palatino Linotype"/>
          <w:i/>
          <w:sz w:val="22"/>
          <w:szCs w:val="22"/>
        </w:rPr>
        <w:t>Sic)</w:t>
      </w:r>
    </w:p>
    <w:p w14:paraId="7D410A06" w14:textId="77777777" w:rsidR="00DA39BC" w:rsidRDefault="00DA39BC">
      <w:pPr>
        <w:spacing w:line="360" w:lineRule="auto"/>
        <w:ind w:left="851" w:right="851"/>
        <w:jc w:val="both"/>
        <w:rPr>
          <w:rFonts w:ascii="Palatino Linotype" w:eastAsia="Palatino Linotype" w:hAnsi="Palatino Linotype" w:cs="Palatino Linotype"/>
          <w:b/>
          <w:i/>
        </w:rPr>
      </w:pPr>
    </w:p>
    <w:p w14:paraId="432A7E44"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503ADABB" w14:textId="77777777" w:rsidR="00DA39BC" w:rsidRDefault="00DA39BC">
      <w:pPr>
        <w:spacing w:line="360" w:lineRule="auto"/>
        <w:jc w:val="both"/>
        <w:rPr>
          <w:rFonts w:ascii="Palatino Linotype" w:eastAsia="Palatino Linotype" w:hAnsi="Palatino Linotype" w:cs="Palatino Linotype"/>
        </w:rPr>
      </w:pPr>
    </w:p>
    <w:p w14:paraId="7CE62494" w14:textId="77777777" w:rsidR="00DA39BC" w:rsidRDefault="00B30168">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7159B6A" wp14:editId="52F7F11F">
            <wp:extent cx="4905375" cy="3362325"/>
            <wp:effectExtent l="0" t="0" r="0" 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3986" t="26966" r="3144" b="13259"/>
                    <a:stretch>
                      <a:fillRect/>
                    </a:stretch>
                  </pic:blipFill>
                  <pic:spPr>
                    <a:xfrm>
                      <a:off x="0" y="0"/>
                      <a:ext cx="4905375" cy="3362325"/>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14:anchorId="0CEA1445" wp14:editId="0B186506">
                <wp:simplePos x="0" y="0"/>
                <wp:positionH relativeFrom="column">
                  <wp:posOffset>406400</wp:posOffset>
                </wp:positionH>
                <wp:positionV relativeFrom="paragraph">
                  <wp:posOffset>2565400</wp:posOffset>
                </wp:positionV>
                <wp:extent cx="4552950" cy="771267"/>
                <wp:effectExtent l="0" t="0" r="0" b="0"/>
                <wp:wrapNone/>
                <wp:docPr id="69" name="Rectángulo 69"/>
                <wp:cNvGraphicFramePr/>
                <a:graphic xmlns:a="http://schemas.openxmlformats.org/drawingml/2006/main">
                  <a:graphicData uri="http://schemas.microsoft.com/office/word/2010/wordprocessingShape">
                    <wps:wsp>
                      <wps:cNvSpPr/>
                      <wps:spPr>
                        <a:xfrm>
                          <a:off x="3088575" y="3413417"/>
                          <a:ext cx="4514850" cy="733167"/>
                        </a:xfrm>
                        <a:prstGeom prst="rect">
                          <a:avLst/>
                        </a:prstGeom>
                        <a:noFill/>
                        <a:ln w="38100" cap="flat" cmpd="sng">
                          <a:solidFill>
                            <a:srgbClr val="FF0000"/>
                          </a:solidFill>
                          <a:prstDash val="solid"/>
                          <a:miter lim="800000"/>
                          <a:headEnd type="none" w="sm" len="sm"/>
                          <a:tailEnd type="none" w="sm" len="sm"/>
                        </a:ln>
                      </wps:spPr>
                      <wps:txbx>
                        <w:txbxContent>
                          <w:p w14:paraId="67F71B46" w14:textId="77777777" w:rsidR="00DA39BC" w:rsidRDefault="00DA39BC">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406400</wp:posOffset>
                </wp:positionH>
                <wp:positionV relativeFrom="paragraph">
                  <wp:posOffset>2565400</wp:posOffset>
                </wp:positionV>
                <wp:extent cx="4552950" cy="771267"/>
                <wp:effectExtent b="0" l="0" r="0" t="0"/>
                <wp:wrapNone/>
                <wp:docPr id="69"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4552950" cy="771267"/>
                        </a:xfrm>
                        <a:prstGeom prst="rect"/>
                        <a:ln/>
                      </pic:spPr>
                    </pic:pic>
                  </a:graphicData>
                </a:graphic>
              </wp:anchor>
            </w:drawing>
          </mc:Fallback>
        </mc:AlternateContent>
      </w:r>
    </w:p>
    <w:p w14:paraId="24162A25"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antes referida, se desprende que en el Submódulo Nómina contiene el documento denominado </w:t>
      </w:r>
      <w:r>
        <w:rPr>
          <w:rFonts w:ascii="Palatino Linotype" w:eastAsia="Palatino Linotype" w:hAnsi="Palatino Linotype" w:cs="Palatino Linotype"/>
          <w:u w:val="single"/>
        </w:rPr>
        <w:t>comprobante fiscal digital por internet por concepto de nómina,</w:t>
      </w:r>
      <w:r>
        <w:rPr>
          <w:rFonts w:ascii="Palatino Linotype" w:eastAsia="Palatino Linotype" w:hAnsi="Palatino Linotype" w:cs="Palatino Linotype"/>
        </w:rPr>
        <w:t xml:space="preserve">  documento precisamente requerido por el ahora recurrente. </w:t>
      </w:r>
    </w:p>
    <w:p w14:paraId="015B81F8" w14:textId="77777777" w:rsidR="00DA39BC" w:rsidRDefault="00DA39BC">
      <w:pPr>
        <w:spacing w:line="360" w:lineRule="auto"/>
        <w:jc w:val="both"/>
        <w:rPr>
          <w:rFonts w:ascii="Palatino Linotype" w:eastAsia="Palatino Linotype" w:hAnsi="Palatino Linotype" w:cs="Palatino Linotype"/>
        </w:rPr>
      </w:pPr>
    </w:p>
    <w:p w14:paraId="2E95C73C" w14:textId="77777777" w:rsidR="00DA39BC" w:rsidRDefault="00DA39BC">
      <w:pPr>
        <w:spacing w:line="360" w:lineRule="auto"/>
        <w:ind w:right="-91"/>
        <w:jc w:val="both"/>
        <w:rPr>
          <w:rFonts w:ascii="Palatino Linotype" w:eastAsia="Palatino Linotype" w:hAnsi="Palatino Linotype" w:cs="Palatino Linotype"/>
        </w:rPr>
      </w:pPr>
    </w:p>
    <w:p w14:paraId="43090EDB"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41E8555F" wp14:editId="091FEE37">
            <wp:extent cx="5496674" cy="4191571"/>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32361" t="20325" r="3937" b="4205"/>
                    <a:stretch>
                      <a:fillRect/>
                    </a:stretch>
                  </pic:blipFill>
                  <pic:spPr>
                    <a:xfrm>
                      <a:off x="0" y="0"/>
                      <a:ext cx="5496674" cy="4191571"/>
                    </a:xfrm>
                    <a:prstGeom prst="rect">
                      <a:avLst/>
                    </a:prstGeom>
                    <a:ln/>
                  </pic:spPr>
                </pic:pic>
              </a:graphicData>
            </a:graphic>
          </wp:inline>
        </w:drawing>
      </w:r>
    </w:p>
    <w:p w14:paraId="4D8BC688" w14:textId="77777777" w:rsidR="00DA39BC" w:rsidRDefault="00DA39BC">
      <w:pPr>
        <w:spacing w:line="360" w:lineRule="auto"/>
        <w:jc w:val="both"/>
        <w:rPr>
          <w:rFonts w:ascii="Palatino Linotype" w:eastAsia="Palatino Linotype" w:hAnsi="Palatino Linotype" w:cs="Palatino Linotype"/>
        </w:rPr>
      </w:pPr>
    </w:p>
    <w:p w14:paraId="064C1ED6" w14:textId="77777777" w:rsidR="00DA39BC" w:rsidRDefault="00DA39BC">
      <w:pPr>
        <w:spacing w:line="360" w:lineRule="auto"/>
        <w:jc w:val="both"/>
        <w:rPr>
          <w:rFonts w:ascii="Palatino Linotype" w:eastAsia="Palatino Linotype" w:hAnsi="Palatino Linotype" w:cs="Palatino Linotype"/>
        </w:rPr>
      </w:pPr>
    </w:p>
    <w:p w14:paraId="3147998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29025926" wp14:editId="5A22BDE0">
            <wp:extent cx="5467350" cy="3076575"/>
            <wp:effectExtent l="12700" t="12700" r="12700" b="1270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36206" t="14489" r="18081"/>
                    <a:stretch>
                      <a:fillRect/>
                    </a:stretch>
                  </pic:blipFill>
                  <pic:spPr>
                    <a:xfrm>
                      <a:off x="0" y="0"/>
                      <a:ext cx="5467350" cy="3076575"/>
                    </a:xfrm>
                    <a:prstGeom prst="rect">
                      <a:avLst/>
                    </a:prstGeom>
                    <a:ln w="12700">
                      <a:solidFill>
                        <a:srgbClr val="5B9BD5"/>
                      </a:solidFill>
                      <a:prstDash val="solid"/>
                    </a:ln>
                  </pic:spPr>
                </pic:pic>
              </a:graphicData>
            </a:graphic>
          </wp:inline>
        </w:drawing>
      </w:r>
    </w:p>
    <w:p w14:paraId="22D9F38A"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01DB27A0" wp14:editId="4F8BD228">
            <wp:extent cx="5476875" cy="4019550"/>
            <wp:effectExtent l="12700" t="12700" r="12700" b="1270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37792" t="16704" r="16949" b="2191"/>
                    <a:stretch>
                      <a:fillRect/>
                    </a:stretch>
                  </pic:blipFill>
                  <pic:spPr>
                    <a:xfrm>
                      <a:off x="0" y="0"/>
                      <a:ext cx="5476875" cy="4019550"/>
                    </a:xfrm>
                    <a:prstGeom prst="rect">
                      <a:avLst/>
                    </a:prstGeom>
                    <a:ln w="12700">
                      <a:solidFill>
                        <a:srgbClr val="5B9BD5"/>
                      </a:solidFill>
                      <a:prstDash val="solid"/>
                    </a:ln>
                  </pic:spPr>
                </pic:pic>
              </a:graphicData>
            </a:graphic>
          </wp:inline>
        </w:drawing>
      </w:r>
    </w:p>
    <w:p w14:paraId="1E60B5A6"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420A28BE" wp14:editId="1AC9D432">
            <wp:extent cx="5476875" cy="3086100"/>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43222" t="23949" r="22605" b="9436"/>
                    <a:stretch>
                      <a:fillRect/>
                    </a:stretch>
                  </pic:blipFill>
                  <pic:spPr>
                    <a:xfrm>
                      <a:off x="0" y="0"/>
                      <a:ext cx="5476875" cy="3086100"/>
                    </a:xfrm>
                    <a:prstGeom prst="rect">
                      <a:avLst/>
                    </a:prstGeom>
                    <a:ln/>
                  </pic:spPr>
                </pic:pic>
              </a:graphicData>
            </a:graphic>
          </wp:inline>
        </w:drawing>
      </w:r>
    </w:p>
    <w:p w14:paraId="7F2563D6"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14:paraId="58741455" w14:textId="77777777" w:rsidR="00DA39BC" w:rsidRDefault="00DA39BC">
      <w:pPr>
        <w:spacing w:line="360" w:lineRule="auto"/>
        <w:jc w:val="both"/>
        <w:rPr>
          <w:rFonts w:ascii="Palatino Linotype" w:eastAsia="Palatino Linotype" w:hAnsi="Palatino Linotype" w:cs="Palatino Linotype"/>
        </w:rPr>
      </w:pPr>
    </w:p>
    <w:p w14:paraId="783CEA00" w14:textId="77777777" w:rsidR="00DA39BC" w:rsidRDefault="00B30168">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Por ello, </w:t>
      </w:r>
      <w:r>
        <w:rPr>
          <w:rFonts w:ascii="Palatino Linotype" w:eastAsia="Palatino Linotype" w:hAnsi="Palatino Linotype" w:cs="Palatino Linotype"/>
          <w:color w:val="000000"/>
        </w:rPr>
        <w:t xml:space="preserve">para este Organismo Garante, la información proporcionada por el SUJETO OBLIGADO, no corresponde con lo solicitado. </w:t>
      </w:r>
    </w:p>
    <w:p w14:paraId="53E9FC22" w14:textId="77777777" w:rsidR="00DA39BC" w:rsidRDefault="00DA39BC">
      <w:pPr>
        <w:spacing w:line="360" w:lineRule="auto"/>
        <w:ind w:right="-91"/>
        <w:jc w:val="both"/>
        <w:rPr>
          <w:rFonts w:ascii="Palatino Linotype" w:eastAsia="Palatino Linotype" w:hAnsi="Palatino Linotype" w:cs="Palatino Linotype"/>
        </w:rPr>
      </w:pPr>
    </w:p>
    <w:p w14:paraId="527A8130" w14:textId="77777777" w:rsidR="00DA39BC" w:rsidRDefault="00B3016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respecto a las manifestaciones vertidas por el sujeto obligado respecto a que la información que contiene el comprobante fiscal digital por internet (CFDI) es contemplada como reservada y confidencial, como lo es el número de seguridad social, CURP, RFC, aportaciones de seguridad social, código QR, folios y cadenas fiscales, motivo por el cual se solicita se dé por atendida la solicitud de información en referencia.</w:t>
      </w:r>
    </w:p>
    <w:p w14:paraId="40BAEA4D" w14:textId="77777777" w:rsidR="00DA39BC" w:rsidRDefault="00DA39B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5DBB59F9" w14:textId="77777777" w:rsidR="00DA39BC" w:rsidRDefault="00B30168">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 debe resaltar que con las manifestaciones hechas valer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restringió el derecho de acceso a la información al pretender clasificarla. </w:t>
      </w:r>
    </w:p>
    <w:p w14:paraId="777782AA" w14:textId="77777777" w:rsidR="00DA39BC" w:rsidRDefault="00DA39B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3EDCB276"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este sentido, sobre la clasificación pretendida por el Sujeto Obligado,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Constitución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3B738B4" w14:textId="77777777" w:rsidR="00DA39BC" w:rsidRDefault="00DA39BC">
      <w:pPr>
        <w:spacing w:line="360" w:lineRule="auto"/>
        <w:ind w:right="-93"/>
        <w:jc w:val="both"/>
        <w:rPr>
          <w:rFonts w:ascii="Palatino Linotype" w:eastAsia="Palatino Linotype" w:hAnsi="Palatino Linotype" w:cs="Palatino Linotype"/>
        </w:rPr>
      </w:pPr>
    </w:p>
    <w:p w14:paraId="17071115"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527153E" w14:textId="77777777" w:rsidR="00DA39BC" w:rsidRDefault="00DA39BC">
      <w:pPr>
        <w:spacing w:line="360" w:lineRule="auto"/>
        <w:ind w:right="-93"/>
        <w:jc w:val="both"/>
        <w:rPr>
          <w:rFonts w:ascii="Palatino Linotype" w:eastAsia="Palatino Linotype" w:hAnsi="Palatino Linotype" w:cs="Palatino Linotype"/>
        </w:rPr>
      </w:pPr>
    </w:p>
    <w:p w14:paraId="4766B15B"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el artículo 5°, fracciones I y II de la Constitución Política del Estado Libre y Soberano de México, </w:t>
      </w:r>
      <w:r>
        <w:rPr>
          <w:rFonts w:ascii="Palatino Linotype" w:eastAsia="Palatino Linotype" w:hAnsi="Palatino Linotype" w:cs="Palatino Linotype"/>
          <w:b/>
          <w:u w:val="single"/>
        </w:rPr>
        <w:t xml:space="preserve">prevé que toda la información en posesión de los Sujetos Obligados será pública; no obstante, aquella referente a la intimidad </w:t>
      </w:r>
      <w:r>
        <w:rPr>
          <w:rFonts w:ascii="Palatino Linotype" w:eastAsia="Palatino Linotype" w:hAnsi="Palatino Linotype" w:cs="Palatino Linotype"/>
          <w:b/>
          <w:u w:val="single"/>
        </w:rPr>
        <w:lastRenderedPageBreak/>
        <w:t>de la vida privada</w:t>
      </w:r>
      <w:r>
        <w:rPr>
          <w:rFonts w:ascii="Palatino Linotype" w:eastAsia="Palatino Linotype" w:hAnsi="Palatino Linotype" w:cs="Palatino Linotype"/>
        </w:rPr>
        <w:t xml:space="preserve"> y la imagen de las personas, será protegida a través de un marco jurídico rígido, de tratamiento y manejo de datos personales.</w:t>
      </w:r>
    </w:p>
    <w:p w14:paraId="49AED4FD" w14:textId="77777777" w:rsidR="00DA39BC" w:rsidRDefault="00DA39BC">
      <w:pPr>
        <w:spacing w:line="360" w:lineRule="auto"/>
        <w:jc w:val="both"/>
        <w:rPr>
          <w:rFonts w:ascii="Palatino Linotype" w:eastAsia="Palatino Linotype" w:hAnsi="Palatino Linotype" w:cs="Palatino Linotype"/>
        </w:rPr>
      </w:pPr>
    </w:p>
    <w:p w14:paraId="532DBB16"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C6F1848" w14:textId="77777777" w:rsidR="00DA39BC" w:rsidRDefault="00DA39BC">
      <w:pPr>
        <w:spacing w:line="360" w:lineRule="auto"/>
        <w:ind w:right="-93"/>
        <w:jc w:val="both"/>
        <w:rPr>
          <w:rFonts w:ascii="Palatino Linotype" w:eastAsia="Palatino Linotype" w:hAnsi="Palatino Linotype" w:cs="Palatino Linotype"/>
        </w:rPr>
      </w:pPr>
    </w:p>
    <w:p w14:paraId="6D033B19"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concordancia con lo previo, el artículo 143, fracción I, de la Ley citada, establece que la información privada y los datos personales, concernientes a una persona física o jurídica colectiva identificada o identificable son confidenciales.</w:t>
      </w:r>
    </w:p>
    <w:p w14:paraId="2FFF3015" w14:textId="77777777" w:rsidR="00DA39BC" w:rsidRDefault="00DA39BC">
      <w:pPr>
        <w:spacing w:line="360" w:lineRule="auto"/>
        <w:ind w:right="-93"/>
        <w:jc w:val="both"/>
        <w:rPr>
          <w:rFonts w:ascii="Palatino Linotype" w:eastAsia="Palatino Linotype" w:hAnsi="Palatino Linotype" w:cs="Palatino Linotype"/>
        </w:rPr>
      </w:pPr>
    </w:p>
    <w:p w14:paraId="6BE47529" w14:textId="77777777" w:rsidR="00DA39BC" w:rsidRDefault="00B30168">
      <w:pPr>
        <w:spacing w:line="360" w:lineRule="auto"/>
        <w:ind w:right="-93"/>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w:t>
      </w:r>
      <w:r>
        <w:rPr>
          <w:rFonts w:ascii="Palatino Linotype" w:eastAsia="Palatino Linotype" w:hAnsi="Palatino Linotype" w:cs="Palatino Linotype"/>
          <w:b/>
          <w:u w:val="single"/>
        </w:rPr>
        <w:t>excepto cuando:</w:t>
      </w:r>
    </w:p>
    <w:p w14:paraId="366F9670" w14:textId="77777777" w:rsidR="00DA39BC" w:rsidRDefault="00DA39BC">
      <w:pPr>
        <w:spacing w:line="360" w:lineRule="auto"/>
        <w:ind w:right="-93"/>
        <w:jc w:val="both"/>
        <w:rPr>
          <w:rFonts w:ascii="Palatino Linotype" w:eastAsia="Palatino Linotype" w:hAnsi="Palatino Linotype" w:cs="Palatino Linotype"/>
        </w:rPr>
      </w:pPr>
    </w:p>
    <w:p w14:paraId="71EB19EE" w14:textId="77777777" w:rsidR="00DA39BC" w:rsidRDefault="00B30168">
      <w:pPr>
        <w:numPr>
          <w:ilvl w:val="0"/>
          <w:numId w:val="1"/>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La información se encuentre en registros públicos o fuentes de acceso público; </w:t>
      </w:r>
    </w:p>
    <w:p w14:paraId="634EB818" w14:textId="77777777" w:rsidR="00DA39BC" w:rsidRDefault="00B30168">
      <w:pPr>
        <w:numPr>
          <w:ilvl w:val="0"/>
          <w:numId w:val="1"/>
        </w:numPr>
        <w:spacing w:line="360" w:lineRule="auto"/>
        <w:ind w:right="900"/>
        <w:jc w:val="both"/>
        <w:rPr>
          <w:rFonts w:ascii="Palatino Linotype" w:eastAsia="Palatino Linotype" w:hAnsi="Palatino Linotype" w:cs="Palatino Linotype"/>
          <w:b/>
        </w:rPr>
      </w:pPr>
      <w:r>
        <w:rPr>
          <w:rFonts w:ascii="Palatino Linotype" w:eastAsia="Palatino Linotype" w:hAnsi="Palatino Linotype" w:cs="Palatino Linotype"/>
          <w:b/>
          <w:u w:val="single"/>
        </w:rPr>
        <w:t>Por ley tenga el carácter de pública;</w:t>
      </w:r>
    </w:p>
    <w:p w14:paraId="5DF95BA4" w14:textId="77777777" w:rsidR="00DA39BC" w:rsidRDefault="00B30168">
      <w:pPr>
        <w:numPr>
          <w:ilvl w:val="0"/>
          <w:numId w:val="1"/>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Exista una orden judicial; </w:t>
      </w:r>
    </w:p>
    <w:p w14:paraId="423D8423" w14:textId="77777777" w:rsidR="00DA39BC" w:rsidRDefault="00B30168">
      <w:pPr>
        <w:numPr>
          <w:ilvl w:val="0"/>
          <w:numId w:val="1"/>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Por razones de seguridad nacional y salubridad general,  o </w:t>
      </w:r>
    </w:p>
    <w:p w14:paraId="4D02F939" w14:textId="77777777" w:rsidR="00DA39BC" w:rsidRDefault="00B30168">
      <w:pPr>
        <w:numPr>
          <w:ilvl w:val="0"/>
          <w:numId w:val="1"/>
        </w:num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proteger los derechos de terceros o cuando se transmita entre sujetos obligados en términos de los tratados y los acuerdos interinstitucionales.</w:t>
      </w:r>
    </w:p>
    <w:p w14:paraId="061FD6A1" w14:textId="77777777" w:rsidR="00DA39BC" w:rsidRDefault="00DA39BC">
      <w:pPr>
        <w:spacing w:line="360" w:lineRule="auto"/>
        <w:ind w:left="1489" w:right="-93"/>
        <w:jc w:val="both"/>
        <w:rPr>
          <w:rFonts w:ascii="Palatino Linotype" w:eastAsia="Palatino Linotype" w:hAnsi="Palatino Linotype" w:cs="Palatino Linotype"/>
        </w:rPr>
      </w:pPr>
    </w:p>
    <w:p w14:paraId="0E798694" w14:textId="77777777" w:rsidR="00DA39BC" w:rsidRDefault="00B30168">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b/>
        </w:rPr>
        <w:t>En términos de lo expuesto, la documentación y aquellos datos que se consideren confidenciales, serán una limitante del derecho de acceso a la información, siempre y cuando:</w:t>
      </w:r>
    </w:p>
    <w:p w14:paraId="672C960F" w14:textId="77777777" w:rsidR="00DA39BC" w:rsidRDefault="00DA39BC">
      <w:pPr>
        <w:spacing w:line="360" w:lineRule="auto"/>
        <w:ind w:right="-93"/>
        <w:jc w:val="both"/>
        <w:rPr>
          <w:rFonts w:ascii="Palatino Linotype" w:eastAsia="Palatino Linotype" w:hAnsi="Palatino Linotype" w:cs="Palatino Linotype"/>
          <w:b/>
        </w:rPr>
      </w:pPr>
    </w:p>
    <w:p w14:paraId="3485A36D" w14:textId="77777777" w:rsidR="00DA39BC" w:rsidRDefault="00B30168">
      <w:pPr>
        <w:numPr>
          <w:ilvl w:val="0"/>
          <w:numId w:val="7"/>
        </w:numPr>
        <w:spacing w:line="360" w:lineRule="auto"/>
        <w:ind w:left="567" w:right="1134" w:hanging="207"/>
        <w:jc w:val="both"/>
        <w:rPr>
          <w:rFonts w:ascii="Palatino Linotype" w:eastAsia="Palatino Linotype" w:hAnsi="Palatino Linotype" w:cs="Palatino Linotype"/>
        </w:rPr>
      </w:pPr>
      <w:r>
        <w:rPr>
          <w:rFonts w:ascii="Palatino Linotype" w:eastAsia="Palatino Linotype" w:hAnsi="Palatino Linotype" w:cs="Palatino Linotype"/>
        </w:rPr>
        <w:t xml:space="preserve"> Se trate de datos personales o información privada; esto es, información concerniente a una persona física o jurídico colectiva y que esta sea identificada o identificable. </w:t>
      </w:r>
    </w:p>
    <w:p w14:paraId="05DB6E9C" w14:textId="77777777" w:rsidR="00DA39BC" w:rsidRDefault="00B30168">
      <w:pPr>
        <w:numPr>
          <w:ilvl w:val="0"/>
          <w:numId w:val="7"/>
        </w:numPr>
        <w:spacing w:line="360" w:lineRule="auto"/>
        <w:ind w:left="567" w:right="1134" w:hanging="207"/>
        <w:jc w:val="both"/>
        <w:rPr>
          <w:rFonts w:ascii="Palatino Linotype" w:eastAsia="Palatino Linotype" w:hAnsi="Palatino Linotype" w:cs="Palatino Linotype"/>
        </w:rPr>
      </w:pPr>
      <w:r>
        <w:rPr>
          <w:rFonts w:ascii="Palatino Linotype" w:eastAsia="Palatino Linotype" w:hAnsi="Palatino Linotype" w:cs="Palatino Linotype"/>
        </w:rPr>
        <w:t>Para la difusión de los datos, se requiera el consentimiento del titular.</w:t>
      </w:r>
    </w:p>
    <w:p w14:paraId="4E2EFA43" w14:textId="77777777" w:rsidR="00DA39BC" w:rsidRDefault="00DA39BC">
      <w:pPr>
        <w:spacing w:line="360" w:lineRule="auto"/>
        <w:jc w:val="both"/>
        <w:rPr>
          <w:rFonts w:ascii="Palatino Linotype" w:eastAsia="Palatino Linotype" w:hAnsi="Palatino Linotype" w:cs="Palatino Linotype"/>
        </w:rPr>
      </w:pPr>
    </w:p>
    <w:p w14:paraId="7B43C0E4"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es importante precisar que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Además, refiere que se consideran Datos Personales Sensibles las referentes de la esfera de su titular cuya utilización indebida pueda dar origen a discriminación o </w:t>
      </w:r>
      <w:r>
        <w:rPr>
          <w:rFonts w:ascii="Palatino Linotype" w:eastAsia="Palatino Linotype" w:hAnsi="Palatino Linotype" w:cs="Palatino Linotype"/>
        </w:rPr>
        <w:lastRenderedPageBreak/>
        <w:t>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714BE1E3" w14:textId="77777777" w:rsidR="00DA39BC" w:rsidRDefault="00DA39BC">
      <w:pPr>
        <w:spacing w:line="360" w:lineRule="auto"/>
        <w:ind w:right="-93"/>
        <w:jc w:val="both"/>
        <w:rPr>
          <w:rFonts w:ascii="Palatino Linotype" w:eastAsia="Palatino Linotype" w:hAnsi="Palatino Linotype" w:cs="Palatino Linotype"/>
        </w:rPr>
      </w:pPr>
    </w:p>
    <w:p w14:paraId="0725B36F"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C616770" w14:textId="77777777" w:rsidR="00DA39BC" w:rsidRDefault="00DA39BC">
      <w:pPr>
        <w:spacing w:line="360" w:lineRule="auto"/>
        <w:jc w:val="both"/>
        <w:rPr>
          <w:rFonts w:ascii="Palatino Linotype" w:eastAsia="Palatino Linotype" w:hAnsi="Palatino Linotype" w:cs="Palatino Linotype"/>
        </w:rPr>
      </w:pPr>
    </w:p>
    <w:p w14:paraId="4FCA23C8"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8CB7F4F" w14:textId="77777777" w:rsidR="00DA39BC" w:rsidRDefault="00DA39BC">
      <w:pPr>
        <w:spacing w:line="360" w:lineRule="auto"/>
        <w:jc w:val="both"/>
        <w:rPr>
          <w:rFonts w:ascii="Palatino Linotype" w:eastAsia="Palatino Linotype" w:hAnsi="Palatino Linotype" w:cs="Palatino Linotype"/>
        </w:rPr>
      </w:pPr>
    </w:p>
    <w:p w14:paraId="51DFB065"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la confidencialidad de los datos personales, tiene por objetivo establecer el límite del derecho de acceso a la información a partir del derecho a la </w:t>
      </w:r>
      <w:r>
        <w:rPr>
          <w:rFonts w:ascii="Palatino Linotype" w:eastAsia="Palatino Linotype" w:hAnsi="Palatino Linotype" w:cs="Palatino Linotype"/>
        </w:rPr>
        <w:lastRenderedPageBreak/>
        <w:t xml:space="preserve">intimidad y la vida privada de los individuos. Sobre el particular, el legislador realizó un análisis en donde </w:t>
      </w:r>
      <w:r>
        <w:rPr>
          <w:rFonts w:ascii="Palatino Linotype" w:eastAsia="Palatino Linotype" w:hAnsi="Palatino Linotype" w:cs="Palatino Linotype"/>
          <w:b/>
          <w:u w:val="single"/>
        </w:rPr>
        <w:t>se ponderaban dos derechos: el derecho a la intimidad y la protección de los datos personales versus el interés público de conocer el ejercicio de atribuciones y de recursos públicos de las instituciones</w:t>
      </w:r>
      <w:r>
        <w:rPr>
          <w:rFonts w:ascii="Palatino Linotype" w:eastAsia="Palatino Linotype" w:hAnsi="Palatino Linotype" w:cs="Palatino Linotype"/>
        </w:rPr>
        <w:t xml:space="preserve"> y es a partir de ahí, en donde las instituciones públicas deben determinar la publicidad de su información.</w:t>
      </w:r>
    </w:p>
    <w:p w14:paraId="0D7F0376" w14:textId="77777777" w:rsidR="00DA39BC" w:rsidRDefault="00DA39BC">
      <w:pPr>
        <w:spacing w:line="360" w:lineRule="auto"/>
        <w:ind w:right="-93"/>
        <w:jc w:val="both"/>
        <w:rPr>
          <w:rFonts w:ascii="Palatino Linotype" w:eastAsia="Palatino Linotype" w:hAnsi="Palatino Linotype" w:cs="Palatino Linotype"/>
        </w:rPr>
      </w:pPr>
    </w:p>
    <w:p w14:paraId="5CB48781"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14BF3E33" w14:textId="77777777" w:rsidR="00DA39BC" w:rsidRDefault="00DA39BC">
      <w:pPr>
        <w:spacing w:line="360" w:lineRule="auto"/>
        <w:ind w:right="-93"/>
        <w:jc w:val="both"/>
        <w:rPr>
          <w:rFonts w:ascii="Palatino Linotype" w:eastAsia="Palatino Linotype" w:hAnsi="Palatino Linotype" w:cs="Palatino Linotype"/>
        </w:rPr>
      </w:pPr>
    </w:p>
    <w:p w14:paraId="07C1F84F"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w:t>
      </w:r>
      <w:r>
        <w:rPr>
          <w:rFonts w:ascii="Palatino Linotype" w:eastAsia="Palatino Linotype" w:hAnsi="Palatino Linotype" w:cs="Palatino Linotype"/>
          <w:b/>
          <w:u w:val="single"/>
        </w:rPr>
        <w:t xml:space="preserve">toda la información que transparente la gestión pública, favorezca la rendición de cuentas y contribuya a la democratización del Estado Mexicano es, sin excepción, de naturaleza pública; tal es el caso de los salarios de todos los servidores públicos, </w:t>
      </w:r>
      <w:r>
        <w:rPr>
          <w:rFonts w:ascii="Palatino Linotype" w:eastAsia="Palatino Linotype" w:hAnsi="Palatino Linotype" w:cs="Palatino Linotype"/>
        </w:rPr>
        <w:t>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75F90A5" w14:textId="77777777" w:rsidR="00DA39BC" w:rsidRDefault="00DA39BC">
      <w:pPr>
        <w:spacing w:line="360" w:lineRule="auto"/>
        <w:ind w:right="-93"/>
        <w:jc w:val="both"/>
        <w:rPr>
          <w:rFonts w:ascii="Palatino Linotype" w:eastAsia="Palatino Linotype" w:hAnsi="Palatino Linotype" w:cs="Palatino Linotype"/>
        </w:rPr>
      </w:pPr>
    </w:p>
    <w:p w14:paraId="683CC848"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En efecto, los documentos solicitados son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w:t>
      </w:r>
      <w:r>
        <w:rPr>
          <w:rFonts w:ascii="Palatino Linotype" w:eastAsia="Palatino Linotype" w:hAnsi="Palatino Linotype" w:cs="Palatino Linotype"/>
        </w:rPr>
        <w:lastRenderedPageBreak/>
        <w:t>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EDC50CA" w14:textId="77777777" w:rsidR="00DA39BC" w:rsidRDefault="00DA39BC">
      <w:pPr>
        <w:spacing w:line="360" w:lineRule="auto"/>
        <w:jc w:val="both"/>
        <w:rPr>
          <w:rFonts w:ascii="Palatino Linotype" w:eastAsia="Palatino Linotype" w:hAnsi="Palatino Linotype" w:cs="Palatino Linotype"/>
        </w:rPr>
      </w:pPr>
    </w:p>
    <w:p w14:paraId="65143F08" w14:textId="77777777" w:rsidR="00DA39BC" w:rsidRDefault="00B30168">
      <w:pPr>
        <w:spacing w:line="276" w:lineRule="auto"/>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14:paraId="54C2F43D"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5620BC4C"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0E49E47" w14:textId="77777777" w:rsidR="00DA39BC" w:rsidRDefault="00B30168">
      <w:pPr>
        <w:spacing w:line="276"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1D98EE80"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F025CC6" w14:textId="77777777" w:rsidR="00DA39BC" w:rsidRDefault="00B30168">
      <w:pPr>
        <w:spacing w:line="276"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8ADDB37" w14:textId="77777777" w:rsidR="00DA39BC" w:rsidRDefault="00DA39BC">
      <w:pPr>
        <w:spacing w:line="360" w:lineRule="auto"/>
        <w:ind w:right="-93"/>
        <w:jc w:val="both"/>
        <w:rPr>
          <w:rFonts w:ascii="Palatino Linotype" w:eastAsia="Palatino Linotype" w:hAnsi="Palatino Linotype" w:cs="Palatino Linotype"/>
        </w:rPr>
      </w:pPr>
    </w:p>
    <w:p w14:paraId="70BFAB2A"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4165077" w14:textId="77777777" w:rsidR="00DA39BC" w:rsidRDefault="00DA39BC">
      <w:pPr>
        <w:spacing w:line="360" w:lineRule="auto"/>
        <w:jc w:val="both"/>
        <w:rPr>
          <w:rFonts w:ascii="Palatino Linotype" w:eastAsia="Palatino Linotype" w:hAnsi="Palatino Linotype" w:cs="Palatino Linotype"/>
        </w:rPr>
      </w:pPr>
    </w:p>
    <w:p w14:paraId="67198F6A" w14:textId="77777777" w:rsidR="00DA39BC" w:rsidRDefault="00B30168">
      <w:pPr>
        <w:spacing w:line="276" w:lineRule="auto"/>
        <w:ind w:left="567" w:right="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01/2003.</w:t>
      </w:r>
    </w:p>
    <w:p w14:paraId="5A9FB976" w14:textId="77777777" w:rsidR="00DA39BC" w:rsidRDefault="00B30168">
      <w:pPr>
        <w:spacing w:line="276" w:lineRule="auto"/>
        <w:ind w:left="567"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b/>
          <w:i/>
          <w:sz w:val="22"/>
          <w:szCs w:val="22"/>
          <w:u w:val="single"/>
        </w:rPr>
        <w:t>.</w:t>
      </w:r>
      <w:r>
        <w:rPr>
          <w:rFonts w:ascii="Palatino Linotype" w:eastAsia="Palatino Linotype" w:hAnsi="Palatino Linotype" w:cs="Palatino Linotype"/>
          <w:i/>
          <w:sz w:val="22"/>
          <w:szCs w:val="22"/>
          <w:u w:val="single"/>
        </w:rPr>
        <w:t xml:space="preserve"> Si </w:t>
      </w:r>
      <w:r>
        <w:rPr>
          <w:rFonts w:ascii="Palatino Linotype" w:eastAsia="Palatino Linotype" w:hAnsi="Palatino Linotype" w:cs="Palatino Linotype"/>
          <w:b/>
          <w:i/>
          <w:sz w:val="22"/>
          <w:szCs w:val="22"/>
          <w:u w:val="single"/>
        </w:rPr>
        <w:t>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debe reconocerse que aun y  cuando en ese supuesto podría encuadrar la relativa a las percepciones ordinarias y extraordinaria de los servidores públicos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rPr>
        <w:t>…”</w:t>
      </w:r>
    </w:p>
    <w:p w14:paraId="3C9AC98C" w14:textId="77777777" w:rsidR="00DA39BC" w:rsidRDefault="00DA39BC">
      <w:pPr>
        <w:spacing w:line="276" w:lineRule="auto"/>
        <w:ind w:left="567" w:right="1134"/>
        <w:jc w:val="both"/>
        <w:rPr>
          <w:rFonts w:ascii="Palatino Linotype" w:eastAsia="Palatino Linotype" w:hAnsi="Palatino Linotype" w:cs="Palatino Linotype"/>
          <w:i/>
          <w:sz w:val="22"/>
          <w:szCs w:val="22"/>
        </w:rPr>
      </w:pPr>
    </w:p>
    <w:p w14:paraId="1932C5FF" w14:textId="77777777" w:rsidR="00DA39BC" w:rsidRDefault="00DA39BC">
      <w:pPr>
        <w:spacing w:line="276" w:lineRule="auto"/>
        <w:ind w:left="567" w:right="1134"/>
        <w:jc w:val="both"/>
        <w:rPr>
          <w:rFonts w:ascii="Palatino Linotype" w:eastAsia="Palatino Linotype" w:hAnsi="Palatino Linotype" w:cs="Palatino Linotype"/>
          <w:b/>
          <w:i/>
          <w:sz w:val="22"/>
          <w:szCs w:val="22"/>
        </w:rPr>
      </w:pPr>
    </w:p>
    <w:p w14:paraId="4BE27BB6" w14:textId="77777777" w:rsidR="00DA39BC" w:rsidRDefault="00DA39BC">
      <w:pPr>
        <w:spacing w:line="276" w:lineRule="auto"/>
        <w:ind w:left="567" w:right="1134"/>
        <w:jc w:val="both"/>
        <w:rPr>
          <w:rFonts w:ascii="Palatino Linotype" w:eastAsia="Palatino Linotype" w:hAnsi="Palatino Linotype" w:cs="Palatino Linotype"/>
          <w:b/>
          <w:i/>
          <w:sz w:val="22"/>
          <w:szCs w:val="22"/>
        </w:rPr>
      </w:pPr>
    </w:p>
    <w:p w14:paraId="4AB0D82C" w14:textId="77777777" w:rsidR="00DA39BC" w:rsidRDefault="00B30168">
      <w:pPr>
        <w:spacing w:line="276" w:lineRule="auto"/>
        <w:ind w:left="567" w:righ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14:paraId="7D61EEC4" w14:textId="77777777" w:rsidR="00DA39BC" w:rsidRDefault="00B30168">
      <w:pPr>
        <w:spacing w:line="276" w:lineRule="auto"/>
        <w:ind w:left="567"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INGRESOS DE LOS SERVIDORES PÚBLICOS, SON INFORMACIÓN PÚBLICA AÚN Y CUANDO CONSTITUYEN DATOS PERSONALES</w:t>
      </w:r>
      <w:r>
        <w:rPr>
          <w:rFonts w:ascii="Palatino Linotype" w:eastAsia="Palatino Linotype" w:hAnsi="Palatino Linotype" w:cs="Palatino Linotype"/>
          <w:b/>
          <w:i/>
          <w:sz w:val="22"/>
          <w:szCs w:val="22"/>
        </w:rPr>
        <w:t xml:space="preserve"> QUE SE REFIEREN AL PATRIMONIO DE AQUÉLLOS.</w:t>
      </w:r>
      <w:r>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w:t>
      </w:r>
      <w:r>
        <w:rPr>
          <w:rFonts w:ascii="Palatino Linotype" w:eastAsia="Palatino Linotype" w:hAnsi="Palatino Linotype" w:cs="Palatino Linotype"/>
          <w:i/>
          <w:sz w:val="22"/>
          <w:szCs w:val="22"/>
          <w:u w:val="single"/>
        </w:rPr>
        <w:t>se advierte que no constituye información confidencial la relativa a los ingresos que reciben los servidores públicos, ya que aun y cuando se trata de datos personales relativos a su patrimonio</w:t>
      </w:r>
      <w:r>
        <w:rPr>
          <w:rFonts w:ascii="Palatino Linotype" w:eastAsia="Palatino Linotype" w:hAnsi="Palatino Linotype" w:cs="Palatino Linotype"/>
          <w:i/>
          <w:sz w:val="22"/>
          <w:szCs w:val="22"/>
        </w:rPr>
        <w:t xml:space="preserve">, para su difusión no se requiere consentimiento de aquellos, </w:t>
      </w:r>
      <w:r>
        <w:rPr>
          <w:rFonts w:ascii="Palatino Linotype" w:eastAsia="Palatino Linotype" w:hAnsi="Palatino Linotype" w:cs="Palatino Linotype"/>
          <w:b/>
          <w:i/>
          <w:sz w:val="22"/>
          <w:szCs w:val="22"/>
          <w:u w:val="single"/>
        </w:rPr>
        <w:t xml:space="preserve">lo que deriva del hecho de que en términos de los </w:t>
      </w:r>
      <w:r>
        <w:rPr>
          <w:rFonts w:ascii="Palatino Linotype" w:eastAsia="Palatino Linotype" w:hAnsi="Palatino Linotype" w:cs="Palatino Linotype"/>
          <w:b/>
          <w:i/>
          <w:sz w:val="22"/>
          <w:szCs w:val="22"/>
          <w:u w:val="single"/>
        </w:rPr>
        <w:lastRenderedPageBreak/>
        <w:t>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(sic)</w:t>
      </w:r>
    </w:p>
    <w:p w14:paraId="3111CCCA" w14:textId="77777777" w:rsidR="00DA39BC" w:rsidRDefault="00DA39BC">
      <w:pPr>
        <w:spacing w:line="360" w:lineRule="auto"/>
        <w:jc w:val="both"/>
        <w:rPr>
          <w:rFonts w:ascii="Palatino Linotype" w:eastAsia="Palatino Linotype" w:hAnsi="Palatino Linotype" w:cs="Palatino Linotype"/>
        </w:rPr>
      </w:pPr>
    </w:p>
    <w:p w14:paraId="12EA3754"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artículo 70 de la Ley General de Transparencia y Acceso a la Información Pública dispone lo siguiente: </w:t>
      </w:r>
    </w:p>
    <w:p w14:paraId="3E59521B" w14:textId="77777777" w:rsidR="00DA39BC" w:rsidRDefault="00DA39BC">
      <w:pPr>
        <w:spacing w:line="360" w:lineRule="auto"/>
        <w:jc w:val="both"/>
        <w:rPr>
          <w:rFonts w:ascii="Palatino Linotype" w:eastAsia="Palatino Linotype" w:hAnsi="Palatino Linotype" w:cs="Palatino Linotype"/>
        </w:rPr>
      </w:pPr>
    </w:p>
    <w:p w14:paraId="03AF9F51"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037FA12C"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5256D80B" w14:textId="77777777" w:rsidR="00DA39BC" w:rsidRDefault="00DA39BC">
      <w:pPr>
        <w:spacing w:line="360" w:lineRule="auto"/>
        <w:jc w:val="both"/>
        <w:rPr>
          <w:rFonts w:ascii="Palatino Linotype" w:eastAsia="Palatino Linotype" w:hAnsi="Palatino Linotype" w:cs="Palatino Linotype"/>
        </w:rPr>
      </w:pPr>
    </w:p>
    <w:p w14:paraId="68AB0DA3" w14:textId="77777777" w:rsidR="00DA39BC" w:rsidRDefault="00B3016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053718C9" w14:textId="77777777" w:rsidR="00DA39BC" w:rsidRDefault="00DA39BC">
      <w:pPr>
        <w:spacing w:line="360" w:lineRule="auto"/>
        <w:ind w:right="49"/>
        <w:jc w:val="both"/>
        <w:rPr>
          <w:rFonts w:ascii="Palatino Linotype" w:eastAsia="Palatino Linotype" w:hAnsi="Palatino Linotype" w:cs="Palatino Linotype"/>
        </w:rPr>
      </w:pPr>
    </w:p>
    <w:p w14:paraId="2DBE8015"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0446DCA"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C348EC9" w14:textId="77777777" w:rsidR="00DA39BC" w:rsidRDefault="00B30168">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7569BE5"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se insiste que en el caso concreto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se limitó a restringir el derecho de acceso del particular refiriendo que el comprobante fiscal digital por internet (CFDI) es contemplada como reservada y confidencial, como lo es el número de seguridad social, CURP, RFC, aportaciones de seguridad social, código QR, folios y cadenas fiscales, al respecto, conviene mencionar que si bien, los recibos de nómina contienen datos personales ello no es  razón suficiente para restringir en su totalidad el acceso del particular, en virtud de que la legislación en materia de acceso a la información pública ha tenido a bien otorgar la posibilidad de generar versiones públicas a fin de salvaguardar el derecho ejercido por el particular sin menoscabo de la intimidad de los servidores públicos, por tal motivo lo procedente es ordenar la apertura de la información atendiendo a las salvaguardas que en el considerando quinto se analizarán. </w:t>
      </w:r>
    </w:p>
    <w:p w14:paraId="00A7977B" w14:textId="77777777" w:rsidR="00DA39BC" w:rsidRDefault="00DA39BC">
      <w:pPr>
        <w:spacing w:line="360" w:lineRule="auto"/>
        <w:jc w:val="both"/>
        <w:rPr>
          <w:rFonts w:ascii="Palatino Linotype" w:eastAsia="Palatino Linotype" w:hAnsi="Palatino Linotype" w:cs="Palatino Linotype"/>
        </w:rPr>
      </w:pPr>
    </w:p>
    <w:p w14:paraId="386B03C1"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En principio,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7C7BD42F" w14:textId="77777777" w:rsidR="00DA39BC" w:rsidRDefault="00DA39BC">
      <w:pPr>
        <w:spacing w:line="360" w:lineRule="auto"/>
        <w:ind w:right="-93"/>
        <w:jc w:val="both"/>
        <w:rPr>
          <w:rFonts w:ascii="Palatino Linotype" w:eastAsia="Palatino Linotype" w:hAnsi="Palatino Linotype" w:cs="Palatino Linotype"/>
        </w:rPr>
      </w:pPr>
    </w:p>
    <w:p w14:paraId="358808E9"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conviene expresar que en el caso concreto, el </w:t>
      </w:r>
      <w:r>
        <w:rPr>
          <w:rFonts w:ascii="Palatino Linotype" w:eastAsia="Palatino Linotype" w:hAnsi="Palatino Linotype" w:cs="Palatino Linotype"/>
          <w:b/>
        </w:rPr>
        <w:t>Sujeto Obligado no observó las formalidades que establece la legislación en la materia respecto a la clasificación de la información</w:t>
      </w:r>
      <w:r>
        <w:rPr>
          <w:rFonts w:ascii="Palatino Linotype" w:eastAsia="Palatino Linotype" w:hAnsi="Palatino Linotype" w:cs="Palatino Linotype"/>
        </w:rPr>
        <w:t xml:space="preserve">, toda vez que no se remitió el correspondiente Acuerdo de Clasificación, con la respectiva fundamentación y motivación. </w:t>
      </w:r>
    </w:p>
    <w:p w14:paraId="3ECA939C"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Aunado a que no pasa desapercibido para este organismo garante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pretende clasificar datos que se consideran como de acceso público como se detallará en el siguiente considerando. </w:t>
      </w:r>
    </w:p>
    <w:p w14:paraId="7C8D8DA7" w14:textId="77777777" w:rsidR="00DA39BC" w:rsidRDefault="00DA39BC">
      <w:pPr>
        <w:spacing w:line="360" w:lineRule="auto"/>
        <w:jc w:val="both"/>
        <w:rPr>
          <w:rFonts w:ascii="Palatino Linotype" w:eastAsia="Palatino Linotype" w:hAnsi="Palatino Linotype" w:cs="Palatino Linotype"/>
        </w:rPr>
      </w:pPr>
    </w:p>
    <w:p w14:paraId="5D803288" w14:textId="77777777" w:rsidR="00DA39BC" w:rsidRDefault="00B30168">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se advierte que la pretendida clasificación de la información solicitada no reúne los requisitos contenidos en la Ley de Transparencia y Acceso a la Información del Estado de México y Municipios y en los Lineamientos Generales en Materia de Clasificación y Desclasificación de la Información, por lo tanto, el derecho de acceso a la información pública del particular no puede tenerse por atendido.</w:t>
      </w:r>
    </w:p>
    <w:p w14:paraId="1A1F76C8" w14:textId="77777777" w:rsidR="00DA39BC" w:rsidRDefault="00DA39BC">
      <w:pPr>
        <w:pBdr>
          <w:top w:val="nil"/>
          <w:left w:val="nil"/>
          <w:bottom w:val="nil"/>
          <w:right w:val="nil"/>
          <w:between w:val="nil"/>
        </w:pBdr>
        <w:spacing w:line="360" w:lineRule="auto"/>
        <w:jc w:val="both"/>
        <w:rPr>
          <w:rFonts w:ascii="Palatino Linotype" w:eastAsia="Palatino Linotype" w:hAnsi="Palatino Linotype" w:cs="Palatino Linotype"/>
        </w:rPr>
      </w:pPr>
    </w:p>
    <w:p w14:paraId="441C954C"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ello, es importante referir que la fundamentación y motivación consiste en la obligación que tiene todo ente público de expresar los preceptos jurídicos aplicables al asunto motivo del acto y las razones o argumentos de su actuar.</w:t>
      </w:r>
    </w:p>
    <w:p w14:paraId="179858C2" w14:textId="77777777" w:rsidR="00DA39BC" w:rsidRDefault="00DA39BC">
      <w:pPr>
        <w:spacing w:line="360" w:lineRule="auto"/>
        <w:jc w:val="both"/>
        <w:rPr>
          <w:rFonts w:ascii="Palatino Linotype" w:eastAsia="Palatino Linotype" w:hAnsi="Palatino Linotype" w:cs="Palatino Linotype"/>
        </w:rPr>
      </w:pPr>
    </w:p>
    <w:p w14:paraId="4A91BD47"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54172C7A" w14:textId="77777777" w:rsidR="00DA39BC" w:rsidRDefault="00DA39BC">
      <w:pPr>
        <w:spacing w:line="360" w:lineRule="auto"/>
        <w:jc w:val="both"/>
        <w:rPr>
          <w:rFonts w:ascii="Palatino Linotype" w:eastAsia="Palatino Linotype" w:hAnsi="Palatino Linotype" w:cs="Palatino Linotype"/>
        </w:rPr>
      </w:pPr>
    </w:p>
    <w:p w14:paraId="18121C70" w14:textId="77777777" w:rsidR="00DA39BC" w:rsidRDefault="00B30168">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FUNDAMENTACIÓN Y MOTIVACIÓN. </w:t>
      </w:r>
      <w:r>
        <w:rPr>
          <w:rFonts w:ascii="Palatino Linotype" w:eastAsia="Palatino Linotype" w:hAnsi="Palatino Linotype" w:cs="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9D9BF8B" w14:textId="77777777" w:rsidR="00DA39BC" w:rsidRDefault="00DA39BC">
      <w:pPr>
        <w:spacing w:line="360" w:lineRule="auto"/>
        <w:jc w:val="both"/>
        <w:rPr>
          <w:rFonts w:ascii="Palatino Linotype" w:eastAsia="Palatino Linotype" w:hAnsi="Palatino Linotype" w:cs="Palatino Linotype"/>
        </w:rPr>
      </w:pPr>
    </w:p>
    <w:p w14:paraId="0195FC96"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expresan </w:t>
      </w:r>
      <w:r>
        <w:rPr>
          <w:rFonts w:ascii="Palatino Linotype" w:eastAsia="Palatino Linotype" w:hAnsi="Palatino Linotype" w:cs="Palatino Linotype"/>
        </w:rPr>
        <w:lastRenderedPageBreak/>
        <w:t>las razones, motivos o circunstancias que tomó en cuenta la autoridad para adecuar el hecho a los fundamentos de derecho.</w:t>
      </w:r>
    </w:p>
    <w:p w14:paraId="7207A5BC" w14:textId="77777777" w:rsidR="00DA39BC" w:rsidRDefault="00DA39BC">
      <w:pPr>
        <w:spacing w:line="360" w:lineRule="auto"/>
        <w:jc w:val="both"/>
        <w:rPr>
          <w:rFonts w:ascii="Palatino Linotype" w:eastAsia="Palatino Linotype" w:hAnsi="Palatino Linotype" w:cs="Palatino Linotype"/>
        </w:rPr>
      </w:pPr>
    </w:p>
    <w:p w14:paraId="2A6E13B0"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BF605A7" w14:textId="77777777" w:rsidR="00DA39BC" w:rsidRDefault="00DA39BC">
      <w:pPr>
        <w:spacing w:line="360" w:lineRule="auto"/>
        <w:jc w:val="both"/>
        <w:rPr>
          <w:rFonts w:ascii="Palatino Linotype" w:eastAsia="Palatino Linotype" w:hAnsi="Palatino Linotype" w:cs="Palatino Linotype"/>
        </w:rPr>
      </w:pPr>
    </w:p>
    <w:p w14:paraId="0843B2C9" w14:textId="77777777" w:rsidR="00DA39BC" w:rsidRDefault="00B30168">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xml:space="preserve">. El contenido formal de la garantía de legalidad prevista en el artículo 16 constitucional relativa a la </w:t>
      </w:r>
      <w:r>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rPr>
        <w:t>no basta que el acto de autoridad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.”(Sic)</w:t>
      </w:r>
    </w:p>
    <w:p w14:paraId="282E77B4" w14:textId="77777777" w:rsidR="00DA39BC" w:rsidRDefault="00DA39BC">
      <w:pPr>
        <w:spacing w:line="360" w:lineRule="auto"/>
        <w:jc w:val="both"/>
        <w:rPr>
          <w:rFonts w:ascii="Palatino Linotype" w:eastAsia="Palatino Linotype" w:hAnsi="Palatino Linotype" w:cs="Palatino Linotype"/>
        </w:rPr>
      </w:pPr>
    </w:p>
    <w:p w14:paraId="19B2EE17"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0649697" w14:textId="77777777" w:rsidR="00DA39BC" w:rsidRDefault="00DA39BC">
      <w:pPr>
        <w:spacing w:line="360" w:lineRule="auto"/>
        <w:jc w:val="both"/>
        <w:rPr>
          <w:rFonts w:ascii="Palatino Linotype" w:eastAsia="Palatino Linotype" w:hAnsi="Palatino Linotype" w:cs="Palatino Linotype"/>
        </w:rPr>
      </w:pPr>
    </w:p>
    <w:p w14:paraId="2DF1D51B"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incumplió con las formalidades previstas en los artículos 49, fracción VIII, 122, 130, 132, fracciones I, II y III, 143 en su fracción primera y 149 de la Ley de Transparencia y Acceso a la Información Pública del Estado de México y Municipios en vigor, así como el numeral Cuarto al Décimo Primero de los Lineamientos Generales en materia de Clasificación y Desclasificación de la Información, así como para la elaboración de Versiones Públicas, que literalmente expresan:</w:t>
      </w:r>
    </w:p>
    <w:p w14:paraId="318933C5" w14:textId="77777777" w:rsidR="00DA39BC" w:rsidRDefault="00DA39BC">
      <w:pPr>
        <w:spacing w:line="360" w:lineRule="auto"/>
        <w:jc w:val="both"/>
        <w:rPr>
          <w:rFonts w:ascii="Palatino Linotype" w:eastAsia="Palatino Linotype" w:hAnsi="Palatino Linotype" w:cs="Palatino Linotype"/>
        </w:rPr>
      </w:pPr>
    </w:p>
    <w:p w14:paraId="7793CEF3" w14:textId="77777777" w:rsidR="00DA39BC" w:rsidRDefault="00B30168">
      <w:pPr>
        <w:spacing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Ley de Transparencia y Acceso a la Información Pública del Estado de México y Municipios</w:t>
      </w:r>
    </w:p>
    <w:p w14:paraId="7C773DEE"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058FC4D5"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777ECC1C"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566938DE"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122. </w:t>
      </w:r>
      <w:r>
        <w:rPr>
          <w:rFonts w:ascii="Palatino Linotype" w:eastAsia="Palatino Linotype" w:hAnsi="Palatino Linotype" w:cs="Palatino Linotype"/>
          <w:b/>
          <w:i/>
          <w:sz w:val="22"/>
          <w:szCs w:val="22"/>
        </w:rPr>
        <w:t xml:space="preserve">La clasificación es el proceso mediante el cual el sujeto obligado determina que la información en su poder </w:t>
      </w:r>
      <w:proofErr w:type="spellStart"/>
      <w:r>
        <w:rPr>
          <w:rFonts w:ascii="Palatino Linotype" w:eastAsia="Palatino Linotype" w:hAnsi="Palatino Linotype" w:cs="Palatino Linotype"/>
          <w:b/>
          <w:i/>
          <w:sz w:val="22"/>
          <w:szCs w:val="22"/>
        </w:rPr>
        <w:t>actualiza</w:t>
      </w:r>
      <w:proofErr w:type="spellEnd"/>
      <w:r>
        <w:rPr>
          <w:rFonts w:ascii="Palatino Linotype" w:eastAsia="Palatino Linotype" w:hAnsi="Palatino Linotype" w:cs="Palatino Linotype"/>
          <w:b/>
          <w:i/>
          <w:sz w:val="22"/>
          <w:szCs w:val="22"/>
        </w:rPr>
        <w:t xml:space="preserve"> alguno de los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de conformidad con lo dispuesto en el presente título.</w:t>
      </w:r>
    </w:p>
    <w:p w14:paraId="1DB78FAA"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supuestos de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reserva o confidencialidad previstos en las leyes deberán ser acordes con las bases, principios y disposiciones establecidos en la Ley General y, en ningún caso, podrán contravenirla.</w:t>
      </w:r>
    </w:p>
    <w:p w14:paraId="260F3FA1"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titulares de las áreas de los sujetos obligados serán los responsables de clasificar la información, de conformidad con lo dispuesto en la presente Ley y demás disposiciones jurídicas aplicables.</w:t>
      </w:r>
    </w:p>
    <w:p w14:paraId="3208D948"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884782C"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130. </w:t>
      </w:r>
      <w:r>
        <w:rPr>
          <w:rFonts w:ascii="Palatino Linotype" w:eastAsia="Palatino Linotype" w:hAnsi="Palatino Linotype" w:cs="Palatino Linotype"/>
          <w:b/>
          <w:i/>
          <w:sz w:val="22"/>
          <w:szCs w:val="22"/>
        </w:rPr>
        <w:t>Los sujetos obligados deberán aplicar, de manera restrictiva y limitada, las excepciones al derecho de acceso a la información y sólo podrán invocarlas cuando acrediten su procedencia, sin ampliar las excepciones o supuestos de</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 previstos en la Ley General y la presente Ley, aduciendo analogía o mayoría de razón.</w:t>
      </w:r>
    </w:p>
    <w:p w14:paraId="2D0301BC"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6766434A"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reciba una solicitud de acceso a la información;</w:t>
      </w:r>
    </w:p>
    <w:p w14:paraId="59305E59"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Se determine mediante resolución de autoridad competente; o</w:t>
      </w:r>
    </w:p>
    <w:p w14:paraId="2FA06ED3"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Se generen versiones públicas para dar cumplimiento a las obligaciones de transparencia previstas en esta Ley.</w:t>
      </w:r>
    </w:p>
    <w:p w14:paraId="38C85D1C"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9A8C772"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143. </w:t>
      </w:r>
      <w:r>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5AF85D2B"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Se refiera a la información privada y los datos personales concernientes a una persona física o jurídico colectiva identificada o identificable;</w:t>
      </w:r>
    </w:p>
    <w:p w14:paraId="051B2519"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D6AE7D3"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149. </w:t>
      </w:r>
      <w:r>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w:t>
      </w:r>
      <w:r>
        <w:rPr>
          <w:rFonts w:ascii="Palatino Linotype" w:eastAsia="Palatino Linotype" w:hAnsi="Palatino Linotype" w:cs="Palatino Linotype"/>
          <w:b/>
          <w:i/>
          <w:sz w:val="22"/>
          <w:szCs w:val="22"/>
        </w:rPr>
        <w:t>”</w:t>
      </w:r>
    </w:p>
    <w:p w14:paraId="094C8F41" w14:textId="77777777" w:rsidR="00DA39BC" w:rsidRDefault="00B30168">
      <w:pPr>
        <w:spacing w:line="276" w:lineRule="auto"/>
        <w:ind w:left="851"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p>
    <w:p w14:paraId="59205EFE"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9E920D2"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F9CFD5F"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w:t>
      </w:r>
      <w:r>
        <w:rPr>
          <w:rFonts w:ascii="Palatino Linotype" w:eastAsia="Palatino Linotype" w:hAnsi="Palatino Linotype" w:cs="Palatino Linotype"/>
          <w:i/>
          <w:sz w:val="22"/>
          <w:szCs w:val="22"/>
        </w:rPr>
        <w:lastRenderedPageBreak/>
        <w:t>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4B0DA44" w14:textId="77777777" w:rsidR="00DA39BC" w:rsidRDefault="00B30168">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Sexto.</w:t>
      </w:r>
      <w:r>
        <w:rPr>
          <w:rFonts w:ascii="Palatino Linotype" w:eastAsia="Palatino Linotype" w:hAnsi="Palatino Linotype" w:cs="Palatino Linotype"/>
          <w:i/>
          <w:color w:val="000000"/>
          <w:sz w:val="22"/>
          <w:szCs w:val="22"/>
        </w:rPr>
        <w:t xml:space="preserve"> </w:t>
      </w:r>
    </w:p>
    <w:p w14:paraId="5FB21162" w14:textId="77777777" w:rsidR="00DA39BC" w:rsidRDefault="00B30168">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D51BCA9" w14:textId="77777777" w:rsidR="00DA39BC" w:rsidRDefault="00B30168">
      <w:pPr>
        <w:spacing w:line="276" w:lineRule="auto"/>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clasificación de información se realizará conforme a un análisis caso por caso, mediante la aplicación de la prueba de daño y de interés público.</w:t>
      </w:r>
    </w:p>
    <w:p w14:paraId="53BF73FD"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72D18D85"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6C2F14A2"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65378BA7"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EF568CD"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7C23FDD"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18CE64"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CB28249"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73CE797"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368D57C0"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w:t>
      </w:r>
      <w:r>
        <w:rPr>
          <w:rFonts w:ascii="Palatino Linotype" w:eastAsia="Palatino Linotype" w:hAnsi="Palatino Linotype" w:cs="Palatino Linotype"/>
          <w:i/>
          <w:sz w:val="22"/>
          <w:szCs w:val="22"/>
        </w:rPr>
        <w:lastRenderedPageBreak/>
        <w:t>que se testen, siguiendo los procedimientos establecidos en el Capítulo IX de los presentes lineamientos.</w:t>
      </w:r>
    </w:p>
    <w:p w14:paraId="676C2B60"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BC8FEC8"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8E310A1"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w:t>
      </w:r>
    </w:p>
    <w:p w14:paraId="2A01BF64" w14:textId="77777777" w:rsidR="00DA39BC" w:rsidRDefault="00DA39BC">
      <w:pPr>
        <w:spacing w:line="360" w:lineRule="auto"/>
        <w:jc w:val="both"/>
        <w:rPr>
          <w:rFonts w:ascii="Palatino Linotype" w:eastAsia="Palatino Linotype" w:hAnsi="Palatino Linotype" w:cs="Palatino Linotype"/>
        </w:rPr>
      </w:pPr>
    </w:p>
    <w:p w14:paraId="20181D1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dicho Acuerdo debe exponer de manera clara las razones por las 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582008CA" w14:textId="77777777" w:rsidR="00DA39BC" w:rsidRDefault="00DA39BC">
      <w:pPr>
        <w:spacing w:line="360" w:lineRule="auto"/>
        <w:jc w:val="both"/>
        <w:rPr>
          <w:rFonts w:ascii="Palatino Linotype" w:eastAsia="Palatino Linotype" w:hAnsi="Palatino Linotype" w:cs="Palatino Linotype"/>
        </w:rPr>
      </w:pPr>
    </w:p>
    <w:p w14:paraId="5FFE11A3" w14:textId="77777777" w:rsidR="00DA39BC" w:rsidRDefault="00B30168">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0F77567" w14:textId="77777777" w:rsidR="00DA39BC" w:rsidRDefault="00B30168">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05FCC6F" w14:textId="77777777" w:rsidR="00DA39BC" w:rsidRDefault="00DA39BC">
      <w:pPr>
        <w:spacing w:line="360" w:lineRule="auto"/>
        <w:jc w:val="both"/>
        <w:rPr>
          <w:rFonts w:ascii="Palatino Linotype" w:eastAsia="Palatino Linotype" w:hAnsi="Palatino Linotype" w:cs="Palatino Linotype"/>
          <w:color w:val="000000"/>
        </w:rPr>
      </w:pPr>
    </w:p>
    <w:p w14:paraId="163273E7" w14:textId="77777777" w:rsidR="00DA39BC" w:rsidRDefault="00B3016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las consideraciones anteriores, lo procedente es ordenar la entrega de los recibos de nómina de los mandos medios y superiores de la última quincena de febrero 2022, los cuales deben obrar en poder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en versión pública en atención a lo señalado en el considerando quinto del presente fallo.</w:t>
      </w:r>
    </w:p>
    <w:p w14:paraId="28951386" w14:textId="77777777" w:rsidR="00DA39BC" w:rsidRDefault="00DA39BC">
      <w:pPr>
        <w:spacing w:line="360" w:lineRule="auto"/>
        <w:jc w:val="both"/>
        <w:rPr>
          <w:rFonts w:ascii="Palatino Linotype" w:eastAsia="Palatino Linotype" w:hAnsi="Palatino Linotype" w:cs="Palatino Linotype"/>
          <w:color w:val="000000"/>
        </w:rPr>
      </w:pPr>
    </w:p>
    <w:p w14:paraId="7A1AD4C4"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Cómo fue debidamente apuntado, el Sujeto Obligado debe satisfacer la solicitud de acceso a la información; sin embargo, en caso de que la misma contenga datos personales, deberá clasificarlos, observando las formalidades siguientes:</w:t>
      </w:r>
    </w:p>
    <w:p w14:paraId="72616247" w14:textId="77777777" w:rsidR="00DA39BC" w:rsidRDefault="00DA39BC">
      <w:pPr>
        <w:spacing w:line="360" w:lineRule="auto"/>
        <w:jc w:val="both"/>
        <w:rPr>
          <w:rFonts w:ascii="Palatino Linotype" w:eastAsia="Palatino Linotype" w:hAnsi="Palatino Linotype" w:cs="Palatino Linotype"/>
        </w:rPr>
      </w:pPr>
    </w:p>
    <w:p w14:paraId="1D044065" w14:textId="77777777" w:rsidR="00DA39BC" w:rsidRDefault="00B30168">
      <w:pPr>
        <w:shd w:val="clear" w:color="auto" w:fill="FFFFFF"/>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7272D3F" w14:textId="77777777" w:rsidR="00DA39BC" w:rsidRDefault="00DA39BC">
      <w:pPr>
        <w:shd w:val="clear" w:color="auto" w:fill="FFFFFF"/>
        <w:spacing w:line="360" w:lineRule="auto"/>
        <w:ind w:right="49"/>
        <w:jc w:val="both"/>
        <w:rPr>
          <w:rFonts w:ascii="Palatino Linotype" w:eastAsia="Palatino Linotype" w:hAnsi="Palatino Linotype" w:cs="Palatino Linotype"/>
        </w:rPr>
      </w:pPr>
    </w:p>
    <w:p w14:paraId="44FF9976" w14:textId="77777777" w:rsidR="00DA39BC" w:rsidRDefault="00B30168">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CAF19F6" w14:textId="77777777" w:rsidR="00DA39BC" w:rsidRDefault="00DA39BC">
      <w:pPr>
        <w:shd w:val="clear" w:color="auto" w:fill="FFFFFF"/>
        <w:spacing w:line="360" w:lineRule="auto"/>
        <w:ind w:right="51"/>
        <w:jc w:val="both"/>
        <w:rPr>
          <w:rFonts w:ascii="Palatino Linotype" w:eastAsia="Palatino Linotype" w:hAnsi="Palatino Linotype" w:cs="Palatino Linotype"/>
        </w:rPr>
      </w:pPr>
    </w:p>
    <w:p w14:paraId="0483C0E5" w14:textId="77777777" w:rsidR="00DA39BC" w:rsidRDefault="00B30168">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4D8BD274" w14:textId="77777777" w:rsidR="00DA39BC" w:rsidRDefault="00DA39BC">
      <w:pPr>
        <w:shd w:val="clear" w:color="auto" w:fill="FFFFFF"/>
        <w:spacing w:line="360" w:lineRule="auto"/>
        <w:ind w:right="51"/>
        <w:jc w:val="both"/>
        <w:rPr>
          <w:rFonts w:ascii="Palatino Linotype" w:eastAsia="Palatino Linotype" w:hAnsi="Palatino Linotype" w:cs="Palatino Linotype"/>
        </w:rPr>
      </w:pPr>
    </w:p>
    <w:p w14:paraId="08158E00" w14:textId="77777777" w:rsidR="00DA39BC" w:rsidRDefault="00B30168">
      <w:pPr>
        <w:shd w:val="clear" w:color="auto" w:fill="FFFFFF"/>
        <w:spacing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“Artículo 3. Para los efectos de la presente Ley se entenderá por:</w:t>
      </w:r>
    </w:p>
    <w:p w14:paraId="3DF55205" w14:textId="77777777" w:rsidR="00DA39BC" w:rsidRDefault="00B30168">
      <w:pPr>
        <w:shd w:val="clear" w:color="auto" w:fill="FFFFFF"/>
        <w:spacing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07585041" w14:textId="77777777" w:rsidR="00DA39BC" w:rsidRDefault="00B30168">
      <w:pPr>
        <w:shd w:val="clear" w:color="auto" w:fill="FFFFFF"/>
        <w:spacing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20B7732"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CE8B219"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3605495E"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DC5E5D"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81CC6A4"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2FD458A"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9618F4F" w14:textId="77777777" w:rsidR="00DA39BC" w:rsidRDefault="00B30168">
      <w:pPr>
        <w:shd w:val="clear" w:color="auto" w:fill="FFFFFF"/>
        <w:spacing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EC38ACF" w14:textId="77777777" w:rsidR="00DA39BC" w:rsidRDefault="00B30168">
      <w:pPr>
        <w:shd w:val="clear" w:color="auto" w:fill="FFFFFF"/>
        <w:spacing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EB1217C"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14:paraId="5C5E564E"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A21DA62"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14:paraId="6FC3B897"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8D74A3"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7C06DC0"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C3F451A" w14:textId="77777777" w:rsidR="00DA39BC" w:rsidRDefault="00B30168">
      <w:pPr>
        <w:shd w:val="clear" w:color="auto" w:fill="FFFFFF"/>
        <w:spacing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Artículo 137</w:t>
      </w:r>
      <w:r>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24AD4EE" w14:textId="77777777" w:rsidR="00DA39BC" w:rsidRDefault="00DA39BC">
      <w:pPr>
        <w:shd w:val="clear" w:color="auto" w:fill="FFFFFF"/>
        <w:spacing w:line="276" w:lineRule="auto"/>
        <w:ind w:left="851" w:right="851"/>
        <w:jc w:val="both"/>
        <w:rPr>
          <w:rFonts w:ascii="Palatino Linotype" w:eastAsia="Palatino Linotype" w:hAnsi="Palatino Linotype" w:cs="Palatino Linotype"/>
          <w:b/>
          <w:i/>
          <w:sz w:val="22"/>
          <w:szCs w:val="22"/>
        </w:rPr>
      </w:pPr>
    </w:p>
    <w:p w14:paraId="6BD78A2C" w14:textId="77777777" w:rsidR="00DA39BC" w:rsidRDefault="00B30168">
      <w:pPr>
        <w:shd w:val="clear" w:color="auto" w:fill="FFFFFF"/>
        <w:spacing w:line="276" w:lineRule="auto"/>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6DCA069" w14:textId="77777777" w:rsidR="00DA39BC" w:rsidRDefault="00B30168">
      <w:pPr>
        <w:shd w:val="clear" w:color="auto" w:fill="FFFFFF"/>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1902C1AD" w14:textId="77777777" w:rsidR="00DA39BC" w:rsidRDefault="00DA39BC">
      <w:pPr>
        <w:shd w:val="clear" w:color="auto" w:fill="FFFFFF"/>
        <w:spacing w:line="360" w:lineRule="auto"/>
        <w:ind w:left="851" w:right="851"/>
        <w:jc w:val="both"/>
        <w:rPr>
          <w:rFonts w:ascii="Palatino Linotype" w:eastAsia="Palatino Linotype" w:hAnsi="Palatino Linotype" w:cs="Palatino Linotype"/>
        </w:rPr>
      </w:pPr>
    </w:p>
    <w:p w14:paraId="19CCC20C" w14:textId="77777777" w:rsidR="00DA39BC" w:rsidRDefault="00B3016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F3D02AD" w14:textId="77777777" w:rsidR="00DA39BC" w:rsidRDefault="00DA39BC">
      <w:pPr>
        <w:spacing w:line="360" w:lineRule="auto"/>
        <w:ind w:right="50"/>
        <w:jc w:val="both"/>
        <w:rPr>
          <w:rFonts w:ascii="Palatino Linotype" w:eastAsia="Palatino Linotype" w:hAnsi="Palatino Linotype" w:cs="Palatino Linotype"/>
        </w:rPr>
      </w:pPr>
    </w:p>
    <w:p w14:paraId="429C8927" w14:textId="77777777" w:rsidR="00DA39BC" w:rsidRDefault="00B3016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0A468300" w14:textId="77777777" w:rsidR="00DA39BC" w:rsidRDefault="00DA39BC">
      <w:pPr>
        <w:spacing w:line="360" w:lineRule="auto"/>
        <w:ind w:right="50"/>
        <w:jc w:val="both"/>
        <w:rPr>
          <w:rFonts w:ascii="Palatino Linotype" w:eastAsia="Palatino Linotype" w:hAnsi="Palatino Linotype" w:cs="Palatino Linotype"/>
        </w:rPr>
      </w:pPr>
    </w:p>
    <w:p w14:paraId="4E1C44B5" w14:textId="77777777" w:rsidR="00DA39BC" w:rsidRDefault="00B30168">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D84A5F4" w14:textId="77777777" w:rsidR="00DA39BC" w:rsidRDefault="00DA39BC">
      <w:pPr>
        <w:spacing w:line="360" w:lineRule="auto"/>
        <w:ind w:right="50"/>
        <w:jc w:val="both"/>
        <w:rPr>
          <w:rFonts w:ascii="Palatino Linotype" w:eastAsia="Palatino Linotype" w:hAnsi="Palatino Linotype" w:cs="Palatino Linotype"/>
        </w:rPr>
      </w:pPr>
    </w:p>
    <w:p w14:paraId="54DF3F15"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1383E05F"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45436AE3"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46686027"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2D3DA245"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3086EC56"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43256CB8" w14:textId="77777777" w:rsidR="00DA39BC" w:rsidRDefault="00DA39BC">
      <w:pPr>
        <w:spacing w:line="360" w:lineRule="auto"/>
        <w:ind w:left="851" w:right="851"/>
        <w:jc w:val="both"/>
        <w:rPr>
          <w:rFonts w:ascii="Palatino Linotype" w:eastAsia="Palatino Linotype" w:hAnsi="Palatino Linotype" w:cs="Palatino Linotype"/>
          <w:i/>
        </w:rPr>
      </w:pPr>
    </w:p>
    <w:p w14:paraId="0DC8A1A5"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14:paraId="64EDDF67" w14:textId="77777777" w:rsidR="00DA39BC" w:rsidRDefault="00DA39BC">
      <w:pPr>
        <w:spacing w:line="360" w:lineRule="auto"/>
        <w:jc w:val="both"/>
        <w:rPr>
          <w:rFonts w:ascii="Palatino Linotype" w:eastAsia="Palatino Linotype" w:hAnsi="Palatino Linotype" w:cs="Palatino Linotype"/>
        </w:rPr>
      </w:pPr>
    </w:p>
    <w:p w14:paraId="14A04F8F"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6518CBF5" w14:textId="77777777" w:rsidR="00DA39BC" w:rsidRDefault="00DA39BC">
      <w:pPr>
        <w:spacing w:line="276" w:lineRule="auto"/>
        <w:jc w:val="both"/>
        <w:rPr>
          <w:rFonts w:ascii="Palatino Linotype" w:eastAsia="Palatino Linotype" w:hAnsi="Palatino Linotype" w:cs="Palatino Linotype"/>
          <w:sz w:val="22"/>
          <w:szCs w:val="22"/>
        </w:rPr>
      </w:pPr>
    </w:p>
    <w:p w14:paraId="035559E3" w14:textId="77777777" w:rsidR="00DA39BC" w:rsidRDefault="00B30168">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C6611CF" w14:textId="77777777" w:rsidR="00DA39BC" w:rsidRDefault="00DA39BC">
      <w:pPr>
        <w:spacing w:line="360" w:lineRule="auto"/>
        <w:ind w:left="993" w:right="1041"/>
        <w:jc w:val="both"/>
        <w:rPr>
          <w:rFonts w:ascii="Palatino Linotype" w:eastAsia="Palatino Linotype" w:hAnsi="Palatino Linotype" w:cs="Palatino Linotype"/>
          <w:i/>
        </w:rPr>
      </w:pPr>
    </w:p>
    <w:p w14:paraId="72C622D1" w14:textId="77777777" w:rsidR="00DA39BC" w:rsidRDefault="00B3016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36329CFE" w14:textId="77777777" w:rsidR="00DA39BC" w:rsidRDefault="00DA39BC">
      <w:pPr>
        <w:spacing w:line="360" w:lineRule="auto"/>
        <w:ind w:right="49"/>
        <w:jc w:val="both"/>
        <w:rPr>
          <w:rFonts w:ascii="Palatino Linotype" w:eastAsia="Palatino Linotype" w:hAnsi="Palatino Linotype" w:cs="Palatino Linotype"/>
        </w:rPr>
      </w:pPr>
    </w:p>
    <w:p w14:paraId="4EBD99DC" w14:textId="77777777" w:rsidR="00DA39BC" w:rsidRDefault="00DA39BC">
      <w:pPr>
        <w:spacing w:line="360" w:lineRule="auto"/>
        <w:jc w:val="both"/>
        <w:rPr>
          <w:rFonts w:ascii="Palatino Linotype" w:eastAsia="Palatino Linotype" w:hAnsi="Palatino Linotype" w:cs="Palatino Linotype"/>
        </w:rPr>
      </w:pPr>
    </w:p>
    <w:p w14:paraId="5AC461BD"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w:t>
      </w:r>
      <w:r>
        <w:rPr>
          <w:rFonts w:ascii="Palatino Linotype" w:eastAsia="Palatino Linotype" w:hAnsi="Palatino Linotype" w:cs="Palatino Linotype"/>
        </w:rPr>
        <w:lastRenderedPageBreak/>
        <w:t xml:space="preserve">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Clave única de Registro de Población (CURP), clave del Instituto de Seguridad Social del Estado de México y Municipios (ISSEMyM), </w:t>
      </w:r>
      <w:r>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Pr>
          <w:rFonts w:ascii="Palatino Linotype" w:eastAsia="Palatino Linotype" w:hAnsi="Palatino Linotype" w:cs="Palatino Linotype"/>
        </w:rPr>
        <w:t>, número de cuenta o cualquier otro dato que ponga en riesgo la vida, seguridad y salud de dichas personas.</w:t>
      </w:r>
    </w:p>
    <w:p w14:paraId="3AE6812D" w14:textId="77777777" w:rsidR="00DA39BC" w:rsidRDefault="00DA39BC">
      <w:pPr>
        <w:spacing w:line="360" w:lineRule="auto"/>
        <w:jc w:val="both"/>
        <w:rPr>
          <w:rFonts w:ascii="Palatino Linotype" w:eastAsia="Palatino Linotype" w:hAnsi="Palatino Linotype" w:cs="Palatino Linotype"/>
        </w:rPr>
      </w:pPr>
    </w:p>
    <w:p w14:paraId="37F67C4E"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para su obtención es necesario acreditar personalidad, fecha de nacimiento entre otros con documentos oficiales.</w:t>
      </w:r>
    </w:p>
    <w:p w14:paraId="060B97D4" w14:textId="77777777" w:rsidR="00DA39BC" w:rsidRDefault="00DA39BC">
      <w:pPr>
        <w:spacing w:line="360" w:lineRule="auto"/>
        <w:jc w:val="both"/>
        <w:rPr>
          <w:rFonts w:ascii="Palatino Linotype" w:eastAsia="Palatino Linotype" w:hAnsi="Palatino Linotype" w:cs="Palatino Linotype"/>
        </w:rPr>
      </w:pPr>
    </w:p>
    <w:p w14:paraId="05CC4B2E" w14:textId="77777777" w:rsidR="00DA39BC" w:rsidRDefault="00B30168">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Al respecto, </w:t>
      </w:r>
      <w:r>
        <w:rPr>
          <w:rFonts w:ascii="Palatino Linotype" w:eastAsia="Palatino Linotype" w:hAnsi="Palatino Linotype" w:cs="Palatino Linotype"/>
          <w:color w:val="000000"/>
        </w:rPr>
        <w:t>es aplicable el Criterio 19/17 de la Segunda Época, emitido por el INAI, que dice:</w:t>
      </w:r>
      <w:r>
        <w:rPr>
          <w:rFonts w:ascii="Palatino Linotype" w:eastAsia="Palatino Linotype" w:hAnsi="Palatino Linotype" w:cs="Palatino Linotype"/>
          <w:b/>
          <w:color w:val="000000"/>
        </w:rPr>
        <w:t xml:space="preserve"> </w:t>
      </w:r>
    </w:p>
    <w:p w14:paraId="096CC8CE" w14:textId="77777777" w:rsidR="00DA39BC" w:rsidRDefault="00DA39BC">
      <w:pPr>
        <w:spacing w:line="360" w:lineRule="auto"/>
        <w:jc w:val="both"/>
        <w:rPr>
          <w:rFonts w:ascii="Palatino Linotype" w:eastAsia="Palatino Linotype" w:hAnsi="Palatino Linotype" w:cs="Palatino Linotype"/>
          <w:b/>
          <w:color w:val="000000"/>
        </w:rPr>
      </w:pPr>
    </w:p>
    <w:p w14:paraId="2D6036F1" w14:textId="77777777" w:rsidR="00DA39BC" w:rsidRDefault="00B30168">
      <w:pPr>
        <w:tabs>
          <w:tab w:val="left" w:pos="7655"/>
        </w:tabs>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Registro Federal de Contribuyentes (RFC) de personas físicas. El RFC es una clave</w:t>
      </w:r>
      <w:r>
        <w:rPr>
          <w:rFonts w:ascii="Palatino Linotype" w:eastAsia="Palatino Linotype" w:hAnsi="Palatino Linotype" w:cs="Palatino Linotype"/>
          <w:i/>
          <w:sz w:val="22"/>
          <w:szCs w:val="22"/>
        </w:rPr>
        <w:t xml:space="preserve"> de carácter fiscal, única e irrepetible, </w:t>
      </w:r>
      <w:r>
        <w:rPr>
          <w:rFonts w:ascii="Palatino Linotype" w:eastAsia="Palatino Linotype" w:hAnsi="Palatino Linotype" w:cs="Palatino Linotype"/>
          <w:b/>
          <w:i/>
          <w:sz w:val="22"/>
          <w:szCs w:val="22"/>
        </w:rPr>
        <w:t>que permite identificar al titular, su edad y fecha de nacimiento</w:t>
      </w:r>
      <w:r>
        <w:rPr>
          <w:rFonts w:ascii="Palatino Linotype" w:eastAsia="Palatino Linotype" w:hAnsi="Palatino Linotype" w:cs="Palatino Linotype"/>
          <w:i/>
          <w:sz w:val="22"/>
          <w:szCs w:val="22"/>
        </w:rPr>
        <w:t xml:space="preserve">, por lo que </w:t>
      </w:r>
      <w:r>
        <w:rPr>
          <w:rFonts w:ascii="Palatino Linotype" w:eastAsia="Palatino Linotype" w:hAnsi="Palatino Linotype" w:cs="Palatino Linotype"/>
          <w:b/>
          <w:i/>
          <w:sz w:val="22"/>
          <w:szCs w:val="22"/>
        </w:rPr>
        <w:t>es un dato personal de carácter confidencial</w:t>
      </w:r>
      <w:r>
        <w:rPr>
          <w:rFonts w:ascii="Palatino Linotype" w:eastAsia="Palatino Linotype" w:hAnsi="Palatino Linotype" w:cs="Palatino Linotype"/>
          <w:i/>
          <w:sz w:val="22"/>
          <w:szCs w:val="22"/>
        </w:rPr>
        <w:t>.</w:t>
      </w:r>
    </w:p>
    <w:p w14:paraId="5F28868D" w14:textId="77777777" w:rsidR="00DA39BC" w:rsidRDefault="00B30168">
      <w:pPr>
        <w:tabs>
          <w:tab w:val="left" w:pos="7655"/>
        </w:tabs>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30BEC89C" w14:textId="77777777" w:rsidR="00DA39BC" w:rsidRDefault="00B30168">
      <w:pPr>
        <w:tabs>
          <w:tab w:val="left" w:pos="7655"/>
        </w:tabs>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0189/17. Morena. 08 de febrero de 2017. Por unanimidad. Comisionado Ponente Joel Salas Suárez.</w:t>
      </w:r>
    </w:p>
    <w:p w14:paraId="2222C60A" w14:textId="77777777" w:rsidR="00DA39BC" w:rsidRDefault="00B30168">
      <w:pPr>
        <w:tabs>
          <w:tab w:val="left" w:pos="7655"/>
        </w:tabs>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0677/17. Universidad Nacional Autónoma de México. 08 de marzo de 2017. Por unanimidad. Comisionado Ponente </w:t>
      </w:r>
      <w:proofErr w:type="spellStart"/>
      <w:r>
        <w:rPr>
          <w:rFonts w:ascii="Palatino Linotype" w:eastAsia="Palatino Linotype" w:hAnsi="Palatino Linotype" w:cs="Palatino Linotype"/>
          <w:i/>
          <w:sz w:val="22"/>
          <w:szCs w:val="22"/>
        </w:rPr>
        <w:t>Rosendoevgueni</w:t>
      </w:r>
      <w:proofErr w:type="spellEnd"/>
      <w:r>
        <w:rPr>
          <w:rFonts w:ascii="Palatino Linotype" w:eastAsia="Palatino Linotype" w:hAnsi="Palatino Linotype" w:cs="Palatino Linotype"/>
          <w:i/>
          <w:sz w:val="22"/>
          <w:szCs w:val="22"/>
        </w:rPr>
        <w:t xml:space="preserve"> Monterrey </w:t>
      </w:r>
      <w:proofErr w:type="spellStart"/>
      <w:r>
        <w:rPr>
          <w:rFonts w:ascii="Palatino Linotype" w:eastAsia="Palatino Linotype" w:hAnsi="Palatino Linotype" w:cs="Palatino Linotype"/>
          <w:i/>
          <w:sz w:val="22"/>
          <w:szCs w:val="22"/>
        </w:rPr>
        <w:t>Chepov</w:t>
      </w:r>
      <w:proofErr w:type="spellEnd"/>
      <w:r>
        <w:rPr>
          <w:rFonts w:ascii="Palatino Linotype" w:eastAsia="Palatino Linotype" w:hAnsi="Palatino Linotype" w:cs="Palatino Linotype"/>
          <w:i/>
          <w:sz w:val="22"/>
          <w:szCs w:val="22"/>
        </w:rPr>
        <w:t xml:space="preserve">. </w:t>
      </w:r>
    </w:p>
    <w:p w14:paraId="2B143E68" w14:textId="77777777" w:rsidR="00DA39BC" w:rsidRDefault="00B30168">
      <w:pPr>
        <w:tabs>
          <w:tab w:val="left" w:pos="7655"/>
        </w:tabs>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14:paraId="42AAEE47" w14:textId="77777777" w:rsidR="00DA39BC" w:rsidRDefault="00B30168">
      <w:pPr>
        <w:tabs>
          <w:tab w:val="left" w:pos="7655"/>
        </w:tabs>
        <w:spacing w:line="276"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3283F31C" w14:textId="77777777" w:rsidR="00DA39BC" w:rsidRDefault="00DA39BC">
      <w:pPr>
        <w:spacing w:line="360" w:lineRule="auto"/>
        <w:jc w:val="both"/>
        <w:rPr>
          <w:rFonts w:ascii="Palatino Linotype" w:eastAsia="Palatino Linotype" w:hAnsi="Palatino Linotype" w:cs="Palatino Linotype"/>
        </w:rPr>
      </w:pPr>
    </w:p>
    <w:p w14:paraId="0B12406F"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563E8BD5" w14:textId="77777777" w:rsidR="00DA39BC" w:rsidRDefault="00DA39BC">
      <w:pPr>
        <w:spacing w:line="360" w:lineRule="auto"/>
        <w:jc w:val="both"/>
        <w:rPr>
          <w:rFonts w:ascii="Palatino Linotype" w:eastAsia="Palatino Linotype" w:hAnsi="Palatino Linotype" w:cs="Palatino Linotype"/>
        </w:rPr>
      </w:pPr>
    </w:p>
    <w:p w14:paraId="38875C58"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CURP</w:t>
      </w:r>
      <w:r>
        <w:rPr>
          <w:rFonts w:ascii="Palatino Linotype" w:eastAsia="Palatino Linotype" w:hAnsi="Palatino Linotype" w:cs="Palatino Linotype"/>
          <w:b/>
        </w:rPr>
        <w:t xml:space="preserve">, </w:t>
      </w:r>
      <w:r>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BEE8060" w14:textId="77777777" w:rsidR="00DA39BC" w:rsidRDefault="00DA39BC">
      <w:pPr>
        <w:spacing w:line="360" w:lineRule="auto"/>
        <w:jc w:val="both"/>
        <w:rPr>
          <w:rFonts w:ascii="Palatino Linotype" w:eastAsia="Palatino Linotype" w:hAnsi="Palatino Linotype" w:cs="Palatino Linotype"/>
        </w:rPr>
      </w:pPr>
    </w:p>
    <w:p w14:paraId="47BFA5A3"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 anterior, tiene sustento en los artículos 86 y 91 de la Ley General de Población, la cual señala lo siguiente:</w:t>
      </w:r>
    </w:p>
    <w:p w14:paraId="1E4231FD" w14:textId="77777777" w:rsidR="00DA39BC" w:rsidRDefault="00DA39BC">
      <w:pPr>
        <w:spacing w:line="360" w:lineRule="auto"/>
        <w:jc w:val="both"/>
        <w:rPr>
          <w:rFonts w:ascii="Palatino Linotype" w:eastAsia="Palatino Linotype" w:hAnsi="Palatino Linotype" w:cs="Palatino Linotype"/>
        </w:rPr>
      </w:pPr>
    </w:p>
    <w:p w14:paraId="6C846D3B"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86. </w:t>
      </w:r>
      <w:r>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2F5F64B9"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 Al incorporar a una persona en el Registro Nacional de Población</w:t>
      </w:r>
      <w:r>
        <w:rPr>
          <w:rFonts w:ascii="Palatino Linotype" w:eastAsia="Palatino Linotype" w:hAnsi="Palatino Linotype" w:cs="Palatino Linotype"/>
          <w:i/>
          <w:sz w:val="22"/>
          <w:szCs w:val="22"/>
        </w:rPr>
        <w:t xml:space="preserve">, se le asignará una clave </w:t>
      </w:r>
      <w:r>
        <w:rPr>
          <w:rFonts w:ascii="Palatino Linotype" w:eastAsia="Palatino Linotype" w:hAnsi="Palatino Linotype" w:cs="Palatino Linotype"/>
          <w:b/>
          <w:i/>
          <w:sz w:val="22"/>
          <w:szCs w:val="22"/>
        </w:rPr>
        <w:t>que se denominará Clave Única de Registro de Población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Esta servirá para</w:t>
      </w:r>
      <w:r>
        <w:rPr>
          <w:rFonts w:ascii="Palatino Linotype" w:eastAsia="Palatino Linotype" w:hAnsi="Palatino Linotype" w:cs="Palatino Linotype"/>
          <w:i/>
          <w:sz w:val="22"/>
          <w:szCs w:val="22"/>
        </w:rPr>
        <w:t xml:space="preserve"> registrarla e </w:t>
      </w:r>
      <w:r>
        <w:rPr>
          <w:rFonts w:ascii="Palatino Linotype" w:eastAsia="Palatino Linotype" w:hAnsi="Palatino Linotype" w:cs="Palatino Linotype"/>
          <w:b/>
          <w:i/>
          <w:sz w:val="22"/>
          <w:szCs w:val="22"/>
        </w:rPr>
        <w:t>identificarla en forma individual</w:t>
      </w:r>
      <w:r>
        <w:rPr>
          <w:rFonts w:ascii="Palatino Linotype" w:eastAsia="Palatino Linotype" w:hAnsi="Palatino Linotype" w:cs="Palatino Linotype"/>
          <w:i/>
          <w:sz w:val="22"/>
          <w:szCs w:val="22"/>
        </w:rPr>
        <w:t xml:space="preserve">.” </w:t>
      </w:r>
    </w:p>
    <w:p w14:paraId="79A7E372" w14:textId="77777777" w:rsidR="00DA39BC" w:rsidRDefault="00B30168">
      <w:pPr>
        <w:spacing w:line="360" w:lineRule="auto"/>
        <w:ind w:left="851" w:right="902"/>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38CD8F3D" w14:textId="77777777" w:rsidR="00DA39BC" w:rsidRDefault="00DA39BC">
      <w:pPr>
        <w:spacing w:line="360" w:lineRule="auto"/>
        <w:jc w:val="both"/>
        <w:rPr>
          <w:rFonts w:ascii="Palatino Linotype" w:eastAsia="Palatino Linotype" w:hAnsi="Palatino Linotype" w:cs="Palatino Linotype"/>
        </w:rPr>
      </w:pPr>
    </w:p>
    <w:p w14:paraId="40FCF6B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4390D4D8" w14:textId="77777777" w:rsidR="00DA39BC" w:rsidRDefault="00DA39BC">
      <w:pPr>
        <w:spacing w:line="360" w:lineRule="auto"/>
        <w:jc w:val="both"/>
        <w:rPr>
          <w:rFonts w:ascii="Palatino Linotype" w:eastAsia="Palatino Linotype" w:hAnsi="Palatino Linotype" w:cs="Palatino Linotype"/>
        </w:rPr>
      </w:pPr>
    </w:p>
    <w:p w14:paraId="2642359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INAI, a través del Criterio 18/17 de la Segunda Época, señala literalmente lo siguiente:</w:t>
      </w:r>
    </w:p>
    <w:p w14:paraId="550DC002" w14:textId="77777777" w:rsidR="00DA39BC" w:rsidRDefault="00DA39BC">
      <w:pPr>
        <w:spacing w:line="360" w:lineRule="auto"/>
        <w:ind w:left="851" w:right="902"/>
        <w:jc w:val="both"/>
        <w:rPr>
          <w:rFonts w:ascii="Palatino Linotype" w:eastAsia="Palatino Linotype" w:hAnsi="Palatino Linotype" w:cs="Palatino Linotype"/>
          <w:i/>
        </w:rPr>
      </w:pPr>
    </w:p>
    <w:p w14:paraId="0B8BFFBF"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Clave Única de Registro de Población (CURP).</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Clave Única de Registro de Población se integra por datos personales que sólo conciernen </w:t>
      </w:r>
      <w:r>
        <w:rPr>
          <w:rFonts w:ascii="Palatino Linotype" w:eastAsia="Palatino Linotype" w:hAnsi="Palatino Linotype" w:cs="Palatino Linotype"/>
          <w:b/>
          <w:i/>
          <w:sz w:val="22"/>
          <w:szCs w:val="22"/>
        </w:rPr>
        <w:lastRenderedPageBreak/>
        <w:t>al particular titular</w:t>
      </w:r>
      <w:r>
        <w:rPr>
          <w:rFonts w:ascii="Palatino Linotype" w:eastAsia="Palatino Linotype" w:hAnsi="Palatino Linotype" w:cs="Palatino Linotype"/>
          <w:i/>
          <w:sz w:val="22"/>
          <w:szCs w:val="22"/>
        </w:rPr>
        <w:t xml:space="preserve"> de la misma, </w:t>
      </w:r>
      <w:r>
        <w:rPr>
          <w:rFonts w:ascii="Palatino Linotype" w:eastAsia="Palatino Linotype" w:hAnsi="Palatino Linotype" w:cs="Palatino Linotype"/>
          <w:b/>
          <w:i/>
          <w:sz w:val="22"/>
          <w:szCs w:val="22"/>
        </w:rPr>
        <w:t>como lo son su nombre, apellidos, fecha de nacimiento, lugar de nacimiento y sexo</w:t>
      </w:r>
      <w:r>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Pr>
          <w:rFonts w:ascii="Palatino Linotype" w:eastAsia="Palatino Linotype" w:hAnsi="Palatino Linotype" w:cs="Palatino Linotype"/>
          <w:b/>
          <w:i/>
          <w:sz w:val="22"/>
          <w:szCs w:val="22"/>
        </w:rPr>
        <w:t>por lo que la CURP está considerada como información confidencial</w:t>
      </w:r>
      <w:r>
        <w:rPr>
          <w:rFonts w:ascii="Palatino Linotype" w:eastAsia="Palatino Linotype" w:hAnsi="Palatino Linotype" w:cs="Palatino Linotype"/>
          <w:i/>
          <w:sz w:val="22"/>
          <w:szCs w:val="22"/>
        </w:rPr>
        <w:t xml:space="preserve">. </w:t>
      </w:r>
    </w:p>
    <w:p w14:paraId="14DEEEE6"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Resoluciones:</w:t>
      </w:r>
    </w:p>
    <w:p w14:paraId="477F9CFC"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Pr>
          <w:rFonts w:ascii="Palatino Linotype" w:eastAsia="Palatino Linotype" w:hAnsi="Palatino Linotype" w:cs="Palatino Linotype"/>
          <w:i/>
          <w:sz w:val="22"/>
          <w:szCs w:val="22"/>
        </w:rPr>
        <w:t>Rosendoevgueni</w:t>
      </w:r>
      <w:proofErr w:type="spellEnd"/>
      <w:r>
        <w:rPr>
          <w:rFonts w:ascii="Palatino Linotype" w:eastAsia="Palatino Linotype" w:hAnsi="Palatino Linotype" w:cs="Palatino Linotype"/>
          <w:i/>
          <w:sz w:val="22"/>
          <w:szCs w:val="22"/>
        </w:rPr>
        <w:t xml:space="preserve"> Monterrey </w:t>
      </w:r>
      <w:proofErr w:type="spellStart"/>
      <w:r>
        <w:rPr>
          <w:rFonts w:ascii="Palatino Linotype" w:eastAsia="Palatino Linotype" w:hAnsi="Palatino Linotype" w:cs="Palatino Linotype"/>
          <w:i/>
          <w:sz w:val="22"/>
          <w:szCs w:val="22"/>
        </w:rPr>
        <w:t>Chepov</w:t>
      </w:r>
      <w:proofErr w:type="spellEnd"/>
      <w:r>
        <w:rPr>
          <w:rFonts w:ascii="Palatino Linotype" w:eastAsia="Palatino Linotype" w:hAnsi="Palatino Linotype" w:cs="Palatino Linotype"/>
          <w:i/>
          <w:sz w:val="22"/>
          <w:szCs w:val="22"/>
        </w:rPr>
        <w:t>.</w:t>
      </w:r>
    </w:p>
    <w:p w14:paraId="05B64891"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3D0A8E0F"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58F8B5CE" w14:textId="77777777" w:rsidR="00DA39BC" w:rsidRDefault="00B30168">
      <w:pPr>
        <w:spacing w:line="276"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863904D" w14:textId="77777777" w:rsidR="00DA39BC" w:rsidRDefault="00DA39BC">
      <w:pPr>
        <w:spacing w:line="360" w:lineRule="auto"/>
        <w:jc w:val="both"/>
        <w:rPr>
          <w:rFonts w:ascii="Palatino Linotype" w:eastAsia="Palatino Linotype" w:hAnsi="Palatino Linotype" w:cs="Palatino Linotype"/>
        </w:rPr>
      </w:pPr>
    </w:p>
    <w:p w14:paraId="7EA3CC76"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CE7B9AF" w14:textId="77777777" w:rsidR="00DA39BC" w:rsidRDefault="00DA39BC">
      <w:pPr>
        <w:spacing w:line="360" w:lineRule="auto"/>
        <w:jc w:val="both"/>
        <w:rPr>
          <w:rFonts w:ascii="Palatino Linotype" w:eastAsia="Palatino Linotype" w:hAnsi="Palatino Linotype" w:cs="Palatino Linotype"/>
        </w:rPr>
      </w:pPr>
    </w:p>
    <w:p w14:paraId="10CB614B"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w:t>
      </w:r>
      <w:r>
        <w:rPr>
          <w:rFonts w:ascii="Palatino Linotype" w:eastAsia="Palatino Linotype" w:hAnsi="Palatino Linotype" w:cs="Palatino Linotype"/>
        </w:rPr>
        <w:lastRenderedPageBreak/>
        <w:t>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5603151" w14:textId="77777777" w:rsidR="00DA39BC" w:rsidRDefault="00B30168">
      <w:pPr>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3650DDAC" w14:textId="77777777" w:rsidR="00DA39BC" w:rsidRDefault="00DA39BC">
      <w:pPr>
        <w:spacing w:line="360" w:lineRule="auto"/>
        <w:jc w:val="both"/>
        <w:rPr>
          <w:rFonts w:ascii="Palatino Linotype" w:eastAsia="Palatino Linotype" w:hAnsi="Palatino Linotype" w:cs="Palatino Linotype"/>
        </w:rPr>
      </w:pPr>
    </w:p>
    <w:p w14:paraId="5754E2E1"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6E90B1F2" w14:textId="77777777" w:rsidR="00DA39BC" w:rsidRDefault="00DA39BC">
      <w:pPr>
        <w:spacing w:line="360" w:lineRule="auto"/>
        <w:jc w:val="both"/>
        <w:rPr>
          <w:rFonts w:ascii="Palatino Linotype" w:eastAsia="Palatino Linotype" w:hAnsi="Palatino Linotype" w:cs="Palatino Linotype"/>
        </w:rPr>
      </w:pPr>
    </w:p>
    <w:p w14:paraId="40077372"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w:t>
      </w:r>
      <w:r>
        <w:rPr>
          <w:rFonts w:ascii="Palatino Linotype" w:eastAsia="Palatino Linotype" w:hAnsi="Palatino Linotype" w:cs="Palatino Linotype"/>
        </w:rPr>
        <w:lastRenderedPageBreak/>
        <w:t>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8E4B0DB" w14:textId="77777777" w:rsidR="00DA39BC" w:rsidRDefault="00DA39BC">
      <w:pPr>
        <w:spacing w:line="360" w:lineRule="auto"/>
        <w:jc w:val="both"/>
        <w:rPr>
          <w:rFonts w:ascii="Palatino Linotype" w:eastAsia="Palatino Linotype" w:hAnsi="Palatino Linotype" w:cs="Palatino Linotype"/>
        </w:rPr>
      </w:pPr>
    </w:p>
    <w:p w14:paraId="7861B698"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7A6DAEE" w14:textId="77777777" w:rsidR="00DA39BC" w:rsidRDefault="00DA39BC">
      <w:pPr>
        <w:spacing w:line="360" w:lineRule="auto"/>
        <w:jc w:val="both"/>
        <w:rPr>
          <w:rFonts w:ascii="Palatino Linotype" w:eastAsia="Palatino Linotype" w:hAnsi="Palatino Linotype" w:cs="Palatino Linotype"/>
        </w:rPr>
      </w:pPr>
    </w:p>
    <w:p w14:paraId="3729C416"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14:paraId="585461D9" w14:textId="77777777" w:rsidR="00DA39BC" w:rsidRDefault="00DA39BC">
      <w:pPr>
        <w:spacing w:line="360" w:lineRule="auto"/>
        <w:jc w:val="both"/>
        <w:rPr>
          <w:rFonts w:ascii="Palatino Linotype" w:eastAsia="Palatino Linotype" w:hAnsi="Palatino Linotype" w:cs="Palatino Linotype"/>
        </w:rPr>
      </w:pPr>
    </w:p>
    <w:p w14:paraId="383AA437"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3CBA986A"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14:paraId="5D75EA74"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0FB05D14"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7BEF822F"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E622E93"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 Descuentos ordenados por el Instituto de Seguridad Social del Estado de México y Municipios, con motivo de cuotas y obligaciones contraídas con éste por los servidores públicos;</w:t>
      </w:r>
    </w:p>
    <w:p w14:paraId="07A18DA8"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5BC407BF"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14:paraId="0A6A208D" w14:textId="77777777" w:rsidR="00DA39BC" w:rsidRDefault="00B30168">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246F85DC" w14:textId="77777777" w:rsidR="00DA39BC" w:rsidRDefault="00B30168">
      <w:pPr>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656F0B15" w14:textId="77777777" w:rsidR="00DA39BC" w:rsidRDefault="00B30168">
      <w:pPr>
        <w:spacing w:line="276"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0090D60" w14:textId="77777777" w:rsidR="00DA39BC" w:rsidRDefault="00B30168">
      <w:pPr>
        <w:spacing w:line="276"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6531988" w14:textId="77777777" w:rsidR="00DA39BC" w:rsidRDefault="00DA39BC">
      <w:pPr>
        <w:spacing w:line="360" w:lineRule="auto"/>
        <w:jc w:val="both"/>
        <w:rPr>
          <w:rFonts w:ascii="Palatino Linotype" w:eastAsia="Palatino Linotype" w:hAnsi="Palatino Linotype" w:cs="Palatino Linotype"/>
        </w:rPr>
      </w:pPr>
    </w:p>
    <w:p w14:paraId="5D074168"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7A652C29" w14:textId="77777777" w:rsidR="00DA39BC" w:rsidRDefault="00B301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w:t>
      </w:r>
      <w:r>
        <w:rPr>
          <w:rFonts w:ascii="Palatino Linotype" w:eastAsia="Palatino Linotype" w:hAnsi="Palatino Linotype" w:cs="Palatino Linotype"/>
        </w:rPr>
        <w:lastRenderedPageBreak/>
        <w:t>titular, sobre todo cuando traiga implícita que se ponga en riesgo la vida o integridad de una persona.</w:t>
      </w:r>
    </w:p>
    <w:p w14:paraId="165C2AFE" w14:textId="77777777" w:rsidR="00DA39BC" w:rsidRDefault="00B301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Sirven de sustento a lo anterior, las tesis jurisprudenciales </w:t>
      </w:r>
      <w:r>
        <w:rPr>
          <w:rFonts w:ascii="Palatino Linotype" w:eastAsia="Palatino Linotype" w:hAnsi="Palatino Linotype" w:cs="Palatino Linotype"/>
          <w:i/>
        </w:rPr>
        <w:t xml:space="preserve">P. LX/2000 </w:t>
      </w:r>
      <w:r>
        <w:rPr>
          <w:rFonts w:ascii="Palatino Linotype" w:eastAsia="Palatino Linotype" w:hAnsi="Palatino Linotype" w:cs="Palatino Linotype"/>
        </w:rPr>
        <w:t xml:space="preserve">y </w:t>
      </w:r>
      <w:r>
        <w:rPr>
          <w:rFonts w:ascii="Palatino Linotype" w:eastAsia="Palatino Linotype" w:hAnsi="Palatino Linotype" w:cs="Palatino Linotype"/>
          <w:i/>
        </w:rPr>
        <w:t>2a. XLIII/2008</w:t>
      </w:r>
      <w:r>
        <w:rPr>
          <w:rFonts w:ascii="Tahoma" w:eastAsia="Tahoma" w:hAnsi="Tahoma" w:cs="Tahoma"/>
          <w:b/>
          <w:sz w:val="18"/>
          <w:szCs w:val="18"/>
        </w:rPr>
        <w:t xml:space="preserve"> </w:t>
      </w:r>
      <w:r>
        <w:rPr>
          <w:rFonts w:ascii="Palatino Linotype" w:eastAsia="Palatino Linotype" w:hAnsi="Palatino Linotype" w:cs="Palatino Linotype"/>
        </w:rPr>
        <w:t>emitidas por el Peno y la Segunda Sala de la Suprema Corte de Justicia de la Nación, respectivamente, que son del tenor literal siguiente:</w:t>
      </w:r>
    </w:p>
    <w:p w14:paraId="68E9FCC1"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739277F0" w14:textId="77777777" w:rsidR="00DA39BC" w:rsidRDefault="00DA39BC">
      <w:pPr>
        <w:spacing w:line="276" w:lineRule="auto"/>
        <w:ind w:left="851" w:right="851"/>
        <w:jc w:val="both"/>
        <w:rPr>
          <w:rFonts w:ascii="Palatino Linotype" w:eastAsia="Palatino Linotype" w:hAnsi="Palatino Linotype" w:cs="Palatino Linotype"/>
          <w:i/>
          <w:sz w:val="22"/>
          <w:szCs w:val="22"/>
        </w:rPr>
      </w:pPr>
    </w:p>
    <w:p w14:paraId="55102DBE" w14:textId="77777777" w:rsidR="00DA39BC" w:rsidRDefault="00B30168">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w:t>
      </w:r>
      <w:r>
        <w:rPr>
          <w:rFonts w:ascii="Palatino Linotype" w:eastAsia="Palatino Linotype" w:hAnsi="Palatino Linotype" w:cs="Palatino Linotype"/>
          <w:b/>
          <w:i/>
          <w:sz w:val="22"/>
          <w:szCs w:val="22"/>
        </w:rPr>
        <w:lastRenderedPageBreak/>
        <w:t xml:space="preserve">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68B7C017" w14:textId="77777777" w:rsidR="00DA39BC" w:rsidRDefault="00DA39BC">
      <w:pPr>
        <w:spacing w:line="276" w:lineRule="auto"/>
        <w:ind w:left="851" w:right="851"/>
        <w:jc w:val="both"/>
        <w:rPr>
          <w:rFonts w:ascii="Palatino Linotype" w:eastAsia="Palatino Linotype" w:hAnsi="Palatino Linotype" w:cs="Palatino Linotype"/>
          <w:i/>
          <w:sz w:val="22"/>
          <w:szCs w:val="22"/>
        </w:rPr>
      </w:pPr>
    </w:p>
    <w:p w14:paraId="6C512C09"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lo que se refiere a  los descuentos por concepto de </w:t>
      </w:r>
      <w:r>
        <w:rPr>
          <w:rFonts w:ascii="Palatino Linotype" w:eastAsia="Palatino Linotype" w:hAnsi="Palatino Linotype" w:cs="Palatino Linotype"/>
          <w:i/>
        </w:rPr>
        <w:t xml:space="preserve">aportaciones de seguridad social, estos se encuentran contemplados </w:t>
      </w:r>
      <w:r>
        <w:rPr>
          <w:rFonts w:ascii="Palatino Linotype" w:eastAsia="Palatino Linotype" w:hAnsi="Palatino Linotype" w:cs="Palatino Linotype"/>
        </w:rPr>
        <w:t xml:space="preserve">en la Ley de Seguridad Social para los Servidores Públicos del Estado de México y Municipios: </w:t>
      </w:r>
    </w:p>
    <w:p w14:paraId="011354E0" w14:textId="77777777" w:rsidR="00DA39BC" w:rsidRDefault="00DA39BC">
      <w:pPr>
        <w:spacing w:line="360" w:lineRule="auto"/>
        <w:jc w:val="both"/>
        <w:rPr>
          <w:rFonts w:ascii="Palatino Linotype" w:eastAsia="Palatino Linotype" w:hAnsi="Palatino Linotype" w:cs="Palatino Linotype"/>
          <w:sz w:val="28"/>
          <w:szCs w:val="28"/>
        </w:rPr>
      </w:pPr>
    </w:p>
    <w:p w14:paraId="5DABD5BD"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5.- Para los efectos de esta ley se entiende por:</w:t>
      </w:r>
    </w:p>
    <w:p w14:paraId="24338EA0"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F362B2"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Institución pública, a los poderes públicos del estado, los ayuntamientos de los municipios y los tribunales administrativos, así como los organismos auxiliares y fideicomisos públicos de carácter estatal y municipal;</w:t>
      </w:r>
    </w:p>
    <w:p w14:paraId="5C1E26F2"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BC8FB6B"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Cuota, al monto que le corresponde cubrir al servidor público, equivalente a un porcentaje determinado de sus sueldo sujeto a cotización, así como el que debe cubrir el pensionado o pensionista y que recibe el Instituto para otorgar las prestaciones establecidas en la presente ley; </w:t>
      </w:r>
    </w:p>
    <w:p w14:paraId="3861E1C2" w14:textId="77777777" w:rsidR="00DA39BC" w:rsidRDefault="00B30168">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VIII. </w:t>
      </w:r>
      <w:r>
        <w:rPr>
          <w:rFonts w:ascii="Palatino Linotype" w:eastAsia="Palatino Linotype" w:hAnsi="Palatino Linotype" w:cs="Palatino Linotype"/>
          <w:b/>
          <w:i/>
          <w:sz w:val="22"/>
          <w:szCs w:val="22"/>
        </w:rPr>
        <w:t>Aportación, al monto que le corresponde cubrir a las instituciones públicas como porcentaje del sueldo sujeto a cotización de cada servidor público;</w:t>
      </w:r>
    </w:p>
    <w:p w14:paraId="1E1E978F"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6A918C0" w14:textId="77777777" w:rsidR="00DA39BC" w:rsidRDefault="00B30168">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32.- </w:t>
      </w:r>
      <w:r>
        <w:rPr>
          <w:rFonts w:ascii="Palatino Linotype" w:eastAsia="Palatino Linotype" w:hAnsi="Palatino Linotype" w:cs="Palatino Linotype"/>
          <w:b/>
          <w:i/>
          <w:sz w:val="22"/>
          <w:szCs w:val="22"/>
        </w:rPr>
        <w:t xml:space="preserve">Las cuotas obligatorias que deberán cubrir los servidores públicos al Instituto, serán las siguientes: </w:t>
      </w:r>
    </w:p>
    <w:p w14:paraId="70274262"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4.625% del sueldo sujeto a cotización, para cubrir las prestaciones de servicios de salud; </w:t>
      </w:r>
    </w:p>
    <w:p w14:paraId="2D2A9221"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7.50% del sueldo sujeto a cotización, para cubrir el financiamiento de pensiones, de la siguiente manera: </w:t>
      </w:r>
    </w:p>
    <w:p w14:paraId="5534BE73"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6.10% para el fondo del sistema solidario de reparto. </w:t>
      </w:r>
    </w:p>
    <w:p w14:paraId="637B2009" w14:textId="77777777" w:rsidR="00DA39BC" w:rsidRDefault="00B30168">
      <w:pPr>
        <w:spacing w:line="276" w:lineRule="auto"/>
        <w:ind w:left="1134"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b. 1.40% para el sistema de capitalización individual. </w:t>
      </w:r>
    </w:p>
    <w:p w14:paraId="0588E672"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Las que determine anualmente el Consejo Directivo para otras prestaciones, señaladas en el Título IV.</w:t>
      </w:r>
    </w:p>
    <w:p w14:paraId="6FFD497A"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2F8B1A6"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34.- </w:t>
      </w:r>
      <w:r>
        <w:rPr>
          <w:rFonts w:ascii="Palatino Linotype" w:eastAsia="Palatino Linotype" w:hAnsi="Palatino Linotype" w:cs="Palatino Linotype"/>
          <w:b/>
          <w:i/>
          <w:sz w:val="22"/>
          <w:szCs w:val="22"/>
        </w:rPr>
        <w:t>Las aportaciones que deberán cubrir obligatoriamente las instituciones públicas serán las siguientes</w:t>
      </w:r>
      <w:r>
        <w:rPr>
          <w:rFonts w:ascii="Palatino Linotype" w:eastAsia="Palatino Linotype" w:hAnsi="Palatino Linotype" w:cs="Palatino Linotype"/>
          <w:i/>
          <w:sz w:val="22"/>
          <w:szCs w:val="22"/>
        </w:rPr>
        <w:t xml:space="preserve">: </w:t>
      </w:r>
    </w:p>
    <w:p w14:paraId="79C40F88"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10% del sueldo sujeto a cotización, para cubrir las prestaciones de servicios de salud; </w:t>
      </w:r>
    </w:p>
    <w:p w14:paraId="7194D9A0"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9.27% del sueldo sujeto a cotización, para cubrir el financiamiento de pensiones, de la siguiente manera: </w:t>
      </w:r>
    </w:p>
    <w:p w14:paraId="766DCDD3"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7.42% para el fondo del sistema solidario de reparto. </w:t>
      </w:r>
    </w:p>
    <w:p w14:paraId="6D7E1DD9" w14:textId="77777777" w:rsidR="00DA39BC" w:rsidRDefault="00B30168">
      <w:pPr>
        <w:spacing w:line="276" w:lineRule="auto"/>
        <w:ind w:left="1134"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u w:val="single"/>
        </w:rPr>
        <w:t xml:space="preserve">b. </w:t>
      </w:r>
      <w:r>
        <w:rPr>
          <w:rFonts w:ascii="Palatino Linotype" w:eastAsia="Palatino Linotype" w:hAnsi="Palatino Linotype" w:cs="Palatino Linotype"/>
          <w:b/>
          <w:i/>
          <w:sz w:val="22"/>
          <w:szCs w:val="22"/>
          <w:u w:val="single"/>
        </w:rPr>
        <w:t xml:space="preserve">1.85% para el sistema de capitalización individual. </w:t>
      </w:r>
    </w:p>
    <w:p w14:paraId="1A4BF3F6"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Las que determine anualmente el Consejo Directivo para otras prestaciones, señaladas en el Título IV; </w:t>
      </w:r>
    </w:p>
    <w:p w14:paraId="6EDAEE05"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El 0.875% para gastos de administración; </w:t>
      </w:r>
    </w:p>
    <w:p w14:paraId="5FEA24DC" w14:textId="77777777" w:rsidR="00DA39BC" w:rsidRDefault="00B30168">
      <w:pPr>
        <w:spacing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 Las que se generen a cargo de las Instituciones públicas por concepto de riesgos de trabajo.</w:t>
      </w:r>
    </w:p>
    <w:p w14:paraId="3494ED41" w14:textId="77777777" w:rsidR="00DA39BC" w:rsidRDefault="00DA39BC">
      <w:pPr>
        <w:spacing w:line="360" w:lineRule="auto"/>
        <w:jc w:val="both"/>
        <w:rPr>
          <w:rFonts w:ascii="Palatino Linotype" w:eastAsia="Palatino Linotype" w:hAnsi="Palatino Linotype" w:cs="Palatino Linotype"/>
          <w:sz w:val="28"/>
          <w:szCs w:val="28"/>
        </w:rPr>
      </w:pPr>
    </w:p>
    <w:p w14:paraId="505EAE94"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antes señalado, las aportaciones ya están determinadas por un porcentaje en relación al sueldo del servidor público, las cuales son cubiertas obligatoriamente, tanto por los servidores públicos, como por las instituciones públicas, por tanto dichos conceptos deberán de ser públicos.</w:t>
      </w:r>
    </w:p>
    <w:p w14:paraId="5B5C470B" w14:textId="77777777" w:rsidR="00DA39BC" w:rsidRDefault="00B30168">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También,</w:t>
      </w:r>
      <w:r>
        <w:rPr>
          <w:rFonts w:ascii="Palatino Linotype" w:eastAsia="Palatino Linotype" w:hAnsi="Palatino Linotype" w:cs="Palatino Linotype"/>
          <w:b/>
        </w:rPr>
        <w:t xml:space="preserve"> el número de cuenta bancario</w:t>
      </w:r>
      <w:r>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7E1E64AF" w14:textId="77777777" w:rsidR="00DA39BC" w:rsidRDefault="00DA39BC">
      <w:pPr>
        <w:shd w:val="clear" w:color="auto" w:fill="FFFFFF"/>
        <w:spacing w:line="360" w:lineRule="auto"/>
        <w:ind w:left="567" w:right="567"/>
        <w:jc w:val="both"/>
        <w:rPr>
          <w:rFonts w:ascii="Palatino Linotype" w:eastAsia="Palatino Linotype" w:hAnsi="Palatino Linotype" w:cs="Palatino Linotype"/>
        </w:rPr>
      </w:pPr>
    </w:p>
    <w:p w14:paraId="6F0978CB" w14:textId="77777777" w:rsidR="00DA39BC" w:rsidRDefault="00B30168">
      <w:pPr>
        <w:shd w:val="clear" w:color="auto" w:fill="FFFFFF"/>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14:paraId="596C0140" w14:textId="77777777" w:rsidR="00DA39BC" w:rsidRDefault="00DA39BC">
      <w:pPr>
        <w:spacing w:line="360" w:lineRule="auto"/>
        <w:jc w:val="both"/>
        <w:rPr>
          <w:rFonts w:ascii="Palatino Linotype" w:eastAsia="Palatino Linotype" w:hAnsi="Palatino Linotype" w:cs="Palatino Linotype"/>
        </w:rPr>
      </w:pPr>
    </w:p>
    <w:p w14:paraId="1F78D7AF"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w:t>
      </w:r>
      <w:r>
        <w:rPr>
          <w:rFonts w:ascii="Palatino Linotype" w:eastAsia="Palatino Linotype" w:hAnsi="Palatino Linotype" w:cs="Palatino Linotype"/>
        </w:rPr>
        <w:lastRenderedPageBreak/>
        <w:t>pertenecer exclusivamente al ámbito de la vida privada del trabajador y procede su eliminación de conformidad con el artículo 143, fracción I de la Ley de Transparencia y Acceso a la Información Pública del Estado de México y Municipios.</w:t>
      </w:r>
    </w:p>
    <w:p w14:paraId="79F70978" w14:textId="77777777" w:rsidR="00DA39BC" w:rsidRDefault="00DA39BC">
      <w:pPr>
        <w:spacing w:line="360" w:lineRule="auto"/>
        <w:ind w:right="-93"/>
        <w:jc w:val="both"/>
        <w:rPr>
          <w:rFonts w:ascii="Palatino Linotype" w:eastAsia="Palatino Linotype" w:hAnsi="Palatino Linotype" w:cs="Palatino Linotype"/>
        </w:rPr>
      </w:pPr>
    </w:p>
    <w:p w14:paraId="153349F1" w14:textId="77777777" w:rsidR="00DA39BC" w:rsidRDefault="00B30168">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rPr>
        <w:t xml:space="preserve">QR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 xml:space="preserve"> (Quick Response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w:t>
      </w:r>
      <w:r>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9">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rPr>
        <w:t>Sujeto Obligado</w:t>
      </w:r>
      <w:r>
        <w:rPr>
          <w:rFonts w:ascii="Palatino Linotype" w:eastAsia="Palatino Linotype" w:hAnsi="Palatino Linotype" w:cs="Palatino Linotype"/>
        </w:rPr>
        <w:t>, como de la persona física o moral correspondiente.</w:t>
      </w:r>
    </w:p>
    <w:p w14:paraId="6BA85413" w14:textId="77777777" w:rsidR="00DA39BC" w:rsidRDefault="00DA39BC">
      <w:pPr>
        <w:spacing w:line="360" w:lineRule="auto"/>
        <w:ind w:right="-93"/>
        <w:jc w:val="both"/>
        <w:rPr>
          <w:rFonts w:ascii="Palatino Linotype" w:eastAsia="Palatino Linotype" w:hAnsi="Palatino Linotype" w:cs="Palatino Linotype"/>
        </w:rPr>
      </w:pPr>
    </w:p>
    <w:p w14:paraId="33AE5F94"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43958236" w14:textId="77777777" w:rsidR="00DA39BC" w:rsidRDefault="00B30168">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Por otra parte y respecto a</w:t>
      </w:r>
      <w:r>
        <w:rPr>
          <w:rFonts w:ascii="Palatino Linotype" w:eastAsia="Palatino Linotype" w:hAnsi="Palatino Linotype" w:cs="Palatino Linotype"/>
          <w:b/>
          <w:color w:val="222222"/>
        </w:rPr>
        <w:t xml:space="preserve"> la clave de seguridad social y en su caso clave o número del servidor público –trabajador-,</w:t>
      </w:r>
      <w:r>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w:t>
      </w:r>
      <w:r>
        <w:rPr>
          <w:rFonts w:ascii="Palatino Linotype" w:eastAsia="Palatino Linotype" w:hAnsi="Palatino Linotype" w:cs="Palatino Linotype"/>
          <w:color w:val="222222"/>
        </w:rPr>
        <w:lastRenderedPageBreak/>
        <w:t>el entonces Instituto Federal de Transparencia y Acceso a la Información (INAI, cuyo texto y sentido literal es el siguiente:</w:t>
      </w:r>
    </w:p>
    <w:p w14:paraId="59B13C77" w14:textId="77777777" w:rsidR="00DA39BC" w:rsidRDefault="00B30168">
      <w:pPr>
        <w:shd w:val="clear" w:color="auto" w:fill="FFFFFF"/>
        <w:spacing w:before="240" w:after="240" w:line="276" w:lineRule="auto"/>
        <w:ind w:left="567" w:right="900"/>
        <w:jc w:val="both"/>
        <w:rPr>
          <w:color w:val="2222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7F697BD1" w14:textId="77777777" w:rsidR="00DA39BC" w:rsidRDefault="00DA39BC">
      <w:pPr>
        <w:spacing w:line="360" w:lineRule="auto"/>
        <w:ind w:right="-93"/>
        <w:jc w:val="both"/>
        <w:rPr>
          <w:rFonts w:ascii="Palatino Linotype" w:eastAsia="Palatino Linotype" w:hAnsi="Palatino Linotype" w:cs="Palatino Linotype"/>
        </w:rPr>
      </w:pPr>
    </w:p>
    <w:p w14:paraId="0CBFF1EC"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w:t>
      </w:r>
      <w:r>
        <w:rPr>
          <w:rFonts w:ascii="Palatino Linotype" w:eastAsia="Palatino Linotype" w:hAnsi="Palatino Linotype" w:cs="Palatino Linotype"/>
          <w:b/>
        </w:rPr>
        <w:t xml:space="preserve">la firma </w:t>
      </w:r>
      <w:r>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3AB09AEA" w14:textId="77777777" w:rsidR="00DA39BC" w:rsidRDefault="00DA39BC">
      <w:pPr>
        <w:spacing w:line="360" w:lineRule="auto"/>
        <w:ind w:right="-93"/>
        <w:jc w:val="both"/>
        <w:rPr>
          <w:rFonts w:ascii="Palatino Linotype" w:eastAsia="Palatino Linotype" w:hAnsi="Palatino Linotype" w:cs="Palatino Linotype"/>
        </w:rPr>
      </w:pPr>
    </w:p>
    <w:p w14:paraId="2433D4FB"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737E7015" w14:textId="77777777" w:rsidR="00DA39BC" w:rsidRDefault="00DA39BC">
      <w:pPr>
        <w:spacing w:line="360" w:lineRule="auto"/>
        <w:ind w:right="-93"/>
        <w:jc w:val="both"/>
        <w:rPr>
          <w:rFonts w:ascii="Palatino Linotype" w:eastAsia="Palatino Linotype" w:hAnsi="Palatino Linotype" w:cs="Palatino Linotype"/>
        </w:rPr>
      </w:pPr>
    </w:p>
    <w:p w14:paraId="549EB9BB" w14:textId="77777777" w:rsidR="00DA39BC" w:rsidRDefault="00B30168">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considera que, en el presente caso, al dar validez al documento en cuestión, la firma del servidor público guarda el carácter de público y, por lo tanto, no actualiza la causal de clasificación prevista en el artículo 143, fracción I, de la Ley </w:t>
      </w:r>
      <w:r>
        <w:rPr>
          <w:rFonts w:ascii="Palatino Linotype" w:eastAsia="Palatino Linotype" w:hAnsi="Palatino Linotype" w:cs="Palatino Linotype"/>
        </w:rPr>
        <w:lastRenderedPageBreak/>
        <w:t>de Transparencia y Acceso a la Información Pública del Estado de México y Municipios.</w:t>
      </w:r>
    </w:p>
    <w:p w14:paraId="68482E8C" w14:textId="77777777" w:rsidR="00DA39BC" w:rsidRDefault="00DA39BC">
      <w:pPr>
        <w:spacing w:line="360" w:lineRule="auto"/>
        <w:ind w:right="-93"/>
        <w:jc w:val="both"/>
        <w:rPr>
          <w:rFonts w:ascii="Palatino Linotype" w:eastAsia="Palatino Linotype" w:hAnsi="Palatino Linotype" w:cs="Palatino Linotype"/>
        </w:rPr>
      </w:pPr>
    </w:p>
    <w:p w14:paraId="342E951D" w14:textId="77777777" w:rsidR="00DA39BC" w:rsidRDefault="00B3016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14:paraId="7A1B54B8" w14:textId="77777777" w:rsidR="00DA39BC" w:rsidRDefault="00DA39BC">
      <w:pPr>
        <w:spacing w:line="276" w:lineRule="auto"/>
        <w:ind w:right="-93"/>
        <w:jc w:val="both"/>
        <w:rPr>
          <w:rFonts w:ascii="Palatino Linotype" w:eastAsia="Palatino Linotype" w:hAnsi="Palatino Linotype" w:cs="Palatino Linotype"/>
        </w:rPr>
      </w:pPr>
    </w:p>
    <w:p w14:paraId="058E1939" w14:textId="77777777" w:rsidR="00DA39BC" w:rsidRDefault="00B30168">
      <w:pPr>
        <w:spacing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76A5548" w14:textId="77777777" w:rsidR="00DA39BC" w:rsidRDefault="00B301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14:paraId="05568021" w14:textId="77777777" w:rsidR="00DA39BC" w:rsidRDefault="00B30168">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Pr>
          <w:rFonts w:ascii="Palatino Linotype" w:eastAsia="Palatino Linotype" w:hAnsi="Palatino Linotype" w:cs="Palatino Linotype"/>
        </w:rPr>
        <w:lastRenderedPageBreak/>
        <w:t>acceso a la información del solicitante, por lo que el acuerdo respectivo, deberá hacerse del conocimiento de la parte </w:t>
      </w:r>
      <w:r>
        <w:rPr>
          <w:rFonts w:ascii="Palatino Linotype" w:eastAsia="Palatino Linotype" w:hAnsi="Palatino Linotype" w:cs="Palatino Linotype"/>
          <w:b/>
        </w:rPr>
        <w:t>Recurrente.</w:t>
      </w:r>
    </w:p>
    <w:p w14:paraId="627E24B7" w14:textId="77777777" w:rsidR="00DA39BC" w:rsidRDefault="00B301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1C535933" w14:textId="77777777" w:rsidR="00DA39BC" w:rsidRDefault="00B301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491AF67" w14:textId="77777777" w:rsidR="00DA39BC" w:rsidRDefault="00B3016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402CCE6" w14:textId="77777777" w:rsidR="00DA39BC" w:rsidRDefault="00B3016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sexto</w:t>
      </w:r>
      <w:r>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A7B5C2A" w14:textId="77777777" w:rsidR="00DA39BC" w:rsidRDefault="00B3016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Quincuagésimo séptimo. Se considera, en principio, como información pública y no podrá omitirse de las versiones públicas la siguiente: </w:t>
      </w:r>
    </w:p>
    <w:p w14:paraId="098B6B1D" w14:textId="77777777" w:rsidR="00DA39BC" w:rsidRDefault="00B3016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4498DF52" w14:textId="77777777" w:rsidR="00DA39BC" w:rsidRDefault="00B3016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nombre de los servidores públicos en los documentos, y sus firmas autógrafas, cuando sean utilizados en el ejercicio de las facultades conferidas para el desempeño del servicio público, y </w:t>
      </w:r>
    </w:p>
    <w:p w14:paraId="37BC37F0" w14:textId="77777777" w:rsidR="00DA39BC" w:rsidRDefault="00B3016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4ABAC249" w14:textId="77777777" w:rsidR="00DA39BC" w:rsidRDefault="00B3016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79BC4B06" w14:textId="77777777" w:rsidR="00DA39BC" w:rsidRDefault="00B3016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14:paraId="47972395" w14:textId="77777777" w:rsidR="00DA39BC" w:rsidRDefault="00DA39BC">
      <w:pPr>
        <w:spacing w:line="360" w:lineRule="auto"/>
        <w:jc w:val="both"/>
        <w:rPr>
          <w:rFonts w:ascii="Palatino Linotype" w:eastAsia="Palatino Linotype" w:hAnsi="Palatino Linotype" w:cs="Palatino Linotype"/>
        </w:rPr>
      </w:pPr>
    </w:p>
    <w:p w14:paraId="0C3CF575"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insistir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Pr>
          <w:rFonts w:ascii="Palatino Linotype" w:eastAsia="Palatino Linotype" w:hAnsi="Palatino Linotype" w:cs="Palatino Linotype"/>
        </w:rPr>
        <w:lastRenderedPageBreak/>
        <w:t>de ello se estaría violentando desde un inicio el derecho de acceso a la información del solicitante.</w:t>
      </w:r>
    </w:p>
    <w:p w14:paraId="19A13351" w14:textId="77777777" w:rsidR="00DA39BC" w:rsidRDefault="00DA39BC">
      <w:pPr>
        <w:spacing w:line="360" w:lineRule="auto"/>
        <w:jc w:val="both"/>
        <w:rPr>
          <w:rFonts w:ascii="Palatino Linotype" w:eastAsia="Palatino Linotype" w:hAnsi="Palatino Linotype" w:cs="Palatino Linotype"/>
        </w:rPr>
      </w:pPr>
    </w:p>
    <w:p w14:paraId="583A6B8A" w14:textId="77777777" w:rsidR="00DA39BC" w:rsidRDefault="00B3016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mérito de lo expuesto en líneas anteriores, resultan 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06304/INFOEM/IP/RR/2022</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w:t>
      </w:r>
    </w:p>
    <w:p w14:paraId="543C610D" w14:textId="77777777" w:rsidR="00DA39BC" w:rsidRDefault="00DA39BC">
      <w:pPr>
        <w:spacing w:line="360" w:lineRule="auto"/>
        <w:jc w:val="both"/>
        <w:rPr>
          <w:rFonts w:ascii="Palatino Linotype" w:eastAsia="Palatino Linotype" w:hAnsi="Palatino Linotype" w:cs="Palatino Linotype"/>
          <w:b/>
          <w:i/>
        </w:rPr>
      </w:pPr>
    </w:p>
    <w:p w14:paraId="2B641A59" w14:textId="77777777" w:rsidR="00DA39BC" w:rsidRDefault="00B30168">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A538E04" w14:textId="77777777" w:rsidR="00DA39BC" w:rsidRDefault="00DA39BC">
      <w:pPr>
        <w:spacing w:line="360" w:lineRule="auto"/>
        <w:jc w:val="both"/>
        <w:rPr>
          <w:rFonts w:ascii="Palatino Linotype" w:eastAsia="Palatino Linotype" w:hAnsi="Palatino Linotype" w:cs="Palatino Linotype"/>
          <w:color w:val="000000"/>
        </w:rPr>
      </w:pPr>
    </w:p>
    <w:p w14:paraId="327C0672" w14:textId="77777777" w:rsidR="00DA39BC" w:rsidRDefault="00B30168">
      <w:pPr>
        <w:numPr>
          <w:ilvl w:val="0"/>
          <w:numId w:val="9"/>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5B1018D5"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w:t>
      </w:r>
      <w:r>
        <w:rPr>
          <w:rFonts w:ascii="Palatino Linotype" w:eastAsia="Palatino Linotype" w:hAnsi="Palatino Linotype" w:cs="Palatino Linotype"/>
        </w:rPr>
        <w:t xml:space="preserve">E en el Recurso de Revisión </w:t>
      </w:r>
      <w:r>
        <w:rPr>
          <w:rFonts w:ascii="Palatino Linotype" w:eastAsia="Palatino Linotype" w:hAnsi="Palatino Linotype" w:cs="Palatino Linotype"/>
          <w:b/>
        </w:rPr>
        <w:t xml:space="preserve">06304/INFOEM/IP/RR/2022,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13957FEB" w14:textId="77777777" w:rsidR="00DA39BC" w:rsidRDefault="00DA39BC">
      <w:pPr>
        <w:spacing w:line="360" w:lineRule="auto"/>
        <w:ind w:right="49"/>
        <w:jc w:val="both"/>
        <w:rPr>
          <w:rFonts w:ascii="Palatino Linotype" w:eastAsia="Palatino Linotype" w:hAnsi="Palatino Linotype" w:cs="Palatino Linotype"/>
          <w:b/>
        </w:rPr>
      </w:pPr>
    </w:p>
    <w:p w14:paraId="69591A5C" w14:textId="77777777" w:rsidR="00DA39BC" w:rsidRDefault="00B3016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la presente resolución, haga entrega vía SAIMEX y en versión pública de lo siguiente:</w:t>
      </w:r>
    </w:p>
    <w:p w14:paraId="1A5519E9" w14:textId="77777777" w:rsidR="00DA39BC" w:rsidRDefault="00DA39BC">
      <w:pPr>
        <w:spacing w:line="360" w:lineRule="auto"/>
        <w:ind w:right="49"/>
        <w:jc w:val="both"/>
        <w:rPr>
          <w:rFonts w:ascii="Palatino Linotype" w:eastAsia="Palatino Linotype" w:hAnsi="Palatino Linotype" w:cs="Palatino Linotype"/>
        </w:rPr>
      </w:pPr>
    </w:p>
    <w:p w14:paraId="4DCFB4FE" w14:textId="77777777" w:rsidR="00DA39BC" w:rsidRDefault="00B3016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recibos de nómina de los servidores públicos con mandos medios y superiores de la segunda quincena de febrero de </w:t>
      </w:r>
      <w:r>
        <w:rPr>
          <w:rFonts w:ascii="Palatino Linotype" w:eastAsia="Palatino Linotype" w:hAnsi="Palatino Linotype" w:cs="Palatino Linotype"/>
        </w:rPr>
        <w:t>dos mil veintidós</w:t>
      </w:r>
      <w:r>
        <w:rPr>
          <w:rFonts w:ascii="Palatino Linotype" w:eastAsia="Palatino Linotype" w:hAnsi="Palatino Linotype" w:cs="Palatino Linotype"/>
          <w:color w:val="000000"/>
        </w:rPr>
        <w:t xml:space="preserve">. </w:t>
      </w:r>
    </w:p>
    <w:p w14:paraId="345F5AB4" w14:textId="77777777" w:rsidR="00DA39BC" w:rsidRDefault="00DA39BC">
      <w:pPr>
        <w:spacing w:line="360" w:lineRule="auto"/>
        <w:ind w:right="49"/>
        <w:jc w:val="both"/>
        <w:rPr>
          <w:rFonts w:ascii="Palatino Linotype" w:eastAsia="Palatino Linotype" w:hAnsi="Palatino Linotype" w:cs="Palatino Linotype"/>
          <w:i/>
          <w:color w:val="000000"/>
        </w:rPr>
      </w:pPr>
    </w:p>
    <w:p w14:paraId="49276A7B" w14:textId="77777777" w:rsidR="00DA39BC" w:rsidRDefault="00B30168">
      <w:pPr>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082CC847" w14:textId="77777777" w:rsidR="00DA39BC" w:rsidRDefault="00DA39BC">
      <w:pPr>
        <w:spacing w:line="360" w:lineRule="auto"/>
        <w:ind w:right="49"/>
        <w:jc w:val="both"/>
        <w:rPr>
          <w:rFonts w:ascii="Palatino Linotype" w:eastAsia="Palatino Linotype" w:hAnsi="Palatino Linotype" w:cs="Palatino Linotype"/>
          <w:i/>
          <w:color w:val="000000"/>
        </w:rPr>
      </w:pPr>
    </w:p>
    <w:p w14:paraId="390C0C3B" w14:textId="77777777" w:rsidR="00DA39BC" w:rsidRDefault="00B3016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 vía SAIMEX,</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1E3E155E" w14:textId="77777777" w:rsidR="00DA39BC" w:rsidRDefault="00DA39BC">
      <w:pPr>
        <w:spacing w:line="360" w:lineRule="auto"/>
        <w:jc w:val="both"/>
        <w:rPr>
          <w:rFonts w:ascii="Palatino Linotype" w:eastAsia="Palatino Linotype" w:hAnsi="Palatino Linotype" w:cs="Palatino Linotype"/>
        </w:rPr>
      </w:pPr>
    </w:p>
    <w:p w14:paraId="4EC67A22" w14:textId="77777777" w:rsidR="00DA39BC" w:rsidRDefault="00B3016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 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Pr>
          <w:rFonts w:ascii="Palatino Linotype" w:eastAsia="Palatino Linotype" w:hAnsi="Palatino Linotype" w:cs="Palatino Linotype"/>
        </w:rPr>
        <w:lastRenderedPageBreak/>
        <w:t>Municipios, podrá impugnar la presente resolución vía Juicio de Amparo en los términos de las leyes aplicables.</w:t>
      </w:r>
    </w:p>
    <w:p w14:paraId="2F485307" w14:textId="77777777" w:rsidR="00DA39BC" w:rsidRDefault="00DA39BC">
      <w:pPr>
        <w:spacing w:line="360" w:lineRule="auto"/>
        <w:ind w:right="49"/>
        <w:jc w:val="both"/>
        <w:rPr>
          <w:rFonts w:ascii="Palatino Linotype" w:eastAsia="Palatino Linotype" w:hAnsi="Palatino Linotype" w:cs="Palatino Linotype"/>
        </w:rPr>
      </w:pPr>
    </w:p>
    <w:p w14:paraId="04A603DF" w14:textId="77777777" w:rsidR="00DA39BC" w:rsidRDefault="00B30168">
      <w:pPr>
        <w:spacing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FEF2AB2" w14:textId="77777777" w:rsidR="00DA39BC" w:rsidRDefault="00DA39BC">
      <w:pPr>
        <w:spacing w:line="360" w:lineRule="auto"/>
        <w:jc w:val="both"/>
        <w:rPr>
          <w:rFonts w:ascii="Palatino Linotype" w:eastAsia="Palatino Linotype" w:hAnsi="Palatino Linotype" w:cs="Palatino Linotype"/>
        </w:rPr>
      </w:pPr>
    </w:p>
    <w:p w14:paraId="4545E0B4" w14:textId="77777777" w:rsidR="00DA39BC" w:rsidRDefault="00B30168">
      <w:pPr>
        <w:spacing w:line="360" w:lineRule="auto"/>
        <w:jc w:val="both"/>
        <w:rPr>
          <w:rFonts w:ascii="Palatino Linotype" w:eastAsia="Palatino Linotype" w:hAnsi="Palatino Linotype" w:cs="Palatino Linotype"/>
        </w:rPr>
        <w:sectPr w:rsidR="00DA39BC">
          <w:headerReference w:type="default" r:id="rId20"/>
          <w:footerReference w:type="default" r:id="rId21"/>
          <w:headerReference w:type="first" r:id="rId22"/>
          <w:footerReference w:type="first" r:id="rId23"/>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color w:val="222222"/>
        </w:rPr>
        <w:t>TRIGÉSIMA TERCERA SESIÓN ORDINARIA CELEBRADA EL CATORCE</w:t>
      </w:r>
      <w:r>
        <w:rPr>
          <w:rFonts w:ascii="Palatino Linotype" w:eastAsia="Palatino Linotype" w:hAnsi="Palatino Linotype" w:cs="Palatino Linotype"/>
        </w:rPr>
        <w:t xml:space="preserve"> DE SEPTIEM</w:t>
      </w:r>
      <w:bookmarkStart w:id="3" w:name="_GoBack"/>
      <w:bookmarkEnd w:id="3"/>
      <w:r>
        <w:rPr>
          <w:rFonts w:ascii="Palatino Linotype" w:eastAsia="Palatino Linotype" w:hAnsi="Palatino Linotype" w:cs="Palatino Linotype"/>
        </w:rPr>
        <w:t>BRE DE DOS MIL VEINTIDÓS, ANTE EL SECRETARIO TÉCNICO DEL PLENO ALEXIS TAPIA RAMÍREZ.</w:t>
      </w:r>
    </w:p>
    <w:p w14:paraId="24CA44EA" w14:textId="77777777" w:rsidR="00DA39BC" w:rsidRDefault="00DA39BC">
      <w:pPr>
        <w:spacing w:line="360" w:lineRule="auto"/>
        <w:jc w:val="both"/>
        <w:rPr>
          <w:rFonts w:ascii="Palatino Linotype" w:eastAsia="Palatino Linotype" w:hAnsi="Palatino Linotype" w:cs="Palatino Linotype"/>
        </w:rPr>
      </w:pPr>
    </w:p>
    <w:p w14:paraId="7EC29195" w14:textId="77777777" w:rsidR="00DA39BC" w:rsidRDefault="00DA39BC">
      <w:pPr>
        <w:spacing w:line="360" w:lineRule="auto"/>
        <w:jc w:val="both"/>
        <w:rPr>
          <w:rFonts w:ascii="Palatino Linotype" w:eastAsia="Palatino Linotype" w:hAnsi="Palatino Linotype" w:cs="Palatino Linotype"/>
        </w:rPr>
      </w:pPr>
    </w:p>
    <w:p w14:paraId="0957F366" w14:textId="77777777" w:rsidR="00DA39BC" w:rsidRDefault="00DA39BC">
      <w:pPr>
        <w:spacing w:line="360" w:lineRule="auto"/>
        <w:jc w:val="both"/>
        <w:rPr>
          <w:rFonts w:ascii="Palatino Linotype" w:eastAsia="Palatino Linotype" w:hAnsi="Palatino Linotype" w:cs="Palatino Linotype"/>
        </w:rPr>
      </w:pPr>
    </w:p>
    <w:sectPr w:rsidR="00DA39BC">
      <w:headerReference w:type="first" r:id="rId24"/>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B03D9" w14:textId="77777777" w:rsidR="005576FC" w:rsidRDefault="005576FC">
      <w:r>
        <w:separator/>
      </w:r>
    </w:p>
  </w:endnote>
  <w:endnote w:type="continuationSeparator" w:id="0">
    <w:p w14:paraId="04845124" w14:textId="77777777" w:rsidR="005576FC" w:rsidRDefault="0055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0786A" w14:textId="77777777" w:rsidR="00DA39BC" w:rsidRDefault="00B3016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A27F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A27F7">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147857F2" w14:textId="77777777" w:rsidR="00DA39BC" w:rsidRDefault="00DA39B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1C10E" w14:textId="77777777" w:rsidR="00DA39BC" w:rsidRDefault="00B3016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A27F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A27F7">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3627ED89" w14:textId="77777777" w:rsidR="00DA39BC" w:rsidRDefault="00DA39B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E5959" w14:textId="77777777" w:rsidR="005576FC" w:rsidRDefault="005576FC">
      <w:r>
        <w:separator/>
      </w:r>
    </w:p>
  </w:footnote>
  <w:footnote w:type="continuationSeparator" w:id="0">
    <w:p w14:paraId="5A152374" w14:textId="77777777" w:rsidR="005576FC" w:rsidRDefault="005576FC">
      <w:r>
        <w:continuationSeparator/>
      </w:r>
    </w:p>
  </w:footnote>
  <w:footnote w:id="1">
    <w:p w14:paraId="1F207DFD" w14:textId="77777777" w:rsidR="00DA39BC" w:rsidRDefault="00B30168">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C8E1513" w14:textId="77777777" w:rsidR="00DA39BC" w:rsidRDefault="00B301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31CB3C4A" w14:textId="77777777" w:rsidR="00DA39BC" w:rsidRDefault="00B301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65446" w14:textId="77777777" w:rsidR="00DA39BC" w:rsidRDefault="00B30168">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76999F7E" wp14:editId="7E889324">
          <wp:simplePos x="0" y="0"/>
          <wp:positionH relativeFrom="column">
            <wp:posOffset>-665858</wp:posOffset>
          </wp:positionH>
          <wp:positionV relativeFrom="paragraph">
            <wp:posOffset>-453614</wp:posOffset>
          </wp:positionV>
          <wp:extent cx="7635600" cy="9943200"/>
          <wp:effectExtent l="0" t="0" r="0" b="0"/>
          <wp:wrapNone/>
          <wp:docPr id="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5670" w:type="dxa"/>
      <w:tblInd w:w="3119" w:type="dxa"/>
      <w:tblLayout w:type="fixed"/>
      <w:tblLook w:val="0400" w:firstRow="0" w:lastRow="0" w:firstColumn="0" w:lastColumn="0" w:noHBand="0" w:noVBand="1"/>
    </w:tblPr>
    <w:tblGrid>
      <w:gridCol w:w="2551"/>
      <w:gridCol w:w="3119"/>
    </w:tblGrid>
    <w:tr w:rsidR="00DA39BC" w14:paraId="7EC26CD5" w14:textId="77777777">
      <w:tc>
        <w:tcPr>
          <w:tcW w:w="2551" w:type="dxa"/>
          <w:vAlign w:val="center"/>
        </w:tcPr>
        <w:p w14:paraId="418BE502" w14:textId="77777777" w:rsidR="00DA39BC" w:rsidRDefault="00B301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EDD66ED" w14:textId="77777777" w:rsidR="00DA39BC" w:rsidRDefault="00B3016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06304/INFOEM/IP/RR/2022. </w:t>
          </w:r>
        </w:p>
      </w:tc>
    </w:tr>
    <w:tr w:rsidR="00DA39BC" w14:paraId="12B65977" w14:textId="77777777">
      <w:trPr>
        <w:trHeight w:val="228"/>
      </w:trPr>
      <w:tc>
        <w:tcPr>
          <w:tcW w:w="2551" w:type="dxa"/>
          <w:vAlign w:val="center"/>
        </w:tcPr>
        <w:p w14:paraId="03D62650" w14:textId="77777777" w:rsidR="00DA39BC" w:rsidRDefault="00B301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9887326" w14:textId="77777777" w:rsidR="00DA39BC" w:rsidRDefault="00B3016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DA39BC" w14:paraId="2A6D4347" w14:textId="77777777">
      <w:tc>
        <w:tcPr>
          <w:tcW w:w="2551" w:type="dxa"/>
          <w:vAlign w:val="center"/>
        </w:tcPr>
        <w:p w14:paraId="7892E9D7" w14:textId="77777777" w:rsidR="00DA39BC" w:rsidRDefault="00B301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721E57A" w14:textId="77777777" w:rsidR="00DA39BC" w:rsidRDefault="00B3016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BAB8FC" w14:textId="77777777" w:rsidR="00DA39BC" w:rsidRDefault="00DA39B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F5682" w14:textId="77777777" w:rsidR="00DA39BC" w:rsidRDefault="00B30168">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5881BB58" wp14:editId="03FD1522">
          <wp:simplePos x="0" y="0"/>
          <wp:positionH relativeFrom="column">
            <wp:posOffset>-680311</wp:posOffset>
          </wp:positionH>
          <wp:positionV relativeFrom="paragraph">
            <wp:posOffset>-168882</wp:posOffset>
          </wp:positionV>
          <wp:extent cx="7635600" cy="9943200"/>
          <wp:effectExtent l="0" t="0" r="0" b="0"/>
          <wp:wrapNone/>
          <wp:docPr id="7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5812" w:type="dxa"/>
      <w:tblInd w:w="3119" w:type="dxa"/>
      <w:tblLayout w:type="fixed"/>
      <w:tblLook w:val="0400" w:firstRow="0" w:lastRow="0" w:firstColumn="0" w:lastColumn="0" w:noHBand="0" w:noVBand="1"/>
    </w:tblPr>
    <w:tblGrid>
      <w:gridCol w:w="2551"/>
      <w:gridCol w:w="3261"/>
    </w:tblGrid>
    <w:tr w:rsidR="00DA39BC" w14:paraId="2F5DF2E9" w14:textId="77777777">
      <w:tc>
        <w:tcPr>
          <w:tcW w:w="2551" w:type="dxa"/>
          <w:vAlign w:val="center"/>
        </w:tcPr>
        <w:p w14:paraId="0E167313" w14:textId="77777777" w:rsidR="00DA39BC" w:rsidRDefault="00B301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0E495C13" w14:textId="77777777" w:rsidR="00DA39BC" w:rsidRDefault="00B3016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06304/INFOEM/IP/RR/2022. </w:t>
          </w:r>
        </w:p>
      </w:tc>
    </w:tr>
    <w:tr w:rsidR="00DA39BC" w14:paraId="003EFEB2" w14:textId="77777777">
      <w:tc>
        <w:tcPr>
          <w:tcW w:w="2551" w:type="dxa"/>
          <w:vAlign w:val="center"/>
        </w:tcPr>
        <w:p w14:paraId="423C9C5A" w14:textId="77777777" w:rsidR="00DA39BC" w:rsidRDefault="00B30168">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2A46FC04" w14:textId="52B26FEC" w:rsidR="00DA39BC" w:rsidRDefault="001A27F7" w:rsidP="001A27F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 </w:t>
          </w:r>
          <w:proofErr w:type="spellStart"/>
          <w:r>
            <w:rPr>
              <w:rFonts w:ascii="Palatino Linotype" w:eastAsia="Palatino Linotype" w:hAnsi="Palatino Linotype" w:cs="Palatino Linotype"/>
              <w:b/>
              <w:sz w:val="22"/>
              <w:szCs w:val="22"/>
            </w:rPr>
            <w:t>XXXX</w:t>
          </w:r>
          <w:proofErr w:type="spellEnd"/>
        </w:p>
      </w:tc>
    </w:tr>
    <w:tr w:rsidR="00DA39BC" w14:paraId="63495CD1" w14:textId="77777777">
      <w:trPr>
        <w:trHeight w:val="228"/>
      </w:trPr>
      <w:tc>
        <w:tcPr>
          <w:tcW w:w="2551" w:type="dxa"/>
          <w:vAlign w:val="center"/>
        </w:tcPr>
        <w:p w14:paraId="0BBDB2F5" w14:textId="77777777" w:rsidR="00DA39BC" w:rsidRDefault="00B301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07870EA4" w14:textId="77777777" w:rsidR="00DA39BC" w:rsidRDefault="00B3016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DA39BC" w14:paraId="178ADE3A" w14:textId="77777777">
      <w:tc>
        <w:tcPr>
          <w:tcW w:w="2551" w:type="dxa"/>
          <w:vAlign w:val="center"/>
        </w:tcPr>
        <w:p w14:paraId="107AB82A" w14:textId="77777777" w:rsidR="00DA39BC" w:rsidRDefault="00B301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4EF7E7F7" w14:textId="77777777" w:rsidR="00DA39BC" w:rsidRDefault="00B30168">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7C1556" w14:textId="77777777" w:rsidR="00DA39BC" w:rsidRDefault="00DA39BC">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E2B24" w14:textId="77777777" w:rsidR="00DA39BC" w:rsidRDefault="00DA39BC">
    <w:pPr>
      <w:pBdr>
        <w:top w:val="nil"/>
        <w:left w:val="nil"/>
        <w:bottom w:val="nil"/>
        <w:right w:val="nil"/>
        <w:between w:val="nil"/>
      </w:pBdr>
      <w:tabs>
        <w:tab w:val="center" w:pos="4419"/>
        <w:tab w:val="right" w:pos="8838"/>
      </w:tabs>
      <w:jc w:val="both"/>
      <w:rPr>
        <w:color w:val="000000"/>
      </w:rPr>
    </w:pPr>
  </w:p>
  <w:p w14:paraId="03E9E62A" w14:textId="77777777" w:rsidR="00DA39BC" w:rsidRDefault="00DA39B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90929"/>
    <w:multiLevelType w:val="multilevel"/>
    <w:tmpl w:val="2EC213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C54FDC"/>
    <w:multiLevelType w:val="multilevel"/>
    <w:tmpl w:val="F5C8842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6F84BB7"/>
    <w:multiLevelType w:val="multilevel"/>
    <w:tmpl w:val="F9D29CC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F320AE8"/>
    <w:multiLevelType w:val="multilevel"/>
    <w:tmpl w:val="36C6C2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25F96F98"/>
    <w:multiLevelType w:val="multilevel"/>
    <w:tmpl w:val="C98217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nsid w:val="2BF339ED"/>
    <w:multiLevelType w:val="multilevel"/>
    <w:tmpl w:val="F3246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E3F4698"/>
    <w:multiLevelType w:val="multilevel"/>
    <w:tmpl w:val="F3BAF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F0702A6"/>
    <w:multiLevelType w:val="multilevel"/>
    <w:tmpl w:val="98D24D8A"/>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7195BE7"/>
    <w:multiLevelType w:val="multilevel"/>
    <w:tmpl w:val="06821FAA"/>
    <w:lvl w:ilvl="0">
      <w:start w:val="1"/>
      <w:numFmt w:val="upperRoman"/>
      <w:lvlText w:val="%1."/>
      <w:lvlJc w:val="left"/>
      <w:pPr>
        <w:ind w:left="1489" w:hanging="720"/>
      </w:pPr>
    </w:lvl>
    <w:lvl w:ilvl="1">
      <w:start w:val="1"/>
      <w:numFmt w:val="lowerLetter"/>
      <w:lvlText w:val="%2."/>
      <w:lvlJc w:val="left"/>
      <w:pPr>
        <w:ind w:left="1849" w:hanging="360"/>
      </w:pPr>
    </w:lvl>
    <w:lvl w:ilvl="2">
      <w:start w:val="1"/>
      <w:numFmt w:val="lowerRoman"/>
      <w:lvlText w:val="%3."/>
      <w:lvlJc w:val="right"/>
      <w:pPr>
        <w:ind w:left="2569" w:hanging="180"/>
      </w:p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num w:numId="1">
    <w:abstractNumId w:val="8"/>
  </w:num>
  <w:num w:numId="2">
    <w:abstractNumId w:val="3"/>
  </w:num>
  <w:num w:numId="3">
    <w:abstractNumId w:val="5"/>
  </w:num>
  <w:num w:numId="4">
    <w:abstractNumId w:val="6"/>
  </w:num>
  <w:num w:numId="5">
    <w:abstractNumId w:val="4"/>
  </w:num>
  <w:num w:numId="6">
    <w:abstractNumId w:val="1"/>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9BC"/>
    <w:rsid w:val="000B668D"/>
    <w:rsid w:val="001A27F7"/>
    <w:rsid w:val="005576FC"/>
    <w:rsid w:val="005F0D10"/>
    <w:rsid w:val="00B30168"/>
    <w:rsid w:val="00B45C66"/>
    <w:rsid w:val="00DA39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FA575"/>
  <w15:docId w15:val="{9985D15E-59D2-4045-904B-DA42F0BB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4C7173"/>
    <w:rPr>
      <w:color w:val="605E5C"/>
      <w:shd w:val="clear" w:color="auto" w:fill="E1DFDD"/>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dof.gob.mx/nota_detalle.php?codigo=5492254&amp;fecha=28/07/20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JdfWhKJfXDaleBX3smOSlP2L5A==">AMUW2mUyPCDR6V5cEDJW6kg6rpoaMMuCIofrkNpiu24+Y61ixrYbF7DHQbEuKRauBOsrQ2Y7UkQWLR+ER8R8N02hWAP6M41u1k3HSLeT4ebDlagWB+NwkypUj7vrFQiEIviFh9KiI+uPZ7DDYGTsmO4FCS8Axit8Sw==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15304</Words>
  <Characters>84176</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2022-09-19T17:32:00Z</cp:lastPrinted>
  <dcterms:created xsi:type="dcterms:W3CDTF">2022-09-29T19:42:00Z</dcterms:created>
  <dcterms:modified xsi:type="dcterms:W3CDTF">2022-09-29T19:42:00Z</dcterms:modified>
</cp:coreProperties>
</file>