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96B3401"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BA604C">
        <w:rPr>
          <w:rFonts w:ascii="Palatino Linotype" w:eastAsia="Times New Roman" w:hAnsi="Palatino Linotype" w:cs="Arial"/>
          <w:color w:val="000000"/>
          <w:sz w:val="24"/>
          <w:szCs w:val="24"/>
          <w:lang w:eastAsia="es-MX"/>
        </w:rPr>
        <w:t xml:space="preserve">siete de septiembre de dos mil veintidós.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73B4693D" w14:textId="1DB6085F" w:rsidR="00BA604C" w:rsidRPr="00BA604C"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BA604C">
        <w:rPr>
          <w:rFonts w:ascii="Palatino Linotype" w:hAnsi="Palatino Linotype" w:cs="Arial"/>
          <w:b/>
          <w:sz w:val="24"/>
        </w:rPr>
        <w:t>12000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BA604C">
        <w:rPr>
          <w:rFonts w:ascii="Palatino Linotype" w:hAnsi="Palatino Linotype" w:cs="Arial"/>
          <w:sz w:val="24"/>
        </w:rPr>
        <w:t xml:space="preserve">el </w:t>
      </w:r>
      <w:r w:rsidR="00A95E34">
        <w:rPr>
          <w:rFonts w:ascii="Palatino Linotype" w:hAnsi="Palatino Linotype" w:cs="Arial"/>
          <w:b/>
          <w:bCs/>
          <w:sz w:val="24"/>
        </w:rPr>
        <w:t>XXXXXXXXXXX</w:t>
      </w:r>
      <w:r w:rsidR="00BA604C">
        <w:rPr>
          <w:rFonts w:ascii="Palatino Linotype" w:hAnsi="Palatino Linotype" w:cs="Arial"/>
          <w:b/>
          <w:bCs/>
          <w:sz w:val="24"/>
        </w:rPr>
        <w:t xml:space="preserve">, </w:t>
      </w:r>
      <w:r w:rsidR="00BA604C">
        <w:rPr>
          <w:rFonts w:ascii="Palatino Linotype" w:hAnsi="Palatino Linotype" w:cs="Arial"/>
          <w:sz w:val="24"/>
        </w:rPr>
        <w:t xml:space="preserve">en lo sucesivo </w:t>
      </w:r>
      <w:r w:rsidR="00BA604C">
        <w:rPr>
          <w:rFonts w:ascii="Palatino Linotype" w:hAnsi="Palatino Linotype" w:cs="Arial"/>
          <w:b/>
          <w:bCs/>
          <w:sz w:val="24"/>
        </w:rPr>
        <w:t xml:space="preserve">El Recurrente, </w:t>
      </w:r>
      <w:r w:rsidR="00BA604C">
        <w:rPr>
          <w:rFonts w:ascii="Palatino Linotype" w:hAnsi="Palatino Linotype" w:cs="Arial"/>
          <w:sz w:val="24"/>
        </w:rPr>
        <w:t xml:space="preserve">en contra de la respuesta del </w:t>
      </w:r>
      <w:r w:rsidR="00BA604C">
        <w:rPr>
          <w:rFonts w:ascii="Palatino Linotype" w:hAnsi="Palatino Linotype" w:cs="Arial"/>
          <w:b/>
          <w:bCs/>
          <w:sz w:val="24"/>
        </w:rPr>
        <w:t xml:space="preserve">Ayuntamiento de Jilotepec, </w:t>
      </w:r>
      <w:r w:rsidR="00BA604C">
        <w:rPr>
          <w:rFonts w:ascii="Palatino Linotype" w:hAnsi="Palatino Linotype" w:cs="Arial"/>
          <w:sz w:val="24"/>
        </w:rPr>
        <w:t xml:space="preserve">en lo sucesivo </w:t>
      </w:r>
      <w:r w:rsidR="00BA604C">
        <w:rPr>
          <w:rFonts w:ascii="Palatino Linotype" w:hAnsi="Palatino Linotype" w:cs="Arial"/>
          <w:b/>
          <w:bCs/>
          <w:sz w:val="24"/>
        </w:rPr>
        <w:t xml:space="preserve">El Sujeto Obligado, </w:t>
      </w:r>
      <w:r w:rsidR="00BA604C">
        <w:rPr>
          <w:rFonts w:ascii="Palatino Linotype" w:hAnsi="Palatino Linotype" w:cs="Arial"/>
          <w:sz w:val="24"/>
        </w:rPr>
        <w:t xml:space="preserve">se procede a dictar la presente resolución. </w:t>
      </w:r>
    </w:p>
    <w:p w14:paraId="0559DC99" w14:textId="77777777" w:rsidR="00BA604C" w:rsidRDefault="00BA604C" w:rsidP="006D5803">
      <w:pPr>
        <w:pStyle w:val="infoemcitas"/>
        <w:jc w:val="center"/>
        <w:rPr>
          <w:b/>
          <w:bCs/>
          <w:i w:val="0"/>
          <w:iCs/>
          <w:sz w:val="28"/>
          <w:szCs w:val="28"/>
        </w:rPr>
      </w:pPr>
    </w:p>
    <w:p w14:paraId="22CF085C" w14:textId="1D9201C0"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197B330" w14:textId="27F1521B" w:rsidR="00590467"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BA604C">
        <w:rPr>
          <w:rFonts w:ascii="Palatino Linotype" w:hAnsi="Palatino Linotype" w:cs="Arial"/>
          <w:sz w:val="24"/>
        </w:rPr>
        <w:t xml:space="preserve">uno de junio de dos mil veintidós, </w:t>
      </w:r>
      <w:r w:rsidR="00BA604C">
        <w:rPr>
          <w:rFonts w:ascii="Palatino Linotype" w:hAnsi="Palatino Linotype" w:cs="Arial"/>
          <w:b/>
          <w:sz w:val="24"/>
        </w:rPr>
        <w:t xml:space="preserve">El Recurrente </w:t>
      </w:r>
      <w:r w:rsidR="00BA604C">
        <w:rPr>
          <w:rFonts w:ascii="Palatino Linotype" w:hAnsi="Palatino Linotype" w:cs="Arial"/>
          <w:sz w:val="24"/>
        </w:rPr>
        <w:t>presentó a través del Sistema de Acceso a la Información Mexiquense (</w:t>
      </w:r>
      <w:r w:rsidR="00BA604C">
        <w:rPr>
          <w:rFonts w:ascii="Palatino Linotype" w:hAnsi="Palatino Linotype" w:cs="Arial"/>
          <w:b/>
          <w:sz w:val="24"/>
        </w:rPr>
        <w:t>SAIMEX)</w:t>
      </w:r>
      <w:r w:rsidR="00BA604C">
        <w:rPr>
          <w:rFonts w:ascii="Palatino Linotype" w:hAnsi="Palatino Linotype" w:cs="Arial"/>
          <w:sz w:val="24"/>
        </w:rPr>
        <w:t xml:space="preserve"> ante </w:t>
      </w:r>
      <w:r w:rsidR="00BA604C">
        <w:rPr>
          <w:rFonts w:ascii="Palatino Linotype" w:hAnsi="Palatino Linotype" w:cs="Arial"/>
          <w:b/>
          <w:sz w:val="24"/>
        </w:rPr>
        <w:t>El Sujeto Obligado</w:t>
      </w:r>
      <w:r w:rsidR="00BA604C">
        <w:rPr>
          <w:rFonts w:ascii="Palatino Linotype" w:hAnsi="Palatino Linotype" w:cs="Arial"/>
          <w:sz w:val="24"/>
        </w:rPr>
        <w:t xml:space="preserve">, solicitud de acceso a la información pública, registrada bajo el número de expediente </w:t>
      </w:r>
      <w:r w:rsidR="00BA604C">
        <w:rPr>
          <w:rFonts w:ascii="Palatino Linotype" w:hAnsi="Palatino Linotype" w:cs="Arial"/>
          <w:b/>
          <w:bCs/>
          <w:sz w:val="24"/>
        </w:rPr>
        <w:t>00070/JILOTEPE/IP/2022</w:t>
      </w:r>
      <w:r w:rsidR="00590467">
        <w:rPr>
          <w:rFonts w:ascii="Palatino Linotype" w:hAnsi="Palatino Linotype" w:cs="Arial"/>
          <w:b/>
          <w:bCs/>
          <w:sz w:val="24"/>
        </w:rPr>
        <w:t xml:space="preserve">, </w:t>
      </w:r>
      <w:r w:rsidR="00590467">
        <w:rPr>
          <w:rFonts w:ascii="Palatino Linotype" w:hAnsi="Palatino Linotype" w:cs="Arial"/>
          <w:sz w:val="24"/>
        </w:rPr>
        <w:t xml:space="preserve">mediante la cual solicitó información en el tenor siguiente: </w:t>
      </w:r>
    </w:p>
    <w:p w14:paraId="6FE797E5" w14:textId="363622B3" w:rsidR="00590467" w:rsidRPr="00590467" w:rsidRDefault="00590467" w:rsidP="00590467">
      <w:pPr>
        <w:pStyle w:val="Citas"/>
        <w:rPr>
          <w:b/>
          <w:bCs/>
        </w:rPr>
      </w:pPr>
      <w:r w:rsidRPr="00590467">
        <w:t xml:space="preserve">“En base a lo que establece la constitución federal en su artículo octavo solicito de este ayuntamiento lo siguiente: La fiel copia del documento denominado nómina de personal del periodo 1 de mayo al 31 de mayo del año 2022. La relación de nombres, percepciones ordinarias y extraordinarias, bonificaciones de todos los asesores que se tiene en áreas de presidencia, secretaria del ayuntamiento, sindicatura y áreas administrativas del periodo 1 de enero al 31 de mayo del año 2022. La relación de </w:t>
      </w:r>
      <w:r w:rsidRPr="00590467">
        <w:lastRenderedPageBreak/>
        <w:t>obras, montos, y forma de asignación que se encuentran en curso asi proyectadas y programadas para el ejercicio 2022. La nómina de todo el personal que labora en la administración municipal, desde fecha 1 de enero al 31 de mayo del año 2022. Las bonificaciones, gratificaciones que reciben el presidente municipal, síndico y regidores del ayuntamiento desde fecha 1 de enero al 31 de mayo del año 2022</w:t>
      </w:r>
      <w:r>
        <w:t xml:space="preserve">”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37875DA8" w14:textId="1663CED6" w:rsidR="00590467" w:rsidRPr="00590467"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590467">
        <w:rPr>
          <w:rFonts w:ascii="Palatino Linotype" w:hAnsi="Palatino Linotype" w:cs="Arial"/>
          <w:sz w:val="24"/>
          <w:szCs w:val="24"/>
        </w:rPr>
        <w:t xml:space="preserve">veinte de junio de dos mil veintidós, </w:t>
      </w:r>
      <w:r w:rsidR="00590467">
        <w:rPr>
          <w:rFonts w:ascii="Palatino Linotype" w:hAnsi="Palatino Linotype" w:cs="Arial"/>
          <w:b/>
          <w:bCs/>
          <w:sz w:val="24"/>
          <w:szCs w:val="24"/>
        </w:rPr>
        <w:t xml:space="preserve">El Sujeto Obligado </w:t>
      </w:r>
      <w:r w:rsidR="00590467">
        <w:rPr>
          <w:rFonts w:ascii="Palatino Linotype" w:hAnsi="Palatino Linotype" w:cs="Arial"/>
          <w:sz w:val="24"/>
          <w:szCs w:val="24"/>
        </w:rPr>
        <w:t>dio respuesta a la solicitud de información en los siguientes términos:</w:t>
      </w:r>
    </w:p>
    <w:p w14:paraId="0882F34F" w14:textId="2A65C43D" w:rsidR="00590467" w:rsidRPr="00032DE3" w:rsidRDefault="00032DE3" w:rsidP="00032DE3">
      <w:pPr>
        <w:pStyle w:val="Citas"/>
        <w:rPr>
          <w:b/>
          <w:bCs/>
          <w:sz w:val="24"/>
          <w:szCs w:val="24"/>
        </w:rPr>
      </w:pPr>
      <w:r>
        <w:t xml:space="preserve">“EN ATENCIÓN A SU SOLICITUD DE INFORMCIÓN CON NUMERO ECONOMICO: 00070/JILOTEPE/IP/2022, SE REMITE LA RESPUESTA CORRESPONDIENTE MEDIANTE ARCHIVO EN FORMATO PDF DENOMINDADO: "Respuesta_070_0001" </w:t>
      </w:r>
      <w:r>
        <w:rPr>
          <w:b/>
          <w:bCs/>
        </w:rPr>
        <w:t>(Sic)</w:t>
      </w:r>
    </w:p>
    <w:p w14:paraId="40ABBD47" w14:textId="4D4D90F4" w:rsidR="00590467" w:rsidRPr="00032DE3" w:rsidRDefault="00032DE3"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 xml:space="preserve">“Respuesta_070_0001.pdf”, </w:t>
      </w:r>
      <w:r>
        <w:rPr>
          <w:rFonts w:ascii="Palatino Linotype" w:hAnsi="Palatino Linotype" w:cs="Arial"/>
          <w:sz w:val="24"/>
          <w:szCs w:val="24"/>
        </w:rPr>
        <w:t xml:space="preserve">cuyo contenido será materia de estudio en el considerando respectivo. </w:t>
      </w:r>
    </w:p>
    <w:p w14:paraId="44878C3F" w14:textId="1F1C3603" w:rsidR="00CE3FFC" w:rsidRDefault="00CE3FFC" w:rsidP="00073E92">
      <w:pPr>
        <w:spacing w:before="240" w:line="360" w:lineRule="auto"/>
        <w:jc w:val="both"/>
        <w:rPr>
          <w:rFonts w:ascii="Palatino Linotype" w:hAnsi="Palatino Linotype" w:cs="Arial"/>
          <w:sz w:val="24"/>
          <w:szCs w:val="24"/>
        </w:rPr>
      </w:pPr>
    </w:p>
    <w:p w14:paraId="067753A9" w14:textId="112CFC73"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36B735D9" w14:textId="63C9064C" w:rsidR="00032DE3" w:rsidRPr="00032DE3"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lastRenderedPageBreak/>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032DE3">
        <w:rPr>
          <w:rFonts w:ascii="Palatino Linotype" w:hAnsi="Palatino Linotype" w:cs="Arial"/>
          <w:sz w:val="24"/>
          <w:szCs w:val="24"/>
        </w:rPr>
        <w:t xml:space="preserve">veintidós de junio de dos mil veintidós, el cual fue registrado en el sistema electrónico con el expediente </w:t>
      </w:r>
      <w:r w:rsidR="00032DE3">
        <w:rPr>
          <w:rFonts w:ascii="Palatino Linotype" w:hAnsi="Palatino Linotype" w:cs="Arial"/>
          <w:b/>
          <w:bCs/>
          <w:sz w:val="24"/>
          <w:szCs w:val="24"/>
        </w:rPr>
        <w:t xml:space="preserve">12000/INFOEM/IP/RR/2022, </w:t>
      </w:r>
      <w:r w:rsidR="00032DE3">
        <w:rPr>
          <w:rFonts w:ascii="Palatino Linotype" w:hAnsi="Palatino Linotype" w:cs="Arial"/>
          <w:sz w:val="24"/>
          <w:szCs w:val="24"/>
        </w:rPr>
        <w:t>en el cual arguye las siguientes manifestaciones:</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7746BC3E" w:rsidR="0034605F" w:rsidRDefault="0034605F" w:rsidP="0034605F">
      <w:pPr>
        <w:pStyle w:val="Citas"/>
        <w:rPr>
          <w:b/>
        </w:rPr>
      </w:pPr>
      <w:r w:rsidRPr="00101FCB">
        <w:t>“</w:t>
      </w:r>
      <w:r w:rsidR="00101FCB" w:rsidRPr="00101FCB">
        <w:t>la temeraria e infundada respuesta del obligado que denota desconocimiento de la Ley y la obligación del ente.</w:t>
      </w:r>
      <w:r w:rsidRPr="00101FCB">
        <w:t>”</w:t>
      </w:r>
      <w:r w:rsidRPr="007E24F0">
        <w:t xml:space="preserve"> </w:t>
      </w:r>
      <w:r>
        <w:rPr>
          <w:b/>
        </w:rPr>
        <w:t xml:space="preserve">[Sic] </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2F92E50E" w:rsidR="0034605F" w:rsidRDefault="0034605F" w:rsidP="0034605F">
      <w:pPr>
        <w:pStyle w:val="Citas"/>
        <w:rPr>
          <w:b/>
        </w:rPr>
      </w:pPr>
      <w:r w:rsidRPr="00101FCB">
        <w:t>“</w:t>
      </w:r>
      <w:r w:rsidR="00101FCB" w:rsidRPr="00101FCB">
        <w:t>Se hace valer desde este momento el derecho a que se tiene para la obtención de información publica y maxime cuando se aplican recursos públicos, esto es que la obligada de manera ignorante maneja la interpretación del derecho de petición como una forma distinta a la solicitud de información a que tengo derecho, denotando opacidad y clara conducta de violentar la ley, como se puede apreciar y probar con la repuesta que diera la obligada. Sin dejar de señalar que el peticionario en su caso extremo no requiere fundamentar la petición de información tan solo requiere establecer de manera precisa que información solicita a la obligada. Probando con la documental publica que se anexa a la presente que el obligado es un ejemplo de opacidad y desde este momento hago valer la queja para deslindar responsabilidades de los servidores públicos que actuaron de manera ilegal e infundada.</w:t>
      </w:r>
      <w:r w:rsidRPr="00101FCB">
        <w:t>”</w:t>
      </w:r>
      <w:r w:rsidRPr="007E24F0">
        <w:t xml:space="preserve"> </w:t>
      </w:r>
      <w:r>
        <w:rPr>
          <w:b/>
        </w:rPr>
        <w:t>[Sic]</w:t>
      </w:r>
    </w:p>
    <w:p w14:paraId="0CF23D7E" w14:textId="0B95EA3A" w:rsidR="004E004F" w:rsidRPr="00101FCB" w:rsidRDefault="00101FCB" w:rsidP="0068677F">
      <w:pPr>
        <w:pStyle w:val="Citas"/>
        <w:ind w:left="0" w:right="72"/>
        <w:rPr>
          <w:i w:val="0"/>
          <w:iCs/>
        </w:rPr>
      </w:pPr>
      <w:r>
        <w:rPr>
          <w:bCs/>
          <w:i w:val="0"/>
          <w:iCs/>
        </w:rPr>
        <w:t xml:space="preserve">Adicionalmente, </w:t>
      </w:r>
      <w:r>
        <w:rPr>
          <w:b/>
          <w:i w:val="0"/>
          <w:iCs/>
        </w:rPr>
        <w:t xml:space="preserve">El Recurrente </w:t>
      </w:r>
      <w:r>
        <w:rPr>
          <w:bCs/>
          <w:i w:val="0"/>
          <w:iCs/>
        </w:rPr>
        <w:t xml:space="preserve">adjuntó el documento electrónico </w:t>
      </w:r>
      <w:r w:rsidRPr="00101FCB">
        <w:rPr>
          <w:b/>
          <w:bCs/>
          <w:i w:val="0"/>
          <w:iCs/>
          <w:sz w:val="24"/>
          <w:szCs w:val="24"/>
        </w:rPr>
        <w:t>“Respuesta_070_0001.pdf”</w:t>
      </w:r>
      <w:r>
        <w:rPr>
          <w:b/>
          <w:bCs/>
          <w:sz w:val="24"/>
          <w:szCs w:val="24"/>
        </w:rPr>
        <w:t xml:space="preserve">, </w:t>
      </w:r>
      <w:r>
        <w:rPr>
          <w:i w:val="0"/>
          <w:iCs/>
          <w:sz w:val="24"/>
          <w:szCs w:val="24"/>
        </w:rPr>
        <w:t xml:space="preserve">soporte documental que fue remitido por </w:t>
      </w:r>
      <w:r>
        <w:rPr>
          <w:b/>
          <w:bCs/>
          <w:i w:val="0"/>
          <w:iCs/>
          <w:sz w:val="24"/>
          <w:szCs w:val="24"/>
        </w:rPr>
        <w:t xml:space="preserve">El Sujeto Obligado </w:t>
      </w:r>
      <w:r>
        <w:rPr>
          <w:i w:val="0"/>
          <w:iCs/>
          <w:sz w:val="24"/>
          <w:szCs w:val="24"/>
        </w:rPr>
        <w:t xml:space="preserve">mediante respuesta primigenia. </w:t>
      </w: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23913AC3"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101FCB">
        <w:rPr>
          <w:rFonts w:ascii="Palatino Linotype" w:hAnsi="Palatino Linotype" w:cs="Arial"/>
          <w:sz w:val="24"/>
          <w:szCs w:val="24"/>
        </w:rPr>
        <w:t xml:space="preserve">veintisiete de junio de dos mil veintidós,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1F54C080" w14:textId="77777777" w:rsidR="0036654D" w:rsidRDefault="0036654D" w:rsidP="0036654D">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49F96AC2" w14:textId="77777777" w:rsidR="00101FCB" w:rsidRDefault="0036654D" w:rsidP="00101FC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101FCB">
        <w:rPr>
          <w:rFonts w:ascii="Palatino Linotype" w:hAnsi="Palatino Linotype" w:cs="Arial"/>
          <w:b/>
          <w:bCs/>
          <w:sz w:val="24"/>
          <w:szCs w:val="24"/>
        </w:rPr>
        <w:t xml:space="preserve">catorce de julio del presente, </w:t>
      </w:r>
      <w:r w:rsidR="00101FCB">
        <w:rPr>
          <w:rFonts w:ascii="Palatino Linotype" w:hAnsi="Palatino Linotype" w:cs="Arial"/>
          <w:b/>
          <w:sz w:val="24"/>
          <w:szCs w:val="24"/>
        </w:rPr>
        <w:t>e</w:t>
      </w:r>
      <w:r w:rsidR="00101FCB"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4456A9C" w14:textId="132C6589" w:rsidR="00101FCB" w:rsidRDefault="00101FCB" w:rsidP="00101FCB">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veintitrés de agosto de dos mil veintidós,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2617DDE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A9C5A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810A1D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1D667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FF1716B"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Por ello, excepcionalmente, si un asunto es resuelto con posterioridad a los plazos señalados por la norma debe analizarse la razonabilidad del tiempo necesario para su resolución, atentos a los siguientes criterios:  </w:t>
      </w:r>
    </w:p>
    <w:p w14:paraId="1C9915ED"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7EAE8E9"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9F5F4E2"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BC04B74"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B1B9AAD" w14:textId="77777777" w:rsidR="00101FCB" w:rsidRPr="001F3B43" w:rsidRDefault="00101FCB" w:rsidP="00101FCB">
      <w:pPr>
        <w:spacing w:line="360" w:lineRule="auto"/>
        <w:jc w:val="both"/>
        <w:rPr>
          <w:rFonts w:ascii="Palatino Linotype" w:hAnsi="Palatino Linotype" w:cstheme="majorHAnsi"/>
          <w:sz w:val="24"/>
          <w:szCs w:val="24"/>
        </w:rPr>
      </w:pPr>
    </w:p>
    <w:p w14:paraId="0D09AA4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D72271"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1F3B43">
        <w:rPr>
          <w:rFonts w:ascii="Palatino Linotype" w:hAnsi="Palatino Linotype" w:cstheme="majorHAnsi"/>
          <w:sz w:val="24"/>
          <w:szCs w:val="24"/>
        </w:rPr>
        <w:lastRenderedPageBreak/>
        <w:t>CARACTERÍSTICAS DEL CASO.”, visible en la Gaceta del Seminario Judicial de la Federación con el registro digital 205635.</w:t>
      </w:r>
    </w:p>
    <w:p w14:paraId="4651140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7B301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3F15F8A"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EB01E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3BB4F3C7" w14:textId="77777777" w:rsidR="00101FCB" w:rsidRPr="00B01D73" w:rsidRDefault="00101FCB" w:rsidP="00101FCB">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lastRenderedPageBreak/>
        <w:t>Por ello, este organismo garante comprometido con la tutela de los derechos humanos confiados, señala que este exceso del plazo legal para resolver el presente asunto, resulta de carácter excepcional.</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0F292C64" w14:textId="77777777" w:rsidR="00101FCB" w:rsidRDefault="00101FCB" w:rsidP="00101FC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998B147" w14:textId="77777777" w:rsidR="00101FCB" w:rsidRPr="0051725F" w:rsidRDefault="00101FCB" w:rsidP="00101FCB">
      <w:pPr>
        <w:pStyle w:val="Prrafodelista"/>
        <w:autoSpaceDE w:val="0"/>
        <w:autoSpaceDN w:val="0"/>
        <w:adjustRightInd w:val="0"/>
        <w:spacing w:before="240" w:after="160" w:line="360" w:lineRule="auto"/>
        <w:ind w:left="0"/>
        <w:jc w:val="both"/>
        <w:rPr>
          <w:rFonts w:ascii="Palatino Linotype" w:hAnsi="Palatino Linotype" w:cs="Arial"/>
        </w:rPr>
      </w:pPr>
      <w:r w:rsidRPr="0051725F">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5481F65" w14:textId="31D5BD12" w:rsidR="00101FCB" w:rsidRPr="0051725F" w:rsidRDefault="00101FCB" w:rsidP="00101FCB">
      <w:pPr>
        <w:tabs>
          <w:tab w:val="left" w:pos="709"/>
        </w:tabs>
        <w:spacing w:before="240" w:line="360" w:lineRule="auto"/>
        <w:ind w:right="51"/>
        <w:jc w:val="both"/>
        <w:rPr>
          <w:rFonts w:ascii="Palatino Linotype" w:hAnsi="Palatino Linotype"/>
          <w:b/>
          <w:sz w:val="24"/>
          <w:szCs w:val="24"/>
        </w:rPr>
      </w:pPr>
      <w:r w:rsidRPr="0051725F">
        <w:rPr>
          <w:rFonts w:ascii="Palatino Linotype" w:hAnsi="Palatino Linotype" w:cs="Arial"/>
          <w:sz w:val="24"/>
          <w:szCs w:val="24"/>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w:t>
      </w:r>
      <w:r w:rsidRPr="0051725F">
        <w:rPr>
          <w:rFonts w:ascii="Palatino Linotype" w:hAnsi="Palatino Linotype" w:cs="Arial"/>
          <w:sz w:val="24"/>
          <w:szCs w:val="24"/>
        </w:rPr>
        <w:lastRenderedPageBreak/>
        <w:t>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725F">
        <w:rPr>
          <w:rStyle w:val="Refdenotaalpie"/>
          <w:rFonts w:ascii="Palatino Linotype" w:hAnsi="Palatino Linotype" w:cs="Arial"/>
          <w:sz w:val="24"/>
          <w:szCs w:val="24"/>
        </w:rPr>
        <w:footnoteReference w:id="1"/>
      </w:r>
      <w:r w:rsidRPr="0051725F">
        <w:rPr>
          <w:rFonts w:ascii="Palatino Linotype" w:hAnsi="Palatino Linotype" w:cs="Arial"/>
          <w:sz w:val="24"/>
          <w:szCs w:val="24"/>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135174C" w14:textId="77777777" w:rsidR="00101FCB" w:rsidRDefault="00101FCB" w:rsidP="006D5803">
      <w:pPr>
        <w:tabs>
          <w:tab w:val="left" w:pos="709"/>
        </w:tabs>
        <w:spacing w:before="240" w:line="360" w:lineRule="auto"/>
        <w:ind w:right="51"/>
        <w:jc w:val="both"/>
        <w:rPr>
          <w:rFonts w:ascii="Palatino Linotype" w:hAnsi="Palatino Linotype"/>
          <w:b/>
          <w:sz w:val="28"/>
          <w:szCs w:val="28"/>
        </w:rPr>
      </w:pPr>
    </w:p>
    <w:p w14:paraId="7879D459" w14:textId="4E56C0F3"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lastRenderedPageBreak/>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4B4AD296" w14:textId="496A95A6" w:rsidR="00101FCB" w:rsidRDefault="0072378A" w:rsidP="00871F78">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 </w:t>
      </w:r>
      <w:r w:rsidR="00CF611C">
        <w:rPr>
          <w:rFonts w:ascii="Palatino Linotype" w:hAnsi="Palatino Linotype"/>
          <w:b/>
          <w:bCs/>
          <w:sz w:val="24"/>
          <w:szCs w:val="24"/>
        </w:rPr>
        <w:t xml:space="preserve">00070/JILOTEPE/IP/2022 </w:t>
      </w:r>
      <w:r w:rsidR="00CF611C">
        <w:rPr>
          <w:rFonts w:ascii="Palatino Linotype" w:hAnsi="Palatino Linotype"/>
          <w:sz w:val="24"/>
          <w:szCs w:val="24"/>
        </w:rPr>
        <w:t xml:space="preserve">fueron formulados </w:t>
      </w:r>
      <w:r w:rsidR="00CF611C">
        <w:rPr>
          <w:rFonts w:ascii="Palatino Linotype" w:hAnsi="Palatino Linotype"/>
          <w:b/>
          <w:bCs/>
          <w:sz w:val="24"/>
          <w:szCs w:val="24"/>
        </w:rPr>
        <w:t xml:space="preserve">5 -cinco- </w:t>
      </w:r>
      <w:r w:rsidR="00CF611C">
        <w:rPr>
          <w:rFonts w:ascii="Palatino Linotype" w:hAnsi="Palatino Linotype"/>
          <w:sz w:val="24"/>
          <w:szCs w:val="24"/>
        </w:rPr>
        <w:t>requerimientos respecto de los cuales se desprenden las siguientes consideraciones:</w:t>
      </w:r>
    </w:p>
    <w:p w14:paraId="18FBD84D" w14:textId="278BE1A3" w:rsidR="00CF611C" w:rsidRDefault="00CF611C" w:rsidP="00CF611C">
      <w:pPr>
        <w:pStyle w:val="Prrafodelista"/>
        <w:numPr>
          <w:ilvl w:val="0"/>
          <w:numId w:val="19"/>
        </w:numPr>
        <w:spacing w:before="240" w:line="360" w:lineRule="auto"/>
        <w:jc w:val="both"/>
        <w:rPr>
          <w:rFonts w:ascii="Palatino Linotype" w:hAnsi="Palatino Linotype"/>
        </w:rPr>
      </w:pPr>
      <w:r>
        <w:rPr>
          <w:rFonts w:ascii="Palatino Linotype" w:hAnsi="Palatino Linotype"/>
        </w:rPr>
        <w:t xml:space="preserve">Que con relación a los requerimientos </w:t>
      </w:r>
      <w:r w:rsidRPr="00CF611C">
        <w:rPr>
          <w:rFonts w:ascii="Palatino Linotype" w:hAnsi="Palatino Linotype"/>
          <w:b/>
          <w:bCs/>
        </w:rPr>
        <w:t>2 -dos-, 4 -cuatro- y 5 -cinco-</w:t>
      </w:r>
      <w:r>
        <w:rPr>
          <w:rFonts w:ascii="Palatino Linotype" w:hAnsi="Palatino Linotype"/>
        </w:rPr>
        <w:t xml:space="preserve"> se advierte que su contenido se encuentra inmerso en su homologo identificado con el numeral </w:t>
      </w:r>
      <w:r>
        <w:rPr>
          <w:rFonts w:ascii="Palatino Linotype" w:hAnsi="Palatino Linotype"/>
          <w:b/>
          <w:bCs/>
        </w:rPr>
        <w:t xml:space="preserve">1 -uno-. </w:t>
      </w:r>
      <w:r>
        <w:rPr>
          <w:rFonts w:ascii="Palatino Linotype" w:hAnsi="Palatino Linotype"/>
        </w:rPr>
        <w:t xml:space="preserve">Destacando </w:t>
      </w:r>
      <w:r w:rsidR="00513861">
        <w:rPr>
          <w:rFonts w:ascii="Palatino Linotype" w:hAnsi="Palatino Linotype"/>
        </w:rPr>
        <w:t>que,</w:t>
      </w:r>
      <w:r>
        <w:rPr>
          <w:rFonts w:ascii="Palatino Linotype" w:hAnsi="Palatino Linotype"/>
        </w:rPr>
        <w:t xml:space="preserve"> con relación a los requerimientos en cita, fue delimitado el elemento temporal de manera diligente. </w:t>
      </w:r>
    </w:p>
    <w:p w14:paraId="70A25C0F" w14:textId="45B8DE36" w:rsidR="00CF611C" w:rsidRPr="00CF611C" w:rsidRDefault="00CF611C" w:rsidP="00CF611C">
      <w:pPr>
        <w:pStyle w:val="Prrafodelista"/>
        <w:numPr>
          <w:ilvl w:val="0"/>
          <w:numId w:val="19"/>
        </w:numPr>
        <w:spacing w:before="240" w:line="360" w:lineRule="auto"/>
        <w:jc w:val="both"/>
        <w:rPr>
          <w:rFonts w:ascii="Palatino Linotype" w:hAnsi="Palatino Linotype"/>
        </w:rPr>
      </w:pPr>
      <w:r>
        <w:rPr>
          <w:rFonts w:ascii="Palatino Linotype" w:hAnsi="Palatino Linotype"/>
        </w:rPr>
        <w:t xml:space="preserve">Que en alusión al requerimiento </w:t>
      </w:r>
      <w:r w:rsidR="00176D46">
        <w:rPr>
          <w:rFonts w:ascii="Palatino Linotype" w:hAnsi="Palatino Linotype"/>
        </w:rPr>
        <w:t xml:space="preserve">identificado con el numeral </w:t>
      </w:r>
      <w:r w:rsidR="00176D46">
        <w:rPr>
          <w:rFonts w:ascii="Palatino Linotype" w:hAnsi="Palatino Linotype"/>
          <w:b/>
          <w:bCs/>
        </w:rPr>
        <w:t xml:space="preserve">3 -tres-, </w:t>
      </w:r>
      <w:r w:rsidR="00513861">
        <w:rPr>
          <w:rFonts w:ascii="Palatino Linotype" w:hAnsi="Palatino Linotype"/>
        </w:rPr>
        <w:t xml:space="preserve">se desprende que el particular se limitó a señalar </w:t>
      </w:r>
      <w:r w:rsidR="00513861">
        <w:rPr>
          <w:rFonts w:ascii="Palatino Linotype" w:hAnsi="Palatino Linotype"/>
          <w:i/>
          <w:iCs/>
        </w:rPr>
        <w:t xml:space="preserve">“para el ejercicio 2022”, </w:t>
      </w:r>
      <w:r w:rsidR="00513861">
        <w:rPr>
          <w:rFonts w:ascii="Palatino Linotype" w:hAnsi="Palatino Linotype"/>
        </w:rPr>
        <w:t xml:space="preserve">luego entonces, el elemento temporal debe de ser delimitado a la fecha en que se ejerció el derecho de acceso a la información pública, es decir, al uno de junio de dos mil veintidós. </w:t>
      </w:r>
    </w:p>
    <w:p w14:paraId="7BFB3D35" w14:textId="6FBA208C" w:rsidR="006E6525" w:rsidRPr="0051062B" w:rsidRDefault="006E6525" w:rsidP="006E6525">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706816DB" w14:textId="77777777" w:rsidR="006E6525" w:rsidRPr="0051062B" w:rsidRDefault="006E6525" w:rsidP="006E6525">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441D275" w14:textId="77777777" w:rsidR="006E6525" w:rsidRPr="0051062B" w:rsidRDefault="006E6525" w:rsidP="006E6525">
      <w:pPr>
        <w:pStyle w:val="Citas"/>
        <w:rPr>
          <w:b/>
        </w:rPr>
      </w:pPr>
      <w:r w:rsidRPr="0051062B">
        <w:rPr>
          <w:b/>
        </w:rPr>
        <w:t xml:space="preserve">Artículo 181. … </w:t>
      </w:r>
    </w:p>
    <w:p w14:paraId="4C33B8EE" w14:textId="77777777" w:rsidR="006E6525" w:rsidRDefault="006E6525" w:rsidP="006E6525">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C815398" w14:textId="09232AF6" w:rsidR="006E6525" w:rsidRDefault="006E6525" w:rsidP="006E6525">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2533E07B" w14:textId="2C07AE1E" w:rsidR="006E6525" w:rsidRDefault="006E6525" w:rsidP="006E6525">
      <w:pPr>
        <w:pStyle w:val="Prrafodelista"/>
        <w:numPr>
          <w:ilvl w:val="0"/>
          <w:numId w:val="20"/>
        </w:numPr>
        <w:spacing w:before="240" w:line="360" w:lineRule="auto"/>
        <w:jc w:val="both"/>
        <w:rPr>
          <w:rFonts w:ascii="Palatino Linotype" w:hAnsi="Palatino Linotype"/>
        </w:rPr>
      </w:pPr>
      <w:r>
        <w:rPr>
          <w:rFonts w:ascii="Palatino Linotype" w:hAnsi="Palatino Linotype"/>
        </w:rPr>
        <w:t xml:space="preserve">Nómina general y/o documento equivalente, del periodo comprendido del uno de enero al treinta y uno de mayo de dos mil veintidós. </w:t>
      </w:r>
    </w:p>
    <w:p w14:paraId="3DAF8E5D" w14:textId="11B6A391" w:rsidR="006E6525" w:rsidRDefault="006E6525" w:rsidP="006E6525">
      <w:pPr>
        <w:pStyle w:val="Prrafodelista"/>
        <w:numPr>
          <w:ilvl w:val="0"/>
          <w:numId w:val="20"/>
        </w:numPr>
        <w:spacing w:before="240" w:line="360" w:lineRule="auto"/>
        <w:jc w:val="both"/>
        <w:rPr>
          <w:rFonts w:ascii="Palatino Linotype" w:hAnsi="Palatino Linotype"/>
        </w:rPr>
      </w:pPr>
      <w:r>
        <w:rPr>
          <w:rFonts w:ascii="Palatino Linotype" w:hAnsi="Palatino Linotype"/>
        </w:rPr>
        <w:t xml:space="preserve">El o los documentos donde consten las obras en curso, obras programadas, presupuesto asignado, forma de asignación, al uno de junio de dos mil veintidós. </w:t>
      </w:r>
    </w:p>
    <w:p w14:paraId="26ADA514" w14:textId="77777777" w:rsidR="0068677F" w:rsidRPr="006E6525" w:rsidRDefault="0068677F" w:rsidP="0068677F">
      <w:pPr>
        <w:pStyle w:val="Prrafodelista"/>
        <w:spacing w:before="240" w:line="360" w:lineRule="auto"/>
        <w:ind w:left="720"/>
        <w:jc w:val="both"/>
        <w:rPr>
          <w:rFonts w:ascii="Palatino Linotype" w:hAnsi="Palatino Linotype"/>
        </w:rPr>
      </w:pPr>
    </w:p>
    <w:p w14:paraId="68E2DC1D" w14:textId="06522A33" w:rsidR="007F6466" w:rsidRPr="007F6466" w:rsidRDefault="006E6525" w:rsidP="00BB1C32">
      <w:pPr>
        <w:spacing w:after="0" w:line="360" w:lineRule="auto"/>
        <w:jc w:val="both"/>
        <w:rPr>
          <w:rFonts w:ascii="Palatino Linotype" w:hAnsi="Palatino Linotype"/>
          <w:b/>
          <w:sz w:val="24"/>
          <w:szCs w:val="24"/>
        </w:rPr>
      </w:pPr>
      <w:r>
        <w:rPr>
          <w:rFonts w:ascii="Palatino Linotype" w:hAnsi="Palatino Linotype"/>
          <w:bCs/>
          <w:sz w:val="24"/>
          <w:szCs w:val="24"/>
        </w:rPr>
        <w:t>En razón de lo anterior</w:t>
      </w:r>
      <w:r w:rsidR="005F4BA7" w:rsidRPr="00676A50">
        <w:rPr>
          <w:rFonts w:ascii="Palatino Linotype" w:hAnsi="Palatino Linotype"/>
          <w:bCs/>
          <w:sz w:val="24"/>
          <w:szCs w:val="24"/>
        </w:rPr>
        <w:t>, en alusión a</w:t>
      </w:r>
      <w:r>
        <w:rPr>
          <w:rFonts w:ascii="Palatino Linotype" w:hAnsi="Palatino Linotype"/>
          <w:bCs/>
          <w:sz w:val="24"/>
          <w:szCs w:val="24"/>
        </w:rPr>
        <w:t xml:space="preserve"> los</w:t>
      </w:r>
      <w:r w:rsidR="007F6466">
        <w:rPr>
          <w:rFonts w:ascii="Palatino Linotype" w:hAnsi="Palatino Linotype"/>
          <w:bCs/>
          <w:sz w:val="24"/>
          <w:szCs w:val="24"/>
        </w:rPr>
        <w:t xml:space="preserve"> requerimiento</w:t>
      </w:r>
      <w:r>
        <w:rPr>
          <w:rFonts w:ascii="Palatino Linotype" w:hAnsi="Palatino Linotype"/>
          <w:bCs/>
          <w:sz w:val="24"/>
          <w:szCs w:val="24"/>
        </w:rPr>
        <w:t>s</w:t>
      </w:r>
      <w:r w:rsidR="007F6466">
        <w:rPr>
          <w:rFonts w:ascii="Palatino Linotype" w:hAnsi="Palatino Linotype"/>
          <w:bCs/>
          <w:sz w:val="24"/>
          <w:szCs w:val="24"/>
        </w:rPr>
        <w:t xml:space="preserve"> formulado</w:t>
      </w:r>
      <w:r>
        <w:rPr>
          <w:rFonts w:ascii="Palatino Linotype" w:hAnsi="Palatino Linotype"/>
          <w:bCs/>
          <w:sz w:val="24"/>
          <w:szCs w:val="24"/>
        </w:rPr>
        <w:t>s</w:t>
      </w:r>
      <w:r w:rsidR="007F6466">
        <w:rPr>
          <w:rFonts w:ascii="Palatino Linotype" w:hAnsi="Palatino Linotype"/>
          <w:bCs/>
          <w:sz w:val="24"/>
          <w:szCs w:val="24"/>
        </w:rPr>
        <w:t xml:space="preserve"> por el particular, resulta oportuno traer a colación las siguientes imágenes ilustrativas, correspondientes al organigrama del </w:t>
      </w:r>
      <w:r w:rsidR="007F6466">
        <w:rPr>
          <w:rFonts w:ascii="Palatino Linotype" w:hAnsi="Palatino Linotype"/>
          <w:b/>
          <w:sz w:val="24"/>
          <w:szCs w:val="24"/>
        </w:rPr>
        <w:t>Sujeto Obligado:</w:t>
      </w:r>
    </w:p>
    <w:p w14:paraId="7B75F655" w14:textId="099B2155" w:rsidR="007F6466" w:rsidRDefault="008A7808" w:rsidP="00BB1C32">
      <w:pPr>
        <w:spacing w:after="0" w:line="360" w:lineRule="auto"/>
        <w:jc w:val="both"/>
        <w:rPr>
          <w:rFonts w:ascii="Palatino Linotype" w:hAnsi="Palatino Linotype"/>
          <w:bCs/>
          <w:sz w:val="24"/>
          <w:szCs w:val="24"/>
        </w:rPr>
      </w:pPr>
      <w:r>
        <w:rPr>
          <w:rFonts w:ascii="Palatino Linotype" w:hAnsi="Palatino Linotype"/>
          <w:bCs/>
          <w:noProof/>
          <w:sz w:val="24"/>
          <w:szCs w:val="24"/>
          <w:lang w:eastAsia="es-MX"/>
        </w:rPr>
        <w:lastRenderedPageBreak/>
        <w:drawing>
          <wp:anchor distT="0" distB="0" distL="114300" distR="114300" simplePos="0" relativeHeight="251692032" behindDoc="0" locked="0" layoutInCell="1" allowOverlap="1" wp14:anchorId="7ED63136" wp14:editId="25F58EDD">
            <wp:simplePos x="0" y="0"/>
            <wp:positionH relativeFrom="column">
              <wp:posOffset>-11430</wp:posOffset>
            </wp:positionH>
            <wp:positionV relativeFrom="paragraph">
              <wp:posOffset>3731049</wp:posOffset>
            </wp:positionV>
            <wp:extent cx="5748655" cy="3192145"/>
            <wp:effectExtent l="19050" t="19050" r="23495" b="27305"/>
            <wp:wrapThrough wrapText="bothSides">
              <wp:wrapPolygon edited="0">
                <wp:start x="-72" y="-129"/>
                <wp:lineTo x="-72" y="21656"/>
                <wp:lineTo x="21617" y="21656"/>
                <wp:lineTo x="21617" y="-129"/>
                <wp:lineTo x="-72" y="-12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8655" cy="31921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Cs/>
          <w:noProof/>
          <w:sz w:val="24"/>
          <w:szCs w:val="24"/>
          <w:lang w:eastAsia="es-MX"/>
        </w:rPr>
        <w:drawing>
          <wp:anchor distT="0" distB="0" distL="114300" distR="114300" simplePos="0" relativeHeight="251687936" behindDoc="0" locked="0" layoutInCell="1" allowOverlap="1" wp14:anchorId="5FE12FBF" wp14:editId="6FB9EB3C">
            <wp:simplePos x="0" y="0"/>
            <wp:positionH relativeFrom="column">
              <wp:posOffset>-13335</wp:posOffset>
            </wp:positionH>
            <wp:positionV relativeFrom="paragraph">
              <wp:posOffset>19262</wp:posOffset>
            </wp:positionV>
            <wp:extent cx="5756275" cy="3182620"/>
            <wp:effectExtent l="19050" t="19050" r="15875" b="17780"/>
            <wp:wrapThrough wrapText="bothSides">
              <wp:wrapPolygon edited="0">
                <wp:start x="-71" y="-129"/>
                <wp:lineTo x="-71" y="21591"/>
                <wp:lineTo x="21588" y="21591"/>
                <wp:lineTo x="21588" y="-129"/>
                <wp:lineTo x="-71" y="-129"/>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1826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FB589AB" w14:textId="6DFBFCC6" w:rsidR="00513861" w:rsidRDefault="00513861" w:rsidP="00BB1C32">
      <w:pPr>
        <w:spacing w:after="0" w:line="360" w:lineRule="auto"/>
        <w:jc w:val="both"/>
        <w:rPr>
          <w:rFonts w:ascii="Palatino Linotype" w:hAnsi="Palatino Linotype"/>
          <w:bCs/>
          <w:sz w:val="24"/>
          <w:szCs w:val="24"/>
        </w:rPr>
      </w:pPr>
    </w:p>
    <w:p w14:paraId="2826EEF8" w14:textId="515F5D55" w:rsidR="00944050" w:rsidRDefault="00951BA1" w:rsidP="00BB1C32">
      <w:pPr>
        <w:spacing w:after="0" w:line="360" w:lineRule="auto"/>
        <w:jc w:val="both"/>
        <w:rPr>
          <w:rFonts w:ascii="Palatino Linotype" w:hAnsi="Palatino Linotype"/>
          <w:sz w:val="24"/>
          <w:szCs w:val="24"/>
        </w:rPr>
      </w:pPr>
      <w:r w:rsidRPr="00951BA1">
        <w:rPr>
          <w:rFonts w:ascii="Palatino Linotype" w:hAnsi="Palatino Linotype"/>
          <w:sz w:val="24"/>
          <w:szCs w:val="24"/>
        </w:rPr>
        <w:lastRenderedPageBreak/>
        <w:t xml:space="preserve">De lo expuesto con anterioridad, se desprende que </w:t>
      </w:r>
      <w:r w:rsidRPr="00951BA1">
        <w:rPr>
          <w:rFonts w:ascii="Palatino Linotype" w:hAnsi="Palatino Linotype"/>
          <w:b/>
          <w:sz w:val="24"/>
          <w:szCs w:val="24"/>
        </w:rPr>
        <w:t xml:space="preserve">El Sujeto Obligado </w:t>
      </w:r>
      <w:r w:rsidRPr="00951BA1">
        <w:rPr>
          <w:rFonts w:ascii="Palatino Linotype" w:hAnsi="Palatino Linotype"/>
          <w:sz w:val="24"/>
          <w:szCs w:val="24"/>
        </w:rPr>
        <w:t>se auxilia de diversas Direcciones, Subdirecciones, Departamentos y Unidades Administrativas para cumplir con sus fines y objetivos, resultando de nuestro más amplio interés la Tesorería</w:t>
      </w:r>
      <w:r w:rsidR="00FB3FBE">
        <w:rPr>
          <w:rFonts w:ascii="Palatino Linotype" w:hAnsi="Palatino Linotype"/>
          <w:sz w:val="24"/>
          <w:szCs w:val="24"/>
        </w:rPr>
        <w:t xml:space="preserve">, la Dirección de Administración, así como la Dirección </w:t>
      </w:r>
      <w:r w:rsidR="00936195">
        <w:rPr>
          <w:rFonts w:ascii="Palatino Linotype" w:hAnsi="Palatino Linotype"/>
          <w:sz w:val="24"/>
          <w:szCs w:val="24"/>
        </w:rPr>
        <w:t xml:space="preserve">de Obra Pública. </w:t>
      </w:r>
    </w:p>
    <w:p w14:paraId="2240A8F4" w14:textId="0CA051A5" w:rsidR="00F23C09" w:rsidRPr="00936195" w:rsidRDefault="00936195" w:rsidP="006E6525">
      <w:pPr>
        <w:pStyle w:val="Citas"/>
        <w:ind w:left="0" w:right="72"/>
        <w:rPr>
          <w:i w:val="0"/>
          <w:iCs/>
          <w:sz w:val="24"/>
          <w:szCs w:val="24"/>
        </w:rPr>
      </w:pPr>
      <w:r>
        <w:rPr>
          <w:i w:val="0"/>
          <w:iCs/>
          <w:sz w:val="24"/>
          <w:szCs w:val="24"/>
        </w:rPr>
        <w:t>De manera complementaria, a efecto de ilustrar la esfera competencial de las unidades administrativa</w:t>
      </w:r>
      <w:r w:rsidR="006E6525">
        <w:rPr>
          <w:i w:val="0"/>
          <w:iCs/>
          <w:sz w:val="24"/>
          <w:szCs w:val="24"/>
        </w:rPr>
        <w:t>s en cita, resulta oportuno traer a colación los numerales</w:t>
      </w:r>
      <w:r w:rsidR="008A7808">
        <w:rPr>
          <w:i w:val="0"/>
          <w:iCs/>
          <w:sz w:val="24"/>
          <w:szCs w:val="24"/>
        </w:rPr>
        <w:t xml:space="preserve"> </w:t>
      </w:r>
      <w:r w:rsidR="00E0669E">
        <w:rPr>
          <w:i w:val="0"/>
          <w:iCs/>
          <w:sz w:val="24"/>
          <w:szCs w:val="24"/>
        </w:rPr>
        <w:t xml:space="preserve">95, fracciones I y IV, 96 Bis de la Ley Orgánica Municipal del Estado de México; </w:t>
      </w:r>
      <w:r w:rsidR="000E3ADA">
        <w:rPr>
          <w:i w:val="0"/>
          <w:iCs/>
          <w:sz w:val="24"/>
          <w:szCs w:val="24"/>
        </w:rPr>
        <w:t xml:space="preserve">así como los numerales </w:t>
      </w:r>
      <w:r w:rsidR="000E3ADA" w:rsidRPr="000E3ADA">
        <w:rPr>
          <w:i w:val="0"/>
          <w:iCs/>
          <w:sz w:val="24"/>
          <w:szCs w:val="24"/>
        </w:rPr>
        <w:t>3.41, 3.42, fracciones III, IV y IX, 3.43 del</w:t>
      </w:r>
      <w:r w:rsidR="000E3ADA">
        <w:rPr>
          <w:i w:val="0"/>
          <w:iCs/>
          <w:sz w:val="24"/>
          <w:szCs w:val="24"/>
        </w:rPr>
        <w:t xml:space="preserve"> Código Reglamentario del Municipio de Jilotepec 2022-2024, porciones normativas que disponen a la literalidad lo siguiente: </w:t>
      </w:r>
    </w:p>
    <w:p w14:paraId="4B13A261" w14:textId="0F19A902" w:rsidR="007247F5" w:rsidRPr="007247F5" w:rsidRDefault="007247F5" w:rsidP="007247F5">
      <w:pPr>
        <w:pStyle w:val="Citas"/>
        <w:jc w:val="center"/>
        <w:rPr>
          <w:b/>
          <w:bCs/>
        </w:rPr>
      </w:pPr>
      <w:r w:rsidRPr="007247F5">
        <w:rPr>
          <w:b/>
          <w:bCs/>
        </w:rPr>
        <w:t>LEY ORGÁNICA MUNICIPAL DEL ESTADO DE MÉXICO</w:t>
      </w:r>
    </w:p>
    <w:p w14:paraId="741CA490" w14:textId="330E00AC" w:rsidR="00944050" w:rsidRDefault="000E3ADA" w:rsidP="00E0669E">
      <w:pPr>
        <w:pStyle w:val="Citas"/>
      </w:pPr>
      <w:r>
        <w:t>“</w:t>
      </w:r>
      <w:r w:rsidR="00E0669E">
        <w:t>Artículo 95.- Son atribuciones del tesorero municipal:</w:t>
      </w:r>
    </w:p>
    <w:p w14:paraId="3C647AA4" w14:textId="34864C55" w:rsidR="00E0669E" w:rsidRDefault="00E0669E" w:rsidP="00E0669E">
      <w:pPr>
        <w:pStyle w:val="Citas"/>
      </w:pPr>
      <w:r>
        <w:t>I. Administrar la hacienda pública municipal, de conformidad con las disposiciones legales aplicables;</w:t>
      </w:r>
    </w:p>
    <w:p w14:paraId="1F2B30C6" w14:textId="3A93F3E9" w:rsidR="00E0669E" w:rsidRDefault="00E0669E" w:rsidP="00E0669E">
      <w:pPr>
        <w:pStyle w:val="Citas"/>
      </w:pPr>
      <w:r>
        <w:t>(…)</w:t>
      </w:r>
    </w:p>
    <w:p w14:paraId="5900FF45" w14:textId="0C1CEC5E" w:rsidR="00E0669E" w:rsidRDefault="00E0669E" w:rsidP="00E0669E">
      <w:pPr>
        <w:pStyle w:val="Citas"/>
      </w:pPr>
      <w:r>
        <w:t>IV. Llevar los registros contables, financieros y administrativos de los ingresos, egresos, e inventarios;</w:t>
      </w:r>
    </w:p>
    <w:p w14:paraId="4CA4791C" w14:textId="6171B55F" w:rsidR="00E0669E" w:rsidRDefault="00E0669E" w:rsidP="00E0669E">
      <w:pPr>
        <w:pStyle w:val="Citas"/>
      </w:pPr>
      <w:r>
        <w:t>(…)</w:t>
      </w:r>
    </w:p>
    <w:p w14:paraId="78340164" w14:textId="17E25DB6" w:rsidR="008A7808" w:rsidRDefault="008A7808" w:rsidP="00E0669E">
      <w:pPr>
        <w:pStyle w:val="Citas"/>
      </w:pPr>
      <w:r>
        <w:t>Artículo 96 Bis.- El Director de Obras Públicas o el Titular de la Unidad Administrativa equivalente, tiene las siguientes atribuciones:</w:t>
      </w:r>
    </w:p>
    <w:p w14:paraId="1249FE0B" w14:textId="77777777" w:rsidR="00E0669E" w:rsidRDefault="008A7808" w:rsidP="00E0669E">
      <w:pPr>
        <w:pStyle w:val="Citas"/>
      </w:pPr>
      <w:r>
        <w:lastRenderedPageBreak/>
        <w:t>I. Realizar la programación y ejecución de las obras públicas y servicios relacionados, que por orden expresa del Ayuntamiento requieran prioridad;</w:t>
      </w:r>
    </w:p>
    <w:p w14:paraId="24B51942" w14:textId="77777777" w:rsidR="00E0669E" w:rsidRPr="00E0669E" w:rsidRDefault="008A7808" w:rsidP="00E0669E">
      <w:pPr>
        <w:pStyle w:val="Citas"/>
        <w:rPr>
          <w:b/>
          <w:bCs/>
          <w:u w:val="single"/>
        </w:rPr>
      </w:pPr>
      <w:r w:rsidRPr="00E0669E">
        <w:rPr>
          <w:b/>
          <w:bCs/>
          <w:u w:val="single"/>
        </w:rPr>
        <w:t xml:space="preserve"> II. Planear y coordinar los proyectos de obras públicas y servicios relacionados con las mismas que autorice el Ayuntamiento , una vez que se cumplan los requisitos de licitación y otros que determine la ley de la materia; </w:t>
      </w:r>
    </w:p>
    <w:p w14:paraId="7EE05092" w14:textId="77777777" w:rsidR="00E0669E" w:rsidRDefault="008A7808" w:rsidP="00E0669E">
      <w:pPr>
        <w:pStyle w:val="Citas"/>
      </w:pPr>
      <w:r>
        <w:t xml:space="preserve">III. Proyectar las obras públicas y servicios relacionados, que realice el Municipio, incluyendo la conservación y mantenimiento de edificios, monumentos, calles, parques y jardines; </w:t>
      </w:r>
    </w:p>
    <w:p w14:paraId="0A3A6D2C" w14:textId="77777777" w:rsidR="00E0669E" w:rsidRDefault="008A7808" w:rsidP="00E0669E">
      <w:pPr>
        <w:pStyle w:val="Citas"/>
      </w:pPr>
      <w:r>
        <w:t xml:space="preserve">IV. Construir y ejecutar todas aquellas obras públicas y servicios relacionados, que aumenten y mantengan la infraestructura municipal y que estén consideradas en el programa respectivo; </w:t>
      </w:r>
    </w:p>
    <w:p w14:paraId="5F092D00" w14:textId="77777777" w:rsidR="00E0669E" w:rsidRDefault="008A7808" w:rsidP="00E0669E">
      <w:pPr>
        <w:pStyle w:val="Citas"/>
      </w:pPr>
      <w:r>
        <w:t xml:space="preserve">V. determinar y cuantificar los materiales y trabajos necesarios para programas de construcción y mantenimiento de obras públicas y servicios relacionados; </w:t>
      </w:r>
    </w:p>
    <w:p w14:paraId="4C3C4D4C" w14:textId="406E358D" w:rsidR="00E0669E" w:rsidRDefault="008A7808" w:rsidP="00E0669E">
      <w:pPr>
        <w:pStyle w:val="Citas"/>
      </w:pPr>
      <w:r>
        <w:t xml:space="preserve">VI. Vigila que se cumplan y lleven a cabo los programas de construcción y mantenimiento de obras públicas y servicios relacionados;  </w:t>
      </w:r>
    </w:p>
    <w:p w14:paraId="5013616A" w14:textId="77777777" w:rsidR="00E0669E" w:rsidRDefault="008A7808" w:rsidP="00E0669E">
      <w:pPr>
        <w:pStyle w:val="Citas"/>
      </w:pPr>
      <w:r>
        <w:t xml:space="preserve">VII. Cuidar que las obras públicas y servicios relacionados cumplan con los requisitos de seguridad y observen las normas de construcción y términos establecidos; </w:t>
      </w:r>
    </w:p>
    <w:p w14:paraId="43BFAE98" w14:textId="77777777" w:rsidR="00E0669E" w:rsidRDefault="008A7808" w:rsidP="00E0669E">
      <w:pPr>
        <w:pStyle w:val="Citas"/>
      </w:pPr>
      <w:r>
        <w:t xml:space="preserve">VII. Vigilar la construcción en las obras por contrato y por administración que hayan sido adjudicadas a los contratistas; </w:t>
      </w:r>
    </w:p>
    <w:p w14:paraId="458C06C3" w14:textId="77777777" w:rsidR="00E0669E" w:rsidRDefault="008A7808" w:rsidP="00E0669E">
      <w:pPr>
        <w:pStyle w:val="Citas"/>
      </w:pPr>
      <w:r>
        <w:t xml:space="preserve">IX. Administrar y ejercer, en el ámbito de su competencia, de manera coordinada con el Tesorero municipal, los recursos públicos destinados a la planeación, </w:t>
      </w:r>
      <w:r>
        <w:lastRenderedPageBreak/>
        <w:t xml:space="preserve">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2E269D20" w14:textId="77777777" w:rsidR="00E0669E" w:rsidRDefault="008A7808" w:rsidP="00E0669E">
      <w:pPr>
        <w:pStyle w:val="Citas"/>
      </w:pPr>
      <w:r w:rsidRPr="00E0669E">
        <w:rPr>
          <w:b/>
          <w:bCs/>
          <w:u w:val="single"/>
        </w:rPr>
        <w:t>X. Verificar que las obras públicas y los servidores relacionados con la misma, hayan sido programadas, presupuestadas, ejecutadas, adquiridas y contratadas en estricto apego a las disposiciones legales aplicables;</w:t>
      </w:r>
    </w:p>
    <w:p w14:paraId="6D9F3B29" w14:textId="77777777" w:rsidR="00E0669E" w:rsidRDefault="008A7808" w:rsidP="00E0669E">
      <w:pPr>
        <w:pStyle w:val="Citas"/>
      </w:pPr>
      <w:r>
        <w:t xml:space="preserve"> XI. Integrar y verificar que se elaboren de manera correcta y completa las bitácoras y/o expedientes abiertos con motivo de la obra pública y servicios relacionados con la misma, conforme a lo establecido en las disposiciones legales aplicables; </w:t>
      </w:r>
    </w:p>
    <w:p w14:paraId="6ECF4C8D" w14:textId="77777777" w:rsidR="00E0669E" w:rsidRDefault="008A7808" w:rsidP="00E0669E">
      <w:pPr>
        <w:pStyle w:val="Citas"/>
      </w:pPr>
      <w:r>
        <w:t xml:space="preserve">XII. Promover la construcción de urbanización, infraestructura y equipamiento urbano; </w:t>
      </w:r>
    </w:p>
    <w:p w14:paraId="433A1F1B" w14:textId="77777777" w:rsidR="00E0669E" w:rsidRDefault="008A7808" w:rsidP="00E0669E">
      <w:pPr>
        <w:pStyle w:val="Citas"/>
      </w:pPr>
      <w:r>
        <w:t xml:space="preserve">XIII. Formular y conducir la policía municipal en materia de obras públicas e infraestructura para el desarrollo; </w:t>
      </w:r>
    </w:p>
    <w:p w14:paraId="458CD150" w14:textId="77777777" w:rsidR="00E0669E" w:rsidRDefault="008A7808" w:rsidP="00E0669E">
      <w:pPr>
        <w:pStyle w:val="Citas"/>
      </w:pPr>
      <w:r>
        <w:t xml:space="preserve">XIV. Cumplir y hacer cumplir la legislación y normatividad en materia de obra pública; </w:t>
      </w:r>
    </w:p>
    <w:p w14:paraId="22A2B46E" w14:textId="71FB9963" w:rsidR="00E0669E" w:rsidRPr="00E0669E" w:rsidRDefault="008A7808" w:rsidP="00E0669E">
      <w:pPr>
        <w:pStyle w:val="Citas"/>
        <w:rPr>
          <w:b/>
          <w:bCs/>
          <w:u w:val="single"/>
        </w:rPr>
      </w:pPr>
      <w:r w:rsidRPr="00E0669E">
        <w:rPr>
          <w:b/>
          <w:bCs/>
          <w:u w:val="single"/>
        </w:rPr>
        <w:t>XV. Proyectar, formular y proponer al Presidente Municipal, el Programa General de Ob</w:t>
      </w:r>
      <w:r w:rsidR="00E0669E" w:rsidRPr="00E0669E">
        <w:rPr>
          <w:b/>
          <w:bCs/>
          <w:u w:val="single"/>
        </w:rPr>
        <w:t>r</w:t>
      </w:r>
      <w:r w:rsidRPr="00E0669E">
        <w:rPr>
          <w:b/>
          <w:bCs/>
          <w:u w:val="single"/>
        </w:rPr>
        <w:t xml:space="preserve">as Públicas, para la construcción y mejoramiento de las mismas, de acuerdo a la normatividad aplicable y en congruencia con el Plan de Desarrollo Municipal y con la política, objetivos y prioridades del Municipio y vigilar su ejecución; </w:t>
      </w:r>
    </w:p>
    <w:p w14:paraId="691B016A" w14:textId="77777777" w:rsidR="00E0669E" w:rsidRDefault="008A7808" w:rsidP="00E0669E">
      <w:pPr>
        <w:pStyle w:val="Citas"/>
      </w:pPr>
      <w:r>
        <w:t xml:space="preserve">XVI. Dictar las normas generales y ejecutar las obras de reparación, adaptación y demolición de inmuebles propiedad del municipio que le sean asignadas; </w:t>
      </w:r>
    </w:p>
    <w:p w14:paraId="7000FEDE" w14:textId="77777777" w:rsidR="00E0669E" w:rsidRDefault="008A7808" w:rsidP="00E0669E">
      <w:pPr>
        <w:pStyle w:val="Citas"/>
      </w:pPr>
      <w:r>
        <w:lastRenderedPageBreak/>
        <w:t xml:space="preserve">XVII. Ejecutar y mantener las obras públicas que acuerde el Ayuntamiento, de acuerdo a la legislación y normatividad aplicable, a los planes, presupuestos y programas previamente establecidos, coordinándose, en su caso, previo acuerdo con el Presidente Municipal, con las autoridades Federales, Estatales y municipales concurrentes; </w:t>
      </w:r>
    </w:p>
    <w:p w14:paraId="072541BD" w14:textId="77777777" w:rsidR="00E0669E" w:rsidRPr="00E0669E" w:rsidRDefault="008A7808" w:rsidP="00E0669E">
      <w:pPr>
        <w:pStyle w:val="Citas"/>
        <w:rPr>
          <w:b/>
          <w:bCs/>
          <w:u w:val="single"/>
        </w:rPr>
      </w:pPr>
      <w:r w:rsidRPr="00E0669E">
        <w:rPr>
          <w:b/>
          <w:bCs/>
          <w:u w:val="single"/>
        </w:rPr>
        <w:t xml:space="preserve">XVIII. Vigilar que la ejecución de la obra pública adjudicada y los servicios relacionados con está, se sujeten a las condiciones contratadas; </w:t>
      </w:r>
    </w:p>
    <w:p w14:paraId="29DB6141" w14:textId="77777777" w:rsidR="00E0669E" w:rsidRDefault="008A7808" w:rsidP="00E0669E">
      <w:pPr>
        <w:pStyle w:val="Citas"/>
      </w:pPr>
      <w:r>
        <w:t xml:space="preserve">XIX. Establecer los lineamientos para la realización de estudios y proyectos de construcción de obras públicas; </w:t>
      </w:r>
    </w:p>
    <w:p w14:paraId="7C911ABA" w14:textId="77777777" w:rsidR="00E0669E" w:rsidRDefault="008A7808" w:rsidP="00E0669E">
      <w:pPr>
        <w:pStyle w:val="Citas"/>
      </w:pPr>
      <w:r>
        <w:t xml:space="preserve">XX. Autorizar para su pago, previa validación del avance y calidad de las obras, los presupuestos y estimaciones que presenten los contratistas de obas públicas municipales; </w:t>
      </w:r>
    </w:p>
    <w:p w14:paraId="5E316B31" w14:textId="77777777" w:rsidR="00E0669E" w:rsidRDefault="008A7808" w:rsidP="00E0669E">
      <w:pPr>
        <w:pStyle w:val="Citas"/>
      </w:pPr>
      <w:r>
        <w:t xml:space="preserve">XXI. Formular el inventario de la maquinaria y equipo de construcción a su cuidad o de su propiedad, manteniéndolo en óptimas condiciones de uso; </w:t>
      </w:r>
    </w:p>
    <w:p w14:paraId="39FFAD8C" w14:textId="77777777" w:rsidR="00E0669E" w:rsidRDefault="008A7808" w:rsidP="00E0669E">
      <w:pPr>
        <w:pStyle w:val="Citas"/>
      </w:pPr>
      <w:r>
        <w:t xml:space="preserve">XXII. Coordinar y supervisar que todo el proceso de las obras públicas que se realicen en el municipio se realice conforme a la legislación y normatividad en materia de obra pública; </w:t>
      </w:r>
    </w:p>
    <w:p w14:paraId="5B6FDD0D" w14:textId="77777777" w:rsidR="00E0669E" w:rsidRDefault="008A7808" w:rsidP="00E0669E">
      <w:pPr>
        <w:pStyle w:val="Citas"/>
      </w:pPr>
      <w:r>
        <w:t xml:space="preserve">XXIII. Controlar y vigilar el intercambio de materiales para construcción; </w:t>
      </w:r>
    </w:p>
    <w:p w14:paraId="6860091C" w14:textId="77777777" w:rsidR="00E0669E" w:rsidRPr="00E0669E" w:rsidRDefault="008A7808" w:rsidP="00E0669E">
      <w:pPr>
        <w:pStyle w:val="Citas"/>
        <w:rPr>
          <w:b/>
          <w:bCs/>
          <w:u w:val="single"/>
        </w:rPr>
      </w:pPr>
      <w:r w:rsidRPr="00E0669E">
        <w:rPr>
          <w:b/>
          <w:bCs/>
          <w:u w:val="single"/>
        </w:rPr>
        <w:t xml:space="preserve">XXIV. Integrar y autorizar con su firma, la documentación que en materia de obra pública, deba presentarse al Órgano Superior de Fiscalización del Estado de México; </w:t>
      </w:r>
    </w:p>
    <w:p w14:paraId="0A156620" w14:textId="77777777" w:rsidR="00E0669E" w:rsidRDefault="008A7808" w:rsidP="00E0669E">
      <w:pPr>
        <w:pStyle w:val="Citas"/>
      </w:pPr>
      <w:r>
        <w:lastRenderedPageBreak/>
        <w:t xml:space="preserve">XXV. Formular las bases y expedir la convocatoria a los concursos para la realización de las obras públicas municipales, de acuerdo con los requisitos que para dichos actos señale la legislación y normatividad respectiva, vigilando su correcta ejecución; y </w:t>
      </w:r>
    </w:p>
    <w:p w14:paraId="6231BCE6" w14:textId="7123ED73" w:rsidR="008A7808" w:rsidRPr="000E3ADA" w:rsidRDefault="008A7808" w:rsidP="00E0669E">
      <w:pPr>
        <w:pStyle w:val="Citas"/>
        <w:rPr>
          <w:b/>
          <w:bCs/>
          <w:sz w:val="24"/>
          <w:szCs w:val="24"/>
        </w:rPr>
      </w:pPr>
      <w:r>
        <w:t>XXVI. Las demás que les señalen las disposiciones aplicables.</w:t>
      </w:r>
      <w:r w:rsidR="000E3ADA">
        <w:t xml:space="preserve">” </w:t>
      </w:r>
      <w:r w:rsidR="000E3ADA">
        <w:rPr>
          <w:b/>
          <w:bCs/>
        </w:rPr>
        <w:t>(Sic)</w:t>
      </w:r>
    </w:p>
    <w:p w14:paraId="2084C54F" w14:textId="20923A33" w:rsidR="008A7808" w:rsidRDefault="008A7808" w:rsidP="00BB1C32">
      <w:pPr>
        <w:spacing w:after="0" w:line="360" w:lineRule="auto"/>
        <w:jc w:val="both"/>
        <w:rPr>
          <w:rFonts w:ascii="Palatino Linotype" w:hAnsi="Palatino Linotype"/>
          <w:bCs/>
          <w:sz w:val="24"/>
          <w:szCs w:val="24"/>
        </w:rPr>
      </w:pPr>
    </w:p>
    <w:p w14:paraId="24CF697B" w14:textId="6C42C51D" w:rsidR="008A7808" w:rsidRPr="000E3ADA" w:rsidRDefault="000E3ADA" w:rsidP="0051725F">
      <w:pPr>
        <w:pStyle w:val="Citas"/>
        <w:jc w:val="center"/>
        <w:rPr>
          <w:b/>
          <w:bCs/>
        </w:rPr>
      </w:pPr>
      <w:r w:rsidRPr="000E3ADA">
        <w:rPr>
          <w:b/>
          <w:bCs/>
        </w:rPr>
        <w:t>CÓDIGO REGLAMENTARIO DEL MUNICIPIO DE JILOTEPEC 2022-2024</w:t>
      </w:r>
    </w:p>
    <w:p w14:paraId="20FA098F" w14:textId="03AB5A35" w:rsidR="007247F5" w:rsidRDefault="000E3ADA" w:rsidP="000E3ADA">
      <w:pPr>
        <w:pStyle w:val="Citas"/>
      </w:pPr>
      <w:r>
        <w:t>“</w:t>
      </w:r>
      <w:r w:rsidR="007247F5">
        <w:t xml:space="preserve">Artículo 3.41.- La Dirección de Administración es la Dependencia encargada de administrar, comprobar y controlar los recursos humanos, materiales y técnicos, necesarios para el desarrollo de las funciones de las Dependencias de la Administración. </w:t>
      </w:r>
    </w:p>
    <w:p w14:paraId="75C39F6C" w14:textId="334D75A3" w:rsidR="008A7808" w:rsidRDefault="007247F5" w:rsidP="000E3ADA">
      <w:pPr>
        <w:pStyle w:val="Citas"/>
      </w:pPr>
      <w:r>
        <w:t>Artículo 3.42.- La Dirección de Administración tendrá además de lo establecido por otras leyes y demás disposiciones legales aplicables, el despacho de las siguientes atribuciones:</w:t>
      </w:r>
    </w:p>
    <w:p w14:paraId="2F7ED010" w14:textId="77777777" w:rsidR="000E3ADA" w:rsidRDefault="007247F5" w:rsidP="000E3ADA">
      <w:pPr>
        <w:pStyle w:val="Citas"/>
      </w:pPr>
      <w:r>
        <w:t>III. Proponer al Presidente Municipal, las medidas necesarias para la coordinación de las políticas relativas a registros de personal, relación de puestos de trabajo, retribuciones y homologación de funcionarios, mismas que deberán de ser iguales entre hombres y mujeres;</w:t>
      </w:r>
    </w:p>
    <w:p w14:paraId="3DA6BB04" w14:textId="21ED811C" w:rsidR="007247F5" w:rsidRDefault="007247F5" w:rsidP="000E3ADA">
      <w:pPr>
        <w:pStyle w:val="Citas"/>
      </w:pPr>
      <w:r>
        <w:t xml:space="preserve"> IV. Elaborar, actualizar y proponer modificaciones al tabulador de sueldos de la Administración y turnarla al Presidente Municipal, para su autorización;</w:t>
      </w:r>
    </w:p>
    <w:p w14:paraId="4A18F0D7" w14:textId="17565EBA" w:rsidR="007247F5" w:rsidRDefault="007247F5" w:rsidP="000E3ADA">
      <w:pPr>
        <w:pStyle w:val="Citas"/>
      </w:pPr>
      <w:r>
        <w:t>(…)</w:t>
      </w:r>
    </w:p>
    <w:p w14:paraId="677CBEAA" w14:textId="5EB49B46" w:rsidR="007247F5" w:rsidRPr="000E3ADA" w:rsidRDefault="007247F5" w:rsidP="000E3ADA">
      <w:pPr>
        <w:pStyle w:val="Citas"/>
        <w:rPr>
          <w:b/>
          <w:bCs/>
          <w:u w:val="single"/>
        </w:rPr>
      </w:pPr>
      <w:r w:rsidRPr="000E3ADA">
        <w:rPr>
          <w:b/>
          <w:bCs/>
          <w:u w:val="single"/>
        </w:rPr>
        <w:lastRenderedPageBreak/>
        <w:t>X. Coordinar con la Tesorería, la adquisición de bienes e insumos y pago de obligaciones, así como la elaboración y distribución oportuna de la nómina para el pago al personal que labora en la Administración, apegándose a la normatividad en la materia y al presupuesto autorizado;</w:t>
      </w:r>
    </w:p>
    <w:p w14:paraId="51B5A392" w14:textId="517F3D19" w:rsidR="007247F5" w:rsidRDefault="007247F5" w:rsidP="000E3ADA">
      <w:pPr>
        <w:pStyle w:val="Citas"/>
      </w:pPr>
      <w:r>
        <w:t>(…)</w:t>
      </w:r>
    </w:p>
    <w:p w14:paraId="1957BB41" w14:textId="34F0765B" w:rsidR="007247F5" w:rsidRPr="000E3ADA" w:rsidRDefault="007247F5" w:rsidP="000E3ADA">
      <w:pPr>
        <w:pStyle w:val="Citas"/>
        <w:rPr>
          <w:b/>
          <w:bCs/>
          <w:sz w:val="24"/>
          <w:szCs w:val="24"/>
        </w:rPr>
      </w:pPr>
      <w:r>
        <w:t>Artículo 3.43.- La Dirección de Administración para el cumplimiento de sus atribuciones, contará con contará con el departamento de recursos humanos, departamento de recursos materiales y departamento de mantenimiento.</w:t>
      </w:r>
      <w:r w:rsidR="000E3ADA">
        <w:t xml:space="preserve">” </w:t>
      </w:r>
      <w:r w:rsidR="000E3ADA">
        <w:rPr>
          <w:b/>
          <w:bCs/>
        </w:rPr>
        <w:t>(Sic)</w:t>
      </w:r>
    </w:p>
    <w:p w14:paraId="4B8A5D01" w14:textId="161EDF89" w:rsidR="008A7808" w:rsidRDefault="008A7808" w:rsidP="00BB1C32">
      <w:pPr>
        <w:spacing w:after="0" w:line="360" w:lineRule="auto"/>
        <w:jc w:val="both"/>
        <w:rPr>
          <w:rFonts w:ascii="Palatino Linotype" w:hAnsi="Palatino Linotype"/>
          <w:bCs/>
          <w:sz w:val="24"/>
          <w:szCs w:val="24"/>
        </w:rPr>
      </w:pPr>
    </w:p>
    <w:p w14:paraId="6CFD4847" w14:textId="77777777" w:rsidR="0051725F" w:rsidRDefault="009F1AC5" w:rsidP="001C336E">
      <w:pPr>
        <w:spacing w:before="240"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la Tesorería es la unidad administrativa competente para realizar </w:t>
      </w:r>
      <w:r w:rsidR="00E06F00">
        <w:rPr>
          <w:rFonts w:ascii="Palatino Linotype" w:hAnsi="Palatino Linotype"/>
          <w:bCs/>
          <w:sz w:val="24"/>
          <w:szCs w:val="24"/>
        </w:rPr>
        <w:t xml:space="preserve">el registro de ingresos y egresos, así como la administración de la hacienda pública municipal. </w:t>
      </w:r>
    </w:p>
    <w:p w14:paraId="391B7FC5" w14:textId="77777777" w:rsidR="0051725F" w:rsidRDefault="00E06F00" w:rsidP="001C336E">
      <w:pPr>
        <w:spacing w:before="240" w:line="360" w:lineRule="auto"/>
        <w:jc w:val="both"/>
        <w:rPr>
          <w:rFonts w:ascii="Palatino Linotype" w:hAnsi="Palatino Linotype"/>
          <w:bCs/>
          <w:sz w:val="24"/>
          <w:szCs w:val="24"/>
        </w:rPr>
      </w:pPr>
      <w:r>
        <w:rPr>
          <w:rFonts w:ascii="Palatino Linotype" w:hAnsi="Palatino Linotype"/>
          <w:bCs/>
          <w:sz w:val="24"/>
          <w:szCs w:val="24"/>
        </w:rPr>
        <w:t xml:space="preserve">En contraste, la Dirección de Administración dirige la política de recursos humanos y elabora la nómina. </w:t>
      </w:r>
    </w:p>
    <w:p w14:paraId="6F296B15" w14:textId="30522E8E" w:rsidR="00E761C2" w:rsidRDefault="00E06F00" w:rsidP="001C336E">
      <w:pPr>
        <w:spacing w:before="240" w:line="360" w:lineRule="auto"/>
        <w:jc w:val="both"/>
        <w:rPr>
          <w:rFonts w:ascii="Palatino Linotype" w:hAnsi="Palatino Linotype"/>
          <w:bCs/>
          <w:sz w:val="24"/>
          <w:szCs w:val="24"/>
        </w:rPr>
      </w:pPr>
      <w:r>
        <w:rPr>
          <w:rFonts w:ascii="Palatino Linotype" w:hAnsi="Palatino Linotype"/>
          <w:bCs/>
          <w:sz w:val="24"/>
          <w:szCs w:val="24"/>
        </w:rPr>
        <w:t xml:space="preserve">Finalmente, la Dirección de Obras Públicas propone el programa </w:t>
      </w:r>
      <w:r w:rsidR="002D0C68">
        <w:rPr>
          <w:rFonts w:ascii="Palatino Linotype" w:hAnsi="Palatino Linotype"/>
          <w:bCs/>
          <w:sz w:val="24"/>
          <w:szCs w:val="24"/>
        </w:rPr>
        <w:t xml:space="preserve">anual </w:t>
      </w:r>
      <w:r>
        <w:rPr>
          <w:rFonts w:ascii="Palatino Linotype" w:hAnsi="Palatino Linotype"/>
          <w:bCs/>
          <w:sz w:val="24"/>
          <w:szCs w:val="24"/>
        </w:rPr>
        <w:t xml:space="preserve">de obras </w:t>
      </w:r>
      <w:r w:rsidR="002D0C68">
        <w:rPr>
          <w:rFonts w:ascii="Palatino Linotype" w:hAnsi="Palatino Linotype"/>
          <w:bCs/>
          <w:sz w:val="24"/>
          <w:szCs w:val="24"/>
        </w:rPr>
        <w:t xml:space="preserve">y sus modificaciones </w:t>
      </w:r>
      <w:r>
        <w:rPr>
          <w:rFonts w:ascii="Palatino Linotype" w:hAnsi="Palatino Linotype"/>
          <w:bCs/>
          <w:sz w:val="24"/>
          <w:szCs w:val="24"/>
        </w:rPr>
        <w:t>conforme a las prioridades municipales</w:t>
      </w:r>
      <w:r w:rsidR="002D0C68">
        <w:rPr>
          <w:rFonts w:ascii="Palatino Linotype" w:hAnsi="Palatino Linotype"/>
          <w:bCs/>
          <w:sz w:val="24"/>
          <w:szCs w:val="24"/>
        </w:rPr>
        <w:t>, éste último como uno de los documentos idóneos que refleja los indicadores aducidos por el particular (Obras</w:t>
      </w:r>
      <w:r w:rsidR="0051725F">
        <w:rPr>
          <w:rFonts w:ascii="Palatino Linotype" w:hAnsi="Palatino Linotype"/>
          <w:bCs/>
          <w:sz w:val="24"/>
          <w:szCs w:val="24"/>
        </w:rPr>
        <w:t xml:space="preserve"> en curso</w:t>
      </w:r>
      <w:r w:rsidR="002D0C68">
        <w:rPr>
          <w:rFonts w:ascii="Palatino Linotype" w:hAnsi="Palatino Linotype"/>
          <w:bCs/>
          <w:sz w:val="24"/>
          <w:szCs w:val="24"/>
        </w:rPr>
        <w:t>,</w:t>
      </w:r>
      <w:r w:rsidR="0051725F">
        <w:rPr>
          <w:rFonts w:ascii="Palatino Linotype" w:hAnsi="Palatino Linotype"/>
          <w:bCs/>
          <w:sz w:val="24"/>
          <w:szCs w:val="24"/>
        </w:rPr>
        <w:t xml:space="preserve"> obras programadas</w:t>
      </w:r>
      <w:r w:rsidR="002D0C68">
        <w:rPr>
          <w:rFonts w:ascii="Palatino Linotype" w:hAnsi="Palatino Linotype"/>
          <w:bCs/>
          <w:sz w:val="24"/>
          <w:szCs w:val="24"/>
        </w:rPr>
        <w:t xml:space="preserve"> presupuesto y forma de asignación). </w:t>
      </w:r>
    </w:p>
    <w:p w14:paraId="71447868" w14:textId="77777777" w:rsidR="009F1AC5" w:rsidRPr="00811D16" w:rsidRDefault="009F1AC5" w:rsidP="009F1AC5">
      <w:pPr>
        <w:spacing w:before="240" w:after="240" w:line="360" w:lineRule="auto"/>
        <w:jc w:val="both"/>
        <w:rPr>
          <w:rFonts w:ascii="Palatino Linotype" w:hAnsi="Palatino Linotype" w:cs="Arial"/>
          <w:sz w:val="24"/>
          <w:szCs w:val="24"/>
          <w:lang w:val="es-ES"/>
        </w:rPr>
      </w:pPr>
      <w:r>
        <w:rPr>
          <w:rFonts w:ascii="Palatino Linotype" w:hAnsi="Palatino Linotype" w:cs="Arial"/>
          <w:color w:val="000000"/>
          <w:sz w:val="24"/>
          <w:szCs w:val="24"/>
        </w:rPr>
        <w:t xml:space="preserve">De manera complementaria, </w:t>
      </w:r>
      <w:r w:rsidRPr="00811D16">
        <w:rPr>
          <w:rFonts w:ascii="Palatino Linotype" w:hAnsi="Palatino Linotype" w:cs="Arial"/>
          <w:color w:val="000000"/>
          <w:sz w:val="24"/>
          <w:szCs w:val="24"/>
        </w:rPr>
        <w:t xml:space="preserve"> toda vez que el particular solicita </w:t>
      </w:r>
      <w:r>
        <w:rPr>
          <w:rFonts w:ascii="Palatino Linotype" w:hAnsi="Palatino Linotype" w:cs="Arial"/>
          <w:color w:val="000000"/>
          <w:sz w:val="24"/>
          <w:szCs w:val="24"/>
        </w:rPr>
        <w:t>nómina general</w:t>
      </w:r>
      <w:r w:rsidRPr="00811D16">
        <w:rPr>
          <w:rFonts w:ascii="Palatino Linotype" w:hAnsi="Palatino Linotype" w:cs="Arial"/>
          <w:color w:val="000000"/>
          <w:sz w:val="24"/>
          <w:szCs w:val="24"/>
        </w:rPr>
        <w:t xml:space="preserve">,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w:t>
      </w:r>
      <w:r w:rsidRPr="00811D16">
        <w:rPr>
          <w:rFonts w:ascii="Palatino Linotype" w:hAnsi="Palatino Linotype" w:cs="Arial"/>
          <w:sz w:val="24"/>
          <w:szCs w:val="24"/>
          <w:lang w:val="es-ES"/>
        </w:rPr>
        <w:lastRenderedPageBreak/>
        <w:t>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ACC2284" w14:textId="77777777" w:rsidR="009F1AC5"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34552228" w14:textId="77777777" w:rsidR="009F1AC5" w:rsidRPr="00811D16" w:rsidRDefault="009F1AC5" w:rsidP="009F1AC5">
      <w:pPr>
        <w:spacing w:before="240" w:line="360" w:lineRule="auto"/>
        <w:ind w:left="851" w:right="851"/>
        <w:jc w:val="both"/>
        <w:rPr>
          <w:rFonts w:ascii="Palatino Linotype" w:hAnsi="Palatino Linotype" w:cs="Arial"/>
          <w:b/>
          <w:i/>
          <w:lang w:val="es-ES"/>
        </w:rPr>
      </w:pPr>
    </w:p>
    <w:p w14:paraId="410C2A47" w14:textId="77777777" w:rsidR="009F1AC5" w:rsidRPr="005E4EB4" w:rsidRDefault="009F1AC5" w:rsidP="009F1AC5">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0ABEC62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53C49045"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36DF998F"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3B12CB68" w14:textId="77777777" w:rsidR="009F1AC5" w:rsidRPr="00F975C8" w:rsidRDefault="009F1AC5" w:rsidP="009F1AC5">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5B12210F" w14:textId="77777777" w:rsidR="009F1AC5" w:rsidRDefault="009F1AC5" w:rsidP="009F1AC5">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lastRenderedPageBreak/>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618B12D7" w14:textId="77777777" w:rsidR="009F1AC5" w:rsidRDefault="009F1AC5" w:rsidP="009F1AC5">
      <w:pPr>
        <w:spacing w:before="240" w:line="360" w:lineRule="auto"/>
        <w:ind w:left="851" w:right="851"/>
        <w:jc w:val="both"/>
        <w:rPr>
          <w:rFonts w:ascii="Palatino Linotype" w:hAnsi="Palatino Linotype" w:cs="Arial"/>
          <w:b/>
          <w:i/>
          <w:szCs w:val="20"/>
          <w:lang w:eastAsia="es-MX"/>
        </w:rPr>
      </w:pPr>
    </w:p>
    <w:p w14:paraId="2F5EAC81" w14:textId="77777777" w:rsidR="009F1AC5" w:rsidRPr="005E4EB4" w:rsidRDefault="009F1AC5" w:rsidP="009F1AC5">
      <w:pPr>
        <w:tabs>
          <w:tab w:val="right" w:leader="dot" w:pos="8505"/>
        </w:tabs>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efecto</w:t>
      </w:r>
      <w:r w:rsidRPr="005E4EB4">
        <w:rPr>
          <w:rFonts w:ascii="Palatino Linotype" w:hAnsi="Palatino Linotype" w:cs="Arial"/>
          <w:sz w:val="24"/>
          <w:szCs w:val="24"/>
          <w:lang w:eastAsia="es-MX"/>
        </w:rPr>
        <w:t xml:space="preserve">, es dable concluir que </w:t>
      </w:r>
      <w:r>
        <w:rPr>
          <w:rFonts w:ascii="Palatino Linotype" w:hAnsi="Palatino Linotype" w:cs="Arial"/>
          <w:sz w:val="24"/>
          <w:szCs w:val="24"/>
          <w:lang w:eastAsia="es-MX"/>
        </w:rPr>
        <w:t>la</w:t>
      </w:r>
      <w:r w:rsidRPr="005E4EB4">
        <w:rPr>
          <w:rFonts w:ascii="Palatino Linotype" w:hAnsi="Palatino Linotype" w:cs="Arial"/>
          <w:sz w:val="24"/>
          <w:szCs w:val="24"/>
          <w:lang w:eastAsia="es-MX"/>
        </w:rPr>
        <w:t xml:space="preserve"> nómina</w:t>
      </w:r>
      <w:r>
        <w:rPr>
          <w:rFonts w:ascii="Palatino Linotype" w:hAnsi="Palatino Linotype" w:cs="Arial"/>
          <w:sz w:val="24"/>
          <w:szCs w:val="24"/>
          <w:lang w:eastAsia="es-MX"/>
        </w:rPr>
        <w:t xml:space="preserve"> general</w:t>
      </w:r>
      <w:r w:rsidRPr="005E4EB4">
        <w:rPr>
          <w:rFonts w:ascii="Palatino Linotype" w:hAnsi="Palatino Linotype" w:cs="Arial"/>
          <w:sz w:val="24"/>
          <w:szCs w:val="24"/>
          <w:lang w:eastAsia="es-MX"/>
        </w:rPr>
        <w:t>,</w:t>
      </w:r>
      <w:r>
        <w:rPr>
          <w:rFonts w:ascii="Palatino Linotype" w:hAnsi="Palatino Linotype" w:cs="Arial"/>
          <w:sz w:val="24"/>
          <w:szCs w:val="24"/>
          <w:lang w:eastAsia="es-MX"/>
        </w:rPr>
        <w:t xml:space="preserve"> consiste</w:t>
      </w:r>
      <w:r w:rsidRPr="005E4EB4">
        <w:rPr>
          <w:rFonts w:ascii="Palatino Linotype" w:hAnsi="Palatino Linotype" w:cs="Arial"/>
          <w:sz w:val="24"/>
          <w:szCs w:val="24"/>
          <w:lang w:eastAsia="es-MX"/>
        </w:rPr>
        <w:t xml:space="preserve"> en un registro conformado por el conjunto de trabajadores a los cuales se les va a remunerar por los </w:t>
      </w:r>
      <w:hyperlink r:id="rId10"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5E0CA801" w14:textId="77777777"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Luego entonces,</w:t>
      </w:r>
      <w:r w:rsidRPr="005E4EB4">
        <w:rPr>
          <w:rFonts w:ascii="Palatino Linotype" w:hAnsi="Palatino Linotype" w:cs="Arial"/>
          <w:sz w:val="24"/>
          <w:szCs w:val="24"/>
        </w:rPr>
        <w:t xml:space="preserve"> en dicho precepto legal, se puede llegar a la conclusión de que </w:t>
      </w:r>
      <w:r>
        <w:rPr>
          <w:rFonts w:ascii="Palatino Linotype" w:hAnsi="Palatino Linotype" w:cs="Arial"/>
          <w:sz w:val="24"/>
          <w:szCs w:val="24"/>
        </w:rPr>
        <w:t xml:space="preserve">la </w:t>
      </w:r>
      <w:r w:rsidRPr="005E4EB4">
        <w:rPr>
          <w:rFonts w:ascii="Palatino Linotype" w:hAnsi="Palatino Linotype" w:cs="Arial"/>
          <w:sz w:val="24"/>
          <w:szCs w:val="24"/>
        </w:rPr>
        <w:t>nómina</w:t>
      </w:r>
      <w:r>
        <w:rPr>
          <w:rFonts w:ascii="Palatino Linotype" w:hAnsi="Palatino Linotype" w:cs="Arial"/>
          <w:sz w:val="24"/>
          <w:szCs w:val="24"/>
        </w:rPr>
        <w:t xml:space="preserve"> general, consiste</w:t>
      </w:r>
      <w:r w:rsidRPr="005E4EB4">
        <w:rPr>
          <w:rFonts w:ascii="Palatino Linotype" w:hAnsi="Palatino Linotype" w:cs="Arial"/>
          <w:sz w:val="24"/>
          <w:szCs w:val="24"/>
        </w:rPr>
        <w:t xml:space="preserve"> en un registro conformado por el conjunto de trabajadores a los cuales se les va a remunerar por los servicios que éstos le prestan al patrón, en el cual se asientan las percepciones brutas, deducciones y el neto a recibir de dichos trabajadores.</w:t>
      </w:r>
    </w:p>
    <w:p w14:paraId="269611B8" w14:textId="77777777" w:rsidR="009F1AC5" w:rsidRPr="005E4EB4" w:rsidRDefault="009F1AC5" w:rsidP="009F1AC5">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 xml:space="preserve">En relación a ello, el artículo 50 de la Ley del Trabajo de los Servidores Públicos </w:t>
      </w:r>
      <w:r>
        <w:rPr>
          <w:rFonts w:ascii="Palatino Linotype" w:hAnsi="Palatino Linotype" w:cs="Arial"/>
          <w:sz w:val="24"/>
          <w:szCs w:val="24"/>
        </w:rPr>
        <w:t>del Estado y Municipios, dispone a la literalidad:</w:t>
      </w:r>
    </w:p>
    <w:p w14:paraId="66329423"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i/>
        </w:rPr>
        <w:t>“</w:t>
      </w:r>
      <w:r w:rsidRPr="00F975C8">
        <w:rPr>
          <w:rFonts w:ascii="Palatino Linotype" w:hAnsi="Palatino Linotype"/>
          <w:b/>
          <w:i/>
        </w:rPr>
        <w:t>ARTÍCULO 50</w:t>
      </w:r>
      <w:r w:rsidRPr="00F975C8">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3D69E9D1" w14:textId="77777777" w:rsidR="009F1AC5"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i/>
        </w:rPr>
        <w:lastRenderedPageBreak/>
        <w:t xml:space="preserve">Iguales consecuencias se generarán para todos </w:t>
      </w:r>
      <w:r w:rsidRPr="0039245A">
        <w:rPr>
          <w:rFonts w:ascii="Palatino Linotype" w:hAnsi="Palatino Linotype"/>
          <w:i/>
          <w:u w:val="single"/>
        </w:rPr>
        <w:t xml:space="preserve">los </w:t>
      </w:r>
      <w:r w:rsidRPr="0039245A">
        <w:rPr>
          <w:rFonts w:ascii="Palatino Linotype" w:hAnsi="Palatino Linotype"/>
          <w:b/>
          <w:i/>
          <w:u w:val="single"/>
        </w:rPr>
        <w:t>servidores públicos, cuando la relación de trabajo se formalice mediante un contrato o por encontrarse en lista de raya</w:t>
      </w:r>
      <w:r w:rsidRPr="0039245A">
        <w:rPr>
          <w:rFonts w:ascii="Palatino Linotype" w:hAnsi="Palatino Linotype"/>
          <w:i/>
          <w:u w:val="single"/>
        </w:rPr>
        <w:t>.”</w:t>
      </w:r>
      <w:r>
        <w:rPr>
          <w:rFonts w:ascii="Palatino Linotype" w:hAnsi="Palatino Linotype"/>
          <w:i/>
        </w:rPr>
        <w:t xml:space="preserve"> </w:t>
      </w:r>
      <w:r>
        <w:rPr>
          <w:rFonts w:ascii="Palatino Linotype" w:hAnsi="Palatino Linotype"/>
          <w:b/>
          <w:i/>
        </w:rPr>
        <w:t>[Sic]</w:t>
      </w:r>
    </w:p>
    <w:p w14:paraId="0BE0AD15" w14:textId="77777777" w:rsidR="00EC7A70" w:rsidRDefault="00EC7A70" w:rsidP="009F1AC5">
      <w:pPr>
        <w:spacing w:before="240" w:after="360" w:line="360" w:lineRule="auto"/>
        <w:ind w:right="49"/>
        <w:jc w:val="both"/>
        <w:rPr>
          <w:rFonts w:ascii="Palatino Linotype" w:hAnsi="Palatino Linotype" w:cs="Arial"/>
          <w:sz w:val="24"/>
          <w:szCs w:val="24"/>
        </w:rPr>
      </w:pPr>
    </w:p>
    <w:p w14:paraId="4868C503" w14:textId="270F2A90" w:rsidR="009F1AC5" w:rsidRPr="005E4EB4" w:rsidRDefault="009F1AC5" w:rsidP="009F1AC5">
      <w:pPr>
        <w:spacing w:before="240" w:after="360" w:line="360" w:lineRule="auto"/>
        <w:ind w:right="49"/>
        <w:jc w:val="both"/>
        <w:rPr>
          <w:rFonts w:ascii="Palatino Linotype" w:hAnsi="Palatino Linotype" w:cs="Arial"/>
          <w:sz w:val="24"/>
          <w:szCs w:val="24"/>
        </w:rPr>
      </w:pPr>
      <w:r>
        <w:rPr>
          <w:rFonts w:ascii="Palatino Linotype" w:hAnsi="Palatino Linotype" w:cs="Arial"/>
          <w:sz w:val="24"/>
          <w:szCs w:val="24"/>
        </w:rPr>
        <w:t>En virtud de lo anterior</w:t>
      </w:r>
      <w:r w:rsidRPr="005E4EB4">
        <w:rPr>
          <w:rFonts w:ascii="Palatino Linotype" w:hAnsi="Palatino Linotype" w:cs="Arial"/>
          <w:sz w:val="24"/>
          <w:szCs w:val="24"/>
        </w:rPr>
        <w:t>, se advierte que la relación laboral entre un servidor público y el Estado se formaliza mediante nombramiento, contrato, formato único de movimientos de personal o por encontrarse en lista de raya.</w:t>
      </w:r>
      <w:r>
        <w:rPr>
          <w:rFonts w:ascii="Palatino Linotype" w:hAnsi="Palatino Linotype" w:cs="Arial"/>
          <w:sz w:val="24"/>
          <w:szCs w:val="24"/>
        </w:rPr>
        <w:t xml:space="preserve"> </w:t>
      </w:r>
      <w:r w:rsidRPr="005E4EB4">
        <w:rPr>
          <w:rFonts w:ascii="Palatino Linotype" w:hAnsi="Palatino Linotype" w:cs="Arial"/>
          <w:sz w:val="24"/>
          <w:szCs w:val="24"/>
        </w:rPr>
        <w:t>Bajo esta óptica, tratándose de servidores públicos de los Municipios la Ley del Trabajo de los Servidores Públicos del Estado y Municipios, en su artículo 220-K, establece lo siguiente:</w:t>
      </w:r>
    </w:p>
    <w:p w14:paraId="765AEE43"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197368F1"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B8DAEE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w:t>
      </w:r>
      <w:r w:rsidRPr="00F9164E">
        <w:rPr>
          <w:rFonts w:ascii="Palatino Linotype" w:hAnsi="Palatino Linotype"/>
          <w:b/>
          <w:i/>
          <w:u w:val="single"/>
        </w:rPr>
        <w:t xml:space="preserve">Recibos de pagos de salarios </w:t>
      </w:r>
      <w:r w:rsidRPr="0039245A">
        <w:rPr>
          <w:rFonts w:ascii="Palatino Linotype" w:hAnsi="Palatino Linotype"/>
          <w:b/>
          <w:i/>
          <w:u w:val="single"/>
        </w:rPr>
        <w:t xml:space="preserve">o las constancias documentales del pago de salario </w:t>
      </w:r>
      <w:r w:rsidRPr="00F975C8">
        <w:rPr>
          <w:rFonts w:ascii="Palatino Linotype" w:hAnsi="Palatino Linotype"/>
          <w:bCs/>
          <w:i/>
        </w:rPr>
        <w:t>cuando sea por depósito o mediante información electrónica;</w:t>
      </w:r>
    </w:p>
    <w:p w14:paraId="057BCD75"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7985A697" w14:textId="77777777" w:rsidR="009F1AC5" w:rsidRPr="00F975C8" w:rsidRDefault="009F1AC5" w:rsidP="009F1AC5">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1754EBB0" w14:textId="77777777" w:rsidR="009F1AC5" w:rsidRDefault="009F1AC5" w:rsidP="009F1AC5">
      <w:pPr>
        <w:tabs>
          <w:tab w:val="left" w:pos="9072"/>
        </w:tabs>
        <w:spacing w:before="240" w:line="360" w:lineRule="auto"/>
        <w:ind w:left="851" w:right="902"/>
        <w:jc w:val="both"/>
        <w:rPr>
          <w:rFonts w:ascii="Palatino Linotype" w:hAnsi="Palatino Linotype"/>
          <w:b/>
          <w:bCs/>
          <w:i/>
        </w:rPr>
      </w:pPr>
      <w:r w:rsidRPr="00F975C8">
        <w:rPr>
          <w:rFonts w:ascii="Palatino Linotype" w:hAnsi="Palatino Linotype"/>
          <w:bCs/>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2FE28A18" w14:textId="77777777" w:rsidR="009F1AC5" w:rsidRDefault="009F1AC5" w:rsidP="009F1AC5">
      <w:pPr>
        <w:tabs>
          <w:tab w:val="left" w:pos="9072"/>
        </w:tabs>
        <w:spacing w:before="240" w:line="360" w:lineRule="auto"/>
        <w:ind w:left="851" w:right="902"/>
        <w:jc w:val="both"/>
        <w:rPr>
          <w:rFonts w:ascii="Palatino Linotype" w:hAnsi="Palatino Linotype"/>
          <w:b/>
          <w:bCs/>
          <w:i/>
        </w:rPr>
      </w:pPr>
    </w:p>
    <w:p w14:paraId="20D87551" w14:textId="77777777" w:rsidR="009F1AC5" w:rsidRPr="007658D5" w:rsidRDefault="009F1AC5" w:rsidP="009F1AC5">
      <w:pPr>
        <w:spacing w:before="240" w:after="240" w:line="360" w:lineRule="auto"/>
        <w:ind w:right="49"/>
        <w:jc w:val="both"/>
        <w:rPr>
          <w:rFonts w:ascii="Palatino Linotype" w:hAnsi="Palatino Linotype" w:cs="Arial"/>
          <w:sz w:val="24"/>
          <w:szCs w:val="24"/>
        </w:rPr>
      </w:pPr>
      <w:r>
        <w:rPr>
          <w:rFonts w:ascii="Palatino Linotype" w:hAnsi="Palatino Linotype" w:cs="Arial"/>
          <w:sz w:val="24"/>
          <w:szCs w:val="24"/>
        </w:rPr>
        <w:t>En suma</w:t>
      </w:r>
      <w:r w:rsidRPr="007658D5">
        <w:rPr>
          <w:rFonts w:ascii="Palatino Linotype" w:hAnsi="Palatino Linotype" w:cs="Arial"/>
          <w:sz w:val="24"/>
          <w:szCs w:val="24"/>
        </w:rPr>
        <w:t>,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2B19598D" w14:textId="77777777" w:rsidR="009F1AC5" w:rsidRPr="007658D5" w:rsidRDefault="009F1AC5" w:rsidP="009F1AC5">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068D47C0"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750635D6"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0A4C4F94" w14:textId="77777777" w:rsidR="009F1AC5" w:rsidRPr="000A0968" w:rsidRDefault="009F1AC5" w:rsidP="009F1AC5">
      <w:pPr>
        <w:numPr>
          <w:ilvl w:val="0"/>
          <w:numId w:val="12"/>
        </w:numPr>
        <w:autoSpaceDE w:val="0"/>
        <w:autoSpaceDN w:val="0"/>
        <w:adjustRightInd w:val="0"/>
        <w:spacing w:before="240" w:line="360" w:lineRule="auto"/>
        <w:ind w:left="851" w:right="851" w:firstLine="0"/>
        <w:jc w:val="both"/>
        <w:rPr>
          <w:rFonts w:ascii="Palatino Linotype" w:hAnsi="Palatino Linotype" w:cs="Arial"/>
          <w:b/>
          <w:i/>
          <w:u w:val="single"/>
          <w:lang w:eastAsia="es-MX"/>
        </w:rPr>
      </w:pPr>
      <w:r w:rsidRPr="000A0968">
        <w:rPr>
          <w:rFonts w:ascii="Palatino Linotype" w:hAnsi="Palatino Linotype" w:cs="Arial"/>
          <w:b/>
          <w:i/>
          <w:u w:val="single"/>
          <w:lang w:eastAsia="es-MX"/>
        </w:rPr>
        <w:t>Los municipios del Estado de México;</w:t>
      </w:r>
    </w:p>
    <w:p w14:paraId="2C95858F" w14:textId="77777777" w:rsidR="009F1AC5" w:rsidRDefault="009F1AC5" w:rsidP="009F1AC5">
      <w:pPr>
        <w:autoSpaceDE w:val="0"/>
        <w:autoSpaceDN w:val="0"/>
        <w:adjustRightInd w:val="0"/>
        <w:spacing w:before="240" w:line="360" w:lineRule="auto"/>
        <w:ind w:left="851" w:right="851"/>
        <w:jc w:val="both"/>
        <w:rPr>
          <w:rFonts w:ascii="Palatino Linotype" w:hAnsi="Palatino Linotype" w:cs="Arial"/>
          <w:b/>
          <w:i/>
          <w:lang w:eastAsia="es-MX"/>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7F31798A" w14:textId="77777777" w:rsidR="009F1AC5" w:rsidRPr="007658D5" w:rsidRDefault="009F1AC5" w:rsidP="009F1AC5">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2810A4FC" w14:textId="77777777" w:rsidR="009F1AC5" w:rsidRPr="003E0BC5" w:rsidRDefault="009F1AC5" w:rsidP="009F1AC5">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 xml:space="preserve">Lineamientos para la Integración del Informe </w:t>
      </w:r>
      <w:r w:rsidRPr="003E0BC5">
        <w:rPr>
          <w:rStyle w:val="apple-style-span"/>
          <w:rFonts w:ascii="Palatino Linotype" w:hAnsi="Palatino Linotype" w:cs="Arial"/>
          <w:b/>
          <w:color w:val="000000"/>
          <w:sz w:val="24"/>
          <w:szCs w:val="24"/>
        </w:rPr>
        <w:lastRenderedPageBreak/>
        <w:t>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21962925" w14:textId="77777777"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7CD2EAA1" w14:textId="5A1610B2" w:rsidR="009F1AC5" w:rsidRPr="00F975C8" w:rsidRDefault="009F1AC5" w:rsidP="009F1AC5">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00EC7A70">
        <w:rPr>
          <w:rFonts w:ascii="Palatino Linotype" w:hAnsi="Palatino Linotype" w:cs="Arial"/>
          <w:i/>
        </w:rPr>
        <w:t>”</w:t>
      </w:r>
      <w:r w:rsidR="00EC7A70" w:rsidRPr="00EC7A70">
        <w:rPr>
          <w:rStyle w:val="apple-style-span"/>
          <w:rFonts w:ascii="Palatino Linotype" w:hAnsi="Palatino Linotype" w:cs="Arial"/>
          <w:b/>
          <w:i/>
          <w:color w:val="000000"/>
        </w:rPr>
        <w:t xml:space="preserve"> </w:t>
      </w:r>
      <w:r w:rsidR="00EC7A70" w:rsidRPr="003E0BC5">
        <w:rPr>
          <w:rStyle w:val="apple-style-span"/>
          <w:rFonts w:ascii="Palatino Linotype" w:hAnsi="Palatino Linotype" w:cs="Arial"/>
          <w:b/>
          <w:i/>
          <w:color w:val="000000"/>
        </w:rPr>
        <w:t>[Sic]</w:t>
      </w:r>
    </w:p>
    <w:p w14:paraId="4694EB15" w14:textId="77777777" w:rsidR="009F1AC5" w:rsidRPr="003E0BC5" w:rsidRDefault="009F1AC5" w:rsidP="009F1AC5">
      <w:pPr>
        <w:autoSpaceDE w:val="0"/>
        <w:autoSpaceDN w:val="0"/>
        <w:adjustRightInd w:val="0"/>
        <w:ind w:left="567" w:right="618"/>
        <w:jc w:val="both"/>
        <w:rPr>
          <w:rStyle w:val="apple-style-span"/>
          <w:rFonts w:ascii="Palatino Linotype" w:hAnsi="Palatino Linotype" w:cs="Arial"/>
          <w:b/>
          <w:bCs/>
          <w:i/>
          <w:color w:val="000000"/>
        </w:rPr>
      </w:pPr>
    </w:p>
    <w:p w14:paraId="46DC1A64" w14:textId="15787526" w:rsidR="009F1AC5" w:rsidRPr="003E0BC5" w:rsidRDefault="009F1AC5" w:rsidP="009F1AC5">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r w:rsidR="00EC7A70">
        <w:rPr>
          <w:rFonts w:ascii="Palatino Linotype" w:hAnsi="Palatino Linotype"/>
          <w:sz w:val="24"/>
          <w:szCs w:val="24"/>
        </w:rPr>
        <w:t xml:space="preserve"> </w:t>
      </w: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04ED4CAB" w14:textId="77777777" w:rsidR="009F1AC5" w:rsidRPr="00F975C8" w:rsidRDefault="009F1AC5" w:rsidP="009F1AC5">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1EA2FA8A" w14:textId="77777777" w:rsidR="009F1AC5" w:rsidRPr="00A535E3" w:rsidRDefault="009F1AC5" w:rsidP="009F1AC5">
      <w:pPr>
        <w:spacing w:before="240" w:line="360" w:lineRule="auto"/>
        <w:ind w:left="851" w:right="851"/>
        <w:jc w:val="both"/>
        <w:rPr>
          <w:rFonts w:ascii="Palatino Linotype" w:hAnsi="Palatino Linotype"/>
          <w:b/>
          <w:i/>
        </w:rPr>
      </w:pPr>
      <w:r w:rsidRPr="00F975C8">
        <w:rPr>
          <w:rFonts w:ascii="Palatino Linotype" w:hAnsi="Palatino Linotype"/>
          <w:b/>
          <w:i/>
        </w:rPr>
        <w:lastRenderedPageBreak/>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r>
        <w:rPr>
          <w:rFonts w:ascii="Palatino Linotype" w:hAnsi="Palatino Linotype"/>
          <w:b/>
          <w:i/>
          <w:u w:val="single"/>
        </w:rPr>
        <w:t xml:space="preserve"> </w:t>
      </w:r>
      <w:r>
        <w:rPr>
          <w:rFonts w:ascii="Palatino Linotype" w:hAnsi="Palatino Linotype"/>
          <w:b/>
          <w:i/>
        </w:rPr>
        <w:t>[Sic]</w:t>
      </w:r>
    </w:p>
    <w:p w14:paraId="6D723F5F" w14:textId="77777777" w:rsidR="009F1AC5" w:rsidRPr="00F975C8" w:rsidRDefault="009F1AC5" w:rsidP="009F1AC5">
      <w:pPr>
        <w:ind w:left="851" w:right="758"/>
        <w:jc w:val="both"/>
        <w:rPr>
          <w:rFonts w:ascii="Palatino Linotype" w:hAnsi="Palatino Linotype"/>
          <w:i/>
        </w:rPr>
      </w:pPr>
    </w:p>
    <w:p w14:paraId="432C2F44" w14:textId="7B812E43" w:rsidR="009F1AC5" w:rsidRPr="003E0BC5" w:rsidRDefault="009F1AC5" w:rsidP="002D0C68">
      <w:pPr>
        <w:spacing w:before="240" w:after="240" w:line="360" w:lineRule="auto"/>
        <w:ind w:right="-91"/>
        <w:jc w:val="both"/>
        <w:rPr>
          <w:rFonts w:ascii="Palatino Linotype" w:hAnsi="Palatino Linotype" w:cs="Arial"/>
          <w:sz w:val="24"/>
          <w:szCs w:val="24"/>
          <w:lang w:val="es-ES"/>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r w:rsidR="002D0C68">
        <w:rPr>
          <w:rFonts w:ascii="Palatino Linotype" w:hAnsi="Palatino Linotype"/>
          <w:sz w:val="24"/>
          <w:szCs w:val="24"/>
        </w:rPr>
        <w:t xml:space="preserve"> </w:t>
      </w:r>
      <w:r w:rsidRPr="003E0BC5">
        <w:rPr>
          <w:rFonts w:ascii="Palatino Linotype" w:hAnsi="Palatino Linotype" w:cs="Arial"/>
          <w:sz w:val="24"/>
          <w:szCs w:val="24"/>
          <w:lang w:val="es-ES"/>
        </w:rPr>
        <w:t xml:space="preserve">Una vez puntualizado esto, se advierte que la nómina </w:t>
      </w:r>
      <w:r>
        <w:rPr>
          <w:rFonts w:ascii="Palatino Linotype" w:hAnsi="Palatino Linotype" w:cs="Arial"/>
          <w:sz w:val="24"/>
          <w:szCs w:val="24"/>
          <w:lang w:val="es-ES"/>
        </w:rPr>
        <w:t xml:space="preserve">general </w:t>
      </w:r>
      <w:r w:rsidRPr="003E0BC5">
        <w:rPr>
          <w:rFonts w:ascii="Palatino Linotype" w:hAnsi="Palatino Linotype" w:cs="Arial"/>
          <w:sz w:val="24"/>
          <w:szCs w:val="24"/>
          <w:lang w:val="es-ES"/>
        </w:rPr>
        <w:t xml:space="preserve">contiene la información relativa a las remuneraciones de los servidores públicos. </w:t>
      </w:r>
    </w:p>
    <w:p w14:paraId="111E2D5B" w14:textId="77777777" w:rsidR="009F1AC5" w:rsidRDefault="009F1AC5" w:rsidP="009F1AC5">
      <w:pPr>
        <w:spacing w:before="240" w:after="240" w:line="360" w:lineRule="auto"/>
        <w:jc w:val="both"/>
        <w:rPr>
          <w:rFonts w:ascii="Palatino Linotype" w:hAnsi="Palatino Linotype"/>
          <w:color w:val="000000"/>
          <w:sz w:val="24"/>
          <w:szCs w:val="24"/>
          <w:lang w:val="es-ES"/>
        </w:rPr>
      </w:pPr>
      <w:r w:rsidRPr="003E0BC5">
        <w:rPr>
          <w:rFonts w:ascii="Palatino Linotype" w:hAnsi="Palatino Linotype"/>
          <w:sz w:val="24"/>
          <w:szCs w:val="24"/>
        </w:rPr>
        <w:t xml:space="preserve">Aunado a lo anterior, </w:t>
      </w:r>
      <w:r w:rsidRPr="003E0BC5">
        <w:rPr>
          <w:rFonts w:ascii="Palatino Linotype" w:hAnsi="Palatino Linotype" w:cs="Arial"/>
          <w:color w:val="000000"/>
          <w:sz w:val="24"/>
          <w:szCs w:val="24"/>
          <w:lang w:val="es-ES"/>
        </w:rPr>
        <w:t>l</w:t>
      </w:r>
      <w:r w:rsidRPr="003E0BC5">
        <w:rPr>
          <w:rFonts w:ascii="Palatino Linotype" w:hAnsi="Palatino Linotype"/>
          <w:color w:val="000000"/>
          <w:sz w:val="24"/>
          <w:szCs w:val="24"/>
          <w:lang w:val="es-ES"/>
        </w:rPr>
        <w:t>os Lineamientos para la Inte</w:t>
      </w:r>
      <w:r>
        <w:rPr>
          <w:rFonts w:ascii="Palatino Linotype" w:hAnsi="Palatino Linotype"/>
          <w:color w:val="000000"/>
          <w:sz w:val="24"/>
          <w:szCs w:val="24"/>
          <w:lang w:val="es-ES"/>
        </w:rPr>
        <w:t>gración del Informe Trimestral 2021</w:t>
      </w:r>
      <w:r w:rsidRPr="003E0BC5">
        <w:rPr>
          <w:rFonts w:ascii="Palatino Linotype" w:hAnsi="Palatino Linotype"/>
          <w:color w:val="000000"/>
          <w:sz w:val="24"/>
          <w:szCs w:val="24"/>
          <w:lang w:val="es-ES"/>
        </w:rPr>
        <w:t xml:space="preserve">, visibles en la página oficial del Órgano Superior de Fiscalización del Estado de México (OSFEM) en el sitio de internet:  </w:t>
      </w:r>
    </w:p>
    <w:p w14:paraId="4DBEB3E1" w14:textId="77777777" w:rsidR="009F1AC5" w:rsidRDefault="008919EC" w:rsidP="009F1AC5">
      <w:pPr>
        <w:spacing w:before="240" w:after="240" w:line="360" w:lineRule="auto"/>
        <w:jc w:val="both"/>
        <w:rPr>
          <w:rStyle w:val="Hipervnculo"/>
          <w:rFonts w:ascii="Palatino Linotype" w:hAnsi="Palatino Linotype"/>
          <w:sz w:val="24"/>
          <w:szCs w:val="24"/>
          <w:lang w:val="es-ES"/>
        </w:rPr>
      </w:pPr>
      <w:hyperlink r:id="rId11" w:history="1">
        <w:r w:rsidR="009F1AC5" w:rsidRPr="003A6800">
          <w:rPr>
            <w:rStyle w:val="Hipervnculo"/>
            <w:rFonts w:ascii="Palatino Linotype" w:hAnsi="Palatino Linotype"/>
            <w:sz w:val="24"/>
            <w:szCs w:val="24"/>
            <w:lang w:val="es-ES"/>
          </w:rPr>
          <w:t>https://www.osfem.gob.mx/04_Iconografia/Ent_Fisc/Doc_Apoy/doc/2021/03_Presentacion_Mpal.pdf</w:t>
        </w:r>
      </w:hyperlink>
    </w:p>
    <w:p w14:paraId="2807A4F1" w14:textId="067AF401" w:rsidR="009F1AC5" w:rsidRDefault="009F1AC5" w:rsidP="009F1AC5">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Donde se destaca que dentro de los informes trimestrales que </w:t>
      </w:r>
      <w:r>
        <w:rPr>
          <w:rFonts w:ascii="Palatino Linotype" w:hAnsi="Palatino Linotype"/>
          <w:b/>
          <w:sz w:val="24"/>
          <w:szCs w:val="24"/>
        </w:rPr>
        <w:t xml:space="preserve">El Sujeto Obligado </w:t>
      </w:r>
      <w:r>
        <w:rPr>
          <w:rFonts w:ascii="Palatino Linotype" w:hAnsi="Palatino Linotype"/>
          <w:sz w:val="24"/>
          <w:szCs w:val="24"/>
        </w:rPr>
        <w:t xml:space="preserve">tiene la obligación de rendir, se contempla precisamente la presentación de la información referente a la Nómina general, tal como se demuestra en las siguientes imágenes ilustrativas: </w:t>
      </w:r>
    </w:p>
    <w:p w14:paraId="484F8219" w14:textId="77777777" w:rsidR="009F1AC5" w:rsidRDefault="009F1AC5" w:rsidP="009F1AC5">
      <w:pPr>
        <w:autoSpaceDE w:val="0"/>
        <w:autoSpaceDN w:val="0"/>
        <w:adjustRightInd w:val="0"/>
        <w:spacing w:before="240" w:line="360" w:lineRule="auto"/>
        <w:jc w:val="both"/>
        <w:rPr>
          <w:rFonts w:ascii="Palatino Linotype" w:hAnsi="Palatino Linotype" w:cs="Arial"/>
          <w:sz w:val="24"/>
          <w:szCs w:val="24"/>
        </w:rPr>
      </w:pPr>
    </w:p>
    <w:p w14:paraId="2EE875E3" w14:textId="77777777" w:rsidR="009F1AC5" w:rsidRDefault="009F1AC5" w:rsidP="009F1AC5">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3840" behindDoc="0" locked="0" layoutInCell="1" allowOverlap="1" wp14:anchorId="2F7AB40D" wp14:editId="115A355C">
            <wp:simplePos x="0" y="0"/>
            <wp:positionH relativeFrom="margin">
              <wp:align>right</wp:align>
            </wp:positionH>
            <wp:positionV relativeFrom="paragraph">
              <wp:posOffset>3824706</wp:posOffset>
            </wp:positionV>
            <wp:extent cx="5721350" cy="3521075"/>
            <wp:effectExtent l="19050" t="19050" r="12700" b="22225"/>
            <wp:wrapThrough wrapText="bothSides">
              <wp:wrapPolygon edited="0">
                <wp:start x="-72" y="-117"/>
                <wp:lineTo x="-72" y="21619"/>
                <wp:lineTo x="21576" y="21619"/>
                <wp:lineTo x="21576" y="-117"/>
                <wp:lineTo x="-72" y="-117"/>
              </wp:wrapPolygon>
            </wp:wrapThrough>
            <wp:docPr id="15" name="Imagen 1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descr="A picture containing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686912" behindDoc="0" locked="0" layoutInCell="1" allowOverlap="1" wp14:anchorId="4CBDCDB5" wp14:editId="288976F1">
            <wp:simplePos x="0" y="0"/>
            <wp:positionH relativeFrom="margin">
              <wp:align>right</wp:align>
            </wp:positionH>
            <wp:positionV relativeFrom="paragraph">
              <wp:posOffset>19381</wp:posOffset>
            </wp:positionV>
            <wp:extent cx="5734050" cy="3521075"/>
            <wp:effectExtent l="19050" t="19050" r="19050" b="22225"/>
            <wp:wrapThrough wrapText="bothSides">
              <wp:wrapPolygon edited="0">
                <wp:start x="-72" y="-117"/>
                <wp:lineTo x="-72" y="21619"/>
                <wp:lineTo x="21600" y="21619"/>
                <wp:lineTo x="21600" y="-117"/>
                <wp:lineTo x="-72" y="-117"/>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FF532B" w14:textId="77777777" w:rsidR="009F1AC5" w:rsidRDefault="009F1AC5" w:rsidP="009F1AC5">
      <w:pPr>
        <w:autoSpaceDE w:val="0"/>
        <w:autoSpaceDN w:val="0"/>
        <w:adjustRightInd w:val="0"/>
        <w:spacing w:line="360" w:lineRule="auto"/>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85888" behindDoc="0" locked="0" layoutInCell="1" allowOverlap="1" wp14:anchorId="3CA4BB64" wp14:editId="16B5BBE1">
            <wp:simplePos x="0" y="0"/>
            <wp:positionH relativeFrom="column">
              <wp:posOffset>-77064</wp:posOffset>
            </wp:positionH>
            <wp:positionV relativeFrom="paragraph">
              <wp:posOffset>3795446</wp:posOffset>
            </wp:positionV>
            <wp:extent cx="5708650" cy="3521075"/>
            <wp:effectExtent l="19050" t="19050" r="25400" b="22225"/>
            <wp:wrapThrough wrapText="bothSides">
              <wp:wrapPolygon edited="0">
                <wp:start x="-72" y="-117"/>
                <wp:lineTo x="-72" y="21619"/>
                <wp:lineTo x="21624" y="21619"/>
                <wp:lineTo x="21624" y="-117"/>
                <wp:lineTo x="-72" y="-117"/>
              </wp:wrapPolygon>
            </wp:wrapThrough>
            <wp:docPr id="12" name="Imagen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eastAsia="es-MX"/>
        </w:rPr>
        <w:drawing>
          <wp:anchor distT="0" distB="0" distL="114300" distR="114300" simplePos="0" relativeHeight="251684864" behindDoc="0" locked="0" layoutInCell="1" allowOverlap="1" wp14:anchorId="54F56454" wp14:editId="6516D031">
            <wp:simplePos x="0" y="0"/>
            <wp:positionH relativeFrom="margin">
              <wp:posOffset>-97993</wp:posOffset>
            </wp:positionH>
            <wp:positionV relativeFrom="paragraph">
              <wp:posOffset>19380</wp:posOffset>
            </wp:positionV>
            <wp:extent cx="5721350" cy="3521075"/>
            <wp:effectExtent l="19050" t="19050" r="12700" b="22225"/>
            <wp:wrapThrough wrapText="bothSides">
              <wp:wrapPolygon edited="0">
                <wp:start x="-72" y="-117"/>
                <wp:lineTo x="-72" y="21619"/>
                <wp:lineTo x="21576" y="21619"/>
                <wp:lineTo x="21576" y="-117"/>
                <wp:lineTo x="-72" y="-117"/>
              </wp:wrapPolygon>
            </wp:wrapThrough>
            <wp:docPr id="11" name="Imagen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A picture containing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3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2659F6" w14:textId="77777777" w:rsidR="009F1AC5" w:rsidRPr="0078693A" w:rsidRDefault="009F1AC5" w:rsidP="009F1AC5">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w:lastRenderedPageBreak/>
        <mc:AlternateContent>
          <mc:Choice Requires="wps">
            <w:drawing>
              <wp:anchor distT="0" distB="0" distL="114300" distR="114300" simplePos="0" relativeHeight="251682816" behindDoc="0" locked="0" layoutInCell="1" allowOverlap="1" wp14:anchorId="373DD44C" wp14:editId="5A06420C">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8C2FD8" id="Rectángulo 8" o:spid="_x0000_s1026" style="position:absolute;margin-left:24.95pt;margin-top:704.3pt;width:372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" filled="f" strokecolor="red" strokeweight="1.5pt"/>
            </w:pict>
          </mc:Fallback>
        </mc:AlternateContent>
      </w:r>
      <w:r>
        <w:rPr>
          <w:rFonts w:ascii="Palatino Linotype" w:hAnsi="Palatino Linotype" w:cs="Arial"/>
          <w:sz w:val="24"/>
          <w:szCs w:val="24"/>
          <w:lang w:val="es-ES"/>
        </w:rPr>
        <w:t>A</w:t>
      </w:r>
      <w:r w:rsidRPr="00B272A6">
        <w:rPr>
          <w:rFonts w:ascii="Palatino Linotype" w:hAnsi="Palatino Linotype" w:cs="Arial"/>
          <w:sz w:val="24"/>
          <w:szCs w:val="24"/>
          <w:lang w:val="es-ES"/>
        </w:rPr>
        <w:t xml:space="preserve">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Pr>
          <w:rFonts w:ascii="Palatino Linotype" w:hAnsi="Palatino Linotype" w:cs="Arial"/>
          <w:sz w:val="24"/>
          <w:szCs w:val="24"/>
          <w:lang w:val="es-ES"/>
        </w:rPr>
        <w:t xml:space="preserve">les se incluye lo referente a los Comprobantes Fiscales Digitales por Internet por concepto de Nómina, así como la Nómina General y/o equivalente, en consecuencia, la información solicitada debe de obrar en los archivos del </w:t>
      </w:r>
      <w:r>
        <w:rPr>
          <w:rFonts w:ascii="Palatino Linotype" w:hAnsi="Palatino Linotype" w:cs="Arial"/>
          <w:b/>
          <w:sz w:val="24"/>
          <w:szCs w:val="24"/>
          <w:lang w:val="es-ES"/>
        </w:rPr>
        <w:t xml:space="preserve">Sujeto Obligado. </w:t>
      </w:r>
    </w:p>
    <w:p w14:paraId="5655F4D4" w14:textId="77777777" w:rsidR="009F1AC5" w:rsidRPr="00B272A6" w:rsidRDefault="009F1AC5" w:rsidP="009F1AC5">
      <w:pPr>
        <w:spacing w:line="360" w:lineRule="auto"/>
        <w:jc w:val="both"/>
        <w:rPr>
          <w:rFonts w:ascii="Palatino Linotype" w:hAnsi="Palatino Linotype" w:cs="Arial"/>
          <w:bCs/>
          <w:sz w:val="24"/>
          <w:szCs w:val="24"/>
          <w:lang w:val="es-ES"/>
        </w:rPr>
      </w:pPr>
      <w:r w:rsidRPr="00B272A6">
        <w:rPr>
          <w:rFonts w:ascii="Palatino Linotype" w:hAnsi="Palatino Linotype" w:cs="Arial"/>
          <w:sz w:val="24"/>
          <w:szCs w:val="24"/>
          <w:lang w:val="es-ES"/>
        </w:rPr>
        <w:t>En este sentido, de acuerdo a la naturaleza de la información solicitada se concluye que ésta es de</w:t>
      </w:r>
      <w:r w:rsidRPr="00B272A6">
        <w:rPr>
          <w:rFonts w:ascii="Palatino Linotype" w:hAnsi="Palatino Linotype" w:cs="Arial"/>
          <w:bCs/>
          <w:sz w:val="24"/>
          <w:szCs w:val="24"/>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B272A6">
        <w:rPr>
          <w:rFonts w:ascii="Palatino Linotype" w:hAnsi="Palatino Linotype" w:cs="Arial"/>
          <w:sz w:val="24"/>
          <w:szCs w:val="24"/>
          <w:lang w:val="es-ES"/>
        </w:rPr>
        <w:t xml:space="preserve"> </w:t>
      </w:r>
      <w:r w:rsidRPr="00B272A6">
        <w:rPr>
          <w:rFonts w:ascii="Palatino Linotype" w:hAnsi="Palatino Linotype" w:cs="Arial"/>
          <w:bCs/>
          <w:sz w:val="24"/>
          <w:szCs w:val="24"/>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3A9E4747"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Cs/>
          <w:i/>
          <w:lang w:val="es-ES"/>
        </w:rPr>
        <w:t>“</w:t>
      </w:r>
      <w:r w:rsidRPr="00F975C8">
        <w:rPr>
          <w:rFonts w:ascii="Palatino Linotype" w:hAnsi="Palatino Linotype" w:cs="Arial"/>
          <w:b/>
          <w:bCs/>
          <w:i/>
          <w:lang w:val="es-ES"/>
        </w:rPr>
        <w:t>Artículo 23</w:t>
      </w:r>
      <w:r w:rsidRPr="00F975C8">
        <w:rPr>
          <w:rFonts w:ascii="Palatino Linotype" w:hAnsi="Palatino Linotype" w:cs="Arial"/>
          <w:bCs/>
          <w:i/>
          <w:lang w:val="es-ES"/>
        </w:rPr>
        <w:t xml:space="preserve"> Son </w:t>
      </w:r>
      <w:r w:rsidRPr="00F975C8">
        <w:rPr>
          <w:rFonts w:ascii="Palatino Linotype" w:eastAsia="MS Mincho" w:hAnsi="Palatino Linotype" w:cs="Arial"/>
          <w:i/>
          <w:lang w:val="es-ES"/>
        </w:rPr>
        <w:t>sujetos</w:t>
      </w:r>
      <w:r w:rsidRPr="00F975C8">
        <w:rPr>
          <w:rFonts w:ascii="Palatino Linotype" w:hAnsi="Palatino Linotype" w:cs="Arial"/>
          <w:bCs/>
          <w:i/>
          <w:lang w:val="es-ES"/>
        </w:rPr>
        <w:t xml:space="preserve"> obligados a transparentar y permitir el acceso a su información y proteger los datos personales que obren en su poder:</w:t>
      </w:r>
    </w:p>
    <w:p w14:paraId="65213599" w14:textId="77777777" w:rsidR="009F1AC5" w:rsidRPr="00F975C8" w:rsidRDefault="009F1AC5" w:rsidP="009F1AC5">
      <w:pPr>
        <w:spacing w:before="240" w:line="360" w:lineRule="auto"/>
        <w:ind w:left="851" w:right="851"/>
        <w:jc w:val="both"/>
        <w:rPr>
          <w:rFonts w:ascii="Palatino Linotype" w:hAnsi="Palatino Linotype" w:cs="Arial"/>
          <w:bCs/>
          <w:i/>
          <w:lang w:val="es-ES"/>
        </w:rPr>
      </w:pPr>
      <w:r w:rsidRPr="00F975C8">
        <w:rPr>
          <w:rFonts w:ascii="Palatino Linotype" w:hAnsi="Palatino Linotype" w:cs="Arial"/>
          <w:b/>
          <w:bCs/>
          <w:i/>
          <w:lang w:val="es-ES"/>
        </w:rPr>
        <w:t>IV.</w:t>
      </w:r>
      <w:r w:rsidRPr="00F975C8">
        <w:rPr>
          <w:rFonts w:ascii="Palatino Linotype" w:hAnsi="Palatino Linotype" w:cs="Arial"/>
          <w:bCs/>
          <w:i/>
          <w:lang w:val="es-ES"/>
        </w:rPr>
        <w:t xml:space="preserve"> Los ayuntamientos </w:t>
      </w:r>
      <w:r w:rsidRPr="00F975C8">
        <w:rPr>
          <w:rFonts w:ascii="Palatino Linotype" w:hAnsi="Palatino Linotype" w:cs="Arial"/>
          <w:b/>
          <w:bCs/>
          <w:i/>
          <w:u w:val="single"/>
          <w:lang w:val="es-ES"/>
        </w:rPr>
        <w:t>y las dependencias, organismos, órganos y entidades de la administración municipal;</w:t>
      </w:r>
    </w:p>
    <w:p w14:paraId="4612215F" w14:textId="77777777" w:rsidR="009F1AC5" w:rsidRPr="00B272A6" w:rsidRDefault="009F1AC5" w:rsidP="009F1AC5">
      <w:pPr>
        <w:spacing w:before="240" w:line="360" w:lineRule="auto"/>
        <w:ind w:left="851" w:right="851"/>
        <w:jc w:val="both"/>
        <w:rPr>
          <w:rFonts w:ascii="Palatino Linotype" w:hAnsi="Palatino Linotype" w:cs="Arial"/>
          <w:b/>
          <w:bCs/>
          <w:i/>
          <w:lang w:val="es-ES"/>
        </w:rPr>
      </w:pPr>
      <w:r w:rsidRPr="00F975C8">
        <w:rPr>
          <w:rFonts w:ascii="Palatino Linotype" w:hAnsi="Palatino Linotype" w:cs="Arial"/>
          <w:bCs/>
          <w:i/>
          <w:lang w:val="es-ES"/>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cs="Arial"/>
          <w:bCs/>
          <w:i/>
          <w:lang w:val="es-ES"/>
        </w:rPr>
        <w:t xml:space="preserve"> </w:t>
      </w:r>
      <w:r>
        <w:rPr>
          <w:rFonts w:ascii="Palatino Linotype" w:hAnsi="Palatino Linotype" w:cs="Arial"/>
          <w:b/>
          <w:bCs/>
          <w:i/>
          <w:lang w:val="es-ES"/>
        </w:rPr>
        <w:t>[Sic]</w:t>
      </w:r>
    </w:p>
    <w:p w14:paraId="40971DD7" w14:textId="77777777" w:rsidR="009F1AC5" w:rsidRPr="00F975C8" w:rsidRDefault="009F1AC5" w:rsidP="009F1AC5">
      <w:pPr>
        <w:spacing w:line="360" w:lineRule="auto"/>
        <w:jc w:val="both"/>
        <w:rPr>
          <w:rFonts w:ascii="Palatino Linotype" w:hAnsi="Palatino Linotype" w:cs="Arial"/>
          <w:bCs/>
          <w:i/>
          <w:lang w:val="es-ES"/>
        </w:rPr>
      </w:pPr>
    </w:p>
    <w:p w14:paraId="0060A344" w14:textId="77777777" w:rsidR="009F1AC5" w:rsidRDefault="009F1AC5" w:rsidP="009F1AC5">
      <w:pPr>
        <w:spacing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B272A6">
        <w:rPr>
          <w:rFonts w:ascii="Palatino Linotype" w:hAnsi="Palatino Linotype" w:cs="Arial"/>
          <w:b/>
          <w:sz w:val="24"/>
          <w:szCs w:val="24"/>
          <w:lang w:val="es-ES"/>
        </w:rPr>
        <w:t>01/2003</w:t>
      </w:r>
      <w:r w:rsidRPr="00B272A6">
        <w:rPr>
          <w:rFonts w:ascii="Palatino Linotype" w:hAnsi="Palatino Linotype" w:cs="Arial"/>
          <w:sz w:val="24"/>
          <w:szCs w:val="24"/>
          <w:lang w:val="es-ES"/>
        </w:rPr>
        <w:t xml:space="preserve"> y </w:t>
      </w:r>
      <w:r w:rsidRPr="00B272A6">
        <w:rPr>
          <w:rFonts w:ascii="Palatino Linotype" w:hAnsi="Palatino Linotype" w:cs="Arial"/>
          <w:b/>
          <w:sz w:val="24"/>
          <w:szCs w:val="24"/>
          <w:lang w:val="es-ES"/>
        </w:rPr>
        <w:t>02/2003</w:t>
      </w:r>
      <w:r w:rsidRPr="00B272A6">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1664193C"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01/2003.</w:t>
      </w:r>
    </w:p>
    <w:p w14:paraId="1928C8C0" w14:textId="77777777" w:rsidR="009F1AC5" w:rsidRPr="0039245A" w:rsidRDefault="009F1AC5" w:rsidP="009F1AC5">
      <w:pPr>
        <w:spacing w:before="240" w:line="360" w:lineRule="auto"/>
        <w:ind w:left="851" w:right="851"/>
        <w:jc w:val="both"/>
        <w:rPr>
          <w:rFonts w:ascii="Palatino Linotype" w:hAnsi="Palatino Linotype" w:cs="Arial"/>
          <w:b/>
          <w:bCs/>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CONSTITUYEN INFORMACIÓN PÚBLICA AÚN Y CUANDO SU DIFUSIÓN PUEDE AFECTAR LA VIDA O LA SEGURIDAD DE AQUELLOS.</w:t>
      </w:r>
      <w:r w:rsidRPr="00F975C8">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9245A">
        <w:rPr>
          <w:rFonts w:ascii="Palatino Linotype" w:hAnsi="Palatino Linotype" w:cs="Arial"/>
          <w:b/>
          <w:i/>
          <w:u w:val="single"/>
          <w:lang w:val="es-ES"/>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w:t>
      </w:r>
      <w:r w:rsidRPr="0039245A">
        <w:rPr>
          <w:rFonts w:ascii="Palatino Linotype" w:hAnsi="Palatino Linotype" w:cs="Arial"/>
          <w:b/>
          <w:i/>
          <w:u w:val="single"/>
          <w:lang w:val="es-ES"/>
        </w:rPr>
        <w:lastRenderedPageBreak/>
        <w:t>del cargo respecto. Constituyen información pública, en tanto que se trata de erogaciones que realiza un órgano del Estado en base con los recursos que encuentran su origen en mayor medida en las contribuciones aportados por los gobernados</w:t>
      </w:r>
      <w:r w:rsidRPr="0039245A">
        <w:rPr>
          <w:rFonts w:ascii="Palatino Linotype" w:hAnsi="Palatino Linotype" w:cs="Arial"/>
          <w:i/>
          <w:u w:val="single"/>
          <w:lang w:val="es-ES"/>
        </w:rPr>
        <w:t>…”</w:t>
      </w:r>
      <w:r>
        <w:rPr>
          <w:rFonts w:ascii="Palatino Linotype" w:hAnsi="Palatino Linotype" w:cs="Arial"/>
          <w:i/>
          <w:lang w:val="es-ES"/>
        </w:rPr>
        <w:t xml:space="preserve"> </w:t>
      </w:r>
      <w:r>
        <w:rPr>
          <w:rFonts w:ascii="Palatino Linotype" w:hAnsi="Palatino Linotype" w:cs="Arial"/>
          <w:b/>
          <w:bCs/>
          <w:i/>
          <w:lang w:val="es-ES"/>
        </w:rPr>
        <w:t>[Sic]</w:t>
      </w:r>
    </w:p>
    <w:p w14:paraId="4CAA2733" w14:textId="77777777" w:rsidR="009F1AC5" w:rsidRPr="00F975C8" w:rsidRDefault="009F1AC5" w:rsidP="009F1AC5">
      <w:pPr>
        <w:spacing w:before="240" w:line="360" w:lineRule="auto"/>
        <w:ind w:left="851" w:right="851"/>
        <w:jc w:val="both"/>
        <w:rPr>
          <w:rFonts w:ascii="Palatino Linotype" w:hAnsi="Palatino Linotype" w:cs="Arial"/>
          <w:i/>
          <w:lang w:val="es-ES"/>
        </w:rPr>
      </w:pPr>
    </w:p>
    <w:p w14:paraId="36AEBD6E"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02/2003.</w:t>
      </w:r>
    </w:p>
    <w:p w14:paraId="68A5F236" w14:textId="77777777" w:rsidR="009F1AC5" w:rsidRPr="00B272A6" w:rsidRDefault="009F1AC5" w:rsidP="009F1AC5">
      <w:pPr>
        <w:spacing w:before="240" w:line="360" w:lineRule="auto"/>
        <w:ind w:left="851" w:right="851"/>
        <w:jc w:val="both"/>
        <w:rPr>
          <w:rFonts w:ascii="Palatino Linotype" w:hAnsi="Palatino Linotype" w:cs="Arial"/>
          <w:b/>
          <w:i/>
          <w:lang w:val="es-ES"/>
        </w:rPr>
      </w:pPr>
      <w:r>
        <w:rPr>
          <w:rFonts w:ascii="Palatino Linotype" w:hAnsi="Palatino Linotype" w:cs="Arial"/>
          <w:b/>
          <w:i/>
          <w:lang w:val="es-ES"/>
        </w:rPr>
        <w:t>“</w:t>
      </w:r>
      <w:r w:rsidRPr="00F975C8">
        <w:rPr>
          <w:rFonts w:ascii="Palatino Linotype" w:hAnsi="Palatino Linotype" w:cs="Arial"/>
          <w:b/>
          <w:i/>
          <w:lang w:val="es-ES"/>
        </w:rPr>
        <w:t>INGRESOS DE LOS SERVIDORES PÚBLICOS, SON INFORMACIÓN PÚBLICA AÚN Y CUANDO CONSTITUYEN DATOS PERSONALES QUE SE REFIEREN AL PATRIMONIO DE AQUÉLLOS.</w:t>
      </w:r>
      <w:r w:rsidRPr="00F975C8">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9245A">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975C8">
        <w:rPr>
          <w:rFonts w:ascii="Palatino Linotype" w:hAnsi="Palatino Linotype" w:cs="Arial"/>
          <w:i/>
          <w:lang w:val="es-ES"/>
        </w:rPr>
        <w:t xml:space="preserve"> el sistema de compensación…”</w:t>
      </w:r>
      <w:r>
        <w:rPr>
          <w:rFonts w:ascii="Palatino Linotype" w:hAnsi="Palatino Linotype" w:cs="Arial"/>
          <w:i/>
          <w:lang w:val="es-ES"/>
        </w:rPr>
        <w:t xml:space="preserve"> </w:t>
      </w:r>
      <w:r>
        <w:rPr>
          <w:rFonts w:ascii="Palatino Linotype" w:hAnsi="Palatino Linotype" w:cs="Arial"/>
          <w:b/>
          <w:i/>
          <w:lang w:val="es-ES"/>
        </w:rPr>
        <w:t>[Sic]</w:t>
      </w:r>
    </w:p>
    <w:p w14:paraId="76915F61" w14:textId="77777777" w:rsidR="009B4BBA" w:rsidRDefault="009B4BBA" w:rsidP="009F1AC5">
      <w:pPr>
        <w:spacing w:before="240" w:after="240" w:line="360" w:lineRule="auto"/>
        <w:jc w:val="both"/>
        <w:rPr>
          <w:rFonts w:ascii="Palatino Linotype" w:hAnsi="Palatino Linotype" w:cs="Arial"/>
          <w:sz w:val="24"/>
          <w:szCs w:val="24"/>
          <w:lang w:val="es-ES"/>
        </w:rPr>
      </w:pPr>
    </w:p>
    <w:p w14:paraId="4B047733" w14:textId="4A063F2A" w:rsidR="009F1AC5" w:rsidRPr="00B272A6" w:rsidRDefault="009F1AC5" w:rsidP="009F1AC5">
      <w:pPr>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En este sentido, </w:t>
      </w:r>
      <w:r w:rsidRPr="00B272A6">
        <w:rPr>
          <w:rFonts w:ascii="Palatino Linotype" w:hAnsi="Palatino Linotype" w:cs="Arial"/>
          <w:b/>
          <w:sz w:val="24"/>
          <w:szCs w:val="24"/>
          <w:lang w:val="es-ES"/>
        </w:rPr>
        <w:t>E</w:t>
      </w:r>
      <w:r>
        <w:rPr>
          <w:rFonts w:ascii="Palatino Linotype" w:hAnsi="Palatino Linotype" w:cs="Arial"/>
          <w:b/>
          <w:sz w:val="24"/>
          <w:szCs w:val="24"/>
          <w:lang w:val="es-ES"/>
        </w:rPr>
        <w:t>l</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Sujeto</w:t>
      </w:r>
      <w:r w:rsidRPr="00B272A6">
        <w:rPr>
          <w:rFonts w:ascii="Palatino Linotype" w:hAnsi="Palatino Linotype" w:cs="Arial"/>
          <w:b/>
          <w:sz w:val="24"/>
          <w:szCs w:val="24"/>
          <w:lang w:val="es-ES"/>
        </w:rPr>
        <w:t xml:space="preserve"> </w:t>
      </w:r>
      <w:r>
        <w:rPr>
          <w:rFonts w:ascii="Palatino Linotype" w:hAnsi="Palatino Linotype" w:cs="Arial"/>
          <w:b/>
          <w:sz w:val="24"/>
          <w:szCs w:val="24"/>
          <w:lang w:val="es-ES"/>
        </w:rPr>
        <w:t>Obligado</w:t>
      </w:r>
      <w:r w:rsidRPr="00B272A6">
        <w:rPr>
          <w:rFonts w:ascii="Palatino Linotype" w:hAnsi="Palatino Linotype" w:cs="Arial"/>
          <w:sz w:val="24"/>
          <w:szCs w:val="24"/>
          <w:lang w:val="es-ES"/>
        </w:rPr>
        <w:t xml:space="preserve"> se encuentra constreñido a entregar la información solicitada por </w:t>
      </w:r>
      <w:r w:rsidR="009B4BBA">
        <w:rPr>
          <w:rFonts w:ascii="Palatino Linotype" w:hAnsi="Palatino Linotype" w:cs="Arial"/>
          <w:b/>
          <w:color w:val="000000"/>
          <w:sz w:val="24"/>
          <w:szCs w:val="24"/>
          <w:lang w:val="es-ES" w:eastAsia="es-MX"/>
        </w:rPr>
        <w:t xml:space="preserve">El </w:t>
      </w:r>
      <w:r w:rsidRPr="00B272A6">
        <w:rPr>
          <w:rFonts w:ascii="Palatino Linotype" w:hAnsi="Palatino Linotype" w:cs="Arial"/>
          <w:b/>
          <w:color w:val="000000"/>
          <w:sz w:val="24"/>
          <w:szCs w:val="24"/>
          <w:lang w:eastAsia="es-MX"/>
        </w:rPr>
        <w:t>R</w:t>
      </w:r>
      <w:r>
        <w:rPr>
          <w:rFonts w:ascii="Palatino Linotype" w:hAnsi="Palatino Linotype" w:cs="Arial"/>
          <w:b/>
          <w:color w:val="000000"/>
          <w:sz w:val="24"/>
          <w:szCs w:val="24"/>
          <w:lang w:eastAsia="es-MX"/>
        </w:rPr>
        <w:t>ecurrente</w:t>
      </w:r>
      <w:r w:rsidRPr="00B272A6">
        <w:rPr>
          <w:rFonts w:ascii="Palatino Linotype" w:hAnsi="Palatino Linotype" w:cs="Arial"/>
          <w:sz w:val="24"/>
          <w:szCs w:val="24"/>
          <w:lang w:val="es-ES"/>
        </w:rPr>
        <w:t xml:space="preserve">, de acuerdo a lo dispuesto por los artículos 3, fracción XI y 12 </w:t>
      </w:r>
      <w:r w:rsidRPr="00B272A6">
        <w:rPr>
          <w:rFonts w:ascii="Palatino Linotype" w:hAnsi="Palatino Linotype" w:cs="Arial"/>
          <w:bCs/>
          <w:sz w:val="24"/>
          <w:szCs w:val="24"/>
          <w:lang w:val="es-ES"/>
        </w:rPr>
        <w:t xml:space="preserve">de la Ley de Transparencia y Acceso a la Información Pública del Estado de </w:t>
      </w:r>
      <w:r w:rsidRPr="00B272A6">
        <w:rPr>
          <w:rFonts w:ascii="Palatino Linotype" w:hAnsi="Palatino Linotype" w:cs="Arial"/>
          <w:bCs/>
          <w:sz w:val="24"/>
          <w:szCs w:val="24"/>
          <w:lang w:val="es-ES"/>
        </w:rPr>
        <w:lastRenderedPageBreak/>
        <w:t>México y Municipios</w:t>
      </w:r>
      <w:r w:rsidRPr="00B272A6">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055DBB8B" w14:textId="77777777" w:rsidR="009F1AC5" w:rsidRDefault="009F1AC5" w:rsidP="009F1AC5">
      <w:pPr>
        <w:autoSpaceDE w:val="0"/>
        <w:autoSpaceDN w:val="0"/>
        <w:adjustRightInd w:val="0"/>
        <w:spacing w:before="240" w:after="240" w:line="360" w:lineRule="auto"/>
        <w:jc w:val="both"/>
        <w:rPr>
          <w:rFonts w:ascii="Palatino Linotype" w:hAnsi="Palatino Linotype" w:cs="Arial"/>
          <w:sz w:val="24"/>
          <w:szCs w:val="24"/>
          <w:lang w:val="es-ES"/>
        </w:rPr>
      </w:pPr>
      <w:r w:rsidRPr="00B272A6">
        <w:rPr>
          <w:rFonts w:ascii="Palatino Linotype" w:hAnsi="Palatino Linotype" w:cs="Arial"/>
          <w:sz w:val="24"/>
          <w:szCs w:val="24"/>
          <w:lang w:val="es-ES"/>
        </w:rPr>
        <w:t xml:space="preserve">Siendo aplicable, el criterio </w:t>
      </w:r>
      <w:r w:rsidRPr="00B272A6">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272A6">
        <w:rPr>
          <w:rFonts w:ascii="Palatino Linotype" w:hAnsi="Palatino Linotype" w:cs="Arial"/>
          <w:sz w:val="24"/>
          <w:szCs w:val="24"/>
          <w:lang w:val="es-ES"/>
        </w:rPr>
        <w:t>cuyo rubro y texto dispone:</w:t>
      </w:r>
    </w:p>
    <w:p w14:paraId="77F07911" w14:textId="77777777" w:rsidR="009F1AC5" w:rsidRPr="00F975C8" w:rsidRDefault="009F1AC5" w:rsidP="009F1AC5">
      <w:pPr>
        <w:spacing w:before="240" w:line="360" w:lineRule="auto"/>
        <w:ind w:left="851" w:right="851"/>
        <w:jc w:val="center"/>
        <w:rPr>
          <w:rFonts w:ascii="Palatino Linotype" w:hAnsi="Palatino Linotype" w:cs="Arial"/>
          <w:b/>
          <w:i/>
          <w:lang w:val="es-ES"/>
        </w:rPr>
      </w:pPr>
      <w:r w:rsidRPr="00F975C8">
        <w:rPr>
          <w:rFonts w:ascii="Palatino Linotype" w:hAnsi="Palatino Linotype" w:cs="Arial"/>
          <w:b/>
          <w:i/>
          <w:lang w:val="es-ES"/>
        </w:rPr>
        <w:t>CRITERIO 0002-11</w:t>
      </w:r>
    </w:p>
    <w:p w14:paraId="5F617C82" w14:textId="77777777" w:rsidR="009F1AC5" w:rsidRPr="00F975C8" w:rsidRDefault="009F1AC5" w:rsidP="009F1AC5">
      <w:pPr>
        <w:spacing w:before="240" w:line="360" w:lineRule="auto"/>
        <w:ind w:left="851" w:right="851"/>
        <w:jc w:val="both"/>
        <w:rPr>
          <w:rFonts w:ascii="Palatino Linotype" w:hAnsi="Palatino Linotype" w:cs="Arial"/>
          <w:i/>
          <w:lang w:val="es-ES"/>
        </w:rPr>
      </w:pPr>
      <w:r>
        <w:rPr>
          <w:rFonts w:ascii="Palatino Linotype" w:hAnsi="Palatino Linotype" w:cs="Arial"/>
          <w:b/>
          <w:i/>
          <w:lang w:val="es-ES"/>
        </w:rPr>
        <w:t>“</w:t>
      </w:r>
      <w:r w:rsidRPr="00F975C8">
        <w:rPr>
          <w:rFonts w:ascii="Palatino Linotype" w:hAnsi="Palatino Linotype" w:cs="Arial"/>
          <w:b/>
          <w:i/>
          <w:lang w:val="es-ES"/>
        </w:rPr>
        <w:t xml:space="preserve">INFORMACIÓN PÚBLICA, CONCEPTO DE, EN MATERIA DE TRANSPARENCIA. INTERPRETACIÓN TEMÁTICA DE LOS ARTÍCULOS 2 2, FRACCIÓN </w:t>
      </w:r>
      <w:r w:rsidRPr="00F975C8">
        <w:rPr>
          <w:rFonts w:ascii="Palatino Linotype" w:hAnsi="Palatino Linotype" w:cs="Arial"/>
          <w:b/>
          <w:bCs/>
          <w:i/>
          <w:lang w:val="es-ES"/>
        </w:rPr>
        <w:t xml:space="preserve">V, XV, Y XVI, </w:t>
      </w:r>
      <w:r w:rsidRPr="00F975C8">
        <w:rPr>
          <w:rFonts w:ascii="Palatino Linotype" w:hAnsi="Palatino Linotype" w:cs="Arial"/>
          <w:b/>
          <w:i/>
          <w:lang w:val="es-ES"/>
        </w:rPr>
        <w:t>32, 4,11 Y 41.</w:t>
      </w:r>
      <w:r w:rsidRPr="00F975C8">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F26078"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t>En consecuencia el acceso a la información se refiere a que se cumplan cualquiera de los siguientes tres supuestos:</w:t>
      </w:r>
    </w:p>
    <w:p w14:paraId="226B9BE2" w14:textId="77777777" w:rsidR="009F1AC5" w:rsidRPr="0039245A" w:rsidRDefault="009F1AC5" w:rsidP="009F1AC5">
      <w:pPr>
        <w:spacing w:before="240" w:line="360" w:lineRule="auto"/>
        <w:ind w:left="851" w:right="851"/>
        <w:jc w:val="both"/>
        <w:rPr>
          <w:rFonts w:ascii="Palatino Linotype" w:hAnsi="Palatino Linotype" w:cs="Arial"/>
          <w:b/>
          <w:i/>
          <w:u w:val="single"/>
          <w:lang w:val="es-ES"/>
        </w:rPr>
      </w:pPr>
      <w:r w:rsidRPr="0039245A">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15480119" w14:textId="77777777" w:rsidR="009F1AC5" w:rsidRPr="00F975C8" w:rsidRDefault="009F1AC5" w:rsidP="009F1AC5">
      <w:pPr>
        <w:spacing w:before="240" w:line="360" w:lineRule="auto"/>
        <w:ind w:left="851" w:right="851"/>
        <w:jc w:val="both"/>
        <w:rPr>
          <w:rFonts w:ascii="Palatino Linotype" w:hAnsi="Palatino Linotype" w:cs="Arial"/>
          <w:i/>
          <w:lang w:val="es-ES"/>
        </w:rPr>
      </w:pPr>
      <w:r w:rsidRPr="00F975C8">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065EE750" w14:textId="77777777" w:rsidR="009F1AC5" w:rsidRPr="00B272A6" w:rsidRDefault="009F1AC5" w:rsidP="009F1AC5">
      <w:pPr>
        <w:spacing w:before="240" w:line="360" w:lineRule="auto"/>
        <w:ind w:left="851" w:right="851"/>
        <w:jc w:val="both"/>
        <w:rPr>
          <w:rFonts w:ascii="Palatino Linotype" w:hAnsi="Palatino Linotype" w:cs="Arial"/>
          <w:b/>
          <w:i/>
          <w:lang w:val="es-ES"/>
        </w:rPr>
      </w:pPr>
      <w:r w:rsidRPr="00F975C8">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Pr>
          <w:rFonts w:ascii="Palatino Linotype" w:hAnsi="Palatino Linotype" w:cs="Arial"/>
          <w:b/>
          <w:i/>
          <w:lang w:val="es-ES"/>
        </w:rPr>
        <w:t>[Sic]</w:t>
      </w:r>
    </w:p>
    <w:p w14:paraId="01DCA9A1" w14:textId="77777777" w:rsidR="009F1AC5" w:rsidRDefault="009F1AC5" w:rsidP="009F1AC5">
      <w:pPr>
        <w:autoSpaceDE w:val="0"/>
        <w:autoSpaceDN w:val="0"/>
        <w:adjustRightInd w:val="0"/>
        <w:spacing w:before="240" w:line="360" w:lineRule="auto"/>
        <w:jc w:val="both"/>
        <w:rPr>
          <w:rFonts w:ascii="Palatino Linotype" w:hAnsi="Palatino Linotype" w:cs="Arial"/>
          <w:sz w:val="24"/>
          <w:szCs w:val="24"/>
        </w:rPr>
      </w:pPr>
    </w:p>
    <w:p w14:paraId="1F76FD37" w14:textId="70BB7BB8" w:rsidR="009F1AC5" w:rsidRPr="0068677F" w:rsidRDefault="009F1AC5" w:rsidP="009F1AC5">
      <w:pPr>
        <w:spacing w:after="240" w:line="360" w:lineRule="auto"/>
        <w:jc w:val="both"/>
        <w:rPr>
          <w:rFonts w:ascii="Palatino Linotype" w:hAnsi="Palatino Linotype" w:cs="Arial"/>
          <w:b/>
          <w:sz w:val="24"/>
          <w:szCs w:val="24"/>
        </w:rPr>
      </w:pPr>
      <w:r w:rsidRPr="0068677F">
        <w:rPr>
          <w:rFonts w:ascii="Palatino Linotype" w:hAnsi="Palatino Linotype" w:cs="Arial"/>
          <w:sz w:val="24"/>
          <w:szCs w:val="24"/>
        </w:rPr>
        <w:t xml:space="preserve">Atento a lo anterior, resulta claro que existe la obligación del </w:t>
      </w:r>
      <w:r w:rsidRPr="0068677F">
        <w:rPr>
          <w:rFonts w:ascii="Palatino Linotype" w:hAnsi="Palatino Linotype" w:cs="Arial"/>
          <w:b/>
          <w:sz w:val="24"/>
          <w:szCs w:val="24"/>
        </w:rPr>
        <w:t>Sujeto Obligado</w:t>
      </w:r>
      <w:r w:rsidRPr="0068677F">
        <w:rPr>
          <w:rFonts w:ascii="Palatino Linotype" w:hAnsi="Palatino Linotype" w:cs="Arial"/>
          <w:sz w:val="24"/>
          <w:szCs w:val="24"/>
        </w:rPr>
        <w:t xml:space="preserve">, de entregar los informes trimestrales al Órgano Superior de Fiscalización del Estado de México, en los cuales se incluye la información relativa a la nómina general correspondiente a un periodo determinado; en consecuencia la información solicitada por </w:t>
      </w:r>
      <w:r w:rsidR="00160115" w:rsidRPr="0068677F">
        <w:rPr>
          <w:rFonts w:ascii="Palatino Linotype" w:hAnsi="Palatino Linotype" w:cs="Arial"/>
          <w:b/>
          <w:sz w:val="24"/>
          <w:szCs w:val="24"/>
        </w:rPr>
        <w:t>El</w:t>
      </w:r>
      <w:r w:rsidRPr="0068677F">
        <w:rPr>
          <w:rFonts w:ascii="Palatino Linotype" w:hAnsi="Palatino Linotype" w:cs="Arial"/>
          <w:b/>
          <w:sz w:val="24"/>
          <w:szCs w:val="24"/>
        </w:rPr>
        <w:t xml:space="preserve"> Recurrente </w:t>
      </w:r>
      <w:r w:rsidRPr="0068677F">
        <w:rPr>
          <w:rFonts w:ascii="Palatino Linotype" w:hAnsi="Palatino Linotype" w:cs="Arial"/>
          <w:sz w:val="24"/>
          <w:szCs w:val="24"/>
        </w:rPr>
        <w:t xml:space="preserve">debe obrar en los archivos del </w:t>
      </w:r>
      <w:r w:rsidRPr="0068677F">
        <w:rPr>
          <w:rFonts w:ascii="Palatino Linotype" w:hAnsi="Palatino Linotype" w:cs="Arial"/>
          <w:b/>
          <w:sz w:val="24"/>
          <w:szCs w:val="24"/>
        </w:rPr>
        <w:t xml:space="preserve">Sujeto Obligado. </w:t>
      </w:r>
    </w:p>
    <w:p w14:paraId="638625F2" w14:textId="4DE47C17" w:rsidR="00EC7A70" w:rsidRDefault="00EC7A70" w:rsidP="009F1AC5">
      <w:pPr>
        <w:spacing w:after="240" w:line="360" w:lineRule="auto"/>
        <w:jc w:val="both"/>
        <w:rPr>
          <w:rFonts w:ascii="Palatino Linotype" w:hAnsi="Palatino Linotype" w:cs="Arial"/>
          <w:bCs/>
          <w:sz w:val="24"/>
          <w:szCs w:val="24"/>
        </w:rPr>
      </w:pPr>
      <w:r w:rsidRPr="0068677F">
        <w:rPr>
          <w:rFonts w:ascii="Palatino Linotype" w:hAnsi="Palatino Linotype" w:cs="Arial"/>
          <w:bCs/>
          <w:sz w:val="24"/>
          <w:szCs w:val="24"/>
        </w:rPr>
        <w:t>De manera complementaria,</w:t>
      </w:r>
      <w:r>
        <w:rPr>
          <w:rFonts w:ascii="Palatino Linotype" w:hAnsi="Palatino Linotype" w:cs="Arial"/>
          <w:bCs/>
          <w:sz w:val="24"/>
          <w:szCs w:val="24"/>
        </w:rPr>
        <w:t xml:space="preserve"> </w:t>
      </w:r>
      <w:r w:rsidR="009C136F">
        <w:rPr>
          <w:rFonts w:ascii="Palatino Linotype" w:hAnsi="Palatino Linotype" w:cs="Arial"/>
          <w:bCs/>
          <w:sz w:val="24"/>
          <w:szCs w:val="24"/>
        </w:rPr>
        <w:t>resulta oportuno destacar que la obligación de rendir informes trimestrales al Órgano Superior de Fiscalización del Estado de México también engloba diversos soportes documentales relacionados con obra pública, destacando los relativos a:</w:t>
      </w:r>
    </w:p>
    <w:p w14:paraId="517963E2" w14:textId="0E66B765" w:rsidR="009C136F" w:rsidRDefault="005245BF" w:rsidP="009C136F">
      <w:pPr>
        <w:pStyle w:val="Prrafodelista"/>
        <w:numPr>
          <w:ilvl w:val="0"/>
          <w:numId w:val="22"/>
        </w:numPr>
        <w:spacing w:after="240" w:line="360" w:lineRule="auto"/>
        <w:jc w:val="both"/>
        <w:rPr>
          <w:rFonts w:ascii="Palatino Linotype" w:hAnsi="Palatino Linotype" w:cs="Arial"/>
          <w:bCs/>
        </w:rPr>
      </w:pPr>
      <w:r>
        <w:rPr>
          <w:rFonts w:ascii="Palatino Linotype" w:hAnsi="Palatino Linotype" w:cs="Arial"/>
          <w:bCs/>
        </w:rPr>
        <w:t>Programa anual de obra</w:t>
      </w:r>
    </w:p>
    <w:p w14:paraId="1596578A" w14:textId="6683B9CE" w:rsidR="005245BF" w:rsidRDefault="005245BF" w:rsidP="009C136F">
      <w:pPr>
        <w:pStyle w:val="Prrafodelista"/>
        <w:numPr>
          <w:ilvl w:val="0"/>
          <w:numId w:val="22"/>
        </w:numPr>
        <w:spacing w:after="240" w:line="360" w:lineRule="auto"/>
        <w:jc w:val="both"/>
        <w:rPr>
          <w:rFonts w:ascii="Palatino Linotype" w:hAnsi="Palatino Linotype" w:cs="Arial"/>
          <w:bCs/>
        </w:rPr>
      </w:pPr>
      <w:r>
        <w:rPr>
          <w:rFonts w:ascii="Palatino Linotype" w:hAnsi="Palatino Linotype" w:cs="Arial"/>
          <w:bCs/>
        </w:rPr>
        <w:t xml:space="preserve">Informe de obra pública. </w:t>
      </w:r>
    </w:p>
    <w:p w14:paraId="667C110A" w14:textId="17CCCF49" w:rsidR="005245BF" w:rsidRDefault="000B545B" w:rsidP="009C136F">
      <w:pPr>
        <w:pStyle w:val="Prrafodelista"/>
        <w:numPr>
          <w:ilvl w:val="0"/>
          <w:numId w:val="22"/>
        </w:numPr>
        <w:spacing w:after="240" w:line="360" w:lineRule="auto"/>
        <w:jc w:val="both"/>
        <w:rPr>
          <w:rFonts w:ascii="Palatino Linotype" w:hAnsi="Palatino Linotype" w:cs="Arial"/>
          <w:bCs/>
        </w:rPr>
      </w:pPr>
      <w:r>
        <w:rPr>
          <w:rFonts w:ascii="Palatino Linotype" w:hAnsi="Palatino Linotype" w:cs="Arial"/>
          <w:bCs/>
        </w:rPr>
        <w:t>Conciliación de Obra Pública</w:t>
      </w:r>
    </w:p>
    <w:p w14:paraId="2738F498" w14:textId="25FC799C" w:rsidR="000B545B" w:rsidRPr="009C136F" w:rsidRDefault="000B545B" w:rsidP="009C136F">
      <w:pPr>
        <w:pStyle w:val="Prrafodelista"/>
        <w:numPr>
          <w:ilvl w:val="0"/>
          <w:numId w:val="22"/>
        </w:numPr>
        <w:spacing w:after="240" w:line="360" w:lineRule="auto"/>
        <w:jc w:val="both"/>
        <w:rPr>
          <w:rFonts w:ascii="Palatino Linotype" w:hAnsi="Palatino Linotype" w:cs="Arial"/>
          <w:bCs/>
        </w:rPr>
      </w:pPr>
      <w:r>
        <w:rPr>
          <w:rFonts w:ascii="Palatino Linotype" w:hAnsi="Palatino Linotype" w:cs="Arial"/>
          <w:bCs/>
        </w:rPr>
        <w:t xml:space="preserve">Dictámenes de adjudicación emitidos por el Comité Interno de Obra Pública. </w:t>
      </w:r>
    </w:p>
    <w:p w14:paraId="3AE926DC" w14:textId="200B9684" w:rsidR="000B545B" w:rsidRPr="00AB5B4A" w:rsidRDefault="000B545B" w:rsidP="000B545B">
      <w:pPr>
        <w:spacing w:line="360" w:lineRule="auto"/>
        <w:jc w:val="both"/>
        <w:rPr>
          <w:rFonts w:ascii="Palatino Linotype" w:hAnsi="Palatino Linotype" w:cs="Arial"/>
          <w:color w:val="000000"/>
          <w:sz w:val="24"/>
          <w:szCs w:val="24"/>
          <w:lang w:val="es-ES_tradnl"/>
        </w:rPr>
      </w:pPr>
      <w:r>
        <w:rPr>
          <w:rFonts w:ascii="Palatino Linotype" w:hAnsi="Palatino Linotype" w:cs="Arial"/>
          <w:bCs/>
          <w:sz w:val="24"/>
          <w:szCs w:val="24"/>
        </w:rPr>
        <w:lastRenderedPageBreak/>
        <w:t xml:space="preserve">Bajo este contexto, </w:t>
      </w:r>
      <w:r w:rsidR="0068677F">
        <w:rPr>
          <w:rFonts w:ascii="Palatino Linotype" w:hAnsi="Palatino Linotype" w:cs="Arial"/>
          <w:bCs/>
          <w:sz w:val="24"/>
          <w:szCs w:val="24"/>
        </w:rPr>
        <w:t xml:space="preserve">con relación al requerimiento </w:t>
      </w:r>
      <w:r w:rsidR="0068677F">
        <w:rPr>
          <w:rFonts w:ascii="Palatino Linotype" w:hAnsi="Palatino Linotype" w:cs="Arial"/>
          <w:b/>
          <w:sz w:val="24"/>
          <w:szCs w:val="24"/>
        </w:rPr>
        <w:t xml:space="preserve">2 -dos-, </w:t>
      </w:r>
      <w:r>
        <w:rPr>
          <w:rFonts w:ascii="Palatino Linotype" w:hAnsi="Palatino Linotype" w:cs="Arial"/>
          <w:bCs/>
          <w:sz w:val="24"/>
          <w:szCs w:val="24"/>
        </w:rPr>
        <w:t xml:space="preserve">cuando los particulares no identifican de forma precisa el documento requerido bastará con que se remita cualquiera que refleje la información requerida. Al </w:t>
      </w:r>
      <w:r w:rsidRPr="00AB5B4A">
        <w:rPr>
          <w:rFonts w:ascii="Palatino Linotype" w:hAnsi="Palatino Linotype" w:cs="Arial"/>
          <w:color w:val="000000"/>
          <w:sz w:val="24"/>
          <w:szCs w:val="24"/>
          <w:lang w:val="es-ES_tradnl"/>
        </w:rPr>
        <w:t xml:space="preserve">respecto cobra relevancia el criterio emitido por el Órgano Garante Nacional con número </w:t>
      </w:r>
      <w:r w:rsidRPr="00AB5B4A">
        <w:rPr>
          <w:rFonts w:ascii="Palatino Linotype" w:hAnsi="Palatino Linotype" w:cs="Arial"/>
          <w:b/>
          <w:bCs/>
          <w:color w:val="000000"/>
          <w:sz w:val="24"/>
          <w:szCs w:val="24"/>
          <w:lang w:val="es-ES_tradnl"/>
        </w:rPr>
        <w:t xml:space="preserve">16/17 </w:t>
      </w:r>
      <w:r w:rsidRPr="00AB5B4A">
        <w:rPr>
          <w:rFonts w:ascii="Palatino Linotype" w:hAnsi="Palatino Linotype" w:cs="Arial"/>
          <w:color w:val="000000"/>
          <w:sz w:val="24"/>
          <w:szCs w:val="24"/>
          <w:lang w:val="es-ES_tradnl"/>
        </w:rPr>
        <w:t>cuyo rubro y texto disponen a la literalidad lo siguiente:</w:t>
      </w:r>
    </w:p>
    <w:p w14:paraId="1D8497AC" w14:textId="77777777" w:rsidR="000B545B" w:rsidRPr="00AB5B4A" w:rsidRDefault="000B545B" w:rsidP="000B545B">
      <w:pPr>
        <w:pStyle w:val="Citas"/>
        <w:jc w:val="center"/>
        <w:rPr>
          <w:b/>
          <w:bCs/>
          <w:sz w:val="24"/>
          <w:szCs w:val="24"/>
        </w:rPr>
      </w:pPr>
      <w:r w:rsidRPr="00AB5B4A">
        <w:rPr>
          <w:b/>
          <w:bCs/>
          <w:sz w:val="24"/>
          <w:szCs w:val="24"/>
        </w:rPr>
        <w:t>“EXPRESIÓN DOCUMENTAL.</w:t>
      </w:r>
    </w:p>
    <w:p w14:paraId="02BB5B7C" w14:textId="77777777" w:rsidR="000B545B" w:rsidRPr="00AB5B4A" w:rsidRDefault="000B545B" w:rsidP="000B545B">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68B147C9" w14:textId="77777777" w:rsidR="000B545B" w:rsidRPr="00AB5B4A" w:rsidRDefault="000B545B" w:rsidP="000B545B">
      <w:pPr>
        <w:pStyle w:val="Citas"/>
        <w:rPr>
          <w:b/>
        </w:rPr>
      </w:pPr>
      <w:r w:rsidRPr="00AB5B4A">
        <w:rPr>
          <w:b/>
        </w:rPr>
        <w:t>Precedentes:</w:t>
      </w:r>
    </w:p>
    <w:p w14:paraId="741BDC82" w14:textId="77777777" w:rsidR="000B545B" w:rsidRPr="00AB5B4A" w:rsidRDefault="000B545B" w:rsidP="000B545B">
      <w:pPr>
        <w:pStyle w:val="Citas"/>
        <w:numPr>
          <w:ilvl w:val="0"/>
          <w:numId w:val="23"/>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6BE76D0C" w14:textId="77777777" w:rsidR="000B545B" w:rsidRPr="00AB5B4A" w:rsidRDefault="000B545B" w:rsidP="000B545B">
      <w:pPr>
        <w:pStyle w:val="Citas"/>
        <w:numPr>
          <w:ilvl w:val="0"/>
          <w:numId w:val="23"/>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84F4F16" w14:textId="77777777" w:rsidR="000B545B" w:rsidRPr="00AB5B4A" w:rsidRDefault="000B545B" w:rsidP="000B545B">
      <w:pPr>
        <w:pStyle w:val="Citas"/>
        <w:numPr>
          <w:ilvl w:val="0"/>
          <w:numId w:val="23"/>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w:t>
      </w:r>
      <w:r w:rsidRPr="00AB5B4A">
        <w:lastRenderedPageBreak/>
        <w:t xml:space="preserve">Secretaría de Economía. Comisionado Ponente Francisco Javier Acuña Llamas. “ </w:t>
      </w:r>
      <w:r w:rsidRPr="00AB5B4A">
        <w:rPr>
          <w:b/>
          <w:bCs/>
        </w:rPr>
        <w:t>(Sic)</w:t>
      </w:r>
    </w:p>
    <w:p w14:paraId="69955C09" w14:textId="77777777" w:rsidR="0068677F" w:rsidRDefault="0068677F" w:rsidP="00A34857">
      <w:pPr>
        <w:autoSpaceDE w:val="0"/>
        <w:autoSpaceDN w:val="0"/>
        <w:adjustRightInd w:val="0"/>
        <w:spacing w:before="240" w:line="360" w:lineRule="auto"/>
        <w:jc w:val="both"/>
        <w:rPr>
          <w:rFonts w:ascii="Palatino Linotype" w:hAnsi="Palatino Linotype" w:cs="Arial"/>
          <w:sz w:val="24"/>
          <w:szCs w:val="24"/>
        </w:rPr>
      </w:pPr>
    </w:p>
    <w:p w14:paraId="2B0FEED0" w14:textId="7799FD3F" w:rsidR="00A34857" w:rsidRDefault="00A34857" w:rsidP="00A3485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fracciones VIII y XXIX de la Ley de Transparencia y Acceso a la Información Pública del Estado de México y Municipios, cuyo contenido literal es el siguiente: </w:t>
      </w:r>
    </w:p>
    <w:p w14:paraId="1D496BE5" w14:textId="77777777" w:rsidR="00A34857" w:rsidRPr="00FA7CFC" w:rsidRDefault="00A34857" w:rsidP="00A3485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4BCEADD" w14:textId="77777777" w:rsidR="00A34857" w:rsidRPr="00FA7CFC" w:rsidRDefault="00A34857" w:rsidP="00A34857">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E8ADC60" w14:textId="77777777" w:rsidR="00A34857" w:rsidRDefault="00A34857" w:rsidP="00A34857">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03542A4" w14:textId="77777777" w:rsidR="00A34857" w:rsidRDefault="00A34857" w:rsidP="00A34857">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064A597C" w14:textId="77777777" w:rsidR="00A34857" w:rsidRDefault="00A34857" w:rsidP="00A34857">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 xml:space="preserve">La remuneración bruta y neta de todos los servidores públicos de base o de confianza, de todas las percepciones, incluyendo sueldos, prestaciones, gratificaciones, primas, comisiones, dietas, bonos, estímulos, ingresos y </w:t>
      </w:r>
      <w:r w:rsidRPr="00682B6F">
        <w:rPr>
          <w:rFonts w:ascii="Palatino Linotype" w:hAnsi="Palatino Linotype"/>
          <w:b/>
          <w:i/>
          <w:u w:val="single"/>
        </w:rPr>
        <w:lastRenderedPageBreak/>
        <w:t>sistemas de compensación, señalando la periodicidad de dicha remuneración;</w:t>
      </w:r>
    </w:p>
    <w:p w14:paraId="304F40E5" w14:textId="77777777" w:rsidR="00A34857" w:rsidRPr="00A34857" w:rsidRDefault="00A34857" w:rsidP="00A34857">
      <w:pPr>
        <w:autoSpaceDE w:val="0"/>
        <w:autoSpaceDN w:val="0"/>
        <w:adjustRightInd w:val="0"/>
        <w:spacing w:before="240" w:line="360" w:lineRule="auto"/>
        <w:ind w:left="851" w:right="851"/>
        <w:jc w:val="both"/>
        <w:rPr>
          <w:rFonts w:ascii="Palatino Linotype" w:hAnsi="Palatino Linotype"/>
          <w:bCs/>
          <w:i/>
        </w:rPr>
      </w:pPr>
      <w:r w:rsidRPr="00A34857">
        <w:rPr>
          <w:rFonts w:ascii="Palatino Linotype" w:hAnsi="Palatino Linotype"/>
          <w:bCs/>
          <w:i/>
        </w:rPr>
        <w:t>(…)</w:t>
      </w:r>
    </w:p>
    <w:p w14:paraId="2B316D69" w14:textId="5864D107" w:rsidR="00A34857" w:rsidRDefault="001D5BB2" w:rsidP="001D5BB2">
      <w:pPr>
        <w:pStyle w:val="Citas"/>
      </w:pPr>
      <w: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EB3CCCA" w14:textId="05ECB721" w:rsidR="001D5BB2" w:rsidRDefault="001D5BB2" w:rsidP="001D5BB2">
      <w:pPr>
        <w:pStyle w:val="Citas"/>
      </w:pPr>
      <w:r>
        <w:t>(…)</w:t>
      </w:r>
    </w:p>
    <w:p w14:paraId="653A28EE" w14:textId="18D74E62" w:rsidR="001D5BB2" w:rsidRDefault="001D5BB2" w:rsidP="001D5BB2">
      <w:pPr>
        <w:pStyle w:val="Citas"/>
      </w:pPr>
      <w:r>
        <w:t>a) De licitaciones públicas o procedimientos de invitación restringida:</w:t>
      </w:r>
    </w:p>
    <w:p w14:paraId="16E6B57C" w14:textId="0E31BDCD" w:rsidR="001D5BB2" w:rsidRDefault="001D5BB2" w:rsidP="001D5BB2">
      <w:pPr>
        <w:pStyle w:val="Citas"/>
        <w:rPr>
          <w:b/>
          <w:u w:val="single"/>
        </w:rPr>
      </w:pPr>
      <w:r>
        <w:rPr>
          <w:b/>
          <w:u w:val="single"/>
        </w:rPr>
        <w:t>(…)</w:t>
      </w:r>
    </w:p>
    <w:p w14:paraId="254B1CE5" w14:textId="38F4443D" w:rsidR="001D5BB2" w:rsidRPr="0068677F" w:rsidRDefault="001D5BB2" w:rsidP="001D5BB2">
      <w:pPr>
        <w:pStyle w:val="Citas"/>
        <w:rPr>
          <w:b/>
          <w:bCs/>
          <w:u w:val="single"/>
        </w:rPr>
      </w:pPr>
      <w:r w:rsidRPr="0068677F">
        <w:rPr>
          <w:b/>
          <w:bCs/>
          <w:u w:val="single"/>
        </w:rPr>
        <w:t>12) Los informes de avance físico y financiero sobre las obras o servicios contratados;</w:t>
      </w:r>
    </w:p>
    <w:p w14:paraId="0DEABCCB" w14:textId="4136B0C5" w:rsidR="001D5BB2" w:rsidRDefault="001D5BB2" w:rsidP="001D5BB2">
      <w:pPr>
        <w:pStyle w:val="Citas"/>
      </w:pPr>
      <w:r>
        <w:t>(…)</w:t>
      </w:r>
    </w:p>
    <w:p w14:paraId="6A283FD1" w14:textId="423987AD" w:rsidR="001D5BB2" w:rsidRDefault="001D5BB2" w:rsidP="001D5BB2">
      <w:pPr>
        <w:pStyle w:val="Citas"/>
      </w:pPr>
      <w:r>
        <w:t>b) De las adjudicaciones directas:</w:t>
      </w:r>
    </w:p>
    <w:p w14:paraId="3416BE5B" w14:textId="35194C6F" w:rsidR="001D5BB2" w:rsidRDefault="001D5BB2" w:rsidP="001D5BB2">
      <w:pPr>
        <w:pStyle w:val="Citas"/>
      </w:pPr>
      <w:r>
        <w:t>(…)</w:t>
      </w:r>
    </w:p>
    <w:p w14:paraId="2695FE64" w14:textId="7995C023" w:rsidR="001D5BB2" w:rsidRPr="0068677F" w:rsidRDefault="001D5BB2" w:rsidP="001D5BB2">
      <w:pPr>
        <w:pStyle w:val="Citas"/>
        <w:rPr>
          <w:b/>
          <w:bCs/>
          <w:u w:val="single"/>
        </w:rPr>
      </w:pPr>
      <w:r w:rsidRPr="0068677F">
        <w:rPr>
          <w:b/>
          <w:bCs/>
          <w:u w:val="single"/>
        </w:rPr>
        <w:t>7) El número, fecha, el monto del contrato y el plazo de entrega o de ejecución de los servicios u obra;</w:t>
      </w:r>
    </w:p>
    <w:p w14:paraId="00F8F063" w14:textId="5B2551F9" w:rsidR="001D5BB2" w:rsidRDefault="001D5BB2" w:rsidP="001D5BB2">
      <w:pPr>
        <w:pStyle w:val="Citas"/>
      </w:pPr>
      <w:r>
        <w:t>(…)</w:t>
      </w:r>
    </w:p>
    <w:p w14:paraId="0372DC47" w14:textId="7A4C4516" w:rsidR="001D5BB2" w:rsidRPr="0068677F" w:rsidRDefault="001D5BB2" w:rsidP="001D5BB2">
      <w:pPr>
        <w:pStyle w:val="Citas"/>
        <w:rPr>
          <w:b/>
          <w:bCs/>
          <w:u w:val="single"/>
        </w:rPr>
      </w:pPr>
      <w:r w:rsidRPr="0068677F">
        <w:rPr>
          <w:b/>
          <w:bCs/>
          <w:u w:val="single"/>
        </w:rPr>
        <w:t>9) Los informes de avance sobre las obras o servicios contratados;</w:t>
      </w:r>
    </w:p>
    <w:p w14:paraId="6D579D98" w14:textId="21406AFF" w:rsidR="00A34857" w:rsidRPr="00682B6F" w:rsidRDefault="001D5BB2" w:rsidP="00A34857">
      <w:pPr>
        <w:autoSpaceDE w:val="0"/>
        <w:autoSpaceDN w:val="0"/>
        <w:adjustRightInd w:val="0"/>
        <w:spacing w:before="240" w:line="360" w:lineRule="auto"/>
        <w:ind w:left="851" w:right="851"/>
        <w:jc w:val="both"/>
        <w:rPr>
          <w:rFonts w:ascii="Palatino Linotype" w:hAnsi="Palatino Linotype"/>
          <w:b/>
          <w:i/>
          <w:u w:val="single"/>
        </w:rPr>
      </w:pPr>
      <w:r w:rsidRPr="001D5BB2">
        <w:rPr>
          <w:rFonts w:ascii="Palatino Linotype" w:hAnsi="Palatino Linotype"/>
          <w:bCs/>
          <w:i/>
        </w:rPr>
        <w:lastRenderedPageBreak/>
        <w:t>(…)</w:t>
      </w:r>
      <w:r w:rsidR="00A34857" w:rsidRPr="001D5BB2">
        <w:rPr>
          <w:rFonts w:ascii="Palatino Linotype" w:hAnsi="Palatino Linotype"/>
          <w:bCs/>
          <w:i/>
        </w:rPr>
        <w:t xml:space="preserve">” </w:t>
      </w:r>
      <w:r w:rsidR="00A34857" w:rsidRPr="00682B6F">
        <w:rPr>
          <w:rFonts w:ascii="Palatino Linotype" w:hAnsi="Palatino Linotype"/>
          <w:b/>
          <w:i/>
          <w:u w:val="single"/>
        </w:rPr>
        <w:t>[Sic]</w:t>
      </w:r>
    </w:p>
    <w:p w14:paraId="5545CF39" w14:textId="77777777" w:rsidR="00A34857" w:rsidRDefault="00A34857" w:rsidP="00A34857">
      <w:pPr>
        <w:autoSpaceDE w:val="0"/>
        <w:autoSpaceDN w:val="0"/>
        <w:adjustRightInd w:val="0"/>
        <w:spacing w:before="240" w:line="360" w:lineRule="auto"/>
        <w:ind w:right="851"/>
        <w:jc w:val="both"/>
        <w:rPr>
          <w:rFonts w:ascii="Palatino Linotype" w:hAnsi="Palatino Linotype"/>
          <w:b/>
          <w:i/>
        </w:rPr>
      </w:pPr>
    </w:p>
    <w:p w14:paraId="722B930C" w14:textId="4B549C3E" w:rsidR="00A34857" w:rsidRDefault="00A34857" w:rsidP="00A34857">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 xml:space="preserve">en el artículo 92 </w:t>
      </w:r>
      <w:r w:rsidRPr="0039245A">
        <w:rPr>
          <w:rFonts w:ascii="Palatino Linotype" w:eastAsia="Arial Unicode MS" w:hAnsi="Palatino Linotype" w:cs="Times New Roman"/>
          <w:sz w:val="24"/>
          <w:szCs w:val="24"/>
        </w:rPr>
        <w:t>fracci</w:t>
      </w:r>
      <w:r w:rsidR="001D5BB2">
        <w:rPr>
          <w:rFonts w:ascii="Palatino Linotype" w:eastAsia="Arial Unicode MS" w:hAnsi="Palatino Linotype" w:cs="Times New Roman"/>
          <w:sz w:val="24"/>
          <w:szCs w:val="24"/>
        </w:rPr>
        <w:t>ones</w:t>
      </w:r>
      <w:r w:rsidRPr="0039245A">
        <w:rPr>
          <w:rFonts w:ascii="Palatino Linotype" w:eastAsia="Arial Unicode MS" w:hAnsi="Palatino Linotype" w:cs="Times New Roman"/>
          <w:sz w:val="24"/>
          <w:szCs w:val="24"/>
        </w:rPr>
        <w:t xml:space="preserve"> VIII</w:t>
      </w:r>
      <w:r w:rsidR="001D5BB2">
        <w:rPr>
          <w:rFonts w:ascii="Palatino Linotype" w:eastAsia="Arial Unicode MS" w:hAnsi="Palatino Linotype" w:cs="Times New Roman"/>
          <w:sz w:val="24"/>
          <w:szCs w:val="24"/>
        </w:rPr>
        <w:t xml:space="preserve"> y XXIX</w:t>
      </w:r>
      <w:r w:rsidRPr="0039245A">
        <w:rPr>
          <w:rFonts w:ascii="Palatino Linotype" w:eastAsia="Arial Unicode MS" w:hAnsi="Palatino Linotype" w:cs="Times New Roman"/>
          <w:sz w:val="24"/>
          <w:szCs w:val="24"/>
        </w:rPr>
        <w:t>, señala que</w:t>
      </w:r>
      <w:r w:rsidRPr="0039245A">
        <w:rPr>
          <w:rFonts w:ascii="Palatino Linotype" w:eastAsia="MS Mincho" w:hAnsi="Palatino Linotype" w:cs="Tahoma"/>
          <w:sz w:val="24"/>
          <w:szCs w:val="24"/>
        </w:rPr>
        <w:t xml:space="preserve"> la </w:t>
      </w:r>
      <w:r w:rsidRPr="0039245A">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39245A">
        <w:rPr>
          <w:rFonts w:ascii="Palatino Linotype" w:eastAsia="Arial Unicode MS" w:hAnsi="Palatino Linotype" w:cs="Arial"/>
          <w:sz w:val="24"/>
          <w:szCs w:val="24"/>
        </w:rPr>
        <w:t>se trata de las obligaciones de transparencia comunes,</w:t>
      </w:r>
      <w:r w:rsidR="001D5BB2">
        <w:rPr>
          <w:rFonts w:ascii="Palatino Linotype" w:eastAsia="Arial Unicode MS" w:hAnsi="Palatino Linotype" w:cs="Arial"/>
          <w:sz w:val="24"/>
          <w:szCs w:val="24"/>
        </w:rPr>
        <w:t xml:space="preserve"> mismo supuesto comparten los contratos de obras, así como sus informes de avance físico y financiero</w:t>
      </w:r>
      <w:r w:rsidR="0049255A">
        <w:rPr>
          <w:rFonts w:ascii="Palatino Linotype" w:eastAsia="Arial Unicode MS" w:hAnsi="Palatino Linotype" w:cs="Arial"/>
          <w:sz w:val="24"/>
          <w:szCs w:val="24"/>
        </w:rPr>
        <w:t xml:space="preserve"> al tratarse de documentos inmersos en licitaciones o adjudicaciones</w:t>
      </w:r>
      <w:r w:rsidR="001D5BB2">
        <w:rPr>
          <w:rFonts w:ascii="Palatino Linotype" w:eastAsia="Arial Unicode MS" w:hAnsi="Palatino Linotype" w:cs="Arial"/>
          <w:sz w:val="24"/>
          <w:szCs w:val="24"/>
        </w:rPr>
        <w:t xml:space="preserve">. </w:t>
      </w:r>
      <w:r w:rsidRPr="0039245A">
        <w:rPr>
          <w:rFonts w:ascii="Palatino Linotype" w:eastAsia="Arial Unicode MS" w:hAnsi="Palatino Linotype" w:cs="Arial"/>
          <w:sz w:val="24"/>
          <w:szCs w:val="24"/>
        </w:rPr>
        <w:t xml:space="preserve"> </w:t>
      </w:r>
      <w:r w:rsidR="001D5BB2">
        <w:rPr>
          <w:rFonts w:ascii="Palatino Linotype" w:eastAsia="Arial Unicode MS" w:hAnsi="Palatino Linotype" w:cs="Arial"/>
          <w:sz w:val="24"/>
          <w:szCs w:val="24"/>
        </w:rPr>
        <w:t>E</w:t>
      </w:r>
      <w:r w:rsidRPr="0039245A">
        <w:rPr>
          <w:rFonts w:ascii="Palatino Linotype" w:eastAsia="Arial Unicode MS" w:hAnsi="Palatino Linotype" w:cs="Arial"/>
          <w:sz w:val="24"/>
          <w:szCs w:val="24"/>
        </w:rPr>
        <w:t xml:space="preserve">sto es, información que por su naturaleza es pública y que los </w:t>
      </w:r>
      <w:r w:rsidRPr="0039245A">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w:t>
      </w:r>
      <w:r w:rsidRPr="00C82D1D">
        <w:rPr>
          <w:rFonts w:ascii="Palatino Linotype" w:eastAsia="MS Mincho" w:hAnsi="Palatino Linotype" w:cs="Times New Roman"/>
          <w:sz w:val="24"/>
          <w:szCs w:val="24"/>
        </w:rPr>
        <w:t xml:space="preserve">social. </w:t>
      </w:r>
    </w:p>
    <w:p w14:paraId="2FD8CBD1" w14:textId="77777777" w:rsidR="00A34857" w:rsidRPr="00A34857" w:rsidRDefault="00A34857" w:rsidP="009F1AC5">
      <w:pPr>
        <w:spacing w:after="240" w:line="360" w:lineRule="auto"/>
        <w:jc w:val="both"/>
        <w:rPr>
          <w:rFonts w:ascii="Palatino Linotype" w:hAnsi="Palatino Linotype" w:cs="Arial"/>
          <w:b/>
          <w:sz w:val="24"/>
          <w:szCs w:val="24"/>
        </w:rPr>
      </w:pPr>
    </w:p>
    <w:p w14:paraId="77E32024" w14:textId="223450F8" w:rsidR="00152495" w:rsidRDefault="002D0C68" w:rsidP="009F1AC5">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segundo,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veinte de junio de dos mil veintidós, rindió su respuesta a la solicitud de información formulada por el particular, adjuntando para tal efecto lo siguiente:</w:t>
      </w:r>
    </w:p>
    <w:p w14:paraId="3A3BAA01" w14:textId="14E6184D" w:rsidR="009C2E17" w:rsidRPr="002D0C68" w:rsidRDefault="009C2E17" w:rsidP="00A55B39">
      <w:pPr>
        <w:pStyle w:val="Prrafodelista"/>
        <w:numPr>
          <w:ilvl w:val="0"/>
          <w:numId w:val="15"/>
        </w:numPr>
        <w:spacing w:line="360" w:lineRule="auto"/>
        <w:jc w:val="both"/>
        <w:rPr>
          <w:rFonts w:ascii="Palatino Linotype" w:hAnsi="Palatino Linotype" w:cs="Arial"/>
          <w:color w:val="000000"/>
          <w:lang w:val="es-ES_tradnl"/>
        </w:rPr>
      </w:pPr>
      <w:r w:rsidRPr="002D0C68">
        <w:rPr>
          <w:rFonts w:ascii="Palatino Linotype" w:hAnsi="Palatino Linotype" w:cs="Arial"/>
          <w:b/>
          <w:bCs/>
          <w:color w:val="000000"/>
          <w:lang w:val="es-ES_tradnl"/>
        </w:rPr>
        <w:t>“</w:t>
      </w:r>
      <w:r w:rsidR="002D0C68">
        <w:rPr>
          <w:rFonts w:ascii="Palatino Linotype" w:hAnsi="Palatino Linotype" w:cs="Arial"/>
          <w:b/>
          <w:bCs/>
          <w:color w:val="000000"/>
          <w:lang w:val="es-ES_tradnl"/>
        </w:rPr>
        <w:t xml:space="preserve">Respuesta_070_0001.pdf”: </w:t>
      </w:r>
      <w:r w:rsidR="002D0C68">
        <w:rPr>
          <w:rFonts w:ascii="Palatino Linotype" w:hAnsi="Palatino Linotype" w:cs="Arial"/>
          <w:color w:val="000000"/>
          <w:lang w:val="es-ES_tradnl"/>
        </w:rPr>
        <w:t xml:space="preserve">Oficio número </w:t>
      </w:r>
      <w:r w:rsidR="002D0C68">
        <w:rPr>
          <w:rFonts w:ascii="Palatino Linotype" w:hAnsi="Palatino Linotype" w:cs="Arial"/>
          <w:b/>
          <w:bCs/>
          <w:color w:val="000000"/>
          <w:lang w:val="es-ES_tradnl"/>
        </w:rPr>
        <w:t xml:space="preserve">AJ/DA/369/2022 </w:t>
      </w:r>
      <w:r w:rsidR="002D0C68">
        <w:rPr>
          <w:rFonts w:ascii="Palatino Linotype" w:hAnsi="Palatino Linotype" w:cs="Arial"/>
          <w:color w:val="000000"/>
          <w:lang w:val="es-ES_tradnl"/>
        </w:rPr>
        <w:t xml:space="preserve">signado por </w:t>
      </w:r>
      <w:r w:rsidR="007F19BF">
        <w:rPr>
          <w:rFonts w:ascii="Palatino Linotype" w:hAnsi="Palatino Linotype" w:cs="Arial"/>
          <w:color w:val="000000"/>
          <w:lang w:val="es-ES_tradnl"/>
        </w:rPr>
        <w:t xml:space="preserve">la Directora de Administración y dirigido al Titular de la Unidad de Transparencia, de fecha diez de junio de dos mil veintidós, en lo medular aduce </w:t>
      </w:r>
      <w:r w:rsidR="007F19BF">
        <w:rPr>
          <w:rFonts w:ascii="Palatino Linotype" w:hAnsi="Palatino Linotype" w:cs="Arial"/>
          <w:color w:val="000000"/>
          <w:lang w:val="es-ES_tradnl"/>
        </w:rPr>
        <w:lastRenderedPageBreak/>
        <w:t xml:space="preserve">que los requerimientos formulados mediante la solicitud de información </w:t>
      </w:r>
      <w:r w:rsidR="007F19BF">
        <w:rPr>
          <w:rFonts w:ascii="Palatino Linotype" w:hAnsi="Palatino Linotype" w:cs="Arial"/>
          <w:b/>
          <w:bCs/>
          <w:color w:val="000000"/>
          <w:lang w:val="es-ES_tradnl"/>
        </w:rPr>
        <w:t xml:space="preserve">00070/JILOTEPEC/IP/2022 </w:t>
      </w:r>
      <w:r w:rsidR="007F19BF">
        <w:rPr>
          <w:rFonts w:ascii="Palatino Linotype" w:hAnsi="Palatino Linotype" w:cs="Arial"/>
          <w:color w:val="000000"/>
          <w:lang w:val="es-ES_tradnl"/>
        </w:rPr>
        <w:t xml:space="preserve">estriban en derecho de petición. </w:t>
      </w:r>
    </w:p>
    <w:p w14:paraId="261C0B53" w14:textId="64A401AD" w:rsidR="002D0C68" w:rsidRDefault="002D0C68" w:rsidP="002D0C68">
      <w:pPr>
        <w:spacing w:line="360" w:lineRule="auto"/>
        <w:jc w:val="both"/>
        <w:rPr>
          <w:rFonts w:ascii="Palatino Linotype" w:hAnsi="Palatino Linotype" w:cs="Arial"/>
          <w:color w:val="000000"/>
          <w:lang w:val="es-ES_tradnl"/>
        </w:rPr>
      </w:pPr>
    </w:p>
    <w:p w14:paraId="3F494CB2" w14:textId="2B47EEA5" w:rsidR="007F19BF" w:rsidRDefault="00114DCB" w:rsidP="009C2E17">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El Recurrente </w:t>
      </w:r>
      <w:r>
        <w:rPr>
          <w:rFonts w:ascii="Palatino Linotype" w:hAnsi="Palatino Linotype" w:cs="Arial"/>
          <w:color w:val="000000"/>
          <w:sz w:val="24"/>
          <w:lang w:val="es-ES_tradnl"/>
        </w:rPr>
        <w:t>interpuso recurso de revisión en fecha</w:t>
      </w:r>
      <w:r w:rsidR="007F19BF">
        <w:rPr>
          <w:rFonts w:ascii="Palatino Linotype" w:hAnsi="Palatino Linotype" w:cs="Arial"/>
          <w:color w:val="000000"/>
          <w:sz w:val="24"/>
          <w:lang w:val="es-ES_tradnl"/>
        </w:rPr>
        <w:t xml:space="preserve"> veintidós de junio, admitiéndose el veintisiete de junio de dos mil veintidós. Señalando como razones o motivos de inconformidad:</w:t>
      </w:r>
    </w:p>
    <w:p w14:paraId="019AFF25" w14:textId="1F3DB863" w:rsidR="00BA1426" w:rsidRDefault="00BA1426" w:rsidP="00BA1426">
      <w:pPr>
        <w:pStyle w:val="Citas"/>
        <w:rPr>
          <w:sz w:val="24"/>
          <w:lang w:val="es-ES_tradnl"/>
        </w:rPr>
      </w:pPr>
      <w:r>
        <w:t xml:space="preserve">“Se hace valer desde este momento el derecho a que se tiene para la obtención de información publica y maxime cuando se aplican recursos públicos, esto es que la obligada de manera ignorante maneja la interpretación del derecho de petición como una forma distinta a la solicitud de información a que tengo derecho, denotando opacidad y clara conducta de violentar la ley, como se puede apreciar y probar con la repuesta que diera la obligada. Sin dejar de señalar que el peticionario en su caso extremo no requiere fundamentar la petición de información tan solo requiere establecer de manera precisa que información solicita a la obligada. Probando con la documental publica que se anexa a la presente que el obligado es un ejemplo de opacidad y desde este momento hago valer la queja para deslindar responsabilidades de los servidores públicos que actuaron de manera ilegal e infundada.” </w:t>
      </w:r>
      <w:r w:rsidRPr="00BA1426">
        <w:rPr>
          <w:b/>
          <w:bCs/>
        </w:rPr>
        <w:t>(Sic)</w:t>
      </w:r>
    </w:p>
    <w:p w14:paraId="57C0A3C4" w14:textId="77777777" w:rsidR="007F19BF" w:rsidRDefault="007F19BF" w:rsidP="009C2E17">
      <w:pPr>
        <w:spacing w:after="0" w:line="360" w:lineRule="auto"/>
        <w:jc w:val="both"/>
        <w:rPr>
          <w:rFonts w:ascii="Palatino Linotype" w:hAnsi="Palatino Linotype" w:cs="Arial"/>
          <w:color w:val="000000"/>
          <w:sz w:val="24"/>
          <w:lang w:val="es-ES_tradnl"/>
        </w:rPr>
      </w:pPr>
    </w:p>
    <w:p w14:paraId="63138385" w14:textId="2AD541E6" w:rsidR="004B0DB0" w:rsidRDefault="004B0DB0" w:rsidP="004B0DB0">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sidRPr="004B0DB0">
        <w:rPr>
          <w:rFonts w:cs="Arial"/>
          <w:b/>
          <w:i w:val="0"/>
          <w:noProof/>
          <w:color w:val="000000"/>
          <w:sz w:val="24"/>
          <w:lang w:eastAsia="es-MX"/>
        </w:rPr>
        <w:t xml:space="preserve">El Recurrente, </w:t>
      </w:r>
      <w:r w:rsidRPr="004B0DB0">
        <w:rPr>
          <w:rFonts w:cs="Arial"/>
          <w:i w:val="0"/>
          <w:noProof/>
          <w:color w:val="000000"/>
          <w:sz w:val="24"/>
          <w:lang w:eastAsia="es-MX"/>
        </w:rPr>
        <w:t>al tenerse por actualizada la hipotesi</w:t>
      </w:r>
      <w:r w:rsidR="008C7D2E">
        <w:rPr>
          <w:rFonts w:cs="Arial"/>
          <w:i w:val="0"/>
          <w:noProof/>
          <w:color w:val="000000"/>
          <w:sz w:val="24"/>
          <w:lang w:eastAsia="es-MX"/>
        </w:rPr>
        <w:t>s</w:t>
      </w:r>
      <w:r w:rsidRPr="004B0DB0">
        <w:rPr>
          <w:rFonts w:cs="Arial"/>
          <w:i w:val="0"/>
          <w:noProof/>
          <w:color w:val="000000"/>
          <w:sz w:val="24"/>
          <w:lang w:eastAsia="es-MX"/>
        </w:rPr>
        <w:t xml:space="preserve"> normativa prevista en el artículo 179, fracción I</w:t>
      </w:r>
      <w:r>
        <w:rPr>
          <w:rFonts w:cs="Arial"/>
          <w:noProof/>
          <w:color w:val="000000"/>
          <w:sz w:val="24"/>
          <w:lang w:eastAsia="es-MX"/>
        </w:rPr>
        <w:t xml:space="preserve"> </w:t>
      </w:r>
      <w:r>
        <w:rPr>
          <w:rFonts w:cs="Arial"/>
          <w:i w:val="0"/>
          <w:noProof/>
          <w:color w:val="000000"/>
          <w:sz w:val="24"/>
          <w:lang w:eastAsia="es-MX"/>
        </w:rPr>
        <w:t xml:space="preserve">de la Ley de Transparencia y Acceso a la Información Pública del Estado de Mexico y Municipios, cuyo contenido literal es el siguiente: </w:t>
      </w:r>
    </w:p>
    <w:p w14:paraId="7EA97BB3" w14:textId="77777777" w:rsidR="004B0DB0" w:rsidRDefault="004B0DB0" w:rsidP="004B0DB0">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46FB81EE" w14:textId="2252A34D" w:rsidR="004B0DB0" w:rsidRDefault="004B0DB0" w:rsidP="004B0DB0">
      <w:pPr>
        <w:pStyle w:val="Citas"/>
      </w:pPr>
      <w:r>
        <w:t>I. La negativa a la información solicitada;</w:t>
      </w:r>
    </w:p>
    <w:p w14:paraId="574F768C" w14:textId="6EA58B8D" w:rsidR="004B0DB0" w:rsidRPr="004B0DB0" w:rsidRDefault="004B0DB0" w:rsidP="004B0DB0">
      <w:pPr>
        <w:pStyle w:val="Citas"/>
        <w:rPr>
          <w:b/>
          <w:bCs/>
        </w:rPr>
      </w:pPr>
      <w:r>
        <w:t xml:space="preserve">(…)” </w:t>
      </w:r>
      <w:r>
        <w:rPr>
          <w:b/>
          <w:bCs/>
        </w:rPr>
        <w:t>(Sic)</w:t>
      </w:r>
    </w:p>
    <w:p w14:paraId="6B4772B3" w14:textId="39B463B3" w:rsidR="004B0DB0" w:rsidRPr="004B0DB0" w:rsidRDefault="004B0DB0" w:rsidP="009C2E17">
      <w:pPr>
        <w:spacing w:after="0" w:line="360" w:lineRule="auto"/>
        <w:jc w:val="both"/>
        <w:rPr>
          <w:rFonts w:ascii="Palatino Linotype" w:hAnsi="Palatino Linotype" w:cs="Arial"/>
          <w:color w:val="000000"/>
          <w:sz w:val="24"/>
        </w:rPr>
      </w:pPr>
    </w:p>
    <w:p w14:paraId="7B3C92E6" w14:textId="77777777" w:rsidR="00BA1426" w:rsidRPr="00EA1BA1" w:rsidRDefault="004B0DB0" w:rsidP="004B0DB0">
      <w:pPr>
        <w:pStyle w:val="Citas"/>
        <w:tabs>
          <w:tab w:val="left" w:pos="7470"/>
        </w:tabs>
        <w:ind w:left="0" w:right="72"/>
        <w:rPr>
          <w:bCs/>
          <w:i w:val="0"/>
          <w:sz w:val="24"/>
          <w:szCs w:val="24"/>
        </w:rPr>
      </w:pPr>
      <w:r w:rsidRPr="00EA1BA1">
        <w:rPr>
          <w:i w:val="0"/>
          <w:sz w:val="24"/>
          <w:szCs w:val="24"/>
        </w:rPr>
        <w:t xml:space="preserve">Por otra parte, como fue referido en el antecedente quinto, </w:t>
      </w:r>
      <w:r w:rsidRPr="00EA1BA1">
        <w:rPr>
          <w:b/>
          <w:i w:val="0"/>
          <w:sz w:val="24"/>
          <w:szCs w:val="24"/>
        </w:rPr>
        <w:t xml:space="preserve">El Sujeto Obligado </w:t>
      </w:r>
      <w:r w:rsidRPr="00EA1BA1">
        <w:rPr>
          <w:bCs/>
          <w:i w:val="0"/>
          <w:sz w:val="24"/>
          <w:szCs w:val="24"/>
        </w:rPr>
        <w:t xml:space="preserve">fue omiso en rendir su informe justificado, de ahí que deba </w:t>
      </w:r>
      <w:r w:rsidR="00BA1426" w:rsidRPr="00EA1BA1">
        <w:rPr>
          <w:bCs/>
          <w:i w:val="0"/>
          <w:sz w:val="24"/>
          <w:szCs w:val="24"/>
        </w:rPr>
        <w:t>arribarse a las siguientes consideraciones:</w:t>
      </w:r>
    </w:p>
    <w:p w14:paraId="403EC067" w14:textId="660D2C63" w:rsidR="00E26BEE" w:rsidRPr="00EA1BA1" w:rsidRDefault="00E26BEE" w:rsidP="00E26BEE">
      <w:pPr>
        <w:pStyle w:val="Sinespaciado"/>
        <w:numPr>
          <w:ilvl w:val="0"/>
          <w:numId w:val="21"/>
        </w:numPr>
        <w:spacing w:line="360" w:lineRule="auto"/>
        <w:jc w:val="both"/>
        <w:rPr>
          <w:rFonts w:ascii="Palatino Linotype" w:hAnsi="Palatino Linotype"/>
        </w:rPr>
      </w:pPr>
      <w:r w:rsidRPr="00EA1BA1">
        <w:rPr>
          <w:rFonts w:ascii="Palatino Linotype" w:hAnsi="Palatino Linotype"/>
        </w:rPr>
        <w:t xml:space="preserve">El derecho de acceso a la información versa esencialmente en acceder a información registrada en cualquier soporte documental que en ejercicio de las atribuciones conferidas sea generada, poseída o administrada por los </w:t>
      </w:r>
      <w:r w:rsidRPr="00EA1BA1">
        <w:rPr>
          <w:rFonts w:ascii="Palatino Linotype" w:hAnsi="Palatino Linotype"/>
          <w:b/>
          <w:bCs/>
        </w:rPr>
        <w:t xml:space="preserve">Sujetos Obligados. </w:t>
      </w:r>
    </w:p>
    <w:p w14:paraId="6C8E6D44" w14:textId="77777777" w:rsidR="00E26BEE" w:rsidRPr="00EA1BA1" w:rsidRDefault="00E26BEE" w:rsidP="00E26BEE">
      <w:pPr>
        <w:pStyle w:val="Sinespaciado"/>
        <w:numPr>
          <w:ilvl w:val="0"/>
          <w:numId w:val="21"/>
        </w:numPr>
        <w:spacing w:line="360" w:lineRule="auto"/>
        <w:jc w:val="both"/>
        <w:rPr>
          <w:rFonts w:ascii="Palatino Linotype" w:eastAsia="MS Mincho" w:hAnsi="Palatino Linotype" w:cstheme="majorBidi"/>
          <w:b/>
          <w:i/>
          <w:lang w:val="es-ES_tradnl"/>
        </w:rPr>
      </w:pPr>
      <w:r w:rsidRPr="00EA1BA1">
        <w:rPr>
          <w:rFonts w:ascii="Palatino Linotype" w:eastAsia="MS Mincho" w:hAnsi="Palatino Linotype" w:cstheme="majorBidi"/>
          <w:lang w:val="es-ES_tradnl"/>
        </w:rPr>
        <w:t>Por lo que respecta a la definición de derecho de petición, el Maestro Ignacio Burgoa Orihuela refiere: “…</w:t>
      </w:r>
      <w:r w:rsidRPr="00EA1BA1">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A1BA1">
        <w:rPr>
          <w:rFonts w:ascii="Palatino Linotype" w:eastAsia="MS Mincho" w:hAnsi="Palatino Linotype" w:cstheme="majorBidi"/>
          <w:i/>
          <w:vertAlign w:val="superscript"/>
          <w:lang w:val="es-ES_tradnl"/>
        </w:rPr>
        <w:footnoteReference w:id="2"/>
      </w:r>
      <w:r w:rsidRPr="00EA1BA1">
        <w:rPr>
          <w:rFonts w:ascii="Palatino Linotype" w:eastAsia="MS Mincho" w:hAnsi="Palatino Linotype" w:cstheme="majorBidi"/>
          <w:i/>
          <w:lang w:val="es-ES_tradnl"/>
        </w:rPr>
        <w:t xml:space="preserve">  “</w:t>
      </w:r>
      <w:r w:rsidRPr="00EA1BA1">
        <w:rPr>
          <w:rFonts w:ascii="Palatino Linotype" w:eastAsia="MS Mincho" w:hAnsi="Palatino Linotype" w:cstheme="majorBidi"/>
          <w:b/>
          <w:i/>
          <w:lang w:val="es-ES_tradnl"/>
        </w:rPr>
        <w:t>[Sic]</w:t>
      </w:r>
    </w:p>
    <w:p w14:paraId="6D2B5CE5" w14:textId="6D41D9AD" w:rsidR="00E26BEE" w:rsidRPr="00EA1BA1" w:rsidRDefault="00E26BEE" w:rsidP="00E26BEE">
      <w:pPr>
        <w:pStyle w:val="Prrafodelista"/>
        <w:numPr>
          <w:ilvl w:val="0"/>
          <w:numId w:val="21"/>
        </w:numPr>
        <w:autoSpaceDE w:val="0"/>
        <w:autoSpaceDN w:val="0"/>
        <w:adjustRightInd w:val="0"/>
        <w:spacing w:before="240" w:line="360" w:lineRule="auto"/>
        <w:jc w:val="both"/>
        <w:rPr>
          <w:rFonts w:ascii="Palatino Linotype" w:hAnsi="Palatino Linotype"/>
        </w:rPr>
      </w:pPr>
      <w:r w:rsidRPr="00EA1BA1">
        <w:rPr>
          <w:rFonts w:ascii="Palatino Linotype" w:hAnsi="Palatino Linotype"/>
        </w:rPr>
        <w:t xml:space="preserve">Que mediante la solicitud de información </w:t>
      </w:r>
      <w:r w:rsidRPr="00EA1BA1">
        <w:rPr>
          <w:rFonts w:ascii="Palatino Linotype" w:hAnsi="Palatino Linotype"/>
          <w:b/>
          <w:bCs/>
        </w:rPr>
        <w:t xml:space="preserve">00070/JILOTEPE/IP/2022 </w:t>
      </w:r>
      <w:r w:rsidRPr="00EA1BA1">
        <w:rPr>
          <w:rFonts w:ascii="Palatino Linotype" w:hAnsi="Palatino Linotype"/>
        </w:rPr>
        <w:t xml:space="preserve">fueron formulados </w:t>
      </w:r>
      <w:r w:rsidRPr="00EA1BA1">
        <w:rPr>
          <w:rFonts w:ascii="Palatino Linotype" w:hAnsi="Palatino Linotype"/>
          <w:b/>
          <w:bCs/>
        </w:rPr>
        <w:t xml:space="preserve">5 -cinco- </w:t>
      </w:r>
      <w:r w:rsidRPr="00EA1BA1">
        <w:rPr>
          <w:rFonts w:ascii="Palatino Linotype" w:hAnsi="Palatino Linotype"/>
        </w:rPr>
        <w:t xml:space="preserve">requerimientos dispuestos de ser sintetizados en </w:t>
      </w:r>
      <w:r w:rsidRPr="00EA1BA1">
        <w:rPr>
          <w:rFonts w:ascii="Palatino Linotype" w:hAnsi="Palatino Linotype"/>
          <w:b/>
          <w:bCs/>
        </w:rPr>
        <w:t xml:space="preserve">2 -dos- </w:t>
      </w:r>
      <w:r w:rsidRPr="00EA1BA1">
        <w:rPr>
          <w:rFonts w:ascii="Palatino Linotype" w:hAnsi="Palatino Linotype"/>
          <w:b/>
          <w:bCs/>
        </w:rPr>
        <w:lastRenderedPageBreak/>
        <w:t xml:space="preserve">puntos, </w:t>
      </w:r>
      <w:r w:rsidRPr="00EA1BA1">
        <w:rPr>
          <w:rFonts w:ascii="Palatino Linotype" w:hAnsi="Palatino Linotype"/>
        </w:rPr>
        <w:t xml:space="preserve">los cuales son susceptibles de atenderse mediante la prerrogativa constitucional consistente en el derecho de acceso a la información, al tomar en consideración que fueron requeridos documentos generados, poseídos y administrados por </w:t>
      </w:r>
      <w:r w:rsidRPr="00EA1BA1">
        <w:rPr>
          <w:rFonts w:ascii="Palatino Linotype" w:hAnsi="Palatino Linotype"/>
          <w:b/>
          <w:bCs/>
        </w:rPr>
        <w:t xml:space="preserve">El Sujeto Obligado </w:t>
      </w:r>
      <w:r w:rsidRPr="00EA1BA1">
        <w:rPr>
          <w:rFonts w:ascii="Palatino Linotype" w:hAnsi="Palatino Linotype"/>
        </w:rPr>
        <w:t>(nomina general y/o equivalente, programa anual de obra</w:t>
      </w:r>
      <w:r w:rsidR="00EA1BA1">
        <w:rPr>
          <w:rFonts w:ascii="Palatino Linotype" w:hAnsi="Palatino Linotype"/>
        </w:rPr>
        <w:t xml:space="preserve"> y sus modificaciones</w:t>
      </w:r>
      <w:r w:rsidR="0049255A">
        <w:rPr>
          <w:rFonts w:ascii="Palatino Linotype" w:hAnsi="Palatino Linotype"/>
        </w:rPr>
        <w:t xml:space="preserve"> u otros</w:t>
      </w:r>
      <w:r w:rsidRPr="00EA1BA1">
        <w:rPr>
          <w:rFonts w:ascii="Palatino Linotype" w:hAnsi="Palatino Linotype"/>
        </w:rPr>
        <w:t xml:space="preserve">). </w:t>
      </w:r>
    </w:p>
    <w:p w14:paraId="2AF60922" w14:textId="768F4217" w:rsidR="00E26BEE" w:rsidRPr="00EA1BA1" w:rsidRDefault="00E26BEE" w:rsidP="00E26BEE">
      <w:pPr>
        <w:pStyle w:val="Sinespaciado"/>
        <w:numPr>
          <w:ilvl w:val="0"/>
          <w:numId w:val="21"/>
        </w:numPr>
        <w:spacing w:line="360" w:lineRule="auto"/>
        <w:jc w:val="both"/>
        <w:rPr>
          <w:rFonts w:ascii="Palatino Linotype" w:hAnsi="Palatino Linotype"/>
        </w:rPr>
      </w:pPr>
      <w:r w:rsidRPr="00EA1BA1">
        <w:rPr>
          <w:rFonts w:ascii="Palatino Linotype" w:hAnsi="Palatino Linotype"/>
        </w:rPr>
        <w:t>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w:t>
      </w:r>
      <w:r w:rsidR="00EA1BA1">
        <w:rPr>
          <w:rFonts w:ascii="Palatino Linotype" w:hAnsi="Palatino Linotype"/>
        </w:rPr>
        <w:t xml:space="preserve">, porción normativa inobservada por </w:t>
      </w:r>
      <w:r w:rsidR="00EA1BA1">
        <w:rPr>
          <w:rFonts w:ascii="Palatino Linotype" w:hAnsi="Palatino Linotype"/>
          <w:b/>
          <w:bCs/>
        </w:rPr>
        <w:t xml:space="preserve">El Sujeto Obligado. </w:t>
      </w:r>
    </w:p>
    <w:p w14:paraId="454FAE17" w14:textId="53303591" w:rsidR="00235909" w:rsidRPr="00EA1BA1" w:rsidRDefault="00E26BEE" w:rsidP="00E37909">
      <w:pPr>
        <w:pStyle w:val="Sinespaciado"/>
        <w:numPr>
          <w:ilvl w:val="0"/>
          <w:numId w:val="21"/>
        </w:numPr>
        <w:spacing w:line="360" w:lineRule="auto"/>
        <w:jc w:val="both"/>
        <w:rPr>
          <w:rFonts w:ascii="Palatino Linotype" w:hAnsi="Palatino Linotype"/>
        </w:rPr>
      </w:pPr>
      <w:r w:rsidRPr="00EA1BA1">
        <w:rPr>
          <w:rFonts w:ascii="Palatino Linotype" w:hAnsi="Palatino Linotype"/>
        </w:rPr>
        <w:t xml:space="preserve">Que de una interpretación sistemática </w:t>
      </w:r>
      <w:r w:rsidR="00235909" w:rsidRPr="00EA1BA1">
        <w:rPr>
          <w:rFonts w:ascii="Palatino Linotype" w:hAnsi="Palatino Linotype"/>
        </w:rPr>
        <w:t xml:space="preserve">a los artículos 95, fracciones I y IV, 96 Bis de la Ley Orgánica Municipal del Estado de México; así como los numerales 3.41, 3.42, fracciones III, IV y IX, 3.43 del Código Reglamentario del Municipio de Jilotepec 2022-2024, se advierte que la Tesorería, Dirección de Administración, así como la Dirección de Obra Pública resultan competentes para atender la solicitud de información </w:t>
      </w:r>
      <w:r w:rsidR="00235909" w:rsidRPr="00EA1BA1">
        <w:rPr>
          <w:rFonts w:ascii="Palatino Linotype" w:hAnsi="Palatino Linotype"/>
          <w:b/>
          <w:bCs/>
        </w:rPr>
        <w:t xml:space="preserve">00070/JILOTEPE/IP/2022. </w:t>
      </w:r>
    </w:p>
    <w:p w14:paraId="3173E32E" w14:textId="648BD431" w:rsidR="00E26BEE" w:rsidRPr="00EA1BA1" w:rsidRDefault="00E26BEE" w:rsidP="00E26BEE">
      <w:pPr>
        <w:pStyle w:val="Prrafodelista"/>
        <w:numPr>
          <w:ilvl w:val="0"/>
          <w:numId w:val="21"/>
        </w:numPr>
        <w:autoSpaceDE w:val="0"/>
        <w:autoSpaceDN w:val="0"/>
        <w:adjustRightInd w:val="0"/>
        <w:spacing w:before="240" w:line="360" w:lineRule="auto"/>
        <w:jc w:val="both"/>
        <w:rPr>
          <w:rFonts w:ascii="Palatino Linotype" w:hAnsi="Palatino Linotype"/>
        </w:rPr>
      </w:pPr>
      <w:r w:rsidRPr="00EA1BA1">
        <w:rPr>
          <w:rFonts w:ascii="Palatino Linotype" w:hAnsi="Palatino Linotype"/>
        </w:rPr>
        <w:t xml:space="preserve">Que mediante respuesta primigenia, </w:t>
      </w:r>
      <w:r w:rsidR="00235909" w:rsidRPr="00EA1BA1">
        <w:rPr>
          <w:rFonts w:ascii="Palatino Linotype" w:hAnsi="Palatino Linotype"/>
        </w:rPr>
        <w:t xml:space="preserve">el Director de Administración se limitó a señalar erróneamente que la materia de la solicitud de información </w:t>
      </w:r>
      <w:r w:rsidR="00235909" w:rsidRPr="00EA1BA1">
        <w:rPr>
          <w:rFonts w:ascii="Palatino Linotype" w:hAnsi="Palatino Linotype"/>
          <w:b/>
          <w:bCs/>
        </w:rPr>
        <w:t xml:space="preserve">00070/JILOTEPE/IP/2022 </w:t>
      </w:r>
      <w:r w:rsidR="00235909" w:rsidRPr="00EA1BA1">
        <w:rPr>
          <w:rFonts w:ascii="Palatino Linotype" w:hAnsi="Palatino Linotype"/>
        </w:rPr>
        <w:t>encuadra como derecho de petición. Manifestación que no resulta acertada al tomar en cuenta que fueron formulados requerimientos que a toda luz tienen expresión documental (Nomina general y/o equivalente, así como Programa Anual de Obra y sus modificaciones)</w:t>
      </w:r>
      <w:r w:rsidR="009B4BBA">
        <w:rPr>
          <w:rFonts w:ascii="Palatino Linotype" w:hAnsi="Palatino Linotype"/>
        </w:rPr>
        <w:t xml:space="preserve"> y que invariablemente obran en los archivos municipales. </w:t>
      </w:r>
    </w:p>
    <w:p w14:paraId="0695BD94" w14:textId="6E26D5C6" w:rsidR="00E26BEE" w:rsidRPr="00EA1BA1" w:rsidRDefault="00E26BEE" w:rsidP="00E26BEE">
      <w:pPr>
        <w:pStyle w:val="Sinespaciado"/>
        <w:numPr>
          <w:ilvl w:val="0"/>
          <w:numId w:val="21"/>
        </w:numPr>
        <w:spacing w:line="360" w:lineRule="auto"/>
        <w:jc w:val="both"/>
        <w:rPr>
          <w:rFonts w:ascii="Palatino Linotype" w:hAnsi="Palatino Linotype"/>
        </w:rPr>
      </w:pPr>
      <w:r w:rsidRPr="00EA1BA1">
        <w:rPr>
          <w:rFonts w:ascii="Palatino Linotype" w:hAnsi="Palatino Linotype"/>
        </w:rPr>
        <w:lastRenderedPageBreak/>
        <w:t xml:space="preserve">Finalmente, se destaca que </w:t>
      </w:r>
      <w:r w:rsidR="00235909" w:rsidRPr="00EA1BA1">
        <w:rPr>
          <w:rFonts w:ascii="Palatino Linotype" w:hAnsi="Palatino Linotype"/>
        </w:rPr>
        <w:t xml:space="preserve">mediante etapa de manifestaciones, </w:t>
      </w:r>
      <w:r w:rsidR="00235909" w:rsidRPr="00EA1BA1">
        <w:rPr>
          <w:rFonts w:ascii="Palatino Linotype" w:hAnsi="Palatino Linotype"/>
          <w:b/>
          <w:bCs/>
        </w:rPr>
        <w:t xml:space="preserve">El Sujeto Obligado </w:t>
      </w:r>
      <w:r w:rsidR="00235909" w:rsidRPr="00EA1BA1">
        <w:rPr>
          <w:rFonts w:ascii="Palatino Linotype" w:hAnsi="Palatino Linotype"/>
        </w:rPr>
        <w:t xml:space="preserve">fue omiso en reparar la violación al derecho de acceso a la información. </w:t>
      </w:r>
      <w:r w:rsidRPr="00EA1BA1">
        <w:rPr>
          <w:rFonts w:ascii="Palatino Linotype" w:hAnsi="Palatino Linotype"/>
        </w:rPr>
        <w:t xml:space="preserve"> </w:t>
      </w:r>
    </w:p>
    <w:p w14:paraId="007A964D" w14:textId="77777777" w:rsidR="0049255A" w:rsidRDefault="0049255A" w:rsidP="004B0DB0">
      <w:pPr>
        <w:pStyle w:val="Citas"/>
        <w:tabs>
          <w:tab w:val="left" w:pos="7470"/>
        </w:tabs>
        <w:ind w:left="0" w:right="72"/>
        <w:rPr>
          <w:bCs/>
          <w:i w:val="0"/>
          <w:sz w:val="24"/>
          <w:szCs w:val="24"/>
        </w:rPr>
      </w:pPr>
    </w:p>
    <w:p w14:paraId="106005CF" w14:textId="1EE98AB2" w:rsidR="004B0DB0" w:rsidRDefault="004B0DB0" w:rsidP="004B0DB0">
      <w:pPr>
        <w:pStyle w:val="Citas"/>
        <w:tabs>
          <w:tab w:val="left" w:pos="7470"/>
        </w:tabs>
        <w:ind w:left="0" w:right="72"/>
        <w:rPr>
          <w:bCs/>
          <w:i w:val="0"/>
          <w:sz w:val="24"/>
          <w:szCs w:val="24"/>
        </w:rPr>
      </w:pPr>
      <w:r>
        <w:rPr>
          <w:bCs/>
          <w:i w:val="0"/>
          <w:sz w:val="24"/>
          <w:szCs w:val="24"/>
        </w:rPr>
        <w:t xml:space="preserve">Resultando procedente ordenar una búsqueda exhaustiva y razonable, a efecto de hacer entrega vía </w:t>
      </w:r>
      <w:r w:rsidRPr="007169EF">
        <w:rPr>
          <w:b/>
          <w:i w:val="0"/>
          <w:sz w:val="24"/>
          <w:szCs w:val="24"/>
        </w:rPr>
        <w:t>SAIMEX</w:t>
      </w:r>
      <w:r>
        <w:rPr>
          <w:bCs/>
          <w:i w:val="0"/>
          <w:sz w:val="24"/>
          <w:szCs w:val="24"/>
        </w:rPr>
        <w:t xml:space="preserve">, en versión pública de ser procedente, de la siguiente información: </w:t>
      </w:r>
    </w:p>
    <w:p w14:paraId="1938449B" w14:textId="77777777" w:rsidR="00EA1BA1" w:rsidRDefault="00EA1BA1" w:rsidP="00EA1BA1">
      <w:pPr>
        <w:pStyle w:val="Prrafodelista"/>
        <w:numPr>
          <w:ilvl w:val="0"/>
          <w:numId w:val="17"/>
        </w:numPr>
        <w:spacing w:before="240" w:line="360" w:lineRule="auto"/>
        <w:jc w:val="both"/>
        <w:rPr>
          <w:rFonts w:ascii="Palatino Linotype" w:hAnsi="Palatino Linotype"/>
        </w:rPr>
      </w:pPr>
      <w:r>
        <w:rPr>
          <w:rFonts w:ascii="Palatino Linotype" w:hAnsi="Palatino Linotype"/>
        </w:rPr>
        <w:t xml:space="preserve">Nómina general y/o documento equivalente, del periodo comprendido del uno de enero al treinta y uno de mayo de dos mil veintidós. </w:t>
      </w:r>
    </w:p>
    <w:p w14:paraId="1EACA2C3" w14:textId="635840CD" w:rsidR="00EA1BA1" w:rsidRDefault="00EA1BA1" w:rsidP="00EA1BA1">
      <w:pPr>
        <w:pStyle w:val="Prrafodelista"/>
        <w:numPr>
          <w:ilvl w:val="0"/>
          <w:numId w:val="17"/>
        </w:numPr>
        <w:spacing w:before="240" w:line="360" w:lineRule="auto"/>
        <w:jc w:val="both"/>
        <w:rPr>
          <w:rFonts w:ascii="Palatino Linotype" w:hAnsi="Palatino Linotype"/>
        </w:rPr>
      </w:pPr>
      <w:r>
        <w:rPr>
          <w:rFonts w:ascii="Palatino Linotype" w:hAnsi="Palatino Linotype"/>
        </w:rPr>
        <w:t xml:space="preserve">El o los documentos donde consten las obras en curso, obras programadas, presupuesto asignado, forma de asignación, al uno de junio de dos mil veintidós. </w:t>
      </w:r>
    </w:p>
    <w:p w14:paraId="07824FFE" w14:textId="2D438164" w:rsidR="001D5BB2" w:rsidRDefault="001D5BB2" w:rsidP="001D5BB2">
      <w:pPr>
        <w:spacing w:before="240" w:line="360" w:lineRule="auto"/>
        <w:jc w:val="both"/>
        <w:rPr>
          <w:rFonts w:ascii="Palatino Linotype" w:hAnsi="Palatino Linotype"/>
        </w:rPr>
      </w:pPr>
    </w:p>
    <w:p w14:paraId="6AAC5C86" w14:textId="77777777" w:rsidR="001E0820" w:rsidRPr="001E0820" w:rsidRDefault="001D5BB2" w:rsidP="001E0820">
      <w:pPr>
        <w:spacing w:line="360" w:lineRule="auto"/>
        <w:contextualSpacing/>
        <w:jc w:val="both"/>
        <w:rPr>
          <w:rFonts w:ascii="Palatino Linotype" w:hAnsi="Palatino Linotype"/>
          <w:b/>
          <w:sz w:val="24"/>
          <w:szCs w:val="24"/>
        </w:rPr>
      </w:pPr>
      <w:r w:rsidRPr="001E0820">
        <w:rPr>
          <w:rFonts w:ascii="Palatino Linotype" w:hAnsi="Palatino Linotype"/>
          <w:sz w:val="24"/>
          <w:szCs w:val="24"/>
        </w:rPr>
        <w:t>Finalmente, con relación a la nómina general y/o documento equivalente, se destaca que</w:t>
      </w:r>
      <w:r w:rsidR="001E0820" w:rsidRPr="001E0820">
        <w:rPr>
          <w:rFonts w:ascii="Palatino Linotype" w:hAnsi="Palatino Linotype"/>
          <w:sz w:val="24"/>
          <w:szCs w:val="24"/>
        </w:rPr>
        <w:t xml:space="preserve"> refleja el nombre de personal que ejerce funciones de seguridad. </w:t>
      </w:r>
      <w:r w:rsidR="001E0820" w:rsidRPr="001E0820">
        <w:rPr>
          <w:rFonts w:ascii="Palatino Linotype" w:hAnsi="Palatino Linotype" w:cs="Arial"/>
          <w:sz w:val="24"/>
          <w:szCs w:val="24"/>
        </w:rPr>
        <w:t xml:space="preserve">Al respecto se destaca que tomando como parámetro las atribuciones y competencias reservadas, el personal de Seguridad ha sido clasificado en dos rubros, aludiendo al personal operativo y al personal administrativo, destacando que el personal operativo combate directamente a la delincuencia, mientras que el personal administrativo </w:t>
      </w:r>
      <w:r w:rsidR="001E0820" w:rsidRPr="001E0820">
        <w:rPr>
          <w:rFonts w:ascii="Palatino Linotype" w:hAnsi="Palatino Linotype"/>
          <w:sz w:val="24"/>
          <w:szCs w:val="24"/>
        </w:rPr>
        <w:t xml:space="preserve">desempeña actividades diversas a las realizadas por el personal operativo. </w:t>
      </w:r>
    </w:p>
    <w:p w14:paraId="02E7213D" w14:textId="77777777" w:rsidR="001E0820" w:rsidRPr="001E0820" w:rsidRDefault="001E0820" w:rsidP="001E0820">
      <w:pPr>
        <w:spacing w:after="0" w:line="360" w:lineRule="auto"/>
        <w:jc w:val="both"/>
        <w:rPr>
          <w:rFonts w:ascii="Palatino Linotype" w:hAnsi="Palatino Linotype" w:cs="Arial"/>
          <w:sz w:val="24"/>
          <w:szCs w:val="24"/>
        </w:rPr>
      </w:pPr>
    </w:p>
    <w:p w14:paraId="77F2C127" w14:textId="77777777" w:rsidR="001E0820" w:rsidRPr="001E0820" w:rsidRDefault="001E0820" w:rsidP="001E0820">
      <w:pPr>
        <w:spacing w:after="0" w:line="360" w:lineRule="auto"/>
        <w:contextualSpacing/>
        <w:jc w:val="both"/>
        <w:rPr>
          <w:rFonts w:ascii="Palatino Linotype" w:hAnsi="Palatino Linotype"/>
          <w:sz w:val="24"/>
          <w:szCs w:val="24"/>
          <w:lang w:val="es-ES"/>
        </w:rPr>
      </w:pPr>
      <w:r w:rsidRPr="001E0820">
        <w:rPr>
          <w:rFonts w:ascii="Palatino Linotype" w:hAnsi="Palatino Linotype"/>
          <w:sz w:val="24"/>
          <w:szCs w:val="24"/>
          <w:lang w:val="es-ES"/>
        </w:rPr>
        <w:lastRenderedPageBreak/>
        <w:t xml:space="preserve">Bajo este contexto, es menester puntualizar que por regla general existe un interés público por conocer quién es el responsable de ejercer actos de autoridad, recibir recursos públicos o incluso generar actos de molestia. Ciertamente tan claro e indiscutible es dicho interés público que dicha información figura dentro de las obligaciones de transparencia común de los Sujetos Obligados, lo anterior con fundamento en el numeral 92, fracción VII de la Ley de Transparencia local “Directorio de servidores públicos”. </w:t>
      </w:r>
    </w:p>
    <w:p w14:paraId="36E8E484" w14:textId="77777777" w:rsidR="001E0820" w:rsidRPr="001E0820" w:rsidRDefault="001E0820" w:rsidP="001E0820">
      <w:pPr>
        <w:spacing w:after="0" w:line="360" w:lineRule="auto"/>
        <w:contextualSpacing/>
        <w:jc w:val="both"/>
        <w:rPr>
          <w:rFonts w:ascii="Palatino Linotype" w:hAnsi="Palatino Linotype"/>
          <w:sz w:val="24"/>
          <w:szCs w:val="24"/>
          <w:lang w:val="es-ES"/>
        </w:rPr>
      </w:pPr>
    </w:p>
    <w:p w14:paraId="1F93635D" w14:textId="77777777" w:rsidR="001E0820" w:rsidRPr="001E0820" w:rsidRDefault="001E0820" w:rsidP="001E0820">
      <w:pPr>
        <w:spacing w:line="360" w:lineRule="auto"/>
        <w:contextualSpacing/>
        <w:jc w:val="both"/>
        <w:rPr>
          <w:rFonts w:ascii="Palatino Linotype" w:hAnsi="Palatino Linotype"/>
          <w:sz w:val="24"/>
          <w:szCs w:val="24"/>
        </w:rPr>
      </w:pPr>
      <w:r w:rsidRPr="001E0820">
        <w:rPr>
          <w:rFonts w:ascii="Palatino Linotype" w:hAnsi="Palatino Linotype"/>
          <w:sz w:val="24"/>
          <w:szCs w:val="24"/>
        </w:rPr>
        <w:t xml:space="preserve">No obstante, se insiste en que la información relativa a servidores públicos cuyas atribuciones se encuentran encauzadas a la prevención o persecución de los delitos y combate directo de la delincuencia, su nombre requiere de un tratamiento diverso en comparación al resto de los servidores públicos, ya que su divulgación </w:t>
      </w:r>
      <w:r w:rsidRPr="001E0820">
        <w:rPr>
          <w:rFonts w:ascii="Palatino Linotype" w:eastAsia="Palatino Linotype" w:hAnsi="Palatino Linotype" w:cs="Palatino Linotype"/>
          <w:bCs/>
          <w:sz w:val="24"/>
          <w:szCs w:val="24"/>
        </w:rPr>
        <w:t xml:space="preserve">puede comprometer el ejercicio de sus facultades y </w:t>
      </w:r>
      <w:r w:rsidRPr="001E0820">
        <w:rPr>
          <w:rFonts w:ascii="Palatino Linotype" w:hAnsi="Palatino Linotype"/>
          <w:sz w:val="24"/>
          <w:szCs w:val="24"/>
        </w:rPr>
        <w:t>poner en riesgo la vida, seguridad y salud de la persona física.</w:t>
      </w:r>
    </w:p>
    <w:p w14:paraId="74579E3B" w14:textId="77777777" w:rsidR="001E0820" w:rsidRPr="001E0820" w:rsidRDefault="001E0820" w:rsidP="001E0820">
      <w:pPr>
        <w:spacing w:after="0" w:line="360" w:lineRule="auto"/>
        <w:contextualSpacing/>
        <w:jc w:val="both"/>
        <w:rPr>
          <w:rFonts w:ascii="Palatino Linotype" w:hAnsi="Palatino Linotype"/>
          <w:sz w:val="24"/>
          <w:szCs w:val="24"/>
          <w:lang w:val="es-ES"/>
        </w:rPr>
      </w:pPr>
    </w:p>
    <w:p w14:paraId="605E2728" w14:textId="77777777" w:rsidR="001E0820" w:rsidRPr="001E0820" w:rsidRDefault="001E0820" w:rsidP="001E0820">
      <w:pPr>
        <w:spacing w:after="0" w:line="360" w:lineRule="auto"/>
        <w:contextualSpacing/>
        <w:jc w:val="both"/>
        <w:rPr>
          <w:rFonts w:ascii="Palatino Linotype" w:hAnsi="Palatino Linotype"/>
          <w:sz w:val="24"/>
          <w:szCs w:val="24"/>
          <w:lang w:val="es-ES"/>
        </w:rPr>
      </w:pPr>
      <w:r w:rsidRPr="001E0820">
        <w:rPr>
          <w:rFonts w:ascii="Palatino Linotype" w:hAnsi="Palatino Linotype"/>
          <w:sz w:val="24"/>
          <w:szCs w:val="24"/>
          <w:lang w:val="es-ES"/>
        </w:rPr>
        <w:t xml:space="preserve">Al respecto, el Pleno del Órgano Garante Nacional ha sostenido el criterio número </w:t>
      </w:r>
      <w:r w:rsidRPr="001E0820">
        <w:rPr>
          <w:rFonts w:ascii="Palatino Linotype" w:hAnsi="Palatino Linotype"/>
          <w:b/>
          <w:bCs/>
          <w:sz w:val="24"/>
          <w:szCs w:val="24"/>
          <w:lang w:val="es-ES"/>
        </w:rPr>
        <w:t xml:space="preserve">006/2009 </w:t>
      </w:r>
      <w:r w:rsidRPr="001E0820">
        <w:rPr>
          <w:rFonts w:ascii="Palatino Linotype" w:hAnsi="Palatino Linotype"/>
          <w:sz w:val="24"/>
          <w:szCs w:val="24"/>
          <w:lang w:val="es-ES"/>
        </w:rPr>
        <w:t xml:space="preserve">cuyo rubro y texto disponen a la literalidad lo siguiente: </w:t>
      </w:r>
    </w:p>
    <w:p w14:paraId="17110EC3" w14:textId="77777777" w:rsidR="001E0820" w:rsidRPr="001E0820" w:rsidRDefault="001E0820" w:rsidP="001E0820">
      <w:pPr>
        <w:pStyle w:val="Citas"/>
        <w:rPr>
          <w:b/>
          <w:bCs/>
        </w:rPr>
      </w:pPr>
      <w:r w:rsidRPr="001E0820">
        <w:rPr>
          <w:b/>
          <w:bCs/>
        </w:rPr>
        <w:t>“NOMBRES DE SERVIDORES PÚBLICOS DEDICADOS A ACTIVIDADES EN MATERIA DE SEGURIDAD, POR EXCEPCIÓN PUEDEN CONSIDERARSE INFORMACIÓN RESERVADA.</w:t>
      </w:r>
    </w:p>
    <w:p w14:paraId="04701188" w14:textId="77777777" w:rsidR="001E0820" w:rsidRPr="001E0820" w:rsidRDefault="001E0820" w:rsidP="001E0820">
      <w:pPr>
        <w:pStyle w:val="Citas"/>
      </w:pPr>
      <w:r w:rsidRPr="001E0820">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w:t>
      </w:r>
      <w:r w:rsidRPr="001E0820">
        <w:lastRenderedPageBreak/>
        <w:t>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A5D34D8" w14:textId="77777777" w:rsidR="001E0820" w:rsidRPr="001E0820" w:rsidRDefault="001E0820" w:rsidP="001E0820">
      <w:pPr>
        <w:pStyle w:val="Citas"/>
      </w:pPr>
      <w:r w:rsidRPr="001E0820">
        <w:t>Precedentes:</w:t>
      </w:r>
    </w:p>
    <w:p w14:paraId="44C12347" w14:textId="77777777" w:rsidR="001E0820" w:rsidRPr="001E0820" w:rsidRDefault="001E0820" w:rsidP="001E0820">
      <w:pPr>
        <w:pStyle w:val="Citas"/>
        <w:numPr>
          <w:ilvl w:val="0"/>
          <w:numId w:val="27"/>
        </w:numPr>
      </w:pPr>
      <w:r w:rsidRPr="001E0820">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40732858" w14:textId="77777777" w:rsidR="001E0820" w:rsidRPr="001E0820" w:rsidRDefault="001E0820" w:rsidP="001E0820">
      <w:pPr>
        <w:pStyle w:val="Citas"/>
        <w:numPr>
          <w:ilvl w:val="0"/>
          <w:numId w:val="27"/>
        </w:numPr>
      </w:pPr>
      <w:r w:rsidRPr="001E0820">
        <w:rPr>
          <w:color w:val="000000" w:themeColor="text1"/>
        </w:rPr>
        <w:t>Acceso a la información pública. 4130/08. Sesión del 17 de diciembre de 2008. Votación por unanimidad. Sin votos disidentes o particulares. Policía Federal Preventiva. Comisionada Ponente Jacqueline Peschard Mariscal.</w:t>
      </w:r>
    </w:p>
    <w:p w14:paraId="1CDF91BC" w14:textId="77777777" w:rsidR="001E0820" w:rsidRPr="001E0820" w:rsidRDefault="001E0820" w:rsidP="001E0820">
      <w:pPr>
        <w:pStyle w:val="Citas"/>
        <w:numPr>
          <w:ilvl w:val="0"/>
          <w:numId w:val="27"/>
        </w:numPr>
      </w:pPr>
      <w:r w:rsidRPr="001E0820">
        <w:rPr>
          <w:color w:val="000000" w:themeColor="text1"/>
        </w:rPr>
        <w:lastRenderedPageBreak/>
        <w:t>Acceso a la información pública. 4441/08. Sesión del 14 de enero de 2009. Votación por unanimidad. Sin votos disidentes o particulares. Policía Federal Preventiva. Comisionado Ponente Alonso Gómez-Robledo V.</w:t>
      </w:r>
    </w:p>
    <w:p w14:paraId="47E6A400" w14:textId="77777777" w:rsidR="001E0820" w:rsidRPr="001E0820" w:rsidRDefault="001E0820" w:rsidP="001E0820">
      <w:pPr>
        <w:pStyle w:val="Citas"/>
        <w:numPr>
          <w:ilvl w:val="0"/>
          <w:numId w:val="27"/>
        </w:numPr>
      </w:pPr>
      <w:r w:rsidRPr="001E0820">
        <w:rPr>
          <w:color w:val="000000" w:themeColor="text1"/>
        </w:rPr>
        <w:t>Acceso a la información pública. 5235/08. Sesión del 11 de febrero de 2009. Votación por unanimidad. Sin votos disidentes o particulares. Secretaría de la Defensa Nacional. Comisionada Ponente Jacqueline Peschard Mariscal.</w:t>
      </w:r>
    </w:p>
    <w:p w14:paraId="762E7182" w14:textId="77777777" w:rsidR="001E0820" w:rsidRPr="001E0820" w:rsidRDefault="001E0820" w:rsidP="001E0820">
      <w:pPr>
        <w:pStyle w:val="Citas"/>
        <w:numPr>
          <w:ilvl w:val="0"/>
          <w:numId w:val="27"/>
        </w:numPr>
        <w:rPr>
          <w:b/>
          <w:bCs/>
        </w:rPr>
      </w:pPr>
      <w:r w:rsidRPr="001E0820">
        <w:rPr>
          <w:color w:val="000000" w:themeColor="text1"/>
        </w:rPr>
        <w:t xml:space="preserve">Acceso a la información pública. 2166/09. Sesión del 19 de agosto de 2009. Votación por unanimidad. Sin votos disidentes o particulares. Secretaría de Seguridad Pública. Comisionado Ponente Juan Pablo Guerrero Amparán.” </w:t>
      </w:r>
      <w:r w:rsidRPr="001E0820">
        <w:rPr>
          <w:b/>
          <w:bCs/>
          <w:color w:val="000000" w:themeColor="text1"/>
        </w:rPr>
        <w:t>(Sic)</w:t>
      </w:r>
    </w:p>
    <w:p w14:paraId="6EC57C70" w14:textId="77777777" w:rsidR="001E0820" w:rsidRPr="001E0820" w:rsidRDefault="001E0820" w:rsidP="001E0820">
      <w:pPr>
        <w:spacing w:after="0" w:line="360" w:lineRule="auto"/>
        <w:contextualSpacing/>
        <w:jc w:val="both"/>
        <w:rPr>
          <w:rFonts w:ascii="Palatino Linotype" w:hAnsi="Palatino Linotype"/>
          <w:sz w:val="24"/>
          <w:szCs w:val="24"/>
          <w:lang w:val="es-ES"/>
        </w:rPr>
      </w:pPr>
    </w:p>
    <w:p w14:paraId="2943CA67" w14:textId="77777777" w:rsidR="001E0820" w:rsidRPr="001E0820" w:rsidRDefault="001E0820" w:rsidP="001E0820">
      <w:pPr>
        <w:spacing w:after="0" w:line="360" w:lineRule="auto"/>
        <w:contextualSpacing/>
        <w:jc w:val="both"/>
        <w:rPr>
          <w:rFonts w:ascii="Palatino Linotype" w:hAnsi="Palatino Linotype"/>
          <w:sz w:val="24"/>
          <w:szCs w:val="24"/>
          <w:lang w:val="es-ES"/>
        </w:rPr>
      </w:pPr>
      <w:r w:rsidRPr="001E0820">
        <w:rPr>
          <w:rFonts w:ascii="Palatino Linotype" w:hAnsi="Palatino Linotype"/>
          <w:sz w:val="24"/>
          <w:szCs w:val="24"/>
          <w:lang w:val="es-ES"/>
        </w:rPr>
        <w:t xml:space="preserve">Así, el personal operativo se ocupa de garantizar </w:t>
      </w:r>
      <w:r w:rsidRPr="001E0820">
        <w:rPr>
          <w:rFonts w:ascii="Palatino Linotype" w:hAnsi="Palatino Linotype"/>
          <w:color w:val="000000"/>
          <w:sz w:val="24"/>
          <w:szCs w:val="24"/>
        </w:rPr>
        <w:t xml:space="preserve">la seguridad pública, a través de acciones preventivas y correctivas, encaminadas a </w:t>
      </w:r>
      <w:r w:rsidRPr="001E0820">
        <w:rPr>
          <w:rFonts w:ascii="Palatino Linotype" w:hAnsi="Palatino Linotype"/>
          <w:sz w:val="24"/>
          <w:szCs w:val="24"/>
        </w:rPr>
        <w:t xml:space="preserve">la prevención o persecución de los delitos y combate a </w:t>
      </w:r>
      <w:r w:rsidRPr="001E0820">
        <w:rPr>
          <w:rFonts w:ascii="Palatino Linotype" w:hAnsi="Palatino Linotype"/>
          <w:color w:val="000000"/>
          <w:sz w:val="24"/>
          <w:szCs w:val="24"/>
        </w:rPr>
        <w:t xml:space="preserve">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r w:rsidRPr="001E0820">
        <w:rPr>
          <w:rFonts w:ascii="Palatino Linotype" w:hAnsi="Palatino Linotype"/>
          <w:sz w:val="24"/>
          <w:szCs w:val="24"/>
          <w:lang w:val="es-ES"/>
        </w:rPr>
        <w:t xml:space="preserve"> </w:t>
      </w:r>
    </w:p>
    <w:p w14:paraId="28B892AF" w14:textId="77777777" w:rsidR="001E0820" w:rsidRPr="001E0820" w:rsidRDefault="001E0820" w:rsidP="001E0820">
      <w:pPr>
        <w:spacing w:after="0" w:line="360" w:lineRule="auto"/>
        <w:contextualSpacing/>
        <w:jc w:val="both"/>
        <w:rPr>
          <w:rFonts w:ascii="Palatino Linotype" w:hAnsi="Palatino Linotype"/>
          <w:sz w:val="24"/>
          <w:szCs w:val="24"/>
          <w:lang w:val="es-ES"/>
        </w:rPr>
      </w:pPr>
    </w:p>
    <w:p w14:paraId="4BDFFF11" w14:textId="77777777" w:rsidR="001E0820" w:rsidRPr="001E0820" w:rsidRDefault="001E0820" w:rsidP="001E0820">
      <w:pPr>
        <w:spacing w:after="0" w:line="360" w:lineRule="auto"/>
        <w:contextualSpacing/>
        <w:jc w:val="both"/>
        <w:rPr>
          <w:rFonts w:ascii="Palatino Linotype" w:hAnsi="Palatino Linotype"/>
          <w:color w:val="000000"/>
          <w:sz w:val="24"/>
          <w:szCs w:val="24"/>
        </w:rPr>
      </w:pPr>
      <w:r w:rsidRPr="001E0820">
        <w:rPr>
          <w:rFonts w:ascii="Palatino Linotype" w:hAnsi="Palatino Linotype"/>
          <w:sz w:val="24"/>
          <w:szCs w:val="24"/>
          <w:lang w:val="es-ES"/>
        </w:rPr>
        <w:t xml:space="preserve">De tal forma que revelar </w:t>
      </w:r>
      <w:r w:rsidRPr="001E0820">
        <w:rPr>
          <w:rFonts w:ascii="Palatino Linotype" w:hAnsi="Palatino Linotype"/>
          <w:color w:val="000000"/>
          <w:sz w:val="24"/>
          <w:szCs w:val="24"/>
        </w:rPr>
        <w:t>la información de personal operativo  atenta de forma directa contra sus funciones de independencia y autonomía, a su libertad de actuación libre de coacción o interferencia, incluso, los inhibe a actuar bajo el criterio de objetividad.</w:t>
      </w:r>
    </w:p>
    <w:p w14:paraId="6B49118E" w14:textId="77777777" w:rsidR="001E0820" w:rsidRPr="001E0820" w:rsidRDefault="001E0820" w:rsidP="001E0820">
      <w:pPr>
        <w:spacing w:after="0" w:line="360" w:lineRule="auto"/>
        <w:contextualSpacing/>
        <w:jc w:val="both"/>
        <w:rPr>
          <w:rFonts w:ascii="Palatino Linotype" w:hAnsi="Palatino Linotype"/>
          <w:color w:val="000000"/>
          <w:sz w:val="24"/>
          <w:szCs w:val="24"/>
        </w:rPr>
      </w:pPr>
    </w:p>
    <w:p w14:paraId="6D336161" w14:textId="77777777" w:rsidR="001E0820" w:rsidRPr="001E0820" w:rsidRDefault="001E0820" w:rsidP="001E0820">
      <w:pPr>
        <w:spacing w:after="0" w:line="360" w:lineRule="auto"/>
        <w:contextualSpacing/>
        <w:jc w:val="both"/>
        <w:rPr>
          <w:rFonts w:ascii="Palatino Linotype" w:hAnsi="Palatino Linotype"/>
          <w:sz w:val="24"/>
          <w:szCs w:val="24"/>
          <w:lang w:val="es-ES"/>
        </w:rPr>
      </w:pPr>
      <w:r w:rsidRPr="001E0820">
        <w:rPr>
          <w:rFonts w:ascii="Palatino Linotype" w:hAnsi="Palatino Linotype"/>
          <w:sz w:val="24"/>
          <w:szCs w:val="24"/>
          <w:lang w:val="es-ES"/>
        </w:rPr>
        <w:t xml:space="preserve">En sentido contrario, el personal de seguridad que desempeña funciones administrativas invariablemente deberá de recibir un tratamiento menos riguroso, </w:t>
      </w:r>
      <w:r w:rsidRPr="001E0820">
        <w:rPr>
          <w:rFonts w:ascii="Palatino Linotype" w:hAnsi="Palatino Linotype"/>
          <w:sz w:val="24"/>
          <w:szCs w:val="24"/>
          <w:lang w:val="es-ES"/>
        </w:rPr>
        <w:lastRenderedPageBreak/>
        <w:t xml:space="preserve">puesto que sus funciones no involucran riesgo a la vida, seguridad o salud, sino que se limitan a coadyuvar de manera indirecta respecto de la persecución de ilícitos.  </w:t>
      </w:r>
    </w:p>
    <w:p w14:paraId="672BBC8C" w14:textId="77777777" w:rsidR="001E0820" w:rsidRPr="001E0820" w:rsidRDefault="001E0820" w:rsidP="001E0820">
      <w:pPr>
        <w:spacing w:after="0" w:line="360" w:lineRule="auto"/>
        <w:contextualSpacing/>
        <w:jc w:val="both"/>
        <w:rPr>
          <w:rFonts w:ascii="Palatino Linotype" w:hAnsi="Palatino Linotype"/>
          <w:sz w:val="24"/>
          <w:szCs w:val="24"/>
          <w:lang w:val="es-ES"/>
        </w:rPr>
      </w:pPr>
    </w:p>
    <w:p w14:paraId="13ED3FDF" w14:textId="77777777" w:rsidR="001E0820" w:rsidRPr="001E0820" w:rsidRDefault="001E0820" w:rsidP="001E0820">
      <w:pPr>
        <w:spacing w:before="240" w:line="360" w:lineRule="auto"/>
        <w:jc w:val="both"/>
        <w:rPr>
          <w:rFonts w:ascii="Palatino Linotype" w:hAnsi="Palatino Linotype"/>
          <w:sz w:val="24"/>
          <w:szCs w:val="24"/>
        </w:rPr>
      </w:pPr>
      <w:r w:rsidRPr="001E0820">
        <w:rPr>
          <w:rFonts w:ascii="Palatino Linotype" w:hAnsi="Palatino Linotype"/>
          <w:sz w:val="24"/>
          <w:szCs w:val="24"/>
          <w:lang w:val="es-ES"/>
        </w:rPr>
        <w:t xml:space="preserve">Bajo este contexto, con relación al personal operativo </w:t>
      </w:r>
      <w:r w:rsidRPr="001E0820">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1E0820">
        <w:rPr>
          <w:rFonts w:ascii="Palatino Linotype" w:hAnsi="Palatino Linotype"/>
          <w:b/>
          <w:i/>
          <w:sz w:val="24"/>
          <w:szCs w:val="24"/>
        </w:rPr>
        <w:t xml:space="preserve">“prueba de daño” </w:t>
      </w:r>
      <w:r w:rsidRPr="001E0820">
        <w:rPr>
          <w:rFonts w:ascii="Palatino Linotype" w:hAnsi="Palatino Linotype"/>
          <w:sz w:val="24"/>
          <w:szCs w:val="24"/>
        </w:rPr>
        <w:t xml:space="preserve">que consiste en exponer los argumentos y razones, basados en elementos objetivos o verificables, a partir de los cuales se derive que la divulgación de información, en particular, puede afectar, poner en riesgo o dañar el interés protegido. </w:t>
      </w:r>
    </w:p>
    <w:p w14:paraId="0FB80EE7" w14:textId="77777777" w:rsidR="001E0820" w:rsidRPr="001E0820" w:rsidRDefault="001E0820" w:rsidP="001E0820">
      <w:pPr>
        <w:spacing w:before="240" w:line="360" w:lineRule="auto"/>
        <w:jc w:val="both"/>
        <w:rPr>
          <w:rFonts w:ascii="Palatino Linotype" w:hAnsi="Palatino Linotype"/>
          <w:sz w:val="24"/>
          <w:szCs w:val="24"/>
        </w:rPr>
      </w:pPr>
      <w:r w:rsidRPr="001E0820">
        <w:rPr>
          <w:rFonts w:ascii="Palatino Linotype" w:hAnsi="Palatino Linotype"/>
          <w:sz w:val="24"/>
          <w:szCs w:val="24"/>
        </w:rPr>
        <w:t xml:space="preserve">Para aplicar la prueba de daño, se deberán de precisar las razones objetivas por las que la apertura genera una afectación, acreditando que: </w:t>
      </w:r>
    </w:p>
    <w:p w14:paraId="232072EF" w14:textId="77777777" w:rsidR="001E0820" w:rsidRPr="001E0820" w:rsidRDefault="001E0820" w:rsidP="001E0820">
      <w:pPr>
        <w:pStyle w:val="Prrafodelista"/>
        <w:widowControl w:val="0"/>
        <w:numPr>
          <w:ilvl w:val="0"/>
          <w:numId w:val="26"/>
        </w:numPr>
        <w:autoSpaceDE w:val="0"/>
        <w:autoSpaceDN w:val="0"/>
        <w:adjustRightInd w:val="0"/>
        <w:spacing w:before="240"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rPr>
        <w:t xml:space="preserve">La divulgación </w:t>
      </w:r>
      <w:r w:rsidRPr="001E0820">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2EE60B73" w14:textId="77777777" w:rsidR="001E0820" w:rsidRPr="001E0820" w:rsidRDefault="001E0820" w:rsidP="001E0820">
      <w:pPr>
        <w:pStyle w:val="Prrafodelista"/>
        <w:widowControl w:val="0"/>
        <w:numPr>
          <w:ilvl w:val="0"/>
          <w:numId w:val="26"/>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4A51FF56" w14:textId="77777777" w:rsidR="001E0820" w:rsidRPr="001E0820" w:rsidRDefault="001E0820" w:rsidP="001E0820">
      <w:pPr>
        <w:pStyle w:val="Prrafodelista"/>
        <w:widowControl w:val="0"/>
        <w:numPr>
          <w:ilvl w:val="0"/>
          <w:numId w:val="26"/>
        </w:numPr>
        <w:autoSpaceDE w:val="0"/>
        <w:autoSpaceDN w:val="0"/>
        <w:adjustRightInd w:val="0"/>
        <w:spacing w:after="240" w:line="360" w:lineRule="auto"/>
        <w:ind w:right="333"/>
        <w:jc w:val="both"/>
        <w:rPr>
          <w:rFonts w:ascii="Palatino Linotype" w:hAnsi="Palatino Linotype" w:cs="Times"/>
          <w:color w:val="000000" w:themeColor="text1"/>
          <w:lang w:val="es-ES_tradnl"/>
        </w:rPr>
      </w:pPr>
      <w:r w:rsidRPr="001E0820">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46BD67CC" w14:textId="77777777" w:rsidR="001E0820" w:rsidRPr="001E0820" w:rsidRDefault="001E0820" w:rsidP="001E0820">
      <w:pPr>
        <w:spacing w:before="240" w:line="360" w:lineRule="auto"/>
        <w:jc w:val="both"/>
        <w:rPr>
          <w:rFonts w:ascii="Palatino Linotype" w:hAnsi="Palatino Linotype"/>
          <w:sz w:val="24"/>
          <w:szCs w:val="24"/>
        </w:rPr>
      </w:pPr>
    </w:p>
    <w:p w14:paraId="6B43E9FA" w14:textId="77777777" w:rsidR="001E0820" w:rsidRPr="001E0820" w:rsidRDefault="001E0820" w:rsidP="001E0820">
      <w:pPr>
        <w:spacing w:before="240" w:line="360" w:lineRule="auto"/>
        <w:jc w:val="both"/>
        <w:rPr>
          <w:rFonts w:ascii="Palatino Linotype" w:hAnsi="Palatino Linotype"/>
          <w:sz w:val="24"/>
          <w:szCs w:val="24"/>
        </w:rPr>
      </w:pPr>
      <w:r w:rsidRPr="001E0820">
        <w:rPr>
          <w:rFonts w:ascii="Palatino Linotype" w:hAnsi="Palatino Linotype"/>
          <w:sz w:val="24"/>
          <w:szCs w:val="24"/>
        </w:rPr>
        <w:lastRenderedPageBreak/>
        <w:t xml:space="preserve">Los acuerdos de reserva deberán de cumplir con los siguientes parámetros de forma y fondo: </w:t>
      </w:r>
    </w:p>
    <w:p w14:paraId="2774191A"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Número de folio de la solicitud</w:t>
      </w:r>
    </w:p>
    <w:p w14:paraId="2BF3C8E6"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Referencia de la información solicitada</w:t>
      </w:r>
    </w:p>
    <w:p w14:paraId="426ED9D9"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31A83FD0"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 xml:space="preserve">Fundamento y Motivación Legal. </w:t>
      </w:r>
    </w:p>
    <w:p w14:paraId="1EA4CA35"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 xml:space="preserve">Conexión entre los fundamentos y motivos que dieron origen a la Reserva de la información. </w:t>
      </w:r>
    </w:p>
    <w:p w14:paraId="32EE1D36" w14:textId="77777777" w:rsidR="001E0820" w:rsidRPr="001E0820" w:rsidRDefault="001E0820" w:rsidP="001E0820">
      <w:pPr>
        <w:spacing w:before="240" w:line="360" w:lineRule="auto"/>
        <w:ind w:left="360"/>
        <w:jc w:val="both"/>
        <w:rPr>
          <w:rFonts w:ascii="Palatino Linotype" w:hAnsi="Palatino Linotype"/>
          <w:b/>
        </w:rPr>
      </w:pPr>
      <w:r w:rsidRPr="001E0820">
        <w:rPr>
          <w:rFonts w:ascii="Palatino Linotype" w:hAnsi="Palatino Linotype"/>
          <w:b/>
        </w:rPr>
        <w:t>Prueba de Daño</w:t>
      </w:r>
    </w:p>
    <w:p w14:paraId="73E35ECE"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Riesgo real, demostrable e identificable (Modo, Tiempo y lugar)</w:t>
      </w:r>
    </w:p>
    <w:p w14:paraId="74B8FBE5"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Temporalidad de la Reserva de la Información</w:t>
      </w:r>
    </w:p>
    <w:p w14:paraId="77A47227" w14:textId="77777777" w:rsidR="001E0820" w:rsidRPr="001E0820" w:rsidRDefault="001E0820" w:rsidP="001E0820">
      <w:pPr>
        <w:pStyle w:val="Prrafodelista"/>
        <w:numPr>
          <w:ilvl w:val="0"/>
          <w:numId w:val="25"/>
        </w:numPr>
        <w:spacing w:before="240" w:line="360" w:lineRule="auto"/>
        <w:jc w:val="both"/>
        <w:rPr>
          <w:rFonts w:ascii="Palatino Linotype" w:hAnsi="Palatino Linotype"/>
        </w:rPr>
      </w:pPr>
      <w:r w:rsidRPr="001E0820">
        <w:rPr>
          <w:rFonts w:ascii="Palatino Linotype" w:hAnsi="Palatino Linotype"/>
        </w:rPr>
        <w:t xml:space="preserve">Autoridades competentes. </w:t>
      </w:r>
    </w:p>
    <w:p w14:paraId="1D878BD0" w14:textId="7ABC4D02" w:rsidR="001E0820" w:rsidRPr="001E0820" w:rsidRDefault="001E0820" w:rsidP="001E0820">
      <w:pPr>
        <w:spacing w:after="0" w:line="360" w:lineRule="auto"/>
        <w:contextualSpacing/>
        <w:jc w:val="both"/>
        <w:rPr>
          <w:rFonts w:ascii="Palatino Linotype" w:hAnsi="Palatino Linotype"/>
          <w:sz w:val="24"/>
          <w:szCs w:val="24"/>
          <w:lang w:val="es-ES"/>
        </w:rPr>
      </w:pPr>
    </w:p>
    <w:p w14:paraId="740B75DD" w14:textId="77777777" w:rsidR="001E0820" w:rsidRPr="001E0820" w:rsidRDefault="001E0820" w:rsidP="001E0820">
      <w:pPr>
        <w:spacing w:after="0" w:line="360" w:lineRule="auto"/>
        <w:contextualSpacing/>
        <w:jc w:val="both"/>
        <w:rPr>
          <w:rFonts w:ascii="Palatino Linotype" w:hAnsi="Palatino Linotype"/>
          <w:sz w:val="24"/>
          <w:szCs w:val="24"/>
          <w:lang w:val="es-ES"/>
        </w:rPr>
      </w:pPr>
    </w:p>
    <w:p w14:paraId="28D76C17" w14:textId="07782700" w:rsidR="001E0820" w:rsidRPr="001E0820" w:rsidRDefault="001E0820" w:rsidP="001E0820">
      <w:pPr>
        <w:spacing w:after="0" w:line="360" w:lineRule="auto"/>
        <w:jc w:val="both"/>
        <w:rPr>
          <w:rFonts w:ascii="Palatino Linotype" w:hAnsi="Palatino Linotype" w:cs="Arial"/>
          <w:sz w:val="24"/>
          <w:szCs w:val="24"/>
        </w:rPr>
      </w:pPr>
      <w:r w:rsidRPr="001E0820">
        <w:rPr>
          <w:rFonts w:ascii="Palatino Linotype" w:hAnsi="Palatino Linotype" w:cs="Arial"/>
          <w:sz w:val="24"/>
          <w:szCs w:val="24"/>
        </w:rPr>
        <w:t>Con base en lo anteriormente expuesto, resulta procedente ordenar la entrega de la siguiente información</w:t>
      </w:r>
      <w:r w:rsidR="00A3394A">
        <w:rPr>
          <w:rFonts w:ascii="Palatino Linotype" w:hAnsi="Palatino Linotype" w:cs="Arial"/>
          <w:sz w:val="24"/>
          <w:szCs w:val="24"/>
        </w:rPr>
        <w:t xml:space="preserve"> en versión pública de ser procedente</w:t>
      </w:r>
      <w:r w:rsidRPr="001E0820">
        <w:rPr>
          <w:rFonts w:ascii="Palatino Linotype" w:hAnsi="Palatino Linotype" w:cs="Arial"/>
          <w:sz w:val="24"/>
          <w:szCs w:val="24"/>
        </w:rPr>
        <w:t>:</w:t>
      </w:r>
    </w:p>
    <w:p w14:paraId="2E50D28C" w14:textId="77777777" w:rsidR="00A3394A" w:rsidRPr="00A3394A" w:rsidRDefault="00A3394A" w:rsidP="00A3394A">
      <w:pPr>
        <w:pStyle w:val="Prrafodelista"/>
        <w:numPr>
          <w:ilvl w:val="0"/>
          <w:numId w:val="29"/>
        </w:numPr>
        <w:spacing w:before="240" w:line="360" w:lineRule="auto"/>
        <w:jc w:val="both"/>
        <w:rPr>
          <w:rFonts w:ascii="Palatino Linotype" w:hAnsi="Palatino Linotype"/>
        </w:rPr>
      </w:pPr>
      <w:r w:rsidRPr="00A3394A">
        <w:rPr>
          <w:rFonts w:ascii="Palatino Linotype" w:hAnsi="Palatino Linotype"/>
        </w:rPr>
        <w:lastRenderedPageBreak/>
        <w:t xml:space="preserve">Nómina general y/o documento equivalente, del periodo comprendido del uno de enero al treinta y uno de mayo de dos mil veintidós. </w:t>
      </w:r>
    </w:p>
    <w:p w14:paraId="6DAA18ED" w14:textId="777897E5" w:rsidR="00A3394A" w:rsidRDefault="00A3394A" w:rsidP="00A3394A">
      <w:pPr>
        <w:pStyle w:val="Prrafodelista"/>
        <w:numPr>
          <w:ilvl w:val="0"/>
          <w:numId w:val="29"/>
        </w:numPr>
        <w:spacing w:before="240" w:line="360" w:lineRule="auto"/>
        <w:jc w:val="both"/>
        <w:rPr>
          <w:rFonts w:ascii="Palatino Linotype" w:hAnsi="Palatino Linotype"/>
        </w:rPr>
      </w:pPr>
      <w:r w:rsidRPr="00A3394A">
        <w:rPr>
          <w:rFonts w:ascii="Palatino Linotype" w:hAnsi="Palatino Linotype"/>
        </w:rPr>
        <w:t xml:space="preserve">El o los documentos donde consten las obras en curso, obras programadas, presupuesto asignado, forma de asignación, al uno de junio de dos mil veintidós. </w:t>
      </w:r>
    </w:p>
    <w:p w14:paraId="425994C9" w14:textId="77777777" w:rsidR="001D5BB2" w:rsidRPr="006E6525" w:rsidRDefault="001D5BB2" w:rsidP="009B4BBA">
      <w:pPr>
        <w:pStyle w:val="Prrafodelista"/>
        <w:spacing w:before="240" w:line="360" w:lineRule="auto"/>
        <w:ind w:left="720"/>
        <w:jc w:val="both"/>
        <w:rPr>
          <w:rFonts w:ascii="Palatino Linotype" w:hAnsi="Palatino Linotype"/>
        </w:rPr>
      </w:pPr>
    </w:p>
    <w:p w14:paraId="07306ED3" w14:textId="77777777" w:rsidR="004B0DB0" w:rsidRPr="00C22506" w:rsidRDefault="004B0DB0" w:rsidP="004B0DB0">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716ABF79" w14:textId="77777777" w:rsidR="00A3394A" w:rsidRDefault="00A3394A" w:rsidP="00A3394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740707B" w14:textId="77777777" w:rsidR="00A3394A" w:rsidRPr="00E60DEF" w:rsidRDefault="00A3394A" w:rsidP="00A3394A">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E27EB55" w14:textId="77777777" w:rsidR="00A3394A" w:rsidRPr="00E60DEF" w:rsidRDefault="00A3394A" w:rsidP="00A3394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C7C151E" w14:textId="77777777" w:rsidR="00A3394A" w:rsidRPr="001571EB" w:rsidRDefault="00A3394A" w:rsidP="00A3394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F42CF7B" w14:textId="77777777" w:rsidR="00A3394A" w:rsidRPr="001571EB" w:rsidRDefault="00A3394A" w:rsidP="00A3394A">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r w:rsidRPr="001571EB">
        <w:rPr>
          <w:rFonts w:ascii="Palatino Linotype" w:hAnsi="Palatino Linotype" w:cs="Arial"/>
          <w:b/>
          <w:i/>
        </w:rPr>
        <w:t>…</w:t>
      </w:r>
      <w:r>
        <w:rPr>
          <w:rFonts w:ascii="Palatino Linotype" w:hAnsi="Palatino Linotype" w:cs="Arial"/>
          <w:b/>
          <w:i/>
        </w:rPr>
        <w:t>)</w:t>
      </w:r>
    </w:p>
    <w:p w14:paraId="111E6246" w14:textId="77777777" w:rsidR="00A3394A" w:rsidRPr="001571EB" w:rsidRDefault="00A3394A" w:rsidP="00A3394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5ACE0EF" w14:textId="77777777" w:rsidR="00A3394A" w:rsidRPr="001571EB" w:rsidRDefault="00A3394A" w:rsidP="00A3394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643E11EE" w14:textId="77777777" w:rsidR="00A3394A" w:rsidRPr="001571EB" w:rsidRDefault="00A3394A" w:rsidP="00A3394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C42C0E3" w14:textId="77777777" w:rsidR="00A3394A" w:rsidRPr="001571EB" w:rsidRDefault="00A3394A" w:rsidP="00A3394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7EE8DBE" w14:textId="77777777" w:rsidR="00A3394A" w:rsidRPr="001571EB" w:rsidRDefault="00A3394A" w:rsidP="00A3394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5C0A497" w14:textId="77777777" w:rsidR="00A3394A" w:rsidRPr="00E60DEF" w:rsidRDefault="00A3394A" w:rsidP="00A3394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0A770448" w14:textId="77777777" w:rsidR="00A3394A" w:rsidRPr="001571EB" w:rsidRDefault="00A3394A" w:rsidP="00A3394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2EC0651" w14:textId="77777777" w:rsidR="00A3394A" w:rsidRDefault="00A3394A" w:rsidP="00A3394A">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3BB01D5" w14:textId="77777777" w:rsidR="00A3394A" w:rsidRDefault="00A3394A" w:rsidP="00A3394A">
      <w:pPr>
        <w:spacing w:after="0" w:line="360" w:lineRule="auto"/>
        <w:ind w:right="51"/>
        <w:jc w:val="both"/>
        <w:rPr>
          <w:rFonts w:ascii="Palatino Linotype" w:eastAsia="Arial Unicode MS" w:hAnsi="Palatino Linotype" w:cs="Arial"/>
          <w:sz w:val="24"/>
          <w:szCs w:val="24"/>
        </w:rPr>
      </w:pPr>
    </w:p>
    <w:p w14:paraId="384208E5" w14:textId="77777777" w:rsidR="00A3394A" w:rsidRPr="001571EB" w:rsidRDefault="00A3394A" w:rsidP="00A3394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w:t>
      </w:r>
      <w:r w:rsidRPr="009738E1">
        <w:rPr>
          <w:rFonts w:ascii="Palatino Linotype" w:eastAsia="Arial Unicode MS" w:hAnsi="Palatino Linotype" w:cs="Arial"/>
          <w:sz w:val="24"/>
          <w:szCs w:val="24"/>
        </w:rPr>
        <w:t xml:space="preserve">poner a disposición la información correspondiente debe considerarse que tiene carácter de confidencial </w:t>
      </w:r>
      <w:r w:rsidRPr="009738E1">
        <w:rPr>
          <w:rFonts w:ascii="Palatino Linotype" w:hAnsi="Palatino Linotype" w:cs="Arial"/>
          <w:sz w:val="24"/>
          <w:szCs w:val="24"/>
        </w:rPr>
        <w:t xml:space="preserve">el Registro Federal de Contribuyentes </w:t>
      </w:r>
      <w:r w:rsidRPr="009738E1">
        <w:rPr>
          <w:rFonts w:ascii="Palatino Linotype" w:hAnsi="Palatino Linotype" w:cs="Arial"/>
          <w:b/>
          <w:bCs/>
          <w:sz w:val="24"/>
          <w:szCs w:val="24"/>
          <w:u w:val="single"/>
        </w:rPr>
        <w:lastRenderedPageBreak/>
        <w:t>(RFC) que no sean de proveedores,</w:t>
      </w:r>
      <w:r w:rsidRPr="009738E1">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w:t>
      </w:r>
      <w:r w:rsidRPr="001571EB">
        <w:rPr>
          <w:rFonts w:ascii="Palatino Linotype" w:hAnsi="Palatino Linotype" w:cs="Arial"/>
          <w:sz w:val="24"/>
          <w:szCs w:val="24"/>
        </w:rPr>
        <w:t xml:space="preserve">  o aquellos que no reciban recursos públicos, entre otros considerados como datos personales en términos de la normatividad aplicable.</w:t>
      </w:r>
    </w:p>
    <w:p w14:paraId="585BFBBA" w14:textId="77777777" w:rsidR="00A3394A" w:rsidRPr="001571EB" w:rsidRDefault="00A3394A" w:rsidP="00A3394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BD4F3CC" w14:textId="77777777" w:rsidR="00A3394A" w:rsidRPr="001571EB" w:rsidRDefault="00A3394A" w:rsidP="00A3394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399C229" w14:textId="77777777" w:rsidR="00A3394A" w:rsidRDefault="00A3394A" w:rsidP="00A3394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CBA6BB3" w14:textId="77777777" w:rsidR="00A3394A" w:rsidRDefault="00A3394A" w:rsidP="00A3394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6C26C78"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4BC82B82"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939F3FD"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lastRenderedPageBreak/>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F5221FB"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2CEE5155" w14:textId="77777777" w:rsidR="00A3394A" w:rsidRPr="00EE0180"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DB2F7BB" w14:textId="77777777" w:rsidR="00A3394A" w:rsidRPr="001571EB" w:rsidRDefault="00A3394A" w:rsidP="00A3394A">
      <w:pPr>
        <w:autoSpaceDE w:val="0"/>
        <w:autoSpaceDN w:val="0"/>
        <w:adjustRightInd w:val="0"/>
        <w:spacing w:before="120" w:after="120"/>
        <w:ind w:left="567" w:right="850"/>
        <w:jc w:val="both"/>
        <w:rPr>
          <w:rFonts w:ascii="Palatino Linotype" w:eastAsia="Times New Roman" w:hAnsi="Palatino Linotype" w:cs="Arial"/>
          <w:i/>
        </w:rPr>
      </w:pPr>
    </w:p>
    <w:p w14:paraId="65D69035" w14:textId="77777777" w:rsidR="00A3394A" w:rsidRPr="009738E1" w:rsidRDefault="00A3394A" w:rsidP="00A3394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homoclave, la cual es única e irrepetible y determina </w:t>
      </w:r>
      <w:r w:rsidRPr="009738E1">
        <w:rPr>
          <w:rFonts w:ascii="Palatino Linotype" w:hAnsi="Palatino Linotype" w:cs="Arial"/>
          <w:sz w:val="24"/>
          <w:szCs w:val="24"/>
          <w:lang w:eastAsia="es-MX"/>
        </w:rPr>
        <w:t>justamente la identificación de dicha persona para efectos fiscales, por lo éste constituye un dato personal que concierne a una persona física identificada e identificable.</w:t>
      </w:r>
    </w:p>
    <w:p w14:paraId="736721D5" w14:textId="77777777" w:rsidR="00A3394A" w:rsidRPr="009738E1" w:rsidRDefault="00A3394A" w:rsidP="00A3394A">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5689EDC0" w14:textId="77777777" w:rsidR="00A3394A" w:rsidRPr="009738E1" w:rsidRDefault="00A3394A" w:rsidP="00A3394A">
      <w:pPr>
        <w:spacing w:before="240" w:after="240" w:line="360" w:lineRule="auto"/>
        <w:jc w:val="both"/>
        <w:rPr>
          <w:rFonts w:ascii="Palatino Linotype" w:hAnsi="Palatino Linotype" w:cs="Arial"/>
          <w:sz w:val="24"/>
          <w:szCs w:val="24"/>
          <w:lang w:eastAsia="es-MX"/>
        </w:rPr>
      </w:pPr>
      <w:r w:rsidRPr="009738E1">
        <w:rPr>
          <w:rFonts w:ascii="Palatino Linotype" w:hAnsi="Palatino Linotype" w:cs="Arial"/>
          <w:sz w:val="24"/>
          <w:szCs w:val="24"/>
          <w:lang w:eastAsia="es-MX"/>
        </w:rPr>
        <w:t xml:space="preserve">Robustece lo anterior, el criterio </w:t>
      </w:r>
      <w:r w:rsidRPr="009738E1">
        <w:rPr>
          <w:rFonts w:ascii="Palatino Linotype" w:hAnsi="Palatino Linotype" w:cs="Arial"/>
          <w:b/>
          <w:bCs/>
          <w:sz w:val="24"/>
          <w:szCs w:val="24"/>
          <w:lang w:eastAsia="es-MX"/>
        </w:rPr>
        <w:t xml:space="preserve">04/21 </w:t>
      </w:r>
      <w:r w:rsidRPr="009738E1">
        <w:rPr>
          <w:rFonts w:ascii="Palatino Linotype" w:hAnsi="Palatino Linotype" w:cs="Arial"/>
          <w:sz w:val="24"/>
          <w:szCs w:val="24"/>
          <w:lang w:eastAsia="es-MX"/>
        </w:rPr>
        <w:t xml:space="preserve">emitido por el Órgano Garante Nacional, cuyo rubro y texto disponen a la literalidad lo siguiente: </w:t>
      </w:r>
    </w:p>
    <w:p w14:paraId="0472C4E2" w14:textId="77777777" w:rsidR="00A3394A" w:rsidRPr="009738E1" w:rsidRDefault="00A3394A" w:rsidP="00A3394A">
      <w:pPr>
        <w:pStyle w:val="Citas"/>
        <w:rPr>
          <w:b/>
          <w:sz w:val="24"/>
          <w:szCs w:val="24"/>
        </w:rPr>
      </w:pPr>
      <w:r w:rsidRPr="009738E1">
        <w:rPr>
          <w:b/>
          <w:sz w:val="24"/>
          <w:szCs w:val="24"/>
        </w:rPr>
        <w:t xml:space="preserve">“REGISTRO FEDERAL DE CONTRIBUYENTES (RFC) DE PERSONAS FÍSICAS PROVEEDORES O CONTRATISTAS. </w:t>
      </w:r>
    </w:p>
    <w:p w14:paraId="41F7B551" w14:textId="77777777" w:rsidR="00A3394A" w:rsidRPr="009738E1" w:rsidRDefault="00A3394A" w:rsidP="00A3394A">
      <w:pPr>
        <w:pStyle w:val="Citas"/>
        <w:rPr>
          <w:color w:val="000000"/>
        </w:rPr>
      </w:pPr>
      <w:r w:rsidRPr="009738E1">
        <w:lastRenderedPageBreak/>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56F3CC80" w14:textId="77777777" w:rsidR="00A3394A" w:rsidRPr="009738E1" w:rsidRDefault="00A3394A" w:rsidP="00A3394A">
      <w:pPr>
        <w:pStyle w:val="Citas"/>
        <w:rPr>
          <w:b/>
        </w:rPr>
      </w:pPr>
      <w:r w:rsidRPr="009738E1">
        <w:rPr>
          <w:b/>
        </w:rPr>
        <w:t>Precedentes:</w:t>
      </w:r>
    </w:p>
    <w:p w14:paraId="61F92FCD" w14:textId="77777777" w:rsidR="00A3394A" w:rsidRPr="009738E1" w:rsidRDefault="00A3394A" w:rsidP="00A3394A">
      <w:pPr>
        <w:pStyle w:val="Citas"/>
        <w:numPr>
          <w:ilvl w:val="0"/>
          <w:numId w:val="28"/>
        </w:numPr>
      </w:pPr>
      <w:r w:rsidRPr="009738E1">
        <w:t>Acceso a la información Pública. RRA 3639/19.</w:t>
      </w:r>
      <w:r w:rsidRPr="009738E1">
        <w:rPr>
          <w:b/>
        </w:rPr>
        <w:t xml:space="preserve"> </w:t>
      </w:r>
      <w:r w:rsidRPr="009738E1">
        <w:t>Sesión del 10 de julio de 2019. Votación por mayoría. Con voto disidente del Comisionado Joel Salas Suárez. Instituto para la Protección del Ahorro Bancario. Comisionada Ponente María Patricia Kurczyn Villalobos.</w:t>
      </w:r>
    </w:p>
    <w:p w14:paraId="2FABBB7E" w14:textId="77777777" w:rsidR="00A3394A" w:rsidRPr="009738E1" w:rsidRDefault="00A3394A" w:rsidP="00A3394A">
      <w:pPr>
        <w:pStyle w:val="Citas"/>
        <w:numPr>
          <w:ilvl w:val="0"/>
          <w:numId w:val="28"/>
        </w:numPr>
        <w:rPr>
          <w:b/>
        </w:rPr>
      </w:pPr>
      <w:r w:rsidRPr="009738E1">
        <w:t>Acceso a la información Pública. RRA 7709/19.</w:t>
      </w:r>
      <w:r w:rsidRPr="009738E1">
        <w:rPr>
          <w:b/>
        </w:rPr>
        <w:t xml:space="preserve"> </w:t>
      </w:r>
      <w:r w:rsidRPr="009738E1">
        <w:t>Sesión del 13 de agosto de 2019. Votación por unanimidad. Con voto particular de la Comisionada Josefina Román Vergara. Suprema Corte de Justicia de la Nación. Comisionada Ponente Josefina Román Vergara.</w:t>
      </w:r>
    </w:p>
    <w:p w14:paraId="6A449974" w14:textId="77777777" w:rsidR="00A3394A" w:rsidRPr="009738E1" w:rsidRDefault="00A3394A" w:rsidP="00A3394A">
      <w:pPr>
        <w:pStyle w:val="Citas"/>
        <w:numPr>
          <w:ilvl w:val="0"/>
          <w:numId w:val="28"/>
        </w:numPr>
        <w:rPr>
          <w:color w:val="000000"/>
        </w:rPr>
      </w:pPr>
      <w:r w:rsidRPr="009738E1">
        <w:t>Acceso a la información Pública. RRA 5774/19.</w:t>
      </w:r>
      <w:r w:rsidRPr="009738E1">
        <w:rPr>
          <w:b/>
        </w:rPr>
        <w:t xml:space="preserve"> </w:t>
      </w:r>
      <w:r w:rsidRPr="009738E1">
        <w:t xml:space="preserve">Sesión del 21 de agosto de 2019. Votación por mayoría. Con voto disidente del Comisionado Joel Salas Suárez. Secretaría de Marina. Comisionada Ponente Blanca Lilia Ibarra Cadena.” </w:t>
      </w:r>
      <w:r w:rsidRPr="009738E1">
        <w:rPr>
          <w:b/>
          <w:bCs/>
        </w:rPr>
        <w:t>(Sic)</w:t>
      </w:r>
    </w:p>
    <w:p w14:paraId="64BFD852" w14:textId="77777777" w:rsidR="00A3394A" w:rsidRPr="009738E1" w:rsidRDefault="00A3394A" w:rsidP="00A3394A">
      <w:pPr>
        <w:spacing w:before="240" w:after="240" w:line="360" w:lineRule="auto"/>
        <w:jc w:val="both"/>
        <w:rPr>
          <w:rFonts w:ascii="Palatino Linotype" w:hAnsi="Palatino Linotype" w:cs="Arial"/>
          <w:sz w:val="24"/>
          <w:szCs w:val="24"/>
          <w:lang w:eastAsia="es-MX"/>
        </w:rPr>
      </w:pPr>
    </w:p>
    <w:p w14:paraId="2EDAB22F" w14:textId="77777777" w:rsidR="00A3394A" w:rsidRPr="001571EB" w:rsidRDefault="00A3394A" w:rsidP="00A3394A">
      <w:pPr>
        <w:spacing w:before="240" w:after="240" w:line="360" w:lineRule="auto"/>
        <w:jc w:val="both"/>
        <w:rPr>
          <w:rFonts w:ascii="Palatino Linotype" w:eastAsia="Calibri" w:hAnsi="Palatino Linotype" w:cs="Arial"/>
          <w:sz w:val="24"/>
          <w:szCs w:val="24"/>
          <w:lang w:eastAsia="es-MX"/>
        </w:rPr>
      </w:pPr>
      <w:r w:rsidRPr="009738E1">
        <w:rPr>
          <w:rFonts w:ascii="Palatino Linotype" w:hAnsi="Palatino Linotype" w:cs="Arial"/>
          <w:sz w:val="24"/>
          <w:szCs w:val="24"/>
          <w:lang w:eastAsia="es-MX"/>
        </w:rPr>
        <w:t xml:space="preserve">En cuanto a la </w:t>
      </w:r>
      <w:r w:rsidRPr="009738E1">
        <w:rPr>
          <w:rFonts w:ascii="Palatino Linotype" w:hAnsi="Palatino Linotype" w:cs="Arial"/>
          <w:sz w:val="24"/>
          <w:szCs w:val="24"/>
        </w:rPr>
        <w:t xml:space="preserve">Clave Única de Registro de Población (CURP) en virtud de que éste se </w:t>
      </w:r>
      <w:r w:rsidRPr="009738E1">
        <w:rPr>
          <w:rFonts w:ascii="Palatino Linotype" w:eastAsia="Calibri" w:hAnsi="Palatino Linotype" w:cs="Arial"/>
          <w:sz w:val="24"/>
          <w:szCs w:val="24"/>
          <w:lang w:eastAsia="es-MX"/>
        </w:rPr>
        <w:t>integra por datos personales que únicamente</w:t>
      </w:r>
      <w:r w:rsidRPr="001571EB">
        <w:rPr>
          <w:rFonts w:ascii="Palatino Linotype" w:eastAsia="Calibri" w:hAnsi="Palatino Linotype" w:cs="Arial"/>
          <w:sz w:val="24"/>
          <w:szCs w:val="24"/>
          <w:lang w:eastAsia="es-MX"/>
        </w:rPr>
        <w:t xml:space="preserve"> le conciernen a un particular como son su fecha de nacimiento, su nombre, sus apellidos y su lugar de nacimiento; información que permite distinguirlo del resto de los habitantes, se considera que es de carácter confidencial.</w:t>
      </w:r>
    </w:p>
    <w:p w14:paraId="16F27A3C" w14:textId="77777777" w:rsidR="00A3394A" w:rsidRDefault="00A3394A" w:rsidP="00A3394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F481C5F" w14:textId="77777777" w:rsidR="00A3394A" w:rsidRDefault="00A3394A" w:rsidP="00A3394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3C755AC7"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D285E47"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0B5CFC5"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29F0635A" w14:textId="77777777" w:rsidR="00A3394A" w:rsidRPr="001571EB"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062042AC" w14:textId="77777777" w:rsidR="00A3394A" w:rsidRDefault="00A3394A" w:rsidP="00A3394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1EAA8532" w14:textId="77777777" w:rsidR="00A3394A" w:rsidRDefault="00A3394A" w:rsidP="00A3394A">
      <w:pPr>
        <w:spacing w:after="0" w:line="360" w:lineRule="auto"/>
        <w:ind w:right="51"/>
        <w:jc w:val="both"/>
        <w:rPr>
          <w:rFonts w:ascii="Palatino Linotype" w:hAnsi="Palatino Linotype" w:cs="Arial"/>
          <w:sz w:val="24"/>
          <w:szCs w:val="24"/>
        </w:rPr>
      </w:pPr>
    </w:p>
    <w:p w14:paraId="0EC4984C" w14:textId="77777777" w:rsidR="00A3394A" w:rsidRDefault="00A3394A" w:rsidP="00A3394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095521C5" w14:textId="77777777" w:rsidR="00EA1BA1" w:rsidRDefault="00EA1BA1" w:rsidP="004B0DB0">
      <w:pPr>
        <w:spacing w:after="0" w:line="360" w:lineRule="auto"/>
        <w:ind w:right="51"/>
        <w:jc w:val="both"/>
        <w:rPr>
          <w:rFonts w:ascii="Palatino Linotype" w:hAnsi="Palatino Linotype" w:cs="Arial"/>
          <w:sz w:val="24"/>
          <w:szCs w:val="24"/>
        </w:rPr>
      </w:pPr>
    </w:p>
    <w:p w14:paraId="3FA164EF" w14:textId="7DE2ECB5" w:rsidR="004B0DB0" w:rsidRPr="004B0DB0" w:rsidRDefault="004B0DB0" w:rsidP="004B0DB0">
      <w:pPr>
        <w:spacing w:after="0" w:line="360" w:lineRule="auto"/>
        <w:jc w:val="both"/>
        <w:rPr>
          <w:rFonts w:ascii="Palatino Linotype" w:eastAsia="Times New Roman" w:hAnsi="Palatino Linotype" w:cs="Times New Roman"/>
          <w:bCs/>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EA1BA1">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EA1BA1">
        <w:rPr>
          <w:rFonts w:ascii="Palatino Linotype" w:eastAsia="Times New Roman" w:hAnsi="Palatino Linotype" w:cs="Times New Roman"/>
          <w:b/>
          <w:sz w:val="24"/>
          <w:szCs w:val="24"/>
          <w:lang w:eastAsia="es-ES"/>
        </w:rPr>
        <w:t xml:space="preserve">00070/JILOTEPE/IP/2022 </w:t>
      </w:r>
      <w:r>
        <w:rPr>
          <w:rFonts w:ascii="Palatino Linotype" w:eastAsia="Times New Roman" w:hAnsi="Palatino Linotype" w:cs="Times New Roman"/>
          <w:bCs/>
          <w:sz w:val="24"/>
          <w:szCs w:val="24"/>
          <w:lang w:eastAsia="es-ES"/>
        </w:rPr>
        <w:t xml:space="preserve">que ha sido materia del presente fallo. </w:t>
      </w:r>
    </w:p>
    <w:p w14:paraId="6C599FE9" w14:textId="77777777" w:rsidR="004B0DB0" w:rsidRDefault="004B0DB0" w:rsidP="004B0DB0">
      <w:pPr>
        <w:spacing w:after="0" w:line="360" w:lineRule="auto"/>
        <w:jc w:val="both"/>
        <w:rPr>
          <w:rFonts w:ascii="Palatino Linotype" w:eastAsia="Times New Roman" w:hAnsi="Palatino Linotype" w:cs="Times New Roman"/>
          <w:b/>
          <w:sz w:val="24"/>
          <w:szCs w:val="24"/>
          <w:lang w:eastAsia="es-ES"/>
        </w:rPr>
      </w:pPr>
    </w:p>
    <w:p w14:paraId="76CE3415" w14:textId="77777777" w:rsidR="004B0DB0" w:rsidRDefault="004B0DB0" w:rsidP="004B0DB0">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87AE0A9" w14:textId="77777777" w:rsidR="004B0DB0" w:rsidRPr="004B0DB0" w:rsidRDefault="004B0DB0" w:rsidP="004B0DB0">
      <w:pPr>
        <w:pStyle w:val="Prrafodelista"/>
        <w:spacing w:before="240" w:after="240" w:line="360" w:lineRule="auto"/>
        <w:ind w:left="0"/>
        <w:jc w:val="both"/>
        <w:rPr>
          <w:rFonts w:ascii="Palatino Linotype" w:hAnsi="Palatino Linotype"/>
          <w:lang w:val="es-MX"/>
        </w:rPr>
      </w:pPr>
    </w:p>
    <w:p w14:paraId="3B18FC2E" w14:textId="77777777" w:rsidR="00B07F0A" w:rsidRPr="00413327" w:rsidRDefault="00B07F0A" w:rsidP="00B07F0A">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88F3319" w14:textId="0F5ABD17" w:rsidR="00B07F0A" w:rsidRDefault="00B07F0A" w:rsidP="00B07F0A">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EA1BA1">
        <w:rPr>
          <w:rFonts w:ascii="Palatino Linotype" w:eastAsia="Times New Roman" w:hAnsi="Palatino Linotype" w:cs="Times New Roman"/>
          <w:b/>
          <w:sz w:val="24"/>
          <w:szCs w:val="24"/>
          <w:lang w:eastAsia="es-ES"/>
        </w:rPr>
        <w:t xml:space="preserve">00070/JILOTEPE/IP/2022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714D07B" w14:textId="77777777" w:rsidR="00EA1BA1" w:rsidRDefault="00EA1BA1" w:rsidP="00B07F0A">
      <w:pPr>
        <w:spacing w:before="240" w:line="360" w:lineRule="auto"/>
        <w:jc w:val="both"/>
        <w:rPr>
          <w:rFonts w:ascii="Palatino Linotype" w:hAnsi="Palatino Linotype" w:cs="Arial"/>
          <w:sz w:val="24"/>
          <w:szCs w:val="24"/>
        </w:rPr>
      </w:pPr>
    </w:p>
    <w:p w14:paraId="7CBE464F" w14:textId="521E8967" w:rsidR="00E761C2" w:rsidRPr="006633BF" w:rsidRDefault="00E761C2" w:rsidP="00E761C2">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lastRenderedPageBreak/>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AE427F">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18B14DE5" w14:textId="77777777" w:rsidR="00EA1BA1" w:rsidRPr="00EA1BA1" w:rsidRDefault="00EA1BA1" w:rsidP="00EA1BA1">
      <w:pPr>
        <w:pStyle w:val="Prrafodelista"/>
        <w:numPr>
          <w:ilvl w:val="0"/>
          <w:numId w:val="2"/>
        </w:numPr>
        <w:spacing w:before="240" w:line="360" w:lineRule="auto"/>
        <w:jc w:val="both"/>
        <w:rPr>
          <w:rFonts w:ascii="Palatino Linotype" w:hAnsi="Palatino Linotype"/>
          <w:i/>
          <w:iCs/>
        </w:rPr>
      </w:pPr>
      <w:r w:rsidRPr="00EA1BA1">
        <w:rPr>
          <w:rFonts w:ascii="Palatino Linotype" w:hAnsi="Palatino Linotype"/>
          <w:i/>
          <w:iCs/>
        </w:rPr>
        <w:t xml:space="preserve">Nómina general y/o documento equivalente, del periodo comprendido del uno de enero al treinta y uno de mayo de dos mil veintidós. </w:t>
      </w:r>
    </w:p>
    <w:p w14:paraId="650606A8" w14:textId="4334FC76" w:rsidR="00EA1BA1" w:rsidRDefault="00EA1BA1" w:rsidP="00EA1BA1">
      <w:pPr>
        <w:pStyle w:val="Prrafodelista"/>
        <w:numPr>
          <w:ilvl w:val="0"/>
          <w:numId w:val="2"/>
        </w:numPr>
        <w:spacing w:before="240" w:line="360" w:lineRule="auto"/>
        <w:jc w:val="both"/>
        <w:rPr>
          <w:rFonts w:ascii="Palatino Linotype" w:hAnsi="Palatino Linotype"/>
          <w:i/>
          <w:iCs/>
        </w:rPr>
      </w:pPr>
      <w:r w:rsidRPr="00EA1BA1">
        <w:rPr>
          <w:rFonts w:ascii="Palatino Linotype" w:hAnsi="Palatino Linotype"/>
          <w:i/>
          <w:iCs/>
        </w:rPr>
        <w:t xml:space="preserve">El o los documentos donde consten las obras en curso, obras programadas, presupuesto asignado, forma de asignación, al uno de junio de dos mil veintidós. </w:t>
      </w:r>
    </w:p>
    <w:p w14:paraId="2B73FE2F" w14:textId="56F704D7" w:rsidR="00B07F0A" w:rsidRDefault="009F151B" w:rsidP="00B07F0A">
      <w:pPr>
        <w:pStyle w:val="Prrafodelista"/>
        <w:spacing w:before="240" w:line="360" w:lineRule="auto"/>
        <w:ind w:left="709"/>
        <w:jc w:val="both"/>
        <w:rPr>
          <w:rFonts w:ascii="Palatino Linotype" w:hAnsi="Palatino Linotype" w:cs="Arial"/>
          <w:i/>
        </w:rPr>
      </w:pPr>
      <w:r>
        <w:rPr>
          <w:rFonts w:ascii="Palatino Linotype" w:hAnsi="Palatino Linotype" w:cs="Arial"/>
          <w:i/>
        </w:rPr>
        <w:t>Para</w:t>
      </w:r>
      <w:r w:rsidR="00B07F0A">
        <w:rPr>
          <w:rFonts w:ascii="Palatino Linotype" w:hAnsi="Palatino Linotype" w:cs="Arial"/>
          <w:i/>
        </w:rPr>
        <w:t xml:space="preserve"> la entrega en versión pública deberá emitir el Acuerdo del Comité de Transparencia en términos de los artículos 49, fracción VIII</w:t>
      </w:r>
      <w:r w:rsidR="00015C81">
        <w:rPr>
          <w:rFonts w:ascii="Palatino Linotype" w:hAnsi="Palatino Linotype" w:cs="Arial"/>
          <w:i/>
        </w:rPr>
        <w:t xml:space="preserve"> y </w:t>
      </w:r>
      <w:r w:rsidR="00B07F0A">
        <w:rPr>
          <w:rFonts w:ascii="Palatino Linotype" w:hAnsi="Palatino Linotype" w:cs="Arial"/>
          <w:i/>
        </w:rPr>
        <w:t>132 fracción II de la Ley de Transparencia y Acceso a la Información Pública del Estado de México y Municipios, en el que funde y motive las razones sobre los datos que se supriman o eliminen y se ponga a disposición del recurrente.</w:t>
      </w:r>
    </w:p>
    <w:p w14:paraId="7250D7F8" w14:textId="77777777" w:rsidR="0003628E" w:rsidRDefault="0003628E" w:rsidP="00B07F0A">
      <w:pPr>
        <w:pStyle w:val="Prrafodelista"/>
        <w:spacing w:before="240" w:line="360" w:lineRule="auto"/>
        <w:ind w:left="709"/>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973DE06"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p>
    <w:p w14:paraId="0D195B9B" w14:textId="77777777"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lastRenderedPageBreak/>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C1177" w14:textId="77777777" w:rsidR="00B07F0A" w:rsidRPr="005751B7"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596D900" w14:textId="77777777" w:rsidR="00B07F0A" w:rsidRPr="00F77047" w:rsidRDefault="00B07F0A" w:rsidP="00B07F0A">
      <w:pPr>
        <w:spacing w:after="0" w:line="360" w:lineRule="auto"/>
        <w:jc w:val="both"/>
        <w:rPr>
          <w:rFonts w:ascii="Palatino Linotype" w:eastAsia="Times New Roman" w:hAnsi="Palatino Linotype" w:cs="Arial"/>
          <w:b/>
          <w:sz w:val="18"/>
          <w:szCs w:val="24"/>
          <w:lang w:eastAsia="es-ES"/>
        </w:rPr>
      </w:pPr>
    </w:p>
    <w:p w14:paraId="770F9583" w14:textId="2A9C2DE6" w:rsidR="00B07F0A" w:rsidRDefault="00B07F0A" w:rsidP="00B07F0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C1625D">
        <w:rPr>
          <w:rFonts w:ascii="Palatino Linotype" w:eastAsia="Times New Roman" w:hAnsi="Palatino Linotype" w:cs="Arial"/>
          <w:b/>
          <w:sz w:val="24"/>
          <w:szCs w:val="24"/>
          <w:lang w:eastAsia="es-ES"/>
        </w:rPr>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03628E">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5820AB4D" w14:textId="77777777" w:rsidR="00BB1C32" w:rsidRDefault="00BB1C32"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6434D826" w14:textId="7CAD8B71" w:rsidR="00E761C2" w:rsidRDefault="00E761C2" w:rsidP="00E761C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w:t>
      </w:r>
      <w:r w:rsidR="008C7D2E">
        <w:rPr>
          <w:rFonts w:ascii="Palatino Linotype" w:hAnsi="Palatino Linotype" w:cs="Arial"/>
        </w:rPr>
        <w:t>MAYORÍA</w:t>
      </w:r>
      <w:r w:rsidR="008C7D2E" w:rsidRPr="00C91103">
        <w:rPr>
          <w:rFonts w:ascii="Palatino Linotype" w:hAnsi="Palatino Linotype" w:cs="Arial"/>
        </w:rPr>
        <w:t xml:space="preserve"> </w:t>
      </w:r>
      <w:r w:rsidRPr="00C91103">
        <w:rPr>
          <w:rFonts w:ascii="Palatino Linotype" w:hAnsi="Palatino Linotype" w:cs="Arial"/>
        </w:rPr>
        <w:t xml:space="preserve">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w:t>
      </w:r>
      <w:r w:rsidR="00EA1BA1" w:rsidRPr="00C91103">
        <w:rPr>
          <w:rFonts w:ascii="Palatino Linotype" w:eastAsia="Arial Unicode MS" w:hAnsi="Palatino Linotype" w:cs="Arial"/>
        </w:rPr>
        <w:t xml:space="preserve">TRANSPARENCIA, ACCESO A LA INFORMACIÓN PÚBLICA Y PROTECCIÓN DE DATOS PERSONALES DEL </w:t>
      </w:r>
      <w:r w:rsidR="00EA1BA1" w:rsidRPr="00272CE0">
        <w:rPr>
          <w:rFonts w:ascii="Palatino Linotype" w:eastAsia="Arial Unicode MS" w:hAnsi="Palatino Linotype" w:cs="Arial"/>
        </w:rPr>
        <w:t>ESTADO DE MÉXICO Y MUNICIPIOS</w:t>
      </w:r>
      <w:r w:rsidR="00EA1BA1" w:rsidRPr="00272CE0">
        <w:rPr>
          <w:rFonts w:ascii="Palatino Linotype" w:hAnsi="Palatino Linotype" w:cs="Arial"/>
        </w:rPr>
        <w:t>, CONFORMADO POR LOS COMISIONADOS</w:t>
      </w:r>
      <w:r w:rsidR="00EA1BA1">
        <w:rPr>
          <w:rFonts w:ascii="Palatino Linotype" w:hAnsi="Palatino Linotype" w:cs="Arial"/>
        </w:rPr>
        <w:t xml:space="preserve"> JOSÉ MARTÍNEZ VILCHIS</w:t>
      </w:r>
      <w:r w:rsidR="00E22BEA">
        <w:rPr>
          <w:rFonts w:ascii="Palatino Linotype" w:hAnsi="Palatino Linotype" w:cs="Arial"/>
        </w:rPr>
        <w:t xml:space="preserve"> (VOTO PARTICULAR)</w:t>
      </w:r>
      <w:r w:rsidR="00EA1BA1">
        <w:rPr>
          <w:rFonts w:ascii="Palatino Linotype" w:hAnsi="Palatino Linotype" w:cs="Arial"/>
        </w:rPr>
        <w:t xml:space="preserve">, MARÍA DEL ROSARIO </w:t>
      </w:r>
      <w:r w:rsidR="00EA1BA1" w:rsidRPr="00266B85">
        <w:rPr>
          <w:rFonts w:ascii="Palatino Linotype" w:hAnsi="Palatino Linotype" w:cs="Arial"/>
        </w:rPr>
        <w:t>MEJÍA AYALA, S</w:t>
      </w:r>
      <w:r w:rsidR="00EA1BA1">
        <w:rPr>
          <w:rFonts w:ascii="Palatino Linotype" w:hAnsi="Palatino Linotype" w:cs="Arial"/>
        </w:rPr>
        <w:t>HARON CRISTINA MORALES MARTÍNEZ</w:t>
      </w:r>
      <w:r w:rsidR="00E22BEA">
        <w:rPr>
          <w:rFonts w:ascii="Palatino Linotype" w:hAnsi="Palatino Linotype" w:cs="Arial"/>
        </w:rPr>
        <w:t xml:space="preserve"> (</w:t>
      </w:r>
      <w:bookmarkStart w:id="0" w:name="_GoBack"/>
      <w:bookmarkEnd w:id="0"/>
      <w:r w:rsidR="00E22BEA">
        <w:rPr>
          <w:rFonts w:ascii="Palatino Linotype" w:hAnsi="Palatino Linotype" w:cs="Arial"/>
        </w:rPr>
        <w:t>VOTO DISIDENTE)</w:t>
      </w:r>
      <w:r w:rsidR="00EA1BA1">
        <w:rPr>
          <w:rFonts w:ascii="Palatino Linotype" w:hAnsi="Palatino Linotype" w:cs="Arial"/>
        </w:rPr>
        <w:t xml:space="preserve">, </w:t>
      </w:r>
      <w:r w:rsidR="00EA1BA1" w:rsidRPr="00266B85">
        <w:rPr>
          <w:rFonts w:ascii="Palatino Linotype" w:hAnsi="Palatino Linotype" w:cs="Arial"/>
        </w:rPr>
        <w:t>LUIS GUSTAVO PARRA NORIEGA</w:t>
      </w:r>
      <w:r w:rsidR="00E22BEA">
        <w:rPr>
          <w:rFonts w:ascii="Palatino Linotype" w:hAnsi="Palatino Linotype" w:cs="Arial"/>
        </w:rPr>
        <w:t xml:space="preserve"> (VOTO PARTICULAR)</w:t>
      </w:r>
      <w:r w:rsidR="00EA1BA1">
        <w:rPr>
          <w:rFonts w:ascii="Palatino Linotype" w:hAnsi="Palatino Linotype" w:cs="Arial"/>
        </w:rPr>
        <w:t xml:space="preserve"> </w:t>
      </w:r>
      <w:r w:rsidR="00EA1BA1" w:rsidRPr="00266B85">
        <w:rPr>
          <w:rFonts w:ascii="Palatino Linotype" w:hAnsi="Palatino Linotype" w:cs="Arial"/>
        </w:rPr>
        <w:t xml:space="preserve">Y GUADALUPE RAMÍREZ PEÑA; EN LA </w:t>
      </w:r>
      <w:r w:rsidR="00EA1BA1">
        <w:rPr>
          <w:rFonts w:ascii="Palatino Linotype" w:hAnsi="Palatino Linotype" w:cs="Arial"/>
        </w:rPr>
        <w:t xml:space="preserve">TRIGÉSIMA SEGUNDA SESIÓN ORDINARIA CELEBRADA EL SIETE DE SEPTIEMBRE DE DOS MIL VEINTIDÓS, </w:t>
      </w:r>
      <w:r w:rsidR="00EA1BA1" w:rsidRPr="00266B85">
        <w:rPr>
          <w:rFonts w:ascii="Palatino Linotype" w:hAnsi="Palatino Linotype" w:cs="Arial"/>
        </w:rPr>
        <w:t>ANTE</w:t>
      </w:r>
      <w:r w:rsidR="00EA1BA1">
        <w:rPr>
          <w:rFonts w:ascii="Palatino Linotype" w:hAnsi="Palatino Linotype" w:cs="Arial"/>
        </w:rPr>
        <w:t xml:space="preserve"> EL  SECRETARIO TÉCNICO DEL PLENO, ALEXIS </w:t>
      </w:r>
      <w:r>
        <w:rPr>
          <w:rFonts w:ascii="Palatino Linotype" w:hAnsi="Palatino Linotype" w:cs="Arial"/>
        </w:rPr>
        <w:t xml:space="preserve">TAPIA RAMÍREZ. </w:t>
      </w:r>
    </w:p>
    <w:p w14:paraId="2A350C56" w14:textId="5A5510FB" w:rsidR="00CB4788" w:rsidRDefault="00E761C2" w:rsidP="00E761C2">
      <w:pPr>
        <w:spacing w:line="360" w:lineRule="auto"/>
        <w:jc w:val="both"/>
        <w:rPr>
          <w:rFonts w:ascii="Palatino Linotype" w:hAnsi="Palatino Linotype"/>
          <w:bCs/>
          <w:sz w:val="24"/>
          <w:szCs w:val="24"/>
        </w:rPr>
      </w:pPr>
      <w:r>
        <w:rPr>
          <w:rFonts w:ascii="Palatino Linotype" w:hAnsi="Palatino Linotype"/>
          <w:bCs/>
          <w:sz w:val="18"/>
          <w:szCs w:val="18"/>
        </w:rPr>
        <w:t>CCR/J</w:t>
      </w:r>
      <w:r w:rsidRPr="00280B8B">
        <w:rPr>
          <w:rFonts w:ascii="Palatino Linotype" w:hAnsi="Palatino Linotype"/>
          <w:bCs/>
          <w:sz w:val="18"/>
          <w:szCs w:val="18"/>
        </w:rPr>
        <w:t>CMA</w:t>
      </w:r>
    </w:p>
    <w:p w14:paraId="5026FF84" w14:textId="7F1A8E01" w:rsidR="00CB4788" w:rsidRDefault="00CB4788"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BC23681"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34B1ADAF"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F60DC9B"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7A4FE" w14:textId="77777777" w:rsidR="001E63BB" w:rsidRDefault="001E63BB" w:rsidP="006168E4">
      <w:pPr>
        <w:spacing w:after="0" w:line="240" w:lineRule="auto"/>
      </w:pPr>
      <w:r>
        <w:separator/>
      </w:r>
    </w:p>
  </w:endnote>
  <w:endnote w:type="continuationSeparator" w:id="0">
    <w:p w14:paraId="0A4C3CF1" w14:textId="77777777" w:rsidR="001E63BB" w:rsidRDefault="001E63B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19EC">
      <w:rPr>
        <w:rFonts w:ascii="Palatino Linotype" w:hAnsi="Palatino Linotype"/>
        <w:bCs/>
        <w:noProof/>
        <w:sz w:val="20"/>
      </w:rPr>
      <w:t>57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919EC">
      <w:rPr>
        <w:rFonts w:ascii="Palatino Linotype" w:hAnsi="Palatino Linotype"/>
        <w:bCs/>
        <w:noProof/>
        <w:sz w:val="20"/>
      </w:rPr>
      <w:t>57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919E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919EC">
      <w:rPr>
        <w:rFonts w:ascii="Palatino Linotype" w:hAnsi="Palatino Linotype"/>
        <w:bCs/>
        <w:noProof/>
        <w:sz w:val="20"/>
      </w:rPr>
      <w:t>57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2F266" w14:textId="77777777" w:rsidR="001E63BB" w:rsidRDefault="001E63BB" w:rsidP="006168E4">
      <w:pPr>
        <w:spacing w:after="0" w:line="240" w:lineRule="auto"/>
      </w:pPr>
      <w:r>
        <w:separator/>
      </w:r>
    </w:p>
  </w:footnote>
  <w:footnote w:type="continuationSeparator" w:id="0">
    <w:p w14:paraId="1171DA06" w14:textId="77777777" w:rsidR="001E63BB" w:rsidRDefault="001E63BB" w:rsidP="006168E4">
      <w:pPr>
        <w:spacing w:after="0" w:line="240" w:lineRule="auto"/>
      </w:pPr>
      <w:r>
        <w:continuationSeparator/>
      </w:r>
    </w:p>
  </w:footnote>
  <w:footnote w:id="1">
    <w:p w14:paraId="6FC331EE" w14:textId="77777777" w:rsidR="00101FCB" w:rsidRPr="005552A8" w:rsidRDefault="00101FCB" w:rsidP="00101FCB">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E5F61DC" w14:textId="77777777" w:rsidR="00101FCB" w:rsidRPr="005552A8" w:rsidRDefault="00101FCB" w:rsidP="00101FC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F02B381" w14:textId="77777777" w:rsidR="00E26BEE" w:rsidRDefault="00E26BEE" w:rsidP="00E26BEE">
      <w:pPr>
        <w:pStyle w:val="Textonotapie"/>
      </w:pPr>
      <w:r>
        <w:rPr>
          <w:rStyle w:val="Refdenotaalpie"/>
        </w:rPr>
        <w:footnoteRef/>
      </w:r>
      <w:r>
        <w:t xml:space="preserve"> </w:t>
      </w:r>
      <w:r>
        <w:rPr>
          <w:rFonts w:ascii="Palatino Linotype" w:eastAsia="MS Mincho" w:hAnsi="Palatino Linotype" w:cs="Arial"/>
          <w:sz w:val="16"/>
          <w:szCs w:val="16"/>
          <w:lang w:eastAsia="es-MX"/>
        </w:rPr>
        <w:t xml:space="preserve">BURGOA ORIHUELA Ignacio. </w:t>
      </w:r>
      <w:r>
        <w:rPr>
          <w:rFonts w:ascii="Palatino Linotype" w:eastAsia="MS Mincho" w:hAnsi="Palatino Linotype" w:cs="Arial"/>
          <w:i/>
          <w:sz w:val="16"/>
          <w:szCs w:val="16"/>
          <w:lang w:eastAsia="es-MX"/>
        </w:rPr>
        <w:t>Diccionario De Derecho Constitucional, Garantías y Amparo</w:t>
      </w:r>
      <w:r>
        <w:rPr>
          <w:rFonts w:ascii="Palatino Linotype" w:eastAsia="MS Mincho" w:hAnsi="Palatino Linotype" w:cs="Arial"/>
          <w:sz w:val="16"/>
          <w:szCs w:val="16"/>
          <w:lang w:eastAsia="es-MX"/>
        </w:rPr>
        <w:t>. Ed. Porrúa, S.A., México. 1992. p. 115.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11BBD3F2" w:rsidR="00E761C2" w:rsidRPr="00B4142F" w:rsidRDefault="00BA604C"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12000</w:t>
          </w:r>
          <w:r w:rsidR="00E761C2">
            <w:rPr>
              <w:rFonts w:ascii="Palatino Linotype" w:hAnsi="Palatino Linotype" w:cs="Arial"/>
              <w:bCs/>
              <w:sz w:val="24"/>
              <w:lang w:eastAsia="es-MX"/>
            </w:rPr>
            <w:t>/INFOEM/IP/RR/2022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932FFE3" w:rsidR="00E761C2" w:rsidRPr="00F06FED" w:rsidRDefault="00BA604C" w:rsidP="0034605F">
          <w:pPr>
            <w:spacing w:after="120" w:line="256" w:lineRule="auto"/>
            <w:ind w:left="639" w:right="214"/>
            <w:jc w:val="both"/>
            <w:rPr>
              <w:rFonts w:ascii="Palatino Linotype" w:hAnsi="Palatino Linotype" w:cs="Arial"/>
            </w:rPr>
          </w:pPr>
          <w:r>
            <w:rPr>
              <w:rFonts w:ascii="Palatino Linotype" w:hAnsi="Palatino Linotype" w:cs="Arial"/>
            </w:rPr>
            <w:t>Ayuntamiento de Jilotepec</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0AE795A" w:rsidR="00E761C2" w:rsidRPr="00B4142F" w:rsidRDefault="00433FA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12000</w:t>
          </w:r>
          <w:r w:rsidR="00E761C2">
            <w:rPr>
              <w:rFonts w:ascii="Palatino Linotype" w:hAnsi="Palatino Linotype" w:cs="Arial"/>
              <w:bCs/>
              <w:sz w:val="24"/>
              <w:lang w:eastAsia="es-MX"/>
            </w:rPr>
            <w:t>/INFOEM/IP/RR/2022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76CF0555" w:rsidR="00E761C2" w:rsidRPr="00F06FED" w:rsidRDefault="00A95E34" w:rsidP="007A3BB5">
          <w:pPr>
            <w:spacing w:after="120" w:line="256" w:lineRule="auto"/>
            <w:ind w:left="639" w:right="214"/>
            <w:jc w:val="both"/>
            <w:rPr>
              <w:rFonts w:ascii="Palatino Linotype" w:hAnsi="Palatino Linotype" w:cs="Arial"/>
            </w:rPr>
          </w:pPr>
          <w:r>
            <w:rPr>
              <w:rFonts w:ascii="Palatino Linotype" w:hAnsi="Palatino Linotype" w:cs="Arial"/>
            </w:rPr>
            <w:t>XXXXXXXX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7649096" w:rsidR="00E761C2" w:rsidRDefault="00BA604C"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Jilotepec</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8BF"/>
    <w:multiLevelType w:val="hybridMultilevel"/>
    <w:tmpl w:val="49162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7CE0EA9"/>
    <w:multiLevelType w:val="hybridMultilevel"/>
    <w:tmpl w:val="C7406F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797452"/>
    <w:multiLevelType w:val="hybridMultilevel"/>
    <w:tmpl w:val="38B01ACA"/>
    <w:lvl w:ilvl="0" w:tplc="80EEAAA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1E3C2BE1"/>
    <w:multiLevelType w:val="hybridMultilevel"/>
    <w:tmpl w:val="BD6691A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248711D1"/>
    <w:multiLevelType w:val="hybridMultilevel"/>
    <w:tmpl w:val="E23228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981259"/>
    <w:multiLevelType w:val="hybridMultilevel"/>
    <w:tmpl w:val="3828E6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660D24"/>
    <w:multiLevelType w:val="hybridMultilevel"/>
    <w:tmpl w:val="EA9ACF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6C34F9"/>
    <w:multiLevelType w:val="hybridMultilevel"/>
    <w:tmpl w:val="7DC0B42C"/>
    <w:lvl w:ilvl="0" w:tplc="D9F29CB0">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7E211C"/>
    <w:multiLevelType w:val="hybridMultilevel"/>
    <w:tmpl w:val="241CCCC8"/>
    <w:lvl w:ilvl="0" w:tplc="8F0C21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833BA"/>
    <w:multiLevelType w:val="hybridMultilevel"/>
    <w:tmpl w:val="6DFAA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A33589"/>
    <w:multiLevelType w:val="hybridMultilevel"/>
    <w:tmpl w:val="16CE44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D91F7E"/>
    <w:multiLevelType w:val="hybridMultilevel"/>
    <w:tmpl w:val="A852D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60A1B"/>
    <w:multiLevelType w:val="hybridMultilevel"/>
    <w:tmpl w:val="AE2AF2A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15:restartNumberingAfterBreak="0">
    <w:nsid w:val="4C1F05D3"/>
    <w:multiLevelType w:val="hybridMultilevel"/>
    <w:tmpl w:val="9870816A"/>
    <w:lvl w:ilvl="0" w:tplc="B34ACF2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568317A4"/>
    <w:multiLevelType w:val="hybridMultilevel"/>
    <w:tmpl w:val="B3DE02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0B014B3"/>
    <w:multiLevelType w:val="hybridMultilevel"/>
    <w:tmpl w:val="9178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543AD"/>
    <w:multiLevelType w:val="hybridMultilevel"/>
    <w:tmpl w:val="A328D09C"/>
    <w:lvl w:ilvl="0" w:tplc="4348A4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6"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7FEA101E"/>
    <w:multiLevelType w:val="hybridMultilevel"/>
    <w:tmpl w:val="EF9A7C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6"/>
  </w:num>
  <w:num w:numId="3">
    <w:abstractNumId w:val="17"/>
  </w:num>
  <w:num w:numId="4">
    <w:abstractNumId w:val="2"/>
  </w:num>
  <w:num w:numId="5">
    <w:abstractNumId w:val="21"/>
  </w:num>
  <w:num w:numId="6">
    <w:abstractNumId w:val="16"/>
  </w:num>
  <w:num w:numId="7">
    <w:abstractNumId w:val="5"/>
  </w:num>
  <w:num w:numId="8">
    <w:abstractNumId w:val="19"/>
  </w:num>
  <w:num w:numId="9">
    <w:abstractNumId w:val="1"/>
  </w:num>
  <w:num w:numId="10">
    <w:abstractNumId w:val="15"/>
  </w:num>
  <w:num w:numId="11">
    <w:abstractNumId w:val="28"/>
  </w:num>
  <w:num w:numId="12">
    <w:abstractNumId w:val="20"/>
  </w:num>
  <w:num w:numId="13">
    <w:abstractNumId w:val="12"/>
  </w:num>
  <w:num w:numId="14">
    <w:abstractNumId w:val="14"/>
  </w:num>
  <w:num w:numId="15">
    <w:abstractNumId w:val="24"/>
  </w:num>
  <w:num w:numId="16">
    <w:abstractNumId w:val="10"/>
  </w:num>
  <w:num w:numId="17">
    <w:abstractNumId w:val="7"/>
  </w:num>
  <w:num w:numId="18">
    <w:abstractNumId w:val="25"/>
  </w:num>
  <w:num w:numId="19">
    <w:abstractNumId w:val="18"/>
  </w:num>
  <w:num w:numId="20">
    <w:abstractNumId w:val="0"/>
  </w:num>
  <w:num w:numId="21">
    <w:abstractNumId w:val="22"/>
  </w:num>
  <w:num w:numId="22">
    <w:abstractNumId w:val="23"/>
  </w:num>
  <w:num w:numId="23">
    <w:abstractNumId w:val="8"/>
  </w:num>
  <w:num w:numId="24">
    <w:abstractNumId w:val="11"/>
  </w:num>
  <w:num w:numId="25">
    <w:abstractNumId w:val="4"/>
  </w:num>
  <w:num w:numId="26">
    <w:abstractNumId w:val="27"/>
  </w:num>
  <w:num w:numId="27">
    <w:abstractNumId w:val="3"/>
  </w:num>
  <w:num w:numId="28">
    <w:abstractNumId w:val="6"/>
  </w:num>
  <w:num w:numId="2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5C81"/>
    <w:rsid w:val="000171B7"/>
    <w:rsid w:val="00020E74"/>
    <w:rsid w:val="00022B41"/>
    <w:rsid w:val="000240C8"/>
    <w:rsid w:val="0002560B"/>
    <w:rsid w:val="00027921"/>
    <w:rsid w:val="000306A7"/>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45B"/>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9C9"/>
    <w:rsid w:val="00146F0A"/>
    <w:rsid w:val="001507FF"/>
    <w:rsid w:val="0015142D"/>
    <w:rsid w:val="00151D16"/>
    <w:rsid w:val="00152495"/>
    <w:rsid w:val="00152AB2"/>
    <w:rsid w:val="00152C2B"/>
    <w:rsid w:val="00160115"/>
    <w:rsid w:val="00161298"/>
    <w:rsid w:val="00161FBE"/>
    <w:rsid w:val="00163DF4"/>
    <w:rsid w:val="0016613D"/>
    <w:rsid w:val="0016745C"/>
    <w:rsid w:val="001705AC"/>
    <w:rsid w:val="001710C0"/>
    <w:rsid w:val="001712BB"/>
    <w:rsid w:val="001733A0"/>
    <w:rsid w:val="00175897"/>
    <w:rsid w:val="00176D46"/>
    <w:rsid w:val="00177BC8"/>
    <w:rsid w:val="00180B9F"/>
    <w:rsid w:val="00180F0F"/>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E87"/>
    <w:rsid w:val="001D49A2"/>
    <w:rsid w:val="001D5BB2"/>
    <w:rsid w:val="001D627A"/>
    <w:rsid w:val="001D6B60"/>
    <w:rsid w:val="001E0820"/>
    <w:rsid w:val="001E0C3F"/>
    <w:rsid w:val="001E11BF"/>
    <w:rsid w:val="001E2C56"/>
    <w:rsid w:val="001E3960"/>
    <w:rsid w:val="001E5168"/>
    <w:rsid w:val="001E58D8"/>
    <w:rsid w:val="001E63BB"/>
    <w:rsid w:val="001E6631"/>
    <w:rsid w:val="001E78AA"/>
    <w:rsid w:val="001F2101"/>
    <w:rsid w:val="001F2360"/>
    <w:rsid w:val="001F3969"/>
    <w:rsid w:val="001F607C"/>
    <w:rsid w:val="001F61DA"/>
    <w:rsid w:val="00204420"/>
    <w:rsid w:val="00205ACD"/>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72D2"/>
    <w:rsid w:val="002D08E3"/>
    <w:rsid w:val="002D0C68"/>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05F"/>
    <w:rsid w:val="00346B14"/>
    <w:rsid w:val="003549DC"/>
    <w:rsid w:val="00361B9C"/>
    <w:rsid w:val="00365C45"/>
    <w:rsid w:val="0036654D"/>
    <w:rsid w:val="00371031"/>
    <w:rsid w:val="003736ED"/>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632"/>
    <w:rsid w:val="003C2A8E"/>
    <w:rsid w:val="003C7873"/>
    <w:rsid w:val="003C78F7"/>
    <w:rsid w:val="003C79D5"/>
    <w:rsid w:val="003D0A89"/>
    <w:rsid w:val="003D11E5"/>
    <w:rsid w:val="003D153C"/>
    <w:rsid w:val="003D305F"/>
    <w:rsid w:val="003D4806"/>
    <w:rsid w:val="003E0BC5"/>
    <w:rsid w:val="003E16E1"/>
    <w:rsid w:val="003E2624"/>
    <w:rsid w:val="003E34C9"/>
    <w:rsid w:val="003E4B54"/>
    <w:rsid w:val="003F0DF5"/>
    <w:rsid w:val="003F332C"/>
    <w:rsid w:val="003F3BA1"/>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11DA"/>
    <w:rsid w:val="00413327"/>
    <w:rsid w:val="00413F1C"/>
    <w:rsid w:val="0041440A"/>
    <w:rsid w:val="00423213"/>
    <w:rsid w:val="0042416D"/>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255A"/>
    <w:rsid w:val="0049459B"/>
    <w:rsid w:val="00494DE3"/>
    <w:rsid w:val="00495252"/>
    <w:rsid w:val="004964B5"/>
    <w:rsid w:val="0049675F"/>
    <w:rsid w:val="004967E2"/>
    <w:rsid w:val="0049785D"/>
    <w:rsid w:val="004A1436"/>
    <w:rsid w:val="004A290F"/>
    <w:rsid w:val="004A5FFD"/>
    <w:rsid w:val="004A6011"/>
    <w:rsid w:val="004A7195"/>
    <w:rsid w:val="004A7CE2"/>
    <w:rsid w:val="004B0DB0"/>
    <w:rsid w:val="004B376D"/>
    <w:rsid w:val="004B5DEC"/>
    <w:rsid w:val="004B7F32"/>
    <w:rsid w:val="004C1DF1"/>
    <w:rsid w:val="004C4E77"/>
    <w:rsid w:val="004C74FD"/>
    <w:rsid w:val="004D08EB"/>
    <w:rsid w:val="004D6029"/>
    <w:rsid w:val="004D6663"/>
    <w:rsid w:val="004E004F"/>
    <w:rsid w:val="004E0166"/>
    <w:rsid w:val="004E0679"/>
    <w:rsid w:val="004E0B32"/>
    <w:rsid w:val="004E1AC5"/>
    <w:rsid w:val="004E1B1C"/>
    <w:rsid w:val="004E2371"/>
    <w:rsid w:val="004E6BE9"/>
    <w:rsid w:val="004E79A4"/>
    <w:rsid w:val="004F26CF"/>
    <w:rsid w:val="004F3264"/>
    <w:rsid w:val="004F3E8F"/>
    <w:rsid w:val="004F4792"/>
    <w:rsid w:val="004F4DF1"/>
    <w:rsid w:val="004F74F7"/>
    <w:rsid w:val="00502F50"/>
    <w:rsid w:val="00503655"/>
    <w:rsid w:val="00505759"/>
    <w:rsid w:val="00505784"/>
    <w:rsid w:val="0050578D"/>
    <w:rsid w:val="0051107C"/>
    <w:rsid w:val="00513251"/>
    <w:rsid w:val="00513861"/>
    <w:rsid w:val="00514187"/>
    <w:rsid w:val="00515090"/>
    <w:rsid w:val="0051725F"/>
    <w:rsid w:val="00517F23"/>
    <w:rsid w:val="00521A89"/>
    <w:rsid w:val="00521E57"/>
    <w:rsid w:val="005245BF"/>
    <w:rsid w:val="00525E83"/>
    <w:rsid w:val="005268A3"/>
    <w:rsid w:val="00527A22"/>
    <w:rsid w:val="00527EBC"/>
    <w:rsid w:val="005305EA"/>
    <w:rsid w:val="00530E3E"/>
    <w:rsid w:val="005311BB"/>
    <w:rsid w:val="00535C9F"/>
    <w:rsid w:val="00536723"/>
    <w:rsid w:val="00536920"/>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7500"/>
    <w:rsid w:val="00580802"/>
    <w:rsid w:val="00581A22"/>
    <w:rsid w:val="005833A8"/>
    <w:rsid w:val="00584485"/>
    <w:rsid w:val="0058661B"/>
    <w:rsid w:val="00587E4A"/>
    <w:rsid w:val="00590467"/>
    <w:rsid w:val="00591165"/>
    <w:rsid w:val="00593E91"/>
    <w:rsid w:val="00594C99"/>
    <w:rsid w:val="00595600"/>
    <w:rsid w:val="00596DC4"/>
    <w:rsid w:val="00597589"/>
    <w:rsid w:val="005A0B49"/>
    <w:rsid w:val="005A4124"/>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7424"/>
    <w:rsid w:val="005F7D10"/>
    <w:rsid w:val="00600A14"/>
    <w:rsid w:val="00600FB9"/>
    <w:rsid w:val="006010C7"/>
    <w:rsid w:val="00602223"/>
    <w:rsid w:val="0060225F"/>
    <w:rsid w:val="0060242C"/>
    <w:rsid w:val="00606FDA"/>
    <w:rsid w:val="00607FE5"/>
    <w:rsid w:val="0061042F"/>
    <w:rsid w:val="00612499"/>
    <w:rsid w:val="00612954"/>
    <w:rsid w:val="006168E4"/>
    <w:rsid w:val="00616943"/>
    <w:rsid w:val="00620EEE"/>
    <w:rsid w:val="00621171"/>
    <w:rsid w:val="006214B9"/>
    <w:rsid w:val="00621940"/>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025F"/>
    <w:rsid w:val="006529A5"/>
    <w:rsid w:val="0065450F"/>
    <w:rsid w:val="00655735"/>
    <w:rsid w:val="00656A17"/>
    <w:rsid w:val="00660155"/>
    <w:rsid w:val="00661404"/>
    <w:rsid w:val="00661753"/>
    <w:rsid w:val="0066369C"/>
    <w:rsid w:val="006646AC"/>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677F"/>
    <w:rsid w:val="00686FC2"/>
    <w:rsid w:val="0068792F"/>
    <w:rsid w:val="00690736"/>
    <w:rsid w:val="0069391E"/>
    <w:rsid w:val="00694735"/>
    <w:rsid w:val="00694D2D"/>
    <w:rsid w:val="00697281"/>
    <w:rsid w:val="00697492"/>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E6525"/>
    <w:rsid w:val="006F1B61"/>
    <w:rsid w:val="006F1FC1"/>
    <w:rsid w:val="006F4A27"/>
    <w:rsid w:val="006F53A9"/>
    <w:rsid w:val="006F5A35"/>
    <w:rsid w:val="006F610D"/>
    <w:rsid w:val="006F6E0E"/>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247F5"/>
    <w:rsid w:val="00731428"/>
    <w:rsid w:val="0073157A"/>
    <w:rsid w:val="00735209"/>
    <w:rsid w:val="00737D40"/>
    <w:rsid w:val="0074023C"/>
    <w:rsid w:val="00743818"/>
    <w:rsid w:val="00744E29"/>
    <w:rsid w:val="00744EEF"/>
    <w:rsid w:val="0074726D"/>
    <w:rsid w:val="00751095"/>
    <w:rsid w:val="007517D1"/>
    <w:rsid w:val="007524CA"/>
    <w:rsid w:val="00753F8F"/>
    <w:rsid w:val="00754B2D"/>
    <w:rsid w:val="00754CAE"/>
    <w:rsid w:val="00756B37"/>
    <w:rsid w:val="00757559"/>
    <w:rsid w:val="00760CA0"/>
    <w:rsid w:val="00761CB4"/>
    <w:rsid w:val="007658D5"/>
    <w:rsid w:val="00772BA8"/>
    <w:rsid w:val="00774266"/>
    <w:rsid w:val="0078028A"/>
    <w:rsid w:val="007806CB"/>
    <w:rsid w:val="00780A54"/>
    <w:rsid w:val="007818E1"/>
    <w:rsid w:val="00781C64"/>
    <w:rsid w:val="007848FB"/>
    <w:rsid w:val="007851D5"/>
    <w:rsid w:val="00785698"/>
    <w:rsid w:val="0078693A"/>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61B"/>
    <w:rsid w:val="007E1016"/>
    <w:rsid w:val="007E24F0"/>
    <w:rsid w:val="007E26F8"/>
    <w:rsid w:val="007E3A35"/>
    <w:rsid w:val="007E5726"/>
    <w:rsid w:val="007E7BAB"/>
    <w:rsid w:val="007E7C17"/>
    <w:rsid w:val="007E7DCE"/>
    <w:rsid w:val="007F0560"/>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19EC"/>
    <w:rsid w:val="00893C5F"/>
    <w:rsid w:val="0089422E"/>
    <w:rsid w:val="00895089"/>
    <w:rsid w:val="008951ED"/>
    <w:rsid w:val="008966B3"/>
    <w:rsid w:val="00896BBD"/>
    <w:rsid w:val="008A1129"/>
    <w:rsid w:val="008A322D"/>
    <w:rsid w:val="008A75BE"/>
    <w:rsid w:val="008A7808"/>
    <w:rsid w:val="008B00BD"/>
    <w:rsid w:val="008B14D0"/>
    <w:rsid w:val="008B5026"/>
    <w:rsid w:val="008B634F"/>
    <w:rsid w:val="008C2A8B"/>
    <w:rsid w:val="008C2BCF"/>
    <w:rsid w:val="008C32A8"/>
    <w:rsid w:val="008C55A3"/>
    <w:rsid w:val="008C5EC3"/>
    <w:rsid w:val="008C7D2E"/>
    <w:rsid w:val="008D06E0"/>
    <w:rsid w:val="008D12F8"/>
    <w:rsid w:val="008D1DFF"/>
    <w:rsid w:val="008D29A7"/>
    <w:rsid w:val="008D2F5B"/>
    <w:rsid w:val="008D7675"/>
    <w:rsid w:val="008E6375"/>
    <w:rsid w:val="008E7DB4"/>
    <w:rsid w:val="008F10A6"/>
    <w:rsid w:val="008F16D2"/>
    <w:rsid w:val="008F272A"/>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3697"/>
    <w:rsid w:val="009D4F35"/>
    <w:rsid w:val="009D5F9E"/>
    <w:rsid w:val="009E1411"/>
    <w:rsid w:val="009E32B5"/>
    <w:rsid w:val="009E52F2"/>
    <w:rsid w:val="009E5717"/>
    <w:rsid w:val="009F002C"/>
    <w:rsid w:val="009F01C0"/>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2772F"/>
    <w:rsid w:val="00A279CF"/>
    <w:rsid w:val="00A30C44"/>
    <w:rsid w:val="00A328AE"/>
    <w:rsid w:val="00A3394A"/>
    <w:rsid w:val="00A347D8"/>
    <w:rsid w:val="00A34857"/>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11CC"/>
    <w:rsid w:val="00A72465"/>
    <w:rsid w:val="00A75CA6"/>
    <w:rsid w:val="00A76B72"/>
    <w:rsid w:val="00A80C92"/>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5E34"/>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9FB"/>
    <w:rsid w:val="00AE0D01"/>
    <w:rsid w:val="00AE2056"/>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E08"/>
    <w:rsid w:val="00B145FA"/>
    <w:rsid w:val="00B2037B"/>
    <w:rsid w:val="00B20C7F"/>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70133"/>
    <w:rsid w:val="00B70B11"/>
    <w:rsid w:val="00B71B05"/>
    <w:rsid w:val="00B730B4"/>
    <w:rsid w:val="00B7481A"/>
    <w:rsid w:val="00B75A2C"/>
    <w:rsid w:val="00B76467"/>
    <w:rsid w:val="00B77A82"/>
    <w:rsid w:val="00B813AC"/>
    <w:rsid w:val="00B8287F"/>
    <w:rsid w:val="00B8376C"/>
    <w:rsid w:val="00B84260"/>
    <w:rsid w:val="00B86811"/>
    <w:rsid w:val="00B86CC9"/>
    <w:rsid w:val="00B8738D"/>
    <w:rsid w:val="00B91F0B"/>
    <w:rsid w:val="00B9223B"/>
    <w:rsid w:val="00B92D47"/>
    <w:rsid w:val="00B961A5"/>
    <w:rsid w:val="00BA0E4C"/>
    <w:rsid w:val="00BA1426"/>
    <w:rsid w:val="00BA18D5"/>
    <w:rsid w:val="00BA1FC4"/>
    <w:rsid w:val="00BA202D"/>
    <w:rsid w:val="00BA49CC"/>
    <w:rsid w:val="00BA4D1F"/>
    <w:rsid w:val="00BA604C"/>
    <w:rsid w:val="00BA7AD1"/>
    <w:rsid w:val="00BB0B9D"/>
    <w:rsid w:val="00BB1C32"/>
    <w:rsid w:val="00BB1CC2"/>
    <w:rsid w:val="00BB2250"/>
    <w:rsid w:val="00BB2E89"/>
    <w:rsid w:val="00BB4F63"/>
    <w:rsid w:val="00BB63AB"/>
    <w:rsid w:val="00BB744D"/>
    <w:rsid w:val="00BB7708"/>
    <w:rsid w:val="00BC0FDD"/>
    <w:rsid w:val="00BC22E0"/>
    <w:rsid w:val="00BC4AA7"/>
    <w:rsid w:val="00BC5852"/>
    <w:rsid w:val="00BD293B"/>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7178"/>
    <w:rsid w:val="00CD791A"/>
    <w:rsid w:val="00CE2ADF"/>
    <w:rsid w:val="00CE33FC"/>
    <w:rsid w:val="00CE3FFC"/>
    <w:rsid w:val="00CE4B84"/>
    <w:rsid w:val="00CE6A56"/>
    <w:rsid w:val="00CE74B0"/>
    <w:rsid w:val="00CE78B8"/>
    <w:rsid w:val="00CF00DE"/>
    <w:rsid w:val="00CF052D"/>
    <w:rsid w:val="00CF1D7D"/>
    <w:rsid w:val="00CF2623"/>
    <w:rsid w:val="00CF3998"/>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5B5D"/>
    <w:rsid w:val="00D46910"/>
    <w:rsid w:val="00D46E7E"/>
    <w:rsid w:val="00D475A2"/>
    <w:rsid w:val="00D5015D"/>
    <w:rsid w:val="00D52355"/>
    <w:rsid w:val="00D52AC7"/>
    <w:rsid w:val="00D52E7A"/>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4724"/>
    <w:rsid w:val="00D85416"/>
    <w:rsid w:val="00D8554E"/>
    <w:rsid w:val="00D8619F"/>
    <w:rsid w:val="00D86764"/>
    <w:rsid w:val="00D872D8"/>
    <w:rsid w:val="00D91F4E"/>
    <w:rsid w:val="00D93A67"/>
    <w:rsid w:val="00D93F28"/>
    <w:rsid w:val="00D96FC1"/>
    <w:rsid w:val="00D97AC9"/>
    <w:rsid w:val="00DA2E2B"/>
    <w:rsid w:val="00DA354D"/>
    <w:rsid w:val="00DA3DE4"/>
    <w:rsid w:val="00DA69DE"/>
    <w:rsid w:val="00DB1698"/>
    <w:rsid w:val="00DB5C0A"/>
    <w:rsid w:val="00DB6DAF"/>
    <w:rsid w:val="00DC0AF1"/>
    <w:rsid w:val="00DC2393"/>
    <w:rsid w:val="00DC588B"/>
    <w:rsid w:val="00DC64BF"/>
    <w:rsid w:val="00DD0123"/>
    <w:rsid w:val="00DD13E2"/>
    <w:rsid w:val="00DD4938"/>
    <w:rsid w:val="00DD7977"/>
    <w:rsid w:val="00DD7E98"/>
    <w:rsid w:val="00DE1FC5"/>
    <w:rsid w:val="00DE34FF"/>
    <w:rsid w:val="00DE35D7"/>
    <w:rsid w:val="00DE4454"/>
    <w:rsid w:val="00DE44AB"/>
    <w:rsid w:val="00DF003C"/>
    <w:rsid w:val="00DF00D4"/>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51EF9"/>
    <w:rsid w:val="00E523B5"/>
    <w:rsid w:val="00E54816"/>
    <w:rsid w:val="00E5512E"/>
    <w:rsid w:val="00E556B6"/>
    <w:rsid w:val="00E55E60"/>
    <w:rsid w:val="00E56594"/>
    <w:rsid w:val="00E578DF"/>
    <w:rsid w:val="00E57D18"/>
    <w:rsid w:val="00E605C2"/>
    <w:rsid w:val="00E6129C"/>
    <w:rsid w:val="00E61E5F"/>
    <w:rsid w:val="00E644A0"/>
    <w:rsid w:val="00E669E6"/>
    <w:rsid w:val="00E67395"/>
    <w:rsid w:val="00E72707"/>
    <w:rsid w:val="00E72AE3"/>
    <w:rsid w:val="00E7349C"/>
    <w:rsid w:val="00E73B51"/>
    <w:rsid w:val="00E75790"/>
    <w:rsid w:val="00E761C2"/>
    <w:rsid w:val="00E80180"/>
    <w:rsid w:val="00E8129E"/>
    <w:rsid w:val="00E81A2B"/>
    <w:rsid w:val="00E81E42"/>
    <w:rsid w:val="00E82A17"/>
    <w:rsid w:val="00E83A01"/>
    <w:rsid w:val="00E861BA"/>
    <w:rsid w:val="00E9156D"/>
    <w:rsid w:val="00E91EBF"/>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6275"/>
    <w:rsid w:val="00F06472"/>
    <w:rsid w:val="00F123EC"/>
    <w:rsid w:val="00F14E6B"/>
    <w:rsid w:val="00F1508F"/>
    <w:rsid w:val="00F15B72"/>
    <w:rsid w:val="00F16331"/>
    <w:rsid w:val="00F16803"/>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78E5"/>
    <w:rsid w:val="00F604E0"/>
    <w:rsid w:val="00F6232F"/>
    <w:rsid w:val="00F648E3"/>
    <w:rsid w:val="00F6501E"/>
    <w:rsid w:val="00F70615"/>
    <w:rsid w:val="00F72722"/>
    <w:rsid w:val="00F727B0"/>
    <w:rsid w:val="00F73C17"/>
    <w:rsid w:val="00F7598B"/>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C0398"/>
    <w:rsid w:val="00FC1407"/>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Iconografia/Ent_Fisc/Doc_Apoy/doc/2021/03_Presentacion_Mpal.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onografias.com/trabajos14/verific-servicios/verific-servicios.s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FE83A-A338-4912-90AF-6BA730B02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57</Pages>
  <Words>11309</Words>
  <Characters>62203</Characters>
  <Application>Microsoft Office Word</Application>
  <DocSecurity>0</DocSecurity>
  <Lines>518</Lines>
  <Paragraphs>146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2018-12-04T20:35:00Z</cp:lastPrinted>
  <dcterms:created xsi:type="dcterms:W3CDTF">2022-08-23T15:35:00Z</dcterms:created>
  <dcterms:modified xsi:type="dcterms:W3CDTF">2022-10-10T02:17:00Z</dcterms:modified>
</cp:coreProperties>
</file>