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6C27191F"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43D9A">
        <w:rPr>
          <w:rFonts w:ascii="Palatino Linotype" w:hAnsi="Palatino Linotype" w:cs="Tahoma"/>
          <w:bCs/>
          <w:sz w:val="22"/>
          <w:szCs w:val="22"/>
        </w:rPr>
        <w:t>nueve</w:t>
      </w:r>
      <w:r w:rsidR="007D2BD0">
        <w:rPr>
          <w:rFonts w:ascii="Palatino Linotype" w:hAnsi="Palatino Linotype" w:cs="Tahoma"/>
          <w:bCs/>
          <w:sz w:val="22"/>
          <w:szCs w:val="22"/>
        </w:rPr>
        <w:t xml:space="preserve"> de </w:t>
      </w:r>
      <w:r w:rsidR="00C43D9A">
        <w:rPr>
          <w:rFonts w:ascii="Palatino Linotype" w:hAnsi="Palatino Linotype" w:cs="Tahoma"/>
          <w:bCs/>
          <w:sz w:val="22"/>
          <w:szCs w:val="22"/>
        </w:rPr>
        <w:t>marzo</w:t>
      </w:r>
      <w:r w:rsidRPr="000B7ED7">
        <w:rPr>
          <w:rFonts w:ascii="Palatino Linotype" w:hAnsi="Palatino Linotype" w:cs="Tahoma"/>
          <w:bCs/>
          <w:sz w:val="22"/>
          <w:szCs w:val="22"/>
        </w:rPr>
        <w:t xml:space="preserve"> de dos mil veinti</w:t>
      </w:r>
      <w:r w:rsidR="00C43D9A">
        <w:rPr>
          <w:rFonts w:ascii="Palatino Linotype" w:hAnsi="Palatino Linotype" w:cs="Tahoma"/>
          <w:bCs/>
          <w:sz w:val="22"/>
          <w:szCs w:val="22"/>
        </w:rPr>
        <w:t>dós</w:t>
      </w:r>
      <w:r w:rsidRPr="000B7ED7">
        <w:rPr>
          <w:rFonts w:ascii="Palatino Linotype" w:hAnsi="Palatino Linotype" w:cs="Tahoma"/>
          <w:bCs/>
          <w:sz w:val="22"/>
          <w:szCs w:val="22"/>
        </w:rPr>
        <w:t xml:space="preserve">. </w:t>
      </w:r>
    </w:p>
    <w:p w14:paraId="6EA90397" w14:textId="77777777" w:rsidR="00836192" w:rsidRPr="000B7ED7" w:rsidRDefault="00836192" w:rsidP="00836192">
      <w:pPr>
        <w:spacing w:line="360" w:lineRule="auto"/>
        <w:rPr>
          <w:rFonts w:ascii="Palatino Linotype" w:hAnsi="Palatino Linotype" w:cs="Tahoma"/>
          <w:bCs/>
          <w:sz w:val="22"/>
          <w:szCs w:val="22"/>
        </w:rPr>
      </w:pPr>
    </w:p>
    <w:p w14:paraId="64FBBD27" w14:textId="7EEFA656" w:rsidR="00836192" w:rsidRPr="000B7ED7" w:rsidRDefault="00836192" w:rsidP="00836192">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 xml:space="preserve">el expediente conformado con motivo del Recurso de Revisión </w:t>
      </w:r>
      <w:r w:rsidR="00C43D9A" w:rsidRPr="00C43D9A">
        <w:rPr>
          <w:rFonts w:ascii="Palatino Linotype" w:hAnsi="Palatino Linotype" w:cs="Tahoma"/>
          <w:bCs/>
          <w:color w:val="0D0D0D" w:themeColor="text1" w:themeTint="F2"/>
          <w:sz w:val="22"/>
          <w:szCs w:val="22"/>
        </w:rPr>
        <w:t>00411/INFOEM/IP/RR/2022</w:t>
      </w:r>
      <w:r w:rsidRPr="000B7ED7">
        <w:rPr>
          <w:rFonts w:ascii="Palatino Linotype" w:hAnsi="Palatino Linotype" w:cs="Tahoma"/>
          <w:bCs/>
          <w:color w:val="0D0D0D" w:themeColor="text1" w:themeTint="F2"/>
          <w:sz w:val="22"/>
          <w:szCs w:val="22"/>
        </w:rPr>
        <w:t xml:space="preserve">, interpuestos por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00C43D9A" w:rsidRPr="00C43D9A">
        <w:rPr>
          <w:rFonts w:ascii="Palatino Linotype" w:hAnsi="Palatino Linotype" w:cs="Tahoma"/>
          <w:color w:val="0D0D0D" w:themeColor="text1" w:themeTint="F2"/>
          <w:sz w:val="22"/>
          <w:szCs w:val="22"/>
        </w:rPr>
        <w:t>Ayuntamiento de San Martín de Las Pirámides</w:t>
      </w:r>
      <w:r w:rsidRPr="000B7ED7">
        <w:rPr>
          <w:rFonts w:ascii="Palatino Linotype" w:hAnsi="Palatino Linotype" w:cs="Tahoma"/>
          <w:bCs/>
          <w:color w:val="0D0D0D" w:themeColor="text1" w:themeTint="F2"/>
          <w:sz w:val="22"/>
          <w:szCs w:val="22"/>
        </w:rPr>
        <w:t xml:space="preserve">, a la solicitud de acceso a la información pública </w:t>
      </w:r>
      <w:r w:rsidR="00C43D9A" w:rsidRPr="00C43D9A">
        <w:rPr>
          <w:rFonts w:ascii="Palatino Linotype" w:hAnsi="Palatino Linotype" w:cs="Tahoma"/>
          <w:bCs/>
          <w:color w:val="0D0D0D" w:themeColor="text1" w:themeTint="F2"/>
          <w:sz w:val="22"/>
          <w:szCs w:val="22"/>
        </w:rPr>
        <w:t>00007/MARTIPIR/IP/2022</w:t>
      </w:r>
      <w:r w:rsidRPr="000B7ED7">
        <w:rPr>
          <w:rFonts w:ascii="Palatino Linotype" w:hAnsi="Palatino Linotype" w:cs="Tahoma"/>
          <w:bCs/>
          <w:color w:val="0D0D0D" w:themeColor="text1" w:themeTint="F2"/>
          <w:sz w:val="22"/>
          <w:szCs w:val="22"/>
        </w:rPr>
        <w:t>, se emite la presente Resolución, con base en los Antecedentes y C</w:t>
      </w:r>
      <w:r w:rsidRPr="000B7ED7">
        <w:rPr>
          <w:rFonts w:ascii="Palatino Linotype" w:hAnsi="Palatino Linotype" w:cs="Tahoma"/>
          <w:bCs/>
          <w:sz w:val="22"/>
          <w:szCs w:val="22"/>
        </w:rPr>
        <w:t>onsiderandos que a continuación se exponen:</w:t>
      </w:r>
    </w:p>
    <w:p w14:paraId="28946067" w14:textId="77777777" w:rsidR="00836192" w:rsidRPr="000B7ED7" w:rsidRDefault="00836192" w:rsidP="00836192">
      <w:pPr>
        <w:spacing w:line="360" w:lineRule="auto"/>
        <w:rPr>
          <w:rFonts w:ascii="Palatino Linotype" w:hAnsi="Palatino Linotype" w:cs="Tahoma"/>
          <w:sz w:val="22"/>
          <w:szCs w:val="22"/>
        </w:rPr>
      </w:pPr>
    </w:p>
    <w:p w14:paraId="5F432416" w14:textId="77777777" w:rsidR="00836192" w:rsidRPr="000B7ED7" w:rsidRDefault="00836192" w:rsidP="00836192">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14:paraId="2DCC4393"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1049213E"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14:paraId="608CFBE6"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1BA87F1F" w14:textId="1A7C01F5" w:rsidR="00836192" w:rsidRPr="000B7ED7" w:rsidRDefault="00836192" w:rsidP="00836192">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szCs w:val="22"/>
        </w:rPr>
        <w:t xml:space="preserve">Con fecha </w:t>
      </w:r>
      <w:r w:rsidR="00C43D9A">
        <w:rPr>
          <w:rFonts w:ascii="Palatino Linotype" w:hAnsi="Palatino Linotype" w:cs="Tahoma"/>
          <w:szCs w:val="22"/>
        </w:rPr>
        <w:t>catorce</w:t>
      </w:r>
      <w:r w:rsidR="0086262C" w:rsidRPr="000B7ED7">
        <w:rPr>
          <w:rFonts w:ascii="Palatino Linotype" w:hAnsi="Palatino Linotype" w:cs="Tahoma"/>
          <w:szCs w:val="22"/>
        </w:rPr>
        <w:t xml:space="preserve"> de </w:t>
      </w:r>
      <w:r w:rsidR="00C43D9A">
        <w:rPr>
          <w:rFonts w:ascii="Palatino Linotype" w:hAnsi="Palatino Linotype" w:cs="Tahoma"/>
          <w:szCs w:val="22"/>
        </w:rPr>
        <w:t>enero</w:t>
      </w:r>
      <w:r w:rsidRPr="000B7ED7">
        <w:rPr>
          <w:rFonts w:ascii="Palatino Linotype" w:hAnsi="Palatino Linotype" w:cs="Tahoma"/>
          <w:szCs w:val="22"/>
        </w:rPr>
        <w:t xml:space="preserve"> de dos mil veinti</w:t>
      </w:r>
      <w:r w:rsidR="00C43D9A">
        <w:rPr>
          <w:rFonts w:ascii="Palatino Linotype" w:hAnsi="Palatino Linotype" w:cs="Tahoma"/>
          <w:szCs w:val="22"/>
        </w:rPr>
        <w:t>dós</w:t>
      </w:r>
      <w:r w:rsidRPr="000B7ED7">
        <w:rPr>
          <w:rFonts w:ascii="Palatino Linotype" w:hAnsi="Palatino Linotype" w:cs="Tahoma"/>
          <w:szCs w:val="22"/>
        </w:rPr>
        <w:t xml:space="preserve">, el Particular presentó una solicitud de acceso a la información pública, 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el</w:t>
      </w:r>
      <w:r w:rsidR="0086262C" w:rsidRPr="000B7ED7">
        <w:rPr>
          <w:rFonts w:ascii="Palatino Linotype" w:hAnsi="Palatino Linotype" w:cs="Tahoma"/>
          <w:szCs w:val="22"/>
        </w:rPr>
        <w:t xml:space="preserve"> </w:t>
      </w:r>
      <w:bookmarkStart w:id="0" w:name="_Hlk97040454"/>
      <w:r w:rsidR="00C43D9A" w:rsidRPr="00C43D9A">
        <w:rPr>
          <w:rFonts w:ascii="Palatino Linotype" w:hAnsi="Palatino Linotype" w:cs="Tahoma"/>
          <w:szCs w:val="22"/>
        </w:rPr>
        <w:t>Ayuntamiento de San Martín de Las Pirámides</w:t>
      </w:r>
      <w:bookmarkEnd w:id="0"/>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14:paraId="2A219690"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6599E508" w14:textId="1993C4C2" w:rsidR="00836192" w:rsidRPr="000B7ED7" w:rsidRDefault="0086262C" w:rsidP="00836192">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t>“</w:t>
      </w:r>
      <w:r w:rsidR="00836192" w:rsidRPr="000B7ED7">
        <w:rPr>
          <w:rFonts w:ascii="Palatino Linotype" w:hAnsi="Palatino Linotype" w:cs="Tahoma"/>
          <w:b/>
          <w:bCs/>
          <w:i/>
        </w:rPr>
        <w:t>DESCRIPCIÓN CLARA Y PRECISA DE LA INFORMACIÓN SOLICITADA</w:t>
      </w:r>
    </w:p>
    <w:p w14:paraId="5BF45220" w14:textId="003BC181" w:rsidR="00836192" w:rsidRPr="000B7ED7" w:rsidRDefault="00C43D9A" w:rsidP="00836192">
      <w:pPr>
        <w:tabs>
          <w:tab w:val="left" w:pos="4667"/>
        </w:tabs>
        <w:spacing w:line="360" w:lineRule="auto"/>
        <w:ind w:left="567" w:right="567"/>
        <w:jc w:val="both"/>
        <w:rPr>
          <w:rFonts w:ascii="Palatino Linotype" w:hAnsi="Palatino Linotype" w:cs="Tahoma"/>
          <w:bCs/>
          <w:i/>
        </w:rPr>
      </w:pPr>
      <w:r w:rsidRPr="00C43D9A">
        <w:rPr>
          <w:rFonts w:ascii="Palatino Linotype" w:hAnsi="Palatino Linotype" w:cs="Tahoma"/>
          <w:bCs/>
          <w:i/>
        </w:rPr>
        <w:t>Requiero conocer los nombres de las personas que integran la contraloría interna municipal</w:t>
      </w:r>
      <w:r w:rsidR="0086262C" w:rsidRPr="000B7ED7">
        <w:rPr>
          <w:rFonts w:ascii="Palatino Linotype" w:hAnsi="Palatino Linotype" w:cs="Tahoma"/>
          <w:bCs/>
          <w:i/>
        </w:rPr>
        <w:t>”</w:t>
      </w:r>
      <w:r w:rsidR="00CF6D4F">
        <w:rPr>
          <w:rFonts w:ascii="Palatino Linotype" w:hAnsi="Palatino Linotype" w:cs="Tahoma"/>
          <w:bCs/>
          <w:i/>
        </w:rPr>
        <w:t xml:space="preserve"> </w:t>
      </w:r>
      <w:r w:rsidR="00836192" w:rsidRPr="000B7ED7">
        <w:rPr>
          <w:rFonts w:ascii="Palatino Linotype" w:hAnsi="Palatino Linotype" w:cs="Tahoma"/>
          <w:bCs/>
          <w:i/>
        </w:rPr>
        <w:t>(Sic)</w:t>
      </w:r>
    </w:p>
    <w:p w14:paraId="46FF76E2" w14:textId="77777777" w:rsidR="00836192" w:rsidRPr="000B7ED7" w:rsidRDefault="00836192" w:rsidP="00836192">
      <w:pPr>
        <w:tabs>
          <w:tab w:val="left" w:pos="4667"/>
        </w:tabs>
        <w:spacing w:line="360" w:lineRule="auto"/>
        <w:ind w:left="567" w:right="567"/>
        <w:jc w:val="both"/>
        <w:rPr>
          <w:rFonts w:ascii="Palatino Linotype" w:hAnsi="Palatino Linotype" w:cs="Tahoma"/>
          <w:bCs/>
          <w:i/>
        </w:rPr>
      </w:pPr>
    </w:p>
    <w:p w14:paraId="51808D19" w14:textId="6107408E" w:rsidR="00836192" w:rsidRPr="000B7ED7" w:rsidRDefault="007D2BD0" w:rsidP="00836192">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00836192" w:rsidRPr="000B7ED7">
        <w:rPr>
          <w:rFonts w:ascii="Palatino Linotype" w:hAnsi="Palatino Linotype" w:cs="Tahoma"/>
          <w:b/>
          <w:bCs/>
          <w:i/>
        </w:rPr>
        <w:t>MODALIDAD DE ENTREGA</w:t>
      </w:r>
    </w:p>
    <w:p w14:paraId="4BB1DF7C" w14:textId="51851A88" w:rsidR="00836192" w:rsidRPr="000B7ED7" w:rsidRDefault="00836192" w:rsidP="00836192">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14:paraId="45F448AF"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bCs/>
          <w:sz w:val="20"/>
          <w:szCs w:val="20"/>
        </w:rPr>
      </w:pPr>
    </w:p>
    <w:p w14:paraId="47953292" w14:textId="3820F95A" w:rsidR="00836192" w:rsidRPr="000B7ED7" w:rsidRDefault="00836192" w:rsidP="00836192">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lastRenderedPageBreak/>
        <w:t xml:space="preserve">II. Respuesta del Sujeto Obligado. </w:t>
      </w:r>
    </w:p>
    <w:p w14:paraId="41C1F271"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bCs/>
          <w:szCs w:val="22"/>
        </w:rPr>
      </w:pPr>
    </w:p>
    <w:p w14:paraId="75479242" w14:textId="5061AF15" w:rsidR="0086262C" w:rsidRPr="000B7ED7" w:rsidRDefault="0086262C" w:rsidP="00836192">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bCs/>
          <w:szCs w:val="22"/>
        </w:rPr>
        <w:t xml:space="preserve">El </w:t>
      </w:r>
      <w:r w:rsidR="00C43D9A">
        <w:rPr>
          <w:rFonts w:ascii="Palatino Linotype" w:hAnsi="Palatino Linotype" w:cs="Tahoma"/>
          <w:bCs/>
          <w:szCs w:val="22"/>
        </w:rPr>
        <w:t>veintisiete</w:t>
      </w:r>
      <w:r w:rsidRPr="000B7ED7">
        <w:rPr>
          <w:rFonts w:ascii="Palatino Linotype" w:hAnsi="Palatino Linotype" w:cs="Tahoma"/>
          <w:bCs/>
          <w:szCs w:val="22"/>
        </w:rPr>
        <w:t xml:space="preserve"> de </w:t>
      </w:r>
      <w:r w:rsidR="00C43D9A">
        <w:rPr>
          <w:rFonts w:ascii="Palatino Linotype" w:hAnsi="Palatino Linotype" w:cs="Tahoma"/>
          <w:bCs/>
          <w:szCs w:val="22"/>
        </w:rPr>
        <w:t xml:space="preserve">enero </w:t>
      </w:r>
      <w:r w:rsidR="00836192" w:rsidRPr="000B7ED7">
        <w:rPr>
          <w:rFonts w:ascii="Palatino Linotype" w:hAnsi="Palatino Linotype" w:cs="Tahoma"/>
          <w:bCs/>
          <w:szCs w:val="22"/>
        </w:rPr>
        <w:t>de dos mil veinti</w:t>
      </w:r>
      <w:r w:rsidR="00C43D9A">
        <w:rPr>
          <w:rFonts w:ascii="Palatino Linotype" w:hAnsi="Palatino Linotype" w:cs="Tahoma"/>
          <w:bCs/>
          <w:szCs w:val="22"/>
        </w:rPr>
        <w:t>dós</w:t>
      </w:r>
      <w:r w:rsidR="00836192" w:rsidRPr="000B7ED7">
        <w:rPr>
          <w:rFonts w:ascii="Palatino Linotype" w:hAnsi="Palatino Linotype" w:cs="Tahoma"/>
          <w:bCs/>
          <w:szCs w:val="22"/>
        </w:rPr>
        <w:t>,</w:t>
      </w:r>
      <w:r w:rsidR="00836192" w:rsidRPr="000B7ED7">
        <w:rPr>
          <w:rFonts w:ascii="Palatino Linotype" w:hAnsi="Palatino Linotype" w:cs="Tahoma"/>
          <w:szCs w:val="22"/>
        </w:rPr>
        <w:t xml:space="preserve"> </w:t>
      </w:r>
      <w:r w:rsidR="00C43D9A">
        <w:rPr>
          <w:rFonts w:ascii="Palatino Linotype" w:hAnsi="Palatino Linotype" w:cs="Tahoma"/>
          <w:szCs w:val="22"/>
        </w:rPr>
        <w:t xml:space="preserve">el </w:t>
      </w:r>
      <w:r w:rsidR="00C43D9A" w:rsidRPr="00C43D9A">
        <w:rPr>
          <w:rFonts w:ascii="Palatino Linotype" w:hAnsi="Palatino Linotype" w:cs="Tahoma"/>
          <w:szCs w:val="22"/>
        </w:rPr>
        <w:t>Ayuntamiento de San Martín de Las Pirámides</w:t>
      </w:r>
      <w:r w:rsidR="00836192" w:rsidRPr="000B7ED7">
        <w:rPr>
          <w:rFonts w:ascii="Palatino Linotype" w:hAnsi="Palatino Linotype" w:cs="Tahoma"/>
          <w:szCs w:val="22"/>
        </w:rPr>
        <w:t xml:space="preserve"> notificó al Solicitante, mediante el Sistema de Acceso a la Información Mexiquense (SAIMEX), la respuesta a la solicitud de acceso a la</w:t>
      </w:r>
      <w:r w:rsidRPr="000B7ED7">
        <w:rPr>
          <w:rFonts w:ascii="Palatino Linotype" w:hAnsi="Palatino Linotype" w:cs="Tahoma"/>
          <w:szCs w:val="22"/>
        </w:rPr>
        <w:t xml:space="preserve"> </w:t>
      </w:r>
      <w:r w:rsidR="00836192" w:rsidRPr="000B7ED7">
        <w:rPr>
          <w:rFonts w:ascii="Palatino Linotype" w:hAnsi="Palatino Linotype" w:cs="Tahoma"/>
          <w:szCs w:val="22"/>
        </w:rPr>
        <w:t xml:space="preserve">información, </w:t>
      </w:r>
      <w:r w:rsidRPr="000B7ED7">
        <w:rPr>
          <w:rFonts w:ascii="Palatino Linotype" w:hAnsi="Palatino Linotype" w:cs="Tahoma"/>
          <w:szCs w:val="22"/>
        </w:rPr>
        <w:t xml:space="preserve">a través del oficio número </w:t>
      </w:r>
      <w:r w:rsidR="00C43D9A">
        <w:rPr>
          <w:rFonts w:ascii="Palatino Linotype" w:hAnsi="Palatino Linotype" w:cs="Tahoma"/>
          <w:szCs w:val="22"/>
        </w:rPr>
        <w:t>RH/020/2022</w:t>
      </w:r>
      <w:r w:rsidRPr="000B7ED7">
        <w:rPr>
          <w:rFonts w:ascii="Palatino Linotype" w:hAnsi="Palatino Linotype" w:cs="Tahoma"/>
          <w:szCs w:val="22"/>
        </w:rPr>
        <w:t xml:space="preserve">, del mismo día </w:t>
      </w:r>
      <w:r w:rsidR="007D2BD0">
        <w:rPr>
          <w:rFonts w:ascii="Palatino Linotype" w:hAnsi="Palatino Linotype" w:cs="Tahoma"/>
          <w:szCs w:val="22"/>
        </w:rPr>
        <w:t>de recepción</w:t>
      </w:r>
      <w:r w:rsidRPr="000B7ED7">
        <w:rPr>
          <w:rFonts w:ascii="Palatino Linotype" w:hAnsi="Palatino Linotype" w:cs="Tahoma"/>
          <w:szCs w:val="22"/>
        </w:rPr>
        <w:t xml:space="preserve">, suscrito por </w:t>
      </w:r>
      <w:r w:rsidR="00C43D9A">
        <w:rPr>
          <w:rFonts w:ascii="Palatino Linotype" w:hAnsi="Palatino Linotype" w:cs="Tahoma"/>
          <w:szCs w:val="22"/>
        </w:rPr>
        <w:t xml:space="preserve">la </w:t>
      </w:r>
      <w:proofErr w:type="gramStart"/>
      <w:r w:rsidR="00C43D9A">
        <w:rPr>
          <w:rFonts w:ascii="Palatino Linotype" w:hAnsi="Palatino Linotype" w:cs="Tahoma"/>
          <w:szCs w:val="22"/>
        </w:rPr>
        <w:t>Directora</w:t>
      </w:r>
      <w:proofErr w:type="gramEnd"/>
      <w:r w:rsidR="00C43D9A">
        <w:rPr>
          <w:rFonts w:ascii="Palatino Linotype" w:hAnsi="Palatino Linotype" w:cs="Tahoma"/>
          <w:szCs w:val="22"/>
        </w:rPr>
        <w:t xml:space="preserve"> de Recursos Humanos</w:t>
      </w:r>
      <w:r w:rsidR="007D2BD0">
        <w:rPr>
          <w:rFonts w:ascii="Palatino Linotype" w:hAnsi="Palatino Linotype" w:cs="Tahoma"/>
          <w:szCs w:val="22"/>
        </w:rPr>
        <w:t xml:space="preserve"> y dirigido al Solicitante</w:t>
      </w:r>
      <w:r w:rsidRPr="000B7ED7">
        <w:rPr>
          <w:rFonts w:ascii="Palatino Linotype" w:hAnsi="Palatino Linotype" w:cs="Tahoma"/>
          <w:szCs w:val="22"/>
        </w:rPr>
        <w:t xml:space="preserve">, por medio del cual manifiesta y expone: </w:t>
      </w:r>
    </w:p>
    <w:p w14:paraId="170E655A" w14:textId="1E52E73E" w:rsidR="0086262C" w:rsidRPr="000B7ED7" w:rsidRDefault="0086262C" w:rsidP="00D618BD">
      <w:pPr>
        <w:pStyle w:val="Prrafodelista"/>
        <w:tabs>
          <w:tab w:val="left" w:pos="567"/>
        </w:tabs>
        <w:ind w:left="0"/>
        <w:jc w:val="both"/>
        <w:rPr>
          <w:rFonts w:ascii="Palatino Linotype" w:hAnsi="Palatino Linotype" w:cs="Tahoma"/>
          <w:szCs w:val="22"/>
        </w:rPr>
      </w:pPr>
    </w:p>
    <w:p w14:paraId="6D7DFC2E" w14:textId="0A23571F" w:rsidR="0086262C" w:rsidRPr="000B7ED7" w:rsidRDefault="0086262C" w:rsidP="008B0751">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w:t>
      </w:r>
    </w:p>
    <w:p w14:paraId="15251C71" w14:textId="3302D35A" w:rsidR="00C43D9A" w:rsidRPr="000B7ED7" w:rsidRDefault="00C43D9A" w:rsidP="008B0751">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 xml:space="preserve">Al respecto me permito informarle que solo se cuenta con el titular de la Contraloría Interna que es el C. </w:t>
      </w:r>
      <w:r w:rsidR="00A828B7">
        <w:rPr>
          <w:rFonts w:ascii="Palatino Linotype" w:hAnsi="Palatino Linotype" w:cs="Tahoma"/>
          <w:i/>
          <w:iCs/>
          <w:sz w:val="20"/>
          <w:szCs w:val="20"/>
        </w:rPr>
        <w:t>JUAN MANUEL RAMÍREZ CORONA.</w:t>
      </w:r>
    </w:p>
    <w:p w14:paraId="204CAC43" w14:textId="69DAB862" w:rsidR="008B0751" w:rsidRPr="000B7ED7" w:rsidRDefault="008B0751" w:rsidP="008B0751">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 xml:space="preserve">…” (Sic) </w:t>
      </w:r>
    </w:p>
    <w:p w14:paraId="5C4A0E2C"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200EA5F2" w14:textId="431C0F25" w:rsidR="00836192" w:rsidRPr="000B7ED7" w:rsidRDefault="00836192" w:rsidP="00836192">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00B312A0" w:rsidRPr="000B7ED7">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14:paraId="6D010755"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rPr>
      </w:pPr>
    </w:p>
    <w:p w14:paraId="5B834096" w14:textId="0C5E3B92" w:rsidR="00836192" w:rsidRPr="000B7ED7" w:rsidRDefault="00836192" w:rsidP="00836192">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A828B7">
        <w:rPr>
          <w:rFonts w:ascii="Palatino Linotype" w:hAnsi="Palatino Linotype" w:cs="Tahoma"/>
          <w:sz w:val="22"/>
          <w:szCs w:val="22"/>
        </w:rPr>
        <w:t>treinta y uno de</w:t>
      </w:r>
      <w:r w:rsidR="007B7A1E" w:rsidRPr="000B7ED7">
        <w:rPr>
          <w:rFonts w:ascii="Palatino Linotype" w:hAnsi="Palatino Linotype" w:cs="Tahoma"/>
          <w:sz w:val="22"/>
          <w:szCs w:val="22"/>
        </w:rPr>
        <w:t xml:space="preserve"> </w:t>
      </w:r>
      <w:r w:rsidR="00A828B7">
        <w:rPr>
          <w:rFonts w:ascii="Palatino Linotype" w:hAnsi="Palatino Linotype" w:cs="Tahoma"/>
          <w:sz w:val="22"/>
          <w:szCs w:val="22"/>
        </w:rPr>
        <w:t>enero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eastAsia="Calibri" w:hAnsi="Palatino Linotype"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Pr="000B7ED7">
        <w:rPr>
          <w:rFonts w:ascii="Palatino Linotype" w:hAnsi="Palatino Linotype" w:cs="Tahoma"/>
          <w:sz w:val="22"/>
          <w:szCs w:val="22"/>
        </w:rPr>
        <w:t>, el Recurso de Revisión interpuesto por la parte Recurrente, en contra de la respuesta del Sujeto Obligado, en los siguientes términos:</w:t>
      </w:r>
    </w:p>
    <w:p w14:paraId="5551AC4F" w14:textId="77777777" w:rsidR="00836192" w:rsidRPr="000B7ED7" w:rsidRDefault="00836192" w:rsidP="00836192">
      <w:pPr>
        <w:widowControl w:val="0"/>
        <w:autoSpaceDE w:val="0"/>
        <w:autoSpaceDN w:val="0"/>
        <w:adjustRightInd w:val="0"/>
        <w:spacing w:line="360" w:lineRule="auto"/>
        <w:jc w:val="both"/>
        <w:rPr>
          <w:rFonts w:ascii="Palatino Linotype" w:hAnsi="Palatino Linotype" w:cs="Tahoma"/>
          <w:sz w:val="22"/>
          <w:szCs w:val="22"/>
        </w:rPr>
      </w:pPr>
    </w:p>
    <w:p w14:paraId="394C292B" w14:textId="682997FC" w:rsidR="00836192" w:rsidRPr="000B7ED7" w:rsidRDefault="00D41CFA" w:rsidP="00836192">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t>“</w:t>
      </w:r>
      <w:r w:rsidR="00836192" w:rsidRPr="000B7ED7">
        <w:rPr>
          <w:rFonts w:ascii="Palatino Linotype" w:hAnsi="Palatino Linotype" w:cs="Tahoma"/>
          <w:b/>
          <w:bCs/>
          <w:i/>
        </w:rPr>
        <w:t>ACTO IMPUGNADO</w:t>
      </w:r>
    </w:p>
    <w:p w14:paraId="39D421A0" w14:textId="0DE8E83C" w:rsidR="00836192" w:rsidRPr="000B7ED7" w:rsidRDefault="00A828B7" w:rsidP="00836192">
      <w:pPr>
        <w:autoSpaceDE w:val="0"/>
        <w:autoSpaceDN w:val="0"/>
        <w:adjustRightInd w:val="0"/>
        <w:spacing w:line="360" w:lineRule="auto"/>
        <w:ind w:left="567" w:right="567"/>
        <w:jc w:val="both"/>
        <w:rPr>
          <w:rFonts w:ascii="Palatino Linotype" w:hAnsi="Palatino Linotype" w:cs="Tahoma"/>
          <w:i/>
        </w:rPr>
      </w:pPr>
      <w:r w:rsidRPr="00A828B7">
        <w:rPr>
          <w:rFonts w:ascii="Palatino Linotype" w:hAnsi="Palatino Linotype" w:cs="Tahoma"/>
          <w:i/>
        </w:rPr>
        <w:t>respuesta incompleta</w:t>
      </w:r>
      <w:r w:rsidR="00D41CFA" w:rsidRPr="000B7ED7">
        <w:rPr>
          <w:rFonts w:ascii="Palatino Linotype" w:hAnsi="Palatino Linotype" w:cs="Tahoma"/>
          <w:i/>
        </w:rPr>
        <w:t xml:space="preserve">” </w:t>
      </w:r>
      <w:r w:rsidR="00836192" w:rsidRPr="000B7ED7">
        <w:rPr>
          <w:rFonts w:ascii="Palatino Linotype" w:hAnsi="Palatino Linotype" w:cs="Tahoma"/>
          <w:i/>
        </w:rPr>
        <w:t>(Sic.)</w:t>
      </w:r>
    </w:p>
    <w:p w14:paraId="1A1ACA26" w14:textId="77777777" w:rsidR="00836192" w:rsidRPr="000B7ED7" w:rsidRDefault="00836192" w:rsidP="00836192">
      <w:pPr>
        <w:autoSpaceDE w:val="0"/>
        <w:autoSpaceDN w:val="0"/>
        <w:adjustRightInd w:val="0"/>
        <w:spacing w:line="360" w:lineRule="auto"/>
        <w:ind w:right="567"/>
        <w:jc w:val="both"/>
        <w:rPr>
          <w:rFonts w:ascii="Palatino Linotype" w:hAnsi="Palatino Linotype" w:cs="Tahoma"/>
          <w:i/>
        </w:rPr>
      </w:pPr>
    </w:p>
    <w:p w14:paraId="10C9D12D" w14:textId="237A5F6B" w:rsidR="00836192" w:rsidRPr="000B7ED7" w:rsidRDefault="00AB0CC4" w:rsidP="00836192">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00836192" w:rsidRPr="000B7ED7">
        <w:rPr>
          <w:rFonts w:ascii="Palatino Linotype" w:hAnsi="Palatino Linotype" w:cs="Tahoma"/>
          <w:b/>
          <w:i/>
        </w:rPr>
        <w:t>RAZONES O MOTIVOS DE LA INCONFORMIDAD</w:t>
      </w:r>
    </w:p>
    <w:p w14:paraId="296A55C2" w14:textId="61B57D33" w:rsidR="00836192" w:rsidRPr="000B7ED7" w:rsidRDefault="00A828B7" w:rsidP="00836192">
      <w:pPr>
        <w:autoSpaceDE w:val="0"/>
        <w:autoSpaceDN w:val="0"/>
        <w:adjustRightInd w:val="0"/>
        <w:spacing w:line="360" w:lineRule="auto"/>
        <w:ind w:left="567" w:right="567"/>
        <w:jc w:val="both"/>
        <w:rPr>
          <w:rFonts w:ascii="Palatino Linotype" w:hAnsi="Palatino Linotype" w:cs="Tahoma"/>
          <w:i/>
        </w:rPr>
      </w:pPr>
      <w:r w:rsidRPr="00A828B7">
        <w:rPr>
          <w:rFonts w:ascii="Palatino Linotype" w:hAnsi="Palatino Linotype" w:cs="Tahoma"/>
          <w:i/>
        </w:rPr>
        <w:t xml:space="preserve">la información </w:t>
      </w:r>
      <w:proofErr w:type="spellStart"/>
      <w:r w:rsidRPr="00A828B7">
        <w:rPr>
          <w:rFonts w:ascii="Palatino Linotype" w:hAnsi="Palatino Linotype" w:cs="Tahoma"/>
          <w:i/>
        </w:rPr>
        <w:t>esta</w:t>
      </w:r>
      <w:proofErr w:type="spellEnd"/>
      <w:r w:rsidRPr="00A828B7">
        <w:rPr>
          <w:rFonts w:ascii="Palatino Linotype" w:hAnsi="Palatino Linotype" w:cs="Tahoma"/>
          <w:i/>
        </w:rPr>
        <w:t xml:space="preserve"> incompleta, no mencionan los auxiliares ni dan cuenta del organigrama</w:t>
      </w:r>
      <w:r w:rsidR="00AB0CC4" w:rsidRPr="000B7ED7">
        <w:rPr>
          <w:rFonts w:ascii="Palatino Linotype" w:hAnsi="Palatino Linotype" w:cs="Tahoma"/>
          <w:i/>
        </w:rPr>
        <w:t xml:space="preserve">” </w:t>
      </w:r>
      <w:r w:rsidR="00836192" w:rsidRPr="000B7ED7">
        <w:rPr>
          <w:rFonts w:ascii="Palatino Linotype" w:hAnsi="Palatino Linotype" w:cs="Tahoma"/>
          <w:i/>
        </w:rPr>
        <w:t xml:space="preserve">(Sic) </w:t>
      </w:r>
    </w:p>
    <w:p w14:paraId="6F68C5F8" w14:textId="77777777" w:rsidR="00836192" w:rsidRPr="000B7ED7" w:rsidRDefault="00836192" w:rsidP="00836192">
      <w:pPr>
        <w:spacing w:line="360" w:lineRule="auto"/>
        <w:jc w:val="both"/>
        <w:rPr>
          <w:rFonts w:ascii="Palatino Linotype" w:hAnsi="Palatino Linotype" w:cs="Tahoma"/>
          <w:b/>
          <w:sz w:val="22"/>
          <w:szCs w:val="22"/>
        </w:rPr>
      </w:pPr>
    </w:p>
    <w:p w14:paraId="262CD250" w14:textId="77777777" w:rsidR="00836192" w:rsidRPr="000B7ED7" w:rsidRDefault="00836192" w:rsidP="00836192">
      <w:pPr>
        <w:spacing w:line="360" w:lineRule="auto"/>
        <w:jc w:val="both"/>
        <w:rPr>
          <w:rFonts w:ascii="Palatino Linotype" w:eastAsia="Batang" w:hAnsi="Palatino Linotype" w:cs="Tahoma"/>
          <w:b/>
          <w:bCs/>
          <w:sz w:val="22"/>
          <w:szCs w:val="22"/>
        </w:rPr>
      </w:pPr>
      <w:r w:rsidRPr="000B7ED7">
        <w:rPr>
          <w:rFonts w:ascii="Palatino Linotype" w:hAnsi="Palatino Linotype" w:cs="Tahoma"/>
          <w:b/>
          <w:sz w:val="22"/>
          <w:szCs w:val="22"/>
        </w:rPr>
        <w:t xml:space="preserve">IV. </w:t>
      </w:r>
      <w:r w:rsidRPr="000B7ED7">
        <w:rPr>
          <w:rFonts w:ascii="Palatino Linotype" w:eastAsia="Batang" w:hAnsi="Palatino Linotype"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eastAsia="Batang" w:hAnsi="Palatino Linotype" w:cs="Tahoma"/>
          <w:b/>
          <w:bCs/>
          <w:sz w:val="22"/>
          <w:szCs w:val="22"/>
        </w:rPr>
        <w:t>ante este Instituto.</w:t>
      </w:r>
    </w:p>
    <w:p w14:paraId="208D12AB" w14:textId="77777777" w:rsidR="00836192" w:rsidRPr="000B7ED7" w:rsidRDefault="00836192" w:rsidP="00836192">
      <w:pPr>
        <w:spacing w:line="360" w:lineRule="auto"/>
        <w:jc w:val="both"/>
        <w:rPr>
          <w:rFonts w:ascii="Palatino Linotype" w:eastAsia="Batang" w:hAnsi="Palatino Linotype" w:cs="Tahoma"/>
          <w:b/>
          <w:bCs/>
          <w:sz w:val="22"/>
          <w:szCs w:val="22"/>
        </w:rPr>
      </w:pPr>
    </w:p>
    <w:p w14:paraId="5F11E829" w14:textId="72A2DDB3" w:rsidR="00836192" w:rsidRPr="000B7ED7" w:rsidRDefault="00836192" w:rsidP="00836192">
      <w:pPr>
        <w:spacing w:line="360" w:lineRule="auto"/>
        <w:jc w:val="both"/>
        <w:rPr>
          <w:rFonts w:ascii="Palatino Linotype" w:eastAsia="Batang" w:hAnsi="Palatino Linotype" w:cs="Tahoma"/>
          <w:bCs/>
          <w:sz w:val="22"/>
          <w:szCs w:val="22"/>
        </w:rPr>
      </w:pPr>
      <w:r w:rsidRPr="000B7ED7">
        <w:rPr>
          <w:rFonts w:ascii="Palatino Linotype" w:hAnsi="Palatino Linotype"/>
          <w:b/>
          <w:bCs/>
          <w:sz w:val="22"/>
          <w:szCs w:val="22"/>
        </w:rPr>
        <w:lastRenderedPageBreak/>
        <w:t xml:space="preserve">a) Turno del Recurso de Revisión. </w:t>
      </w:r>
      <w:r w:rsidRPr="000B7ED7">
        <w:rPr>
          <w:rFonts w:ascii="Palatino Linotype" w:eastAsia="Batang" w:hAnsi="Palatino Linotype" w:cs="Tahoma"/>
          <w:bCs/>
          <w:sz w:val="22"/>
          <w:szCs w:val="22"/>
          <w:lang w:val="es-ES_tradnl"/>
        </w:rPr>
        <w:t xml:space="preserve">El </w:t>
      </w:r>
      <w:r w:rsidR="00A828B7" w:rsidRPr="00A828B7">
        <w:rPr>
          <w:rFonts w:ascii="Palatino Linotype" w:hAnsi="Palatino Linotype" w:cs="Tahoma"/>
          <w:sz w:val="22"/>
          <w:szCs w:val="22"/>
        </w:rPr>
        <w:t>treinta y uno de enero de dos mil veintidós</w:t>
      </w:r>
      <w:r w:rsidRPr="000B7ED7">
        <w:rPr>
          <w:rFonts w:ascii="Palatino Linotype" w:eastAsia="Batang" w:hAnsi="Palatino Linotype" w:cs="Tahoma"/>
          <w:bCs/>
          <w:sz w:val="22"/>
          <w:szCs w:val="22"/>
          <w:lang w:val="es-ES_tradnl"/>
        </w:rPr>
        <w:t xml:space="preserve">, el Sistema de Acceso a la Información Mexiquense (SAIMEX), asignó el número de expediente </w:t>
      </w:r>
      <w:r w:rsidR="00A828B7" w:rsidRPr="00A828B7">
        <w:rPr>
          <w:rFonts w:ascii="Palatino Linotype" w:eastAsia="Batang" w:hAnsi="Palatino Linotype" w:cs="Tahoma"/>
          <w:b/>
          <w:sz w:val="22"/>
          <w:szCs w:val="22"/>
          <w:lang w:val="es-ES_tradnl"/>
        </w:rPr>
        <w:t>00411/INFOEM/IP/RR/2022</w:t>
      </w:r>
      <w:r w:rsidRPr="000B7ED7">
        <w:rPr>
          <w:rFonts w:ascii="Palatino Linotype" w:eastAsia="Batang" w:hAnsi="Palatino Linotype"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0B7ED7" w:rsidRDefault="00836192" w:rsidP="00836192">
      <w:pPr>
        <w:spacing w:line="360" w:lineRule="auto"/>
        <w:jc w:val="both"/>
        <w:rPr>
          <w:rFonts w:ascii="Palatino Linotype" w:eastAsia="Batang" w:hAnsi="Palatino Linotype" w:cs="Tahoma"/>
          <w:b/>
          <w:bCs/>
          <w:sz w:val="22"/>
          <w:szCs w:val="22"/>
        </w:rPr>
      </w:pPr>
    </w:p>
    <w:p w14:paraId="3A64D196" w14:textId="2D7C64C6" w:rsidR="00836192" w:rsidRPr="000B7ED7" w:rsidRDefault="00836192" w:rsidP="00836192">
      <w:pPr>
        <w:spacing w:line="360" w:lineRule="auto"/>
        <w:jc w:val="both"/>
        <w:rPr>
          <w:rFonts w:ascii="Palatino Linotype" w:eastAsia="Batang" w:hAnsi="Palatino Linotype" w:cs="Tahoma"/>
          <w:bCs/>
          <w:sz w:val="22"/>
          <w:szCs w:val="22"/>
          <w:lang w:val="es-ES_tradnl"/>
        </w:rPr>
      </w:pPr>
      <w:r w:rsidRPr="000B7ED7">
        <w:rPr>
          <w:rFonts w:ascii="Palatino Linotype" w:eastAsia="Batang" w:hAnsi="Palatino Linotype"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eastAsia="Batang" w:hAnsi="Palatino Linotype" w:cs="Tahoma"/>
          <w:b/>
          <w:bCs/>
          <w:sz w:val="22"/>
          <w:szCs w:val="22"/>
          <w:lang w:val="es-ES_tradnl"/>
        </w:rPr>
        <w:t xml:space="preserve">. </w:t>
      </w:r>
      <w:r w:rsidRPr="000B7ED7">
        <w:rPr>
          <w:rFonts w:ascii="Palatino Linotype" w:eastAsia="Batang" w:hAnsi="Palatino Linotype" w:cs="Tahoma"/>
          <w:bCs/>
          <w:sz w:val="22"/>
          <w:szCs w:val="22"/>
          <w:lang w:val="es-ES_tradnl"/>
        </w:rPr>
        <w:t xml:space="preserve">El </w:t>
      </w:r>
      <w:r w:rsidR="00A828B7">
        <w:rPr>
          <w:rFonts w:ascii="Palatino Linotype" w:eastAsia="Batang" w:hAnsi="Palatino Linotype" w:cs="Tahoma"/>
          <w:bCs/>
          <w:sz w:val="22"/>
          <w:szCs w:val="22"/>
          <w:lang w:val="es-ES_tradnl"/>
        </w:rPr>
        <w:t>tres</w:t>
      </w:r>
      <w:r w:rsidR="006046B1" w:rsidRPr="000B7ED7">
        <w:rPr>
          <w:rFonts w:ascii="Palatino Linotype" w:eastAsia="Batang" w:hAnsi="Palatino Linotype" w:cs="Tahoma"/>
          <w:bCs/>
          <w:sz w:val="22"/>
          <w:szCs w:val="22"/>
          <w:lang w:val="es-ES_tradnl"/>
        </w:rPr>
        <w:t xml:space="preserve"> de </w:t>
      </w:r>
      <w:r w:rsidR="00A828B7">
        <w:rPr>
          <w:rFonts w:ascii="Palatino Linotype" w:eastAsia="Batang" w:hAnsi="Palatino Linotype" w:cs="Tahoma"/>
          <w:bCs/>
          <w:sz w:val="22"/>
          <w:szCs w:val="22"/>
          <w:lang w:val="es-ES_tradnl"/>
        </w:rPr>
        <w:t>febrero</w:t>
      </w:r>
      <w:r w:rsidRPr="000B7ED7">
        <w:rPr>
          <w:rFonts w:ascii="Palatino Linotype" w:eastAsia="Batang" w:hAnsi="Palatino Linotype" w:cs="Tahoma"/>
          <w:bCs/>
          <w:sz w:val="22"/>
          <w:szCs w:val="22"/>
          <w:lang w:val="es-ES_tradnl"/>
        </w:rPr>
        <w:t xml:space="preserve"> de dos mil veinti</w:t>
      </w:r>
      <w:r w:rsidR="00A828B7">
        <w:rPr>
          <w:rFonts w:ascii="Palatino Linotype" w:eastAsia="Batang" w:hAnsi="Palatino Linotype" w:cs="Tahoma"/>
          <w:bCs/>
          <w:sz w:val="22"/>
          <w:szCs w:val="22"/>
          <w:lang w:val="es-ES_tradnl"/>
        </w:rPr>
        <w:t>dós</w:t>
      </w:r>
      <w:r w:rsidRPr="000B7ED7">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A828B7">
        <w:rPr>
          <w:rFonts w:ascii="Palatino Linotype" w:eastAsia="Batang" w:hAnsi="Palatino Linotype" w:cs="Tahoma"/>
          <w:bCs/>
          <w:sz w:val="22"/>
          <w:szCs w:val="22"/>
          <w:lang w:val="es-ES_tradnl"/>
        </w:rPr>
        <w:t>ocho del mismo mes y año</w:t>
      </w:r>
      <w:r w:rsidRPr="000B7ED7">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8C9442E" w14:textId="77777777" w:rsidR="00836192" w:rsidRPr="000B7ED7" w:rsidRDefault="00836192" w:rsidP="00836192">
      <w:pPr>
        <w:spacing w:line="360" w:lineRule="auto"/>
        <w:jc w:val="both"/>
        <w:rPr>
          <w:rFonts w:ascii="Palatino Linotype" w:hAnsi="Palatino Linotype" w:cs="Tahoma"/>
          <w:bCs/>
          <w:sz w:val="22"/>
          <w:szCs w:val="22"/>
        </w:rPr>
      </w:pPr>
    </w:p>
    <w:p w14:paraId="6B84A5B2" w14:textId="77777777" w:rsidR="00A828B7" w:rsidRDefault="00836192" w:rsidP="00A828B7">
      <w:pPr>
        <w:widowControl w:val="0"/>
        <w:spacing w:line="360" w:lineRule="auto"/>
        <w:jc w:val="both"/>
        <w:rPr>
          <w:rFonts w:ascii="Palatino Linotype" w:hAnsi="Palatino Linotype"/>
          <w:bCs/>
          <w:sz w:val="22"/>
          <w:szCs w:val="22"/>
          <w:lang w:val="es-ES_tradnl"/>
        </w:rPr>
      </w:pPr>
      <w:r w:rsidRPr="000B7ED7">
        <w:rPr>
          <w:rFonts w:ascii="Palatino Linotype" w:hAnsi="Palatino Linotype" w:cs="Tahoma"/>
          <w:b/>
          <w:sz w:val="22"/>
          <w:szCs w:val="22"/>
        </w:rPr>
        <w:t xml:space="preserve">c) </w:t>
      </w:r>
      <w:r w:rsidR="00BB3D12" w:rsidRPr="000B7ED7">
        <w:rPr>
          <w:rFonts w:ascii="Palatino Linotype" w:hAnsi="Palatino Linotype" w:cs="Tahoma"/>
          <w:b/>
          <w:sz w:val="22"/>
          <w:szCs w:val="22"/>
        </w:rPr>
        <w:t>Informe Justificado</w:t>
      </w:r>
      <w:r w:rsidRPr="000B7ED7">
        <w:rPr>
          <w:rFonts w:ascii="Palatino Linotype" w:hAnsi="Palatino Linotype" w:cs="Tahoma"/>
          <w:b/>
          <w:sz w:val="22"/>
          <w:szCs w:val="22"/>
        </w:rPr>
        <w:t>.</w:t>
      </w:r>
      <w:r w:rsidRPr="000B7ED7">
        <w:rPr>
          <w:rFonts w:ascii="Palatino Linotype" w:hAnsi="Palatino Linotype" w:cs="Tahoma"/>
          <w:sz w:val="22"/>
          <w:szCs w:val="22"/>
        </w:rPr>
        <w:t xml:space="preserve"> </w:t>
      </w:r>
      <w:r w:rsidR="00A828B7">
        <w:rPr>
          <w:rFonts w:ascii="Palatino Linotype" w:hAnsi="Palatino Linotype"/>
          <w:bCs/>
          <w:sz w:val="22"/>
          <w:szCs w:val="22"/>
          <w:lang w:val="es-ES_tradnl"/>
        </w:rPr>
        <w:t xml:space="preserve">El diecisiete de febrero de dos mil veintidós, se recibió, a través de Sistema de Acceso a la Información Mexiquense (SAIMEX), el Informe Justificado del Sujeto Obligado, en los siguientes términos: </w:t>
      </w:r>
    </w:p>
    <w:p w14:paraId="5AD5965F" w14:textId="77777777" w:rsidR="00A828B7" w:rsidRDefault="00A828B7" w:rsidP="00A828B7">
      <w:pPr>
        <w:widowControl w:val="0"/>
        <w:spacing w:line="360" w:lineRule="auto"/>
        <w:jc w:val="both"/>
        <w:rPr>
          <w:rFonts w:ascii="Palatino Linotype" w:hAnsi="Palatino Linotype"/>
          <w:bCs/>
          <w:sz w:val="22"/>
          <w:szCs w:val="22"/>
          <w:lang w:val="es-ES_tradnl"/>
        </w:rPr>
      </w:pPr>
    </w:p>
    <w:p w14:paraId="4EF6AC54" w14:textId="6D22BBB9" w:rsidR="00A828B7" w:rsidRPr="00110890" w:rsidRDefault="00A828B7" w:rsidP="00A828B7">
      <w:pPr>
        <w:widowControl w:val="0"/>
        <w:spacing w:line="360" w:lineRule="auto"/>
        <w:ind w:left="567" w:right="567"/>
        <w:jc w:val="both"/>
        <w:rPr>
          <w:rFonts w:ascii="Palatino Linotype" w:hAnsi="Palatino Linotype"/>
          <w:i/>
          <w:iCs/>
        </w:rPr>
      </w:pPr>
      <w:r w:rsidRPr="00FC601F">
        <w:rPr>
          <w:rFonts w:ascii="Palatino Linotype" w:hAnsi="Palatino Linotype"/>
          <w:bCs/>
          <w:i/>
          <w:iCs/>
          <w:lang w:val="es-ES_tradnl"/>
        </w:rPr>
        <w:t>“</w:t>
      </w:r>
      <w:r w:rsidRPr="00110890">
        <w:rPr>
          <w:rFonts w:ascii="Palatino Linotype" w:hAnsi="Palatino Linotype"/>
          <w:bCs/>
          <w:i/>
          <w:iCs/>
        </w:rPr>
        <w:t xml:space="preserve">Buena tarde le informo que nosotros si dimos respuesta en tiempo y forma a esta solicitud, en el área de </w:t>
      </w:r>
      <w:proofErr w:type="spellStart"/>
      <w:r w:rsidRPr="00110890">
        <w:rPr>
          <w:rFonts w:ascii="Palatino Linotype" w:hAnsi="Palatino Linotype"/>
          <w:bCs/>
          <w:i/>
          <w:iCs/>
        </w:rPr>
        <w:t>contraloria</w:t>
      </w:r>
      <w:proofErr w:type="spellEnd"/>
      <w:r w:rsidRPr="00110890">
        <w:rPr>
          <w:rFonts w:ascii="Palatino Linotype" w:hAnsi="Palatino Linotype"/>
          <w:bCs/>
          <w:i/>
          <w:iCs/>
        </w:rPr>
        <w:t xml:space="preserve"> solo </w:t>
      </w:r>
      <w:proofErr w:type="spellStart"/>
      <w:r w:rsidRPr="00110890">
        <w:rPr>
          <w:rFonts w:ascii="Palatino Linotype" w:hAnsi="Palatino Linotype"/>
          <w:bCs/>
          <w:i/>
          <w:iCs/>
        </w:rPr>
        <w:t>esta</w:t>
      </w:r>
      <w:proofErr w:type="spellEnd"/>
      <w:r w:rsidRPr="00110890">
        <w:rPr>
          <w:rFonts w:ascii="Palatino Linotype" w:hAnsi="Palatino Linotype"/>
          <w:bCs/>
          <w:i/>
          <w:iCs/>
        </w:rPr>
        <w:t xml:space="preserve"> el titular que es el contralor, desgraciadamente por el endeudamiento al municipio que nos </w:t>
      </w:r>
      <w:proofErr w:type="spellStart"/>
      <w:r w:rsidRPr="00110890">
        <w:rPr>
          <w:rFonts w:ascii="Palatino Linotype" w:hAnsi="Palatino Linotype"/>
          <w:bCs/>
          <w:i/>
          <w:iCs/>
        </w:rPr>
        <w:t>dejo</w:t>
      </w:r>
      <w:proofErr w:type="spellEnd"/>
      <w:r w:rsidRPr="00110890">
        <w:rPr>
          <w:rFonts w:ascii="Palatino Linotype" w:hAnsi="Palatino Linotype"/>
          <w:bCs/>
          <w:i/>
          <w:iCs/>
        </w:rPr>
        <w:t xml:space="preserve"> la </w:t>
      </w:r>
      <w:proofErr w:type="spellStart"/>
      <w:r w:rsidRPr="00110890">
        <w:rPr>
          <w:rFonts w:ascii="Palatino Linotype" w:hAnsi="Palatino Linotype"/>
          <w:bCs/>
          <w:i/>
          <w:iCs/>
        </w:rPr>
        <w:t>administracion</w:t>
      </w:r>
      <w:proofErr w:type="spellEnd"/>
      <w:r w:rsidRPr="00110890">
        <w:rPr>
          <w:rFonts w:ascii="Palatino Linotype" w:hAnsi="Palatino Linotype"/>
          <w:bCs/>
          <w:i/>
          <w:iCs/>
        </w:rPr>
        <w:t xml:space="preserve"> pasada hasta la fecha no se cuenta ni con auxiliares administrativos en esa </w:t>
      </w:r>
      <w:proofErr w:type="spellStart"/>
      <w:r w:rsidRPr="00110890">
        <w:rPr>
          <w:rFonts w:ascii="Palatino Linotype" w:hAnsi="Palatino Linotype"/>
          <w:bCs/>
          <w:i/>
          <w:iCs/>
        </w:rPr>
        <w:t>area</w:t>
      </w:r>
      <w:proofErr w:type="spellEnd"/>
      <w:r w:rsidRPr="00110890">
        <w:rPr>
          <w:rFonts w:ascii="Palatino Linotype" w:hAnsi="Palatino Linotype"/>
          <w:bCs/>
          <w:i/>
          <w:iCs/>
        </w:rPr>
        <w:t xml:space="preserve"> tan importante, de vez en cuando las chicas que vienen a ser servicio social son las que apoyan en algunas actividades al Contralor</w:t>
      </w:r>
      <w:r w:rsidRPr="00FC601F">
        <w:rPr>
          <w:rFonts w:ascii="Palatino Linotype" w:hAnsi="Palatino Linotype"/>
          <w:bCs/>
          <w:i/>
          <w:iCs/>
          <w:lang w:val="es-ES_tradnl"/>
        </w:rPr>
        <w:t>”</w:t>
      </w:r>
      <w:r>
        <w:rPr>
          <w:rFonts w:ascii="Palatino Linotype" w:hAnsi="Palatino Linotype"/>
          <w:bCs/>
          <w:i/>
          <w:iCs/>
          <w:lang w:val="es-ES_tradnl"/>
        </w:rPr>
        <w:t xml:space="preserve"> (Sic)</w:t>
      </w:r>
    </w:p>
    <w:p w14:paraId="683DE8FB" w14:textId="77777777" w:rsidR="00A828B7" w:rsidRPr="00FC601F" w:rsidRDefault="00A828B7" w:rsidP="00A828B7">
      <w:pPr>
        <w:widowControl w:val="0"/>
        <w:spacing w:line="360" w:lineRule="auto"/>
        <w:ind w:left="567" w:right="567"/>
        <w:jc w:val="both"/>
        <w:rPr>
          <w:rFonts w:ascii="Palatino Linotype" w:hAnsi="Palatino Linotype"/>
          <w:bCs/>
          <w:i/>
          <w:iCs/>
          <w:lang w:val="es-ES_tradnl"/>
        </w:rPr>
      </w:pPr>
    </w:p>
    <w:p w14:paraId="2276B23F" w14:textId="69E3BC63" w:rsidR="00A828B7" w:rsidRDefault="00A828B7" w:rsidP="00CF6D4F">
      <w:pPr>
        <w:widowControl w:val="0"/>
        <w:spacing w:line="360" w:lineRule="auto"/>
        <w:jc w:val="both"/>
        <w:rPr>
          <w:rFonts w:ascii="Palatino Linotype" w:hAnsi="Palatino Linotype" w:cs="Tahoma"/>
          <w:bCs/>
          <w:szCs w:val="22"/>
        </w:rPr>
      </w:pPr>
      <w:r>
        <w:rPr>
          <w:rFonts w:ascii="Palatino Linotype" w:hAnsi="Palatino Linotype"/>
          <w:bCs/>
          <w:sz w:val="22"/>
          <w:szCs w:val="22"/>
          <w:lang w:val="es-ES_tradnl"/>
        </w:rPr>
        <w:t xml:space="preserve">El Sujeto Obligado adjuntó la digitalización </w:t>
      </w:r>
      <w:bookmarkStart w:id="1" w:name="_Hlk84950917"/>
      <w:r w:rsidR="00CF6D4F">
        <w:rPr>
          <w:rFonts w:ascii="Palatino Linotype" w:hAnsi="Palatino Linotype"/>
          <w:bCs/>
          <w:sz w:val="22"/>
          <w:szCs w:val="22"/>
          <w:lang w:val="es-ES_tradnl"/>
        </w:rPr>
        <w:t xml:space="preserve">del </w:t>
      </w:r>
      <w:proofErr w:type="spellStart"/>
      <w:r w:rsidR="00CF6D4F" w:rsidRPr="00CF6D4F">
        <w:rPr>
          <w:rFonts w:ascii="Palatino Linotype" w:hAnsi="Palatino Linotype"/>
          <w:bCs/>
          <w:sz w:val="22"/>
          <w:szCs w:val="22"/>
          <w:lang w:val="es-ES_tradnl"/>
        </w:rPr>
        <w:t>of</w:t>
      </w:r>
      <w:r w:rsidRPr="00CF6D4F">
        <w:rPr>
          <w:rFonts w:ascii="Palatino Linotype" w:hAnsi="Palatino Linotype" w:cs="Tahoma"/>
          <w:bCs/>
          <w:sz w:val="22"/>
          <w:szCs w:val="22"/>
        </w:rPr>
        <w:t>icio</w:t>
      </w:r>
      <w:proofErr w:type="spellEnd"/>
      <w:r w:rsidRPr="00CF6D4F">
        <w:rPr>
          <w:rFonts w:ascii="Palatino Linotype" w:hAnsi="Palatino Linotype" w:cs="Tahoma"/>
          <w:bCs/>
          <w:sz w:val="22"/>
          <w:szCs w:val="22"/>
        </w:rPr>
        <w:t xml:space="preserve"> número RH/020/2022</w:t>
      </w:r>
      <w:r w:rsidRPr="00CF6D4F">
        <w:rPr>
          <w:rFonts w:ascii="Palatino Linotype" w:hAnsi="Palatino Linotype"/>
          <w:bCs/>
          <w:sz w:val="22"/>
          <w:szCs w:val="22"/>
          <w:lang w:val="es-ES_tradnl"/>
        </w:rPr>
        <w:t xml:space="preserve">, </w:t>
      </w:r>
      <w:r w:rsidR="00CF6D4F">
        <w:rPr>
          <w:rFonts w:ascii="Palatino Linotype" w:hAnsi="Palatino Linotype"/>
          <w:bCs/>
          <w:sz w:val="22"/>
          <w:szCs w:val="22"/>
          <w:lang w:val="es-ES_tradnl"/>
        </w:rPr>
        <w:t>referido en el Antecedente II.</w:t>
      </w:r>
    </w:p>
    <w:bookmarkEnd w:id="1"/>
    <w:p w14:paraId="4172D600" w14:textId="7C823EEF" w:rsidR="000A3F89" w:rsidRPr="000B7ED7" w:rsidRDefault="009220A2" w:rsidP="000A3F89">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b/>
          <w:bCs/>
          <w:sz w:val="22"/>
          <w:szCs w:val="22"/>
        </w:rPr>
        <w:lastRenderedPageBreak/>
        <w:t>d</w:t>
      </w:r>
      <w:r w:rsidR="000A3F89" w:rsidRPr="000B7ED7">
        <w:rPr>
          <w:rFonts w:ascii="Palatino Linotype" w:hAnsi="Palatino Linotype" w:cs="Tahoma"/>
          <w:b/>
          <w:bCs/>
          <w:sz w:val="22"/>
          <w:szCs w:val="22"/>
        </w:rPr>
        <w:t xml:space="preserve">) Vista del informe Justificado: </w:t>
      </w:r>
      <w:r w:rsidR="000A3F89" w:rsidRPr="000B7ED7">
        <w:rPr>
          <w:rFonts w:ascii="Palatino Linotype" w:hAnsi="Palatino Linotype" w:cs="Tahoma"/>
          <w:sz w:val="22"/>
          <w:szCs w:val="22"/>
        </w:rPr>
        <w:t xml:space="preserve">El </w:t>
      </w:r>
      <w:r w:rsidR="00A828B7">
        <w:rPr>
          <w:rFonts w:ascii="Palatino Linotype" w:hAnsi="Palatino Linotype" w:cs="Tahoma"/>
          <w:sz w:val="22"/>
          <w:szCs w:val="22"/>
        </w:rPr>
        <w:t>veintiocho</w:t>
      </w:r>
      <w:r w:rsidR="005626A1" w:rsidRPr="000B7ED7">
        <w:rPr>
          <w:rFonts w:ascii="Palatino Linotype" w:hAnsi="Palatino Linotype" w:cs="Tahoma"/>
          <w:sz w:val="22"/>
          <w:szCs w:val="22"/>
        </w:rPr>
        <w:t xml:space="preserve"> de </w:t>
      </w:r>
      <w:r w:rsidR="00A828B7">
        <w:rPr>
          <w:rFonts w:ascii="Palatino Linotype" w:hAnsi="Palatino Linotype" w:cs="Tahoma"/>
          <w:sz w:val="22"/>
          <w:szCs w:val="22"/>
        </w:rPr>
        <w:t>febrero</w:t>
      </w:r>
      <w:r w:rsidR="005626A1" w:rsidRPr="000B7ED7">
        <w:rPr>
          <w:rFonts w:ascii="Palatino Linotype" w:hAnsi="Palatino Linotype" w:cs="Tahoma"/>
          <w:sz w:val="22"/>
          <w:szCs w:val="22"/>
        </w:rPr>
        <w:t xml:space="preserve"> </w:t>
      </w:r>
      <w:r w:rsidR="000A3F89" w:rsidRPr="000B7ED7">
        <w:rPr>
          <w:rFonts w:ascii="Palatino Linotype" w:hAnsi="Palatino Linotype" w:cs="Tahoma"/>
          <w:sz w:val="22"/>
          <w:szCs w:val="22"/>
        </w:rPr>
        <w:t>de dos mil veinti</w:t>
      </w:r>
      <w:r w:rsidR="00A828B7">
        <w:rPr>
          <w:rFonts w:ascii="Palatino Linotype" w:hAnsi="Palatino Linotype" w:cs="Tahoma"/>
          <w:sz w:val="22"/>
          <w:szCs w:val="22"/>
        </w:rPr>
        <w:t>dós</w:t>
      </w:r>
      <w:r w:rsidR="000A3F89" w:rsidRPr="000B7ED7">
        <w:rPr>
          <w:rFonts w:ascii="Palatino Linotype" w:hAnsi="Palatino Linotype" w:cs="Tahoma"/>
          <w:sz w:val="22"/>
          <w:szCs w:val="22"/>
        </w:rPr>
        <w:t xml:space="preserve">, se dictó acuerdo por medio del cual </w:t>
      </w:r>
      <w:r w:rsidR="000A3F89" w:rsidRPr="000B7ED7">
        <w:rPr>
          <w:rFonts w:ascii="Palatino Linotype" w:hAnsi="Palatino Linotype" w:cs="Tahoma"/>
          <w:b/>
          <w:bCs/>
          <w:sz w:val="22"/>
          <w:szCs w:val="22"/>
        </w:rPr>
        <w:t xml:space="preserve">se puso a la vista del Recurrente el Informe Justificado </w:t>
      </w:r>
      <w:r w:rsidR="000A3F89" w:rsidRPr="000B7ED7">
        <w:rPr>
          <w:rFonts w:ascii="Palatino Linotype" w:hAnsi="Palatino Linotype" w:cs="Tahoma"/>
          <w:sz w:val="22"/>
          <w:szCs w:val="22"/>
        </w:rPr>
        <w:t xml:space="preserve">entregado por el Sujeto Obligado, </w:t>
      </w:r>
      <w:r w:rsidR="00A828B7">
        <w:rPr>
          <w:rFonts w:ascii="Palatino Linotype" w:hAnsi="Palatino Linotype" w:cs="Tahoma"/>
          <w:sz w:val="22"/>
          <w:szCs w:val="22"/>
        </w:rPr>
        <w:t xml:space="preserve">el </w:t>
      </w:r>
      <w:r w:rsidR="000A3F89" w:rsidRPr="000B7ED7">
        <w:rPr>
          <w:rFonts w:ascii="Palatino Linotype" w:hAnsi="Palatino Linotype" w:cs="Tahoma"/>
          <w:sz w:val="22"/>
          <w:szCs w:val="22"/>
        </w:rPr>
        <w:t>cual fue notificado a las partes, a través del Sistema de Acceso a la Información Mexiquense (SAIMEX)</w:t>
      </w:r>
      <w:r w:rsidRPr="000B7ED7">
        <w:rPr>
          <w:rFonts w:ascii="Palatino Linotype" w:hAnsi="Palatino Linotype" w:cs="Tahoma"/>
          <w:sz w:val="22"/>
          <w:szCs w:val="22"/>
        </w:rPr>
        <w:t xml:space="preserve">, en el mismo día de mes y año. </w:t>
      </w:r>
      <w:r w:rsidR="00394135">
        <w:rPr>
          <w:rFonts w:ascii="Palatino Linotype" w:hAnsi="Palatino Linotype" w:cs="Tahoma"/>
          <w:sz w:val="22"/>
          <w:szCs w:val="22"/>
        </w:rPr>
        <w:t>Cabe señalar que el Particular fue omiso en realizar manifestación alguna.</w:t>
      </w:r>
    </w:p>
    <w:p w14:paraId="4D9F875F"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2"/>
        </w:rPr>
      </w:pPr>
    </w:p>
    <w:p w14:paraId="7C191B6E" w14:textId="4FCF32B3" w:rsidR="00836192" w:rsidRPr="000B7ED7" w:rsidRDefault="00141242" w:rsidP="00836192">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e</w:t>
      </w:r>
      <w:r w:rsidR="00836192" w:rsidRPr="000B7ED7">
        <w:rPr>
          <w:rFonts w:ascii="Palatino Linotype" w:hAnsi="Palatino Linotype" w:cs="Tahoma"/>
          <w:b/>
          <w:sz w:val="22"/>
          <w:szCs w:val="22"/>
        </w:rPr>
        <w:t>) Cierre de instrucción.</w:t>
      </w:r>
      <w:r w:rsidR="00836192" w:rsidRPr="000B7ED7">
        <w:rPr>
          <w:rFonts w:ascii="Palatino Linotype" w:hAnsi="Palatino Linotype" w:cs="Tahoma"/>
          <w:sz w:val="22"/>
          <w:szCs w:val="22"/>
        </w:rPr>
        <w:t xml:space="preserve"> El </w:t>
      </w:r>
      <w:r w:rsidR="00A828B7">
        <w:rPr>
          <w:rFonts w:ascii="Palatino Linotype" w:hAnsi="Palatino Linotype" w:cs="Tahoma"/>
          <w:sz w:val="22"/>
          <w:szCs w:val="22"/>
        </w:rPr>
        <w:t>sie</w:t>
      </w:r>
      <w:r w:rsidR="00FD6DF3" w:rsidRPr="000B7ED7">
        <w:rPr>
          <w:rFonts w:ascii="Palatino Linotype" w:hAnsi="Palatino Linotype" w:cs="Tahoma"/>
          <w:sz w:val="22"/>
          <w:szCs w:val="22"/>
        </w:rPr>
        <w:t xml:space="preserve">te de </w:t>
      </w:r>
      <w:r w:rsidR="00A828B7">
        <w:rPr>
          <w:rFonts w:ascii="Palatino Linotype" w:hAnsi="Palatino Linotype" w:cs="Tahoma"/>
          <w:sz w:val="22"/>
          <w:szCs w:val="22"/>
        </w:rPr>
        <w:t>marzo</w:t>
      </w:r>
      <w:r w:rsidR="00836192"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00836192" w:rsidRPr="000B7ED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836192" w:rsidRPr="000B7ED7">
        <w:rPr>
          <w:rFonts w:ascii="Palatino Linotype" w:hAnsi="Palatino Linotype" w:cs="Tahoma"/>
          <w:sz w:val="22"/>
          <w:szCs w:val="22"/>
          <w:lang w:val="es-ES"/>
        </w:rPr>
        <w:t>Sistema de Acceso a la Información Mexiquense (SAIMEX)</w:t>
      </w:r>
      <w:r w:rsidR="00836192" w:rsidRPr="000B7ED7">
        <w:rPr>
          <w:rFonts w:ascii="Palatino Linotype" w:hAnsi="Palatino Linotype" w:cs="Tahoma"/>
          <w:sz w:val="22"/>
          <w:szCs w:val="22"/>
        </w:rPr>
        <w:t>.</w:t>
      </w:r>
    </w:p>
    <w:p w14:paraId="6A3E3595"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0B7ED7" w:rsidRDefault="00836192" w:rsidP="00836192">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0B7ED7" w:rsidRDefault="00836192" w:rsidP="00836192">
      <w:pPr>
        <w:spacing w:line="360" w:lineRule="auto"/>
        <w:jc w:val="center"/>
        <w:rPr>
          <w:rFonts w:ascii="Palatino Linotype" w:hAnsi="Palatino Linotype" w:cs="Tahoma"/>
          <w:b/>
          <w:sz w:val="22"/>
          <w:szCs w:val="22"/>
        </w:rPr>
      </w:pPr>
    </w:p>
    <w:p w14:paraId="3827B311" w14:textId="77777777" w:rsidR="00836192" w:rsidRPr="000B7ED7" w:rsidRDefault="00836192" w:rsidP="00836192">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14:paraId="660D57A9" w14:textId="77777777" w:rsidR="00836192" w:rsidRPr="000B7ED7" w:rsidRDefault="00836192" w:rsidP="0083619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8E8C8FC"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eastAsia="Calibri" w:hAnsi="Palatino Linotype" w:cs="Tahoma"/>
          <w:b/>
          <w:color w:val="000000"/>
          <w:sz w:val="22"/>
          <w:szCs w:val="22"/>
          <w:lang w:val="es-ES" w:eastAsia="es-MX"/>
        </w:rPr>
        <w:t>PRIMERO</w:t>
      </w:r>
      <w:r w:rsidRPr="000B7ED7">
        <w:rPr>
          <w:rFonts w:ascii="Palatino Linotype" w:eastAsia="Calibri" w:hAnsi="Palatino Linotype" w:cs="Tahoma"/>
          <w:color w:val="000000"/>
          <w:sz w:val="22"/>
          <w:szCs w:val="22"/>
          <w:lang w:val="es-ES" w:eastAsia="es-MX"/>
        </w:rPr>
        <w:t xml:space="preserve">. </w:t>
      </w:r>
      <w:r w:rsidRPr="000B7ED7">
        <w:rPr>
          <w:rFonts w:ascii="Palatino Linotype" w:hAnsi="Palatino Linotype" w:cs="Tahoma"/>
          <w:b/>
          <w:sz w:val="22"/>
          <w:szCs w:val="22"/>
          <w:lang w:val="es-ES"/>
        </w:rPr>
        <w:t>Competencia.</w:t>
      </w:r>
    </w:p>
    <w:p w14:paraId="0573362E"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p>
    <w:p w14:paraId="2FF232E4" w14:textId="27C0371D" w:rsidR="00836192" w:rsidRPr="000B7ED7" w:rsidRDefault="00836192" w:rsidP="00836192">
      <w:pPr>
        <w:spacing w:line="360" w:lineRule="auto"/>
        <w:jc w:val="both"/>
        <w:rPr>
          <w:rFonts w:ascii="Palatino Linotype" w:hAnsi="Palatino Linotype" w:cs="Tahoma"/>
          <w:bCs/>
          <w:sz w:val="22"/>
          <w:szCs w:val="22"/>
        </w:rPr>
      </w:pPr>
      <w:bookmarkStart w:id="2" w:name="_Hlk6333475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xml:space="preserve">, fracciones I, II, III, IV y V de la Constitución Política del Estado Libre y Soberano de México; 1°, 8°, 9°, 10, 56 y 42, </w:t>
      </w:r>
      <w:r w:rsidRPr="000B7ED7">
        <w:rPr>
          <w:rFonts w:ascii="Palatino Linotype" w:hAnsi="Palatino Linotype" w:cs="Tahoma"/>
          <w:bCs/>
          <w:sz w:val="22"/>
          <w:szCs w:val="22"/>
        </w:rPr>
        <w:lastRenderedPageBreak/>
        <w:t>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2"/>
    </w:p>
    <w:p w14:paraId="799726CC" w14:textId="77777777" w:rsidR="00836192" w:rsidRPr="000B7ED7" w:rsidRDefault="00836192" w:rsidP="00836192">
      <w:pPr>
        <w:spacing w:line="360" w:lineRule="auto"/>
        <w:jc w:val="both"/>
        <w:rPr>
          <w:rFonts w:ascii="Palatino Linotype" w:hAnsi="Palatino Linotype" w:cs="Tahoma"/>
          <w:sz w:val="22"/>
          <w:szCs w:val="22"/>
          <w:shd w:val="clear" w:color="auto" w:fill="FFFFFF"/>
        </w:rPr>
      </w:pPr>
    </w:p>
    <w:p w14:paraId="36B85560"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eastAsia="Calibri" w:hAnsi="Palatino Linotype" w:cs="Tahoma"/>
          <w:b/>
          <w:color w:val="000000"/>
          <w:sz w:val="22"/>
          <w:szCs w:val="28"/>
          <w:lang w:val="es-ES" w:eastAsia="es-MX"/>
        </w:rPr>
        <w:t>SEGUNDO</w:t>
      </w:r>
      <w:r w:rsidRPr="000B7ED7">
        <w:rPr>
          <w:rFonts w:ascii="Palatino Linotype" w:eastAsia="Calibri" w:hAnsi="Palatino Linotype"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14:paraId="58B001B1"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p>
    <w:p w14:paraId="733DB784"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14:paraId="21B64974"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p>
    <w:p w14:paraId="692C9C6A" w14:textId="77777777" w:rsidR="00836192" w:rsidRPr="000B7ED7" w:rsidRDefault="00836192" w:rsidP="00836192">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14:paraId="6F796DF7" w14:textId="77777777" w:rsidR="00836192" w:rsidRPr="000B7ED7" w:rsidRDefault="00836192" w:rsidP="00836192">
      <w:pPr>
        <w:spacing w:line="360" w:lineRule="auto"/>
        <w:jc w:val="both"/>
        <w:rPr>
          <w:rFonts w:ascii="Palatino Linotype" w:hAnsi="Palatino Linotype"/>
          <w:sz w:val="22"/>
          <w:szCs w:val="22"/>
        </w:rPr>
      </w:pPr>
    </w:p>
    <w:p w14:paraId="207C864F" w14:textId="77777777" w:rsidR="00836192" w:rsidRPr="000B7ED7" w:rsidRDefault="00836192" w:rsidP="00836192">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3935A0" w14:textId="77777777" w:rsidR="00836192" w:rsidRPr="000B7ED7" w:rsidRDefault="00836192" w:rsidP="00836192">
      <w:pPr>
        <w:spacing w:line="360" w:lineRule="auto"/>
        <w:jc w:val="both"/>
        <w:rPr>
          <w:rFonts w:ascii="Palatino Linotype" w:hAnsi="Palatino Linotype" w:cs="Tahoma"/>
          <w:bCs/>
          <w:color w:val="000000"/>
          <w:sz w:val="22"/>
          <w:szCs w:val="22"/>
        </w:rPr>
      </w:pPr>
    </w:p>
    <w:p w14:paraId="01CB2C6C" w14:textId="50DE4530" w:rsidR="00836192" w:rsidRPr="000B7ED7" w:rsidRDefault="00836192" w:rsidP="00836192">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w:t>
      </w:r>
      <w:r w:rsidRPr="000B7ED7">
        <w:rPr>
          <w:rFonts w:ascii="Palatino Linotype" w:hAnsi="Palatino Linotype" w:cs="Tahoma"/>
          <w:bCs/>
          <w:color w:val="000000"/>
          <w:sz w:val="22"/>
          <w:szCs w:val="22"/>
        </w:rPr>
        <w:lastRenderedPageBreak/>
        <w:t xml:space="preserve">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14:paraId="6A73D0EC" w14:textId="77777777" w:rsidR="00836192" w:rsidRPr="000B7ED7" w:rsidRDefault="00836192" w:rsidP="00836192">
      <w:pPr>
        <w:spacing w:line="360" w:lineRule="auto"/>
        <w:jc w:val="both"/>
        <w:rPr>
          <w:rFonts w:ascii="Palatino Linotype" w:hAnsi="Palatino Linotype"/>
          <w:color w:val="222222"/>
          <w:sz w:val="22"/>
          <w:szCs w:val="22"/>
          <w:lang w:val="es-ES"/>
        </w:rPr>
      </w:pPr>
    </w:p>
    <w:p w14:paraId="7822D596" w14:textId="561683D3" w:rsidR="00836192" w:rsidRPr="000B7ED7" w:rsidRDefault="00836192" w:rsidP="00836192">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V, de la Ley en cita, </w:t>
      </w:r>
      <w:r w:rsidRPr="000B7ED7">
        <w:rPr>
          <w:rFonts w:ascii="Palatino Linotype" w:eastAsia="Calibri" w:hAnsi="Palatino Linotype" w:cs="Tahoma"/>
          <w:color w:val="000000"/>
          <w:sz w:val="22"/>
          <w:szCs w:val="22"/>
          <w:lang w:eastAsia="es-MX"/>
        </w:rPr>
        <w:t xml:space="preserve">pues </w:t>
      </w:r>
      <w:r w:rsidR="00161E09">
        <w:rPr>
          <w:rFonts w:ascii="Palatino Linotype" w:eastAsia="Calibri" w:hAnsi="Palatino Linotype" w:cs="Tahoma"/>
          <w:color w:val="000000"/>
          <w:sz w:val="22"/>
          <w:szCs w:val="22"/>
          <w:lang w:eastAsia="es-MX"/>
        </w:rPr>
        <w:t>el</w:t>
      </w:r>
      <w:r w:rsidRPr="000B7ED7">
        <w:rPr>
          <w:rFonts w:ascii="Palatino Linotype" w:eastAsia="Calibri" w:hAnsi="Palatino Linotype" w:cs="Tahoma"/>
          <w:color w:val="000000"/>
          <w:sz w:val="22"/>
          <w:szCs w:val="22"/>
          <w:lang w:eastAsia="es-MX"/>
        </w:rPr>
        <w:t xml:space="preserve"> Recurrente se inconformó </w:t>
      </w:r>
      <w:r w:rsidR="00F8437C">
        <w:rPr>
          <w:rFonts w:ascii="Palatino Linotype" w:hAnsi="Palatino Linotype" w:cs="Tahoma"/>
          <w:sz w:val="22"/>
          <w:szCs w:val="22"/>
          <w:lang w:val="es-ES"/>
        </w:rPr>
        <w:t>por la</w:t>
      </w:r>
      <w:r w:rsidR="00161E09">
        <w:rPr>
          <w:rFonts w:ascii="Palatino Linotype" w:hAnsi="Palatino Linotype" w:cs="Tahoma"/>
          <w:sz w:val="22"/>
          <w:szCs w:val="22"/>
          <w:lang w:val="es-ES"/>
        </w:rPr>
        <w:t xml:space="preserve"> entrega de información incompleta</w:t>
      </w:r>
      <w:r w:rsidR="00F8437C">
        <w:rPr>
          <w:rFonts w:ascii="Palatino Linotype" w:hAnsi="Palatino Linotype" w:cs="Tahoma"/>
          <w:sz w:val="22"/>
          <w:szCs w:val="22"/>
          <w:lang w:val="es-ES"/>
        </w:rPr>
        <w:t>.</w:t>
      </w:r>
    </w:p>
    <w:p w14:paraId="6B68C2E4" w14:textId="77777777" w:rsidR="00836192" w:rsidRPr="000B7ED7" w:rsidRDefault="00836192" w:rsidP="00836192">
      <w:pPr>
        <w:spacing w:line="360" w:lineRule="auto"/>
        <w:jc w:val="both"/>
        <w:rPr>
          <w:rFonts w:ascii="Palatino Linotype" w:hAnsi="Palatino Linotype" w:cs="Tahoma"/>
          <w:bCs/>
          <w:sz w:val="22"/>
          <w:szCs w:val="22"/>
          <w:lang w:val="es-ES"/>
        </w:rPr>
      </w:pPr>
    </w:p>
    <w:p w14:paraId="2D099825" w14:textId="77777777" w:rsidR="00836192" w:rsidRPr="000B7ED7" w:rsidRDefault="00836192" w:rsidP="00836192">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14:paraId="5CE43BC5" w14:textId="77777777" w:rsidR="00836192" w:rsidRPr="000B7ED7" w:rsidRDefault="00836192" w:rsidP="00836192">
      <w:pPr>
        <w:spacing w:line="360" w:lineRule="auto"/>
        <w:jc w:val="both"/>
        <w:rPr>
          <w:rFonts w:ascii="Palatino Linotype" w:hAnsi="Palatino Linotype" w:cs="Tahoma"/>
          <w:bCs/>
          <w:color w:val="0D0D0D" w:themeColor="text1" w:themeTint="F2"/>
          <w:sz w:val="22"/>
          <w:szCs w:val="22"/>
        </w:rPr>
      </w:pPr>
    </w:p>
    <w:p w14:paraId="78983447" w14:textId="77777777" w:rsidR="00394135" w:rsidRPr="004A24D4" w:rsidRDefault="00394135" w:rsidP="00394135">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Por ser de previo y especial pronunciamiento, este Instituto analiza si se actualiza alguna causal de sobreseimiento.</w:t>
      </w:r>
    </w:p>
    <w:p w14:paraId="021A83E1" w14:textId="77777777" w:rsidR="00394135" w:rsidRPr="004A24D4" w:rsidRDefault="00394135" w:rsidP="00394135">
      <w:pPr>
        <w:spacing w:line="360" w:lineRule="auto"/>
        <w:jc w:val="both"/>
        <w:rPr>
          <w:rFonts w:ascii="Palatino Linotype" w:hAnsi="Palatino Linotype" w:cs="Tahoma"/>
          <w:color w:val="0D0D0D" w:themeColor="text1" w:themeTint="F2"/>
          <w:sz w:val="22"/>
          <w:szCs w:val="22"/>
        </w:rPr>
      </w:pPr>
    </w:p>
    <w:p w14:paraId="4E41FA6C" w14:textId="38CC2200" w:rsidR="00394135" w:rsidRDefault="00394135" w:rsidP="00394135">
      <w:pPr>
        <w:spacing w:line="360" w:lineRule="auto"/>
        <w:jc w:val="both"/>
        <w:rPr>
          <w:rFonts w:ascii="Palatino Linotype" w:eastAsia="Calibri" w:hAnsi="Palatino Linotype" w:cs="Tahoma"/>
          <w:color w:val="0D0D0D" w:themeColor="text1" w:themeTint="F2"/>
          <w:sz w:val="22"/>
          <w:szCs w:val="22"/>
          <w:lang w:eastAsia="es-ES_tradnl"/>
        </w:rPr>
      </w:pPr>
      <w:r w:rsidRPr="004A24D4">
        <w:rPr>
          <w:rFonts w:ascii="Palatino Linotype" w:hAnsi="Palatino Linotype" w:cs="Tahoma"/>
          <w:color w:val="0D0D0D" w:themeColor="text1" w:themeTint="F2"/>
          <w:sz w:val="22"/>
          <w:szCs w:val="22"/>
        </w:rPr>
        <w:t xml:space="preserve">El artículo 192 de la </w:t>
      </w:r>
      <w:r w:rsidRPr="004A24D4">
        <w:rPr>
          <w:rFonts w:ascii="Palatino Linotype" w:eastAsia="Calibri" w:hAnsi="Palatino Linotype" w:cs="Tahoma"/>
          <w:bCs/>
          <w:color w:val="0D0D0D" w:themeColor="text1" w:themeTint="F2"/>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A24D4">
        <w:rPr>
          <w:rFonts w:ascii="Palatino Linotype" w:eastAsia="Calibri" w:hAnsi="Palatino Linotype" w:cs="Tahoma"/>
          <w:color w:val="0D0D0D" w:themeColor="text1" w:themeTint="F2"/>
          <w:sz w:val="22"/>
          <w:szCs w:val="22"/>
          <w:lang w:eastAsia="es-ES_tradnl"/>
        </w:rPr>
        <w:t>del análisis realizado por este Instituto, se advierte que</w:t>
      </w:r>
      <w:r w:rsidRPr="004A24D4">
        <w:rPr>
          <w:rFonts w:ascii="Palatino Linotype" w:eastAsia="Calibri" w:hAnsi="Palatino Linotype" w:cs="Tahoma"/>
          <w:b/>
          <w:color w:val="0D0D0D" w:themeColor="text1" w:themeTint="F2"/>
          <w:sz w:val="22"/>
          <w:szCs w:val="22"/>
          <w:lang w:eastAsia="es-ES_tradnl"/>
        </w:rPr>
        <w:t xml:space="preserve"> no se configuran las causales establecidas en las fracciones I, II, III, y V, </w:t>
      </w:r>
      <w:r w:rsidRPr="004A24D4">
        <w:rPr>
          <w:rFonts w:ascii="Palatino Linotype" w:eastAsia="Calibri" w:hAnsi="Palatino Linotype" w:cs="Tahoma"/>
          <w:color w:val="0D0D0D" w:themeColor="text1" w:themeTint="F2"/>
          <w:sz w:val="22"/>
          <w:szCs w:val="22"/>
          <w:lang w:eastAsia="es-ES_tradnl"/>
        </w:rPr>
        <w:t>toda vez que no hay constancias en el expediente en que se actúa, de que la Recurrente se haya desistido, fallecido, que el Sujeto Obligado hubiese modificado o revocado el acto impugnado o bien, haya quedado sin materia.</w:t>
      </w:r>
    </w:p>
    <w:p w14:paraId="0A412681" w14:textId="77777777" w:rsidR="00161E09" w:rsidRPr="004A24D4" w:rsidRDefault="00161E09" w:rsidP="00394135">
      <w:pPr>
        <w:spacing w:line="360" w:lineRule="auto"/>
        <w:jc w:val="both"/>
        <w:rPr>
          <w:rFonts w:ascii="Palatino Linotype" w:eastAsia="Calibri" w:hAnsi="Palatino Linotype" w:cs="Tahoma"/>
          <w:color w:val="0D0D0D" w:themeColor="text1" w:themeTint="F2"/>
          <w:sz w:val="22"/>
          <w:szCs w:val="22"/>
          <w:lang w:eastAsia="es-ES_tradnl"/>
        </w:rPr>
      </w:pPr>
    </w:p>
    <w:p w14:paraId="70B8F76E" w14:textId="77777777" w:rsidR="00394135" w:rsidRPr="004A24D4" w:rsidRDefault="00394135" w:rsidP="00394135">
      <w:pPr>
        <w:spacing w:line="360" w:lineRule="auto"/>
        <w:jc w:val="both"/>
        <w:rPr>
          <w:rFonts w:ascii="Palatino Linotype" w:eastAsia="Calibri" w:hAnsi="Palatino Linotype" w:cs="Tahoma"/>
          <w:bCs/>
          <w:color w:val="0D0D0D" w:themeColor="text1" w:themeTint="F2"/>
          <w:sz w:val="22"/>
          <w:szCs w:val="22"/>
          <w:lang w:val="es-ES" w:eastAsia="es-ES_tradnl"/>
        </w:rPr>
      </w:pPr>
      <w:r w:rsidRPr="004A24D4">
        <w:rPr>
          <w:rFonts w:ascii="Palatino Linotype" w:eastAsia="Calibri" w:hAnsi="Palatino Linotype" w:cs="Tahoma"/>
          <w:color w:val="0D0D0D" w:themeColor="text1" w:themeTint="F2"/>
          <w:sz w:val="22"/>
          <w:szCs w:val="22"/>
          <w:lang w:eastAsia="es-ES_tradnl"/>
        </w:rPr>
        <w:t xml:space="preserve">No obstante, por lo que hace a la hipótesis prevista en la fracción IV, a saber, que, una vez admitido el Recurso de Revisión, aparezca alguna causal de improcedencia en términos de la presente Ley, </w:t>
      </w:r>
      <w:r w:rsidRPr="004A24D4">
        <w:rPr>
          <w:rFonts w:ascii="Palatino Linotype" w:eastAsia="Calibri" w:hAnsi="Palatino Linotype" w:cs="Tahoma"/>
          <w:bCs/>
          <w:color w:val="0D0D0D" w:themeColor="text1" w:themeTint="F2"/>
          <w:sz w:val="22"/>
          <w:szCs w:val="22"/>
          <w:lang w:eastAsia="es-ES_tradnl"/>
        </w:rPr>
        <w:t>resulta necesario traer a colación</w:t>
      </w:r>
      <w:r w:rsidRPr="004A24D4">
        <w:rPr>
          <w:rFonts w:ascii="Palatino Linotype" w:eastAsia="Calibri" w:hAnsi="Palatino Linotype" w:cs="Tahoma"/>
          <w:bCs/>
          <w:color w:val="0D0D0D" w:themeColor="text1" w:themeTint="F2"/>
          <w:sz w:val="22"/>
          <w:szCs w:val="22"/>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14:paraId="6F206CAC" w14:textId="20D4918D" w:rsidR="007D06F3" w:rsidRPr="007D06F3" w:rsidRDefault="00394135" w:rsidP="00394135">
      <w:pPr>
        <w:spacing w:line="360" w:lineRule="auto"/>
        <w:jc w:val="both"/>
        <w:rPr>
          <w:rFonts w:ascii="Palatino Linotype" w:eastAsia="Calibri" w:hAnsi="Palatino Linotype" w:cs="Tahoma"/>
          <w:bCs/>
          <w:color w:val="0D0D0D" w:themeColor="text1" w:themeTint="F2"/>
          <w:sz w:val="22"/>
          <w:szCs w:val="22"/>
          <w:lang w:val="es-ES" w:eastAsia="es-ES_tradnl"/>
        </w:rPr>
      </w:pPr>
      <w:r w:rsidRPr="004A24D4">
        <w:rPr>
          <w:rFonts w:ascii="Palatino Linotype" w:eastAsia="Calibri" w:hAnsi="Palatino Linotype" w:cs="Tahoma"/>
          <w:bCs/>
          <w:color w:val="0D0D0D" w:themeColor="text1" w:themeTint="F2"/>
          <w:sz w:val="22"/>
          <w:szCs w:val="22"/>
          <w:lang w:val="es-ES" w:eastAsia="es-ES_tradnl"/>
        </w:rPr>
        <w:lastRenderedPageBreak/>
        <w:t xml:space="preserve">En ese orden de ideas, de las constancias que obran en el expediente respectivo, se colige </w:t>
      </w:r>
      <w:r w:rsidR="007D06F3">
        <w:rPr>
          <w:rFonts w:ascii="Palatino Linotype" w:eastAsia="Calibri" w:hAnsi="Palatino Linotype" w:cs="Tahoma"/>
          <w:bCs/>
          <w:color w:val="0D0D0D" w:themeColor="text1" w:themeTint="F2"/>
          <w:sz w:val="22"/>
          <w:szCs w:val="22"/>
          <w:lang w:val="es-ES" w:eastAsia="es-ES_tradnl"/>
        </w:rPr>
        <w:t xml:space="preserve">que el Particular solicitó </w:t>
      </w:r>
      <w:r w:rsidR="00CF6D4F">
        <w:rPr>
          <w:rFonts w:ascii="Palatino Linotype" w:eastAsia="Calibri" w:hAnsi="Palatino Linotype" w:cs="Tahoma"/>
          <w:bCs/>
          <w:color w:val="0D0D0D" w:themeColor="text1" w:themeTint="F2"/>
          <w:sz w:val="22"/>
          <w:szCs w:val="22"/>
          <w:lang w:val="es-ES" w:eastAsia="es-ES_tradnl"/>
        </w:rPr>
        <w:t>el nombre</w:t>
      </w:r>
      <w:r w:rsidR="00161E09">
        <w:rPr>
          <w:rFonts w:ascii="Palatino Linotype" w:eastAsia="Calibri" w:hAnsi="Palatino Linotype" w:cs="Tahoma"/>
          <w:bCs/>
          <w:color w:val="0D0D0D" w:themeColor="text1" w:themeTint="F2"/>
          <w:sz w:val="22"/>
          <w:szCs w:val="22"/>
          <w:lang w:val="es-ES" w:eastAsia="es-ES_tradnl"/>
        </w:rPr>
        <w:t xml:space="preserve"> de </w:t>
      </w:r>
      <w:r w:rsidR="00CF6D4F">
        <w:rPr>
          <w:rFonts w:ascii="Palatino Linotype" w:eastAsia="Calibri" w:hAnsi="Palatino Linotype" w:cs="Tahoma"/>
          <w:bCs/>
          <w:color w:val="0D0D0D" w:themeColor="text1" w:themeTint="F2"/>
          <w:sz w:val="22"/>
          <w:szCs w:val="22"/>
          <w:lang w:val="es-ES" w:eastAsia="es-ES_tradnl"/>
        </w:rPr>
        <w:t>los servidores públicos adscritos a</w:t>
      </w:r>
      <w:r w:rsidR="00161E09">
        <w:rPr>
          <w:rFonts w:ascii="Palatino Linotype" w:eastAsia="Calibri" w:hAnsi="Palatino Linotype" w:cs="Tahoma"/>
          <w:bCs/>
          <w:color w:val="0D0D0D" w:themeColor="text1" w:themeTint="F2"/>
          <w:sz w:val="22"/>
          <w:szCs w:val="22"/>
          <w:lang w:val="es-ES" w:eastAsia="es-ES_tradnl"/>
        </w:rPr>
        <w:t xml:space="preserve"> la Contraloría Interna Municipal. </w:t>
      </w:r>
    </w:p>
    <w:p w14:paraId="4D7645C6" w14:textId="77777777" w:rsidR="00394135" w:rsidRPr="004A24D4" w:rsidRDefault="00394135" w:rsidP="00394135">
      <w:pPr>
        <w:spacing w:line="360" w:lineRule="auto"/>
        <w:jc w:val="both"/>
        <w:rPr>
          <w:rFonts w:ascii="Palatino Linotype" w:eastAsia="Calibri" w:hAnsi="Palatino Linotype" w:cs="Tahoma"/>
          <w:bCs/>
          <w:color w:val="0D0D0D" w:themeColor="text1" w:themeTint="F2"/>
          <w:sz w:val="22"/>
          <w:szCs w:val="22"/>
          <w:lang w:val="es-ES" w:eastAsia="es-ES_tradnl"/>
        </w:rPr>
      </w:pPr>
    </w:p>
    <w:p w14:paraId="4D5FA6BA" w14:textId="42AC53FD" w:rsidR="00394135" w:rsidRPr="004A24D4" w:rsidRDefault="00394135" w:rsidP="00394135">
      <w:pPr>
        <w:spacing w:line="360" w:lineRule="auto"/>
        <w:jc w:val="both"/>
        <w:rPr>
          <w:rFonts w:ascii="Palatino Linotype" w:eastAsia="Calibri" w:hAnsi="Palatino Linotype" w:cs="Tahoma"/>
          <w:b/>
          <w:bCs/>
          <w:color w:val="0D0D0D" w:themeColor="text1" w:themeTint="F2"/>
          <w:sz w:val="22"/>
          <w:szCs w:val="22"/>
          <w:lang w:val="es-ES" w:eastAsia="es-ES_tradnl"/>
        </w:rPr>
      </w:pPr>
      <w:r w:rsidRPr="004A24D4">
        <w:rPr>
          <w:rFonts w:ascii="Palatino Linotype" w:eastAsia="Calibri" w:hAnsi="Palatino Linotype" w:cs="Tahoma"/>
          <w:bCs/>
          <w:color w:val="0D0D0D" w:themeColor="text1" w:themeTint="F2"/>
          <w:sz w:val="22"/>
          <w:szCs w:val="22"/>
          <w:lang w:val="es-ES" w:eastAsia="es-ES_tradnl"/>
        </w:rPr>
        <w:t xml:space="preserve">Ante tal requerimiento, </w:t>
      </w:r>
      <w:r w:rsidR="007D06F3">
        <w:rPr>
          <w:rFonts w:ascii="Palatino Linotype" w:eastAsia="Calibri" w:hAnsi="Palatino Linotype" w:cs="Tahoma"/>
          <w:bCs/>
          <w:color w:val="0D0D0D" w:themeColor="text1" w:themeTint="F2"/>
          <w:sz w:val="22"/>
          <w:szCs w:val="22"/>
          <w:lang w:val="es-ES" w:eastAsia="es-ES_tradnl"/>
        </w:rPr>
        <w:t>el</w:t>
      </w:r>
      <w:r w:rsidRPr="004A24D4">
        <w:rPr>
          <w:rFonts w:ascii="Palatino Linotype" w:eastAsia="Calibri" w:hAnsi="Palatino Linotype" w:cs="Tahoma"/>
          <w:bCs/>
          <w:color w:val="0D0D0D" w:themeColor="text1" w:themeTint="F2"/>
          <w:sz w:val="22"/>
          <w:szCs w:val="22"/>
          <w:lang w:val="es-ES" w:eastAsia="es-ES_tradnl"/>
        </w:rPr>
        <w:t xml:space="preserve"> Solicitante interpuso Recurso de Revisión, en donde aparte de inconformarse </w:t>
      </w:r>
      <w:r w:rsidR="00932E46">
        <w:rPr>
          <w:rFonts w:ascii="Palatino Linotype" w:eastAsia="Calibri" w:hAnsi="Palatino Linotype" w:cs="Tahoma"/>
          <w:bCs/>
          <w:color w:val="0D0D0D" w:themeColor="text1" w:themeTint="F2"/>
          <w:sz w:val="22"/>
          <w:szCs w:val="22"/>
          <w:lang w:val="es-ES" w:eastAsia="es-ES_tradnl"/>
        </w:rPr>
        <w:t xml:space="preserve">de </w:t>
      </w:r>
      <w:r w:rsidR="00161E09">
        <w:rPr>
          <w:rFonts w:ascii="Palatino Linotype" w:eastAsia="Calibri" w:hAnsi="Palatino Linotype" w:cs="Tahoma"/>
          <w:bCs/>
          <w:color w:val="0D0D0D" w:themeColor="text1" w:themeTint="F2"/>
          <w:sz w:val="22"/>
          <w:szCs w:val="22"/>
          <w:lang w:val="es-ES" w:eastAsia="es-ES_tradnl"/>
        </w:rPr>
        <w:t>la respuesta incompleta</w:t>
      </w:r>
      <w:r w:rsidRPr="004A24D4">
        <w:rPr>
          <w:rFonts w:ascii="Palatino Linotype" w:eastAsia="Calibri" w:hAnsi="Palatino Linotype" w:cs="Tahoma"/>
          <w:bCs/>
          <w:color w:val="0D0D0D" w:themeColor="text1" w:themeTint="F2"/>
          <w:sz w:val="22"/>
          <w:szCs w:val="22"/>
          <w:lang w:val="es-ES" w:eastAsia="es-ES_tradnl"/>
        </w:rPr>
        <w:t>,</w:t>
      </w:r>
      <w:r w:rsidR="00932E46">
        <w:rPr>
          <w:rFonts w:ascii="Palatino Linotype" w:eastAsia="Calibri" w:hAnsi="Palatino Linotype" w:cs="Tahoma"/>
          <w:bCs/>
          <w:color w:val="0D0D0D" w:themeColor="text1" w:themeTint="F2"/>
          <w:sz w:val="22"/>
          <w:szCs w:val="22"/>
          <w:lang w:val="es-ES" w:eastAsia="es-ES_tradnl"/>
        </w:rPr>
        <w:t xml:space="preserve"> solicitó </w:t>
      </w:r>
      <w:r w:rsidR="00161E09">
        <w:rPr>
          <w:rFonts w:ascii="Palatino Linotype" w:eastAsia="Calibri" w:hAnsi="Palatino Linotype" w:cs="Tahoma"/>
          <w:bCs/>
          <w:color w:val="0D0D0D" w:themeColor="text1" w:themeTint="F2"/>
          <w:sz w:val="22"/>
          <w:szCs w:val="22"/>
          <w:lang w:val="es-ES" w:eastAsia="es-ES_tradnl"/>
        </w:rPr>
        <w:t xml:space="preserve">el Organigrama </w:t>
      </w:r>
      <w:r w:rsidR="00CF6D4F">
        <w:rPr>
          <w:rFonts w:ascii="Palatino Linotype" w:eastAsia="Calibri" w:hAnsi="Palatino Linotype" w:cs="Tahoma"/>
          <w:bCs/>
          <w:color w:val="0D0D0D" w:themeColor="text1" w:themeTint="F2"/>
          <w:sz w:val="22"/>
          <w:szCs w:val="22"/>
          <w:lang w:val="es-ES" w:eastAsia="es-ES_tradnl"/>
        </w:rPr>
        <w:t>de la Contraloría Municipal.</w:t>
      </w:r>
    </w:p>
    <w:p w14:paraId="698C19B1" w14:textId="77777777" w:rsidR="00394135" w:rsidRPr="004A24D4" w:rsidRDefault="00394135" w:rsidP="00394135">
      <w:pPr>
        <w:spacing w:line="360" w:lineRule="auto"/>
        <w:jc w:val="both"/>
        <w:rPr>
          <w:rFonts w:ascii="Palatino Linotype" w:eastAsia="Calibri" w:hAnsi="Palatino Linotype" w:cs="Tahoma"/>
          <w:bCs/>
          <w:color w:val="0D0D0D" w:themeColor="text1" w:themeTint="F2"/>
          <w:sz w:val="22"/>
          <w:szCs w:val="22"/>
          <w:lang w:val="es-ES" w:eastAsia="es-ES_tradnl"/>
        </w:rPr>
      </w:pPr>
    </w:p>
    <w:p w14:paraId="3EC27943" w14:textId="434C6883" w:rsidR="00394135" w:rsidRPr="004A24D4" w:rsidRDefault="00394135" w:rsidP="00394135">
      <w:pPr>
        <w:spacing w:line="360" w:lineRule="auto"/>
        <w:jc w:val="both"/>
        <w:rPr>
          <w:rFonts w:ascii="Palatino Linotype" w:eastAsia="Calibri" w:hAnsi="Palatino Linotype" w:cs="Tahoma"/>
          <w:b/>
          <w:color w:val="0D0D0D" w:themeColor="text1" w:themeTint="F2"/>
          <w:sz w:val="22"/>
          <w:szCs w:val="22"/>
          <w:lang w:eastAsia="es-ES_tradnl"/>
        </w:rPr>
      </w:pPr>
      <w:r w:rsidRPr="004A24D4">
        <w:rPr>
          <w:rFonts w:ascii="Palatino Linotype" w:eastAsia="Calibri" w:hAnsi="Palatino Linotype" w:cs="Tahoma"/>
          <w:color w:val="0D0D0D" w:themeColor="text1" w:themeTint="F2"/>
          <w:sz w:val="22"/>
          <w:szCs w:val="22"/>
          <w:lang w:eastAsia="es-ES_tradnl"/>
        </w:rPr>
        <w:t xml:space="preserve">En ese sentido, del contraste entre el planteamiento formulado en la solicitud de información y las manifestaciones vertidas por </w:t>
      </w:r>
      <w:r w:rsidR="00161E09">
        <w:rPr>
          <w:rFonts w:ascii="Palatino Linotype" w:eastAsia="Calibri" w:hAnsi="Palatino Linotype" w:cs="Tahoma"/>
          <w:color w:val="0D0D0D" w:themeColor="text1" w:themeTint="F2"/>
          <w:sz w:val="22"/>
          <w:szCs w:val="22"/>
          <w:lang w:eastAsia="es-ES_tradnl"/>
        </w:rPr>
        <w:t>el</w:t>
      </w:r>
      <w:r w:rsidRPr="004A24D4">
        <w:rPr>
          <w:rFonts w:ascii="Palatino Linotype" w:eastAsia="Calibri" w:hAnsi="Palatino Linotype" w:cs="Tahoma"/>
          <w:color w:val="0D0D0D" w:themeColor="text1" w:themeTint="F2"/>
          <w:sz w:val="22"/>
          <w:szCs w:val="22"/>
          <w:lang w:eastAsia="es-ES_tradnl"/>
        </w:rPr>
        <w:t xml:space="preserve"> ahora Recurrente, a través de su escrito recursal, se colige que a través de este pretende obtener información diversa a la inicialmente requerida, a saber, </w:t>
      </w:r>
      <w:r w:rsidR="00161E09">
        <w:rPr>
          <w:rFonts w:ascii="Palatino Linotype" w:eastAsia="Calibri" w:hAnsi="Palatino Linotype" w:cs="Tahoma"/>
          <w:color w:val="0D0D0D" w:themeColor="text1" w:themeTint="F2"/>
          <w:sz w:val="22"/>
          <w:szCs w:val="22"/>
          <w:lang w:eastAsia="es-ES_tradnl"/>
        </w:rPr>
        <w:t xml:space="preserve">el Organigrama </w:t>
      </w:r>
      <w:r w:rsidR="00CF6D4F">
        <w:rPr>
          <w:rFonts w:ascii="Palatino Linotype" w:eastAsia="Calibri" w:hAnsi="Palatino Linotype" w:cs="Tahoma"/>
          <w:color w:val="0D0D0D" w:themeColor="text1" w:themeTint="F2"/>
          <w:sz w:val="22"/>
          <w:szCs w:val="22"/>
          <w:lang w:eastAsia="es-ES_tradnl"/>
        </w:rPr>
        <w:t>de un área específica, cuando en un principio, únicamente requirió el nombre de los servidores públicos.</w:t>
      </w:r>
    </w:p>
    <w:p w14:paraId="45B2D0A3" w14:textId="77777777" w:rsidR="00394135" w:rsidRPr="004A24D4" w:rsidRDefault="00394135" w:rsidP="00394135">
      <w:pPr>
        <w:spacing w:line="360" w:lineRule="auto"/>
        <w:jc w:val="both"/>
        <w:rPr>
          <w:rFonts w:ascii="Palatino Linotype" w:eastAsia="Calibri" w:hAnsi="Palatino Linotype" w:cs="Tahoma"/>
          <w:color w:val="0D0D0D" w:themeColor="text1" w:themeTint="F2"/>
          <w:sz w:val="22"/>
          <w:szCs w:val="22"/>
          <w:lang w:eastAsia="es-ES_tradnl"/>
        </w:rPr>
      </w:pPr>
    </w:p>
    <w:p w14:paraId="77FADA1F" w14:textId="2A037408" w:rsidR="00394135" w:rsidRDefault="00394135" w:rsidP="00394135">
      <w:pPr>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sidRPr="004A24D4">
        <w:rPr>
          <w:rFonts w:ascii="Palatino Linotype" w:hAnsi="Palatino Linotype" w:cs="Tahoma"/>
          <w:b/>
          <w:color w:val="0D0D0D" w:themeColor="text1" w:themeTint="F2"/>
          <w:sz w:val="22"/>
          <w:szCs w:val="22"/>
          <w:lang w:val="es-ES"/>
        </w:rPr>
        <w:t xml:space="preserve"> sin variar en el fondo la controversia, ni constituir un nuevo requerimiento informativo.</w:t>
      </w:r>
    </w:p>
    <w:p w14:paraId="6187208F" w14:textId="77777777" w:rsidR="00130F94" w:rsidRPr="004A24D4" w:rsidRDefault="00130F94" w:rsidP="00394135">
      <w:pPr>
        <w:spacing w:line="360" w:lineRule="auto"/>
        <w:jc w:val="both"/>
        <w:rPr>
          <w:rFonts w:ascii="Palatino Linotype" w:hAnsi="Palatino Linotype" w:cs="Tahoma"/>
          <w:b/>
          <w:color w:val="0D0D0D" w:themeColor="text1" w:themeTint="F2"/>
          <w:sz w:val="22"/>
          <w:szCs w:val="22"/>
          <w:lang w:val="es-ES"/>
        </w:rPr>
      </w:pPr>
    </w:p>
    <w:p w14:paraId="1D45B276" w14:textId="77777777" w:rsidR="00394135" w:rsidRPr="004A24D4" w:rsidRDefault="00394135" w:rsidP="00394135">
      <w:pPr>
        <w:spacing w:line="360" w:lineRule="auto"/>
        <w:jc w:val="both"/>
        <w:rPr>
          <w:rFonts w:ascii="Palatino Linotype" w:eastAsia="Calibri" w:hAnsi="Palatino Linotype" w:cs="Tahoma"/>
          <w:bCs/>
          <w:color w:val="0D0D0D" w:themeColor="text1" w:themeTint="F2"/>
          <w:sz w:val="22"/>
          <w:szCs w:val="22"/>
          <w:lang w:val="es-ES" w:eastAsia="es-ES_tradnl"/>
        </w:rPr>
      </w:pPr>
      <w:r w:rsidRPr="004A24D4">
        <w:rPr>
          <w:rFonts w:ascii="Palatino Linotype" w:eastAsia="Calibri" w:hAnsi="Palatino Linotype" w:cs="Tahoma"/>
          <w:bCs/>
          <w:color w:val="0D0D0D" w:themeColor="text1" w:themeTint="F2"/>
          <w:sz w:val="22"/>
          <w:szCs w:val="22"/>
          <w:lang w:val="es-ES" w:eastAsia="es-ES_tradnl"/>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14:paraId="15DC1723" w14:textId="77777777" w:rsidR="00394135" w:rsidRPr="004A24D4" w:rsidRDefault="00394135" w:rsidP="00394135">
      <w:pPr>
        <w:spacing w:line="360" w:lineRule="auto"/>
        <w:jc w:val="both"/>
        <w:rPr>
          <w:rFonts w:ascii="Palatino Linotype" w:eastAsia="Calibri" w:hAnsi="Palatino Linotype" w:cs="Tahoma"/>
          <w:bCs/>
          <w:color w:val="0D0D0D" w:themeColor="text1" w:themeTint="F2"/>
          <w:sz w:val="22"/>
          <w:szCs w:val="22"/>
          <w:lang w:val="es-ES" w:eastAsia="es-ES_tradnl"/>
        </w:rPr>
      </w:pPr>
    </w:p>
    <w:p w14:paraId="37704B05" w14:textId="77777777" w:rsidR="00394135" w:rsidRPr="004A24D4" w:rsidRDefault="00394135" w:rsidP="00394135">
      <w:pPr>
        <w:spacing w:line="360" w:lineRule="auto"/>
        <w:ind w:left="567" w:right="567"/>
        <w:jc w:val="both"/>
        <w:rPr>
          <w:rFonts w:ascii="Palatino Linotype" w:eastAsia="Calibri" w:hAnsi="Palatino Linotype" w:cs="Tahoma"/>
          <w:bCs/>
          <w:i/>
          <w:color w:val="0D0D0D" w:themeColor="text1" w:themeTint="F2"/>
          <w:lang w:val="es-ES" w:eastAsia="es-ES_tradnl"/>
        </w:rPr>
      </w:pPr>
      <w:r w:rsidRPr="004A24D4">
        <w:rPr>
          <w:rFonts w:ascii="Palatino Linotype" w:eastAsia="Calibri" w:hAnsi="Palatino Linotype" w:cs="Tahoma"/>
          <w:b/>
          <w:bCs/>
          <w:i/>
          <w:color w:val="0D0D0D" w:themeColor="text1" w:themeTint="F2"/>
          <w:lang w:val="es-ES" w:eastAsia="es-ES_tradnl"/>
        </w:rPr>
        <w:t xml:space="preserve">“Es improcedente ampliar las solicitudes de acceso a información, a través de la interposición del recurso de revisión. </w:t>
      </w:r>
      <w:r w:rsidRPr="004A24D4">
        <w:rPr>
          <w:rFonts w:ascii="Palatino Linotype" w:eastAsia="Calibri" w:hAnsi="Palatino Linotype" w:cs="Tahoma"/>
          <w:bCs/>
          <w:i/>
          <w:color w:val="0D0D0D" w:themeColor="text1" w:themeTint="F2"/>
          <w:lang w:val="es-ES" w:eastAsia="es-ES_tradnl"/>
        </w:rPr>
        <w:t xml:space="preserve">En términos de los artículos 155, fracción VII de la Ley General de Transparencia y Acceso a la Información Pública, y 161, fracción VII de la Ley Federal </w:t>
      </w:r>
      <w:r w:rsidRPr="004A24D4">
        <w:rPr>
          <w:rFonts w:ascii="Palatino Linotype" w:eastAsia="Calibri" w:hAnsi="Palatino Linotype" w:cs="Tahoma"/>
          <w:bCs/>
          <w:i/>
          <w:color w:val="0D0D0D" w:themeColor="text1" w:themeTint="F2"/>
          <w:lang w:val="es-ES" w:eastAsia="es-ES_tradnl"/>
        </w:rPr>
        <w:lastRenderedPageBreak/>
        <w:t>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9FAC639" w14:textId="77777777" w:rsidR="00394135" w:rsidRPr="004A24D4" w:rsidRDefault="00394135" w:rsidP="00394135">
      <w:pPr>
        <w:spacing w:line="360" w:lineRule="auto"/>
        <w:jc w:val="both"/>
        <w:rPr>
          <w:rFonts w:ascii="Palatino Linotype" w:hAnsi="Palatino Linotype"/>
          <w:color w:val="0D0D0D" w:themeColor="text1" w:themeTint="F2"/>
          <w:lang w:eastAsia="es-MX"/>
        </w:rPr>
      </w:pPr>
    </w:p>
    <w:p w14:paraId="54935684" w14:textId="1317E8AF" w:rsidR="00394135" w:rsidRDefault="00394135" w:rsidP="00394135">
      <w:pPr>
        <w:spacing w:line="360" w:lineRule="auto"/>
        <w:jc w:val="both"/>
        <w:rPr>
          <w:rFonts w:ascii="Palatino Linotype" w:eastAsia="Calibri" w:hAnsi="Palatino Linotype" w:cs="Tahoma"/>
          <w:bCs/>
          <w:color w:val="0D0D0D" w:themeColor="text1" w:themeTint="F2"/>
          <w:sz w:val="22"/>
          <w:szCs w:val="22"/>
          <w:lang w:val="es-ES" w:eastAsia="es-ES_tradnl"/>
        </w:rPr>
      </w:pPr>
      <w:r w:rsidRPr="004A24D4">
        <w:rPr>
          <w:rFonts w:ascii="Palatino Linotype" w:eastAsia="Calibri" w:hAnsi="Palatino Linotype" w:cs="Tahoma"/>
          <w:bCs/>
          <w:color w:val="0D0D0D" w:themeColor="text1" w:themeTint="F2"/>
          <w:sz w:val="22"/>
          <w:szCs w:val="22"/>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17462A1D" w14:textId="77777777" w:rsidR="00932E46" w:rsidRPr="004A24D4" w:rsidRDefault="00932E46" w:rsidP="00394135">
      <w:pPr>
        <w:spacing w:line="360" w:lineRule="auto"/>
        <w:jc w:val="both"/>
        <w:rPr>
          <w:rFonts w:ascii="Palatino Linotype" w:eastAsia="Calibri" w:hAnsi="Palatino Linotype" w:cs="Tahoma"/>
          <w:bCs/>
          <w:color w:val="0D0D0D" w:themeColor="text1" w:themeTint="F2"/>
          <w:sz w:val="22"/>
          <w:szCs w:val="22"/>
          <w:lang w:val="es-ES" w:eastAsia="es-ES_tradnl"/>
        </w:rPr>
      </w:pPr>
    </w:p>
    <w:p w14:paraId="336AEFAE" w14:textId="234A5B73" w:rsidR="00394135" w:rsidRPr="004A24D4" w:rsidRDefault="00394135" w:rsidP="00394135">
      <w:pPr>
        <w:spacing w:line="360" w:lineRule="auto"/>
        <w:jc w:val="both"/>
        <w:rPr>
          <w:rFonts w:ascii="Palatino Linotype" w:eastAsia="Calibri" w:hAnsi="Palatino Linotype" w:cs="Arial"/>
          <w:color w:val="0D0D0D" w:themeColor="text1" w:themeTint="F2"/>
          <w:sz w:val="22"/>
          <w:szCs w:val="22"/>
          <w:lang w:val="es-ES" w:eastAsia="en-US"/>
        </w:rPr>
      </w:pPr>
      <w:r w:rsidRPr="004A24D4">
        <w:rPr>
          <w:rFonts w:ascii="Palatino Linotype" w:hAnsi="Palatino Linotype" w:cs="Tahoma"/>
          <w:color w:val="0D0D0D" w:themeColor="text1" w:themeTint="F2"/>
          <w:sz w:val="22"/>
          <w:szCs w:val="22"/>
          <w:lang w:val="es-ES"/>
        </w:rPr>
        <w:t xml:space="preserve">Por lo tanto, dado que en el Medio de Impugnación, la parte Recurrente al plantear su inconformidad, </w:t>
      </w:r>
      <w:r w:rsidRPr="004A24D4">
        <w:rPr>
          <w:rFonts w:ascii="Palatino Linotype" w:hAnsi="Palatino Linotype" w:cs="Tahoma"/>
          <w:color w:val="0D0D0D" w:themeColor="text1" w:themeTint="F2"/>
          <w:sz w:val="22"/>
          <w:szCs w:val="22"/>
        </w:rPr>
        <w:t xml:space="preserve">amplió parte de su solicitud, al requerir información diversa a la peticionada inicialmente, </w:t>
      </w:r>
      <w:r w:rsidRPr="004A24D4">
        <w:rPr>
          <w:rFonts w:ascii="Palatino Linotype" w:hAnsi="Palatino Linotype" w:cs="Tahoma"/>
          <w:color w:val="0D0D0D" w:themeColor="text1" w:themeTint="F2"/>
          <w:sz w:val="22"/>
          <w:szCs w:val="22"/>
          <w:lang w:val="es-ES"/>
        </w:rPr>
        <w:t xml:space="preserve">el Recurso de Revisión </w:t>
      </w:r>
      <w:r w:rsidRPr="004A24D4">
        <w:rPr>
          <w:rFonts w:ascii="Palatino Linotype" w:hAnsi="Palatino Linotype" w:cs="Tahoma"/>
          <w:b/>
          <w:color w:val="0D0D0D" w:themeColor="text1" w:themeTint="F2"/>
          <w:sz w:val="22"/>
          <w:szCs w:val="22"/>
          <w:lang w:val="es-ES"/>
        </w:rPr>
        <w:t xml:space="preserve">actualiza la causal de desechamiento establecida en el artículo 191, fracción VII, de la Ley de Transparencia y Acceso a la Información Pública del Estado de México y Municipios, únicamente por lo que, hace a los nuevos requerimientos; </w:t>
      </w:r>
      <w:r w:rsidRPr="004A24D4">
        <w:rPr>
          <w:rFonts w:ascii="Palatino Linotype" w:hAnsi="Palatino Linotype" w:cs="Tahoma"/>
          <w:color w:val="0D0D0D" w:themeColor="text1" w:themeTint="F2"/>
          <w:sz w:val="22"/>
          <w:szCs w:val="22"/>
          <w:lang w:val="es-ES"/>
        </w:rPr>
        <w:t xml:space="preserve"> no obstante toda vez que, fue necesario admitir el Recurso, en virtud de que la ahora Recurrente se inconformó con </w:t>
      </w:r>
      <w:r w:rsidR="00161E09">
        <w:rPr>
          <w:rFonts w:ascii="Palatino Linotype" w:hAnsi="Palatino Linotype" w:cs="Tahoma"/>
          <w:color w:val="0D0D0D" w:themeColor="text1" w:themeTint="F2"/>
          <w:sz w:val="22"/>
          <w:szCs w:val="22"/>
          <w:lang w:val="es-ES"/>
        </w:rPr>
        <w:t>entrega de información incompleta</w:t>
      </w:r>
      <w:r w:rsidRPr="004A24D4">
        <w:rPr>
          <w:rFonts w:ascii="Palatino Linotype" w:hAnsi="Palatino Linotype" w:cs="Tahoma"/>
          <w:color w:val="0D0D0D" w:themeColor="text1" w:themeTint="F2"/>
          <w:sz w:val="22"/>
          <w:szCs w:val="22"/>
          <w:lang w:val="es-ES"/>
        </w:rPr>
        <w:t xml:space="preserve">, lo procedente es </w:t>
      </w:r>
      <w:r w:rsidRPr="004A24D4">
        <w:rPr>
          <w:rFonts w:ascii="Palatino Linotype" w:eastAsia="Calibri" w:hAnsi="Palatino Linotype" w:cs="Arial"/>
          <w:b/>
          <w:color w:val="0D0D0D" w:themeColor="text1" w:themeTint="F2"/>
          <w:sz w:val="22"/>
          <w:szCs w:val="22"/>
          <w:lang w:val="es-ES" w:eastAsia="en-US"/>
        </w:rPr>
        <w:t xml:space="preserve">SOBRESEER PARCIALMENTE </w:t>
      </w:r>
      <w:r w:rsidRPr="004A24D4">
        <w:rPr>
          <w:rFonts w:ascii="Palatino Linotype" w:eastAsia="Calibri" w:hAnsi="Palatino Linotype" w:cs="Arial"/>
          <w:color w:val="0D0D0D" w:themeColor="text1" w:themeTint="F2"/>
          <w:sz w:val="22"/>
          <w:szCs w:val="22"/>
          <w:lang w:val="es-ES" w:eastAsia="en-US"/>
        </w:rPr>
        <w:t>el presente Recurso de Revisión, al actualizarse el supuesto previsto en el artículo 192, fracción IV, en relación con el diverso 186, fracción I, de ese ordenamiento legal.</w:t>
      </w:r>
    </w:p>
    <w:p w14:paraId="2879A501" w14:textId="77777777" w:rsidR="00394135" w:rsidRPr="004A24D4" w:rsidRDefault="00394135" w:rsidP="00394135">
      <w:pPr>
        <w:spacing w:line="360" w:lineRule="auto"/>
        <w:jc w:val="both"/>
        <w:rPr>
          <w:rFonts w:ascii="Palatino Linotype" w:hAnsi="Palatino Linotype" w:cs="Tahoma"/>
          <w:b/>
          <w:color w:val="0D0D0D" w:themeColor="text1" w:themeTint="F2"/>
          <w:sz w:val="22"/>
          <w:szCs w:val="22"/>
          <w:lang w:val="es-ES"/>
        </w:rPr>
      </w:pPr>
    </w:p>
    <w:p w14:paraId="5DBBD314" w14:textId="77777777" w:rsidR="00394135" w:rsidRPr="004A24D4" w:rsidRDefault="00394135" w:rsidP="00394135">
      <w:pPr>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cs="Tahoma"/>
          <w:color w:val="0D0D0D" w:themeColor="text1" w:themeTint="F2"/>
          <w:sz w:val="22"/>
          <w:szCs w:val="22"/>
        </w:rPr>
        <w:t>En ese orden de ideas, toda vez que no ha quedado por completo sin materia el Recurso de Revisión, se considera procedente entrar al fondo del presente asunto, al no quedar sin materia.</w:t>
      </w:r>
    </w:p>
    <w:p w14:paraId="1CA5BCE1" w14:textId="77777777" w:rsidR="00836192" w:rsidRPr="000B7ED7" w:rsidRDefault="00836192" w:rsidP="00836192">
      <w:pPr>
        <w:spacing w:line="360" w:lineRule="auto"/>
        <w:jc w:val="both"/>
        <w:rPr>
          <w:rFonts w:ascii="Palatino Linotype" w:hAnsi="Palatino Linotype" w:cs="Tahoma"/>
          <w:sz w:val="22"/>
          <w:szCs w:val="22"/>
          <w:lang w:val="es-ES"/>
        </w:rPr>
      </w:pPr>
    </w:p>
    <w:p w14:paraId="1D4BC467" w14:textId="77777777" w:rsidR="00836192" w:rsidRPr="000B7ED7" w:rsidRDefault="00836192" w:rsidP="00836192">
      <w:pPr>
        <w:tabs>
          <w:tab w:val="left" w:pos="4962"/>
        </w:tabs>
        <w:spacing w:line="360" w:lineRule="auto"/>
        <w:jc w:val="both"/>
        <w:rPr>
          <w:rFonts w:ascii="Palatino Linotype" w:eastAsia="Calibri" w:hAnsi="Palatino Linotype" w:cs="Tahoma"/>
          <w:b/>
          <w:iCs/>
          <w:sz w:val="22"/>
          <w:szCs w:val="22"/>
          <w:lang w:val="es-ES" w:eastAsia="es-ES_tradnl"/>
        </w:rPr>
      </w:pPr>
      <w:r w:rsidRPr="000B7ED7">
        <w:rPr>
          <w:rFonts w:ascii="Palatino Linotype" w:eastAsia="Calibri" w:hAnsi="Palatino Linotype" w:cs="Tahoma"/>
          <w:b/>
          <w:iCs/>
          <w:sz w:val="22"/>
          <w:szCs w:val="22"/>
          <w:lang w:val="es-ES" w:eastAsia="es-ES_tradnl"/>
        </w:rPr>
        <w:lastRenderedPageBreak/>
        <w:t xml:space="preserve">TERCERO. Determinación de la Controversia. </w:t>
      </w:r>
    </w:p>
    <w:p w14:paraId="7EBA73E3" w14:textId="63C996D0" w:rsidR="00836192" w:rsidRPr="000B7ED7" w:rsidRDefault="00836192" w:rsidP="00836192">
      <w:pPr>
        <w:spacing w:line="360" w:lineRule="auto"/>
        <w:jc w:val="both"/>
        <w:rPr>
          <w:rFonts w:ascii="Palatino Linotype" w:hAnsi="Palatino Linotype" w:cs="Tahoma"/>
          <w:sz w:val="22"/>
          <w:szCs w:val="22"/>
        </w:rPr>
      </w:pPr>
    </w:p>
    <w:p w14:paraId="70FFB624" w14:textId="00DE0F3B" w:rsidR="00932E46" w:rsidRPr="0044419C" w:rsidRDefault="00E438B3" w:rsidP="0044419C">
      <w:pPr>
        <w:spacing w:line="360" w:lineRule="auto"/>
        <w:jc w:val="both"/>
        <w:rPr>
          <w:rFonts w:ascii="Palatino Linotype" w:hAnsi="Palatino Linotype" w:cs="Tahoma"/>
          <w:szCs w:val="22"/>
        </w:rPr>
      </w:pPr>
      <w:r w:rsidRPr="000B7ED7">
        <w:rPr>
          <w:rFonts w:ascii="Palatino Linotype" w:hAnsi="Palatino Linotype" w:cs="Tahoma"/>
          <w:sz w:val="22"/>
          <w:szCs w:val="22"/>
        </w:rPr>
        <w:t>Con el objetivo de ilustrar la controversia planteada</w:t>
      </w:r>
      <w:r w:rsidR="006F29FC" w:rsidRPr="000B7ED7">
        <w:rPr>
          <w:rFonts w:ascii="Palatino Linotype" w:hAnsi="Palatino Linotype" w:cs="Tahoma"/>
          <w:sz w:val="22"/>
          <w:szCs w:val="22"/>
        </w:rPr>
        <w:t xml:space="preserve">, resulta conveniente precisar, que una vez realizado el estudio de </w:t>
      </w:r>
      <w:r w:rsidR="00361539" w:rsidRPr="000B7ED7">
        <w:rPr>
          <w:rFonts w:ascii="Palatino Linotype" w:hAnsi="Palatino Linotype" w:cs="Tahoma"/>
          <w:sz w:val="22"/>
          <w:szCs w:val="22"/>
        </w:rPr>
        <w:t xml:space="preserve">las </w:t>
      </w:r>
      <w:r w:rsidR="00121F26" w:rsidRPr="000B7ED7">
        <w:rPr>
          <w:rFonts w:ascii="Palatino Linotype" w:hAnsi="Palatino Linotype" w:cs="Tahoma"/>
          <w:sz w:val="22"/>
          <w:szCs w:val="22"/>
        </w:rPr>
        <w:t xml:space="preserve">constancias </w:t>
      </w:r>
      <w:r w:rsidR="00E82D16" w:rsidRPr="000B7ED7">
        <w:rPr>
          <w:rFonts w:ascii="Palatino Linotype" w:hAnsi="Palatino Linotype" w:cs="Tahoma"/>
          <w:sz w:val="22"/>
          <w:szCs w:val="22"/>
        </w:rPr>
        <w:t xml:space="preserve">que integran el expediente </w:t>
      </w:r>
      <w:r w:rsidR="00DE25AA" w:rsidRPr="000B7ED7">
        <w:rPr>
          <w:rFonts w:ascii="Palatino Linotype" w:hAnsi="Palatino Linotype" w:cs="Tahoma"/>
          <w:sz w:val="22"/>
          <w:szCs w:val="22"/>
        </w:rPr>
        <w:t xml:space="preserve">en el que se actúa, se desprende que el Particular </w:t>
      </w:r>
      <w:r w:rsidR="009D0B60" w:rsidRPr="000B7ED7">
        <w:rPr>
          <w:rFonts w:ascii="Palatino Linotype" w:hAnsi="Palatino Linotype" w:cs="Tahoma"/>
          <w:sz w:val="22"/>
          <w:szCs w:val="22"/>
        </w:rPr>
        <w:t>requirió</w:t>
      </w:r>
      <w:r w:rsidR="0030752D" w:rsidRPr="000B7ED7">
        <w:rPr>
          <w:rFonts w:ascii="Palatino Linotype" w:hAnsi="Palatino Linotype" w:cs="Tahoma"/>
          <w:sz w:val="22"/>
          <w:szCs w:val="22"/>
        </w:rPr>
        <w:t xml:space="preserve"> </w:t>
      </w:r>
      <w:r w:rsidR="0044419C">
        <w:rPr>
          <w:rFonts w:ascii="Palatino Linotype" w:hAnsi="Palatino Linotype" w:cs="Tahoma"/>
          <w:sz w:val="22"/>
          <w:szCs w:val="22"/>
        </w:rPr>
        <w:t xml:space="preserve">los nombres de las personas que integran la </w:t>
      </w:r>
      <w:r w:rsidR="00CF6D4F">
        <w:rPr>
          <w:rFonts w:ascii="Palatino Linotype" w:hAnsi="Palatino Linotype" w:cs="Tahoma"/>
          <w:sz w:val="22"/>
          <w:szCs w:val="22"/>
        </w:rPr>
        <w:t>C</w:t>
      </w:r>
      <w:r w:rsidR="0044419C">
        <w:rPr>
          <w:rFonts w:ascii="Palatino Linotype" w:hAnsi="Palatino Linotype" w:cs="Tahoma"/>
          <w:sz w:val="22"/>
          <w:szCs w:val="22"/>
        </w:rPr>
        <w:t xml:space="preserve">ontraloría </w:t>
      </w:r>
      <w:r w:rsidR="00CF6D4F">
        <w:rPr>
          <w:rFonts w:ascii="Palatino Linotype" w:hAnsi="Palatino Linotype" w:cs="Tahoma"/>
          <w:sz w:val="22"/>
          <w:szCs w:val="22"/>
        </w:rPr>
        <w:t>I</w:t>
      </w:r>
      <w:r w:rsidR="0044419C">
        <w:rPr>
          <w:rFonts w:ascii="Palatino Linotype" w:hAnsi="Palatino Linotype" w:cs="Tahoma"/>
          <w:sz w:val="22"/>
          <w:szCs w:val="22"/>
        </w:rPr>
        <w:t xml:space="preserve">nterna </w:t>
      </w:r>
      <w:r w:rsidR="00CF6D4F">
        <w:rPr>
          <w:rFonts w:ascii="Palatino Linotype" w:hAnsi="Palatino Linotype" w:cs="Tahoma"/>
          <w:sz w:val="22"/>
          <w:szCs w:val="22"/>
        </w:rPr>
        <w:t>M</w:t>
      </w:r>
      <w:r w:rsidR="0044419C">
        <w:rPr>
          <w:rFonts w:ascii="Palatino Linotype" w:hAnsi="Palatino Linotype" w:cs="Tahoma"/>
          <w:sz w:val="22"/>
          <w:szCs w:val="22"/>
        </w:rPr>
        <w:t xml:space="preserve">unicipal. </w:t>
      </w:r>
    </w:p>
    <w:p w14:paraId="6E5B7F15" w14:textId="0AF8A8C1" w:rsidR="00066610" w:rsidRPr="000B7ED7" w:rsidRDefault="00066610" w:rsidP="00836192">
      <w:pPr>
        <w:spacing w:line="360" w:lineRule="auto"/>
        <w:jc w:val="both"/>
        <w:rPr>
          <w:rFonts w:ascii="Palatino Linotype" w:hAnsi="Palatino Linotype" w:cs="Tahoma"/>
          <w:sz w:val="22"/>
          <w:szCs w:val="22"/>
        </w:rPr>
      </w:pPr>
    </w:p>
    <w:p w14:paraId="385FE444" w14:textId="023386C2" w:rsidR="00AE38E0" w:rsidRPr="000B7ED7" w:rsidRDefault="00130F94" w:rsidP="00AE38E0">
      <w:pPr>
        <w:spacing w:line="360" w:lineRule="auto"/>
        <w:jc w:val="both"/>
        <w:rPr>
          <w:rFonts w:ascii="Palatino Linotype" w:hAnsi="Palatino Linotype" w:cs="Tahoma"/>
          <w:bCs/>
          <w:iCs/>
          <w:sz w:val="22"/>
          <w:szCs w:val="22"/>
          <w:lang w:val="es-ES"/>
        </w:rPr>
      </w:pPr>
      <w:r w:rsidRPr="0044419C">
        <w:rPr>
          <w:rFonts w:ascii="Palatino Linotype" w:hAnsi="Palatino Linotype"/>
          <w:sz w:val="22"/>
          <w:szCs w:val="22"/>
        </w:rPr>
        <w:t>En respuesta, el Sujeto Obligado,</w:t>
      </w:r>
      <w:r w:rsidR="00504814">
        <w:rPr>
          <w:rFonts w:ascii="Palatino Linotype" w:hAnsi="Palatino Linotype"/>
          <w:sz w:val="22"/>
          <w:szCs w:val="22"/>
        </w:rPr>
        <w:t xml:space="preserve"> a través de la Dirección de Recursos Humanos,</w:t>
      </w:r>
      <w:r w:rsidRPr="0044419C">
        <w:rPr>
          <w:rFonts w:ascii="Palatino Linotype" w:hAnsi="Palatino Linotype"/>
          <w:sz w:val="22"/>
          <w:szCs w:val="22"/>
        </w:rPr>
        <w:t xml:space="preserve"> precisó, que </w:t>
      </w:r>
      <w:r w:rsidR="00504814">
        <w:rPr>
          <w:rFonts w:ascii="Palatino Linotype" w:hAnsi="Palatino Linotype"/>
          <w:sz w:val="22"/>
          <w:szCs w:val="22"/>
        </w:rPr>
        <w:t>el área solicitada únicamente contaba con Juan Manuel Ramírez Corona, Titular de la Contraloría Interna</w:t>
      </w:r>
      <w:r w:rsidRPr="0044419C">
        <w:rPr>
          <w:rFonts w:ascii="Palatino Linotype" w:hAnsi="Palatino Linotype"/>
          <w:sz w:val="22"/>
          <w:szCs w:val="22"/>
        </w:rPr>
        <w:t xml:space="preserve">; ante dicha circunstancia, la parte Recurrente se inconformó </w:t>
      </w:r>
      <w:r w:rsidR="0044419C" w:rsidRPr="0044419C">
        <w:rPr>
          <w:rFonts w:ascii="Palatino Linotype" w:hAnsi="Palatino Linotype"/>
          <w:sz w:val="22"/>
          <w:szCs w:val="22"/>
        </w:rPr>
        <w:t>de la respuesta incompleta</w:t>
      </w:r>
      <w:r w:rsidRPr="0044419C">
        <w:rPr>
          <w:rFonts w:ascii="Palatino Linotype" w:hAnsi="Palatino Linotype"/>
          <w:sz w:val="22"/>
          <w:szCs w:val="22"/>
        </w:rPr>
        <w:t xml:space="preserve">, al señalar que </w:t>
      </w:r>
      <w:r w:rsidR="0044419C" w:rsidRPr="0044419C">
        <w:rPr>
          <w:rFonts w:ascii="Palatino Linotype" w:hAnsi="Palatino Linotype"/>
          <w:sz w:val="22"/>
          <w:szCs w:val="22"/>
        </w:rPr>
        <w:t xml:space="preserve">no </w:t>
      </w:r>
      <w:r w:rsidR="00504814">
        <w:rPr>
          <w:rFonts w:ascii="Palatino Linotype" w:hAnsi="Palatino Linotype"/>
          <w:sz w:val="22"/>
          <w:szCs w:val="22"/>
        </w:rPr>
        <w:t>proporcionaban</w:t>
      </w:r>
      <w:r w:rsidR="0044419C" w:rsidRPr="0044419C">
        <w:rPr>
          <w:rFonts w:ascii="Palatino Linotype" w:hAnsi="Palatino Linotype"/>
          <w:sz w:val="22"/>
          <w:szCs w:val="22"/>
        </w:rPr>
        <w:t xml:space="preserve"> los nombres d</w:t>
      </w:r>
      <w:r w:rsidR="00504814">
        <w:rPr>
          <w:rFonts w:ascii="Palatino Linotype" w:hAnsi="Palatino Linotype"/>
          <w:sz w:val="22"/>
          <w:szCs w:val="22"/>
        </w:rPr>
        <w:t>e todo el personal</w:t>
      </w:r>
      <w:r w:rsidRPr="0044419C">
        <w:rPr>
          <w:rFonts w:ascii="Palatino Linotype" w:hAnsi="Palatino Linotype"/>
          <w:sz w:val="22"/>
          <w:szCs w:val="22"/>
        </w:rPr>
        <w:t>,</w:t>
      </w:r>
      <w:r w:rsidR="00AE38E0" w:rsidRPr="0044419C">
        <w:rPr>
          <w:rFonts w:ascii="Palatino Linotype" w:eastAsia="Calibri" w:hAnsi="Palatino Linotype"/>
          <w:sz w:val="22"/>
          <w:szCs w:val="22"/>
        </w:rPr>
        <w:t xml:space="preserve"> situación que actualiza el supuesto previsto en el artículo 179, fracción V, de la Ley de Transparencia y Acceso a la Información Pública del Estado de México y Municipios</w:t>
      </w:r>
      <w:r w:rsidR="0044419C" w:rsidRPr="0044419C">
        <w:rPr>
          <w:rFonts w:ascii="Palatino Linotype" w:eastAsia="Calibri" w:hAnsi="Palatino Linotype"/>
          <w:sz w:val="22"/>
          <w:szCs w:val="22"/>
        </w:rPr>
        <w:t>.</w:t>
      </w:r>
      <w:r w:rsidR="00AE38E0" w:rsidRPr="0044419C">
        <w:rPr>
          <w:rFonts w:ascii="Palatino Linotype" w:hAnsi="Palatino Linotype"/>
          <w:sz w:val="22"/>
          <w:szCs w:val="22"/>
        </w:rPr>
        <w:t xml:space="preserve"> </w:t>
      </w:r>
      <w:r w:rsidR="00AE38E0" w:rsidRPr="000B7ED7">
        <w:rPr>
          <w:rFonts w:ascii="Palatino Linotype" w:hAnsi="Palatino Linotype" w:cs="Tahoma"/>
          <w:iCs/>
          <w:sz w:val="22"/>
          <w:szCs w:val="22"/>
          <w:lang w:val="es-ES"/>
        </w:rPr>
        <w:t>Así las cosas, una vez admitido y notificado el Recurso de Revisión a las partes, el Sujeto Obligado ratificó su respuesta, al señalar que</w:t>
      </w:r>
      <w:r w:rsidR="00504814">
        <w:rPr>
          <w:rFonts w:ascii="Palatino Linotype" w:hAnsi="Palatino Linotype" w:cs="Tahoma"/>
          <w:iCs/>
          <w:sz w:val="22"/>
          <w:szCs w:val="22"/>
          <w:lang w:val="es-ES"/>
        </w:rPr>
        <w:t xml:space="preserve"> no había más personal, derivado al endeudamiento dejado por la administración pasada.</w:t>
      </w:r>
    </w:p>
    <w:p w14:paraId="51C4D1F4" w14:textId="77777777" w:rsidR="00AE38E0" w:rsidRPr="000B7ED7" w:rsidRDefault="00AE38E0" w:rsidP="00AE38E0">
      <w:pPr>
        <w:spacing w:line="360" w:lineRule="auto"/>
        <w:jc w:val="both"/>
        <w:rPr>
          <w:rFonts w:ascii="Palatino Linotype" w:hAnsi="Palatino Linotype" w:cs="Tahoma"/>
          <w:iCs/>
          <w:sz w:val="22"/>
          <w:szCs w:val="22"/>
          <w:shd w:val="clear" w:color="auto" w:fill="FFFFFF"/>
          <w:lang w:val="es-ES"/>
        </w:rPr>
      </w:pPr>
    </w:p>
    <w:p w14:paraId="06B761E6" w14:textId="1365DAE4" w:rsidR="00AE38E0" w:rsidRPr="000B7ED7" w:rsidRDefault="00AE38E0" w:rsidP="00213A5A">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00651A66" w:rsidRPr="00651A66">
        <w:rPr>
          <w:rFonts w:ascii="Palatino Linotype" w:hAnsi="Palatino Linotype"/>
          <w:sz w:val="22"/>
          <w:szCs w:val="22"/>
        </w:rPr>
        <w:t>Ayuntamiento de San Martín de Las Pirámides</w:t>
      </w:r>
      <w:r w:rsidRPr="000B7ED7">
        <w:rPr>
          <w:rFonts w:ascii="Palatino Linotype" w:hAnsi="Palatino Linotype"/>
          <w:sz w:val="22"/>
          <w:szCs w:val="22"/>
        </w:rPr>
        <w:t xml:space="preserve">, el escrito recursal y el </w:t>
      </w:r>
      <w:r w:rsidR="00504814">
        <w:rPr>
          <w:rFonts w:ascii="Palatino Linotype" w:hAnsi="Palatino Linotype"/>
          <w:sz w:val="22"/>
          <w:szCs w:val="22"/>
        </w:rPr>
        <w:t>I</w:t>
      </w:r>
      <w:r w:rsidRPr="000B7ED7">
        <w:rPr>
          <w:rFonts w:ascii="Palatino Linotype" w:hAnsi="Palatino Linotype"/>
          <w:sz w:val="22"/>
          <w:szCs w:val="22"/>
        </w:rPr>
        <w:t xml:space="preserve">nforme </w:t>
      </w:r>
      <w:r w:rsidR="00504814">
        <w:rPr>
          <w:rFonts w:ascii="Palatino Linotype" w:hAnsi="Palatino Linotype"/>
          <w:sz w:val="22"/>
          <w:szCs w:val="22"/>
        </w:rPr>
        <w:t>J</w:t>
      </w:r>
      <w:r w:rsidRPr="000B7ED7">
        <w:rPr>
          <w:rFonts w:ascii="Palatino Linotype" w:hAnsi="Palatino Linotype"/>
          <w:sz w:val="22"/>
          <w:szCs w:val="22"/>
        </w:rPr>
        <w:t xml:space="preserve">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1AADC65C" w14:textId="77777777" w:rsidR="00836192" w:rsidRPr="000B7ED7" w:rsidRDefault="00836192" w:rsidP="00836192">
      <w:pPr>
        <w:spacing w:line="360" w:lineRule="auto"/>
        <w:jc w:val="both"/>
        <w:rPr>
          <w:rFonts w:ascii="Palatino Linotype" w:hAnsi="Palatino Linotype" w:cs="Tahoma"/>
          <w:sz w:val="22"/>
          <w:szCs w:val="22"/>
        </w:rPr>
      </w:pPr>
    </w:p>
    <w:p w14:paraId="179F8367" w14:textId="77777777" w:rsidR="00836192" w:rsidRPr="000B7ED7" w:rsidRDefault="00836192" w:rsidP="00836192">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14:paraId="2F768BB5"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1DA7465" w14:textId="77777777" w:rsidR="00836192" w:rsidRPr="000B7ED7" w:rsidRDefault="00836192" w:rsidP="00836192">
      <w:pPr>
        <w:spacing w:line="360" w:lineRule="auto"/>
        <w:jc w:val="both"/>
        <w:rPr>
          <w:rFonts w:ascii="Palatino Linotype" w:hAnsi="Palatino Linotype" w:cs="Tahoma"/>
          <w:sz w:val="22"/>
          <w:szCs w:val="22"/>
        </w:rPr>
      </w:pPr>
    </w:p>
    <w:p w14:paraId="64B03822"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57664A7D" w14:textId="77777777" w:rsidR="00836192" w:rsidRPr="000B7ED7" w:rsidRDefault="00836192" w:rsidP="00836192">
      <w:pPr>
        <w:spacing w:line="360" w:lineRule="auto"/>
        <w:jc w:val="both"/>
        <w:rPr>
          <w:rFonts w:ascii="Palatino Linotype" w:hAnsi="Palatino Linotype" w:cs="Tahoma"/>
          <w:sz w:val="22"/>
          <w:szCs w:val="22"/>
        </w:rPr>
      </w:pPr>
    </w:p>
    <w:p w14:paraId="0A448AF5"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3A1EA" w14:textId="77777777" w:rsidR="00836192" w:rsidRPr="000B7ED7" w:rsidRDefault="00836192" w:rsidP="00836192">
      <w:pPr>
        <w:spacing w:line="360" w:lineRule="auto"/>
        <w:jc w:val="both"/>
        <w:rPr>
          <w:rFonts w:ascii="Palatino Linotype" w:hAnsi="Palatino Linotype" w:cs="Tahoma"/>
          <w:sz w:val="22"/>
          <w:szCs w:val="22"/>
        </w:rPr>
      </w:pPr>
    </w:p>
    <w:p w14:paraId="74B7375E"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3D3F52E" w14:textId="77777777" w:rsidR="00836192" w:rsidRPr="000B7ED7" w:rsidRDefault="00836192" w:rsidP="00836192">
      <w:pPr>
        <w:spacing w:line="360" w:lineRule="auto"/>
        <w:jc w:val="both"/>
        <w:rPr>
          <w:rFonts w:ascii="Palatino Linotype" w:hAnsi="Palatino Linotype" w:cs="Tahoma"/>
          <w:sz w:val="22"/>
          <w:szCs w:val="22"/>
        </w:rPr>
      </w:pPr>
    </w:p>
    <w:p w14:paraId="6571C2FF"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14:paraId="58528FF2" w14:textId="77777777" w:rsidR="00836192" w:rsidRPr="000B7ED7" w:rsidRDefault="00836192" w:rsidP="00836192">
      <w:pPr>
        <w:spacing w:line="360" w:lineRule="auto"/>
        <w:jc w:val="both"/>
        <w:rPr>
          <w:rFonts w:ascii="Palatino Linotype" w:hAnsi="Palatino Linotype" w:cs="Tahoma"/>
          <w:sz w:val="22"/>
          <w:szCs w:val="22"/>
        </w:rPr>
      </w:pPr>
    </w:p>
    <w:p w14:paraId="7269128C"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75AD9B0" w14:textId="77777777" w:rsidR="00130F94" w:rsidRPr="000B7ED7" w:rsidRDefault="00130F94" w:rsidP="00836192">
      <w:pPr>
        <w:spacing w:line="360" w:lineRule="auto"/>
        <w:jc w:val="both"/>
        <w:rPr>
          <w:rFonts w:ascii="Palatino Linotype" w:hAnsi="Palatino Linotype" w:cs="Tahoma"/>
          <w:sz w:val="22"/>
          <w:szCs w:val="22"/>
        </w:rPr>
      </w:pPr>
    </w:p>
    <w:p w14:paraId="574A1EEF" w14:textId="6B682CE2" w:rsidR="00836192"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68EB9DD" w14:textId="7C7D0C27" w:rsidR="007B1E8E" w:rsidRDefault="007B1E8E" w:rsidP="00836192">
      <w:pPr>
        <w:spacing w:line="360" w:lineRule="auto"/>
        <w:jc w:val="both"/>
        <w:rPr>
          <w:rFonts w:ascii="Palatino Linotype" w:hAnsi="Palatino Linotype" w:cs="Tahoma"/>
          <w:sz w:val="22"/>
          <w:szCs w:val="22"/>
        </w:rPr>
      </w:pPr>
    </w:p>
    <w:p w14:paraId="64482F33" w14:textId="0BCDA447" w:rsidR="007B1E8E" w:rsidRPr="000B7ED7" w:rsidRDefault="007B1E8E" w:rsidP="00836192">
      <w:pPr>
        <w:spacing w:line="360" w:lineRule="auto"/>
        <w:jc w:val="both"/>
        <w:rPr>
          <w:rFonts w:ascii="Palatino Linotype" w:hAnsi="Palatino Linotype" w:cs="Tahoma"/>
          <w:sz w:val="22"/>
          <w:szCs w:val="22"/>
        </w:rPr>
      </w:pPr>
      <w:r w:rsidRPr="007B1E8E">
        <w:rPr>
          <w:rFonts w:ascii="Palatino Linotype" w:hAnsi="Palatino Linotype" w:cs="Tahoma"/>
          <w:sz w:val="22"/>
          <w:szCs w:val="22"/>
        </w:rPr>
        <w:t xml:space="preserve">El artículo 92, fracción VII, que, la información sobre </w:t>
      </w:r>
      <w:r w:rsidR="00504814">
        <w:rPr>
          <w:rFonts w:ascii="Palatino Linotype" w:hAnsi="Palatino Linotype" w:cs="Tahoma"/>
          <w:sz w:val="22"/>
          <w:szCs w:val="22"/>
        </w:rPr>
        <w:t xml:space="preserve">el Directorio de </w:t>
      </w:r>
      <w:r>
        <w:rPr>
          <w:rFonts w:ascii="Palatino Linotype" w:hAnsi="Palatino Linotype" w:cs="Tahoma"/>
          <w:sz w:val="22"/>
          <w:szCs w:val="22"/>
        </w:rPr>
        <w:t xml:space="preserve">servidores </w:t>
      </w:r>
      <w:proofErr w:type="gramStart"/>
      <w:r>
        <w:rPr>
          <w:rFonts w:ascii="Palatino Linotype" w:hAnsi="Palatino Linotype" w:cs="Tahoma"/>
          <w:sz w:val="22"/>
          <w:szCs w:val="22"/>
        </w:rPr>
        <w:t xml:space="preserve">públicos, </w:t>
      </w:r>
      <w:r w:rsidRPr="007B1E8E">
        <w:rPr>
          <w:rFonts w:ascii="Palatino Linotype" w:hAnsi="Palatino Linotype" w:cs="Tahoma"/>
          <w:sz w:val="22"/>
          <w:szCs w:val="22"/>
        </w:rPr>
        <w:t xml:space="preserve"> corresponde</w:t>
      </w:r>
      <w:proofErr w:type="gramEnd"/>
      <w:r w:rsidRPr="007B1E8E">
        <w:rPr>
          <w:rFonts w:ascii="Palatino Linotype" w:hAnsi="Palatino Linotype" w:cs="Tahoma"/>
          <w:sz w:val="22"/>
          <w:szCs w:val="22"/>
        </w:rPr>
        <w:t xml:space="preserve"> a una Obligación Común de Transparencia para los Sujetos Obligados.</w:t>
      </w:r>
    </w:p>
    <w:p w14:paraId="254B19D8" w14:textId="77777777" w:rsidR="00836192" w:rsidRPr="000B7ED7" w:rsidRDefault="00836192" w:rsidP="00836192">
      <w:pPr>
        <w:spacing w:line="360" w:lineRule="auto"/>
        <w:jc w:val="both"/>
        <w:rPr>
          <w:rFonts w:ascii="Palatino Linotype" w:hAnsi="Palatino Linotype" w:cs="Tahoma"/>
          <w:iCs/>
          <w:sz w:val="22"/>
          <w:szCs w:val="22"/>
        </w:rPr>
      </w:pPr>
    </w:p>
    <w:p w14:paraId="4D2B2D8A" w14:textId="77777777" w:rsidR="00836192" w:rsidRPr="000B7ED7" w:rsidRDefault="00836192" w:rsidP="00836192">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QUINTO. Estudio de Fondo.</w:t>
      </w:r>
    </w:p>
    <w:p w14:paraId="0C7ED835" w14:textId="77777777" w:rsidR="00836192" w:rsidRPr="000B7ED7" w:rsidRDefault="00836192" w:rsidP="00836192">
      <w:pPr>
        <w:spacing w:line="360" w:lineRule="auto"/>
        <w:jc w:val="both"/>
        <w:rPr>
          <w:rFonts w:ascii="Palatino Linotype" w:hAnsi="Palatino Linotype" w:cs="Tahoma"/>
          <w:sz w:val="22"/>
          <w:szCs w:val="22"/>
        </w:rPr>
      </w:pPr>
    </w:p>
    <w:p w14:paraId="3D89196A" w14:textId="190CA888" w:rsidR="002747DD" w:rsidRPr="002747DD" w:rsidRDefault="002747DD" w:rsidP="002747DD">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la ahora Recurrente, concerniente a la entrega de información </w:t>
      </w:r>
      <w:r>
        <w:rPr>
          <w:rFonts w:ascii="Palatino Linotype" w:hAnsi="Palatino Linotype"/>
          <w:sz w:val="22"/>
          <w:szCs w:val="22"/>
        </w:rPr>
        <w:t>incompleta</w:t>
      </w:r>
      <w:r w:rsidRPr="002747DD">
        <w:rPr>
          <w:rFonts w:ascii="Palatino Linotype" w:hAnsi="Palatino Linotype"/>
          <w:sz w:val="22"/>
          <w:szCs w:val="22"/>
        </w:rPr>
        <w:t>; sin embargo, para realizar dicha acción, en principio es necesario contextualizar la solicitud de información.</w:t>
      </w:r>
    </w:p>
    <w:p w14:paraId="4FA0CCED" w14:textId="77777777" w:rsidR="002747DD" w:rsidRDefault="002747DD" w:rsidP="002747DD">
      <w:pPr>
        <w:spacing w:line="360" w:lineRule="auto"/>
        <w:ind w:right="-28"/>
        <w:contextualSpacing/>
        <w:jc w:val="both"/>
        <w:rPr>
          <w:rFonts w:ascii="Palatino Linotype" w:hAnsi="Palatino Linotype" w:cs="Tahoma"/>
          <w:bCs/>
          <w:sz w:val="22"/>
          <w:szCs w:val="22"/>
          <w:shd w:val="clear" w:color="auto" w:fill="FFFFFF"/>
        </w:rPr>
      </w:pPr>
    </w:p>
    <w:p w14:paraId="66E27CA2" w14:textId="345A6930" w:rsidR="002747DD" w:rsidRDefault="002747DD" w:rsidP="002747DD">
      <w:pPr>
        <w:spacing w:line="360" w:lineRule="auto"/>
        <w:ind w:right="-28"/>
        <w:contextualSpacing/>
        <w:jc w:val="both"/>
        <w:rPr>
          <w:rFonts w:ascii="Palatino Linotype" w:eastAsia="Calibri" w:hAnsi="Palatino Linotype" w:cs="Tahoma"/>
          <w:b/>
          <w:sz w:val="22"/>
          <w:szCs w:val="22"/>
          <w:lang w:eastAsia="en-US"/>
        </w:rPr>
      </w:pPr>
      <w:r>
        <w:rPr>
          <w:rFonts w:ascii="Palatino Linotype" w:hAnsi="Palatino Linotype" w:cs="Tahoma"/>
          <w:sz w:val="22"/>
          <w:szCs w:val="22"/>
        </w:rPr>
        <w:t xml:space="preserve">En ese contexto, cabe recordar que la Particular requirió conocer los nombres </w:t>
      </w:r>
      <w:r w:rsidR="00504814">
        <w:rPr>
          <w:rFonts w:ascii="Palatino Linotype" w:hAnsi="Palatino Linotype" w:cs="Tahoma"/>
          <w:sz w:val="22"/>
          <w:szCs w:val="22"/>
        </w:rPr>
        <w:t>de los servidores públicos</w:t>
      </w:r>
      <w:r>
        <w:rPr>
          <w:rFonts w:ascii="Palatino Linotype" w:hAnsi="Palatino Linotype" w:cs="Tahoma"/>
          <w:sz w:val="22"/>
          <w:szCs w:val="22"/>
        </w:rPr>
        <w:t xml:space="preserve"> que integran la Contraloría Municipal; al respecto, </w:t>
      </w:r>
      <w:r>
        <w:rPr>
          <w:rFonts w:ascii="Palatino Linotype" w:eastAsia="Calibri" w:hAnsi="Palatino Linotype" w:cs="Tahoma"/>
          <w:bCs/>
          <w:sz w:val="22"/>
          <w:szCs w:val="22"/>
          <w:lang w:eastAsia="en-US"/>
        </w:rPr>
        <w:t xml:space="preserve">es necesario traer a colación la Guía Técnica 9 “La Administración del Personal Municipal” (consultado el dos de febrero de la presente anualidad, a las once horas, con veintiséis minutos, en </w:t>
      </w:r>
      <w:hyperlink r:id="rId8" w:history="1">
        <w:r>
          <w:rPr>
            <w:rStyle w:val="Hipervnculo"/>
            <w:rFonts w:ascii="Palatino Linotype" w:eastAsia="Calibri" w:hAnsi="Palatino Linotype" w:cs="Tahoma"/>
            <w:sz w:val="22"/>
            <w:szCs w:val="22"/>
            <w:lang w:eastAsia="en-US"/>
          </w:rPr>
          <w:t>http://www.inafed.gob.mx/work/models/inafed/Resource/335/1/images/guia09_la_administracion_del_personal_municipal.pdf</w:t>
        </w:r>
      </w:hyperlink>
      <w:r>
        <w:rPr>
          <w:rFonts w:ascii="Palatino Linotype" w:eastAsia="Calibri" w:hAnsi="Palatino Linotype" w:cs="Tahoma"/>
          <w:bCs/>
          <w:sz w:val="22"/>
          <w:szCs w:val="22"/>
          <w:lang w:eastAsia="en-US"/>
        </w:rPr>
        <w:t xml:space="preserve">), que establece que son servidores públicos, </w:t>
      </w:r>
      <w:r w:rsidR="00504814">
        <w:rPr>
          <w:rFonts w:ascii="Palatino Linotype" w:eastAsia="Calibri" w:hAnsi="Palatino Linotype" w:cs="Tahoma"/>
          <w:bCs/>
          <w:sz w:val="22"/>
          <w:szCs w:val="22"/>
          <w:lang w:eastAsia="en-US"/>
        </w:rPr>
        <w:t>son todas aquellas personas que prestan su trabajo al servicio del municipio, conformado por las autoridad, funcionarios</w:t>
      </w:r>
      <w:r w:rsidR="002A4913">
        <w:rPr>
          <w:rFonts w:ascii="Palatino Linotype" w:eastAsia="Calibri" w:hAnsi="Palatino Linotype" w:cs="Tahoma"/>
          <w:bCs/>
          <w:sz w:val="22"/>
          <w:szCs w:val="22"/>
          <w:lang w:eastAsia="en-US"/>
        </w:rPr>
        <w:t xml:space="preserve"> (Directories y Jefes de Departamento)</w:t>
      </w:r>
      <w:r w:rsidR="00504814">
        <w:rPr>
          <w:rFonts w:ascii="Palatino Linotype" w:eastAsia="Calibri" w:hAnsi="Palatino Linotype" w:cs="Tahoma"/>
          <w:bCs/>
          <w:sz w:val="22"/>
          <w:szCs w:val="22"/>
          <w:lang w:eastAsia="en-US"/>
        </w:rPr>
        <w:t xml:space="preserve"> y empleados</w:t>
      </w:r>
      <w:r w:rsidR="002A4913">
        <w:rPr>
          <w:rFonts w:ascii="Palatino Linotype" w:eastAsia="Calibri" w:hAnsi="Palatino Linotype" w:cs="Tahoma"/>
          <w:bCs/>
          <w:sz w:val="22"/>
          <w:szCs w:val="22"/>
          <w:lang w:eastAsia="en-US"/>
        </w:rPr>
        <w:t xml:space="preserve"> (puestos administrativos y técnicos)</w:t>
      </w:r>
      <w:r w:rsidR="00504814">
        <w:rPr>
          <w:rFonts w:ascii="Palatino Linotype" w:eastAsia="Calibri" w:hAnsi="Palatino Linotype" w:cs="Tahoma"/>
          <w:bCs/>
          <w:sz w:val="22"/>
          <w:szCs w:val="22"/>
          <w:lang w:eastAsia="en-US"/>
        </w:rPr>
        <w:t>.</w:t>
      </w:r>
    </w:p>
    <w:p w14:paraId="19D43935" w14:textId="77777777" w:rsidR="002747DD" w:rsidRDefault="002747DD" w:rsidP="002747DD">
      <w:pPr>
        <w:spacing w:line="360" w:lineRule="auto"/>
        <w:ind w:right="-28"/>
        <w:contextualSpacing/>
        <w:jc w:val="both"/>
        <w:rPr>
          <w:rFonts w:ascii="Palatino Linotype" w:eastAsia="Calibri" w:hAnsi="Palatino Linotype" w:cs="Tahoma"/>
          <w:b/>
          <w:sz w:val="22"/>
          <w:szCs w:val="22"/>
          <w:lang w:eastAsia="en-US"/>
        </w:rPr>
      </w:pPr>
    </w:p>
    <w:p w14:paraId="23518EF3" w14:textId="6723ED4D" w:rsidR="00B633C1" w:rsidRPr="002A4913" w:rsidRDefault="002A4913" w:rsidP="002A4913">
      <w:pPr>
        <w:spacing w:line="360" w:lineRule="auto"/>
        <w:jc w:val="both"/>
        <w:rPr>
          <w:rFonts w:ascii="Palatino Linotype" w:eastAsia="Calibri" w:hAnsi="Palatino Linotype"/>
          <w:sz w:val="22"/>
          <w:szCs w:val="22"/>
        </w:rPr>
      </w:pPr>
      <w:r>
        <w:rPr>
          <w:rFonts w:ascii="Palatino Linotype" w:eastAsia="Calibri" w:hAnsi="Palatino Linotype"/>
          <w:sz w:val="22"/>
          <w:szCs w:val="22"/>
        </w:rPr>
        <w:t>Además</w:t>
      </w:r>
      <w:r w:rsidR="002747DD" w:rsidRPr="002747DD">
        <w:rPr>
          <w:rFonts w:ascii="Palatino Linotype" w:hAnsi="Palatino Linotype"/>
          <w:sz w:val="22"/>
          <w:szCs w:val="22"/>
        </w:rPr>
        <w:t xml:space="preserve">, </w:t>
      </w:r>
      <w:r w:rsidR="00B633C1">
        <w:rPr>
          <w:rFonts w:ascii="Palatino Linotype" w:hAnsi="Palatino Linotype"/>
          <w:sz w:val="22"/>
          <w:szCs w:val="22"/>
        </w:rPr>
        <w:t>los artículos 55, fracci</w:t>
      </w:r>
      <w:r>
        <w:rPr>
          <w:rFonts w:ascii="Palatino Linotype" w:hAnsi="Palatino Linotype"/>
          <w:sz w:val="22"/>
          <w:szCs w:val="22"/>
        </w:rPr>
        <w:t>ón</w:t>
      </w:r>
      <w:r w:rsidR="00B633C1">
        <w:rPr>
          <w:rFonts w:ascii="Palatino Linotype" w:hAnsi="Palatino Linotype"/>
          <w:sz w:val="22"/>
          <w:szCs w:val="22"/>
        </w:rPr>
        <w:t xml:space="preserve"> III y 100 </w:t>
      </w:r>
      <w:r w:rsidR="002747DD" w:rsidRPr="002747DD">
        <w:rPr>
          <w:rFonts w:ascii="Palatino Linotype" w:hAnsi="Palatino Linotype"/>
          <w:sz w:val="22"/>
          <w:szCs w:val="22"/>
        </w:rPr>
        <w:t>del Bando Municipal, dos mil veint</w:t>
      </w:r>
      <w:r w:rsidR="00B633C1">
        <w:rPr>
          <w:rFonts w:ascii="Palatino Linotype" w:hAnsi="Palatino Linotype"/>
          <w:sz w:val="22"/>
          <w:szCs w:val="22"/>
        </w:rPr>
        <w:t>iuno</w:t>
      </w:r>
      <w:r w:rsidR="002747DD" w:rsidRPr="002747DD">
        <w:rPr>
          <w:rFonts w:ascii="Palatino Linotype" w:hAnsi="Palatino Linotype"/>
          <w:sz w:val="22"/>
          <w:szCs w:val="22"/>
        </w:rPr>
        <w:t xml:space="preserve">, </w:t>
      </w:r>
      <w:r w:rsidR="00B633C1">
        <w:rPr>
          <w:rFonts w:ascii="Palatino Linotype" w:hAnsi="Palatino Linotype"/>
          <w:sz w:val="22"/>
          <w:szCs w:val="22"/>
        </w:rPr>
        <w:t xml:space="preserve">de </w:t>
      </w:r>
      <w:r w:rsidR="00B633C1" w:rsidRPr="00B633C1">
        <w:rPr>
          <w:rFonts w:ascii="Palatino Linotype" w:hAnsi="Palatino Linotype"/>
          <w:sz w:val="22"/>
          <w:szCs w:val="22"/>
        </w:rPr>
        <w:t>San Martín de Las Pirámides</w:t>
      </w:r>
      <w:r w:rsidR="002747DD" w:rsidRPr="002747DD">
        <w:rPr>
          <w:rFonts w:ascii="Palatino Linotype" w:hAnsi="Palatino Linotype"/>
          <w:sz w:val="22"/>
          <w:szCs w:val="22"/>
        </w:rPr>
        <w:t xml:space="preserve">, </w:t>
      </w:r>
      <w:r w:rsidR="00B633C1">
        <w:rPr>
          <w:rFonts w:ascii="Palatino Linotype" w:hAnsi="Palatino Linotype"/>
          <w:bCs/>
          <w:sz w:val="22"/>
          <w:szCs w:val="22"/>
        </w:rPr>
        <w:t>precisa que el Sujeto Obligado para el ejercicio de sus funciones cuenta con diversas áreas administrativas, entre las cuales se encuentra</w:t>
      </w:r>
      <w:r>
        <w:rPr>
          <w:rFonts w:ascii="Palatino Linotype" w:hAnsi="Palatino Linotype"/>
          <w:bCs/>
          <w:sz w:val="22"/>
          <w:szCs w:val="22"/>
        </w:rPr>
        <w:t xml:space="preserve"> la </w:t>
      </w:r>
      <w:r w:rsidR="00B633C1" w:rsidRPr="002A4913">
        <w:rPr>
          <w:rFonts w:ascii="Palatino Linotype" w:eastAsia="Calibri" w:hAnsi="Palatino Linotype"/>
          <w:b/>
          <w:bCs/>
          <w:sz w:val="22"/>
          <w:szCs w:val="22"/>
        </w:rPr>
        <w:t xml:space="preserve">Contraloría </w:t>
      </w:r>
      <w:r w:rsidR="00B633C1" w:rsidRPr="002A4913">
        <w:rPr>
          <w:rFonts w:ascii="Palatino Linotype" w:eastAsia="Calibri" w:hAnsi="Palatino Linotype"/>
          <w:b/>
          <w:bCs/>
          <w:sz w:val="22"/>
          <w:szCs w:val="22"/>
        </w:rPr>
        <w:lastRenderedPageBreak/>
        <w:t>Interna Municipal</w:t>
      </w:r>
      <w:r>
        <w:rPr>
          <w:rFonts w:ascii="Palatino Linotype" w:eastAsia="Calibri" w:hAnsi="Palatino Linotype"/>
          <w:b/>
          <w:bCs/>
          <w:sz w:val="22"/>
          <w:szCs w:val="22"/>
        </w:rPr>
        <w:t xml:space="preserve">, </w:t>
      </w:r>
      <w:r w:rsidRPr="002A4913">
        <w:rPr>
          <w:rFonts w:ascii="Palatino Linotype" w:eastAsia="Calibri" w:hAnsi="Palatino Linotype"/>
          <w:sz w:val="22"/>
          <w:szCs w:val="22"/>
        </w:rPr>
        <w:t>e</w:t>
      </w:r>
      <w:r w:rsidR="00B633C1" w:rsidRPr="002A4913">
        <w:rPr>
          <w:rFonts w:ascii="Palatino Linotype" w:eastAsia="Calibri" w:hAnsi="Palatino Linotype"/>
          <w:sz w:val="22"/>
          <w:szCs w:val="22"/>
        </w:rPr>
        <w:t xml:space="preserve">ncargada de planear y programar el sistema de control y evaluación municipal, además de establecer las bases generales </w:t>
      </w:r>
      <w:r w:rsidR="00871DE3" w:rsidRPr="002A4913">
        <w:rPr>
          <w:rFonts w:ascii="Palatino Linotype" w:eastAsia="Calibri" w:hAnsi="Palatino Linotype"/>
          <w:sz w:val="22"/>
          <w:szCs w:val="22"/>
        </w:rPr>
        <w:t>para la realización de auditorías, inspecciones y supervisiones.</w:t>
      </w:r>
    </w:p>
    <w:p w14:paraId="2E9DBFE2" w14:textId="77777777" w:rsidR="00871DE3" w:rsidRDefault="00871DE3" w:rsidP="00871DE3">
      <w:pPr>
        <w:pStyle w:val="Prrafodelista"/>
        <w:spacing w:line="360" w:lineRule="auto"/>
        <w:jc w:val="both"/>
        <w:rPr>
          <w:rFonts w:ascii="Palatino Linotype" w:eastAsia="Calibri" w:hAnsi="Palatino Linotype"/>
          <w:szCs w:val="22"/>
        </w:rPr>
      </w:pPr>
    </w:p>
    <w:p w14:paraId="3D83FFEF" w14:textId="4FAD6AE1" w:rsidR="00B61001" w:rsidRDefault="002A4913" w:rsidP="00871DE3">
      <w:pPr>
        <w:spacing w:line="360" w:lineRule="auto"/>
        <w:jc w:val="both"/>
        <w:rPr>
          <w:rFonts w:ascii="Palatino Linotype" w:hAnsi="Palatino Linotype"/>
          <w:iCs/>
          <w:sz w:val="22"/>
        </w:rPr>
      </w:pPr>
      <w:r>
        <w:rPr>
          <w:rFonts w:ascii="Palatino Linotype" w:hAnsi="Palatino Linotype"/>
          <w:iCs/>
          <w:sz w:val="22"/>
        </w:rPr>
        <w:t>Además</w:t>
      </w:r>
      <w:r w:rsidR="00871DE3">
        <w:rPr>
          <w:rFonts w:ascii="Palatino Linotype" w:hAnsi="Palatino Linotype"/>
          <w:iCs/>
          <w:sz w:val="22"/>
        </w:rPr>
        <w:t>, el</w:t>
      </w:r>
      <w:r>
        <w:rPr>
          <w:rFonts w:ascii="Palatino Linotype" w:hAnsi="Palatino Linotype"/>
          <w:iCs/>
          <w:sz w:val="22"/>
        </w:rPr>
        <w:t xml:space="preserve"> artículo 70, fracción VII, de la Ley General de Transparencia y Acceso a la Información Pública y el diverso </w:t>
      </w:r>
      <w:r w:rsidR="00871DE3" w:rsidRPr="00871DE3">
        <w:rPr>
          <w:rFonts w:ascii="Palatino Linotype" w:hAnsi="Palatino Linotype"/>
          <w:iCs/>
          <w:sz w:val="22"/>
        </w:rPr>
        <w:t>92</w:t>
      </w:r>
      <w:r>
        <w:rPr>
          <w:rFonts w:ascii="Palatino Linotype" w:hAnsi="Palatino Linotype"/>
          <w:iCs/>
          <w:sz w:val="22"/>
        </w:rPr>
        <w:t>,</w:t>
      </w:r>
      <w:r w:rsidR="00871DE3" w:rsidRPr="00871DE3">
        <w:rPr>
          <w:rFonts w:ascii="Palatino Linotype" w:hAnsi="Palatino Linotype"/>
          <w:iCs/>
          <w:sz w:val="22"/>
        </w:rPr>
        <w:t xml:space="preserve"> fracción VII</w:t>
      </w:r>
      <w:r>
        <w:rPr>
          <w:rFonts w:ascii="Palatino Linotype" w:hAnsi="Palatino Linotype"/>
          <w:iCs/>
          <w:sz w:val="22"/>
        </w:rPr>
        <w:t>,</w:t>
      </w:r>
      <w:r w:rsidR="00871DE3" w:rsidRPr="00871DE3">
        <w:rPr>
          <w:rFonts w:ascii="Palatino Linotype" w:hAnsi="Palatino Linotype"/>
          <w:iCs/>
          <w:sz w:val="22"/>
        </w:rPr>
        <w:t xml:space="preserve"> de la Ley de Transparencia y Acceso a la Información</w:t>
      </w:r>
      <w:r>
        <w:rPr>
          <w:rFonts w:ascii="Palatino Linotype" w:hAnsi="Palatino Linotype"/>
          <w:iCs/>
          <w:sz w:val="22"/>
        </w:rPr>
        <w:t xml:space="preserve"> </w:t>
      </w:r>
      <w:r w:rsidR="00871DE3" w:rsidRPr="00871DE3">
        <w:rPr>
          <w:rFonts w:ascii="Palatino Linotype" w:hAnsi="Palatino Linotype"/>
          <w:iCs/>
          <w:sz w:val="22"/>
        </w:rPr>
        <w:t>Pública del Estado de México y Municipios</w:t>
      </w:r>
      <w:r w:rsidR="00917F65">
        <w:rPr>
          <w:rFonts w:ascii="Palatino Linotype" w:hAnsi="Palatino Linotype"/>
          <w:iCs/>
          <w:sz w:val="22"/>
        </w:rPr>
        <w:t>,</w:t>
      </w:r>
      <w:r w:rsidR="00871DE3">
        <w:rPr>
          <w:rFonts w:ascii="Palatino Linotype" w:hAnsi="Palatino Linotype"/>
          <w:iCs/>
          <w:sz w:val="22"/>
        </w:rPr>
        <w:t xml:space="preserve"> establece </w:t>
      </w:r>
      <w:r w:rsidR="00917F65">
        <w:rPr>
          <w:rFonts w:ascii="Palatino Linotype" w:hAnsi="Palatino Linotype"/>
          <w:iCs/>
          <w:sz w:val="22"/>
        </w:rPr>
        <w:t>como obligación común</w:t>
      </w:r>
      <w:r w:rsidR="00871DE3">
        <w:rPr>
          <w:rFonts w:ascii="Palatino Linotype" w:hAnsi="Palatino Linotype"/>
          <w:iCs/>
          <w:sz w:val="22"/>
        </w:rPr>
        <w:t xml:space="preserve"> de transparencia, </w:t>
      </w:r>
      <w:r w:rsidR="00917F65">
        <w:rPr>
          <w:rFonts w:ascii="Palatino Linotype" w:hAnsi="Palatino Linotype"/>
          <w:iCs/>
          <w:sz w:val="22"/>
        </w:rPr>
        <w:t>el Directorio de servidores públicos, el cual debe incluir diversos datos, entre los cuales se encuentra el nombre.</w:t>
      </w:r>
    </w:p>
    <w:p w14:paraId="4AEA0D82" w14:textId="101510EB" w:rsidR="00917F65" w:rsidRDefault="00917F65" w:rsidP="00871DE3">
      <w:pPr>
        <w:spacing w:line="360" w:lineRule="auto"/>
        <w:jc w:val="both"/>
        <w:rPr>
          <w:rFonts w:ascii="Palatino Linotype" w:hAnsi="Palatino Linotype"/>
          <w:iCs/>
          <w:sz w:val="22"/>
        </w:rPr>
      </w:pPr>
    </w:p>
    <w:p w14:paraId="1336AEF0" w14:textId="1A070359" w:rsidR="00917F65" w:rsidRDefault="00917F65" w:rsidP="00871DE3">
      <w:pPr>
        <w:spacing w:line="360" w:lineRule="auto"/>
        <w:jc w:val="both"/>
        <w:rPr>
          <w:rFonts w:ascii="Palatino Linotype" w:hAnsi="Palatino Linotype"/>
          <w:iCs/>
          <w:sz w:val="22"/>
        </w:rPr>
      </w:pPr>
      <w:r>
        <w:rPr>
          <w:rFonts w:ascii="Palatino Linotype" w:hAnsi="Palatino Linotype"/>
          <w:iCs/>
          <w:sz w:val="22"/>
        </w:rPr>
        <w:t>Conforme a lo anterior, se logra advertir que la pretensión del ahora Recurrente, es obtener el nombre de todos los servidores públicos adscritos a la Contraloría Interna Municipal, a la fecha de la solicitud, es decir, al catorce de enero de dos mil veintidós.</w:t>
      </w:r>
    </w:p>
    <w:p w14:paraId="1A182588" w14:textId="2B648EBA" w:rsidR="00917F65" w:rsidRDefault="00917F65" w:rsidP="00871DE3">
      <w:pPr>
        <w:spacing w:line="360" w:lineRule="auto"/>
        <w:jc w:val="both"/>
        <w:rPr>
          <w:rFonts w:ascii="Palatino Linotype" w:hAnsi="Palatino Linotype"/>
          <w:iCs/>
          <w:sz w:val="22"/>
        </w:rPr>
      </w:pPr>
    </w:p>
    <w:p w14:paraId="27DD991A" w14:textId="4D72C377" w:rsidR="00917F65" w:rsidRPr="00917F65" w:rsidRDefault="00917F65" w:rsidP="00917F65">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 xml:space="preserve">Ahora bien, </w:t>
      </w:r>
      <w:r w:rsidRPr="00917F65">
        <w:rPr>
          <w:rFonts w:ascii="Palatino Linotype" w:hAnsi="Palatino Linotype" w:cs="Tahoma"/>
          <w:iCs/>
          <w:sz w:val="22"/>
          <w:szCs w:val="22"/>
          <w:lang w:val="es-ES"/>
        </w:rPr>
        <w:t xml:space="preserve">de las constancias que obran en el expediente, </w:t>
      </w:r>
      <w:r>
        <w:rPr>
          <w:rFonts w:ascii="Palatino Linotype" w:hAnsi="Palatino Linotype" w:cs="Tahoma"/>
          <w:iCs/>
          <w:sz w:val="22"/>
          <w:szCs w:val="22"/>
          <w:lang w:val="es-ES"/>
        </w:rPr>
        <w:t>s</w:t>
      </w:r>
      <w:r w:rsidRPr="00917F65">
        <w:rPr>
          <w:rFonts w:ascii="Palatino Linotype" w:hAnsi="Palatino Linotype" w:cs="Tahoma"/>
          <w:iCs/>
          <w:sz w:val="22"/>
          <w:szCs w:val="22"/>
          <w:lang w:val="es-ES"/>
        </w:rPr>
        <w:t xml:space="preserve">e logra vislumbrar </w:t>
      </w:r>
      <w:r>
        <w:rPr>
          <w:rFonts w:ascii="Palatino Linotype" w:hAnsi="Palatino Linotype" w:cs="Tahoma"/>
          <w:iCs/>
          <w:sz w:val="22"/>
          <w:szCs w:val="22"/>
          <w:lang w:val="es-ES"/>
        </w:rPr>
        <w:t>que el Ayuntamiento turno la solicitud de información a la Dirección de Recursos Humanos</w:t>
      </w:r>
      <w:r w:rsidRPr="00917F65">
        <w:rPr>
          <w:rFonts w:ascii="Palatino Linotype" w:hAnsi="Palatino Linotype" w:cs="Tahoma"/>
          <w:iCs/>
          <w:sz w:val="22"/>
          <w:szCs w:val="22"/>
          <w:lang w:val="es-ES"/>
        </w:rPr>
        <w:t>; por lo que, r</w:t>
      </w:r>
      <w:proofErr w:type="spellStart"/>
      <w:r w:rsidRPr="00917F65">
        <w:rPr>
          <w:rFonts w:ascii="Palatino Linotype" w:hAnsi="Palatino Linotype" w:cs="Tahoma"/>
          <w:bCs/>
          <w:iCs/>
          <w:sz w:val="22"/>
          <w:szCs w:val="22"/>
        </w:rPr>
        <w:t>esulta</w:t>
      </w:r>
      <w:proofErr w:type="spellEnd"/>
      <w:r w:rsidRPr="00917F65">
        <w:rPr>
          <w:rFonts w:ascii="Palatino Linotype" w:hAnsi="Palatino Linotype" w:cs="Tahoma"/>
          <w:bCs/>
          <w:iCs/>
          <w:sz w:val="22"/>
          <w:szCs w:val="22"/>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7B474273" w14:textId="77777777" w:rsidR="00917F65" w:rsidRPr="00917F65" w:rsidRDefault="00917F65" w:rsidP="00917F65">
      <w:pPr>
        <w:spacing w:line="360" w:lineRule="auto"/>
        <w:jc w:val="both"/>
        <w:rPr>
          <w:rFonts w:ascii="Palatino Linotype" w:hAnsi="Palatino Linotype" w:cs="Tahoma"/>
          <w:bCs/>
          <w:iCs/>
          <w:sz w:val="22"/>
          <w:szCs w:val="22"/>
        </w:rPr>
      </w:pPr>
    </w:p>
    <w:p w14:paraId="77CD24F8" w14:textId="77777777" w:rsidR="00917F65" w:rsidRPr="00917F65" w:rsidRDefault="00917F65" w:rsidP="00917F65">
      <w:pPr>
        <w:numPr>
          <w:ilvl w:val="0"/>
          <w:numId w:val="22"/>
        </w:numPr>
        <w:spacing w:after="160"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BA358D8" w14:textId="77777777" w:rsidR="00917F65" w:rsidRPr="00917F65" w:rsidRDefault="00917F65" w:rsidP="00917F65">
      <w:pPr>
        <w:numPr>
          <w:ilvl w:val="0"/>
          <w:numId w:val="22"/>
        </w:numPr>
        <w:spacing w:after="160"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4942358" w14:textId="77777777" w:rsidR="00917F65" w:rsidRPr="00917F65" w:rsidRDefault="00917F65" w:rsidP="00917F65">
      <w:pPr>
        <w:spacing w:line="360" w:lineRule="auto"/>
        <w:jc w:val="both"/>
        <w:rPr>
          <w:rFonts w:ascii="Palatino Linotype" w:hAnsi="Palatino Linotype" w:cs="Tahoma"/>
          <w:bCs/>
          <w:iCs/>
          <w:sz w:val="22"/>
          <w:szCs w:val="22"/>
        </w:rPr>
      </w:pPr>
    </w:p>
    <w:p w14:paraId="6BE2402F" w14:textId="4CE81C2A" w:rsidR="004B5166" w:rsidRPr="004B5166" w:rsidRDefault="00917F65" w:rsidP="004B5166">
      <w:pPr>
        <w:spacing w:line="360" w:lineRule="auto"/>
        <w:jc w:val="both"/>
        <w:rPr>
          <w:rFonts w:ascii="Palatino Linotype" w:hAnsi="Palatino Linotype" w:cs="Tahoma"/>
          <w:bCs/>
          <w:iCs/>
          <w:sz w:val="22"/>
          <w:szCs w:val="22"/>
        </w:rPr>
      </w:pPr>
      <w:r w:rsidRPr="00917F65">
        <w:rPr>
          <w:rFonts w:ascii="Palatino Linotype" w:hAnsi="Palatino Linotype" w:cs="Tahoma"/>
          <w:bCs/>
          <w:iCs/>
          <w:sz w:val="22"/>
          <w:szCs w:val="22"/>
        </w:rPr>
        <w:t>Así, a efecto de determinar si el Sujeto Obligado cumplió con el procedimiento de búsqueda, resulta necesario traer a colación los</w:t>
      </w:r>
      <w:r w:rsidRPr="00917F65">
        <w:rPr>
          <w:rFonts w:ascii="Palatino Linotype" w:hAnsi="Palatino Linotype"/>
          <w:sz w:val="22"/>
          <w:szCs w:val="22"/>
        </w:rPr>
        <w:t xml:space="preserve"> </w:t>
      </w:r>
      <w:r>
        <w:rPr>
          <w:rFonts w:ascii="Palatino Linotype" w:hAnsi="Palatino Linotype"/>
          <w:sz w:val="22"/>
          <w:szCs w:val="22"/>
        </w:rPr>
        <w:t xml:space="preserve">artículos 55, fracción XIX y 194 </w:t>
      </w:r>
      <w:r w:rsidRPr="002747DD">
        <w:rPr>
          <w:rFonts w:ascii="Palatino Linotype" w:hAnsi="Palatino Linotype"/>
          <w:sz w:val="22"/>
          <w:szCs w:val="22"/>
        </w:rPr>
        <w:t>del Bando Municipal, dos mil veint</w:t>
      </w:r>
      <w:r>
        <w:rPr>
          <w:rFonts w:ascii="Palatino Linotype" w:hAnsi="Palatino Linotype"/>
          <w:sz w:val="22"/>
          <w:szCs w:val="22"/>
        </w:rPr>
        <w:t>iuno</w:t>
      </w:r>
      <w:r w:rsidRPr="002747DD">
        <w:rPr>
          <w:rFonts w:ascii="Palatino Linotype" w:hAnsi="Palatino Linotype"/>
          <w:sz w:val="22"/>
          <w:szCs w:val="22"/>
        </w:rPr>
        <w:t xml:space="preserve">, </w:t>
      </w:r>
      <w:r>
        <w:rPr>
          <w:rFonts w:ascii="Palatino Linotype" w:hAnsi="Palatino Linotype"/>
          <w:sz w:val="22"/>
          <w:szCs w:val="22"/>
        </w:rPr>
        <w:t xml:space="preserve">de </w:t>
      </w:r>
      <w:r w:rsidRPr="00B633C1">
        <w:rPr>
          <w:rFonts w:ascii="Palatino Linotype" w:hAnsi="Palatino Linotype"/>
          <w:sz w:val="22"/>
          <w:szCs w:val="22"/>
        </w:rPr>
        <w:t>San Martín de Las Pirámides</w:t>
      </w:r>
      <w:r>
        <w:rPr>
          <w:rFonts w:ascii="Palatino Linotype" w:hAnsi="Palatino Linotype"/>
          <w:sz w:val="22"/>
          <w:szCs w:val="22"/>
        </w:rPr>
        <w:t>, que establece que el Ayuntamiento cuenta con la Dirección de Recursos Humanos, encargada de llevar el control y administración del personal adscrito a la administración pública municipal</w:t>
      </w:r>
      <w:r w:rsidR="002A1427">
        <w:rPr>
          <w:rFonts w:ascii="Palatino Linotype" w:hAnsi="Palatino Linotype"/>
          <w:sz w:val="22"/>
          <w:szCs w:val="22"/>
        </w:rPr>
        <w:t>; por lo que</w:t>
      </w:r>
      <w:r w:rsidR="004B5166" w:rsidRPr="004B5166">
        <w:rPr>
          <w:rFonts w:ascii="Palatino Linotype" w:hAnsi="Palatino Linotype" w:cs="Tahoma"/>
          <w:bCs/>
          <w:iCs/>
          <w:sz w:val="22"/>
          <w:szCs w:val="22"/>
        </w:rPr>
        <w:t xml:space="preserve">, se logra colegir que el Sujeto Obligado cumplió con el procedimiento de búsqueda </w:t>
      </w:r>
      <w:r w:rsidR="004B5166" w:rsidRPr="004B5166">
        <w:rPr>
          <w:rFonts w:ascii="Palatino Linotype" w:eastAsia="Calibri" w:hAnsi="Palatino Linotype" w:cs="Tahoma"/>
          <w:color w:val="000000"/>
          <w:sz w:val="22"/>
          <w:szCs w:val="24"/>
          <w:lang w:val="es-ES" w:eastAsia="es-MX"/>
        </w:rPr>
        <w:t xml:space="preserve">establecido en el artículo 162 de la Ley de Transparencia y Acceso a la Información Pública del Estado de México y Municipios, al </w:t>
      </w:r>
      <w:r w:rsidR="004B5166">
        <w:rPr>
          <w:rFonts w:ascii="Palatino Linotype" w:eastAsia="Calibri" w:hAnsi="Palatino Linotype" w:cs="Tahoma"/>
          <w:color w:val="000000"/>
          <w:sz w:val="22"/>
          <w:szCs w:val="24"/>
          <w:lang w:val="es-ES" w:eastAsia="es-MX"/>
        </w:rPr>
        <w:t xml:space="preserve">gestionar </w:t>
      </w:r>
      <w:r w:rsidR="004B5166" w:rsidRPr="004B5166">
        <w:rPr>
          <w:rFonts w:ascii="Palatino Linotype" w:eastAsia="Calibri" w:hAnsi="Palatino Linotype" w:cs="Tahoma"/>
          <w:color w:val="000000"/>
          <w:sz w:val="22"/>
          <w:szCs w:val="24"/>
          <w:lang w:val="es-ES" w:eastAsia="es-MX"/>
        </w:rPr>
        <w:t xml:space="preserve">el requerimiento de información al área competente. </w:t>
      </w:r>
    </w:p>
    <w:p w14:paraId="4B919AA4" w14:textId="0C7105F1" w:rsidR="002747DD" w:rsidRDefault="002747DD" w:rsidP="002747DD">
      <w:pPr>
        <w:spacing w:line="360" w:lineRule="auto"/>
        <w:jc w:val="both"/>
        <w:rPr>
          <w:rFonts w:ascii="Palatino Linotype" w:hAnsi="Palatino Linotype"/>
          <w:sz w:val="22"/>
        </w:rPr>
      </w:pPr>
    </w:p>
    <w:p w14:paraId="66FD9895" w14:textId="6DF32964" w:rsidR="004B5166" w:rsidRDefault="004B5166" w:rsidP="002747DD">
      <w:pPr>
        <w:spacing w:line="360" w:lineRule="auto"/>
        <w:jc w:val="both"/>
        <w:rPr>
          <w:rFonts w:ascii="Palatino Linotype" w:hAnsi="Palatino Linotype"/>
          <w:sz w:val="22"/>
        </w:rPr>
      </w:pPr>
      <w:r>
        <w:rPr>
          <w:rFonts w:ascii="Palatino Linotype" w:hAnsi="Palatino Linotype"/>
          <w:sz w:val="22"/>
        </w:rPr>
        <w:t xml:space="preserve">Ahora bien, dicha área tanto en respuesta, como en Informe Justificado, precisó que la Contraloría Interna Municipal, únicamente contaba con </w:t>
      </w:r>
      <w:r>
        <w:rPr>
          <w:rFonts w:ascii="Palatino Linotype" w:hAnsi="Palatino Linotype"/>
          <w:sz w:val="22"/>
          <w:szCs w:val="22"/>
        </w:rPr>
        <w:t>Juan Manuel Ramírez Corona, Titular de dicha área.</w:t>
      </w:r>
    </w:p>
    <w:p w14:paraId="3328D126" w14:textId="0AFDFA81" w:rsidR="004B5166" w:rsidRDefault="004B5166" w:rsidP="002747DD">
      <w:pPr>
        <w:spacing w:line="360" w:lineRule="auto"/>
        <w:jc w:val="both"/>
        <w:rPr>
          <w:rFonts w:ascii="Palatino Linotype" w:hAnsi="Palatino Linotype"/>
          <w:sz w:val="22"/>
        </w:rPr>
      </w:pPr>
    </w:p>
    <w:p w14:paraId="5ED7E2A3" w14:textId="77777777" w:rsidR="004B5166" w:rsidRPr="004B5166" w:rsidRDefault="004B5166" w:rsidP="004B5166">
      <w:pPr>
        <w:spacing w:line="360" w:lineRule="auto"/>
        <w:jc w:val="both"/>
        <w:rPr>
          <w:rFonts w:ascii="Palatino Linotype" w:hAnsi="Palatino Linotype" w:cs="Tahoma"/>
          <w:bCs/>
          <w:iCs/>
          <w:sz w:val="22"/>
          <w:szCs w:val="22"/>
        </w:rPr>
      </w:pPr>
      <w:r w:rsidRPr="004B5166">
        <w:rPr>
          <w:rFonts w:ascii="Palatino Linotype" w:hAnsi="Palatino Linotype" w:cs="Tahoma"/>
          <w:iCs/>
          <w:sz w:val="22"/>
          <w:szCs w:val="22"/>
          <w:lang w:val="es-ES"/>
        </w:rPr>
        <w:t xml:space="preserve">Sobre lo anterior, </w:t>
      </w:r>
      <w:r w:rsidRPr="004B5166">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1B1E7F1A" w14:textId="77777777" w:rsidR="004B5166" w:rsidRPr="004B5166" w:rsidRDefault="004B5166" w:rsidP="004B5166">
      <w:pPr>
        <w:spacing w:line="360" w:lineRule="auto"/>
        <w:jc w:val="both"/>
        <w:rPr>
          <w:rFonts w:ascii="Palatino Linotype" w:hAnsi="Palatino Linotype" w:cs="Tahoma"/>
          <w:iCs/>
          <w:sz w:val="22"/>
          <w:szCs w:val="22"/>
          <w:lang w:val="es-ES"/>
        </w:rPr>
      </w:pPr>
    </w:p>
    <w:p w14:paraId="7BFED3E5" w14:textId="77777777" w:rsidR="004B5166" w:rsidRPr="004B5166" w:rsidRDefault="004B5166" w:rsidP="004B5166">
      <w:pPr>
        <w:spacing w:line="360" w:lineRule="auto"/>
        <w:ind w:left="567" w:right="567"/>
        <w:jc w:val="both"/>
        <w:rPr>
          <w:rFonts w:ascii="Palatino Linotype" w:hAnsi="Palatino Linotype" w:cs="Tahoma"/>
          <w:bCs/>
          <w:i/>
          <w:iCs/>
        </w:rPr>
      </w:pPr>
      <w:r w:rsidRPr="004B5166">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4B5166">
        <w:rPr>
          <w:rFonts w:ascii="Palatino Linotype" w:hAnsi="Palatino Linotype" w:cs="Tahoma"/>
          <w:bCs/>
          <w:i/>
          <w:iCs/>
        </w:rPr>
        <w:t xml:space="preserve"> El Instituto Federal de Acceso a la Información y Protección de Datos es un órgano de la Administración Pública Federal con autonomía operativa, </w:t>
      </w:r>
      <w:r w:rsidRPr="004B5166">
        <w:rPr>
          <w:rFonts w:ascii="Palatino Linotype" w:hAnsi="Palatino Linotype" w:cs="Tahoma"/>
          <w:bCs/>
          <w:i/>
          <w:iCs/>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7FD146" w14:textId="57E547E9" w:rsidR="004B5166" w:rsidRDefault="004B5166" w:rsidP="002747DD">
      <w:pPr>
        <w:spacing w:line="360" w:lineRule="auto"/>
        <w:jc w:val="both"/>
        <w:rPr>
          <w:rFonts w:ascii="Palatino Linotype" w:hAnsi="Palatino Linotype"/>
          <w:sz w:val="22"/>
        </w:rPr>
      </w:pPr>
    </w:p>
    <w:p w14:paraId="1204981A" w14:textId="1A848E81" w:rsidR="004B5166" w:rsidRDefault="004B5166" w:rsidP="002747DD">
      <w:pPr>
        <w:spacing w:line="360" w:lineRule="auto"/>
        <w:jc w:val="both"/>
        <w:rPr>
          <w:rFonts w:ascii="Palatino Linotype" w:hAnsi="Palatino Linotype"/>
          <w:sz w:val="22"/>
        </w:rPr>
      </w:pPr>
      <w:r>
        <w:rPr>
          <w:rFonts w:ascii="Palatino Linotype" w:hAnsi="Palatino Linotype"/>
          <w:sz w:val="22"/>
        </w:rPr>
        <w:t xml:space="preserve">Situación que fue robustecida por el Sujeto Obligado durante la sustanciación del Medio de Impugnación, al precisar que la Contraloría Interna Municipal, únicamente contaba con el Titular, es decir, el Contralo mencionado en respuesta, pues derivado al endeudamiento ocasionado por la administración pasada, </w:t>
      </w:r>
      <w:r w:rsidR="002A1427">
        <w:rPr>
          <w:rFonts w:ascii="Palatino Linotype" w:hAnsi="Palatino Linotype"/>
          <w:sz w:val="22"/>
        </w:rPr>
        <w:t>no se contaba con mayor personal en el área en cuestión.</w:t>
      </w:r>
    </w:p>
    <w:p w14:paraId="450A296A" w14:textId="77777777" w:rsidR="004B5166" w:rsidRDefault="004B5166" w:rsidP="002747DD">
      <w:pPr>
        <w:spacing w:line="360" w:lineRule="auto"/>
        <w:jc w:val="both"/>
        <w:rPr>
          <w:rFonts w:ascii="Palatino Linotype" w:hAnsi="Palatino Linotype"/>
          <w:sz w:val="22"/>
        </w:rPr>
      </w:pPr>
    </w:p>
    <w:p w14:paraId="4675CAD9" w14:textId="2B2C9A7F" w:rsidR="009A6A7F" w:rsidRDefault="002A1427" w:rsidP="002A1427">
      <w:pPr>
        <w:widowControl w:val="0"/>
        <w:spacing w:line="360" w:lineRule="auto"/>
        <w:jc w:val="both"/>
        <w:rPr>
          <w:rFonts w:ascii="Palatino Linotype" w:hAnsi="Palatino Linotype" w:cs="Tahoma"/>
          <w:sz w:val="22"/>
          <w:szCs w:val="22"/>
        </w:rPr>
      </w:pPr>
      <w:r>
        <w:rPr>
          <w:rFonts w:ascii="Palatino Linotype" w:hAnsi="Palatino Linotype"/>
          <w:iCs/>
          <w:sz w:val="22"/>
          <w:lang w:val="es-ES"/>
        </w:rPr>
        <w:t>Conforme a lo anterior</w:t>
      </w:r>
      <w:r w:rsidR="002747DD">
        <w:rPr>
          <w:rFonts w:ascii="Palatino Linotype" w:hAnsi="Palatino Linotype"/>
          <w:iCs/>
          <w:sz w:val="22"/>
          <w:lang w:val="es-ES"/>
        </w:rPr>
        <w:t>, se puede observar que el Sujeto Obligado</w:t>
      </w:r>
      <w:r>
        <w:rPr>
          <w:rFonts w:ascii="Palatino Linotype" w:hAnsi="Palatino Linotype"/>
          <w:iCs/>
          <w:sz w:val="22"/>
          <w:lang w:val="es-ES"/>
        </w:rPr>
        <w:t xml:space="preserve">, desde respuesta, </w:t>
      </w:r>
      <w:r w:rsidR="002747DD">
        <w:rPr>
          <w:rFonts w:ascii="Palatino Linotype" w:hAnsi="Palatino Linotype"/>
          <w:iCs/>
          <w:sz w:val="22"/>
          <w:lang w:val="es-ES"/>
        </w:rPr>
        <w:t xml:space="preserve">proporcionó </w:t>
      </w:r>
      <w:r>
        <w:rPr>
          <w:rFonts w:ascii="Palatino Linotype" w:hAnsi="Palatino Linotype"/>
          <w:iCs/>
          <w:sz w:val="22"/>
          <w:lang w:val="es-ES"/>
        </w:rPr>
        <w:t xml:space="preserve">la información que obraba en sus archivos y da cuenta de la información peticionada, a saber, el nombre del único servidor público adscrito a la Contraloría Interna Municipal. </w:t>
      </w:r>
      <w:r w:rsidR="009A6A7F">
        <w:rPr>
          <w:rFonts w:ascii="Palatino Linotype" w:eastAsia="Calibri" w:hAnsi="Palatino Linotype" w:cs="Tahoma"/>
          <w:bCs/>
          <w:iCs/>
          <w:sz w:val="22"/>
          <w:szCs w:val="22"/>
          <w:lang w:eastAsia="en-US"/>
        </w:rPr>
        <w:t>Dicha situación toma sustento en</w:t>
      </w:r>
      <w:r w:rsidR="009A6A7F">
        <w:rPr>
          <w:rFonts w:ascii="Palatino Linotype" w:eastAsia="Calibri" w:hAnsi="Palatino Linotype" w:cs="Tahoma"/>
          <w:bCs/>
          <w:sz w:val="22"/>
          <w:szCs w:val="22"/>
          <w:lang w:eastAsia="en-US"/>
        </w:rPr>
        <w:t xml:space="preserve"> el</w:t>
      </w:r>
      <w:r w:rsidR="009A6A7F">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FF3C89D" w14:textId="77777777" w:rsidR="009A6A7F" w:rsidRDefault="009A6A7F" w:rsidP="009A6A7F">
      <w:pPr>
        <w:spacing w:line="360" w:lineRule="auto"/>
        <w:jc w:val="both"/>
        <w:rPr>
          <w:rFonts w:ascii="Palatino Linotype" w:hAnsi="Palatino Linotype" w:cs="Tahoma"/>
          <w:bCs/>
          <w:iCs/>
          <w:sz w:val="22"/>
          <w:szCs w:val="22"/>
          <w:lang w:val="es-ES_tradnl"/>
        </w:rPr>
      </w:pPr>
    </w:p>
    <w:p w14:paraId="36640A73" w14:textId="77777777" w:rsidR="009A6A7F" w:rsidRDefault="009A6A7F" w:rsidP="009A6A7F">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de conformidad con en el artículo 160 de </w:t>
      </w:r>
      <w:r>
        <w:rPr>
          <w:rFonts w:ascii="Palatino Linotype" w:hAnsi="Palatino Linotype" w:cs="Tahoma"/>
          <w:sz w:val="22"/>
          <w:szCs w:val="22"/>
        </w:rPr>
        <w:lastRenderedPageBreak/>
        <w:t xml:space="preserve">la Ley de Transparencia y Acceso a la Información Pública del Estado de México y Municipios, el cual refiere que los sujetos obligados deberán entregar la información que obre en sus archivos. </w:t>
      </w:r>
    </w:p>
    <w:p w14:paraId="684E3E30" w14:textId="77777777" w:rsidR="009A6A7F" w:rsidRPr="00522842" w:rsidRDefault="009A6A7F" w:rsidP="009A6A7F">
      <w:pPr>
        <w:spacing w:line="360" w:lineRule="auto"/>
        <w:jc w:val="both"/>
        <w:rPr>
          <w:rFonts w:ascii="Palatino Linotype" w:hAnsi="Palatino Linotype"/>
          <w:sz w:val="22"/>
        </w:rPr>
      </w:pPr>
    </w:p>
    <w:p w14:paraId="43E35E8E" w14:textId="1EDAA03B" w:rsidR="002747DD" w:rsidRDefault="009A6A7F" w:rsidP="002747DD">
      <w:pPr>
        <w:spacing w:line="360" w:lineRule="auto"/>
        <w:jc w:val="both"/>
        <w:rPr>
          <w:rFonts w:ascii="Palatino Linotype" w:hAnsi="Palatino Linotype" w:cs="Tahoma"/>
          <w:b/>
          <w:bCs/>
          <w:sz w:val="22"/>
          <w:szCs w:val="22"/>
          <w:lang w:val="es-ES"/>
        </w:rPr>
      </w:pPr>
      <w:r w:rsidRPr="00522842">
        <w:rPr>
          <w:rFonts w:ascii="Palatino Linotype" w:hAnsi="Palatino Linotype"/>
          <w:sz w:val="22"/>
        </w:rPr>
        <w:t>De tales circunstancias, se concluye que los sujetos obligados únicamente se encuentran</w:t>
      </w:r>
      <w:r>
        <w:rPr>
          <w:rFonts w:ascii="Palatino Linotype" w:hAnsi="Palatino Linotype"/>
          <w:sz w:val="22"/>
        </w:rPr>
        <w:t xml:space="preserve"> </w:t>
      </w:r>
      <w:r w:rsidRPr="00522842">
        <w:rPr>
          <w:rFonts w:ascii="Palatino Linotype" w:hAnsi="Palatino Linotype"/>
          <w:sz w:val="22"/>
        </w:rPr>
        <w:t>constreñidos a proporcionar los documentos que den cuenta de la información solicitada,</w:t>
      </w:r>
      <w:r>
        <w:rPr>
          <w:rFonts w:ascii="Palatino Linotype" w:hAnsi="Palatino Linotype"/>
          <w:sz w:val="22"/>
        </w:rPr>
        <w:t xml:space="preserve"> </w:t>
      </w:r>
      <w:r>
        <w:rPr>
          <w:rFonts w:ascii="Palatino Linotype" w:hAnsi="Palatino Linotype" w:cs="Tahoma"/>
          <w:sz w:val="22"/>
          <w:szCs w:val="22"/>
          <w:lang w:val="es-ES" w:eastAsia="es-MX"/>
        </w:rPr>
        <w:t xml:space="preserve">como obren en sus archivos, sin tener que elaborarlos a las necesidades del Recurrente; lo cual, aconteció, pues proporcionó </w:t>
      </w:r>
      <w:r w:rsidR="002A1427">
        <w:rPr>
          <w:rFonts w:ascii="Palatino Linotype" w:hAnsi="Palatino Linotype" w:cs="Tahoma"/>
          <w:sz w:val="22"/>
          <w:szCs w:val="22"/>
          <w:lang w:val="es-ES" w:eastAsia="es-MX"/>
        </w:rPr>
        <w:t xml:space="preserve">el nombre del único servidor público adscrito al área requerida, </w:t>
      </w:r>
      <w:r w:rsidR="002747DD">
        <w:rPr>
          <w:rFonts w:ascii="Palatino Linotype" w:hAnsi="Palatino Linotype" w:cs="Tahoma"/>
          <w:sz w:val="22"/>
          <w:szCs w:val="22"/>
          <w:lang w:val="es-ES"/>
        </w:rPr>
        <w:t xml:space="preserve">por lo tanto, </w:t>
      </w:r>
      <w:r w:rsidR="002747DD">
        <w:rPr>
          <w:rFonts w:ascii="Palatino Linotype" w:hAnsi="Palatino Linotype" w:cs="Tahoma"/>
          <w:bCs/>
          <w:sz w:val="22"/>
          <w:szCs w:val="22"/>
          <w:lang w:val="es-ES"/>
        </w:rPr>
        <w:t xml:space="preserve">el agravio hecho valer, deviene de </w:t>
      </w:r>
      <w:r w:rsidR="002747DD">
        <w:rPr>
          <w:rFonts w:ascii="Palatino Linotype" w:hAnsi="Palatino Linotype" w:cs="Tahoma"/>
          <w:b/>
          <w:bCs/>
          <w:sz w:val="22"/>
          <w:szCs w:val="22"/>
          <w:lang w:val="es-ES"/>
        </w:rPr>
        <w:t>INFUNDADO.</w:t>
      </w:r>
    </w:p>
    <w:p w14:paraId="5DC99C7B" w14:textId="44BB2AB7" w:rsidR="00A317C4" w:rsidRPr="000B7ED7" w:rsidRDefault="00A317C4" w:rsidP="00CF2A60">
      <w:pPr>
        <w:spacing w:line="360" w:lineRule="auto"/>
        <w:rPr>
          <w:rFonts w:ascii="Palatino Linotype" w:eastAsia="Calibri" w:hAnsi="Palatino Linotype" w:cs="Tahoma"/>
          <w:bCs/>
          <w:color w:val="000000" w:themeColor="text1"/>
          <w:sz w:val="22"/>
          <w:szCs w:val="22"/>
          <w:lang w:eastAsia="en-US"/>
        </w:rPr>
      </w:pPr>
    </w:p>
    <w:p w14:paraId="0BFA051C" w14:textId="77777777" w:rsidR="00CF2A60" w:rsidRPr="000B7ED7" w:rsidRDefault="00CF2A60" w:rsidP="00CF2A60">
      <w:pPr>
        <w:spacing w:line="360" w:lineRule="auto"/>
        <w:jc w:val="both"/>
        <w:rPr>
          <w:rFonts w:ascii="Palatino Linotype" w:eastAsia="Calibri" w:hAnsi="Palatino Linotype" w:cs="Tahoma"/>
          <w:b/>
          <w:sz w:val="22"/>
          <w:szCs w:val="22"/>
          <w:lang w:eastAsia="en-US"/>
        </w:rPr>
      </w:pPr>
      <w:r w:rsidRPr="000B7ED7">
        <w:rPr>
          <w:rFonts w:ascii="Palatino Linotype" w:eastAsia="Calibri" w:hAnsi="Palatino Linotype" w:cs="Tahoma"/>
          <w:b/>
          <w:sz w:val="22"/>
          <w:szCs w:val="22"/>
          <w:lang w:eastAsia="en-US"/>
        </w:rPr>
        <w:t xml:space="preserve">SEXTO. Decisión. </w:t>
      </w:r>
    </w:p>
    <w:p w14:paraId="11A2C581" w14:textId="77777777" w:rsidR="00CF2A60" w:rsidRPr="000B7ED7" w:rsidRDefault="00CF2A60" w:rsidP="00CF2A60">
      <w:pPr>
        <w:spacing w:line="360" w:lineRule="auto"/>
        <w:jc w:val="both"/>
        <w:rPr>
          <w:rFonts w:ascii="Palatino Linotype" w:eastAsia="Calibri" w:hAnsi="Palatino Linotype" w:cs="Tahoma"/>
          <w:b/>
          <w:sz w:val="22"/>
          <w:szCs w:val="22"/>
          <w:lang w:eastAsia="en-US"/>
        </w:rPr>
      </w:pPr>
    </w:p>
    <w:p w14:paraId="2C7FAE57" w14:textId="6C963D92" w:rsidR="00CF2A60" w:rsidRPr="000B7ED7" w:rsidRDefault="00CF2A60" w:rsidP="00CF2A60">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14:paraId="39500409" w14:textId="77777777" w:rsidR="00CF2A60" w:rsidRPr="000B7ED7" w:rsidRDefault="00CF2A60" w:rsidP="00CF2A60">
      <w:pPr>
        <w:tabs>
          <w:tab w:val="left" w:pos="4962"/>
        </w:tabs>
        <w:spacing w:line="360" w:lineRule="auto"/>
        <w:jc w:val="both"/>
        <w:rPr>
          <w:rFonts w:ascii="Palatino Linotype" w:hAnsi="Palatino Linotype" w:cs="Tahoma"/>
          <w:szCs w:val="22"/>
        </w:rPr>
      </w:pPr>
    </w:p>
    <w:p w14:paraId="4DB79906" w14:textId="77777777" w:rsidR="00CF2A60" w:rsidRPr="000B7ED7" w:rsidRDefault="00CF2A60" w:rsidP="00CF2A60">
      <w:pPr>
        <w:spacing w:line="360" w:lineRule="auto"/>
        <w:jc w:val="both"/>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Términos de la Resolución para conocimiento del Particular.</w:t>
      </w:r>
    </w:p>
    <w:p w14:paraId="17764729" w14:textId="77777777" w:rsidR="00CF2A60" w:rsidRPr="000B7ED7" w:rsidRDefault="00CF2A60" w:rsidP="00CF2A60">
      <w:pPr>
        <w:spacing w:line="360" w:lineRule="auto"/>
        <w:jc w:val="both"/>
        <w:rPr>
          <w:rFonts w:ascii="Palatino Linotype" w:eastAsia="Calibri" w:hAnsi="Palatino Linotype" w:cs="Tahoma"/>
          <w:b/>
          <w:bCs/>
          <w:sz w:val="22"/>
          <w:szCs w:val="22"/>
          <w:lang w:eastAsia="en-US"/>
        </w:rPr>
      </w:pPr>
    </w:p>
    <w:p w14:paraId="3E7E3656" w14:textId="6BE63985" w:rsidR="001B6873" w:rsidRDefault="00CF2A60" w:rsidP="006B5DC1">
      <w:pPr>
        <w:widowControl w:val="0"/>
        <w:spacing w:line="360" w:lineRule="auto"/>
        <w:jc w:val="both"/>
        <w:rPr>
          <w:rFonts w:ascii="Palatino Linotype" w:eastAsia="Calibri" w:hAnsi="Palatino Linotype" w:cs="Tahoma"/>
          <w:bCs/>
          <w:iCs/>
          <w:color w:val="000000" w:themeColor="text1"/>
          <w:sz w:val="22"/>
          <w:szCs w:val="22"/>
          <w:lang w:val="es-ES" w:eastAsia="en-US"/>
        </w:rPr>
      </w:pPr>
      <w:r w:rsidRPr="000B7ED7">
        <w:rPr>
          <w:rFonts w:ascii="Palatino Linotype" w:eastAsia="Calibri" w:hAnsi="Palatino Linotype" w:cs="Tahoma"/>
          <w:bCs/>
          <w:color w:val="000000"/>
          <w:sz w:val="22"/>
          <w:szCs w:val="22"/>
          <w:lang w:eastAsia="en-US"/>
        </w:rPr>
        <w:t xml:space="preserve">Se le hace del conocimiento al Particular, que, en el presente caso, no se le da la razón pues el Sujeto Obligado </w:t>
      </w:r>
      <w:r w:rsidR="007B1E8E">
        <w:rPr>
          <w:rFonts w:ascii="Palatino Linotype" w:eastAsia="Calibri" w:hAnsi="Palatino Linotype" w:cs="Tahoma"/>
          <w:bCs/>
          <w:iCs/>
          <w:color w:val="000000" w:themeColor="text1"/>
          <w:sz w:val="22"/>
          <w:szCs w:val="22"/>
          <w:lang w:val="es-ES" w:eastAsia="en-US"/>
        </w:rPr>
        <w:t xml:space="preserve">proporcionó </w:t>
      </w:r>
      <w:r w:rsidR="002A1427">
        <w:rPr>
          <w:rFonts w:ascii="Palatino Linotype" w:eastAsia="Calibri" w:hAnsi="Palatino Linotype" w:cs="Tahoma"/>
          <w:bCs/>
          <w:iCs/>
          <w:color w:val="000000" w:themeColor="text1"/>
          <w:sz w:val="22"/>
          <w:szCs w:val="22"/>
          <w:lang w:val="es-ES" w:eastAsia="en-US"/>
        </w:rPr>
        <w:t xml:space="preserve">el nombre </w:t>
      </w:r>
      <w:r w:rsidR="001B6873">
        <w:rPr>
          <w:rFonts w:ascii="Palatino Linotype" w:eastAsia="Calibri" w:hAnsi="Palatino Linotype" w:cs="Tahoma"/>
          <w:bCs/>
          <w:iCs/>
          <w:color w:val="000000" w:themeColor="text1"/>
          <w:sz w:val="22"/>
          <w:szCs w:val="22"/>
          <w:lang w:val="es-ES" w:eastAsia="en-US"/>
        </w:rPr>
        <w:t>del único</w:t>
      </w:r>
      <w:r w:rsidR="002A1427">
        <w:rPr>
          <w:rFonts w:ascii="Palatino Linotype" w:eastAsia="Calibri" w:hAnsi="Palatino Linotype" w:cs="Tahoma"/>
          <w:bCs/>
          <w:iCs/>
          <w:color w:val="000000" w:themeColor="text1"/>
          <w:sz w:val="22"/>
          <w:szCs w:val="22"/>
          <w:lang w:val="es-ES" w:eastAsia="en-US"/>
        </w:rPr>
        <w:t xml:space="preserve"> servidor público que a la fecha de la solicitud conformaba al área requerida</w:t>
      </w:r>
      <w:r w:rsidR="006F1A32" w:rsidRPr="000B7ED7">
        <w:rPr>
          <w:rFonts w:ascii="Palatino Linotype" w:eastAsia="Calibri" w:hAnsi="Palatino Linotype" w:cs="Tahoma"/>
          <w:bCs/>
          <w:iCs/>
          <w:color w:val="000000" w:themeColor="text1"/>
          <w:sz w:val="22"/>
          <w:szCs w:val="22"/>
          <w:lang w:val="es-ES" w:eastAsia="en-US"/>
        </w:rPr>
        <w:t>.</w:t>
      </w:r>
      <w:r w:rsidR="006B5DC1">
        <w:rPr>
          <w:rFonts w:ascii="Palatino Linotype" w:eastAsia="Calibri" w:hAnsi="Palatino Linotype" w:cs="Tahoma"/>
          <w:bCs/>
          <w:iCs/>
          <w:color w:val="000000" w:themeColor="text1"/>
          <w:sz w:val="22"/>
          <w:szCs w:val="22"/>
          <w:lang w:val="es-ES" w:eastAsia="en-US"/>
        </w:rPr>
        <w:t xml:space="preserve"> </w:t>
      </w:r>
    </w:p>
    <w:p w14:paraId="4C3A9FA6" w14:textId="77777777" w:rsidR="001B6873" w:rsidRDefault="001B6873" w:rsidP="006B5DC1">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02F2813B" w14:textId="77777777" w:rsidR="001B6873" w:rsidRDefault="001B6873" w:rsidP="001B6873">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48D22A63" w14:textId="2C59A541" w:rsidR="00836192" w:rsidRDefault="00836192" w:rsidP="00836192">
      <w:pPr>
        <w:spacing w:line="360" w:lineRule="auto"/>
        <w:jc w:val="both"/>
        <w:rPr>
          <w:rFonts w:ascii="Palatino Linotype" w:eastAsia="Calibri" w:hAnsi="Palatino Linotype" w:cs="Tahoma"/>
          <w:sz w:val="22"/>
          <w:szCs w:val="22"/>
        </w:rPr>
      </w:pPr>
    </w:p>
    <w:p w14:paraId="062568B0" w14:textId="642DD2A5" w:rsidR="001B6873" w:rsidRDefault="001B6873" w:rsidP="00836192">
      <w:pPr>
        <w:spacing w:line="360" w:lineRule="auto"/>
        <w:jc w:val="both"/>
        <w:rPr>
          <w:rFonts w:ascii="Palatino Linotype" w:eastAsia="Calibri" w:hAnsi="Palatino Linotype" w:cs="Tahoma"/>
          <w:sz w:val="22"/>
          <w:szCs w:val="22"/>
        </w:rPr>
      </w:pPr>
    </w:p>
    <w:p w14:paraId="4CF6F24F" w14:textId="77777777" w:rsidR="001B6873" w:rsidRPr="000B7ED7" w:rsidRDefault="001B6873" w:rsidP="00836192">
      <w:pPr>
        <w:spacing w:line="360" w:lineRule="auto"/>
        <w:jc w:val="both"/>
        <w:rPr>
          <w:rFonts w:ascii="Palatino Linotype" w:eastAsia="Calibri" w:hAnsi="Palatino Linotype" w:cs="Tahoma"/>
          <w:sz w:val="22"/>
          <w:szCs w:val="22"/>
        </w:rPr>
      </w:pPr>
    </w:p>
    <w:p w14:paraId="41B0E345" w14:textId="77777777" w:rsidR="00836192" w:rsidRPr="000B7ED7" w:rsidRDefault="00836192" w:rsidP="00836192">
      <w:pPr>
        <w:spacing w:line="360" w:lineRule="auto"/>
        <w:jc w:val="both"/>
        <w:rPr>
          <w:rFonts w:ascii="Palatino Linotype" w:eastAsia="Calibri" w:hAnsi="Palatino Linotype" w:cs="Tahoma"/>
          <w:bCs/>
          <w:sz w:val="22"/>
          <w:szCs w:val="22"/>
          <w:lang w:eastAsia="en-US"/>
        </w:rPr>
      </w:pPr>
      <w:r w:rsidRPr="000B7ED7">
        <w:rPr>
          <w:rFonts w:ascii="Palatino Linotype" w:eastAsia="Calibri" w:hAnsi="Palatino Linotype" w:cs="Tahoma"/>
          <w:bCs/>
          <w:sz w:val="22"/>
          <w:szCs w:val="22"/>
          <w:lang w:eastAsia="en-US"/>
        </w:rPr>
        <w:t>Por lo expuesto y fundado, este Pleno:</w:t>
      </w:r>
    </w:p>
    <w:p w14:paraId="3A0B9699" w14:textId="7A39876B" w:rsidR="00836192" w:rsidRDefault="00836192" w:rsidP="00836192">
      <w:pPr>
        <w:spacing w:line="360" w:lineRule="auto"/>
        <w:ind w:right="-91"/>
        <w:jc w:val="center"/>
        <w:rPr>
          <w:rFonts w:ascii="Palatino Linotype" w:eastAsia="Calibri" w:hAnsi="Palatino Linotype" w:cs="Tahoma"/>
          <w:b/>
          <w:bCs/>
          <w:sz w:val="22"/>
          <w:szCs w:val="22"/>
          <w:lang w:eastAsia="en-US"/>
        </w:rPr>
      </w:pPr>
    </w:p>
    <w:p w14:paraId="0C0D077D" w14:textId="77777777" w:rsidR="001B6873" w:rsidRPr="000B7ED7" w:rsidRDefault="001B6873" w:rsidP="00836192">
      <w:pPr>
        <w:spacing w:line="360" w:lineRule="auto"/>
        <w:ind w:right="-91"/>
        <w:jc w:val="center"/>
        <w:rPr>
          <w:rFonts w:ascii="Palatino Linotype" w:eastAsia="Calibri" w:hAnsi="Palatino Linotype" w:cs="Tahoma"/>
          <w:b/>
          <w:bCs/>
          <w:sz w:val="22"/>
          <w:szCs w:val="22"/>
          <w:lang w:eastAsia="en-US"/>
        </w:rPr>
      </w:pPr>
    </w:p>
    <w:p w14:paraId="28C17053" w14:textId="6E630B3C" w:rsidR="00AE5D0C" w:rsidRPr="000B7ED7" w:rsidRDefault="00836192" w:rsidP="00AE5D0C">
      <w:pPr>
        <w:spacing w:line="360" w:lineRule="auto"/>
        <w:ind w:right="-91"/>
        <w:jc w:val="center"/>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R E S U E L V E:</w:t>
      </w:r>
    </w:p>
    <w:p w14:paraId="68B2FCFF" w14:textId="77777777" w:rsidR="00AE5D0C" w:rsidRPr="000B7ED7" w:rsidRDefault="00AE5D0C" w:rsidP="00AE5D0C">
      <w:pPr>
        <w:spacing w:line="360" w:lineRule="auto"/>
        <w:ind w:right="-91"/>
        <w:jc w:val="center"/>
        <w:rPr>
          <w:rFonts w:ascii="Palatino Linotype" w:eastAsia="Calibri" w:hAnsi="Palatino Linotype" w:cs="Tahoma"/>
          <w:b/>
          <w:bCs/>
          <w:sz w:val="22"/>
          <w:szCs w:val="22"/>
          <w:lang w:eastAsia="en-US"/>
        </w:rPr>
      </w:pPr>
    </w:p>
    <w:p w14:paraId="1FFEF460" w14:textId="38CD59FD" w:rsidR="00AE5D0C" w:rsidRPr="000B7ED7" w:rsidRDefault="00AE5D0C" w:rsidP="00AE5D0C">
      <w:pPr>
        <w:spacing w:line="360" w:lineRule="auto"/>
        <w:contextualSpacing/>
        <w:jc w:val="both"/>
        <w:rPr>
          <w:rFonts w:ascii="Palatino Linotype" w:eastAsia="Calibri" w:hAnsi="Palatino Linotype" w:cs="Tahoma"/>
          <w:iCs/>
          <w:sz w:val="22"/>
          <w:szCs w:val="22"/>
          <w:lang w:eastAsia="en-US"/>
        </w:rPr>
      </w:pPr>
      <w:r w:rsidRPr="000B7ED7">
        <w:rPr>
          <w:rFonts w:ascii="Palatino Linotype" w:eastAsia="Calibri" w:hAnsi="Palatino Linotype" w:cs="Tahoma"/>
          <w:b/>
          <w:bCs/>
          <w:iCs/>
          <w:sz w:val="22"/>
          <w:szCs w:val="22"/>
          <w:lang w:eastAsia="en-US"/>
        </w:rPr>
        <w:t xml:space="preserve">PRIMERO. </w:t>
      </w:r>
      <w:r w:rsidRPr="000B7ED7">
        <w:rPr>
          <w:rFonts w:ascii="Palatino Linotype" w:eastAsia="Calibri" w:hAnsi="Palatino Linotype" w:cs="Tahoma"/>
          <w:bCs/>
          <w:iCs/>
          <w:sz w:val="22"/>
          <w:szCs w:val="22"/>
          <w:lang w:eastAsia="en-US"/>
        </w:rPr>
        <w:t xml:space="preserve">Se </w:t>
      </w:r>
      <w:r w:rsidRPr="000B7ED7">
        <w:rPr>
          <w:rFonts w:ascii="Palatino Linotype" w:eastAsia="Calibri" w:hAnsi="Palatino Linotype" w:cs="Tahoma"/>
          <w:b/>
          <w:bCs/>
          <w:iCs/>
          <w:sz w:val="22"/>
          <w:szCs w:val="22"/>
          <w:lang w:eastAsia="en-US"/>
        </w:rPr>
        <w:t>CONFIR</w:t>
      </w:r>
      <w:r w:rsidR="00B64B2F" w:rsidRPr="000B7ED7">
        <w:rPr>
          <w:rFonts w:ascii="Palatino Linotype" w:eastAsia="Calibri" w:hAnsi="Palatino Linotype" w:cs="Tahoma"/>
          <w:b/>
          <w:bCs/>
          <w:iCs/>
          <w:sz w:val="22"/>
          <w:szCs w:val="22"/>
          <w:lang w:eastAsia="en-US"/>
        </w:rPr>
        <w:t xml:space="preserve">MA </w:t>
      </w:r>
      <w:r w:rsidR="00B64B2F" w:rsidRPr="000B7ED7">
        <w:rPr>
          <w:rFonts w:ascii="Palatino Linotype" w:eastAsia="Calibri" w:hAnsi="Palatino Linotype" w:cs="Tahoma"/>
          <w:iCs/>
          <w:sz w:val="22"/>
          <w:szCs w:val="22"/>
          <w:lang w:eastAsia="en-US"/>
        </w:rPr>
        <w:t xml:space="preserve">la respuesta </w:t>
      </w:r>
      <w:r w:rsidR="000C6A5E" w:rsidRPr="000B7ED7">
        <w:rPr>
          <w:rFonts w:ascii="Palatino Linotype" w:eastAsia="Calibri" w:hAnsi="Palatino Linotype" w:cs="Tahoma"/>
          <w:iCs/>
          <w:sz w:val="22"/>
          <w:szCs w:val="22"/>
          <w:lang w:eastAsia="en-US"/>
        </w:rPr>
        <w:t xml:space="preserve">entregada por el Sujeto Obligado a la solicitud de acceso a la información </w:t>
      </w:r>
      <w:r w:rsidR="007B1E8E" w:rsidRPr="007B1E8E">
        <w:rPr>
          <w:rFonts w:ascii="Palatino Linotype" w:hAnsi="Palatino Linotype" w:cs="Tahoma"/>
          <w:bCs/>
          <w:color w:val="0D0D0D" w:themeColor="text1" w:themeTint="F2"/>
          <w:sz w:val="22"/>
          <w:szCs w:val="22"/>
        </w:rPr>
        <w:t>00007/MARTIPIR/IP/2022</w:t>
      </w:r>
      <w:r w:rsidR="0024466A" w:rsidRPr="000B7ED7">
        <w:rPr>
          <w:rFonts w:ascii="Palatino Linotype" w:hAnsi="Palatino Linotype" w:cs="Tahoma"/>
          <w:bCs/>
          <w:color w:val="0D0D0D" w:themeColor="text1" w:themeTint="F2"/>
          <w:sz w:val="22"/>
          <w:szCs w:val="22"/>
        </w:rPr>
        <w:t xml:space="preserve">, </w:t>
      </w:r>
      <w:r w:rsidRPr="000B7ED7">
        <w:rPr>
          <w:rFonts w:ascii="Palatino Linotype" w:eastAsia="Calibri" w:hAnsi="Palatino Linotype" w:cs="Tahoma"/>
          <w:bCs/>
          <w:iCs/>
          <w:sz w:val="22"/>
          <w:szCs w:val="22"/>
          <w:lang w:eastAsia="en-US"/>
        </w:rPr>
        <w:t xml:space="preserve">por resultar </w:t>
      </w:r>
      <w:r w:rsidR="006B5DC1" w:rsidRPr="006B5DC1">
        <w:rPr>
          <w:rFonts w:ascii="Palatino Linotype" w:eastAsia="Calibri" w:hAnsi="Palatino Linotype" w:cs="Tahoma"/>
          <w:b/>
          <w:bCs/>
          <w:iCs/>
          <w:sz w:val="22"/>
          <w:szCs w:val="22"/>
          <w:lang w:eastAsia="en-US"/>
        </w:rPr>
        <w:t>INFUNDADAS</w:t>
      </w:r>
      <w:r w:rsidRPr="000B7ED7">
        <w:rPr>
          <w:rFonts w:ascii="Palatino Linotype" w:eastAsia="Calibri" w:hAnsi="Palatino Linotype" w:cs="Tahoma"/>
          <w:bCs/>
          <w:iCs/>
          <w:sz w:val="22"/>
          <w:szCs w:val="22"/>
          <w:lang w:eastAsia="en-US"/>
        </w:rPr>
        <w:t xml:space="preserve"> las razones o motivos de inconformidad hechos valer por el Recurrente, en términos de los Considerandos </w:t>
      </w:r>
      <w:r w:rsidRPr="000B7ED7">
        <w:rPr>
          <w:rFonts w:ascii="Palatino Linotype" w:eastAsia="Calibri" w:hAnsi="Palatino Linotype" w:cs="Tahoma"/>
          <w:b/>
          <w:bCs/>
          <w:iCs/>
          <w:sz w:val="22"/>
          <w:szCs w:val="22"/>
          <w:lang w:eastAsia="en-US"/>
        </w:rPr>
        <w:t xml:space="preserve">QUINTO y SEXTO </w:t>
      </w:r>
      <w:r w:rsidRPr="000B7ED7">
        <w:rPr>
          <w:rFonts w:ascii="Palatino Linotype" w:eastAsia="Calibri" w:hAnsi="Palatino Linotype" w:cs="Tahoma"/>
          <w:bCs/>
          <w:iCs/>
          <w:sz w:val="22"/>
          <w:szCs w:val="22"/>
          <w:lang w:eastAsia="en-US"/>
        </w:rPr>
        <w:t>de esta Resolución.</w:t>
      </w:r>
    </w:p>
    <w:p w14:paraId="12F1C0A6" w14:textId="77777777" w:rsidR="00AE5D0C" w:rsidRPr="000B7ED7" w:rsidRDefault="00AE5D0C" w:rsidP="00AE5D0C">
      <w:pPr>
        <w:spacing w:line="360" w:lineRule="auto"/>
        <w:contextualSpacing/>
        <w:jc w:val="both"/>
        <w:rPr>
          <w:rFonts w:ascii="Palatino Linotype" w:eastAsia="Calibri" w:hAnsi="Palatino Linotype" w:cs="Tahoma"/>
          <w:bCs/>
          <w:iCs/>
          <w:sz w:val="22"/>
          <w:szCs w:val="22"/>
          <w:lang w:eastAsia="en-US"/>
        </w:rPr>
      </w:pPr>
    </w:p>
    <w:p w14:paraId="5F785581" w14:textId="77777777" w:rsidR="00AE5D0C" w:rsidRPr="000B7ED7" w:rsidRDefault="00AE5D0C" w:rsidP="00AE5D0C">
      <w:pPr>
        <w:spacing w:line="360" w:lineRule="auto"/>
        <w:contextualSpacing/>
        <w:jc w:val="both"/>
        <w:rPr>
          <w:rFonts w:ascii="Palatino Linotype" w:eastAsia="Calibri" w:hAnsi="Palatino Linotype" w:cs="Tahoma"/>
          <w:bCs/>
          <w:i/>
          <w:iCs/>
          <w:sz w:val="22"/>
          <w:szCs w:val="22"/>
          <w:lang w:eastAsia="en-US"/>
        </w:rPr>
      </w:pPr>
      <w:r w:rsidRPr="000B7ED7">
        <w:rPr>
          <w:rFonts w:ascii="Palatino Linotype" w:eastAsia="Calibri" w:hAnsi="Palatino Linotype" w:cs="Tahoma"/>
          <w:b/>
          <w:bCs/>
          <w:iCs/>
          <w:sz w:val="22"/>
          <w:szCs w:val="22"/>
          <w:lang w:eastAsia="en-US"/>
        </w:rPr>
        <w:t xml:space="preserve">SEGUNDO. NOTIFÍQUESE </w:t>
      </w:r>
      <w:r w:rsidRPr="000B7ED7">
        <w:rPr>
          <w:rFonts w:ascii="Palatino Linotype" w:eastAsia="Calibri" w:hAnsi="Palatino Linotype" w:cs="Tahoma"/>
          <w:bCs/>
          <w:iCs/>
          <w:sz w:val="22"/>
          <w:szCs w:val="22"/>
          <w:lang w:eastAsia="en-US"/>
        </w:rPr>
        <w:t>la presente resolución al Titular de la Unidad de Transparencia del Sujeto Obligado.</w:t>
      </w:r>
    </w:p>
    <w:p w14:paraId="26750E5B" w14:textId="77777777" w:rsidR="00AE5D0C" w:rsidRPr="000B7ED7" w:rsidRDefault="00AE5D0C" w:rsidP="00AE5D0C">
      <w:pPr>
        <w:spacing w:line="360" w:lineRule="auto"/>
        <w:contextualSpacing/>
        <w:jc w:val="both"/>
        <w:rPr>
          <w:rFonts w:ascii="Palatino Linotype" w:eastAsia="Calibri" w:hAnsi="Palatino Linotype" w:cs="Tahoma"/>
          <w:bCs/>
          <w:iCs/>
          <w:sz w:val="22"/>
          <w:szCs w:val="22"/>
          <w:lang w:eastAsia="en-US"/>
        </w:rPr>
      </w:pPr>
    </w:p>
    <w:p w14:paraId="73B48063" w14:textId="77777777" w:rsidR="00AE5D0C" w:rsidRPr="000B7ED7" w:rsidRDefault="00AE5D0C" w:rsidP="00AE5D0C">
      <w:pPr>
        <w:spacing w:line="360" w:lineRule="auto"/>
        <w:contextualSpacing/>
        <w:jc w:val="both"/>
        <w:rPr>
          <w:rFonts w:ascii="Palatino Linotype" w:eastAsia="Calibri" w:hAnsi="Palatino Linotype" w:cs="Tahoma"/>
          <w:bCs/>
          <w:iCs/>
          <w:sz w:val="22"/>
          <w:szCs w:val="22"/>
          <w:lang w:eastAsia="en-US"/>
        </w:rPr>
      </w:pPr>
      <w:r w:rsidRPr="000B7ED7">
        <w:rPr>
          <w:rFonts w:ascii="Palatino Linotype" w:eastAsia="Calibri" w:hAnsi="Palatino Linotype" w:cs="Tahoma"/>
          <w:b/>
          <w:bCs/>
          <w:iCs/>
          <w:sz w:val="22"/>
          <w:szCs w:val="22"/>
          <w:lang w:eastAsia="en-US"/>
        </w:rPr>
        <w:t>TERCERO. NOTIFÍQUESE</w:t>
      </w:r>
      <w:r w:rsidRPr="000B7ED7">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44A856" w14:textId="77777777" w:rsidR="00836192" w:rsidRPr="000B7ED7" w:rsidRDefault="00836192" w:rsidP="00836192">
      <w:pPr>
        <w:spacing w:line="360" w:lineRule="auto"/>
        <w:jc w:val="both"/>
        <w:rPr>
          <w:rFonts w:ascii="Palatino Linotype" w:hAnsi="Palatino Linotype" w:cs="Arial"/>
          <w:b/>
          <w:bCs/>
          <w:color w:val="000000" w:themeColor="text1"/>
          <w:sz w:val="22"/>
          <w:szCs w:val="22"/>
        </w:rPr>
      </w:pPr>
    </w:p>
    <w:p w14:paraId="0E4C7770" w14:textId="216252D9" w:rsidR="00E749CF" w:rsidRDefault="006B5DC1" w:rsidP="006B5DC1">
      <w:pPr>
        <w:spacing w:line="360" w:lineRule="auto"/>
        <w:ind w:right="-93"/>
        <w:jc w:val="both"/>
      </w:pPr>
      <w:r w:rsidRPr="006B5DC1">
        <w:rPr>
          <w:rFonts w:ascii="Palatino Linotype" w:eastAsia="Calibri" w:hAnsi="Palatino Linotype" w:cs="Tahoma"/>
          <w:bCs/>
          <w:sz w:val="22"/>
          <w:szCs w:val="22"/>
          <w:lang w:eastAsia="en-US"/>
        </w:rPr>
        <w:t>ASÍ LO RESUELVE, POR </w:t>
      </w:r>
      <w:r w:rsidRPr="006B5DC1">
        <w:rPr>
          <w:rFonts w:ascii="Palatino Linotype" w:eastAsia="Calibri" w:hAnsi="Palatino Linotype" w:cs="Tahoma"/>
          <w:b/>
          <w:bCs/>
          <w:sz w:val="22"/>
          <w:szCs w:val="22"/>
          <w:lang w:eastAsia="en-US"/>
        </w:rPr>
        <w:t>UNANIMIDAD</w:t>
      </w:r>
      <w:r w:rsidRPr="006B5DC1">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B1E8E">
        <w:rPr>
          <w:rFonts w:ascii="Palatino Linotype" w:eastAsia="Calibri" w:hAnsi="Palatino Linotype" w:cs="Tahoma"/>
          <w:bCs/>
          <w:sz w:val="22"/>
          <w:szCs w:val="22"/>
          <w:lang w:eastAsia="en-US"/>
        </w:rPr>
        <w:t>NOVENA</w:t>
      </w:r>
      <w:r w:rsidRPr="006B5DC1">
        <w:rPr>
          <w:rFonts w:ascii="Palatino Linotype" w:eastAsia="Calibri" w:hAnsi="Palatino Linotype" w:cs="Tahoma"/>
          <w:bCs/>
          <w:sz w:val="22"/>
          <w:szCs w:val="22"/>
          <w:lang w:eastAsia="en-US"/>
        </w:rPr>
        <w:t xml:space="preserve"> SESIÓN ORDINARIA, CELEBRADA EL </w:t>
      </w:r>
      <w:r w:rsidR="007B1E8E">
        <w:rPr>
          <w:rFonts w:ascii="Palatino Linotype" w:eastAsia="Calibri" w:hAnsi="Palatino Linotype" w:cs="Tahoma"/>
          <w:bCs/>
          <w:sz w:val="22"/>
          <w:szCs w:val="22"/>
          <w:lang w:eastAsia="en-US"/>
        </w:rPr>
        <w:t>NUEVE</w:t>
      </w:r>
      <w:r w:rsidRPr="006B5DC1">
        <w:rPr>
          <w:rFonts w:ascii="Palatino Linotype" w:eastAsia="Calibri" w:hAnsi="Palatino Linotype" w:cs="Tahoma"/>
          <w:bCs/>
          <w:sz w:val="22"/>
          <w:szCs w:val="22"/>
          <w:lang w:eastAsia="en-US"/>
        </w:rPr>
        <w:t xml:space="preserve"> DE </w:t>
      </w:r>
      <w:r w:rsidR="007B1E8E">
        <w:rPr>
          <w:rFonts w:ascii="Palatino Linotype" w:eastAsia="Calibri" w:hAnsi="Palatino Linotype" w:cs="Tahoma"/>
          <w:bCs/>
          <w:sz w:val="22"/>
          <w:szCs w:val="22"/>
          <w:lang w:eastAsia="en-US"/>
        </w:rPr>
        <w:t>MARZO</w:t>
      </w:r>
      <w:r w:rsidRPr="006B5DC1">
        <w:rPr>
          <w:rFonts w:ascii="Palatino Linotype" w:eastAsia="Calibri" w:hAnsi="Palatino Linotype" w:cs="Tahoma"/>
          <w:bCs/>
          <w:sz w:val="22"/>
          <w:szCs w:val="22"/>
          <w:lang w:eastAsia="en-US"/>
        </w:rPr>
        <w:t xml:space="preserve"> DE DOS MIL VEINTI</w:t>
      </w:r>
      <w:r w:rsidR="007B1E8E">
        <w:rPr>
          <w:rFonts w:ascii="Palatino Linotype" w:eastAsia="Calibri" w:hAnsi="Palatino Linotype" w:cs="Tahoma"/>
          <w:bCs/>
          <w:sz w:val="22"/>
          <w:szCs w:val="22"/>
          <w:lang w:eastAsia="en-US"/>
        </w:rPr>
        <w:t>DÓS</w:t>
      </w:r>
      <w:r w:rsidRPr="006B5DC1">
        <w:rPr>
          <w:rFonts w:ascii="Palatino Linotype" w:eastAsia="Calibri" w:hAnsi="Palatino Linotype" w:cs="Tahoma"/>
          <w:bCs/>
          <w:sz w:val="22"/>
          <w:szCs w:val="22"/>
          <w:lang w:eastAsia="en-US"/>
        </w:rPr>
        <w:t>, ANTE EL SECRETARIO TÉCNICO DEL PLENO, ALEXIS TAPIA RAMÍREZ.</w:t>
      </w:r>
      <w:r w:rsidR="00836192">
        <w:rPr>
          <w:rFonts w:ascii="Palatino Linotype" w:eastAsia="Calibri" w:hAnsi="Palatino Linotype" w:cs="Tahoma"/>
          <w:b/>
          <w:bCs/>
          <w:sz w:val="22"/>
          <w:szCs w:val="22"/>
          <w:lang w:eastAsia="en-US"/>
        </w:rPr>
        <w:br w:type="page"/>
      </w:r>
    </w:p>
    <w:sectPr w:rsidR="00E749CF" w:rsidSect="00C519FA">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09C7" w14:textId="77777777" w:rsidR="00102EB5" w:rsidRDefault="00102EB5" w:rsidP="0095634C">
      <w:r>
        <w:separator/>
      </w:r>
    </w:p>
  </w:endnote>
  <w:endnote w:type="continuationSeparator" w:id="0">
    <w:p w14:paraId="0D668998" w14:textId="77777777" w:rsidR="00102EB5" w:rsidRDefault="00102EB5"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5F8E97D8"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AA25BA" w:rsidRDefault="00102E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613C1FE"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2F0605D7" w14:textId="77777777" w:rsidR="00AA25BA" w:rsidRDefault="00102E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6DDF1F7" w14:textId="77777777" w:rsidR="00AA25BA" w:rsidRPr="00AA25BA" w:rsidRDefault="00D37132">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3B988A6A" w14:textId="77777777" w:rsidR="00AA25BA" w:rsidRDefault="00102E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7CD2A" w14:textId="77777777" w:rsidR="00102EB5" w:rsidRDefault="00102EB5" w:rsidP="0095634C">
      <w:r>
        <w:separator/>
      </w:r>
    </w:p>
  </w:footnote>
  <w:footnote w:type="continuationSeparator" w:id="0">
    <w:p w14:paraId="04269430" w14:textId="77777777" w:rsidR="00102EB5" w:rsidRDefault="00102EB5"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79D54291" w14:textId="77777777" w:rsidTr="00C519FA">
      <w:trPr>
        <w:trHeight w:val="1435"/>
      </w:trPr>
      <w:tc>
        <w:tcPr>
          <w:tcW w:w="2972" w:type="dxa"/>
        </w:tcPr>
        <w:p w14:paraId="09131A3E" w14:textId="77777777" w:rsidR="00C519FA" w:rsidRDefault="00102EB5" w:rsidP="00C519FA">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605AA" w14:paraId="3B03FB1C" w14:textId="77777777" w:rsidTr="005D2B6E">
            <w:trPr>
              <w:trHeight w:val="144"/>
            </w:trPr>
            <w:tc>
              <w:tcPr>
                <w:tcW w:w="2447" w:type="dxa"/>
                <w:hideMark/>
              </w:tcPr>
              <w:p w14:paraId="3CE26B04" w14:textId="77777777" w:rsidR="004605AA" w:rsidRPr="008A245E" w:rsidRDefault="00D37132" w:rsidP="004605A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4605AA" w:rsidRPr="008A245E" w:rsidRDefault="00D37132" w:rsidP="004605AA">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4605AA" w14:paraId="15071BA1" w14:textId="77777777" w:rsidTr="005D2B6E">
            <w:trPr>
              <w:trHeight w:val="283"/>
            </w:trPr>
            <w:tc>
              <w:tcPr>
                <w:tcW w:w="2447" w:type="dxa"/>
                <w:hideMark/>
              </w:tcPr>
              <w:p w14:paraId="22C5262F"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4605AA" w:rsidRPr="008A245E" w:rsidRDefault="00D37132" w:rsidP="004605AA">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4605AA" w14:paraId="4E4D191A" w14:textId="77777777" w:rsidTr="005D2B6E">
            <w:trPr>
              <w:trHeight w:val="283"/>
            </w:trPr>
            <w:tc>
              <w:tcPr>
                <w:tcW w:w="2447" w:type="dxa"/>
                <w:hideMark/>
              </w:tcPr>
              <w:p w14:paraId="4CBBA24A"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4605AA" w:rsidRPr="008A245E" w:rsidRDefault="00D37132" w:rsidP="004605AA">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4605AA" w:rsidRPr="008A245E" w:rsidRDefault="00102EB5" w:rsidP="004605AA">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C519FA" w:rsidRDefault="00102EB5" w:rsidP="00C519FA">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C519FA" w:rsidRDefault="00836192">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6E062579" w14:textId="77777777" w:rsidTr="00C519FA">
      <w:trPr>
        <w:trHeight w:val="1435"/>
      </w:trPr>
      <w:tc>
        <w:tcPr>
          <w:tcW w:w="2972" w:type="dxa"/>
        </w:tcPr>
        <w:p w14:paraId="0B7A3F48" w14:textId="72A6E07E" w:rsidR="00C519FA" w:rsidRDefault="007D2BD0" w:rsidP="00C519FA">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714E6350">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14:paraId="4A35EA01" w14:textId="77777777" w:rsidR="007D2BD0" w:rsidRPr="007D2BD0" w:rsidRDefault="007D2BD0">
          <w:pPr>
            <w:rPr>
              <w:sz w:val="28"/>
              <w:szCs w:val="28"/>
            </w:rPr>
          </w:pPr>
        </w:p>
        <w:tbl>
          <w:tblPr>
            <w:tblStyle w:val="Tablaconcuadrcula"/>
            <w:tblW w:w="5392"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9"/>
            <w:gridCol w:w="2973"/>
          </w:tblGrid>
          <w:tr w:rsidR="00C519FA" w14:paraId="391D395B" w14:textId="77777777" w:rsidTr="00775120">
            <w:trPr>
              <w:trHeight w:val="168"/>
            </w:trPr>
            <w:tc>
              <w:tcPr>
                <w:tcW w:w="2419" w:type="dxa"/>
                <w:hideMark/>
              </w:tcPr>
              <w:p w14:paraId="6BDA7469" w14:textId="77777777" w:rsidR="00C519FA" w:rsidRPr="008A245E" w:rsidRDefault="00D37132" w:rsidP="00C519F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2973" w:type="dxa"/>
                <w:hideMark/>
              </w:tcPr>
              <w:p w14:paraId="36B0D662" w14:textId="510F03F7" w:rsidR="00C519FA" w:rsidRPr="008A245E" w:rsidRDefault="00C43D9A" w:rsidP="00C519FA">
                <w:pPr>
                  <w:tabs>
                    <w:tab w:val="right" w:pos="8838"/>
                  </w:tabs>
                  <w:ind w:left="-74" w:right="-105"/>
                  <w:jc w:val="both"/>
                  <w:rPr>
                    <w:rFonts w:ascii="Palatino Linotype" w:eastAsia="Calibri" w:hAnsi="Palatino Linotype" w:cs="Tahoma"/>
                    <w:bCs/>
                    <w:sz w:val="22"/>
                    <w:szCs w:val="22"/>
                    <w:lang w:eastAsia="en-US"/>
                  </w:rPr>
                </w:pPr>
                <w:r w:rsidRPr="00C43D9A">
                  <w:rPr>
                    <w:rFonts w:ascii="Palatino Linotype" w:eastAsia="Calibri" w:hAnsi="Palatino Linotype" w:cs="Tahoma"/>
                    <w:bCs/>
                    <w:sz w:val="22"/>
                    <w:szCs w:val="22"/>
                    <w:lang w:val="es-MX" w:eastAsia="en-US"/>
                  </w:rPr>
                  <w:t>00411/INFOEM/IP/RR/2022</w:t>
                </w:r>
              </w:p>
            </w:tc>
          </w:tr>
          <w:tr w:rsidR="00C519FA" w14:paraId="15A802B1" w14:textId="77777777" w:rsidTr="00775120">
            <w:trPr>
              <w:trHeight w:val="331"/>
            </w:trPr>
            <w:tc>
              <w:tcPr>
                <w:tcW w:w="2419" w:type="dxa"/>
                <w:hideMark/>
              </w:tcPr>
              <w:p w14:paraId="312E240A"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2973" w:type="dxa"/>
                <w:hideMark/>
              </w:tcPr>
              <w:p w14:paraId="52294E27" w14:textId="048B08EE" w:rsidR="00C519FA" w:rsidRPr="008A245E" w:rsidRDefault="00C43D9A" w:rsidP="00C519FA">
                <w:pPr>
                  <w:tabs>
                    <w:tab w:val="left" w:pos="2834"/>
                    <w:tab w:val="right" w:pos="8838"/>
                  </w:tabs>
                  <w:ind w:left="-74" w:right="-105"/>
                  <w:jc w:val="both"/>
                  <w:rPr>
                    <w:rFonts w:ascii="Palatino Linotype" w:eastAsia="Calibri" w:hAnsi="Palatino Linotype" w:cs="Tahoma"/>
                    <w:b/>
                    <w:sz w:val="22"/>
                    <w:szCs w:val="22"/>
                    <w:lang w:eastAsia="en-US"/>
                  </w:rPr>
                </w:pPr>
                <w:bookmarkStart w:id="3" w:name="_Hlk97064825"/>
                <w:r w:rsidRPr="00C43D9A">
                  <w:rPr>
                    <w:rFonts w:ascii="Palatino Linotype" w:eastAsia="Calibri" w:hAnsi="Palatino Linotype" w:cs="Tahoma"/>
                    <w:sz w:val="22"/>
                    <w:szCs w:val="22"/>
                    <w:lang w:val="es-MX" w:eastAsia="en-US"/>
                  </w:rPr>
                  <w:t>Ayuntamiento de San Martín de Las Pirámides</w:t>
                </w:r>
                <w:bookmarkEnd w:id="3"/>
              </w:p>
            </w:tc>
          </w:tr>
          <w:tr w:rsidR="00C519FA" w14:paraId="445FEB22" w14:textId="77777777" w:rsidTr="00775120">
            <w:trPr>
              <w:trHeight w:val="331"/>
            </w:trPr>
            <w:tc>
              <w:tcPr>
                <w:tcW w:w="2419" w:type="dxa"/>
                <w:hideMark/>
              </w:tcPr>
              <w:p w14:paraId="697BEF94"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2973" w:type="dxa"/>
              </w:tcPr>
              <w:p w14:paraId="5032B53E" w14:textId="3D883E2B" w:rsidR="00C519FA" w:rsidRPr="007D2BD0" w:rsidRDefault="00D37132"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C519FA" w:rsidRDefault="00102EB5" w:rsidP="00C519FA">
          <w:pPr>
            <w:tabs>
              <w:tab w:val="right" w:pos="8838"/>
            </w:tabs>
            <w:spacing w:line="256" w:lineRule="auto"/>
            <w:ind w:left="-28"/>
            <w:jc w:val="both"/>
            <w:rPr>
              <w:rFonts w:ascii="Arial" w:eastAsia="Calibri" w:hAnsi="Arial" w:cs="Arial"/>
              <w:b/>
              <w:sz w:val="22"/>
              <w:szCs w:val="22"/>
              <w:lang w:eastAsia="en-US"/>
            </w:rPr>
          </w:pPr>
        </w:p>
      </w:tc>
    </w:tr>
  </w:tbl>
  <w:p w14:paraId="7CD87E07" w14:textId="34F6945F" w:rsidR="00C519FA" w:rsidRDefault="00102E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tblLayout w:type="fixed"/>
      <w:tblLook w:val="04A0" w:firstRow="1" w:lastRow="0" w:firstColumn="1" w:lastColumn="0" w:noHBand="0" w:noVBand="1"/>
    </w:tblPr>
    <w:tblGrid>
      <w:gridCol w:w="3119"/>
      <w:gridCol w:w="6733"/>
    </w:tblGrid>
    <w:tr w:rsidR="00C519FA" w14:paraId="3DF2FA98" w14:textId="77777777" w:rsidTr="00B00F8E">
      <w:trPr>
        <w:trHeight w:val="1435"/>
      </w:trPr>
      <w:tc>
        <w:tcPr>
          <w:tcW w:w="3119" w:type="dxa"/>
        </w:tcPr>
        <w:p w14:paraId="41C68381" w14:textId="77777777" w:rsidR="00C519FA" w:rsidRDefault="00102EB5" w:rsidP="00C519FA">
          <w:pPr>
            <w:tabs>
              <w:tab w:val="right" w:pos="4273"/>
            </w:tabs>
            <w:spacing w:line="256" w:lineRule="auto"/>
            <w:rPr>
              <w:rFonts w:ascii="Garamond" w:eastAsia="Calibri" w:hAnsi="Garamond"/>
              <w:sz w:val="22"/>
              <w:szCs w:val="22"/>
              <w:lang w:eastAsia="en-US"/>
            </w:rPr>
          </w:pPr>
        </w:p>
      </w:tc>
      <w:tc>
        <w:tcPr>
          <w:tcW w:w="6733" w:type="dxa"/>
          <w:hideMark/>
        </w:tcPr>
        <w:p w14:paraId="5606C50C" w14:textId="77777777" w:rsidR="00B00F8E" w:rsidRDefault="00B00F8E"/>
        <w:tbl>
          <w:tblPr>
            <w:tblStyle w:val="Tablaconcuadrcula"/>
            <w:tblW w:w="5242"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2795"/>
          </w:tblGrid>
          <w:tr w:rsidR="00C519FA" w:rsidRPr="0095634C" w14:paraId="37156598" w14:textId="77777777" w:rsidTr="00775120">
            <w:trPr>
              <w:trHeight w:val="144"/>
            </w:trPr>
            <w:tc>
              <w:tcPr>
                <w:tcW w:w="2447" w:type="dxa"/>
                <w:hideMark/>
              </w:tcPr>
              <w:p w14:paraId="77AFB3B7" w14:textId="77777777" w:rsidR="00C519FA" w:rsidRPr="0095634C" w:rsidRDefault="00D37132" w:rsidP="00C519FA">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2795" w:type="dxa"/>
                <w:hideMark/>
              </w:tcPr>
              <w:p w14:paraId="2A8E7B1A" w14:textId="074FDC45" w:rsidR="00C519FA" w:rsidRPr="0095634C" w:rsidRDefault="00C43D9A" w:rsidP="00C519FA">
                <w:pPr>
                  <w:tabs>
                    <w:tab w:val="right" w:pos="8838"/>
                  </w:tabs>
                  <w:ind w:left="-74" w:right="-105"/>
                  <w:jc w:val="both"/>
                  <w:rPr>
                    <w:rFonts w:ascii="Palatino Linotype" w:eastAsia="Calibri" w:hAnsi="Palatino Linotype" w:cs="Tahoma"/>
                    <w:sz w:val="22"/>
                    <w:szCs w:val="22"/>
                    <w:lang w:eastAsia="en-US"/>
                  </w:rPr>
                </w:pPr>
                <w:r w:rsidRPr="00C43D9A">
                  <w:rPr>
                    <w:rFonts w:ascii="Palatino Linotype" w:eastAsia="Calibri" w:hAnsi="Palatino Linotype" w:cs="Tahoma"/>
                    <w:sz w:val="22"/>
                    <w:szCs w:val="22"/>
                    <w:lang w:val="es-MX" w:eastAsia="en-US"/>
                  </w:rPr>
                  <w:t>00411/INFOEM/IP/RR/2022</w:t>
                </w:r>
              </w:p>
            </w:tc>
          </w:tr>
          <w:tr w:rsidR="00C519FA" w:rsidRPr="0095634C" w14:paraId="7B581380" w14:textId="77777777" w:rsidTr="00775120">
            <w:trPr>
              <w:trHeight w:val="144"/>
            </w:trPr>
            <w:tc>
              <w:tcPr>
                <w:tcW w:w="2447" w:type="dxa"/>
                <w:hideMark/>
              </w:tcPr>
              <w:p w14:paraId="4AE74731"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2795" w:type="dxa"/>
              </w:tcPr>
              <w:p w14:paraId="25A30DE0" w14:textId="6031015E" w:rsidR="00C519FA" w:rsidRPr="0095634C" w:rsidRDefault="00102EB5" w:rsidP="00C519FA">
                <w:pPr>
                  <w:tabs>
                    <w:tab w:val="left" w:pos="3122"/>
                    <w:tab w:val="right" w:pos="8838"/>
                  </w:tabs>
                  <w:ind w:left="-74" w:right="-105"/>
                  <w:jc w:val="both"/>
                  <w:rPr>
                    <w:rFonts w:ascii="Palatino Linotype" w:eastAsia="Calibri" w:hAnsi="Palatino Linotype" w:cs="Tahoma"/>
                    <w:sz w:val="22"/>
                    <w:szCs w:val="22"/>
                    <w:lang w:eastAsia="en-US"/>
                  </w:rPr>
                </w:pPr>
              </w:p>
            </w:tc>
          </w:tr>
          <w:tr w:rsidR="00C519FA" w:rsidRPr="0095634C" w14:paraId="290EEB68" w14:textId="77777777" w:rsidTr="00775120">
            <w:trPr>
              <w:trHeight w:val="283"/>
            </w:trPr>
            <w:tc>
              <w:tcPr>
                <w:tcW w:w="2447" w:type="dxa"/>
                <w:hideMark/>
              </w:tcPr>
              <w:p w14:paraId="7CF1207D"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2795" w:type="dxa"/>
                <w:hideMark/>
              </w:tcPr>
              <w:p w14:paraId="49785984" w14:textId="08B699A5" w:rsidR="00C519FA" w:rsidRPr="0095634C" w:rsidRDefault="00C43D9A" w:rsidP="00C519FA">
                <w:pPr>
                  <w:tabs>
                    <w:tab w:val="left" w:pos="2834"/>
                    <w:tab w:val="right" w:pos="8838"/>
                  </w:tabs>
                  <w:ind w:left="-74" w:right="-105"/>
                  <w:jc w:val="both"/>
                  <w:rPr>
                    <w:rFonts w:ascii="Palatino Linotype" w:eastAsia="Calibri" w:hAnsi="Palatino Linotype" w:cs="Tahoma"/>
                    <w:sz w:val="22"/>
                    <w:szCs w:val="22"/>
                    <w:lang w:eastAsia="en-US"/>
                  </w:rPr>
                </w:pPr>
                <w:r w:rsidRPr="00C43D9A">
                  <w:rPr>
                    <w:rFonts w:ascii="Palatino Linotype" w:eastAsia="Calibri" w:hAnsi="Palatino Linotype" w:cs="Tahoma"/>
                    <w:sz w:val="22"/>
                    <w:szCs w:val="22"/>
                    <w:lang w:val="es-MX" w:eastAsia="en-US"/>
                  </w:rPr>
                  <w:t>Ayuntamiento de San Martín de Las Pirámides</w:t>
                </w:r>
              </w:p>
            </w:tc>
          </w:tr>
          <w:tr w:rsidR="00C519FA" w:rsidRPr="0095634C" w14:paraId="02379758" w14:textId="77777777" w:rsidTr="00775120">
            <w:trPr>
              <w:trHeight w:val="283"/>
            </w:trPr>
            <w:tc>
              <w:tcPr>
                <w:tcW w:w="2447" w:type="dxa"/>
                <w:hideMark/>
              </w:tcPr>
              <w:p w14:paraId="3C69AF13"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2795" w:type="dxa"/>
              </w:tcPr>
              <w:p w14:paraId="3D6E51E1" w14:textId="77777777" w:rsidR="00C519FA" w:rsidRPr="0095634C" w:rsidRDefault="00D37132" w:rsidP="00C519FA">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p w14:paraId="4C4806BE" w14:textId="77777777" w:rsidR="00C519FA" w:rsidRPr="0095634C" w:rsidRDefault="00102EB5" w:rsidP="00C519FA">
                <w:pPr>
                  <w:tabs>
                    <w:tab w:val="right" w:pos="8838"/>
                  </w:tabs>
                  <w:ind w:left="-74" w:right="-105"/>
                  <w:jc w:val="both"/>
                  <w:rPr>
                    <w:rFonts w:ascii="Palatino Linotype" w:eastAsia="Calibri" w:hAnsi="Palatino Linotype" w:cs="Tahoma"/>
                    <w:b/>
                    <w:sz w:val="22"/>
                    <w:szCs w:val="22"/>
                    <w:lang w:eastAsia="en-US"/>
                  </w:rPr>
                </w:pPr>
              </w:p>
            </w:tc>
          </w:tr>
        </w:tbl>
        <w:p w14:paraId="29B5C929" w14:textId="77777777" w:rsidR="00C519FA" w:rsidRDefault="00102EB5" w:rsidP="00C519FA">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C519FA" w:rsidRDefault="00102EB5">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106.5pt;margin-top:-136.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2414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444093">
    <w:abstractNumId w:val="10"/>
  </w:num>
  <w:num w:numId="3" w16cid:durableId="1073241167">
    <w:abstractNumId w:val="1"/>
  </w:num>
  <w:num w:numId="4" w16cid:durableId="550114120">
    <w:abstractNumId w:val="9"/>
  </w:num>
  <w:num w:numId="5" w16cid:durableId="957251503">
    <w:abstractNumId w:val="8"/>
  </w:num>
  <w:num w:numId="6" w16cid:durableId="1606235014">
    <w:abstractNumId w:val="4"/>
  </w:num>
  <w:num w:numId="7" w16cid:durableId="1736245917">
    <w:abstractNumId w:val="19"/>
  </w:num>
  <w:num w:numId="8" w16cid:durableId="72046183">
    <w:abstractNumId w:val="0"/>
  </w:num>
  <w:num w:numId="9" w16cid:durableId="606354801">
    <w:abstractNumId w:val="13"/>
  </w:num>
  <w:num w:numId="10" w16cid:durableId="879436003">
    <w:abstractNumId w:val="14"/>
  </w:num>
  <w:num w:numId="11" w16cid:durableId="1770349955">
    <w:abstractNumId w:val="3"/>
  </w:num>
  <w:num w:numId="12" w16cid:durableId="2042627437">
    <w:abstractNumId w:val="11"/>
  </w:num>
  <w:num w:numId="13" w16cid:durableId="266815563">
    <w:abstractNumId w:val="17"/>
  </w:num>
  <w:num w:numId="14" w16cid:durableId="1747680419">
    <w:abstractNumId w:val="6"/>
  </w:num>
  <w:num w:numId="15" w16cid:durableId="282537320">
    <w:abstractNumId w:val="15"/>
  </w:num>
  <w:num w:numId="16" w16cid:durableId="1982614022">
    <w:abstractNumId w:val="20"/>
  </w:num>
  <w:num w:numId="17" w16cid:durableId="1269660089">
    <w:abstractNumId w:val="2"/>
  </w:num>
  <w:num w:numId="18" w16cid:durableId="109521450">
    <w:abstractNumId w:val="12"/>
  </w:num>
  <w:num w:numId="19" w16cid:durableId="1956911424">
    <w:abstractNumId w:val="5"/>
  </w:num>
  <w:num w:numId="20" w16cid:durableId="876351839">
    <w:abstractNumId w:val="18"/>
  </w:num>
  <w:num w:numId="21" w16cid:durableId="1180122579">
    <w:abstractNumId w:val="7"/>
  </w:num>
  <w:num w:numId="22" w16cid:durableId="1338844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47219"/>
    <w:rsid w:val="000565F2"/>
    <w:rsid w:val="000608EB"/>
    <w:rsid w:val="000626F3"/>
    <w:rsid w:val="00066610"/>
    <w:rsid w:val="000A3F89"/>
    <w:rsid w:val="000A4F1B"/>
    <w:rsid w:val="000A6377"/>
    <w:rsid w:val="000B3087"/>
    <w:rsid w:val="000B7ED7"/>
    <w:rsid w:val="000C6A5E"/>
    <w:rsid w:val="000D42FE"/>
    <w:rsid w:val="000D77EA"/>
    <w:rsid w:val="000E0240"/>
    <w:rsid w:val="000F2857"/>
    <w:rsid w:val="00102EB5"/>
    <w:rsid w:val="00104D7E"/>
    <w:rsid w:val="00121F26"/>
    <w:rsid w:val="00130F94"/>
    <w:rsid w:val="00141242"/>
    <w:rsid w:val="00160192"/>
    <w:rsid w:val="00160BED"/>
    <w:rsid w:val="00161E09"/>
    <w:rsid w:val="001A2DD6"/>
    <w:rsid w:val="001A6B7A"/>
    <w:rsid w:val="001A75F6"/>
    <w:rsid w:val="001B6873"/>
    <w:rsid w:val="001D7603"/>
    <w:rsid w:val="001F4A4B"/>
    <w:rsid w:val="00211B95"/>
    <w:rsid w:val="00213A5A"/>
    <w:rsid w:val="00230F62"/>
    <w:rsid w:val="0024466A"/>
    <w:rsid w:val="002476E5"/>
    <w:rsid w:val="00257CC5"/>
    <w:rsid w:val="002747DD"/>
    <w:rsid w:val="00276C92"/>
    <w:rsid w:val="002907E0"/>
    <w:rsid w:val="002A1427"/>
    <w:rsid w:val="002A4913"/>
    <w:rsid w:val="002D2338"/>
    <w:rsid w:val="002E75CA"/>
    <w:rsid w:val="0030752D"/>
    <w:rsid w:val="00307A43"/>
    <w:rsid w:val="00310DE3"/>
    <w:rsid w:val="00316110"/>
    <w:rsid w:val="00351FB0"/>
    <w:rsid w:val="00361539"/>
    <w:rsid w:val="00375D3D"/>
    <w:rsid w:val="00383E91"/>
    <w:rsid w:val="003843D7"/>
    <w:rsid w:val="00394135"/>
    <w:rsid w:val="003A3252"/>
    <w:rsid w:val="003A3625"/>
    <w:rsid w:val="003D0DA5"/>
    <w:rsid w:val="003D1134"/>
    <w:rsid w:val="003D1F3F"/>
    <w:rsid w:val="003D4E7B"/>
    <w:rsid w:val="003D6308"/>
    <w:rsid w:val="003E1986"/>
    <w:rsid w:val="003F04D2"/>
    <w:rsid w:val="0040040C"/>
    <w:rsid w:val="00404C68"/>
    <w:rsid w:val="00414E74"/>
    <w:rsid w:val="0042103F"/>
    <w:rsid w:val="00423962"/>
    <w:rsid w:val="004247F0"/>
    <w:rsid w:val="004255FE"/>
    <w:rsid w:val="004417B6"/>
    <w:rsid w:val="0044419C"/>
    <w:rsid w:val="00454419"/>
    <w:rsid w:val="00471953"/>
    <w:rsid w:val="004763E5"/>
    <w:rsid w:val="0048127C"/>
    <w:rsid w:val="004A0BF6"/>
    <w:rsid w:val="004B218A"/>
    <w:rsid w:val="004B4916"/>
    <w:rsid w:val="004B5166"/>
    <w:rsid w:val="004C3562"/>
    <w:rsid w:val="004E02C5"/>
    <w:rsid w:val="004F07FB"/>
    <w:rsid w:val="00502E9F"/>
    <w:rsid w:val="00504814"/>
    <w:rsid w:val="00507592"/>
    <w:rsid w:val="00514206"/>
    <w:rsid w:val="0051795D"/>
    <w:rsid w:val="00522842"/>
    <w:rsid w:val="00530E2A"/>
    <w:rsid w:val="00545AC9"/>
    <w:rsid w:val="00546555"/>
    <w:rsid w:val="00557323"/>
    <w:rsid w:val="005626A1"/>
    <w:rsid w:val="005726A2"/>
    <w:rsid w:val="005914CC"/>
    <w:rsid w:val="00596B4A"/>
    <w:rsid w:val="005A1F35"/>
    <w:rsid w:val="005A79E2"/>
    <w:rsid w:val="005C07B0"/>
    <w:rsid w:val="005D2E5D"/>
    <w:rsid w:val="005E073D"/>
    <w:rsid w:val="005E4A8A"/>
    <w:rsid w:val="005E4EE4"/>
    <w:rsid w:val="006046B1"/>
    <w:rsid w:val="006157BB"/>
    <w:rsid w:val="00621704"/>
    <w:rsid w:val="006248CB"/>
    <w:rsid w:val="00630EB5"/>
    <w:rsid w:val="00647F54"/>
    <w:rsid w:val="00650F54"/>
    <w:rsid w:val="00651A66"/>
    <w:rsid w:val="00672ADC"/>
    <w:rsid w:val="00675A95"/>
    <w:rsid w:val="0069089F"/>
    <w:rsid w:val="006B5DC1"/>
    <w:rsid w:val="006C59AB"/>
    <w:rsid w:val="006D4281"/>
    <w:rsid w:val="006F1504"/>
    <w:rsid w:val="006F1A32"/>
    <w:rsid w:val="006F29FC"/>
    <w:rsid w:val="00713AA7"/>
    <w:rsid w:val="00746888"/>
    <w:rsid w:val="007563E0"/>
    <w:rsid w:val="00765BA5"/>
    <w:rsid w:val="00775120"/>
    <w:rsid w:val="007A7DE9"/>
    <w:rsid w:val="007B1E8E"/>
    <w:rsid w:val="007B4264"/>
    <w:rsid w:val="007B7200"/>
    <w:rsid w:val="007B7A1E"/>
    <w:rsid w:val="007D06F3"/>
    <w:rsid w:val="007D2BD0"/>
    <w:rsid w:val="007D3EE1"/>
    <w:rsid w:val="007E611F"/>
    <w:rsid w:val="007F7D7B"/>
    <w:rsid w:val="008110DA"/>
    <w:rsid w:val="00831399"/>
    <w:rsid w:val="00836192"/>
    <w:rsid w:val="00836CE5"/>
    <w:rsid w:val="0086262C"/>
    <w:rsid w:val="00871DE3"/>
    <w:rsid w:val="008A30AE"/>
    <w:rsid w:val="008B0751"/>
    <w:rsid w:val="008B0ADF"/>
    <w:rsid w:val="008B5B2C"/>
    <w:rsid w:val="008D065B"/>
    <w:rsid w:val="00901698"/>
    <w:rsid w:val="00917F65"/>
    <w:rsid w:val="00920B51"/>
    <w:rsid w:val="009219A8"/>
    <w:rsid w:val="009220A2"/>
    <w:rsid w:val="00926AED"/>
    <w:rsid w:val="00932E46"/>
    <w:rsid w:val="0093476C"/>
    <w:rsid w:val="00940F71"/>
    <w:rsid w:val="00942E82"/>
    <w:rsid w:val="009447E4"/>
    <w:rsid w:val="009473E5"/>
    <w:rsid w:val="00954786"/>
    <w:rsid w:val="0095634C"/>
    <w:rsid w:val="00985BD9"/>
    <w:rsid w:val="00987E45"/>
    <w:rsid w:val="009914FC"/>
    <w:rsid w:val="0099190D"/>
    <w:rsid w:val="009A6A7F"/>
    <w:rsid w:val="009D0B60"/>
    <w:rsid w:val="009D0EAF"/>
    <w:rsid w:val="009E36CA"/>
    <w:rsid w:val="009E7D9C"/>
    <w:rsid w:val="00A047C2"/>
    <w:rsid w:val="00A12F9C"/>
    <w:rsid w:val="00A264D5"/>
    <w:rsid w:val="00A317C4"/>
    <w:rsid w:val="00A6038A"/>
    <w:rsid w:val="00A828B7"/>
    <w:rsid w:val="00A84C18"/>
    <w:rsid w:val="00A8545A"/>
    <w:rsid w:val="00A8670F"/>
    <w:rsid w:val="00AB0CC4"/>
    <w:rsid w:val="00AB1859"/>
    <w:rsid w:val="00AB1DB6"/>
    <w:rsid w:val="00AE38E0"/>
    <w:rsid w:val="00AE5D0C"/>
    <w:rsid w:val="00AE6491"/>
    <w:rsid w:val="00AF1BE3"/>
    <w:rsid w:val="00B00F8E"/>
    <w:rsid w:val="00B16987"/>
    <w:rsid w:val="00B204C6"/>
    <w:rsid w:val="00B312A0"/>
    <w:rsid w:val="00B350F7"/>
    <w:rsid w:val="00B5029F"/>
    <w:rsid w:val="00B51BBC"/>
    <w:rsid w:val="00B61001"/>
    <w:rsid w:val="00B62828"/>
    <w:rsid w:val="00B633C1"/>
    <w:rsid w:val="00B6391B"/>
    <w:rsid w:val="00B64B2F"/>
    <w:rsid w:val="00B725E2"/>
    <w:rsid w:val="00BB3D12"/>
    <w:rsid w:val="00BC1956"/>
    <w:rsid w:val="00BD402D"/>
    <w:rsid w:val="00BE3FD4"/>
    <w:rsid w:val="00BF1A54"/>
    <w:rsid w:val="00BF2061"/>
    <w:rsid w:val="00BF2B49"/>
    <w:rsid w:val="00C108A7"/>
    <w:rsid w:val="00C43D9A"/>
    <w:rsid w:val="00C54A2A"/>
    <w:rsid w:val="00C550BF"/>
    <w:rsid w:val="00C63B22"/>
    <w:rsid w:val="00C80901"/>
    <w:rsid w:val="00CB7549"/>
    <w:rsid w:val="00CC409B"/>
    <w:rsid w:val="00CD4DB4"/>
    <w:rsid w:val="00CD7D3C"/>
    <w:rsid w:val="00CF2A60"/>
    <w:rsid w:val="00CF6D4F"/>
    <w:rsid w:val="00D06AB1"/>
    <w:rsid w:val="00D251D1"/>
    <w:rsid w:val="00D33435"/>
    <w:rsid w:val="00D33CDC"/>
    <w:rsid w:val="00D37132"/>
    <w:rsid w:val="00D41CFA"/>
    <w:rsid w:val="00D42E58"/>
    <w:rsid w:val="00D4637F"/>
    <w:rsid w:val="00D618BD"/>
    <w:rsid w:val="00D9643B"/>
    <w:rsid w:val="00DA15E4"/>
    <w:rsid w:val="00DB299F"/>
    <w:rsid w:val="00DB3B13"/>
    <w:rsid w:val="00DC23F9"/>
    <w:rsid w:val="00DD5B01"/>
    <w:rsid w:val="00DD6F15"/>
    <w:rsid w:val="00DE25AA"/>
    <w:rsid w:val="00DF4C52"/>
    <w:rsid w:val="00E02E9D"/>
    <w:rsid w:val="00E03B6C"/>
    <w:rsid w:val="00E0605F"/>
    <w:rsid w:val="00E102F7"/>
    <w:rsid w:val="00E10784"/>
    <w:rsid w:val="00E12FF2"/>
    <w:rsid w:val="00E40B0B"/>
    <w:rsid w:val="00E40D83"/>
    <w:rsid w:val="00E4176B"/>
    <w:rsid w:val="00E438B3"/>
    <w:rsid w:val="00E4516B"/>
    <w:rsid w:val="00E749CF"/>
    <w:rsid w:val="00E82D16"/>
    <w:rsid w:val="00E87C5B"/>
    <w:rsid w:val="00EE1986"/>
    <w:rsid w:val="00EE21F3"/>
    <w:rsid w:val="00F17764"/>
    <w:rsid w:val="00F245A5"/>
    <w:rsid w:val="00F316A7"/>
    <w:rsid w:val="00F50AD9"/>
    <w:rsid w:val="00F52199"/>
    <w:rsid w:val="00F55277"/>
    <w:rsid w:val="00F56BE6"/>
    <w:rsid w:val="00F642A7"/>
    <w:rsid w:val="00F67994"/>
    <w:rsid w:val="00F83F45"/>
    <w:rsid w:val="00F8437C"/>
    <w:rsid w:val="00F846C1"/>
    <w:rsid w:val="00F95318"/>
    <w:rsid w:val="00FA2832"/>
    <w:rsid w:val="00FB4630"/>
    <w:rsid w:val="00FD238F"/>
    <w:rsid w:val="00FD3144"/>
    <w:rsid w:val="00FD6D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9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fed.gob.mx/work/models/inafed/Resource/335/1/images/guia09_la_administracion_del_personal_municip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6E34-583C-491D-B897-FA4EF230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4110</Words>
  <Characters>22611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2022-05-18T02:29:00Z</dcterms:created>
  <dcterms:modified xsi:type="dcterms:W3CDTF">2022-05-18T02:29:00Z</dcterms:modified>
</cp:coreProperties>
</file>