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de fecha veinticinco de mayo de dos mil veintidós. </w:t>
      </w:r>
    </w:p>
    <w:p w:rsidR="00000000" w:rsidDel="00000000" w:rsidP="00000000" w:rsidRDefault="00000000" w:rsidRPr="00000000" w14:paraId="0000000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03837/INFOEM/IP/RR/2022, </w:t>
      </w:r>
      <w:r w:rsidDel="00000000" w:rsidR="00000000" w:rsidRPr="00000000">
        <w:rPr>
          <w:rFonts w:ascii="Palatino Linotype" w:cs="Palatino Linotype" w:eastAsia="Palatino Linotype" w:hAnsi="Palatino Linotype"/>
          <w:rtl w:val="0"/>
        </w:rPr>
        <w:t xml:space="preserve">promovido por el </w:t>
      </w:r>
      <w:r w:rsidDel="00000000" w:rsidR="00000000" w:rsidRPr="00000000">
        <w:rPr>
          <w:rFonts w:ascii="Palatino Linotype" w:cs="Palatino Linotype" w:eastAsia="Palatino Linotype" w:hAnsi="Palatino Linotype"/>
          <w:b w:val="1"/>
          <w:rtl w:val="0"/>
        </w:rPr>
        <w:t xml:space="preserve">C. </w:t>
      </w:r>
      <w:r w:rsidDel="00000000" w:rsidR="00000000" w:rsidRPr="00000000">
        <w:rPr>
          <w:rFonts w:ascii="Palatino Linotype" w:cs="Palatino Linotype" w:eastAsia="Palatino Linotype" w:hAnsi="Palatino Linotype"/>
          <w:b w:val="1"/>
          <w:sz w:val="22"/>
          <w:szCs w:val="22"/>
          <w:rtl w:val="0"/>
        </w:rPr>
        <w:t xml:space="preserve">XXXX XXXXXX XXXXX</w:t>
      </w:r>
      <w:r w:rsidDel="00000000" w:rsidR="00000000" w:rsidRPr="00000000">
        <w:rPr>
          <w:rFonts w:ascii="Palatino Linotype" w:cs="Palatino Linotype" w:eastAsia="Palatino Linotype" w:hAnsi="Palatino Linotype"/>
          <w:rtl w:val="0"/>
        </w:rPr>
        <w:t xml:space="preserve">, a quien en lo sucesivo se le denominara como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en contra de la respuesta del </w:t>
      </w:r>
      <w:r w:rsidDel="00000000" w:rsidR="00000000" w:rsidRPr="00000000">
        <w:rPr>
          <w:rFonts w:ascii="Palatino Linotype" w:cs="Palatino Linotype" w:eastAsia="Palatino Linotype" w:hAnsi="Palatino Linotype"/>
          <w:b w:val="1"/>
          <w:rtl w:val="0"/>
        </w:rPr>
        <w:t xml:space="preserve">Ayuntamiento de Temamatla, </w:t>
      </w:r>
      <w:r w:rsidDel="00000000" w:rsidR="00000000" w:rsidRPr="00000000">
        <w:rPr>
          <w:rFonts w:ascii="Palatino Linotype" w:cs="Palatino Linotype" w:eastAsia="Palatino Linotype" w:hAnsi="Palatino Linotype"/>
          <w:rtl w:val="0"/>
        </w:rPr>
        <w:t xml:space="preserve">en lo subsecuente se le denominará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se procede a dictar la presente resolución con base en lo siguiente:</w:t>
      </w:r>
    </w:p>
    <w:p w:rsidR="00000000" w:rsidDel="00000000" w:rsidP="00000000" w:rsidRDefault="00000000" w:rsidRPr="00000000" w14:paraId="00000008">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9">
      <w:pPr>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ANTECEDENTES</w:t>
      </w:r>
    </w:p>
    <w:p w:rsidR="00000000" w:rsidDel="00000000" w:rsidP="00000000" w:rsidRDefault="00000000" w:rsidRPr="00000000" w14:paraId="0000000A">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B">
      <w:pPr>
        <w:spacing w:line="360" w:lineRule="auto"/>
        <w:jc w:val="both"/>
        <w:rPr>
          <w:rFonts w:ascii="Palatino Linotype" w:cs="Palatino Linotype" w:eastAsia="Palatino Linotype" w:hAnsi="Palatino Linotype"/>
          <w:b w:val="1"/>
          <w:sz w:val="28"/>
          <w:szCs w:val="28"/>
        </w:rPr>
      </w:pPr>
      <w:bookmarkStart w:colFirst="0" w:colLast="0" w:name="_heading=h.gjdgxs" w:id="0"/>
      <w:bookmarkEnd w:id="0"/>
      <w:r w:rsidDel="00000000" w:rsidR="00000000" w:rsidRPr="00000000">
        <w:rPr>
          <w:rFonts w:ascii="Palatino Linotype" w:cs="Palatino Linotype" w:eastAsia="Palatino Linotype" w:hAnsi="Palatino Linotype"/>
          <w:b w:val="1"/>
          <w:sz w:val="28"/>
          <w:szCs w:val="28"/>
          <w:rtl w:val="0"/>
        </w:rPr>
        <w:t xml:space="preserve">I.</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sz w:val="28"/>
          <w:szCs w:val="28"/>
          <w:rtl w:val="0"/>
        </w:rPr>
        <w:t xml:space="preserve">De la Solicitud de Información</w:t>
      </w:r>
    </w:p>
    <w:p w:rsidR="00000000" w:rsidDel="00000000" w:rsidP="00000000" w:rsidRDefault="00000000" w:rsidRPr="00000000" w14:paraId="0000000C">
      <w:pPr>
        <w:spacing w:line="360" w:lineRule="auto"/>
        <w:jc w:val="both"/>
        <w:rPr>
          <w:rFonts w:ascii="Palatino Linotype" w:cs="Palatino Linotype" w:eastAsia="Palatino Linotype" w:hAnsi="Palatino Linotype"/>
          <w:i w:val="1"/>
          <w:sz w:val="20"/>
          <w:szCs w:val="20"/>
        </w:rPr>
      </w:pPr>
      <w:bookmarkStart w:colFirst="0" w:colLast="0" w:name="_heading=h.ifuj3wtxm21l" w:id="1"/>
      <w:bookmarkEnd w:id="1"/>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veintiuno de febrero de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presentó a través del Sistema de Acceso a la Información Mexiquense, en lo subsecuente </w:t>
      </w:r>
      <w:r w:rsidDel="00000000" w:rsidR="00000000" w:rsidRPr="00000000">
        <w:rPr>
          <w:rFonts w:ascii="Palatino Linotype" w:cs="Palatino Linotype" w:eastAsia="Palatino Linotype" w:hAnsi="Palatino Linotype"/>
          <w:b w:val="1"/>
          <w:rtl w:val="0"/>
        </w:rPr>
        <w:t xml:space="preserve">EL SAIMEX</w:t>
      </w:r>
      <w:r w:rsidDel="00000000" w:rsidR="00000000" w:rsidRPr="00000000">
        <w:rPr>
          <w:rFonts w:ascii="Palatino Linotype" w:cs="Palatino Linotype" w:eastAsia="Palatino Linotype" w:hAnsi="Palatino Linotype"/>
          <w:rtl w:val="0"/>
        </w:rPr>
        <w:t xml:space="preserve"> ante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 de expediente </w:t>
      </w:r>
      <w:r w:rsidDel="00000000" w:rsidR="00000000" w:rsidRPr="00000000">
        <w:rPr>
          <w:rFonts w:ascii="Palatino Linotype" w:cs="Palatino Linotype" w:eastAsia="Palatino Linotype" w:hAnsi="Palatino Linotype"/>
          <w:b w:val="1"/>
          <w:rtl w:val="0"/>
        </w:rPr>
        <w:t xml:space="preserve">00098/TEMAMATL/IP/2022, </w:t>
      </w:r>
      <w:r w:rsidDel="00000000" w:rsidR="00000000" w:rsidRPr="00000000">
        <w:rPr>
          <w:rFonts w:ascii="Palatino Linotype" w:cs="Palatino Linotype" w:eastAsia="Palatino Linotype" w:hAnsi="Palatino Linotype"/>
          <w:rtl w:val="0"/>
        </w:rPr>
        <w:t xml:space="preserve">requirió, lo siguiente:</w:t>
      </w:r>
      <w:r w:rsidDel="00000000" w:rsidR="00000000" w:rsidRPr="00000000">
        <w:rPr>
          <w:rtl w:val="0"/>
        </w:rPr>
      </w:r>
    </w:p>
    <w:p w:rsidR="00000000" w:rsidDel="00000000" w:rsidP="00000000" w:rsidRDefault="00000000" w:rsidRPr="00000000" w14:paraId="0000000D">
      <w:pPr>
        <w:ind w:left="850" w:right="89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“Relación con copia de licencia de funcionamiento de los locales establecimientos de cual quier tipo que se encuentren el municipio de temamatla del año 2015 al 2022” (sic)</w:t>
      </w:r>
      <w:r w:rsidDel="00000000" w:rsidR="00000000" w:rsidRPr="00000000">
        <w:rPr>
          <w:rtl w:val="0"/>
        </w:rPr>
      </w:r>
    </w:p>
    <w:p w:rsidR="00000000" w:rsidDel="00000000" w:rsidP="00000000" w:rsidRDefault="00000000" w:rsidRPr="00000000" w14:paraId="0000000E">
      <w:pPr>
        <w:tabs>
          <w:tab w:val="left" w:pos="851"/>
        </w:tabs>
        <w:ind w:right="90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F">
      <w:pPr>
        <w:widowControl w:val="0"/>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MODALIDAD DE ENTREGA: </w:t>
      </w:r>
      <w:r w:rsidDel="00000000" w:rsidR="00000000" w:rsidRPr="00000000">
        <w:rPr>
          <w:rFonts w:ascii="Palatino Linotype" w:cs="Palatino Linotype" w:eastAsia="Palatino Linotype" w:hAnsi="Palatino Linotype"/>
          <w:rtl w:val="0"/>
        </w:rPr>
        <w:t xml:space="preserve">Vía </w:t>
      </w:r>
      <w:r w:rsidDel="00000000" w:rsidR="00000000" w:rsidRPr="00000000">
        <w:rPr>
          <w:rFonts w:ascii="Palatino Linotype" w:cs="Palatino Linotype" w:eastAsia="Palatino Linotype" w:hAnsi="Palatino Linotype"/>
          <w:b w:val="1"/>
          <w:rtl w:val="0"/>
        </w:rPr>
        <w:t xml:space="preserve">SAIMEX.</w:t>
      </w:r>
    </w:p>
    <w:p w:rsidR="00000000" w:rsidDel="00000000" w:rsidP="00000000" w:rsidRDefault="00000000" w:rsidRPr="00000000" w14:paraId="00000010">
      <w:pPr>
        <w:widowControl w:val="0"/>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1">
      <w:pPr>
        <w:spacing w:line="360"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II. Turno de Requerimiento del Sujeto Obligado</w:t>
      </w:r>
    </w:p>
    <w:p w:rsidR="00000000" w:rsidDel="00000000" w:rsidP="00000000" w:rsidRDefault="00000000" w:rsidRPr="00000000" w14:paraId="0000001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en el expediente electrónico del SAIMEX, no se aprecia turno de requerimiento alguno al  servidor público habilitado en cumplimiento al artículo 162 de la Ley de Transparencia y Acceso a la Información Pública del Estado de México y Municipios, a efecto de que realizara la búsqueda y localización de la información solicitada.</w:t>
      </w:r>
    </w:p>
    <w:p w:rsidR="00000000" w:rsidDel="00000000" w:rsidP="00000000" w:rsidRDefault="00000000" w:rsidRPr="00000000" w14:paraId="00000013">
      <w:pPr>
        <w:spacing w:line="360" w:lineRule="auto"/>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14">
      <w:pPr>
        <w:spacing w:line="360"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III. Respuesta del Sujeto Obligado</w:t>
      </w:r>
    </w:p>
    <w:p w:rsidR="00000000" w:rsidDel="00000000" w:rsidP="00000000" w:rsidRDefault="00000000" w:rsidRPr="00000000" w14:paraId="0000001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fecha catorce</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de marzo de dos mil veintidós,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dio respuesta a la solicitud de información pública, la cual que fue notificada al particular en la misma  fecha  y consta de lo siguiente:</w:t>
      </w:r>
    </w:p>
    <w:p w:rsidR="00000000" w:rsidDel="00000000" w:rsidP="00000000" w:rsidRDefault="00000000" w:rsidRPr="00000000" w14:paraId="00000016">
      <w:pPr>
        <w:ind w:left="850" w:right="899"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“...En atención a la solicitud de información registrada con el número de folio 00098/TEMAMATL/IP/2022, le hago llegar la siguiente información: “Relación con copia de licencia de funcionamiento de los locales establecimientos de cual quier tipo que se encuentren el municipio de temamatla del año 2015 al 2022”(Sic) Lo anterior, con base a la respuesta emitida por la Servidora Pública Habilitada de la Dirección de Desarrollo Económico. Adicionalmente, se hace de su conocimiento el término de quince días para interponer el Recurso de Revisión que se señala en los artículos 176, 177 y 178 de la Ley de la materia, en caso de considerar que la respuesta es desfavorable a su solicitud…”</w:t>
      </w:r>
      <w:r w:rsidDel="00000000" w:rsidR="00000000" w:rsidRPr="00000000">
        <w:rPr>
          <w:rFonts w:ascii="Palatino Linotype" w:cs="Palatino Linotype" w:eastAsia="Palatino Linotype" w:hAnsi="Palatino Linotype"/>
          <w:rtl w:val="0"/>
        </w:rPr>
        <w:t xml:space="preserve"> (Sic)</w:t>
      </w:r>
    </w:p>
    <w:p w:rsidR="00000000" w:rsidDel="00000000" w:rsidP="00000000" w:rsidRDefault="00000000" w:rsidRPr="00000000" w14:paraId="0000001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Adjuntando a dicha respuesta el archivo denominado </w:t>
      </w:r>
      <w:r w:rsidDel="00000000" w:rsidR="00000000" w:rsidRPr="00000000">
        <w:rPr>
          <w:rFonts w:ascii="Palatino Linotype" w:cs="Palatino Linotype" w:eastAsia="Palatino Linotype" w:hAnsi="Palatino Linotype"/>
          <w:i w:val="1"/>
          <w:rtl w:val="0"/>
        </w:rPr>
        <w:t xml:space="preserve">SOL 00098 DESARROLLO ECON.pdf </w:t>
      </w:r>
      <w:r w:rsidDel="00000000" w:rsidR="00000000" w:rsidRPr="00000000">
        <w:rPr>
          <w:rFonts w:ascii="Palatino Linotype" w:cs="Palatino Linotype" w:eastAsia="Palatino Linotype" w:hAnsi="Palatino Linotype"/>
          <w:rtl w:val="0"/>
        </w:rPr>
        <w:t xml:space="preserve">del cual se aprecia el oficio número DESECO/2022-20224/029 de fecha diez de marzo de dos mil veintidós, firmado por la Directora de Desarrollo Económico quien manifiesta que no puede entregar la información solicitada toda vez que no se ha llevado a cabo ninguna sesión del Comité de Transparencia donde se pueda clasificar la información que obra dentro de los documentos solicitados.   </w:t>
      </w:r>
    </w:p>
    <w:p w:rsidR="00000000" w:rsidDel="00000000" w:rsidP="00000000" w:rsidRDefault="00000000" w:rsidRPr="00000000" w14:paraId="0000001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A">
      <w:pPr>
        <w:widowControl w:val="0"/>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8"/>
          <w:szCs w:val="28"/>
          <w:rtl w:val="0"/>
        </w:rPr>
        <w:t xml:space="preserve">IV. Del Recurso de Revisión</w:t>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01B">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Inconforme por la respuesta del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el catorce</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de marzo de dos mil veintidós,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interpuso el Recurso de Revisión. El cual fue registrado en </w:t>
      </w:r>
      <w:r w:rsidDel="00000000" w:rsidR="00000000" w:rsidRPr="00000000">
        <w:rPr>
          <w:rFonts w:ascii="Palatino Linotype" w:cs="Palatino Linotype" w:eastAsia="Palatino Linotype" w:hAnsi="Palatino Linotype"/>
          <w:b w:val="1"/>
          <w:rtl w:val="0"/>
        </w:rPr>
        <w:t xml:space="preserve">EL SAIMEX</w:t>
      </w:r>
      <w:r w:rsidDel="00000000" w:rsidR="00000000" w:rsidRPr="00000000">
        <w:rPr>
          <w:rFonts w:ascii="Palatino Linotype" w:cs="Palatino Linotype" w:eastAsia="Palatino Linotype" w:hAnsi="Palatino Linotype"/>
          <w:rtl w:val="0"/>
        </w:rPr>
        <w:t xml:space="preserve"> y se le asignó el número de expediente </w:t>
      </w:r>
      <w:r w:rsidDel="00000000" w:rsidR="00000000" w:rsidRPr="00000000">
        <w:rPr>
          <w:rFonts w:ascii="Palatino Linotype" w:cs="Palatino Linotype" w:eastAsia="Palatino Linotype" w:hAnsi="Palatino Linotype"/>
          <w:b w:val="1"/>
          <w:rtl w:val="0"/>
        </w:rPr>
        <w:t xml:space="preserve">03837/INFOEM/IP/RR/2022, </w:t>
      </w:r>
      <w:r w:rsidDel="00000000" w:rsidR="00000000" w:rsidRPr="00000000">
        <w:rPr>
          <w:rFonts w:ascii="Palatino Linotype" w:cs="Palatino Linotype" w:eastAsia="Palatino Linotype" w:hAnsi="Palatino Linotype"/>
          <w:rtl w:val="0"/>
        </w:rPr>
        <w:t xml:space="preserve">donde los motivos de agravio del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fueron los siguientes:</w:t>
      </w:r>
    </w:p>
    <w:p w:rsidR="00000000" w:rsidDel="00000000" w:rsidP="00000000" w:rsidRDefault="00000000" w:rsidRPr="00000000" w14:paraId="0000001C">
      <w:pPr>
        <w:spacing w:line="360" w:lineRule="auto"/>
        <w:ind w:left="-57" w:right="-57"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D">
      <w:pPr>
        <w:spacing w:line="360" w:lineRule="auto"/>
        <w:ind w:left="-57" w:right="-57"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Acto Impugnado:</w:t>
      </w:r>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01E">
      <w:pPr>
        <w:tabs>
          <w:tab w:val="left" w:pos="709"/>
        </w:tabs>
        <w:spacing w:before="66" w:lineRule="auto"/>
        <w:ind w:left="850" w:right="899"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“Relación con copia de licencia de funcionamiento de los locales establecimientos de cualquier tipo que se encuentren el municipio de Temamatla del año 2015 al 2022.”(sic)</w:t>
      </w:r>
    </w:p>
    <w:p w:rsidR="00000000" w:rsidDel="00000000" w:rsidP="00000000" w:rsidRDefault="00000000" w:rsidRPr="00000000" w14:paraId="0000001F">
      <w:pPr>
        <w:tabs>
          <w:tab w:val="left" w:pos="709"/>
        </w:tabs>
        <w:spacing w:before="66" w:lineRule="auto"/>
        <w:ind w:left="850" w:right="899" w:firstLine="0"/>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20">
      <w:pPr>
        <w:tabs>
          <w:tab w:val="left" w:pos="709"/>
        </w:tabs>
        <w:spacing w:before="66" w:lineRule="auto"/>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Razones o motivos de la inconformidad:</w:t>
      </w:r>
    </w:p>
    <w:p w:rsidR="00000000" w:rsidDel="00000000" w:rsidP="00000000" w:rsidRDefault="00000000" w:rsidRPr="00000000" w14:paraId="00000021">
      <w:pPr>
        <w:tabs>
          <w:tab w:val="left" w:pos="709"/>
        </w:tabs>
        <w:spacing w:before="66"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2">
      <w:pPr>
        <w:ind w:left="850" w:right="899"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i w:val="1"/>
          <w:sz w:val="22"/>
          <w:szCs w:val="22"/>
          <w:rtl w:val="0"/>
        </w:rPr>
        <w:t xml:space="preserve">“NEGATIVA A LA INFORMACION SOLICITADA.” (sic)</w:t>
      </w:r>
      <w:r w:rsidDel="00000000" w:rsidR="00000000" w:rsidRPr="00000000">
        <w:rPr>
          <w:rtl w:val="0"/>
        </w:rPr>
      </w:r>
    </w:p>
    <w:p w:rsidR="00000000" w:rsidDel="00000000" w:rsidP="00000000" w:rsidRDefault="00000000" w:rsidRPr="00000000" w14:paraId="0000002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4">
      <w:pPr>
        <w:spacing w:line="360" w:lineRule="auto"/>
        <w:jc w:val="both"/>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V. Del turno del Recurso de Revisión. </w:t>
      </w:r>
    </w:p>
    <w:p w:rsidR="00000000" w:rsidDel="00000000" w:rsidP="00000000" w:rsidRDefault="00000000" w:rsidRPr="00000000" w14:paraId="0000002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catorce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Del="00000000" w:rsidR="00000000" w:rsidRPr="00000000">
        <w:rPr>
          <w:rFonts w:ascii="Palatino Linotype" w:cs="Palatino Linotype" w:eastAsia="Palatino Linotype" w:hAnsi="Palatino Linotype"/>
          <w:b w:val="1"/>
          <w:rtl w:val="0"/>
        </w:rPr>
        <w:t xml:space="preserve">Comisionada Sharon Cristina Morales Martínez</w:t>
      </w:r>
      <w:r w:rsidDel="00000000" w:rsidR="00000000" w:rsidRPr="00000000">
        <w:rPr>
          <w:rFonts w:ascii="Palatino Linotype" w:cs="Palatino Linotype" w:eastAsia="Palatino Linotype" w:hAnsi="Palatino Linotype"/>
          <w:rtl w:val="0"/>
        </w:rPr>
        <w:t xml:space="preserve">; a efecto de decretar su admisión o desechamiento.</w:t>
      </w:r>
    </w:p>
    <w:p w:rsidR="00000000" w:rsidDel="00000000" w:rsidP="00000000" w:rsidRDefault="00000000" w:rsidRPr="00000000" w14:paraId="0000002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7">
      <w:pPr>
        <w:tabs>
          <w:tab w:val="center" w:pos="4252"/>
          <w:tab w:val="right" w:pos="8504"/>
        </w:tabs>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 Admisión del Recurso de Revisión</w:t>
      </w:r>
    </w:p>
    <w:p w:rsidR="00000000" w:rsidDel="00000000" w:rsidP="00000000" w:rsidRDefault="00000000" w:rsidRPr="00000000" w14:paraId="00000028">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en el expediente electrónico del</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se advierte que en fecha quince de marzo de dos mil veintidós, se acordó la admisión a trámite del Recurso de Revisión que nos ocupa; así como la integración del expediente respectivo, mismo que se puso a disposición de las partes, para que en un plazo máximo de siete días hábiles </w:t>
      </w:r>
      <w:r w:rsidDel="00000000" w:rsidR="00000000" w:rsidRPr="00000000">
        <w:rPr>
          <w:rFonts w:ascii="Palatino Linotype" w:cs="Palatino Linotype" w:eastAsia="Palatino Linotype" w:hAnsi="Palatino Linotype"/>
          <w:b w:val="1"/>
          <w:rtl w:val="0"/>
        </w:rPr>
        <w:t xml:space="preserve">EL RECURRENTE </w:t>
      </w:r>
      <w:r w:rsidDel="00000000" w:rsidR="00000000" w:rsidRPr="00000000">
        <w:rPr>
          <w:rFonts w:ascii="Palatino Linotype" w:cs="Palatino Linotype" w:eastAsia="Palatino Linotype" w:hAnsi="Palatino Linotype"/>
          <w:rtl w:val="0"/>
        </w:rPr>
        <w:t xml:space="preserve">manifestara lo que a su derecho conviniera, a efecto de presentar pruebas y alegatos; así como, para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rindiera el correspondiente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Informe Justificado; lo anterior, conforme a lo dispuesto por el artículo 185 de la Ley de Transparencia y Acceso a la Información Pública del Estado de México y Municipios.</w:t>
      </w:r>
    </w:p>
    <w:p w:rsidR="00000000" w:rsidDel="00000000" w:rsidP="00000000" w:rsidRDefault="00000000" w:rsidRPr="00000000" w14:paraId="00000029">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A">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b) Informe Justificado</w:t>
      </w:r>
    </w:p>
    <w:p w:rsidR="00000000" w:rsidDel="00000000" w:rsidP="00000000" w:rsidRDefault="00000000" w:rsidRPr="00000000" w14:paraId="0000002B">
      <w:pPr>
        <w:widowControl w:val="0"/>
        <w:tabs>
          <w:tab w:val="left" w:pos="0"/>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Conforme a las constancias que obran en el expediente del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se desprende que atento a lo dispuesto en el artículo 185 de la Ley de Transparencia y Acceso a la Información Pública del Estado de México y Municipios, dentro del término legalmente concedido a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no presentó manifestaciones que a su derecho convinieran. </w:t>
      </w:r>
    </w:p>
    <w:p w:rsidR="00000000" w:rsidDel="00000000" w:rsidP="00000000" w:rsidRDefault="00000000" w:rsidRPr="00000000" w14:paraId="0000002C">
      <w:pPr>
        <w:widowControl w:val="0"/>
        <w:tabs>
          <w:tab w:val="left" w:pos="0"/>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D">
      <w:pPr>
        <w:widowControl w:val="0"/>
        <w:tabs>
          <w:tab w:val="left" w:pos="0"/>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su parte,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remitió en fecha veintitrés de marzo de dos mil veintidós el documento denominado SOL 00098 DESARROLLO ECON.pdf que fue puesto a disposición del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para que en un término de tres días hábiles manifestara lo que a su derecho conviniera y de cuyo contenido se advierte el mismo archivo entregado en respuesta. </w:t>
      </w:r>
    </w:p>
    <w:p w:rsidR="00000000" w:rsidDel="00000000" w:rsidP="00000000" w:rsidRDefault="00000000" w:rsidRPr="00000000" w14:paraId="0000002E">
      <w:pPr>
        <w:widowControl w:val="0"/>
        <w:tabs>
          <w:tab w:val="left" w:pos="0"/>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F">
      <w:pPr>
        <w:widowControl w:val="0"/>
        <w:tabs>
          <w:tab w:val="left" w:pos="0"/>
        </w:tabs>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 De la ampliación </w:t>
      </w:r>
    </w:p>
    <w:p w:rsidR="00000000" w:rsidDel="00000000" w:rsidP="00000000" w:rsidRDefault="00000000" w:rsidRPr="00000000" w14:paraId="0000003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fecha seis de mayo de dos mil veintidós, se notificó el acuerdo de ampliación de plazo para resolver el presente Recurso de Revisión, previsto en el artículo 181, tercer párrafo de la Ley de Transparencia y Acceso a la Información Pública del Estado de México y Municipios.</w:t>
      </w:r>
    </w:p>
    <w:p w:rsidR="00000000" w:rsidDel="00000000" w:rsidP="00000000" w:rsidRDefault="00000000" w:rsidRPr="00000000" w14:paraId="0000003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2">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 Cierre de Instrucción</w:t>
      </w:r>
    </w:p>
    <w:p w:rsidR="00000000" w:rsidDel="00000000" w:rsidP="00000000" w:rsidRDefault="00000000" w:rsidRPr="00000000" w14:paraId="0000003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que, una vez analizado el estado procesal que guarda el expediente, en fecha </w:t>
      </w:r>
      <w:r w:rsidDel="00000000" w:rsidR="00000000" w:rsidRPr="00000000">
        <w:rPr>
          <w:rFonts w:ascii="Palatino Linotype" w:cs="Palatino Linotype" w:eastAsia="Palatino Linotype" w:hAnsi="Palatino Linotype"/>
          <w:b w:val="1"/>
          <w:rtl w:val="0"/>
        </w:rPr>
        <w:t xml:space="preserve">veinticuatro de mayo de dos mil veintidós</w:t>
      </w:r>
      <w:r w:rsidDel="00000000" w:rsidR="00000000" w:rsidRPr="00000000">
        <w:rPr>
          <w:rFonts w:ascii="Palatino Linotype" w:cs="Palatino Linotype" w:eastAsia="Palatino Linotype" w:hAnsi="Palatino Linotype"/>
          <w:rtl w:val="0"/>
        </w:rPr>
        <w:t xml:space="preserve">, la </w:t>
      </w:r>
      <w:r w:rsidDel="00000000" w:rsidR="00000000" w:rsidRPr="00000000">
        <w:rPr>
          <w:rFonts w:ascii="Palatino Linotype" w:cs="Palatino Linotype" w:eastAsia="Palatino Linotype" w:hAnsi="Palatino Linotype"/>
          <w:b w:val="1"/>
          <w:rtl w:val="0"/>
        </w:rPr>
        <w:t xml:space="preserve">Comisionada Sharon Cristina Morales Martínez </w:t>
      </w:r>
      <w:r w:rsidDel="00000000" w:rsidR="00000000" w:rsidRPr="00000000">
        <w:rPr>
          <w:rFonts w:ascii="Palatino Linotype" w:cs="Palatino Linotype" w:eastAsia="Palatino Linotype" w:hAnsi="Palatino Linotype"/>
          <w:rtl w:val="0"/>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000000" w:rsidDel="00000000" w:rsidP="00000000" w:rsidRDefault="00000000" w:rsidRPr="00000000" w14:paraId="00000034">
      <w:pPr>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CONSIDERANDO</w:t>
      </w:r>
    </w:p>
    <w:p w:rsidR="00000000" w:rsidDel="00000000" w:rsidP="00000000" w:rsidRDefault="00000000" w:rsidRPr="00000000" w14:paraId="00000035">
      <w:pPr>
        <w:jc w:val="center"/>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36">
      <w:pPr>
        <w:widowControl w:val="0"/>
        <w:tabs>
          <w:tab w:val="left" w:pos="1701"/>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PRIMERO.</w:t>
      </w:r>
      <w:r w:rsidDel="00000000" w:rsidR="00000000" w:rsidRPr="00000000">
        <w:rPr>
          <w:rFonts w:ascii="Palatino Linotype" w:cs="Palatino Linotype" w:eastAsia="Palatino Linotype" w:hAnsi="Palatino Linotype"/>
          <w:b w:val="1"/>
          <w:rtl w:val="0"/>
        </w:rPr>
        <w:t xml:space="preserve"> Competencia</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tl w:val="0"/>
        </w:rPr>
      </w:r>
    </w:p>
    <w:p w:rsidR="00000000" w:rsidDel="00000000" w:rsidP="00000000" w:rsidRDefault="00000000" w:rsidRPr="00000000" w14:paraId="00000037">
      <w:pPr>
        <w:widowControl w:val="0"/>
        <w:tabs>
          <w:tab w:val="left" w:pos="1701"/>
        </w:tabs>
        <w:spacing w:line="360" w:lineRule="auto"/>
        <w:jc w:val="both"/>
        <w:rPr>
          <w:rFonts w:ascii="Palatino Linotype" w:cs="Palatino Linotype" w:eastAsia="Palatino Linotype" w:hAnsi="Palatino Linotype"/>
        </w:rPr>
      </w:pPr>
      <w:bookmarkStart w:colFirst="0" w:colLast="0" w:name="_heading=h.3znysh7" w:id="2"/>
      <w:bookmarkEnd w:id="2"/>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38">
      <w:pPr>
        <w:widowControl w:val="0"/>
        <w:tabs>
          <w:tab w:val="left" w:pos="1701"/>
          <w:tab w:val="left" w:pos="2977"/>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9">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8"/>
          <w:szCs w:val="28"/>
          <w:rtl w:val="0"/>
        </w:rPr>
        <w:t xml:space="preserve">SEGUNDO</w:t>
      </w:r>
      <w:r w:rsidDel="00000000" w:rsidR="00000000" w:rsidRPr="00000000">
        <w:rPr>
          <w:rFonts w:ascii="Palatino Linotype" w:cs="Palatino Linotype" w:eastAsia="Palatino Linotype" w:hAnsi="Palatino Linotype"/>
          <w:b w:val="1"/>
          <w:rtl w:val="0"/>
        </w:rPr>
        <w:t xml:space="preserve">. Interés. </w:t>
      </w:r>
    </w:p>
    <w:p w:rsidR="00000000" w:rsidDel="00000000" w:rsidP="00000000" w:rsidRDefault="00000000" w:rsidRPr="00000000" w14:paraId="0000003A">
      <w:pPr>
        <w:spacing w:line="360" w:lineRule="auto"/>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rtl w:val="0"/>
        </w:rPr>
        <w:t xml:space="preserve">El</w:t>
      </w:r>
      <w:r w:rsidDel="00000000" w:rsidR="00000000" w:rsidRPr="00000000">
        <w:rPr>
          <w:rFonts w:ascii="Palatino Linotype" w:cs="Palatino Linotype" w:eastAsia="Palatino Linotype" w:hAnsi="Palatino Linotype"/>
          <w:color w:val="000000"/>
          <w:rtl w:val="0"/>
        </w:rPr>
        <w:t xml:space="preserve"> Recurso de Revisión materia del presente estudio fue interpuesto por parte legítima, en atención a que se presentó por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b w:val="1"/>
          <w:color w:val="000000"/>
          <w:rtl w:val="0"/>
        </w:rPr>
        <w:t xml:space="preserve"> RECURRENTE,</w:t>
      </w:r>
      <w:r w:rsidDel="00000000" w:rsidR="00000000" w:rsidRPr="00000000">
        <w:rPr>
          <w:rFonts w:ascii="Palatino Linotype" w:cs="Palatino Linotype" w:eastAsia="Palatino Linotype" w:hAnsi="Palatino Linotype"/>
          <w:color w:val="000000"/>
          <w:rtl w:val="0"/>
        </w:rPr>
        <w:t xml:space="preserve"> quien es la misma persona que formuló la solicitud de acceso a la información pública al </w:t>
      </w:r>
      <w:r w:rsidDel="00000000" w:rsidR="00000000" w:rsidRPr="00000000">
        <w:rPr>
          <w:rFonts w:ascii="Palatino Linotype" w:cs="Palatino Linotype" w:eastAsia="Palatino Linotype" w:hAnsi="Palatino Linotype"/>
          <w:b w:val="1"/>
          <w:color w:val="000000"/>
          <w:rtl w:val="0"/>
        </w:rPr>
        <w:t xml:space="preserve">SUJETO OBLIGADO, </w:t>
      </w:r>
      <w:r w:rsidDel="00000000" w:rsidR="00000000" w:rsidRPr="00000000">
        <w:rPr>
          <w:rFonts w:ascii="Palatino Linotype" w:cs="Palatino Linotype" w:eastAsia="Palatino Linotype" w:hAnsi="Palatino Linotype"/>
          <w:color w:val="000000"/>
          <w:rtl w:val="0"/>
        </w:rPr>
        <w:t xml:space="preserve">pues para ello, es necesario que el particular ingrese al </w:t>
      </w:r>
      <w:r w:rsidDel="00000000" w:rsidR="00000000" w:rsidRPr="00000000">
        <w:rPr>
          <w:rFonts w:ascii="Palatino Linotype" w:cs="Palatino Linotype" w:eastAsia="Palatino Linotype" w:hAnsi="Palatino Linotype"/>
          <w:b w:val="1"/>
          <w:color w:val="000000"/>
          <w:rtl w:val="0"/>
        </w:rPr>
        <w:t xml:space="preserve">SAIMEX </w:t>
      </w:r>
      <w:r w:rsidDel="00000000" w:rsidR="00000000" w:rsidRPr="00000000">
        <w:rPr>
          <w:rFonts w:ascii="Palatino Linotype" w:cs="Palatino Linotype" w:eastAsia="Palatino Linotype" w:hAnsi="Palatino Linotype"/>
          <w:color w:val="000000"/>
          <w:rtl w:val="0"/>
        </w:rPr>
        <w:t xml:space="preserve">mediante la utilización de su clave de usuario y contraseña.</w:t>
      </w:r>
      <w:r w:rsidDel="00000000" w:rsidR="00000000" w:rsidRPr="00000000">
        <w:rPr>
          <w:rtl w:val="0"/>
        </w:rPr>
      </w:r>
    </w:p>
    <w:p w:rsidR="00000000" w:rsidDel="00000000" w:rsidP="00000000" w:rsidRDefault="00000000" w:rsidRPr="00000000" w14:paraId="0000003B">
      <w:pPr>
        <w:tabs>
          <w:tab w:val="center" w:pos="4252"/>
          <w:tab w:val="right" w:pos="8504"/>
        </w:tabs>
        <w:spacing w:line="360" w:lineRule="auto"/>
        <w:ind w:left="-57" w:firstLine="0"/>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3C">
      <w:pPr>
        <w:tabs>
          <w:tab w:val="center" w:pos="4252"/>
          <w:tab w:val="right" w:pos="8504"/>
        </w:tabs>
        <w:spacing w:line="360" w:lineRule="auto"/>
        <w:ind w:left="-57" w:firstLine="0"/>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b w:val="1"/>
          <w:sz w:val="28"/>
          <w:szCs w:val="28"/>
          <w:rtl w:val="0"/>
        </w:rPr>
        <w:t xml:space="preserve">TERCERO.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color w:val="000000"/>
          <w:rtl w:val="0"/>
        </w:rPr>
        <w:t xml:space="preserve">Oportunidad</w:t>
      </w:r>
      <w:r w:rsidDel="00000000" w:rsidR="00000000" w:rsidRPr="00000000">
        <w:rPr>
          <w:rFonts w:ascii="Palatino Linotype" w:cs="Palatino Linotype" w:eastAsia="Palatino Linotype" w:hAnsi="Palatino Linotype"/>
          <w:color w:val="000000"/>
          <w:rtl w:val="0"/>
        </w:rPr>
        <w:t xml:space="preserv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pos="1701"/>
        </w:tabs>
        <w:spacing w:line="360" w:lineRule="auto"/>
        <w:ind w:right="49"/>
        <w:jc w:val="both"/>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color w:val="000000"/>
          <w:rtl w:val="0"/>
        </w:rPr>
        <w:t xml:space="preserve">El Recurso de Revisión fue interpuesto dentro del plazo de quince días hábiles, contados a partir del día siguiente al que </w:t>
      </w:r>
      <w:r w:rsidDel="00000000" w:rsidR="00000000" w:rsidRPr="00000000">
        <w:rPr>
          <w:rFonts w:ascii="Palatino Linotype" w:cs="Palatino Linotype" w:eastAsia="Palatino Linotype" w:hAnsi="Palatino Linotype"/>
          <w:b w:val="1"/>
          <w:color w:val="000000"/>
          <w:rtl w:val="0"/>
        </w:rPr>
        <w:t xml:space="preserve">EL RECURRENTE </w:t>
      </w:r>
      <w:r w:rsidDel="00000000" w:rsidR="00000000" w:rsidRPr="00000000">
        <w:rPr>
          <w:rFonts w:ascii="Palatino Linotype" w:cs="Palatino Linotype" w:eastAsia="Palatino Linotype" w:hAnsi="Palatino Linotype"/>
          <w:color w:val="000000"/>
          <w:rtl w:val="0"/>
        </w:rPr>
        <w:t xml:space="preserve">tuvo conocimiento de la respuesta impugnada; tal y como, lo prevé el artículo 178 de la Ley de Transparencia y Acceso a la Información Pública del Estado de México y Municipios, que establece:</w:t>
      </w:r>
      <w:r w:rsidDel="00000000" w:rsidR="00000000" w:rsidRPr="00000000">
        <w:rPr>
          <w:rtl w:val="0"/>
        </w:rPr>
      </w:r>
    </w:p>
    <w:p w:rsidR="00000000" w:rsidDel="00000000" w:rsidP="00000000" w:rsidRDefault="00000000" w:rsidRPr="00000000" w14:paraId="0000003E">
      <w:pPr>
        <w:ind w:left="720" w:right="70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3F">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w:t>
      </w:r>
      <w:r w:rsidDel="00000000" w:rsidR="00000000" w:rsidRPr="00000000">
        <w:rPr>
          <w:rFonts w:ascii="Palatino Linotype" w:cs="Palatino Linotype" w:eastAsia="Palatino Linotype" w:hAnsi="Palatino Linotype"/>
          <w:i w:val="1"/>
          <w:sz w:val="22"/>
          <w:szCs w:val="22"/>
          <w:rtl w:val="0"/>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00000" w:rsidDel="00000000" w:rsidP="00000000" w:rsidRDefault="00000000" w:rsidRPr="00000000" w14:paraId="00000040">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1">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00000" w:rsidDel="00000000" w:rsidP="00000000" w:rsidRDefault="00000000" w:rsidRPr="00000000" w14:paraId="00000042">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3">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el caso de que se interponga ante la Unidad de Transparencia, ésta deberá remitir el Recurso de Revisión al Instituto a más tardar al día siguiente de haberlo recibido.”</w:t>
      </w:r>
    </w:p>
    <w:p w:rsidR="00000000" w:rsidDel="00000000" w:rsidP="00000000" w:rsidRDefault="00000000" w:rsidRPr="00000000" w14:paraId="00000044">
      <w:pPr>
        <w:ind w:left="720" w:right="70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45">
      <w:pPr>
        <w:spacing w:line="360" w:lineRule="auto"/>
        <w:jc w:val="both"/>
        <w:rPr>
          <w:rFonts w:ascii="Palatino Linotype" w:cs="Palatino Linotype" w:eastAsia="Palatino Linotype" w:hAnsi="Palatino Linotype"/>
        </w:rPr>
      </w:pPr>
      <w:bookmarkStart w:colFirst="0" w:colLast="0" w:name="_heading=h.2et92p0" w:id="3"/>
      <w:bookmarkEnd w:id="3"/>
      <w:r w:rsidDel="00000000" w:rsidR="00000000" w:rsidRPr="00000000">
        <w:rPr>
          <w:rFonts w:ascii="Palatino Linotype" w:cs="Palatino Linotype" w:eastAsia="Palatino Linotype" w:hAnsi="Palatino Linotype"/>
          <w:rtl w:val="0"/>
        </w:rPr>
        <w:t xml:space="preserve">En esa tesitura, atendiendo a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notificó la respuesta a la solicitud de acceso a la información pública el día</w:t>
      </w:r>
      <w:r w:rsidDel="00000000" w:rsidR="00000000" w:rsidRPr="00000000">
        <w:rPr>
          <w:rFonts w:ascii="Palatino Linotype" w:cs="Palatino Linotype" w:eastAsia="Palatino Linotype" w:hAnsi="Palatino Linotype"/>
          <w:b w:val="1"/>
          <w:rtl w:val="0"/>
        </w:rPr>
        <w:t xml:space="preserve"> catorce de marzo de dos mil veintidós</w:t>
      </w:r>
      <w:r w:rsidDel="00000000" w:rsidR="00000000" w:rsidRPr="00000000">
        <w:rPr>
          <w:rFonts w:ascii="Palatino Linotype" w:cs="Palatino Linotype" w:eastAsia="Palatino Linotype" w:hAnsi="Palatino Linotype"/>
          <w:rtl w:val="0"/>
        </w:rPr>
        <w:t xml:space="preserve">; así, el plazo de quince días hábiles que el artículo 178 de la Ley de la materia otorga al</w:t>
      </w:r>
      <w:r w:rsidDel="00000000" w:rsidR="00000000" w:rsidRPr="00000000">
        <w:rPr>
          <w:rFonts w:ascii="Palatino Linotype" w:cs="Palatino Linotype" w:eastAsia="Palatino Linotype" w:hAnsi="Palatino Linotype"/>
          <w:b w:val="1"/>
          <w:rtl w:val="0"/>
        </w:rPr>
        <w:t xml:space="preserve"> RECURRENTE</w:t>
      </w:r>
      <w:r w:rsidDel="00000000" w:rsidR="00000000" w:rsidRPr="00000000">
        <w:rPr>
          <w:rFonts w:ascii="Palatino Linotype" w:cs="Palatino Linotype" w:eastAsia="Palatino Linotype" w:hAnsi="Palatino Linotype"/>
          <w:rtl w:val="0"/>
        </w:rPr>
        <w:t xml:space="preserve"> para presentar el respectivo Recurso de Revisión, transcurrió del</w:t>
      </w:r>
      <w:r w:rsidDel="00000000" w:rsidR="00000000" w:rsidRPr="00000000">
        <w:rPr>
          <w:rFonts w:ascii="Palatino Linotype" w:cs="Palatino Linotype" w:eastAsia="Palatino Linotype" w:hAnsi="Palatino Linotype"/>
          <w:b w:val="1"/>
          <w:rtl w:val="0"/>
        </w:rPr>
        <w:t xml:space="preserve"> quince de marzo al cinco de abril de dos mil veintidós, </w:t>
      </w:r>
      <w:r w:rsidDel="00000000" w:rsidR="00000000" w:rsidRPr="00000000">
        <w:rPr>
          <w:rFonts w:ascii="Palatino Linotype" w:cs="Palatino Linotype" w:eastAsia="Palatino Linotype" w:hAnsi="Palatino Linotype"/>
          <w:rtl w:val="0"/>
        </w:rPr>
        <w:t xml:space="preserve">sin contemplar en el cómputo los días doce, trece, diecinueve, veinte, veintiséis y veintisiete de marzo además de los días dos y tres de abril de dos mil veintidós por corresponder a sábados y domingos, considerados como días inhábiles, en términos del artículo 3, fracción X de la Ley de Transparencia y Acceso a la Información Pública del Estado de México y Municipios. Así como, 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46">
      <w:pPr>
        <w:spacing w:line="360" w:lineRule="auto"/>
        <w:jc w:val="both"/>
        <w:rPr>
          <w:rFonts w:ascii="Palatino Linotype" w:cs="Palatino Linotype" w:eastAsia="Palatino Linotype" w:hAnsi="Palatino Linotype"/>
        </w:rPr>
      </w:pPr>
      <w:bookmarkStart w:colFirst="0" w:colLast="0" w:name="_heading=h.orkc3o7h9xbv" w:id="4"/>
      <w:bookmarkEnd w:id="4"/>
      <w:r w:rsidDel="00000000" w:rsidR="00000000" w:rsidRPr="00000000">
        <w:rPr>
          <w:rtl w:val="0"/>
        </w:rPr>
      </w:r>
    </w:p>
    <w:p w:rsidR="00000000" w:rsidDel="00000000" w:rsidP="00000000" w:rsidRDefault="00000000" w:rsidRPr="00000000" w14:paraId="00000047">
      <w:pPr>
        <w:spacing w:line="360" w:lineRule="auto"/>
        <w:ind w:left="-5" w:hanging="10"/>
        <w:jc w:val="both"/>
        <w:rPr/>
      </w:pPr>
      <w:r w:rsidDel="00000000" w:rsidR="00000000" w:rsidRPr="00000000">
        <w:rPr>
          <w:rFonts w:ascii="Palatino Linotype" w:cs="Palatino Linotype" w:eastAsia="Palatino Linotype" w:hAnsi="Palatino Linotype"/>
          <w:rtl w:val="0"/>
        </w:rPr>
        <w:t xml:space="preserve">En ese tenor, se advierte que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presentó el medio de impugnación, el mismo día en que se le notificó la respuesta impugnada;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recurso de revisión se promueve </w:t>
      </w:r>
      <w:r w:rsidDel="00000000" w:rsidR="00000000" w:rsidRPr="00000000">
        <w:rPr>
          <w:rFonts w:ascii="Palatino Linotype" w:cs="Palatino Linotype" w:eastAsia="Palatino Linotype" w:hAnsi="Palatino Linotype"/>
          <w:b w:val="1"/>
          <w:u w:val="single"/>
          <w:rtl w:val="0"/>
        </w:rPr>
        <w:t xml:space="preserve">dentro</w:t>
      </w:r>
      <w:r w:rsidDel="00000000" w:rsidR="00000000" w:rsidRPr="00000000">
        <w:rPr>
          <w:rFonts w:ascii="Palatino Linotype" w:cs="Palatino Linotype" w:eastAsia="Palatino Linotype" w:hAnsi="Palatino Linotype"/>
          <w:rtl w:val="0"/>
        </w:rPr>
        <w:t xml:space="preserve"> de los quince días hábiles siguientes en que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tenga conocimiento de la respuesta impugnada, no limita a los particulares para que lo puedan presentar </w:t>
      </w:r>
      <w:r w:rsidDel="00000000" w:rsidR="00000000" w:rsidRPr="00000000">
        <w:rPr>
          <w:rFonts w:ascii="Palatino Linotype" w:cs="Palatino Linotype" w:eastAsia="Palatino Linotype" w:hAnsi="Palatino Linotype"/>
          <w:b w:val="1"/>
          <w:rtl w:val="0"/>
        </w:rPr>
        <w:t xml:space="preserve">el mismo día</w:t>
      </w:r>
      <w:r w:rsidDel="00000000" w:rsidR="00000000" w:rsidRPr="00000000">
        <w:rPr>
          <w:rFonts w:ascii="Palatino Linotype" w:cs="Palatino Linotype" w:eastAsia="Palatino Linotype" w:hAnsi="Palatino Linotype"/>
          <w:rtl w:val="0"/>
        </w:rPr>
        <w:t xml:space="preserve"> en que le sea notificada dicha respuesta.</w:t>
      </w:r>
      <w:r w:rsidDel="00000000" w:rsidR="00000000" w:rsidRPr="00000000">
        <w:rPr>
          <w:rtl w:val="0"/>
        </w:rPr>
      </w:r>
    </w:p>
    <w:p w:rsidR="00000000" w:rsidDel="00000000" w:rsidP="00000000" w:rsidRDefault="00000000" w:rsidRPr="00000000" w14:paraId="00000048">
      <w:pPr>
        <w:spacing w:after="200" w:before="200" w:line="360" w:lineRule="auto"/>
        <w:jc w:val="both"/>
        <w:rPr/>
      </w:pPr>
      <w:r w:rsidDel="00000000" w:rsidR="00000000" w:rsidRPr="00000000">
        <w:rPr>
          <w:rFonts w:ascii="Palatino Linotype" w:cs="Palatino Linotype" w:eastAsia="Palatino Linotype" w:hAnsi="Palatino Linotype"/>
          <w:rtl w:val="0"/>
        </w:rPr>
        <w:t xml:space="preserve">En apoyo a lo anterior, resulta aplicable por analogía la Jurisprudencia número 1a. /J. 41/2015 (10a.), Décima Época, sustentada por la Primera Sala de la Suprema Corte de Justicia de la Nación, visible en la página 569, libro 19, tomo I, del Semanario Judicial de la Federación y su de la Gaceta de junio de 2015, cuyo rubro y texto esgrimen:</w:t>
      </w:r>
      <w:r w:rsidDel="00000000" w:rsidR="00000000" w:rsidRPr="00000000">
        <w:rPr>
          <w:rtl w:val="0"/>
        </w:rPr>
      </w:r>
    </w:p>
    <w:p w:rsidR="00000000" w:rsidDel="00000000" w:rsidP="00000000" w:rsidRDefault="00000000" w:rsidRPr="00000000" w14:paraId="00000049">
      <w:pPr>
        <w:spacing w:after="120" w:before="120" w:lineRule="auto"/>
        <w:ind w:left="709" w:right="709" w:firstLine="0"/>
        <w:jc w:val="both"/>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RECURSO DE RECLAMACIÓN. SU INTERPOSICIÓN NO ES EXTEMPORÁNEA SI SE REALIZA ANTES DE QUE INICIE EL PLAZO PARA HACERLO. </w:t>
      </w:r>
      <w:r w:rsidDel="00000000" w:rsidR="00000000" w:rsidRPr="00000000">
        <w:rPr>
          <w:rFonts w:ascii="Palatino Linotype" w:cs="Palatino Linotype" w:eastAsia="Palatino Linotype" w:hAnsi="Palatino Linotype"/>
          <w:i w:val="1"/>
          <w:sz w:val="22"/>
          <w:szCs w:val="22"/>
          <w:rtl w:val="0"/>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Del="00000000" w:rsidR="00000000" w:rsidRPr="00000000">
        <w:rPr>
          <w:rtl w:val="0"/>
        </w:rPr>
        <w:t xml:space="preserve"> </w:t>
      </w:r>
    </w:p>
    <w:p w:rsidR="00000000" w:rsidDel="00000000" w:rsidP="00000000" w:rsidRDefault="00000000" w:rsidRPr="00000000" w14:paraId="0000004A">
      <w:pPr>
        <w:spacing w:after="120" w:before="120" w:lineRule="auto"/>
        <w:ind w:left="709" w:right="709" w:firstLine="0"/>
        <w:jc w:val="both"/>
        <w:rPr/>
      </w:pPr>
      <w:r w:rsidDel="00000000" w:rsidR="00000000" w:rsidRPr="00000000">
        <w:rPr>
          <w:rtl w:val="0"/>
        </w:rPr>
      </w:r>
    </w:p>
    <w:p w:rsidR="00000000" w:rsidDel="00000000" w:rsidP="00000000" w:rsidRDefault="00000000" w:rsidRPr="00000000" w14:paraId="0000004B">
      <w:pPr>
        <w:spacing w:after="120" w:before="12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rsidR="00000000" w:rsidDel="00000000" w:rsidP="00000000" w:rsidRDefault="00000000" w:rsidRPr="00000000" w14:paraId="0000004C">
      <w:pPr>
        <w:spacing w:after="120" w:before="120"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D">
      <w:pPr>
        <w:spacing w:after="120" w:before="12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al haber interpuesto el recurso materia de este análisis el mismo día de la notificación de 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debe considerarse en tiempo.</w:t>
      </w:r>
    </w:p>
    <w:p w:rsidR="00000000" w:rsidDel="00000000" w:rsidP="00000000" w:rsidRDefault="00000000" w:rsidRPr="00000000" w14:paraId="0000004E">
      <w:pPr>
        <w:spacing w:line="360" w:lineRule="auto"/>
        <w:ind w:left="-5" w:hanging="1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F">
      <w:pPr>
        <w:spacing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8"/>
          <w:szCs w:val="28"/>
          <w:rtl w:val="0"/>
        </w:rPr>
        <w:t xml:space="preserve">CUARTO</w:t>
      </w:r>
      <w:r w:rsidDel="00000000" w:rsidR="00000000" w:rsidRPr="00000000">
        <w:rPr>
          <w:rFonts w:ascii="Palatino Linotype" w:cs="Palatino Linotype" w:eastAsia="Palatino Linotype" w:hAnsi="Palatino Linotype"/>
          <w:b w:val="1"/>
          <w:rtl w:val="0"/>
        </w:rPr>
        <w:t xml:space="preserve">. Procedibilidad. </w:t>
      </w:r>
    </w:p>
    <w:p w:rsidR="00000000" w:rsidDel="00000000" w:rsidP="00000000" w:rsidRDefault="00000000" w:rsidRPr="00000000" w14:paraId="00000050">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Del="00000000" w:rsidR="00000000" w:rsidRPr="00000000">
        <w:rPr>
          <w:rFonts w:ascii="Palatino Linotype" w:cs="Palatino Linotype" w:eastAsia="Palatino Linotype" w:hAnsi="Palatino Linotype"/>
          <w:b w:val="1"/>
          <w:rtl w:val="0"/>
        </w:rPr>
        <w:t xml:space="preserve">EL SAIMEX</w:t>
      </w:r>
      <w:r w:rsidDel="00000000" w:rsidR="00000000" w:rsidRPr="00000000">
        <w:rPr>
          <w:rtl w:val="0"/>
        </w:rPr>
      </w:r>
    </w:p>
    <w:p w:rsidR="00000000" w:rsidDel="00000000" w:rsidP="00000000" w:rsidRDefault="00000000" w:rsidRPr="00000000" w14:paraId="00000051">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8"/>
          <w:szCs w:val="28"/>
          <w:rtl w:val="0"/>
        </w:rPr>
        <w:t xml:space="preserve">QUINTO</w:t>
      </w:r>
      <w:r w:rsidDel="00000000" w:rsidR="00000000" w:rsidRPr="00000000">
        <w:rPr>
          <w:rFonts w:ascii="Palatino Linotype" w:cs="Palatino Linotype" w:eastAsia="Palatino Linotype" w:hAnsi="Palatino Linotype"/>
          <w:b w:val="1"/>
          <w:rtl w:val="0"/>
        </w:rPr>
        <w:t xml:space="preserve">. Estudio y resolución del asunto. </w:t>
      </w:r>
    </w:p>
    <w:p w:rsidR="00000000" w:rsidDel="00000000" w:rsidP="00000000" w:rsidRDefault="00000000" w:rsidRPr="00000000" w14:paraId="00000053">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tenor, para un mejor estudio y comprensión del asunto que se resuelve, es preciso recordar que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solicitó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lo siguiente: </w:t>
      </w:r>
    </w:p>
    <w:p w:rsidR="00000000" w:rsidDel="00000000" w:rsidP="00000000" w:rsidRDefault="00000000" w:rsidRPr="00000000" w14:paraId="00000054">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“Relación con copia de licencia de funcionamiento de los locales establecimientos de cual quier tipo que se encuentren el municipio de temamatla del año 2015 al 2022.” (sic)</w:t>
      </w:r>
    </w:p>
    <w:p w:rsidR="00000000" w:rsidDel="00000000" w:rsidP="00000000" w:rsidRDefault="00000000" w:rsidRPr="00000000" w14:paraId="00000055">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6">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respuesta,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señaló por medio del archivo denominado </w:t>
      </w:r>
      <w:r w:rsidDel="00000000" w:rsidR="00000000" w:rsidRPr="00000000">
        <w:rPr>
          <w:rFonts w:ascii="Palatino Linotype" w:cs="Palatino Linotype" w:eastAsia="Palatino Linotype" w:hAnsi="Palatino Linotype"/>
          <w:i w:val="1"/>
          <w:rtl w:val="0"/>
        </w:rPr>
        <w:t xml:space="preserve">SOL 00098 DESARROLLO ECON.pdf </w:t>
      </w:r>
      <w:r w:rsidDel="00000000" w:rsidR="00000000" w:rsidRPr="00000000">
        <w:rPr>
          <w:rFonts w:ascii="Palatino Linotype" w:cs="Palatino Linotype" w:eastAsia="Palatino Linotype" w:hAnsi="Palatino Linotype"/>
          <w:rtl w:val="0"/>
        </w:rPr>
        <w:t xml:space="preserve">mismo que contiene el oficio número DESECO/2022-20224/029 de fecha diez de marzo de dos mil veintidós, firmado por la directora de Desarrollo Económico quien manifiesta que no puede entregar la información solicitada, toda vez que no se ha llevado a cabo ninguna sesión del Comité de Transparencia donde se pueda clasificar la información que obra dentro de los documentos solicitados. </w:t>
      </w:r>
    </w:p>
    <w:p w:rsidR="00000000" w:rsidDel="00000000" w:rsidP="00000000" w:rsidRDefault="00000000" w:rsidRPr="00000000" w14:paraId="00000057">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8">
      <w:pPr>
        <w:tabs>
          <w:tab w:val="left" w:pos="709"/>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Posteriormente,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interpuso el presente recurso de revisión, impugnando la negativa de la información, lo cual en consecuencia actualiza las hipótesis de procedibilidad prevista en las fracciones I, del artículo 179 de la Ley de la materia, el cual a la letra dice:</w:t>
      </w:r>
    </w:p>
    <w:p w:rsidR="00000000" w:rsidDel="00000000" w:rsidP="00000000" w:rsidRDefault="00000000" w:rsidRPr="00000000" w14:paraId="00000059">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5A">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5B">
      <w:pPr>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La negativa a la información solicitada;</w:t>
      </w:r>
    </w:p>
    <w:p w:rsidR="00000000" w:rsidDel="00000000" w:rsidP="00000000" w:rsidRDefault="00000000" w:rsidRPr="00000000" w14:paraId="0000005C">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D">
      <w:pPr>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5E">
      <w:pPr>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este contexto, es relevante traer a colación el contenido de la Ley Orgánica Municipal del Estado de México, la cual en su artículo 31 fracciones I Ter, XXIV Quáter, XXIV, XXIV Sexties y XX señala como atribución de los ayuntamiento el otorgar licencias de funcionamiento así como crear y actualizar el Registro Municipal de Unidades Económicas donde se señalan las licencias de funcionamiento otorgadas, como se puede apreciar a continuación:</w:t>
      </w:r>
    </w:p>
    <w:p w:rsidR="00000000" w:rsidDel="00000000" w:rsidP="00000000" w:rsidRDefault="00000000" w:rsidRPr="00000000" w14:paraId="00000060">
      <w:pPr>
        <w:ind w:left="850" w:right="901" w:firstLine="0"/>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31.</w:t>
      </w:r>
      <w:r w:rsidDel="00000000" w:rsidR="00000000" w:rsidRPr="00000000">
        <w:rPr>
          <w:rFonts w:ascii="Palatino Linotype" w:cs="Palatino Linotype" w:eastAsia="Palatino Linotype" w:hAnsi="Palatino Linotype"/>
          <w:i w:val="1"/>
          <w:sz w:val="22"/>
          <w:szCs w:val="22"/>
          <w:rtl w:val="0"/>
        </w:rPr>
        <w:t xml:space="preserve">- Son atribuciones de los ayuntamientos:</w:t>
      </w:r>
    </w:p>
    <w:p w:rsidR="00000000" w:rsidDel="00000000" w:rsidP="00000000" w:rsidRDefault="00000000" w:rsidRPr="00000000" w14:paraId="00000061">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2">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 Ter.</w:t>
      </w:r>
      <w:r w:rsidDel="00000000" w:rsidR="00000000" w:rsidRPr="00000000">
        <w:rPr>
          <w:rFonts w:ascii="Palatino Linotype" w:cs="Palatino Linotype" w:eastAsia="Palatino Linotype" w:hAnsi="Palatino Linotype"/>
          <w:i w:val="1"/>
          <w:sz w:val="22"/>
          <w:szCs w:val="22"/>
          <w:rtl w:val="0"/>
        </w:rPr>
        <w:t xml:space="preserve">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w:t>
      </w:r>
    </w:p>
    <w:p w:rsidR="00000000" w:rsidDel="00000000" w:rsidP="00000000" w:rsidRDefault="00000000" w:rsidRPr="00000000" w14:paraId="00000063">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4">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XXIV Quáter.</w:t>
      </w:r>
      <w:r w:rsidDel="00000000" w:rsidR="00000000" w:rsidRPr="00000000">
        <w:rPr>
          <w:rFonts w:ascii="Palatino Linotype" w:cs="Palatino Linotype" w:eastAsia="Palatino Linotype" w:hAnsi="Palatino Linotype"/>
          <w:i w:val="1"/>
          <w:sz w:val="22"/>
          <w:szCs w:val="22"/>
          <w:rtl w:val="0"/>
        </w:rPr>
        <w:t xml:space="preserve">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 Para los efectos de la presente fracción, la licencia o permiso correspondiente se expedirá en un plazo no mayor a diez días hábiles contados a partir de la presentación del Dictamen de Giro aprobado.</w:t>
      </w:r>
    </w:p>
    <w:p w:rsidR="00000000" w:rsidDel="00000000" w:rsidP="00000000" w:rsidRDefault="00000000" w:rsidRPr="00000000" w14:paraId="00000065">
      <w:pPr>
        <w:ind w:left="850"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66">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XXIV. Quinques</w:t>
      </w:r>
      <w:r w:rsidDel="00000000" w:rsidR="00000000" w:rsidRPr="00000000">
        <w:rPr>
          <w:rFonts w:ascii="Palatino Linotype" w:cs="Palatino Linotype" w:eastAsia="Palatino Linotype" w:hAnsi="Palatino Linotype"/>
          <w:i w:val="1"/>
          <w:sz w:val="22"/>
          <w:szCs w:val="22"/>
          <w:rtl w:val="0"/>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w:t>
      </w:r>
    </w:p>
    <w:p w:rsidR="00000000" w:rsidDel="00000000" w:rsidP="00000000" w:rsidRDefault="00000000" w:rsidRPr="00000000" w14:paraId="00000067">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8">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Una vez presentado el Dictamen de Giro aprobado, se expedirá la licencia de funcionamiento en un plazo no mayor a diez días hábiles. </w:t>
      </w:r>
    </w:p>
    <w:p w:rsidR="00000000" w:rsidDel="00000000" w:rsidP="00000000" w:rsidRDefault="00000000" w:rsidRPr="00000000" w14:paraId="00000069">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A">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el refrendo anual no es necesario obtener un nuevo Dictamen de Giro siempre y cuando, no se modifiquen la superficie de la unidad económica, su aforo o su actividad económica;</w:t>
      </w:r>
    </w:p>
    <w:p w:rsidR="00000000" w:rsidDel="00000000" w:rsidP="00000000" w:rsidRDefault="00000000" w:rsidRPr="00000000" w14:paraId="0000006B">
      <w:pPr>
        <w:ind w:left="850" w:right="901"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6C">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XXIV. Sexties.</w:t>
      </w:r>
      <w:r w:rsidDel="00000000" w:rsidR="00000000" w:rsidRPr="00000000">
        <w:rPr>
          <w:rFonts w:ascii="Palatino Linotype" w:cs="Palatino Linotype" w:eastAsia="Palatino Linotype" w:hAnsi="Palatino Linotype"/>
          <w:i w:val="1"/>
          <w:sz w:val="22"/>
          <w:szCs w:val="22"/>
          <w:rtl w:val="0"/>
        </w:rPr>
        <w:t xml:space="preserve"> Aprobar y publicar el programa especial para otorgar la licencia o permiso provisional de funcionamiento para negocios de bajo riesgo sanitario, ambiental o de protección</w:t>
      </w:r>
    </w:p>
    <w:p w:rsidR="00000000" w:rsidDel="00000000" w:rsidP="00000000" w:rsidRDefault="00000000" w:rsidRPr="00000000" w14:paraId="0000006D">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E">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XLIV. Crear el Registro Municipal de Unidades Económicas, donde se especifique la licencia de funcionamiento con la actividad de la unidad económica e impacto que generen, así como las demás características que se determinen;” </w:t>
      </w:r>
    </w:p>
    <w:p w:rsidR="00000000" w:rsidDel="00000000" w:rsidP="00000000" w:rsidRDefault="00000000" w:rsidRPr="00000000" w14:paraId="0000006F">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mismo, la ley en comento faculta al Presidente Municipal para expedir las licencias de funcionamiento y a al Titular de la Dirección de Desarrollo Económico o su equivalente el operar y actualizar el Registro Municipal de Unidades Económicas, según lo indican sus artículos 48 fracción VI Bis  y 96 Quáter fracciones XIX y XX que a la letra señalan: </w:t>
      </w:r>
    </w:p>
    <w:p w:rsidR="00000000" w:rsidDel="00000000" w:rsidP="00000000" w:rsidRDefault="00000000" w:rsidRPr="00000000" w14:paraId="00000072">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73">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48.-</w:t>
      </w:r>
      <w:r w:rsidDel="00000000" w:rsidR="00000000" w:rsidRPr="00000000">
        <w:rPr>
          <w:rFonts w:ascii="Palatino Linotype" w:cs="Palatino Linotype" w:eastAsia="Palatino Linotype" w:hAnsi="Palatino Linotype"/>
          <w:i w:val="1"/>
          <w:sz w:val="22"/>
          <w:szCs w:val="22"/>
          <w:rtl w:val="0"/>
        </w:rPr>
        <w:t xml:space="preserve"> El presidente municipal tiene las siguientes atribuciones:</w:t>
        <w:br w:type="textWrapping"/>
        <w:t xml:space="preserve">….</w:t>
      </w:r>
    </w:p>
    <w:p w:rsidR="00000000" w:rsidDel="00000000" w:rsidP="00000000" w:rsidRDefault="00000000" w:rsidRPr="00000000" w14:paraId="00000074">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 Bis</w:t>
      </w:r>
      <w:r w:rsidDel="00000000" w:rsidR="00000000" w:rsidRPr="00000000">
        <w:rPr>
          <w:rFonts w:ascii="Palatino Linotype" w:cs="Palatino Linotype" w:eastAsia="Palatino Linotype" w:hAnsi="Palatino Linotype"/>
          <w:i w:val="1"/>
          <w:sz w:val="22"/>
          <w:szCs w:val="22"/>
          <w:rtl w:val="0"/>
        </w:rPr>
        <w:t xml:space="preserve">. Expedir, previo acuerdo del Ayuntamiento, la licencia del establecimiento mercantil que autorice o permita la venta de bebidas alcohólicas, en un plazo no mayor a tres días hábiles, contados a partir de que sea emitida la autorización del Ayuntamiento;</w:t>
      </w:r>
    </w:p>
    <w:p w:rsidR="00000000" w:rsidDel="00000000" w:rsidP="00000000" w:rsidRDefault="00000000" w:rsidRPr="00000000" w14:paraId="00000075">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76">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77">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96 Quáter.-</w:t>
      </w:r>
      <w:r w:rsidDel="00000000" w:rsidR="00000000" w:rsidRPr="00000000">
        <w:rPr>
          <w:rFonts w:ascii="Palatino Linotype" w:cs="Palatino Linotype" w:eastAsia="Palatino Linotype" w:hAnsi="Palatino Linotype"/>
          <w:i w:val="1"/>
          <w:sz w:val="22"/>
          <w:szCs w:val="22"/>
          <w:rtl w:val="0"/>
        </w:rPr>
        <w:t xml:space="preserve"> El Titular de la Dirección de Desarrollo Económico Municipal o el Titular de la Unidad Administrativa equivalente, tiene las siguientes atribuciones:</w:t>
      </w:r>
    </w:p>
    <w:p w:rsidR="00000000" w:rsidDel="00000000" w:rsidP="00000000" w:rsidRDefault="00000000" w:rsidRPr="00000000" w14:paraId="00000078">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79">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XIX.</w:t>
      </w:r>
      <w:r w:rsidDel="00000000" w:rsidR="00000000" w:rsidRPr="00000000">
        <w:rPr>
          <w:rFonts w:ascii="Palatino Linotype" w:cs="Palatino Linotype" w:eastAsia="Palatino Linotype" w:hAnsi="Palatino Linotype"/>
          <w:i w:val="1"/>
          <w:sz w:val="22"/>
          <w:szCs w:val="22"/>
          <w:rtl w:val="0"/>
        </w:rPr>
        <w:t xml:space="preserve">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rsidR="00000000" w:rsidDel="00000000" w:rsidP="00000000" w:rsidRDefault="00000000" w:rsidRPr="00000000" w14:paraId="0000007A">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7B">
      <w:pPr>
        <w:ind w:left="850"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 </w:t>
      </w:r>
      <w:r w:rsidDel="00000000" w:rsidR="00000000" w:rsidRPr="00000000">
        <w:rPr>
          <w:rFonts w:ascii="Palatino Linotype" w:cs="Palatino Linotype" w:eastAsia="Palatino Linotype" w:hAnsi="Palatino Linotype"/>
          <w:i w:val="1"/>
          <w:sz w:val="22"/>
          <w:szCs w:val="22"/>
          <w:rtl w:val="0"/>
        </w:rPr>
        <w:t xml:space="preserve">Crear y actualizar el Registro de las Unidades Económicas que cuenten con el Dictamen de Giro, para la solicitud o refrendo de las licencias de funcionamiento;”</w:t>
      </w:r>
      <w:r w:rsidDel="00000000" w:rsidR="00000000" w:rsidRPr="00000000">
        <w:rPr>
          <w:rtl w:val="0"/>
        </w:rPr>
      </w:r>
    </w:p>
    <w:p w:rsidR="00000000" w:rsidDel="00000000" w:rsidP="00000000" w:rsidRDefault="00000000" w:rsidRPr="00000000" w14:paraId="0000007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Dicha situación se puede verificar en la normativa interna del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pues el Bando de Policía y Gobierno del Municipio de Temamatla contempla en su artículo 95 la facultad de la Dirección de Desarrollo Económico de integrar los expedientes y autorizaciones de Licencias de Funcionamiento. Se inserta dicho precepto para mayor certeza jurídica </w:t>
      </w:r>
    </w:p>
    <w:p w:rsidR="00000000" w:rsidDel="00000000" w:rsidP="00000000" w:rsidRDefault="00000000" w:rsidRPr="00000000" w14:paraId="0000007E">
      <w:pPr>
        <w:ind w:right="901"/>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7F">
      <w:pPr>
        <w:ind w:left="850" w:right="901"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“Bando de Policía y Gobierno del Municipio de Temamatla”</w:t>
      </w:r>
    </w:p>
    <w:p w:rsidR="00000000" w:rsidDel="00000000" w:rsidP="00000000" w:rsidRDefault="00000000" w:rsidRPr="00000000" w14:paraId="00000080">
      <w:pPr>
        <w:ind w:left="850" w:right="901"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81">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95.</w:t>
      </w:r>
      <w:r w:rsidDel="00000000" w:rsidR="00000000" w:rsidRPr="00000000">
        <w:rPr>
          <w:rFonts w:ascii="Palatino Linotype" w:cs="Palatino Linotype" w:eastAsia="Palatino Linotype" w:hAnsi="Palatino Linotype"/>
          <w:i w:val="1"/>
          <w:sz w:val="22"/>
          <w:szCs w:val="22"/>
          <w:rtl w:val="0"/>
        </w:rPr>
        <w:t xml:space="preserve">- La Dirección de Desarrollo Económico, es la dependencia facultada para integrar los expedientes de las autorizaciones denominadas; Títulos de Concesión, Licencias de Funcionamiento, Permisos Temporales, De Temporada y Definitivos, las que una vez reunidos los requisitos de ley, firmará el Presidente Municipal Constitucional. </w:t>
      </w:r>
    </w:p>
    <w:p w:rsidR="00000000" w:rsidDel="00000000" w:rsidP="00000000" w:rsidRDefault="00000000" w:rsidRPr="00000000" w14:paraId="00000082">
      <w:pPr>
        <w:spacing w:line="360" w:lineRule="auto"/>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Luego, de la interpretación sistemática a los preceptos legales insertos se obtiene que es atribución de los Ayuntamientos el otorgar las licencias de funcionamiento, por conducto del Dirección de Desarrollo Económico Municipal o el Titular de la Unidad Administrativa equivalente, puesta esta, se encarga de la expedición, de los permisos o licencias de funcionamiento otorgadas a las unidades económicas. </w:t>
      </w:r>
    </w:p>
    <w:p w:rsidR="00000000" w:rsidDel="00000000" w:rsidP="00000000" w:rsidRDefault="00000000" w:rsidRPr="00000000" w14:paraId="0000008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es posible señalar que fue la autoridad competente quien dio respuesta a la solicitud de información pública de la particular, pues es el Titular de la Dirección de Desarrollo Económico quien se encuentra facultado según lo dispuesto por la Ley Orgánica Municipal y el Bando Municipal para generar poseer y administrar las Licencias de Funcionamiento emitidas por el Ayuntamiento. </w:t>
      </w:r>
    </w:p>
    <w:p w:rsidR="00000000" w:rsidDel="00000000" w:rsidP="00000000" w:rsidRDefault="00000000" w:rsidRPr="00000000" w14:paraId="0000008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6">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Aunado a lo anterior, este Instituto advierte que la información solicitada se encuentra contemplada dentro de las Obligaciones Comunes de Transparencia, las cuales deberá ser puestas a disposición del público de manera permanente y actualizada según lo dispuesto por el artículo 92 fracción XXXII de la Ley de Transparencia y Acceso a la Información Pública del Estado de México y Municipios que versa sobre lo que a continuación se indica: </w:t>
      </w:r>
    </w:p>
    <w:p w:rsidR="00000000" w:rsidDel="00000000" w:rsidP="00000000" w:rsidRDefault="00000000" w:rsidRPr="00000000" w14:paraId="00000087">
      <w:pPr>
        <w:ind w:left="850" w:right="89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u w:val="single"/>
          <w:rtl w:val="0"/>
        </w:rPr>
        <w:t xml:space="preserve">Capítulo II </w:t>
      </w:r>
    </w:p>
    <w:p w:rsidR="00000000" w:rsidDel="00000000" w:rsidP="00000000" w:rsidRDefault="00000000" w:rsidRPr="00000000" w14:paraId="00000088">
      <w:pPr>
        <w:ind w:left="850" w:right="899" w:firstLine="0"/>
        <w:jc w:val="both"/>
        <w:rPr>
          <w:rFonts w:ascii="Palatino Linotype" w:cs="Palatino Linotype" w:eastAsia="Palatino Linotype" w:hAnsi="Palatino Linotype"/>
          <w:b w:val="1"/>
          <w:i w:val="1"/>
          <w:sz w:val="22"/>
          <w:szCs w:val="22"/>
          <w:u w:val="single"/>
        </w:rPr>
      </w:pPr>
      <w:r w:rsidDel="00000000" w:rsidR="00000000" w:rsidRPr="00000000">
        <w:rPr>
          <w:rFonts w:ascii="Palatino Linotype" w:cs="Palatino Linotype" w:eastAsia="Palatino Linotype" w:hAnsi="Palatino Linotype"/>
          <w:b w:val="1"/>
          <w:i w:val="1"/>
          <w:sz w:val="22"/>
          <w:szCs w:val="22"/>
          <w:u w:val="single"/>
          <w:rtl w:val="0"/>
        </w:rPr>
        <w:t xml:space="preserve">De las Obligaciones de Transparencia Comunes </w:t>
      </w:r>
    </w:p>
    <w:p w:rsidR="00000000" w:rsidDel="00000000" w:rsidP="00000000" w:rsidRDefault="00000000" w:rsidRPr="00000000" w14:paraId="00000089">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92</w:t>
      </w:r>
      <w:r w:rsidDel="00000000" w:rsidR="00000000" w:rsidRPr="00000000">
        <w:rPr>
          <w:rFonts w:ascii="Palatino Linotype" w:cs="Palatino Linotype" w:eastAsia="Palatino Linotype" w:hAnsi="Palatino Linotype"/>
          <w:i w:val="1"/>
          <w:sz w:val="22"/>
          <w:szCs w:val="22"/>
          <w:rtl w:val="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00000" w:rsidDel="00000000" w:rsidP="00000000" w:rsidRDefault="00000000" w:rsidRPr="00000000" w14:paraId="0000008A">
      <w:pPr>
        <w:ind w:left="850"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8B">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XXXII.</w:t>
      </w:r>
      <w:r w:rsidDel="00000000" w:rsidR="00000000" w:rsidRPr="00000000">
        <w:rPr>
          <w:rFonts w:ascii="Palatino Linotype" w:cs="Palatino Linotype" w:eastAsia="Palatino Linotype" w:hAnsi="Palatino Linotype"/>
          <w:i w:val="1"/>
          <w:sz w:val="22"/>
          <w:szCs w:val="22"/>
          <w:rtl w:val="0"/>
        </w:rPr>
        <w:t xml:space="preserve"> Las concesiones, contratos, convenios, permisos, </w:t>
      </w:r>
      <w:r w:rsidDel="00000000" w:rsidR="00000000" w:rsidRPr="00000000">
        <w:rPr>
          <w:rFonts w:ascii="Palatino Linotype" w:cs="Palatino Linotype" w:eastAsia="Palatino Linotype" w:hAnsi="Palatino Linotype"/>
          <w:b w:val="1"/>
          <w:i w:val="1"/>
          <w:sz w:val="22"/>
          <w:szCs w:val="22"/>
          <w:rtl w:val="0"/>
        </w:rPr>
        <w:t xml:space="preserve">licencias o autorizaciones</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otorgados,</w:t>
      </w:r>
      <w:r w:rsidDel="00000000" w:rsidR="00000000" w:rsidRPr="00000000">
        <w:rPr>
          <w:rFonts w:ascii="Palatino Linotype" w:cs="Palatino Linotype" w:eastAsia="Palatino Linotype" w:hAnsi="Palatino Linotype"/>
          <w:i w:val="1"/>
          <w:sz w:val="22"/>
          <w:szCs w:val="22"/>
          <w:rtl w:val="0"/>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rsidR="00000000" w:rsidDel="00000000" w:rsidP="00000000" w:rsidRDefault="00000000" w:rsidRPr="00000000" w14:paraId="0000008C">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8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8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determinado lo anterior, de la respuesta otorgada por el ente recurrido, se observa que el servidor público habilitado manifiesta que no puede entregar la información solicitada toda vez que no se ha aprobado la versión pública de la misma, pues el Comité de Transparencia no ha sesionado. </w:t>
      </w:r>
    </w:p>
    <w:p w:rsidR="00000000" w:rsidDel="00000000" w:rsidP="00000000" w:rsidRDefault="00000000" w:rsidRPr="00000000" w14:paraId="0000009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Sobre lo anterior, es dable mencionar que si bien es cierto, para poder elaborar una versión pública de la información es necesario que la misma sea aprobada por el Comité de Transparencia quien deberá fundar y motivar mediante un Acuerdo la clasificación de la información según lo dispuesto por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lo cierto también es que dicha situación debe tener lugar en el periodo concedido por la Ley de Transparencia y Acceso a la Información Pública del Estado de México y Municipios para llevar a cabo el trámite de las solicitudes de información y la entrega de la respuesta a  las mismas. </w:t>
      </w:r>
    </w:p>
    <w:p w:rsidR="00000000" w:rsidDel="00000000" w:rsidP="00000000" w:rsidRDefault="00000000" w:rsidRPr="00000000" w14:paraId="0000009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pues la ley de Transparencia local antes referida contempla en su artículo 163 el plazo para dar respuesta a las solicitudes de información indicando que  deberá efectuarse en el menor tiempo posible y no podrá exceder de quince días hábiles, plazo que en casos excepcionales podrá ampliarse hasta siete días hábiles más como se puede constatar de la transcripción del precepto en comento:  </w:t>
      </w:r>
    </w:p>
    <w:p w:rsidR="00000000" w:rsidDel="00000000" w:rsidP="00000000" w:rsidRDefault="00000000" w:rsidRPr="00000000" w14:paraId="00000093">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w:t>
      </w:r>
      <w:r w:rsidDel="00000000" w:rsidR="00000000" w:rsidRPr="00000000">
        <w:rPr>
          <w:rFonts w:ascii="Palatino Linotype" w:cs="Palatino Linotype" w:eastAsia="Palatino Linotype" w:hAnsi="Palatino Linotype"/>
          <w:i w:val="1"/>
          <w:sz w:val="22"/>
          <w:szCs w:val="22"/>
          <w:rtl w:val="0"/>
        </w:rPr>
        <w:t xml:space="preserve"> La Unidad de Transparencia deberá notificar la respuesta a la solicitud al interesado en el menor tiempo posible, que no podrá exceder de quince días hábiles, contados a partir del día siguiente a la presentación de aquélla. </w:t>
      </w:r>
    </w:p>
    <w:p w:rsidR="00000000" w:rsidDel="00000000" w:rsidP="00000000" w:rsidRDefault="00000000" w:rsidRPr="00000000" w14:paraId="00000094">
      <w:pPr>
        <w:ind w:left="850"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95">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00000" w:rsidDel="00000000" w:rsidP="00000000" w:rsidRDefault="00000000" w:rsidRPr="00000000" w14:paraId="00000096">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9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9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ello en mente, la misma ley prevé que en caso de que los Sujetos Obligados consideren que dentro de los documentos solicitados  exista información que deba ser clasificada, el área competente deberá remitir la solicitud junto con el escrito que funde y motive la clasificación al Comité de Transparencia quien resolverá y dicha resolución deberá ser notificada al interesado en el plazo de respuesta a la solicitud de información, aquello se verifica en el artículo el artículo 168 cuyo contenido es del tenor siguiente: </w:t>
      </w:r>
    </w:p>
    <w:p w:rsidR="00000000" w:rsidDel="00000000" w:rsidP="00000000" w:rsidRDefault="00000000" w:rsidRPr="00000000" w14:paraId="00000099">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168</w:t>
      </w:r>
      <w:r w:rsidDel="00000000" w:rsidR="00000000" w:rsidRPr="00000000">
        <w:rPr>
          <w:rFonts w:ascii="Palatino Linotype" w:cs="Palatino Linotype" w:eastAsia="Palatino Linotype" w:hAnsi="Palatino Linotype"/>
          <w:i w:val="1"/>
          <w:sz w:val="22"/>
          <w:szCs w:val="22"/>
          <w:rtl w:val="0"/>
        </w:rPr>
        <w:t xml:space="preserve">. En caso de que los sujetos obligados consideren que los documentos o la información deban ser clasificados, se sujetará a lo siguiente: </w:t>
      </w:r>
    </w:p>
    <w:p w:rsidR="00000000" w:rsidDel="00000000" w:rsidP="00000000" w:rsidRDefault="00000000" w:rsidRPr="00000000" w14:paraId="0000009A">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El Área deberá remitir la solicitud, así como un escrito en el que funde y motive la clasificación al Comité de Transparencia, mismo que deberá resolver para: </w:t>
      </w:r>
    </w:p>
    <w:p w:rsidR="00000000" w:rsidDel="00000000" w:rsidP="00000000" w:rsidRDefault="00000000" w:rsidRPr="00000000" w14:paraId="0000009B">
      <w:pPr>
        <w:ind w:left="157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Confirmar la clasificación; </w:t>
      </w:r>
    </w:p>
    <w:p w:rsidR="00000000" w:rsidDel="00000000" w:rsidP="00000000" w:rsidRDefault="00000000" w:rsidRPr="00000000" w14:paraId="0000009C">
      <w:pPr>
        <w:ind w:left="157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b) Modificar. la clasificación y otorgar total o parcialmente el acceso a la información; y </w:t>
      </w:r>
    </w:p>
    <w:p w:rsidR="00000000" w:rsidDel="00000000" w:rsidP="00000000" w:rsidRDefault="00000000" w:rsidRPr="00000000" w14:paraId="0000009D">
      <w:pPr>
        <w:ind w:left="157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 Revocar la clasificación y conceder el acceso a la información. </w:t>
      </w:r>
    </w:p>
    <w:p w:rsidR="00000000" w:rsidDel="00000000" w:rsidP="00000000" w:rsidRDefault="00000000" w:rsidRPr="00000000" w14:paraId="0000009E">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II. El Comité de Transparencia podrá tener acceso a la información que esté en poder del Área correspondiente, de la cual se haya solicitado su clasificación; y </w:t>
      </w:r>
    </w:p>
    <w:p w:rsidR="00000000" w:rsidDel="00000000" w:rsidP="00000000" w:rsidRDefault="00000000" w:rsidRPr="00000000" w14:paraId="0000009F">
      <w:pPr>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La resolución del Comité de Transparencia será notificada al interesado en el plazo de respuesta a la solicitud que establece esta Ley</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A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1">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Luego entonces, la clasificación de los datos confidenciales o, en su caso, reservados, debió haberse elaborado en el término de quince días hábiles concedido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para dar respuesta y no constituye un impedimento para  hacer entrega de la información solicitada al particular </w:t>
      </w:r>
    </w:p>
    <w:p w:rsidR="00000000" w:rsidDel="00000000" w:rsidP="00000000" w:rsidRDefault="00000000" w:rsidRPr="00000000" w14:paraId="000000A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esta tesitura este Órgano Garante de lo anterior, queda plenamente establecido que el Ayuntamiento de Temamatla, </w:t>
      </w:r>
      <w:r w:rsidDel="00000000" w:rsidR="00000000" w:rsidRPr="00000000">
        <w:rPr>
          <w:rFonts w:ascii="Palatino Linotype" w:cs="Palatino Linotype" w:eastAsia="Palatino Linotype" w:hAnsi="Palatino Linotype"/>
          <w:u w:val="single"/>
          <w:rtl w:val="0"/>
        </w:rPr>
        <w:t xml:space="preserve">le asiste la facultad de expedir licencias de funcionamiento otorgadas</w:t>
      </w:r>
      <w:r w:rsidDel="00000000" w:rsidR="00000000" w:rsidRPr="00000000">
        <w:rPr>
          <w:rFonts w:ascii="Palatino Linotype" w:cs="Palatino Linotype" w:eastAsia="Palatino Linotype" w:hAnsi="Palatino Linotype"/>
          <w:rtl w:val="0"/>
        </w:rPr>
        <w:t xml:space="preserve"> , de ahí que se concluya que la información solicitada sea de carácter público, en virtud de que la genera, posee y administra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en el ejercicio de sus funciones de derecho público, por ello es dable, ordenar haga entrega del soporte documental en versión pública donde consten  las licencias de funcionamiento de cualquier tipo por el periodo comprendido del primero de enero del dos mil quince al veintiuno de febrero de dos mil veintidós.</w:t>
      </w:r>
    </w:p>
    <w:p w:rsidR="00000000" w:rsidDel="00000000" w:rsidP="00000000" w:rsidRDefault="00000000" w:rsidRPr="00000000" w14:paraId="000000A4">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A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en relación a la </w:t>
      </w:r>
      <w:r w:rsidDel="00000000" w:rsidR="00000000" w:rsidRPr="00000000">
        <w:rPr>
          <w:rFonts w:ascii="Palatino Linotype" w:cs="Palatino Linotype" w:eastAsia="Palatino Linotype" w:hAnsi="Palatino Linotype"/>
          <w:b w:val="1"/>
          <w:rtl w:val="0"/>
        </w:rPr>
        <w:t xml:space="preserve">versión pública </w:t>
      </w:r>
      <w:r w:rsidDel="00000000" w:rsidR="00000000" w:rsidRPr="00000000">
        <w:rPr>
          <w:rFonts w:ascii="Palatino Linotype" w:cs="Palatino Linotype" w:eastAsia="Palatino Linotype" w:hAnsi="Palatino Linotype"/>
          <w:rtl w:val="0"/>
        </w:rPr>
        <w:t xml:space="preserve">de la información de la que se ordena su entrega, en términos del artículo 143 de la Ley de Transparencia y Acceso a la Información Pública del Estado de México y Municipios, deberá omitirse, eliminarse o suprimirse la información </w:t>
      </w:r>
      <w:r w:rsidDel="00000000" w:rsidR="00000000" w:rsidRPr="00000000">
        <w:rPr>
          <w:rFonts w:ascii="Palatino Linotype" w:cs="Palatino Linotype" w:eastAsia="Palatino Linotype" w:hAnsi="Palatino Linotype"/>
          <w:b w:val="1"/>
          <w:rtl w:val="0"/>
        </w:rPr>
        <w:t xml:space="preserve">confidencial</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A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000000" w:rsidDel="00000000" w:rsidP="00000000" w:rsidRDefault="00000000" w:rsidRPr="00000000" w14:paraId="000000A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A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ende,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00000" w:rsidDel="00000000" w:rsidP="00000000" w:rsidRDefault="00000000" w:rsidRPr="00000000" w14:paraId="000000AA">
      <w:pPr>
        <w:ind w:left="851" w:right="902"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AB">
      <w:pPr>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Ley de Transparencia y Acceso a la Información Pública del Estado de México y Municipios</w:t>
      </w:r>
    </w:p>
    <w:p w:rsidR="00000000" w:rsidDel="00000000" w:rsidP="00000000" w:rsidRDefault="00000000" w:rsidRPr="00000000" w14:paraId="000000A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49. </w:t>
      </w:r>
      <w:r w:rsidDel="00000000" w:rsidR="00000000" w:rsidRPr="00000000">
        <w:rPr>
          <w:rFonts w:ascii="Palatino Linotype" w:cs="Palatino Linotype" w:eastAsia="Palatino Linotype" w:hAnsi="Palatino Linotype"/>
          <w:i w:val="1"/>
          <w:sz w:val="22"/>
          <w:szCs w:val="22"/>
          <w:rtl w:val="0"/>
        </w:rPr>
        <w:t xml:space="preserve">Los Comités de Transparencia tendrán las siguientes atribuciones:</w:t>
      </w:r>
    </w:p>
    <w:p w:rsidR="00000000" w:rsidDel="00000000" w:rsidP="00000000" w:rsidRDefault="00000000" w:rsidRPr="00000000" w14:paraId="000000AD">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Aprobar</w:t>
      </w:r>
      <w:r w:rsidDel="00000000" w:rsidR="00000000" w:rsidRPr="00000000">
        <w:rPr>
          <w:rFonts w:ascii="Palatino Linotype" w:cs="Palatino Linotype" w:eastAsia="Palatino Linotype" w:hAnsi="Palatino Linotype"/>
          <w:i w:val="1"/>
          <w:sz w:val="22"/>
          <w:szCs w:val="22"/>
          <w:rtl w:val="0"/>
        </w:rPr>
        <w:t xml:space="preserve">, modificar o revocar la clasificación de la información;</w:t>
      </w:r>
    </w:p>
    <w:p w:rsidR="00000000" w:rsidDel="00000000" w:rsidP="00000000" w:rsidRDefault="00000000" w:rsidRPr="00000000" w14:paraId="000000AE">
      <w:pPr>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132.</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clasificación de la información se llevará a cabo en el momento en que:</w:t>
      </w:r>
    </w:p>
    <w:p w:rsidR="00000000" w:rsidDel="00000000" w:rsidP="00000000" w:rsidRDefault="00000000" w:rsidRPr="00000000" w14:paraId="000000AF">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B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Se determine mediante resolución de autoridad competente; o</w:t>
      </w:r>
    </w:p>
    <w:p w:rsidR="00000000" w:rsidDel="00000000" w:rsidP="00000000" w:rsidRDefault="00000000" w:rsidRPr="00000000" w14:paraId="000000B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Se generen versiones públicas para dar cumplimiento a las obligaciones de transparencia previstas en esta Ley</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B2">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3">
      <w:pPr>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Lineamientos Generales en materia de Clasificación y Desclasificación de la Información</w:t>
      </w:r>
    </w:p>
    <w:p w:rsidR="00000000" w:rsidDel="00000000" w:rsidP="00000000" w:rsidRDefault="00000000" w:rsidRPr="00000000" w14:paraId="000000B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Para efectos de los presentes Lineamientos Generales, se entenderá por:</w:t>
      </w:r>
    </w:p>
    <w:p w:rsidR="00000000" w:rsidDel="00000000" w:rsidP="00000000" w:rsidRDefault="00000000" w:rsidRPr="00000000" w14:paraId="000000B5">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XVIII.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Versión pública:</w:t>
      </w:r>
      <w:r w:rsidDel="00000000" w:rsidR="00000000" w:rsidRPr="00000000">
        <w:rPr>
          <w:rFonts w:ascii="Palatino Linotype" w:cs="Palatino Linotype" w:eastAsia="Palatino Linotype" w:hAnsi="Palatino Linotype"/>
          <w:i w:val="1"/>
          <w:sz w:val="22"/>
          <w:szCs w:val="22"/>
          <w:rtl w:val="0"/>
        </w:rPr>
        <w:t xml:space="preserve"> El documento a partir del que se otorga acceso a la información, en el que se testan partes o secciones clasificadas, indicando el contenido de éstas de manera genérica, </w:t>
      </w:r>
      <w:r w:rsidDel="00000000" w:rsidR="00000000" w:rsidRPr="00000000">
        <w:rPr>
          <w:rFonts w:ascii="Palatino Linotype" w:cs="Palatino Linotype" w:eastAsia="Palatino Linotype" w:hAnsi="Palatino Linotype"/>
          <w:b w:val="1"/>
          <w:i w:val="1"/>
          <w:sz w:val="22"/>
          <w:szCs w:val="22"/>
          <w:rtl w:val="0"/>
        </w:rPr>
        <w:t xml:space="preserve">fundando y motivando la</w:t>
      </w:r>
      <w:r w:rsidDel="00000000" w:rsidR="00000000" w:rsidRPr="00000000">
        <w:rPr>
          <w:rFonts w:ascii="Palatino Linotype" w:cs="Palatino Linotype" w:eastAsia="Palatino Linotype" w:hAnsi="Palatino Linotype"/>
          <w:i w:val="1"/>
          <w:sz w:val="22"/>
          <w:szCs w:val="22"/>
          <w:rtl w:val="0"/>
        </w:rPr>
        <w:t xml:space="preserve"> reserva o </w:t>
      </w:r>
      <w:r w:rsidDel="00000000" w:rsidR="00000000" w:rsidRPr="00000000">
        <w:rPr>
          <w:rFonts w:ascii="Palatino Linotype" w:cs="Palatino Linotype" w:eastAsia="Palatino Linotype" w:hAnsi="Palatino Linotype"/>
          <w:b w:val="1"/>
          <w:i w:val="1"/>
          <w:sz w:val="22"/>
          <w:szCs w:val="22"/>
          <w:rtl w:val="0"/>
        </w:rPr>
        <w:t xml:space="preserve">confidencialidad</w:t>
      </w:r>
      <w:r w:rsidDel="00000000" w:rsidR="00000000" w:rsidRPr="00000000">
        <w:rPr>
          <w:rFonts w:ascii="Palatino Linotype" w:cs="Palatino Linotype" w:eastAsia="Palatino Linotype" w:hAnsi="Palatino Linotype"/>
          <w:i w:val="1"/>
          <w:sz w:val="22"/>
          <w:szCs w:val="22"/>
          <w:rtl w:val="0"/>
        </w:rPr>
        <w:t xml:space="preserve">, a través de la resolución que para tal efecto emita el Comité de Transparencia.</w:t>
      </w:r>
    </w:p>
    <w:p w:rsidR="00000000" w:rsidDel="00000000" w:rsidP="00000000" w:rsidRDefault="00000000" w:rsidRPr="00000000" w14:paraId="000000B6">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7">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Cuarto.</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Para clasificar la información como</w:t>
      </w:r>
      <w:r w:rsidDel="00000000" w:rsidR="00000000" w:rsidRPr="00000000">
        <w:rPr>
          <w:rFonts w:ascii="Palatino Linotype" w:cs="Palatino Linotype" w:eastAsia="Palatino Linotype" w:hAnsi="Palatino Linotype"/>
          <w:i w:val="1"/>
          <w:sz w:val="22"/>
          <w:szCs w:val="22"/>
          <w:rtl w:val="0"/>
        </w:rPr>
        <w:t xml:space="preserve"> reservada o </w:t>
      </w:r>
      <w:r w:rsidDel="00000000" w:rsidR="00000000" w:rsidRPr="00000000">
        <w:rPr>
          <w:rFonts w:ascii="Palatino Linotype" w:cs="Palatino Linotype" w:eastAsia="Palatino Linotype" w:hAnsi="Palatino Linotype"/>
          <w:b w:val="1"/>
          <w:i w:val="1"/>
          <w:sz w:val="22"/>
          <w:szCs w:val="22"/>
          <w:rtl w:val="0"/>
        </w:rPr>
        <w:t xml:space="preserve">confidencial, de manera total o parcial, el titular del área del sujeto obligado deberá atender lo dispuesto por el Título Sexto de la Ley General</w:t>
      </w:r>
      <w:r w:rsidDel="00000000" w:rsidR="00000000" w:rsidRPr="00000000">
        <w:rPr>
          <w:rFonts w:ascii="Palatino Linotype" w:cs="Palatino Linotype" w:eastAsia="Palatino Linotype" w:hAnsi="Palatino Linotype"/>
          <w:i w:val="1"/>
          <w:sz w:val="22"/>
          <w:szCs w:val="22"/>
          <w:rtl w:val="0"/>
        </w:rPr>
        <w:t xml:space="preserve">,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0000" w:rsidDel="00000000" w:rsidP="00000000" w:rsidRDefault="00000000" w:rsidRPr="00000000" w14:paraId="000000B8">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deberán aplicar, de manera estricta, las excepciones al derecho de acceso a la información y sólo podrán invocarlas cuando acrediten su procedencia.</w:t>
      </w:r>
    </w:p>
    <w:p w:rsidR="00000000" w:rsidDel="00000000" w:rsidP="00000000" w:rsidRDefault="00000000" w:rsidRPr="00000000" w14:paraId="000000B9">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BA">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Quinto.</w:t>
      </w:r>
      <w:r w:rsidDel="00000000" w:rsidR="00000000" w:rsidRPr="00000000">
        <w:rPr>
          <w:rFonts w:ascii="Palatino Linotype" w:cs="Palatino Linotype" w:eastAsia="Palatino Linotype" w:hAnsi="Palatino Linotype"/>
          <w:i w:val="1"/>
          <w:sz w:val="22"/>
          <w:szCs w:val="22"/>
          <w:rtl w:val="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0000" w:rsidDel="00000000" w:rsidP="00000000" w:rsidRDefault="00000000" w:rsidRPr="00000000" w14:paraId="000000BB">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Sexto.</w:t>
      </w:r>
      <w:r w:rsidDel="00000000" w:rsidR="00000000" w:rsidRPr="00000000">
        <w:rPr>
          <w:rFonts w:ascii="Palatino Linotype" w:cs="Palatino Linotype" w:eastAsia="Palatino Linotype" w:hAnsi="Palatino Linotype"/>
          <w:i w:val="1"/>
          <w:sz w:val="22"/>
          <w:szCs w:val="22"/>
          <w:rtl w:val="0"/>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00000" w:rsidDel="00000000" w:rsidP="00000000" w:rsidRDefault="00000000" w:rsidRPr="00000000" w14:paraId="000000B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clasificación de información se realizará conforme a un análisis caso por caso, mediante la aplicación de la prueba de daño y de interés público.</w:t>
      </w:r>
    </w:p>
    <w:p w:rsidR="00000000" w:rsidDel="00000000" w:rsidP="00000000" w:rsidRDefault="00000000" w:rsidRPr="00000000" w14:paraId="000000BD">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Séptimo.</w:t>
      </w:r>
      <w:r w:rsidDel="00000000" w:rsidR="00000000" w:rsidRPr="00000000">
        <w:rPr>
          <w:rFonts w:ascii="Palatino Linotype" w:cs="Palatino Linotype" w:eastAsia="Palatino Linotype" w:hAnsi="Palatino Linotype"/>
          <w:i w:val="1"/>
          <w:sz w:val="22"/>
          <w:szCs w:val="22"/>
          <w:rtl w:val="0"/>
        </w:rPr>
        <w:t xml:space="preserve"> La clasificación de la información se llevará a cabo en el momento en que:</w:t>
      </w:r>
    </w:p>
    <w:p w:rsidR="00000000" w:rsidDel="00000000" w:rsidP="00000000" w:rsidRDefault="00000000" w:rsidRPr="00000000" w14:paraId="000000BE">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reciba una solicitud de acceso a la información;</w:t>
      </w:r>
    </w:p>
    <w:p w:rsidR="00000000" w:rsidDel="00000000" w:rsidP="00000000" w:rsidRDefault="00000000" w:rsidRPr="00000000" w14:paraId="000000BF">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Se determine mediante resolución de autoridad competente, o</w:t>
      </w:r>
    </w:p>
    <w:p w:rsidR="00000000" w:rsidDel="00000000" w:rsidP="00000000" w:rsidRDefault="00000000" w:rsidRPr="00000000" w14:paraId="000000C0">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Se generen versiones públicas para dar cumplimiento a las obligaciones de transparencia previstas en la Ley General, la Ley Federal y las correspondientes de las entidades federativas.</w:t>
      </w:r>
    </w:p>
    <w:p w:rsidR="00000000" w:rsidDel="00000000" w:rsidP="00000000" w:rsidRDefault="00000000" w:rsidRPr="00000000" w14:paraId="000000C1">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titulares de las áreas deberán revisar la clasificación al momento de la recepción de una solicitud de acceso a la información, para verificar si encuadra en una causal de reserva o de confidencialidad.</w:t>
      </w:r>
    </w:p>
    <w:p w:rsidR="00000000" w:rsidDel="00000000" w:rsidP="00000000" w:rsidRDefault="00000000" w:rsidRPr="00000000" w14:paraId="000000C2">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3">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Octavo.</w:t>
      </w:r>
      <w:r w:rsidDel="00000000" w:rsidR="00000000" w:rsidRPr="00000000">
        <w:rPr>
          <w:rFonts w:ascii="Palatino Linotype" w:cs="Palatino Linotype" w:eastAsia="Palatino Linotype" w:hAnsi="Palatino Linotype"/>
          <w:i w:val="1"/>
          <w:sz w:val="22"/>
          <w:szCs w:val="22"/>
          <w:rtl w:val="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00000" w:rsidDel="00000000" w:rsidP="00000000" w:rsidRDefault="00000000" w:rsidRPr="00000000" w14:paraId="000000C4">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motivar la clasificación se deberán señalar las razones o circunstancias especiales que lo llevaron a concluir que el caso particular se ajusta al supuesto previsto por la norma legal invocada como fundamento.</w:t>
      </w:r>
    </w:p>
    <w:p w:rsidR="00000000" w:rsidDel="00000000" w:rsidP="00000000" w:rsidRDefault="00000000" w:rsidRPr="00000000" w14:paraId="000000C5">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referirse a información reservada, la motivación de la clasificación también deberá comprender las circunstancias que justifican el establecimiento de determinado plazo de reserva.</w:t>
      </w:r>
    </w:p>
    <w:p w:rsidR="00000000" w:rsidDel="00000000" w:rsidP="00000000" w:rsidRDefault="00000000" w:rsidRPr="00000000" w14:paraId="000000C6">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Tratándose de información clasificada como confidencial respecto de la cual se haya determinado su conservación permanente por tener valor histórico, ésta conservará tal carácter de conformidad con la normativa aplicable en materia de archivos.</w:t>
      </w:r>
    </w:p>
    <w:p w:rsidR="00000000" w:rsidDel="00000000" w:rsidP="00000000" w:rsidRDefault="00000000" w:rsidRPr="00000000" w14:paraId="000000C7">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documentos contenidos en los archivos históricos y los identificados como históricos confidenciales no serán susceptibles de clasificación como reservados.</w:t>
      </w:r>
    </w:p>
    <w:p w:rsidR="00000000" w:rsidDel="00000000" w:rsidP="00000000" w:rsidRDefault="00000000" w:rsidRPr="00000000" w14:paraId="000000C8">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9">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Noveno.</w:t>
      </w:r>
      <w:r w:rsidDel="00000000" w:rsidR="00000000" w:rsidRPr="00000000">
        <w:rPr>
          <w:rFonts w:ascii="Palatino Linotype" w:cs="Palatino Linotype" w:eastAsia="Palatino Linotype" w:hAnsi="Palatino Linotype"/>
          <w:i w:val="1"/>
          <w:sz w:val="22"/>
          <w:szCs w:val="22"/>
          <w:rtl w:val="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000" w:rsidDel="00000000" w:rsidP="00000000" w:rsidRDefault="00000000" w:rsidRPr="00000000" w14:paraId="000000CA">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B">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w:t>
      </w:r>
      <w:r w:rsidDel="00000000" w:rsidR="00000000" w:rsidRPr="00000000">
        <w:rPr>
          <w:rFonts w:ascii="Palatino Linotype" w:cs="Palatino Linotype" w:eastAsia="Palatino Linotype" w:hAnsi="Palatino Linotype"/>
          <w:i w:val="1"/>
          <w:sz w:val="22"/>
          <w:szCs w:val="22"/>
          <w:rtl w:val="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0000" w:rsidDel="00000000" w:rsidP="00000000" w:rsidRDefault="00000000" w:rsidRPr="00000000" w14:paraId="000000CC">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ausencia de los titulares de las áreas, la información será clasificada o desclasificada por la persona que lo supla, en términos de la normativa que rija la actuación del sujeto obligado.</w:t>
      </w:r>
    </w:p>
    <w:p w:rsidR="00000000" w:rsidDel="00000000" w:rsidP="00000000" w:rsidRDefault="00000000" w:rsidRPr="00000000" w14:paraId="000000CD">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E">
      <w:pPr>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 primero.</w:t>
      </w:r>
      <w:r w:rsidDel="00000000" w:rsidR="00000000" w:rsidRPr="00000000">
        <w:rPr>
          <w:rFonts w:ascii="Palatino Linotype" w:cs="Palatino Linotype" w:eastAsia="Palatino Linotype" w:hAnsi="Palatino Linotype"/>
          <w:i w:val="1"/>
          <w:sz w:val="22"/>
          <w:szCs w:val="22"/>
          <w:rtl w:val="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00000" w:rsidDel="00000000" w:rsidP="00000000" w:rsidRDefault="00000000" w:rsidRPr="00000000" w14:paraId="000000CF">
      <w:pPr>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0">
      <w:pPr>
        <w:ind w:left="709" w:right="709"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CAPÍTULO VIII</w:t>
      </w:r>
    </w:p>
    <w:p w:rsidR="00000000" w:rsidDel="00000000" w:rsidP="00000000" w:rsidRDefault="00000000" w:rsidRPr="00000000" w14:paraId="000000D1">
      <w:pPr>
        <w:ind w:left="709" w:right="709"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 LA LEYENDA DE CLASIFICACIÓN</w:t>
      </w:r>
    </w:p>
    <w:p w:rsidR="00000000" w:rsidDel="00000000" w:rsidP="00000000" w:rsidRDefault="00000000" w:rsidRPr="00000000" w14:paraId="000000D2">
      <w:pPr>
        <w:ind w:left="709" w:right="709"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D3">
      <w:pPr>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Quincuagésimo. </w:t>
      </w:r>
      <w:r w:rsidDel="00000000" w:rsidR="00000000" w:rsidRPr="00000000">
        <w:rPr>
          <w:rFonts w:ascii="Palatino Linotype" w:cs="Palatino Linotype" w:eastAsia="Palatino Linotype" w:hAnsi="Palatino Linotype"/>
          <w:b w:val="1"/>
          <w:i w:val="1"/>
          <w:sz w:val="22"/>
          <w:szCs w:val="22"/>
          <w:u w:val="single"/>
          <w:rtl w:val="0"/>
        </w:rPr>
        <w:t xml:space="preserve">Los titulares de las áreas de los sujetos obligados podrán utilizar los formatos contenidos en el presente Capítulo como modelo</w:t>
      </w:r>
      <w:r w:rsidDel="00000000" w:rsidR="00000000" w:rsidRPr="00000000">
        <w:rPr>
          <w:rFonts w:ascii="Palatino Linotype" w:cs="Palatino Linotype" w:eastAsia="Palatino Linotype" w:hAnsi="Palatino Linotype"/>
          <w:i w:val="1"/>
          <w:sz w:val="22"/>
          <w:szCs w:val="22"/>
          <w:rtl w:val="0"/>
        </w:rPr>
        <w:t xml:space="preserve"> para señalar la clasificación de documentos o expedientes, sin perjuicio de que establezcan los propios.</w:t>
      </w:r>
    </w:p>
    <w:p w:rsidR="00000000" w:rsidDel="00000000" w:rsidP="00000000" w:rsidRDefault="00000000" w:rsidRPr="00000000" w14:paraId="000000D4">
      <w:pPr>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5">
      <w:pPr>
        <w:ind w:left="709" w:right="70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Quincuagésimo tercero. </w:t>
      </w:r>
      <w:r w:rsidDel="00000000" w:rsidR="00000000" w:rsidRPr="00000000">
        <w:rPr>
          <w:rFonts w:ascii="Palatino Linotype" w:cs="Palatino Linotype" w:eastAsia="Palatino Linotype" w:hAnsi="Palatino Linotype"/>
          <w:b w:val="1"/>
          <w:i w:val="1"/>
          <w:sz w:val="22"/>
          <w:szCs w:val="22"/>
          <w:u w:val="single"/>
          <w:rtl w:val="0"/>
        </w:rPr>
        <w:t xml:space="preserve">El formato para señalar la clasificación parcial de un documento</w:t>
      </w:r>
      <w:r w:rsidDel="00000000" w:rsidR="00000000" w:rsidRPr="00000000">
        <w:rPr>
          <w:rFonts w:ascii="Palatino Linotype" w:cs="Palatino Linotype" w:eastAsia="Palatino Linotype" w:hAnsi="Palatino Linotype"/>
          <w:i w:val="1"/>
          <w:sz w:val="22"/>
          <w:szCs w:val="22"/>
          <w:rtl w:val="0"/>
        </w:rPr>
        <w:t xml:space="preserve">, es el siguiente:</w:t>
      </w:r>
    </w:p>
    <w:p w:rsidR="00000000" w:rsidDel="00000000" w:rsidP="00000000" w:rsidRDefault="00000000" w:rsidRPr="00000000" w14:paraId="000000D6">
      <w:pPr>
        <w:ind w:left="709" w:right="709" w:firstLine="0"/>
        <w:jc w:val="both"/>
        <w:rPr>
          <w:rFonts w:ascii="Palatino Linotype" w:cs="Palatino Linotype" w:eastAsia="Palatino Linotype" w:hAnsi="Palatino Linotype"/>
          <w:i w:val="1"/>
          <w:sz w:val="22"/>
          <w:szCs w:val="22"/>
        </w:rPr>
      </w:pPr>
      <w:r w:rsidDel="00000000" w:rsidR="00000000" w:rsidRPr="00000000">
        <w:rPr>
          <w:rtl w:val="0"/>
        </w:rPr>
      </w:r>
    </w:p>
    <w:tbl>
      <w:tblPr>
        <w:tblStyle w:val="Table1"/>
        <w:tblW w:w="76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990"/>
        <w:gridCol w:w="4531"/>
        <w:tblGridChange w:id="0">
          <w:tblGrid>
            <w:gridCol w:w="1129"/>
            <w:gridCol w:w="1990"/>
            <w:gridCol w:w="45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both"/>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cente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Concepto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Dónde:</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jc w:val="cente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Sello oficial o logotipo del sujeto obligado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Fecha de clasificación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anotará la fecha en la que el Comité de Transparencia confirmó la clasificación del documento, en su caso.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Área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señalará el nombre del área del cual es titular quien clasifica.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Información reservada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Periodo de reserva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anotará el número de años o meses por los que se mantendrá el documento o las partes del mismo como reservado.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Fundamento legal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señalará el nombre del ordenamiento, el o los artículos, fracción(es), párrafo(s) con base en los cuales se sustente la reserva.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Ampliación del periodo de reserva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caso de haber solicitado la ampliación del periodo de reserva originalmente establecido, se deberá anotar el número de años o meses por los que se amplía la reserva.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b w:val="1"/>
                <w:i w:val="1"/>
                <w:u w:val="single"/>
                <w:rtl w:val="0"/>
              </w:rPr>
              <w:t xml:space="preserve">Confidencial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indicarán, en su caso, </w:t>
            </w:r>
            <w:r w:rsidDel="00000000" w:rsidR="00000000" w:rsidRPr="00000000">
              <w:rPr>
                <w:rFonts w:ascii="Palatino Linotype" w:cs="Palatino Linotype" w:eastAsia="Palatino Linotype" w:hAnsi="Palatino Linotype"/>
                <w:b w:val="1"/>
                <w:i w:val="1"/>
                <w:u w:val="single"/>
                <w:rtl w:val="0"/>
              </w:rPr>
              <w:t xml:space="preserve">las partes o páginas del documento que se clasifica como confidencial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Si el documento fuera confidencial en su totalidad, se anotarán todas las páginas que lo conforman</w:t>
            </w:r>
            <w:r w:rsidDel="00000000" w:rsidR="00000000" w:rsidRPr="00000000">
              <w:rPr>
                <w:rFonts w:ascii="Palatino Linotype" w:cs="Palatino Linotype" w:eastAsia="Palatino Linotype" w:hAnsi="Palatino Linotype"/>
                <w:i w:val="1"/>
                <w:rtl w:val="0"/>
              </w:rPr>
              <w:t xml:space="preserve">. Si el documento no contiene información confidencial, se tachará este apartado.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Fundamento legal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señalará el nombre del ordenamiento, el o los artículos, fracción(es), párrafo(s) con base en los cuales se sustente la confidencialidad.</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Rúbrica del titular del área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Rúbrica autógrafa de quien clasifica.</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Fecha de desclasificación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Se anotará la fecha en que se desclasifica el documento.</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cente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Rúbrica y cargo del servidor público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Rúbrica autógrafa de quien desclasifica.</w:t>
            </w:r>
          </w:p>
        </w:tc>
      </w:tr>
    </w:tbl>
    <w:p w:rsidR="00000000" w:rsidDel="00000000" w:rsidP="00000000" w:rsidRDefault="00000000" w:rsidRPr="00000000" w14:paraId="000000FB">
      <w:pPr>
        <w:ind w:left="709" w:right="709"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0FC">
      <w:pPr>
        <w:ind w:left="709" w:right="709"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F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emita un Acuerdo de Clasificación que cumpla con las formalidades previstas,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00000" w:rsidDel="00000000" w:rsidP="00000000" w:rsidRDefault="00000000" w:rsidRPr="00000000" w14:paraId="000000FE">
      <w:pPr>
        <w:widowControl w:val="0"/>
        <w:tabs>
          <w:tab w:val="left" w:pos="1701"/>
          <w:tab w:val="left" w:pos="1843"/>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FF">
      <w:pPr>
        <w:widowControl w:val="0"/>
        <w:tabs>
          <w:tab w:val="left" w:pos="1701"/>
          <w:tab w:val="left" w:pos="1843"/>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lo anteriormente expuesto, este Instituto estima que las razones o motivos de inconformidad hechos valer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devienen </w:t>
      </w:r>
      <w:r w:rsidDel="00000000" w:rsidR="00000000" w:rsidRPr="00000000">
        <w:rPr>
          <w:rFonts w:ascii="Palatino Linotype" w:cs="Palatino Linotype" w:eastAsia="Palatino Linotype" w:hAnsi="Palatino Linotype"/>
          <w:b w:val="1"/>
          <w:rtl w:val="0"/>
        </w:rPr>
        <w:t xml:space="preserve">fundadas</w:t>
      </w:r>
      <w:r w:rsidDel="00000000" w:rsidR="00000000" w:rsidRPr="00000000">
        <w:rPr>
          <w:rFonts w:ascii="Palatino Linotype" w:cs="Palatino Linotype" w:eastAsia="Palatino Linotype" w:hAnsi="Palatino Linotype"/>
          <w:rtl w:val="0"/>
        </w:rPr>
        <w:t xml:space="preserve"> y suficientes para </w:t>
      </w:r>
      <w:r w:rsidDel="00000000" w:rsidR="00000000" w:rsidRPr="00000000">
        <w:rPr>
          <w:rFonts w:ascii="Palatino Linotype" w:cs="Palatino Linotype" w:eastAsia="Palatino Linotype" w:hAnsi="Palatino Linotype"/>
          <w:b w:val="1"/>
          <w:rtl w:val="0"/>
        </w:rPr>
        <w:t xml:space="preserve">REVOCAR </w:t>
      </w:r>
      <w:r w:rsidDel="00000000" w:rsidR="00000000" w:rsidRPr="00000000">
        <w:rPr>
          <w:rFonts w:ascii="Palatino Linotype" w:cs="Palatino Linotype" w:eastAsia="Palatino Linotype" w:hAnsi="Palatino Linotype"/>
          <w:rtl w:val="0"/>
        </w:rPr>
        <w:t xml:space="preserve">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ordenarle haga entrega del soporte documental en versión pública donde consten  las licencias de funcionamiento de cualquier tipo por el periodo comprendido del primero de enero del dos mil quince al veintiuno de febrero de dos mil veintidós.</w:t>
      </w:r>
    </w:p>
    <w:p w:rsidR="00000000" w:rsidDel="00000000" w:rsidP="00000000" w:rsidRDefault="00000000" w:rsidRPr="00000000" w14:paraId="00000100">
      <w:pPr>
        <w:spacing w:line="360" w:lineRule="auto"/>
        <w:jc w:val="both"/>
        <w:rPr>
          <w:rFonts w:ascii="Palatino Linotype" w:cs="Palatino Linotype" w:eastAsia="Palatino Linotype" w:hAnsi="Palatino Linotype"/>
        </w:rPr>
      </w:pPr>
      <w:bookmarkStart w:colFirst="0" w:colLast="0" w:name="_heading=h.y0m9poh88rh7" w:id="5"/>
      <w:bookmarkEnd w:id="5"/>
      <w:r w:rsidDel="00000000" w:rsidR="00000000" w:rsidRPr="00000000">
        <w:rPr>
          <w:rtl w:val="0"/>
        </w:rPr>
      </w:r>
    </w:p>
    <w:p w:rsidR="00000000" w:rsidDel="00000000" w:rsidP="00000000" w:rsidRDefault="00000000" w:rsidRPr="00000000" w14:paraId="00000101">
      <w:pPr>
        <w:spacing w:line="360" w:lineRule="auto"/>
        <w:jc w:val="both"/>
        <w:rPr>
          <w:rFonts w:ascii="Palatino Linotype" w:cs="Palatino Linotype" w:eastAsia="Palatino Linotype" w:hAnsi="Palatino Linotype"/>
        </w:rPr>
      </w:pPr>
      <w:bookmarkStart w:colFirst="0" w:colLast="0" w:name="_heading=h.5n8wysaobgd3" w:id="6"/>
      <w:bookmarkEnd w:id="6"/>
      <w:r w:rsidDel="00000000" w:rsidR="00000000" w:rsidRPr="00000000">
        <w:rPr>
          <w:rFonts w:ascii="Palatino Linotype" w:cs="Palatino Linotype" w:eastAsia="Palatino Linotype" w:hAnsi="Palatino Linotype"/>
          <w:rtl w:val="0"/>
        </w:rPr>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000000" w:rsidDel="00000000" w:rsidP="00000000" w:rsidRDefault="00000000" w:rsidRPr="00000000" w14:paraId="0000010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3">
      <w:pPr>
        <w:spacing w:line="360" w:lineRule="auto"/>
        <w:jc w:val="center"/>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RESUELVE</w:t>
      </w:r>
    </w:p>
    <w:p w:rsidR="00000000" w:rsidDel="00000000" w:rsidP="00000000" w:rsidRDefault="00000000" w:rsidRPr="00000000" w14:paraId="00000104">
      <w:pPr>
        <w:spacing w:line="360" w:lineRule="auto"/>
        <w:jc w:val="center"/>
        <w:rPr>
          <w:rFonts w:ascii="Palatino Linotype" w:cs="Palatino Linotype" w:eastAsia="Palatino Linotype" w:hAnsi="Palatino Linotype"/>
          <w:b w:val="1"/>
          <w:sz w:val="26"/>
          <w:szCs w:val="26"/>
        </w:rPr>
      </w:pPr>
      <w:r w:rsidDel="00000000" w:rsidR="00000000" w:rsidRPr="00000000">
        <w:rPr>
          <w:rtl w:val="0"/>
        </w:rPr>
      </w:r>
    </w:p>
    <w:p w:rsidR="00000000" w:rsidDel="00000000" w:rsidP="00000000" w:rsidRDefault="00000000" w:rsidRPr="00000000" w14:paraId="00000105">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w:t>
      </w:r>
      <w:r w:rsidDel="00000000" w:rsidR="00000000" w:rsidRPr="00000000">
        <w:rPr>
          <w:rFonts w:ascii="Palatino Linotype" w:cs="Palatino Linotype" w:eastAsia="Palatino Linotype" w:hAnsi="Palatino Linotype"/>
          <w:rtl w:val="0"/>
        </w:rPr>
        <w:t xml:space="preserve"> Resultan</w:t>
      </w:r>
      <w:r w:rsidDel="00000000" w:rsidR="00000000" w:rsidRPr="00000000">
        <w:rPr>
          <w:rFonts w:ascii="Palatino Linotype" w:cs="Palatino Linotype" w:eastAsia="Palatino Linotype" w:hAnsi="Palatino Linotype"/>
          <w:b w:val="1"/>
          <w:rtl w:val="0"/>
        </w:rPr>
        <w:t xml:space="preserve"> fundados</w:t>
      </w:r>
      <w:r w:rsidDel="00000000" w:rsidR="00000000" w:rsidRPr="00000000">
        <w:rPr>
          <w:rFonts w:ascii="Palatino Linotype" w:cs="Palatino Linotype" w:eastAsia="Palatino Linotype" w:hAnsi="Palatino Linotype"/>
          <w:rtl w:val="0"/>
        </w:rPr>
        <w:t xml:space="preserve"> los motivos de inconformidad hechos valer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en el recurso de revisión </w:t>
      </w:r>
      <w:r w:rsidDel="00000000" w:rsidR="00000000" w:rsidRPr="00000000">
        <w:rPr>
          <w:rFonts w:ascii="Palatino Linotype" w:cs="Palatino Linotype" w:eastAsia="Palatino Linotype" w:hAnsi="Palatino Linotype"/>
          <w:b w:val="1"/>
          <w:rtl w:val="0"/>
        </w:rPr>
        <w:t xml:space="preserve">03837/INFOEM/IP/RR/2022</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106">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w:t>
      </w:r>
      <w:r w:rsidDel="00000000" w:rsidR="00000000" w:rsidRPr="00000000">
        <w:rPr>
          <w:rFonts w:ascii="Palatino Linotype" w:cs="Palatino Linotype" w:eastAsia="Palatino Linotype" w:hAnsi="Palatino Linotype"/>
          <w:rtl w:val="0"/>
        </w:rPr>
        <w:t xml:space="preserve">Se </w:t>
      </w:r>
      <w:r w:rsidDel="00000000" w:rsidR="00000000" w:rsidRPr="00000000">
        <w:rPr>
          <w:rFonts w:ascii="Palatino Linotype" w:cs="Palatino Linotype" w:eastAsia="Palatino Linotype" w:hAnsi="Palatino Linotype"/>
          <w:b w:val="1"/>
          <w:rtl w:val="0"/>
        </w:rPr>
        <w:t xml:space="preserve">REVOCA </w:t>
      </w:r>
      <w:r w:rsidDel="00000000" w:rsidR="00000000" w:rsidRPr="00000000">
        <w:rPr>
          <w:rFonts w:ascii="Palatino Linotype" w:cs="Palatino Linotype" w:eastAsia="Palatino Linotype" w:hAnsi="Palatino Linotype"/>
          <w:rtl w:val="0"/>
        </w:rPr>
        <w:t xml:space="preserve">la respuesta emitida por </w:t>
      </w:r>
      <w:r w:rsidDel="00000000" w:rsidR="00000000" w:rsidRPr="00000000">
        <w:rPr>
          <w:rFonts w:ascii="Palatino Linotype" w:cs="Palatino Linotype" w:eastAsia="Palatino Linotype" w:hAnsi="Palatino Linotype"/>
          <w:b w:val="1"/>
          <w:rtl w:val="0"/>
        </w:rPr>
        <w:t xml:space="preserve">EL</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y se ordena que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haga entrega al Recurrente mediante el Sistema de Acceso a la Información Mexiquense (SAIMEX), en versión pública, de lo siguiente: </w:t>
      </w:r>
    </w:p>
    <w:p w:rsidR="00000000" w:rsidDel="00000000" w:rsidP="00000000" w:rsidRDefault="00000000" w:rsidRPr="00000000" w14:paraId="0000010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9">
      <w:pPr>
        <w:tabs>
          <w:tab w:val="left" w:pos="709"/>
        </w:tabs>
        <w:ind w:left="850" w:right="899"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2"/>
          <w:szCs w:val="22"/>
          <w:rtl w:val="0"/>
        </w:rPr>
        <w:t xml:space="preserve">El soporte documental donde consten  las licencias de funcionamiento de cualquier tipo por el periodo comprendido del primero de enero de dos mil quince al veintiuno de febrero de dos mil veintidós.</w:t>
      </w:r>
      <w:r w:rsidDel="00000000" w:rsidR="00000000" w:rsidRPr="00000000">
        <w:rPr>
          <w:rtl w:val="0"/>
        </w:rPr>
      </w:r>
    </w:p>
    <w:p w:rsidR="00000000" w:rsidDel="00000000" w:rsidP="00000000" w:rsidRDefault="00000000" w:rsidRPr="00000000" w14:paraId="0000010A">
      <w:pPr>
        <w:tabs>
          <w:tab w:val="left" w:pos="709"/>
        </w:tabs>
        <w:ind w:left="850" w:right="899"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10B">
      <w:pPr>
        <w:tabs>
          <w:tab w:val="left" w:pos="709"/>
        </w:tabs>
        <w:ind w:left="850"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Debiendo notificar al </w:t>
      </w:r>
      <w:r w:rsidDel="00000000" w:rsidR="00000000" w:rsidRPr="00000000">
        <w:rPr>
          <w:rFonts w:ascii="Palatino Linotype" w:cs="Palatino Linotype" w:eastAsia="Palatino Linotype" w:hAnsi="Palatino Linotype"/>
          <w:b w:val="1"/>
          <w:i w:val="1"/>
          <w:sz w:val="22"/>
          <w:szCs w:val="22"/>
          <w:rtl w:val="0"/>
        </w:rPr>
        <w:t xml:space="preserve">RECURRENTE</w:t>
      </w:r>
      <w:r w:rsidDel="00000000" w:rsidR="00000000" w:rsidRPr="00000000">
        <w:rPr>
          <w:rFonts w:ascii="Palatino Linotype" w:cs="Palatino Linotype" w:eastAsia="Palatino Linotype" w:hAnsi="Palatino Linotype"/>
          <w:i w:val="1"/>
          <w:sz w:val="22"/>
          <w:szCs w:val="22"/>
          <w:rtl w:val="0"/>
        </w:rPr>
        <w:t xml:space="preserve"> el Acuerdo de Clasificación de la información que emita el Comité de Transparencia con motivo de la versión pública.</w:t>
      </w:r>
    </w:p>
    <w:p w:rsidR="00000000" w:rsidDel="00000000" w:rsidP="00000000" w:rsidRDefault="00000000" w:rsidRPr="00000000" w14:paraId="0000010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al Titular de la Unidad de Transparencia del</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Sujeto Obligado por medio del Sistema de Acceso a la Información Mexiquense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10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0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CUARTO. </w:t>
      </w:r>
      <w:r w:rsidDel="00000000" w:rsidR="00000000" w:rsidRPr="00000000">
        <w:rPr>
          <w:rFonts w:ascii="Palatino Linotype" w:cs="Palatino Linotype" w:eastAsia="Palatino Linotype" w:hAnsi="Palatino Linotype"/>
          <w:rtl w:val="0"/>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00000" w:rsidDel="00000000" w:rsidP="00000000" w:rsidRDefault="00000000" w:rsidRPr="00000000" w14:paraId="00000110">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11">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QUINTO. Notifíquese </w:t>
      </w:r>
      <w:r w:rsidDel="00000000" w:rsidR="00000000" w:rsidRPr="00000000">
        <w:rPr>
          <w:rFonts w:ascii="Palatino Linotype" w:cs="Palatino Linotype" w:eastAsia="Palatino Linotype" w:hAnsi="Palatino Linotype"/>
          <w:rtl w:val="0"/>
        </w:rPr>
        <w:t xml:space="preserve">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r w:rsidDel="00000000" w:rsidR="00000000" w:rsidRPr="00000000">
        <w:rPr>
          <w:rtl w:val="0"/>
        </w:rPr>
      </w:r>
    </w:p>
    <w:p w:rsidR="00000000" w:rsidDel="00000000" w:rsidP="00000000" w:rsidRDefault="00000000" w:rsidRPr="00000000" w14:paraId="0000011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rsidR="00000000" w:rsidDel="00000000" w:rsidP="00000000" w:rsidRDefault="00000000" w:rsidRPr="00000000" w14:paraId="00000114">
      <w:pPr>
        <w:spacing w:line="360" w:lineRule="auto"/>
        <w:jc w:val="both"/>
        <w:rPr>
          <w:rFonts w:ascii="Palatino Linotype" w:cs="Palatino Linotype" w:eastAsia="Palatino Linotype" w:hAnsi="Palatino Linotype"/>
          <w:sz w:val="14"/>
          <w:szCs w:val="14"/>
        </w:rPr>
      </w:pPr>
      <w:bookmarkStart w:colFirst="0" w:colLast="0" w:name="_heading=h.30j0zll" w:id="7"/>
      <w:bookmarkEnd w:id="7"/>
      <w:r w:rsidDel="00000000" w:rsidR="00000000" w:rsidRPr="00000000">
        <w:rPr>
          <w:rFonts w:ascii="Palatino Linotype" w:cs="Palatino Linotype" w:eastAsia="Palatino Linotype" w:hAnsi="Palatino Linotype"/>
          <w:sz w:val="14"/>
          <w:szCs w:val="14"/>
          <w:rtl w:val="0"/>
        </w:rPr>
        <w:t xml:space="preserve">SCMM/BLA/DEMF/PMRE</w:t>
      </w:r>
    </w:p>
    <w:p w:rsidR="00000000" w:rsidDel="00000000" w:rsidP="00000000" w:rsidRDefault="00000000" w:rsidRPr="00000000" w14:paraId="00000115">
      <w:pPr>
        <w:rPr>
          <w:rFonts w:ascii="Palatino Linotype" w:cs="Palatino Linotype" w:eastAsia="Palatino Linotype" w:hAnsi="Palatino Linotype"/>
        </w:rPr>
      </w:pPr>
      <w:r w:rsidDel="00000000" w:rsidR="00000000" w:rsidRPr="00000000">
        <w:br w:type="page"/>
      </w:r>
      <w:r w:rsidDel="00000000" w:rsidR="00000000" w:rsidRPr="00000000">
        <w:rPr>
          <w:rtl w:val="0"/>
        </w:rPr>
      </w:r>
    </w:p>
    <w:p w:rsidR="00000000" w:rsidDel="00000000" w:rsidP="00000000" w:rsidRDefault="00000000" w:rsidRPr="00000000" w14:paraId="0000011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7">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5840" w:w="12240" w:orient="portrait"/>
      <w:pgMar w:bottom="1418" w:top="1418" w:left="1701" w:right="1418" w:header="709" w:footer="10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pos="4252"/>
        <w:tab w:val="right" w:pos="8504"/>
      </w:tabs>
      <w:jc w:val="right"/>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Página </w:t>
    </w:r>
    <w:r w:rsidDel="00000000" w:rsidR="00000000" w:rsidRPr="00000000">
      <w:rPr>
        <w:rFonts w:ascii="Palatino Linotype" w:cs="Palatino Linotype" w:eastAsia="Palatino Linotype" w:hAnsi="Palatino Linotype"/>
        <w:color w:val="000000"/>
        <w:sz w:val="22"/>
        <w:szCs w:val="22"/>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2"/>
        <w:szCs w:val="22"/>
        <w:rtl w:val="0"/>
      </w:rPr>
      <w:t xml:space="preserve"> de </w:t>
    </w:r>
    <w:r w:rsidDel="00000000" w:rsidR="00000000" w:rsidRPr="00000000">
      <w:rPr>
        <w:rFonts w:ascii="Palatino Linotype" w:cs="Palatino Linotype" w:eastAsia="Palatino Linotype" w:hAnsi="Palatino Linotype"/>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pos="4252"/>
        <w:tab w:val="right" w:pos="8504"/>
      </w:tabs>
      <w:spacing w:before="120" w:lineRule="auto"/>
      <w:jc w:val="right"/>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Página </w:t>
    </w:r>
    <w:r w:rsidDel="00000000" w:rsidR="00000000" w:rsidRPr="00000000">
      <w:rPr>
        <w:rFonts w:ascii="Palatino Linotype" w:cs="Palatino Linotype" w:eastAsia="Palatino Linotype" w:hAnsi="Palatino Linotype"/>
        <w:color w:val="000000"/>
        <w:sz w:val="22"/>
        <w:szCs w:val="22"/>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2"/>
        <w:szCs w:val="22"/>
        <w:rtl w:val="0"/>
      </w:rPr>
      <w:t xml:space="preserve"> de </w:t>
    </w:r>
    <w:r w:rsidDel="00000000" w:rsidR="00000000" w:rsidRPr="00000000">
      <w:rPr>
        <w:rFonts w:ascii="Palatino Linotype" w:cs="Palatino Linotype" w:eastAsia="Palatino Linotype" w:hAnsi="Palatino Linotype"/>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Palatino Linotype" w:cs="Palatino Linotype" w:eastAsia="Palatino Linotype" w:hAnsi="Palatino Linotype"/>
          <w:sz w:val="18"/>
          <w:szCs w:val="18"/>
          <w:rtl w:val="0"/>
        </w:rPr>
        <w:t xml:space="preserve">La fecha de respuesta fue el día doce de marzo que al ser un día inhábil por corresponder a sábado en términos de lo establecido por el artículo 3, fracción X Ley de Transparencia y Acceso a la Información pública del Estado de México y Municipios se tuvo por contestada en fecha catorce de marzo. </w:t>
      </w:r>
      <w:r w:rsidDel="00000000" w:rsidR="00000000" w:rsidRPr="00000000">
        <w:rPr>
          <w:sz w:val="20"/>
          <w:szCs w:val="20"/>
          <w:rtl w:val="0"/>
        </w:rPr>
        <w:t xml:space="preserve">   </w:t>
      </w:r>
    </w:p>
  </w:footnote>
  <w:footnote w:id="1">
    <w:p w:rsidR="00000000" w:rsidDel="00000000" w:rsidP="00000000" w:rsidRDefault="00000000" w:rsidRPr="00000000" w14:paraId="00000129">
      <w:pPr>
        <w:rPr>
          <w:rFonts w:ascii="Palatino Linotype" w:cs="Palatino Linotype" w:eastAsia="Palatino Linotype" w:hAnsi="Palatino Linotype"/>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Palatino Linotype" w:cs="Palatino Linotype" w:eastAsia="Palatino Linotype" w:hAnsi="Palatino Linotype"/>
          <w:sz w:val="18"/>
          <w:szCs w:val="18"/>
          <w:rtl w:val="0"/>
        </w:rPr>
        <w:t xml:space="preserve">la fecha de interposición fue el doce de marzo, mismo que al ser día inhábil según lo establecido por el artículo 3, fracción X Ley de Transparencia y Acceso a la Información pública se tuvo por presentado el día hábil siguiente.</w:t>
      </w:r>
    </w:p>
  </w:footnote>
  <w:footnote w:id="2">
    <w:p w:rsidR="00000000" w:rsidDel="00000000" w:rsidP="00000000" w:rsidRDefault="00000000" w:rsidRPr="00000000" w14:paraId="0000012A">
      <w:pPr>
        <w:rPr>
          <w:rFonts w:ascii="Palatino Linotype" w:cs="Palatino Linotype" w:eastAsia="Palatino Linotype" w:hAnsi="Palatino Linotype"/>
          <w:i w:val="1"/>
          <w:sz w:val="18"/>
          <w:szCs w:val="18"/>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w:t>
      </w:r>
      <w:r w:rsidDel="00000000" w:rsidR="00000000" w:rsidRPr="00000000">
        <w:rPr>
          <w:rFonts w:ascii="Palatino Linotype" w:cs="Palatino Linotype" w:eastAsia="Palatino Linotype" w:hAnsi="Palatino Linotype"/>
          <w:i w:val="1"/>
          <w:sz w:val="18"/>
          <w:szCs w:val="18"/>
          <w:rtl w:val="0"/>
        </w:rPr>
        <w:t xml:space="preserve">https://legislacion.edomex.gob.mx/sites/legislacion.edomex.gob.mx/files/files/pdf/gct/2021/diciembre/dic221/dic221q.pdf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pos="4252"/>
        <w:tab w:val="right" w:pos="8504"/>
        <w:tab w:val="left" w:pos="2326"/>
      </w:tabs>
      <w:rPr>
        <w:rFonts w:ascii="Palatino Linotype" w:cs="Palatino Linotype" w:eastAsia="Palatino Linotype" w:hAnsi="Palatino Linotype"/>
        <w:color w:val="000000"/>
        <w:sz w:val="28"/>
        <w:szCs w:val="28"/>
      </w:rPr>
    </w:pPr>
    <w:r w:rsidDel="00000000" w:rsidR="00000000" w:rsidRPr="00000000">
      <w:rPr>
        <w:rFonts w:ascii="Palatino Linotype" w:cs="Palatino Linotype" w:eastAsia="Palatino Linotype" w:hAnsi="Palatino Linotype"/>
        <w:color w:val="000000"/>
        <w:sz w:val="28"/>
        <w:szCs w:val="28"/>
      </w:rPr>
      <w:pict>
        <v:shape id="WordPictureWatermark3" style="position:absolute;width:540.0pt;height:720.0pt;rotation:0;z-index:-503316481;mso-position-horizontal-relative:margin;mso-position-horizontal:center;mso-position-vertical-relative:margin;mso-position-vertical:center;" alt="RESOLUCIÓN" type="#_x0000_t75">
          <v:imagedata cropbottom="0f" cropleft="0f" cropright="0f" croptop="0f" r:id="rId1" o:title="image2.jpg"/>
        </v:shape>
      </w:pict>
    </w:r>
    <w:r w:rsidDel="00000000" w:rsidR="00000000" w:rsidRPr="00000000">
      <w:rPr>
        <w:rtl w:val="0"/>
      </w:rPr>
    </w:r>
  </w:p>
  <w:tbl>
    <w:tblPr>
      <w:tblStyle w:val="Table2"/>
      <w:tblW w:w="9534.0" w:type="dxa"/>
      <w:jc w:val="left"/>
      <w:tblInd w:w="-142.0" w:type="dxa"/>
      <w:tblLayout w:type="fixed"/>
      <w:tblLook w:val="0400"/>
    </w:tblPr>
    <w:tblGrid>
      <w:gridCol w:w="3261"/>
      <w:gridCol w:w="2551"/>
      <w:gridCol w:w="3722"/>
      <w:tblGridChange w:id="0">
        <w:tblGrid>
          <w:gridCol w:w="3261"/>
          <w:gridCol w:w="2551"/>
          <w:gridCol w:w="3722"/>
        </w:tblGrid>
      </w:tblGridChange>
    </w:tblGrid>
    <w:tr>
      <w:trPr>
        <w:cantSplit w:val="0"/>
        <w:tblHeader w:val="0"/>
      </w:trPr>
      <w:tc>
        <w:tcPr>
          <w:vMerge w:val="restart"/>
        </w:tcPr>
        <w:p w:rsidR="00000000" w:rsidDel="00000000" w:rsidP="00000000" w:rsidRDefault="00000000" w:rsidRPr="00000000" w14:paraId="0000012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sz w:val="28"/>
              <w:szCs w:val="28"/>
            </w:rPr>
            <w:drawing>
              <wp:inline distB="0" distT="0" distL="0" distR="0">
                <wp:extent cx="1692162" cy="852673"/>
                <wp:effectExtent b="0" l="0" r="0" t="0"/>
                <wp:docPr id="23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92162" cy="85267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2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Recurso de Revisión:</w:t>
          </w:r>
        </w:p>
      </w:tc>
      <w:tc>
        <w:tcPr>
          <w:shd w:fill="auto" w:val="clear"/>
          <w:vAlign w:val="center"/>
        </w:tcPr>
        <w:p w:rsidR="00000000" w:rsidDel="00000000" w:rsidP="00000000" w:rsidRDefault="00000000" w:rsidRPr="00000000" w14:paraId="0000012E">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03837/INFOEM/IP/RR/2022</w:t>
          </w:r>
        </w:p>
      </w:tc>
    </w:tr>
    <w:tr>
      <w:trPr>
        <w:cantSplit w:val="0"/>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shd w:fill="auto" w:val="clear"/>
        </w:tcPr>
        <w:p w:rsidR="00000000" w:rsidDel="00000000" w:rsidP="00000000" w:rsidRDefault="00000000" w:rsidRPr="00000000" w14:paraId="0000013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Sujeto Obligado:</w:t>
          </w:r>
        </w:p>
      </w:tc>
      <w:tc>
        <w:tcPr>
          <w:shd w:fill="auto" w:val="clear"/>
          <w:vAlign w:val="center"/>
        </w:tcPr>
        <w:p w:rsidR="00000000" w:rsidDel="00000000" w:rsidP="00000000" w:rsidRDefault="00000000" w:rsidRPr="00000000" w14:paraId="00000131">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Temamatla</w:t>
          </w:r>
        </w:p>
      </w:tc>
    </w:tr>
    <w:tr>
      <w:trPr>
        <w:cantSplit w:val="0"/>
        <w:trHeight w:val="790"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shd w:fill="auto" w:val="clear"/>
        </w:tcPr>
        <w:p w:rsidR="00000000" w:rsidDel="00000000" w:rsidP="00000000" w:rsidRDefault="00000000" w:rsidRPr="00000000" w14:paraId="0000013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 Ponente:</w:t>
          </w:r>
        </w:p>
      </w:tc>
      <w:tc>
        <w:tcPr>
          <w:shd w:fill="auto" w:val="clear"/>
        </w:tcPr>
        <w:p w:rsidR="00000000" w:rsidDel="00000000" w:rsidP="00000000" w:rsidRDefault="00000000" w:rsidRPr="00000000" w14:paraId="0000013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Sharon Cristina Morales Martínez</w:t>
          </w:r>
        </w:p>
      </w:tc>
    </w:tr>
  </w:tbl>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pos="4252"/>
        <w:tab w:val="right" w:pos="8504"/>
        <w:tab w:val="left" w:pos="2326"/>
      </w:tabs>
      <w:rPr>
        <w:rFonts w:ascii="Palatino Linotype" w:cs="Palatino Linotype" w:eastAsia="Palatino Linotype" w:hAnsi="Palatino Linotype"/>
        <w:color w:val="000000"/>
        <w:sz w:val="28"/>
        <w:szCs w:val="2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pos="4252"/>
        <w:tab w:val="right" w:pos="8504"/>
      </w:tabs>
      <w:rPr>
        <w:rFonts w:ascii="Cambria" w:cs="Cambria" w:eastAsia="Cambria" w:hAnsi="Cambria"/>
        <w:color w:val="000000"/>
      </w:rPr>
    </w:pPr>
    <w:r w:rsidDel="00000000" w:rsidR="00000000" w:rsidRPr="00000000">
      <w:rPr>
        <w:rFonts w:ascii="Cambria" w:cs="Cambria" w:eastAsia="Cambria" w:hAnsi="Cambria"/>
        <w:color w:val="000000"/>
      </w:rPr>
      <w:pict>
        <v:shape id="WordPictureWatermark1" style="position:absolute;width:540.0pt;height:720.0pt;rotation:0;z-index:-503316481;mso-position-horizontal-relative:margin;mso-position-horizontal:center;mso-position-vertical-relative:margin;mso-position-vertical:center;" alt="RESOLUCIÓN"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Pr>
      <w:pict>
        <v:shape id="WordPictureWatermark2" style="position:absolute;width:540.0pt;height:720.0pt;rotation:0;z-index:-503316481;mso-position-horizontal-relative:margin;mso-position-horizontal:center;mso-position-vertical-relative:margin;mso-position-vertical:center;" alt="RESOLUCIÓN" type="#_x0000_t75">
          <v:imagedata cropbottom="0f" cropleft="0f" cropright="0f" croptop="0f" r:id="rId1" o:title="image2.jpg"/>
        </v:shape>
      </w:pict>
    </w:r>
    <w:r w:rsidDel="00000000" w:rsidR="00000000" w:rsidRPr="00000000">
      <w:rPr>
        <w:rtl w:val="0"/>
      </w:rPr>
    </w:r>
  </w:p>
  <w:tbl>
    <w:tblPr>
      <w:tblStyle w:val="Table3"/>
      <w:tblW w:w="9501.0" w:type="dxa"/>
      <w:jc w:val="left"/>
      <w:tblInd w:w="-833.0" w:type="dxa"/>
      <w:tblLayout w:type="fixed"/>
      <w:tblLook w:val="0400"/>
    </w:tblPr>
    <w:tblGrid>
      <w:gridCol w:w="3805"/>
      <w:gridCol w:w="2601"/>
      <w:gridCol w:w="3095"/>
      <w:tblGridChange w:id="0">
        <w:tblGrid>
          <w:gridCol w:w="3805"/>
          <w:gridCol w:w="2601"/>
          <w:gridCol w:w="3095"/>
        </w:tblGrid>
      </w:tblGridChange>
    </w:tblGrid>
    <w:tr>
      <w:trPr>
        <w:cantSplit w:val="0"/>
        <w:tblHeader w:val="0"/>
      </w:trPr>
      <w:tc>
        <w:tcPr>
          <w:vMerge w:val="restart"/>
          <w:shd w:fill="auto" w:val="clear"/>
        </w:tcPr>
        <w:p w:rsidR="00000000" w:rsidDel="00000000" w:rsidP="00000000" w:rsidRDefault="00000000" w:rsidRPr="00000000" w14:paraId="00000138">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sz w:val="28"/>
              <w:szCs w:val="28"/>
            </w:rPr>
            <w:drawing>
              <wp:inline distB="0" distT="0" distL="0" distR="0">
                <wp:extent cx="1692162" cy="852673"/>
                <wp:effectExtent b="0" l="0" r="0" t="0"/>
                <wp:docPr id="23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92162" cy="85267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3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Recurso de Revisión:</w:t>
          </w:r>
        </w:p>
      </w:tc>
      <w:tc>
        <w:tcPr>
          <w:shd w:fill="auto" w:val="clear"/>
          <w:vAlign w:val="center"/>
        </w:tcPr>
        <w:p w:rsidR="00000000" w:rsidDel="00000000" w:rsidP="00000000" w:rsidRDefault="00000000" w:rsidRPr="00000000" w14:paraId="0000013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03837/INFOEM/IP/RR/2022 </w:t>
          </w:r>
        </w:p>
      </w:tc>
    </w:tr>
    <w:tr>
      <w:trPr>
        <w:cantSplit w:val="0"/>
        <w:tblHeader w:val="0"/>
      </w:trPr>
      <w:tc>
        <w:tcPr>
          <w:vMerge w:val="continue"/>
          <w:shd w:fill="auto"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shd w:fill="auto" w:val="clear"/>
        </w:tcPr>
        <w:p w:rsidR="00000000" w:rsidDel="00000000" w:rsidP="00000000" w:rsidRDefault="00000000" w:rsidRPr="00000000" w14:paraId="0000013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Recurrente:</w:t>
          </w:r>
        </w:p>
      </w:tc>
      <w:tc>
        <w:tcPr>
          <w:shd w:fill="auto" w:val="clear"/>
          <w:vAlign w:val="center"/>
        </w:tcPr>
        <w:p w:rsidR="00000000" w:rsidDel="00000000" w:rsidP="00000000" w:rsidRDefault="00000000" w:rsidRPr="00000000" w14:paraId="0000013D">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XXXX XXXXXX XXXXX</w:t>
          </w:r>
        </w:p>
      </w:tc>
    </w:tr>
    <w:tr>
      <w:trPr>
        <w:cantSplit w:val="0"/>
        <w:trHeight w:val="228" w:hRule="atLeast"/>
        <w:tblHeader w:val="0"/>
      </w:trPr>
      <w:tc>
        <w:tcPr>
          <w:vMerge w:val="continue"/>
          <w:shd w:fill="auto"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shd w:fill="auto" w:val="clear"/>
        </w:tcPr>
        <w:p w:rsidR="00000000" w:rsidDel="00000000" w:rsidP="00000000" w:rsidRDefault="00000000" w:rsidRPr="00000000" w14:paraId="0000013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Sujeto Obligado:</w:t>
          </w:r>
        </w:p>
      </w:tc>
      <w:tc>
        <w:tcPr>
          <w:shd w:fill="auto" w:val="clear"/>
          <w:vAlign w:val="center"/>
        </w:tcPr>
        <w:p w:rsidR="00000000" w:rsidDel="00000000" w:rsidP="00000000" w:rsidRDefault="00000000" w:rsidRPr="00000000" w14:paraId="00000140">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Temamatla</w:t>
          </w:r>
        </w:p>
      </w:tc>
    </w:tr>
    <w:tr>
      <w:trPr>
        <w:cantSplit w:val="0"/>
        <w:trHeight w:val="20" w:hRule="atLeast"/>
        <w:tblHeader w:val="0"/>
      </w:trPr>
      <w:tc>
        <w:tcPr>
          <w:vMerge w:val="continue"/>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shd w:fill="auto" w:val="clear"/>
        </w:tcPr>
        <w:p w:rsidR="00000000" w:rsidDel="00000000" w:rsidP="00000000" w:rsidRDefault="00000000" w:rsidRPr="00000000" w14:paraId="0000014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Comisionada Ponente:</w:t>
          </w:r>
        </w:p>
      </w:tc>
      <w:tc>
        <w:tcPr>
          <w:shd w:fill="auto" w:val="clear"/>
        </w:tcPr>
        <w:p w:rsidR="00000000" w:rsidDel="00000000" w:rsidP="00000000" w:rsidRDefault="00000000" w:rsidRPr="00000000" w14:paraId="0000014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Sharon Cristina Morales Martínez </w:t>
          </w:r>
        </w:p>
      </w:tc>
    </w:tr>
  </w:tbl>
  <w:p w:rsidR="00000000" w:rsidDel="00000000" w:rsidP="00000000" w:rsidRDefault="00000000" w:rsidRPr="00000000" w14:paraId="00000144">
    <w:pPr>
      <w:rPr>
        <w:rFonts w:ascii="Palatino Linotype" w:cs="Palatino Linotype" w:eastAsia="Palatino Linotype" w:hAnsi="Palatino Linotype"/>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366091"/>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before="40" w:lineRule="auto"/>
    </w:pPr>
    <w:rPr>
      <w:rFonts w:ascii="Calibri" w:cs="Calibri" w:eastAsia="Calibri" w:hAnsi="Calibri"/>
      <w:color w:val="366091"/>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B2895"/>
  </w:style>
  <w:style w:type="paragraph" w:styleId="Ttulo1">
    <w:name w:val="heading 1"/>
    <w:basedOn w:val="Normal"/>
    <w:next w:val="Normal"/>
    <w:link w:val="Ttulo1Car"/>
    <w:uiPriority w:val="9"/>
    <w:qFormat w:val="1"/>
    <w:rsid w:val="00CC7BDB"/>
    <w:pPr>
      <w:keepNext w:val="1"/>
      <w:keepLines w:val="1"/>
      <w:spacing w:before="240"/>
      <w:outlineLvl w:val="0"/>
    </w:pPr>
    <w:rPr>
      <w:rFonts w:asciiTheme="majorHAnsi" w:cstheme="majorBidi" w:eastAsiaTheme="majorEastAsia" w:hAnsiTheme="majorHAnsi"/>
      <w:color w:val="365f91" w:themeColor="accent1" w:themeShade="0000BF"/>
      <w:sz w:val="32"/>
      <w:szCs w:val="32"/>
      <w:lang w:val="es-ES"/>
    </w:rPr>
  </w:style>
  <w:style w:type="paragraph" w:styleId="Ttulo2">
    <w:name w:val="heading 2"/>
    <w:basedOn w:val="Normal"/>
    <w:next w:val="Normal"/>
    <w:link w:val="Ttulo2Car"/>
    <w:uiPriority w:val="9"/>
    <w:semiHidden w:val="1"/>
    <w:unhideWhenUsed w:val="1"/>
    <w:qFormat w:val="1"/>
    <w:rsid w:val="004435D7"/>
    <w:pPr>
      <w:keepNext w:val="1"/>
      <w:keepLines w:val="1"/>
      <w:spacing w:before="40" w:line="259" w:lineRule="auto"/>
      <w:outlineLvl w:val="1"/>
    </w:pPr>
    <w:rPr>
      <w:rFonts w:asciiTheme="majorHAnsi" w:cstheme="majorBidi" w:eastAsiaTheme="majorEastAsia" w:hAnsiTheme="majorHAnsi"/>
      <w:color w:val="365f91" w:themeColor="accent1" w:themeShade="0000BF"/>
      <w:sz w:val="26"/>
      <w:szCs w:val="26"/>
      <w:lang w:eastAsia="en-US"/>
    </w:rPr>
  </w:style>
  <w:style w:type="paragraph" w:styleId="Ttulo3">
    <w:name w:val="heading 3"/>
    <w:basedOn w:val="Normal"/>
    <w:link w:val="Ttulo3Car"/>
    <w:uiPriority w:val="9"/>
    <w:semiHidden w:val="1"/>
    <w:unhideWhenUsed w:val="1"/>
    <w:qFormat w:val="1"/>
    <w:rsid w:val="0071255C"/>
    <w:pPr>
      <w:spacing w:after="100" w:afterAutospacing="1" w:before="100" w:beforeAutospacing="1"/>
      <w:outlineLvl w:val="2"/>
    </w:pPr>
    <w:rPr>
      <w:b w:val="1"/>
      <w:bCs w:val="1"/>
      <w:sz w:val="27"/>
      <w:szCs w:val="27"/>
    </w:rPr>
  </w:style>
  <w:style w:type="paragraph" w:styleId="Ttulo4">
    <w:name w:val="heading 4"/>
    <w:basedOn w:val="Normal"/>
    <w:next w:val="Normal"/>
    <w:link w:val="Ttulo4Car"/>
    <w:uiPriority w:val="9"/>
    <w:semiHidden w:val="1"/>
    <w:unhideWhenUsed w:val="1"/>
    <w:qFormat w:val="1"/>
    <w:rsid w:val="00FC157F"/>
    <w:pPr>
      <w:keepNext w:val="1"/>
      <w:keepLines w:val="1"/>
      <w:spacing w:before="40"/>
      <w:outlineLvl w:val="3"/>
    </w:pPr>
    <w:rPr>
      <w:rFonts w:asciiTheme="majorHAnsi" w:cstheme="majorBidi" w:eastAsiaTheme="majorEastAsia" w:hAnsiTheme="majorHAnsi"/>
      <w:i w:val="1"/>
      <w:iCs w:val="1"/>
      <w:color w:val="365f91" w:themeColor="accent1" w:themeShade="0000BF"/>
      <w:lang w:val="es-ES"/>
    </w:rPr>
  </w:style>
  <w:style w:type="paragraph" w:styleId="Ttulo5">
    <w:name w:val="heading 5"/>
    <w:basedOn w:val="Normal"/>
    <w:next w:val="Normal"/>
    <w:link w:val="Ttulo5Car"/>
    <w:uiPriority w:val="9"/>
    <w:semiHidden w:val="1"/>
    <w:unhideWhenUsed w:val="1"/>
    <w:qFormat w:val="1"/>
    <w:rsid w:val="00FC157F"/>
    <w:pPr>
      <w:keepNext w:val="1"/>
      <w:keepLines w:val="1"/>
      <w:spacing w:before="40"/>
      <w:outlineLvl w:val="4"/>
    </w:pPr>
    <w:rPr>
      <w:rFonts w:asciiTheme="majorHAnsi" w:cstheme="majorBidi" w:eastAsiaTheme="majorEastAsia" w:hAnsiTheme="majorHAnsi"/>
      <w:color w:val="365f91" w:themeColor="accent1" w:themeShade="0000BF"/>
      <w:lang w:val="es-ES"/>
    </w:rPr>
  </w:style>
  <w:style w:type="paragraph" w:styleId="Ttulo6">
    <w:name w:val="heading 6"/>
    <w:basedOn w:val="Normal"/>
    <w:next w:val="Normal"/>
    <w:link w:val="Ttulo6Car"/>
    <w:uiPriority w:val="9"/>
    <w:semiHidden w:val="1"/>
    <w:unhideWhenUsed w:val="1"/>
    <w:qFormat w:val="1"/>
    <w:rsid w:val="00FC157F"/>
    <w:pPr>
      <w:keepNext w:val="1"/>
      <w:keepLines w:val="1"/>
      <w:spacing w:before="40"/>
      <w:outlineLvl w:val="5"/>
    </w:pPr>
    <w:rPr>
      <w:rFonts w:asciiTheme="majorHAnsi" w:cstheme="majorBidi" w:eastAsiaTheme="majorEastAsia" w:hAnsiTheme="majorHAnsi"/>
      <w:color w:val="243f60" w:themeColor="accent1" w:themeShade="00007F"/>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A2780F"/>
    <w:rPr>
      <w:rFonts w:ascii="Times New Roman" w:cs="Times New Roman" w:eastAsia="Times New Roman" w:hAnsi="Times New Roman"/>
      <w:lang w:val="es-ES"/>
    </w:rPr>
  </w:style>
  <w:style w:type="character" w:styleId="Hipervnculo">
    <w:name w:val="Hyperlink"/>
    <w:uiPriority w:val="99"/>
    <w:unhideWhenUsed w:val="1"/>
    <w:rsid w:val="00A2780F"/>
    <w:rPr>
      <w:strike w:val="0"/>
      <w:dstrike w:val="0"/>
      <w:color w:val="035899"/>
      <w:u w:val="none"/>
      <w:effect w:val="none"/>
    </w:rPr>
  </w:style>
  <w:style w:type="paragraph" w:styleId="NormalWeb">
    <w:name w:val="Normal (Web)"/>
    <w:basedOn w:val="Normal"/>
    <w:uiPriority w:val="99"/>
    <w:rsid w:val="00A2780F"/>
    <w:pPr>
      <w:spacing w:after="100" w:afterAutospacing="1" w:before="100" w:beforeAutospacing="1"/>
    </w:pPr>
  </w:style>
  <w:style w:type="character" w:styleId="Textoennegrita">
    <w:name w:val="Strong"/>
    <w:uiPriority w:val="22"/>
    <w:qFormat w:val="1"/>
    <w:rsid w:val="00A2780F"/>
    <w:rPr>
      <w:b w:val="1"/>
      <w:bCs w:val="1"/>
    </w:rPr>
  </w:style>
  <w:style w:type="character" w:styleId="Hipervnculovisitado">
    <w:name w:val="FollowedHyperlink"/>
    <w:basedOn w:val="Fuentedeprrafopredeter"/>
    <w:uiPriority w:val="99"/>
    <w:semiHidden w:val="1"/>
    <w:unhideWhenUsed w:val="1"/>
    <w:rsid w:val="009776B8"/>
    <w:rPr>
      <w:color w:val="800080" w:themeColor="followedHyperlink"/>
      <w:u w:val="single"/>
    </w:rPr>
  </w:style>
  <w:style w:type="paragraph" w:styleId="Textoindependiente2">
    <w:name w:val="Body Text 2"/>
    <w:basedOn w:val="Normal"/>
    <w:link w:val="Textoindependiente2Car"/>
    <w:uiPriority w:val="99"/>
    <w:unhideWhenUsed w:val="1"/>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cs="Times New Roman" w:eastAsia="Times New Roman" w:hAnsi="Times New Roman"/>
      <w:lang w:val="es-ES"/>
    </w:rPr>
  </w:style>
  <w:style w:type="character" w:styleId="Refdecomentario">
    <w:name w:val="annotation reference"/>
    <w:basedOn w:val="Fuentedeprrafopredeter"/>
    <w:uiPriority w:val="99"/>
    <w:semiHidden w:val="1"/>
    <w:unhideWhenUsed w:val="1"/>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cs="Arial" w:hAnsi="Arial" w:eastAsiaTheme="minorHAnsi"/>
      <w:color w:val="000000"/>
      <w:lang w:eastAsia="en-US"/>
    </w:rPr>
  </w:style>
  <w:style w:type="paragraph" w:styleId="Listavistosa-nfasis11" w:customStyle="1">
    <w:name w:val="Lista vistosa - Énfasis 11"/>
    <w:basedOn w:val="Normal"/>
    <w:link w:val="Listavistosa-nfasis1Car"/>
    <w:uiPriority w:val="34"/>
    <w:qFormat w:val="1"/>
    <w:rsid w:val="0015349A"/>
    <w:pPr>
      <w:ind w:left="708"/>
    </w:pPr>
  </w:style>
  <w:style w:type="character" w:styleId="Listavistosa-nfasis1Car" w:customStyle="1">
    <w:name w:val="Lista vistosa - Énfasis 1 Car"/>
    <w:link w:val="Listavistosa-nfasis11"/>
    <w:uiPriority w:val="34"/>
    <w:locked w:val="1"/>
    <w:rsid w:val="0015349A"/>
    <w:rPr>
      <w:rFonts w:ascii="Times New Roman" w:cs="Times New Roman" w:eastAsia="Times New Roman" w:hAnsi="Times New Roman"/>
      <w:lang w:val="es-ES"/>
    </w:rPr>
  </w:style>
  <w:style w:type="paragraph" w:styleId="Texto" w:customStyle="1">
    <w:name w:val="Texto"/>
    <w:basedOn w:val="Normal"/>
    <w:link w:val="TextoCar"/>
    <w:qFormat w:val="1"/>
    <w:rsid w:val="0015349A"/>
    <w:pPr>
      <w:spacing w:after="101" w:line="216" w:lineRule="exact"/>
      <w:ind w:firstLine="288"/>
      <w:jc w:val="both"/>
    </w:pPr>
    <w:rPr>
      <w:rFonts w:ascii="Arial" w:cs="Arial" w:hAnsi="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15349A"/>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eastAsia="en-US"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val="1"/>
    <w:qFormat w:val="1"/>
    <w:rsid w:val="0015349A"/>
    <w:rPr>
      <w:vertAlign w:val="superscript"/>
    </w:rPr>
  </w:style>
  <w:style w:type="paragraph" w:styleId="Sinespaciado">
    <w:name w:val="No Spacing"/>
    <w:aliases w:val="Francesa"/>
    <w:link w:val="SinespaciadoCar"/>
    <w:uiPriority w:val="1"/>
    <w:qFormat w:val="1"/>
    <w:rsid w:val="0015349A"/>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cs="Times New Roman" w:eastAsia="Times New Roman" w:hAnsi="Courier New"/>
      <w:sz w:val="20"/>
      <w:szCs w:val="20"/>
      <w:lang w:val="es-ES"/>
    </w:rPr>
  </w:style>
  <w:style w:type="paragraph" w:styleId="Standard" w:customStyle="1">
    <w:name w:val="Standard"/>
    <w:rsid w:val="0015349A"/>
    <w:pPr>
      <w:widowControl w:val="0"/>
      <w:suppressAutoHyphens w:val="1"/>
      <w:autoSpaceDN w:val="0"/>
      <w:textAlignment w:val="baseline"/>
    </w:pPr>
    <w:rPr>
      <w:rFonts w:ascii="Liberation Serif" w:cs="Lohit Hindi" w:eastAsia="DejaVu Sans" w:hAnsi="Liberation Serif"/>
      <w:kern w:val="3"/>
      <w:lang w:bidi="hi-IN" w:eastAsia="zh-CN"/>
    </w:rPr>
  </w:style>
  <w:style w:type="character" w:styleId="negritas1" w:customStyle="1">
    <w:name w:val="negritas1"/>
    <w:rsid w:val="0015349A"/>
    <w:rPr>
      <w:rFonts w:ascii="Arial" w:cs="Arial" w:hAnsi="Arial" w:hint="default"/>
      <w:b w:val="1"/>
      <w:bCs w:val="1"/>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eastAsia="es-ES_tradnl" w:val="es-ES_tradnl"/>
    </w:rPr>
  </w:style>
  <w:style w:type="character" w:styleId="f" w:customStyle="1">
    <w:name w:val="f"/>
    <w:basedOn w:val="Fuentedeprrafopredeter"/>
    <w:rsid w:val="0015349A"/>
  </w:style>
  <w:style w:type="paragraph" w:styleId="q" w:customStyle="1">
    <w:name w:val="q"/>
    <w:basedOn w:val="Normal"/>
    <w:rsid w:val="0015349A"/>
    <w:pPr>
      <w:spacing w:after="100" w:afterAutospacing="1" w:before="100" w:beforeAutospacing="1"/>
    </w:p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val="1"/>
    <w:unhideWhenUsed w:val="1"/>
    <w:rsid w:val="0015349A"/>
    <w:rPr>
      <w:i w:val="1"/>
      <w:iCs w:val="1"/>
    </w:rPr>
  </w:style>
  <w:style w:type="paragraph" w:styleId="RSCGnotaalpie" w:customStyle="1">
    <w:name w:val="RSCG nota al pie"/>
    <w:basedOn w:val="Normal"/>
    <w:uiPriority w:val="99"/>
    <w:qFormat w:val="1"/>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val="1"/>
    <w:rsid w:val="00AB159D"/>
    <w:rPr>
      <w:rFonts w:ascii="Arial" w:cs="Arial" w:eastAsia="Times New Roman" w:hAnsi="Arial"/>
      <w:sz w:val="18"/>
      <w:szCs w:val="18"/>
      <w:lang w:val="es-MX"/>
    </w:rPr>
  </w:style>
  <w:style w:type="character" w:styleId="Ttulo3Car" w:customStyle="1">
    <w:name w:val="Título 3 Car"/>
    <w:basedOn w:val="Fuentedeprrafopredeter"/>
    <w:link w:val="Ttulo3"/>
    <w:uiPriority w:val="9"/>
    <w:rsid w:val="0071255C"/>
    <w:rPr>
      <w:rFonts w:ascii="Times New Roman" w:cs="Times New Roman" w:eastAsia="Times New Roman" w:hAnsi="Times New Roman"/>
      <w:b w:val="1"/>
      <w:bCs w:val="1"/>
      <w:sz w:val="27"/>
      <w:szCs w:val="27"/>
      <w:lang w:eastAsia="es-MX" w:val="es-MX"/>
    </w:rPr>
  </w:style>
  <w:style w:type="paragraph" w:styleId="ANOTACION" w:customStyle="1">
    <w:name w:val="ANOTACION"/>
    <w:basedOn w:val="Normal"/>
    <w:link w:val="ANOTACIONCar"/>
    <w:rsid w:val="003D3A0C"/>
    <w:pPr>
      <w:spacing w:after="101" w:before="101"/>
      <w:jc w:val="center"/>
    </w:pPr>
    <w:rPr>
      <w:b w:val="1"/>
      <w:sz w:val="18"/>
      <w:szCs w:val="18"/>
    </w:rPr>
  </w:style>
  <w:style w:type="character" w:styleId="ANOTACIONCar" w:customStyle="1">
    <w:name w:val="ANOTACION Car"/>
    <w:link w:val="ANOTACION"/>
    <w:locked w:val="1"/>
    <w:rsid w:val="003D3A0C"/>
    <w:rPr>
      <w:rFonts w:ascii="Times New Roman" w:cs="Times New Roman" w:eastAsia="Times New Roman" w:hAnsi="Times New Roman"/>
      <w:b w:val="1"/>
      <w:sz w:val="18"/>
      <w:szCs w:val="18"/>
    </w:rPr>
  </w:style>
  <w:style w:type="table" w:styleId="Tablaconcuadrcula">
    <w:name w:val="Table Grid"/>
    <w:basedOn w:val="Tablanormal"/>
    <w:uiPriority w:val="39"/>
    <w:rsid w:val="00AA48A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22780C"/>
    <w:rPr>
      <w:i w:val="1"/>
      <w:iCs w:val="1"/>
    </w:rPr>
  </w:style>
  <w:style w:type="character" w:styleId="SinespaciadoCar" w:customStyle="1">
    <w:name w:val="Sin espaciado Car"/>
    <w:aliases w:val="Francesa Car"/>
    <w:link w:val="Sinespaciado"/>
    <w:uiPriority w:val="1"/>
    <w:locked w:val="1"/>
    <w:rsid w:val="0088649D"/>
    <w:rPr>
      <w:rFonts w:ascii="Times New Roman" w:cs="Times New Roman" w:eastAsia="Times New Roman" w:hAnsi="Times New Roman"/>
      <w:lang w:val="es-MX"/>
    </w:rPr>
  </w:style>
  <w:style w:type="character" w:styleId="Ttulo2Car" w:customStyle="1">
    <w:name w:val="Título 2 Car"/>
    <w:basedOn w:val="Fuentedeprrafopredeter"/>
    <w:link w:val="Ttulo2"/>
    <w:uiPriority w:val="9"/>
    <w:rsid w:val="004435D7"/>
    <w:rPr>
      <w:rFonts w:asciiTheme="majorHAnsi" w:cstheme="majorBidi" w:eastAsiaTheme="majorEastAsia" w:hAnsiTheme="majorHAnsi"/>
      <w:color w:val="365f91" w:themeColor="accent1" w:themeShade="0000BF"/>
      <w:sz w:val="26"/>
      <w:szCs w:val="26"/>
      <w:lang w:eastAsia="en-US" w:val="es-MX"/>
    </w:rPr>
  </w:style>
  <w:style w:type="paragraph" w:styleId="Bibliografa">
    <w:name w:val="Bibliography"/>
    <w:basedOn w:val="Normal"/>
    <w:next w:val="Normal"/>
    <w:uiPriority w:val="37"/>
    <w:semiHidden w:val="1"/>
    <w:unhideWhenUsed w:val="1"/>
    <w:rsid w:val="002B0232"/>
  </w:style>
  <w:style w:type="paragraph" w:styleId="Textocomentario">
    <w:name w:val="annotation text"/>
    <w:basedOn w:val="Normal"/>
    <w:link w:val="TextocomentarioCar"/>
    <w:uiPriority w:val="99"/>
    <w:unhideWhenUsed w:val="1"/>
    <w:rsid w:val="006C2EF9"/>
    <w:rPr>
      <w:sz w:val="20"/>
      <w:szCs w:val="20"/>
    </w:rPr>
  </w:style>
  <w:style w:type="character" w:styleId="TextocomentarioCar" w:customStyle="1">
    <w:name w:val="Texto comentario Car"/>
    <w:basedOn w:val="Fuentedeprrafopredeter"/>
    <w:link w:val="Textocomentario"/>
    <w:uiPriority w:val="99"/>
    <w:rsid w:val="006C2EF9"/>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6C2EF9"/>
    <w:rPr>
      <w:b w:val="1"/>
      <w:bCs w:val="1"/>
    </w:rPr>
  </w:style>
  <w:style w:type="character" w:styleId="AsuntodelcomentarioCar" w:customStyle="1">
    <w:name w:val="Asunto del comentario Car"/>
    <w:basedOn w:val="TextocomentarioCar"/>
    <w:link w:val="Asuntodelcomentario"/>
    <w:uiPriority w:val="99"/>
    <w:semiHidden w:val="1"/>
    <w:rsid w:val="006C2EF9"/>
    <w:rPr>
      <w:rFonts w:ascii="Times New Roman" w:cs="Times New Roman" w:eastAsia="Times New Roman" w:hAnsi="Times New Roman"/>
      <w:b w:val="1"/>
      <w:bCs w:val="1"/>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cs="Arial" w:hAnsi="Arial"/>
      <w:sz w:val="18"/>
      <w:szCs w:val="18"/>
      <w:lang w:val="es-ES"/>
    </w:rPr>
  </w:style>
  <w:style w:type="character" w:styleId="ROMANOSCar" w:customStyle="1">
    <w:name w:val="ROMANOS Car"/>
    <w:link w:val="ROMANOS"/>
    <w:locked w:val="1"/>
    <w:rsid w:val="0014538F"/>
    <w:rPr>
      <w:rFonts w:ascii="Arial" w:cs="Arial" w:eastAsia="Times New Roman" w:hAnsi="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space="0" w:sz="0" w:val="nil"/>
        <w:left w:space="0" w:sz="0" w:val="nil"/>
        <w:bottom w:space="0" w:sz="0" w:val="nil"/>
        <w:right w:space="0" w:sz="0" w:val="nil"/>
        <w:between w:space="0" w:sz="0" w:val="nil"/>
        <w:bar w:space="0" w:sz="0" w:val="nil"/>
      </w:pBdr>
      <w:spacing w:after="160" w:line="259" w:lineRule="auto"/>
    </w:pPr>
    <w:rPr>
      <w:rFonts w:ascii="Calibri" w:cs="Calibri" w:eastAsia="Calibri" w:hAnsi="Calibri"/>
      <w:color w:val="000000"/>
      <w:sz w:val="22"/>
      <w:szCs w:val="22"/>
      <w:u w:color="000000"/>
      <w:bdr w:space="0" w:sz="0" w:val="nil"/>
      <w:lang w:val="de-DE"/>
    </w:rPr>
  </w:style>
  <w:style w:type="numbering" w:styleId="Estiloimportado2" w:customStyle="1">
    <w:name w:val="Estilo importado 2"/>
    <w:rsid w:val="008677B6"/>
  </w:style>
  <w:style w:type="character" w:styleId="Ttulo1Car" w:customStyle="1">
    <w:name w:val="Título 1 Car"/>
    <w:basedOn w:val="Fuentedeprrafopredeter"/>
    <w:link w:val="Ttulo1"/>
    <w:uiPriority w:val="9"/>
    <w:rsid w:val="00CC7BDB"/>
    <w:rPr>
      <w:rFonts w:asciiTheme="majorHAnsi" w:cstheme="majorBidi" w:eastAsiaTheme="majorEastAsia" w:hAnsiTheme="majorHAnsi"/>
      <w:color w:val="365f91" w:themeColor="accent1" w:themeShade="0000BF"/>
      <w:sz w:val="32"/>
      <w:szCs w:val="32"/>
      <w:lang w:val="es-ES"/>
    </w:rPr>
  </w:style>
  <w:style w:type="numbering" w:styleId="Estiloimportado1" w:customStyle="1">
    <w:name w:val="Estilo importado 1"/>
    <w:rsid w:val="00CC7BDB"/>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cs="Arial" w:hAnsi="Arial"/>
      <w:sz w:val="18"/>
      <w:szCs w:val="18"/>
      <w:lang w:val="es-ES"/>
    </w:rPr>
  </w:style>
  <w:style w:type="paragraph" w:styleId="n2" w:customStyle="1">
    <w:name w:val="n2"/>
    <w:basedOn w:val="Normal"/>
    <w:rsid w:val="001C4E80"/>
    <w:pPr>
      <w:spacing w:after="100" w:afterAutospacing="1" w:before="100" w:beforeAutospacing="1"/>
    </w:pPr>
  </w:style>
  <w:style w:type="paragraph" w:styleId="j" w:customStyle="1">
    <w:name w:val="j"/>
    <w:basedOn w:val="Normal"/>
    <w:rsid w:val="001C4E80"/>
    <w:pPr>
      <w:spacing w:after="100" w:afterAutospacing="1" w:before="100" w:beforeAutospacing="1"/>
    </w:p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after="100" w:afterAutospacing="1" w:before="100" w:beforeAutospacing="1"/>
    </w:p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cstheme="majorBidi" w:eastAsiaTheme="majorEastAsia" w:hAnsiTheme="majorHAnsi"/>
      <w:i w:val="1"/>
      <w:iCs w:val="1"/>
      <w:color w:val="365f91" w:themeColor="accent1" w:themeShade="0000BF"/>
      <w:lang w:val="es-ES"/>
    </w:rPr>
  </w:style>
  <w:style w:type="character" w:styleId="Ttulo5Car" w:customStyle="1">
    <w:name w:val="Título 5 Car"/>
    <w:basedOn w:val="Fuentedeprrafopredeter"/>
    <w:link w:val="Ttulo5"/>
    <w:uiPriority w:val="9"/>
    <w:rsid w:val="00FC157F"/>
    <w:rPr>
      <w:rFonts w:asciiTheme="majorHAnsi" w:cstheme="majorBidi" w:eastAsiaTheme="majorEastAsia" w:hAnsiTheme="majorHAnsi"/>
      <w:color w:val="365f91" w:themeColor="accent1" w:themeShade="0000BF"/>
      <w:lang w:val="es-ES"/>
    </w:rPr>
  </w:style>
  <w:style w:type="character" w:styleId="Ttulo6Car" w:customStyle="1">
    <w:name w:val="Título 6 Car"/>
    <w:basedOn w:val="Fuentedeprrafopredeter"/>
    <w:link w:val="Ttulo6"/>
    <w:uiPriority w:val="9"/>
    <w:rsid w:val="00FC157F"/>
    <w:rPr>
      <w:rFonts w:asciiTheme="majorHAnsi" w:cstheme="majorBidi" w:eastAsiaTheme="majorEastAsia" w:hAnsiTheme="majorHAnsi"/>
      <w:color w:val="243f60" w:themeColor="accent1" w:themeShade="00007F"/>
      <w:lang w:val="es-ES"/>
    </w:rPr>
  </w:style>
  <w:style w:type="paragraph" w:styleId="Lista">
    <w:name w:val="List"/>
    <w:basedOn w:val="Normal"/>
    <w:uiPriority w:val="99"/>
    <w:unhideWhenUsed w:val="1"/>
    <w:rsid w:val="00FC157F"/>
    <w:pPr>
      <w:ind w:left="283" w:hanging="283"/>
      <w:contextualSpacing w:val="1"/>
    </w:pPr>
    <w:rPr>
      <w:lang w:val="es-ES"/>
    </w:rPr>
  </w:style>
  <w:style w:type="paragraph" w:styleId="Lista2">
    <w:name w:val="List 2"/>
    <w:basedOn w:val="Normal"/>
    <w:uiPriority w:val="99"/>
    <w:unhideWhenUsed w:val="1"/>
    <w:rsid w:val="00FC157F"/>
    <w:pPr>
      <w:ind w:left="566" w:hanging="283"/>
      <w:contextualSpacing w:val="1"/>
    </w:pPr>
    <w:rPr>
      <w:lang w:val="es-ES"/>
    </w:rPr>
  </w:style>
  <w:style w:type="paragraph" w:styleId="Lista3">
    <w:name w:val="List 3"/>
    <w:basedOn w:val="Normal"/>
    <w:uiPriority w:val="99"/>
    <w:unhideWhenUsed w:val="1"/>
    <w:rsid w:val="00FC157F"/>
    <w:pPr>
      <w:ind w:left="849" w:hanging="283"/>
      <w:contextualSpacing w:val="1"/>
    </w:pPr>
    <w:rPr>
      <w:lang w:val="es-ES"/>
    </w:rPr>
  </w:style>
  <w:style w:type="paragraph" w:styleId="Textoindependiente">
    <w:name w:val="Body Text"/>
    <w:basedOn w:val="Normal"/>
    <w:link w:val="TextoindependienteCar"/>
    <w:uiPriority w:val="99"/>
    <w:unhideWhenUsed w:val="1"/>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cs="Times New Roman" w:eastAsia="Times New Roman" w:hAnsi="Times New Roman"/>
      <w:lang w:val="es-ES"/>
    </w:rPr>
  </w:style>
  <w:style w:type="paragraph" w:styleId="Sangradetextonormal">
    <w:name w:val="Body Text Indent"/>
    <w:basedOn w:val="Normal"/>
    <w:link w:val="SangradetextonormalCar"/>
    <w:uiPriority w:val="99"/>
    <w:unhideWhenUsed w:val="1"/>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cs="Times New Roman" w:eastAsia="Times New Roman" w:hAnsi="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eastAsia="en-US" w:val="en-US"/>
    </w:rPr>
  </w:style>
  <w:style w:type="character" w:styleId="TextChar" w:customStyle="1">
    <w:name w:val="Text Char"/>
    <w:link w:val="Text"/>
    <w:locked w:val="1"/>
    <w:rsid w:val="00B93B76"/>
    <w:rPr>
      <w:rFonts w:ascii="Times New Roman" w:cs="Times New Roman" w:eastAsia="Times New Roman" w:hAnsi="Times New Roman"/>
      <w:szCs w:val="20"/>
      <w:lang w:eastAsia="en-US" w:val="en-US"/>
    </w:rPr>
  </w:style>
  <w:style w:type="paragraph" w:styleId="corte5transcripcion" w:customStyle="1">
    <w:name w:val="corte5 transcripcion"/>
    <w:basedOn w:val="Normal"/>
    <w:rsid w:val="00B93B76"/>
    <w:pPr>
      <w:spacing w:line="360" w:lineRule="auto"/>
      <w:ind w:left="709" w:right="709"/>
      <w:jc w:val="both"/>
    </w:pPr>
    <w:rPr>
      <w:rFonts w:ascii="Arial" w:cs="Arial" w:hAnsi="Arial"/>
      <w:b w:val="1"/>
      <w:bCs w:val="1"/>
      <w:i w:val="1"/>
      <w:iCs w:val="1"/>
      <w:sz w:val="30"/>
      <w:szCs w:val="30"/>
    </w:rPr>
  </w:style>
  <w:style w:type="paragraph" w:styleId="FAFunotente1" w:customStyle="1">
    <w:name w:val="FA Fu?notente1"/>
    <w:basedOn w:val="Normal"/>
    <w:next w:val="Textonotapie"/>
    <w:uiPriority w:val="99"/>
    <w:rsid w:val="001D2165"/>
    <w:rPr>
      <w:rFonts w:eastAsia="Cambria" w:asciiTheme="minorHAnsi" w:cstheme="minorBidi" w:hAnsiTheme="minorHAnsi"/>
      <w:sz w:val="20"/>
      <w:szCs w:val="20"/>
      <w:lang w:eastAsia="en-US"/>
    </w:rPr>
  </w:style>
  <w:style w:type="paragraph" w:styleId="paragraph" w:customStyle="1">
    <w:name w:val="paragraph"/>
    <w:basedOn w:val="Normal"/>
    <w:uiPriority w:val="99"/>
    <w:rsid w:val="00004C7A"/>
    <w:pPr>
      <w:spacing w:after="100" w:afterAutospacing="1" w:before="100" w:beforeAutospacing="1" w:line="264" w:lineRule="auto"/>
    </w:pPr>
    <w:rPr>
      <w:rFonts w:asciiTheme="minorHAnsi" w:cstheme="minorBidi" w:eastAsiaTheme="minorEastAsia" w:hAnsiTheme="minorHAnsi"/>
      <w:sz w:val="20"/>
      <w:szCs w:val="20"/>
    </w:rPr>
  </w:style>
  <w:style w:type="table" w:styleId="Tablaconcuadrcula1" w:customStyle="1">
    <w:name w:val="Tabla con cuadrícula1"/>
    <w:basedOn w:val="Tablanormal"/>
    <w:next w:val="Tablaconcuadrcula"/>
    <w:uiPriority w:val="59"/>
    <w:rsid w:val="00555C12"/>
    <w:rPr>
      <w:rFonts w:ascii="Calibri" w:eastAsia="Calibri" w:hAnsi="Calibri"/>
      <w:sz w:val="22"/>
      <w:szCs w:val="22"/>
      <w:lang w:eastAsia="en-US"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aconcuadrcula2" w:customStyle="1">
    <w:name w:val="Tabla con cuadrícula2"/>
    <w:basedOn w:val="Tablanormal"/>
    <w:next w:val="Tablaconcuadrcula"/>
    <w:uiPriority w:val="39"/>
    <w:rsid w:val="00177F5F"/>
    <w:rPr>
      <w:rFonts w:eastAsia="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1" w:customStyle="1">
    <w:name w:val="Mención sin resolver1"/>
    <w:basedOn w:val="Fuentedeprrafopredeter"/>
    <w:uiPriority w:val="99"/>
    <w:semiHidden w:val="1"/>
    <w:unhideWhenUsed w:val="1"/>
    <w:rsid w:val="000D2977"/>
    <w:rPr>
      <w:color w:val="605e5c"/>
      <w:shd w:color="auto" w:fill="e1dfdd" w:val="clear"/>
    </w:rPr>
  </w:style>
  <w:style w:type="paragraph" w:styleId="temp" w:customStyle="1">
    <w:name w:val="temp"/>
    <w:basedOn w:val="Normal"/>
    <w:rsid w:val="00C83961"/>
    <w:pPr>
      <w:spacing w:after="100" w:afterAutospacing="1" w:before="100" w:beforeAutospacing="1"/>
    </w:pPr>
  </w:style>
  <w:style w:type="character" w:styleId="bold" w:customStyle="1">
    <w:name w:val="bold"/>
    <w:basedOn w:val="Fuentedeprrafopredeter"/>
    <w:rsid w:val="00C83961"/>
  </w:style>
  <w:style w:type="paragraph" w:styleId="ng-star-inserted" w:customStyle="1">
    <w:name w:val="ng-star-inserted"/>
    <w:basedOn w:val="Normal"/>
    <w:rsid w:val="00C83961"/>
    <w:pPr>
      <w:spacing w:after="100" w:afterAutospacing="1" w:before="100" w:beforeAutospacing="1"/>
    </w:pPr>
  </w:style>
  <w:style w:type="character" w:styleId="Mencinsinresolver2" w:customStyle="1">
    <w:name w:val="Mención sin resolver2"/>
    <w:basedOn w:val="Fuentedeprrafopredeter"/>
    <w:uiPriority w:val="99"/>
    <w:semiHidden w:val="1"/>
    <w:unhideWhenUsed w:val="1"/>
    <w:rsid w:val="009E6E1F"/>
    <w:rPr>
      <w:color w:val="605e5c"/>
      <w:shd w:color="auto" w:fill="e1dfdd" w:val="clear"/>
    </w:rPr>
  </w:style>
  <w:style w:type="character" w:styleId="Mencinsinresolver3" w:customStyle="1">
    <w:name w:val="Mención sin resolver3"/>
    <w:basedOn w:val="Fuentedeprrafopredeter"/>
    <w:uiPriority w:val="99"/>
    <w:semiHidden w:val="1"/>
    <w:unhideWhenUsed w:val="1"/>
    <w:rsid w:val="008A6AD5"/>
    <w:rPr>
      <w:color w:val="605e5c"/>
      <w:shd w:color="auto" w:fill="e1dfdd" w:val="clear"/>
    </w:rPr>
  </w:style>
  <w:style w:type="paragraph" w:styleId="Saludo">
    <w:name w:val="Salutation"/>
    <w:basedOn w:val="Normal"/>
    <w:next w:val="Normal"/>
    <w:link w:val="SaludoCar"/>
    <w:uiPriority w:val="99"/>
    <w:unhideWhenUsed w:val="1"/>
    <w:rsid w:val="009A2B79"/>
  </w:style>
  <w:style w:type="character" w:styleId="SaludoCar" w:customStyle="1">
    <w:name w:val="Saludo Car"/>
    <w:basedOn w:val="Fuentedeprrafopredeter"/>
    <w:link w:val="Saludo"/>
    <w:uiPriority w:val="99"/>
    <w:rsid w:val="009A2B79"/>
    <w:rPr>
      <w:rFonts w:ascii="Times New Roman" w:cs="Times New Roman" w:eastAsia="Times New Roman" w:hAnsi="Times New Roman"/>
      <w:lang w:val="es-MX"/>
    </w:rPr>
  </w:style>
  <w:style w:type="character" w:styleId="Caracteresdenotaalpie" w:customStyle="1">
    <w:name w:val="Caracteres de nota al pie"/>
    <w:qFormat w:val="1"/>
    <w:rsid w:val="00E17961"/>
  </w:style>
  <w:style w:type="character" w:styleId="Mencinsinresolver4" w:customStyle="1">
    <w:name w:val="Mención sin resolver4"/>
    <w:basedOn w:val="Fuentedeprrafopredeter"/>
    <w:uiPriority w:val="99"/>
    <w:semiHidden w:val="1"/>
    <w:unhideWhenUsed w:val="1"/>
    <w:rsid w:val="00843F27"/>
    <w:rPr>
      <w:color w:val="605e5c"/>
      <w:shd w:color="auto" w:fill="e1dfdd" w:val="clear"/>
    </w:rPr>
  </w:style>
  <w:style w:type="character" w:styleId="Mencinsinresolver5" w:customStyle="1">
    <w:name w:val="Mención sin resolver5"/>
    <w:basedOn w:val="Fuentedeprrafopredeter"/>
    <w:uiPriority w:val="99"/>
    <w:semiHidden w:val="1"/>
    <w:unhideWhenUsed w:val="1"/>
    <w:rsid w:val="009F00FA"/>
    <w:rPr>
      <w:color w:val="605e5c"/>
      <w:shd w:color="auto" w:fill="e1dfdd" w:val="clear"/>
    </w:rPr>
  </w:style>
  <w:style w:type="character" w:styleId="Mencinsinresolver6" w:customStyle="1">
    <w:name w:val="Mención sin resolver6"/>
    <w:basedOn w:val="Fuentedeprrafopredeter"/>
    <w:uiPriority w:val="99"/>
    <w:semiHidden w:val="1"/>
    <w:unhideWhenUsed w:val="1"/>
    <w:rsid w:val="00C72FCC"/>
    <w:rPr>
      <w:color w:val="605e5c"/>
      <w:shd w:color="auto" w:fill="e1dfdd" w:val="clear"/>
    </w:rPr>
  </w:style>
  <w:style w:type="table" w:styleId="Tablaconcuadrcula111121" w:customStyle="1">
    <w:name w:val="Tabla con cuadrícula111121"/>
    <w:basedOn w:val="Tablanormal"/>
    <w:uiPriority w:val="39"/>
    <w:rsid w:val="00D02D6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211" w:customStyle="1">
    <w:name w:val="Tabla con cuadrícula1111211"/>
    <w:basedOn w:val="Tablanormal"/>
    <w:uiPriority w:val="39"/>
    <w:rsid w:val="0039304B"/>
    <w:rPr>
      <w:rFonts w:ascii="Cambria" w:eastAsia="Cambria" w:hAnsi="Cambria"/>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7" w:customStyle="1">
    <w:name w:val="Mención sin resolver7"/>
    <w:basedOn w:val="Fuentedeprrafopredeter"/>
    <w:uiPriority w:val="99"/>
    <w:semiHidden w:val="1"/>
    <w:unhideWhenUsed w:val="1"/>
    <w:rsid w:val="003C387B"/>
    <w:rPr>
      <w:color w:val="605e5c"/>
      <w:shd w:color="auto" w:fill="e1dfdd" w:val="clear"/>
    </w:rPr>
  </w:style>
  <w:style w:type="character" w:styleId="Mencinsinresolver8" w:customStyle="1">
    <w:name w:val="Mención sin resolver8"/>
    <w:basedOn w:val="Fuentedeprrafopredeter"/>
    <w:uiPriority w:val="99"/>
    <w:semiHidden w:val="1"/>
    <w:unhideWhenUsed w:val="1"/>
    <w:rsid w:val="003B6C49"/>
    <w:rPr>
      <w:color w:val="605e5c"/>
      <w:shd w:color="auto" w:fill="e1dfdd" w:val="clear"/>
    </w:rPr>
  </w:style>
  <w:style w:type="table" w:styleId="Tablaconcuadrcula1111212" w:customStyle="1">
    <w:name w:val="Tabla con cuadrícula1111212"/>
    <w:basedOn w:val="Tablanormal"/>
    <w:uiPriority w:val="39"/>
    <w:rsid w:val="00D1790E"/>
    <w:rPr>
      <w:rFonts w:ascii="Cambria" w:eastAsia="Cambria" w:hAnsi="Cambria"/>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n">
    <w:name w:val="Revision"/>
    <w:hidden w:val="1"/>
    <w:uiPriority w:val="99"/>
    <w:semiHidden w:val="1"/>
    <w:rsid w:val="00C07EF1"/>
  </w:style>
  <w:style w:type="table" w:styleId="Tablaconcuadrcula3" w:customStyle="1">
    <w:name w:val="Tabla con cuadrícula3"/>
    <w:basedOn w:val="Tablanormal"/>
    <w:next w:val="Tablaconcuadrcula"/>
    <w:uiPriority w:val="39"/>
    <w:rsid w:val="006E27FE"/>
    <w:rPr>
      <w:rFonts w:ascii="Arial" w:eastAsia="Calibri" w:hAnsi="Arial"/>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3">
    <w:name w:val="Body Text 3"/>
    <w:basedOn w:val="Normal"/>
    <w:link w:val="Textoindependiente3Car"/>
    <w:uiPriority w:val="99"/>
    <w:semiHidden w:val="1"/>
    <w:unhideWhenUsed w:val="1"/>
    <w:rsid w:val="007366EE"/>
    <w:pPr>
      <w:spacing w:after="120"/>
    </w:pPr>
    <w:rPr>
      <w:sz w:val="16"/>
      <w:szCs w:val="16"/>
    </w:rPr>
  </w:style>
  <w:style w:type="character" w:styleId="Textoindependiente3Car" w:customStyle="1">
    <w:name w:val="Texto independiente 3 Car"/>
    <w:basedOn w:val="Fuentedeprrafopredeter"/>
    <w:link w:val="Textoindependiente3"/>
    <w:uiPriority w:val="99"/>
    <w:semiHidden w:val="1"/>
    <w:rsid w:val="007366EE"/>
    <w:rPr>
      <w:rFonts w:ascii="Times New Roman" w:cs="Times New Roman" w:eastAsia="Times New Roman" w:hAnsi="Times New Roman"/>
      <w:sz w:val="16"/>
      <w:szCs w:val="16"/>
      <w:lang w:val="es-MX"/>
    </w:rPr>
  </w:style>
  <w:style w:type="paragraph" w:styleId="xmsonormal" w:customStyle="1">
    <w:name w:val="x_msonormal"/>
    <w:basedOn w:val="Normal"/>
    <w:rsid w:val="007366EE"/>
    <w:pPr>
      <w:spacing w:after="100" w:afterAutospacing="1" w:before="100" w:beforeAutospacing="1"/>
    </w:pPr>
  </w:style>
  <w:style w:type="character" w:styleId="eop" w:customStyle="1">
    <w:name w:val="eop"/>
    <w:basedOn w:val="Fuentedeprrafopredeter"/>
    <w:rsid w:val="007366EE"/>
  </w:style>
  <w:style w:type="paragraph" w:styleId="Textonotaalfinal">
    <w:name w:val="endnote text"/>
    <w:basedOn w:val="Normal"/>
    <w:link w:val="TextonotaalfinalCar"/>
    <w:uiPriority w:val="99"/>
    <w:semiHidden w:val="1"/>
    <w:unhideWhenUsed w:val="1"/>
    <w:rsid w:val="007366EE"/>
    <w:rPr>
      <w:sz w:val="20"/>
      <w:szCs w:val="20"/>
    </w:rPr>
  </w:style>
  <w:style w:type="character" w:styleId="TextonotaalfinalCar" w:customStyle="1">
    <w:name w:val="Texto nota al final Car"/>
    <w:basedOn w:val="Fuentedeprrafopredeter"/>
    <w:link w:val="Textonotaalfinal"/>
    <w:uiPriority w:val="99"/>
    <w:semiHidden w:val="1"/>
    <w:rsid w:val="007366EE"/>
    <w:rPr>
      <w:rFonts w:ascii="Times New Roman" w:cs="Times New Roman" w:eastAsia="Times New Roman" w:hAnsi="Times New Roman"/>
      <w:sz w:val="20"/>
      <w:szCs w:val="20"/>
      <w:lang w:val="es-MX"/>
    </w:rPr>
  </w:style>
  <w:style w:type="character" w:styleId="Refdenotaalfinal">
    <w:name w:val="endnote reference"/>
    <w:basedOn w:val="Fuentedeprrafopredeter"/>
    <w:uiPriority w:val="99"/>
    <w:semiHidden w:val="1"/>
    <w:unhideWhenUsed w:val="1"/>
    <w:rsid w:val="007366EE"/>
    <w:rPr>
      <w:vertAlign w:val="superscript"/>
    </w:rPr>
  </w:style>
  <w:style w:type="table" w:styleId="Tablaconcuadrcula1111213" w:customStyle="1">
    <w:name w:val="Tabla con cuadrícula1111213"/>
    <w:basedOn w:val="Tablanormal"/>
    <w:uiPriority w:val="39"/>
    <w:rsid w:val="001C70C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1" w:customStyle="1">
    <w:name w:val="Tabla con cuadrícula31"/>
    <w:basedOn w:val="Tablanormal"/>
    <w:next w:val="Tablaconcuadrcula"/>
    <w:uiPriority w:val="59"/>
    <w:rsid w:val="00096E3C"/>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9" w:customStyle="1">
    <w:name w:val="Mención sin resolver9"/>
    <w:basedOn w:val="Fuentedeprrafopredeter"/>
    <w:uiPriority w:val="99"/>
    <w:semiHidden w:val="1"/>
    <w:unhideWhenUsed w:val="1"/>
    <w:rsid w:val="005F2C87"/>
    <w:rPr>
      <w:color w:val="605e5c"/>
      <w:shd w:color="auto" w:fill="e1dfdd" w:val="clear"/>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f5"/>
    <w:tblPr>
      <w:tblStyleRowBandSize w:val="1"/>
      <w:tblStyleColBandSize w:val="1"/>
      <w:tblCellMar>
        <w:top w:w="100.0" w:type="dxa"/>
        <w:left w:w="100.0" w:type="dxa"/>
        <w:bottom w:w="100.0" w:type="dxa"/>
        <w:right w:w="100.0" w:type="dxa"/>
      </w:tblCellMar>
    </w:tblPr>
  </w:style>
  <w:style w:type="table" w:styleId="a0" w:customStyle="1">
    <w:basedOn w:val="TableNormalf5"/>
    <w:tblPr>
      <w:tblStyleRowBandSize w:val="1"/>
      <w:tblStyleColBandSize w:val="1"/>
      <w:tblCellMar>
        <w:left w:w="115.0" w:type="dxa"/>
        <w:right w:w="115.0" w:type="dxa"/>
      </w:tblCellMar>
    </w:tblPr>
  </w:style>
  <w:style w:type="table" w:styleId="a1" w:customStyle="1">
    <w:basedOn w:val="TableNormalf5"/>
    <w:tblPr>
      <w:tblStyleRowBandSize w:val="1"/>
      <w:tblStyleColBandSize w:val="1"/>
      <w:tblCellMar>
        <w:left w:w="115.0" w:type="dxa"/>
        <w:right w:w="115.0" w:type="dxa"/>
      </w:tblCellMar>
    </w:tblPr>
  </w:style>
  <w:style w:type="table" w:styleId="a2" w:customStyle="1">
    <w:basedOn w:val="TableNormalf5"/>
    <w:tblPr>
      <w:tblStyleRowBandSize w:val="1"/>
      <w:tblStyleColBandSize w:val="1"/>
      <w:tblCellMar>
        <w:left w:w="115.0" w:type="dxa"/>
        <w:right w:w="115.0" w:type="dxa"/>
      </w:tblCellMar>
    </w:tblPr>
  </w:style>
  <w:style w:type="table" w:styleId="a3" w:customStyle="1">
    <w:basedOn w:val="TableNormalf5"/>
    <w:tblPr>
      <w:tblStyleRowBandSize w:val="1"/>
      <w:tblStyleColBandSize w:val="1"/>
      <w:tblCellMar>
        <w:left w:w="115.0" w:type="dxa"/>
        <w:right w:w="115.0" w:type="dxa"/>
      </w:tblCellMar>
    </w:tblPr>
  </w:style>
  <w:style w:type="table" w:styleId="a4" w:customStyle="1">
    <w:basedOn w:val="TableNormalf5"/>
    <w:tblPr>
      <w:tblStyleRowBandSize w:val="1"/>
      <w:tblStyleColBandSize w:val="1"/>
      <w:tblCellMar>
        <w:left w:w="115.0" w:type="dxa"/>
        <w:right w:w="115.0" w:type="dxa"/>
      </w:tblCellMar>
    </w:tblPr>
  </w:style>
  <w:style w:type="table" w:styleId="a5" w:customStyle="1">
    <w:basedOn w:val="TableNormalf5"/>
    <w:rPr>
      <w:rFonts w:ascii="Arial" w:cs="Arial" w:eastAsia="Arial" w:hAnsi="Arial"/>
      <w:sz w:val="22"/>
      <w:szCs w:val="22"/>
    </w:rPr>
    <w:tblPr>
      <w:tblStyleRowBandSize w:val="1"/>
      <w:tblStyleColBandSize w:val="1"/>
      <w:tblCellMar>
        <w:left w:w="115.0" w:type="dxa"/>
        <w:right w:w="115.0" w:type="dxa"/>
      </w:tblCellMar>
    </w:tblPr>
  </w:style>
  <w:style w:type="table" w:styleId="a6" w:customStyle="1">
    <w:basedOn w:val="TableNormalf5"/>
    <w:tblPr>
      <w:tblStyleRowBandSize w:val="1"/>
      <w:tblStyleColBandSize w:val="1"/>
      <w:tblCellMar>
        <w:left w:w="115.0" w:type="dxa"/>
        <w:right w:w="115.0" w:type="dxa"/>
      </w:tblCellMar>
    </w:tblPr>
  </w:style>
  <w:style w:type="table" w:styleId="a7" w:customStyle="1">
    <w:basedOn w:val="TableNormalf5"/>
    <w:tblPr>
      <w:tblStyleRowBandSize w:val="1"/>
      <w:tblStyleColBandSize w:val="1"/>
      <w:tblCellMar>
        <w:left w:w="115.0" w:type="dxa"/>
        <w:right w:w="115.0" w:type="dxa"/>
      </w:tblCellMar>
    </w:tblPr>
  </w:style>
  <w:style w:type="table" w:styleId="a8" w:customStyle="1">
    <w:basedOn w:val="TableNormalf5"/>
    <w:rPr>
      <w:rFonts w:ascii="Arial" w:cs="Arial" w:eastAsia="Arial" w:hAnsi="Arial"/>
      <w:sz w:val="22"/>
      <w:szCs w:val="22"/>
    </w:rPr>
    <w:tblPr>
      <w:tblStyleRowBandSize w:val="1"/>
      <w:tblStyleColBandSize w:val="1"/>
      <w:tblCellMar>
        <w:left w:w="115.0" w:type="dxa"/>
        <w:right w:w="115.0" w:type="dxa"/>
      </w:tblCellMar>
    </w:tblPr>
  </w:style>
  <w:style w:type="table" w:styleId="a9" w:customStyle="1">
    <w:basedOn w:val="TableNormalf5"/>
    <w:rPr>
      <w:rFonts w:ascii="Arial" w:cs="Arial" w:eastAsia="Arial" w:hAnsi="Arial"/>
      <w:sz w:val="22"/>
      <w:szCs w:val="22"/>
    </w:rPr>
    <w:tblPr>
      <w:tblStyleRowBandSize w:val="1"/>
      <w:tblStyleColBandSize w:val="1"/>
      <w:tblCellMar>
        <w:left w:w="115.0" w:type="dxa"/>
        <w:right w:w="115.0" w:type="dxa"/>
      </w:tblCellMar>
    </w:tblPr>
  </w:style>
  <w:style w:type="table" w:styleId="aa" w:customStyle="1">
    <w:basedOn w:val="TableNormalf2"/>
    <w:rPr>
      <w:rFonts w:ascii="Arial" w:cs="Arial" w:eastAsia="Arial" w:hAnsi="Arial"/>
      <w:sz w:val="22"/>
      <w:szCs w:val="22"/>
    </w:rPr>
    <w:tblPr>
      <w:tblStyleRowBandSize w:val="1"/>
      <w:tblStyleColBandSize w:val="1"/>
      <w:tblCellMar>
        <w:left w:w="115.0" w:type="dxa"/>
        <w:right w:w="115.0" w:type="dxa"/>
      </w:tblCellMar>
    </w:tblPr>
  </w:style>
  <w:style w:type="table" w:styleId="ab"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c"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d"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e"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0"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1"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2"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3"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4"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5"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6"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7"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8"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9"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a"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b"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c"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d"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e"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0"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1"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2"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3"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4"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5"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6"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7"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8"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9"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a"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b"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c"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d"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e"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 w:customStyle="1">
    <w:basedOn w:val="TableNormalf2"/>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0" w:customStyle="1">
    <w:basedOn w:val="TableNormal5"/>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1" w:customStyle="1">
    <w:basedOn w:val="TableNormal5"/>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2" w:customStyle="1">
    <w:basedOn w:val="TableNormal4"/>
    <w:tblPr>
      <w:tblStyleRowBandSize w:val="1"/>
      <w:tblStyleColBandSize w:val="1"/>
      <w:tblCellMar>
        <w:left w:w="115.0" w:type="dxa"/>
        <w:right w:w="115.0" w:type="dxa"/>
      </w:tblCellMar>
    </w:tblPr>
  </w:style>
  <w:style w:type="table" w:styleId="afff3" w:customStyle="1">
    <w:basedOn w:val="TableNormal4"/>
    <w:tblPr>
      <w:tblStyleRowBandSize w:val="1"/>
      <w:tblStyleColBandSize w:val="1"/>
      <w:tblCellMar>
        <w:top w:w="100.0" w:type="dxa"/>
        <w:left w:w="100.0" w:type="dxa"/>
        <w:bottom w:w="100.0" w:type="dxa"/>
        <w:right w:w="100.0" w:type="dxa"/>
      </w:tblCellMar>
    </w:tblPr>
  </w:style>
  <w:style w:type="table" w:styleId="afff4"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5"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6" w:customStyle="1">
    <w:basedOn w:val="TableNormal4"/>
    <w:tblPr>
      <w:tblStyleRowBandSize w:val="1"/>
      <w:tblStyleColBandSize w:val="1"/>
      <w:tblCellMar>
        <w:top w:w="100.0" w:type="dxa"/>
        <w:left w:w="100.0" w:type="dxa"/>
        <w:bottom w:w="100.0" w:type="dxa"/>
        <w:right w:w="100.0" w:type="dxa"/>
      </w:tblCellMar>
    </w:tblPr>
  </w:style>
  <w:style w:type="table" w:styleId="afff7"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8"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9"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a"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b" w:customStyle="1">
    <w:basedOn w:val="TableNormal4"/>
    <w:rPr>
      <w:rFonts w:ascii="Arial" w:cs="Arial" w:eastAsia="Arial" w:hAnsi="Arial"/>
      <w:sz w:val="22"/>
      <w:szCs w:val="22"/>
    </w:rPr>
    <w:tblPr>
      <w:tblStyleRowBandSize w:val="1"/>
      <w:tblStyleColBandSize w:val="1"/>
      <w:tblCellMar>
        <w:left w:w="115.0" w:type="dxa"/>
        <w:right w:w="115.0" w:type="dxa"/>
      </w:tblCellMar>
    </w:tblPr>
  </w:style>
  <w:style w:type="table" w:styleId="afffc"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d"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e" w:customStyle="1">
    <w:basedOn w:val="TableNormal4"/>
    <w:rPr>
      <w:rFonts w:ascii="Arial" w:cs="Arial" w:eastAsia="Arial" w:hAnsi="Arial"/>
      <w:sz w:val="22"/>
      <w:szCs w:val="22"/>
    </w:rPr>
    <w:tblPr>
      <w:tblStyleRowBandSize w:val="1"/>
      <w:tblStyleColBandSize w:val="1"/>
      <w:tblCellMar>
        <w:left w:w="108.0" w:type="dxa"/>
        <w:right w:w="108.0" w:type="dxa"/>
      </w:tblCellMar>
    </w:tblPr>
  </w:style>
  <w:style w:type="table" w:styleId="affff"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affff0" w:customStyle="1">
    <w:basedOn w:val="TableNormal4"/>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Table2">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 w:type="table" w:styleId="Table3">
    <w:basedOn w:val="TableNormal"/>
    <w:rPr>
      <w:rFonts w:ascii="Arial" w:cs="Arial" w:eastAsia="Arial" w:hAnsi="Arial"/>
      <w:sz w:val="22"/>
      <w:szCs w:val="22"/>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V//myrX37Q5o7dUvH4Xo0zSomg==">AMUW2mW/DxsdoUs3qXjUj6CJb8znZnT3cNY7rBE45Hg8IWFTYmRISEBoSqD2YM1FANjxLH/MIbztl00keWRM+NqNL6Ce5TkTzn/wquWlQ0Kc/1qDZIWaVrRI37lbjLZ9ZMQbT3Ai08DunpWGlyIhRwgrWOVXzoVpMbr3ihVz8+kdO4uk7l719jkMIddzZgfX4IvSmY3YNuoShLstf8j3qLoN4QIgi956tVgaSgiqC0jCpzE1oToa9Zs6dtyyc5fsUmh5oh5kU00K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2022-05-20T00:49:00Z</dcterms:created>
  <dc:creator>iMac</dc:creator>
</cp:coreProperties>
</file>