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79EF03E3" w:rsidR="00EE235C" w:rsidRPr="00817493" w:rsidRDefault="3BACFE45" w:rsidP="3BACFE45">
      <w:pPr>
        <w:spacing w:line="360" w:lineRule="auto"/>
        <w:jc w:val="both"/>
        <w:rPr>
          <w:rFonts w:ascii="Palatino Linotype" w:hAnsi="Palatino Linotype" w:cs="Tahoma"/>
          <w:sz w:val="22"/>
          <w:szCs w:val="22"/>
        </w:rPr>
      </w:pPr>
      <w:r w:rsidRPr="3BACFE4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17323B">
        <w:rPr>
          <w:rFonts w:ascii="Palatino Linotype" w:hAnsi="Palatino Linotype" w:cs="Tahoma"/>
          <w:sz w:val="22"/>
          <w:szCs w:val="22"/>
        </w:rPr>
        <w:t>veintisiete</w:t>
      </w:r>
      <w:r w:rsidRPr="3BACFE45">
        <w:rPr>
          <w:rFonts w:ascii="Palatino Linotype" w:hAnsi="Palatino Linotype" w:cs="Tahoma"/>
          <w:sz w:val="22"/>
          <w:szCs w:val="22"/>
        </w:rPr>
        <w:t xml:space="preserve"> de </w:t>
      </w:r>
      <w:r w:rsidR="00F8652C">
        <w:rPr>
          <w:rFonts w:ascii="Palatino Linotype" w:hAnsi="Palatino Linotype" w:cs="Tahoma"/>
          <w:sz w:val="22"/>
          <w:szCs w:val="22"/>
        </w:rPr>
        <w:t>abril</w:t>
      </w:r>
      <w:r w:rsidRPr="3BACFE45">
        <w:rPr>
          <w:rFonts w:ascii="Palatino Linotype" w:hAnsi="Palatino Linotype" w:cs="Tahoma"/>
          <w:sz w:val="22"/>
          <w:szCs w:val="22"/>
        </w:rPr>
        <w:t xml:space="preserve"> de dos mil </w:t>
      </w:r>
      <w:r w:rsidR="004D51C6">
        <w:rPr>
          <w:rFonts w:ascii="Palatino Linotype" w:hAnsi="Palatino Linotype" w:cs="Tahoma"/>
          <w:sz w:val="22"/>
          <w:szCs w:val="22"/>
        </w:rPr>
        <w:t>veintidós</w:t>
      </w:r>
      <w:r w:rsidRPr="3BACFE45">
        <w:rPr>
          <w:rFonts w:ascii="Palatino Linotype" w:hAnsi="Palatino Linotype" w:cs="Tahoma"/>
          <w:sz w:val="22"/>
          <w:szCs w:val="22"/>
        </w:rPr>
        <w:t>.</w:t>
      </w:r>
    </w:p>
    <w:p w14:paraId="79571B0A" w14:textId="77777777" w:rsidR="00EE235C" w:rsidRPr="006E15EA" w:rsidRDefault="00EE235C" w:rsidP="00EE235C">
      <w:pPr>
        <w:spacing w:line="360" w:lineRule="auto"/>
        <w:rPr>
          <w:rFonts w:ascii="Palatino Linotype" w:hAnsi="Palatino Linotype" w:cs="Tahoma"/>
          <w:bCs/>
          <w:sz w:val="22"/>
          <w:szCs w:val="22"/>
        </w:rPr>
      </w:pPr>
    </w:p>
    <w:p w14:paraId="32864A55" w14:textId="5C72FF9C" w:rsidR="00AF2170" w:rsidRDefault="00EE235C" w:rsidP="00AF2170">
      <w:pPr>
        <w:spacing w:line="360" w:lineRule="auto"/>
        <w:jc w:val="both"/>
        <w:rPr>
          <w:rFonts w:ascii="Palatino Linotype" w:hAnsi="Palatino Linotype" w:cs="Tahoma"/>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EA66FC">
        <w:rPr>
          <w:rFonts w:ascii="Palatino Linotype" w:hAnsi="Palatino Linotype" w:cs="Tahoma"/>
          <w:bCs/>
          <w:color w:val="0D0D0D" w:themeColor="text1" w:themeTint="F2"/>
          <w:sz w:val="22"/>
          <w:szCs w:val="22"/>
        </w:rPr>
        <w:t xml:space="preserve">el expediente conformado con motivo del Recurso de Revisión </w:t>
      </w:r>
      <w:r w:rsidR="0017323B">
        <w:rPr>
          <w:rFonts w:ascii="Palatino Linotype" w:hAnsi="Palatino Linotype" w:cs="Tahoma"/>
          <w:b/>
          <w:color w:val="0D0D0D" w:themeColor="text1" w:themeTint="F2"/>
          <w:sz w:val="22"/>
          <w:szCs w:val="22"/>
        </w:rPr>
        <w:t>00886/INFOEM/IP/RR/2022</w:t>
      </w:r>
      <w:r w:rsidRPr="00EA66FC">
        <w:rPr>
          <w:rFonts w:ascii="Palatino Linotype" w:hAnsi="Palatino Linotype" w:cs="Tahoma"/>
          <w:bCs/>
          <w:color w:val="0D0D0D" w:themeColor="text1" w:themeTint="F2"/>
          <w:sz w:val="22"/>
          <w:szCs w:val="22"/>
        </w:rPr>
        <w:t xml:space="preserve">, </w:t>
      </w:r>
      <w:r w:rsidR="00EA66FC">
        <w:rPr>
          <w:rFonts w:ascii="Palatino Linotype" w:hAnsi="Palatino Linotype" w:cs="Tahoma"/>
          <w:bCs/>
          <w:color w:val="0D0D0D" w:themeColor="text1" w:themeTint="F2"/>
          <w:sz w:val="22"/>
          <w:szCs w:val="22"/>
        </w:rPr>
        <w:t xml:space="preserve">interpuesto </w:t>
      </w:r>
      <w:r w:rsidR="00EA66FC" w:rsidRPr="00EA66FC">
        <w:rPr>
          <w:rFonts w:ascii="Palatino Linotype" w:hAnsi="Palatino Linotype" w:cs="Tahoma"/>
          <w:bCs/>
          <w:color w:val="0D0D0D" w:themeColor="text1" w:themeTint="F2"/>
          <w:sz w:val="22"/>
          <w:szCs w:val="22"/>
        </w:rPr>
        <w:t>por el</w:t>
      </w:r>
      <w:r w:rsidRPr="00EA66FC">
        <w:rPr>
          <w:rFonts w:ascii="Palatino Linotype" w:hAnsi="Palatino Linotype" w:cs="Tahoma"/>
          <w:bCs/>
          <w:color w:val="0D0D0D" w:themeColor="text1" w:themeTint="F2"/>
          <w:sz w:val="22"/>
          <w:szCs w:val="22"/>
        </w:rPr>
        <w:t xml:space="preserve"> Recurrente o Particular, en contra de la respuesta del Sujeto Obligado</w:t>
      </w:r>
      <w:r w:rsidR="00AF2170">
        <w:rPr>
          <w:rFonts w:ascii="Palatino Linotype" w:hAnsi="Palatino Linotype" w:cs="Tahoma"/>
          <w:bCs/>
          <w:color w:val="0D0D0D" w:themeColor="text1" w:themeTint="F2"/>
          <w:sz w:val="22"/>
          <w:szCs w:val="22"/>
        </w:rPr>
        <w:t xml:space="preserve"> </w:t>
      </w:r>
      <w:r w:rsidR="00AF2170" w:rsidRPr="00AF2170">
        <w:rPr>
          <w:rFonts w:ascii="Palatino Linotype" w:hAnsi="Palatino Linotype" w:cs="Tahoma"/>
          <w:bCs/>
          <w:color w:val="0D0D0D" w:themeColor="text1" w:themeTint="F2"/>
          <w:sz w:val="22"/>
          <w:szCs w:val="22"/>
        </w:rPr>
        <w:t xml:space="preserve">a la solicitud de acceso a la información </w:t>
      </w:r>
      <w:r w:rsidR="0017323B">
        <w:rPr>
          <w:rFonts w:ascii="Palatino Linotype" w:hAnsi="Palatino Linotype" w:cs="Tahoma"/>
          <w:b/>
          <w:color w:val="0D0D0D" w:themeColor="text1" w:themeTint="F2"/>
          <w:sz w:val="22"/>
          <w:szCs w:val="22"/>
        </w:rPr>
        <w:t>00006/TEQUIXQU/IP/2022</w:t>
      </w:r>
      <w:r w:rsidR="00A266E1">
        <w:rPr>
          <w:rFonts w:ascii="Palatino Linotype" w:hAnsi="Palatino Linotype" w:cs="Tahoma"/>
          <w:bCs/>
          <w:color w:val="0D0D0D" w:themeColor="text1" w:themeTint="F2"/>
          <w:sz w:val="22"/>
          <w:szCs w:val="22"/>
        </w:rPr>
        <w:t xml:space="preserve">, </w:t>
      </w:r>
      <w:r w:rsidR="00AF2170" w:rsidRPr="00AF2170">
        <w:rPr>
          <w:rFonts w:ascii="Palatino Linotype" w:hAnsi="Palatino Linotype" w:cs="Tahoma"/>
          <w:bCs/>
          <w:color w:val="0D0D0D" w:themeColor="text1" w:themeTint="F2"/>
          <w:sz w:val="22"/>
          <w:szCs w:val="22"/>
        </w:rPr>
        <w:t>se emite la presente Resolución, con base en los Antecedentes y Considerandos que se exponen a continuación:</w:t>
      </w:r>
    </w:p>
    <w:p w14:paraId="4C0662DF" w14:textId="0A73C495" w:rsidR="00EE235C" w:rsidRPr="006E15EA" w:rsidRDefault="00EE235C" w:rsidP="00EE235C">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2C0BF3C2" w14:textId="77777777" w:rsidR="00EE235C" w:rsidRPr="006E15EA" w:rsidRDefault="00EE235C" w:rsidP="00EE235C">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14:paraId="61931EC9"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14:paraId="765C4E6D"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p>
    <w:p w14:paraId="4E39ACA0" w14:textId="68BAF7D9"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17323B">
        <w:rPr>
          <w:rFonts w:ascii="Palatino Linotype" w:hAnsi="Palatino Linotype" w:cs="Tahoma"/>
          <w:szCs w:val="22"/>
        </w:rPr>
        <w:t>diez</w:t>
      </w:r>
      <w:r>
        <w:rPr>
          <w:rFonts w:ascii="Palatino Linotype" w:hAnsi="Palatino Linotype" w:cs="Tahoma"/>
          <w:szCs w:val="22"/>
        </w:rPr>
        <w:t xml:space="preserve"> de </w:t>
      </w:r>
      <w:r w:rsidR="00A266E1">
        <w:rPr>
          <w:rFonts w:ascii="Palatino Linotype" w:hAnsi="Palatino Linotype" w:cs="Tahoma"/>
          <w:szCs w:val="22"/>
        </w:rPr>
        <w:t>enero</w:t>
      </w:r>
      <w:r w:rsidRPr="006E15EA">
        <w:rPr>
          <w:rFonts w:ascii="Palatino Linotype" w:hAnsi="Palatino Linotype" w:cs="Tahoma"/>
          <w:szCs w:val="22"/>
        </w:rPr>
        <w:t xml:space="preserve"> de dos mil </w:t>
      </w:r>
      <w:r w:rsidR="00A266E1">
        <w:rPr>
          <w:rFonts w:ascii="Palatino Linotype" w:hAnsi="Palatino Linotype" w:cs="Tahoma"/>
          <w:szCs w:val="22"/>
        </w:rPr>
        <w:t>veintidós</w:t>
      </w:r>
      <w:r w:rsidRPr="006E15EA">
        <w:rPr>
          <w:rFonts w:ascii="Palatino Linotype" w:hAnsi="Palatino Linotype" w:cs="Tahoma"/>
          <w:szCs w:val="22"/>
        </w:rPr>
        <w:t>, el Particular presentó solicitud de acceso a la información pública a través de</w:t>
      </w:r>
      <w:r w:rsidR="00A266E1">
        <w:rPr>
          <w:rFonts w:ascii="Palatino Linotype" w:hAnsi="Palatino Linotype" w:cs="Tahoma"/>
          <w:szCs w:val="22"/>
        </w:rPr>
        <w:t xml:space="preserve">l </w:t>
      </w:r>
      <w:r w:rsidRPr="006E15EA">
        <w:rPr>
          <w:rFonts w:ascii="Palatino Linotype" w:hAnsi="Palatino Linotype" w:cs="Tahoma"/>
          <w:szCs w:val="22"/>
        </w:rPr>
        <w:t xml:space="preserve">Sistema de Acceso a la Información Mexiquense </w:t>
      </w:r>
      <w:r w:rsidRPr="006E15EA">
        <w:rPr>
          <w:rFonts w:ascii="Palatino Linotype" w:hAnsi="Palatino Linotype" w:cs="Tahoma"/>
          <w:szCs w:val="22"/>
          <w:lang w:val="es-ES"/>
        </w:rPr>
        <w:t>(SAIMEX</w:t>
      </w:r>
      <w:r w:rsidR="00AF2170">
        <w:rPr>
          <w:rFonts w:ascii="Palatino Linotype" w:hAnsi="Palatino Linotype" w:cs="Tahoma"/>
          <w:szCs w:val="22"/>
          <w:lang w:val="es-ES"/>
        </w:rPr>
        <w:t>), por la cual requirió</w:t>
      </w:r>
      <w:r w:rsidRPr="006E15EA">
        <w:rPr>
          <w:rFonts w:ascii="Palatino Linotype" w:hAnsi="Palatino Linotype" w:cs="Tahoma"/>
          <w:szCs w:val="22"/>
        </w:rPr>
        <w:t>:</w:t>
      </w:r>
    </w:p>
    <w:p w14:paraId="15A047E0"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043637B8" w14:textId="65A1E6A4" w:rsidR="00EA66FC" w:rsidRPr="006E15EA" w:rsidRDefault="00EE235C" w:rsidP="00F64C6E">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r w:rsidR="00433007">
        <w:rPr>
          <w:rFonts w:ascii="Palatino Linotype" w:hAnsi="Palatino Linotype" w:cs="Tahoma"/>
          <w:b/>
          <w:bCs/>
        </w:rPr>
        <w:t xml:space="preserve"> </w:t>
      </w:r>
    </w:p>
    <w:p w14:paraId="5F0A95DF" w14:textId="124917B1" w:rsidR="00B9465C" w:rsidRPr="00A266E1" w:rsidRDefault="0047616B" w:rsidP="00F64C6E">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0017323B" w:rsidRPr="0017323B">
        <w:rPr>
          <w:rFonts w:ascii="Palatino Linotype" w:hAnsi="Palatino Linotype" w:cs="Tahoma"/>
          <w:bCs/>
          <w:i/>
          <w:szCs w:val="22"/>
        </w:rPr>
        <w:t>SOLICITO EL ORGANIGRAMA DEL AYUNTAMIENTO DE TEQUIXQUIAC 2022-2024 APROBADO EN CABILDO, SOLICITO EL ORGANIGRAMA DEL AYUNTAMIENTO DE TEQUIXQUIAC 2019-2021 ABROBADO EN CABILDO SOLICITO EL ORGANIGRAMA DE AYUNTAMIENTO DE TEQUIXQUIAC 2016-2018 APROBADO EN CABILDO</w:t>
      </w:r>
      <w:r w:rsidR="0017323B">
        <w:rPr>
          <w:rFonts w:ascii="Palatino Linotype" w:hAnsi="Palatino Linotype" w:cs="Tahoma"/>
          <w:bCs/>
          <w:i/>
          <w:szCs w:val="22"/>
        </w:rPr>
        <w:t xml:space="preserve"> </w:t>
      </w:r>
      <w:r w:rsidR="004F1F14">
        <w:rPr>
          <w:rFonts w:ascii="Palatino Linotype" w:hAnsi="Palatino Linotype" w:cs="Tahoma"/>
          <w:bCs/>
          <w:i/>
          <w:szCs w:val="22"/>
        </w:rPr>
        <w:t>“</w:t>
      </w:r>
      <w:r w:rsidR="004F1F14" w:rsidRPr="00A266E1">
        <w:rPr>
          <w:rFonts w:ascii="Palatino Linotype" w:hAnsi="Palatino Linotype" w:cs="Tahoma"/>
          <w:bCs/>
          <w:i/>
          <w:szCs w:val="22"/>
        </w:rPr>
        <w:t>(</w:t>
      </w:r>
      <w:r w:rsidR="00AC222F" w:rsidRPr="00A266E1">
        <w:rPr>
          <w:rFonts w:ascii="Palatino Linotype" w:hAnsi="Palatino Linotype" w:cs="Tahoma"/>
          <w:bCs/>
          <w:i/>
          <w:szCs w:val="22"/>
        </w:rPr>
        <w:t>sic)</w:t>
      </w:r>
    </w:p>
    <w:p w14:paraId="196704F6" w14:textId="77777777" w:rsidR="00D90697" w:rsidRPr="00F64C6E" w:rsidRDefault="00D90697" w:rsidP="00F64C6E">
      <w:pPr>
        <w:tabs>
          <w:tab w:val="left" w:pos="4667"/>
        </w:tabs>
        <w:spacing w:line="360" w:lineRule="auto"/>
        <w:ind w:left="567" w:right="567"/>
        <w:jc w:val="both"/>
        <w:rPr>
          <w:rFonts w:ascii="Palatino Linotype" w:hAnsi="Palatino Linotype" w:cs="Tahoma"/>
          <w:bCs/>
          <w:i/>
        </w:rPr>
      </w:pPr>
    </w:p>
    <w:p w14:paraId="1EE71C80" w14:textId="77777777" w:rsidR="00EE235C" w:rsidRDefault="00EE235C" w:rsidP="00EE235C">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14:paraId="2C2AC8DF" w14:textId="1949AECB" w:rsidR="004F56BB" w:rsidRDefault="0071530B" w:rsidP="0071530B">
      <w:pPr>
        <w:tabs>
          <w:tab w:val="left" w:pos="4667"/>
        </w:tabs>
        <w:spacing w:line="360" w:lineRule="auto"/>
        <w:ind w:left="567" w:right="567"/>
        <w:jc w:val="both"/>
        <w:rPr>
          <w:rFonts w:ascii="Palatino Linotype" w:hAnsi="Palatino Linotype" w:cs="Tahoma"/>
          <w:bCs/>
          <w:i/>
          <w:szCs w:val="22"/>
        </w:rPr>
      </w:pPr>
      <w:r w:rsidRPr="0071530B">
        <w:rPr>
          <w:rFonts w:ascii="Palatino Linotype" w:hAnsi="Palatino Linotype" w:cs="Tahoma"/>
          <w:bCs/>
          <w:i/>
          <w:szCs w:val="22"/>
        </w:rPr>
        <w:t>A través del SAIMEX</w:t>
      </w:r>
    </w:p>
    <w:p w14:paraId="3AC36EA0" w14:textId="77777777" w:rsidR="0071530B" w:rsidRDefault="0071530B" w:rsidP="0071530B">
      <w:pPr>
        <w:tabs>
          <w:tab w:val="left" w:pos="4667"/>
        </w:tabs>
        <w:spacing w:line="360" w:lineRule="auto"/>
        <w:ind w:left="567" w:right="567"/>
        <w:jc w:val="both"/>
        <w:rPr>
          <w:rFonts w:ascii="Palatino Linotype" w:hAnsi="Palatino Linotype" w:cs="Tahoma"/>
          <w:bCs/>
          <w:i/>
          <w:szCs w:val="22"/>
        </w:rPr>
      </w:pPr>
    </w:p>
    <w:p w14:paraId="70864552" w14:textId="38417AEA" w:rsidR="0071530B" w:rsidRDefault="0071530B" w:rsidP="00B84EAE">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II. Prórroga.</w:t>
      </w:r>
    </w:p>
    <w:p w14:paraId="59F01882" w14:textId="6AE91109" w:rsidR="0071530B" w:rsidRDefault="0071530B" w:rsidP="00B84EAE">
      <w:pPr>
        <w:pStyle w:val="Prrafodelista"/>
        <w:tabs>
          <w:tab w:val="left" w:pos="567"/>
        </w:tabs>
        <w:spacing w:line="360" w:lineRule="auto"/>
        <w:ind w:left="0"/>
        <w:contextualSpacing w:val="0"/>
        <w:jc w:val="both"/>
        <w:rPr>
          <w:rFonts w:ascii="Palatino Linotype" w:hAnsi="Palatino Linotype" w:cs="Tahoma"/>
          <w:b/>
          <w:szCs w:val="22"/>
        </w:rPr>
      </w:pPr>
    </w:p>
    <w:p w14:paraId="0A3F6FFF" w14:textId="72898926" w:rsidR="0071530B" w:rsidRPr="0071530B" w:rsidRDefault="0071530B" w:rsidP="00B84EAE">
      <w:pPr>
        <w:pStyle w:val="Prrafodelista"/>
        <w:tabs>
          <w:tab w:val="left" w:pos="567"/>
        </w:tabs>
        <w:spacing w:line="360" w:lineRule="auto"/>
        <w:ind w:left="0"/>
        <w:contextualSpacing w:val="0"/>
        <w:jc w:val="both"/>
        <w:rPr>
          <w:rFonts w:ascii="Palatino Linotype" w:hAnsi="Palatino Linotype" w:cs="Tahoma"/>
          <w:bCs/>
          <w:szCs w:val="22"/>
        </w:rPr>
      </w:pPr>
      <w:r w:rsidRPr="0071530B">
        <w:rPr>
          <w:rFonts w:ascii="Palatino Linotype" w:hAnsi="Palatino Linotype" w:cs="Tahoma"/>
          <w:bCs/>
          <w:szCs w:val="22"/>
        </w:rPr>
        <w:t>El veintiocho de enero del dos mil veintidós el Sujeto Obligado, notificó a través del Sistema de Acceso a la Información Mexiquense (SAIMEX), su determinación de ampliar el periodo para atender a la solicitud de acceso a la información pública.</w:t>
      </w:r>
    </w:p>
    <w:p w14:paraId="283CA38B" w14:textId="77777777" w:rsidR="0071530B" w:rsidRDefault="0071530B" w:rsidP="00B84EAE">
      <w:pPr>
        <w:pStyle w:val="Prrafodelista"/>
        <w:tabs>
          <w:tab w:val="left" w:pos="567"/>
        </w:tabs>
        <w:spacing w:line="360" w:lineRule="auto"/>
        <w:ind w:left="0"/>
        <w:contextualSpacing w:val="0"/>
        <w:jc w:val="both"/>
        <w:rPr>
          <w:rFonts w:ascii="Palatino Linotype" w:hAnsi="Palatino Linotype" w:cs="Tahoma"/>
          <w:b/>
          <w:szCs w:val="22"/>
        </w:rPr>
      </w:pPr>
    </w:p>
    <w:p w14:paraId="22948822" w14:textId="215F6EFE" w:rsidR="00B84EAE" w:rsidRDefault="0071530B" w:rsidP="00B84EAE">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I</w:t>
      </w:r>
      <w:r w:rsidR="00B84EAE" w:rsidRPr="00B84EAE">
        <w:rPr>
          <w:rFonts w:ascii="Palatino Linotype" w:hAnsi="Palatino Linotype" w:cs="Tahoma"/>
          <w:b/>
          <w:szCs w:val="22"/>
        </w:rPr>
        <w:t xml:space="preserve">II. Respuesta del Sujeto Obligado. </w:t>
      </w:r>
    </w:p>
    <w:p w14:paraId="13B40353" w14:textId="1B5B8EAD" w:rsidR="0071530B" w:rsidRDefault="0071530B" w:rsidP="00B84EAE">
      <w:pPr>
        <w:pStyle w:val="Prrafodelista"/>
        <w:tabs>
          <w:tab w:val="left" w:pos="567"/>
        </w:tabs>
        <w:spacing w:line="360" w:lineRule="auto"/>
        <w:ind w:left="0"/>
        <w:contextualSpacing w:val="0"/>
        <w:jc w:val="both"/>
        <w:rPr>
          <w:rFonts w:ascii="Palatino Linotype" w:hAnsi="Palatino Linotype" w:cs="Tahoma"/>
          <w:b/>
          <w:szCs w:val="22"/>
        </w:rPr>
      </w:pPr>
    </w:p>
    <w:p w14:paraId="5DA0A89B" w14:textId="633057C9" w:rsidR="00B84EAE" w:rsidRPr="00B84EAE" w:rsidRDefault="00B84EAE" w:rsidP="00B84EAE">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t xml:space="preserve">El </w:t>
      </w:r>
      <w:r>
        <w:rPr>
          <w:rFonts w:ascii="Palatino Linotype" w:hAnsi="Palatino Linotype" w:cs="Tahoma"/>
          <w:szCs w:val="22"/>
        </w:rPr>
        <w:t>nueve</w:t>
      </w:r>
      <w:r w:rsidRPr="00B84EAE">
        <w:rPr>
          <w:rFonts w:ascii="Palatino Linotype" w:hAnsi="Palatino Linotype" w:cs="Tahoma"/>
          <w:szCs w:val="22"/>
        </w:rPr>
        <w:t xml:space="preserve"> de febrero de dos mil veintidós, </w:t>
      </w:r>
      <w:r w:rsidR="0017323B">
        <w:rPr>
          <w:rFonts w:ascii="Palatino Linotype" w:hAnsi="Palatino Linotype" w:cs="Tahoma"/>
          <w:szCs w:val="22"/>
        </w:rPr>
        <w:t>el</w:t>
      </w:r>
      <w:r w:rsidRPr="00B84EAE">
        <w:rPr>
          <w:rFonts w:ascii="Palatino Linotype" w:hAnsi="Palatino Linotype" w:cs="Tahoma"/>
          <w:szCs w:val="22"/>
        </w:rPr>
        <w:t xml:space="preserve"> Titular de la Unidad de Transparencia del Ayuntamiento de </w:t>
      </w:r>
      <w:r w:rsidR="0017323B">
        <w:rPr>
          <w:rFonts w:ascii="Palatino Linotype" w:hAnsi="Palatino Linotype" w:cs="Tahoma"/>
          <w:szCs w:val="22"/>
        </w:rPr>
        <w:t>Tequixquiac</w:t>
      </w:r>
      <w:r w:rsidRPr="00B84EAE">
        <w:rPr>
          <w:rFonts w:ascii="Palatino Linotype" w:hAnsi="Palatino Linotype" w:cs="Tahoma"/>
          <w:szCs w:val="22"/>
        </w:rPr>
        <w:t>, por medio del Sistema de Acceso a la Información Mexiquense (SAIMEX), dio respuesta en los siguientes términos:</w:t>
      </w:r>
    </w:p>
    <w:p w14:paraId="77712E81" w14:textId="77777777" w:rsidR="00B84EAE" w:rsidRDefault="00B84EAE" w:rsidP="00B84EAE">
      <w:pPr>
        <w:autoSpaceDE w:val="0"/>
        <w:autoSpaceDN w:val="0"/>
        <w:adjustRightInd w:val="0"/>
        <w:spacing w:line="360" w:lineRule="auto"/>
        <w:rPr>
          <w:rFonts w:eastAsiaTheme="minorHAnsi" w:cstheme="minorBidi"/>
          <w:color w:val="000000"/>
          <w:sz w:val="18"/>
          <w:szCs w:val="18"/>
          <w:lang w:eastAsia="en-US"/>
        </w:rPr>
      </w:pPr>
    </w:p>
    <w:p w14:paraId="5FC498F1" w14:textId="2420C9ED" w:rsidR="0071530B" w:rsidRPr="00B84EAE" w:rsidRDefault="0071530B" w:rsidP="00B84EAE">
      <w:pPr>
        <w:tabs>
          <w:tab w:val="left" w:pos="4667"/>
        </w:tabs>
        <w:spacing w:line="360" w:lineRule="auto"/>
        <w:ind w:left="567" w:right="567"/>
        <w:jc w:val="both"/>
        <w:rPr>
          <w:rFonts w:ascii="Palatino Linotype" w:hAnsi="Palatino Linotype" w:cs="Tahoma"/>
          <w:bCs/>
          <w:i/>
          <w:szCs w:val="22"/>
        </w:rPr>
      </w:pPr>
      <w:r w:rsidRPr="0071530B">
        <w:rPr>
          <w:rFonts w:ascii="Palatino Linotype" w:hAnsi="Palatino Linotype" w:cs="Tahoma"/>
          <w:bCs/>
          <w:i/>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00006/TEQUIXQU/IP/2022 la cual fue ingresada el doce de enero del presente año, a través del Sistema de Acceso a la Información Mexiquense (SAIMEX); le envió la información solicitada con archivos adjuntos.</w:t>
      </w:r>
    </w:p>
    <w:p w14:paraId="67290BFF" w14:textId="77777777" w:rsidR="00B84EAE" w:rsidRDefault="00B84EAE" w:rsidP="00B84EAE">
      <w:pPr>
        <w:spacing w:line="360" w:lineRule="auto"/>
        <w:ind w:left="567" w:right="567"/>
        <w:rPr>
          <w:rFonts w:cs="Arial"/>
          <w:bCs/>
          <w:i/>
          <w:iCs/>
        </w:rPr>
      </w:pPr>
    </w:p>
    <w:p w14:paraId="2CBE19E4" w14:textId="7C9352C9" w:rsidR="00B84EAE" w:rsidRDefault="00B84EAE" w:rsidP="00B84EAE">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t xml:space="preserve">A la respuesta, adjuntó </w:t>
      </w:r>
      <w:r w:rsidR="0071530B">
        <w:rPr>
          <w:rFonts w:ascii="Palatino Linotype" w:hAnsi="Palatino Linotype" w:cs="Tahoma"/>
          <w:szCs w:val="22"/>
        </w:rPr>
        <w:t>dos archivos:</w:t>
      </w:r>
    </w:p>
    <w:p w14:paraId="3ADBDDFC" w14:textId="1FDFD4DB" w:rsidR="0071530B" w:rsidRDefault="0071530B" w:rsidP="00B84EAE">
      <w:pPr>
        <w:pStyle w:val="Prrafodelista"/>
        <w:tabs>
          <w:tab w:val="left" w:pos="567"/>
        </w:tabs>
        <w:spacing w:line="360" w:lineRule="auto"/>
        <w:ind w:left="0"/>
        <w:contextualSpacing w:val="0"/>
        <w:jc w:val="both"/>
        <w:rPr>
          <w:rFonts w:ascii="Palatino Linotype" w:hAnsi="Palatino Linotype" w:cs="Tahoma"/>
          <w:szCs w:val="22"/>
        </w:rPr>
      </w:pPr>
    </w:p>
    <w:p w14:paraId="68F593E6" w14:textId="2772C3D8" w:rsidR="0071530B" w:rsidRDefault="0071530B" w:rsidP="0071530B">
      <w:pPr>
        <w:pStyle w:val="Prrafodelista"/>
        <w:numPr>
          <w:ilvl w:val="0"/>
          <w:numId w:val="37"/>
        </w:numPr>
        <w:tabs>
          <w:tab w:val="left" w:pos="567"/>
        </w:tabs>
        <w:spacing w:line="360" w:lineRule="auto"/>
        <w:contextualSpacing w:val="0"/>
        <w:jc w:val="both"/>
        <w:rPr>
          <w:rFonts w:ascii="Palatino Linotype" w:hAnsi="Palatino Linotype" w:cs="Tahoma"/>
          <w:szCs w:val="22"/>
        </w:rPr>
      </w:pPr>
      <w:r w:rsidRPr="00380AB9">
        <w:rPr>
          <w:rFonts w:ascii="Palatino Linotype" w:hAnsi="Palatino Linotype" w:cs="Tahoma"/>
          <w:b/>
          <w:bCs/>
          <w:szCs w:val="22"/>
        </w:rPr>
        <w:t>Organigrama 2016-2018.pdf.</w:t>
      </w:r>
      <w:r>
        <w:rPr>
          <w:rFonts w:ascii="Palatino Linotype" w:hAnsi="Palatino Linotype" w:cs="Tahoma"/>
          <w:szCs w:val="22"/>
        </w:rPr>
        <w:t xml:space="preserve"> Documento que tiene un documento de una foja, </w:t>
      </w:r>
      <w:r w:rsidR="00380AB9">
        <w:rPr>
          <w:rFonts w:ascii="Palatino Linotype" w:hAnsi="Palatino Linotype" w:cs="Tahoma"/>
          <w:szCs w:val="22"/>
        </w:rPr>
        <w:t xml:space="preserve">que lleva por rubro Organigrama con membrete de la administración 1016-2018, </w:t>
      </w:r>
      <w:r>
        <w:rPr>
          <w:rFonts w:ascii="Palatino Linotype" w:hAnsi="Palatino Linotype" w:cs="Tahoma"/>
          <w:szCs w:val="22"/>
        </w:rPr>
        <w:t xml:space="preserve">que se reproduce </w:t>
      </w:r>
      <w:r w:rsidR="00380AB9">
        <w:rPr>
          <w:rFonts w:ascii="Palatino Linotype" w:hAnsi="Palatino Linotype" w:cs="Tahoma"/>
          <w:szCs w:val="22"/>
        </w:rPr>
        <w:t>en formato de imagen:</w:t>
      </w:r>
    </w:p>
    <w:p w14:paraId="0659645F" w14:textId="5EEB669D" w:rsidR="00380AB9" w:rsidRDefault="00380AB9" w:rsidP="00380AB9">
      <w:pPr>
        <w:tabs>
          <w:tab w:val="left" w:pos="567"/>
        </w:tabs>
        <w:spacing w:line="360" w:lineRule="auto"/>
        <w:jc w:val="both"/>
        <w:rPr>
          <w:rFonts w:ascii="Palatino Linotype" w:hAnsi="Palatino Linotype" w:cs="Tahoma"/>
          <w:szCs w:val="22"/>
        </w:rPr>
      </w:pPr>
    </w:p>
    <w:p w14:paraId="07CC7CBD" w14:textId="143C3C01" w:rsidR="00380AB9" w:rsidRPr="00380AB9" w:rsidRDefault="00380AB9" w:rsidP="00380AB9">
      <w:pPr>
        <w:tabs>
          <w:tab w:val="left" w:pos="567"/>
        </w:tabs>
        <w:spacing w:line="360" w:lineRule="auto"/>
        <w:jc w:val="center"/>
        <w:rPr>
          <w:rFonts w:ascii="Palatino Linotype" w:hAnsi="Palatino Linotype" w:cs="Tahoma"/>
          <w:szCs w:val="22"/>
        </w:rPr>
      </w:pPr>
      <w:r>
        <w:rPr>
          <w:noProof/>
        </w:rPr>
        <w:lastRenderedPageBreak/>
        <w:drawing>
          <wp:inline distT="0" distB="0" distL="0" distR="0" wp14:anchorId="65D6B6D9" wp14:editId="2DF26597">
            <wp:extent cx="5474923" cy="3143250"/>
            <wp:effectExtent l="0" t="0" r="0" b="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rotWithShape="1">
                    <a:blip r:embed="rId8"/>
                    <a:srcRect l="25708" t="18584" r="3804" b="9439"/>
                    <a:stretch/>
                  </pic:blipFill>
                  <pic:spPr bwMode="auto">
                    <a:xfrm>
                      <a:off x="0" y="0"/>
                      <a:ext cx="5492850" cy="3153542"/>
                    </a:xfrm>
                    <a:prstGeom prst="rect">
                      <a:avLst/>
                    </a:prstGeom>
                    <a:ln>
                      <a:noFill/>
                    </a:ln>
                    <a:extLst>
                      <a:ext uri="{53640926-AAD7-44D8-BBD7-CCE9431645EC}">
                        <a14:shadowObscured xmlns:a14="http://schemas.microsoft.com/office/drawing/2010/main"/>
                      </a:ext>
                    </a:extLst>
                  </pic:spPr>
                </pic:pic>
              </a:graphicData>
            </a:graphic>
          </wp:inline>
        </w:drawing>
      </w:r>
    </w:p>
    <w:p w14:paraId="6CECF229" w14:textId="59130A27" w:rsidR="0071530B" w:rsidRPr="0071530B" w:rsidRDefault="0071530B" w:rsidP="00B84EAE">
      <w:pPr>
        <w:pStyle w:val="Prrafodelista"/>
        <w:tabs>
          <w:tab w:val="left" w:pos="567"/>
        </w:tabs>
        <w:spacing w:line="360" w:lineRule="auto"/>
        <w:ind w:left="0"/>
        <w:contextualSpacing w:val="0"/>
        <w:jc w:val="both"/>
        <w:rPr>
          <w:rFonts w:ascii="Palatino Linotype" w:hAnsi="Palatino Linotype" w:cs="Tahoma"/>
          <w:szCs w:val="22"/>
        </w:rPr>
      </w:pPr>
    </w:p>
    <w:p w14:paraId="4361969C" w14:textId="540285EE" w:rsidR="00380AB9" w:rsidRDefault="0071530B" w:rsidP="00380AB9">
      <w:pPr>
        <w:pStyle w:val="Prrafodelista"/>
        <w:numPr>
          <w:ilvl w:val="0"/>
          <w:numId w:val="37"/>
        </w:numPr>
        <w:tabs>
          <w:tab w:val="left" w:pos="567"/>
        </w:tabs>
        <w:spacing w:line="360" w:lineRule="auto"/>
        <w:contextualSpacing w:val="0"/>
        <w:jc w:val="both"/>
        <w:rPr>
          <w:rFonts w:ascii="Palatino Linotype" w:hAnsi="Palatino Linotype" w:cs="Tahoma"/>
          <w:szCs w:val="22"/>
        </w:rPr>
      </w:pPr>
      <w:proofErr w:type="spellStart"/>
      <w:r w:rsidRPr="00380AB9">
        <w:rPr>
          <w:rFonts w:ascii="Palatino Linotype" w:hAnsi="Palatino Linotype" w:cs="Tahoma"/>
          <w:b/>
          <w:bCs/>
          <w:szCs w:val="22"/>
        </w:rPr>
        <w:t>organigra</w:t>
      </w:r>
      <w:proofErr w:type="spellEnd"/>
      <w:r w:rsidRPr="00380AB9">
        <w:rPr>
          <w:rFonts w:ascii="Palatino Linotype" w:hAnsi="Palatino Linotype" w:cs="Tahoma"/>
          <w:b/>
          <w:bCs/>
          <w:szCs w:val="22"/>
        </w:rPr>
        <w:t xml:space="preserve"> 2019 -2021.PDF</w:t>
      </w:r>
      <w:r w:rsidR="00380AB9">
        <w:rPr>
          <w:rFonts w:ascii="Palatino Linotype" w:hAnsi="Palatino Linotype" w:cs="Tahoma"/>
          <w:b/>
          <w:bCs/>
          <w:szCs w:val="22"/>
        </w:rPr>
        <w:t xml:space="preserve">. </w:t>
      </w:r>
      <w:r w:rsidR="00380AB9">
        <w:rPr>
          <w:rFonts w:ascii="Palatino Linotype" w:hAnsi="Palatino Linotype" w:cs="Tahoma"/>
          <w:szCs w:val="22"/>
        </w:rPr>
        <w:t>Documento que tiene un documento de una foja, que lleva por rubro Ayuntamiento de Tequixquiac 2019-2021, que se reproduce en formato de imagen:</w:t>
      </w:r>
    </w:p>
    <w:p w14:paraId="4A79634B" w14:textId="27FF882A" w:rsidR="0071530B" w:rsidRPr="00380AB9" w:rsidRDefault="00380AB9" w:rsidP="00380AB9">
      <w:pPr>
        <w:tabs>
          <w:tab w:val="left" w:pos="567"/>
        </w:tabs>
        <w:spacing w:line="360" w:lineRule="auto"/>
        <w:ind w:left="360"/>
        <w:jc w:val="center"/>
        <w:rPr>
          <w:rFonts w:ascii="Palatino Linotype" w:hAnsi="Palatino Linotype" w:cs="Tahoma"/>
          <w:b/>
          <w:bCs/>
          <w:szCs w:val="22"/>
        </w:rPr>
      </w:pPr>
      <w:r>
        <w:rPr>
          <w:noProof/>
        </w:rPr>
        <w:drawing>
          <wp:inline distT="0" distB="0" distL="0" distR="0" wp14:anchorId="11177712" wp14:editId="21F60A70">
            <wp:extent cx="4524236" cy="2691765"/>
            <wp:effectExtent l="0" t="0" r="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rotWithShape="1">
                    <a:blip r:embed="rId9"/>
                    <a:srcRect l="23551" t="17699" r="3969" b="5605"/>
                    <a:stretch/>
                  </pic:blipFill>
                  <pic:spPr bwMode="auto">
                    <a:xfrm>
                      <a:off x="0" y="0"/>
                      <a:ext cx="4532086" cy="2696435"/>
                    </a:xfrm>
                    <a:prstGeom prst="rect">
                      <a:avLst/>
                    </a:prstGeom>
                    <a:ln>
                      <a:noFill/>
                    </a:ln>
                    <a:extLst>
                      <a:ext uri="{53640926-AAD7-44D8-BBD7-CCE9431645EC}">
                        <a14:shadowObscured xmlns:a14="http://schemas.microsoft.com/office/drawing/2010/main"/>
                      </a:ext>
                    </a:extLst>
                  </pic:spPr>
                </pic:pic>
              </a:graphicData>
            </a:graphic>
          </wp:inline>
        </w:drawing>
      </w:r>
    </w:p>
    <w:p w14:paraId="5F790ECA" w14:textId="4612CAFF" w:rsidR="00EE235C" w:rsidRDefault="00380AB9" w:rsidP="00EE235C">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IV</w:t>
      </w:r>
      <w:r w:rsidR="00EE235C" w:rsidRPr="006E15EA">
        <w:rPr>
          <w:rFonts w:ascii="Palatino Linotype" w:hAnsi="Palatino Linotype" w:cs="Tahoma"/>
          <w:b/>
          <w:sz w:val="22"/>
          <w:szCs w:val="22"/>
        </w:rPr>
        <w:t xml:space="preserve">. Interposición del Recurso de Revisión. </w:t>
      </w:r>
      <w:r w:rsidR="00EE235C">
        <w:rPr>
          <w:rFonts w:ascii="Palatino Linotype" w:hAnsi="Palatino Linotype" w:cs="Tahoma"/>
          <w:sz w:val="22"/>
          <w:szCs w:val="22"/>
        </w:rPr>
        <w:tab/>
      </w:r>
    </w:p>
    <w:p w14:paraId="42394076" w14:textId="77777777" w:rsidR="00EE235C" w:rsidRPr="00246B30" w:rsidRDefault="00EE235C" w:rsidP="00EE235C">
      <w:pPr>
        <w:autoSpaceDE w:val="0"/>
        <w:autoSpaceDN w:val="0"/>
        <w:adjustRightInd w:val="0"/>
        <w:spacing w:line="360" w:lineRule="auto"/>
        <w:jc w:val="both"/>
        <w:rPr>
          <w:rFonts w:ascii="Palatino Linotype" w:hAnsi="Palatino Linotype" w:cs="Tahoma"/>
          <w:b/>
          <w:sz w:val="22"/>
          <w:szCs w:val="22"/>
        </w:rPr>
      </w:pPr>
    </w:p>
    <w:p w14:paraId="296AC9FB" w14:textId="1E7A7C4B" w:rsidR="00EE235C" w:rsidRPr="006E15EA" w:rsidRDefault="00EE235C" w:rsidP="00EE235C">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380AB9">
        <w:rPr>
          <w:rFonts w:ascii="Palatino Linotype" w:hAnsi="Palatino Linotype" w:cs="Tahoma"/>
          <w:sz w:val="22"/>
          <w:szCs w:val="22"/>
        </w:rPr>
        <w:t>dieciséis</w:t>
      </w:r>
      <w:r w:rsidR="0081526C">
        <w:rPr>
          <w:rFonts w:ascii="Palatino Linotype" w:hAnsi="Palatino Linotype" w:cs="Tahoma"/>
          <w:sz w:val="22"/>
          <w:szCs w:val="22"/>
        </w:rPr>
        <w:t xml:space="preserve"> de </w:t>
      </w:r>
      <w:r w:rsidR="005F079B">
        <w:rPr>
          <w:rFonts w:ascii="Palatino Linotype" w:hAnsi="Palatino Linotype" w:cs="Tahoma"/>
          <w:sz w:val="22"/>
          <w:szCs w:val="22"/>
        </w:rPr>
        <w:t>febrero</w:t>
      </w:r>
      <w:r>
        <w:rPr>
          <w:rFonts w:ascii="Palatino Linotype" w:hAnsi="Palatino Linotype" w:cs="Tahoma"/>
          <w:sz w:val="22"/>
          <w:szCs w:val="22"/>
        </w:rPr>
        <w:t xml:space="preserve"> de dos mil </w:t>
      </w:r>
      <w:r w:rsidR="00A266E1">
        <w:rPr>
          <w:rFonts w:ascii="Palatino Linotype" w:hAnsi="Palatino Linotype" w:cs="Tahoma"/>
          <w:sz w:val="22"/>
          <w:szCs w:val="22"/>
        </w:rPr>
        <w:t>veintidós</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ahora </w:t>
      </w:r>
      <w:r w:rsidRPr="006E15EA">
        <w:rPr>
          <w:rFonts w:ascii="Palatino Linotype" w:hAnsi="Palatino Linotype" w:cs="Tahoma"/>
          <w:sz w:val="22"/>
          <w:szCs w:val="22"/>
        </w:rPr>
        <w:t xml:space="preserve">Recurrente </w:t>
      </w:r>
      <w:r w:rsidR="0034306A" w:rsidRPr="0034306A">
        <w:rPr>
          <w:rFonts w:ascii="Palatino Linotype" w:hAnsi="Palatino Linotype" w:cs="Tahoma"/>
          <w:sz w:val="22"/>
          <w:szCs w:val="22"/>
        </w:rPr>
        <w:t>en contra de la falta de respuesta del Sujeto Obligado</w:t>
      </w:r>
      <w:r w:rsidRPr="006E15EA">
        <w:rPr>
          <w:rFonts w:ascii="Palatino Linotype" w:hAnsi="Palatino Linotype" w:cs="Tahoma"/>
          <w:sz w:val="22"/>
          <w:szCs w:val="22"/>
        </w:rPr>
        <w:t>,</w:t>
      </w:r>
      <w:r w:rsidR="007A6674">
        <w:rPr>
          <w:rFonts w:ascii="Palatino Linotype" w:hAnsi="Palatino Linotype" w:cs="Tahoma"/>
          <w:sz w:val="22"/>
          <w:szCs w:val="22"/>
        </w:rPr>
        <w:t xml:space="preserve"> mismo que versa en los términos siguientes:</w:t>
      </w:r>
    </w:p>
    <w:p w14:paraId="00D3773B" w14:textId="77777777" w:rsidR="00EE235C" w:rsidRPr="006E15EA" w:rsidRDefault="00EE235C" w:rsidP="00EE235C">
      <w:pPr>
        <w:tabs>
          <w:tab w:val="left" w:pos="4667"/>
        </w:tabs>
        <w:spacing w:line="360" w:lineRule="auto"/>
        <w:ind w:left="567" w:right="567"/>
        <w:jc w:val="both"/>
        <w:rPr>
          <w:rFonts w:ascii="Palatino Linotype" w:hAnsi="Palatino Linotype" w:cs="Tahoma"/>
          <w:b/>
          <w:bCs/>
        </w:rPr>
      </w:pPr>
    </w:p>
    <w:p w14:paraId="4B91CC21" w14:textId="62613A9F" w:rsidR="00EE235C" w:rsidRPr="0064524C" w:rsidRDefault="00EE235C" w:rsidP="00EE235C">
      <w:pPr>
        <w:tabs>
          <w:tab w:val="left" w:pos="4667"/>
        </w:tabs>
        <w:spacing w:line="360" w:lineRule="auto"/>
        <w:ind w:left="567" w:right="567"/>
        <w:jc w:val="both"/>
        <w:rPr>
          <w:rFonts w:ascii="Palatino Linotype" w:hAnsi="Palatino Linotype" w:cs="Tahoma"/>
          <w:b/>
          <w:bCs/>
        </w:rPr>
      </w:pPr>
      <w:r w:rsidRPr="0064524C">
        <w:rPr>
          <w:rFonts w:ascii="Palatino Linotype" w:hAnsi="Palatino Linotype" w:cs="Tahoma"/>
          <w:b/>
          <w:bCs/>
        </w:rPr>
        <w:t>ACTO IMPUGNADO</w:t>
      </w:r>
    </w:p>
    <w:p w14:paraId="5506AE97" w14:textId="429FD124" w:rsidR="003375A0" w:rsidRPr="004A23C1" w:rsidRDefault="004A23C1" w:rsidP="004A23C1">
      <w:pPr>
        <w:spacing w:line="360" w:lineRule="auto"/>
        <w:ind w:left="567" w:right="539"/>
        <w:jc w:val="both"/>
        <w:rPr>
          <w:rFonts w:ascii="Palatino Linotype" w:hAnsi="Palatino Linotype" w:cs="Tahoma"/>
          <w:i/>
        </w:rPr>
      </w:pPr>
      <w:r w:rsidRPr="004A23C1">
        <w:rPr>
          <w:rFonts w:ascii="Palatino Linotype" w:hAnsi="Palatino Linotype" w:cs="Tahoma"/>
          <w:i/>
        </w:rPr>
        <w:t>Número de Folio de la Solicitud: 00006/TEQUIXQU/IP/2022</w:t>
      </w:r>
    </w:p>
    <w:p w14:paraId="082731C4" w14:textId="77777777" w:rsidR="004A23C1" w:rsidRPr="0064524C" w:rsidRDefault="004A23C1" w:rsidP="00616D2C">
      <w:pPr>
        <w:spacing w:line="360" w:lineRule="auto"/>
        <w:ind w:left="567"/>
        <w:jc w:val="both"/>
        <w:rPr>
          <w:rFonts w:ascii="Palatino Linotype" w:hAnsi="Palatino Linotype"/>
          <w:i/>
          <w:iCs/>
          <w:lang w:eastAsia="es-MX"/>
        </w:rPr>
      </w:pPr>
    </w:p>
    <w:p w14:paraId="104EAB7B" w14:textId="60D991AA" w:rsidR="00616D2C" w:rsidRPr="0064524C" w:rsidRDefault="00EE235C" w:rsidP="00616D2C">
      <w:pPr>
        <w:autoSpaceDE w:val="0"/>
        <w:autoSpaceDN w:val="0"/>
        <w:adjustRightInd w:val="0"/>
        <w:spacing w:line="360" w:lineRule="auto"/>
        <w:ind w:left="567" w:right="567"/>
        <w:jc w:val="both"/>
        <w:rPr>
          <w:rFonts w:ascii="Palatino Linotype" w:hAnsi="Palatino Linotype" w:cs="Tahoma"/>
          <w:b/>
        </w:rPr>
      </w:pPr>
      <w:r w:rsidRPr="0064524C">
        <w:rPr>
          <w:rFonts w:ascii="Palatino Linotype" w:hAnsi="Palatino Linotype" w:cs="Tahoma"/>
          <w:b/>
        </w:rPr>
        <w:t>RAZONES O MOTIVOS DE LA INCONFORMIDAD</w:t>
      </w:r>
    </w:p>
    <w:p w14:paraId="35344F70" w14:textId="01F7F1A7" w:rsidR="00BE09CA" w:rsidRDefault="004A23C1" w:rsidP="00EE235C">
      <w:pPr>
        <w:spacing w:line="360" w:lineRule="auto"/>
        <w:ind w:left="567" w:right="539"/>
        <w:jc w:val="both"/>
        <w:rPr>
          <w:rFonts w:ascii="Palatino Linotype" w:hAnsi="Palatino Linotype" w:cs="Tahoma"/>
          <w:i/>
        </w:rPr>
      </w:pPr>
      <w:r w:rsidRPr="004A23C1">
        <w:rPr>
          <w:rFonts w:ascii="Palatino Linotype" w:hAnsi="Palatino Linotype" w:cs="Tahoma"/>
          <w:i/>
        </w:rPr>
        <w:t>No he recibo la información solicitada por lo cual hago uso de mi derecho de impugnar por la negativa de la persona encargada de esta área a entregar dicha información en tiempo y forma.</w:t>
      </w:r>
    </w:p>
    <w:p w14:paraId="4D57AFCA" w14:textId="367ADC55" w:rsidR="00567805" w:rsidRDefault="00567805" w:rsidP="00470902">
      <w:pPr>
        <w:spacing w:line="360" w:lineRule="auto"/>
        <w:ind w:right="539"/>
        <w:jc w:val="both"/>
        <w:rPr>
          <w:rFonts w:ascii="Palatino Linotype" w:hAnsi="Palatino Linotype" w:cs="Tahoma"/>
          <w:i/>
        </w:rPr>
      </w:pPr>
    </w:p>
    <w:p w14:paraId="59C4B046" w14:textId="4B1A8BE1" w:rsidR="00EE235C" w:rsidRPr="006E15EA" w:rsidRDefault="004A23C1" w:rsidP="00EE235C">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V</w:t>
      </w:r>
      <w:r w:rsidR="00EE235C" w:rsidRPr="006E15EA">
        <w:rPr>
          <w:rFonts w:ascii="Palatino Linotype" w:hAnsi="Palatino Linotype" w:cs="Tahoma"/>
          <w:b/>
          <w:sz w:val="22"/>
          <w:szCs w:val="22"/>
        </w:rPr>
        <w:t xml:space="preserve">. </w:t>
      </w:r>
      <w:r w:rsidR="00EE235C" w:rsidRPr="006E15EA">
        <w:rPr>
          <w:rFonts w:ascii="Palatino Linotype" w:eastAsia="Batang" w:hAnsi="Palatino Linotype" w:cs="Tahoma"/>
          <w:b/>
          <w:bCs/>
          <w:sz w:val="22"/>
          <w:szCs w:val="22"/>
        </w:rPr>
        <w:t xml:space="preserve">Trámite del </w:t>
      </w:r>
      <w:r w:rsidR="00EE235C" w:rsidRPr="006E15EA">
        <w:rPr>
          <w:rFonts w:ascii="Palatino Linotype" w:hAnsi="Palatino Linotype" w:cs="Tahoma"/>
          <w:b/>
          <w:sz w:val="22"/>
          <w:szCs w:val="22"/>
        </w:rPr>
        <w:t xml:space="preserve">Recurso de Revisión </w:t>
      </w:r>
      <w:r w:rsidR="00EE235C" w:rsidRPr="006E15EA">
        <w:rPr>
          <w:rFonts w:ascii="Palatino Linotype" w:eastAsia="Batang" w:hAnsi="Palatino Linotype" w:cs="Tahoma"/>
          <w:b/>
          <w:bCs/>
          <w:sz w:val="22"/>
          <w:szCs w:val="22"/>
        </w:rPr>
        <w:t>ante el Instituto.</w:t>
      </w:r>
    </w:p>
    <w:p w14:paraId="2A79EA65" w14:textId="77777777" w:rsidR="004A23C1" w:rsidRDefault="004A23C1" w:rsidP="00EE235C">
      <w:pPr>
        <w:spacing w:line="360" w:lineRule="auto"/>
        <w:jc w:val="both"/>
        <w:rPr>
          <w:rFonts w:ascii="Palatino Linotype" w:eastAsia="Batang" w:hAnsi="Palatino Linotype" w:cs="Tahoma"/>
          <w:b/>
          <w:bCs/>
          <w:sz w:val="22"/>
          <w:szCs w:val="22"/>
        </w:rPr>
      </w:pPr>
    </w:p>
    <w:p w14:paraId="5D795E07" w14:textId="54751380" w:rsidR="00EE235C" w:rsidRDefault="00EE235C" w:rsidP="00EE235C">
      <w:pPr>
        <w:spacing w:line="360" w:lineRule="auto"/>
        <w:jc w:val="both"/>
        <w:rPr>
          <w:rFonts w:ascii="Palatino Linotype" w:eastAsia="Batang" w:hAnsi="Palatino Linotype" w:cs="Tahoma"/>
          <w:b/>
          <w:bCs/>
          <w:sz w:val="22"/>
          <w:szCs w:val="22"/>
        </w:rPr>
      </w:pPr>
      <w:r w:rsidRPr="006E15EA">
        <w:rPr>
          <w:rFonts w:ascii="Palatino Linotype" w:eastAsia="Batang" w:hAnsi="Palatino Linotype"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rPr>
        <w:t>.</w:t>
      </w:r>
    </w:p>
    <w:p w14:paraId="2FBD9492" w14:textId="77777777" w:rsidR="00BE09CA" w:rsidRPr="00AB5725" w:rsidRDefault="00BE09CA" w:rsidP="00EE235C">
      <w:pPr>
        <w:spacing w:line="360" w:lineRule="auto"/>
        <w:jc w:val="both"/>
        <w:rPr>
          <w:rFonts w:ascii="Palatino Linotype" w:eastAsia="Batang" w:hAnsi="Palatino Linotype" w:cs="Tahoma"/>
          <w:b/>
          <w:bCs/>
          <w:sz w:val="22"/>
          <w:szCs w:val="22"/>
        </w:rPr>
      </w:pPr>
    </w:p>
    <w:p w14:paraId="14192543" w14:textId="6F02516B" w:rsidR="00EE235C" w:rsidRDefault="00EE235C" w:rsidP="00EE235C">
      <w:pPr>
        <w:spacing w:line="360" w:lineRule="auto"/>
        <w:jc w:val="both"/>
        <w:rPr>
          <w:rFonts w:ascii="Palatino Linotype" w:eastAsia="Batang" w:hAnsi="Palatino Linotype" w:cs="Tahoma"/>
          <w:bCs/>
          <w:sz w:val="22"/>
          <w:szCs w:val="22"/>
        </w:rPr>
      </w:pPr>
      <w:r w:rsidRPr="006E15EA">
        <w:rPr>
          <w:rFonts w:ascii="Palatino Linotype" w:eastAsia="Batang" w:hAnsi="Palatino Linotype" w:cs="Tahoma"/>
          <w:bCs/>
          <w:sz w:val="22"/>
          <w:szCs w:val="22"/>
        </w:rPr>
        <w:t xml:space="preserve">El </w:t>
      </w:r>
      <w:r w:rsidR="004A23C1">
        <w:rPr>
          <w:rFonts w:ascii="Palatino Linotype" w:eastAsia="Batang" w:hAnsi="Palatino Linotype" w:cs="Tahoma"/>
          <w:bCs/>
          <w:sz w:val="22"/>
          <w:szCs w:val="22"/>
        </w:rPr>
        <w:t xml:space="preserve">dieciséis </w:t>
      </w:r>
      <w:r>
        <w:rPr>
          <w:rFonts w:ascii="Palatino Linotype" w:eastAsia="Batang" w:hAnsi="Palatino Linotype" w:cs="Tahoma"/>
          <w:bCs/>
          <w:sz w:val="22"/>
          <w:szCs w:val="22"/>
        </w:rPr>
        <w:t xml:space="preserve">de </w:t>
      </w:r>
      <w:r w:rsidR="00470902">
        <w:rPr>
          <w:rFonts w:ascii="Palatino Linotype" w:eastAsia="Batang" w:hAnsi="Palatino Linotype" w:cs="Tahoma"/>
          <w:bCs/>
          <w:sz w:val="22"/>
          <w:szCs w:val="22"/>
        </w:rPr>
        <w:t>febrero</w:t>
      </w:r>
      <w:r>
        <w:rPr>
          <w:rFonts w:ascii="Palatino Linotype" w:eastAsia="Batang" w:hAnsi="Palatino Linotype" w:cs="Tahoma"/>
          <w:bCs/>
          <w:sz w:val="22"/>
          <w:szCs w:val="22"/>
        </w:rPr>
        <w:t xml:space="preserve"> de dos mil </w:t>
      </w:r>
      <w:r w:rsidR="00A266E1">
        <w:rPr>
          <w:rFonts w:ascii="Palatino Linotype" w:eastAsia="Batang" w:hAnsi="Palatino Linotype" w:cs="Tahoma"/>
          <w:bCs/>
          <w:sz w:val="22"/>
          <w:szCs w:val="22"/>
        </w:rPr>
        <w:t>veintidós</w:t>
      </w:r>
      <w:r w:rsidRPr="006E15EA">
        <w:rPr>
          <w:rFonts w:ascii="Palatino Linotype" w:eastAsia="Batang" w:hAnsi="Palatino Linotype"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eastAsia="Batang" w:hAnsi="Palatino Linotype" w:cs="Tahoma"/>
          <w:bCs/>
          <w:sz w:val="22"/>
          <w:szCs w:val="22"/>
        </w:rPr>
        <w:t xml:space="preserve"> asignó el número de expediente </w:t>
      </w:r>
      <w:r w:rsidR="0017323B">
        <w:rPr>
          <w:rFonts w:ascii="Palatino Linotype" w:hAnsi="Palatino Linotype" w:cs="Tahoma"/>
          <w:b/>
          <w:color w:val="0D0D0D" w:themeColor="text1" w:themeTint="F2"/>
          <w:sz w:val="22"/>
          <w:szCs w:val="22"/>
        </w:rPr>
        <w:t>00886/INFOEM/IP/RR/2022</w:t>
      </w:r>
      <w:r w:rsidR="0017140B">
        <w:rPr>
          <w:rFonts w:ascii="Palatino Linotype" w:eastAsia="Batang" w:hAnsi="Palatino Linotype" w:cs="Tahoma"/>
          <w:b/>
          <w:bCs/>
          <w:sz w:val="22"/>
          <w:szCs w:val="22"/>
        </w:rPr>
        <w:t>,</w:t>
      </w:r>
      <w:r w:rsidRPr="006E15EA">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eastAsia="Batang" w:hAnsi="Palatino Linotype" w:cs="Tahoma"/>
          <w:bCs/>
          <w:sz w:val="22"/>
          <w:szCs w:val="22"/>
        </w:rPr>
        <w:t xml:space="preserve"> </w:t>
      </w:r>
    </w:p>
    <w:p w14:paraId="23B73257" w14:textId="77777777" w:rsidR="00EE235C" w:rsidRPr="006E15EA" w:rsidRDefault="00EE235C" w:rsidP="00EE235C">
      <w:pPr>
        <w:spacing w:line="360" w:lineRule="auto"/>
        <w:jc w:val="both"/>
        <w:rPr>
          <w:rFonts w:ascii="Palatino Linotype" w:eastAsia="Batang" w:hAnsi="Palatino Linotype" w:cs="Tahoma"/>
          <w:bCs/>
          <w:sz w:val="22"/>
          <w:szCs w:val="22"/>
        </w:rPr>
      </w:pPr>
    </w:p>
    <w:p w14:paraId="60150CD5" w14:textId="04DD24C5" w:rsidR="00EE235C" w:rsidRDefault="00EE235C" w:rsidP="00EE235C">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lang w:val="es-ES_tradnl"/>
        </w:rPr>
        <w:t xml:space="preserve">. </w:t>
      </w:r>
    </w:p>
    <w:p w14:paraId="1870415C" w14:textId="77777777" w:rsidR="00CC0600" w:rsidRDefault="00CC0600" w:rsidP="00EE235C">
      <w:pPr>
        <w:spacing w:line="360" w:lineRule="auto"/>
        <w:jc w:val="both"/>
        <w:rPr>
          <w:rFonts w:ascii="Palatino Linotype" w:eastAsia="Batang" w:hAnsi="Palatino Linotype" w:cs="Tahoma"/>
          <w:b/>
          <w:bCs/>
          <w:sz w:val="22"/>
          <w:szCs w:val="22"/>
          <w:lang w:val="es-ES_tradnl"/>
        </w:rPr>
      </w:pPr>
    </w:p>
    <w:p w14:paraId="229A2737" w14:textId="48D86039" w:rsidR="00EE235C" w:rsidRDefault="004A23C1" w:rsidP="00EE235C">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Mediante acuerdo del veintiuno de febrero del dos mil veintiuno</w:t>
      </w:r>
      <w:r w:rsidR="00EE235C" w:rsidRPr="006E15EA">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Pr>
          <w:rFonts w:ascii="Palatino Linotype" w:eastAsia="Batang" w:hAnsi="Palatino Linotype" w:cs="Tahoma"/>
          <w:bCs/>
          <w:sz w:val="22"/>
          <w:szCs w:val="22"/>
          <w:lang w:val="es-ES_tradnl"/>
        </w:rPr>
        <w:t>proveído que</w:t>
      </w:r>
      <w:r w:rsidR="00EE235C" w:rsidRPr="006E15EA">
        <w:rPr>
          <w:rFonts w:ascii="Palatino Linotype" w:eastAsia="Batang" w:hAnsi="Palatino Linotype" w:cs="Tahoma"/>
          <w:bCs/>
          <w:sz w:val="22"/>
          <w:szCs w:val="22"/>
          <w:lang w:val="es-ES_tradnl"/>
        </w:rPr>
        <w:t xml:space="preserve"> fue notificado a las partes el </w:t>
      </w:r>
      <w:r>
        <w:rPr>
          <w:rFonts w:ascii="Palatino Linotype" w:eastAsia="Batang" w:hAnsi="Palatino Linotype" w:cs="Tahoma"/>
          <w:bCs/>
          <w:sz w:val="22"/>
          <w:szCs w:val="22"/>
          <w:lang w:val="es-ES_tradnl"/>
        </w:rPr>
        <w:t>mismo día</w:t>
      </w:r>
      <w:r w:rsidR="00EE235C" w:rsidRPr="006E15EA">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45E569EB" w14:textId="77777777" w:rsidR="00AC6303" w:rsidRDefault="00AC6303" w:rsidP="00EE235C">
      <w:pPr>
        <w:spacing w:line="360" w:lineRule="auto"/>
        <w:jc w:val="both"/>
        <w:rPr>
          <w:rFonts w:ascii="Palatino Linotype" w:eastAsia="Batang" w:hAnsi="Palatino Linotype" w:cs="Tahoma"/>
          <w:bCs/>
          <w:sz w:val="22"/>
          <w:szCs w:val="22"/>
          <w:lang w:val="es-ES_tradnl"/>
        </w:rPr>
      </w:pPr>
    </w:p>
    <w:p w14:paraId="365C1447" w14:textId="700BAB98" w:rsidR="00AC6303" w:rsidRDefault="00AC6303" w:rsidP="00EE235C">
      <w:pPr>
        <w:spacing w:line="360" w:lineRule="auto"/>
        <w:jc w:val="both"/>
        <w:rPr>
          <w:rFonts w:ascii="Palatino Linotype" w:eastAsia="Batang" w:hAnsi="Palatino Linotype" w:cs="Tahoma"/>
          <w:b/>
          <w:sz w:val="22"/>
          <w:szCs w:val="22"/>
          <w:lang w:val="es-ES_tradnl"/>
        </w:rPr>
      </w:pPr>
      <w:r>
        <w:rPr>
          <w:rFonts w:ascii="Palatino Linotype" w:eastAsia="Batang" w:hAnsi="Palatino Linotype" w:cs="Tahoma"/>
          <w:b/>
          <w:sz w:val="22"/>
          <w:szCs w:val="22"/>
          <w:lang w:val="es-ES_tradnl"/>
        </w:rPr>
        <w:t>c) Manifestaciones del Particular</w:t>
      </w:r>
    </w:p>
    <w:p w14:paraId="6F11F161" w14:textId="77777777" w:rsidR="00AC6303" w:rsidRDefault="00AC6303" w:rsidP="00EE235C">
      <w:pPr>
        <w:spacing w:line="360" w:lineRule="auto"/>
        <w:jc w:val="both"/>
        <w:rPr>
          <w:rFonts w:ascii="Palatino Linotype" w:eastAsia="Batang" w:hAnsi="Palatino Linotype" w:cs="Tahoma"/>
          <w:b/>
          <w:sz w:val="22"/>
          <w:szCs w:val="22"/>
          <w:lang w:val="es-ES_tradnl"/>
        </w:rPr>
      </w:pPr>
    </w:p>
    <w:p w14:paraId="4BFF2FAA" w14:textId="1C0A2EBD" w:rsidR="00AC6303" w:rsidRDefault="00A30C0F" w:rsidP="00EE235C">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Transcurrido el plazo aportado a las partes para realizar las manifestaciones de ley, el Particular no realizó pronunciamiento alguno.</w:t>
      </w:r>
    </w:p>
    <w:p w14:paraId="44780978" w14:textId="77777777" w:rsidR="00A707BC" w:rsidRDefault="00A707BC" w:rsidP="00EE235C">
      <w:pPr>
        <w:spacing w:line="360" w:lineRule="auto"/>
        <w:jc w:val="both"/>
        <w:rPr>
          <w:rFonts w:ascii="Palatino Linotype" w:eastAsia="Batang" w:hAnsi="Palatino Linotype" w:cs="Tahoma"/>
          <w:bCs/>
          <w:sz w:val="22"/>
          <w:szCs w:val="22"/>
          <w:lang w:val="es-ES_tradnl"/>
        </w:rPr>
      </w:pPr>
    </w:p>
    <w:p w14:paraId="2F5C7256" w14:textId="3054CAC7" w:rsidR="0064524C" w:rsidRDefault="000011AB" w:rsidP="0064524C">
      <w:pPr>
        <w:spacing w:line="360" w:lineRule="auto"/>
        <w:jc w:val="both"/>
        <w:rPr>
          <w:rFonts w:ascii="Palatino Linotype" w:eastAsia="Batang" w:hAnsi="Palatino Linotype" w:cs="Tahoma"/>
          <w:b/>
          <w:sz w:val="22"/>
          <w:szCs w:val="22"/>
        </w:rPr>
      </w:pPr>
      <w:r>
        <w:rPr>
          <w:rFonts w:ascii="Palatino Linotype" w:eastAsia="Batang" w:hAnsi="Palatino Linotype" w:cs="Tahoma"/>
          <w:b/>
          <w:sz w:val="22"/>
          <w:szCs w:val="22"/>
        </w:rPr>
        <w:t>d</w:t>
      </w:r>
      <w:r w:rsidR="00C36F8A" w:rsidRPr="00C36F8A">
        <w:rPr>
          <w:rFonts w:ascii="Palatino Linotype" w:eastAsia="Batang" w:hAnsi="Palatino Linotype" w:cs="Tahoma"/>
          <w:b/>
          <w:sz w:val="22"/>
          <w:szCs w:val="22"/>
        </w:rPr>
        <w:t>) Informe Justificado o Manifestaciones</w:t>
      </w:r>
      <w:r w:rsidR="00C36F8A">
        <w:rPr>
          <w:rFonts w:ascii="Palatino Linotype" w:eastAsia="Batang" w:hAnsi="Palatino Linotype" w:cs="Tahoma"/>
          <w:b/>
          <w:sz w:val="22"/>
          <w:szCs w:val="22"/>
        </w:rPr>
        <w:t>.</w:t>
      </w:r>
    </w:p>
    <w:p w14:paraId="743331DF" w14:textId="3A9E1E82" w:rsidR="00C36F8A" w:rsidRDefault="00C36F8A" w:rsidP="0064524C">
      <w:pPr>
        <w:spacing w:line="360" w:lineRule="auto"/>
        <w:jc w:val="both"/>
        <w:rPr>
          <w:rFonts w:ascii="Palatino Linotype" w:eastAsia="Batang" w:hAnsi="Palatino Linotype" w:cs="Tahoma"/>
          <w:b/>
          <w:sz w:val="22"/>
          <w:szCs w:val="22"/>
        </w:rPr>
      </w:pPr>
    </w:p>
    <w:p w14:paraId="7CA74B32" w14:textId="4AADFD1F" w:rsidR="00DC40B1" w:rsidRPr="004A23C1" w:rsidRDefault="004A23C1" w:rsidP="004A23C1">
      <w:pPr>
        <w:spacing w:line="360" w:lineRule="auto"/>
        <w:jc w:val="both"/>
        <w:rPr>
          <w:rFonts w:ascii="Palatino Linotype" w:eastAsia="Batang" w:hAnsi="Palatino Linotype" w:cs="Tahoma"/>
          <w:bCs/>
          <w:sz w:val="22"/>
          <w:szCs w:val="22"/>
          <w:lang w:val="es-ES_tradnl"/>
        </w:rPr>
      </w:pPr>
      <w:r w:rsidRPr="004A23C1">
        <w:rPr>
          <w:rFonts w:ascii="Palatino Linotype" w:eastAsia="Batang" w:hAnsi="Palatino Linotype" w:cs="Tahoma"/>
          <w:bCs/>
          <w:sz w:val="22"/>
          <w:szCs w:val="22"/>
          <w:lang w:val="es-ES_tradnl"/>
        </w:rPr>
        <w:t>Transcurrido el plazo para aportar manifestaciones o pronunciamiento, el Ayuntamiento de Tequixquiac fue omiso en realizar expresión alguna.</w:t>
      </w:r>
    </w:p>
    <w:p w14:paraId="007EAC0D" w14:textId="7407B988" w:rsidR="00D74EF6" w:rsidRDefault="00D74EF6" w:rsidP="0064524C">
      <w:pPr>
        <w:spacing w:line="360" w:lineRule="auto"/>
        <w:jc w:val="both"/>
        <w:rPr>
          <w:rFonts w:ascii="Palatino Linotype" w:eastAsia="Batang" w:hAnsi="Palatino Linotype" w:cs="Tahoma"/>
          <w:b/>
          <w:sz w:val="22"/>
          <w:szCs w:val="22"/>
        </w:rPr>
      </w:pPr>
    </w:p>
    <w:p w14:paraId="52667548" w14:textId="0664E969" w:rsidR="00C30224" w:rsidRPr="0038554F" w:rsidRDefault="002D0B5B" w:rsidP="00C30224">
      <w:pPr>
        <w:tabs>
          <w:tab w:val="center" w:pos="4522"/>
        </w:tabs>
        <w:spacing w:line="360" w:lineRule="auto"/>
        <w:contextualSpacing/>
        <w:jc w:val="both"/>
        <w:rPr>
          <w:rFonts w:ascii="Palatino Linotype" w:hAnsi="Palatino Linotype" w:cs="Tahoma"/>
          <w:b/>
          <w:bCs/>
          <w:iCs/>
          <w:sz w:val="22"/>
          <w:szCs w:val="22"/>
        </w:rPr>
      </w:pPr>
      <w:r>
        <w:rPr>
          <w:rFonts w:ascii="Palatino Linotype" w:hAnsi="Palatino Linotype" w:cs="Tahoma"/>
          <w:b/>
          <w:bCs/>
          <w:iCs/>
          <w:sz w:val="22"/>
          <w:szCs w:val="22"/>
        </w:rPr>
        <w:t>e</w:t>
      </w:r>
      <w:r w:rsidR="00C30224" w:rsidRPr="0038554F">
        <w:rPr>
          <w:rFonts w:ascii="Palatino Linotype" w:hAnsi="Palatino Linotype" w:cs="Tahoma"/>
          <w:b/>
          <w:bCs/>
          <w:iCs/>
          <w:sz w:val="22"/>
          <w:szCs w:val="22"/>
        </w:rPr>
        <w:t>) Ampliación del plazo.</w:t>
      </w:r>
    </w:p>
    <w:p w14:paraId="3FAE3687" w14:textId="77777777" w:rsidR="00C30224" w:rsidRPr="0038554F" w:rsidRDefault="00C30224" w:rsidP="00C30224">
      <w:pPr>
        <w:tabs>
          <w:tab w:val="center" w:pos="4522"/>
        </w:tabs>
        <w:spacing w:line="360" w:lineRule="auto"/>
        <w:contextualSpacing/>
        <w:jc w:val="both"/>
        <w:rPr>
          <w:rFonts w:ascii="Palatino Linotype" w:eastAsia="Batang" w:hAnsi="Palatino Linotype" w:cs="Tahoma"/>
          <w:bCs/>
          <w:sz w:val="22"/>
          <w:szCs w:val="22"/>
        </w:rPr>
      </w:pPr>
    </w:p>
    <w:p w14:paraId="196EBE0D" w14:textId="60DE768C" w:rsidR="00C30224" w:rsidRPr="0038554F" w:rsidRDefault="004A23C1" w:rsidP="00C30224">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Por acuerdo del seis de abril del dos mil veintidós notificado al día siguiente</w:t>
      </w:r>
      <w:r w:rsidR="00023713">
        <w:rPr>
          <w:rFonts w:ascii="Palatino Linotype" w:hAnsi="Palatino Linotype" w:cs="Tahoma"/>
          <w:sz w:val="22"/>
          <w:szCs w:val="22"/>
        </w:rPr>
        <w:t xml:space="preserve"> a través del Sistema de Acceso a la Información Mexiquense (SAIMEX)</w:t>
      </w:r>
      <w:r w:rsidR="00C30224" w:rsidRPr="0038554F">
        <w:rPr>
          <w:rFonts w:ascii="Palatino Linotype" w:hAnsi="Palatino Linotype" w:cs="Tahoma"/>
          <w:sz w:val="22"/>
          <w:szCs w:val="22"/>
        </w:rPr>
        <w:t xml:space="preserve">, el Comisionado Ponente, con fundamento en lo dispuesto por el artículo 181, párrafo tercero, de la Ley de Transparencia y </w:t>
      </w:r>
      <w:r w:rsidR="00C30224" w:rsidRPr="0038554F">
        <w:rPr>
          <w:rFonts w:ascii="Palatino Linotype" w:hAnsi="Palatino Linotype" w:cs="Tahoma"/>
          <w:sz w:val="22"/>
          <w:szCs w:val="22"/>
        </w:rPr>
        <w:lastRenderedPageBreak/>
        <w:t xml:space="preserve">Acceso a la Información Pública del Estado de México y Municipios, acordó ampliar </w:t>
      </w:r>
      <w:r w:rsidR="00C30224" w:rsidRPr="0038554F">
        <w:rPr>
          <w:rFonts w:ascii="Palatino Linotype" w:hAnsi="Palatino Linotype" w:cs="Tahoma"/>
          <w:bCs/>
          <w:sz w:val="22"/>
          <w:szCs w:val="22"/>
        </w:rPr>
        <w:t>por un periodo quince días</w:t>
      </w:r>
      <w:r w:rsidR="00C30224" w:rsidRPr="0038554F">
        <w:rPr>
          <w:rFonts w:ascii="Palatino Linotype" w:hAnsi="Palatino Linotype" w:cs="Tahoma"/>
          <w:sz w:val="22"/>
          <w:szCs w:val="22"/>
        </w:rPr>
        <w:t xml:space="preserve">, el plazo para resolver </w:t>
      </w:r>
      <w:r w:rsidR="00023713">
        <w:rPr>
          <w:rFonts w:ascii="Palatino Linotype" w:hAnsi="Palatino Linotype" w:cs="Tahoma"/>
          <w:sz w:val="22"/>
          <w:szCs w:val="22"/>
        </w:rPr>
        <w:t>el</w:t>
      </w:r>
      <w:r w:rsidR="00C30224" w:rsidRPr="0038554F">
        <w:rPr>
          <w:rFonts w:ascii="Palatino Linotype" w:hAnsi="Palatino Linotype" w:cs="Tahoma"/>
          <w:sz w:val="22"/>
          <w:szCs w:val="22"/>
        </w:rPr>
        <w:t xml:space="preserve"> Recurso</w:t>
      </w:r>
      <w:r w:rsidR="00023713">
        <w:rPr>
          <w:rFonts w:ascii="Palatino Linotype" w:hAnsi="Palatino Linotype" w:cs="Tahoma"/>
          <w:sz w:val="22"/>
          <w:szCs w:val="22"/>
        </w:rPr>
        <w:t>s</w:t>
      </w:r>
      <w:r w:rsidR="00C30224" w:rsidRPr="0038554F">
        <w:rPr>
          <w:rFonts w:ascii="Palatino Linotype" w:hAnsi="Palatino Linotype" w:cs="Tahoma"/>
          <w:sz w:val="22"/>
          <w:szCs w:val="22"/>
        </w:rPr>
        <w:t xml:space="preserve"> de Revisión que nos ocupa</w:t>
      </w:r>
      <w:r w:rsidR="00023713">
        <w:rPr>
          <w:rFonts w:ascii="Palatino Linotype" w:hAnsi="Palatino Linotype" w:cs="Tahoma"/>
          <w:sz w:val="22"/>
          <w:szCs w:val="22"/>
        </w:rPr>
        <w:t>.</w:t>
      </w:r>
    </w:p>
    <w:p w14:paraId="34514A95" w14:textId="77777777" w:rsidR="00DC40B1" w:rsidRDefault="00DC40B1" w:rsidP="0064524C">
      <w:pPr>
        <w:spacing w:line="360" w:lineRule="auto"/>
        <w:jc w:val="both"/>
        <w:rPr>
          <w:rFonts w:ascii="Palatino Linotype" w:eastAsia="Batang" w:hAnsi="Palatino Linotype" w:cs="Tahoma"/>
          <w:b/>
          <w:sz w:val="22"/>
          <w:szCs w:val="22"/>
        </w:rPr>
      </w:pPr>
    </w:p>
    <w:p w14:paraId="2118D001" w14:textId="4E1172DE" w:rsidR="00EE235C" w:rsidRDefault="00DC40B1" w:rsidP="00EE235C">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00EE235C" w:rsidRPr="00A82C4B">
        <w:rPr>
          <w:rFonts w:ascii="Palatino Linotype" w:hAnsi="Palatino Linotype" w:cs="Tahoma"/>
          <w:b/>
          <w:sz w:val="22"/>
          <w:szCs w:val="22"/>
        </w:rPr>
        <w:t>) Cierre de instrucción.</w:t>
      </w:r>
      <w:r>
        <w:rPr>
          <w:rFonts w:ascii="Palatino Linotype" w:hAnsi="Palatino Linotype" w:cs="Tahoma"/>
          <w:b/>
          <w:sz w:val="22"/>
          <w:szCs w:val="22"/>
        </w:rPr>
        <w:t xml:space="preserve"> </w:t>
      </w:r>
    </w:p>
    <w:p w14:paraId="4FF0723B" w14:textId="77777777" w:rsidR="00EE235C" w:rsidRDefault="00EE235C" w:rsidP="00EE235C">
      <w:pPr>
        <w:spacing w:line="360" w:lineRule="auto"/>
        <w:jc w:val="both"/>
        <w:rPr>
          <w:rFonts w:ascii="Palatino Linotype" w:hAnsi="Palatino Linotype" w:cs="Tahoma"/>
          <w:b/>
          <w:sz w:val="22"/>
          <w:szCs w:val="22"/>
        </w:rPr>
      </w:pPr>
    </w:p>
    <w:p w14:paraId="61F7AC88" w14:textId="3346B95D" w:rsidR="00C30224" w:rsidRPr="0038554F" w:rsidRDefault="00C30224" w:rsidP="00C30224">
      <w:pPr>
        <w:spacing w:line="360" w:lineRule="auto"/>
        <w:contextualSpacing/>
        <w:jc w:val="both"/>
        <w:rPr>
          <w:rFonts w:ascii="Palatino Linotype" w:hAnsi="Palatino Linotype" w:cs="Tahoma"/>
          <w:sz w:val="22"/>
          <w:szCs w:val="22"/>
          <w:lang w:val="es-ES"/>
        </w:rPr>
      </w:pPr>
      <w:r w:rsidRPr="0038554F">
        <w:rPr>
          <w:rFonts w:ascii="Palatino Linotype" w:hAnsi="Palatino Linotype" w:cs="Tahoma"/>
          <w:sz w:val="22"/>
          <w:szCs w:val="22"/>
        </w:rPr>
        <w:t xml:space="preserve">El </w:t>
      </w:r>
      <w:r w:rsidR="00023713">
        <w:rPr>
          <w:rFonts w:ascii="Palatino Linotype" w:hAnsi="Palatino Linotype" w:cs="Tahoma"/>
          <w:sz w:val="22"/>
          <w:szCs w:val="22"/>
          <w:lang w:val="es-ES"/>
        </w:rPr>
        <w:t>diecinueve</w:t>
      </w:r>
      <w:r w:rsidR="007172C2">
        <w:rPr>
          <w:rFonts w:ascii="Palatino Linotype" w:hAnsi="Palatino Linotype" w:cs="Tahoma"/>
          <w:sz w:val="22"/>
          <w:szCs w:val="22"/>
          <w:lang w:val="es-ES"/>
        </w:rPr>
        <w:t xml:space="preserve"> de abril</w:t>
      </w:r>
      <w:r w:rsidRPr="0038554F">
        <w:rPr>
          <w:rFonts w:ascii="Palatino Linotype" w:hAnsi="Palatino Linotype" w:cs="Tahoma"/>
          <w:sz w:val="22"/>
          <w:szCs w:val="22"/>
          <w:lang w:val="es-ES"/>
        </w:rPr>
        <w:t xml:space="preserve"> de</w:t>
      </w:r>
      <w:r w:rsidR="007172C2">
        <w:rPr>
          <w:rFonts w:ascii="Palatino Linotype" w:hAnsi="Palatino Linotype" w:cs="Tahoma"/>
          <w:sz w:val="22"/>
          <w:szCs w:val="22"/>
          <w:lang w:val="es-ES"/>
        </w:rPr>
        <w:t>l</w:t>
      </w:r>
      <w:r w:rsidRPr="0038554F">
        <w:rPr>
          <w:rFonts w:ascii="Palatino Linotype" w:hAnsi="Palatino Linotype" w:cs="Tahoma"/>
          <w:sz w:val="22"/>
          <w:szCs w:val="22"/>
          <w:lang w:val="es-ES"/>
        </w:rPr>
        <w:t xml:space="preserve"> dos mil veintidós</w:t>
      </w:r>
      <w:r w:rsidRPr="0038554F">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w:t>
      </w:r>
      <w:r w:rsidR="00023713">
        <w:rPr>
          <w:rFonts w:ascii="Palatino Linotype" w:hAnsi="Palatino Linotype" w:cs="Tahoma"/>
          <w:sz w:val="22"/>
          <w:szCs w:val="22"/>
        </w:rPr>
        <w:t>al día siguiente</w:t>
      </w:r>
      <w:r w:rsidRPr="0038554F">
        <w:rPr>
          <w:rFonts w:ascii="Palatino Linotype" w:hAnsi="Palatino Linotype" w:cs="Tahoma"/>
          <w:sz w:val="22"/>
          <w:szCs w:val="22"/>
        </w:rPr>
        <w:t xml:space="preserve">, a través del </w:t>
      </w:r>
      <w:r w:rsidRPr="0038554F">
        <w:rPr>
          <w:rFonts w:ascii="Palatino Linotype" w:hAnsi="Palatino Linotype" w:cs="Tahoma"/>
          <w:sz w:val="22"/>
          <w:szCs w:val="22"/>
          <w:lang w:val="es-ES"/>
        </w:rPr>
        <w:t>Sistema de Acceso a la Información Mexiquense (SAIMEX)</w:t>
      </w:r>
      <w:r w:rsidRPr="0038554F">
        <w:rPr>
          <w:rFonts w:ascii="Palatino Linotype" w:hAnsi="Palatino Linotype" w:cs="Tahoma"/>
          <w:sz w:val="22"/>
          <w:szCs w:val="22"/>
        </w:rPr>
        <w:t xml:space="preserve">. </w:t>
      </w:r>
    </w:p>
    <w:p w14:paraId="216F5E2F" w14:textId="77777777" w:rsidR="00EE235C" w:rsidRPr="00C30224" w:rsidRDefault="00EE235C" w:rsidP="00EE235C">
      <w:pPr>
        <w:spacing w:line="360" w:lineRule="auto"/>
        <w:jc w:val="both"/>
        <w:rPr>
          <w:rFonts w:ascii="Palatino Linotype" w:hAnsi="Palatino Linotype" w:cs="Tahoma"/>
          <w:color w:val="000000"/>
          <w:sz w:val="22"/>
          <w:szCs w:val="22"/>
          <w:lang w:val="es-ES"/>
        </w:rPr>
      </w:pPr>
    </w:p>
    <w:p w14:paraId="3CF7788E" w14:textId="6ACB0E2F" w:rsidR="0018796B" w:rsidRDefault="00EE235C" w:rsidP="0079546C">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I</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E</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R</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A</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w:t>
      </w:r>
    </w:p>
    <w:p w14:paraId="169A12D2" w14:textId="77777777" w:rsidR="00EF27DF" w:rsidRPr="006B4CAC" w:rsidRDefault="00EF27DF" w:rsidP="00EF27DF">
      <w:pPr>
        <w:spacing w:line="360" w:lineRule="auto"/>
        <w:jc w:val="center"/>
        <w:rPr>
          <w:rFonts w:cs="Tahoma"/>
          <w:b/>
          <w:lang w:val="es-ES"/>
        </w:rPr>
      </w:pPr>
    </w:p>
    <w:p w14:paraId="2FD0B9AA" w14:textId="77777777" w:rsidR="00EF27DF" w:rsidRPr="00EF27DF" w:rsidRDefault="00EF27DF" w:rsidP="00EF27DF">
      <w:pPr>
        <w:autoSpaceDE w:val="0"/>
        <w:autoSpaceDN w:val="0"/>
        <w:adjustRightInd w:val="0"/>
        <w:spacing w:line="360" w:lineRule="auto"/>
        <w:jc w:val="both"/>
        <w:rPr>
          <w:rFonts w:ascii="Palatino Linotype" w:hAnsi="Palatino Linotype" w:cs="Tahoma"/>
          <w:b/>
          <w:sz w:val="22"/>
          <w:szCs w:val="22"/>
          <w:lang w:val="es-ES"/>
        </w:rPr>
      </w:pPr>
      <w:r w:rsidRPr="00EF27DF">
        <w:rPr>
          <w:rFonts w:ascii="Palatino Linotype" w:eastAsia="Calibri" w:hAnsi="Palatino Linotype" w:cs="Tahoma"/>
          <w:b/>
          <w:color w:val="000000"/>
          <w:sz w:val="22"/>
          <w:szCs w:val="22"/>
          <w:lang w:val="es-ES" w:eastAsia="es-MX"/>
        </w:rPr>
        <w:t>PRIMERO</w:t>
      </w:r>
      <w:r w:rsidRPr="00EF27DF">
        <w:rPr>
          <w:rFonts w:ascii="Palatino Linotype" w:eastAsia="Calibri" w:hAnsi="Palatino Linotype" w:cs="Tahoma"/>
          <w:color w:val="000000"/>
          <w:sz w:val="22"/>
          <w:szCs w:val="22"/>
          <w:lang w:val="es-ES" w:eastAsia="es-MX"/>
        </w:rPr>
        <w:t xml:space="preserve">. </w:t>
      </w:r>
      <w:r w:rsidRPr="00EF27DF">
        <w:rPr>
          <w:rFonts w:ascii="Palatino Linotype" w:hAnsi="Palatino Linotype" w:cs="Tahoma"/>
          <w:b/>
          <w:sz w:val="22"/>
          <w:szCs w:val="22"/>
          <w:lang w:val="es-ES"/>
        </w:rPr>
        <w:t>Competencia.</w:t>
      </w:r>
    </w:p>
    <w:p w14:paraId="756F6B26" w14:textId="77777777" w:rsidR="00EF27DF" w:rsidRPr="00EF27DF" w:rsidRDefault="00EF27DF" w:rsidP="00EF27DF">
      <w:pPr>
        <w:autoSpaceDE w:val="0"/>
        <w:autoSpaceDN w:val="0"/>
        <w:adjustRightInd w:val="0"/>
        <w:spacing w:line="360" w:lineRule="auto"/>
        <w:jc w:val="both"/>
        <w:rPr>
          <w:rFonts w:ascii="Palatino Linotype" w:hAnsi="Palatino Linotype" w:cs="Tahoma"/>
          <w:b/>
          <w:sz w:val="22"/>
          <w:szCs w:val="22"/>
          <w:lang w:val="es-ES"/>
        </w:rPr>
      </w:pPr>
    </w:p>
    <w:p w14:paraId="4E6E7A14" w14:textId="77777777" w:rsidR="00EF27DF" w:rsidRPr="00EF27DF" w:rsidRDefault="00EF27DF" w:rsidP="00EF27DF">
      <w:pPr>
        <w:spacing w:line="360" w:lineRule="auto"/>
        <w:jc w:val="both"/>
        <w:rPr>
          <w:rFonts w:ascii="Palatino Linotype" w:hAnsi="Palatino Linotype" w:cs="Tahoma"/>
          <w:bCs/>
          <w:sz w:val="22"/>
          <w:szCs w:val="22"/>
        </w:rPr>
      </w:pPr>
      <w:bookmarkStart w:id="0" w:name="_Hlk63334754"/>
      <w:r w:rsidRPr="00EF27DF">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EF27DF">
        <w:rPr>
          <w:rFonts w:ascii="Palatino Linotype" w:hAnsi="Palatino Linotype" w:cs="Tahoma"/>
          <w:bCs/>
          <w:sz w:val="22"/>
          <w:szCs w:val="22"/>
        </w:rPr>
        <w:lastRenderedPageBreak/>
        <w:t>Municipios;</w:t>
      </w:r>
      <w:r w:rsidRPr="00EF27DF">
        <w:rPr>
          <w:rFonts w:ascii="Palatino Linotype" w:hAnsi="Palatino Linotype"/>
          <w:bCs/>
          <w:sz w:val="22"/>
          <w:szCs w:val="22"/>
        </w:rPr>
        <w:t xml:space="preserve"> 7°, </w:t>
      </w:r>
      <w:r w:rsidRPr="00EF27DF">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0"/>
    </w:p>
    <w:p w14:paraId="7F4E330B" w14:textId="77777777" w:rsidR="00EF27DF" w:rsidRPr="00EF27DF" w:rsidRDefault="00EF27DF" w:rsidP="00EF27DF">
      <w:pPr>
        <w:spacing w:line="360" w:lineRule="auto"/>
        <w:jc w:val="both"/>
        <w:rPr>
          <w:rFonts w:ascii="Palatino Linotype" w:hAnsi="Palatino Linotype"/>
          <w:sz w:val="22"/>
          <w:szCs w:val="22"/>
        </w:rPr>
      </w:pPr>
    </w:p>
    <w:p w14:paraId="76092EC5" w14:textId="77777777" w:rsidR="00EF27DF" w:rsidRPr="00EF27DF" w:rsidRDefault="00EF27DF" w:rsidP="00EF27DF">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eastAsia="Calibri" w:hAnsi="Palatino Linotype" w:cs="Tahoma"/>
          <w:b/>
          <w:color w:val="000000"/>
          <w:sz w:val="22"/>
          <w:szCs w:val="22"/>
          <w:lang w:val="es-ES" w:eastAsia="es-MX"/>
        </w:rPr>
        <w:t>SEGUNDO</w:t>
      </w:r>
      <w:r w:rsidRPr="00EF27DF">
        <w:rPr>
          <w:rFonts w:ascii="Palatino Linotype" w:eastAsia="Calibri" w:hAnsi="Palatino Linotype" w:cs="Tahoma"/>
          <w:color w:val="000000"/>
          <w:sz w:val="22"/>
          <w:szCs w:val="22"/>
          <w:lang w:val="es-ES" w:eastAsia="es-MX"/>
        </w:rPr>
        <w:t xml:space="preserve">. </w:t>
      </w:r>
      <w:r w:rsidRPr="00EF27DF">
        <w:rPr>
          <w:rFonts w:ascii="Palatino Linotype" w:hAnsi="Palatino Linotype" w:cs="Tahoma"/>
          <w:b/>
          <w:sz w:val="22"/>
          <w:szCs w:val="22"/>
          <w:lang w:val="es-ES"/>
        </w:rPr>
        <w:t>Causales de improcedencia y sobreseimiento.</w:t>
      </w:r>
      <w:r w:rsidRPr="00EF27DF">
        <w:rPr>
          <w:rFonts w:ascii="Palatino Linotype" w:hAnsi="Palatino Linotype" w:cs="Tahoma"/>
          <w:sz w:val="22"/>
          <w:szCs w:val="22"/>
          <w:lang w:val="es-ES"/>
        </w:rPr>
        <w:t xml:space="preserve"> </w:t>
      </w:r>
    </w:p>
    <w:p w14:paraId="59542C7B" w14:textId="77777777" w:rsidR="00EF27DF" w:rsidRPr="00EF27DF" w:rsidRDefault="00EF27DF" w:rsidP="00EF27DF">
      <w:pPr>
        <w:autoSpaceDE w:val="0"/>
        <w:autoSpaceDN w:val="0"/>
        <w:adjustRightInd w:val="0"/>
        <w:spacing w:line="360" w:lineRule="auto"/>
        <w:jc w:val="both"/>
        <w:rPr>
          <w:rFonts w:ascii="Palatino Linotype" w:hAnsi="Palatino Linotype" w:cs="Tahoma"/>
          <w:sz w:val="22"/>
          <w:szCs w:val="22"/>
          <w:lang w:val="es-ES"/>
        </w:rPr>
      </w:pPr>
    </w:p>
    <w:p w14:paraId="0D3B60B3" w14:textId="77777777" w:rsidR="00EF27DF" w:rsidRPr="00EF27DF" w:rsidRDefault="00EF27DF" w:rsidP="00EF27DF">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EF27DF">
        <w:rPr>
          <w:rFonts w:ascii="Palatino Linotype" w:hAnsi="Palatino Linotype" w:cs="Tahoma"/>
          <w:i/>
          <w:sz w:val="22"/>
          <w:szCs w:val="22"/>
          <w:lang w:val="es-ES"/>
        </w:rPr>
        <w:t>litis</w:t>
      </w:r>
      <w:r w:rsidRPr="00EF27DF">
        <w:rPr>
          <w:rFonts w:ascii="Palatino Linotype" w:hAnsi="Palatino Linotype" w:cs="Tahoma"/>
          <w:sz w:val="22"/>
          <w:szCs w:val="22"/>
          <w:lang w:val="es-ES"/>
        </w:rPr>
        <w:t>, es necesario estudiar las causales de improcedencia y sobreseimiento que se adviertan, para determinar lo que en Derecho proceda.</w:t>
      </w:r>
    </w:p>
    <w:p w14:paraId="39F969BA" w14:textId="77777777" w:rsidR="00EF27DF" w:rsidRPr="00EF27DF" w:rsidRDefault="00EF27DF" w:rsidP="00EF27DF">
      <w:pPr>
        <w:autoSpaceDE w:val="0"/>
        <w:autoSpaceDN w:val="0"/>
        <w:adjustRightInd w:val="0"/>
        <w:spacing w:line="360" w:lineRule="auto"/>
        <w:jc w:val="both"/>
        <w:rPr>
          <w:rFonts w:ascii="Palatino Linotype" w:hAnsi="Palatino Linotype" w:cs="Tahoma"/>
          <w:sz w:val="22"/>
          <w:szCs w:val="22"/>
          <w:lang w:val="es-ES"/>
        </w:rPr>
      </w:pPr>
    </w:p>
    <w:p w14:paraId="3059CEFA" w14:textId="77777777" w:rsidR="00EF27DF" w:rsidRPr="00EF27DF" w:rsidRDefault="00EF27DF" w:rsidP="00EF27DF">
      <w:pPr>
        <w:spacing w:line="360" w:lineRule="auto"/>
        <w:jc w:val="both"/>
        <w:rPr>
          <w:rFonts w:ascii="Palatino Linotype" w:hAnsi="Palatino Linotype"/>
          <w:b/>
          <w:sz w:val="22"/>
          <w:szCs w:val="22"/>
          <w:lang w:val="es-ES"/>
        </w:rPr>
      </w:pPr>
      <w:r w:rsidRPr="00EF27DF">
        <w:rPr>
          <w:rFonts w:ascii="Palatino Linotype" w:hAnsi="Palatino Linotype"/>
          <w:b/>
          <w:sz w:val="22"/>
          <w:szCs w:val="22"/>
          <w:lang w:val="es-ES"/>
        </w:rPr>
        <w:t>Causales de improcedencia</w:t>
      </w:r>
    </w:p>
    <w:p w14:paraId="00660E76" w14:textId="77777777" w:rsidR="00EF27DF" w:rsidRPr="00EF27DF" w:rsidRDefault="00EF27DF" w:rsidP="00EF27DF">
      <w:pPr>
        <w:spacing w:line="360" w:lineRule="auto"/>
        <w:jc w:val="both"/>
        <w:rPr>
          <w:rFonts w:ascii="Palatino Linotype" w:hAnsi="Palatino Linotype"/>
          <w:sz w:val="22"/>
          <w:szCs w:val="22"/>
        </w:rPr>
      </w:pPr>
    </w:p>
    <w:p w14:paraId="66457CD6" w14:textId="77777777" w:rsidR="00EF27DF" w:rsidRPr="00EF27DF" w:rsidRDefault="00EF27DF" w:rsidP="00EF27DF">
      <w:pPr>
        <w:spacing w:line="360" w:lineRule="auto"/>
        <w:jc w:val="both"/>
        <w:rPr>
          <w:rFonts w:ascii="Palatino Linotype" w:hAnsi="Palatino Linotype" w:cs="Tahoma"/>
          <w:sz w:val="22"/>
          <w:szCs w:val="22"/>
        </w:rPr>
      </w:pPr>
      <w:r w:rsidRPr="00EF27DF">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2D311E3" w14:textId="77777777" w:rsidR="00EF27DF" w:rsidRPr="00EF27DF" w:rsidRDefault="00EF27DF" w:rsidP="00EF27DF">
      <w:pPr>
        <w:spacing w:line="360" w:lineRule="auto"/>
        <w:jc w:val="both"/>
        <w:rPr>
          <w:rFonts w:ascii="Palatino Linotype" w:hAnsi="Palatino Linotype" w:cs="Tahoma"/>
          <w:sz w:val="22"/>
          <w:szCs w:val="22"/>
        </w:rPr>
      </w:pPr>
    </w:p>
    <w:p w14:paraId="4661E1CB" w14:textId="77777777" w:rsidR="00EF27DF" w:rsidRPr="00EF27DF" w:rsidRDefault="00EF27DF" w:rsidP="00EF27DF">
      <w:pPr>
        <w:spacing w:line="360" w:lineRule="auto"/>
        <w:jc w:val="both"/>
        <w:rPr>
          <w:rFonts w:ascii="Palatino Linotype" w:hAnsi="Palatino Linotype" w:cs="Tahoma"/>
          <w:sz w:val="22"/>
          <w:szCs w:val="22"/>
        </w:rPr>
      </w:pPr>
      <w:r w:rsidRPr="00EF27DF">
        <w:rPr>
          <w:rFonts w:ascii="Palatino Linotype" w:hAnsi="Palatino Linotype" w:cs="Tahoma"/>
          <w:sz w:val="22"/>
          <w:szCs w:val="22"/>
        </w:rPr>
        <w:t>En el presente caso, </w:t>
      </w:r>
      <w:r w:rsidRPr="00EF27DF">
        <w:rPr>
          <w:rFonts w:ascii="Palatino Linotype" w:hAnsi="Palatino Linotype" w:cs="Tahoma"/>
          <w:b/>
          <w:bCs/>
          <w:sz w:val="22"/>
          <w:szCs w:val="22"/>
        </w:rPr>
        <w:t>no se actualiza ninguna de las causales de improcedencia</w:t>
      </w:r>
      <w:r w:rsidRPr="00EF27DF">
        <w:rPr>
          <w:rFonts w:ascii="Palatino Linotype" w:hAnsi="Palatino Linotype" w:cs="Tahoma"/>
          <w:sz w:val="22"/>
          <w:szCs w:val="22"/>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w:t>
      </w:r>
      <w:r w:rsidRPr="00EF27DF">
        <w:rPr>
          <w:rFonts w:ascii="Palatino Linotype" w:hAnsi="Palatino Linotype" w:cs="Tahoma"/>
          <w:sz w:val="22"/>
          <w:szCs w:val="22"/>
        </w:rPr>
        <w:lastRenderedPageBreak/>
        <w:t>formó parte del agravio; ni se realizó una consulta o ampliación a los alcances del requerimiento informativo.</w:t>
      </w:r>
    </w:p>
    <w:p w14:paraId="342008A8" w14:textId="77777777" w:rsidR="00EF27DF" w:rsidRPr="00EF27DF" w:rsidRDefault="00EF27DF" w:rsidP="00EF27DF">
      <w:pPr>
        <w:spacing w:line="360" w:lineRule="auto"/>
        <w:jc w:val="both"/>
        <w:rPr>
          <w:rFonts w:ascii="Palatino Linotype" w:hAnsi="Palatino Linotype" w:cs="Tahoma"/>
          <w:sz w:val="22"/>
          <w:szCs w:val="22"/>
        </w:rPr>
      </w:pPr>
    </w:p>
    <w:p w14:paraId="4BF8DBB0" w14:textId="77777777" w:rsidR="00EF27DF" w:rsidRPr="00EF27DF" w:rsidRDefault="00EF27DF" w:rsidP="00EF27DF">
      <w:pPr>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EF27DF">
        <w:rPr>
          <w:rFonts w:ascii="Palatino Linotype" w:hAnsi="Palatino Linotype" w:cs="Tahoma"/>
          <w:b/>
          <w:sz w:val="22"/>
          <w:szCs w:val="22"/>
          <w:lang w:val="es-ES"/>
        </w:rPr>
        <w:t>negativa ficta</w:t>
      </w:r>
      <w:r w:rsidRPr="00EF27DF">
        <w:rPr>
          <w:rFonts w:ascii="Palatino Linotype" w:hAnsi="Palatino Linotype" w:cs="Tahoma"/>
          <w:sz w:val="22"/>
          <w:szCs w:val="22"/>
          <w:lang w:val="es-ES"/>
        </w:rPr>
        <w:t xml:space="preserve">, que genera la posibilidad de los particulares de interponer un recurso de revisión ante tal omisión, </w:t>
      </w:r>
      <w:r w:rsidRPr="00EF27DF">
        <w:rPr>
          <w:rFonts w:ascii="Palatino Linotype" w:hAnsi="Palatino Linotype" w:cs="Tahoma"/>
          <w:sz w:val="22"/>
          <w:szCs w:val="22"/>
          <w:u w:val="single"/>
          <w:lang w:val="es-ES"/>
        </w:rPr>
        <w:t>en cualquier momento</w:t>
      </w:r>
      <w:r w:rsidRPr="00EF27DF">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510D3CB" w14:textId="77777777" w:rsidR="00EF27DF" w:rsidRPr="00EF27DF" w:rsidRDefault="00EF27DF" w:rsidP="00EF27DF">
      <w:pPr>
        <w:spacing w:line="360" w:lineRule="auto"/>
        <w:jc w:val="both"/>
        <w:rPr>
          <w:rFonts w:ascii="Palatino Linotype" w:hAnsi="Palatino Linotype" w:cs="Tahoma"/>
          <w:sz w:val="22"/>
          <w:szCs w:val="22"/>
          <w:lang w:val="es-ES"/>
        </w:rPr>
      </w:pPr>
    </w:p>
    <w:p w14:paraId="1199D8F5" w14:textId="77777777" w:rsidR="00EF27DF" w:rsidRPr="00EF27DF" w:rsidRDefault="00EF27DF" w:rsidP="00EF27DF">
      <w:pPr>
        <w:spacing w:line="360" w:lineRule="auto"/>
        <w:jc w:val="both"/>
        <w:rPr>
          <w:rFonts w:ascii="Palatino Linotype" w:hAnsi="Palatino Linotype" w:cs="Tahoma"/>
          <w:bCs/>
          <w:sz w:val="22"/>
          <w:szCs w:val="22"/>
          <w:lang w:val="es-ES"/>
        </w:rPr>
      </w:pPr>
      <w:r w:rsidRPr="00EF27DF">
        <w:rPr>
          <w:rFonts w:ascii="Palatino Linotype" w:hAnsi="Palatino Linotype" w:cs="Tahoma"/>
          <w:sz w:val="22"/>
          <w:szCs w:val="22"/>
          <w:lang w:val="es-ES"/>
        </w:rPr>
        <w:t>Conforme a lo anterior, se actualiza la causal de procedencia señalada en el artículo 179, fracción VII, de la Ley de la materia</w:t>
      </w:r>
      <w:r w:rsidRPr="00EF27DF">
        <w:rPr>
          <w:rFonts w:ascii="Palatino Linotype" w:hAnsi="Palatino Linotype" w:cs="Tahoma"/>
          <w:bCs/>
          <w:sz w:val="22"/>
          <w:szCs w:val="22"/>
          <w:lang w:val="es-ES"/>
        </w:rPr>
        <w:t>, toda vez que la Solicitante se inconformó con la falta de respuesta a su solicitud de acceso a información pública.</w:t>
      </w:r>
    </w:p>
    <w:p w14:paraId="5624EA0C" w14:textId="77777777" w:rsidR="00EF27DF" w:rsidRPr="00EF27DF" w:rsidRDefault="00EF27DF" w:rsidP="00EF27DF">
      <w:pPr>
        <w:spacing w:line="360" w:lineRule="auto"/>
        <w:jc w:val="both"/>
        <w:rPr>
          <w:rFonts w:ascii="Palatino Linotype" w:hAnsi="Palatino Linotype" w:cs="Tahoma"/>
          <w:bCs/>
          <w:sz w:val="22"/>
          <w:szCs w:val="22"/>
          <w:lang w:val="es-ES"/>
        </w:rPr>
      </w:pPr>
    </w:p>
    <w:p w14:paraId="6133AD4B" w14:textId="77777777" w:rsidR="00EF27DF" w:rsidRPr="00EF27DF" w:rsidRDefault="00EF27DF" w:rsidP="00EF27DF">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
          <w:bCs/>
          <w:color w:val="0D0D0D" w:themeColor="text1" w:themeTint="F2"/>
          <w:sz w:val="22"/>
          <w:szCs w:val="22"/>
        </w:rPr>
        <w:t>Causales de sobreseimiento.</w:t>
      </w:r>
    </w:p>
    <w:p w14:paraId="168BF568" w14:textId="77777777" w:rsidR="00EF27DF" w:rsidRPr="00EF27DF" w:rsidRDefault="00EF27DF" w:rsidP="00EF27DF">
      <w:pPr>
        <w:spacing w:line="360" w:lineRule="auto"/>
        <w:jc w:val="both"/>
        <w:rPr>
          <w:rFonts w:ascii="Palatino Linotype" w:hAnsi="Palatino Linotype" w:cs="Tahoma"/>
          <w:bCs/>
          <w:color w:val="0D0D0D" w:themeColor="text1" w:themeTint="F2"/>
          <w:sz w:val="22"/>
          <w:szCs w:val="22"/>
        </w:rPr>
      </w:pPr>
    </w:p>
    <w:p w14:paraId="1252647C" w14:textId="77777777" w:rsidR="00EF27DF" w:rsidRPr="00EF27DF" w:rsidRDefault="00EF27DF" w:rsidP="00EF27DF">
      <w:pPr>
        <w:spacing w:line="360" w:lineRule="auto"/>
        <w:jc w:val="both"/>
        <w:rPr>
          <w:rFonts w:ascii="Palatino Linotype" w:hAnsi="Palatino Linotype" w:cs="Tahoma"/>
          <w:sz w:val="22"/>
          <w:szCs w:val="22"/>
        </w:rPr>
      </w:pPr>
      <w:r w:rsidRPr="00EF27DF">
        <w:rPr>
          <w:rFonts w:ascii="Palatino Linotype" w:hAnsi="Palatino Linotype" w:cs="Tahoma"/>
          <w:bCs/>
          <w:color w:val="0D0D0D" w:themeColor="text1" w:themeTint="F2"/>
          <w:sz w:val="22"/>
          <w:szCs w:val="22"/>
        </w:rPr>
        <w:t>Por ser de previo y especial pronunciamiento, este Instituto analiza si se actualiza alguna causal de sobreseimiento; sobre el tema, e</w:t>
      </w:r>
      <w:r w:rsidRPr="00EF27DF">
        <w:rPr>
          <w:rFonts w:ascii="Palatino Linotype" w:hAnsi="Palatino Linotype" w:cs="Tahoma"/>
          <w:sz w:val="22"/>
          <w:szCs w:val="22"/>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w:t>
      </w:r>
      <w:r w:rsidRPr="00EF27DF">
        <w:rPr>
          <w:rFonts w:ascii="Palatino Linotype" w:hAnsi="Palatino Linotype" w:cs="Tahoma"/>
          <w:sz w:val="22"/>
          <w:szCs w:val="22"/>
        </w:rPr>
        <w:lastRenderedPageBreak/>
        <w:t>el Sujeto Obligado hubiese modificado o revocado el acto impugnado o bien, haya quedado sin materia.</w:t>
      </w:r>
    </w:p>
    <w:p w14:paraId="7DE5AA62" w14:textId="77777777" w:rsidR="00EF27DF" w:rsidRPr="00EF27DF" w:rsidRDefault="00EF27DF" w:rsidP="00EF27DF">
      <w:pPr>
        <w:spacing w:line="360" w:lineRule="auto"/>
        <w:jc w:val="both"/>
        <w:rPr>
          <w:rFonts w:ascii="Palatino Linotype" w:hAnsi="Palatino Linotype" w:cs="Tahoma"/>
          <w:sz w:val="22"/>
          <w:szCs w:val="22"/>
        </w:rPr>
      </w:pPr>
    </w:p>
    <w:p w14:paraId="6EC65A6C" w14:textId="77777777" w:rsidR="00EF27DF" w:rsidRPr="00EF27DF" w:rsidRDefault="00EF27DF" w:rsidP="00EF27DF">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Cs/>
          <w:color w:val="0D0D0D" w:themeColor="text1" w:themeTint="F2"/>
          <w:sz w:val="22"/>
          <w:szCs w:val="22"/>
        </w:rPr>
        <w:t xml:space="preserve">Por tales motivos, se considera procedente entrar al fondo del presente asunto. </w:t>
      </w:r>
    </w:p>
    <w:p w14:paraId="4A87E5EF" w14:textId="77777777" w:rsidR="00EF27DF" w:rsidRPr="00EF27DF" w:rsidRDefault="00EF27DF" w:rsidP="00EF27DF">
      <w:pPr>
        <w:autoSpaceDE w:val="0"/>
        <w:autoSpaceDN w:val="0"/>
        <w:adjustRightInd w:val="0"/>
        <w:spacing w:line="360" w:lineRule="auto"/>
        <w:jc w:val="both"/>
        <w:rPr>
          <w:rFonts w:ascii="Palatino Linotype" w:hAnsi="Palatino Linotype" w:cs="Tahoma"/>
          <w:sz w:val="22"/>
          <w:szCs w:val="22"/>
          <w:lang w:val="es-ES"/>
        </w:rPr>
      </w:pPr>
    </w:p>
    <w:p w14:paraId="5A8CCFAC" w14:textId="77777777" w:rsidR="00EF27DF" w:rsidRPr="00EF27DF" w:rsidRDefault="00EF27DF" w:rsidP="00EF27DF">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t xml:space="preserve">TERCERO. Determinación de la Controversia. </w:t>
      </w:r>
    </w:p>
    <w:p w14:paraId="6707EF1F" w14:textId="77777777" w:rsidR="00EF27DF" w:rsidRPr="00EF27DF" w:rsidRDefault="00EF27DF" w:rsidP="00EF27D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66D58D8" w14:textId="47EBFEDB" w:rsidR="00EF27DF" w:rsidRPr="00EF27DF" w:rsidRDefault="00EF27DF" w:rsidP="00EF27DF">
      <w:pPr>
        <w:widowControl w:val="0"/>
        <w:autoSpaceDE w:val="0"/>
        <w:autoSpaceDN w:val="0"/>
        <w:adjustRightInd w:val="0"/>
        <w:spacing w:line="360" w:lineRule="auto"/>
        <w:jc w:val="both"/>
        <w:rPr>
          <w:rFonts w:ascii="Palatino Linotype" w:hAnsi="Palatino Linotype" w:cs="Tahoma"/>
          <w:sz w:val="22"/>
          <w:szCs w:val="22"/>
        </w:rPr>
      </w:pPr>
      <w:r w:rsidRPr="00EF27DF">
        <w:rPr>
          <w:rFonts w:ascii="Palatino Linotype" w:eastAsia="Calibri" w:hAnsi="Palatino Linotype"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EF27DF">
        <w:rPr>
          <w:rFonts w:ascii="Palatino Linotype" w:hAnsi="Palatino Linotype" w:cs="Tahoma"/>
          <w:sz w:val="22"/>
          <w:szCs w:val="22"/>
        </w:rPr>
        <w:t>requirió, lo</w:t>
      </w:r>
      <w:r w:rsidR="00910110">
        <w:rPr>
          <w:rFonts w:ascii="Palatino Linotype" w:hAnsi="Palatino Linotype" w:cs="Tahoma"/>
          <w:sz w:val="22"/>
          <w:szCs w:val="22"/>
        </w:rPr>
        <w:t>s documentos que sirvan para atender lo</w:t>
      </w:r>
      <w:r w:rsidRPr="00EF27DF">
        <w:rPr>
          <w:rFonts w:ascii="Palatino Linotype" w:hAnsi="Palatino Linotype" w:cs="Tahoma"/>
          <w:sz w:val="22"/>
          <w:szCs w:val="22"/>
        </w:rPr>
        <w:t xml:space="preserve"> siguiente:</w:t>
      </w:r>
    </w:p>
    <w:p w14:paraId="061CDEE5" w14:textId="77777777" w:rsidR="00C9003A" w:rsidRDefault="00C9003A" w:rsidP="00C9003A">
      <w:pPr>
        <w:tabs>
          <w:tab w:val="left" w:pos="4667"/>
        </w:tabs>
        <w:spacing w:line="360" w:lineRule="auto"/>
        <w:ind w:right="567"/>
        <w:jc w:val="both"/>
        <w:rPr>
          <w:rFonts w:ascii="Palatino Linotype" w:hAnsi="Palatino Linotype" w:cs="Tahoma"/>
          <w:sz w:val="22"/>
          <w:szCs w:val="22"/>
        </w:rPr>
      </w:pPr>
    </w:p>
    <w:p w14:paraId="5093C349" w14:textId="7DC7ED78" w:rsidR="00023713" w:rsidRDefault="00023713" w:rsidP="00033F9F">
      <w:pPr>
        <w:pStyle w:val="NormalWeb"/>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Organigramas de las Administraciones:</w:t>
      </w:r>
    </w:p>
    <w:p w14:paraId="79EE1B16" w14:textId="72648854" w:rsidR="00023713" w:rsidRDefault="00023713" w:rsidP="00023713">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2016-2018</w:t>
      </w:r>
    </w:p>
    <w:p w14:paraId="15CEEFF6" w14:textId="2CC6871F" w:rsidR="00023713" w:rsidRDefault="00023713" w:rsidP="00023713">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2019-2021</w:t>
      </w:r>
    </w:p>
    <w:p w14:paraId="573A8A53" w14:textId="3FE498CC" w:rsidR="00023713" w:rsidRDefault="00023713" w:rsidP="00023713">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2022-2024</w:t>
      </w:r>
    </w:p>
    <w:p w14:paraId="5234BDEA" w14:textId="77777777" w:rsidR="00023713" w:rsidRDefault="00023713" w:rsidP="00033F9F">
      <w:pPr>
        <w:pStyle w:val="NormalWeb"/>
        <w:spacing w:after="0" w:line="360" w:lineRule="auto"/>
        <w:ind w:right="-28"/>
        <w:rPr>
          <w:rFonts w:ascii="Palatino Linotype" w:hAnsi="Palatino Linotype" w:cs="Tahoma"/>
          <w:bCs/>
          <w:iCs/>
          <w:sz w:val="22"/>
          <w:szCs w:val="22"/>
          <w:lang w:val="es-ES"/>
        </w:rPr>
      </w:pPr>
    </w:p>
    <w:p w14:paraId="406FF143" w14:textId="022BB379" w:rsidR="00033F9F" w:rsidRDefault="00023713" w:rsidP="00033F9F">
      <w:pPr>
        <w:pStyle w:val="NormalWeb"/>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Se advierte que el Sujeto Obligado entregó dos documentos que sirven para atender la temporalidad de las administraciones 2016-2018 y 2019-2021, sin embargo, fue omiso en entregar el organigrama vigente, así como realizar pronunciamiento al respecto.</w:t>
      </w:r>
    </w:p>
    <w:p w14:paraId="42A6C027" w14:textId="1226760F" w:rsidR="00023713" w:rsidRDefault="00023713" w:rsidP="00033F9F">
      <w:pPr>
        <w:pStyle w:val="NormalWeb"/>
        <w:spacing w:after="0" w:line="360" w:lineRule="auto"/>
        <w:ind w:right="-28"/>
        <w:rPr>
          <w:rFonts w:ascii="Palatino Linotype" w:hAnsi="Palatino Linotype" w:cs="Tahoma"/>
          <w:bCs/>
          <w:iCs/>
          <w:sz w:val="22"/>
          <w:szCs w:val="22"/>
          <w:lang w:val="es-ES"/>
        </w:rPr>
      </w:pPr>
    </w:p>
    <w:p w14:paraId="688BD86A" w14:textId="734FB093" w:rsidR="00023713" w:rsidRDefault="00023713" w:rsidP="00033F9F">
      <w:pPr>
        <w:pStyle w:val="NormalWeb"/>
        <w:spacing w:after="0" w:line="360" w:lineRule="auto"/>
        <w:ind w:right="-28"/>
        <w:rPr>
          <w:rFonts w:ascii="Palatino Linotype" w:hAnsi="Palatino Linotype" w:cs="Tahoma"/>
          <w:i/>
          <w:color w:val="auto"/>
          <w:sz w:val="20"/>
          <w:szCs w:val="20"/>
        </w:rPr>
      </w:pPr>
      <w:r>
        <w:rPr>
          <w:rFonts w:ascii="Palatino Linotype" w:hAnsi="Palatino Linotype" w:cs="Tahoma"/>
          <w:bCs/>
          <w:iCs/>
          <w:sz w:val="22"/>
          <w:szCs w:val="22"/>
          <w:lang w:val="es-ES"/>
        </w:rPr>
        <w:t>En este sentido, el Particular se inconformó de no haber recibido la información, lo que resulta incongruente con las constancias electrónicas, sin embargo, efectivamente no recibió la totalidad de la información, por lo que, es procedente considerar como causal de procedencia, la entrega de información incompleta.</w:t>
      </w:r>
    </w:p>
    <w:p w14:paraId="4E541AA9" w14:textId="0B8FAF59" w:rsidR="0094704A" w:rsidRDefault="0094704A" w:rsidP="00033F9F">
      <w:pPr>
        <w:pStyle w:val="NormalWeb"/>
        <w:spacing w:after="0" w:line="360" w:lineRule="auto"/>
        <w:ind w:right="-28"/>
        <w:rPr>
          <w:rFonts w:ascii="Palatino Linotype" w:hAnsi="Palatino Linotype" w:cs="Tahoma"/>
          <w:i/>
          <w:color w:val="auto"/>
          <w:sz w:val="20"/>
          <w:szCs w:val="20"/>
        </w:rPr>
      </w:pPr>
    </w:p>
    <w:p w14:paraId="7E265812" w14:textId="4AB837AC" w:rsidR="00377669" w:rsidRPr="00EF27DF" w:rsidRDefault="00377669" w:rsidP="00EF27DF">
      <w:pPr>
        <w:tabs>
          <w:tab w:val="left" w:pos="4962"/>
        </w:tabs>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 xml:space="preserve">En este sentido se considera procedente dar trámite al medio de inconformidad planteado por el Particular, al actualizarse la causal contemplada en el artículo 179, fracción </w:t>
      </w:r>
      <w:r w:rsidR="0094704A">
        <w:rPr>
          <w:rFonts w:ascii="Palatino Linotype" w:eastAsia="Calibri" w:hAnsi="Palatino Linotype" w:cs="Tahoma"/>
          <w:bCs/>
          <w:sz w:val="22"/>
          <w:szCs w:val="22"/>
        </w:rPr>
        <w:t>V</w:t>
      </w:r>
      <w:r>
        <w:rPr>
          <w:rFonts w:ascii="Palatino Linotype" w:eastAsia="Calibri" w:hAnsi="Palatino Linotype" w:cs="Tahoma"/>
          <w:bCs/>
          <w:sz w:val="22"/>
          <w:szCs w:val="22"/>
        </w:rPr>
        <w:t xml:space="preserve"> de la Ley de Transparencia y Acceso a la Información Pública del Estado de México y Municipios, que establece que el recurso de </w:t>
      </w:r>
      <w:r w:rsidR="0094704A">
        <w:rPr>
          <w:rFonts w:ascii="Palatino Linotype" w:eastAsia="Calibri" w:hAnsi="Palatino Linotype" w:cs="Tahoma"/>
          <w:bCs/>
          <w:sz w:val="22"/>
          <w:szCs w:val="22"/>
        </w:rPr>
        <w:t>revisión</w:t>
      </w:r>
      <w:r>
        <w:rPr>
          <w:rFonts w:ascii="Palatino Linotype" w:eastAsia="Calibri" w:hAnsi="Palatino Linotype" w:cs="Tahoma"/>
          <w:bCs/>
          <w:sz w:val="22"/>
          <w:szCs w:val="22"/>
        </w:rPr>
        <w:t xml:space="preserve"> </w:t>
      </w:r>
      <w:r w:rsidRPr="00377669">
        <w:rPr>
          <w:rFonts w:ascii="Palatino Linotype" w:eastAsia="Calibri" w:hAnsi="Palatino Linotype" w:cs="Tahoma"/>
          <w:bCs/>
          <w:sz w:val="22"/>
          <w:szCs w:val="22"/>
        </w:rPr>
        <w:t xml:space="preserve">procederá en contra de </w:t>
      </w:r>
      <w:r w:rsidRPr="00377669">
        <w:rPr>
          <w:rFonts w:ascii="Palatino Linotype" w:eastAsia="Calibri" w:hAnsi="Palatino Linotype" w:cs="Tahoma"/>
          <w:b/>
          <w:sz w:val="22"/>
          <w:szCs w:val="22"/>
        </w:rPr>
        <w:t>-</w:t>
      </w:r>
      <w:r w:rsidR="0094704A">
        <w:rPr>
          <w:rFonts w:ascii="Palatino Linotype" w:eastAsia="Calibri" w:hAnsi="Palatino Linotype" w:cs="Tahoma"/>
          <w:b/>
          <w:sz w:val="22"/>
          <w:szCs w:val="22"/>
        </w:rPr>
        <w:t>la entrega de información incompleta</w:t>
      </w:r>
      <w:r w:rsidRPr="00377669">
        <w:rPr>
          <w:rFonts w:ascii="Palatino Linotype" w:eastAsia="Calibri" w:hAnsi="Palatino Linotype" w:cs="Tahoma"/>
          <w:b/>
          <w:sz w:val="22"/>
          <w:szCs w:val="22"/>
        </w:rPr>
        <w:t>-</w:t>
      </w:r>
      <w:r>
        <w:rPr>
          <w:rFonts w:ascii="Palatino Linotype" w:eastAsia="Calibri" w:hAnsi="Palatino Linotype" w:cs="Tahoma"/>
          <w:b/>
          <w:sz w:val="22"/>
          <w:szCs w:val="22"/>
        </w:rPr>
        <w:t>.</w:t>
      </w:r>
    </w:p>
    <w:p w14:paraId="2A287DE7" w14:textId="77777777" w:rsidR="00EF27DF" w:rsidRPr="00EF27DF" w:rsidRDefault="00EF27DF" w:rsidP="00EF27DF">
      <w:pPr>
        <w:spacing w:line="360" w:lineRule="auto"/>
        <w:jc w:val="both"/>
        <w:rPr>
          <w:rFonts w:ascii="Palatino Linotype" w:eastAsia="Calibri" w:hAnsi="Palatino Linotype" w:cs="Tahoma"/>
          <w:sz w:val="22"/>
          <w:szCs w:val="22"/>
          <w:lang w:eastAsia="es-ES_tradnl"/>
        </w:rPr>
      </w:pPr>
    </w:p>
    <w:p w14:paraId="6E72C3D5" w14:textId="77777777" w:rsidR="00EF27DF" w:rsidRPr="00EF27DF" w:rsidRDefault="00EF27DF" w:rsidP="00EF27DF">
      <w:pPr>
        <w:spacing w:line="360" w:lineRule="auto"/>
        <w:jc w:val="both"/>
        <w:rPr>
          <w:rFonts w:ascii="Palatino Linotype" w:hAnsi="Palatino Linotype" w:cs="Tahoma"/>
          <w:b/>
          <w:bCs/>
          <w:iCs/>
          <w:sz w:val="22"/>
          <w:szCs w:val="22"/>
        </w:rPr>
      </w:pPr>
      <w:r w:rsidRPr="00EF27DF">
        <w:rPr>
          <w:rFonts w:ascii="Palatino Linotype" w:hAnsi="Palatino Linotype" w:cs="Tahoma"/>
          <w:b/>
          <w:bCs/>
          <w:iCs/>
          <w:sz w:val="22"/>
          <w:szCs w:val="22"/>
          <w:lang w:val="es-ES"/>
        </w:rPr>
        <w:t xml:space="preserve">CUARTO. </w:t>
      </w:r>
      <w:r w:rsidRPr="00EF27DF">
        <w:rPr>
          <w:rFonts w:ascii="Palatino Linotype" w:hAnsi="Palatino Linotype" w:cs="Tahoma"/>
          <w:b/>
          <w:bCs/>
          <w:iCs/>
          <w:sz w:val="22"/>
          <w:szCs w:val="22"/>
        </w:rPr>
        <w:t>Marco normativo aplicable en materia de transparencia y acceso a la información pública.</w:t>
      </w:r>
    </w:p>
    <w:p w14:paraId="43CFB611" w14:textId="77777777" w:rsidR="00EF27DF" w:rsidRPr="00EF27DF" w:rsidRDefault="00EF27DF" w:rsidP="00EF27DF">
      <w:pPr>
        <w:autoSpaceDE w:val="0"/>
        <w:autoSpaceDN w:val="0"/>
        <w:adjustRightInd w:val="0"/>
        <w:spacing w:line="360" w:lineRule="auto"/>
        <w:jc w:val="both"/>
        <w:rPr>
          <w:rFonts w:ascii="Palatino Linotype" w:hAnsi="Palatino Linotype" w:cs="Tahoma"/>
          <w:bCs/>
          <w:iCs/>
          <w:sz w:val="22"/>
          <w:szCs w:val="22"/>
          <w:lang w:val="es-ES"/>
        </w:rPr>
      </w:pPr>
    </w:p>
    <w:p w14:paraId="12889567" w14:textId="7A5DB372"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El artículo 6°, Apartado A), fracción I de la Constitución Política de los Estados Unidos Mexicanos, establece que toda la información en posesión de cualquier </w:t>
      </w:r>
      <w:r w:rsidR="009C4726" w:rsidRPr="00EF27DF">
        <w:rPr>
          <w:rFonts w:ascii="Palatino Linotype" w:hAnsi="Palatino Linotype" w:cs="Tahoma"/>
          <w:bCs/>
          <w:iCs/>
          <w:sz w:val="22"/>
          <w:szCs w:val="22"/>
        </w:rPr>
        <w:t>autoridad</w:t>
      </w:r>
      <w:r w:rsidRPr="00EF27DF">
        <w:rPr>
          <w:rFonts w:ascii="Palatino Linotype" w:hAnsi="Palatino Linotype" w:cs="Tahoma"/>
          <w:bCs/>
          <w:iCs/>
          <w:sz w:val="22"/>
          <w:szCs w:val="22"/>
        </w:rPr>
        <w:t xml:space="preserve"> es pública y sólo podrá ser reservada temporalmente por razones de interés público.</w:t>
      </w:r>
    </w:p>
    <w:p w14:paraId="1CD84120" w14:textId="77777777" w:rsidR="00EF27DF" w:rsidRPr="00EF27DF" w:rsidRDefault="00EF27DF" w:rsidP="00EF27DF">
      <w:pPr>
        <w:spacing w:line="360" w:lineRule="auto"/>
        <w:jc w:val="both"/>
        <w:rPr>
          <w:rFonts w:ascii="Palatino Linotype" w:hAnsi="Palatino Linotype" w:cs="Tahoma"/>
          <w:bCs/>
          <w:iCs/>
          <w:sz w:val="22"/>
          <w:szCs w:val="22"/>
        </w:rPr>
      </w:pPr>
    </w:p>
    <w:p w14:paraId="2F471EA6"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66F9EB8" w14:textId="77777777" w:rsidR="00EF27DF" w:rsidRPr="00EF27DF" w:rsidRDefault="00EF27DF" w:rsidP="00EF27DF">
      <w:pPr>
        <w:spacing w:line="360" w:lineRule="auto"/>
        <w:jc w:val="both"/>
        <w:rPr>
          <w:rFonts w:ascii="Palatino Linotype" w:hAnsi="Palatino Linotype" w:cs="Tahoma"/>
          <w:bCs/>
          <w:iCs/>
          <w:sz w:val="22"/>
          <w:szCs w:val="22"/>
        </w:rPr>
      </w:pPr>
    </w:p>
    <w:p w14:paraId="1328DF93"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215BF01" w14:textId="77777777" w:rsidR="00EF27DF" w:rsidRPr="00EF27DF" w:rsidRDefault="00EF27DF" w:rsidP="00EF27DF">
      <w:pPr>
        <w:spacing w:line="360" w:lineRule="auto"/>
        <w:jc w:val="both"/>
        <w:rPr>
          <w:rFonts w:ascii="Palatino Linotype" w:hAnsi="Palatino Linotype" w:cs="Tahoma"/>
          <w:bCs/>
          <w:iCs/>
          <w:sz w:val="22"/>
          <w:szCs w:val="22"/>
        </w:rPr>
      </w:pPr>
    </w:p>
    <w:p w14:paraId="374D5079"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2C14F3E5" w14:textId="77777777" w:rsidR="00EF27DF" w:rsidRPr="00EF27DF" w:rsidRDefault="00EF27DF" w:rsidP="00EF27DF">
      <w:pPr>
        <w:spacing w:line="360" w:lineRule="auto"/>
        <w:jc w:val="both"/>
        <w:rPr>
          <w:rFonts w:ascii="Palatino Linotype" w:hAnsi="Palatino Linotype" w:cs="Tahoma"/>
          <w:bCs/>
          <w:iCs/>
          <w:sz w:val="22"/>
          <w:szCs w:val="22"/>
        </w:rPr>
      </w:pPr>
    </w:p>
    <w:p w14:paraId="3ADD6C09"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12, que, quienes generen, recopilen, administren, manejen, procesen, archiven o conserven información pública serán responsables de la misma.</w:t>
      </w:r>
    </w:p>
    <w:p w14:paraId="5B8678EC" w14:textId="77777777" w:rsidR="00EF27DF" w:rsidRPr="00EF27DF" w:rsidRDefault="00EF27DF" w:rsidP="00EF27DF">
      <w:pPr>
        <w:spacing w:line="360" w:lineRule="auto"/>
        <w:jc w:val="both"/>
        <w:rPr>
          <w:rFonts w:ascii="Palatino Linotype" w:hAnsi="Palatino Linotype" w:cs="Tahoma"/>
          <w:bCs/>
          <w:iCs/>
          <w:sz w:val="22"/>
          <w:szCs w:val="22"/>
        </w:rPr>
      </w:pPr>
    </w:p>
    <w:p w14:paraId="50D9E5E7" w14:textId="77777777" w:rsidR="00EF27DF" w:rsidRPr="00EF27DF" w:rsidRDefault="00EF27DF" w:rsidP="00EF27DF">
      <w:pPr>
        <w:widowControl w:val="0"/>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55A589" w14:textId="77777777" w:rsidR="00EF27DF" w:rsidRPr="00EF27DF" w:rsidRDefault="00EF27DF" w:rsidP="00EF27DF">
      <w:pPr>
        <w:spacing w:line="360" w:lineRule="auto"/>
        <w:jc w:val="both"/>
        <w:rPr>
          <w:rFonts w:ascii="Palatino Linotype" w:hAnsi="Palatino Linotype" w:cs="Tahoma"/>
          <w:bCs/>
          <w:iCs/>
          <w:sz w:val="22"/>
          <w:szCs w:val="22"/>
        </w:rPr>
      </w:pPr>
    </w:p>
    <w:p w14:paraId="3ABC51B6"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977DE5" w14:textId="77777777" w:rsidR="00EF27DF" w:rsidRPr="00EF27DF" w:rsidRDefault="00EF27DF" w:rsidP="00EF27DF">
      <w:pPr>
        <w:spacing w:line="360" w:lineRule="auto"/>
        <w:jc w:val="both"/>
        <w:rPr>
          <w:rFonts w:ascii="Palatino Linotype" w:hAnsi="Palatino Linotype" w:cs="Tahoma"/>
          <w:bCs/>
          <w:iCs/>
          <w:sz w:val="22"/>
          <w:szCs w:val="22"/>
          <w:lang w:val="es-ES"/>
        </w:rPr>
      </w:pPr>
    </w:p>
    <w:p w14:paraId="7FC59EAB" w14:textId="77777777" w:rsidR="00EF27DF" w:rsidRPr="00EF27DF" w:rsidRDefault="00EF27DF" w:rsidP="00EF27DF">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t>Quinto. Estudio de Fondo.</w:t>
      </w:r>
    </w:p>
    <w:p w14:paraId="5B64F636" w14:textId="77777777" w:rsidR="00EF27DF" w:rsidRPr="00EF27DF" w:rsidRDefault="00EF27DF" w:rsidP="00EF27DF">
      <w:pPr>
        <w:autoSpaceDE w:val="0"/>
        <w:autoSpaceDN w:val="0"/>
        <w:adjustRightInd w:val="0"/>
        <w:spacing w:line="360" w:lineRule="auto"/>
        <w:jc w:val="both"/>
        <w:rPr>
          <w:rFonts w:ascii="Palatino Linotype" w:hAnsi="Palatino Linotype" w:cs="Tahoma"/>
          <w:bCs/>
          <w:iCs/>
          <w:sz w:val="22"/>
          <w:szCs w:val="22"/>
          <w:lang w:val="es-ES"/>
        </w:rPr>
      </w:pPr>
    </w:p>
    <w:p w14:paraId="6168D7A0"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E24FD21" w14:textId="77777777" w:rsidR="00EF27DF" w:rsidRPr="00EF27DF" w:rsidRDefault="00EF27DF" w:rsidP="00EF27DF">
      <w:pPr>
        <w:spacing w:line="360" w:lineRule="auto"/>
        <w:jc w:val="both"/>
        <w:rPr>
          <w:rFonts w:ascii="Palatino Linotype" w:hAnsi="Palatino Linotype" w:cs="Tahoma"/>
          <w:bCs/>
          <w:iCs/>
          <w:sz w:val="22"/>
          <w:szCs w:val="22"/>
        </w:rPr>
      </w:pPr>
    </w:p>
    <w:p w14:paraId="3C0F92F6" w14:textId="77777777" w:rsidR="00EF27DF" w:rsidRPr="00EF27DF" w:rsidRDefault="00EF27DF" w:rsidP="00EF27DF">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Proveer lo necesario para garantizar a toda persona el derecho de acceso a la información pública, a través de procedimientos sencillos, expeditos, oportunos y gratuitos;</w:t>
      </w:r>
    </w:p>
    <w:p w14:paraId="3C85B525" w14:textId="77777777" w:rsidR="00EF27DF" w:rsidRPr="00EF27DF" w:rsidRDefault="00EF27DF" w:rsidP="00EF27DF">
      <w:pPr>
        <w:spacing w:line="360" w:lineRule="auto"/>
        <w:ind w:left="720"/>
        <w:jc w:val="both"/>
        <w:rPr>
          <w:rFonts w:ascii="Palatino Linotype" w:hAnsi="Palatino Linotype" w:cs="Tahoma"/>
          <w:bCs/>
          <w:iCs/>
          <w:sz w:val="22"/>
          <w:szCs w:val="22"/>
        </w:rPr>
      </w:pPr>
    </w:p>
    <w:p w14:paraId="708314BF" w14:textId="77777777" w:rsidR="00EF27DF" w:rsidRPr="00EF27DF" w:rsidRDefault="00EF27DF" w:rsidP="00EF27DF">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Transparentar la gestión pública, mediante la difusión de la información generada por los Sujetos Obligados, y</w:t>
      </w:r>
    </w:p>
    <w:p w14:paraId="6FBFC816" w14:textId="77777777" w:rsidR="00EF27DF" w:rsidRPr="00EF27DF" w:rsidRDefault="00EF27DF" w:rsidP="00EF27DF">
      <w:pPr>
        <w:spacing w:line="360" w:lineRule="auto"/>
        <w:ind w:left="720"/>
        <w:jc w:val="both"/>
        <w:rPr>
          <w:rFonts w:ascii="Palatino Linotype" w:hAnsi="Palatino Linotype" w:cs="Tahoma"/>
          <w:bCs/>
          <w:iCs/>
          <w:sz w:val="22"/>
          <w:szCs w:val="22"/>
        </w:rPr>
      </w:pPr>
    </w:p>
    <w:p w14:paraId="2B6BF8FE" w14:textId="77777777" w:rsidR="00EF27DF" w:rsidRPr="00EF27DF" w:rsidRDefault="00EF27DF" w:rsidP="00EF27DF">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Promover, fomentar y difundir la cultura de la transparencia en el ejercicio de la función pública, el acceso a la información y la participación ciudadana, así como, la rendición de cuentas.</w:t>
      </w:r>
    </w:p>
    <w:p w14:paraId="683BEBA2" w14:textId="77777777" w:rsidR="00EF27DF" w:rsidRPr="00EF27DF" w:rsidRDefault="00EF27DF" w:rsidP="00EF27DF">
      <w:pPr>
        <w:spacing w:line="360" w:lineRule="auto"/>
        <w:jc w:val="both"/>
        <w:rPr>
          <w:rFonts w:ascii="Palatino Linotype" w:hAnsi="Palatino Linotype" w:cs="Tahoma"/>
          <w:bCs/>
          <w:iCs/>
          <w:sz w:val="22"/>
          <w:szCs w:val="22"/>
        </w:rPr>
      </w:pPr>
    </w:p>
    <w:p w14:paraId="5DCB8B01" w14:textId="36C98F19"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Conforme a lo anterior, se deprende que </w:t>
      </w:r>
      <w:r w:rsidRPr="00EF27DF">
        <w:rPr>
          <w:rFonts w:ascii="Palatino Linotype" w:hAnsi="Palatino Linotype" w:cs="Tahoma"/>
          <w:b/>
          <w:bCs/>
          <w:iCs/>
          <w:sz w:val="22"/>
          <w:szCs w:val="22"/>
        </w:rPr>
        <w:t xml:space="preserve">los objetivos de la Ley de la </w:t>
      </w:r>
      <w:r w:rsidR="009C4726" w:rsidRPr="00EF27DF">
        <w:rPr>
          <w:rFonts w:ascii="Palatino Linotype" w:hAnsi="Palatino Linotype" w:cs="Tahoma"/>
          <w:b/>
          <w:bCs/>
          <w:iCs/>
          <w:sz w:val="22"/>
          <w:szCs w:val="22"/>
        </w:rPr>
        <w:t>materia</w:t>
      </w:r>
      <w:r w:rsidRPr="00EF27DF">
        <w:rPr>
          <w:rFonts w:ascii="Palatino Linotype" w:hAnsi="Palatino Linotype" w:cs="Tahoma"/>
          <w:bCs/>
          <w:iCs/>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A08771" w14:textId="77777777" w:rsidR="00EF27DF" w:rsidRPr="00EF27DF" w:rsidRDefault="00EF27DF" w:rsidP="00EF27DF">
      <w:pPr>
        <w:spacing w:line="360" w:lineRule="auto"/>
        <w:jc w:val="both"/>
        <w:rPr>
          <w:rFonts w:ascii="Palatino Linotype" w:hAnsi="Palatino Linotype" w:cs="Tahoma"/>
          <w:bCs/>
          <w:iCs/>
          <w:sz w:val="22"/>
          <w:szCs w:val="22"/>
        </w:rPr>
      </w:pPr>
    </w:p>
    <w:p w14:paraId="7D78F155"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En ese orden de ideas, para la atención de las solicitudes de acceso a la información, debe privilegiarse el </w:t>
      </w:r>
      <w:r w:rsidRPr="00EF27DF">
        <w:rPr>
          <w:rFonts w:ascii="Palatino Linotype" w:hAnsi="Palatino Linotype" w:cs="Tahoma"/>
          <w:b/>
          <w:bCs/>
          <w:iCs/>
          <w:sz w:val="22"/>
          <w:szCs w:val="22"/>
        </w:rPr>
        <w:t>principio de máxima publicidad</w:t>
      </w:r>
      <w:r w:rsidRPr="00EF27DF">
        <w:rPr>
          <w:rFonts w:ascii="Palatino Linotype" w:hAnsi="Palatino Linotype" w:cs="Tahoma"/>
          <w:bCs/>
          <w:i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3CF50AD" w14:textId="77777777" w:rsidR="00EF27DF" w:rsidRPr="00EF27DF" w:rsidRDefault="00EF27DF" w:rsidP="00EF27DF">
      <w:pPr>
        <w:spacing w:line="360" w:lineRule="auto"/>
        <w:jc w:val="both"/>
        <w:rPr>
          <w:rFonts w:ascii="Palatino Linotype" w:hAnsi="Palatino Linotype" w:cs="Tahoma"/>
          <w:bCs/>
          <w:iCs/>
          <w:sz w:val="22"/>
          <w:szCs w:val="22"/>
        </w:rPr>
      </w:pPr>
    </w:p>
    <w:p w14:paraId="6356CDFE" w14:textId="77777777" w:rsidR="00EF27DF" w:rsidRPr="00EF27DF" w:rsidRDefault="00EF27DF" w:rsidP="00EF27DF">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297E9D" w14:textId="77777777" w:rsidR="00EF27DF" w:rsidRPr="00EF27DF" w:rsidRDefault="00EF27DF" w:rsidP="00EF27DF">
      <w:pPr>
        <w:spacing w:line="360" w:lineRule="auto"/>
        <w:jc w:val="both"/>
        <w:rPr>
          <w:rFonts w:ascii="Palatino Linotype" w:hAnsi="Palatino Linotype" w:cs="Tahoma"/>
          <w:bCs/>
          <w:iCs/>
          <w:sz w:val="22"/>
          <w:szCs w:val="22"/>
        </w:rPr>
      </w:pPr>
    </w:p>
    <w:p w14:paraId="16EB11BF" w14:textId="77777777" w:rsidR="00EF27DF" w:rsidRPr="00EF27DF" w:rsidRDefault="00EF27DF" w:rsidP="00EF27DF">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3149584" w14:textId="77777777" w:rsidR="00EF27DF" w:rsidRPr="00EF27DF" w:rsidRDefault="00EF27DF" w:rsidP="00EF27DF">
      <w:pPr>
        <w:spacing w:line="360" w:lineRule="auto"/>
        <w:ind w:left="720"/>
        <w:jc w:val="both"/>
        <w:rPr>
          <w:rFonts w:ascii="Palatino Linotype" w:hAnsi="Palatino Linotype" w:cs="Tahoma"/>
          <w:bCs/>
          <w:iCs/>
          <w:sz w:val="22"/>
          <w:szCs w:val="22"/>
        </w:rPr>
      </w:pPr>
    </w:p>
    <w:p w14:paraId="57B8CD95" w14:textId="77777777" w:rsidR="00EF27DF" w:rsidRPr="00EF27DF" w:rsidRDefault="00EF27DF" w:rsidP="00EF27DF">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7B3A4CB" w14:textId="77777777" w:rsidR="00EF27DF" w:rsidRPr="00EF27DF" w:rsidRDefault="00EF27DF" w:rsidP="00EF27DF">
      <w:pPr>
        <w:spacing w:line="360" w:lineRule="auto"/>
        <w:jc w:val="both"/>
        <w:rPr>
          <w:rFonts w:ascii="Palatino Linotype" w:hAnsi="Palatino Linotype" w:cs="Tahoma"/>
          <w:bCs/>
          <w:iCs/>
          <w:sz w:val="22"/>
          <w:szCs w:val="22"/>
        </w:rPr>
      </w:pPr>
    </w:p>
    <w:p w14:paraId="71C5ED83" w14:textId="77777777" w:rsidR="00EF27DF" w:rsidRPr="00EF27DF" w:rsidRDefault="00EF27DF" w:rsidP="00EF27DF">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Las respuestas a los requerimientos informativos deberán notificarse al interesado en el menor tiempo posible, que no podrá exceder </w:t>
      </w:r>
      <w:r w:rsidRPr="00EF27DF">
        <w:rPr>
          <w:rFonts w:ascii="Palatino Linotype" w:hAnsi="Palatino Linotype" w:cs="Tahoma"/>
          <w:b/>
          <w:bCs/>
          <w:iCs/>
          <w:sz w:val="22"/>
          <w:szCs w:val="22"/>
        </w:rPr>
        <w:t>quince días, contados a partir del día siguiente a la presentación de ésta.</w:t>
      </w:r>
      <w:r w:rsidRPr="00EF27DF">
        <w:rPr>
          <w:rFonts w:ascii="Palatino Linotype" w:hAnsi="Palatino Linotype" w:cs="Tahoma"/>
          <w:bCs/>
          <w:iCs/>
          <w:sz w:val="22"/>
          <w:szCs w:val="22"/>
        </w:rPr>
        <w:t xml:space="preserve"> Excepcionalmente, el plazo referido podrá ampliarse por siete días hábiles más, cuando existan razones fundadas y motivadas, a través del Comité de Transparencia;</w:t>
      </w:r>
    </w:p>
    <w:p w14:paraId="5135BEC3" w14:textId="77777777" w:rsidR="00EF27DF" w:rsidRPr="00EF27DF" w:rsidRDefault="00EF27DF" w:rsidP="00EF27DF">
      <w:pPr>
        <w:spacing w:line="360" w:lineRule="auto"/>
        <w:jc w:val="both"/>
        <w:rPr>
          <w:rFonts w:ascii="Palatino Linotype" w:hAnsi="Palatino Linotype" w:cs="Tahoma"/>
          <w:bCs/>
          <w:iCs/>
          <w:sz w:val="22"/>
          <w:szCs w:val="22"/>
        </w:rPr>
      </w:pPr>
    </w:p>
    <w:p w14:paraId="15E42891" w14:textId="32721734" w:rsidR="00EF27DF" w:rsidRPr="00EF27DF" w:rsidRDefault="00EF27DF" w:rsidP="00EF27DF">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 xml:space="preserve">Las Unidades de Transparencia garantizarán que las solicitudes se turnen a todas las áreas competentes que cuenten con la información o deban tenerla </w:t>
      </w:r>
      <w:r w:rsidR="009C4726" w:rsidRPr="00EF27DF">
        <w:rPr>
          <w:rFonts w:ascii="Palatino Linotype" w:hAnsi="Palatino Linotype" w:cs="Tahoma"/>
          <w:bCs/>
          <w:iCs/>
          <w:sz w:val="22"/>
          <w:szCs w:val="22"/>
        </w:rPr>
        <w:t>de acuerdo con</w:t>
      </w:r>
      <w:r w:rsidRPr="00EF27DF">
        <w:rPr>
          <w:rFonts w:ascii="Palatino Linotype" w:hAnsi="Palatino Linotype" w:cs="Tahoma"/>
          <w:bCs/>
          <w:iCs/>
          <w:sz w:val="22"/>
          <w:szCs w:val="22"/>
        </w:rPr>
        <w:t xml:space="preserve"> sus facultades, funciones y atribuciones, para que realicen una búsqueda exhaustiva y razonable de la documentación solicitada, con el fin de que proporcionen las expresiones documentales </w:t>
      </w:r>
      <w:r w:rsidRPr="00EF27DF">
        <w:rPr>
          <w:rFonts w:ascii="Palatino Linotype" w:hAnsi="Palatino Linotype" w:cs="Tahoma"/>
          <w:b/>
          <w:bCs/>
          <w:iCs/>
          <w:sz w:val="22"/>
          <w:szCs w:val="22"/>
        </w:rPr>
        <w:t>que se encuentren en sus archivos o que estén constreñidos a elaborar;</w:t>
      </w:r>
    </w:p>
    <w:p w14:paraId="6CF50177" w14:textId="77777777" w:rsidR="00EF27DF" w:rsidRPr="00EF27DF" w:rsidRDefault="00EF27DF" w:rsidP="00EF27DF">
      <w:pPr>
        <w:spacing w:line="360" w:lineRule="auto"/>
        <w:jc w:val="both"/>
        <w:rPr>
          <w:rFonts w:ascii="Palatino Linotype" w:hAnsi="Palatino Linotype" w:cs="Tahoma"/>
          <w:b/>
          <w:bCs/>
          <w:iCs/>
          <w:sz w:val="22"/>
          <w:szCs w:val="22"/>
        </w:rPr>
      </w:pPr>
    </w:p>
    <w:p w14:paraId="0E461451" w14:textId="77777777" w:rsidR="00EF27DF" w:rsidRPr="00EF27DF" w:rsidRDefault="00EF27DF" w:rsidP="00EF27DF">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1861210" w14:textId="77777777" w:rsidR="00EF27DF" w:rsidRPr="00EF27DF" w:rsidRDefault="00EF27DF" w:rsidP="00EF27DF">
      <w:pPr>
        <w:pStyle w:val="Prrafodelista"/>
        <w:jc w:val="both"/>
        <w:rPr>
          <w:rFonts w:ascii="Palatino Linotype" w:hAnsi="Palatino Linotype" w:cs="Tahoma"/>
          <w:b/>
          <w:bCs/>
          <w:iCs/>
          <w:szCs w:val="22"/>
        </w:rPr>
      </w:pPr>
    </w:p>
    <w:p w14:paraId="7F6FB0D9" w14:textId="6B802679" w:rsidR="00EF27DF" w:rsidRPr="000D22BF" w:rsidRDefault="00EF27DF" w:rsidP="00EF27DF">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DE43710" w14:textId="77777777" w:rsidR="000D22BF" w:rsidRDefault="000D22BF" w:rsidP="000D22BF">
      <w:pPr>
        <w:pStyle w:val="Prrafodelista"/>
        <w:rPr>
          <w:rFonts w:ascii="Palatino Linotype" w:hAnsi="Palatino Linotype" w:cs="Tahoma"/>
          <w:b/>
          <w:bCs/>
          <w:iCs/>
          <w:szCs w:val="22"/>
        </w:rPr>
      </w:pPr>
    </w:p>
    <w:p w14:paraId="34F95EFD" w14:textId="51A6ECFB" w:rsidR="003D48F9" w:rsidRDefault="000D22BF" w:rsidP="00EF27DF">
      <w:pPr>
        <w:spacing w:line="360" w:lineRule="auto"/>
        <w:jc w:val="both"/>
        <w:rPr>
          <w:rFonts w:ascii="Palatino Linotype" w:eastAsia="Calibri" w:hAnsi="Palatino Linotype" w:cs="Tahoma"/>
          <w:bCs/>
          <w:iCs/>
          <w:sz w:val="22"/>
          <w:szCs w:val="22"/>
          <w:lang w:val="es-ES"/>
        </w:rPr>
      </w:pPr>
      <w:r>
        <w:rPr>
          <w:rFonts w:ascii="Palatino Linotype" w:eastAsia="Calibri" w:hAnsi="Palatino Linotype" w:cs="Tahoma"/>
          <w:bCs/>
          <w:iCs/>
          <w:sz w:val="22"/>
          <w:szCs w:val="22"/>
          <w:lang w:val="es-ES"/>
        </w:rPr>
        <w:t>Para recapitular y entrar al estudio del asunto se identifica que el Particular requirió la siguiente información:</w:t>
      </w:r>
    </w:p>
    <w:p w14:paraId="4AA470F6" w14:textId="218E7C90" w:rsidR="000D22BF" w:rsidRDefault="000D22BF" w:rsidP="00EF27DF">
      <w:pPr>
        <w:spacing w:line="360" w:lineRule="auto"/>
        <w:jc w:val="both"/>
        <w:rPr>
          <w:rFonts w:ascii="Palatino Linotype" w:eastAsia="Calibri" w:hAnsi="Palatino Linotype" w:cs="Tahoma"/>
          <w:bCs/>
          <w:iCs/>
          <w:sz w:val="22"/>
          <w:szCs w:val="22"/>
          <w:lang w:val="es-ES"/>
        </w:rPr>
      </w:pPr>
    </w:p>
    <w:p w14:paraId="1EC49954" w14:textId="77777777" w:rsidR="000D22BF" w:rsidRDefault="000D22BF" w:rsidP="000D22BF">
      <w:pPr>
        <w:pStyle w:val="NormalWeb"/>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Organigramas de las Administraciones:</w:t>
      </w:r>
    </w:p>
    <w:p w14:paraId="773AF192" w14:textId="77777777" w:rsidR="000D22BF" w:rsidRDefault="000D22BF" w:rsidP="000D22BF">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2016-2018</w:t>
      </w:r>
    </w:p>
    <w:p w14:paraId="2B5267E0" w14:textId="77777777" w:rsidR="000D22BF" w:rsidRDefault="000D22BF" w:rsidP="000D22BF">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2019-2021</w:t>
      </w:r>
    </w:p>
    <w:p w14:paraId="1367BD57" w14:textId="77777777" w:rsidR="000D22BF" w:rsidRDefault="000D22BF" w:rsidP="000D22BF">
      <w:pPr>
        <w:pStyle w:val="NormalWeb"/>
        <w:numPr>
          <w:ilvl w:val="0"/>
          <w:numId w:val="38"/>
        </w:numPr>
        <w:spacing w:after="0" w:line="360" w:lineRule="auto"/>
        <w:ind w:right="-28"/>
        <w:rPr>
          <w:rFonts w:ascii="Palatino Linotype" w:hAnsi="Palatino Linotype" w:cs="Tahoma"/>
          <w:bCs/>
          <w:iCs/>
          <w:sz w:val="22"/>
          <w:szCs w:val="22"/>
          <w:lang w:val="es-ES"/>
        </w:rPr>
      </w:pPr>
      <w:r>
        <w:rPr>
          <w:rFonts w:ascii="Palatino Linotype" w:hAnsi="Palatino Linotype" w:cs="Tahoma"/>
          <w:bCs/>
          <w:iCs/>
          <w:sz w:val="22"/>
          <w:szCs w:val="22"/>
          <w:lang w:val="es-ES"/>
        </w:rPr>
        <w:t>2022-2024</w:t>
      </w:r>
    </w:p>
    <w:p w14:paraId="724D6911" w14:textId="0DD77898" w:rsidR="000D22BF" w:rsidRDefault="000D22BF" w:rsidP="00EF27DF">
      <w:pPr>
        <w:spacing w:line="360" w:lineRule="auto"/>
        <w:jc w:val="both"/>
        <w:rPr>
          <w:rFonts w:ascii="Palatino Linotype" w:eastAsia="Calibri" w:hAnsi="Palatino Linotype" w:cs="Tahoma"/>
          <w:bCs/>
          <w:iCs/>
          <w:sz w:val="22"/>
          <w:szCs w:val="22"/>
          <w:lang w:val="es-ES"/>
        </w:rPr>
      </w:pPr>
    </w:p>
    <w:p w14:paraId="5D2E08AC" w14:textId="77777777" w:rsidR="00194F77" w:rsidRDefault="000D22BF" w:rsidP="00194F77">
      <w:pPr>
        <w:spacing w:line="360" w:lineRule="auto"/>
        <w:jc w:val="both"/>
        <w:rPr>
          <w:rFonts w:ascii="Palatino Linotype" w:hAnsi="Palatino Linotype" w:cs="Tahoma"/>
          <w:sz w:val="22"/>
          <w:szCs w:val="22"/>
        </w:rPr>
      </w:pPr>
      <w:r>
        <w:rPr>
          <w:rFonts w:ascii="Palatino Linotype" w:eastAsia="Calibri" w:hAnsi="Palatino Linotype" w:cs="Tahoma"/>
          <w:bCs/>
          <w:iCs/>
          <w:sz w:val="22"/>
          <w:szCs w:val="22"/>
          <w:lang w:val="es-ES"/>
        </w:rPr>
        <w:t xml:space="preserve">En respuesta, el Sujeto Obligado entregó dos documentos, que dan cuenta del organigrama 2016-2018 y 2019-2021, por lo que, se debe considerar información entregada, </w:t>
      </w:r>
      <w:r w:rsidR="00194F77">
        <w:rPr>
          <w:rFonts w:ascii="Palatino Linotype" w:hAnsi="Palatino Linotype" w:cs="Tahoma"/>
          <w:sz w:val="22"/>
          <w:szCs w:val="22"/>
        </w:rPr>
        <w:t>este Organismo Garante, no cuenta con facultades para pronunciarse sobre la veracidad de la información para lo que se invoca el criterio histórico 31/10 del ahora Instituto Nacional de Transparencia, Acceso a la Información Pública y Protección de Datos Personales del Estado de México, que llevan por rubro y texto los siguientes:</w:t>
      </w:r>
    </w:p>
    <w:p w14:paraId="4A0F90DD" w14:textId="77777777" w:rsidR="00194F77" w:rsidRDefault="00194F77" w:rsidP="00194F77">
      <w:pPr>
        <w:spacing w:line="360" w:lineRule="auto"/>
        <w:jc w:val="both"/>
        <w:rPr>
          <w:rFonts w:ascii="Palatino Linotype" w:hAnsi="Palatino Linotype" w:cs="Tahoma"/>
          <w:sz w:val="22"/>
          <w:szCs w:val="22"/>
        </w:rPr>
      </w:pPr>
    </w:p>
    <w:p w14:paraId="52355B15" w14:textId="77777777" w:rsidR="00194F77" w:rsidRDefault="00194F77" w:rsidP="00194F77">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Pr>
          <w:rFonts w:ascii="Palatino Linotype" w:eastAsia="Calibri" w:hAnsi="Palatino Linotype" w:cs="Tahoma"/>
          <w:b/>
          <w:i/>
          <w:iCs/>
          <w:color w:val="000000" w:themeColor="text1"/>
          <w:lang w:eastAsia="en-US"/>
        </w:rPr>
        <w:t>El Instituto Federal de Acceso a la Información y Protección de Datos no cuenta con facultades para pronunciarse respecto de la veracidad de los documentos proporcionados por los sujetos obligados</w:t>
      </w:r>
      <w:r>
        <w:rPr>
          <w:rFonts w:ascii="Palatino Linotype" w:eastAsia="Calibri" w:hAnsi="Palatino Linotype" w:cs="Tahoma"/>
          <w:bCs/>
          <w:i/>
          <w:iCs/>
          <w:color w:val="000000" w:themeColor="text1"/>
          <w:lang w:eastAsia="en-U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E3A055C" w14:textId="052533F8" w:rsidR="000D22BF" w:rsidRDefault="000D22BF" w:rsidP="00EF27DF">
      <w:pPr>
        <w:spacing w:line="360" w:lineRule="auto"/>
        <w:jc w:val="both"/>
        <w:rPr>
          <w:rFonts w:ascii="Palatino Linotype" w:eastAsia="Calibri" w:hAnsi="Palatino Linotype" w:cs="Tahoma"/>
          <w:bCs/>
          <w:iCs/>
          <w:sz w:val="22"/>
          <w:szCs w:val="22"/>
        </w:rPr>
      </w:pPr>
    </w:p>
    <w:p w14:paraId="7F476F0E" w14:textId="0F744231" w:rsidR="00194F77" w:rsidRPr="00194F77" w:rsidRDefault="00194F77" w:rsidP="00EF27DF">
      <w:pPr>
        <w:spacing w:line="360" w:lineRule="auto"/>
        <w:jc w:val="both"/>
        <w:rPr>
          <w:rFonts w:ascii="Palatino Linotype" w:eastAsia="Calibri" w:hAnsi="Palatino Linotype" w:cs="Tahoma"/>
          <w:bCs/>
          <w:iCs/>
          <w:sz w:val="22"/>
          <w:szCs w:val="22"/>
        </w:rPr>
      </w:pPr>
      <w:r>
        <w:rPr>
          <w:rFonts w:ascii="Palatino Linotype" w:eastAsia="Calibri" w:hAnsi="Palatino Linotype" w:cs="Tahoma"/>
          <w:bCs/>
          <w:iCs/>
          <w:sz w:val="22"/>
          <w:szCs w:val="22"/>
        </w:rPr>
        <w:t xml:space="preserve">Entonces, </w:t>
      </w:r>
      <w:r w:rsidR="000B2F77">
        <w:rPr>
          <w:rFonts w:ascii="Palatino Linotype" w:eastAsia="Calibri" w:hAnsi="Palatino Linotype" w:cs="Tahoma"/>
          <w:bCs/>
          <w:iCs/>
          <w:sz w:val="22"/>
          <w:szCs w:val="22"/>
        </w:rPr>
        <w:t xml:space="preserve">el Particular ya atendió </w:t>
      </w:r>
      <w:r>
        <w:rPr>
          <w:rFonts w:ascii="Palatino Linotype" w:eastAsia="Calibri" w:hAnsi="Palatino Linotype" w:cs="Tahoma"/>
          <w:bCs/>
          <w:iCs/>
          <w:sz w:val="22"/>
          <w:szCs w:val="22"/>
        </w:rPr>
        <w:t xml:space="preserve">esos puntos de la solicitud, sin embargo nos encontramos ante la falencia a la respuesta respecto a la administración 2022, 2024, sobre lo que se debe precisar, que el Sujeto Obligado únicamente se encuentra constreñido a entregar los documentos como obren en sus archivos, por lo que, resulta inoperante solicitar información de hechos o actos futuros, es entonces que únicamente resulta procedente analizar información actual, de manera </w:t>
      </w:r>
      <w:r w:rsidR="000B2F77">
        <w:rPr>
          <w:rFonts w:ascii="Palatino Linotype" w:eastAsia="Calibri" w:hAnsi="Palatino Linotype" w:cs="Tahoma"/>
          <w:bCs/>
          <w:iCs/>
          <w:sz w:val="22"/>
          <w:szCs w:val="22"/>
        </w:rPr>
        <w:t>más</w:t>
      </w:r>
      <w:r>
        <w:rPr>
          <w:rFonts w:ascii="Palatino Linotype" w:eastAsia="Calibri" w:hAnsi="Palatino Linotype" w:cs="Tahoma"/>
          <w:bCs/>
          <w:iCs/>
          <w:sz w:val="22"/>
          <w:szCs w:val="22"/>
        </w:rPr>
        <w:t xml:space="preserve"> </w:t>
      </w:r>
      <w:r w:rsidR="000B2F77">
        <w:rPr>
          <w:rFonts w:ascii="Palatino Linotype" w:eastAsia="Calibri" w:hAnsi="Palatino Linotype" w:cs="Tahoma"/>
          <w:bCs/>
          <w:iCs/>
          <w:sz w:val="22"/>
          <w:szCs w:val="22"/>
        </w:rPr>
        <w:t>específica</w:t>
      </w:r>
      <w:r>
        <w:rPr>
          <w:rFonts w:ascii="Palatino Linotype" w:eastAsia="Calibri" w:hAnsi="Palatino Linotype" w:cs="Tahoma"/>
          <w:bCs/>
          <w:iCs/>
          <w:sz w:val="22"/>
          <w:szCs w:val="22"/>
        </w:rPr>
        <w:t xml:space="preserve"> a la fecha de la solicitud, por lo que la información deberá ser entregada al diez de enero del dos mil veintidós.</w:t>
      </w:r>
    </w:p>
    <w:p w14:paraId="20A15F5B" w14:textId="6688DDD9" w:rsidR="000B2F77" w:rsidRDefault="000B2F77" w:rsidP="00EF27DF">
      <w:pPr>
        <w:spacing w:line="360" w:lineRule="auto"/>
        <w:jc w:val="both"/>
        <w:rPr>
          <w:rFonts w:ascii="Palatino Linotype" w:hAnsi="Palatino Linotype" w:cs="Tahoma"/>
          <w:bCs/>
          <w:iCs/>
          <w:sz w:val="22"/>
          <w:szCs w:val="22"/>
          <w:lang w:val="es-ES"/>
        </w:rPr>
      </w:pPr>
    </w:p>
    <w:p w14:paraId="2BB3ABDE" w14:textId="4EF4B58C" w:rsidR="000B2F77" w:rsidRDefault="000B2F77" w:rsidP="00EF27DF">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La publicación de la información relativa a los organigramas se encuentra contemplada en el artículo 92, fracción II de la Ley de Transparencia y Acceso a la Información Pública del Estado de México y Municipios, que a la letra contempla:</w:t>
      </w:r>
    </w:p>
    <w:p w14:paraId="2DD5ED7F" w14:textId="0304FBF4" w:rsidR="000B2F77" w:rsidRDefault="000B2F77" w:rsidP="00EF27DF">
      <w:pPr>
        <w:spacing w:line="360" w:lineRule="auto"/>
        <w:jc w:val="both"/>
        <w:rPr>
          <w:rFonts w:ascii="Palatino Linotype" w:hAnsi="Palatino Linotype" w:cs="Tahoma"/>
          <w:bCs/>
          <w:iCs/>
          <w:sz w:val="22"/>
          <w:szCs w:val="22"/>
          <w:lang w:val="es-ES"/>
        </w:rPr>
      </w:pPr>
    </w:p>
    <w:p w14:paraId="714278CF" w14:textId="43D55093" w:rsidR="000B2F77" w:rsidRPr="000B2F77" w:rsidRDefault="000B2F77" w:rsidP="000B2F77">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Pr>
          <w:rFonts w:ascii="Palatino Linotype" w:eastAsia="Calibri" w:hAnsi="Palatino Linotype" w:cs="Tahoma"/>
          <w:bCs/>
          <w:i/>
          <w:iCs/>
          <w:color w:val="000000" w:themeColor="text1"/>
          <w:lang w:eastAsia="en-US"/>
        </w:rPr>
        <w:lastRenderedPageBreak/>
        <w:t>“</w:t>
      </w:r>
      <w:r w:rsidRPr="000B2F77">
        <w:rPr>
          <w:rFonts w:ascii="Palatino Linotype" w:eastAsia="Calibri" w:hAnsi="Palatino Linotype" w:cs="Tahoma"/>
          <w:bCs/>
          <w:i/>
          <w:iCs/>
          <w:color w:val="000000" w:themeColor="text1"/>
          <w:lang w:eastAsia="en-US"/>
        </w:rPr>
        <w:t>Artículo 92. Los sujetos obligados deberán poner a disposición del público de manera permanente</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y actualizada de forma sencilla, precisa y entendible, en los respectivos medios electrónicos, de</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acuerdo con sus facultades, atribuciones, funciones u objeto social, según corresponda, la</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información, por lo menos, de los temas, documentos y políticas que a continuación se señalan:</w:t>
      </w:r>
    </w:p>
    <w:p w14:paraId="7FC5E902" w14:textId="311FD6A2" w:rsidR="000B2F77" w:rsidRPr="000B2F77" w:rsidRDefault="000B2F77" w:rsidP="000B2F77">
      <w:pPr>
        <w:tabs>
          <w:tab w:val="left" w:pos="567"/>
        </w:tabs>
        <w:spacing w:line="360" w:lineRule="auto"/>
        <w:ind w:left="567" w:right="539"/>
        <w:jc w:val="both"/>
        <w:rPr>
          <w:rFonts w:ascii="Palatino Linotype" w:eastAsia="Calibri" w:hAnsi="Palatino Linotype" w:cs="Tahoma"/>
          <w:bCs/>
          <w:i/>
          <w:iCs/>
          <w:color w:val="000000" w:themeColor="text1"/>
          <w:lang w:eastAsia="en-US"/>
        </w:rPr>
      </w:pPr>
      <w:proofErr w:type="gramStart"/>
      <w:r w:rsidRPr="000B2F77">
        <w:rPr>
          <w:rFonts w:ascii="Palatino Linotype" w:eastAsia="Calibri" w:hAnsi="Palatino Linotype" w:cs="Tahoma"/>
          <w:bCs/>
          <w:i/>
          <w:iCs/>
          <w:color w:val="000000" w:themeColor="text1"/>
          <w:lang w:eastAsia="en-US"/>
        </w:rPr>
        <w:t>I..</w:t>
      </w:r>
      <w:proofErr w:type="gramEnd"/>
    </w:p>
    <w:p w14:paraId="346565B3" w14:textId="46D2AE91" w:rsidR="000B2F77" w:rsidRPr="000B2F77" w:rsidRDefault="000B2F77" w:rsidP="000B2F77">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B2F77">
        <w:rPr>
          <w:rFonts w:ascii="Palatino Linotype" w:eastAsia="Calibri" w:hAnsi="Palatino Linotype" w:cs="Tahoma"/>
          <w:b/>
          <w:i/>
          <w:iCs/>
          <w:color w:val="000000" w:themeColor="text1"/>
          <w:lang w:eastAsia="en-US"/>
        </w:rPr>
        <w:t>II. Su estructura orgánica completa, en un formato que permita vincular cada parte de la estructura</w:t>
      </w:r>
      <w:r w:rsidRPr="000B2F77">
        <w:rPr>
          <w:rFonts w:ascii="Palatino Linotype" w:eastAsia="Calibri" w:hAnsi="Palatino Linotype" w:cs="Tahoma"/>
          <w:bCs/>
          <w:i/>
          <w:iCs/>
          <w:color w:val="000000" w:themeColor="text1"/>
          <w:lang w:eastAsia="en-US"/>
        </w:rPr>
        <w:t>,</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las atribuciones y responsabilidades que le corresponden a cada servidor público, prestador de</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servicios profesionales o miembro de los sujetos obligados, de conformidad con las disposiciones</w:t>
      </w:r>
      <w:r>
        <w:rPr>
          <w:rFonts w:ascii="Palatino Linotype" w:eastAsia="Calibri" w:hAnsi="Palatino Linotype" w:cs="Tahoma"/>
          <w:bCs/>
          <w:i/>
          <w:iCs/>
          <w:color w:val="000000" w:themeColor="text1"/>
          <w:lang w:eastAsia="en-US"/>
        </w:rPr>
        <w:t xml:space="preserve"> </w:t>
      </w:r>
      <w:r w:rsidRPr="000B2F77">
        <w:rPr>
          <w:rFonts w:ascii="Palatino Linotype" w:eastAsia="Calibri" w:hAnsi="Palatino Linotype" w:cs="Tahoma"/>
          <w:bCs/>
          <w:i/>
          <w:iCs/>
          <w:color w:val="000000" w:themeColor="text1"/>
          <w:lang w:eastAsia="en-US"/>
        </w:rPr>
        <w:t>jurídicas aplicables;</w:t>
      </w:r>
    </w:p>
    <w:p w14:paraId="72ADD495" w14:textId="6980FAC1" w:rsidR="000B2F77" w:rsidRDefault="000B2F77" w:rsidP="000B2F77">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B2F77">
        <w:rPr>
          <w:rFonts w:ascii="Palatino Linotype" w:eastAsia="Calibri" w:hAnsi="Palatino Linotype" w:cs="Tahoma"/>
          <w:bCs/>
          <w:i/>
          <w:iCs/>
          <w:color w:val="000000" w:themeColor="text1"/>
          <w:lang w:eastAsia="en-US"/>
        </w:rPr>
        <w:t>III al LII…</w:t>
      </w:r>
      <w:r>
        <w:rPr>
          <w:rFonts w:ascii="Palatino Linotype" w:eastAsia="Calibri" w:hAnsi="Palatino Linotype" w:cs="Tahoma"/>
          <w:bCs/>
          <w:i/>
          <w:iCs/>
          <w:color w:val="000000" w:themeColor="text1"/>
          <w:lang w:eastAsia="en-US"/>
        </w:rPr>
        <w:t>”</w:t>
      </w:r>
    </w:p>
    <w:p w14:paraId="1420B8C6" w14:textId="465D44AB" w:rsidR="000B2F77" w:rsidRDefault="000B2F77" w:rsidP="000B2F77">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03202B91" w14:textId="6A0B8B1B" w:rsidR="000B2F77" w:rsidRDefault="000B2F77" w:rsidP="000B2F77">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0B2F77">
        <w:rPr>
          <w:rFonts w:ascii="Palatino Linotype" w:eastAsia="Calibri" w:hAnsi="Palatino Linotype" w:cs="Tahoma"/>
          <w:bCs/>
          <w:iCs/>
          <w:sz w:val="22"/>
          <w:szCs w:val="22"/>
          <w:lang w:val="es-ES"/>
        </w:rPr>
        <w:t xml:space="preserve">Es entonces, que </w:t>
      </w:r>
      <w:r>
        <w:rPr>
          <w:rFonts w:ascii="Palatino Linotype" w:eastAsia="Calibri" w:hAnsi="Palatino Linotype" w:cs="Tahoma"/>
          <w:bCs/>
          <w:iCs/>
          <w:sz w:val="22"/>
          <w:szCs w:val="22"/>
          <w:lang w:val="es-ES"/>
        </w:rPr>
        <w:t>la obligatoriedad de generar esta información se encuentra contemplada en la normatividad de transparencia, lo que puede ser corroborado, con los rubros contemplados en el IPOMEX del Sujeto Obligado:</w:t>
      </w:r>
    </w:p>
    <w:p w14:paraId="59FDB4FA" w14:textId="2F42F447" w:rsidR="000B2F77" w:rsidRPr="000B2F77" w:rsidRDefault="000B2F77" w:rsidP="000B2F77">
      <w:pPr>
        <w:widowControl w:val="0"/>
        <w:autoSpaceDE w:val="0"/>
        <w:autoSpaceDN w:val="0"/>
        <w:adjustRightInd w:val="0"/>
        <w:spacing w:line="360" w:lineRule="auto"/>
        <w:jc w:val="center"/>
        <w:rPr>
          <w:rFonts w:ascii="Palatino Linotype" w:eastAsia="Calibri" w:hAnsi="Palatino Linotype" w:cs="Tahoma"/>
          <w:bCs/>
          <w:iCs/>
          <w:sz w:val="22"/>
          <w:szCs w:val="22"/>
          <w:lang w:val="es-ES"/>
        </w:rPr>
      </w:pPr>
      <w:r>
        <w:rPr>
          <w:noProof/>
        </w:rPr>
        <w:drawing>
          <wp:inline distT="0" distB="0" distL="0" distR="0" wp14:anchorId="36A20C34" wp14:editId="4E171BED">
            <wp:extent cx="5654650" cy="2814515"/>
            <wp:effectExtent l="0" t="0" r="3810" b="508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0"/>
                    <a:srcRect l="39358" t="33078" r="5853" b="18421"/>
                    <a:stretch/>
                  </pic:blipFill>
                  <pic:spPr bwMode="auto">
                    <a:xfrm>
                      <a:off x="0" y="0"/>
                      <a:ext cx="5692153" cy="2833182"/>
                    </a:xfrm>
                    <a:prstGeom prst="rect">
                      <a:avLst/>
                    </a:prstGeom>
                    <a:ln>
                      <a:noFill/>
                    </a:ln>
                    <a:extLst>
                      <a:ext uri="{53640926-AAD7-44D8-BBD7-CCE9431645EC}">
                        <a14:shadowObscured xmlns:a14="http://schemas.microsoft.com/office/drawing/2010/main"/>
                      </a:ext>
                    </a:extLst>
                  </pic:spPr>
                </pic:pic>
              </a:graphicData>
            </a:graphic>
          </wp:inline>
        </w:drawing>
      </w:r>
    </w:p>
    <w:p w14:paraId="5BC40486" w14:textId="047A2F4E" w:rsidR="000B2F77" w:rsidRDefault="000B2F77" w:rsidP="000B2F77">
      <w:pPr>
        <w:tabs>
          <w:tab w:val="left" w:pos="567"/>
        </w:tabs>
        <w:spacing w:line="360" w:lineRule="auto"/>
        <w:ind w:right="539"/>
        <w:jc w:val="both"/>
        <w:rPr>
          <w:rFonts w:ascii="Palatino Linotype" w:eastAsia="Calibri" w:hAnsi="Palatino Linotype" w:cs="Tahoma"/>
          <w:bCs/>
          <w:i/>
          <w:iCs/>
          <w:color w:val="000000" w:themeColor="text1"/>
          <w:lang w:eastAsia="en-US"/>
        </w:rPr>
      </w:pPr>
    </w:p>
    <w:p w14:paraId="5E756E0B" w14:textId="50526D3F" w:rsidR="00BD7FB9" w:rsidRPr="00BD7FB9" w:rsidRDefault="00BD7FB9" w:rsidP="00BD7FB9">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BD7FB9">
        <w:rPr>
          <w:rFonts w:ascii="Palatino Linotype" w:eastAsia="Calibri" w:hAnsi="Palatino Linotype" w:cs="Tahoma"/>
          <w:bCs/>
          <w:iCs/>
          <w:sz w:val="22"/>
          <w:szCs w:val="22"/>
          <w:lang w:val="es-ES"/>
        </w:rPr>
        <w:t>De la apertura de este apartado, se logra identificar la ausencia de la información.</w:t>
      </w:r>
    </w:p>
    <w:p w14:paraId="074EC3AC" w14:textId="59C57AB1" w:rsidR="00BD7FB9" w:rsidRDefault="00BD7FB9" w:rsidP="00BD7FB9">
      <w:pPr>
        <w:tabs>
          <w:tab w:val="left" w:pos="567"/>
        </w:tabs>
        <w:spacing w:line="360" w:lineRule="auto"/>
        <w:ind w:right="-28"/>
        <w:jc w:val="center"/>
        <w:rPr>
          <w:rFonts w:ascii="Palatino Linotype" w:eastAsia="Calibri" w:hAnsi="Palatino Linotype" w:cs="Tahoma"/>
          <w:bCs/>
          <w:i/>
          <w:iCs/>
          <w:color w:val="000000" w:themeColor="text1"/>
          <w:lang w:eastAsia="en-US"/>
        </w:rPr>
      </w:pPr>
      <w:r>
        <w:rPr>
          <w:noProof/>
        </w:rPr>
        <w:lastRenderedPageBreak/>
        <w:drawing>
          <wp:inline distT="0" distB="0" distL="0" distR="0" wp14:anchorId="0800B6B7" wp14:editId="646B164B">
            <wp:extent cx="4579952" cy="3636713"/>
            <wp:effectExtent l="0" t="0" r="0" b="1905"/>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11"/>
                    <a:srcRect l="18968" t="8866" r="20512" b="5664"/>
                    <a:stretch/>
                  </pic:blipFill>
                  <pic:spPr bwMode="auto">
                    <a:xfrm>
                      <a:off x="0" y="0"/>
                      <a:ext cx="4584413" cy="3640256"/>
                    </a:xfrm>
                    <a:prstGeom prst="rect">
                      <a:avLst/>
                    </a:prstGeom>
                    <a:ln>
                      <a:noFill/>
                    </a:ln>
                    <a:extLst>
                      <a:ext uri="{53640926-AAD7-44D8-BBD7-CCE9431645EC}">
                        <a14:shadowObscured xmlns:a14="http://schemas.microsoft.com/office/drawing/2010/main"/>
                      </a:ext>
                    </a:extLst>
                  </pic:spPr>
                </pic:pic>
              </a:graphicData>
            </a:graphic>
          </wp:inline>
        </w:drawing>
      </w:r>
    </w:p>
    <w:p w14:paraId="0DD02077" w14:textId="0C4F0CA6" w:rsidR="00BD7FB9" w:rsidRPr="00BD7FB9" w:rsidRDefault="00BD7FB9" w:rsidP="00BD7FB9">
      <w:pPr>
        <w:widowControl w:val="0"/>
        <w:autoSpaceDE w:val="0"/>
        <w:autoSpaceDN w:val="0"/>
        <w:adjustRightInd w:val="0"/>
        <w:spacing w:line="360" w:lineRule="auto"/>
        <w:jc w:val="center"/>
        <w:rPr>
          <w:rFonts w:ascii="Palatino Linotype" w:eastAsia="Calibri" w:hAnsi="Palatino Linotype" w:cs="Tahoma"/>
          <w:bCs/>
          <w:iCs/>
          <w:sz w:val="22"/>
          <w:szCs w:val="22"/>
          <w:lang w:val="es-ES"/>
        </w:rPr>
      </w:pPr>
      <w:r w:rsidRPr="00BD7FB9">
        <w:rPr>
          <w:rFonts w:ascii="Palatino Linotype" w:eastAsia="Calibri" w:hAnsi="Palatino Linotype" w:cs="Tahoma"/>
          <w:bCs/>
          <w:iCs/>
          <w:sz w:val="22"/>
          <w:szCs w:val="22"/>
          <w:lang w:val="es-ES"/>
        </w:rPr>
        <w:t>(imagen recuperada el veintiuno de abril del dos mil veintidós a las veintidós horas con cincuenta y dos minutos)</w:t>
      </w:r>
    </w:p>
    <w:p w14:paraId="63DF6AAE" w14:textId="4056CC64" w:rsidR="00BD7FB9" w:rsidRDefault="00BD7FB9" w:rsidP="00EF27DF">
      <w:pPr>
        <w:spacing w:line="360" w:lineRule="auto"/>
        <w:contextualSpacing/>
        <w:jc w:val="both"/>
        <w:rPr>
          <w:rFonts w:ascii="Palatino Linotype" w:eastAsia="Calibri" w:hAnsi="Palatino Linotype" w:cs="Tahoma"/>
          <w:b/>
          <w:color w:val="000000"/>
          <w:sz w:val="22"/>
          <w:szCs w:val="22"/>
        </w:rPr>
      </w:pPr>
    </w:p>
    <w:p w14:paraId="43044901" w14:textId="77777777" w:rsidR="00BD7FB9" w:rsidRDefault="00BD7FB9" w:rsidP="00BD7FB9">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BD7FB9">
        <w:rPr>
          <w:rFonts w:ascii="Palatino Linotype" w:eastAsia="Calibri" w:hAnsi="Palatino Linotype" w:cs="Tahoma"/>
          <w:bCs/>
          <w:iCs/>
          <w:sz w:val="22"/>
          <w:szCs w:val="22"/>
          <w:lang w:val="es-ES"/>
        </w:rPr>
        <w:t xml:space="preserve">Entonces </w:t>
      </w:r>
      <w:r>
        <w:rPr>
          <w:rFonts w:ascii="Palatino Linotype" w:eastAsia="Calibri" w:hAnsi="Palatino Linotype" w:cs="Tahoma"/>
          <w:bCs/>
          <w:iCs/>
          <w:sz w:val="22"/>
          <w:szCs w:val="22"/>
          <w:lang w:val="es-ES"/>
        </w:rPr>
        <w:t xml:space="preserve">únicamente queda determinar </w:t>
      </w:r>
      <w:proofErr w:type="spellStart"/>
      <w:r>
        <w:rPr>
          <w:rFonts w:ascii="Palatino Linotype" w:eastAsia="Calibri" w:hAnsi="Palatino Linotype" w:cs="Tahoma"/>
          <w:bCs/>
          <w:iCs/>
          <w:sz w:val="22"/>
          <w:szCs w:val="22"/>
          <w:lang w:val="es-ES"/>
        </w:rPr>
        <w:t>cual</w:t>
      </w:r>
      <w:proofErr w:type="spellEnd"/>
      <w:r>
        <w:rPr>
          <w:rFonts w:ascii="Palatino Linotype" w:eastAsia="Calibri" w:hAnsi="Palatino Linotype" w:cs="Tahoma"/>
          <w:bCs/>
          <w:iCs/>
          <w:sz w:val="22"/>
          <w:szCs w:val="22"/>
          <w:lang w:val="es-ES"/>
        </w:rPr>
        <w:t xml:space="preserve"> es la temporalidad para generar la información o en su caso publicarla para lo que resulta relevante, traer a colación lo contemplado por los </w:t>
      </w:r>
    </w:p>
    <w:p w14:paraId="06ECAA88" w14:textId="7AF2A8DD" w:rsidR="00BD7FB9" w:rsidRDefault="00A27A43" w:rsidP="00BD7FB9">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Pr>
          <w:rFonts w:ascii="Palatino Linotype" w:eastAsia="Calibri" w:hAnsi="Palatino Linotype" w:cs="Tahoma"/>
          <w:bCs/>
          <w:iCs/>
          <w:sz w:val="22"/>
          <w:szCs w:val="22"/>
          <w:lang w:val="es-ES"/>
        </w:rPr>
        <w:t>“</w:t>
      </w:r>
      <w:r w:rsidRPr="00BD7FB9">
        <w:rPr>
          <w:rFonts w:ascii="Palatino Linotype" w:eastAsia="Calibri" w:hAnsi="Palatino Linotype" w:cs="Tahoma"/>
          <w:bCs/>
          <w:iCs/>
          <w:sz w:val="22"/>
          <w:szCs w:val="22"/>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Calibri" w:hAnsi="Palatino Linotype" w:cs="Tahoma"/>
          <w:bCs/>
          <w:iCs/>
          <w:sz w:val="22"/>
          <w:szCs w:val="22"/>
          <w:lang w:val="es-ES"/>
        </w:rPr>
        <w:t>”:</w:t>
      </w:r>
    </w:p>
    <w:p w14:paraId="5C1FA81C" w14:textId="458123D2" w:rsidR="00A27A43" w:rsidRDefault="00A27A43" w:rsidP="00BD7FB9">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1539C12A" w14:textId="3BE4771A" w:rsidR="00A27A43" w:rsidRDefault="00A27A43" w:rsidP="00A27A4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A27A43">
        <w:rPr>
          <w:rFonts w:ascii="Palatino Linotype" w:eastAsia="Calibri" w:hAnsi="Palatino Linotype" w:cs="Tahoma"/>
          <w:bCs/>
          <w:iCs/>
          <w:sz w:val="22"/>
          <w:szCs w:val="22"/>
          <w:lang w:val="es-ES"/>
        </w:rPr>
        <w:t>Sobre la temporalidad de publicación de esta información, los referidos lineamientos</w:t>
      </w:r>
      <w:r>
        <w:rPr>
          <w:rFonts w:ascii="Palatino Linotype" w:eastAsia="Calibri" w:hAnsi="Palatino Linotype" w:cs="Tahoma"/>
          <w:bCs/>
          <w:iCs/>
          <w:sz w:val="22"/>
          <w:szCs w:val="22"/>
          <w:lang w:val="es-ES"/>
        </w:rPr>
        <w:t xml:space="preserve"> contemplan </w:t>
      </w:r>
      <w:r w:rsidR="00691A2B">
        <w:rPr>
          <w:rFonts w:ascii="Palatino Linotype" w:eastAsia="Calibri" w:hAnsi="Palatino Linotype" w:cs="Tahoma"/>
          <w:bCs/>
          <w:iCs/>
          <w:sz w:val="22"/>
          <w:szCs w:val="22"/>
          <w:lang w:val="es-ES"/>
        </w:rPr>
        <w:t xml:space="preserve">que las plataformas deben ser actualizadas de manera trimestral o bien, a los </w:t>
      </w:r>
      <w:r w:rsidR="00691A2B">
        <w:rPr>
          <w:rFonts w:ascii="Palatino Linotype" w:eastAsia="Calibri" w:hAnsi="Palatino Linotype" w:cs="Tahoma"/>
          <w:bCs/>
          <w:iCs/>
          <w:sz w:val="22"/>
          <w:szCs w:val="22"/>
          <w:lang w:val="es-ES"/>
        </w:rPr>
        <w:lastRenderedPageBreak/>
        <w:t>quince días de la modificación de la estructura orgánica, imagen que se reproduce:</w:t>
      </w:r>
    </w:p>
    <w:p w14:paraId="46B9E741" w14:textId="77777777" w:rsidR="00691A2B" w:rsidRDefault="00691A2B" w:rsidP="00A27A4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178F1818" w14:textId="02F8DDFB" w:rsidR="00691A2B" w:rsidRPr="00A27A43" w:rsidRDefault="00691A2B" w:rsidP="00A27A4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Pr>
          <w:noProof/>
        </w:rPr>
        <w:drawing>
          <wp:inline distT="0" distB="0" distL="0" distR="0" wp14:anchorId="20689AB6" wp14:editId="0721FA17">
            <wp:extent cx="5687918" cy="1009816"/>
            <wp:effectExtent l="0" t="0" r="8255"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2"/>
                    <a:srcRect l="38274" t="57142" r="18870" b="29327"/>
                    <a:stretch/>
                  </pic:blipFill>
                  <pic:spPr bwMode="auto">
                    <a:xfrm>
                      <a:off x="0" y="0"/>
                      <a:ext cx="5726553" cy="1016675"/>
                    </a:xfrm>
                    <a:prstGeom prst="rect">
                      <a:avLst/>
                    </a:prstGeom>
                    <a:ln>
                      <a:noFill/>
                    </a:ln>
                    <a:extLst>
                      <a:ext uri="{53640926-AAD7-44D8-BBD7-CCE9431645EC}">
                        <a14:shadowObscured xmlns:a14="http://schemas.microsoft.com/office/drawing/2010/main"/>
                      </a:ext>
                    </a:extLst>
                  </pic:spPr>
                </pic:pic>
              </a:graphicData>
            </a:graphic>
          </wp:inline>
        </w:drawing>
      </w:r>
    </w:p>
    <w:p w14:paraId="06480D7A" w14:textId="07B93718" w:rsidR="00A27A43" w:rsidRPr="00691A2B" w:rsidRDefault="00691A2B" w:rsidP="00BD7FB9">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691A2B">
        <w:rPr>
          <w:rFonts w:ascii="Palatino Linotype" w:eastAsia="Calibri" w:hAnsi="Palatino Linotype" w:cs="Tahoma"/>
          <w:bCs/>
          <w:iCs/>
          <w:sz w:val="22"/>
          <w:szCs w:val="22"/>
          <w:lang w:val="es-ES"/>
        </w:rPr>
        <w:t>Entonces, ante el supuesto de una administración nueva, que ingresó el primero de enero del dos mil veintidós</w:t>
      </w:r>
      <w:r>
        <w:rPr>
          <w:rFonts w:ascii="Palatino Linotype" w:eastAsia="Calibri" w:hAnsi="Palatino Linotype" w:cs="Tahoma"/>
          <w:bCs/>
          <w:iCs/>
          <w:sz w:val="22"/>
          <w:szCs w:val="22"/>
          <w:lang w:val="es-ES"/>
        </w:rPr>
        <w:t xml:space="preserve"> y que la solicitud fue ingresada el diez de enero del dos mil veintidós, se debe concluir que el Sujeto Obligado no se encontraba constreñido a publicarla en la fecha en la que fue ingresada la solicitud.</w:t>
      </w:r>
    </w:p>
    <w:p w14:paraId="318741DD" w14:textId="1D9CE817" w:rsidR="00BD7FB9" w:rsidRPr="00691A2B" w:rsidRDefault="00BD7FB9" w:rsidP="00691A2B">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27807A59" w14:textId="1157D1CA" w:rsidR="00BD7FB9" w:rsidRDefault="00BD7FB9" w:rsidP="00A27A4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A27A43">
        <w:rPr>
          <w:rFonts w:ascii="Palatino Linotype" w:eastAsia="Calibri" w:hAnsi="Palatino Linotype" w:cs="Tahoma"/>
          <w:bCs/>
          <w:iCs/>
          <w:sz w:val="22"/>
          <w:szCs w:val="22"/>
          <w:lang w:val="es-ES"/>
        </w:rPr>
        <w:t xml:space="preserve">Respecto a su obligación </w:t>
      </w:r>
      <w:r w:rsidR="00A27A43">
        <w:rPr>
          <w:rFonts w:ascii="Palatino Linotype" w:eastAsia="Calibri" w:hAnsi="Palatino Linotype" w:cs="Tahoma"/>
          <w:bCs/>
          <w:iCs/>
          <w:sz w:val="22"/>
          <w:szCs w:val="22"/>
          <w:lang w:val="es-ES"/>
        </w:rPr>
        <w:t>de la generación del documento, estos lineamientos no lo consideran, es una atribución interna del Cabildo, lo que no es corroborable al no encontrarse información cargada en la fracción correspondiente:</w:t>
      </w:r>
    </w:p>
    <w:p w14:paraId="7117E34F" w14:textId="3C783EFE" w:rsidR="00A27A43" w:rsidRDefault="00A27A43" w:rsidP="00A27A4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6C156253" w14:textId="6C173304" w:rsidR="00A27A43" w:rsidRPr="00A27A43" w:rsidRDefault="00A27A43" w:rsidP="00A27A43">
      <w:pPr>
        <w:widowControl w:val="0"/>
        <w:autoSpaceDE w:val="0"/>
        <w:autoSpaceDN w:val="0"/>
        <w:adjustRightInd w:val="0"/>
        <w:spacing w:line="360" w:lineRule="auto"/>
        <w:jc w:val="center"/>
        <w:rPr>
          <w:rFonts w:ascii="Palatino Linotype" w:eastAsia="Calibri" w:hAnsi="Palatino Linotype" w:cs="Tahoma"/>
          <w:bCs/>
          <w:iCs/>
          <w:sz w:val="22"/>
          <w:szCs w:val="22"/>
          <w:lang w:val="es-ES"/>
        </w:rPr>
      </w:pPr>
      <w:r>
        <w:rPr>
          <w:noProof/>
        </w:rPr>
        <w:drawing>
          <wp:inline distT="0" distB="0" distL="0" distR="0" wp14:anchorId="510D20A8" wp14:editId="5F102550">
            <wp:extent cx="4316884" cy="2560320"/>
            <wp:effectExtent l="0" t="0" r="762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3"/>
                    <a:srcRect l="19245" t="9056" r="20523" b="27407"/>
                    <a:stretch/>
                  </pic:blipFill>
                  <pic:spPr bwMode="auto">
                    <a:xfrm>
                      <a:off x="0" y="0"/>
                      <a:ext cx="4326570" cy="2566065"/>
                    </a:xfrm>
                    <a:prstGeom prst="rect">
                      <a:avLst/>
                    </a:prstGeom>
                    <a:ln>
                      <a:noFill/>
                    </a:ln>
                    <a:extLst>
                      <a:ext uri="{53640926-AAD7-44D8-BBD7-CCE9431645EC}">
                        <a14:shadowObscured xmlns:a14="http://schemas.microsoft.com/office/drawing/2010/main"/>
                      </a:ext>
                    </a:extLst>
                  </pic:spPr>
                </pic:pic>
              </a:graphicData>
            </a:graphic>
          </wp:inline>
        </w:drawing>
      </w:r>
    </w:p>
    <w:p w14:paraId="5B236391" w14:textId="34E1E831" w:rsidR="00A27A43" w:rsidRPr="00BD7FB9" w:rsidRDefault="00A27A43" w:rsidP="00A27A43">
      <w:pPr>
        <w:widowControl w:val="0"/>
        <w:autoSpaceDE w:val="0"/>
        <w:autoSpaceDN w:val="0"/>
        <w:adjustRightInd w:val="0"/>
        <w:spacing w:line="360" w:lineRule="auto"/>
        <w:jc w:val="center"/>
        <w:rPr>
          <w:rFonts w:ascii="Palatino Linotype" w:eastAsia="Calibri" w:hAnsi="Palatino Linotype" w:cs="Tahoma"/>
          <w:bCs/>
          <w:iCs/>
          <w:sz w:val="22"/>
          <w:szCs w:val="22"/>
          <w:lang w:val="es-ES"/>
        </w:rPr>
      </w:pPr>
      <w:r w:rsidRPr="00BD7FB9">
        <w:rPr>
          <w:rFonts w:ascii="Palatino Linotype" w:eastAsia="Calibri" w:hAnsi="Palatino Linotype" w:cs="Tahoma"/>
          <w:bCs/>
          <w:iCs/>
          <w:sz w:val="22"/>
          <w:szCs w:val="22"/>
          <w:lang w:val="es-ES"/>
        </w:rPr>
        <w:t xml:space="preserve">(imagen recuperada el veintiuno de abril del dos mil veintidós a las </w:t>
      </w:r>
      <w:r>
        <w:rPr>
          <w:rFonts w:ascii="Palatino Linotype" w:eastAsia="Calibri" w:hAnsi="Palatino Linotype" w:cs="Tahoma"/>
          <w:bCs/>
          <w:iCs/>
          <w:sz w:val="22"/>
          <w:szCs w:val="22"/>
          <w:lang w:val="es-ES"/>
        </w:rPr>
        <w:t>veintitrés</w:t>
      </w:r>
      <w:r w:rsidRPr="00BD7FB9">
        <w:rPr>
          <w:rFonts w:ascii="Palatino Linotype" w:eastAsia="Calibri" w:hAnsi="Palatino Linotype" w:cs="Tahoma"/>
          <w:bCs/>
          <w:iCs/>
          <w:sz w:val="22"/>
          <w:szCs w:val="22"/>
          <w:lang w:val="es-ES"/>
        </w:rPr>
        <w:t xml:space="preserve"> horas)</w:t>
      </w:r>
    </w:p>
    <w:p w14:paraId="18639498" w14:textId="6E387AFD" w:rsidR="00BD7FB9" w:rsidRPr="00691A2B" w:rsidRDefault="00691A2B" w:rsidP="00691A2B">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691A2B">
        <w:rPr>
          <w:rFonts w:ascii="Palatino Linotype" w:eastAsia="Calibri" w:hAnsi="Palatino Linotype" w:cs="Tahoma"/>
          <w:bCs/>
          <w:iCs/>
          <w:sz w:val="22"/>
          <w:szCs w:val="22"/>
          <w:lang w:val="es-ES"/>
        </w:rPr>
        <w:lastRenderedPageBreak/>
        <w:t>Es entonces que se considera procedente ordenar el Organigrama correspondiente al año 2022 y en caso de que la información no hubiese sido generada al diez de enero del dos mil veintidós, bastará con que se lo haga del conocimiento al Particular de manera clara y precisa.</w:t>
      </w:r>
    </w:p>
    <w:p w14:paraId="1331F0E0" w14:textId="77777777" w:rsidR="00A27A43" w:rsidRDefault="00A27A43" w:rsidP="00EF27DF">
      <w:pPr>
        <w:spacing w:line="360" w:lineRule="auto"/>
        <w:contextualSpacing/>
        <w:jc w:val="both"/>
        <w:rPr>
          <w:rFonts w:ascii="Palatino Linotype" w:eastAsia="Calibri" w:hAnsi="Palatino Linotype" w:cs="Tahoma"/>
          <w:b/>
          <w:color w:val="000000"/>
          <w:sz w:val="22"/>
          <w:szCs w:val="22"/>
        </w:rPr>
      </w:pPr>
    </w:p>
    <w:p w14:paraId="53CA8D63" w14:textId="16AD58BC" w:rsidR="00EF27DF" w:rsidRDefault="000D22BF" w:rsidP="00EF27DF">
      <w:pPr>
        <w:spacing w:line="360" w:lineRule="auto"/>
        <w:contextualSpacing/>
        <w:jc w:val="both"/>
        <w:rPr>
          <w:rFonts w:ascii="Palatino Linotype" w:eastAsia="Calibri" w:hAnsi="Palatino Linotype" w:cs="Tahoma"/>
          <w:b/>
          <w:color w:val="000000"/>
          <w:sz w:val="22"/>
          <w:szCs w:val="22"/>
        </w:rPr>
      </w:pPr>
      <w:r>
        <w:rPr>
          <w:rFonts w:ascii="Palatino Linotype" w:eastAsia="Calibri" w:hAnsi="Palatino Linotype" w:cs="Tahoma"/>
          <w:b/>
          <w:color w:val="000000"/>
          <w:sz w:val="22"/>
          <w:szCs w:val="22"/>
        </w:rPr>
        <w:t>SEXTO</w:t>
      </w:r>
      <w:r w:rsidR="00EF27DF" w:rsidRPr="00EF27DF">
        <w:rPr>
          <w:rFonts w:ascii="Palatino Linotype" w:eastAsia="Calibri" w:hAnsi="Palatino Linotype" w:cs="Tahoma"/>
          <w:b/>
          <w:color w:val="000000"/>
          <w:sz w:val="22"/>
          <w:szCs w:val="22"/>
        </w:rPr>
        <w:t xml:space="preserve">. Decisión. </w:t>
      </w:r>
    </w:p>
    <w:p w14:paraId="379FC73C" w14:textId="77777777" w:rsidR="003D48F9" w:rsidRPr="00EF27DF" w:rsidRDefault="003D48F9" w:rsidP="00EF27DF">
      <w:pPr>
        <w:spacing w:line="360" w:lineRule="auto"/>
        <w:contextualSpacing/>
        <w:jc w:val="both"/>
        <w:rPr>
          <w:rFonts w:ascii="Palatino Linotype" w:eastAsia="Calibri" w:hAnsi="Palatino Linotype" w:cs="Tahoma"/>
          <w:b/>
          <w:color w:val="000000"/>
          <w:sz w:val="22"/>
          <w:szCs w:val="22"/>
        </w:rPr>
      </w:pPr>
    </w:p>
    <w:p w14:paraId="3E73BE25" w14:textId="79F25D0A" w:rsidR="0088351E" w:rsidRDefault="0088351E" w:rsidP="0088351E">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88351E">
        <w:rPr>
          <w:rFonts w:ascii="Palatino Linotype" w:eastAsia="Calibri" w:hAnsi="Palatino Linotype" w:cs="Tahoma"/>
          <w:bCs/>
          <w:iCs/>
          <w:sz w:val="22"/>
          <w:szCs w:val="22"/>
          <w:lang w:val="es-ES"/>
        </w:rPr>
        <w:t xml:space="preserve">Con fundamento en el artículo 186, fracción III, de la Ley de Transparencia y Acceso a la Información Pública del Estado de México y Municipios, este Instituto considera procedente </w:t>
      </w:r>
      <w:r w:rsidR="003D48F9">
        <w:rPr>
          <w:rFonts w:ascii="Palatino Linotype" w:eastAsia="Calibri" w:hAnsi="Palatino Linotype" w:cs="Tahoma"/>
          <w:b/>
          <w:iCs/>
          <w:sz w:val="22"/>
          <w:szCs w:val="22"/>
          <w:lang w:val="es-ES"/>
        </w:rPr>
        <w:t>MODIFICAR</w:t>
      </w:r>
      <w:r w:rsidRPr="0088351E">
        <w:rPr>
          <w:rFonts w:ascii="Palatino Linotype" w:eastAsia="Calibri" w:hAnsi="Palatino Linotype" w:cs="Tahoma"/>
          <w:bCs/>
          <w:iCs/>
          <w:sz w:val="22"/>
          <w:szCs w:val="22"/>
          <w:lang w:val="es-ES"/>
        </w:rPr>
        <w:t xml:space="preserve"> la respuesta otorgada por el Ayuntamiento de </w:t>
      </w:r>
      <w:r w:rsidR="0017323B">
        <w:rPr>
          <w:rFonts w:ascii="Palatino Linotype" w:eastAsia="Calibri" w:hAnsi="Palatino Linotype" w:cs="Tahoma"/>
          <w:bCs/>
          <w:iCs/>
          <w:sz w:val="22"/>
          <w:szCs w:val="22"/>
          <w:lang w:val="es-ES"/>
        </w:rPr>
        <w:t>Tequixquiac</w:t>
      </w:r>
      <w:r w:rsidRPr="0088351E">
        <w:rPr>
          <w:rFonts w:ascii="Palatino Linotype" w:eastAsia="Calibri" w:hAnsi="Palatino Linotype" w:cs="Tahoma"/>
          <w:bCs/>
          <w:iCs/>
          <w:sz w:val="22"/>
          <w:szCs w:val="22"/>
          <w:lang w:val="es-ES"/>
        </w:rPr>
        <w:t>, e instruye al Sujeto Obligado a efecto de que entregue</w:t>
      </w:r>
      <w:r w:rsidR="002F76BD">
        <w:rPr>
          <w:rFonts w:ascii="Palatino Linotype" w:eastAsia="Calibri" w:hAnsi="Palatino Linotype" w:cs="Tahoma"/>
          <w:bCs/>
          <w:iCs/>
          <w:sz w:val="22"/>
          <w:szCs w:val="22"/>
          <w:lang w:val="es-ES"/>
        </w:rPr>
        <w:t xml:space="preserve"> a través del Sistema de Acceso a la Información Pública Mexiquense (SAIMEX)</w:t>
      </w:r>
      <w:r w:rsidRPr="0088351E">
        <w:rPr>
          <w:rFonts w:ascii="Palatino Linotype" w:eastAsia="Calibri" w:hAnsi="Palatino Linotype" w:cs="Tahoma"/>
          <w:bCs/>
          <w:iCs/>
          <w:sz w:val="22"/>
          <w:szCs w:val="22"/>
          <w:lang w:val="es-ES"/>
        </w:rPr>
        <w:t xml:space="preserve">, previa búsqueda exhaustiva y razonable de la información, </w:t>
      </w:r>
      <w:r w:rsidR="007957B4">
        <w:rPr>
          <w:rFonts w:ascii="Palatino Linotype" w:eastAsia="Calibri" w:hAnsi="Palatino Linotype" w:cs="Tahoma"/>
          <w:bCs/>
          <w:iCs/>
          <w:sz w:val="22"/>
          <w:szCs w:val="22"/>
          <w:lang w:val="es-ES"/>
        </w:rPr>
        <w:t>l</w:t>
      </w:r>
      <w:r w:rsidR="002F76BD">
        <w:rPr>
          <w:rFonts w:ascii="Palatino Linotype" w:eastAsia="Calibri" w:hAnsi="Palatino Linotype" w:cs="Tahoma"/>
          <w:bCs/>
          <w:iCs/>
          <w:sz w:val="22"/>
          <w:szCs w:val="22"/>
          <w:lang w:val="es-ES"/>
        </w:rPr>
        <w:t>o siguiente</w:t>
      </w:r>
      <w:r w:rsidRPr="0088351E">
        <w:rPr>
          <w:rFonts w:ascii="Palatino Linotype" w:eastAsia="Calibri" w:hAnsi="Palatino Linotype" w:cs="Tahoma"/>
          <w:bCs/>
          <w:iCs/>
          <w:sz w:val="22"/>
          <w:szCs w:val="22"/>
          <w:lang w:val="es-ES"/>
        </w:rPr>
        <w:t>:</w:t>
      </w:r>
    </w:p>
    <w:p w14:paraId="52C56BA0" w14:textId="7ABEC851" w:rsidR="00815123" w:rsidRDefault="00815123" w:rsidP="0088351E">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0417BA8C" w14:textId="121A93B0" w:rsidR="00815123" w:rsidRPr="00815123" w:rsidRDefault="00815123" w:rsidP="00815123">
      <w:pPr>
        <w:pStyle w:val="Prrafodelista"/>
        <w:widowControl w:val="0"/>
        <w:numPr>
          <w:ilvl w:val="0"/>
          <w:numId w:val="39"/>
        </w:numPr>
        <w:autoSpaceDE w:val="0"/>
        <w:autoSpaceDN w:val="0"/>
        <w:adjustRightInd w:val="0"/>
        <w:spacing w:line="360" w:lineRule="auto"/>
        <w:jc w:val="both"/>
        <w:rPr>
          <w:rFonts w:ascii="Palatino Linotype" w:eastAsia="Calibri" w:hAnsi="Palatino Linotype" w:cs="Tahoma"/>
          <w:bCs/>
          <w:iCs/>
          <w:szCs w:val="22"/>
          <w:lang w:val="es-ES"/>
        </w:rPr>
      </w:pPr>
      <w:r w:rsidRPr="00815123">
        <w:rPr>
          <w:rFonts w:ascii="Palatino Linotype" w:eastAsia="Calibri" w:hAnsi="Palatino Linotype" w:cs="Tahoma"/>
          <w:bCs/>
          <w:iCs/>
          <w:szCs w:val="22"/>
          <w:lang w:val="es-ES"/>
        </w:rPr>
        <w:t>Organigrama correspondiente a la administración 2022</w:t>
      </w:r>
      <w:r>
        <w:rPr>
          <w:rFonts w:ascii="Palatino Linotype" w:eastAsia="Calibri" w:hAnsi="Palatino Linotype" w:cs="Tahoma"/>
          <w:bCs/>
          <w:iCs/>
          <w:szCs w:val="22"/>
          <w:lang w:val="es-ES"/>
        </w:rPr>
        <w:t>, vigente al diez de enero del dos mil veintidós.</w:t>
      </w:r>
    </w:p>
    <w:p w14:paraId="2FD22FB1" w14:textId="77777777" w:rsidR="002D19ED" w:rsidRDefault="002D19ED" w:rsidP="0088351E">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1DBE8B2A" w14:textId="21D4ED88" w:rsidR="00815123" w:rsidRPr="00815123" w:rsidRDefault="00815123" w:rsidP="00815123">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815123">
        <w:rPr>
          <w:rFonts w:ascii="Palatino Linotype" w:eastAsia="Calibri" w:hAnsi="Palatino Linotype" w:cs="Tahoma"/>
          <w:bCs/>
          <w:iCs/>
          <w:sz w:val="22"/>
          <w:szCs w:val="22"/>
          <w:lang w:val="es-ES"/>
        </w:rPr>
        <w:t>De no contar con información que se ordena por no haberse generado</w:t>
      </w:r>
      <w:r>
        <w:rPr>
          <w:rFonts w:ascii="Palatino Linotype" w:eastAsia="Calibri" w:hAnsi="Palatino Linotype" w:cs="Tahoma"/>
          <w:bCs/>
          <w:iCs/>
          <w:sz w:val="22"/>
          <w:szCs w:val="22"/>
          <w:lang w:val="es-ES"/>
        </w:rPr>
        <w:t xml:space="preserve"> al diez de enero del dos mil veintidós</w:t>
      </w:r>
      <w:r w:rsidRPr="00815123">
        <w:rPr>
          <w:rFonts w:ascii="Palatino Linotype" w:eastAsia="Calibri" w:hAnsi="Palatino Linotype" w:cs="Tahoma"/>
          <w:bCs/>
          <w:iCs/>
          <w:sz w:val="22"/>
          <w:szCs w:val="22"/>
          <w:lang w:val="es-ES"/>
        </w:rPr>
        <w:t>, deberá hacerlo del conocimiento al Recurrente de manera clara y precisa.</w:t>
      </w:r>
    </w:p>
    <w:p w14:paraId="1A60529D" w14:textId="77777777" w:rsidR="00815123" w:rsidRPr="003D48F9" w:rsidRDefault="00815123" w:rsidP="003D48F9">
      <w:pPr>
        <w:widowControl w:val="0"/>
        <w:autoSpaceDE w:val="0"/>
        <w:autoSpaceDN w:val="0"/>
        <w:adjustRightInd w:val="0"/>
        <w:spacing w:line="360" w:lineRule="auto"/>
        <w:jc w:val="both"/>
        <w:rPr>
          <w:rFonts w:ascii="Palatino Linotype" w:eastAsia="Calibri" w:hAnsi="Palatino Linotype" w:cs="Tahoma"/>
          <w:iCs/>
          <w:szCs w:val="22"/>
          <w:lang w:val="es-ES"/>
        </w:rPr>
      </w:pPr>
    </w:p>
    <w:p w14:paraId="1A4AE837" w14:textId="77777777" w:rsidR="00EF27DF" w:rsidRPr="00EF27DF" w:rsidRDefault="00EF27DF" w:rsidP="00EF27DF">
      <w:pPr>
        <w:autoSpaceDE w:val="0"/>
        <w:autoSpaceDN w:val="0"/>
        <w:adjustRightInd w:val="0"/>
        <w:spacing w:line="360" w:lineRule="auto"/>
        <w:jc w:val="both"/>
        <w:rPr>
          <w:rFonts w:ascii="Palatino Linotype" w:eastAsia="Calibri" w:hAnsi="Palatino Linotype" w:cs="Tahoma"/>
          <w:b/>
          <w:bCs/>
          <w:iCs/>
          <w:sz w:val="22"/>
          <w:szCs w:val="22"/>
          <w:lang w:val="es-ES"/>
        </w:rPr>
      </w:pPr>
      <w:r w:rsidRPr="00EF27DF">
        <w:rPr>
          <w:rFonts w:ascii="Palatino Linotype" w:eastAsia="Calibri" w:hAnsi="Palatino Linotype" w:cs="Tahoma"/>
          <w:b/>
          <w:bCs/>
          <w:iCs/>
          <w:sz w:val="22"/>
          <w:szCs w:val="22"/>
          <w:lang w:val="es-ES"/>
        </w:rPr>
        <w:t>Términos de la Resolución para conocimiento del Particular.</w:t>
      </w:r>
    </w:p>
    <w:p w14:paraId="46BB50D5" w14:textId="77777777" w:rsidR="00EF27DF" w:rsidRPr="00EF27DF" w:rsidRDefault="00EF27DF" w:rsidP="00EF27DF">
      <w:pPr>
        <w:autoSpaceDE w:val="0"/>
        <w:autoSpaceDN w:val="0"/>
        <w:adjustRightInd w:val="0"/>
        <w:spacing w:line="360" w:lineRule="auto"/>
        <w:jc w:val="both"/>
        <w:rPr>
          <w:rFonts w:ascii="Palatino Linotype" w:eastAsia="Calibri" w:hAnsi="Palatino Linotype" w:cs="Tahoma"/>
          <w:b/>
          <w:bCs/>
          <w:iCs/>
          <w:sz w:val="22"/>
          <w:szCs w:val="22"/>
          <w:lang w:val="es-ES"/>
        </w:rPr>
      </w:pPr>
    </w:p>
    <w:p w14:paraId="1B18E6D4" w14:textId="743FE299" w:rsidR="00EF27DF" w:rsidRPr="00EF27DF" w:rsidRDefault="00EF27DF" w:rsidP="00EF27DF">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EF27DF">
        <w:rPr>
          <w:rFonts w:ascii="Palatino Linotype" w:eastAsia="Calibri" w:hAnsi="Palatino Linotype" w:cs="Tahoma"/>
          <w:bCs/>
          <w:iCs/>
          <w:sz w:val="22"/>
          <w:szCs w:val="22"/>
          <w:lang w:val="es-ES"/>
        </w:rPr>
        <w:t xml:space="preserve">Se le hace del conocimiento al Particular, que, en el presente caso, se le da la razón, pues </w:t>
      </w:r>
      <w:r w:rsidR="003D48F9">
        <w:rPr>
          <w:rFonts w:ascii="Palatino Linotype" w:eastAsia="Calibri" w:hAnsi="Palatino Linotype" w:cs="Tahoma"/>
          <w:bCs/>
          <w:iCs/>
          <w:sz w:val="22"/>
          <w:szCs w:val="22"/>
          <w:lang w:val="es-ES"/>
        </w:rPr>
        <w:t xml:space="preserve">el Ayuntamiento de </w:t>
      </w:r>
      <w:r w:rsidR="0017323B">
        <w:rPr>
          <w:rFonts w:ascii="Palatino Linotype" w:eastAsia="Calibri" w:hAnsi="Palatino Linotype" w:cs="Tahoma"/>
          <w:bCs/>
          <w:iCs/>
          <w:sz w:val="22"/>
          <w:szCs w:val="22"/>
          <w:lang w:val="es-ES"/>
        </w:rPr>
        <w:t>Tequixquiac</w:t>
      </w:r>
      <w:r w:rsidR="008C25F1">
        <w:rPr>
          <w:rFonts w:ascii="Palatino Linotype" w:eastAsia="Calibri" w:hAnsi="Palatino Linotype" w:cs="Tahoma"/>
          <w:bCs/>
          <w:iCs/>
          <w:sz w:val="22"/>
          <w:szCs w:val="22"/>
          <w:lang w:val="es-ES"/>
        </w:rPr>
        <w:t xml:space="preserve"> no</w:t>
      </w:r>
      <w:r w:rsidR="003D48F9">
        <w:rPr>
          <w:rFonts w:ascii="Palatino Linotype" w:eastAsia="Calibri" w:hAnsi="Palatino Linotype" w:cs="Tahoma"/>
          <w:bCs/>
          <w:iCs/>
          <w:sz w:val="22"/>
          <w:szCs w:val="22"/>
          <w:lang w:val="es-ES"/>
        </w:rPr>
        <w:t xml:space="preserve"> entreg</w:t>
      </w:r>
      <w:r w:rsidR="008C25F1">
        <w:rPr>
          <w:rFonts w:ascii="Palatino Linotype" w:eastAsia="Calibri" w:hAnsi="Palatino Linotype" w:cs="Tahoma"/>
          <w:bCs/>
          <w:iCs/>
          <w:sz w:val="22"/>
          <w:szCs w:val="22"/>
          <w:lang w:val="es-ES"/>
        </w:rPr>
        <w:t xml:space="preserve">ó soporte documental </w:t>
      </w:r>
      <w:r w:rsidR="008C25F1" w:rsidRPr="008C25F1">
        <w:rPr>
          <w:rFonts w:ascii="Palatino Linotype" w:eastAsia="Calibri" w:hAnsi="Palatino Linotype" w:cs="Tahoma"/>
          <w:bCs/>
          <w:iCs/>
          <w:sz w:val="22"/>
          <w:szCs w:val="22"/>
          <w:lang w:val="es-ES"/>
        </w:rPr>
        <w:t>que dé cuenta de la distribución de nómina de la primera y la segunda quincena de diciembre de dos mil veintiuno</w:t>
      </w:r>
      <w:r w:rsidR="008C25F1">
        <w:rPr>
          <w:rFonts w:ascii="Palatino Linotype" w:eastAsia="Calibri" w:hAnsi="Palatino Linotype" w:cs="Tahoma"/>
          <w:bCs/>
          <w:iCs/>
          <w:sz w:val="22"/>
          <w:szCs w:val="22"/>
          <w:lang w:val="es-ES"/>
        </w:rPr>
        <w:t xml:space="preserve">, ni de la primera quincena de enero del dos mil veintidós. </w:t>
      </w:r>
    </w:p>
    <w:p w14:paraId="51CE3AAB" w14:textId="77777777" w:rsidR="00815123" w:rsidRDefault="00815123" w:rsidP="008C25F1">
      <w:pPr>
        <w:widowControl w:val="0"/>
        <w:autoSpaceDE w:val="0"/>
        <w:autoSpaceDN w:val="0"/>
        <w:adjustRightInd w:val="0"/>
        <w:spacing w:line="360" w:lineRule="auto"/>
        <w:jc w:val="both"/>
        <w:rPr>
          <w:rFonts w:ascii="Palatino Linotype" w:eastAsia="Calibri" w:hAnsi="Palatino Linotype" w:cs="Tahoma"/>
          <w:bCs/>
          <w:iCs/>
          <w:sz w:val="22"/>
          <w:szCs w:val="22"/>
          <w:u w:val="single"/>
          <w:lang w:val="es-ES"/>
        </w:rPr>
      </w:pPr>
    </w:p>
    <w:p w14:paraId="6B5E99DC" w14:textId="066452EE" w:rsidR="008C25F1" w:rsidRPr="008C25F1" w:rsidRDefault="008C25F1" w:rsidP="008C25F1">
      <w:pPr>
        <w:widowControl w:val="0"/>
        <w:autoSpaceDE w:val="0"/>
        <w:autoSpaceDN w:val="0"/>
        <w:adjustRightInd w:val="0"/>
        <w:spacing w:line="360" w:lineRule="auto"/>
        <w:jc w:val="both"/>
        <w:rPr>
          <w:rFonts w:ascii="Palatino Linotype" w:eastAsia="Calibri" w:hAnsi="Palatino Linotype" w:cs="Tahoma"/>
          <w:bCs/>
          <w:iCs/>
          <w:sz w:val="22"/>
          <w:szCs w:val="22"/>
          <w:u w:val="single"/>
          <w:lang w:val="es-ES"/>
        </w:rPr>
      </w:pPr>
      <w:r w:rsidRPr="008C25F1">
        <w:rPr>
          <w:rFonts w:ascii="Palatino Linotype" w:eastAsia="Calibri" w:hAnsi="Palatino Linotype" w:cs="Tahoma"/>
          <w:bCs/>
          <w:iCs/>
          <w:sz w:val="22"/>
          <w:szCs w:val="22"/>
          <w:u w:val="single"/>
          <w:lang w:val="es-ES"/>
        </w:rPr>
        <w:t>Finalmente, la labor de este Instituto es apoyar a la población a acceder a la información pública y garantizar la protección de los datos personales.</w:t>
      </w:r>
    </w:p>
    <w:p w14:paraId="27418974" w14:textId="6FAD9386" w:rsidR="008C25F1" w:rsidRDefault="008C25F1" w:rsidP="008C25F1">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6AEF06D9" w14:textId="77777777" w:rsidR="00815123" w:rsidRPr="00731A2B" w:rsidRDefault="00815123" w:rsidP="00815123">
      <w:pPr>
        <w:spacing w:line="360" w:lineRule="auto"/>
        <w:jc w:val="both"/>
        <w:rPr>
          <w:rFonts w:ascii="Palatino Linotype" w:hAnsi="Palatino Linotype" w:cs="Arial"/>
          <w:bCs/>
          <w:color w:val="000000" w:themeColor="text1"/>
          <w:sz w:val="22"/>
          <w:szCs w:val="22"/>
        </w:rPr>
      </w:pPr>
      <w:r w:rsidRPr="00731A2B">
        <w:rPr>
          <w:rFonts w:ascii="Palatino Linotype" w:hAnsi="Palatino Linotype" w:cs="Arial"/>
          <w:bCs/>
          <w:color w:val="000000" w:themeColor="text1"/>
          <w:sz w:val="22"/>
          <w:szCs w:val="22"/>
        </w:rPr>
        <w:t>Por lo expuesto y fundado, el Pleno de este Instituto:</w:t>
      </w:r>
    </w:p>
    <w:p w14:paraId="710180F9" w14:textId="61BDD60D" w:rsidR="00815123" w:rsidRPr="00815123" w:rsidRDefault="00815123" w:rsidP="008C25F1">
      <w:pPr>
        <w:widowControl w:val="0"/>
        <w:autoSpaceDE w:val="0"/>
        <w:autoSpaceDN w:val="0"/>
        <w:adjustRightInd w:val="0"/>
        <w:spacing w:line="360" w:lineRule="auto"/>
        <w:jc w:val="both"/>
        <w:rPr>
          <w:rFonts w:ascii="Palatino Linotype" w:eastAsia="Calibri" w:hAnsi="Palatino Linotype" w:cs="Tahoma"/>
          <w:bCs/>
          <w:iCs/>
          <w:sz w:val="22"/>
          <w:szCs w:val="22"/>
        </w:rPr>
      </w:pPr>
    </w:p>
    <w:p w14:paraId="48EEF5C7" w14:textId="77777777" w:rsidR="00EF27DF" w:rsidRPr="00EF27DF" w:rsidRDefault="00EF27DF" w:rsidP="000B1A4E">
      <w:pPr>
        <w:spacing w:line="360" w:lineRule="auto"/>
        <w:jc w:val="center"/>
        <w:rPr>
          <w:rFonts w:ascii="Palatino Linotype" w:hAnsi="Palatino Linotype" w:cs="Tahoma"/>
          <w:b/>
          <w:bCs/>
          <w:sz w:val="22"/>
          <w:szCs w:val="22"/>
        </w:rPr>
      </w:pPr>
      <w:r w:rsidRPr="00EF27DF">
        <w:rPr>
          <w:rFonts w:ascii="Palatino Linotype" w:hAnsi="Palatino Linotype" w:cs="Tahoma"/>
          <w:b/>
          <w:bCs/>
          <w:sz w:val="22"/>
          <w:szCs w:val="22"/>
        </w:rPr>
        <w:t>R E S U E L V E:</w:t>
      </w:r>
    </w:p>
    <w:p w14:paraId="1257ADA9" w14:textId="77777777" w:rsidR="00EF27DF" w:rsidRPr="008C25F1" w:rsidRDefault="00EF27DF" w:rsidP="008C25F1">
      <w:pPr>
        <w:spacing w:line="360" w:lineRule="auto"/>
        <w:jc w:val="both"/>
        <w:rPr>
          <w:rFonts w:ascii="Palatino Linotype" w:hAnsi="Palatino Linotype" w:cs="Tahoma"/>
          <w:bCs/>
          <w:sz w:val="22"/>
          <w:szCs w:val="22"/>
        </w:rPr>
      </w:pPr>
    </w:p>
    <w:p w14:paraId="4BE0E90D" w14:textId="11C8A204" w:rsidR="008C25F1" w:rsidRPr="008C25F1" w:rsidRDefault="008C25F1" w:rsidP="008C25F1">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PRIMERO</w:t>
      </w:r>
      <w:r w:rsidRPr="008C25F1">
        <w:rPr>
          <w:rFonts w:ascii="Palatino Linotype" w:hAnsi="Palatino Linotype" w:cs="Tahoma"/>
          <w:bCs/>
          <w:sz w:val="22"/>
          <w:szCs w:val="22"/>
        </w:rPr>
        <w:t xml:space="preserve">. Se </w:t>
      </w:r>
      <w:r w:rsidRPr="007957B4">
        <w:rPr>
          <w:rFonts w:ascii="Palatino Linotype" w:hAnsi="Palatino Linotype" w:cs="Tahoma"/>
          <w:b/>
          <w:sz w:val="22"/>
          <w:szCs w:val="22"/>
        </w:rPr>
        <w:t>MODIFICA</w:t>
      </w:r>
      <w:r w:rsidRPr="008C25F1">
        <w:rPr>
          <w:rFonts w:ascii="Palatino Linotype" w:hAnsi="Palatino Linotype" w:cs="Tahoma"/>
          <w:bCs/>
          <w:sz w:val="22"/>
          <w:szCs w:val="22"/>
        </w:rPr>
        <w:t xml:space="preserve"> la </w:t>
      </w:r>
      <w:r>
        <w:rPr>
          <w:rFonts w:ascii="Palatino Linotype" w:hAnsi="Palatino Linotype" w:cs="Tahoma"/>
          <w:bCs/>
          <w:sz w:val="22"/>
          <w:szCs w:val="22"/>
        </w:rPr>
        <w:t>respuesta</w:t>
      </w:r>
      <w:r w:rsidRPr="008C25F1">
        <w:rPr>
          <w:rFonts w:ascii="Palatino Linotype" w:hAnsi="Palatino Linotype" w:cs="Tahoma"/>
          <w:bCs/>
          <w:sz w:val="22"/>
          <w:szCs w:val="22"/>
        </w:rPr>
        <w:t xml:space="preserve"> </w:t>
      </w:r>
      <w:r>
        <w:rPr>
          <w:rFonts w:ascii="Palatino Linotype" w:hAnsi="Palatino Linotype" w:cs="Tahoma"/>
          <w:bCs/>
          <w:sz w:val="22"/>
          <w:szCs w:val="22"/>
        </w:rPr>
        <w:t>entregada</w:t>
      </w:r>
      <w:r w:rsidRPr="008C25F1">
        <w:rPr>
          <w:rFonts w:ascii="Palatino Linotype" w:hAnsi="Palatino Linotype" w:cs="Tahoma"/>
          <w:bCs/>
          <w:sz w:val="22"/>
          <w:szCs w:val="22"/>
        </w:rPr>
        <w:t xml:space="preserve"> por la </w:t>
      </w:r>
      <w:r w:rsidR="007957B4">
        <w:rPr>
          <w:rFonts w:ascii="Palatino Linotype" w:hAnsi="Palatino Linotype" w:cs="Tahoma"/>
          <w:bCs/>
          <w:sz w:val="22"/>
          <w:szCs w:val="22"/>
        </w:rPr>
        <w:t xml:space="preserve">Ayuntamiento de </w:t>
      </w:r>
      <w:r w:rsidR="0017323B">
        <w:rPr>
          <w:rFonts w:ascii="Palatino Linotype" w:hAnsi="Palatino Linotype" w:cs="Tahoma"/>
          <w:bCs/>
          <w:sz w:val="22"/>
          <w:szCs w:val="22"/>
        </w:rPr>
        <w:t>Tequixquiac</w:t>
      </w:r>
      <w:r w:rsidRPr="008C25F1">
        <w:rPr>
          <w:rFonts w:ascii="Palatino Linotype" w:hAnsi="Palatino Linotype" w:cs="Tahoma"/>
          <w:bCs/>
          <w:sz w:val="22"/>
          <w:szCs w:val="22"/>
        </w:rPr>
        <w:t xml:space="preserve"> a la solicitud de información </w:t>
      </w:r>
      <w:r w:rsidR="0017323B">
        <w:rPr>
          <w:rFonts w:ascii="Palatino Linotype" w:hAnsi="Palatino Linotype" w:cs="Tahoma"/>
          <w:b/>
          <w:color w:val="0D0D0D" w:themeColor="text1" w:themeTint="F2"/>
          <w:sz w:val="22"/>
          <w:szCs w:val="22"/>
        </w:rPr>
        <w:t>00006/TEQUIXQU/IP/2022</w:t>
      </w:r>
      <w:r w:rsidRPr="008C25F1">
        <w:rPr>
          <w:rFonts w:ascii="Palatino Linotype" w:hAnsi="Palatino Linotype" w:cs="Tahoma"/>
          <w:bCs/>
          <w:sz w:val="22"/>
          <w:szCs w:val="22"/>
        </w:rPr>
        <w:t xml:space="preserve">, por resultar </w:t>
      </w:r>
      <w:r w:rsidRPr="007957B4">
        <w:rPr>
          <w:rFonts w:ascii="Palatino Linotype" w:hAnsi="Palatino Linotype" w:cs="Tahoma"/>
          <w:b/>
          <w:sz w:val="22"/>
          <w:szCs w:val="22"/>
        </w:rPr>
        <w:t>FUNDADAS</w:t>
      </w:r>
      <w:r w:rsidRPr="008C25F1">
        <w:rPr>
          <w:rFonts w:ascii="Palatino Linotype" w:hAnsi="Palatino Linotype" w:cs="Tahoma"/>
          <w:bCs/>
          <w:sz w:val="22"/>
          <w:szCs w:val="22"/>
        </w:rPr>
        <w:t xml:space="preserve"> las razones o motivos de inconformidad hechos valer por el Particular en </w:t>
      </w:r>
      <w:r w:rsidR="007957B4">
        <w:rPr>
          <w:rFonts w:ascii="Palatino Linotype" w:hAnsi="Palatino Linotype" w:cs="Tahoma"/>
          <w:bCs/>
          <w:sz w:val="22"/>
          <w:szCs w:val="22"/>
        </w:rPr>
        <w:t>el</w:t>
      </w:r>
      <w:r w:rsidRPr="008C25F1">
        <w:rPr>
          <w:rFonts w:ascii="Palatino Linotype" w:hAnsi="Palatino Linotype" w:cs="Tahoma"/>
          <w:bCs/>
          <w:sz w:val="22"/>
          <w:szCs w:val="22"/>
        </w:rPr>
        <w:t xml:space="preserve"> recurso de revisión </w:t>
      </w:r>
      <w:r w:rsidRPr="007957B4">
        <w:rPr>
          <w:rFonts w:ascii="Palatino Linotype" w:hAnsi="Palatino Linotype" w:cs="Tahoma"/>
          <w:b/>
          <w:sz w:val="22"/>
          <w:szCs w:val="22"/>
        </w:rPr>
        <w:t>00</w:t>
      </w:r>
      <w:r w:rsidR="002F76BD">
        <w:rPr>
          <w:rFonts w:ascii="Palatino Linotype" w:hAnsi="Palatino Linotype" w:cs="Tahoma"/>
          <w:b/>
          <w:sz w:val="22"/>
          <w:szCs w:val="22"/>
        </w:rPr>
        <w:t>886</w:t>
      </w:r>
      <w:r w:rsidRPr="007957B4">
        <w:rPr>
          <w:rFonts w:ascii="Palatino Linotype" w:hAnsi="Palatino Linotype" w:cs="Tahoma"/>
          <w:b/>
          <w:sz w:val="22"/>
          <w:szCs w:val="22"/>
        </w:rPr>
        <w:t>/INFOEM/IP/RR/2022</w:t>
      </w:r>
      <w:r w:rsidR="007957B4">
        <w:rPr>
          <w:rFonts w:ascii="Palatino Linotype" w:hAnsi="Palatino Linotype" w:cs="Tahoma"/>
          <w:bCs/>
          <w:sz w:val="22"/>
          <w:szCs w:val="22"/>
        </w:rPr>
        <w:t>,</w:t>
      </w:r>
      <w:r w:rsidRPr="008C25F1">
        <w:rPr>
          <w:rFonts w:ascii="Palatino Linotype" w:hAnsi="Palatino Linotype" w:cs="Tahoma"/>
          <w:bCs/>
          <w:sz w:val="22"/>
          <w:szCs w:val="22"/>
        </w:rPr>
        <w:t xml:space="preserve"> en términos de los considerandos </w:t>
      </w:r>
      <w:r w:rsidRPr="003D3548">
        <w:rPr>
          <w:rFonts w:ascii="Palatino Linotype" w:hAnsi="Palatino Linotype" w:cs="Tahoma"/>
          <w:bCs/>
          <w:sz w:val="22"/>
          <w:szCs w:val="22"/>
        </w:rPr>
        <w:t xml:space="preserve">QUINTO y </w:t>
      </w:r>
      <w:r w:rsidR="002F76BD">
        <w:rPr>
          <w:rFonts w:ascii="Palatino Linotype" w:hAnsi="Palatino Linotype" w:cs="Tahoma"/>
          <w:bCs/>
          <w:sz w:val="22"/>
          <w:szCs w:val="22"/>
        </w:rPr>
        <w:t>SEXTO</w:t>
      </w:r>
      <w:r w:rsidRPr="008C25F1">
        <w:rPr>
          <w:rFonts w:ascii="Palatino Linotype" w:hAnsi="Palatino Linotype" w:cs="Tahoma"/>
          <w:bCs/>
          <w:sz w:val="22"/>
          <w:szCs w:val="22"/>
        </w:rPr>
        <w:t xml:space="preserve"> de la presente Resolución.</w:t>
      </w:r>
    </w:p>
    <w:p w14:paraId="0E5966A0" w14:textId="77777777" w:rsidR="008C25F1" w:rsidRPr="003E1250" w:rsidRDefault="008C25F1" w:rsidP="008C25F1">
      <w:pPr>
        <w:spacing w:line="360" w:lineRule="auto"/>
        <w:contextualSpacing/>
        <w:rPr>
          <w:rFonts w:eastAsia="Calibri" w:cs="Tahoma"/>
          <w:bCs/>
        </w:rPr>
      </w:pPr>
    </w:p>
    <w:p w14:paraId="16C2C5DE" w14:textId="077F0F54" w:rsidR="008C25F1" w:rsidRPr="008C25F1" w:rsidRDefault="008C25F1" w:rsidP="008C25F1">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SEGUNDO</w:t>
      </w:r>
      <w:r w:rsidRPr="008C25F1">
        <w:rPr>
          <w:rFonts w:ascii="Palatino Linotype" w:hAnsi="Palatino Linotype" w:cs="Tahoma"/>
          <w:bCs/>
          <w:sz w:val="22"/>
          <w:szCs w:val="22"/>
        </w:rPr>
        <w:t xml:space="preserve">. Se </w:t>
      </w:r>
      <w:r w:rsidRPr="008C25F1">
        <w:rPr>
          <w:rFonts w:ascii="Palatino Linotype" w:hAnsi="Palatino Linotype" w:cs="Tahoma"/>
          <w:b/>
          <w:sz w:val="22"/>
          <w:szCs w:val="22"/>
        </w:rPr>
        <w:t>ORDENA</w:t>
      </w:r>
      <w:r w:rsidRPr="008C25F1">
        <w:rPr>
          <w:rFonts w:ascii="Palatino Linotype" w:hAnsi="Palatino Linotype" w:cs="Tahoma"/>
          <w:bCs/>
          <w:sz w:val="22"/>
          <w:szCs w:val="22"/>
        </w:rPr>
        <w:t xml:space="preserve"> al Ente Recurrido, a efecto de que entregue, a través del Sistema de Acceso a la Información Mexiquense (SAIMEX), previa búsqueda exhaustiva y razonable de la información,</w:t>
      </w:r>
      <w:r w:rsidR="002F76BD">
        <w:rPr>
          <w:rFonts w:ascii="Palatino Linotype" w:hAnsi="Palatino Linotype" w:cs="Tahoma"/>
          <w:bCs/>
          <w:sz w:val="22"/>
          <w:szCs w:val="22"/>
        </w:rPr>
        <w:t xml:space="preserve"> lo siguiente</w:t>
      </w:r>
      <w:r w:rsidRPr="008C25F1">
        <w:rPr>
          <w:rFonts w:ascii="Palatino Linotype" w:hAnsi="Palatino Linotype" w:cs="Tahoma"/>
          <w:bCs/>
          <w:sz w:val="22"/>
          <w:szCs w:val="22"/>
        </w:rPr>
        <w:t>:</w:t>
      </w:r>
    </w:p>
    <w:p w14:paraId="492DA2E6" w14:textId="67215BCE" w:rsidR="008C25F1" w:rsidRDefault="008C25F1" w:rsidP="008C25F1">
      <w:pPr>
        <w:autoSpaceDE w:val="0"/>
        <w:autoSpaceDN w:val="0"/>
        <w:adjustRightInd w:val="0"/>
        <w:spacing w:line="360" w:lineRule="auto"/>
        <w:rPr>
          <w:rFonts w:eastAsia="Calibri" w:cs="Tahoma"/>
          <w:iCs/>
          <w:lang w:eastAsia="es-ES_tradnl"/>
        </w:rPr>
      </w:pPr>
    </w:p>
    <w:p w14:paraId="118FCACC" w14:textId="77777777" w:rsidR="002F76BD" w:rsidRPr="00815123" w:rsidRDefault="002F76BD" w:rsidP="002F76BD">
      <w:pPr>
        <w:pStyle w:val="Prrafodelista"/>
        <w:widowControl w:val="0"/>
        <w:numPr>
          <w:ilvl w:val="0"/>
          <w:numId w:val="39"/>
        </w:numPr>
        <w:autoSpaceDE w:val="0"/>
        <w:autoSpaceDN w:val="0"/>
        <w:adjustRightInd w:val="0"/>
        <w:spacing w:line="360" w:lineRule="auto"/>
        <w:jc w:val="both"/>
        <w:rPr>
          <w:rFonts w:ascii="Palatino Linotype" w:eastAsia="Calibri" w:hAnsi="Palatino Linotype" w:cs="Tahoma"/>
          <w:bCs/>
          <w:iCs/>
          <w:szCs w:val="22"/>
          <w:lang w:val="es-ES"/>
        </w:rPr>
      </w:pPr>
      <w:r w:rsidRPr="00815123">
        <w:rPr>
          <w:rFonts w:ascii="Palatino Linotype" w:eastAsia="Calibri" w:hAnsi="Palatino Linotype" w:cs="Tahoma"/>
          <w:bCs/>
          <w:iCs/>
          <w:szCs w:val="22"/>
          <w:lang w:val="es-ES"/>
        </w:rPr>
        <w:t>Organigrama correspondiente a la administración 2022</w:t>
      </w:r>
      <w:r>
        <w:rPr>
          <w:rFonts w:ascii="Palatino Linotype" w:eastAsia="Calibri" w:hAnsi="Palatino Linotype" w:cs="Tahoma"/>
          <w:bCs/>
          <w:iCs/>
          <w:szCs w:val="22"/>
          <w:lang w:val="es-ES"/>
        </w:rPr>
        <w:t>, vigente al diez de enero del dos mil veintidós.</w:t>
      </w:r>
    </w:p>
    <w:p w14:paraId="54639C32" w14:textId="77777777" w:rsidR="002F76BD" w:rsidRDefault="002F76BD" w:rsidP="002F76BD">
      <w:pPr>
        <w:widowControl w:val="0"/>
        <w:autoSpaceDE w:val="0"/>
        <w:autoSpaceDN w:val="0"/>
        <w:adjustRightInd w:val="0"/>
        <w:spacing w:line="360" w:lineRule="auto"/>
        <w:jc w:val="both"/>
        <w:rPr>
          <w:rFonts w:ascii="Palatino Linotype" w:eastAsia="Calibri" w:hAnsi="Palatino Linotype" w:cs="Tahoma"/>
          <w:bCs/>
          <w:iCs/>
          <w:sz w:val="22"/>
          <w:szCs w:val="22"/>
          <w:lang w:val="es-ES"/>
        </w:rPr>
      </w:pPr>
    </w:p>
    <w:p w14:paraId="0C6C0AD3" w14:textId="77777777" w:rsidR="002F76BD" w:rsidRPr="00815123" w:rsidRDefault="002F76BD" w:rsidP="002F76BD">
      <w:pPr>
        <w:widowControl w:val="0"/>
        <w:autoSpaceDE w:val="0"/>
        <w:autoSpaceDN w:val="0"/>
        <w:adjustRightInd w:val="0"/>
        <w:spacing w:line="360" w:lineRule="auto"/>
        <w:jc w:val="both"/>
        <w:rPr>
          <w:rFonts w:ascii="Palatino Linotype" w:eastAsia="Calibri" w:hAnsi="Palatino Linotype" w:cs="Tahoma"/>
          <w:bCs/>
          <w:iCs/>
          <w:sz w:val="22"/>
          <w:szCs w:val="22"/>
          <w:lang w:val="es-ES"/>
        </w:rPr>
      </w:pPr>
      <w:r w:rsidRPr="00815123">
        <w:rPr>
          <w:rFonts w:ascii="Palatino Linotype" w:eastAsia="Calibri" w:hAnsi="Palatino Linotype" w:cs="Tahoma"/>
          <w:bCs/>
          <w:iCs/>
          <w:sz w:val="22"/>
          <w:szCs w:val="22"/>
          <w:lang w:val="es-ES"/>
        </w:rPr>
        <w:t>De no contar con información que se ordena por no haberse generado</w:t>
      </w:r>
      <w:r>
        <w:rPr>
          <w:rFonts w:ascii="Palatino Linotype" w:eastAsia="Calibri" w:hAnsi="Palatino Linotype" w:cs="Tahoma"/>
          <w:bCs/>
          <w:iCs/>
          <w:sz w:val="22"/>
          <w:szCs w:val="22"/>
          <w:lang w:val="es-ES"/>
        </w:rPr>
        <w:t xml:space="preserve"> al diez de enero del dos mil veintidós</w:t>
      </w:r>
      <w:r w:rsidRPr="00815123">
        <w:rPr>
          <w:rFonts w:ascii="Palatino Linotype" w:eastAsia="Calibri" w:hAnsi="Palatino Linotype" w:cs="Tahoma"/>
          <w:bCs/>
          <w:iCs/>
          <w:sz w:val="22"/>
          <w:szCs w:val="22"/>
          <w:lang w:val="es-ES"/>
        </w:rPr>
        <w:t>, deberá hacerlo del conocimiento al Recurrente de manera clara y precisa.</w:t>
      </w:r>
    </w:p>
    <w:p w14:paraId="0B886CDC" w14:textId="77777777" w:rsidR="008C25F1" w:rsidRPr="002F76BD" w:rsidRDefault="008C25F1" w:rsidP="008C25F1">
      <w:pPr>
        <w:spacing w:line="360" w:lineRule="auto"/>
        <w:jc w:val="both"/>
        <w:rPr>
          <w:rFonts w:ascii="Palatino Linotype" w:hAnsi="Palatino Linotype" w:cs="Tahoma"/>
          <w:bCs/>
          <w:sz w:val="22"/>
          <w:szCs w:val="22"/>
          <w:lang w:val="es-ES"/>
        </w:rPr>
      </w:pPr>
    </w:p>
    <w:p w14:paraId="59E189E8" w14:textId="77777777" w:rsidR="008C25F1" w:rsidRPr="008C25F1" w:rsidRDefault="008C25F1" w:rsidP="008C25F1">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TERCERO. NOTIFÍQUESE</w:t>
      </w:r>
      <w:r w:rsidRPr="003E1250">
        <w:rPr>
          <w:rFonts w:cs="Tahoma"/>
          <w:b/>
        </w:rPr>
        <w:t xml:space="preserve"> </w:t>
      </w:r>
      <w:r w:rsidRPr="008C25F1">
        <w:rPr>
          <w:rFonts w:ascii="Palatino Linotype" w:hAnsi="Palatino Linotype" w:cs="Tahoma"/>
          <w:bCs/>
          <w:sz w:val="22"/>
          <w:szCs w:val="22"/>
        </w:rPr>
        <w:t xml:space="preserve">la presente resolución al Titular de la Unidad de Transparencia del Sujeto Obligado a través del Sistema de Acceso a la Información Mexiquense (SAIMEX), </w:t>
      </w:r>
      <w:r w:rsidRPr="008C25F1">
        <w:rPr>
          <w:rFonts w:ascii="Palatino Linotype" w:hAnsi="Palatino Linotype" w:cs="Tahoma"/>
          <w:bCs/>
          <w:sz w:val="22"/>
          <w:szCs w:val="22"/>
        </w:rPr>
        <w:lastRenderedPageBreak/>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C745D34" w14:textId="77777777" w:rsidR="008C25F1" w:rsidRPr="008C25F1" w:rsidRDefault="008C25F1" w:rsidP="008C25F1">
      <w:pPr>
        <w:spacing w:line="360" w:lineRule="auto"/>
        <w:jc w:val="both"/>
        <w:rPr>
          <w:rFonts w:ascii="Palatino Linotype" w:hAnsi="Palatino Linotype" w:cs="Tahoma"/>
          <w:bCs/>
          <w:sz w:val="22"/>
          <w:szCs w:val="22"/>
        </w:rPr>
      </w:pPr>
    </w:p>
    <w:p w14:paraId="57285826" w14:textId="77777777" w:rsidR="008C25F1" w:rsidRPr="008C25F1" w:rsidRDefault="008C25F1" w:rsidP="008C25F1">
      <w:pPr>
        <w:spacing w:line="360" w:lineRule="auto"/>
        <w:jc w:val="both"/>
        <w:rPr>
          <w:rFonts w:ascii="Palatino Linotype" w:hAnsi="Palatino Linotype" w:cs="Tahoma"/>
          <w:bCs/>
          <w:sz w:val="22"/>
          <w:szCs w:val="22"/>
        </w:rPr>
      </w:pPr>
      <w:bookmarkStart w:id="1" w:name="_Hlk61509110"/>
      <w:r w:rsidRPr="008C25F1">
        <w:rPr>
          <w:rFonts w:ascii="Palatino Linotype" w:hAnsi="Palatino Linotype" w:cs="Tahoma"/>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1B49D1B9" w14:textId="77777777" w:rsidR="00EF27DF" w:rsidRPr="00EF27DF" w:rsidRDefault="00EF27DF" w:rsidP="00EF27DF">
      <w:pPr>
        <w:spacing w:line="360" w:lineRule="auto"/>
        <w:jc w:val="both"/>
        <w:rPr>
          <w:rFonts w:ascii="Palatino Linotype" w:eastAsia="Calibri" w:hAnsi="Palatino Linotype" w:cs="Tahoma"/>
          <w:b/>
          <w:bCs/>
          <w:sz w:val="22"/>
          <w:szCs w:val="22"/>
        </w:rPr>
      </w:pPr>
    </w:p>
    <w:p w14:paraId="0BFEF5E3" w14:textId="27E80045" w:rsidR="00EF27DF" w:rsidRPr="00EF27DF" w:rsidRDefault="007957B4" w:rsidP="00EF27DF">
      <w:pPr>
        <w:spacing w:line="360" w:lineRule="auto"/>
        <w:jc w:val="both"/>
        <w:rPr>
          <w:rFonts w:ascii="Palatino Linotype" w:hAnsi="Palatino Linotype" w:cs="Tahoma"/>
          <w:b/>
          <w:sz w:val="22"/>
          <w:szCs w:val="22"/>
        </w:rPr>
      </w:pPr>
      <w:r>
        <w:rPr>
          <w:rFonts w:ascii="Palatino Linotype" w:eastAsia="Calibri" w:hAnsi="Palatino Linotype" w:cs="Tahoma"/>
          <w:b/>
          <w:bCs/>
          <w:iCs/>
          <w:sz w:val="22"/>
          <w:szCs w:val="22"/>
          <w:lang w:val="es-ES"/>
        </w:rPr>
        <w:t>CUARTO</w:t>
      </w:r>
      <w:r w:rsidR="00EF27DF" w:rsidRPr="00EF27DF">
        <w:rPr>
          <w:rFonts w:ascii="Palatino Linotype" w:eastAsia="Calibri" w:hAnsi="Palatino Linotype" w:cs="Tahoma"/>
          <w:bCs/>
          <w:iCs/>
          <w:sz w:val="22"/>
          <w:szCs w:val="22"/>
          <w:lang w:val="es-ES"/>
        </w:rPr>
        <w:t>.</w:t>
      </w:r>
      <w:r w:rsidR="00EF27DF" w:rsidRPr="00EF27DF">
        <w:rPr>
          <w:rFonts w:ascii="Palatino Linotype" w:hAnsi="Palatino Linotype" w:cs="Tahoma"/>
          <w:b/>
          <w:sz w:val="22"/>
          <w:szCs w:val="22"/>
        </w:rPr>
        <w:t xml:space="preserve"> NOTIFÍQUESE </w:t>
      </w:r>
      <w:r w:rsidR="00EF27DF" w:rsidRPr="00EF27DF">
        <w:rPr>
          <w:rFonts w:ascii="Palatino Linotype" w:hAnsi="Palatino Linotype" w:cs="Tahoma"/>
          <w:bCs/>
          <w:sz w:val="22"/>
          <w:szCs w:val="22"/>
        </w:rPr>
        <w:t xml:space="preserve">al Recurrente la presente Resolución, </w:t>
      </w:r>
      <w:r w:rsidR="00EF27DF" w:rsidRPr="00EF27DF">
        <w:rPr>
          <w:rFonts w:ascii="Palatino Linotype" w:hAnsi="Palatino Linotype" w:cs="Tahoma"/>
          <w:bCs/>
          <w:sz w:val="22"/>
          <w:szCs w:val="22"/>
          <w:lang w:val="es-ES"/>
        </w:rPr>
        <w:t>a través del Sistema de Acceso a la Información Mexiquense (SAIMEX);</w:t>
      </w:r>
      <w:r w:rsidR="00EF27DF" w:rsidRPr="00EF27DF">
        <w:rPr>
          <w:rFonts w:ascii="Palatino Linotype" w:hAnsi="Palatino Linotype" w:cs="Tahoma"/>
          <w:bCs/>
          <w:sz w:val="22"/>
          <w:szCs w:val="22"/>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14:paraId="4F2BBA10" w14:textId="77777777" w:rsidR="00EF27DF" w:rsidRPr="00EF27DF" w:rsidRDefault="00EF27DF" w:rsidP="00EF27DF">
      <w:pPr>
        <w:spacing w:line="360" w:lineRule="auto"/>
        <w:jc w:val="both"/>
        <w:rPr>
          <w:rFonts w:ascii="Palatino Linotype" w:hAnsi="Palatino Linotype" w:cs="Tahoma"/>
          <w:sz w:val="22"/>
          <w:szCs w:val="22"/>
        </w:rPr>
      </w:pPr>
    </w:p>
    <w:p w14:paraId="314AAB34" w14:textId="73935460" w:rsidR="00592E8F" w:rsidRDefault="6E6F311A" w:rsidP="00592E8F">
      <w:pPr>
        <w:spacing w:line="360" w:lineRule="auto"/>
        <w:ind w:right="-93"/>
        <w:jc w:val="both"/>
        <w:rPr>
          <w:rFonts w:ascii="Palatino Linotype" w:eastAsia="Calibri" w:hAnsi="Palatino Linotype" w:cs="Tahoma"/>
          <w:sz w:val="22"/>
          <w:szCs w:val="22"/>
          <w:lang w:val="es-ES" w:eastAsia="en-US"/>
        </w:rPr>
      </w:pPr>
      <w:r w:rsidRPr="6E6F311A">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92E8F">
        <w:rPr>
          <w:rFonts w:ascii="Palatino Linotype" w:eastAsia="Calibri" w:hAnsi="Palatino Linotype" w:cs="Tahoma"/>
          <w:sz w:val="22"/>
          <w:szCs w:val="22"/>
          <w:lang w:val="es-ES" w:eastAsia="en-US"/>
        </w:rPr>
        <w:t xml:space="preserve">DÉCIMA </w:t>
      </w:r>
      <w:r w:rsidR="002F76BD">
        <w:rPr>
          <w:rFonts w:ascii="Palatino Linotype" w:eastAsia="Calibri" w:hAnsi="Palatino Linotype" w:cs="Tahoma"/>
          <w:sz w:val="22"/>
          <w:szCs w:val="22"/>
          <w:lang w:val="es-ES" w:eastAsia="en-US"/>
        </w:rPr>
        <w:t>QUINTA</w:t>
      </w:r>
      <w:r w:rsidRPr="6E6F311A">
        <w:rPr>
          <w:rFonts w:ascii="Palatino Linotype" w:eastAsia="Calibri" w:hAnsi="Palatino Linotype" w:cs="Tahoma"/>
          <w:sz w:val="22"/>
          <w:szCs w:val="22"/>
          <w:lang w:val="es-ES" w:eastAsia="en-US"/>
        </w:rPr>
        <w:t xml:space="preserve"> SESIÓN ORDINARIA, CELEBRADA EL </w:t>
      </w:r>
      <w:r w:rsidR="002F76BD">
        <w:rPr>
          <w:rFonts w:ascii="Palatino Linotype" w:eastAsia="Calibri" w:hAnsi="Palatino Linotype" w:cs="Tahoma"/>
          <w:sz w:val="22"/>
          <w:szCs w:val="22"/>
          <w:lang w:val="es-ES" w:eastAsia="en-US"/>
        </w:rPr>
        <w:t>VEINTISIETE</w:t>
      </w:r>
      <w:r w:rsidRPr="6E6F311A">
        <w:rPr>
          <w:rFonts w:ascii="Palatino Linotype" w:eastAsia="Calibri" w:hAnsi="Palatino Linotype" w:cs="Tahoma"/>
          <w:sz w:val="22"/>
          <w:szCs w:val="22"/>
          <w:lang w:val="es-ES" w:eastAsia="en-US"/>
        </w:rPr>
        <w:t xml:space="preserve"> DE </w:t>
      </w:r>
      <w:r w:rsidR="007957B4">
        <w:rPr>
          <w:rFonts w:ascii="Palatino Linotype" w:eastAsia="Calibri" w:hAnsi="Palatino Linotype" w:cs="Tahoma"/>
          <w:sz w:val="22"/>
          <w:szCs w:val="22"/>
          <w:lang w:val="es-ES" w:eastAsia="en-US"/>
        </w:rPr>
        <w:t>ABRIL</w:t>
      </w:r>
      <w:r w:rsidRPr="6E6F311A">
        <w:rPr>
          <w:rFonts w:ascii="Palatino Linotype" w:eastAsia="Calibri" w:hAnsi="Palatino Linotype" w:cs="Tahoma"/>
          <w:sz w:val="22"/>
          <w:szCs w:val="22"/>
          <w:lang w:val="es-ES" w:eastAsia="en-US"/>
        </w:rPr>
        <w:t xml:space="preserve"> DE DOS MIL </w:t>
      </w:r>
      <w:r w:rsidR="0098439E">
        <w:rPr>
          <w:rFonts w:ascii="Palatino Linotype" w:eastAsia="Calibri" w:hAnsi="Palatino Linotype" w:cs="Tahoma"/>
          <w:sz w:val="22"/>
          <w:szCs w:val="22"/>
          <w:lang w:val="es-ES" w:eastAsia="en-US"/>
        </w:rPr>
        <w:t>VEINTIDÓS</w:t>
      </w:r>
      <w:r w:rsidRPr="6E6F311A">
        <w:rPr>
          <w:rFonts w:ascii="Palatino Linotype" w:eastAsia="Calibri" w:hAnsi="Palatino Linotype" w:cs="Tahoma"/>
          <w:sz w:val="22"/>
          <w:szCs w:val="22"/>
          <w:lang w:val="es-ES" w:eastAsia="en-US"/>
        </w:rPr>
        <w:t>, ANTE EL SECRETARIO TÉCNICO DEL PLENO, ALEXIS TAPIA RAMÍREZ</w:t>
      </w:r>
      <w:r w:rsidR="00592E8F">
        <w:rPr>
          <w:rFonts w:ascii="Palatino Linotype" w:eastAsia="Calibri" w:hAnsi="Palatino Linotype" w:cs="Tahoma"/>
          <w:sz w:val="22"/>
          <w:szCs w:val="22"/>
          <w:lang w:val="es-ES" w:eastAsia="en-US"/>
        </w:rPr>
        <w:t>.</w:t>
      </w:r>
    </w:p>
    <w:p w14:paraId="4CDBBB5B" w14:textId="77777777" w:rsidR="00592E8F" w:rsidRDefault="00592E8F">
      <w:pPr>
        <w:spacing w:after="160" w:line="259" w:lineRule="auto"/>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br w:type="page"/>
      </w:r>
    </w:p>
    <w:p w14:paraId="432E0AEA" w14:textId="77777777" w:rsidR="0039391D" w:rsidRPr="00DD35D6" w:rsidRDefault="0039391D" w:rsidP="00592E8F">
      <w:pPr>
        <w:spacing w:line="360" w:lineRule="auto"/>
        <w:ind w:right="-93"/>
        <w:jc w:val="both"/>
        <w:rPr>
          <w:rFonts w:ascii="Palatino Linotype" w:eastAsia="Calibri" w:hAnsi="Palatino Linotype" w:cs="Tahoma"/>
          <w:bCs/>
          <w:sz w:val="22"/>
          <w:szCs w:val="22"/>
          <w:lang w:eastAsia="en-US"/>
        </w:rPr>
      </w:pPr>
    </w:p>
    <w:sectPr w:rsidR="0039391D" w:rsidRPr="00DD35D6" w:rsidSect="009D5C33">
      <w:headerReference w:type="default" r:id="rId14"/>
      <w:footerReference w:type="default" r:id="rId15"/>
      <w:headerReference w:type="first" r:id="rId16"/>
      <w:footerReference w:type="first" r:id="rId17"/>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5701F" w14:textId="77777777" w:rsidR="006E2F25" w:rsidRDefault="006E2F25" w:rsidP="00B31222">
      <w:r>
        <w:separator/>
      </w:r>
    </w:p>
  </w:endnote>
  <w:endnote w:type="continuationSeparator" w:id="0">
    <w:p w14:paraId="76DA8FF3" w14:textId="77777777" w:rsidR="006E2F25" w:rsidRDefault="006E2F25" w:rsidP="00B31222">
      <w:r>
        <w:continuationSeparator/>
      </w:r>
    </w:p>
  </w:endnote>
  <w:endnote w:type="continuationNotice" w:id="1">
    <w:p w14:paraId="2FF649B1" w14:textId="77777777" w:rsidR="006E2F25" w:rsidRDefault="006E2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5557F7" w:rsidRDefault="005557F7">
            <w:pPr>
              <w:pStyle w:val="Piedepgina"/>
              <w:jc w:val="right"/>
            </w:pPr>
          </w:p>
          <w:p w14:paraId="58BFAB62" w14:textId="0901A5F3"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75A5">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75A5">
              <w:rPr>
                <w:b/>
                <w:bCs/>
                <w:noProof/>
              </w:rPr>
              <w:t>25</w:t>
            </w:r>
            <w:r>
              <w:rPr>
                <w:b/>
                <w:bCs/>
                <w:sz w:val="24"/>
                <w:szCs w:val="24"/>
              </w:rPr>
              <w:fldChar w:fldCharType="end"/>
            </w:r>
          </w:p>
        </w:sdtContent>
      </w:sdt>
    </w:sdtContent>
  </w:sdt>
  <w:p w14:paraId="4C1EBC12" w14:textId="77777777" w:rsidR="005557F7" w:rsidRDefault="005557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75A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75A5">
              <w:rPr>
                <w:b/>
                <w:bCs/>
                <w:noProof/>
              </w:rPr>
              <w:t>25</w:t>
            </w:r>
            <w:r>
              <w:rPr>
                <w:b/>
                <w:bCs/>
                <w:sz w:val="24"/>
                <w:szCs w:val="24"/>
              </w:rPr>
              <w:fldChar w:fldCharType="end"/>
            </w:r>
          </w:p>
        </w:sdtContent>
      </w:sdt>
    </w:sdtContent>
  </w:sdt>
  <w:p w14:paraId="15BD444E" w14:textId="77777777" w:rsidR="005557F7" w:rsidRDefault="005557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ECCF" w14:textId="77777777" w:rsidR="006E2F25" w:rsidRDefault="006E2F25" w:rsidP="00B31222">
      <w:r>
        <w:separator/>
      </w:r>
    </w:p>
  </w:footnote>
  <w:footnote w:type="continuationSeparator" w:id="0">
    <w:p w14:paraId="393A4338" w14:textId="77777777" w:rsidR="006E2F25" w:rsidRDefault="006E2F25" w:rsidP="00B31222">
      <w:r>
        <w:continuationSeparator/>
      </w:r>
    </w:p>
  </w:footnote>
  <w:footnote w:type="continuationNotice" w:id="1">
    <w:p w14:paraId="06943081" w14:textId="77777777" w:rsidR="006E2F25" w:rsidRDefault="006E2F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5557F7" w:rsidRPr="005C106F" w14:paraId="717A868E" w14:textId="77777777" w:rsidTr="002465DF">
      <w:trPr>
        <w:trHeight w:val="1435"/>
      </w:trPr>
      <w:tc>
        <w:tcPr>
          <w:tcW w:w="283" w:type="dxa"/>
          <w:shd w:val="clear" w:color="auto" w:fill="auto"/>
        </w:tcPr>
        <w:p w14:paraId="4289BF87" w14:textId="424F5393" w:rsidR="005557F7" w:rsidRPr="005C106F" w:rsidRDefault="005557F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5557F7" w:rsidRDefault="005557F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5557F7" w14:paraId="39F88D19" w14:textId="77777777" w:rsidTr="002465DF">
            <w:trPr>
              <w:trHeight w:val="99"/>
            </w:trPr>
            <w:tc>
              <w:tcPr>
                <w:tcW w:w="2943" w:type="dxa"/>
              </w:tcPr>
              <w:p w14:paraId="4E3B62F5" w14:textId="77777777" w:rsidR="005557F7" w:rsidRPr="008D640C" w:rsidRDefault="005557F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56E73598" w:rsidR="005557F7" w:rsidRPr="0017323B" w:rsidRDefault="005A1C3D" w:rsidP="0064524C">
                <w:pPr>
                  <w:tabs>
                    <w:tab w:val="right" w:pos="8838"/>
                  </w:tabs>
                  <w:ind w:left="-28" w:right="171"/>
                  <w:jc w:val="both"/>
                  <w:rPr>
                    <w:rFonts w:ascii="Palatino Linotype" w:eastAsia="Calibri" w:hAnsi="Palatino Linotype" w:cs="Tahoma"/>
                    <w:bCs/>
                    <w:sz w:val="22"/>
                    <w:szCs w:val="22"/>
                    <w:lang w:eastAsia="en-US"/>
                  </w:rPr>
                </w:pPr>
                <w:r w:rsidRPr="0017323B">
                  <w:rPr>
                    <w:rFonts w:ascii="Palatino Linotype" w:hAnsi="Palatino Linotype" w:cs="Tahoma"/>
                    <w:bCs/>
                    <w:color w:val="0D0D0D" w:themeColor="text1" w:themeTint="F2"/>
                    <w:sz w:val="22"/>
                    <w:szCs w:val="22"/>
                  </w:rPr>
                  <w:t>000641/INFOEM/IP/RR/2022</w:t>
                </w:r>
              </w:p>
            </w:tc>
          </w:tr>
          <w:tr w:rsidR="005557F7" w14:paraId="3385006F" w14:textId="77777777" w:rsidTr="002465DF">
            <w:trPr>
              <w:trHeight w:val="195"/>
            </w:trPr>
            <w:tc>
              <w:tcPr>
                <w:tcW w:w="2943" w:type="dxa"/>
              </w:tcPr>
              <w:p w14:paraId="0F49CA35"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208DB90E" w:rsidR="005557F7" w:rsidRPr="0017323B" w:rsidRDefault="005A1C3D" w:rsidP="0064524C">
                <w:pPr>
                  <w:tabs>
                    <w:tab w:val="left" w:pos="2834"/>
                    <w:tab w:val="right" w:pos="8838"/>
                  </w:tabs>
                  <w:ind w:left="-28" w:right="171"/>
                  <w:jc w:val="both"/>
                  <w:rPr>
                    <w:rFonts w:ascii="Palatino Linotype" w:eastAsia="Calibri" w:hAnsi="Palatino Linotype" w:cs="Tahoma"/>
                    <w:bCs/>
                    <w:sz w:val="22"/>
                    <w:szCs w:val="22"/>
                    <w:lang w:eastAsia="en-US"/>
                  </w:rPr>
                </w:pPr>
                <w:r w:rsidRPr="0017323B">
                  <w:rPr>
                    <w:rFonts w:ascii="Palatino Linotype" w:eastAsia="Calibri" w:hAnsi="Palatino Linotype" w:cs="Tahoma"/>
                    <w:bCs/>
                    <w:sz w:val="22"/>
                    <w:szCs w:val="22"/>
                    <w:lang w:eastAsia="en-US"/>
                  </w:rPr>
                  <w:t xml:space="preserve">Ayuntamiento de </w:t>
                </w:r>
                <w:r w:rsidR="0017323B" w:rsidRPr="0017323B">
                  <w:rPr>
                    <w:rFonts w:ascii="Palatino Linotype" w:eastAsia="Calibri" w:hAnsi="Palatino Linotype" w:cs="Tahoma"/>
                    <w:bCs/>
                    <w:sz w:val="22"/>
                    <w:szCs w:val="22"/>
                    <w:lang w:eastAsia="en-US"/>
                  </w:rPr>
                  <w:t>Tequixquiac</w:t>
                </w:r>
              </w:p>
            </w:tc>
          </w:tr>
          <w:tr w:rsidR="005557F7" w14:paraId="341FB120" w14:textId="77777777" w:rsidTr="002465DF">
            <w:trPr>
              <w:trHeight w:val="404"/>
            </w:trPr>
            <w:tc>
              <w:tcPr>
                <w:tcW w:w="2943" w:type="dxa"/>
              </w:tcPr>
              <w:p w14:paraId="106E7054"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27A17D87" w:rsidR="005557F7" w:rsidRPr="0017323B" w:rsidRDefault="00C255D2" w:rsidP="0064524C">
                <w:pPr>
                  <w:tabs>
                    <w:tab w:val="right" w:pos="8838"/>
                  </w:tabs>
                  <w:ind w:left="-28" w:right="171"/>
                  <w:jc w:val="both"/>
                  <w:rPr>
                    <w:rFonts w:ascii="Palatino Linotype" w:eastAsia="Calibri" w:hAnsi="Palatino Linotype" w:cs="Tahoma"/>
                    <w:bCs/>
                    <w:sz w:val="22"/>
                    <w:szCs w:val="22"/>
                    <w:lang w:eastAsia="en-US"/>
                  </w:rPr>
                </w:pPr>
                <w:r w:rsidRPr="0017323B">
                  <w:rPr>
                    <w:rFonts w:ascii="Palatino Linotype" w:eastAsia="Calibri" w:hAnsi="Palatino Linotype" w:cs="Tahoma"/>
                    <w:bCs/>
                    <w:sz w:val="22"/>
                    <w:szCs w:val="22"/>
                    <w:lang w:eastAsia="en-US"/>
                  </w:rPr>
                  <w:t>Luis Gustavo Parra Noriega</w:t>
                </w:r>
              </w:p>
            </w:tc>
          </w:tr>
        </w:tbl>
        <w:p w14:paraId="3EDAF875" w14:textId="77777777" w:rsidR="005557F7" w:rsidRPr="005C106F" w:rsidRDefault="005557F7" w:rsidP="005743D2">
          <w:pPr>
            <w:tabs>
              <w:tab w:val="right" w:pos="8838"/>
            </w:tabs>
            <w:ind w:left="-28"/>
            <w:jc w:val="both"/>
            <w:rPr>
              <w:rFonts w:ascii="Arial" w:eastAsia="Calibri" w:hAnsi="Arial" w:cs="Arial"/>
              <w:b/>
              <w:sz w:val="22"/>
              <w:szCs w:val="22"/>
              <w:lang w:eastAsia="en-US"/>
            </w:rPr>
          </w:pPr>
        </w:p>
      </w:tc>
    </w:tr>
  </w:tbl>
  <w:p w14:paraId="1B5C8C1B"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4877B4AF"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335B855A"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59179720"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11CF0039" w14:textId="69A619A1" w:rsidR="005557F7" w:rsidRDefault="005557F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5557F7" w:rsidRPr="00443C6B" w:rsidRDefault="005557F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5557F7" w:rsidRPr="00330DA7" w14:paraId="0756BAA3" w14:textId="77777777" w:rsidTr="002465DF">
      <w:trPr>
        <w:trHeight w:val="1435"/>
      </w:trPr>
      <w:tc>
        <w:tcPr>
          <w:tcW w:w="283" w:type="dxa"/>
          <w:shd w:val="clear" w:color="auto" w:fill="auto"/>
        </w:tcPr>
        <w:p w14:paraId="79A199F2" w14:textId="77777777" w:rsidR="005557F7" w:rsidRPr="00330DA7" w:rsidRDefault="005557F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557F7" w:rsidRPr="00330DA7" w14:paraId="1FED1AD9" w14:textId="77777777" w:rsidTr="001171BD">
            <w:trPr>
              <w:trHeight w:val="144"/>
            </w:trPr>
            <w:tc>
              <w:tcPr>
                <w:tcW w:w="2727" w:type="dxa"/>
              </w:tcPr>
              <w:p w14:paraId="479BE2EF"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42246CAD" w:rsidR="005557F7" w:rsidRPr="00F50A1B" w:rsidRDefault="00ED22C4" w:rsidP="002C2524">
                <w:pPr>
                  <w:tabs>
                    <w:tab w:val="right" w:pos="8838"/>
                  </w:tabs>
                  <w:ind w:left="-74" w:right="-105"/>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00886</w:t>
                </w:r>
                <w:r w:rsidR="003F563B" w:rsidRPr="00F50A1B">
                  <w:rPr>
                    <w:rFonts w:ascii="Palatino Linotype" w:hAnsi="Palatino Linotype" w:cs="Tahoma"/>
                    <w:bCs/>
                    <w:color w:val="0D0D0D" w:themeColor="text1" w:themeTint="F2"/>
                    <w:sz w:val="22"/>
                    <w:szCs w:val="22"/>
                  </w:rPr>
                  <w:t>/INFOEM/IP/RR/2022</w:t>
                </w:r>
              </w:p>
            </w:tc>
          </w:tr>
          <w:tr w:rsidR="005557F7" w:rsidRPr="00330DA7" w14:paraId="660FE942" w14:textId="6B2EDFC8" w:rsidTr="001171BD">
            <w:trPr>
              <w:trHeight w:val="144"/>
            </w:trPr>
            <w:tc>
              <w:tcPr>
                <w:tcW w:w="2727" w:type="dxa"/>
              </w:tcPr>
              <w:p w14:paraId="662BC787"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10D24D14" w:rsidR="005557F7" w:rsidRPr="00ED22C4" w:rsidRDefault="005557F7" w:rsidP="00ED22C4">
                <w:pPr>
                  <w:tabs>
                    <w:tab w:val="right" w:pos="8838"/>
                  </w:tabs>
                  <w:ind w:left="-108" w:right="-105"/>
                  <w:jc w:val="both"/>
                  <w:rPr>
                    <w:rFonts w:ascii="Palatino Linotype" w:eastAsia="Calibri" w:hAnsi="Palatino Linotype" w:cs="Tahoma"/>
                    <w:sz w:val="22"/>
                    <w:szCs w:val="22"/>
                    <w:lang w:eastAsia="en-US"/>
                  </w:rPr>
                </w:pPr>
              </w:p>
            </w:tc>
          </w:tr>
          <w:bookmarkEnd w:id="3"/>
          <w:tr w:rsidR="005557F7" w:rsidRPr="00330DA7" w14:paraId="215691A8" w14:textId="77777777" w:rsidTr="001171BD">
            <w:trPr>
              <w:trHeight w:val="283"/>
            </w:trPr>
            <w:tc>
              <w:tcPr>
                <w:tcW w:w="2727" w:type="dxa"/>
              </w:tcPr>
              <w:p w14:paraId="0B74763A"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708E8B13" w:rsidR="005557F7" w:rsidRPr="00ED22C4" w:rsidRDefault="00ED22C4" w:rsidP="00ED22C4">
                <w:pPr>
                  <w:tabs>
                    <w:tab w:val="right" w:pos="8838"/>
                  </w:tabs>
                  <w:ind w:left="-108" w:right="-105"/>
                  <w:jc w:val="both"/>
                  <w:rPr>
                    <w:rFonts w:ascii="Palatino Linotype" w:eastAsia="Calibri" w:hAnsi="Palatino Linotype" w:cs="Tahoma"/>
                    <w:sz w:val="22"/>
                    <w:szCs w:val="22"/>
                    <w:lang w:eastAsia="en-US"/>
                  </w:rPr>
                </w:pPr>
                <w:r w:rsidRPr="00ED22C4">
                  <w:rPr>
                    <w:rFonts w:ascii="Palatino Linotype" w:eastAsia="Calibri" w:hAnsi="Palatino Linotype" w:cs="Tahoma"/>
                    <w:sz w:val="22"/>
                    <w:szCs w:val="22"/>
                    <w:lang w:eastAsia="en-US"/>
                  </w:rPr>
                  <w:t>Ayuntamiento de Tequixquiac</w:t>
                </w:r>
              </w:p>
            </w:tc>
          </w:tr>
          <w:tr w:rsidR="005557F7" w:rsidRPr="00330DA7" w14:paraId="6B309D42" w14:textId="77777777" w:rsidTr="001171BD">
            <w:trPr>
              <w:trHeight w:val="283"/>
            </w:trPr>
            <w:tc>
              <w:tcPr>
                <w:tcW w:w="2727" w:type="dxa"/>
              </w:tcPr>
              <w:p w14:paraId="111E9634"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E11CAF5" w:rsidR="005557F7" w:rsidRPr="00EA66FC" w:rsidRDefault="00C255D2" w:rsidP="00EA66FC">
                <w:pPr>
                  <w:tabs>
                    <w:tab w:val="right" w:pos="8838"/>
                  </w:tabs>
                  <w:ind w:left="-108"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Luis Gustavo Parra Noriega</w:t>
                </w:r>
              </w:p>
            </w:tc>
          </w:tr>
        </w:tbl>
        <w:p w14:paraId="430DE6A9" w14:textId="77777777" w:rsidR="005557F7" w:rsidRPr="00330DA7" w:rsidRDefault="005557F7" w:rsidP="00DB7E5F">
          <w:pPr>
            <w:tabs>
              <w:tab w:val="right" w:pos="8838"/>
            </w:tabs>
            <w:ind w:left="-28"/>
            <w:jc w:val="both"/>
            <w:rPr>
              <w:rFonts w:ascii="Arial" w:eastAsia="Calibri" w:hAnsi="Arial" w:cs="Arial"/>
              <w:b/>
              <w:sz w:val="22"/>
              <w:szCs w:val="22"/>
              <w:lang w:eastAsia="en-US"/>
            </w:rPr>
          </w:pPr>
        </w:p>
      </w:tc>
    </w:tr>
  </w:tbl>
  <w:p w14:paraId="0CB98BDD" w14:textId="00A5E0D2" w:rsidR="005557F7" w:rsidRPr="00765661" w:rsidRDefault="006E2F2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785983"/>
    <w:multiLevelType w:val="hybridMultilevel"/>
    <w:tmpl w:val="6750C9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520B4"/>
    <w:multiLevelType w:val="hybridMultilevel"/>
    <w:tmpl w:val="96F2489A"/>
    <w:lvl w:ilvl="0" w:tplc="FFFFFFFF">
      <w:start w:val="1"/>
      <w:numFmt w:val="decimal"/>
      <w:lvlText w:val="%1."/>
      <w:lvlJc w:val="left"/>
      <w:pPr>
        <w:ind w:left="927" w:hanging="360"/>
      </w:pPr>
      <w:rPr>
        <w:rFonts w:ascii="Palatino Linotype" w:eastAsia="Times New Roman" w:hAnsi="Palatino Linotype" w:cs="Tahoma"/>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15:restartNumberingAfterBreak="0">
    <w:nsid w:val="0EEF1204"/>
    <w:multiLevelType w:val="hybridMultilevel"/>
    <w:tmpl w:val="CC6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4F4B9A"/>
    <w:multiLevelType w:val="hybridMultilevel"/>
    <w:tmpl w:val="559A7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716415"/>
    <w:multiLevelType w:val="hybridMultilevel"/>
    <w:tmpl w:val="9434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F73DD6"/>
    <w:multiLevelType w:val="hybridMultilevel"/>
    <w:tmpl w:val="96F2489A"/>
    <w:lvl w:ilvl="0" w:tplc="AB708B7E">
      <w:start w:val="1"/>
      <w:numFmt w:val="decimal"/>
      <w:lvlText w:val="%1."/>
      <w:lvlJc w:val="left"/>
      <w:pPr>
        <w:ind w:left="927" w:hanging="360"/>
      </w:pPr>
      <w:rPr>
        <w:rFonts w:ascii="Palatino Linotype" w:eastAsia="Times New Roman" w:hAnsi="Palatino Linotype" w:cs="Tahoma"/>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19E77B91"/>
    <w:multiLevelType w:val="hybridMultilevel"/>
    <w:tmpl w:val="9A5A1C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B6B3A"/>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DA1E4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E5D6EFA"/>
    <w:multiLevelType w:val="hybridMultilevel"/>
    <w:tmpl w:val="188AED2E"/>
    <w:lvl w:ilvl="0" w:tplc="98BC116E">
      <w:start w:val="1"/>
      <w:numFmt w:val="lowerLetter"/>
      <w:lvlText w:val="%1)"/>
      <w:lvlJc w:val="left"/>
      <w:pPr>
        <w:ind w:left="1800" w:hanging="360"/>
      </w:pPr>
      <w:rPr>
        <w:rFonts w:hint="default"/>
        <w: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CE4035"/>
    <w:multiLevelType w:val="multilevel"/>
    <w:tmpl w:val="CCE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D7312"/>
    <w:multiLevelType w:val="hybridMultilevel"/>
    <w:tmpl w:val="332A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CD0547"/>
    <w:multiLevelType w:val="hybridMultilevel"/>
    <w:tmpl w:val="5E182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DA6AAE"/>
    <w:multiLevelType w:val="hybridMultilevel"/>
    <w:tmpl w:val="A7A4DED4"/>
    <w:lvl w:ilvl="0" w:tplc="62827B4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D0048"/>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261BFE"/>
    <w:multiLevelType w:val="hybridMultilevel"/>
    <w:tmpl w:val="122EA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EF2AE1"/>
    <w:multiLevelType w:val="hybridMultilevel"/>
    <w:tmpl w:val="2D7662BA"/>
    <w:lvl w:ilvl="0" w:tplc="D6FC0CF4">
      <w:start w:val="1"/>
      <w:numFmt w:val="decimal"/>
      <w:lvlText w:val="%1."/>
      <w:lvlJc w:val="left"/>
      <w:pPr>
        <w:ind w:left="720" w:hanging="360"/>
      </w:pPr>
      <w:rPr>
        <w:rFonts w:hint="default"/>
        <w: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4792B"/>
    <w:multiLevelType w:val="multilevel"/>
    <w:tmpl w:val="5284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BC4287"/>
    <w:multiLevelType w:val="multilevel"/>
    <w:tmpl w:val="FA4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D5C07"/>
    <w:multiLevelType w:val="hybridMultilevel"/>
    <w:tmpl w:val="607ABE08"/>
    <w:lvl w:ilvl="0" w:tplc="41ACEDCC">
      <w:start w:val="6"/>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4677D7"/>
    <w:multiLevelType w:val="hybridMultilevel"/>
    <w:tmpl w:val="6A9AFFF4"/>
    <w:lvl w:ilvl="0" w:tplc="219CBFE0">
      <w:start w:val="1"/>
      <w:numFmt w:val="upperRoman"/>
      <w:lvlText w:val="%1."/>
      <w:lvlJc w:val="left"/>
      <w:pPr>
        <w:ind w:left="1440" w:hanging="72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B5658C8"/>
    <w:multiLevelType w:val="hybridMultilevel"/>
    <w:tmpl w:val="6D5A8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130B5A"/>
    <w:multiLevelType w:val="hybridMultilevel"/>
    <w:tmpl w:val="D2A6D1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357027"/>
    <w:multiLevelType w:val="hybridMultilevel"/>
    <w:tmpl w:val="C0DAE8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5F0BF2"/>
    <w:multiLevelType w:val="hybridMultilevel"/>
    <w:tmpl w:val="92D6C6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F64BA6"/>
    <w:multiLevelType w:val="hybridMultilevel"/>
    <w:tmpl w:val="96F2489A"/>
    <w:lvl w:ilvl="0" w:tplc="FFFFFFFF">
      <w:start w:val="1"/>
      <w:numFmt w:val="decimal"/>
      <w:lvlText w:val="%1."/>
      <w:lvlJc w:val="left"/>
      <w:pPr>
        <w:ind w:left="927" w:hanging="360"/>
      </w:pPr>
      <w:rPr>
        <w:rFonts w:ascii="Palatino Linotype" w:eastAsia="Times New Roman" w:hAnsi="Palatino Linotype" w:cs="Tahoma"/>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4" w15:restartNumberingAfterBreak="0">
    <w:nsid w:val="73426C1A"/>
    <w:multiLevelType w:val="hybridMultilevel"/>
    <w:tmpl w:val="B6B859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15:restartNumberingAfterBreak="0">
    <w:nsid w:val="74BB6BA0"/>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F2689B"/>
    <w:multiLevelType w:val="hybridMultilevel"/>
    <w:tmpl w:val="9274D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9326022">
    <w:abstractNumId w:val="0"/>
  </w:num>
  <w:num w:numId="2" w16cid:durableId="1225144481">
    <w:abstractNumId w:val="36"/>
  </w:num>
  <w:num w:numId="3" w16cid:durableId="185794849">
    <w:abstractNumId w:val="28"/>
  </w:num>
  <w:num w:numId="4" w16cid:durableId="1144616341">
    <w:abstractNumId w:val="6"/>
  </w:num>
  <w:num w:numId="5" w16cid:durableId="1653560344">
    <w:abstractNumId w:val="15"/>
  </w:num>
  <w:num w:numId="6" w16cid:durableId="210387133">
    <w:abstractNumId w:val="34"/>
  </w:num>
  <w:num w:numId="7" w16cid:durableId="789006990">
    <w:abstractNumId w:val="35"/>
  </w:num>
  <w:num w:numId="8" w16cid:durableId="1433554247">
    <w:abstractNumId w:val="20"/>
  </w:num>
  <w:num w:numId="9" w16cid:durableId="1039473494">
    <w:abstractNumId w:val="19"/>
  </w:num>
  <w:num w:numId="10" w16cid:durableId="1745911233">
    <w:abstractNumId w:val="17"/>
  </w:num>
  <w:num w:numId="11" w16cid:durableId="845831383">
    <w:abstractNumId w:val="9"/>
  </w:num>
  <w:num w:numId="12" w16cid:durableId="287975494">
    <w:abstractNumId w:val="31"/>
  </w:num>
  <w:num w:numId="13" w16cid:durableId="243340325">
    <w:abstractNumId w:val="1"/>
  </w:num>
  <w:num w:numId="14" w16cid:durableId="1104495727">
    <w:abstractNumId w:val="12"/>
  </w:num>
  <w:num w:numId="15" w16cid:durableId="619341270">
    <w:abstractNumId w:val="21"/>
  </w:num>
  <w:num w:numId="16" w16cid:durableId="758403219">
    <w:abstractNumId w:val="2"/>
  </w:num>
  <w:num w:numId="17" w16cid:durableId="479613533">
    <w:abstractNumId w:val="11"/>
  </w:num>
  <w:num w:numId="18" w16cid:durableId="1298531341">
    <w:abstractNumId w:val="24"/>
  </w:num>
  <w:num w:numId="19" w16cid:durableId="1421756517">
    <w:abstractNumId w:val="23"/>
  </w:num>
  <w:num w:numId="20" w16cid:durableId="230623163">
    <w:abstractNumId w:val="16"/>
  </w:num>
  <w:num w:numId="21" w16cid:durableId="941762040">
    <w:abstractNumId w:val="27"/>
  </w:num>
  <w:num w:numId="22" w16cid:durableId="1279139039">
    <w:abstractNumId w:val="13"/>
  </w:num>
  <w:num w:numId="23" w16cid:durableId="596140515">
    <w:abstractNumId w:val="4"/>
  </w:num>
  <w:num w:numId="24" w16cid:durableId="596639767">
    <w:abstractNumId w:val="37"/>
  </w:num>
  <w:num w:numId="25" w16cid:durableId="1451974565">
    <w:abstractNumId w:val="22"/>
  </w:num>
  <w:num w:numId="26" w16cid:durableId="1285311404">
    <w:abstractNumId w:val="26"/>
  </w:num>
  <w:num w:numId="27" w16cid:durableId="734007890">
    <w:abstractNumId w:val="14"/>
  </w:num>
  <w:num w:numId="28" w16cid:durableId="1051853956">
    <w:abstractNumId w:val="32"/>
  </w:num>
  <w:num w:numId="29" w16cid:durableId="1820026783">
    <w:abstractNumId w:val="30"/>
  </w:num>
  <w:num w:numId="30" w16cid:durableId="1722440825">
    <w:abstractNumId w:val="8"/>
  </w:num>
  <w:num w:numId="31" w16cid:durableId="1556356037">
    <w:abstractNumId w:val="33"/>
  </w:num>
  <w:num w:numId="32" w16cid:durableId="1165122982">
    <w:abstractNumId w:val="3"/>
  </w:num>
  <w:num w:numId="33" w16cid:durableId="288703790">
    <w:abstractNumId w:val="18"/>
  </w:num>
  <w:num w:numId="34" w16cid:durableId="7433382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716985">
    <w:abstractNumId w:val="10"/>
  </w:num>
  <w:num w:numId="36" w16cid:durableId="1371687679">
    <w:abstractNumId w:val="29"/>
  </w:num>
  <w:num w:numId="37" w16cid:durableId="847984660">
    <w:abstractNumId w:val="7"/>
  </w:num>
  <w:num w:numId="38" w16cid:durableId="1492020508">
    <w:abstractNumId w:val="25"/>
  </w:num>
  <w:num w:numId="39" w16cid:durableId="183410372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72E1"/>
    <w:rsid w:val="00007ECA"/>
    <w:rsid w:val="00010D97"/>
    <w:rsid w:val="00010E29"/>
    <w:rsid w:val="0001124C"/>
    <w:rsid w:val="00011C35"/>
    <w:rsid w:val="00012C24"/>
    <w:rsid w:val="00012DBA"/>
    <w:rsid w:val="00012E80"/>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3713"/>
    <w:rsid w:val="0002410C"/>
    <w:rsid w:val="000241C5"/>
    <w:rsid w:val="00024A96"/>
    <w:rsid w:val="00024D74"/>
    <w:rsid w:val="00024F5F"/>
    <w:rsid w:val="0002561A"/>
    <w:rsid w:val="00025F5D"/>
    <w:rsid w:val="00026656"/>
    <w:rsid w:val="00027019"/>
    <w:rsid w:val="00027906"/>
    <w:rsid w:val="00027F0F"/>
    <w:rsid w:val="000312F0"/>
    <w:rsid w:val="000313A7"/>
    <w:rsid w:val="00031FB2"/>
    <w:rsid w:val="00032F5B"/>
    <w:rsid w:val="00033BE7"/>
    <w:rsid w:val="00033F9F"/>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115F"/>
    <w:rsid w:val="000614B4"/>
    <w:rsid w:val="0006199A"/>
    <w:rsid w:val="000620E1"/>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2E7E"/>
    <w:rsid w:val="0008327F"/>
    <w:rsid w:val="00083520"/>
    <w:rsid w:val="00084CD3"/>
    <w:rsid w:val="000853C2"/>
    <w:rsid w:val="000861A5"/>
    <w:rsid w:val="00087158"/>
    <w:rsid w:val="0008781B"/>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A4E"/>
    <w:rsid w:val="000B1D37"/>
    <w:rsid w:val="000B1EE2"/>
    <w:rsid w:val="000B1EE8"/>
    <w:rsid w:val="000B2401"/>
    <w:rsid w:val="000B262E"/>
    <w:rsid w:val="000B2C93"/>
    <w:rsid w:val="000B2F77"/>
    <w:rsid w:val="000B36DD"/>
    <w:rsid w:val="000B5711"/>
    <w:rsid w:val="000B6020"/>
    <w:rsid w:val="000B7CE9"/>
    <w:rsid w:val="000C026D"/>
    <w:rsid w:val="000C17B2"/>
    <w:rsid w:val="000C180C"/>
    <w:rsid w:val="000C1D33"/>
    <w:rsid w:val="000C2283"/>
    <w:rsid w:val="000C27CA"/>
    <w:rsid w:val="000C3DD9"/>
    <w:rsid w:val="000C3F3D"/>
    <w:rsid w:val="000C589B"/>
    <w:rsid w:val="000C59CB"/>
    <w:rsid w:val="000C5A78"/>
    <w:rsid w:val="000C5CEE"/>
    <w:rsid w:val="000D06DE"/>
    <w:rsid w:val="000D0B08"/>
    <w:rsid w:val="000D1DDF"/>
    <w:rsid w:val="000D21AC"/>
    <w:rsid w:val="000D22BF"/>
    <w:rsid w:val="000D2A27"/>
    <w:rsid w:val="000D4028"/>
    <w:rsid w:val="000D49ED"/>
    <w:rsid w:val="000D4C39"/>
    <w:rsid w:val="000D5BFB"/>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2C7"/>
    <w:rsid w:val="001150E9"/>
    <w:rsid w:val="001155C0"/>
    <w:rsid w:val="001166C8"/>
    <w:rsid w:val="00116AB6"/>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70545"/>
    <w:rsid w:val="0017140B"/>
    <w:rsid w:val="00171613"/>
    <w:rsid w:val="00171ADD"/>
    <w:rsid w:val="0017323B"/>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5BE7"/>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4F77"/>
    <w:rsid w:val="001951B7"/>
    <w:rsid w:val="001954D2"/>
    <w:rsid w:val="0019579E"/>
    <w:rsid w:val="00195BA5"/>
    <w:rsid w:val="00195E1E"/>
    <w:rsid w:val="0019600C"/>
    <w:rsid w:val="00196522"/>
    <w:rsid w:val="00197CEC"/>
    <w:rsid w:val="001A1B94"/>
    <w:rsid w:val="001A22F5"/>
    <w:rsid w:val="001A2587"/>
    <w:rsid w:val="001A2B55"/>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47BFB"/>
    <w:rsid w:val="00250142"/>
    <w:rsid w:val="00250389"/>
    <w:rsid w:val="00251FF7"/>
    <w:rsid w:val="00252354"/>
    <w:rsid w:val="00252669"/>
    <w:rsid w:val="002527AF"/>
    <w:rsid w:val="002527B4"/>
    <w:rsid w:val="00252E75"/>
    <w:rsid w:val="00252F31"/>
    <w:rsid w:val="00253D16"/>
    <w:rsid w:val="00254209"/>
    <w:rsid w:val="00254288"/>
    <w:rsid w:val="00254523"/>
    <w:rsid w:val="0025469C"/>
    <w:rsid w:val="002550C4"/>
    <w:rsid w:val="00255B8E"/>
    <w:rsid w:val="00255F1E"/>
    <w:rsid w:val="00257460"/>
    <w:rsid w:val="002579CE"/>
    <w:rsid w:val="002606CD"/>
    <w:rsid w:val="002606E8"/>
    <w:rsid w:val="00260FEC"/>
    <w:rsid w:val="00261DD6"/>
    <w:rsid w:val="00263023"/>
    <w:rsid w:val="0026324B"/>
    <w:rsid w:val="00263885"/>
    <w:rsid w:val="00264E5F"/>
    <w:rsid w:val="0026500A"/>
    <w:rsid w:val="002657E2"/>
    <w:rsid w:val="002671CF"/>
    <w:rsid w:val="00267528"/>
    <w:rsid w:val="00267875"/>
    <w:rsid w:val="002700CF"/>
    <w:rsid w:val="00270DBB"/>
    <w:rsid w:val="00271098"/>
    <w:rsid w:val="002713C8"/>
    <w:rsid w:val="00271E0B"/>
    <w:rsid w:val="0027276F"/>
    <w:rsid w:val="002727CC"/>
    <w:rsid w:val="00273679"/>
    <w:rsid w:val="00273EC5"/>
    <w:rsid w:val="002751E1"/>
    <w:rsid w:val="00275268"/>
    <w:rsid w:val="00275BA6"/>
    <w:rsid w:val="00275CC4"/>
    <w:rsid w:val="00275D99"/>
    <w:rsid w:val="0027656C"/>
    <w:rsid w:val="00277559"/>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0B5B"/>
    <w:rsid w:val="002D1509"/>
    <w:rsid w:val="002D19ED"/>
    <w:rsid w:val="002D1BE4"/>
    <w:rsid w:val="002D1D6C"/>
    <w:rsid w:val="002D245E"/>
    <w:rsid w:val="002D25C1"/>
    <w:rsid w:val="002D3FA0"/>
    <w:rsid w:val="002D481C"/>
    <w:rsid w:val="002D4AFF"/>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2F76BD"/>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170B"/>
    <w:rsid w:val="00323325"/>
    <w:rsid w:val="00323766"/>
    <w:rsid w:val="003243B0"/>
    <w:rsid w:val="00324F14"/>
    <w:rsid w:val="003250CF"/>
    <w:rsid w:val="00325EC0"/>
    <w:rsid w:val="00327913"/>
    <w:rsid w:val="00330729"/>
    <w:rsid w:val="00330DA7"/>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3B6D"/>
    <w:rsid w:val="003545B6"/>
    <w:rsid w:val="003547EF"/>
    <w:rsid w:val="00354920"/>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803"/>
    <w:rsid w:val="003729CD"/>
    <w:rsid w:val="00372CCA"/>
    <w:rsid w:val="00373387"/>
    <w:rsid w:val="00373CE4"/>
    <w:rsid w:val="00373D48"/>
    <w:rsid w:val="00374624"/>
    <w:rsid w:val="00374683"/>
    <w:rsid w:val="003749EC"/>
    <w:rsid w:val="00374AFC"/>
    <w:rsid w:val="00374D97"/>
    <w:rsid w:val="00374E2B"/>
    <w:rsid w:val="00374EB6"/>
    <w:rsid w:val="003756AF"/>
    <w:rsid w:val="00375815"/>
    <w:rsid w:val="00375AF7"/>
    <w:rsid w:val="00375B21"/>
    <w:rsid w:val="00377383"/>
    <w:rsid w:val="00377669"/>
    <w:rsid w:val="003800D0"/>
    <w:rsid w:val="003803EE"/>
    <w:rsid w:val="00380441"/>
    <w:rsid w:val="003806DB"/>
    <w:rsid w:val="00380AB9"/>
    <w:rsid w:val="00381447"/>
    <w:rsid w:val="00381E0A"/>
    <w:rsid w:val="00382696"/>
    <w:rsid w:val="0038312D"/>
    <w:rsid w:val="0038358D"/>
    <w:rsid w:val="00383A84"/>
    <w:rsid w:val="00383C5C"/>
    <w:rsid w:val="00384242"/>
    <w:rsid w:val="0038438A"/>
    <w:rsid w:val="00384633"/>
    <w:rsid w:val="00384DF7"/>
    <w:rsid w:val="003858D9"/>
    <w:rsid w:val="00385F16"/>
    <w:rsid w:val="003864D2"/>
    <w:rsid w:val="003870E2"/>
    <w:rsid w:val="00387191"/>
    <w:rsid w:val="00387C00"/>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24F5"/>
    <w:rsid w:val="003A281B"/>
    <w:rsid w:val="003A357E"/>
    <w:rsid w:val="003A3A5A"/>
    <w:rsid w:val="003A407B"/>
    <w:rsid w:val="003A461D"/>
    <w:rsid w:val="003A47E4"/>
    <w:rsid w:val="003A693B"/>
    <w:rsid w:val="003A6E62"/>
    <w:rsid w:val="003A78B5"/>
    <w:rsid w:val="003A7BE8"/>
    <w:rsid w:val="003A7C85"/>
    <w:rsid w:val="003A7FBE"/>
    <w:rsid w:val="003B04F1"/>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3F1C"/>
    <w:rsid w:val="003C4082"/>
    <w:rsid w:val="003C4742"/>
    <w:rsid w:val="003C532A"/>
    <w:rsid w:val="003C5C01"/>
    <w:rsid w:val="003C6486"/>
    <w:rsid w:val="003C6934"/>
    <w:rsid w:val="003C7F39"/>
    <w:rsid w:val="003C7FD0"/>
    <w:rsid w:val="003D0268"/>
    <w:rsid w:val="003D0E07"/>
    <w:rsid w:val="003D192F"/>
    <w:rsid w:val="003D1A43"/>
    <w:rsid w:val="003D1A64"/>
    <w:rsid w:val="003D3548"/>
    <w:rsid w:val="003D46A3"/>
    <w:rsid w:val="003D48F9"/>
    <w:rsid w:val="003D537A"/>
    <w:rsid w:val="003D5FF4"/>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1EE0"/>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6DE8"/>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6FD3"/>
    <w:rsid w:val="0043710C"/>
    <w:rsid w:val="00437A03"/>
    <w:rsid w:val="004406CF"/>
    <w:rsid w:val="00441804"/>
    <w:rsid w:val="00442002"/>
    <w:rsid w:val="00442A31"/>
    <w:rsid w:val="004435B4"/>
    <w:rsid w:val="0044360B"/>
    <w:rsid w:val="004439DD"/>
    <w:rsid w:val="004446C8"/>
    <w:rsid w:val="004448AE"/>
    <w:rsid w:val="00444B20"/>
    <w:rsid w:val="0044550A"/>
    <w:rsid w:val="004467C5"/>
    <w:rsid w:val="004468FA"/>
    <w:rsid w:val="00447544"/>
    <w:rsid w:val="00447F7D"/>
    <w:rsid w:val="00452064"/>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0902"/>
    <w:rsid w:val="00471899"/>
    <w:rsid w:val="00471DB3"/>
    <w:rsid w:val="00471F12"/>
    <w:rsid w:val="004720B0"/>
    <w:rsid w:val="004726BC"/>
    <w:rsid w:val="004734BA"/>
    <w:rsid w:val="0047369C"/>
    <w:rsid w:val="00473B2C"/>
    <w:rsid w:val="00473CBC"/>
    <w:rsid w:val="00474EF1"/>
    <w:rsid w:val="004751D6"/>
    <w:rsid w:val="0047586C"/>
    <w:rsid w:val="00475D20"/>
    <w:rsid w:val="00475DA5"/>
    <w:rsid w:val="00475E6B"/>
    <w:rsid w:val="0047616B"/>
    <w:rsid w:val="0047673C"/>
    <w:rsid w:val="00476AB2"/>
    <w:rsid w:val="00477DBA"/>
    <w:rsid w:val="00477E20"/>
    <w:rsid w:val="00480BB8"/>
    <w:rsid w:val="0048153E"/>
    <w:rsid w:val="00481D51"/>
    <w:rsid w:val="0048519E"/>
    <w:rsid w:val="0048524F"/>
    <w:rsid w:val="00485C4A"/>
    <w:rsid w:val="00485EC7"/>
    <w:rsid w:val="004860BD"/>
    <w:rsid w:val="00487430"/>
    <w:rsid w:val="0048794C"/>
    <w:rsid w:val="00487A54"/>
    <w:rsid w:val="00487D2B"/>
    <w:rsid w:val="00487F36"/>
    <w:rsid w:val="00490E60"/>
    <w:rsid w:val="00492721"/>
    <w:rsid w:val="004933B7"/>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3C1"/>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3F4"/>
    <w:rsid w:val="004A7990"/>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8C1"/>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24F"/>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1F14"/>
    <w:rsid w:val="004F2D88"/>
    <w:rsid w:val="004F3018"/>
    <w:rsid w:val="004F3D21"/>
    <w:rsid w:val="004F56BB"/>
    <w:rsid w:val="004F60EF"/>
    <w:rsid w:val="004F737E"/>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93C"/>
    <w:rsid w:val="005220BE"/>
    <w:rsid w:val="00522D55"/>
    <w:rsid w:val="00523785"/>
    <w:rsid w:val="00523F88"/>
    <w:rsid w:val="005243C5"/>
    <w:rsid w:val="00524903"/>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769"/>
    <w:rsid w:val="00546BAE"/>
    <w:rsid w:val="00546C4E"/>
    <w:rsid w:val="0054766F"/>
    <w:rsid w:val="00547789"/>
    <w:rsid w:val="00547FD6"/>
    <w:rsid w:val="00551F6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750"/>
    <w:rsid w:val="005619AA"/>
    <w:rsid w:val="0056271B"/>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891"/>
    <w:rsid w:val="00580A33"/>
    <w:rsid w:val="00580BBC"/>
    <w:rsid w:val="005813F2"/>
    <w:rsid w:val="0058177F"/>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2E8F"/>
    <w:rsid w:val="00593664"/>
    <w:rsid w:val="0059369E"/>
    <w:rsid w:val="00593CB4"/>
    <w:rsid w:val="00593E68"/>
    <w:rsid w:val="00594652"/>
    <w:rsid w:val="00596010"/>
    <w:rsid w:val="005970E0"/>
    <w:rsid w:val="00597E65"/>
    <w:rsid w:val="005A02DB"/>
    <w:rsid w:val="005A05BA"/>
    <w:rsid w:val="005A1A4A"/>
    <w:rsid w:val="005A1C3D"/>
    <w:rsid w:val="005A2395"/>
    <w:rsid w:val="005A2EAD"/>
    <w:rsid w:val="005A3D27"/>
    <w:rsid w:val="005A457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5CB1"/>
    <w:rsid w:val="005B63D5"/>
    <w:rsid w:val="005B6854"/>
    <w:rsid w:val="005B73A4"/>
    <w:rsid w:val="005C00D2"/>
    <w:rsid w:val="005C0836"/>
    <w:rsid w:val="005C0C03"/>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5D6F"/>
    <w:rsid w:val="005C651C"/>
    <w:rsid w:val="005C656A"/>
    <w:rsid w:val="005C6D86"/>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03E6"/>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48F1"/>
    <w:rsid w:val="005F53A4"/>
    <w:rsid w:val="005F5A81"/>
    <w:rsid w:val="005F5BAA"/>
    <w:rsid w:val="005F6434"/>
    <w:rsid w:val="005F6506"/>
    <w:rsid w:val="005F67DB"/>
    <w:rsid w:val="005F739C"/>
    <w:rsid w:val="00600038"/>
    <w:rsid w:val="0060077A"/>
    <w:rsid w:val="00601E59"/>
    <w:rsid w:val="00603A46"/>
    <w:rsid w:val="0060400C"/>
    <w:rsid w:val="0060404B"/>
    <w:rsid w:val="006042B9"/>
    <w:rsid w:val="0060432C"/>
    <w:rsid w:val="00604E10"/>
    <w:rsid w:val="006057A8"/>
    <w:rsid w:val="00606194"/>
    <w:rsid w:val="00607F45"/>
    <w:rsid w:val="00610E0B"/>
    <w:rsid w:val="00611044"/>
    <w:rsid w:val="0061115C"/>
    <w:rsid w:val="00611233"/>
    <w:rsid w:val="00611A49"/>
    <w:rsid w:val="00612A69"/>
    <w:rsid w:val="00613017"/>
    <w:rsid w:val="00613344"/>
    <w:rsid w:val="00613703"/>
    <w:rsid w:val="00613A54"/>
    <w:rsid w:val="00613BF0"/>
    <w:rsid w:val="0061430E"/>
    <w:rsid w:val="006143FB"/>
    <w:rsid w:val="00614A81"/>
    <w:rsid w:val="006155D5"/>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94"/>
    <w:rsid w:val="0063101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524C"/>
    <w:rsid w:val="00645F7D"/>
    <w:rsid w:val="00646100"/>
    <w:rsid w:val="00646A84"/>
    <w:rsid w:val="006476CA"/>
    <w:rsid w:val="00647AD3"/>
    <w:rsid w:val="006506F5"/>
    <w:rsid w:val="006512E7"/>
    <w:rsid w:val="00651680"/>
    <w:rsid w:val="006516BF"/>
    <w:rsid w:val="0065263A"/>
    <w:rsid w:val="00652EBA"/>
    <w:rsid w:val="0065476A"/>
    <w:rsid w:val="00654E60"/>
    <w:rsid w:val="0065500E"/>
    <w:rsid w:val="006552AE"/>
    <w:rsid w:val="00655773"/>
    <w:rsid w:val="0065625A"/>
    <w:rsid w:val="006563CA"/>
    <w:rsid w:val="00656EF9"/>
    <w:rsid w:val="00657066"/>
    <w:rsid w:val="006573E2"/>
    <w:rsid w:val="006577CA"/>
    <w:rsid w:val="006578FC"/>
    <w:rsid w:val="00657ABF"/>
    <w:rsid w:val="006608AB"/>
    <w:rsid w:val="006620DA"/>
    <w:rsid w:val="00662E72"/>
    <w:rsid w:val="00663904"/>
    <w:rsid w:val="006642D0"/>
    <w:rsid w:val="006644B6"/>
    <w:rsid w:val="00664587"/>
    <w:rsid w:val="006656A5"/>
    <w:rsid w:val="0066578D"/>
    <w:rsid w:val="00665E05"/>
    <w:rsid w:val="00666F25"/>
    <w:rsid w:val="00667610"/>
    <w:rsid w:val="00667C1C"/>
    <w:rsid w:val="0067001F"/>
    <w:rsid w:val="00670A43"/>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3066"/>
    <w:rsid w:val="0068338F"/>
    <w:rsid w:val="0068455C"/>
    <w:rsid w:val="00684887"/>
    <w:rsid w:val="006865C2"/>
    <w:rsid w:val="006867FA"/>
    <w:rsid w:val="006872AA"/>
    <w:rsid w:val="00687F1D"/>
    <w:rsid w:val="006906D6"/>
    <w:rsid w:val="00690BC2"/>
    <w:rsid w:val="00690F24"/>
    <w:rsid w:val="00691A2B"/>
    <w:rsid w:val="00692EC1"/>
    <w:rsid w:val="00693551"/>
    <w:rsid w:val="00693C8E"/>
    <w:rsid w:val="00694335"/>
    <w:rsid w:val="0069483F"/>
    <w:rsid w:val="00694E44"/>
    <w:rsid w:val="00694F73"/>
    <w:rsid w:val="0069560B"/>
    <w:rsid w:val="00695ED4"/>
    <w:rsid w:val="00696413"/>
    <w:rsid w:val="006964A4"/>
    <w:rsid w:val="006969BA"/>
    <w:rsid w:val="00696CC0"/>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B0298"/>
    <w:rsid w:val="006B0E83"/>
    <w:rsid w:val="006B1357"/>
    <w:rsid w:val="006B2679"/>
    <w:rsid w:val="006B286F"/>
    <w:rsid w:val="006B2A87"/>
    <w:rsid w:val="006B2DC9"/>
    <w:rsid w:val="006B4196"/>
    <w:rsid w:val="006B5493"/>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F60"/>
    <w:rsid w:val="006D522C"/>
    <w:rsid w:val="006D56AA"/>
    <w:rsid w:val="006D63A8"/>
    <w:rsid w:val="006D643F"/>
    <w:rsid w:val="006D7795"/>
    <w:rsid w:val="006D7ACB"/>
    <w:rsid w:val="006E00EF"/>
    <w:rsid w:val="006E06BB"/>
    <w:rsid w:val="006E15EA"/>
    <w:rsid w:val="006E18C7"/>
    <w:rsid w:val="006E19BF"/>
    <w:rsid w:val="006E1A7A"/>
    <w:rsid w:val="006E1FBA"/>
    <w:rsid w:val="006E20DE"/>
    <w:rsid w:val="006E2F25"/>
    <w:rsid w:val="006E3E54"/>
    <w:rsid w:val="006E407B"/>
    <w:rsid w:val="006E43F3"/>
    <w:rsid w:val="006E45AA"/>
    <w:rsid w:val="006E469B"/>
    <w:rsid w:val="006E4723"/>
    <w:rsid w:val="006E477D"/>
    <w:rsid w:val="006E569C"/>
    <w:rsid w:val="006E678F"/>
    <w:rsid w:val="006E716F"/>
    <w:rsid w:val="006E7DA9"/>
    <w:rsid w:val="006E7DEE"/>
    <w:rsid w:val="006F01E7"/>
    <w:rsid w:val="006F0A11"/>
    <w:rsid w:val="006F15EB"/>
    <w:rsid w:val="006F1F3A"/>
    <w:rsid w:val="006F2F5E"/>
    <w:rsid w:val="006F384A"/>
    <w:rsid w:val="006F710A"/>
    <w:rsid w:val="006F7EB8"/>
    <w:rsid w:val="006F7F1C"/>
    <w:rsid w:val="00700324"/>
    <w:rsid w:val="0070094A"/>
    <w:rsid w:val="007013CB"/>
    <w:rsid w:val="007018AC"/>
    <w:rsid w:val="007019B1"/>
    <w:rsid w:val="00702C3C"/>
    <w:rsid w:val="00702D85"/>
    <w:rsid w:val="00702DD7"/>
    <w:rsid w:val="0070327B"/>
    <w:rsid w:val="00703D21"/>
    <w:rsid w:val="007047D3"/>
    <w:rsid w:val="00704FD0"/>
    <w:rsid w:val="00705663"/>
    <w:rsid w:val="00705AB4"/>
    <w:rsid w:val="00705C40"/>
    <w:rsid w:val="007076E0"/>
    <w:rsid w:val="00707F1C"/>
    <w:rsid w:val="0071087E"/>
    <w:rsid w:val="00711885"/>
    <w:rsid w:val="0071246B"/>
    <w:rsid w:val="00713645"/>
    <w:rsid w:val="007147C2"/>
    <w:rsid w:val="0071530B"/>
    <w:rsid w:val="00716001"/>
    <w:rsid w:val="007169A8"/>
    <w:rsid w:val="007172C2"/>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6BD"/>
    <w:rsid w:val="00727A1C"/>
    <w:rsid w:val="00727ACB"/>
    <w:rsid w:val="0073051D"/>
    <w:rsid w:val="00730D35"/>
    <w:rsid w:val="0073135D"/>
    <w:rsid w:val="00731702"/>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37EB6"/>
    <w:rsid w:val="007400DA"/>
    <w:rsid w:val="007402A3"/>
    <w:rsid w:val="00740398"/>
    <w:rsid w:val="00740A9D"/>
    <w:rsid w:val="00740C8C"/>
    <w:rsid w:val="00741AC4"/>
    <w:rsid w:val="00742AE3"/>
    <w:rsid w:val="00742CA5"/>
    <w:rsid w:val="007460D7"/>
    <w:rsid w:val="00750EC3"/>
    <w:rsid w:val="007513F0"/>
    <w:rsid w:val="007515BC"/>
    <w:rsid w:val="00752204"/>
    <w:rsid w:val="00752223"/>
    <w:rsid w:val="00752606"/>
    <w:rsid w:val="007531E9"/>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506"/>
    <w:rsid w:val="007839C9"/>
    <w:rsid w:val="00783A24"/>
    <w:rsid w:val="0078400A"/>
    <w:rsid w:val="0078483E"/>
    <w:rsid w:val="00785461"/>
    <w:rsid w:val="007866BA"/>
    <w:rsid w:val="00786FF3"/>
    <w:rsid w:val="007876CF"/>
    <w:rsid w:val="00787B77"/>
    <w:rsid w:val="007902F1"/>
    <w:rsid w:val="00790463"/>
    <w:rsid w:val="00790946"/>
    <w:rsid w:val="007909C3"/>
    <w:rsid w:val="00791361"/>
    <w:rsid w:val="0079260D"/>
    <w:rsid w:val="00793070"/>
    <w:rsid w:val="00793090"/>
    <w:rsid w:val="007931B1"/>
    <w:rsid w:val="0079334A"/>
    <w:rsid w:val="007948D3"/>
    <w:rsid w:val="0079546C"/>
    <w:rsid w:val="00795691"/>
    <w:rsid w:val="007957B4"/>
    <w:rsid w:val="0079685C"/>
    <w:rsid w:val="00796C01"/>
    <w:rsid w:val="00796C9B"/>
    <w:rsid w:val="00796F2A"/>
    <w:rsid w:val="00797237"/>
    <w:rsid w:val="007A00D4"/>
    <w:rsid w:val="007A0176"/>
    <w:rsid w:val="007A0314"/>
    <w:rsid w:val="007A059A"/>
    <w:rsid w:val="007A06E4"/>
    <w:rsid w:val="007A0957"/>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D0014"/>
    <w:rsid w:val="007D03E3"/>
    <w:rsid w:val="007D1EE1"/>
    <w:rsid w:val="007D22A8"/>
    <w:rsid w:val="007D2F75"/>
    <w:rsid w:val="007D3400"/>
    <w:rsid w:val="007D5162"/>
    <w:rsid w:val="007D5D16"/>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324"/>
    <w:rsid w:val="008037C9"/>
    <w:rsid w:val="00805C77"/>
    <w:rsid w:val="00806051"/>
    <w:rsid w:val="00806724"/>
    <w:rsid w:val="00806BBF"/>
    <w:rsid w:val="00807232"/>
    <w:rsid w:val="008074C4"/>
    <w:rsid w:val="0080799F"/>
    <w:rsid w:val="00807FA7"/>
    <w:rsid w:val="00810515"/>
    <w:rsid w:val="0081084A"/>
    <w:rsid w:val="00810C43"/>
    <w:rsid w:val="008110C5"/>
    <w:rsid w:val="008117F6"/>
    <w:rsid w:val="0081283F"/>
    <w:rsid w:val="00812C0C"/>
    <w:rsid w:val="00812E19"/>
    <w:rsid w:val="00813BB1"/>
    <w:rsid w:val="00813C38"/>
    <w:rsid w:val="00813FF9"/>
    <w:rsid w:val="0081480A"/>
    <w:rsid w:val="00815123"/>
    <w:rsid w:val="0081526C"/>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15CE"/>
    <w:rsid w:val="00831BF5"/>
    <w:rsid w:val="00831E20"/>
    <w:rsid w:val="00832BAC"/>
    <w:rsid w:val="008336A5"/>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D7"/>
    <w:rsid w:val="00844A83"/>
    <w:rsid w:val="00844AC9"/>
    <w:rsid w:val="00844CB5"/>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60FBA"/>
    <w:rsid w:val="0086106B"/>
    <w:rsid w:val="0086231B"/>
    <w:rsid w:val="00862771"/>
    <w:rsid w:val="008631E0"/>
    <w:rsid w:val="00863A1C"/>
    <w:rsid w:val="008642BE"/>
    <w:rsid w:val="0086515E"/>
    <w:rsid w:val="008659BA"/>
    <w:rsid w:val="0086682F"/>
    <w:rsid w:val="00866F9E"/>
    <w:rsid w:val="00867687"/>
    <w:rsid w:val="00867896"/>
    <w:rsid w:val="008704DF"/>
    <w:rsid w:val="0087258E"/>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51E"/>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7A1"/>
    <w:rsid w:val="00896801"/>
    <w:rsid w:val="00897404"/>
    <w:rsid w:val="00897444"/>
    <w:rsid w:val="0089760F"/>
    <w:rsid w:val="00897BD9"/>
    <w:rsid w:val="008A02C0"/>
    <w:rsid w:val="008A03A5"/>
    <w:rsid w:val="008A0600"/>
    <w:rsid w:val="008A0DF3"/>
    <w:rsid w:val="008A1134"/>
    <w:rsid w:val="008A1757"/>
    <w:rsid w:val="008A1B76"/>
    <w:rsid w:val="008A282C"/>
    <w:rsid w:val="008A2B45"/>
    <w:rsid w:val="008A3054"/>
    <w:rsid w:val="008A3F77"/>
    <w:rsid w:val="008A4110"/>
    <w:rsid w:val="008A4138"/>
    <w:rsid w:val="008A4A47"/>
    <w:rsid w:val="008A4B66"/>
    <w:rsid w:val="008A5B9E"/>
    <w:rsid w:val="008A5D96"/>
    <w:rsid w:val="008A70D7"/>
    <w:rsid w:val="008A7498"/>
    <w:rsid w:val="008A7C03"/>
    <w:rsid w:val="008B0A26"/>
    <w:rsid w:val="008B0B01"/>
    <w:rsid w:val="008B0BDD"/>
    <w:rsid w:val="008B15D3"/>
    <w:rsid w:val="008B188E"/>
    <w:rsid w:val="008B1E85"/>
    <w:rsid w:val="008B2C03"/>
    <w:rsid w:val="008B2FB6"/>
    <w:rsid w:val="008B46E6"/>
    <w:rsid w:val="008B525E"/>
    <w:rsid w:val="008B5AB3"/>
    <w:rsid w:val="008B6765"/>
    <w:rsid w:val="008B6848"/>
    <w:rsid w:val="008B68B4"/>
    <w:rsid w:val="008B7ED8"/>
    <w:rsid w:val="008C0B03"/>
    <w:rsid w:val="008C0FE5"/>
    <w:rsid w:val="008C25F1"/>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031B"/>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29AC"/>
    <w:rsid w:val="0090360E"/>
    <w:rsid w:val="00903AF7"/>
    <w:rsid w:val="00903D37"/>
    <w:rsid w:val="00904523"/>
    <w:rsid w:val="00904866"/>
    <w:rsid w:val="009049CE"/>
    <w:rsid w:val="009052E4"/>
    <w:rsid w:val="00905BEE"/>
    <w:rsid w:val="009067F9"/>
    <w:rsid w:val="00906B23"/>
    <w:rsid w:val="009079D1"/>
    <w:rsid w:val="00910110"/>
    <w:rsid w:val="009103A8"/>
    <w:rsid w:val="0091055D"/>
    <w:rsid w:val="00910A37"/>
    <w:rsid w:val="00911265"/>
    <w:rsid w:val="00911A5A"/>
    <w:rsid w:val="00913724"/>
    <w:rsid w:val="009138F9"/>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655"/>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4704A"/>
    <w:rsid w:val="009501A3"/>
    <w:rsid w:val="009508A0"/>
    <w:rsid w:val="00951D6D"/>
    <w:rsid w:val="009520CC"/>
    <w:rsid w:val="009529E7"/>
    <w:rsid w:val="00952B2E"/>
    <w:rsid w:val="00953FF0"/>
    <w:rsid w:val="0095477B"/>
    <w:rsid w:val="00954B9C"/>
    <w:rsid w:val="00956711"/>
    <w:rsid w:val="00956F6E"/>
    <w:rsid w:val="009577D7"/>
    <w:rsid w:val="00960311"/>
    <w:rsid w:val="00960346"/>
    <w:rsid w:val="009604A1"/>
    <w:rsid w:val="00960524"/>
    <w:rsid w:val="00961564"/>
    <w:rsid w:val="00961752"/>
    <w:rsid w:val="009617D3"/>
    <w:rsid w:val="009626AE"/>
    <w:rsid w:val="00962B35"/>
    <w:rsid w:val="009636AA"/>
    <w:rsid w:val="0096463B"/>
    <w:rsid w:val="00964F5E"/>
    <w:rsid w:val="00965671"/>
    <w:rsid w:val="00965929"/>
    <w:rsid w:val="00965F3C"/>
    <w:rsid w:val="00966E0E"/>
    <w:rsid w:val="009673D8"/>
    <w:rsid w:val="0096750C"/>
    <w:rsid w:val="00967869"/>
    <w:rsid w:val="0096796E"/>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FA0"/>
    <w:rsid w:val="00992D5A"/>
    <w:rsid w:val="009930DF"/>
    <w:rsid w:val="009934CF"/>
    <w:rsid w:val="00994396"/>
    <w:rsid w:val="00994D08"/>
    <w:rsid w:val="00994FB1"/>
    <w:rsid w:val="0099519F"/>
    <w:rsid w:val="00995E0A"/>
    <w:rsid w:val="00996D27"/>
    <w:rsid w:val="00997C76"/>
    <w:rsid w:val="009A0A94"/>
    <w:rsid w:val="009A0D75"/>
    <w:rsid w:val="009A0DD3"/>
    <w:rsid w:val="009A1912"/>
    <w:rsid w:val="009A2459"/>
    <w:rsid w:val="009A2784"/>
    <w:rsid w:val="009A3057"/>
    <w:rsid w:val="009A306D"/>
    <w:rsid w:val="009A347A"/>
    <w:rsid w:val="009A365E"/>
    <w:rsid w:val="009A4205"/>
    <w:rsid w:val="009A4615"/>
    <w:rsid w:val="009A5671"/>
    <w:rsid w:val="009A620E"/>
    <w:rsid w:val="009A6AB4"/>
    <w:rsid w:val="009B02B2"/>
    <w:rsid w:val="009B186F"/>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4726"/>
    <w:rsid w:val="009C52E7"/>
    <w:rsid w:val="009C548B"/>
    <w:rsid w:val="009C5F24"/>
    <w:rsid w:val="009C6014"/>
    <w:rsid w:val="009D048B"/>
    <w:rsid w:val="009D058F"/>
    <w:rsid w:val="009D1B43"/>
    <w:rsid w:val="009D1B5D"/>
    <w:rsid w:val="009D1EBA"/>
    <w:rsid w:val="009D2991"/>
    <w:rsid w:val="009D3221"/>
    <w:rsid w:val="009D3432"/>
    <w:rsid w:val="009D3841"/>
    <w:rsid w:val="009D3F7B"/>
    <w:rsid w:val="009D4254"/>
    <w:rsid w:val="009D43FE"/>
    <w:rsid w:val="009D4CFA"/>
    <w:rsid w:val="009D5C33"/>
    <w:rsid w:val="009D66E7"/>
    <w:rsid w:val="009D69C6"/>
    <w:rsid w:val="009D6F70"/>
    <w:rsid w:val="009D71A7"/>
    <w:rsid w:val="009D7ED9"/>
    <w:rsid w:val="009E10E1"/>
    <w:rsid w:val="009E110C"/>
    <w:rsid w:val="009E13EC"/>
    <w:rsid w:val="009E1487"/>
    <w:rsid w:val="009E1850"/>
    <w:rsid w:val="009E22A9"/>
    <w:rsid w:val="009E2329"/>
    <w:rsid w:val="009E31C4"/>
    <w:rsid w:val="009E39F4"/>
    <w:rsid w:val="009E3A32"/>
    <w:rsid w:val="009E487F"/>
    <w:rsid w:val="009E4AEF"/>
    <w:rsid w:val="009E4EF3"/>
    <w:rsid w:val="009E53A5"/>
    <w:rsid w:val="009E5419"/>
    <w:rsid w:val="009E5A6E"/>
    <w:rsid w:val="009E5C14"/>
    <w:rsid w:val="009E5DC7"/>
    <w:rsid w:val="009E5DFA"/>
    <w:rsid w:val="009E6994"/>
    <w:rsid w:val="009E6A7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488"/>
    <w:rsid w:val="00A02BCA"/>
    <w:rsid w:val="00A030EA"/>
    <w:rsid w:val="00A03A1B"/>
    <w:rsid w:val="00A0451D"/>
    <w:rsid w:val="00A0636A"/>
    <w:rsid w:val="00A06CC5"/>
    <w:rsid w:val="00A07167"/>
    <w:rsid w:val="00A078E7"/>
    <w:rsid w:val="00A1041C"/>
    <w:rsid w:val="00A10C91"/>
    <w:rsid w:val="00A11CAD"/>
    <w:rsid w:val="00A11F7F"/>
    <w:rsid w:val="00A14C69"/>
    <w:rsid w:val="00A14EC0"/>
    <w:rsid w:val="00A15A51"/>
    <w:rsid w:val="00A1620D"/>
    <w:rsid w:val="00A16AC0"/>
    <w:rsid w:val="00A16C69"/>
    <w:rsid w:val="00A16DC1"/>
    <w:rsid w:val="00A2011B"/>
    <w:rsid w:val="00A20F4C"/>
    <w:rsid w:val="00A21D9F"/>
    <w:rsid w:val="00A22CAD"/>
    <w:rsid w:val="00A22D92"/>
    <w:rsid w:val="00A23809"/>
    <w:rsid w:val="00A23D31"/>
    <w:rsid w:val="00A24C9B"/>
    <w:rsid w:val="00A25083"/>
    <w:rsid w:val="00A252B7"/>
    <w:rsid w:val="00A2536F"/>
    <w:rsid w:val="00A264CA"/>
    <w:rsid w:val="00A266BF"/>
    <w:rsid w:val="00A266E1"/>
    <w:rsid w:val="00A26ECD"/>
    <w:rsid w:val="00A27A43"/>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465"/>
    <w:rsid w:val="00A37676"/>
    <w:rsid w:val="00A37793"/>
    <w:rsid w:val="00A37891"/>
    <w:rsid w:val="00A40A51"/>
    <w:rsid w:val="00A415BA"/>
    <w:rsid w:val="00A41622"/>
    <w:rsid w:val="00A41832"/>
    <w:rsid w:val="00A41B03"/>
    <w:rsid w:val="00A42B22"/>
    <w:rsid w:val="00A440BF"/>
    <w:rsid w:val="00A4594F"/>
    <w:rsid w:val="00A4649A"/>
    <w:rsid w:val="00A47916"/>
    <w:rsid w:val="00A50778"/>
    <w:rsid w:val="00A51058"/>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89B"/>
    <w:rsid w:val="00A633C8"/>
    <w:rsid w:val="00A6491D"/>
    <w:rsid w:val="00A6550C"/>
    <w:rsid w:val="00A65A48"/>
    <w:rsid w:val="00A6697B"/>
    <w:rsid w:val="00A66D74"/>
    <w:rsid w:val="00A66F31"/>
    <w:rsid w:val="00A67022"/>
    <w:rsid w:val="00A67D6A"/>
    <w:rsid w:val="00A707BC"/>
    <w:rsid w:val="00A7087B"/>
    <w:rsid w:val="00A719AA"/>
    <w:rsid w:val="00A7221E"/>
    <w:rsid w:val="00A727AA"/>
    <w:rsid w:val="00A72936"/>
    <w:rsid w:val="00A73DE3"/>
    <w:rsid w:val="00A74B97"/>
    <w:rsid w:val="00A74C2D"/>
    <w:rsid w:val="00A7512C"/>
    <w:rsid w:val="00A75171"/>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424D"/>
    <w:rsid w:val="00A943FD"/>
    <w:rsid w:val="00A954FE"/>
    <w:rsid w:val="00A9629C"/>
    <w:rsid w:val="00A96E80"/>
    <w:rsid w:val="00AA013F"/>
    <w:rsid w:val="00AA0A82"/>
    <w:rsid w:val="00AA131E"/>
    <w:rsid w:val="00AA16A7"/>
    <w:rsid w:val="00AA2289"/>
    <w:rsid w:val="00AA247F"/>
    <w:rsid w:val="00AA2AFF"/>
    <w:rsid w:val="00AA2BAC"/>
    <w:rsid w:val="00AA35D5"/>
    <w:rsid w:val="00AA4116"/>
    <w:rsid w:val="00AA417B"/>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725"/>
    <w:rsid w:val="00AB5A5E"/>
    <w:rsid w:val="00AB613C"/>
    <w:rsid w:val="00AB6577"/>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C19"/>
    <w:rsid w:val="00AC5EE6"/>
    <w:rsid w:val="00AC621A"/>
    <w:rsid w:val="00AC6303"/>
    <w:rsid w:val="00AC6417"/>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E0B4B"/>
    <w:rsid w:val="00AE1B95"/>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2170"/>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56A"/>
    <w:rsid w:val="00B134F4"/>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E56"/>
    <w:rsid w:val="00B26E79"/>
    <w:rsid w:val="00B271EB"/>
    <w:rsid w:val="00B274AE"/>
    <w:rsid w:val="00B274BF"/>
    <w:rsid w:val="00B30788"/>
    <w:rsid w:val="00B307A4"/>
    <w:rsid w:val="00B30AB6"/>
    <w:rsid w:val="00B30BA5"/>
    <w:rsid w:val="00B31222"/>
    <w:rsid w:val="00B3127D"/>
    <w:rsid w:val="00B318C9"/>
    <w:rsid w:val="00B31CC2"/>
    <w:rsid w:val="00B31FDB"/>
    <w:rsid w:val="00B330C9"/>
    <w:rsid w:val="00B33D0A"/>
    <w:rsid w:val="00B33F64"/>
    <w:rsid w:val="00B349A2"/>
    <w:rsid w:val="00B34B9C"/>
    <w:rsid w:val="00B358A3"/>
    <w:rsid w:val="00B35A56"/>
    <w:rsid w:val="00B36095"/>
    <w:rsid w:val="00B36104"/>
    <w:rsid w:val="00B36693"/>
    <w:rsid w:val="00B366F1"/>
    <w:rsid w:val="00B37DE4"/>
    <w:rsid w:val="00B410E9"/>
    <w:rsid w:val="00B41744"/>
    <w:rsid w:val="00B41DF3"/>
    <w:rsid w:val="00B42118"/>
    <w:rsid w:val="00B4229B"/>
    <w:rsid w:val="00B4235B"/>
    <w:rsid w:val="00B42885"/>
    <w:rsid w:val="00B42C7F"/>
    <w:rsid w:val="00B42E81"/>
    <w:rsid w:val="00B43225"/>
    <w:rsid w:val="00B4329D"/>
    <w:rsid w:val="00B44EEE"/>
    <w:rsid w:val="00B45BEE"/>
    <w:rsid w:val="00B4666D"/>
    <w:rsid w:val="00B475BF"/>
    <w:rsid w:val="00B50893"/>
    <w:rsid w:val="00B50A04"/>
    <w:rsid w:val="00B520F9"/>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4EAE"/>
    <w:rsid w:val="00B85DF3"/>
    <w:rsid w:val="00B86C19"/>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65C"/>
    <w:rsid w:val="00B94B30"/>
    <w:rsid w:val="00B94BEB"/>
    <w:rsid w:val="00B954F3"/>
    <w:rsid w:val="00B958B1"/>
    <w:rsid w:val="00B95B72"/>
    <w:rsid w:val="00B95BCD"/>
    <w:rsid w:val="00B95BD9"/>
    <w:rsid w:val="00B95CDC"/>
    <w:rsid w:val="00B95CE5"/>
    <w:rsid w:val="00B96107"/>
    <w:rsid w:val="00B96B5C"/>
    <w:rsid w:val="00B96C55"/>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630"/>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D7FB9"/>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67D"/>
    <w:rsid w:val="00C005A5"/>
    <w:rsid w:val="00C007D9"/>
    <w:rsid w:val="00C016C5"/>
    <w:rsid w:val="00C021A6"/>
    <w:rsid w:val="00C02435"/>
    <w:rsid w:val="00C02957"/>
    <w:rsid w:val="00C031AF"/>
    <w:rsid w:val="00C04BB0"/>
    <w:rsid w:val="00C04D47"/>
    <w:rsid w:val="00C0545B"/>
    <w:rsid w:val="00C06836"/>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5121"/>
    <w:rsid w:val="00C15CE5"/>
    <w:rsid w:val="00C163F6"/>
    <w:rsid w:val="00C16B4B"/>
    <w:rsid w:val="00C17427"/>
    <w:rsid w:val="00C20766"/>
    <w:rsid w:val="00C207C5"/>
    <w:rsid w:val="00C20C00"/>
    <w:rsid w:val="00C210FD"/>
    <w:rsid w:val="00C21C77"/>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224"/>
    <w:rsid w:val="00C305F2"/>
    <w:rsid w:val="00C30BCF"/>
    <w:rsid w:val="00C31AD7"/>
    <w:rsid w:val="00C32167"/>
    <w:rsid w:val="00C3345C"/>
    <w:rsid w:val="00C3349B"/>
    <w:rsid w:val="00C34F5F"/>
    <w:rsid w:val="00C34F92"/>
    <w:rsid w:val="00C34FC7"/>
    <w:rsid w:val="00C35C2C"/>
    <w:rsid w:val="00C36051"/>
    <w:rsid w:val="00C36E6F"/>
    <w:rsid w:val="00C36F8A"/>
    <w:rsid w:val="00C40468"/>
    <w:rsid w:val="00C407E5"/>
    <w:rsid w:val="00C40A41"/>
    <w:rsid w:val="00C42DAC"/>
    <w:rsid w:val="00C43000"/>
    <w:rsid w:val="00C433F9"/>
    <w:rsid w:val="00C4342B"/>
    <w:rsid w:val="00C436E3"/>
    <w:rsid w:val="00C442B4"/>
    <w:rsid w:val="00C44829"/>
    <w:rsid w:val="00C44E88"/>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47DD"/>
    <w:rsid w:val="00C55151"/>
    <w:rsid w:val="00C553D0"/>
    <w:rsid w:val="00C55558"/>
    <w:rsid w:val="00C5575D"/>
    <w:rsid w:val="00C558FF"/>
    <w:rsid w:val="00C560FA"/>
    <w:rsid w:val="00C56640"/>
    <w:rsid w:val="00C56772"/>
    <w:rsid w:val="00C56A84"/>
    <w:rsid w:val="00C57055"/>
    <w:rsid w:val="00C576AD"/>
    <w:rsid w:val="00C57FF9"/>
    <w:rsid w:val="00C60320"/>
    <w:rsid w:val="00C6193B"/>
    <w:rsid w:val="00C61A98"/>
    <w:rsid w:val="00C63059"/>
    <w:rsid w:val="00C63158"/>
    <w:rsid w:val="00C633D7"/>
    <w:rsid w:val="00C633F2"/>
    <w:rsid w:val="00C64434"/>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803F7"/>
    <w:rsid w:val="00C82300"/>
    <w:rsid w:val="00C82ECE"/>
    <w:rsid w:val="00C830B2"/>
    <w:rsid w:val="00C834EF"/>
    <w:rsid w:val="00C83CDA"/>
    <w:rsid w:val="00C83CE0"/>
    <w:rsid w:val="00C85935"/>
    <w:rsid w:val="00C8631F"/>
    <w:rsid w:val="00C86432"/>
    <w:rsid w:val="00C86FC6"/>
    <w:rsid w:val="00C9003A"/>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79"/>
    <w:rsid w:val="00C96DFE"/>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CA5"/>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0E03"/>
    <w:rsid w:val="00D01F2B"/>
    <w:rsid w:val="00D01F75"/>
    <w:rsid w:val="00D01FC7"/>
    <w:rsid w:val="00D0215D"/>
    <w:rsid w:val="00D02BC6"/>
    <w:rsid w:val="00D02C0D"/>
    <w:rsid w:val="00D0310D"/>
    <w:rsid w:val="00D032BC"/>
    <w:rsid w:val="00D03AB3"/>
    <w:rsid w:val="00D03B48"/>
    <w:rsid w:val="00D03F9F"/>
    <w:rsid w:val="00D056CC"/>
    <w:rsid w:val="00D05803"/>
    <w:rsid w:val="00D05C7C"/>
    <w:rsid w:val="00D06906"/>
    <w:rsid w:val="00D07742"/>
    <w:rsid w:val="00D077DC"/>
    <w:rsid w:val="00D07D3A"/>
    <w:rsid w:val="00D106B7"/>
    <w:rsid w:val="00D1276A"/>
    <w:rsid w:val="00D132F9"/>
    <w:rsid w:val="00D14880"/>
    <w:rsid w:val="00D14DB7"/>
    <w:rsid w:val="00D15ED5"/>
    <w:rsid w:val="00D16656"/>
    <w:rsid w:val="00D16EB8"/>
    <w:rsid w:val="00D17448"/>
    <w:rsid w:val="00D1769A"/>
    <w:rsid w:val="00D17825"/>
    <w:rsid w:val="00D1790B"/>
    <w:rsid w:val="00D200AB"/>
    <w:rsid w:val="00D204F4"/>
    <w:rsid w:val="00D20613"/>
    <w:rsid w:val="00D20B81"/>
    <w:rsid w:val="00D223BF"/>
    <w:rsid w:val="00D244BD"/>
    <w:rsid w:val="00D25230"/>
    <w:rsid w:val="00D255F9"/>
    <w:rsid w:val="00D25F67"/>
    <w:rsid w:val="00D266C4"/>
    <w:rsid w:val="00D26A70"/>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3257"/>
    <w:rsid w:val="00D434EC"/>
    <w:rsid w:val="00D43AE0"/>
    <w:rsid w:val="00D43E69"/>
    <w:rsid w:val="00D43EC7"/>
    <w:rsid w:val="00D44462"/>
    <w:rsid w:val="00D4453A"/>
    <w:rsid w:val="00D44E9D"/>
    <w:rsid w:val="00D454E0"/>
    <w:rsid w:val="00D45C07"/>
    <w:rsid w:val="00D45D5E"/>
    <w:rsid w:val="00D466D0"/>
    <w:rsid w:val="00D472A7"/>
    <w:rsid w:val="00D475A5"/>
    <w:rsid w:val="00D479E6"/>
    <w:rsid w:val="00D51515"/>
    <w:rsid w:val="00D51E27"/>
    <w:rsid w:val="00D520C6"/>
    <w:rsid w:val="00D52C05"/>
    <w:rsid w:val="00D53140"/>
    <w:rsid w:val="00D5499A"/>
    <w:rsid w:val="00D54BD5"/>
    <w:rsid w:val="00D54E33"/>
    <w:rsid w:val="00D554FA"/>
    <w:rsid w:val="00D575F0"/>
    <w:rsid w:val="00D57F43"/>
    <w:rsid w:val="00D60578"/>
    <w:rsid w:val="00D61A0E"/>
    <w:rsid w:val="00D61DA9"/>
    <w:rsid w:val="00D62840"/>
    <w:rsid w:val="00D63448"/>
    <w:rsid w:val="00D642CF"/>
    <w:rsid w:val="00D66CF4"/>
    <w:rsid w:val="00D67546"/>
    <w:rsid w:val="00D71CF9"/>
    <w:rsid w:val="00D71DD4"/>
    <w:rsid w:val="00D71E69"/>
    <w:rsid w:val="00D72264"/>
    <w:rsid w:val="00D7238C"/>
    <w:rsid w:val="00D72970"/>
    <w:rsid w:val="00D72F49"/>
    <w:rsid w:val="00D74EF6"/>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5ED6"/>
    <w:rsid w:val="00D9604B"/>
    <w:rsid w:val="00D96A99"/>
    <w:rsid w:val="00D96FC3"/>
    <w:rsid w:val="00D97756"/>
    <w:rsid w:val="00D97DCA"/>
    <w:rsid w:val="00DA0839"/>
    <w:rsid w:val="00DA0B7E"/>
    <w:rsid w:val="00DA0D92"/>
    <w:rsid w:val="00DA12C3"/>
    <w:rsid w:val="00DA1790"/>
    <w:rsid w:val="00DA1B87"/>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7F"/>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34EE"/>
    <w:rsid w:val="00DC40B1"/>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7E4"/>
    <w:rsid w:val="00E22C3D"/>
    <w:rsid w:val="00E2330C"/>
    <w:rsid w:val="00E234C4"/>
    <w:rsid w:val="00E23912"/>
    <w:rsid w:val="00E240EF"/>
    <w:rsid w:val="00E24BF5"/>
    <w:rsid w:val="00E24E3E"/>
    <w:rsid w:val="00E25265"/>
    <w:rsid w:val="00E27DDF"/>
    <w:rsid w:val="00E27E01"/>
    <w:rsid w:val="00E30291"/>
    <w:rsid w:val="00E30550"/>
    <w:rsid w:val="00E30A90"/>
    <w:rsid w:val="00E3109F"/>
    <w:rsid w:val="00E31325"/>
    <w:rsid w:val="00E32DBA"/>
    <w:rsid w:val="00E32FD6"/>
    <w:rsid w:val="00E34D57"/>
    <w:rsid w:val="00E36677"/>
    <w:rsid w:val="00E37186"/>
    <w:rsid w:val="00E400A0"/>
    <w:rsid w:val="00E403CC"/>
    <w:rsid w:val="00E40628"/>
    <w:rsid w:val="00E407A6"/>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D75"/>
    <w:rsid w:val="00E72F02"/>
    <w:rsid w:val="00E7346F"/>
    <w:rsid w:val="00E7356B"/>
    <w:rsid w:val="00E739D0"/>
    <w:rsid w:val="00E754F8"/>
    <w:rsid w:val="00E75AD6"/>
    <w:rsid w:val="00E7654C"/>
    <w:rsid w:val="00E76BB4"/>
    <w:rsid w:val="00E76DE3"/>
    <w:rsid w:val="00E76E33"/>
    <w:rsid w:val="00E76E87"/>
    <w:rsid w:val="00E7778E"/>
    <w:rsid w:val="00E80000"/>
    <w:rsid w:val="00E8155D"/>
    <w:rsid w:val="00E83A16"/>
    <w:rsid w:val="00E8486F"/>
    <w:rsid w:val="00E84AD7"/>
    <w:rsid w:val="00E85763"/>
    <w:rsid w:val="00E85CC0"/>
    <w:rsid w:val="00E87C2D"/>
    <w:rsid w:val="00E90197"/>
    <w:rsid w:val="00E90C77"/>
    <w:rsid w:val="00E90FA6"/>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2C5"/>
    <w:rsid w:val="00EB3860"/>
    <w:rsid w:val="00EB3B88"/>
    <w:rsid w:val="00EB3EED"/>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2C4"/>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F0517"/>
    <w:rsid w:val="00EF0EA0"/>
    <w:rsid w:val="00EF1031"/>
    <w:rsid w:val="00EF16A6"/>
    <w:rsid w:val="00EF2682"/>
    <w:rsid w:val="00EF27DF"/>
    <w:rsid w:val="00EF2C2D"/>
    <w:rsid w:val="00EF2CC6"/>
    <w:rsid w:val="00EF3247"/>
    <w:rsid w:val="00EF45F3"/>
    <w:rsid w:val="00EF4A64"/>
    <w:rsid w:val="00EF4D3F"/>
    <w:rsid w:val="00EF4D52"/>
    <w:rsid w:val="00EF5DD7"/>
    <w:rsid w:val="00EF6284"/>
    <w:rsid w:val="00EF665D"/>
    <w:rsid w:val="00EF72F4"/>
    <w:rsid w:val="00F00012"/>
    <w:rsid w:val="00F00847"/>
    <w:rsid w:val="00F00BCE"/>
    <w:rsid w:val="00F018AD"/>
    <w:rsid w:val="00F01929"/>
    <w:rsid w:val="00F02171"/>
    <w:rsid w:val="00F031EB"/>
    <w:rsid w:val="00F033EF"/>
    <w:rsid w:val="00F043CD"/>
    <w:rsid w:val="00F0528B"/>
    <w:rsid w:val="00F061A6"/>
    <w:rsid w:val="00F061AA"/>
    <w:rsid w:val="00F0710C"/>
    <w:rsid w:val="00F0778D"/>
    <w:rsid w:val="00F1106D"/>
    <w:rsid w:val="00F111B4"/>
    <w:rsid w:val="00F11AB3"/>
    <w:rsid w:val="00F13DBE"/>
    <w:rsid w:val="00F14017"/>
    <w:rsid w:val="00F1436E"/>
    <w:rsid w:val="00F14AFF"/>
    <w:rsid w:val="00F1562B"/>
    <w:rsid w:val="00F1684C"/>
    <w:rsid w:val="00F17EF1"/>
    <w:rsid w:val="00F20633"/>
    <w:rsid w:val="00F20876"/>
    <w:rsid w:val="00F21DD6"/>
    <w:rsid w:val="00F25CFE"/>
    <w:rsid w:val="00F269AB"/>
    <w:rsid w:val="00F26D62"/>
    <w:rsid w:val="00F2753A"/>
    <w:rsid w:val="00F3018B"/>
    <w:rsid w:val="00F30371"/>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A1B"/>
    <w:rsid w:val="00F50BE6"/>
    <w:rsid w:val="00F51236"/>
    <w:rsid w:val="00F51438"/>
    <w:rsid w:val="00F5374C"/>
    <w:rsid w:val="00F541B8"/>
    <w:rsid w:val="00F5423F"/>
    <w:rsid w:val="00F546D7"/>
    <w:rsid w:val="00F560B2"/>
    <w:rsid w:val="00F56B6D"/>
    <w:rsid w:val="00F56CC2"/>
    <w:rsid w:val="00F573BB"/>
    <w:rsid w:val="00F5787E"/>
    <w:rsid w:val="00F57A7F"/>
    <w:rsid w:val="00F57ADE"/>
    <w:rsid w:val="00F60BC0"/>
    <w:rsid w:val="00F615A8"/>
    <w:rsid w:val="00F61B7F"/>
    <w:rsid w:val="00F62370"/>
    <w:rsid w:val="00F62625"/>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7E6"/>
    <w:rsid w:val="00F720F5"/>
    <w:rsid w:val="00F72608"/>
    <w:rsid w:val="00F72EA2"/>
    <w:rsid w:val="00F73751"/>
    <w:rsid w:val="00F73DC5"/>
    <w:rsid w:val="00F74042"/>
    <w:rsid w:val="00F7521F"/>
    <w:rsid w:val="00F75B84"/>
    <w:rsid w:val="00F75EAD"/>
    <w:rsid w:val="00F76689"/>
    <w:rsid w:val="00F77154"/>
    <w:rsid w:val="00F77A98"/>
    <w:rsid w:val="00F80F33"/>
    <w:rsid w:val="00F8249B"/>
    <w:rsid w:val="00F824BB"/>
    <w:rsid w:val="00F8255E"/>
    <w:rsid w:val="00F82EC0"/>
    <w:rsid w:val="00F83DDA"/>
    <w:rsid w:val="00F846D6"/>
    <w:rsid w:val="00F84DFE"/>
    <w:rsid w:val="00F8647F"/>
    <w:rsid w:val="00F8652C"/>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79BF"/>
    <w:rsid w:val="00FA0437"/>
    <w:rsid w:val="00FA0988"/>
    <w:rsid w:val="00FA103E"/>
    <w:rsid w:val="00FA155E"/>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22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4BA"/>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9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UnresolvedMention1">
    <w:name w:val="Unresolved Mention1"/>
    <w:basedOn w:val="Fuentedeprrafopredeter"/>
    <w:uiPriority w:val="99"/>
    <w:semiHidden/>
    <w:unhideWhenUsed/>
    <w:rsid w:val="008631E0"/>
    <w:rPr>
      <w:color w:val="605E5C"/>
      <w:shd w:val="clear" w:color="auto" w:fill="E1DFDD"/>
    </w:rPr>
  </w:style>
  <w:style w:type="paragraph" w:styleId="NormalWeb">
    <w:name w:val="Normal (Web)"/>
    <w:basedOn w:val="Normal"/>
    <w:uiPriority w:val="99"/>
    <w:unhideWhenUsed/>
    <w:rsid w:val="00EF27DF"/>
    <w:pPr>
      <w:spacing w:after="160" w:line="259" w:lineRule="auto"/>
      <w:jc w:val="both"/>
    </w:pPr>
    <w:rPr>
      <w:rFonts w:eastAsiaTheme="minorHAnsi"/>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9454021">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289762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87632422">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39329361">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8088">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18EC1-108C-49CB-823F-EA6974E5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4202</Words>
  <Characters>23111</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3</cp:revision>
  <cp:lastPrinted>2019-11-07T17:48:00Z</cp:lastPrinted>
  <dcterms:created xsi:type="dcterms:W3CDTF">2022-04-22T04:52:00Z</dcterms:created>
  <dcterms:modified xsi:type="dcterms:W3CDTF">2022-04-28T19:53:00Z</dcterms:modified>
</cp:coreProperties>
</file>