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83D663A" w:rsidR="00662C69" w:rsidRPr="00B10772" w:rsidRDefault="009B11D6" w:rsidP="00B31E90">
      <w:pPr>
        <w:tabs>
          <w:tab w:val="left" w:pos="3465"/>
        </w:tabs>
        <w:spacing w:line="360" w:lineRule="auto"/>
        <w:jc w:val="both"/>
        <w:rPr>
          <w:rFonts w:ascii="Palatino Linotype" w:hAnsi="Palatino Linotype"/>
          <w:color w:val="000000" w:themeColor="text1"/>
        </w:rPr>
      </w:pPr>
      <w:r w:rsidRPr="00B10772">
        <w:rPr>
          <w:rFonts w:ascii="Palatino Linotype" w:hAnsi="Palatino Linotype"/>
          <w:color w:val="000000" w:themeColor="text1"/>
        </w:rPr>
        <w:t>R</w:t>
      </w:r>
      <w:r w:rsidR="00662C69" w:rsidRPr="00B1077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10772">
        <w:rPr>
          <w:rFonts w:ascii="Palatino Linotype" w:hAnsi="Palatino Linotype"/>
          <w:color w:val="000000" w:themeColor="text1"/>
        </w:rPr>
        <w:t>icipios, con</w:t>
      </w:r>
      <w:r w:rsidR="00662C69" w:rsidRPr="00B10772">
        <w:rPr>
          <w:rFonts w:ascii="Palatino Linotype" w:hAnsi="Palatino Linotype"/>
          <w:color w:val="000000" w:themeColor="text1"/>
        </w:rPr>
        <w:t xml:space="preserve"> </w:t>
      </w:r>
      <w:r w:rsidR="00485DB6" w:rsidRPr="00B10772">
        <w:rPr>
          <w:rFonts w:ascii="Palatino Linotype" w:hAnsi="Palatino Linotype"/>
          <w:color w:val="000000" w:themeColor="text1"/>
        </w:rPr>
        <w:t xml:space="preserve">domicilio </w:t>
      </w:r>
      <w:r w:rsidR="00662C69" w:rsidRPr="00B10772">
        <w:rPr>
          <w:rFonts w:ascii="Palatino Linotype" w:hAnsi="Palatino Linotype"/>
          <w:color w:val="000000" w:themeColor="text1"/>
        </w:rPr>
        <w:t xml:space="preserve">en Metepec, Estado de México; de </w:t>
      </w:r>
      <w:r w:rsidR="00DD6949" w:rsidRPr="00B10772">
        <w:rPr>
          <w:rFonts w:ascii="Palatino Linotype" w:hAnsi="Palatino Linotype"/>
          <w:color w:val="000000" w:themeColor="text1"/>
        </w:rPr>
        <w:t>cuatro (04) de mayo</w:t>
      </w:r>
      <w:r w:rsidR="00070A2F" w:rsidRPr="00B10772">
        <w:rPr>
          <w:rFonts w:ascii="Palatino Linotype" w:hAnsi="Palatino Linotype"/>
          <w:color w:val="000000" w:themeColor="text1"/>
        </w:rPr>
        <w:t xml:space="preserve"> de dos mil veintidós</w:t>
      </w:r>
      <w:r w:rsidR="00662C69" w:rsidRPr="00B10772">
        <w:rPr>
          <w:rFonts w:ascii="Palatino Linotype" w:hAnsi="Palatino Linotype"/>
          <w:color w:val="000000" w:themeColor="text1"/>
        </w:rPr>
        <w:t>.</w:t>
      </w:r>
    </w:p>
    <w:p w14:paraId="1181C59D" w14:textId="77777777" w:rsidR="00B31E90" w:rsidRPr="00B10772" w:rsidRDefault="00B31E90" w:rsidP="00B31E90">
      <w:pPr>
        <w:tabs>
          <w:tab w:val="left" w:pos="3465"/>
        </w:tabs>
        <w:spacing w:line="360" w:lineRule="auto"/>
        <w:jc w:val="both"/>
        <w:rPr>
          <w:rFonts w:ascii="Palatino Linotype" w:hAnsi="Palatino Linotype"/>
          <w:color w:val="000000" w:themeColor="text1"/>
        </w:rPr>
      </w:pPr>
    </w:p>
    <w:p w14:paraId="04F87235" w14:textId="18ACEEE6" w:rsidR="005F0007" w:rsidRPr="00B10772" w:rsidRDefault="00662C69" w:rsidP="00B31E90">
      <w:pPr>
        <w:spacing w:line="360" w:lineRule="auto"/>
        <w:jc w:val="both"/>
        <w:rPr>
          <w:rFonts w:ascii="Palatino Linotype" w:eastAsia="Times New Roman" w:hAnsi="Palatino Linotype" w:cs="Times New Roman"/>
          <w:color w:val="000000" w:themeColor="text1"/>
        </w:rPr>
      </w:pPr>
      <w:r w:rsidRPr="00B10772">
        <w:rPr>
          <w:rFonts w:ascii="Palatino Linotype" w:hAnsi="Palatino Linotype"/>
          <w:b/>
          <w:color w:val="000000" w:themeColor="text1"/>
        </w:rPr>
        <w:t>VISTO</w:t>
      </w:r>
      <w:r w:rsidRPr="00B10772">
        <w:rPr>
          <w:rFonts w:ascii="Palatino Linotype" w:hAnsi="Palatino Linotype"/>
          <w:color w:val="000000" w:themeColor="text1"/>
        </w:rPr>
        <w:t xml:space="preserve"> el expediente electrónico for</w:t>
      </w:r>
      <w:r w:rsidR="00D37494" w:rsidRPr="00B10772">
        <w:rPr>
          <w:rFonts w:ascii="Palatino Linotype" w:hAnsi="Palatino Linotype"/>
          <w:color w:val="000000" w:themeColor="text1"/>
        </w:rPr>
        <w:t>mado con motivo del</w:t>
      </w:r>
      <w:r w:rsidRPr="00B10772">
        <w:rPr>
          <w:rFonts w:ascii="Palatino Linotype" w:hAnsi="Palatino Linotype"/>
          <w:color w:val="000000" w:themeColor="text1"/>
        </w:rPr>
        <w:t xml:space="preserve"> recurso de revisión </w:t>
      </w:r>
      <w:r w:rsidR="00DD6949" w:rsidRPr="00B10772">
        <w:rPr>
          <w:rFonts w:ascii="Palatino Linotype" w:hAnsi="Palatino Linotype"/>
          <w:b/>
          <w:bCs/>
          <w:color w:val="000000" w:themeColor="text1"/>
        </w:rPr>
        <w:t>00698/INFOEM/IP/RR/2022</w:t>
      </w:r>
      <w:r w:rsidR="005F1362" w:rsidRPr="00B10772">
        <w:rPr>
          <w:rFonts w:ascii="Palatino Linotype" w:eastAsia="Times New Roman" w:hAnsi="Palatino Linotype" w:cs="Arial"/>
          <w:bCs/>
          <w:color w:val="000000" w:themeColor="text1"/>
        </w:rPr>
        <w:t xml:space="preserve">, </w:t>
      </w:r>
      <w:r w:rsidR="006B31E7" w:rsidRPr="00B10772">
        <w:rPr>
          <w:rFonts w:ascii="Palatino Linotype" w:eastAsia="Times New Roman" w:hAnsi="Palatino Linotype" w:cs="Times New Roman"/>
          <w:color w:val="000000" w:themeColor="text1"/>
        </w:rPr>
        <w:t>interpuesto por</w:t>
      </w:r>
      <w:r w:rsidR="0078249C" w:rsidRPr="00B10772">
        <w:rPr>
          <w:rFonts w:ascii="Palatino Linotype" w:eastAsia="Times New Roman" w:hAnsi="Palatino Linotype" w:cs="Times New Roman"/>
          <w:color w:val="000000" w:themeColor="text1"/>
        </w:rPr>
        <w:t xml:space="preserve"> </w:t>
      </w:r>
      <w:r w:rsidR="00635915">
        <w:rPr>
          <w:rFonts w:ascii="Palatino Linotype" w:eastAsia="Times New Roman" w:hAnsi="Palatino Linotype" w:cs="Times New Roman"/>
          <w:b/>
          <w:iCs/>
          <w:color w:val="000000" w:themeColor="text1"/>
        </w:rPr>
        <w:t xml:space="preserve">XXXXX </w:t>
      </w:r>
      <w:proofErr w:type="spellStart"/>
      <w:r w:rsidR="00635915">
        <w:rPr>
          <w:rFonts w:ascii="Palatino Linotype" w:eastAsia="Times New Roman" w:hAnsi="Palatino Linotype" w:cs="Times New Roman"/>
          <w:b/>
          <w:iCs/>
          <w:color w:val="000000" w:themeColor="text1"/>
        </w:rPr>
        <w:t>XXXXX</w:t>
      </w:r>
      <w:proofErr w:type="spellEnd"/>
      <w:r w:rsidR="00635915">
        <w:rPr>
          <w:rFonts w:ascii="Palatino Linotype" w:eastAsia="Times New Roman" w:hAnsi="Palatino Linotype" w:cs="Times New Roman"/>
          <w:b/>
          <w:iCs/>
          <w:color w:val="000000" w:themeColor="text1"/>
        </w:rPr>
        <w:t xml:space="preserve"> XXXXXX</w:t>
      </w:r>
      <w:r w:rsidR="00E647FF" w:rsidRPr="00B10772">
        <w:rPr>
          <w:rFonts w:ascii="Palatino Linotype" w:eastAsia="Times New Roman" w:hAnsi="Palatino Linotype" w:cs="Times New Roman"/>
          <w:color w:val="000000" w:themeColor="text1"/>
        </w:rPr>
        <w:t>,</w:t>
      </w:r>
      <w:r w:rsidR="0078249C" w:rsidRPr="00B10772">
        <w:rPr>
          <w:rFonts w:ascii="Palatino Linotype" w:eastAsia="Times New Roman" w:hAnsi="Palatino Linotype" w:cs="Times New Roman"/>
          <w:color w:val="000000" w:themeColor="text1"/>
        </w:rPr>
        <w:t xml:space="preserve"> en </w:t>
      </w:r>
      <w:r w:rsidR="00E647FF" w:rsidRPr="00B10772">
        <w:rPr>
          <w:rFonts w:ascii="Palatino Linotype" w:eastAsia="Times New Roman" w:hAnsi="Palatino Linotype" w:cs="Times New Roman"/>
          <w:color w:val="000000" w:themeColor="text1"/>
        </w:rPr>
        <w:t>lo</w:t>
      </w:r>
      <w:r w:rsidR="0078249C" w:rsidRPr="00B10772">
        <w:rPr>
          <w:rFonts w:ascii="Palatino Linotype" w:eastAsia="Times New Roman" w:hAnsi="Palatino Linotype" w:cs="Times New Roman"/>
          <w:color w:val="000000" w:themeColor="text1"/>
        </w:rPr>
        <w:t xml:space="preserve"> </w:t>
      </w:r>
      <w:r w:rsidR="00E647FF" w:rsidRPr="00B10772">
        <w:rPr>
          <w:rFonts w:ascii="Palatino Linotype" w:eastAsia="Times New Roman" w:hAnsi="Palatino Linotype" w:cs="Times New Roman"/>
          <w:color w:val="000000" w:themeColor="text1"/>
        </w:rPr>
        <w:t xml:space="preserve">sucesivo, </w:t>
      </w:r>
      <w:r w:rsidR="00DD6949" w:rsidRPr="00B10772">
        <w:rPr>
          <w:rFonts w:ascii="Palatino Linotype" w:eastAsia="Times New Roman" w:hAnsi="Palatino Linotype" w:cs="Times New Roman"/>
          <w:color w:val="000000" w:themeColor="text1"/>
        </w:rPr>
        <w:t>el</w:t>
      </w:r>
      <w:r w:rsidR="006B31E7" w:rsidRPr="00B10772">
        <w:rPr>
          <w:rFonts w:ascii="Palatino Linotype" w:eastAsia="Times New Roman" w:hAnsi="Palatino Linotype" w:cs="Times New Roman"/>
          <w:color w:val="000000" w:themeColor="text1"/>
        </w:rPr>
        <w:t xml:space="preserve"> </w:t>
      </w:r>
      <w:r w:rsidR="006B31E7" w:rsidRPr="00B10772">
        <w:rPr>
          <w:rFonts w:ascii="Palatino Linotype" w:eastAsia="Times New Roman" w:hAnsi="Palatino Linotype" w:cs="Times New Roman"/>
          <w:b/>
          <w:bCs/>
          <w:color w:val="000000" w:themeColor="text1"/>
        </w:rPr>
        <w:t>RECURRENTE</w:t>
      </w:r>
      <w:r w:rsidR="00E647FF" w:rsidRPr="00B10772">
        <w:rPr>
          <w:rFonts w:ascii="Palatino Linotype" w:eastAsia="Times New Roman" w:hAnsi="Palatino Linotype" w:cs="Arial"/>
          <w:color w:val="000000" w:themeColor="text1"/>
        </w:rPr>
        <w:t>;</w:t>
      </w:r>
      <w:r w:rsidR="005F1362" w:rsidRPr="00B10772">
        <w:rPr>
          <w:rFonts w:ascii="Palatino Linotype" w:eastAsia="Times New Roman" w:hAnsi="Palatino Linotype" w:cs="Arial"/>
          <w:color w:val="000000" w:themeColor="text1"/>
        </w:rPr>
        <w:t xml:space="preserve"> en contra de la respuesta del</w:t>
      </w:r>
      <w:r w:rsidR="00CE1B8A" w:rsidRPr="00B10772">
        <w:rPr>
          <w:rFonts w:ascii="Palatino Linotype" w:eastAsia="Times New Roman" w:hAnsi="Palatino Linotype" w:cs="Arial"/>
          <w:color w:val="000000" w:themeColor="text1"/>
        </w:rPr>
        <w:t xml:space="preserve"> </w:t>
      </w:r>
      <w:r w:rsidR="00DD6949" w:rsidRPr="00B10772">
        <w:rPr>
          <w:rFonts w:ascii="Palatino Linotype" w:eastAsia="Times New Roman" w:hAnsi="Palatino Linotype" w:cs="Arial"/>
          <w:b/>
          <w:color w:val="000000" w:themeColor="text1"/>
        </w:rPr>
        <w:t>Ayuntamiento de Donato Guerra</w:t>
      </w:r>
      <w:r w:rsidR="009572EE" w:rsidRPr="00B10772">
        <w:rPr>
          <w:rFonts w:ascii="Palatino Linotype" w:eastAsia="Calibri" w:hAnsi="Palatino Linotype" w:cs="Arial"/>
          <w:color w:val="000000" w:themeColor="text1"/>
          <w:lang w:val="es-ES"/>
        </w:rPr>
        <w:t>,</w:t>
      </w:r>
      <w:r w:rsidR="005F1362" w:rsidRPr="00B10772">
        <w:rPr>
          <w:rFonts w:ascii="Palatino Linotype" w:eastAsia="Calibri" w:hAnsi="Palatino Linotype" w:cs="Arial"/>
          <w:color w:val="000000" w:themeColor="text1"/>
          <w:lang w:val="es-ES"/>
        </w:rPr>
        <w:t xml:space="preserve"> </w:t>
      </w:r>
      <w:r w:rsidR="005F1362" w:rsidRPr="00B10772">
        <w:rPr>
          <w:rFonts w:ascii="Palatino Linotype" w:eastAsia="Times New Roman" w:hAnsi="Palatino Linotype" w:cs="Times New Roman"/>
          <w:color w:val="000000" w:themeColor="text1"/>
        </w:rPr>
        <w:t xml:space="preserve">en </w:t>
      </w:r>
      <w:r w:rsidR="00070A2F" w:rsidRPr="00B10772">
        <w:rPr>
          <w:rFonts w:ascii="Palatino Linotype" w:eastAsia="Times New Roman" w:hAnsi="Palatino Linotype" w:cs="Times New Roman"/>
          <w:color w:val="000000" w:themeColor="text1"/>
        </w:rPr>
        <w:t>adelante,</w:t>
      </w:r>
      <w:r w:rsidR="005F1362" w:rsidRPr="00B10772">
        <w:rPr>
          <w:rFonts w:ascii="Palatino Linotype" w:eastAsia="Times New Roman" w:hAnsi="Palatino Linotype" w:cs="Times New Roman"/>
          <w:color w:val="000000" w:themeColor="text1"/>
        </w:rPr>
        <w:t xml:space="preserve"> el</w:t>
      </w:r>
      <w:r w:rsidR="005F1362" w:rsidRPr="00B10772">
        <w:rPr>
          <w:rFonts w:ascii="Palatino Linotype" w:eastAsia="Times New Roman" w:hAnsi="Palatino Linotype" w:cs="Times New Roman"/>
          <w:b/>
          <w:color w:val="000000" w:themeColor="text1"/>
        </w:rPr>
        <w:t xml:space="preserve"> SUJETO OBLIGADO, </w:t>
      </w:r>
      <w:r w:rsidR="005F1362" w:rsidRPr="00B10772">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B10772" w:rsidRDefault="009A593A" w:rsidP="00B31E90">
      <w:pPr>
        <w:spacing w:line="360" w:lineRule="auto"/>
        <w:jc w:val="both"/>
        <w:rPr>
          <w:rFonts w:ascii="Palatino Linotype" w:hAnsi="Palatino Linotype"/>
          <w:b/>
          <w:color w:val="000000" w:themeColor="text1"/>
        </w:rPr>
      </w:pPr>
    </w:p>
    <w:p w14:paraId="769E1410" w14:textId="5740327F" w:rsidR="00587366" w:rsidRPr="00B10772"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545533"/>
      <w:r w:rsidRPr="00B10772">
        <w:rPr>
          <w:b/>
          <w:color w:val="000000" w:themeColor="text1"/>
        </w:rPr>
        <w:t>ANTECEDENTES</w:t>
      </w:r>
      <w:bookmarkEnd w:id="0"/>
      <w:bookmarkEnd w:id="1"/>
      <w:bookmarkEnd w:id="2"/>
    </w:p>
    <w:p w14:paraId="5672105D" w14:textId="77777777" w:rsidR="00B31E90" w:rsidRPr="00B10772"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B6B262D" w:rsidR="00D9392E" w:rsidRPr="00B10772"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0772">
        <w:rPr>
          <w:rFonts w:ascii="Palatino Linotype" w:eastAsia="Calibri" w:hAnsi="Palatino Linotype" w:cs="Arial"/>
          <w:color w:val="000000" w:themeColor="text1"/>
          <w:lang w:val="es-ES"/>
        </w:rPr>
        <w:t>El</w:t>
      </w:r>
      <w:r w:rsidR="00D9392E" w:rsidRPr="00B10772">
        <w:rPr>
          <w:rFonts w:ascii="Palatino Linotype" w:eastAsia="Calibri" w:hAnsi="Palatino Linotype" w:cs="Arial"/>
          <w:color w:val="000000" w:themeColor="text1"/>
          <w:lang w:val="es-ES"/>
        </w:rPr>
        <w:t xml:space="preserve"> </w:t>
      </w:r>
      <w:r w:rsidR="00DD6949" w:rsidRPr="00B10772">
        <w:rPr>
          <w:rFonts w:ascii="Palatino Linotype" w:eastAsia="Calibri" w:hAnsi="Palatino Linotype" w:cs="Arial"/>
          <w:color w:val="000000" w:themeColor="text1"/>
          <w:lang w:val="es-ES"/>
        </w:rPr>
        <w:t>diecinueve (19) de enero de dos mil veintidós</w:t>
      </w:r>
      <w:r w:rsidR="005F1362" w:rsidRPr="00B10772">
        <w:rPr>
          <w:rFonts w:ascii="Palatino Linotype" w:eastAsia="Calibri" w:hAnsi="Palatino Linotype" w:cs="Arial"/>
          <w:color w:val="000000" w:themeColor="text1"/>
          <w:lang w:val="es-ES"/>
        </w:rPr>
        <w:t xml:space="preserve">, </w:t>
      </w:r>
      <w:r w:rsidR="00DD6949" w:rsidRPr="00B10772">
        <w:rPr>
          <w:rFonts w:ascii="Palatino Linotype" w:eastAsia="Calibri" w:hAnsi="Palatino Linotype" w:cs="Arial"/>
          <w:color w:val="000000" w:themeColor="text1"/>
          <w:lang w:val="es-ES"/>
        </w:rPr>
        <w:t>el</w:t>
      </w:r>
      <w:r w:rsidR="00B31E90" w:rsidRPr="00B10772">
        <w:rPr>
          <w:rFonts w:ascii="Palatino Linotype" w:hAnsi="Palatino Linotype"/>
          <w:color w:val="000000" w:themeColor="text1"/>
        </w:rPr>
        <w:t xml:space="preserve"> particular</w:t>
      </w:r>
      <w:r w:rsidR="005F1362" w:rsidRPr="00B10772">
        <w:rPr>
          <w:rFonts w:ascii="Palatino Linotype" w:hAnsi="Palatino Linotype"/>
          <w:color w:val="000000" w:themeColor="text1"/>
        </w:rPr>
        <w:t xml:space="preserve"> presentó</w:t>
      </w:r>
      <w:r w:rsidR="005F1362" w:rsidRPr="00B10772">
        <w:rPr>
          <w:rFonts w:ascii="Palatino Linotype" w:hAnsi="Palatino Linotype"/>
          <w:b/>
          <w:color w:val="000000" w:themeColor="text1"/>
        </w:rPr>
        <w:t xml:space="preserve"> </w:t>
      </w:r>
      <w:r w:rsidR="00127E68" w:rsidRPr="00B10772">
        <w:rPr>
          <w:rFonts w:ascii="Palatino Linotype" w:hAnsi="Palatino Linotype"/>
          <w:bCs/>
          <w:color w:val="000000" w:themeColor="text1"/>
        </w:rPr>
        <w:t xml:space="preserve">a través </w:t>
      </w:r>
      <w:r w:rsidR="00DE4F75" w:rsidRPr="00B10772">
        <w:rPr>
          <w:rFonts w:ascii="Palatino Linotype" w:hAnsi="Palatino Linotype"/>
          <w:bCs/>
          <w:color w:val="000000" w:themeColor="text1"/>
        </w:rPr>
        <w:t>de</w:t>
      </w:r>
      <w:r w:rsidR="00070A2F" w:rsidRPr="00B10772">
        <w:rPr>
          <w:rFonts w:ascii="Palatino Linotype" w:hAnsi="Palatino Linotype"/>
          <w:bCs/>
          <w:color w:val="000000" w:themeColor="text1"/>
        </w:rPr>
        <w:t>l</w:t>
      </w:r>
      <w:r w:rsidR="00804D8D" w:rsidRPr="00B10772">
        <w:rPr>
          <w:rFonts w:ascii="Palatino Linotype" w:hAnsi="Palatino Linotype"/>
          <w:bCs/>
          <w:color w:val="000000" w:themeColor="text1"/>
        </w:rPr>
        <w:t xml:space="preserve"> </w:t>
      </w:r>
      <w:r w:rsidR="005F1362" w:rsidRPr="00B10772">
        <w:rPr>
          <w:rFonts w:ascii="Palatino Linotype" w:eastAsia="Calibri" w:hAnsi="Palatino Linotype" w:cs="Arial"/>
          <w:color w:val="000000" w:themeColor="text1"/>
          <w:lang w:val="es-ES"/>
        </w:rPr>
        <w:t xml:space="preserve">Sistema de Acceso a la Información Mexiquense </w:t>
      </w:r>
      <w:r w:rsidR="005F1362" w:rsidRPr="00B10772">
        <w:rPr>
          <w:rFonts w:ascii="Palatino Linotype" w:eastAsia="Calibri" w:hAnsi="Palatino Linotype" w:cs="Arial"/>
          <w:bCs/>
          <w:color w:val="000000" w:themeColor="text1"/>
          <w:lang w:val="es-ES"/>
        </w:rPr>
        <w:t>(SAIMEX)</w:t>
      </w:r>
      <w:r w:rsidR="005F1362" w:rsidRPr="00B10772">
        <w:rPr>
          <w:rFonts w:ascii="Palatino Linotype" w:eastAsia="Calibri" w:hAnsi="Palatino Linotype" w:cs="Arial"/>
          <w:color w:val="000000" w:themeColor="text1"/>
          <w:lang w:val="es-ES"/>
        </w:rPr>
        <w:t>, la solicitud de información pública registrada con el número</w:t>
      </w:r>
      <w:r w:rsidR="005F1362" w:rsidRPr="00B10772">
        <w:rPr>
          <w:rFonts w:ascii="Palatino Linotype" w:hAnsi="Palatino Linotype"/>
          <w:b/>
          <w:bCs/>
          <w:color w:val="000000" w:themeColor="text1"/>
        </w:rPr>
        <w:t xml:space="preserve"> </w:t>
      </w:r>
      <w:r w:rsidR="00DD6949" w:rsidRPr="00B10772">
        <w:rPr>
          <w:rFonts w:ascii="Palatino Linotype" w:hAnsi="Palatino Linotype"/>
          <w:b/>
          <w:bCs/>
          <w:color w:val="000000" w:themeColor="text1"/>
        </w:rPr>
        <w:t>00005/DONAGUER/IP/2022</w:t>
      </w:r>
      <w:r w:rsidR="005F1362" w:rsidRPr="00B10772">
        <w:rPr>
          <w:rFonts w:ascii="Palatino Linotype" w:hAnsi="Palatino Linotype"/>
          <w:b/>
          <w:bCs/>
          <w:color w:val="000000" w:themeColor="text1"/>
        </w:rPr>
        <w:t>,</w:t>
      </w:r>
      <w:r w:rsidR="005F1362" w:rsidRPr="00B10772">
        <w:rPr>
          <w:rFonts w:ascii="Palatino Linotype" w:eastAsia="Calibri" w:hAnsi="Palatino Linotype" w:cs="Arial"/>
          <w:color w:val="000000" w:themeColor="text1"/>
          <w:lang w:val="es-ES"/>
        </w:rPr>
        <w:t xml:space="preserve"> mediante la cual requirió</w:t>
      </w:r>
      <w:r w:rsidR="00022D89" w:rsidRPr="00B10772">
        <w:rPr>
          <w:rFonts w:ascii="Palatino Linotype" w:eastAsia="Calibri" w:hAnsi="Palatino Linotype" w:cs="Arial"/>
          <w:color w:val="000000" w:themeColor="text1"/>
          <w:lang w:val="es-ES"/>
        </w:rPr>
        <w:t xml:space="preserve"> lo siguiente</w:t>
      </w:r>
      <w:r w:rsidR="005F1362" w:rsidRPr="00B10772">
        <w:rPr>
          <w:rFonts w:ascii="Palatino Linotype" w:eastAsia="Calibri" w:hAnsi="Palatino Linotype" w:cs="Arial"/>
          <w:color w:val="000000" w:themeColor="text1"/>
          <w:lang w:val="es-ES"/>
        </w:rPr>
        <w:t>:</w:t>
      </w:r>
    </w:p>
    <w:p w14:paraId="76EB7490" w14:textId="77777777" w:rsidR="00B31E90" w:rsidRPr="00B10772"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2B9C177A" w:rsidR="0097210F" w:rsidRPr="00B10772" w:rsidRDefault="005F1362" w:rsidP="00B31E90">
      <w:pPr>
        <w:pStyle w:val="Prrafodelista"/>
        <w:spacing w:line="276" w:lineRule="auto"/>
        <w:ind w:left="567" w:right="567"/>
        <w:jc w:val="both"/>
        <w:rPr>
          <w:rFonts w:ascii="Palatino Linotype" w:hAnsi="Palatino Linotype"/>
          <w:i/>
          <w:color w:val="000000" w:themeColor="text1"/>
          <w:szCs w:val="22"/>
        </w:rPr>
      </w:pPr>
      <w:r w:rsidRPr="00B10772">
        <w:rPr>
          <w:rFonts w:ascii="Palatino Linotype" w:hAnsi="Palatino Linotype"/>
          <w:i/>
          <w:color w:val="000000" w:themeColor="text1"/>
          <w:sz w:val="22"/>
          <w:szCs w:val="22"/>
        </w:rPr>
        <w:t>“</w:t>
      </w:r>
      <w:r w:rsidR="00DD6949" w:rsidRPr="00B10772">
        <w:rPr>
          <w:rFonts w:ascii="Palatino Linotype" w:hAnsi="Palatino Linotype"/>
          <w:i/>
          <w:color w:val="000000" w:themeColor="text1"/>
          <w:sz w:val="22"/>
          <w:szCs w:val="22"/>
        </w:rPr>
        <w:t xml:space="preserve">Solicito conocer del ayuntamiento de Donato guerra 2019-2021 los gastos generados con motivo de la pandemia por COVID-19, </w:t>
      </w:r>
      <w:proofErr w:type="spellStart"/>
      <w:r w:rsidR="00DD6949" w:rsidRPr="00B10772">
        <w:rPr>
          <w:rFonts w:ascii="Palatino Linotype" w:hAnsi="Palatino Linotype"/>
          <w:i/>
          <w:color w:val="000000" w:themeColor="text1"/>
          <w:sz w:val="22"/>
          <w:szCs w:val="22"/>
        </w:rPr>
        <w:t>asi</w:t>
      </w:r>
      <w:proofErr w:type="spellEnd"/>
      <w:r w:rsidR="00DD6949" w:rsidRPr="00B10772">
        <w:rPr>
          <w:rFonts w:ascii="Palatino Linotype" w:hAnsi="Palatino Linotype"/>
          <w:i/>
          <w:color w:val="000000" w:themeColor="text1"/>
          <w:sz w:val="22"/>
          <w:szCs w:val="22"/>
        </w:rPr>
        <w:t xml:space="preserve"> mismo deseo me sea desglosada la información.</w:t>
      </w:r>
      <w:r w:rsidRPr="00B10772">
        <w:rPr>
          <w:rFonts w:ascii="Palatino Linotype" w:hAnsi="Palatino Linotype"/>
          <w:i/>
          <w:color w:val="000000" w:themeColor="text1"/>
          <w:sz w:val="22"/>
          <w:szCs w:val="22"/>
        </w:rPr>
        <w:t xml:space="preserve">” </w:t>
      </w:r>
      <w:r w:rsidRPr="00B10772">
        <w:rPr>
          <w:rFonts w:ascii="Palatino Linotype" w:hAnsi="Palatino Linotype"/>
          <w:color w:val="000000" w:themeColor="text1"/>
          <w:sz w:val="22"/>
          <w:szCs w:val="22"/>
        </w:rPr>
        <w:t>(Sic).</w:t>
      </w:r>
    </w:p>
    <w:p w14:paraId="65A03C8D" w14:textId="77777777" w:rsidR="005F1362" w:rsidRPr="00B10772" w:rsidRDefault="005F1362" w:rsidP="00B31E90">
      <w:pPr>
        <w:spacing w:line="360" w:lineRule="auto"/>
        <w:ind w:right="333"/>
        <w:jc w:val="both"/>
        <w:rPr>
          <w:rFonts w:ascii="Palatino Linotype" w:hAnsi="Palatino Linotype"/>
          <w:color w:val="000000" w:themeColor="text1"/>
        </w:rPr>
      </w:pPr>
    </w:p>
    <w:p w14:paraId="49C21E77" w14:textId="53E293A8" w:rsidR="0039142B" w:rsidRPr="00B10772"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0772">
        <w:rPr>
          <w:rFonts w:ascii="Palatino Linotype" w:hAnsi="Palatino Linotype" w:cs="Arial"/>
          <w:color w:val="000000" w:themeColor="text1"/>
        </w:rPr>
        <w:t xml:space="preserve">Se hace constar que </w:t>
      </w:r>
      <w:r w:rsidR="00DD6949" w:rsidRPr="00B10772">
        <w:rPr>
          <w:rFonts w:ascii="Palatino Linotype" w:eastAsia="Times New Roman" w:hAnsi="Palatino Linotype" w:cs="Arial"/>
          <w:color w:val="000000" w:themeColor="text1"/>
          <w:lang w:val="es-ES"/>
        </w:rPr>
        <w:t>el</w:t>
      </w:r>
      <w:r w:rsidR="00025127" w:rsidRPr="00B10772">
        <w:rPr>
          <w:rFonts w:ascii="Palatino Linotype" w:eastAsia="Times New Roman" w:hAnsi="Palatino Linotype" w:cs="Arial"/>
          <w:color w:val="000000" w:themeColor="text1"/>
          <w:lang w:val="es-ES"/>
        </w:rPr>
        <w:t xml:space="preserve"> entonces</w:t>
      </w:r>
      <w:r w:rsidR="00FD7996" w:rsidRPr="00B10772">
        <w:rPr>
          <w:rFonts w:ascii="Palatino Linotype" w:eastAsia="Times New Roman" w:hAnsi="Palatino Linotype" w:cs="Arial"/>
          <w:color w:val="000000" w:themeColor="text1"/>
          <w:lang w:val="es-ES"/>
        </w:rPr>
        <w:t xml:space="preserve"> </w:t>
      </w:r>
      <w:r w:rsidR="00FD7996" w:rsidRPr="00B10772">
        <w:rPr>
          <w:rFonts w:ascii="Palatino Linotype" w:eastAsia="Times New Roman" w:hAnsi="Palatino Linotype" w:cs="Arial"/>
          <w:b/>
          <w:color w:val="000000" w:themeColor="text1"/>
          <w:lang w:val="es-ES"/>
        </w:rPr>
        <w:t>SOLICITANTE</w:t>
      </w:r>
      <w:r w:rsidRPr="00B10772">
        <w:rPr>
          <w:rFonts w:ascii="Palatino Linotype" w:eastAsia="Times New Roman" w:hAnsi="Palatino Linotype" w:cs="Arial"/>
          <w:color w:val="000000" w:themeColor="text1"/>
          <w:lang w:val="es-ES"/>
        </w:rPr>
        <w:t xml:space="preserve"> señaló como modalidad de entrega de la información</w:t>
      </w:r>
      <w:r w:rsidRPr="00B10772">
        <w:rPr>
          <w:rFonts w:ascii="Palatino Linotype" w:eastAsia="Times New Roman" w:hAnsi="Palatino Linotype" w:cs="Arial"/>
          <w:b/>
          <w:color w:val="000000" w:themeColor="text1"/>
          <w:lang w:val="es-ES"/>
        </w:rPr>
        <w:t>:</w:t>
      </w:r>
      <w:r w:rsidR="001E4152" w:rsidRPr="00B10772">
        <w:rPr>
          <w:rFonts w:ascii="Palatino Linotype" w:eastAsia="Times New Roman" w:hAnsi="Palatino Linotype" w:cs="Arial"/>
          <w:b/>
          <w:color w:val="000000" w:themeColor="text1"/>
          <w:lang w:val="es-ES"/>
        </w:rPr>
        <w:t xml:space="preserve"> </w:t>
      </w:r>
      <w:r w:rsidR="001E4152" w:rsidRPr="00B10772">
        <w:rPr>
          <w:rFonts w:ascii="Palatino Linotype" w:eastAsia="Times New Roman" w:hAnsi="Palatino Linotype" w:cs="Arial"/>
          <w:b/>
          <w:i/>
          <w:iCs/>
          <w:color w:val="000000" w:themeColor="text1"/>
          <w:lang w:val="es-ES"/>
        </w:rPr>
        <w:t xml:space="preserve">A través del </w:t>
      </w:r>
      <w:r w:rsidR="00070A2F" w:rsidRPr="00B10772">
        <w:rPr>
          <w:rFonts w:ascii="Palatino Linotype" w:eastAsia="Times New Roman" w:hAnsi="Palatino Linotype" w:cs="Arial"/>
          <w:b/>
          <w:i/>
          <w:iCs/>
          <w:color w:val="000000" w:themeColor="text1"/>
          <w:lang w:val="es-ES"/>
        </w:rPr>
        <w:t>SAIMEX</w:t>
      </w:r>
      <w:r w:rsidR="00804D8D" w:rsidRPr="00B10772">
        <w:rPr>
          <w:rFonts w:ascii="Palatino Linotype" w:eastAsia="Calibri" w:hAnsi="Palatino Linotype" w:cs="Arial"/>
          <w:i/>
          <w:color w:val="000000" w:themeColor="text1"/>
          <w:lang w:val="es-AR"/>
        </w:rPr>
        <w:t>.</w:t>
      </w:r>
    </w:p>
    <w:p w14:paraId="35BA18A9" w14:textId="77777777" w:rsidR="0039142B" w:rsidRPr="00B10772"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1602E838" w:rsidR="0022448D" w:rsidRPr="00B10772" w:rsidRDefault="00A263EB"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10772">
        <w:rPr>
          <w:rFonts w:ascii="Palatino Linotype" w:eastAsia="MS Mincho" w:hAnsi="Palatino Linotype" w:cs="Times New Roman"/>
          <w:color w:val="000000" w:themeColor="text1"/>
        </w:rPr>
        <w:t xml:space="preserve">El </w:t>
      </w:r>
      <w:r w:rsidR="00DD6949" w:rsidRPr="00B10772">
        <w:rPr>
          <w:rFonts w:ascii="Palatino Linotype" w:eastAsia="MS Mincho" w:hAnsi="Palatino Linotype" w:cs="Times New Roman"/>
          <w:color w:val="000000" w:themeColor="text1"/>
        </w:rPr>
        <w:t>diez (10) de febrero de dos mil veintidós</w:t>
      </w:r>
      <w:r w:rsidR="00762697" w:rsidRPr="00B10772">
        <w:rPr>
          <w:rFonts w:ascii="Palatino Linotype" w:eastAsia="MS Mincho" w:hAnsi="Palatino Linotype" w:cs="Times New Roman"/>
          <w:color w:val="000000" w:themeColor="text1"/>
        </w:rPr>
        <w:t xml:space="preserve">, </w:t>
      </w:r>
      <w:r w:rsidR="005F1362" w:rsidRPr="00B10772">
        <w:rPr>
          <w:rFonts w:ascii="Palatino Linotype" w:hAnsi="Palatino Linotype"/>
          <w:color w:val="000000" w:themeColor="text1"/>
          <w:szCs w:val="14"/>
        </w:rPr>
        <w:t xml:space="preserve">el </w:t>
      </w:r>
      <w:r w:rsidR="005F1362" w:rsidRPr="00B10772">
        <w:rPr>
          <w:rFonts w:ascii="Palatino Linotype" w:hAnsi="Palatino Linotype"/>
          <w:b/>
          <w:color w:val="000000" w:themeColor="text1"/>
          <w:szCs w:val="14"/>
        </w:rPr>
        <w:t>SUJETO OBLIGADO</w:t>
      </w:r>
      <w:r w:rsidR="005F1362" w:rsidRPr="00B10772">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B10772" w:rsidRDefault="009A593A" w:rsidP="00B31E90">
      <w:pPr>
        <w:pStyle w:val="Sinespaciado"/>
        <w:ind w:left="567" w:right="567"/>
        <w:jc w:val="right"/>
        <w:rPr>
          <w:rFonts w:ascii="Palatino Linotype" w:hAnsi="Palatino Linotype"/>
          <w:i/>
          <w:noProof/>
          <w:color w:val="000000" w:themeColor="text1"/>
          <w:lang w:eastAsia="es-MX"/>
        </w:rPr>
      </w:pPr>
    </w:p>
    <w:p w14:paraId="28BDCACE" w14:textId="77777777" w:rsidR="00DD6949" w:rsidRPr="00B10772" w:rsidRDefault="005F1362" w:rsidP="00DD69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0772">
        <w:rPr>
          <w:rFonts w:ascii="Palatino Linotype" w:hAnsi="Palatino Linotype"/>
          <w:i/>
          <w:noProof/>
          <w:color w:val="000000" w:themeColor="text1"/>
          <w:sz w:val="22"/>
          <w:szCs w:val="22"/>
          <w:lang w:val="es-MX" w:eastAsia="es-MX"/>
        </w:rPr>
        <w:t>“</w:t>
      </w:r>
      <w:r w:rsidR="00DD6949" w:rsidRPr="00B10772">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4BB7ED" w14:textId="77777777" w:rsidR="00DD6949" w:rsidRPr="00B10772" w:rsidRDefault="00DD6949" w:rsidP="00DD69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41A04F3" w14:textId="7BAB0E2C" w:rsidR="00DD6949" w:rsidRPr="00B10772" w:rsidRDefault="00DD6949" w:rsidP="00DD69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0772">
        <w:rPr>
          <w:rFonts w:ascii="Palatino Linotype" w:hAnsi="Palatino Linotype"/>
          <w:i/>
          <w:noProof/>
          <w:color w:val="000000" w:themeColor="text1"/>
          <w:sz w:val="22"/>
          <w:szCs w:val="22"/>
          <w:lang w:val="es-MX" w:eastAsia="es-MX"/>
        </w:rPr>
        <w:t>SE PONE A SU DISPOSICION INFORMACION SOLICITADA PARA SU CONSULTA DIRECTA EN TESORERIA</w:t>
      </w:r>
    </w:p>
    <w:p w14:paraId="226E664C" w14:textId="77777777" w:rsidR="00DD6949" w:rsidRPr="00B10772" w:rsidRDefault="00DD6949" w:rsidP="00DD69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53C9606" w14:textId="2FDBE860" w:rsidR="00DD6949" w:rsidRPr="00B10772" w:rsidRDefault="00DD6949" w:rsidP="00DD6949">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10772">
        <w:rPr>
          <w:rFonts w:ascii="Palatino Linotype" w:hAnsi="Palatino Linotype"/>
          <w:i/>
          <w:noProof/>
          <w:color w:val="000000" w:themeColor="text1"/>
          <w:sz w:val="22"/>
          <w:szCs w:val="22"/>
          <w:lang w:val="es-MX" w:eastAsia="es-MX"/>
        </w:rPr>
        <w:t>ATENTAMENTE</w:t>
      </w:r>
    </w:p>
    <w:p w14:paraId="35A36DE0" w14:textId="4054436A" w:rsidR="0039142B" w:rsidRPr="00B10772" w:rsidRDefault="00DD6949" w:rsidP="00DD694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B10772">
        <w:rPr>
          <w:rFonts w:ascii="Palatino Linotype" w:hAnsi="Palatino Linotype"/>
          <w:i/>
          <w:noProof/>
          <w:color w:val="000000" w:themeColor="text1"/>
          <w:sz w:val="22"/>
          <w:szCs w:val="22"/>
          <w:lang w:val="es-MX" w:eastAsia="es-MX"/>
        </w:rPr>
        <w:t>LIC MIGUEL ANGEL VALVERDE CHACON</w:t>
      </w:r>
      <w:r w:rsidR="005F1362" w:rsidRPr="00B10772">
        <w:rPr>
          <w:rFonts w:ascii="Palatino Linotype" w:hAnsi="Palatino Linotype"/>
          <w:i/>
          <w:noProof/>
          <w:color w:val="000000" w:themeColor="text1"/>
          <w:sz w:val="22"/>
          <w:szCs w:val="22"/>
          <w:lang w:val="es-MX" w:eastAsia="es-MX"/>
        </w:rPr>
        <w:t>”</w:t>
      </w:r>
      <w:r w:rsidR="00EB3DF7" w:rsidRPr="00B10772">
        <w:rPr>
          <w:rFonts w:ascii="Palatino Linotype" w:hAnsi="Palatino Linotype"/>
          <w:noProof/>
          <w:color w:val="000000" w:themeColor="text1"/>
          <w:sz w:val="22"/>
          <w:szCs w:val="22"/>
          <w:lang w:val="es-MX" w:eastAsia="es-MX"/>
        </w:rPr>
        <w:t xml:space="preserve"> (Sic.)</w:t>
      </w:r>
    </w:p>
    <w:p w14:paraId="2D68519B" w14:textId="77777777" w:rsidR="0097210F" w:rsidRPr="00B10772" w:rsidRDefault="0097210F" w:rsidP="009A593A">
      <w:pPr>
        <w:pStyle w:val="Sinespaciado"/>
        <w:ind w:right="567"/>
        <w:jc w:val="both"/>
        <w:rPr>
          <w:rFonts w:ascii="Palatino Linotype" w:hAnsi="Palatino Linotype"/>
          <w:noProof/>
          <w:color w:val="000000" w:themeColor="text1"/>
          <w:lang w:val="es-MX" w:eastAsia="es-MX"/>
        </w:rPr>
      </w:pPr>
    </w:p>
    <w:p w14:paraId="272B63B3" w14:textId="61D74D13" w:rsidR="000D5A1D" w:rsidRPr="00B10772"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10772">
        <w:rPr>
          <w:rFonts w:ascii="Palatino Linotype" w:eastAsia="Times New Roman" w:hAnsi="Palatino Linotype" w:cs="Arial"/>
          <w:color w:val="000000" w:themeColor="text1"/>
          <w:lang w:val="es-ES"/>
        </w:rPr>
        <w:t>D</w:t>
      </w:r>
      <w:r w:rsidR="00561ED1" w:rsidRPr="00B10772">
        <w:rPr>
          <w:rFonts w:ascii="Palatino Linotype" w:eastAsia="Times New Roman" w:hAnsi="Palatino Linotype" w:cs="Arial"/>
          <w:color w:val="000000" w:themeColor="text1"/>
          <w:lang w:val="es-ES"/>
        </w:rPr>
        <w:t xml:space="preserve">erivado de la respuesta emitida por el </w:t>
      </w:r>
      <w:r w:rsidR="00561ED1" w:rsidRPr="00B10772">
        <w:rPr>
          <w:rFonts w:ascii="Palatino Linotype" w:eastAsia="Times New Roman" w:hAnsi="Palatino Linotype" w:cs="Arial"/>
          <w:b/>
          <w:color w:val="000000" w:themeColor="text1"/>
          <w:lang w:val="es-ES"/>
        </w:rPr>
        <w:t>SUJETO OBLIGADO</w:t>
      </w:r>
      <w:r w:rsidR="00561ED1" w:rsidRPr="00B10772">
        <w:rPr>
          <w:rFonts w:ascii="Palatino Linotype" w:eastAsia="Times New Roman" w:hAnsi="Palatino Linotype" w:cs="Arial"/>
          <w:color w:val="000000" w:themeColor="text1"/>
          <w:lang w:val="es-ES"/>
        </w:rPr>
        <w:t>, e</w:t>
      </w:r>
      <w:r w:rsidR="00DB4BEF" w:rsidRPr="00B10772">
        <w:rPr>
          <w:rFonts w:ascii="Palatino Linotype" w:eastAsia="Times New Roman" w:hAnsi="Palatino Linotype" w:cs="Arial"/>
          <w:color w:val="000000" w:themeColor="text1"/>
          <w:lang w:val="es-ES"/>
        </w:rPr>
        <w:t xml:space="preserve">l </w:t>
      </w:r>
      <w:r w:rsidR="00DD6949" w:rsidRPr="00B10772">
        <w:rPr>
          <w:rFonts w:ascii="Palatino Linotype" w:eastAsia="Times New Roman" w:hAnsi="Palatino Linotype" w:cs="Arial"/>
          <w:color w:val="000000" w:themeColor="text1"/>
          <w:lang w:val="es-ES"/>
        </w:rPr>
        <w:t>diez (10) de febrero de dos mil veintidós</w:t>
      </w:r>
      <w:r w:rsidR="00FE49E3" w:rsidRPr="00B10772">
        <w:rPr>
          <w:rFonts w:ascii="Palatino Linotype" w:eastAsia="Times New Roman" w:hAnsi="Palatino Linotype" w:cs="Arial"/>
          <w:color w:val="000000" w:themeColor="text1"/>
          <w:lang w:val="es-ES"/>
        </w:rPr>
        <w:t xml:space="preserve">, </w:t>
      </w:r>
      <w:r w:rsidR="00DD6949" w:rsidRPr="00B10772">
        <w:rPr>
          <w:rFonts w:ascii="Palatino Linotype" w:eastAsia="Times New Roman" w:hAnsi="Palatino Linotype" w:cs="Arial"/>
          <w:color w:val="000000" w:themeColor="text1"/>
          <w:lang w:val="es-ES"/>
        </w:rPr>
        <w:t>el</w:t>
      </w:r>
      <w:r w:rsidR="005F1362" w:rsidRPr="00B10772">
        <w:rPr>
          <w:rFonts w:ascii="Palatino Linotype" w:eastAsia="Times New Roman" w:hAnsi="Palatino Linotype" w:cs="Arial"/>
          <w:color w:val="000000" w:themeColor="text1"/>
          <w:lang w:val="es-ES"/>
        </w:rPr>
        <w:t xml:space="preserve"> particular</w:t>
      </w:r>
      <w:r w:rsidR="00DB4BEF" w:rsidRPr="00B10772">
        <w:rPr>
          <w:rFonts w:ascii="Palatino Linotype" w:eastAsia="Times New Roman" w:hAnsi="Palatino Linotype" w:cs="Arial"/>
          <w:color w:val="000000" w:themeColor="text1"/>
          <w:lang w:val="es-ES"/>
        </w:rPr>
        <w:t xml:space="preserve"> interpuso</w:t>
      </w:r>
      <w:r w:rsidR="009316E9" w:rsidRPr="00B10772">
        <w:rPr>
          <w:rFonts w:ascii="Palatino Linotype" w:eastAsia="Times New Roman" w:hAnsi="Palatino Linotype" w:cs="Arial"/>
          <w:color w:val="000000" w:themeColor="text1"/>
          <w:lang w:val="es-ES"/>
        </w:rPr>
        <w:t xml:space="preserve"> </w:t>
      </w:r>
      <w:r w:rsidR="00102D65" w:rsidRPr="00B10772">
        <w:rPr>
          <w:rFonts w:ascii="Palatino Linotype" w:eastAsia="Times New Roman" w:hAnsi="Palatino Linotype" w:cs="Arial"/>
          <w:color w:val="000000" w:themeColor="text1"/>
          <w:lang w:val="es-ES"/>
        </w:rPr>
        <w:t>el</w:t>
      </w:r>
      <w:r w:rsidR="004D68F8" w:rsidRPr="00B10772">
        <w:rPr>
          <w:rFonts w:ascii="Palatino Linotype" w:eastAsia="Times New Roman" w:hAnsi="Palatino Linotype" w:cs="Arial"/>
          <w:color w:val="000000" w:themeColor="text1"/>
          <w:lang w:val="es-ES"/>
        </w:rPr>
        <w:t xml:space="preserve"> recurso de revisión </w:t>
      </w:r>
      <w:r w:rsidR="00DD6949" w:rsidRPr="00B10772">
        <w:rPr>
          <w:rFonts w:ascii="Palatino Linotype" w:eastAsia="Calibri" w:hAnsi="Palatino Linotype" w:cs="Arial"/>
          <w:b/>
          <w:color w:val="000000" w:themeColor="text1"/>
          <w:lang w:val="es-ES"/>
        </w:rPr>
        <w:t>00698/INFOEM/IP/RR/2022</w:t>
      </w:r>
      <w:r w:rsidR="009A0461" w:rsidRPr="00B10772">
        <w:rPr>
          <w:rFonts w:ascii="Palatino Linotype" w:eastAsia="Calibri" w:hAnsi="Palatino Linotype" w:cs="Arial"/>
          <w:b/>
          <w:color w:val="000000" w:themeColor="text1"/>
          <w:lang w:val="es-ES"/>
        </w:rPr>
        <w:t>;</w:t>
      </w:r>
      <w:r w:rsidR="00102D65" w:rsidRPr="00B10772">
        <w:rPr>
          <w:rFonts w:ascii="Palatino Linotype" w:eastAsia="Times New Roman" w:hAnsi="Palatino Linotype" w:cs="Arial"/>
          <w:color w:val="000000" w:themeColor="text1"/>
          <w:lang w:val="es-ES"/>
        </w:rPr>
        <w:t xml:space="preserve"> impugnación</w:t>
      </w:r>
      <w:r w:rsidR="004D68F8" w:rsidRPr="00B10772">
        <w:rPr>
          <w:rFonts w:ascii="Palatino Linotype" w:eastAsia="Times New Roman" w:hAnsi="Palatino Linotype" w:cs="Arial"/>
          <w:color w:val="000000" w:themeColor="text1"/>
          <w:lang w:val="es-ES"/>
        </w:rPr>
        <w:t xml:space="preserve"> </w:t>
      </w:r>
      <w:r w:rsidR="00A45546" w:rsidRPr="00B10772">
        <w:rPr>
          <w:rFonts w:ascii="Palatino Linotype" w:eastAsia="Times New Roman" w:hAnsi="Palatino Linotype" w:cs="Arial"/>
          <w:color w:val="000000" w:themeColor="text1"/>
          <w:lang w:val="es-ES"/>
        </w:rPr>
        <w:t xml:space="preserve">en </w:t>
      </w:r>
      <w:r w:rsidR="00977D37" w:rsidRPr="00B10772">
        <w:rPr>
          <w:rFonts w:ascii="Palatino Linotype" w:eastAsia="Times New Roman" w:hAnsi="Palatino Linotype" w:cs="Arial"/>
          <w:color w:val="000000" w:themeColor="text1"/>
          <w:lang w:val="es-ES"/>
        </w:rPr>
        <w:t>la</w:t>
      </w:r>
      <w:r w:rsidR="00A45546" w:rsidRPr="00B10772">
        <w:rPr>
          <w:rFonts w:ascii="Palatino Linotype" w:eastAsia="Times New Roman" w:hAnsi="Palatino Linotype" w:cs="Arial"/>
          <w:color w:val="000000" w:themeColor="text1"/>
          <w:lang w:val="es-ES"/>
        </w:rPr>
        <w:t xml:space="preserve"> que refirió </w:t>
      </w:r>
      <w:r w:rsidR="004D68F8" w:rsidRPr="00B10772">
        <w:rPr>
          <w:rFonts w:ascii="Palatino Linotype" w:eastAsia="Times New Roman" w:hAnsi="Palatino Linotype" w:cs="Arial"/>
          <w:color w:val="000000" w:themeColor="text1"/>
          <w:lang w:val="es-ES"/>
        </w:rPr>
        <w:t>lo siguiente:</w:t>
      </w:r>
    </w:p>
    <w:p w14:paraId="054906C6" w14:textId="77777777" w:rsidR="00E34622" w:rsidRPr="00B1077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4D842373" w:rsidR="00E34622" w:rsidRPr="00B10772"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B10772">
        <w:rPr>
          <w:rFonts w:ascii="Palatino Linotype" w:eastAsia="Times New Roman" w:hAnsi="Palatino Linotype" w:cs="Arial"/>
          <w:b/>
          <w:color w:val="000000" w:themeColor="text1"/>
          <w:lang w:val="es-ES"/>
        </w:rPr>
        <w:t>Acto impugnado:</w:t>
      </w:r>
      <w:r w:rsidRPr="00B10772">
        <w:rPr>
          <w:rFonts w:ascii="Palatino Linotype" w:eastAsia="Times New Roman" w:hAnsi="Palatino Linotype" w:cs="Arial"/>
          <w:color w:val="000000" w:themeColor="text1"/>
          <w:lang w:val="es-ES"/>
        </w:rPr>
        <w:t xml:space="preserve"> “</w:t>
      </w:r>
      <w:r w:rsidR="00F66CB1" w:rsidRPr="00B10772">
        <w:rPr>
          <w:rFonts w:ascii="Palatino Linotype" w:eastAsia="Times New Roman" w:hAnsi="Palatino Linotype" w:cs="Arial"/>
          <w:i/>
          <w:iCs/>
          <w:color w:val="000000" w:themeColor="text1"/>
        </w:rPr>
        <w:t xml:space="preserve">Solicite CLARAMENTE del ayuntamiento de Donato guerra 2019-2021 los gastos generados con motivo de la pandemia por COVID-19, </w:t>
      </w:r>
      <w:proofErr w:type="spellStart"/>
      <w:r w:rsidR="00F66CB1" w:rsidRPr="00B10772">
        <w:rPr>
          <w:rFonts w:ascii="Palatino Linotype" w:eastAsia="Times New Roman" w:hAnsi="Palatino Linotype" w:cs="Arial"/>
          <w:i/>
          <w:iCs/>
          <w:color w:val="000000" w:themeColor="text1"/>
        </w:rPr>
        <w:t>asi</w:t>
      </w:r>
      <w:proofErr w:type="spellEnd"/>
      <w:r w:rsidR="00F66CB1" w:rsidRPr="00B10772">
        <w:rPr>
          <w:rFonts w:ascii="Palatino Linotype" w:eastAsia="Times New Roman" w:hAnsi="Palatino Linotype" w:cs="Arial"/>
          <w:i/>
          <w:iCs/>
          <w:color w:val="000000" w:themeColor="text1"/>
        </w:rPr>
        <w:t xml:space="preserve"> mismo deseo me sea desglosada la información.</w:t>
      </w:r>
      <w:r w:rsidRPr="00B10772">
        <w:rPr>
          <w:rFonts w:ascii="Palatino Linotype" w:eastAsia="Times New Roman" w:hAnsi="Palatino Linotype" w:cs="Arial"/>
          <w:i/>
          <w:color w:val="000000" w:themeColor="text1"/>
          <w:lang w:val="es-ES"/>
        </w:rPr>
        <w:t>”</w:t>
      </w:r>
      <w:r w:rsidRPr="00B10772">
        <w:rPr>
          <w:rFonts w:ascii="Palatino Linotype" w:eastAsia="Times New Roman" w:hAnsi="Palatino Linotype" w:cs="Arial"/>
          <w:color w:val="000000" w:themeColor="text1"/>
          <w:lang w:val="es-ES"/>
        </w:rPr>
        <w:t xml:space="preserve"> (Sic).</w:t>
      </w:r>
    </w:p>
    <w:p w14:paraId="38724B8B" w14:textId="77777777" w:rsidR="001468E9" w:rsidRPr="00B10772"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633C9F4D" w:rsidR="00E34622" w:rsidRPr="00B10772"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B10772">
        <w:rPr>
          <w:rFonts w:ascii="Palatino Linotype" w:eastAsia="Times New Roman" w:hAnsi="Palatino Linotype" w:cs="Arial"/>
          <w:b/>
          <w:color w:val="000000" w:themeColor="text1"/>
          <w:lang w:val="es-ES"/>
        </w:rPr>
        <w:t>Razones o motivos de inconformidad:</w:t>
      </w:r>
      <w:r w:rsidRPr="00B10772">
        <w:rPr>
          <w:rFonts w:ascii="Palatino Linotype" w:eastAsia="Times New Roman" w:hAnsi="Palatino Linotype" w:cs="Arial"/>
          <w:color w:val="000000" w:themeColor="text1"/>
          <w:lang w:val="es-ES"/>
        </w:rPr>
        <w:t xml:space="preserve"> “</w:t>
      </w:r>
      <w:r w:rsidR="00F66CB1" w:rsidRPr="00B10772">
        <w:rPr>
          <w:rFonts w:ascii="Palatino Linotype" w:hAnsi="Palatino Linotype"/>
          <w:i/>
          <w:iCs/>
          <w:color w:val="000000"/>
        </w:rPr>
        <w:t>No se me entrego información alguna, lo cual va en contra del derecho a la información. Piden que asista a Tesorería, cuando claramente la solicitud explica que se entregue la información A TRAVÉS DEL SAIMEX. Por ello interpongo en siguiente Recurso de Revisión.</w:t>
      </w:r>
      <w:r w:rsidRPr="00B10772">
        <w:rPr>
          <w:rFonts w:ascii="Palatino Linotype" w:eastAsia="Times New Roman" w:hAnsi="Palatino Linotype" w:cs="Arial"/>
          <w:i/>
          <w:color w:val="000000" w:themeColor="text1"/>
          <w:lang w:val="es-ES"/>
        </w:rPr>
        <w:t>”</w:t>
      </w:r>
      <w:r w:rsidRPr="00B10772">
        <w:rPr>
          <w:rFonts w:ascii="Palatino Linotype" w:eastAsia="Times New Roman" w:hAnsi="Palatino Linotype" w:cs="Arial"/>
          <w:color w:val="000000" w:themeColor="text1"/>
          <w:lang w:val="es-ES"/>
        </w:rPr>
        <w:t xml:space="preserve"> (Sic).</w:t>
      </w:r>
    </w:p>
    <w:p w14:paraId="4D16C3B0" w14:textId="77777777" w:rsidR="00E34622" w:rsidRPr="00B10772"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18EDB3FA" w:rsidR="005F1362" w:rsidRPr="00B10772" w:rsidRDefault="005C736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0772">
        <w:rPr>
          <w:rFonts w:ascii="Palatino Linotype" w:eastAsia="Times New Roman" w:hAnsi="Palatino Linotype" w:cs="Arial"/>
          <w:color w:val="000000" w:themeColor="text1"/>
          <w:lang w:val="es-ES"/>
        </w:rPr>
        <w:t>S</w:t>
      </w:r>
      <w:r w:rsidR="005F1362" w:rsidRPr="00B10772">
        <w:rPr>
          <w:rFonts w:ascii="Palatino Linotype" w:eastAsia="Times New Roman" w:hAnsi="Palatino Linotype" w:cs="Arial"/>
          <w:color w:val="000000" w:themeColor="text1"/>
          <w:lang w:val="es-ES"/>
        </w:rPr>
        <w:t xml:space="preserve">e registró el recurso de revisión bajo el número de expediente </w:t>
      </w:r>
      <w:r w:rsidR="004F785F" w:rsidRPr="00B10772">
        <w:rPr>
          <w:rFonts w:ascii="Palatino Linotype" w:hAnsi="Palatino Linotype" w:cs="Arial"/>
          <w:bCs/>
          <w:color w:val="000000" w:themeColor="text1"/>
        </w:rPr>
        <w:t>al rubro indicado, asi</w:t>
      </w:r>
      <w:r w:rsidR="005F1362" w:rsidRPr="00B10772">
        <w:rPr>
          <w:rFonts w:ascii="Palatino Linotype" w:hAnsi="Palatino Linotype" w:cs="Arial"/>
          <w:bCs/>
          <w:color w:val="000000" w:themeColor="text1"/>
        </w:rPr>
        <w:t xml:space="preserve">mismo, con fundamento en lo dispuesto por el </w:t>
      </w:r>
      <w:r w:rsidR="005F1362" w:rsidRPr="00B10772">
        <w:rPr>
          <w:rFonts w:ascii="Palatino Linotype" w:eastAsia="Calibri" w:hAnsi="Palatino Linotype" w:cs="Arial"/>
          <w:bCs/>
          <w:color w:val="000000" w:themeColor="text1"/>
          <w:lang w:val="es-ES"/>
        </w:rPr>
        <w:t>artículo 185</w:t>
      </w:r>
      <w:r w:rsidR="00F66CB1" w:rsidRPr="00B10772">
        <w:rPr>
          <w:rFonts w:ascii="Palatino Linotype" w:eastAsia="Calibri" w:hAnsi="Palatino Linotype" w:cs="Arial"/>
          <w:bCs/>
          <w:color w:val="000000" w:themeColor="text1"/>
          <w:lang w:val="es-ES"/>
        </w:rPr>
        <w:t>,</w:t>
      </w:r>
      <w:r w:rsidR="005F1362" w:rsidRPr="00B10772">
        <w:rPr>
          <w:rFonts w:ascii="Palatino Linotype" w:eastAsia="Calibri" w:hAnsi="Palatino Linotype" w:cs="Arial"/>
          <w:bCs/>
          <w:color w:val="000000" w:themeColor="text1"/>
          <w:lang w:val="es-ES"/>
        </w:rPr>
        <w:t xml:space="preserve"> fracción I</w:t>
      </w:r>
      <w:r w:rsidR="00F66CB1" w:rsidRPr="00B10772">
        <w:rPr>
          <w:rFonts w:ascii="Palatino Linotype" w:eastAsia="Calibri" w:hAnsi="Palatino Linotype" w:cs="Arial"/>
          <w:bCs/>
          <w:color w:val="000000" w:themeColor="text1"/>
          <w:lang w:val="es-ES"/>
        </w:rPr>
        <w:t>,</w:t>
      </w:r>
      <w:r w:rsidR="005F1362" w:rsidRPr="00B10772">
        <w:rPr>
          <w:rFonts w:ascii="Palatino Linotype" w:eastAsia="Calibri" w:hAnsi="Palatino Linotype" w:cs="Arial"/>
          <w:bCs/>
          <w:color w:val="000000" w:themeColor="text1"/>
          <w:lang w:val="es-ES"/>
        </w:rPr>
        <w:t xml:space="preserve"> de la Ley de Transparencia y Acceso a la Información Pública del Estado de México y </w:t>
      </w:r>
      <w:r w:rsidR="005F1362" w:rsidRPr="00B10772">
        <w:rPr>
          <w:rFonts w:ascii="Palatino Linotype" w:eastAsia="Calibri" w:hAnsi="Palatino Linotype" w:cs="Arial"/>
          <w:bCs/>
          <w:color w:val="000000" w:themeColor="text1"/>
          <w:lang w:val="es-ES"/>
        </w:rPr>
        <w:lastRenderedPageBreak/>
        <w:t xml:space="preserve">Municipios </w:t>
      </w:r>
      <w:r w:rsidR="005F1362" w:rsidRPr="00B10772">
        <w:rPr>
          <w:rFonts w:ascii="Palatino Linotype" w:eastAsia="Times New Roman" w:hAnsi="Palatino Linotype" w:cs="Arial"/>
          <w:bCs/>
          <w:color w:val="000000" w:themeColor="text1"/>
          <w:lang w:val="es-ES"/>
        </w:rPr>
        <w:t xml:space="preserve">se turnó </w:t>
      </w:r>
      <w:r w:rsidR="0096234B" w:rsidRPr="00B10772">
        <w:rPr>
          <w:rFonts w:ascii="Palatino Linotype" w:eastAsia="Times New Roman" w:hAnsi="Palatino Linotype" w:cs="Arial"/>
          <w:bCs/>
          <w:color w:val="000000" w:themeColor="text1"/>
          <w:lang w:val="es-ES"/>
        </w:rPr>
        <w:t xml:space="preserve">a la </w:t>
      </w:r>
      <w:r w:rsidR="0096234B" w:rsidRPr="00B10772">
        <w:rPr>
          <w:rFonts w:ascii="Palatino Linotype" w:eastAsia="Times New Roman" w:hAnsi="Palatino Linotype" w:cs="Arial"/>
          <w:b/>
          <w:bCs/>
          <w:color w:val="000000" w:themeColor="text1"/>
          <w:lang w:val="es-ES"/>
        </w:rPr>
        <w:t xml:space="preserve">Comisionada </w:t>
      </w:r>
      <w:r w:rsidR="007C165C" w:rsidRPr="00B10772">
        <w:rPr>
          <w:rFonts w:ascii="Palatino Linotype" w:eastAsia="Times New Roman" w:hAnsi="Palatino Linotype" w:cs="Arial"/>
          <w:b/>
          <w:bCs/>
          <w:color w:val="000000" w:themeColor="text1"/>
          <w:lang w:val="es-ES"/>
        </w:rPr>
        <w:t>María del Rosario Mejía Ayala</w:t>
      </w:r>
      <w:r w:rsidR="005F1362" w:rsidRPr="00B10772">
        <w:rPr>
          <w:rFonts w:ascii="Palatino Linotype" w:eastAsia="Times New Roman" w:hAnsi="Palatino Linotype" w:cs="Arial"/>
          <w:bCs/>
          <w:color w:val="000000" w:themeColor="text1"/>
          <w:lang w:val="es-ES"/>
        </w:rPr>
        <w:t xml:space="preserve">, con el objeto de </w:t>
      </w:r>
      <w:r w:rsidR="005F1362" w:rsidRPr="00B10772">
        <w:rPr>
          <w:rFonts w:ascii="Palatino Linotype" w:eastAsia="Times New Roman" w:hAnsi="Palatino Linotype" w:cs="Arial"/>
          <w:bCs/>
          <w:color w:val="000000" w:themeColor="text1"/>
        </w:rPr>
        <w:t>su análisis.</w:t>
      </w:r>
    </w:p>
    <w:p w14:paraId="2BDE682E" w14:textId="77777777" w:rsidR="005F1362" w:rsidRPr="00B10772"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37F04DF" w:rsidR="007446C2" w:rsidRPr="00B1077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0772">
        <w:rPr>
          <w:rFonts w:ascii="Palatino Linotype" w:eastAsia="Times New Roman" w:hAnsi="Palatino Linotype" w:cs="Arial"/>
          <w:color w:val="000000" w:themeColor="text1"/>
          <w:lang w:val="es-ES"/>
        </w:rPr>
        <w:t>La</w:t>
      </w:r>
      <w:r w:rsidR="00E647FF" w:rsidRPr="00B10772">
        <w:rPr>
          <w:rFonts w:ascii="Palatino Linotype" w:eastAsia="Times New Roman" w:hAnsi="Palatino Linotype" w:cs="Arial"/>
          <w:color w:val="000000" w:themeColor="text1"/>
          <w:lang w:val="es-ES"/>
        </w:rPr>
        <w:t xml:space="preserve"> </w:t>
      </w:r>
      <w:r w:rsidR="0004686A" w:rsidRPr="00B10772">
        <w:rPr>
          <w:rFonts w:ascii="Palatino Linotype" w:eastAsia="Calibri" w:hAnsi="Palatino Linotype" w:cs="Arial"/>
          <w:color w:val="000000" w:themeColor="text1"/>
          <w:lang w:val="es-ES"/>
        </w:rPr>
        <w:t>Comisionad</w:t>
      </w:r>
      <w:r w:rsidRPr="00B10772">
        <w:rPr>
          <w:rFonts w:ascii="Palatino Linotype" w:eastAsia="Calibri" w:hAnsi="Palatino Linotype" w:cs="Arial"/>
          <w:color w:val="000000" w:themeColor="text1"/>
          <w:lang w:val="es-ES"/>
        </w:rPr>
        <w:t>a</w:t>
      </w:r>
      <w:r w:rsidR="0004686A" w:rsidRPr="00B10772">
        <w:rPr>
          <w:rFonts w:ascii="Palatino Linotype" w:eastAsia="Calibri" w:hAnsi="Palatino Linotype" w:cs="Arial"/>
          <w:color w:val="000000" w:themeColor="text1"/>
          <w:lang w:val="es-ES"/>
        </w:rPr>
        <w:t xml:space="preserve"> Ponente</w:t>
      </w:r>
      <w:r w:rsidR="006B31E7" w:rsidRPr="00B10772">
        <w:rPr>
          <w:rFonts w:ascii="Palatino Linotype" w:eastAsia="Calibri" w:hAnsi="Palatino Linotype" w:cs="Arial"/>
          <w:color w:val="000000" w:themeColor="text1"/>
          <w:lang w:val="es-ES"/>
        </w:rPr>
        <w:t>,</w:t>
      </w:r>
      <w:r w:rsidR="0004686A" w:rsidRPr="00B10772">
        <w:rPr>
          <w:rFonts w:ascii="Palatino Linotype" w:eastAsia="Calibri" w:hAnsi="Palatino Linotype" w:cs="Arial"/>
          <w:color w:val="000000" w:themeColor="text1"/>
          <w:lang w:val="es-ES"/>
        </w:rPr>
        <w:t xml:space="preserve"> con fundamento en lo dispuesto por el artículo 185</w:t>
      </w:r>
      <w:r w:rsidR="00F66CB1" w:rsidRPr="00B10772">
        <w:rPr>
          <w:rFonts w:ascii="Palatino Linotype" w:eastAsia="Calibri" w:hAnsi="Palatino Linotype" w:cs="Arial"/>
          <w:color w:val="000000" w:themeColor="text1"/>
          <w:lang w:val="es-ES"/>
        </w:rPr>
        <w:t>,</w:t>
      </w:r>
      <w:r w:rsidR="0004686A" w:rsidRPr="00B10772">
        <w:rPr>
          <w:rFonts w:ascii="Palatino Linotype" w:eastAsia="Calibri" w:hAnsi="Palatino Linotype" w:cs="Arial"/>
          <w:color w:val="000000" w:themeColor="text1"/>
          <w:lang w:val="es-ES"/>
        </w:rPr>
        <w:t xml:space="preserve"> fracción II</w:t>
      </w:r>
      <w:r w:rsidR="00F66CB1" w:rsidRPr="00B10772">
        <w:rPr>
          <w:rFonts w:ascii="Palatino Linotype" w:eastAsia="Calibri" w:hAnsi="Palatino Linotype" w:cs="Arial"/>
          <w:color w:val="000000" w:themeColor="text1"/>
          <w:lang w:val="es-ES"/>
        </w:rPr>
        <w:t>,</w:t>
      </w:r>
      <w:r w:rsidR="0004686A" w:rsidRPr="00B10772">
        <w:rPr>
          <w:rFonts w:ascii="Palatino Linotype" w:eastAsia="Calibri" w:hAnsi="Palatino Linotype" w:cs="Arial"/>
          <w:color w:val="000000" w:themeColor="text1"/>
          <w:lang w:val="es-ES"/>
        </w:rPr>
        <w:t xml:space="preserve"> de la </w:t>
      </w:r>
      <w:r w:rsidR="00613655" w:rsidRPr="00B10772">
        <w:rPr>
          <w:rFonts w:ascii="Palatino Linotype" w:eastAsia="Calibri" w:hAnsi="Palatino Linotype" w:cs="Arial"/>
          <w:color w:val="000000" w:themeColor="text1"/>
          <w:lang w:val="es-ES"/>
        </w:rPr>
        <w:t>Ley de Transparencia y Acceso a la Información Pública del Estado de México y Municipios</w:t>
      </w:r>
      <w:r w:rsidR="0004686A" w:rsidRPr="00B10772">
        <w:rPr>
          <w:rFonts w:ascii="Palatino Linotype" w:eastAsia="Calibri" w:hAnsi="Palatino Linotype" w:cs="Arial"/>
          <w:color w:val="000000" w:themeColor="text1"/>
          <w:lang w:val="es-ES"/>
        </w:rPr>
        <w:t xml:space="preserve">, a través </w:t>
      </w:r>
      <w:r w:rsidR="006E4E2A" w:rsidRPr="00B10772">
        <w:rPr>
          <w:rFonts w:ascii="Palatino Linotype" w:eastAsia="Calibri" w:hAnsi="Palatino Linotype" w:cs="Arial"/>
          <w:color w:val="000000" w:themeColor="text1"/>
          <w:lang w:val="es-ES"/>
        </w:rPr>
        <w:t>del</w:t>
      </w:r>
      <w:r w:rsidR="0004686A" w:rsidRPr="00B10772">
        <w:rPr>
          <w:rFonts w:ascii="Palatino Linotype" w:eastAsia="Calibri" w:hAnsi="Palatino Linotype" w:cs="Arial"/>
          <w:color w:val="000000" w:themeColor="text1"/>
          <w:lang w:val="es-ES"/>
        </w:rPr>
        <w:t xml:space="preserve"> </w:t>
      </w:r>
      <w:r w:rsidR="00B81371" w:rsidRPr="00B10772">
        <w:rPr>
          <w:rFonts w:ascii="Palatino Linotype" w:eastAsia="Calibri" w:hAnsi="Palatino Linotype" w:cs="Arial"/>
          <w:color w:val="000000" w:themeColor="text1"/>
          <w:lang w:val="es-ES"/>
        </w:rPr>
        <w:t xml:space="preserve">acuerdo </w:t>
      </w:r>
      <w:r w:rsidR="00F147C6" w:rsidRPr="00B10772">
        <w:rPr>
          <w:rFonts w:ascii="Palatino Linotype" w:eastAsia="Calibri" w:hAnsi="Palatino Linotype" w:cs="Arial"/>
          <w:color w:val="000000" w:themeColor="text1"/>
          <w:lang w:val="es-ES"/>
        </w:rPr>
        <w:t xml:space="preserve">de admisión </w:t>
      </w:r>
      <w:r w:rsidR="00B81371" w:rsidRPr="00B10772">
        <w:rPr>
          <w:rFonts w:ascii="Palatino Linotype" w:eastAsia="Calibri" w:hAnsi="Palatino Linotype" w:cs="Arial"/>
          <w:color w:val="000000" w:themeColor="text1"/>
          <w:lang w:val="es-ES"/>
        </w:rPr>
        <w:t xml:space="preserve">de </w:t>
      </w:r>
      <w:r w:rsidR="00F66CB1" w:rsidRPr="00B10772">
        <w:rPr>
          <w:rFonts w:ascii="Palatino Linotype" w:eastAsia="Calibri" w:hAnsi="Palatino Linotype" w:cs="Arial"/>
          <w:color w:val="000000" w:themeColor="text1"/>
          <w:lang w:val="es-ES"/>
        </w:rPr>
        <w:t>quince (15) de febrero de dos mil veintidós</w:t>
      </w:r>
      <w:r w:rsidR="006A1047" w:rsidRPr="00B10772">
        <w:rPr>
          <w:rFonts w:ascii="Palatino Linotype" w:eastAsia="Calibri" w:hAnsi="Palatino Linotype" w:cs="Arial"/>
          <w:color w:val="000000" w:themeColor="text1"/>
          <w:lang w:val="es-ES"/>
        </w:rPr>
        <w:t xml:space="preserve">, </w:t>
      </w:r>
      <w:r w:rsidR="00B81371" w:rsidRPr="00B10772">
        <w:rPr>
          <w:rFonts w:ascii="Palatino Linotype" w:eastAsia="Calibri" w:hAnsi="Palatino Linotype" w:cs="Arial"/>
          <w:color w:val="000000" w:themeColor="text1"/>
          <w:lang w:val="es-ES"/>
        </w:rPr>
        <w:t xml:space="preserve">puso a </w:t>
      </w:r>
      <w:r w:rsidR="00875167" w:rsidRPr="00B10772">
        <w:rPr>
          <w:rFonts w:ascii="Palatino Linotype" w:eastAsia="Calibri" w:hAnsi="Palatino Linotype" w:cs="Arial"/>
          <w:color w:val="000000" w:themeColor="text1"/>
          <w:lang w:val="es-ES"/>
        </w:rPr>
        <w:t>disposición</w:t>
      </w:r>
      <w:r w:rsidR="00B81371" w:rsidRPr="00B10772">
        <w:rPr>
          <w:rFonts w:ascii="Palatino Linotype" w:eastAsia="Calibri" w:hAnsi="Palatino Linotype" w:cs="Arial"/>
          <w:color w:val="000000" w:themeColor="text1"/>
          <w:lang w:val="es-ES"/>
        </w:rPr>
        <w:t xml:space="preserve"> de las partes el expediente electrónico </w:t>
      </w:r>
      <w:r w:rsidR="00B81371" w:rsidRPr="00B10772">
        <w:rPr>
          <w:rFonts w:ascii="Palatino Linotype" w:eastAsia="Calibri" w:hAnsi="Palatino Linotype" w:cs="Arial"/>
          <w:color w:val="000000" w:themeColor="text1"/>
        </w:rPr>
        <w:t>vía</w:t>
      </w:r>
      <w:r w:rsidR="00F66CB1" w:rsidRPr="00B10772">
        <w:rPr>
          <w:rFonts w:ascii="Palatino Linotype" w:eastAsia="Calibri" w:hAnsi="Palatino Linotype" w:cs="Arial"/>
          <w:color w:val="000000" w:themeColor="text1"/>
        </w:rPr>
        <w:t xml:space="preserve"> SAIMEX</w:t>
      </w:r>
      <w:r w:rsidR="00B81371" w:rsidRPr="00B10772">
        <w:rPr>
          <w:rFonts w:ascii="Palatino Linotype" w:eastAsia="Calibri" w:hAnsi="Palatino Linotype" w:cs="Arial"/>
          <w:b/>
          <w:color w:val="000000" w:themeColor="text1"/>
          <w:lang w:val="es-ES"/>
        </w:rPr>
        <w:t xml:space="preserve"> </w:t>
      </w:r>
      <w:r w:rsidR="00B81371" w:rsidRPr="00B10772">
        <w:rPr>
          <w:rFonts w:ascii="Palatino Linotype" w:eastAsia="Calibri" w:hAnsi="Palatino Linotype" w:cs="Arial"/>
          <w:color w:val="000000" w:themeColor="text1"/>
          <w:lang w:val="es-ES"/>
        </w:rPr>
        <w:t xml:space="preserve">a efecto de que en un plazo máximo de siete días </w:t>
      </w:r>
      <w:r w:rsidR="00875167" w:rsidRPr="00B10772">
        <w:rPr>
          <w:rFonts w:ascii="Palatino Linotype" w:eastAsia="Calibri" w:hAnsi="Palatino Linotype" w:cs="Arial"/>
          <w:color w:val="000000" w:themeColor="text1"/>
          <w:lang w:val="es-ES"/>
        </w:rPr>
        <w:t>manifestaran</w:t>
      </w:r>
      <w:r w:rsidR="00B81371" w:rsidRPr="00B10772">
        <w:rPr>
          <w:rFonts w:ascii="Palatino Linotype" w:eastAsia="Calibri" w:hAnsi="Palatino Linotype" w:cs="Arial"/>
          <w:color w:val="000000" w:themeColor="text1"/>
          <w:lang w:val="es-ES"/>
        </w:rPr>
        <w:t xml:space="preserve"> lo que a</w:t>
      </w:r>
      <w:r w:rsidR="003A2029" w:rsidRPr="00B10772">
        <w:rPr>
          <w:rFonts w:ascii="Palatino Linotype" w:eastAsia="Calibri" w:hAnsi="Palatino Linotype" w:cs="Arial"/>
          <w:color w:val="000000" w:themeColor="text1"/>
          <w:lang w:val="es-ES"/>
        </w:rPr>
        <w:t xml:space="preserve"> su</w:t>
      </w:r>
      <w:r w:rsidR="00B81371" w:rsidRPr="00B10772">
        <w:rPr>
          <w:rFonts w:ascii="Palatino Linotype" w:eastAsia="Calibri" w:hAnsi="Palatino Linotype" w:cs="Arial"/>
          <w:color w:val="000000" w:themeColor="text1"/>
          <w:lang w:val="es-ES"/>
        </w:rPr>
        <w:t xml:space="preserve"> derecho conviniera</w:t>
      </w:r>
      <w:r w:rsidR="00875167" w:rsidRPr="00B10772">
        <w:rPr>
          <w:rFonts w:ascii="Palatino Linotype" w:eastAsia="Calibri" w:hAnsi="Palatino Linotype" w:cs="Arial"/>
          <w:color w:val="000000" w:themeColor="text1"/>
          <w:lang w:val="es-ES"/>
        </w:rPr>
        <w:t>n</w:t>
      </w:r>
      <w:r w:rsidR="00032493" w:rsidRPr="00B10772">
        <w:rPr>
          <w:rFonts w:ascii="Palatino Linotype" w:eastAsia="Calibri" w:hAnsi="Palatino Linotype" w:cs="Arial"/>
          <w:color w:val="000000" w:themeColor="text1"/>
          <w:lang w:val="es-ES"/>
        </w:rPr>
        <w:t>,</w:t>
      </w:r>
      <w:r w:rsidR="00B81371" w:rsidRPr="00B10772">
        <w:rPr>
          <w:rFonts w:ascii="Palatino Linotype" w:eastAsia="Calibri" w:hAnsi="Palatino Linotype" w:cs="Arial"/>
          <w:color w:val="000000" w:themeColor="text1"/>
          <w:lang w:val="es-ES"/>
        </w:rPr>
        <w:t xml:space="preserve"> </w:t>
      </w:r>
      <w:r w:rsidR="00875167" w:rsidRPr="00B10772">
        <w:rPr>
          <w:rFonts w:ascii="Palatino Linotype" w:eastAsia="Calibri" w:hAnsi="Palatino Linotype" w:cs="Arial"/>
          <w:color w:val="000000" w:themeColor="text1"/>
          <w:lang w:val="es-ES"/>
        </w:rPr>
        <w:t>ofrecieran pruebas y</w:t>
      </w:r>
      <w:r w:rsidR="00132C06" w:rsidRPr="00B10772">
        <w:rPr>
          <w:rFonts w:ascii="Palatino Linotype" w:eastAsia="Calibri" w:hAnsi="Palatino Linotype" w:cs="Arial"/>
          <w:color w:val="000000" w:themeColor="text1"/>
          <w:lang w:val="es-ES"/>
        </w:rPr>
        <w:t xml:space="preserve"> </w:t>
      </w:r>
      <w:r w:rsidR="00875167" w:rsidRPr="00B10772">
        <w:rPr>
          <w:rFonts w:ascii="Palatino Linotype" w:eastAsia="Calibri" w:hAnsi="Palatino Linotype" w:cs="Arial"/>
          <w:color w:val="000000" w:themeColor="text1"/>
          <w:lang w:val="es-ES"/>
        </w:rPr>
        <w:t>alegatos según corresponda a</w:t>
      </w:r>
      <w:r w:rsidR="004C20F2" w:rsidRPr="00B10772">
        <w:rPr>
          <w:rFonts w:ascii="Palatino Linotype" w:eastAsia="Calibri" w:hAnsi="Palatino Linotype" w:cs="Arial"/>
          <w:color w:val="000000" w:themeColor="text1"/>
          <w:lang w:val="es-ES"/>
        </w:rPr>
        <w:t xml:space="preserve"> </w:t>
      </w:r>
      <w:r w:rsidR="00875167" w:rsidRPr="00B10772">
        <w:rPr>
          <w:rFonts w:ascii="Palatino Linotype" w:eastAsia="Calibri" w:hAnsi="Palatino Linotype" w:cs="Arial"/>
          <w:color w:val="000000" w:themeColor="text1"/>
          <w:lang w:val="es-ES"/>
        </w:rPr>
        <w:t>l</w:t>
      </w:r>
      <w:r w:rsidR="004C20F2" w:rsidRPr="00B10772">
        <w:rPr>
          <w:rFonts w:ascii="Palatino Linotype" w:eastAsia="Calibri" w:hAnsi="Palatino Linotype" w:cs="Arial"/>
          <w:color w:val="000000" w:themeColor="text1"/>
          <w:lang w:val="es-ES"/>
        </w:rPr>
        <w:t>os</w:t>
      </w:r>
      <w:r w:rsidR="00875167" w:rsidRPr="00B10772">
        <w:rPr>
          <w:rFonts w:ascii="Palatino Linotype" w:eastAsia="Calibri" w:hAnsi="Palatino Linotype" w:cs="Arial"/>
          <w:color w:val="000000" w:themeColor="text1"/>
          <w:lang w:val="es-ES"/>
        </w:rPr>
        <w:t xml:space="preserve"> caso</w:t>
      </w:r>
      <w:r w:rsidR="004C20F2" w:rsidRPr="00B10772">
        <w:rPr>
          <w:rFonts w:ascii="Palatino Linotype" w:eastAsia="Calibri" w:hAnsi="Palatino Linotype" w:cs="Arial"/>
          <w:color w:val="000000" w:themeColor="text1"/>
          <w:lang w:val="es-ES"/>
        </w:rPr>
        <w:t>s</w:t>
      </w:r>
      <w:r w:rsidR="00875167" w:rsidRPr="00B10772">
        <w:rPr>
          <w:rFonts w:ascii="Palatino Linotype" w:eastAsia="Calibri" w:hAnsi="Palatino Linotype" w:cs="Arial"/>
          <w:color w:val="000000" w:themeColor="text1"/>
          <w:lang w:val="es-ES"/>
        </w:rPr>
        <w:t xml:space="preserve"> concreto</w:t>
      </w:r>
      <w:r w:rsidR="004C20F2" w:rsidRPr="00B10772">
        <w:rPr>
          <w:rFonts w:ascii="Palatino Linotype" w:eastAsia="Calibri" w:hAnsi="Palatino Linotype" w:cs="Arial"/>
          <w:color w:val="000000" w:themeColor="text1"/>
          <w:lang w:val="es-ES"/>
        </w:rPr>
        <w:t>s</w:t>
      </w:r>
      <w:r w:rsidR="00875167" w:rsidRPr="00B10772">
        <w:rPr>
          <w:rFonts w:ascii="Palatino Linotype" w:eastAsia="Calibri" w:hAnsi="Palatino Linotype" w:cs="Arial"/>
          <w:color w:val="000000" w:themeColor="text1"/>
          <w:lang w:val="es-ES"/>
        </w:rPr>
        <w:t xml:space="preserve">, </w:t>
      </w:r>
      <w:r w:rsidR="00F147C6" w:rsidRPr="00B10772">
        <w:rPr>
          <w:rFonts w:ascii="Palatino Linotype" w:eastAsia="Calibri" w:hAnsi="Palatino Linotype" w:cs="Arial"/>
          <w:color w:val="000000" w:themeColor="text1"/>
          <w:lang w:val="es-ES"/>
        </w:rPr>
        <w:t>de esta forma</w:t>
      </w:r>
      <w:r w:rsidR="00875167" w:rsidRPr="00B10772">
        <w:rPr>
          <w:rFonts w:ascii="Palatino Linotype" w:eastAsia="Calibri" w:hAnsi="Palatino Linotype" w:cs="Arial"/>
          <w:color w:val="000000" w:themeColor="text1"/>
          <w:lang w:val="es-ES"/>
        </w:rPr>
        <w:t xml:space="preserve"> para que el </w:t>
      </w:r>
      <w:r w:rsidR="00875167" w:rsidRPr="00B10772">
        <w:rPr>
          <w:rFonts w:ascii="Palatino Linotype" w:eastAsia="Calibri" w:hAnsi="Palatino Linotype" w:cs="Arial"/>
          <w:b/>
          <w:color w:val="000000" w:themeColor="text1"/>
          <w:lang w:val="es-ES"/>
        </w:rPr>
        <w:t>SUJETO OBLIGADO</w:t>
      </w:r>
      <w:r w:rsidR="00875167" w:rsidRPr="00B10772">
        <w:rPr>
          <w:rFonts w:ascii="Palatino Linotype" w:eastAsia="Calibri" w:hAnsi="Palatino Linotype" w:cs="Arial"/>
          <w:color w:val="000000" w:themeColor="text1"/>
          <w:lang w:val="es-ES"/>
        </w:rPr>
        <w:t xml:space="preserve"> </w:t>
      </w:r>
      <w:r w:rsidR="00B81371" w:rsidRPr="00B10772">
        <w:rPr>
          <w:rFonts w:ascii="Palatino Linotype" w:eastAsia="Calibri" w:hAnsi="Palatino Linotype" w:cs="Arial"/>
          <w:color w:val="000000" w:themeColor="text1"/>
          <w:lang w:val="es-ES"/>
        </w:rPr>
        <w:t>presentar</w:t>
      </w:r>
      <w:r w:rsidR="003A03D0" w:rsidRPr="00B10772">
        <w:rPr>
          <w:rFonts w:ascii="Palatino Linotype" w:eastAsia="Calibri" w:hAnsi="Palatino Linotype" w:cs="Arial"/>
          <w:color w:val="000000" w:themeColor="text1"/>
          <w:lang w:val="es-ES"/>
        </w:rPr>
        <w:t>a</w:t>
      </w:r>
      <w:r w:rsidR="00B81371" w:rsidRPr="00B10772">
        <w:rPr>
          <w:rFonts w:ascii="Palatino Linotype" w:eastAsia="Calibri" w:hAnsi="Palatino Linotype" w:cs="Arial"/>
          <w:color w:val="000000" w:themeColor="text1"/>
          <w:lang w:val="es-ES"/>
        </w:rPr>
        <w:t xml:space="preserve"> el </w:t>
      </w:r>
      <w:r w:rsidR="00556F72" w:rsidRPr="00B10772">
        <w:rPr>
          <w:rFonts w:ascii="Palatino Linotype" w:eastAsia="Calibri" w:hAnsi="Palatino Linotype" w:cs="Arial"/>
          <w:color w:val="000000" w:themeColor="text1"/>
          <w:lang w:val="es-ES"/>
        </w:rPr>
        <w:t xml:space="preserve">informe justificado </w:t>
      </w:r>
      <w:r w:rsidR="00875167" w:rsidRPr="00B10772">
        <w:rPr>
          <w:rFonts w:ascii="Palatino Linotype" w:eastAsia="Calibri" w:hAnsi="Palatino Linotype" w:cs="Arial"/>
          <w:color w:val="000000" w:themeColor="text1"/>
          <w:lang w:val="es-ES"/>
        </w:rPr>
        <w:t>procedente</w:t>
      </w:r>
      <w:r w:rsidR="00787184" w:rsidRPr="00B10772">
        <w:rPr>
          <w:rFonts w:ascii="Palatino Linotype" w:eastAsia="Calibri" w:hAnsi="Palatino Linotype" w:cs="Arial"/>
          <w:color w:val="000000" w:themeColor="text1"/>
          <w:lang w:val="es-ES"/>
        </w:rPr>
        <w:t>.</w:t>
      </w:r>
    </w:p>
    <w:p w14:paraId="2AEAB5C8" w14:textId="77777777" w:rsidR="00F66CB1" w:rsidRPr="00B10772" w:rsidRDefault="00F66CB1" w:rsidP="00F66CB1">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93F0259" w14:textId="1421C034" w:rsidR="00F66CB1" w:rsidRPr="00B10772" w:rsidRDefault="00F66CB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10772">
        <w:rPr>
          <w:rFonts w:ascii="Palatino Linotype" w:eastAsia="Calibri" w:hAnsi="Palatino Linotype" w:cs="Arial"/>
          <w:color w:val="000000" w:themeColor="text1"/>
          <w:lang w:val="es-ES"/>
        </w:rPr>
        <w:t xml:space="preserve">De las constancias que obran en el expediente digital del recurso de revisión que hoy se resuelve, se aprecia que el </w:t>
      </w:r>
      <w:r w:rsidRPr="00B10772">
        <w:rPr>
          <w:rFonts w:ascii="Palatino Linotype" w:eastAsia="Calibri" w:hAnsi="Palatino Linotype" w:cs="Arial"/>
          <w:b/>
          <w:bCs/>
          <w:color w:val="000000" w:themeColor="text1"/>
          <w:lang w:val="es-ES"/>
        </w:rPr>
        <w:t>SUJETO OBLIGADO</w:t>
      </w:r>
      <w:r w:rsidRPr="00B10772">
        <w:rPr>
          <w:rFonts w:ascii="Palatino Linotype" w:eastAsia="Calibri" w:hAnsi="Palatino Linotype" w:cs="Arial"/>
          <w:color w:val="000000" w:themeColor="text1"/>
          <w:lang w:val="es-ES"/>
        </w:rPr>
        <w:t xml:space="preserve"> no rindió su informe justificado para manifestar lo que a su derecho conviniera; por su parte, el </w:t>
      </w:r>
      <w:r w:rsidRPr="00B10772">
        <w:rPr>
          <w:rFonts w:ascii="Palatino Linotype" w:eastAsia="Calibri" w:hAnsi="Palatino Linotype" w:cs="Arial"/>
          <w:b/>
          <w:bCs/>
          <w:color w:val="000000" w:themeColor="text1"/>
          <w:lang w:val="es-ES"/>
        </w:rPr>
        <w:t>RECURRENTE</w:t>
      </w:r>
      <w:r w:rsidRPr="00B10772">
        <w:rPr>
          <w:rFonts w:ascii="Palatino Linotype" w:eastAsia="Calibri" w:hAnsi="Palatino Linotype" w:cs="Arial"/>
          <w:color w:val="000000" w:themeColor="text1"/>
          <w:lang w:val="es-ES"/>
        </w:rPr>
        <w:t xml:space="preserve"> no presentó alegatos ni ofreció medios de prueba. Se adjunta la captura del apartado de </w:t>
      </w:r>
      <w:r w:rsidRPr="00B10772">
        <w:rPr>
          <w:rFonts w:ascii="Palatino Linotype" w:eastAsia="Calibri" w:hAnsi="Palatino Linotype" w:cs="Arial"/>
          <w:i/>
          <w:iCs/>
          <w:color w:val="000000" w:themeColor="text1"/>
          <w:lang w:val="es-ES"/>
        </w:rPr>
        <w:t>Manifestaciones</w:t>
      </w:r>
      <w:r w:rsidRPr="00B10772">
        <w:rPr>
          <w:rFonts w:ascii="Palatino Linotype" w:eastAsia="Calibri" w:hAnsi="Palatino Linotype" w:cs="Arial"/>
          <w:color w:val="000000" w:themeColor="text1"/>
          <w:lang w:val="es-ES"/>
        </w:rPr>
        <w:t xml:space="preserve"> del SAIMEX a modo de referencia:</w:t>
      </w:r>
    </w:p>
    <w:p w14:paraId="455C196B" w14:textId="094C7A2C" w:rsidR="003F0DDA" w:rsidRPr="00B10772"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5F7AC85" w14:textId="4746E603" w:rsidR="00F66CB1" w:rsidRPr="00B10772" w:rsidRDefault="00F66CB1" w:rsidP="00F66CB1">
      <w:pPr>
        <w:pStyle w:val="Prrafodelista"/>
        <w:tabs>
          <w:tab w:val="left" w:pos="426"/>
        </w:tabs>
        <w:spacing w:line="360" w:lineRule="auto"/>
        <w:ind w:left="0"/>
        <w:jc w:val="center"/>
        <w:rPr>
          <w:rFonts w:ascii="Palatino Linotype" w:eastAsia="Calibri" w:hAnsi="Palatino Linotype" w:cs="Arial"/>
          <w:color w:val="000000" w:themeColor="text1"/>
          <w:lang w:val="es-ES"/>
        </w:rPr>
      </w:pPr>
      <w:r w:rsidRPr="00B10772">
        <w:object w:dxaOrig="13080" w:dyaOrig="3225" w14:anchorId="2BECB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94.5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4988783" r:id="rId9"/>
        </w:object>
      </w:r>
    </w:p>
    <w:p w14:paraId="02D2708D" w14:textId="77777777" w:rsidR="00F66CB1" w:rsidRPr="00B10772" w:rsidRDefault="00F66CB1"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8746BCE" w14:textId="1D93EA45" w:rsidR="00F66CB1" w:rsidRPr="00B10772" w:rsidRDefault="00861622" w:rsidP="00C23B16">
      <w:pPr>
        <w:pStyle w:val="Prrafodelista"/>
        <w:numPr>
          <w:ilvl w:val="0"/>
          <w:numId w:val="1"/>
        </w:numPr>
        <w:tabs>
          <w:tab w:val="left" w:pos="426"/>
        </w:tabs>
        <w:spacing w:line="360" w:lineRule="auto"/>
        <w:jc w:val="both"/>
        <w:rPr>
          <w:rFonts w:ascii="Palatino Linotype" w:hAnsi="Palatino Linotype"/>
          <w:color w:val="000000" w:themeColor="text1"/>
        </w:rPr>
      </w:pPr>
      <w:r w:rsidRPr="00B10772">
        <w:rPr>
          <w:rFonts w:ascii="Palatino Linotype" w:eastAsia="Calibri" w:hAnsi="Palatino Linotype" w:cs="Arial"/>
          <w:color w:val="000000" w:themeColor="text1"/>
          <w:lang w:val="es-ES"/>
        </w:rPr>
        <w:lastRenderedPageBreak/>
        <w:t>El</w:t>
      </w:r>
      <w:bookmarkStart w:id="3" w:name="_Toc461555889"/>
      <w:bookmarkStart w:id="4" w:name="_Toc466371858"/>
      <w:r w:rsidR="00B855AA" w:rsidRPr="00B10772">
        <w:rPr>
          <w:rFonts w:ascii="Palatino Linotype" w:eastAsia="Calibri" w:hAnsi="Palatino Linotype" w:cs="Arial"/>
          <w:color w:val="000000" w:themeColor="text1"/>
          <w:lang w:val="es-ES"/>
        </w:rPr>
        <w:t xml:space="preserve"> </w:t>
      </w:r>
      <w:r w:rsidR="00F66CB1" w:rsidRPr="00B10772">
        <w:rPr>
          <w:rFonts w:ascii="Palatino Linotype" w:eastAsia="Calibri" w:hAnsi="Palatino Linotype" w:cs="Arial"/>
          <w:color w:val="000000" w:themeColor="text1"/>
          <w:lang w:val="es-ES"/>
        </w:rPr>
        <w:t>catorce (14) de abril</w:t>
      </w:r>
      <w:r w:rsidR="00DD2DF2" w:rsidRPr="00B10772">
        <w:rPr>
          <w:rFonts w:ascii="Palatino Linotype" w:eastAsia="Calibri" w:hAnsi="Palatino Linotype" w:cs="Arial"/>
          <w:color w:val="000000" w:themeColor="text1"/>
          <w:lang w:val="es-ES"/>
        </w:rPr>
        <w:t xml:space="preserve"> de dos mil veintidós</w:t>
      </w:r>
      <w:r w:rsidR="00AD6AC5" w:rsidRPr="00B10772">
        <w:rPr>
          <w:rFonts w:ascii="Palatino Linotype" w:hAnsi="Palatino Linotype" w:cs="Arial"/>
          <w:color w:val="000000" w:themeColor="text1"/>
        </w:rPr>
        <w:t xml:space="preserve">, </w:t>
      </w:r>
      <w:r w:rsidR="0096234B" w:rsidRPr="00B10772">
        <w:rPr>
          <w:rFonts w:ascii="Palatino Linotype" w:hAnsi="Palatino Linotype" w:cs="Arial"/>
          <w:color w:val="000000" w:themeColor="text1"/>
        </w:rPr>
        <w:t xml:space="preserve">la </w:t>
      </w:r>
      <w:r w:rsidR="00AD6AC5" w:rsidRPr="00B10772">
        <w:rPr>
          <w:rFonts w:ascii="Palatino Linotype" w:hAnsi="Palatino Linotype" w:cs="Arial"/>
          <w:color w:val="000000" w:themeColor="text1"/>
        </w:rPr>
        <w:t>Comisionad</w:t>
      </w:r>
      <w:r w:rsidR="0096234B" w:rsidRPr="00B10772">
        <w:rPr>
          <w:rFonts w:ascii="Palatino Linotype" w:hAnsi="Palatino Linotype" w:cs="Arial"/>
          <w:color w:val="000000" w:themeColor="text1"/>
        </w:rPr>
        <w:t>a</w:t>
      </w:r>
      <w:r w:rsidR="00AD6AC5" w:rsidRPr="00B10772">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66CB1" w:rsidRPr="00B10772">
        <w:rPr>
          <w:rFonts w:ascii="Palatino Linotype" w:hAnsi="Palatino Linotype" w:cs="Arial"/>
          <w:color w:val="000000" w:themeColor="text1"/>
        </w:rPr>
        <w:t>.</w:t>
      </w:r>
    </w:p>
    <w:p w14:paraId="56FE28B5" w14:textId="77777777" w:rsidR="00F66CB1" w:rsidRPr="00B10772" w:rsidRDefault="00F66CB1" w:rsidP="00F66CB1">
      <w:pPr>
        <w:pStyle w:val="Prrafodelista"/>
        <w:tabs>
          <w:tab w:val="left" w:pos="426"/>
        </w:tabs>
        <w:spacing w:line="360" w:lineRule="auto"/>
        <w:ind w:left="0"/>
        <w:jc w:val="both"/>
        <w:rPr>
          <w:rFonts w:ascii="Palatino Linotype" w:hAnsi="Palatino Linotype"/>
          <w:color w:val="000000" w:themeColor="text1"/>
        </w:rPr>
      </w:pPr>
    </w:p>
    <w:p w14:paraId="3001AA57" w14:textId="31328ABE" w:rsidR="008965EF" w:rsidRPr="00B10772" w:rsidRDefault="00F66CB1" w:rsidP="00C23B16">
      <w:pPr>
        <w:pStyle w:val="Prrafodelista"/>
        <w:numPr>
          <w:ilvl w:val="0"/>
          <w:numId w:val="1"/>
        </w:numPr>
        <w:tabs>
          <w:tab w:val="left" w:pos="426"/>
        </w:tabs>
        <w:spacing w:line="360" w:lineRule="auto"/>
        <w:jc w:val="both"/>
        <w:rPr>
          <w:rFonts w:ascii="Palatino Linotype" w:hAnsi="Palatino Linotype"/>
          <w:color w:val="000000" w:themeColor="text1"/>
        </w:rPr>
      </w:pPr>
      <w:r w:rsidRPr="00B10772">
        <w:rPr>
          <w:rFonts w:ascii="Palatino Linotype" w:hAnsi="Palatino Linotype" w:cs="Arial"/>
          <w:color w:val="000000" w:themeColor="text1"/>
        </w:rPr>
        <w:t xml:space="preserve">Luego, el </w:t>
      </w:r>
      <w:r w:rsidR="00625E9B" w:rsidRPr="00B10772">
        <w:rPr>
          <w:rFonts w:ascii="Palatino Linotype" w:hAnsi="Palatino Linotype" w:cs="Arial"/>
          <w:color w:val="000000" w:themeColor="text1"/>
        </w:rPr>
        <w:t>veintinueve (29</w:t>
      </w:r>
      <w:r w:rsidRPr="00B10772">
        <w:rPr>
          <w:rFonts w:ascii="Palatino Linotype" w:hAnsi="Palatino Linotype" w:cs="Arial"/>
          <w:color w:val="000000" w:themeColor="text1"/>
        </w:rPr>
        <w:t xml:space="preserve">) de </w:t>
      </w:r>
      <w:r w:rsidR="00B13455" w:rsidRPr="00B10772">
        <w:rPr>
          <w:rFonts w:ascii="Palatino Linotype" w:hAnsi="Palatino Linotype" w:cs="Arial"/>
          <w:color w:val="000000" w:themeColor="text1"/>
        </w:rPr>
        <w:t>abril de dos mil veintidós,</w:t>
      </w:r>
      <w:r w:rsidRPr="00B10772">
        <w:rPr>
          <w:rFonts w:ascii="Palatino Linotype" w:hAnsi="Palatino Linotype" w:cs="Arial"/>
          <w:color w:val="000000" w:themeColor="text1"/>
        </w:rPr>
        <w:t xml:space="preserve"> </w:t>
      </w:r>
      <w:r w:rsidR="003522BF" w:rsidRPr="00B10772">
        <w:rPr>
          <w:rFonts w:ascii="Palatino Linotype" w:hAnsi="Palatino Linotype" w:cs="Arial"/>
          <w:color w:val="000000" w:themeColor="text1"/>
          <w:lang w:val="es-ES"/>
        </w:rPr>
        <w:t>con fundamento en el artículo 181</w:t>
      </w:r>
      <w:r w:rsidR="00B13455" w:rsidRPr="00B10772">
        <w:rPr>
          <w:rFonts w:ascii="Palatino Linotype" w:hAnsi="Palatino Linotype" w:cs="Arial"/>
          <w:color w:val="000000" w:themeColor="text1"/>
          <w:lang w:val="es-ES"/>
        </w:rPr>
        <w:t>,</w:t>
      </w:r>
      <w:r w:rsidR="003522BF" w:rsidRPr="00B10772">
        <w:rPr>
          <w:rFonts w:ascii="Palatino Linotype" w:hAnsi="Palatino Linotype" w:cs="Arial"/>
          <w:color w:val="000000" w:themeColor="text1"/>
          <w:lang w:val="es-ES"/>
        </w:rPr>
        <w:t xml:space="preserve"> tercer párrafo</w:t>
      </w:r>
      <w:r w:rsidR="00B13455" w:rsidRPr="00B10772">
        <w:rPr>
          <w:rFonts w:ascii="Palatino Linotype" w:hAnsi="Palatino Linotype" w:cs="Arial"/>
          <w:color w:val="000000" w:themeColor="text1"/>
          <w:lang w:val="es-ES"/>
        </w:rPr>
        <w:t>,</w:t>
      </w:r>
      <w:r w:rsidR="003522BF" w:rsidRPr="00B10772">
        <w:rPr>
          <w:rFonts w:ascii="Palatino Linotype" w:hAnsi="Palatino Linotype" w:cs="Arial"/>
          <w:color w:val="000000" w:themeColor="text1"/>
          <w:lang w:val="es-ES"/>
        </w:rPr>
        <w:t xml:space="preserve"> de la Ley de Transparencia y Acceso a la Información Pública del Estado de México y Municipios</w:t>
      </w:r>
      <w:r w:rsidR="003522BF" w:rsidRPr="00B10772">
        <w:rPr>
          <w:rFonts w:ascii="Palatino Linotype" w:hAnsi="Palatino Linotype" w:cs="Arial"/>
          <w:bCs/>
          <w:color w:val="000000" w:themeColor="text1"/>
          <w:lang w:val="es-ES"/>
        </w:rPr>
        <w:t xml:space="preserve"> </w:t>
      </w:r>
      <w:r w:rsidR="003522BF" w:rsidRPr="00B10772">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630B0D" w:rsidRPr="00B10772">
        <w:rPr>
          <w:rFonts w:ascii="Palatino Linotype" w:hAnsi="Palatino Linotype" w:cs="Arial"/>
          <w:color w:val="000000" w:themeColor="text1"/>
          <w:lang w:val="es-ES"/>
        </w:rPr>
        <w:t>; y ---------------------------------------------------------------------</w:t>
      </w:r>
    </w:p>
    <w:p w14:paraId="76723CF0" w14:textId="1E451BB4" w:rsidR="009917E9" w:rsidRPr="00B10772"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B10772"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B10772" w:rsidRDefault="007C0013" w:rsidP="00B31E90">
      <w:pPr>
        <w:pStyle w:val="Ttulo1"/>
        <w:spacing w:before="0"/>
        <w:jc w:val="center"/>
        <w:rPr>
          <w:b/>
          <w:color w:val="000000" w:themeColor="text1"/>
        </w:rPr>
      </w:pPr>
      <w:bookmarkStart w:id="5" w:name="_Toc87545534"/>
      <w:r w:rsidRPr="00B10772">
        <w:rPr>
          <w:b/>
          <w:color w:val="000000" w:themeColor="text1"/>
        </w:rPr>
        <w:t>CONSIDERANDO</w:t>
      </w:r>
      <w:bookmarkEnd w:id="3"/>
      <w:bookmarkEnd w:id="4"/>
      <w:bookmarkEnd w:id="5"/>
    </w:p>
    <w:p w14:paraId="435CF9A4" w14:textId="77777777" w:rsidR="00FC1DA7" w:rsidRPr="00B10772" w:rsidRDefault="00FC1DA7" w:rsidP="00B31E90">
      <w:pPr>
        <w:rPr>
          <w:color w:val="000000" w:themeColor="text1"/>
          <w:lang w:eastAsia="en-US"/>
        </w:rPr>
      </w:pPr>
    </w:p>
    <w:p w14:paraId="629A5BE2" w14:textId="56C3E7D5" w:rsidR="007C0013" w:rsidRPr="00B10772"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545535"/>
      <w:r w:rsidRPr="00B10772">
        <w:rPr>
          <w:rFonts w:ascii="Palatino Linotype" w:hAnsi="Palatino Linotype"/>
          <w:b/>
          <w:color w:val="000000" w:themeColor="text1"/>
          <w:sz w:val="24"/>
        </w:rPr>
        <w:t>PRIMERO. De la competencia</w:t>
      </w:r>
      <w:bookmarkEnd w:id="6"/>
      <w:bookmarkEnd w:id="7"/>
      <w:bookmarkEnd w:id="8"/>
    </w:p>
    <w:p w14:paraId="60FBD8C7" w14:textId="77777777" w:rsidR="00FC1DA7" w:rsidRPr="00B10772" w:rsidRDefault="00FC1DA7" w:rsidP="00B31E90">
      <w:pPr>
        <w:rPr>
          <w:rFonts w:ascii="Palatino Linotype" w:hAnsi="Palatino Linotype"/>
          <w:color w:val="000000" w:themeColor="text1"/>
          <w:lang w:eastAsia="en-US"/>
        </w:rPr>
      </w:pPr>
    </w:p>
    <w:p w14:paraId="0BF52B18" w14:textId="515C3AEB" w:rsidR="005A228F" w:rsidRPr="00B10772"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B10772">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B10772">
        <w:rPr>
          <w:rFonts w:ascii="Palatino Linotype" w:eastAsia="Calibri" w:hAnsi="Palatino Linotype" w:cs="Times New Roman"/>
          <w:color w:val="000000" w:themeColor="text1"/>
          <w:lang w:val="es-ES"/>
        </w:rPr>
        <w:t xml:space="preserve">etente para conocer y resolver </w:t>
      </w:r>
      <w:r w:rsidRPr="00B10772">
        <w:rPr>
          <w:rFonts w:ascii="Palatino Linotype" w:eastAsia="Calibri" w:hAnsi="Palatino Linotype" w:cs="Times New Roman"/>
          <w:color w:val="000000" w:themeColor="text1"/>
          <w:lang w:val="es-ES"/>
        </w:rPr>
        <w:t xml:space="preserve">el presente recurso de conformidad con el artículo: 6, apartado A, fracción IV de la </w:t>
      </w:r>
      <w:r w:rsidRPr="00B10772">
        <w:rPr>
          <w:rFonts w:ascii="Palatino Linotype" w:eastAsia="Calibri" w:hAnsi="Palatino Linotype" w:cs="Times New Roman"/>
          <w:b/>
          <w:color w:val="000000" w:themeColor="text1"/>
          <w:lang w:val="es-ES"/>
        </w:rPr>
        <w:t>Constitución Política de los Estados Unidos Mexicanos</w:t>
      </w:r>
      <w:r w:rsidRPr="00B10772">
        <w:rPr>
          <w:rFonts w:ascii="Palatino Linotype" w:eastAsia="Calibri" w:hAnsi="Palatino Linotype" w:cs="Times New Roman"/>
          <w:color w:val="000000" w:themeColor="text1"/>
          <w:lang w:val="es-ES"/>
        </w:rPr>
        <w:t xml:space="preserve">; 5, párrafos </w:t>
      </w:r>
      <w:r w:rsidR="000B7C4F" w:rsidRPr="00B10772">
        <w:rPr>
          <w:rFonts w:ascii="Palatino Linotype" w:eastAsia="Calibri" w:hAnsi="Palatino Linotype" w:cs="Times New Roman"/>
          <w:color w:val="000000" w:themeColor="text1"/>
          <w:lang w:val="es-ES"/>
        </w:rPr>
        <w:t>trigésimo, trigésimo primero y trigésimo segundo</w:t>
      </w:r>
      <w:r w:rsidR="004F785F" w:rsidRPr="00B10772">
        <w:rPr>
          <w:rFonts w:ascii="Palatino Linotype" w:eastAsia="Calibri" w:hAnsi="Palatino Linotype" w:cs="Times New Roman"/>
          <w:color w:val="000000" w:themeColor="text1"/>
          <w:lang w:val="es-ES"/>
        </w:rPr>
        <w:t>,</w:t>
      </w:r>
      <w:r w:rsidRPr="00B10772">
        <w:rPr>
          <w:rFonts w:ascii="Palatino Linotype" w:eastAsia="Calibri" w:hAnsi="Palatino Linotype" w:cs="Times New Roman"/>
          <w:color w:val="000000" w:themeColor="text1"/>
          <w:lang w:val="es-ES"/>
        </w:rPr>
        <w:t xml:space="preserve"> fracciones IV y V</w:t>
      </w:r>
      <w:r w:rsidR="004F785F" w:rsidRPr="00B10772">
        <w:rPr>
          <w:rFonts w:ascii="Palatino Linotype" w:eastAsia="Calibri" w:hAnsi="Palatino Linotype" w:cs="Times New Roman"/>
          <w:color w:val="000000" w:themeColor="text1"/>
          <w:lang w:val="es-ES"/>
        </w:rPr>
        <w:t>,</w:t>
      </w:r>
      <w:r w:rsidRPr="00B10772">
        <w:rPr>
          <w:rFonts w:ascii="Palatino Linotype" w:eastAsia="Calibri" w:hAnsi="Palatino Linotype" w:cs="Times New Roman"/>
          <w:color w:val="000000" w:themeColor="text1"/>
          <w:lang w:val="es-ES"/>
        </w:rPr>
        <w:t xml:space="preserve"> de la </w:t>
      </w:r>
      <w:r w:rsidRPr="00B10772">
        <w:rPr>
          <w:rFonts w:ascii="Palatino Linotype" w:eastAsia="Calibri" w:hAnsi="Palatino Linotype" w:cs="Times New Roman"/>
          <w:b/>
          <w:color w:val="000000" w:themeColor="text1"/>
          <w:lang w:val="es-ES"/>
        </w:rPr>
        <w:t>Constitución Política del Estado Libre y Soberano de México</w:t>
      </w:r>
      <w:r w:rsidRPr="00B10772">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B10772">
        <w:rPr>
          <w:rFonts w:ascii="Palatino Linotype" w:eastAsia="Calibri" w:hAnsi="Palatino Linotype" w:cs="Arial"/>
          <w:color w:val="000000" w:themeColor="text1"/>
          <w:lang w:val="es-ES"/>
        </w:rPr>
        <w:t xml:space="preserve">de la </w:t>
      </w:r>
      <w:r w:rsidRPr="00B10772">
        <w:rPr>
          <w:rFonts w:ascii="Palatino Linotype" w:eastAsia="Calibri" w:hAnsi="Palatino Linotype" w:cs="Arial"/>
          <w:b/>
          <w:color w:val="000000" w:themeColor="text1"/>
          <w:lang w:val="es-ES"/>
        </w:rPr>
        <w:t>Ley de Transparencia y Acceso a la Información Pública del Estado de México y Municipios</w:t>
      </w:r>
      <w:r w:rsidRPr="00B10772">
        <w:rPr>
          <w:rFonts w:ascii="Palatino Linotype" w:eastAsia="Calibri" w:hAnsi="Palatino Linotype" w:cs="Arial"/>
          <w:color w:val="000000" w:themeColor="text1"/>
          <w:lang w:val="es-ES"/>
        </w:rPr>
        <w:t xml:space="preserve">; y 10, 7, 9 fracciones I y XXIV, y 11 del </w:t>
      </w:r>
      <w:r w:rsidRPr="00B10772">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B10772"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10772"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545536"/>
      <w:r w:rsidRPr="00B10772">
        <w:rPr>
          <w:rFonts w:ascii="Palatino Linotype" w:hAnsi="Palatino Linotype"/>
          <w:b/>
          <w:color w:val="000000" w:themeColor="text1"/>
          <w:sz w:val="24"/>
        </w:rPr>
        <w:t>SEGUNDO. De la oportunidad y proced</w:t>
      </w:r>
      <w:r w:rsidR="00F35C44" w:rsidRPr="00B10772">
        <w:rPr>
          <w:rFonts w:ascii="Palatino Linotype" w:hAnsi="Palatino Linotype"/>
          <w:b/>
          <w:color w:val="000000" w:themeColor="text1"/>
          <w:sz w:val="24"/>
        </w:rPr>
        <w:t>encia</w:t>
      </w:r>
      <w:r w:rsidRPr="00B10772">
        <w:rPr>
          <w:rFonts w:ascii="Palatino Linotype" w:hAnsi="Palatino Linotype"/>
          <w:b/>
          <w:color w:val="000000" w:themeColor="text1"/>
          <w:sz w:val="24"/>
        </w:rPr>
        <w:t>.</w:t>
      </w:r>
      <w:bookmarkEnd w:id="9"/>
      <w:bookmarkEnd w:id="10"/>
      <w:bookmarkEnd w:id="11"/>
    </w:p>
    <w:p w14:paraId="18E22450" w14:textId="77777777" w:rsidR="00C6440A" w:rsidRPr="00B10772" w:rsidRDefault="00C6440A" w:rsidP="00B31E90">
      <w:pPr>
        <w:rPr>
          <w:color w:val="000000" w:themeColor="text1"/>
          <w:lang w:eastAsia="en-US"/>
        </w:rPr>
      </w:pPr>
    </w:p>
    <w:p w14:paraId="63E5A495" w14:textId="2E22DBE6" w:rsidR="009E360A" w:rsidRPr="00B10772"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El </w:t>
      </w:r>
      <w:r w:rsidR="00740BA4" w:rsidRPr="00B10772">
        <w:rPr>
          <w:rFonts w:ascii="Palatino Linotype" w:eastAsia="Calibri" w:hAnsi="Palatino Linotype" w:cs="Arial"/>
          <w:color w:val="000000" w:themeColor="text1"/>
        </w:rPr>
        <w:t xml:space="preserve">medio de impugnación fue presentado a través del </w:t>
      </w:r>
      <w:r w:rsidR="00740BA4" w:rsidRPr="00B10772">
        <w:rPr>
          <w:rFonts w:ascii="Palatino Linotype" w:eastAsia="Calibri" w:hAnsi="Palatino Linotype" w:cs="Arial"/>
          <w:bCs/>
          <w:iCs/>
          <w:color w:val="000000" w:themeColor="text1"/>
        </w:rPr>
        <w:t>SAIMEX</w:t>
      </w:r>
      <w:r w:rsidR="00740BA4" w:rsidRPr="00B10772">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B10772">
        <w:rPr>
          <w:rFonts w:ascii="Palatino Linotype" w:eastAsia="Calibri" w:hAnsi="Palatino Linotype" w:cs="Arial"/>
          <w:b/>
          <w:color w:val="000000" w:themeColor="text1"/>
        </w:rPr>
        <w:t>SUJETO OBLIGADO</w:t>
      </w:r>
      <w:r w:rsidR="00740BA4" w:rsidRPr="00B10772">
        <w:rPr>
          <w:rFonts w:ascii="Palatino Linotype" w:eastAsia="Calibri" w:hAnsi="Palatino Linotype" w:cs="Arial"/>
          <w:color w:val="000000" w:themeColor="text1"/>
        </w:rPr>
        <w:t xml:space="preserve"> entregó respuesta el </w:t>
      </w:r>
      <w:r w:rsidR="00B13455" w:rsidRPr="00B10772">
        <w:rPr>
          <w:rFonts w:ascii="Palatino Linotype" w:eastAsia="Calibri" w:hAnsi="Palatino Linotype" w:cs="Arial"/>
          <w:color w:val="000000" w:themeColor="text1"/>
        </w:rPr>
        <w:t>diez (10) de febrero de dos mil veintidós</w:t>
      </w:r>
      <w:r w:rsidR="00740BA4" w:rsidRPr="00B10772">
        <w:rPr>
          <w:rFonts w:ascii="Palatino Linotype" w:eastAsia="Calibri" w:hAnsi="Palatino Linotype" w:cs="Arial"/>
          <w:color w:val="000000" w:themeColor="text1"/>
        </w:rPr>
        <w:t xml:space="preserve">, de tal forma que el plazo para interponer el recurso de revisión transcurrió del </w:t>
      </w:r>
      <w:r w:rsidR="00B13455" w:rsidRPr="00B10772">
        <w:rPr>
          <w:rFonts w:ascii="Palatino Linotype" w:eastAsia="Calibri" w:hAnsi="Palatino Linotype" w:cs="Arial"/>
          <w:color w:val="000000" w:themeColor="text1"/>
        </w:rPr>
        <w:t xml:space="preserve">once (11) de febrero al </w:t>
      </w:r>
      <w:r w:rsidR="00B742E4" w:rsidRPr="00B10772">
        <w:rPr>
          <w:rFonts w:ascii="Palatino Linotype" w:eastAsia="Calibri" w:hAnsi="Palatino Linotype" w:cs="Arial"/>
          <w:color w:val="000000" w:themeColor="text1"/>
        </w:rPr>
        <w:t>cuatro (04) de marzo de dos mil veintidós</w:t>
      </w:r>
      <w:r w:rsidR="00740BA4" w:rsidRPr="00B10772">
        <w:rPr>
          <w:rFonts w:ascii="Palatino Linotype" w:eastAsia="Calibri" w:hAnsi="Palatino Linotype" w:cs="Arial"/>
          <w:color w:val="000000" w:themeColor="text1"/>
        </w:rPr>
        <w:t>, sin contemplar en el cómputo los días</w:t>
      </w:r>
      <w:r w:rsidR="00EE55AE" w:rsidRPr="00B10772">
        <w:rPr>
          <w:rFonts w:ascii="Palatino Linotype" w:eastAsia="Calibri" w:hAnsi="Palatino Linotype" w:cs="Arial"/>
          <w:color w:val="000000" w:themeColor="text1"/>
        </w:rPr>
        <w:t xml:space="preserve"> </w:t>
      </w:r>
      <w:r w:rsidR="00B742E4" w:rsidRPr="00B10772">
        <w:rPr>
          <w:rFonts w:ascii="Palatino Linotype" w:eastAsia="Calibri" w:hAnsi="Palatino Linotype" w:cs="Arial"/>
          <w:color w:val="000000" w:themeColor="text1"/>
        </w:rPr>
        <w:t xml:space="preserve">doce (12), trece (13), diecinueve (19), veinte, veintiséis (26) y veintisiete (27) de febrero, así como el dos (02) de marzo, </w:t>
      </w:r>
      <w:r w:rsidR="00740BA4" w:rsidRPr="00B10772">
        <w:rPr>
          <w:rFonts w:ascii="Palatino Linotype" w:eastAsia="Calibri" w:hAnsi="Palatino Linotype" w:cs="Arial"/>
          <w:color w:val="000000" w:themeColor="text1"/>
        </w:rPr>
        <w:t>por corresponder a sábados</w:t>
      </w:r>
      <w:r w:rsidR="00630B0D" w:rsidRPr="00B10772">
        <w:rPr>
          <w:rFonts w:ascii="Palatino Linotype" w:eastAsia="Calibri" w:hAnsi="Palatino Linotype" w:cs="Arial"/>
          <w:color w:val="000000" w:themeColor="text1"/>
        </w:rPr>
        <w:t>,</w:t>
      </w:r>
      <w:r w:rsidR="00740BA4" w:rsidRPr="00B10772">
        <w:rPr>
          <w:rFonts w:ascii="Palatino Linotype" w:eastAsia="Calibri" w:hAnsi="Palatino Linotype" w:cs="Arial"/>
          <w:color w:val="000000" w:themeColor="text1"/>
        </w:rPr>
        <w:t xml:space="preserve"> domingos </w:t>
      </w:r>
      <w:r w:rsidR="00630B0D" w:rsidRPr="00B10772">
        <w:rPr>
          <w:rFonts w:ascii="Palatino Linotype" w:eastAsia="Calibri" w:hAnsi="Palatino Linotype" w:cs="Arial"/>
          <w:color w:val="000000" w:themeColor="text1"/>
        </w:rPr>
        <w:t xml:space="preserve">e inhábiles </w:t>
      </w:r>
      <w:r w:rsidR="00740BA4" w:rsidRPr="00B10772">
        <w:rPr>
          <w:rFonts w:ascii="Palatino Linotype" w:eastAsia="Calibri" w:hAnsi="Palatino Linotype" w:cs="Arial"/>
          <w:color w:val="000000" w:themeColor="text1"/>
        </w:rPr>
        <w:t>en términos del artículo 3</w:t>
      </w:r>
      <w:r w:rsidR="00630B0D" w:rsidRPr="00B10772">
        <w:rPr>
          <w:rFonts w:ascii="Palatino Linotype" w:eastAsia="Calibri" w:hAnsi="Palatino Linotype" w:cs="Arial"/>
          <w:color w:val="000000" w:themeColor="text1"/>
        </w:rPr>
        <w:t>,</w:t>
      </w:r>
      <w:r w:rsidR="00740BA4" w:rsidRPr="00B10772">
        <w:rPr>
          <w:rFonts w:ascii="Palatino Linotype" w:eastAsia="Calibri" w:hAnsi="Palatino Linotype" w:cs="Arial"/>
          <w:color w:val="000000" w:themeColor="text1"/>
        </w:rPr>
        <w:t xml:space="preserve"> fracción X</w:t>
      </w:r>
      <w:r w:rsidR="00630B0D" w:rsidRPr="00B10772">
        <w:rPr>
          <w:rFonts w:ascii="Palatino Linotype" w:eastAsia="Calibri" w:hAnsi="Palatino Linotype" w:cs="Arial"/>
          <w:color w:val="000000" w:themeColor="text1"/>
        </w:rPr>
        <w:t>,</w:t>
      </w:r>
      <w:r w:rsidR="00740BA4" w:rsidRPr="00B10772">
        <w:rPr>
          <w:rFonts w:ascii="Palatino Linotype" w:eastAsia="Calibri" w:hAnsi="Palatino Linotype" w:cs="Arial"/>
          <w:color w:val="000000" w:themeColor="text1"/>
        </w:rPr>
        <w:t xml:space="preserve"> de la Ley de Transparencia y Acceso a la Información Pública del Estado de México y Municipios.</w:t>
      </w:r>
    </w:p>
    <w:p w14:paraId="769AACCC" w14:textId="77777777"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BAA83B" w14:textId="3BE415D6"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De </w:t>
      </w:r>
      <w:r w:rsidRPr="00B10772">
        <w:rPr>
          <w:rFonts w:ascii="Palatino Linotype" w:eastAsia="Calibri" w:hAnsi="Palatino Linotype" w:cs="Arial"/>
          <w:color w:val="000000" w:themeColor="text1"/>
          <w:lang w:val="es-ES_tradnl"/>
        </w:rPr>
        <w:t xml:space="preserve">las constancias que obran en el expediente digital que se revisa, se aprecia que el hoy </w:t>
      </w:r>
      <w:r w:rsidRPr="00B10772">
        <w:rPr>
          <w:rFonts w:ascii="Palatino Linotype" w:eastAsia="Calibri" w:hAnsi="Palatino Linotype" w:cs="Arial"/>
          <w:b/>
          <w:color w:val="000000" w:themeColor="text1"/>
          <w:lang w:val="es-ES_tradnl"/>
        </w:rPr>
        <w:t xml:space="preserve">RECURRENTE </w:t>
      </w:r>
      <w:r w:rsidRPr="00B10772">
        <w:rPr>
          <w:rFonts w:ascii="Palatino Linotype" w:eastAsia="Calibri" w:hAnsi="Palatino Linotype" w:cs="Arial"/>
          <w:color w:val="000000" w:themeColor="text1"/>
          <w:lang w:val="es-ES_tradnl"/>
        </w:rPr>
        <w:t>presentó su inconformidad el diez (10) de febrero de dos mil veintidós; esto es, un día antes de que iniciara el plazo precitado, circunstancia que no es determinante para declarar extemporaneidad, toda vez que el tiempo concedido es para delimitar el término en que se puede impugnar la respuesta, luego entonces, no impide que se presenten antes de iniciado el plazo concedido.</w:t>
      </w:r>
    </w:p>
    <w:p w14:paraId="1328E5B7" w14:textId="77777777"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2E07D0" w14:textId="62E3F3AF"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Al 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w:t>
      </w:r>
      <w:r w:rsidRPr="00B10772">
        <w:rPr>
          <w:rFonts w:ascii="Palatino Linotype" w:eastAsia="Calibri" w:hAnsi="Palatino Linotype" w:cs="Arial"/>
          <w:color w:val="000000" w:themeColor="text1"/>
        </w:rPr>
        <w:lastRenderedPageBreak/>
        <w:t>los quince (15) días hábiles siguientes en que se tenga conocimiento de la respuesta impugnada</w:t>
      </w:r>
      <w:r w:rsidRPr="00B10772">
        <w:rPr>
          <w:rStyle w:val="Refdenotaalpie"/>
          <w:rFonts w:ascii="Palatino Linotype" w:eastAsia="Calibri" w:hAnsi="Palatino Linotype" w:cs="Arial"/>
          <w:color w:val="000000" w:themeColor="text1"/>
        </w:rPr>
        <w:footnoteReference w:id="1"/>
      </w:r>
      <w:r w:rsidRPr="00B10772">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06BC1F76" w14:textId="77777777"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2C6FAF" w14:textId="104D5B5B"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Discernimiento </w:t>
      </w:r>
      <w:r w:rsidRPr="00B10772">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45834FED" w14:textId="382C117D"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252D515" w14:textId="77777777" w:rsidR="00B742E4" w:rsidRPr="00B10772" w:rsidRDefault="00B742E4" w:rsidP="00B742E4">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B10772">
        <w:rPr>
          <w:rFonts w:ascii="Palatino Linotype" w:eastAsia="Times New Roman" w:hAnsi="Palatino Linotype" w:cs="Arial"/>
          <w:b/>
          <w:bCs/>
          <w:i/>
          <w:color w:val="000000" w:themeColor="text1"/>
          <w:sz w:val="22"/>
          <w:szCs w:val="22"/>
          <w:lang w:eastAsia="es-MX"/>
        </w:rPr>
        <w:t>RECURSO DE RECLAMACIÓN. SU INTERPOSICIÓN NO ES EXTEMPORÁNEA SI SE REALIZA ANTES DE QUE INICIE EL PLAZO PARA HACERLO.</w:t>
      </w:r>
      <w:r w:rsidRPr="00B10772">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341679D5" w14:textId="77777777" w:rsidR="00B742E4" w:rsidRPr="00B10772" w:rsidRDefault="00B742E4"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6FFF686" w14:textId="3DAA06F3"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Esto </w:t>
      </w:r>
      <w:r w:rsidRPr="00B10772">
        <w:rPr>
          <w:rFonts w:ascii="Palatino Linotype" w:hAnsi="Palatino Linotype" w:cs="Arial"/>
        </w:rPr>
        <w:t xml:space="preserve">es así porque, en primer lugar, es necesario que el </w:t>
      </w:r>
      <w:r w:rsidRPr="00B10772">
        <w:rPr>
          <w:rFonts w:ascii="Palatino Linotype" w:hAnsi="Palatino Linotype" w:cs="Arial"/>
          <w:b/>
        </w:rPr>
        <w:t>RECURRENTE</w:t>
      </w:r>
      <w:r w:rsidRPr="00B10772">
        <w:rPr>
          <w:rFonts w:ascii="Palatino Linotype" w:hAnsi="Palatino Linotype" w:cs="Arial"/>
        </w:rPr>
        <w:t xml:space="preserve"> conozca el acto que le provoca agravio y, a partir de ahí, formular su recurso de revisión </w:t>
      </w:r>
      <w:r w:rsidRPr="00B10772">
        <w:rPr>
          <w:rFonts w:ascii="Palatino Linotype" w:hAnsi="Palatino Linotype" w:cs="Arial"/>
        </w:rPr>
        <w:lastRenderedPageBreak/>
        <w:t xml:space="preserve">señalando tanto el acto impugnado como el motivo de inconformidad. Y si bien la Ley señala que el plazo corre un día después de haber sido notificada la respuesta, en nada se afecta al proceso que el mismo día de ser notificado, el </w:t>
      </w:r>
      <w:r w:rsidRPr="00B10772">
        <w:rPr>
          <w:rFonts w:ascii="Palatino Linotype" w:hAnsi="Palatino Linotype" w:cs="Arial"/>
          <w:b/>
        </w:rPr>
        <w:t>RECURRENTE</w:t>
      </w:r>
      <w:r w:rsidRPr="00B10772">
        <w:rPr>
          <w:rFonts w:ascii="Palatino Linotype" w:hAnsi="Palatino Linotype" w:cs="Arial"/>
        </w:rPr>
        <w:t xml:space="preserve"> actúe, ya que, por el contrario, lo que demuestra es el interés de éste para ejercer su derecho bajo el principio constitucional de justicia expedita.</w:t>
      </w:r>
    </w:p>
    <w:p w14:paraId="1E75AA73" w14:textId="77777777"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77C0F39" w14:textId="6FB04A14"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Por </w:t>
      </w:r>
      <w:r w:rsidRPr="00B10772">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08C474B7" w14:textId="77777777" w:rsidR="00B13455" w:rsidRPr="00B10772" w:rsidRDefault="00B13455" w:rsidP="00B1345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AF9F6B8" w14:textId="4D334C8A" w:rsidR="00B13455" w:rsidRPr="00B10772" w:rsidRDefault="00B742E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10772">
        <w:rPr>
          <w:rFonts w:ascii="Palatino Linotype" w:eastAsia="Calibri" w:hAnsi="Palatino Linotype" w:cs="Arial"/>
          <w:color w:val="000000" w:themeColor="text1"/>
        </w:rPr>
        <w:t xml:space="preserve">Así, </w:t>
      </w:r>
      <w:r w:rsidRPr="00B10772">
        <w:rPr>
          <w:rFonts w:ascii="Palatino Linotype" w:hAnsi="Palatino Linotype" w:cs="Arial"/>
        </w:rPr>
        <w:t>la interposición del recurso de revisión antes de que inicie el plazo para su presentación no es determinante para declararlo extemporáneo</w:t>
      </w:r>
      <w:r w:rsidRPr="00B10772">
        <w:rPr>
          <w:rFonts w:ascii="Palatino Linotype" w:hAnsi="Palatino Linotype" w:cs="Arial"/>
          <w:lang w:val="es-ES"/>
        </w:rPr>
        <w:t xml:space="preserve">, siempre y cuando ello ocurra de manera posterior a que se haya notificado la respuesta del </w:t>
      </w:r>
      <w:r w:rsidRPr="00B10772">
        <w:rPr>
          <w:rFonts w:ascii="Palatino Linotype" w:hAnsi="Palatino Linotype" w:cs="Arial"/>
          <w:b/>
          <w:lang w:val="es-ES"/>
        </w:rPr>
        <w:t>SUJETO OBLIGADO</w:t>
      </w:r>
      <w:r w:rsidRPr="00B10772">
        <w:rPr>
          <w:rFonts w:ascii="Palatino Linotype" w:hAnsi="Palatino Linotype" w:cs="Arial"/>
          <w:bCs/>
          <w:lang w:val="es-ES"/>
        </w:rPr>
        <w:t xml:space="preserve"> -tal como ocurre en el presente asunto-.</w:t>
      </w:r>
    </w:p>
    <w:p w14:paraId="760ED363" w14:textId="77777777" w:rsidR="00B13455" w:rsidRPr="00B10772" w:rsidRDefault="00B13455" w:rsidP="00855985">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396EE70F" w:rsidR="005F1362" w:rsidRPr="00B10772"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B10772">
        <w:rPr>
          <w:rFonts w:ascii="Palatino Linotype" w:eastAsia="Calibri" w:hAnsi="Palatino Linotype" w:cs="Arial"/>
          <w:color w:val="000000" w:themeColor="text1"/>
        </w:rPr>
        <w:t>Consecuencia de lo an</w:t>
      </w:r>
      <w:r w:rsidR="00A34B98" w:rsidRPr="00B10772">
        <w:rPr>
          <w:rFonts w:ascii="Palatino Linotype" w:eastAsia="Calibri" w:hAnsi="Palatino Linotype" w:cs="Arial"/>
          <w:color w:val="000000" w:themeColor="text1"/>
        </w:rPr>
        <w:t>terior, este Organismo Garante</w:t>
      </w:r>
      <w:r w:rsidRPr="00B10772">
        <w:rPr>
          <w:rFonts w:ascii="Palatino Linotype" w:eastAsia="Calibri" w:hAnsi="Palatino Linotype" w:cs="Arial"/>
          <w:color w:val="000000" w:themeColor="text1"/>
        </w:rPr>
        <w:t xml:space="preserve"> advierte que </w:t>
      </w:r>
      <w:r w:rsidR="00540208" w:rsidRPr="00B10772">
        <w:rPr>
          <w:rFonts w:ascii="Palatino Linotype" w:eastAsia="Calibri" w:hAnsi="Palatino Linotype" w:cs="Arial"/>
          <w:color w:val="000000" w:themeColor="text1"/>
        </w:rPr>
        <w:t xml:space="preserve">el escrito contiene las formalidades previstas por el artículo 180 último párrafo de la Ley </w:t>
      </w:r>
      <w:r w:rsidR="004911B6" w:rsidRPr="00B10772">
        <w:rPr>
          <w:rFonts w:ascii="Palatino Linotype" w:eastAsia="Calibri" w:hAnsi="Palatino Linotype" w:cs="Arial"/>
          <w:color w:val="000000" w:themeColor="text1"/>
        </w:rPr>
        <w:t>de Transparencia y Acceso a la Información Pública del Estado de México y Municipios</w:t>
      </w:r>
      <w:r w:rsidR="00540208" w:rsidRPr="00B10772">
        <w:rPr>
          <w:rFonts w:ascii="Palatino Linotype" w:eastAsia="Calibri" w:hAnsi="Palatino Linotype" w:cs="Arial"/>
          <w:color w:val="000000" w:themeColor="text1"/>
        </w:rPr>
        <w:t xml:space="preserve">, por lo que es procedente que </w:t>
      </w:r>
      <w:r w:rsidR="004911B6" w:rsidRPr="00B10772">
        <w:rPr>
          <w:rFonts w:ascii="Palatino Linotype" w:eastAsia="Calibri" w:hAnsi="Palatino Linotype" w:cs="Arial"/>
          <w:color w:val="000000" w:themeColor="text1"/>
        </w:rPr>
        <w:t>e</w:t>
      </w:r>
      <w:r w:rsidR="00540208" w:rsidRPr="00B10772">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71F3709" w14:textId="77777777" w:rsidR="00103662" w:rsidRPr="00B1077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B10772"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545537"/>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B10772">
        <w:rPr>
          <w:rFonts w:ascii="Palatino Linotype" w:hAnsi="Palatino Linotype"/>
          <w:b/>
          <w:color w:val="000000" w:themeColor="text1"/>
          <w:sz w:val="24"/>
          <w:szCs w:val="24"/>
        </w:rPr>
        <w:lastRenderedPageBreak/>
        <w:t>TERCERO</w:t>
      </w:r>
      <w:r w:rsidR="00C50A2B" w:rsidRPr="00B10772">
        <w:rPr>
          <w:rFonts w:ascii="Palatino Linotype" w:hAnsi="Palatino Linotype"/>
          <w:b/>
          <w:color w:val="000000" w:themeColor="text1"/>
          <w:sz w:val="24"/>
          <w:szCs w:val="24"/>
        </w:rPr>
        <w:t>. De</w:t>
      </w:r>
      <w:r w:rsidR="00AD76A1" w:rsidRPr="00B10772">
        <w:rPr>
          <w:rFonts w:ascii="Palatino Linotype" w:hAnsi="Palatino Linotype"/>
          <w:b/>
          <w:color w:val="000000" w:themeColor="text1"/>
          <w:sz w:val="24"/>
          <w:szCs w:val="24"/>
        </w:rPr>
        <w:t xml:space="preserve">l planteamiento de la </w:t>
      </w:r>
      <w:r w:rsidR="00AD76A1" w:rsidRPr="00B10772">
        <w:rPr>
          <w:rFonts w:ascii="Palatino Linotype" w:hAnsi="Palatino Linotype"/>
          <w:b/>
          <w:i/>
          <w:color w:val="000000" w:themeColor="text1"/>
          <w:sz w:val="24"/>
          <w:szCs w:val="24"/>
        </w:rPr>
        <w:t>Litis</w:t>
      </w:r>
      <w:r w:rsidR="00C50A2B" w:rsidRPr="00B10772">
        <w:rPr>
          <w:rFonts w:ascii="Palatino Linotype" w:hAnsi="Palatino Linotype"/>
          <w:b/>
          <w:color w:val="000000" w:themeColor="text1"/>
          <w:sz w:val="24"/>
          <w:szCs w:val="24"/>
        </w:rPr>
        <w:t>.</w:t>
      </w:r>
      <w:bookmarkEnd w:id="12"/>
      <w:bookmarkEnd w:id="13"/>
      <w:bookmarkEnd w:id="14"/>
    </w:p>
    <w:p w14:paraId="4231B8D5" w14:textId="77777777" w:rsidR="00540208" w:rsidRPr="00B10772" w:rsidRDefault="00540208" w:rsidP="00B31E90">
      <w:pPr>
        <w:rPr>
          <w:rFonts w:ascii="Palatino Linotype" w:hAnsi="Palatino Linotype"/>
          <w:color w:val="000000" w:themeColor="text1"/>
          <w:lang w:eastAsia="en-US"/>
        </w:rPr>
      </w:pPr>
    </w:p>
    <w:bookmarkEnd w:id="15"/>
    <w:bookmarkEnd w:id="16"/>
    <w:p w14:paraId="4775ABC0" w14:textId="4D805455" w:rsidR="00AF0F3E" w:rsidRPr="00B10772" w:rsidRDefault="00011B89"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0772">
        <w:rPr>
          <w:rFonts w:ascii="Palatino Linotype" w:hAnsi="Palatino Linotype" w:cs="Arial"/>
          <w:color w:val="000000" w:themeColor="text1"/>
        </w:rPr>
        <w:t>Se requiri</w:t>
      </w:r>
      <w:r w:rsidR="00B742E4" w:rsidRPr="00B10772">
        <w:rPr>
          <w:rFonts w:ascii="Palatino Linotype" w:hAnsi="Palatino Linotype" w:cs="Arial"/>
          <w:color w:val="000000" w:themeColor="text1"/>
        </w:rPr>
        <w:t>eron los gastos desglosados, generados con motivo de la pandemia por COVID-19</w:t>
      </w:r>
      <w:r w:rsidR="007E64B6" w:rsidRPr="00B10772">
        <w:rPr>
          <w:rFonts w:ascii="Palatino Linotype" w:hAnsi="Palatino Linotype" w:cs="Arial"/>
          <w:color w:val="000000" w:themeColor="text1"/>
        </w:rPr>
        <w:t>.</w:t>
      </w:r>
      <w:r w:rsidR="00910076" w:rsidRPr="00B10772">
        <w:rPr>
          <w:rFonts w:ascii="Palatino Linotype" w:hAnsi="Palatino Linotype" w:cs="Arial"/>
          <w:color w:val="000000" w:themeColor="text1"/>
        </w:rPr>
        <w:t xml:space="preserve"> El </w:t>
      </w:r>
      <w:r w:rsidR="00910076" w:rsidRPr="00B10772">
        <w:rPr>
          <w:rFonts w:ascii="Palatino Linotype" w:hAnsi="Palatino Linotype" w:cs="Arial"/>
          <w:b/>
          <w:bCs/>
          <w:color w:val="000000" w:themeColor="text1"/>
        </w:rPr>
        <w:t>SUJETO OBLIGADO</w:t>
      </w:r>
      <w:r w:rsidR="00910076" w:rsidRPr="00B10772">
        <w:rPr>
          <w:rFonts w:ascii="Palatino Linotype" w:hAnsi="Palatino Linotype" w:cs="Arial"/>
          <w:color w:val="000000" w:themeColor="text1"/>
        </w:rPr>
        <w:t xml:space="preserve"> </w:t>
      </w:r>
      <w:r w:rsidR="00421D0A" w:rsidRPr="00B10772">
        <w:rPr>
          <w:rFonts w:ascii="Palatino Linotype" w:hAnsi="Palatino Linotype" w:cs="Arial"/>
          <w:color w:val="000000" w:themeColor="text1"/>
        </w:rPr>
        <w:t xml:space="preserve">cambió la modalidad de entrega de la información y la puso a disposición del particular </w:t>
      </w:r>
      <w:r w:rsidR="00B742E4" w:rsidRPr="00B10772">
        <w:rPr>
          <w:rFonts w:ascii="Palatino Linotype" w:hAnsi="Palatino Linotype" w:cs="Arial"/>
          <w:color w:val="000000" w:themeColor="text1"/>
        </w:rPr>
        <w:t>vía</w:t>
      </w:r>
      <w:r w:rsidR="00421D0A" w:rsidRPr="00B10772">
        <w:rPr>
          <w:rFonts w:ascii="Palatino Linotype" w:hAnsi="Palatino Linotype" w:cs="Arial"/>
          <w:color w:val="000000" w:themeColor="text1"/>
        </w:rPr>
        <w:t xml:space="preserve"> </w:t>
      </w:r>
      <w:r w:rsidR="00421D0A" w:rsidRPr="00B10772">
        <w:rPr>
          <w:rFonts w:ascii="Palatino Linotype" w:hAnsi="Palatino Linotype" w:cs="Arial"/>
          <w:b/>
          <w:bCs/>
          <w:color w:val="000000" w:themeColor="text1"/>
        </w:rPr>
        <w:t>Consulta Directa</w:t>
      </w:r>
      <w:r w:rsidR="00B742E4" w:rsidRPr="00B10772">
        <w:rPr>
          <w:rFonts w:ascii="Palatino Linotype" w:hAnsi="Palatino Linotype" w:cs="Arial"/>
          <w:b/>
          <w:bCs/>
          <w:color w:val="000000" w:themeColor="text1"/>
        </w:rPr>
        <w:t>.</w:t>
      </w:r>
    </w:p>
    <w:p w14:paraId="38CE9DE3" w14:textId="77777777" w:rsidR="00AF0F3E" w:rsidRPr="00B10772" w:rsidRDefault="00AF0F3E" w:rsidP="00AF0F3E">
      <w:pPr>
        <w:pStyle w:val="Prrafodelista"/>
        <w:tabs>
          <w:tab w:val="left" w:pos="426"/>
        </w:tabs>
        <w:spacing w:line="360" w:lineRule="auto"/>
        <w:ind w:left="0" w:right="49"/>
        <w:jc w:val="both"/>
        <w:rPr>
          <w:rFonts w:ascii="Palatino Linotype" w:hAnsi="Palatino Linotype" w:cs="Arial"/>
          <w:color w:val="000000" w:themeColor="text1"/>
        </w:rPr>
      </w:pPr>
    </w:p>
    <w:p w14:paraId="5A9A3D64" w14:textId="465D37F3" w:rsidR="00024BCC" w:rsidRPr="00B10772" w:rsidRDefault="00B742E4" w:rsidP="00B32D2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0772">
        <w:rPr>
          <w:rFonts w:ascii="Palatino Linotype" w:hAnsi="Palatino Linotype" w:cs="Arial"/>
          <w:color w:val="000000" w:themeColor="text1"/>
        </w:rPr>
        <w:t xml:space="preserve">El </w:t>
      </w:r>
      <w:r w:rsidR="00826F38" w:rsidRPr="00B10772">
        <w:rPr>
          <w:rFonts w:ascii="Palatino Linotype" w:hAnsi="Palatino Linotype" w:cs="Arial"/>
          <w:color w:val="000000" w:themeColor="text1"/>
        </w:rPr>
        <w:t xml:space="preserve">particular impugnó </w:t>
      </w:r>
      <w:r w:rsidR="006A2EFB" w:rsidRPr="00B10772">
        <w:rPr>
          <w:rFonts w:ascii="Palatino Linotype" w:hAnsi="Palatino Linotype" w:cs="Arial"/>
          <w:color w:val="000000" w:themeColor="text1"/>
        </w:rPr>
        <w:t>la respuesta</w:t>
      </w:r>
      <w:r w:rsidR="00826F38" w:rsidRPr="00B10772">
        <w:rPr>
          <w:rFonts w:ascii="Palatino Linotype" w:hAnsi="Palatino Linotype" w:cs="Arial"/>
          <w:color w:val="000000" w:themeColor="text1"/>
        </w:rPr>
        <w:t xml:space="preserve"> mediante recurso de revisión, </w:t>
      </w:r>
      <w:r w:rsidR="006A2EFB" w:rsidRPr="00B10772">
        <w:rPr>
          <w:rFonts w:ascii="Palatino Linotype" w:hAnsi="Palatino Linotype" w:cs="Arial"/>
          <w:color w:val="000000" w:themeColor="text1"/>
        </w:rPr>
        <w:t>en el que señaló</w:t>
      </w:r>
      <w:r w:rsidR="00826F38" w:rsidRPr="00B10772">
        <w:rPr>
          <w:rFonts w:ascii="Palatino Linotype" w:hAnsi="Palatino Linotype" w:cs="Arial"/>
          <w:color w:val="000000" w:themeColor="text1"/>
        </w:rPr>
        <w:t xml:space="preserve"> por agravios</w:t>
      </w:r>
      <w:r w:rsidR="00F147E7" w:rsidRPr="00B10772">
        <w:rPr>
          <w:rFonts w:ascii="Palatino Linotype" w:hAnsi="Palatino Linotype" w:cs="Arial"/>
          <w:color w:val="000000" w:themeColor="text1"/>
        </w:rPr>
        <w:t xml:space="preserve"> la negativa de la entrega de la información, así como el cambio de modalidad de su entrega</w:t>
      </w:r>
      <w:r w:rsidR="0029042C" w:rsidRPr="00B10772">
        <w:rPr>
          <w:rFonts w:ascii="Palatino Linotype" w:hAnsi="Palatino Linotype" w:cs="Arial"/>
          <w:color w:val="000000" w:themeColor="text1"/>
        </w:rPr>
        <w:t>.</w:t>
      </w:r>
    </w:p>
    <w:p w14:paraId="0500F128" w14:textId="77777777" w:rsidR="00AF0F3E" w:rsidRPr="00B10772" w:rsidRDefault="00AF0F3E" w:rsidP="00AF0F3E">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C2602F3" w:rsidR="001A032D" w:rsidRPr="00B10772"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0772">
        <w:rPr>
          <w:rFonts w:ascii="Palatino Linotype" w:hAnsi="Palatino Linotype" w:cs="Arial"/>
          <w:color w:val="000000" w:themeColor="text1"/>
        </w:rPr>
        <w:t xml:space="preserve">En ese sentido, </w:t>
      </w:r>
      <w:r w:rsidR="00A34B98" w:rsidRPr="00B10772">
        <w:rPr>
          <w:rFonts w:ascii="Palatino Linotype" w:hAnsi="Palatino Linotype" w:cs="Arial"/>
          <w:color w:val="000000" w:themeColor="text1"/>
        </w:rPr>
        <w:t>este Organismo Garante</w:t>
      </w:r>
      <w:r w:rsidR="002E160F" w:rsidRPr="00B10772">
        <w:rPr>
          <w:rFonts w:ascii="Palatino Linotype" w:hAnsi="Palatino Linotype" w:cs="Arial"/>
          <w:color w:val="000000" w:themeColor="text1"/>
        </w:rPr>
        <w:t xml:space="preserve"> advierte que las razones o motivos de inconformidad manifestados por el </w:t>
      </w:r>
      <w:r w:rsidRPr="00B10772">
        <w:rPr>
          <w:rFonts w:ascii="Palatino Linotype" w:hAnsi="Palatino Linotype" w:cs="Arial"/>
          <w:b/>
          <w:bCs/>
          <w:color w:val="000000" w:themeColor="text1"/>
        </w:rPr>
        <w:t>RECURRENTE</w:t>
      </w:r>
      <w:r w:rsidRPr="00B10772">
        <w:rPr>
          <w:rFonts w:ascii="Palatino Linotype" w:hAnsi="Palatino Linotype" w:cs="Arial"/>
          <w:color w:val="000000" w:themeColor="text1"/>
        </w:rPr>
        <w:t xml:space="preserve"> </w:t>
      </w:r>
      <w:r w:rsidR="002E160F" w:rsidRPr="00B10772">
        <w:rPr>
          <w:rFonts w:ascii="Palatino Linotype" w:hAnsi="Palatino Linotype" w:cs="Arial"/>
          <w:color w:val="000000" w:themeColor="text1"/>
        </w:rPr>
        <w:t>sugieren que la respuesta proporcionada</w:t>
      </w:r>
      <w:r w:rsidR="00B855AA" w:rsidRPr="00B10772">
        <w:rPr>
          <w:rFonts w:ascii="Palatino Linotype" w:hAnsi="Palatino Linotype" w:cs="Arial"/>
          <w:color w:val="000000" w:themeColor="text1"/>
        </w:rPr>
        <w:t xml:space="preserve"> por el </w:t>
      </w:r>
      <w:r w:rsidR="00B855AA" w:rsidRPr="00B10772">
        <w:rPr>
          <w:rFonts w:ascii="Palatino Linotype" w:hAnsi="Palatino Linotype" w:cs="Arial"/>
          <w:b/>
          <w:bCs/>
          <w:color w:val="000000" w:themeColor="text1"/>
        </w:rPr>
        <w:t>SUJETO OBLIGADO</w:t>
      </w:r>
      <w:r w:rsidR="00B855AA" w:rsidRPr="00B10772">
        <w:rPr>
          <w:rFonts w:ascii="Palatino Linotype" w:hAnsi="Palatino Linotype" w:cs="Arial"/>
          <w:color w:val="000000" w:themeColor="text1"/>
        </w:rPr>
        <w:t xml:space="preserve"> no cumplió con </w:t>
      </w:r>
      <w:r w:rsidR="008F7752" w:rsidRPr="00B10772">
        <w:rPr>
          <w:rFonts w:ascii="Palatino Linotype" w:hAnsi="Palatino Linotype" w:cs="Arial"/>
          <w:color w:val="000000" w:themeColor="text1"/>
        </w:rPr>
        <w:t>los</w:t>
      </w:r>
      <w:r w:rsidR="00B855AA" w:rsidRPr="00B10772">
        <w:rPr>
          <w:rFonts w:ascii="Palatino Linotype" w:hAnsi="Palatino Linotype" w:cs="Arial"/>
          <w:color w:val="000000" w:themeColor="text1"/>
        </w:rPr>
        <w:t xml:space="preserve"> principio</w:t>
      </w:r>
      <w:r w:rsidR="008F7752" w:rsidRPr="00B10772">
        <w:rPr>
          <w:rFonts w:ascii="Palatino Linotype" w:hAnsi="Palatino Linotype" w:cs="Arial"/>
          <w:color w:val="000000" w:themeColor="text1"/>
        </w:rPr>
        <w:t>s</w:t>
      </w:r>
      <w:r w:rsidR="00B855AA" w:rsidRPr="00B10772">
        <w:rPr>
          <w:rFonts w:ascii="Palatino Linotype" w:hAnsi="Palatino Linotype" w:cs="Arial"/>
          <w:color w:val="000000" w:themeColor="text1"/>
        </w:rPr>
        <w:t xml:space="preserve"> contendido</w:t>
      </w:r>
      <w:r w:rsidR="008F7752" w:rsidRPr="00B10772">
        <w:rPr>
          <w:rFonts w:ascii="Palatino Linotype" w:hAnsi="Palatino Linotype" w:cs="Arial"/>
          <w:color w:val="000000" w:themeColor="text1"/>
        </w:rPr>
        <w:t>s</w:t>
      </w:r>
      <w:r w:rsidR="00B855AA" w:rsidRPr="00B10772">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B10772">
        <w:rPr>
          <w:rFonts w:ascii="Palatino Linotype" w:hAnsi="Palatino Linotype" w:cs="Arial"/>
          <w:color w:val="000000" w:themeColor="text1"/>
        </w:rPr>
        <w:t>os</w:t>
      </w:r>
      <w:r w:rsidR="00B855AA" w:rsidRPr="00B10772">
        <w:rPr>
          <w:rFonts w:ascii="Palatino Linotype" w:hAnsi="Palatino Linotype" w:cs="Arial"/>
          <w:color w:val="000000" w:themeColor="text1"/>
        </w:rPr>
        <w:t xml:space="preserve"> cual</w:t>
      </w:r>
      <w:r w:rsidR="008F7752" w:rsidRPr="00B10772">
        <w:rPr>
          <w:rFonts w:ascii="Palatino Linotype" w:hAnsi="Palatino Linotype" w:cs="Arial"/>
          <w:color w:val="000000" w:themeColor="text1"/>
        </w:rPr>
        <w:t>es</w:t>
      </w:r>
      <w:r w:rsidR="00B855AA" w:rsidRPr="00B10772">
        <w:rPr>
          <w:rFonts w:ascii="Palatino Linotype" w:hAnsi="Palatino Linotype" w:cs="Arial"/>
          <w:color w:val="000000" w:themeColor="text1"/>
        </w:rPr>
        <w:t xml:space="preserve"> señala</w:t>
      </w:r>
      <w:r w:rsidR="008F7752" w:rsidRPr="00B10772">
        <w:rPr>
          <w:rFonts w:ascii="Palatino Linotype" w:hAnsi="Palatino Linotype" w:cs="Arial"/>
          <w:color w:val="000000" w:themeColor="text1"/>
        </w:rPr>
        <w:t>n</w:t>
      </w:r>
      <w:r w:rsidR="00B855AA" w:rsidRPr="00B10772">
        <w:rPr>
          <w:rFonts w:ascii="Palatino Linotype" w:hAnsi="Palatino Linotype" w:cs="Arial"/>
          <w:color w:val="000000" w:themeColor="text1"/>
        </w:rPr>
        <w:t xml:space="preserve"> que en la generación, publicación y entrega de información se deberá garantizar que ésta </w:t>
      </w:r>
      <w:r w:rsidR="00C51671" w:rsidRPr="00B10772">
        <w:rPr>
          <w:rFonts w:ascii="Palatino Linotype" w:hAnsi="Palatino Linotype" w:cs="Arial"/>
          <w:color w:val="000000" w:themeColor="text1"/>
        </w:rPr>
        <w:t>sea</w:t>
      </w:r>
      <w:r w:rsidR="00B855AA" w:rsidRPr="00B10772">
        <w:rPr>
          <w:rFonts w:ascii="Palatino Linotype" w:hAnsi="Palatino Linotype" w:cs="Arial"/>
          <w:color w:val="000000" w:themeColor="text1"/>
        </w:rPr>
        <w:t xml:space="preserve"> </w:t>
      </w:r>
      <w:r w:rsidR="00F147E7" w:rsidRPr="00B10772">
        <w:rPr>
          <w:rFonts w:ascii="Palatino Linotype" w:hAnsi="Palatino Linotype" w:cs="Arial"/>
          <w:b/>
          <w:bCs/>
          <w:color w:val="000000" w:themeColor="text1"/>
        </w:rPr>
        <w:t>oportuna</w:t>
      </w:r>
      <w:r w:rsidR="00F147E7" w:rsidRPr="00B10772">
        <w:rPr>
          <w:rFonts w:ascii="Palatino Linotype" w:hAnsi="Palatino Linotype" w:cs="Arial"/>
          <w:color w:val="000000" w:themeColor="text1"/>
        </w:rPr>
        <w:t xml:space="preserve"> y </w:t>
      </w:r>
      <w:r w:rsidR="00024BCC" w:rsidRPr="00B10772">
        <w:rPr>
          <w:rFonts w:ascii="Palatino Linotype" w:hAnsi="Palatino Linotype" w:cs="Arial"/>
          <w:b/>
          <w:bCs/>
          <w:color w:val="000000" w:themeColor="text1"/>
        </w:rPr>
        <w:t>accesible</w:t>
      </w:r>
      <w:r w:rsidR="0029042C" w:rsidRPr="00B10772">
        <w:rPr>
          <w:rFonts w:ascii="Palatino Linotype" w:hAnsi="Palatino Linotype" w:cs="Arial"/>
          <w:color w:val="000000" w:themeColor="text1"/>
        </w:rPr>
        <w:t>.</w:t>
      </w:r>
    </w:p>
    <w:p w14:paraId="026A3A70" w14:textId="77777777" w:rsidR="00197091" w:rsidRPr="00B10772"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13E97F9" w:rsidR="00AD76A1" w:rsidRPr="00B10772"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10772">
        <w:rPr>
          <w:rFonts w:ascii="Palatino Linotype" w:hAnsi="Palatino Linotype" w:cs="Arial"/>
          <w:color w:val="000000" w:themeColor="text1"/>
          <w:szCs w:val="23"/>
        </w:rPr>
        <w:t xml:space="preserve">Por lo anterior, la </w:t>
      </w:r>
      <w:r w:rsidRPr="00B10772">
        <w:rPr>
          <w:rFonts w:ascii="Palatino Linotype" w:hAnsi="Palatino Linotype" w:cs="Arial"/>
          <w:i/>
          <w:color w:val="000000" w:themeColor="text1"/>
          <w:szCs w:val="23"/>
        </w:rPr>
        <w:t>Litis</w:t>
      </w:r>
      <w:r w:rsidRPr="00B10772">
        <w:rPr>
          <w:rFonts w:ascii="Palatino Linotype" w:hAnsi="Palatino Linotype" w:cs="Arial"/>
          <w:color w:val="000000" w:themeColor="text1"/>
          <w:szCs w:val="23"/>
        </w:rPr>
        <w:t xml:space="preserve"> a resolver en el presente recurso se circunscribe en determinar si</w:t>
      </w:r>
      <w:r w:rsidR="002C6561" w:rsidRPr="00B10772">
        <w:rPr>
          <w:rFonts w:ascii="Palatino Linotype" w:hAnsi="Palatino Linotype" w:cs="Arial"/>
          <w:color w:val="000000" w:themeColor="text1"/>
          <w:szCs w:val="23"/>
        </w:rPr>
        <w:t xml:space="preserve"> </w:t>
      </w:r>
      <w:r w:rsidR="004B0EB6" w:rsidRPr="00B10772">
        <w:rPr>
          <w:rFonts w:ascii="Palatino Linotype" w:hAnsi="Palatino Linotype" w:cs="Arial"/>
          <w:color w:val="000000" w:themeColor="text1"/>
          <w:szCs w:val="23"/>
        </w:rPr>
        <w:t>la respuesta del</w:t>
      </w:r>
      <w:r w:rsidR="002C6561" w:rsidRPr="00B10772">
        <w:rPr>
          <w:rFonts w:ascii="Palatino Linotype" w:hAnsi="Palatino Linotype" w:cs="Arial"/>
          <w:color w:val="000000" w:themeColor="text1"/>
          <w:szCs w:val="23"/>
        </w:rPr>
        <w:t xml:space="preserve"> </w:t>
      </w:r>
      <w:r w:rsidR="002C6561" w:rsidRPr="00B10772">
        <w:rPr>
          <w:rFonts w:ascii="Palatino Linotype" w:hAnsi="Palatino Linotype" w:cs="Arial"/>
          <w:b/>
          <w:bCs/>
          <w:color w:val="000000" w:themeColor="text1"/>
          <w:szCs w:val="23"/>
        </w:rPr>
        <w:t>SUJETO OBLIGADO</w:t>
      </w:r>
      <w:r w:rsidR="002C6561" w:rsidRPr="00B10772">
        <w:rPr>
          <w:rFonts w:ascii="Palatino Linotype" w:hAnsi="Palatino Linotype" w:cs="Arial"/>
          <w:color w:val="000000" w:themeColor="text1"/>
          <w:szCs w:val="23"/>
        </w:rPr>
        <w:t xml:space="preserve"> </w:t>
      </w:r>
      <w:r w:rsidR="004B0EB6" w:rsidRPr="00B10772">
        <w:rPr>
          <w:rFonts w:ascii="Palatino Linotype" w:hAnsi="Palatino Linotype" w:cs="Arial"/>
          <w:color w:val="000000" w:themeColor="text1"/>
          <w:szCs w:val="23"/>
        </w:rPr>
        <w:t xml:space="preserve">colma el derecho de acceso a la información ejercido por el </w:t>
      </w:r>
      <w:r w:rsidR="004B0EB6" w:rsidRPr="00B10772">
        <w:rPr>
          <w:rFonts w:ascii="Palatino Linotype" w:hAnsi="Palatino Linotype" w:cs="Arial"/>
          <w:b/>
          <w:bCs/>
          <w:color w:val="000000" w:themeColor="text1"/>
          <w:szCs w:val="23"/>
        </w:rPr>
        <w:t>RECURRENTE</w:t>
      </w:r>
      <w:r w:rsidR="002C6561" w:rsidRPr="00B10772">
        <w:rPr>
          <w:rFonts w:ascii="Palatino Linotype" w:hAnsi="Palatino Linotype" w:cs="Arial"/>
          <w:color w:val="000000" w:themeColor="text1"/>
          <w:szCs w:val="23"/>
        </w:rPr>
        <w:t>; o si, por el contrario, se</w:t>
      </w:r>
      <w:r w:rsidR="00E32652" w:rsidRPr="00B10772">
        <w:rPr>
          <w:rFonts w:ascii="Palatino Linotype" w:hAnsi="Palatino Linotype" w:cs="Arial"/>
          <w:color w:val="000000" w:themeColor="text1"/>
          <w:szCs w:val="23"/>
        </w:rPr>
        <w:t xml:space="preserve"> </w:t>
      </w:r>
      <w:r w:rsidR="0028248C" w:rsidRPr="00B10772">
        <w:rPr>
          <w:rFonts w:ascii="Palatino Linotype" w:hAnsi="Palatino Linotype"/>
          <w:color w:val="000000" w:themeColor="text1"/>
        </w:rPr>
        <w:t>actualiza</w:t>
      </w:r>
      <w:r w:rsidR="00C51671" w:rsidRPr="00B10772">
        <w:rPr>
          <w:rFonts w:ascii="Palatino Linotype" w:hAnsi="Palatino Linotype"/>
          <w:color w:val="000000" w:themeColor="text1"/>
        </w:rPr>
        <w:t>n</w:t>
      </w:r>
      <w:r w:rsidR="0028248C" w:rsidRPr="00B10772">
        <w:rPr>
          <w:rFonts w:ascii="Palatino Linotype" w:hAnsi="Palatino Linotype"/>
          <w:color w:val="000000" w:themeColor="text1"/>
        </w:rPr>
        <w:t xml:space="preserve"> la</w:t>
      </w:r>
      <w:r w:rsidR="00C51671" w:rsidRPr="00B10772">
        <w:rPr>
          <w:rFonts w:ascii="Palatino Linotype" w:hAnsi="Palatino Linotype"/>
          <w:color w:val="000000" w:themeColor="text1"/>
        </w:rPr>
        <w:t>s</w:t>
      </w:r>
      <w:r w:rsidR="0028248C" w:rsidRPr="00B10772">
        <w:rPr>
          <w:rFonts w:ascii="Palatino Linotype" w:hAnsi="Palatino Linotype"/>
          <w:color w:val="000000" w:themeColor="text1"/>
        </w:rPr>
        <w:t xml:space="preserve"> causal</w:t>
      </w:r>
      <w:r w:rsidR="00C51671" w:rsidRPr="00B10772">
        <w:rPr>
          <w:rFonts w:ascii="Palatino Linotype" w:hAnsi="Palatino Linotype"/>
          <w:color w:val="000000" w:themeColor="text1"/>
        </w:rPr>
        <w:t>es</w:t>
      </w:r>
      <w:r w:rsidR="0028248C" w:rsidRPr="00B10772">
        <w:rPr>
          <w:rFonts w:ascii="Palatino Linotype" w:hAnsi="Palatino Linotype"/>
          <w:color w:val="000000" w:themeColor="text1"/>
        </w:rPr>
        <w:t xml:space="preserve"> de procedencia</w:t>
      </w:r>
      <w:r w:rsidR="00E66A80" w:rsidRPr="00B10772">
        <w:rPr>
          <w:rFonts w:ascii="Palatino Linotype" w:hAnsi="Palatino Linotype" w:cs="Arial"/>
          <w:color w:val="000000" w:themeColor="text1"/>
          <w:szCs w:val="23"/>
        </w:rPr>
        <w:t xml:space="preserve"> del recurso de revisión establecida</w:t>
      </w:r>
      <w:r w:rsidR="00C51671" w:rsidRPr="00B10772">
        <w:rPr>
          <w:rFonts w:ascii="Palatino Linotype" w:hAnsi="Palatino Linotype" w:cs="Arial"/>
          <w:color w:val="000000" w:themeColor="text1"/>
          <w:szCs w:val="23"/>
        </w:rPr>
        <w:t>s</w:t>
      </w:r>
      <w:r w:rsidR="00E66A80" w:rsidRPr="00B10772">
        <w:rPr>
          <w:rFonts w:ascii="Palatino Linotype" w:hAnsi="Palatino Linotype" w:cs="Arial"/>
          <w:color w:val="000000" w:themeColor="text1"/>
          <w:szCs w:val="23"/>
        </w:rPr>
        <w:t xml:space="preserve"> en el artículo 179 </w:t>
      </w:r>
      <w:r w:rsidR="00C51671" w:rsidRPr="00B10772">
        <w:rPr>
          <w:rFonts w:ascii="Palatino Linotype" w:hAnsi="Palatino Linotype" w:cs="Arial"/>
          <w:color w:val="000000" w:themeColor="text1"/>
          <w:szCs w:val="23"/>
        </w:rPr>
        <w:t>fracciones</w:t>
      </w:r>
      <w:r w:rsidR="00E66A80" w:rsidRPr="00B10772">
        <w:rPr>
          <w:rFonts w:ascii="Palatino Linotype" w:hAnsi="Palatino Linotype" w:cs="Arial"/>
          <w:color w:val="000000" w:themeColor="text1"/>
          <w:szCs w:val="23"/>
        </w:rPr>
        <w:t xml:space="preserve"> </w:t>
      </w:r>
      <w:r w:rsidR="002C6561" w:rsidRPr="00B10772">
        <w:rPr>
          <w:rFonts w:ascii="Palatino Linotype" w:hAnsi="Palatino Linotype" w:cs="Arial"/>
          <w:color w:val="000000" w:themeColor="text1"/>
          <w:szCs w:val="23"/>
        </w:rPr>
        <w:t>I</w:t>
      </w:r>
      <w:r w:rsidR="00390D23" w:rsidRPr="00B10772">
        <w:rPr>
          <w:rFonts w:ascii="Palatino Linotype" w:hAnsi="Palatino Linotype" w:cs="Arial"/>
          <w:color w:val="000000" w:themeColor="text1"/>
          <w:szCs w:val="23"/>
        </w:rPr>
        <w:t xml:space="preserve"> </w:t>
      </w:r>
      <w:r w:rsidR="00C51671" w:rsidRPr="00B10772">
        <w:rPr>
          <w:rFonts w:ascii="Palatino Linotype" w:hAnsi="Palatino Linotype" w:cs="Arial"/>
          <w:color w:val="000000" w:themeColor="text1"/>
          <w:szCs w:val="23"/>
        </w:rPr>
        <w:t xml:space="preserve">y </w:t>
      </w:r>
      <w:r w:rsidR="009F29FB" w:rsidRPr="00B10772">
        <w:rPr>
          <w:rFonts w:ascii="Palatino Linotype" w:hAnsi="Palatino Linotype" w:cs="Arial"/>
          <w:color w:val="000000" w:themeColor="text1"/>
          <w:szCs w:val="23"/>
        </w:rPr>
        <w:t>V</w:t>
      </w:r>
      <w:r w:rsidR="0029042C" w:rsidRPr="00B10772">
        <w:rPr>
          <w:rFonts w:ascii="Palatino Linotype" w:hAnsi="Palatino Linotype" w:cs="Arial"/>
          <w:color w:val="000000" w:themeColor="text1"/>
          <w:szCs w:val="23"/>
        </w:rPr>
        <w:t>III</w:t>
      </w:r>
      <w:r w:rsidR="00C15F97" w:rsidRPr="00B10772">
        <w:rPr>
          <w:rFonts w:ascii="Palatino Linotype" w:hAnsi="Palatino Linotype" w:cs="Arial"/>
          <w:color w:val="000000" w:themeColor="text1"/>
          <w:szCs w:val="23"/>
        </w:rPr>
        <w:t xml:space="preserve"> </w:t>
      </w:r>
      <w:r w:rsidR="00E66A80" w:rsidRPr="00B10772">
        <w:rPr>
          <w:rFonts w:ascii="Palatino Linotype" w:hAnsi="Palatino Linotype" w:cs="Arial"/>
          <w:color w:val="000000" w:themeColor="text1"/>
          <w:szCs w:val="23"/>
        </w:rPr>
        <w:t xml:space="preserve">de la Ley de Transparencia y Acceso a la Información Pública del Estado de México y Municipios, </w:t>
      </w:r>
      <w:r w:rsidR="00C51671" w:rsidRPr="00B10772">
        <w:rPr>
          <w:rFonts w:ascii="Palatino Linotype" w:hAnsi="Palatino Linotype" w:cs="Arial"/>
          <w:color w:val="000000" w:themeColor="text1"/>
          <w:szCs w:val="23"/>
        </w:rPr>
        <w:t xml:space="preserve">y </w:t>
      </w:r>
      <w:r w:rsidR="00E66A80" w:rsidRPr="00B10772">
        <w:rPr>
          <w:rFonts w:ascii="Palatino Linotype" w:hAnsi="Palatino Linotype" w:cs="Arial"/>
          <w:color w:val="000000" w:themeColor="text1"/>
          <w:szCs w:val="23"/>
        </w:rPr>
        <w:t>que se transcribe</w:t>
      </w:r>
      <w:r w:rsidR="00C51671" w:rsidRPr="00B10772">
        <w:rPr>
          <w:rFonts w:ascii="Palatino Linotype" w:hAnsi="Palatino Linotype" w:cs="Arial"/>
          <w:color w:val="000000" w:themeColor="text1"/>
          <w:szCs w:val="23"/>
        </w:rPr>
        <w:t>n</w:t>
      </w:r>
      <w:r w:rsidR="00E66A80" w:rsidRPr="00B10772">
        <w:rPr>
          <w:rFonts w:ascii="Palatino Linotype" w:hAnsi="Palatino Linotype" w:cs="Arial"/>
          <w:color w:val="000000" w:themeColor="text1"/>
          <w:szCs w:val="23"/>
        </w:rPr>
        <w:t xml:space="preserve"> a continuación:</w:t>
      </w:r>
    </w:p>
    <w:p w14:paraId="694942AF" w14:textId="62D2F7A9" w:rsidR="00AD76A1" w:rsidRPr="00B10772" w:rsidRDefault="00E66A80" w:rsidP="00B31E90">
      <w:pPr>
        <w:pStyle w:val="Sinespaciado"/>
        <w:tabs>
          <w:tab w:val="left" w:pos="426"/>
        </w:tabs>
        <w:ind w:left="851" w:right="567"/>
        <w:jc w:val="both"/>
        <w:rPr>
          <w:rFonts w:ascii="Palatino Linotype" w:hAnsi="Palatino Linotype"/>
          <w:i/>
          <w:color w:val="000000" w:themeColor="text1"/>
          <w:sz w:val="22"/>
        </w:rPr>
      </w:pPr>
      <w:r w:rsidRPr="00B10772">
        <w:rPr>
          <w:rFonts w:ascii="Palatino Linotype" w:hAnsi="Palatino Linotype"/>
          <w:i/>
          <w:color w:val="000000" w:themeColor="text1"/>
          <w:sz w:val="22"/>
        </w:rPr>
        <w:lastRenderedPageBreak/>
        <w:t>“</w:t>
      </w:r>
      <w:r w:rsidRPr="00B10772">
        <w:rPr>
          <w:rFonts w:ascii="Palatino Linotype" w:hAnsi="Palatino Linotype"/>
          <w:b/>
          <w:i/>
          <w:color w:val="000000" w:themeColor="text1"/>
          <w:sz w:val="22"/>
        </w:rPr>
        <w:t>Artículo 179.</w:t>
      </w:r>
      <w:r w:rsidRPr="00B10772">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B10772" w:rsidRDefault="00C51671" w:rsidP="00B31E90">
      <w:pPr>
        <w:pStyle w:val="Sinespaciado"/>
        <w:tabs>
          <w:tab w:val="left" w:pos="426"/>
        </w:tabs>
        <w:ind w:left="851" w:right="567"/>
        <w:jc w:val="both"/>
        <w:rPr>
          <w:rFonts w:ascii="Palatino Linotype" w:hAnsi="Palatino Linotype"/>
          <w:i/>
          <w:color w:val="000000" w:themeColor="text1"/>
          <w:sz w:val="22"/>
        </w:rPr>
      </w:pPr>
      <w:r w:rsidRPr="00B10772">
        <w:rPr>
          <w:rFonts w:ascii="Palatino Linotype" w:hAnsi="Palatino Linotype"/>
          <w:b/>
          <w:bCs/>
          <w:i/>
          <w:color w:val="000000" w:themeColor="text1"/>
          <w:sz w:val="22"/>
        </w:rPr>
        <w:t>I.</w:t>
      </w:r>
      <w:r w:rsidRPr="00B10772">
        <w:rPr>
          <w:rFonts w:ascii="Palatino Linotype" w:hAnsi="Palatino Linotype"/>
          <w:i/>
          <w:color w:val="000000" w:themeColor="text1"/>
          <w:sz w:val="22"/>
        </w:rPr>
        <w:t xml:space="preserve"> La negativa a la información solicitada;</w:t>
      </w:r>
    </w:p>
    <w:p w14:paraId="34DC33E5" w14:textId="6743AE97" w:rsidR="008F7752" w:rsidRPr="00B10772" w:rsidRDefault="00515DEC" w:rsidP="008F7752">
      <w:pPr>
        <w:pStyle w:val="Sinespaciado"/>
        <w:tabs>
          <w:tab w:val="left" w:pos="426"/>
        </w:tabs>
        <w:ind w:left="851" w:right="567"/>
        <w:jc w:val="both"/>
        <w:rPr>
          <w:rFonts w:ascii="Palatino Linotype" w:hAnsi="Palatino Linotype"/>
          <w:i/>
          <w:color w:val="000000" w:themeColor="text1"/>
          <w:sz w:val="22"/>
        </w:rPr>
      </w:pPr>
      <w:r w:rsidRPr="00B10772">
        <w:rPr>
          <w:rFonts w:ascii="Palatino Linotype" w:hAnsi="Palatino Linotype"/>
          <w:i/>
          <w:color w:val="000000" w:themeColor="text1"/>
          <w:sz w:val="22"/>
        </w:rPr>
        <w:t>(…)</w:t>
      </w:r>
    </w:p>
    <w:p w14:paraId="2A8DC18E" w14:textId="194BF4FA" w:rsidR="008F7752" w:rsidRPr="00B10772" w:rsidRDefault="009F29FB" w:rsidP="008F7752">
      <w:pPr>
        <w:pStyle w:val="Sinespaciado"/>
        <w:tabs>
          <w:tab w:val="left" w:pos="426"/>
        </w:tabs>
        <w:ind w:left="851" w:right="567"/>
        <w:jc w:val="both"/>
        <w:rPr>
          <w:rFonts w:ascii="Palatino Linotype" w:hAnsi="Palatino Linotype"/>
          <w:i/>
          <w:color w:val="000000" w:themeColor="text1"/>
          <w:sz w:val="22"/>
        </w:rPr>
      </w:pPr>
      <w:r w:rsidRPr="00B10772">
        <w:rPr>
          <w:rFonts w:ascii="Palatino Linotype" w:hAnsi="Palatino Linotype"/>
          <w:b/>
          <w:bCs/>
          <w:i/>
          <w:color w:val="000000" w:themeColor="text1"/>
          <w:sz w:val="22"/>
        </w:rPr>
        <w:t>V</w:t>
      </w:r>
      <w:r w:rsidR="0029042C" w:rsidRPr="00B10772">
        <w:rPr>
          <w:rFonts w:ascii="Palatino Linotype" w:hAnsi="Palatino Linotype"/>
          <w:b/>
          <w:bCs/>
          <w:i/>
          <w:color w:val="000000" w:themeColor="text1"/>
          <w:sz w:val="22"/>
        </w:rPr>
        <w:t>III</w:t>
      </w:r>
      <w:r w:rsidR="008F7752" w:rsidRPr="00B10772">
        <w:rPr>
          <w:rFonts w:ascii="Palatino Linotype" w:hAnsi="Palatino Linotype"/>
          <w:b/>
          <w:bCs/>
          <w:i/>
          <w:color w:val="000000" w:themeColor="text1"/>
          <w:sz w:val="22"/>
        </w:rPr>
        <w:t>.</w:t>
      </w:r>
      <w:r w:rsidR="0029042C" w:rsidRPr="00B10772">
        <w:rPr>
          <w:rFonts w:ascii="Palatino Linotype" w:hAnsi="Palatino Linotype"/>
          <w:i/>
          <w:color w:val="000000" w:themeColor="text1"/>
          <w:sz w:val="22"/>
          <w:lang w:val="es-MX"/>
        </w:rPr>
        <w:t>La notificación, entrega o puesta a disposición de información en una modalidad o formato distinto al solicitado;</w:t>
      </w:r>
    </w:p>
    <w:p w14:paraId="4FCA9B3F" w14:textId="04527850" w:rsidR="00515DEC" w:rsidRPr="00B10772" w:rsidRDefault="008F7752" w:rsidP="00390D23">
      <w:pPr>
        <w:pStyle w:val="Sinespaciado"/>
        <w:tabs>
          <w:tab w:val="left" w:pos="426"/>
        </w:tabs>
        <w:ind w:left="851" w:right="567"/>
        <w:jc w:val="both"/>
        <w:rPr>
          <w:rFonts w:ascii="Palatino Linotype" w:hAnsi="Palatino Linotype"/>
          <w:i/>
          <w:color w:val="000000" w:themeColor="text1"/>
          <w:sz w:val="22"/>
        </w:rPr>
      </w:pPr>
      <w:r w:rsidRPr="00B10772">
        <w:rPr>
          <w:rFonts w:ascii="Palatino Linotype" w:hAnsi="Palatino Linotype"/>
          <w:i/>
          <w:color w:val="000000" w:themeColor="text1"/>
          <w:sz w:val="22"/>
        </w:rPr>
        <w:t>(…)</w:t>
      </w:r>
      <w:r w:rsidR="00A073A0" w:rsidRPr="00B10772">
        <w:rPr>
          <w:rFonts w:ascii="Palatino Linotype" w:hAnsi="Palatino Linotype"/>
          <w:i/>
          <w:color w:val="000000" w:themeColor="text1"/>
          <w:sz w:val="22"/>
        </w:rPr>
        <w:t>”</w:t>
      </w:r>
    </w:p>
    <w:p w14:paraId="1C5AB6B5" w14:textId="46B28510" w:rsidR="009F1566" w:rsidRPr="00B10772" w:rsidRDefault="009F1566" w:rsidP="00F96156">
      <w:pPr>
        <w:pStyle w:val="Ttulo2"/>
        <w:tabs>
          <w:tab w:val="left" w:pos="426"/>
        </w:tabs>
        <w:rPr>
          <w:rFonts w:ascii="Palatino Linotype" w:hAnsi="Palatino Linotype" w:cs="Arial"/>
          <w:b/>
          <w:color w:val="FF0000"/>
          <w:sz w:val="24"/>
        </w:rPr>
      </w:pPr>
    </w:p>
    <w:p w14:paraId="39915D71" w14:textId="77777777" w:rsidR="00340445" w:rsidRPr="00B10772" w:rsidRDefault="00340445" w:rsidP="00340445">
      <w:pPr>
        <w:rPr>
          <w:lang w:eastAsia="en-US"/>
        </w:rPr>
      </w:pPr>
    </w:p>
    <w:p w14:paraId="5CEC2F48" w14:textId="21F2B653" w:rsidR="00EF014A" w:rsidRPr="00B10772" w:rsidRDefault="00751061" w:rsidP="00F96156">
      <w:pPr>
        <w:pStyle w:val="Ttulo2"/>
        <w:tabs>
          <w:tab w:val="left" w:pos="426"/>
        </w:tabs>
        <w:rPr>
          <w:rFonts w:ascii="Palatino Linotype" w:hAnsi="Palatino Linotype" w:cs="Arial"/>
          <w:b/>
          <w:color w:val="000000" w:themeColor="text1"/>
          <w:sz w:val="24"/>
        </w:rPr>
      </w:pPr>
      <w:bookmarkStart w:id="22" w:name="_Toc87545538"/>
      <w:r w:rsidRPr="00B10772">
        <w:rPr>
          <w:rFonts w:ascii="Palatino Linotype" w:hAnsi="Palatino Linotype" w:cs="Arial"/>
          <w:b/>
          <w:color w:val="000000" w:themeColor="text1"/>
          <w:sz w:val="24"/>
        </w:rPr>
        <w:t>CUARTO</w:t>
      </w:r>
      <w:r w:rsidR="00EF014A" w:rsidRPr="00B10772">
        <w:rPr>
          <w:rFonts w:ascii="Palatino Linotype" w:hAnsi="Palatino Linotype" w:cs="Arial"/>
          <w:b/>
          <w:color w:val="000000" w:themeColor="text1"/>
          <w:sz w:val="24"/>
        </w:rPr>
        <w:t>. Estudio y Resolución del asunto.</w:t>
      </w:r>
      <w:bookmarkEnd w:id="22"/>
    </w:p>
    <w:p w14:paraId="481D9FB1" w14:textId="6B443AD7" w:rsidR="00A55D2B" w:rsidRPr="00B10772"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3" w:name="_Toc87545539"/>
      <w:bookmarkStart w:id="24" w:name="_Toc466371865"/>
      <w:bookmarkStart w:id="25" w:name="_Toc466377653"/>
      <w:bookmarkEnd w:id="17"/>
      <w:bookmarkEnd w:id="18"/>
      <w:bookmarkEnd w:id="19"/>
      <w:bookmarkEnd w:id="20"/>
      <w:bookmarkEnd w:id="21"/>
      <w:r w:rsidRPr="00B10772">
        <w:rPr>
          <w:rFonts w:ascii="Palatino Linotype" w:hAnsi="Palatino Linotype"/>
          <w:b/>
          <w:bCs/>
          <w:color w:val="000000" w:themeColor="text1"/>
        </w:rPr>
        <w:t xml:space="preserve">I. Del deber de las autoridades de promover, respetar, proteger y garantizar el derecho de acceso </w:t>
      </w:r>
      <w:r w:rsidR="00DA2D95" w:rsidRPr="00B10772">
        <w:rPr>
          <w:rFonts w:ascii="Palatino Linotype" w:hAnsi="Palatino Linotype"/>
          <w:b/>
          <w:bCs/>
          <w:color w:val="000000" w:themeColor="text1"/>
        </w:rPr>
        <w:t>a la información pública.</w:t>
      </w:r>
      <w:bookmarkEnd w:id="23"/>
    </w:p>
    <w:p w14:paraId="6E5EF818" w14:textId="77777777" w:rsidR="00A55D2B" w:rsidRPr="00B1077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D3EE781" w14:textId="4F0C0E05" w:rsidR="005937BC" w:rsidRPr="00B10772"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Es </w:t>
      </w:r>
      <w:r w:rsidR="0055159A" w:rsidRPr="00B10772">
        <w:rPr>
          <w:rFonts w:ascii="Palatino Linotype" w:hAnsi="Palatino Linotype"/>
          <w:color w:val="000000" w:themeColor="text1"/>
        </w:rPr>
        <w:t>menester precisar</w:t>
      </w:r>
      <w:r w:rsidRPr="00B10772">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w:t>
      </w:r>
      <w:r w:rsidR="009F29FB" w:rsidRPr="00B10772">
        <w:rPr>
          <w:rFonts w:ascii="Palatino Linotype" w:hAnsi="Palatino Linotype"/>
          <w:bCs/>
          <w:color w:val="000000" w:themeColor="text1"/>
        </w:rPr>
        <w:t xml:space="preserve">Sexto </w:t>
      </w:r>
      <w:r w:rsidRPr="00B10772">
        <w:rPr>
          <w:rFonts w:ascii="Palatino Linotype" w:hAnsi="Palatino Linotype"/>
          <w:bCs/>
          <w:color w:val="000000" w:themeColor="text1"/>
        </w:rPr>
        <w:t xml:space="preserve">de la Constitución Política de los Estados Unidos Mexicanos y en el artículo quinto de la Particular del Estado de México, por lo que al respecto el </w:t>
      </w:r>
      <w:r w:rsidRPr="00B10772">
        <w:rPr>
          <w:rFonts w:ascii="Palatino Linotype" w:hAnsi="Palatino Linotype"/>
          <w:b/>
          <w:bCs/>
          <w:color w:val="000000" w:themeColor="text1"/>
        </w:rPr>
        <w:t>SUJETO OBLIGADO</w:t>
      </w:r>
      <w:r w:rsidRPr="00B10772">
        <w:rPr>
          <w:rFonts w:ascii="Palatino Linotype" w:hAnsi="Palatino Linotype"/>
          <w:bCs/>
          <w:color w:val="000000" w:themeColor="text1"/>
        </w:rPr>
        <w:t xml:space="preserve"> debe ser cuidadoso del debido cumplimiento de las obligaciones con</w:t>
      </w:r>
      <w:r w:rsidR="00C928FD" w:rsidRPr="00B10772">
        <w:rPr>
          <w:rFonts w:ascii="Palatino Linotype" w:hAnsi="Palatino Linotype"/>
          <w:bCs/>
          <w:color w:val="000000" w:themeColor="text1"/>
        </w:rPr>
        <w:t>stitucionales que se le imponen;</w:t>
      </w:r>
      <w:r w:rsidRPr="00B10772">
        <w:rPr>
          <w:rFonts w:ascii="Palatino Linotype" w:hAnsi="Palatino Linotype"/>
          <w:bCs/>
          <w:color w:val="000000" w:themeColor="text1"/>
        </w:rPr>
        <w:t xml:space="preserve"> en consecuencia, a todas las autoridades, en el ámbito de su competencia, según lo dispone el tercer párrafo del artículo primero de la </w:t>
      </w:r>
      <w:r w:rsidRPr="00B10772">
        <w:rPr>
          <w:rFonts w:ascii="Palatino Linotype" w:hAnsi="Palatino Linotype"/>
          <w:b/>
          <w:bCs/>
          <w:color w:val="000000" w:themeColor="text1"/>
        </w:rPr>
        <w:t>Constitución Política de los Estados Unidos Mexicanos</w:t>
      </w:r>
      <w:r w:rsidR="00C928FD" w:rsidRPr="00B10772">
        <w:rPr>
          <w:rFonts w:ascii="Palatino Linotype" w:hAnsi="Palatino Linotype"/>
          <w:bCs/>
          <w:color w:val="000000" w:themeColor="text1"/>
        </w:rPr>
        <w:t>, tienen</w:t>
      </w:r>
      <w:r w:rsidRPr="00B10772">
        <w:rPr>
          <w:rFonts w:ascii="Palatino Linotype" w:hAnsi="Palatino Linotype"/>
          <w:b/>
          <w:bCs/>
          <w:color w:val="000000" w:themeColor="text1"/>
        </w:rPr>
        <w:t xml:space="preserve"> </w:t>
      </w:r>
      <w:r w:rsidRPr="00B10772">
        <w:rPr>
          <w:rFonts w:ascii="Palatino Linotype" w:hAnsi="Palatino Linotype"/>
          <w:bCs/>
          <w:color w:val="000000" w:themeColor="text1"/>
        </w:rPr>
        <w:t xml:space="preserve">la obligación de “promover, </w:t>
      </w:r>
      <w:r w:rsidRPr="00B10772">
        <w:rPr>
          <w:rFonts w:ascii="Palatino Linotype" w:hAnsi="Palatino Linotype"/>
          <w:b/>
          <w:bCs/>
          <w:color w:val="000000" w:themeColor="text1"/>
        </w:rPr>
        <w:t>respetar</w:t>
      </w:r>
      <w:r w:rsidRPr="00B10772">
        <w:rPr>
          <w:rFonts w:ascii="Palatino Linotype" w:hAnsi="Palatino Linotype"/>
          <w:bCs/>
          <w:color w:val="000000" w:themeColor="text1"/>
        </w:rPr>
        <w:t xml:space="preserve">, proteger y </w:t>
      </w:r>
      <w:r w:rsidRPr="00B10772">
        <w:rPr>
          <w:rFonts w:ascii="Palatino Linotype" w:hAnsi="Palatino Linotype"/>
          <w:b/>
          <w:bCs/>
          <w:color w:val="000000" w:themeColor="text1"/>
        </w:rPr>
        <w:t>garantizar</w:t>
      </w:r>
      <w:r w:rsidRPr="00B10772">
        <w:rPr>
          <w:rFonts w:ascii="Palatino Linotype" w:hAnsi="Palatino Linotype"/>
          <w:bCs/>
          <w:color w:val="000000" w:themeColor="text1"/>
        </w:rPr>
        <w:t xml:space="preserve"> los derechos humanos”, entre los cuales se encuentra dicho derecho.</w:t>
      </w:r>
    </w:p>
    <w:p w14:paraId="30DF4DA3" w14:textId="77777777" w:rsidR="0055159A" w:rsidRPr="00B10772" w:rsidRDefault="0055159A" w:rsidP="0055159A">
      <w:pPr>
        <w:pStyle w:val="Prrafodelista"/>
        <w:tabs>
          <w:tab w:val="left" w:pos="426"/>
        </w:tabs>
        <w:spacing w:before="240" w:after="240" w:line="360" w:lineRule="auto"/>
        <w:ind w:left="0" w:right="51"/>
        <w:jc w:val="both"/>
        <w:rPr>
          <w:rFonts w:ascii="Palatino Linotype" w:hAnsi="Palatino Linotype"/>
          <w:color w:val="000000" w:themeColor="text1"/>
        </w:rPr>
      </w:pPr>
    </w:p>
    <w:p w14:paraId="4827C937" w14:textId="30BDB510" w:rsidR="00A55D2B" w:rsidRPr="00B10772" w:rsidRDefault="00DA2D9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lastRenderedPageBreak/>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ABCDF96" w14:textId="77777777" w:rsidR="00A55D2B" w:rsidRPr="00B1077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A4CB91B" w14:textId="05CBC681" w:rsidR="00A55D2B" w:rsidRPr="00B10772"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Así las cosas</w:t>
      </w:r>
      <w:r w:rsidR="00DA2D95" w:rsidRPr="00B10772">
        <w:rPr>
          <w:rFonts w:ascii="Palatino Linotype" w:hAnsi="Palatino Linotype"/>
          <w:color w:val="000000" w:themeColor="text1"/>
        </w:rPr>
        <w:t xml:space="preserve">, podemos definir el Derecho de Acceso a la Información Pública como: </w:t>
      </w:r>
      <w:r w:rsidR="00DA2D95" w:rsidRPr="00B10772">
        <w:rPr>
          <w:rFonts w:ascii="Palatino Linotype" w:hAnsi="Palatino Linotype"/>
          <w:i/>
          <w:color w:val="000000" w:themeColor="text1"/>
        </w:rPr>
        <w:t>La igualdad de oportunidades para recibir, buscar e impartir información</w:t>
      </w:r>
      <w:r w:rsidR="00DA2D95" w:rsidRPr="00B10772">
        <w:rPr>
          <w:rFonts w:ascii="Palatino Linotype" w:hAnsi="Palatino Linotype"/>
          <w:i/>
          <w:color w:val="000000" w:themeColor="text1"/>
          <w:vertAlign w:val="superscript"/>
        </w:rPr>
        <w:footnoteReference w:id="2"/>
      </w:r>
      <w:r w:rsidR="00DA2D95" w:rsidRPr="00B10772">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DA2D95" w:rsidRPr="00B10772">
        <w:rPr>
          <w:rFonts w:ascii="Palatino Linotype" w:hAnsi="Palatino Linotype"/>
          <w:i/>
          <w:color w:val="000000" w:themeColor="text1"/>
          <w:vertAlign w:val="superscript"/>
        </w:rPr>
        <w:footnoteReference w:id="3"/>
      </w:r>
      <w:r w:rsidR="00DA2D95" w:rsidRPr="00B10772">
        <w:rPr>
          <w:rFonts w:ascii="Palatino Linotype" w:hAnsi="Palatino Linotype"/>
          <w:color w:val="000000" w:themeColor="text1"/>
        </w:rPr>
        <w:t>que se constituye como una herramienta fundamental para ejercer</w:t>
      </w:r>
      <w:r w:rsidR="00DA2D95" w:rsidRPr="00B10772">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00DA2D95" w:rsidRPr="00B10772">
        <w:rPr>
          <w:rFonts w:ascii="Palatino Linotype" w:hAnsi="Palatino Linotype"/>
          <w:i/>
          <w:color w:val="000000" w:themeColor="text1"/>
          <w:vertAlign w:val="superscript"/>
        </w:rPr>
        <w:footnoteReference w:id="4"/>
      </w:r>
      <w:r w:rsidR="00DA2D95" w:rsidRPr="00B10772">
        <w:rPr>
          <w:rFonts w:ascii="Palatino Linotype" w:hAnsi="Palatino Linotype"/>
          <w:i/>
          <w:color w:val="000000" w:themeColor="text1"/>
        </w:rPr>
        <w:t xml:space="preserve"> </w:t>
      </w:r>
      <w:r w:rsidR="00DA2D95" w:rsidRPr="00B10772">
        <w:rPr>
          <w:rFonts w:ascii="Palatino Linotype" w:hAnsi="Palatino Linotype"/>
          <w:color w:val="000000" w:themeColor="text1"/>
        </w:rPr>
        <w:t>fomentando</w:t>
      </w:r>
      <w:r w:rsidR="00DA2D95" w:rsidRPr="00B10772">
        <w:rPr>
          <w:rFonts w:ascii="Palatino Linotype" w:hAnsi="Palatino Linotype"/>
          <w:i/>
          <w:color w:val="000000" w:themeColor="text1"/>
        </w:rPr>
        <w:t xml:space="preserve"> la transparencia de las actividades estatales y </w:t>
      </w:r>
      <w:r w:rsidR="00DA2D95" w:rsidRPr="00B10772">
        <w:rPr>
          <w:rFonts w:ascii="Palatino Linotype" w:hAnsi="Palatino Linotype"/>
          <w:color w:val="000000" w:themeColor="text1"/>
        </w:rPr>
        <w:t>promoviendo</w:t>
      </w:r>
      <w:r w:rsidR="00DA2D95" w:rsidRPr="00B10772">
        <w:rPr>
          <w:rFonts w:ascii="Palatino Linotype" w:hAnsi="Palatino Linotype"/>
          <w:i/>
          <w:color w:val="000000" w:themeColor="text1"/>
        </w:rPr>
        <w:t xml:space="preserve"> la responsabilidad de los funcionarios sobre su gestión pública,</w:t>
      </w:r>
      <w:r w:rsidR="00DA2D95" w:rsidRPr="00B10772">
        <w:rPr>
          <w:rFonts w:ascii="Palatino Linotype" w:hAnsi="Palatino Linotype"/>
          <w:i/>
          <w:color w:val="000000" w:themeColor="text1"/>
          <w:vertAlign w:val="superscript"/>
        </w:rPr>
        <w:footnoteReference w:id="5"/>
      </w:r>
      <w:r w:rsidR="00DA2D95" w:rsidRPr="00B10772">
        <w:rPr>
          <w:rFonts w:ascii="Palatino Linotype" w:hAnsi="Palatino Linotype"/>
          <w:color w:val="000000" w:themeColor="text1"/>
        </w:rPr>
        <w:t>que permite</w:t>
      </w:r>
      <w:r w:rsidR="00DA2D95" w:rsidRPr="00B10772">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9547B95" w14:textId="77777777" w:rsidR="00A55D2B" w:rsidRPr="00B1077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8471CFD" w14:textId="612A17CB" w:rsidR="00A55D2B" w:rsidRPr="00B10772" w:rsidRDefault="0075106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Por otro lado</w:t>
      </w:r>
      <w:r w:rsidR="0055159A" w:rsidRPr="00B10772">
        <w:rPr>
          <w:rFonts w:ascii="Palatino Linotype" w:hAnsi="Palatino Linotype"/>
          <w:color w:val="000000" w:themeColor="text1"/>
        </w:rPr>
        <w:t xml:space="preserve">, la Ley de Transparencia y Acceso a la Información Pública del Estado de México y Municipios, cuyo objeto es establecer principios, bases generales y procedimientos para tutelar y garantizar la transparencia y el derecho humano de </w:t>
      </w:r>
      <w:r w:rsidR="0055159A" w:rsidRPr="00B10772">
        <w:rPr>
          <w:rFonts w:ascii="Palatino Linotype" w:hAnsi="Palatino Linotype"/>
          <w:color w:val="000000" w:themeColor="text1"/>
        </w:rPr>
        <w:lastRenderedPageBreak/>
        <w:t>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C204A57" w14:textId="2E13BFC4" w:rsidR="00A55D2B" w:rsidRPr="00B10772"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56D80818" w:rsidR="00DA2D95" w:rsidRPr="00B10772"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7545540"/>
      <w:r w:rsidRPr="00B10772">
        <w:rPr>
          <w:rFonts w:ascii="Palatino Linotype" w:hAnsi="Palatino Linotype"/>
          <w:b/>
          <w:bCs/>
          <w:color w:val="000000" w:themeColor="text1"/>
        </w:rPr>
        <w:t xml:space="preserve">II. </w:t>
      </w:r>
      <w:r w:rsidR="005E2F3E" w:rsidRPr="00B10772">
        <w:rPr>
          <w:rFonts w:ascii="Palatino Linotype" w:hAnsi="Palatino Linotype"/>
          <w:b/>
          <w:bCs/>
          <w:color w:val="000000" w:themeColor="text1"/>
        </w:rPr>
        <w:t xml:space="preserve">De la </w:t>
      </w:r>
      <w:r w:rsidR="004D7D46" w:rsidRPr="00B10772">
        <w:rPr>
          <w:rFonts w:ascii="Palatino Linotype" w:hAnsi="Palatino Linotype"/>
          <w:b/>
          <w:bCs/>
          <w:color w:val="000000" w:themeColor="text1"/>
        </w:rPr>
        <w:t>atención a la solicitud de información</w:t>
      </w:r>
      <w:r w:rsidR="00DA2D95" w:rsidRPr="00B10772">
        <w:rPr>
          <w:rFonts w:ascii="Palatino Linotype" w:hAnsi="Palatino Linotype"/>
          <w:b/>
          <w:bCs/>
          <w:color w:val="000000" w:themeColor="text1"/>
        </w:rPr>
        <w:t>.</w:t>
      </w:r>
      <w:bookmarkEnd w:id="26"/>
    </w:p>
    <w:p w14:paraId="47DD46B3" w14:textId="77777777" w:rsidR="00DA2D95" w:rsidRPr="00B10772"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6DF7B456" w14:textId="353F86A1" w:rsidR="004D7D4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15A7A0F"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E42590F" w14:textId="6F984493" w:rsidR="004D7D4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Para atender las solicitudes de información, los Sujetos Obligados contarán con un área denominada </w:t>
      </w:r>
      <w:r w:rsidRPr="00B10772">
        <w:rPr>
          <w:rFonts w:ascii="Palatino Linotype" w:hAnsi="Palatino Linotype"/>
          <w:b/>
          <w:bCs/>
          <w:color w:val="000000" w:themeColor="text1"/>
        </w:rPr>
        <w:t>Unidad de Transparencia</w:t>
      </w:r>
      <w:r w:rsidRPr="00B10772">
        <w:rPr>
          <w:rFonts w:ascii="Palatino Linotype" w:hAnsi="Palatino Linotype"/>
          <w:color w:val="000000" w:themeColor="text1"/>
          <w:vertAlign w:val="superscript"/>
        </w:rPr>
        <w:footnoteReference w:id="6"/>
      </w:r>
      <w:r w:rsidRPr="00B10772">
        <w:rPr>
          <w:rFonts w:ascii="Palatino Linotype" w:hAnsi="Palatino Linotype"/>
          <w:color w:val="000000" w:themeColor="text1"/>
        </w:rPr>
        <w:t xml:space="preserve">, la cual será presidida por un Titular, quien fungirá como enlace entre éstos y los solicitantes. Dicha Unidad </w:t>
      </w:r>
      <w:r w:rsidRPr="00B10772">
        <w:rPr>
          <w:rFonts w:ascii="Palatino Linotype" w:hAnsi="Palatino Linotype"/>
          <w:b/>
          <w:bCs/>
          <w:color w:val="000000" w:themeColor="text1"/>
        </w:rPr>
        <w:t>será la encargada de tramitar internamente la solicitud de información</w:t>
      </w:r>
      <w:r w:rsidRPr="00B10772">
        <w:rPr>
          <w:rFonts w:ascii="Palatino Linotype" w:hAnsi="Palatino Linotype"/>
          <w:color w:val="000000" w:themeColor="text1"/>
        </w:rPr>
        <w:t xml:space="preserve"> y tendrá la responsabilidad de verificar en cada caso que la misma no sea confidencial o </w:t>
      </w:r>
      <w:r w:rsidRPr="00B10772">
        <w:rPr>
          <w:rFonts w:ascii="Palatino Linotype" w:hAnsi="Palatino Linotype"/>
          <w:color w:val="000000" w:themeColor="text1"/>
        </w:rPr>
        <w:lastRenderedPageBreak/>
        <w:t xml:space="preserve">reservada. Asimismo, contará con las facultades internas necesarias para </w:t>
      </w:r>
      <w:r w:rsidRPr="00B10772">
        <w:rPr>
          <w:rFonts w:ascii="Palatino Linotype" w:hAnsi="Palatino Linotype"/>
          <w:b/>
          <w:bCs/>
          <w:color w:val="000000" w:themeColor="text1"/>
        </w:rPr>
        <w:t xml:space="preserve">gestionar la atención a las solicitudes de información </w:t>
      </w:r>
      <w:r w:rsidRPr="00B10772">
        <w:rPr>
          <w:rFonts w:ascii="Palatino Linotype" w:hAnsi="Palatino Linotype"/>
          <w:color w:val="000000" w:themeColor="text1"/>
        </w:rPr>
        <w:t>en los términos de la Ley General y la Ley de Transparencia y Acceso a la Información Pública del Estado de México y Municipios</w:t>
      </w:r>
      <w:r w:rsidRPr="00B10772">
        <w:rPr>
          <w:rFonts w:ascii="Palatino Linotype" w:hAnsi="Palatino Linotype"/>
          <w:color w:val="000000" w:themeColor="text1"/>
          <w:vertAlign w:val="superscript"/>
        </w:rPr>
        <w:footnoteReference w:id="7"/>
      </w:r>
      <w:r w:rsidRPr="00B10772">
        <w:rPr>
          <w:rFonts w:ascii="Palatino Linotype" w:hAnsi="Palatino Linotype"/>
          <w:color w:val="000000" w:themeColor="text1"/>
        </w:rPr>
        <w:t>.</w:t>
      </w:r>
    </w:p>
    <w:p w14:paraId="0353DA5F"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24A94B48" w14:textId="13F5C3CD" w:rsidR="004D7D4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De </w:t>
      </w:r>
      <w:r w:rsidRPr="00B10772">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34A238C0" w14:textId="77777777" w:rsidR="004D7D46" w:rsidRPr="00B10772" w:rsidRDefault="004D7D46" w:rsidP="004D7D46">
      <w:pPr>
        <w:pStyle w:val="Prrafodelista"/>
        <w:numPr>
          <w:ilvl w:val="1"/>
          <w:numId w:val="19"/>
        </w:numPr>
        <w:tabs>
          <w:tab w:val="left" w:pos="426"/>
        </w:tabs>
        <w:spacing w:before="240" w:after="240" w:line="360" w:lineRule="auto"/>
        <w:ind w:left="1134" w:right="51"/>
        <w:jc w:val="both"/>
        <w:rPr>
          <w:rFonts w:ascii="Palatino Linotype" w:hAnsi="Palatino Linotype" w:cs="Arial"/>
          <w:color w:val="000000" w:themeColor="text1"/>
        </w:rPr>
      </w:pPr>
      <w:r w:rsidRPr="00B10772">
        <w:rPr>
          <w:rFonts w:ascii="Palatino Linotype" w:hAnsi="Palatino Linotype" w:cs="Arial"/>
          <w:color w:val="000000" w:themeColor="text1"/>
        </w:rPr>
        <w:t>Recibir, tramitar y dar respuesta a las solicitudes de acceso a la información;</w:t>
      </w:r>
    </w:p>
    <w:p w14:paraId="4E67E0CF" w14:textId="77777777" w:rsidR="004D7D46" w:rsidRPr="00B10772" w:rsidRDefault="004D7D46" w:rsidP="004D7D46">
      <w:pPr>
        <w:pStyle w:val="Prrafodelista"/>
        <w:numPr>
          <w:ilvl w:val="1"/>
          <w:numId w:val="19"/>
        </w:numPr>
        <w:tabs>
          <w:tab w:val="left" w:pos="426"/>
        </w:tabs>
        <w:spacing w:before="240" w:after="240" w:line="360" w:lineRule="auto"/>
        <w:ind w:left="1134" w:right="51"/>
        <w:jc w:val="both"/>
        <w:rPr>
          <w:rFonts w:ascii="Palatino Linotype" w:hAnsi="Palatino Linotype" w:cs="Arial"/>
          <w:color w:val="000000" w:themeColor="text1"/>
        </w:rPr>
      </w:pPr>
      <w:r w:rsidRPr="00B10772">
        <w:rPr>
          <w:rFonts w:ascii="Palatino Linotype" w:hAnsi="Palatino Linotype" w:cs="Arial"/>
          <w:color w:val="000000" w:themeColor="text1"/>
        </w:rPr>
        <w:t xml:space="preserve">Realizar, con efectividad, los trámites internos necesarios para la atención de las solicitudes de acceso a la información; </w:t>
      </w:r>
    </w:p>
    <w:p w14:paraId="022854D9" w14:textId="77777777" w:rsidR="004D7D46" w:rsidRPr="00B10772" w:rsidRDefault="004D7D46" w:rsidP="004D7D46">
      <w:pPr>
        <w:pStyle w:val="Prrafodelista"/>
        <w:numPr>
          <w:ilvl w:val="1"/>
          <w:numId w:val="19"/>
        </w:numPr>
        <w:tabs>
          <w:tab w:val="left" w:pos="426"/>
        </w:tabs>
        <w:spacing w:before="240" w:after="240" w:line="360" w:lineRule="auto"/>
        <w:ind w:left="1134" w:right="51"/>
        <w:jc w:val="both"/>
        <w:rPr>
          <w:rFonts w:ascii="Palatino Linotype" w:hAnsi="Palatino Linotype" w:cs="Arial"/>
          <w:color w:val="000000" w:themeColor="text1"/>
        </w:rPr>
      </w:pPr>
      <w:r w:rsidRPr="00B10772">
        <w:rPr>
          <w:rFonts w:ascii="Palatino Linotype" w:hAnsi="Palatino Linotype" w:cs="Arial"/>
          <w:color w:val="000000" w:themeColor="text1"/>
        </w:rPr>
        <w:t xml:space="preserve">Entregar, en su caso, a los particulares la información solicitada; y </w:t>
      </w:r>
    </w:p>
    <w:p w14:paraId="56654E09" w14:textId="604BAEAB" w:rsidR="004D7D46" w:rsidRPr="00B10772" w:rsidRDefault="004D7D46" w:rsidP="004D7D46">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s="Arial"/>
          <w:color w:val="000000" w:themeColor="text1"/>
        </w:rPr>
        <w:t>Hacer del conocimiento de la instancia competente la probable responsabilidad por el incumplimiento de las obligaciones previstas en la Ley de la materia.</w:t>
      </w:r>
    </w:p>
    <w:p w14:paraId="1BC834E9"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70DD7ED" w14:textId="192B9CB7" w:rsidR="004D7D4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Otros </w:t>
      </w:r>
      <w:r w:rsidRPr="00B10772">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B10772">
        <w:rPr>
          <w:rStyle w:val="Refdenotaalpie"/>
          <w:rFonts w:ascii="Palatino Linotype" w:hAnsi="Palatino Linotype" w:cs="Arial"/>
          <w:color w:val="000000" w:themeColor="text1"/>
        </w:rPr>
        <w:footnoteReference w:id="8"/>
      </w:r>
      <w:r w:rsidRPr="00B10772">
        <w:rPr>
          <w:rFonts w:ascii="Palatino Linotype" w:hAnsi="Palatino Linotype" w:cs="Arial"/>
          <w:color w:val="000000" w:themeColor="text1"/>
        </w:rPr>
        <w:t xml:space="preserve"> y tendrán, entre sus atribuciones, las siguientes</w:t>
      </w:r>
      <w:r w:rsidRPr="00B10772">
        <w:rPr>
          <w:rStyle w:val="Refdenotaalpie"/>
          <w:rFonts w:ascii="Palatino Linotype" w:hAnsi="Palatino Linotype" w:cs="Arial"/>
          <w:color w:val="000000" w:themeColor="text1"/>
        </w:rPr>
        <w:footnoteReference w:id="9"/>
      </w:r>
      <w:r w:rsidRPr="00B10772">
        <w:rPr>
          <w:rFonts w:ascii="Palatino Linotype" w:hAnsi="Palatino Linotype" w:cs="Arial"/>
          <w:color w:val="000000" w:themeColor="text1"/>
        </w:rPr>
        <w:t>:</w:t>
      </w:r>
    </w:p>
    <w:p w14:paraId="50803646" w14:textId="77777777" w:rsidR="004D7D46" w:rsidRPr="00B10772" w:rsidRDefault="004D7D46" w:rsidP="004D7D46">
      <w:pPr>
        <w:pStyle w:val="Prrafodelista"/>
        <w:numPr>
          <w:ilvl w:val="1"/>
          <w:numId w:val="20"/>
        </w:numPr>
        <w:tabs>
          <w:tab w:val="left" w:pos="426"/>
        </w:tabs>
        <w:spacing w:before="240" w:after="240" w:line="360" w:lineRule="auto"/>
        <w:ind w:left="1134" w:right="51"/>
        <w:jc w:val="both"/>
        <w:rPr>
          <w:rFonts w:ascii="Palatino Linotype" w:hAnsi="Palatino Linotype" w:cs="Arial"/>
          <w:color w:val="000000" w:themeColor="text1"/>
        </w:rPr>
      </w:pPr>
      <w:r w:rsidRPr="00B10772">
        <w:rPr>
          <w:rFonts w:ascii="Palatino Linotype" w:hAnsi="Palatino Linotype" w:cs="Arial"/>
          <w:color w:val="000000" w:themeColor="text1"/>
        </w:rPr>
        <w:t>Localizar la información que le solicite la Unidad de Transparencia; y</w:t>
      </w:r>
    </w:p>
    <w:p w14:paraId="3927E6DB" w14:textId="61AEEAB4" w:rsidR="004D7D46" w:rsidRPr="00B10772" w:rsidRDefault="004D7D46" w:rsidP="004D7D46">
      <w:pPr>
        <w:pStyle w:val="Prrafodelista"/>
        <w:numPr>
          <w:ilvl w:val="1"/>
          <w:numId w:val="20"/>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s="Arial"/>
          <w:color w:val="000000" w:themeColor="text1"/>
        </w:rPr>
        <w:lastRenderedPageBreak/>
        <w:t>Proporcionar la información que obre en sus archivos y que le sea solicitada por la Unidad de Transparencia.</w:t>
      </w:r>
    </w:p>
    <w:p w14:paraId="780D696E"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7B90EA6A" w14:textId="59350B9B" w:rsidR="004D7D4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De </w:t>
      </w:r>
      <w:r w:rsidRPr="00B10772">
        <w:rPr>
          <w:rFonts w:ascii="Palatino Linotype" w:hAnsi="Palatino Linotype" w:cs="Arial"/>
          <w:color w:val="000000" w:themeColor="text1"/>
        </w:rPr>
        <w:t xml:space="preserve">tal manera que cada una de las áreas administrativas del </w:t>
      </w:r>
      <w:r w:rsidRPr="00B10772">
        <w:rPr>
          <w:rFonts w:ascii="Palatino Linotype" w:hAnsi="Palatino Linotype" w:cs="Arial"/>
          <w:b/>
          <w:bCs/>
          <w:color w:val="000000" w:themeColor="text1"/>
        </w:rPr>
        <w:t>SUJETO OBLIGADO</w:t>
      </w:r>
      <w:r w:rsidRPr="00B10772">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E819351"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F8F7B4B" w14:textId="2A6CBC19" w:rsidR="00910076" w:rsidRPr="00B10772" w:rsidRDefault="004D7D4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U</w:t>
      </w:r>
      <w:r w:rsidR="00910076" w:rsidRPr="00B10772">
        <w:rPr>
          <w:rFonts w:ascii="Palatino Linotype" w:hAnsi="Palatino Linotype"/>
          <w:color w:val="000000" w:themeColor="text1"/>
        </w:rPr>
        <w:t xml:space="preserve">na </w:t>
      </w:r>
      <w:r w:rsidR="00910076" w:rsidRPr="00B10772">
        <w:rPr>
          <w:rFonts w:ascii="Palatino Linotype" w:hAnsi="Palatino Linotype"/>
        </w:rPr>
        <w:t xml:space="preserve">vez expuesto lo anterior, </w:t>
      </w:r>
      <w:r w:rsidRPr="00B10772">
        <w:rPr>
          <w:rFonts w:ascii="Palatino Linotype" w:hAnsi="Palatino Linotype"/>
        </w:rPr>
        <w:t xml:space="preserve">de la lectura a la solicitud de información </w:t>
      </w:r>
      <w:r w:rsidRPr="00B10772">
        <w:rPr>
          <w:rFonts w:ascii="Palatino Linotype" w:hAnsi="Palatino Linotype"/>
          <w:b/>
          <w:bCs/>
        </w:rPr>
        <w:t>00005/DONAGUER/IP/2022</w:t>
      </w:r>
      <w:r w:rsidRPr="00B10772">
        <w:rPr>
          <w:rFonts w:ascii="Palatino Linotype" w:hAnsi="Palatino Linotype"/>
        </w:rPr>
        <w:t xml:space="preserve">, y como fuera señalado en el </w:t>
      </w:r>
      <w:r w:rsidRPr="00B10772">
        <w:rPr>
          <w:rFonts w:ascii="Palatino Linotype" w:hAnsi="Palatino Linotype"/>
          <w:i/>
          <w:iCs/>
        </w:rPr>
        <w:t>Planteamiento de la Litis</w:t>
      </w:r>
      <w:r w:rsidRPr="00B10772">
        <w:rPr>
          <w:rFonts w:ascii="Palatino Linotype" w:hAnsi="Palatino Linotype"/>
        </w:rPr>
        <w:t xml:space="preserve"> de esta resolución, se advierte que el particular requirió al </w:t>
      </w:r>
      <w:r w:rsidR="00705973" w:rsidRPr="00B10772">
        <w:rPr>
          <w:rFonts w:ascii="Palatino Linotype" w:hAnsi="Palatino Linotype"/>
        </w:rPr>
        <w:t>Ayuntamiento de Donato Guerra</w:t>
      </w:r>
      <w:r w:rsidRPr="00B10772">
        <w:rPr>
          <w:rFonts w:ascii="Palatino Linotype" w:hAnsi="Palatino Linotype"/>
        </w:rPr>
        <w:t xml:space="preserve"> </w:t>
      </w:r>
      <w:r w:rsidRPr="00B10772">
        <w:rPr>
          <w:rFonts w:ascii="Palatino Linotype" w:hAnsi="Palatino Linotype" w:cs="Arial"/>
          <w:color w:val="000000" w:themeColor="text1"/>
        </w:rPr>
        <w:t>la siguiente información:</w:t>
      </w:r>
    </w:p>
    <w:p w14:paraId="507BBFD1" w14:textId="3642DEF7" w:rsidR="005A28A3" w:rsidRPr="00B10772" w:rsidRDefault="00FA341F" w:rsidP="00342BBE">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s="Arial"/>
          <w:color w:val="000000" w:themeColor="text1"/>
        </w:rPr>
        <w:t>Gastos generados con motivo de la pandemia por COVID-19, de manera desglosada</w:t>
      </w:r>
      <w:r w:rsidR="00342BBE" w:rsidRPr="00B10772">
        <w:rPr>
          <w:rFonts w:ascii="Palatino Linotype" w:hAnsi="Palatino Linotype" w:cs="Arial"/>
          <w:color w:val="000000" w:themeColor="text1"/>
        </w:rPr>
        <w:t>.</w:t>
      </w:r>
    </w:p>
    <w:p w14:paraId="643701AE" w14:textId="77777777" w:rsidR="00342BBE" w:rsidRPr="00B10772" w:rsidRDefault="00342BBE" w:rsidP="00342BBE">
      <w:pPr>
        <w:pStyle w:val="Prrafodelista"/>
        <w:tabs>
          <w:tab w:val="left" w:pos="426"/>
        </w:tabs>
        <w:spacing w:before="240" w:after="240" w:line="360" w:lineRule="auto"/>
        <w:ind w:left="0" w:right="51"/>
        <w:jc w:val="both"/>
        <w:rPr>
          <w:rFonts w:ascii="Palatino Linotype" w:hAnsi="Palatino Linotype"/>
          <w:color w:val="000000" w:themeColor="text1"/>
        </w:rPr>
      </w:pPr>
    </w:p>
    <w:p w14:paraId="3BB1BFEE" w14:textId="0A41D725" w:rsidR="00705973" w:rsidRPr="00B10772" w:rsidRDefault="007059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Una vez recibida la solicitud de información, y de las constancias que obran en el expediente digital del SAIMEX, se aprecia que el Titular de la Unidad de Transparencia del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turnó la solicitud de información al Servidor Público Habilitado </w:t>
      </w:r>
      <w:r w:rsidRPr="00B10772">
        <w:rPr>
          <w:rFonts w:ascii="Palatino Linotype" w:hAnsi="Palatino Linotype"/>
          <w:i/>
          <w:iCs/>
          <w:color w:val="000000" w:themeColor="text1"/>
        </w:rPr>
        <w:t>Lic. Gilberto Genero García</w:t>
      </w:r>
      <w:r w:rsidRPr="00B10772">
        <w:rPr>
          <w:rFonts w:ascii="Palatino Linotype" w:hAnsi="Palatino Linotype"/>
          <w:color w:val="000000" w:themeColor="text1"/>
        </w:rPr>
        <w:t>, quien de acuerdo con lo publicado en el Directorio de los Servidores Públicos</w:t>
      </w:r>
      <w:r w:rsidRPr="00B10772">
        <w:rPr>
          <w:rStyle w:val="Refdenotaalpie"/>
          <w:rFonts w:ascii="Palatino Linotype" w:hAnsi="Palatino Linotype"/>
          <w:color w:val="000000" w:themeColor="text1"/>
        </w:rPr>
        <w:footnoteReference w:id="10"/>
      </w:r>
      <w:r w:rsidRPr="00B10772">
        <w:rPr>
          <w:rFonts w:ascii="Palatino Linotype" w:hAnsi="Palatino Linotype"/>
          <w:color w:val="000000" w:themeColor="text1"/>
        </w:rPr>
        <w:t xml:space="preserve"> del Ayuntamiento de Donato Guerra, se advierte que ostenta el cargo de </w:t>
      </w:r>
      <w:r w:rsidRPr="00B10772">
        <w:rPr>
          <w:rFonts w:ascii="Palatino Linotype" w:hAnsi="Palatino Linotype"/>
          <w:b/>
          <w:bCs/>
          <w:color w:val="000000" w:themeColor="text1"/>
        </w:rPr>
        <w:t>Tesorero Municipal</w:t>
      </w:r>
      <w:r w:rsidRPr="00B10772">
        <w:rPr>
          <w:rFonts w:ascii="Palatino Linotype" w:hAnsi="Palatino Linotype"/>
          <w:color w:val="000000" w:themeColor="text1"/>
        </w:rPr>
        <w:t xml:space="preserve">. Se adjunta la captura de imagen del apartado de </w:t>
      </w:r>
      <w:r w:rsidRPr="00B10772">
        <w:rPr>
          <w:rFonts w:ascii="Palatino Linotype" w:hAnsi="Palatino Linotype"/>
          <w:i/>
          <w:iCs/>
          <w:color w:val="000000" w:themeColor="text1"/>
        </w:rPr>
        <w:t>Requerimientos</w:t>
      </w:r>
      <w:r w:rsidRPr="00B10772">
        <w:rPr>
          <w:rFonts w:ascii="Palatino Linotype" w:hAnsi="Palatino Linotype"/>
          <w:color w:val="000000" w:themeColor="text1"/>
        </w:rPr>
        <w:t xml:space="preserve"> del SAIMEX como mera referencia:</w:t>
      </w:r>
    </w:p>
    <w:p w14:paraId="64986EAE" w14:textId="1AE76F33" w:rsidR="00705973" w:rsidRPr="00B10772" w:rsidRDefault="00705973" w:rsidP="00705973">
      <w:pPr>
        <w:pStyle w:val="Prrafodelista"/>
        <w:tabs>
          <w:tab w:val="left" w:pos="426"/>
        </w:tabs>
        <w:spacing w:before="240" w:after="240" w:line="360" w:lineRule="auto"/>
        <w:ind w:left="0" w:right="51"/>
        <w:jc w:val="both"/>
        <w:rPr>
          <w:rFonts w:ascii="Palatino Linotype" w:hAnsi="Palatino Linotype"/>
          <w:color w:val="000000" w:themeColor="text1"/>
        </w:rPr>
      </w:pPr>
    </w:p>
    <w:p w14:paraId="3BA1B951" w14:textId="6FBD6D9E" w:rsidR="00705973" w:rsidRPr="00B10772" w:rsidRDefault="00705973" w:rsidP="00705973">
      <w:pPr>
        <w:pStyle w:val="Prrafodelista"/>
        <w:tabs>
          <w:tab w:val="left" w:pos="426"/>
        </w:tabs>
        <w:spacing w:before="240" w:after="240" w:line="360" w:lineRule="auto"/>
        <w:ind w:left="0" w:right="51"/>
        <w:jc w:val="center"/>
        <w:rPr>
          <w:rFonts w:ascii="Palatino Linotype" w:hAnsi="Palatino Linotype"/>
          <w:color w:val="000000" w:themeColor="text1"/>
        </w:rPr>
      </w:pPr>
      <w:r w:rsidRPr="00B10772">
        <w:object w:dxaOrig="16500" w:dyaOrig="1605" w14:anchorId="40E99C4D">
          <v:shape id="_x0000_i1026" type="#_x0000_t75" style="width:378.8pt;height:36.5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4988784" r:id="rId11"/>
        </w:object>
      </w:r>
    </w:p>
    <w:p w14:paraId="644B8EC6" w14:textId="77777777" w:rsidR="00705973" w:rsidRPr="00B10772" w:rsidRDefault="00705973" w:rsidP="00705973">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3EE09D8F" w:rsidR="00910076" w:rsidRPr="00B10772" w:rsidRDefault="00705973"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Posteriormente, en vía de</w:t>
      </w:r>
      <w:r w:rsidR="00794C2B" w:rsidRPr="00B10772">
        <w:rPr>
          <w:rFonts w:ascii="Palatino Linotype" w:hAnsi="Palatino Linotype"/>
          <w:color w:val="000000" w:themeColor="text1"/>
        </w:rPr>
        <w:t xml:space="preserve"> respuesta a la solicitud de información, </w:t>
      </w:r>
      <w:r w:rsidR="0063654A" w:rsidRPr="00B10772">
        <w:rPr>
          <w:rFonts w:ascii="Palatino Linotype" w:hAnsi="Palatino Linotype"/>
          <w:color w:val="000000" w:themeColor="text1"/>
        </w:rPr>
        <w:t xml:space="preserve">el </w:t>
      </w:r>
      <w:r w:rsidR="0063654A" w:rsidRPr="00B10772">
        <w:rPr>
          <w:rFonts w:ascii="Palatino Linotype" w:hAnsi="Palatino Linotype"/>
          <w:b/>
          <w:bCs/>
          <w:color w:val="000000" w:themeColor="text1"/>
        </w:rPr>
        <w:t>SUJETO OBLIGADO</w:t>
      </w:r>
      <w:r w:rsidR="00FA341F" w:rsidRPr="00B10772">
        <w:rPr>
          <w:rFonts w:ascii="Palatino Linotype" w:hAnsi="Palatino Linotype"/>
          <w:color w:val="000000" w:themeColor="text1"/>
        </w:rPr>
        <w:t xml:space="preserve"> informó, a través del acuse digital de respuesta, lo siguiente</w:t>
      </w:r>
      <w:r w:rsidR="00794C2B" w:rsidRPr="00B10772">
        <w:rPr>
          <w:rFonts w:ascii="Palatino Linotype" w:hAnsi="Palatino Linotype"/>
          <w:color w:val="000000" w:themeColor="text1"/>
        </w:rPr>
        <w:t>:</w:t>
      </w:r>
    </w:p>
    <w:p w14:paraId="33E348B9" w14:textId="4CED5DC8" w:rsidR="00910076" w:rsidRPr="00B10772"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49339294" w14:textId="26C4E939" w:rsidR="00FA341F" w:rsidRPr="00B10772" w:rsidRDefault="00FC7499" w:rsidP="00FA341F">
      <w:pPr>
        <w:pStyle w:val="Prrafodelista"/>
        <w:tabs>
          <w:tab w:val="left" w:pos="426"/>
        </w:tabs>
        <w:spacing w:before="240" w:line="360" w:lineRule="auto"/>
        <w:ind w:left="0" w:right="51"/>
        <w:jc w:val="center"/>
        <w:rPr>
          <w:rFonts w:ascii="Palatino Linotype" w:hAnsi="Palatino Linotype"/>
          <w:color w:val="000000" w:themeColor="text1"/>
        </w:rPr>
      </w:pPr>
      <w:r w:rsidRPr="00B10772">
        <w:object w:dxaOrig="11880" w:dyaOrig="7830" w14:anchorId="52F7FC3F">
          <v:shape id="_x0000_i1027" type="#_x0000_t75" style="width:382.55pt;height:252.5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4988785" r:id="rId13"/>
        </w:object>
      </w:r>
    </w:p>
    <w:p w14:paraId="60E091FB" w14:textId="77777777" w:rsidR="00AE087F" w:rsidRPr="00B10772" w:rsidRDefault="00AE087F" w:rsidP="00833417">
      <w:pPr>
        <w:pStyle w:val="Prrafodelista"/>
        <w:tabs>
          <w:tab w:val="left" w:pos="426"/>
        </w:tabs>
        <w:spacing w:before="240" w:after="240" w:line="360" w:lineRule="auto"/>
        <w:ind w:left="0" w:right="51"/>
        <w:jc w:val="both"/>
        <w:rPr>
          <w:rFonts w:ascii="Palatino Linotype" w:hAnsi="Palatino Linotype"/>
          <w:color w:val="000000" w:themeColor="text1"/>
        </w:rPr>
      </w:pPr>
    </w:p>
    <w:p w14:paraId="0EC42521" w14:textId="4D626FCE" w:rsidR="00910076" w:rsidRPr="00B10772"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consecuencia, toda vez que el </w:t>
      </w:r>
      <w:r w:rsidRPr="00B10772">
        <w:rPr>
          <w:rFonts w:ascii="Palatino Linotype" w:hAnsi="Palatino Linotype"/>
          <w:b/>
          <w:color w:val="000000" w:themeColor="text1"/>
        </w:rPr>
        <w:t>SUJETO OBLIGADO</w:t>
      </w:r>
      <w:r w:rsidRPr="00B10772">
        <w:rPr>
          <w:rFonts w:ascii="Palatino Linotype" w:hAnsi="Palatino Linotype"/>
          <w:color w:val="000000" w:themeColor="text1"/>
        </w:rPr>
        <w:t xml:space="preserve"> se pronunció respecto de la información solicitada, resultaría conveniente obviar el análisis de competencia del </w:t>
      </w:r>
      <w:r w:rsidR="00DD6949" w:rsidRPr="00B10772">
        <w:rPr>
          <w:rFonts w:ascii="Palatino Linotype" w:hAnsi="Palatino Linotype"/>
          <w:bCs/>
          <w:color w:val="000000" w:themeColor="text1"/>
        </w:rPr>
        <w:t>Ayuntamiento de Donato Guerra</w:t>
      </w:r>
      <w:r w:rsidRPr="00B10772">
        <w:rPr>
          <w:rFonts w:ascii="Palatino Linotype" w:hAnsi="Palatino Linotype"/>
          <w:color w:val="000000" w:themeColor="text1"/>
        </w:rPr>
        <w:t xml:space="preserve"> para generar, administrar o poseer la misma, dado que éste asumió la </w:t>
      </w:r>
      <w:r w:rsidR="00A07176" w:rsidRPr="00B10772">
        <w:rPr>
          <w:rFonts w:ascii="Palatino Linotype" w:hAnsi="Palatino Linotype"/>
          <w:color w:val="000000" w:themeColor="text1"/>
        </w:rPr>
        <w:t>misma</w:t>
      </w:r>
      <w:r w:rsidRPr="00B10772">
        <w:rPr>
          <w:rFonts w:ascii="Palatino Linotype" w:hAnsi="Palatino Linotype"/>
          <w:color w:val="000000" w:themeColor="text1"/>
        </w:rPr>
        <w:t xml:space="preserve"> mediante su respuesta a la solicitud de información.</w:t>
      </w:r>
    </w:p>
    <w:p w14:paraId="4DB5C33A" w14:textId="77777777" w:rsidR="00910076" w:rsidRPr="00B10772" w:rsidRDefault="00910076"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3870F93F" w14:textId="463EAB66" w:rsidR="00910076" w:rsidRPr="00B10772" w:rsidRDefault="00794C2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lastRenderedPageBreak/>
        <w:t xml:space="preserve">Lo anterior encuentra lógica toda vez que el estudio de la naturaleza jurídica de la información pública solicitada tiene por objeto determinar si ésta la genera, posee o administra el </w:t>
      </w:r>
      <w:r w:rsidRPr="00B10772">
        <w:rPr>
          <w:rFonts w:ascii="Palatino Linotype" w:hAnsi="Palatino Linotype"/>
          <w:b/>
          <w:color w:val="000000" w:themeColor="text1"/>
        </w:rPr>
        <w:t>SUJETO OBLIGADO</w:t>
      </w:r>
      <w:r w:rsidRPr="00B10772">
        <w:rPr>
          <w:rFonts w:ascii="Palatino Linotype" w:hAnsi="Palatino Linotype"/>
          <w:color w:val="000000" w:themeColor="text1"/>
        </w:rPr>
        <w:t xml:space="preserve">; empero, en aquellos casos en que éste la asume, implica </w:t>
      </w:r>
      <w:r w:rsidRPr="00B10772">
        <w:rPr>
          <w:rFonts w:ascii="Palatino Linotype" w:hAnsi="Palatino Linotype"/>
          <w:i/>
          <w:color w:val="000000" w:themeColor="text1"/>
        </w:rPr>
        <w:t>de facto</w:t>
      </w:r>
      <w:r w:rsidRPr="00B10772">
        <w:rPr>
          <w:rFonts w:ascii="Palatino Linotype" w:hAnsi="Palatino Linotype"/>
          <w:color w:val="000000" w:themeColor="text1"/>
        </w:rPr>
        <w:t xml:space="preserve"> que la genera, posee o administra. Por consiguiente, a nada práctico nos conduciría su estudio, ya que, se insiste, la información pública solicitada, </w:t>
      </w:r>
      <w:r w:rsidR="00716EC8" w:rsidRPr="00B10772">
        <w:rPr>
          <w:rFonts w:ascii="Palatino Linotype" w:hAnsi="Palatino Linotype"/>
          <w:color w:val="000000" w:themeColor="text1"/>
        </w:rPr>
        <w:t xml:space="preserve">relacionada </w:t>
      </w:r>
      <w:r w:rsidR="00EC5E28" w:rsidRPr="00B10772">
        <w:rPr>
          <w:rFonts w:ascii="Palatino Linotype" w:hAnsi="Palatino Linotype"/>
          <w:color w:val="000000" w:themeColor="text1"/>
        </w:rPr>
        <w:t xml:space="preserve">con el detalle de las solicitudes información concluidas, presentadas vía SAIMEX </w:t>
      </w:r>
      <w:r w:rsidR="009012F8" w:rsidRPr="00B10772">
        <w:rPr>
          <w:rFonts w:ascii="Palatino Linotype" w:hAnsi="Palatino Linotype"/>
          <w:color w:val="000000" w:themeColor="text1"/>
        </w:rPr>
        <w:t>,</w:t>
      </w:r>
      <w:r w:rsidR="00F36760" w:rsidRPr="00B10772">
        <w:rPr>
          <w:rFonts w:ascii="Palatino Linotype" w:hAnsi="Palatino Linotype"/>
          <w:b/>
          <w:color w:val="000000" w:themeColor="text1"/>
        </w:rPr>
        <w:t xml:space="preserve"> </w:t>
      </w:r>
      <w:r w:rsidRPr="00B10772">
        <w:rPr>
          <w:rFonts w:ascii="Palatino Linotype" w:hAnsi="Palatino Linotype"/>
          <w:color w:val="000000" w:themeColor="text1"/>
        </w:rPr>
        <w:t xml:space="preserve">ha sido asumida por el </w:t>
      </w:r>
      <w:r w:rsidRPr="00B10772">
        <w:rPr>
          <w:rFonts w:ascii="Palatino Linotype" w:hAnsi="Palatino Linotype"/>
          <w:b/>
          <w:color w:val="000000" w:themeColor="text1"/>
        </w:rPr>
        <w:t>SUJETO OBLIGADO</w:t>
      </w:r>
      <w:r w:rsidRPr="00B10772">
        <w:rPr>
          <w:rFonts w:ascii="Palatino Linotype" w:hAnsi="Palatino Linotype"/>
          <w:color w:val="000000" w:themeColor="text1"/>
        </w:rPr>
        <w:t>.</w:t>
      </w:r>
    </w:p>
    <w:p w14:paraId="6D423C46" w14:textId="77777777" w:rsidR="00A07176" w:rsidRPr="00B10772" w:rsidRDefault="00A07176" w:rsidP="00A07176">
      <w:pPr>
        <w:pStyle w:val="Prrafodelista"/>
        <w:tabs>
          <w:tab w:val="left" w:pos="426"/>
        </w:tabs>
        <w:spacing w:before="240" w:after="240" w:line="360" w:lineRule="auto"/>
        <w:ind w:left="0" w:right="51"/>
        <w:jc w:val="both"/>
        <w:rPr>
          <w:rFonts w:ascii="Palatino Linotype" w:hAnsi="Palatino Linotype"/>
          <w:color w:val="000000" w:themeColor="text1"/>
        </w:rPr>
      </w:pPr>
    </w:p>
    <w:p w14:paraId="4610ECFB" w14:textId="6C1F9F10" w:rsidR="00A07176" w:rsidRPr="00B10772" w:rsidRDefault="00A07176"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Por su parte, el particular impugnó la respuesta mediante el recurso de revisión indicado al rubro, donde señaló por agravios, lo siguiente:</w:t>
      </w:r>
    </w:p>
    <w:p w14:paraId="142613BD" w14:textId="43D51214" w:rsidR="00A07176" w:rsidRPr="00B10772" w:rsidRDefault="00A07176" w:rsidP="00A07176">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 xml:space="preserve">Que 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le negó la entrega de la información; y</w:t>
      </w:r>
    </w:p>
    <w:p w14:paraId="60235025" w14:textId="179510AC" w:rsidR="00A07176" w:rsidRPr="00B10772" w:rsidRDefault="00A07176" w:rsidP="00A07176">
      <w:pPr>
        <w:pStyle w:val="Prrafodelista"/>
        <w:numPr>
          <w:ilvl w:val="1"/>
          <w:numId w:val="18"/>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 xml:space="preserve">Que 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cambió la modalidad de entrega de la información señalada en la solicitud primigenia.</w:t>
      </w:r>
    </w:p>
    <w:p w14:paraId="552944F4" w14:textId="77777777" w:rsidR="00910076" w:rsidRPr="00B10772" w:rsidRDefault="00910076"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7748141F" w14:textId="1BC3A4B1" w:rsidR="00FD7A80" w:rsidRPr="00B10772" w:rsidRDefault="00A07176" w:rsidP="00CD15C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Derivado de lo anterior</w:t>
      </w:r>
      <w:r w:rsidR="00EC5E28" w:rsidRPr="00B10772">
        <w:rPr>
          <w:rFonts w:ascii="Palatino Linotype" w:hAnsi="Palatino Linotype"/>
          <w:color w:val="000000" w:themeColor="text1"/>
        </w:rPr>
        <w:t xml:space="preserve">, </w:t>
      </w:r>
      <w:r w:rsidRPr="00B10772">
        <w:rPr>
          <w:rFonts w:ascii="Palatino Linotype" w:hAnsi="Palatino Linotype"/>
          <w:color w:val="000000" w:themeColor="text1"/>
        </w:rPr>
        <w:t>se procede</w:t>
      </w:r>
      <w:r w:rsidR="00FD7A80" w:rsidRPr="00B10772">
        <w:rPr>
          <w:rFonts w:ascii="Palatino Linotype" w:hAnsi="Palatino Linotype"/>
          <w:color w:val="000000" w:themeColor="text1"/>
        </w:rPr>
        <w:t xml:space="preserve"> a analizar</w:t>
      </w:r>
      <w:r w:rsidR="00EC5E28" w:rsidRPr="00B10772">
        <w:rPr>
          <w:rFonts w:ascii="Palatino Linotype" w:hAnsi="Palatino Linotype"/>
          <w:color w:val="000000" w:themeColor="text1"/>
        </w:rPr>
        <w:t xml:space="preserve"> el marco legal que rodea la naturaleza de lo solicitado, así como</w:t>
      </w:r>
      <w:r w:rsidR="00FD7A80" w:rsidRPr="00B10772">
        <w:rPr>
          <w:rFonts w:ascii="Palatino Linotype" w:hAnsi="Palatino Linotype"/>
          <w:color w:val="000000" w:themeColor="text1"/>
        </w:rPr>
        <w:t xml:space="preserve"> </w:t>
      </w:r>
      <w:r w:rsidR="001F38CD" w:rsidRPr="00B10772">
        <w:rPr>
          <w:rFonts w:ascii="Palatino Linotype" w:hAnsi="Palatino Linotype"/>
          <w:color w:val="000000" w:themeColor="text1"/>
        </w:rPr>
        <w:t xml:space="preserve">la legalidad de la respuesta del </w:t>
      </w:r>
      <w:r w:rsidR="001F38CD" w:rsidRPr="00B10772">
        <w:rPr>
          <w:rFonts w:ascii="Palatino Linotype" w:hAnsi="Palatino Linotype"/>
          <w:b/>
          <w:bCs/>
          <w:color w:val="000000" w:themeColor="text1"/>
        </w:rPr>
        <w:t>SUJETO OBLIGADO</w:t>
      </w:r>
      <w:r w:rsidR="001F38CD" w:rsidRPr="00B10772">
        <w:rPr>
          <w:rFonts w:ascii="Palatino Linotype" w:hAnsi="Palatino Linotype"/>
          <w:color w:val="000000" w:themeColor="text1"/>
        </w:rPr>
        <w:t xml:space="preserve"> en lo que </w:t>
      </w:r>
      <w:r w:rsidR="00EC5E28" w:rsidRPr="00B10772">
        <w:rPr>
          <w:rFonts w:ascii="Palatino Linotype" w:hAnsi="Palatino Linotype"/>
          <w:color w:val="000000" w:themeColor="text1"/>
        </w:rPr>
        <w:t>se refiere al cambio de modalidad de la entrega de lo solicitado</w:t>
      </w:r>
      <w:r w:rsidR="001F38CD" w:rsidRPr="00B10772">
        <w:rPr>
          <w:rFonts w:ascii="Palatino Linotype" w:hAnsi="Palatino Linotype"/>
          <w:color w:val="000000" w:themeColor="text1"/>
        </w:rPr>
        <w:t>.</w:t>
      </w:r>
    </w:p>
    <w:p w14:paraId="7CF79180" w14:textId="69B63B80" w:rsidR="009012F8" w:rsidRPr="00B10772" w:rsidRDefault="009012F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2D57D344" w14:textId="37BE7840" w:rsidR="00FB02A8" w:rsidRPr="00B10772" w:rsidRDefault="00627200" w:rsidP="00FB02A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0772">
        <w:rPr>
          <w:rFonts w:ascii="Palatino Linotype" w:hAnsi="Palatino Linotype"/>
          <w:b/>
          <w:bCs/>
          <w:color w:val="000000" w:themeColor="text1"/>
        </w:rPr>
        <w:t>III</w:t>
      </w:r>
      <w:r w:rsidR="00FB02A8" w:rsidRPr="00B10772">
        <w:rPr>
          <w:rFonts w:ascii="Palatino Linotype" w:hAnsi="Palatino Linotype"/>
          <w:b/>
          <w:bCs/>
          <w:color w:val="000000" w:themeColor="text1"/>
        </w:rPr>
        <w:t>. De</w:t>
      </w:r>
      <w:r w:rsidR="00EC5E28" w:rsidRPr="00B10772">
        <w:rPr>
          <w:rFonts w:ascii="Palatino Linotype" w:hAnsi="Palatino Linotype"/>
          <w:b/>
          <w:bCs/>
          <w:color w:val="000000" w:themeColor="text1"/>
        </w:rPr>
        <w:t xml:space="preserve">l </w:t>
      </w:r>
      <w:r w:rsidR="00A9117C" w:rsidRPr="00B10772">
        <w:rPr>
          <w:rFonts w:ascii="Palatino Linotype" w:hAnsi="Palatino Linotype"/>
          <w:b/>
          <w:bCs/>
          <w:color w:val="000000" w:themeColor="text1"/>
        </w:rPr>
        <w:t>derecho de acceso a la información</w:t>
      </w:r>
      <w:r w:rsidR="00FB02A8" w:rsidRPr="00B10772">
        <w:rPr>
          <w:rFonts w:ascii="Palatino Linotype" w:hAnsi="Palatino Linotype"/>
          <w:b/>
          <w:bCs/>
          <w:color w:val="000000" w:themeColor="text1"/>
        </w:rPr>
        <w:t>.</w:t>
      </w:r>
    </w:p>
    <w:p w14:paraId="40D3AE43" w14:textId="77777777" w:rsidR="00FB02A8" w:rsidRPr="00B10772" w:rsidRDefault="00FB02A8" w:rsidP="009012F8">
      <w:pPr>
        <w:pStyle w:val="Prrafodelista"/>
        <w:tabs>
          <w:tab w:val="left" w:pos="426"/>
        </w:tabs>
        <w:spacing w:before="240" w:after="240" w:line="360" w:lineRule="auto"/>
        <w:ind w:left="0" w:right="51"/>
        <w:jc w:val="both"/>
        <w:rPr>
          <w:rFonts w:ascii="Palatino Linotype" w:hAnsi="Palatino Linotype"/>
          <w:color w:val="000000" w:themeColor="text1"/>
        </w:rPr>
      </w:pPr>
    </w:p>
    <w:p w14:paraId="59532746" w14:textId="3F36B257" w:rsidR="00F36760" w:rsidRPr="00B10772" w:rsidRDefault="0025760F"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Previo a </w:t>
      </w:r>
      <w:r w:rsidRPr="00B10772">
        <w:rPr>
          <w:rFonts w:ascii="Palatino Linotype" w:eastAsia="Cambria" w:hAnsi="Palatino Linotype" w:cs="Arial"/>
        </w:rPr>
        <w:t xml:space="preserve">iniciar el análisis de legalidad de la respuesta del </w:t>
      </w:r>
      <w:r w:rsidRPr="00B10772">
        <w:rPr>
          <w:rFonts w:ascii="Palatino Linotype" w:eastAsia="Cambria" w:hAnsi="Palatino Linotype" w:cs="Arial"/>
          <w:b/>
        </w:rPr>
        <w:t>SUJETO OBLIGADO</w:t>
      </w:r>
      <w:r w:rsidRPr="00B10772">
        <w:rPr>
          <w:rFonts w:ascii="Palatino Linotype" w:eastAsia="Cambria" w:hAnsi="Palatino Linotype" w:cs="Arial"/>
        </w:rPr>
        <w:t xml:space="preserve"> para atender la solicitud </w:t>
      </w:r>
      <w:r w:rsidR="00A07176" w:rsidRPr="00B10772">
        <w:rPr>
          <w:rFonts w:ascii="Palatino Linotype" w:eastAsia="Cambria" w:hAnsi="Palatino Linotype" w:cs="Arial"/>
          <w:b/>
        </w:rPr>
        <w:t>00005</w:t>
      </w:r>
      <w:r w:rsidRPr="00B10772">
        <w:rPr>
          <w:rFonts w:ascii="Palatino Linotype" w:eastAsia="Cambria" w:hAnsi="Palatino Linotype" w:cs="Arial"/>
          <w:b/>
        </w:rPr>
        <w:t>/</w:t>
      </w:r>
      <w:r w:rsidR="00A07176" w:rsidRPr="00B10772">
        <w:rPr>
          <w:rFonts w:ascii="Palatino Linotype" w:eastAsia="Cambria" w:hAnsi="Palatino Linotype" w:cs="Arial"/>
          <w:b/>
        </w:rPr>
        <w:t>DONAGUER</w:t>
      </w:r>
      <w:r w:rsidRPr="00B10772">
        <w:rPr>
          <w:rFonts w:ascii="Palatino Linotype" w:eastAsia="Cambria" w:hAnsi="Palatino Linotype" w:cs="Arial"/>
          <w:b/>
        </w:rPr>
        <w:t>/IP/</w:t>
      </w:r>
      <w:r w:rsidR="00A07176" w:rsidRPr="00B10772">
        <w:rPr>
          <w:rFonts w:ascii="Palatino Linotype" w:eastAsia="Cambria" w:hAnsi="Palatino Linotype" w:cs="Arial"/>
          <w:b/>
        </w:rPr>
        <w:t>2022</w:t>
      </w:r>
      <w:r w:rsidRPr="00B10772">
        <w:rPr>
          <w:rFonts w:ascii="Palatino Linotype" w:eastAsia="Cambria" w:hAnsi="Palatino Linotype" w:cs="Arial"/>
        </w:rPr>
        <w:t xml:space="preserve">, y así determinar si se colmó o no el derecho de acceso a la información ejercido por </w:t>
      </w:r>
      <w:r w:rsidR="00A07176" w:rsidRPr="00B10772">
        <w:rPr>
          <w:rFonts w:ascii="Palatino Linotype" w:eastAsia="Cambria" w:hAnsi="Palatino Linotype" w:cs="Arial"/>
        </w:rPr>
        <w:t>el</w:t>
      </w:r>
      <w:r w:rsidRPr="00B10772">
        <w:rPr>
          <w:rFonts w:ascii="Palatino Linotype" w:eastAsia="Cambria" w:hAnsi="Palatino Linotype" w:cs="Arial"/>
        </w:rPr>
        <w:t xml:space="preserve"> hoy </w:t>
      </w:r>
      <w:r w:rsidRPr="00B10772">
        <w:rPr>
          <w:rFonts w:ascii="Palatino Linotype" w:eastAsia="Cambria" w:hAnsi="Palatino Linotype" w:cs="Arial"/>
          <w:b/>
        </w:rPr>
        <w:t>RECURRENTE</w:t>
      </w:r>
      <w:r w:rsidRPr="00B10772">
        <w:rPr>
          <w:rFonts w:ascii="Palatino Linotype" w:eastAsia="Cambria" w:hAnsi="Palatino Linotype" w:cs="Arial"/>
        </w:rPr>
        <w:t xml:space="preserve">, se considera importante citar el Criterio de Interpretación en </w:t>
      </w:r>
      <w:r w:rsidRPr="00B10772">
        <w:rPr>
          <w:rFonts w:ascii="Palatino Linotype" w:eastAsia="Cambria" w:hAnsi="Palatino Linotype" w:cs="Arial"/>
        </w:rPr>
        <w:lastRenderedPageBreak/>
        <w:t>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72D0C77A" w14:textId="7EEC0EFF" w:rsidR="0025760F" w:rsidRPr="00B10772"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6963773E" w14:textId="77777777" w:rsidR="0025760F" w:rsidRPr="00B10772" w:rsidRDefault="0025760F" w:rsidP="0025760F">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B1077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E281AE" w14:textId="77777777" w:rsidR="0025760F" w:rsidRPr="00B10772" w:rsidRDefault="0025760F" w:rsidP="0025760F">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795C93A" w14:textId="77777777" w:rsidR="0025760F" w:rsidRPr="00B10772" w:rsidRDefault="0025760F" w:rsidP="0025760F">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85587D2" w14:textId="77777777" w:rsidR="0025760F" w:rsidRPr="00B10772" w:rsidRDefault="0025760F" w:rsidP="0025760F">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54483D48" w14:textId="77777777" w:rsidR="0025760F" w:rsidRPr="00B10772" w:rsidRDefault="0025760F" w:rsidP="0025760F">
      <w:pPr>
        <w:spacing w:line="276" w:lineRule="auto"/>
        <w:ind w:left="567" w:right="567"/>
        <w:jc w:val="both"/>
        <w:rPr>
          <w:rFonts w:ascii="Palatino Linotype" w:eastAsia="Palatino Linotype" w:hAnsi="Palatino Linotype" w:cs="Palatino Linotype"/>
        </w:rPr>
      </w:pPr>
      <w:r w:rsidRPr="00B10772">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7E0A21D3"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64966C2C" w14:textId="2A48B00F"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El </w:t>
      </w:r>
      <w:r w:rsidRPr="00B10772">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B10772">
        <w:rPr>
          <w:rFonts w:ascii="Palatino Linotype" w:eastAsia="Palatino Linotype" w:hAnsi="Palatino Linotype" w:cs="Palatino Linotype"/>
          <w:color w:val="000000"/>
          <w:vertAlign w:val="superscript"/>
        </w:rPr>
        <w:footnoteReference w:id="11"/>
      </w:r>
      <w:r w:rsidRPr="00B10772">
        <w:rPr>
          <w:rFonts w:ascii="Palatino Linotype" w:eastAsia="Palatino Linotype" w:hAnsi="Palatino Linotype" w:cs="Palatino Linotype"/>
          <w:color w:val="000000"/>
        </w:rPr>
        <w:t>, para darnos un mejor panorama:</w:t>
      </w:r>
    </w:p>
    <w:p w14:paraId="5845389F" w14:textId="738DB03F" w:rsidR="0025760F" w:rsidRPr="00B10772"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06109682" w14:textId="77777777" w:rsidR="00627200" w:rsidRPr="00B10772" w:rsidRDefault="00627200" w:rsidP="00627200">
      <w:pPr>
        <w:spacing w:line="276" w:lineRule="auto"/>
        <w:ind w:left="567" w:right="567"/>
        <w:jc w:val="both"/>
        <w:rPr>
          <w:rFonts w:ascii="Palatino Linotype" w:eastAsia="Palatino Linotype" w:hAnsi="Palatino Linotype" w:cs="Palatino Linotype"/>
          <w:sz w:val="22"/>
          <w:szCs w:val="22"/>
        </w:rPr>
      </w:pPr>
      <w:r w:rsidRPr="00B10772">
        <w:rPr>
          <w:rFonts w:ascii="Palatino Linotype" w:eastAsia="Palatino Linotype" w:hAnsi="Palatino Linotype" w:cs="Palatino Linotype"/>
          <w:b/>
          <w:i/>
          <w:sz w:val="22"/>
          <w:szCs w:val="22"/>
        </w:rPr>
        <w:lastRenderedPageBreak/>
        <w:t xml:space="preserve">“XI. Documento: </w:t>
      </w:r>
      <w:r w:rsidRPr="00B10772">
        <w:rPr>
          <w:rFonts w:ascii="Palatino Linotype" w:eastAsia="Palatino Linotype" w:hAnsi="Palatino Linotype" w:cs="Palatino Linotype"/>
          <w:b/>
          <w:bCs/>
          <w:i/>
          <w:sz w:val="22"/>
          <w:szCs w:val="22"/>
        </w:rPr>
        <w:t>Los</w:t>
      </w:r>
      <w:r w:rsidRPr="00B10772">
        <w:rPr>
          <w:rFonts w:ascii="Palatino Linotype" w:eastAsia="Palatino Linotype" w:hAnsi="Palatino Linotype" w:cs="Palatino Linotype"/>
          <w:i/>
          <w:sz w:val="22"/>
          <w:szCs w:val="22"/>
        </w:rPr>
        <w:t xml:space="preserve"> expedientes, </w:t>
      </w:r>
      <w:r w:rsidRPr="00B10772">
        <w:rPr>
          <w:rFonts w:ascii="Palatino Linotype" w:eastAsia="Palatino Linotype" w:hAnsi="Palatino Linotype" w:cs="Palatino Linotype"/>
          <w:b/>
          <w:bCs/>
          <w:i/>
          <w:sz w:val="22"/>
          <w:szCs w:val="22"/>
        </w:rPr>
        <w:t>reportes</w:t>
      </w:r>
      <w:r w:rsidRPr="00B10772">
        <w:rPr>
          <w:rFonts w:ascii="Palatino Linotype" w:eastAsia="Palatino Linotype" w:hAnsi="Palatino Linotype" w:cs="Palatino Linotype"/>
          <w:i/>
          <w:sz w:val="22"/>
          <w:szCs w:val="22"/>
        </w:rPr>
        <w:t xml:space="preserve">, estudios, actas, resoluciones, oficios, correspondencia, acuerdos, directivas, directrices, circulares, </w:t>
      </w:r>
      <w:r w:rsidRPr="00B10772">
        <w:rPr>
          <w:rFonts w:ascii="Palatino Linotype" w:eastAsia="Palatino Linotype" w:hAnsi="Palatino Linotype" w:cs="Palatino Linotype"/>
          <w:b/>
          <w:bCs/>
          <w:i/>
          <w:sz w:val="22"/>
          <w:szCs w:val="22"/>
        </w:rPr>
        <w:t>contratos</w:t>
      </w:r>
      <w:r w:rsidRPr="00B10772">
        <w:rPr>
          <w:rFonts w:ascii="Palatino Linotype" w:eastAsia="Palatino Linotype" w:hAnsi="Palatino Linotype" w:cs="Palatino Linotype"/>
          <w:i/>
          <w:sz w:val="22"/>
          <w:szCs w:val="22"/>
        </w:rPr>
        <w:t xml:space="preserve">, </w:t>
      </w:r>
      <w:r w:rsidRPr="00B10772">
        <w:rPr>
          <w:rFonts w:ascii="Palatino Linotype" w:eastAsia="Palatino Linotype" w:hAnsi="Palatino Linotype" w:cs="Palatino Linotype"/>
          <w:b/>
          <w:bCs/>
          <w:i/>
          <w:sz w:val="22"/>
          <w:szCs w:val="22"/>
        </w:rPr>
        <w:t>convenios</w:t>
      </w:r>
      <w:r w:rsidRPr="00B10772">
        <w:rPr>
          <w:rFonts w:ascii="Palatino Linotype" w:eastAsia="Palatino Linotype" w:hAnsi="Palatino Linotype" w:cs="Palatino Linotype"/>
          <w:i/>
          <w:sz w:val="22"/>
          <w:szCs w:val="22"/>
        </w:rPr>
        <w:t xml:space="preserve">, instructivos, notas, memorandos, </w:t>
      </w:r>
      <w:r w:rsidRPr="00B10772">
        <w:rPr>
          <w:rFonts w:ascii="Palatino Linotype" w:eastAsia="Palatino Linotype" w:hAnsi="Palatino Linotype" w:cs="Palatino Linotype"/>
          <w:b/>
          <w:bCs/>
          <w:i/>
          <w:sz w:val="22"/>
          <w:szCs w:val="22"/>
        </w:rPr>
        <w:t>estadísticas</w:t>
      </w:r>
      <w:r w:rsidRPr="00B10772">
        <w:rPr>
          <w:rFonts w:ascii="Palatino Linotype" w:eastAsia="Palatino Linotype" w:hAnsi="Palatino Linotype" w:cs="Palatino Linotype"/>
          <w:i/>
          <w:sz w:val="22"/>
          <w:szCs w:val="22"/>
        </w:rPr>
        <w:t xml:space="preserve"> o bien, </w:t>
      </w:r>
      <w:r w:rsidRPr="00B10772">
        <w:rPr>
          <w:rFonts w:ascii="Palatino Linotype" w:eastAsia="Palatino Linotype" w:hAnsi="Palatino Linotype" w:cs="Palatino Linotype"/>
          <w:b/>
          <w:bCs/>
          <w:i/>
          <w:sz w:val="22"/>
          <w:szCs w:val="22"/>
        </w:rPr>
        <w:t>cualquier otro registro</w:t>
      </w:r>
      <w:r w:rsidRPr="00B10772">
        <w:rPr>
          <w:rFonts w:ascii="Palatino Linotype" w:eastAsia="Palatino Linotype" w:hAnsi="Palatino Linotype" w:cs="Palatino Linotype"/>
          <w:i/>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DECAF3F" w14:textId="77777777" w:rsidR="00627200" w:rsidRPr="00B10772"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51D4DD45" w14:textId="53482587"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Correlativo </w:t>
      </w:r>
      <w:r w:rsidRPr="00B10772">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1A1D9363" w14:textId="11E232AF"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1E208B60" w14:textId="77777777" w:rsidR="00627200" w:rsidRPr="00B10772" w:rsidRDefault="00627200" w:rsidP="00627200">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b/>
          <w:i/>
          <w:sz w:val="22"/>
          <w:szCs w:val="22"/>
        </w:rPr>
        <w:t xml:space="preserve">“Artículo 4. </w:t>
      </w:r>
      <w:r w:rsidRPr="00B10772">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18FB1D2" w14:textId="77777777" w:rsidR="00627200" w:rsidRPr="00B10772" w:rsidRDefault="00627200" w:rsidP="00627200">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1077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A5BE39" w14:textId="77777777" w:rsidR="00627200" w:rsidRPr="00B10772" w:rsidRDefault="00627200" w:rsidP="00627200">
      <w:pPr>
        <w:spacing w:line="276" w:lineRule="auto"/>
        <w:ind w:left="567" w:right="567"/>
        <w:jc w:val="both"/>
        <w:rPr>
          <w:rFonts w:ascii="Palatino Linotype" w:eastAsia="Palatino Linotype" w:hAnsi="Palatino Linotype" w:cs="Palatino Linotype"/>
          <w:b/>
          <w:i/>
          <w:sz w:val="22"/>
          <w:szCs w:val="22"/>
        </w:rPr>
      </w:pPr>
      <w:r w:rsidRPr="00B1077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517F70FD" w14:textId="77777777" w:rsidR="00627200" w:rsidRPr="00B10772" w:rsidRDefault="00627200" w:rsidP="00627200">
      <w:pPr>
        <w:spacing w:line="276" w:lineRule="auto"/>
        <w:ind w:right="567"/>
        <w:jc w:val="both"/>
        <w:rPr>
          <w:rFonts w:ascii="Palatino Linotype" w:eastAsia="Palatino Linotype" w:hAnsi="Palatino Linotype" w:cs="Palatino Linotype"/>
          <w:i/>
          <w:color w:val="000000"/>
          <w:sz w:val="28"/>
          <w:szCs w:val="28"/>
        </w:rPr>
      </w:pPr>
    </w:p>
    <w:p w14:paraId="211E8369" w14:textId="77777777" w:rsidR="00627200" w:rsidRPr="00B10772" w:rsidRDefault="00627200" w:rsidP="00627200">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B10772">
        <w:rPr>
          <w:rFonts w:ascii="Palatino Linotype" w:eastAsia="Palatino Linotype" w:hAnsi="Palatino Linotype" w:cs="Palatino Linotype"/>
          <w:i/>
          <w:sz w:val="22"/>
          <w:szCs w:val="22"/>
        </w:rPr>
        <w:t xml:space="preserve">. </w:t>
      </w:r>
    </w:p>
    <w:p w14:paraId="2AA42365" w14:textId="77777777" w:rsidR="00627200" w:rsidRPr="00B10772" w:rsidRDefault="00627200" w:rsidP="00627200">
      <w:pPr>
        <w:spacing w:line="276" w:lineRule="auto"/>
        <w:ind w:left="567" w:right="567"/>
        <w:jc w:val="both"/>
        <w:rPr>
          <w:rFonts w:ascii="Palatino Linotype" w:eastAsia="Palatino Linotype" w:hAnsi="Palatino Linotype" w:cs="Palatino Linotype"/>
          <w:i/>
          <w:sz w:val="22"/>
          <w:szCs w:val="22"/>
        </w:rPr>
      </w:pPr>
      <w:r w:rsidRPr="00B10772">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w:t>
      </w:r>
      <w:r w:rsidRPr="00B10772">
        <w:rPr>
          <w:rFonts w:ascii="Palatino Linotype" w:eastAsia="Palatino Linotype" w:hAnsi="Palatino Linotype" w:cs="Palatino Linotype"/>
          <w:i/>
          <w:sz w:val="22"/>
          <w:szCs w:val="22"/>
        </w:rPr>
        <w:lastRenderedPageBreak/>
        <w:t>proporcionar información no comprende el procesamiento de la misma, ni el presentarla conforme al interés del solicitante; no estarán obligados a generarla, resumirla, efectuar cálculos o practicar investigaciones.”</w:t>
      </w:r>
    </w:p>
    <w:p w14:paraId="75EEA1C5" w14:textId="77777777" w:rsidR="00627200" w:rsidRPr="00B10772" w:rsidRDefault="00627200" w:rsidP="00627200">
      <w:pPr>
        <w:spacing w:line="276" w:lineRule="auto"/>
        <w:ind w:left="567" w:right="567"/>
        <w:jc w:val="both"/>
        <w:rPr>
          <w:rFonts w:ascii="Palatino Linotype" w:eastAsia="Palatino Linotype" w:hAnsi="Palatino Linotype" w:cs="Palatino Linotype"/>
          <w:sz w:val="22"/>
          <w:szCs w:val="22"/>
        </w:rPr>
      </w:pPr>
      <w:r w:rsidRPr="00B10772">
        <w:rPr>
          <w:rFonts w:ascii="Palatino Linotype" w:eastAsia="Palatino Linotype" w:hAnsi="Palatino Linotype" w:cs="Palatino Linotype"/>
          <w:sz w:val="22"/>
          <w:szCs w:val="22"/>
        </w:rPr>
        <w:t>(Énfasis añadido)</w:t>
      </w:r>
    </w:p>
    <w:p w14:paraId="2A9884D7" w14:textId="77777777" w:rsidR="00627200" w:rsidRPr="00B10772"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6AD6473" w14:textId="04FF16E8"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Es </w:t>
      </w:r>
      <w:r w:rsidRPr="00B10772">
        <w:rPr>
          <w:rFonts w:ascii="Palatino Linotype" w:eastAsia="Palatino Linotype" w:hAnsi="Palatino Linotype" w:cs="Palatino Linotype"/>
          <w:color w:val="000000"/>
        </w:rPr>
        <w:t xml:space="preserve">así </w:t>
      </w:r>
      <w:r w:rsidR="00A07176" w:rsidRPr="00B10772">
        <w:rPr>
          <w:rFonts w:ascii="Palatino Linotype" w:eastAsia="Palatino Linotype" w:hAnsi="Palatino Linotype" w:cs="Palatino Linotype"/>
          <w:color w:val="000000"/>
        </w:rPr>
        <w:t>como</w:t>
      </w:r>
      <w:r w:rsidRPr="00B10772">
        <w:rPr>
          <w:rFonts w:ascii="Palatino Linotype" w:eastAsia="Palatino Linotype" w:hAnsi="Palatino Linotype" w:cs="Palatino Linotype"/>
          <w:color w:val="000000"/>
        </w:rPr>
        <w:t xml:space="preserve">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0FF45C8D"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94C9E52" w14:textId="1CAE2DC1"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Por </w:t>
      </w:r>
      <w:r w:rsidRPr="00B10772">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B10772">
        <w:rPr>
          <w:rFonts w:ascii="Palatino Linotype" w:eastAsia="Palatino Linotype" w:hAnsi="Palatino Linotype" w:cs="Palatino Linotype"/>
          <w:color w:val="000000"/>
          <w:vertAlign w:val="superscript"/>
        </w:rPr>
        <w:footnoteReference w:id="12"/>
      </w:r>
      <w:r w:rsidRPr="00B10772">
        <w:rPr>
          <w:rFonts w:ascii="Palatino Linotype" w:eastAsia="Palatino Linotype" w:hAnsi="Palatino Linotype" w:cs="Palatino Linotype"/>
          <w:color w:val="000000"/>
        </w:rPr>
        <w:t>.</w:t>
      </w:r>
    </w:p>
    <w:p w14:paraId="100AD52F"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40350145" w14:textId="002AD7CA"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w:t>
      </w:r>
      <w:r w:rsidRPr="00B10772">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10772">
        <w:rPr>
          <w:rFonts w:ascii="Palatino Linotype" w:eastAsia="Palatino Linotype" w:hAnsi="Palatino Linotype" w:cs="Palatino Linotype"/>
          <w:color w:val="000000"/>
          <w:vertAlign w:val="superscript"/>
        </w:rPr>
        <w:footnoteReference w:id="13"/>
      </w:r>
      <w:r w:rsidRPr="00B10772">
        <w:rPr>
          <w:rFonts w:ascii="Palatino Linotype" w:eastAsia="Palatino Linotype" w:hAnsi="Palatino Linotype" w:cs="Palatino Linotype"/>
          <w:color w:val="000000"/>
        </w:rPr>
        <w:t xml:space="preserve"> y máxima publicidad; sobre éste último se debe poner mayor </w:t>
      </w:r>
      <w:r w:rsidRPr="00B10772">
        <w:rPr>
          <w:rFonts w:ascii="Palatino Linotype" w:eastAsia="Palatino Linotype" w:hAnsi="Palatino Linotype" w:cs="Palatino Linotype"/>
          <w:color w:val="000000"/>
        </w:rPr>
        <w:lastRenderedPageBreak/>
        <w:t xml:space="preserve">énfasis, puesto que establece que </w:t>
      </w:r>
      <w:r w:rsidRPr="00B10772">
        <w:rPr>
          <w:rFonts w:ascii="Palatino Linotype" w:eastAsia="Palatino Linotype" w:hAnsi="Palatino Linotype" w:cs="Palatino Linotype"/>
          <w:b/>
          <w:color w:val="000000"/>
          <w:u w:val="single"/>
        </w:rPr>
        <w:t>toda la información en posesión de los Sujetos Obligados será</w:t>
      </w:r>
      <w:r w:rsidRPr="00B10772">
        <w:rPr>
          <w:rFonts w:ascii="Palatino Linotype" w:eastAsia="Palatino Linotype" w:hAnsi="Palatino Linotype" w:cs="Palatino Linotype"/>
          <w:color w:val="000000"/>
        </w:rPr>
        <w:t xml:space="preserve"> pública, completa, </w:t>
      </w:r>
      <w:r w:rsidRPr="00B10772">
        <w:rPr>
          <w:rFonts w:ascii="Palatino Linotype" w:eastAsia="Palatino Linotype" w:hAnsi="Palatino Linotype" w:cs="Palatino Linotype"/>
          <w:b/>
          <w:color w:val="000000"/>
          <w:u w:val="single"/>
        </w:rPr>
        <w:t>oportuna</w:t>
      </w:r>
      <w:r w:rsidRPr="00B10772">
        <w:rPr>
          <w:rFonts w:ascii="Palatino Linotype" w:eastAsia="Palatino Linotype" w:hAnsi="Palatino Linotype" w:cs="Palatino Linotype"/>
          <w:color w:val="000000"/>
        </w:rPr>
        <w:t xml:space="preserve"> y </w:t>
      </w:r>
      <w:r w:rsidRPr="00B10772">
        <w:rPr>
          <w:rFonts w:ascii="Palatino Linotype" w:eastAsia="Palatino Linotype" w:hAnsi="Palatino Linotype" w:cs="Palatino Linotype"/>
          <w:b/>
          <w:color w:val="000000"/>
          <w:u w:val="single"/>
        </w:rPr>
        <w:t>accesible</w:t>
      </w:r>
      <w:r w:rsidRPr="00B10772">
        <w:rPr>
          <w:rFonts w:ascii="Palatino Linotype" w:eastAsia="Palatino Linotype" w:hAnsi="Palatino Linotype" w:cs="Palatino Linotype"/>
          <w:color w:val="000000"/>
        </w:rPr>
        <w:t xml:space="preserve">, </w:t>
      </w:r>
      <w:r w:rsidRPr="00B10772">
        <w:rPr>
          <w:rFonts w:ascii="Palatino Linotype" w:eastAsia="Palatino Linotype" w:hAnsi="Palatino Linotype" w:cs="Palatino Linotype"/>
          <w:b/>
          <w:color w:val="000000"/>
        </w:rPr>
        <w:t>lo que permite que la ciudadanía tenga un amplio acceso sobre lo que es el actuar de las autoridades</w:t>
      </w:r>
      <w:r w:rsidRPr="00B10772">
        <w:rPr>
          <w:rFonts w:ascii="Palatino Linotype" w:eastAsia="Palatino Linotype" w:hAnsi="Palatino Linotype" w:cs="Palatino Linotype"/>
          <w:color w:val="000000"/>
        </w:rPr>
        <w:t>.</w:t>
      </w:r>
    </w:p>
    <w:p w14:paraId="62D3EF6D"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397CA01" w14:textId="38BA62C8"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Robustece </w:t>
      </w:r>
      <w:r w:rsidRPr="00B10772">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50FEA30" w14:textId="55E88445" w:rsidR="0025760F" w:rsidRPr="00B10772" w:rsidRDefault="0025760F" w:rsidP="00627200">
      <w:pPr>
        <w:pStyle w:val="Prrafodelista"/>
        <w:tabs>
          <w:tab w:val="left" w:pos="426"/>
        </w:tabs>
        <w:spacing w:before="240" w:line="360" w:lineRule="auto"/>
        <w:ind w:left="0" w:right="51"/>
        <w:jc w:val="both"/>
        <w:rPr>
          <w:rFonts w:ascii="Palatino Linotype" w:hAnsi="Palatino Linotype"/>
          <w:color w:val="000000" w:themeColor="text1"/>
        </w:rPr>
      </w:pPr>
    </w:p>
    <w:p w14:paraId="1A61DB88" w14:textId="77777777" w:rsidR="00627200" w:rsidRPr="00B10772" w:rsidRDefault="00627200" w:rsidP="0062720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B10772">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B10772">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w:t>
      </w:r>
      <w:r w:rsidRPr="00B10772">
        <w:rPr>
          <w:rFonts w:ascii="Palatino Linotype" w:eastAsia="Palatino Linotype" w:hAnsi="Palatino Linotype" w:cs="Palatino Linotype"/>
          <w:i/>
          <w:color w:val="000000"/>
          <w:sz w:val="22"/>
          <w:szCs w:val="22"/>
        </w:rPr>
        <w:lastRenderedPageBreak/>
        <w:t>toda ella es pública y sólo por excepción, en los casos expresamente previstos en la legislación secundaria y justificados bajo determinadas circunstancias, se podrá clasificar como confidencial o reservada, esto es, considerarla con una calidad diversa.”</w:t>
      </w:r>
    </w:p>
    <w:p w14:paraId="5D65596E" w14:textId="77777777" w:rsidR="00627200" w:rsidRPr="00B10772"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FCE9153" w14:textId="0F01FA2B" w:rsidR="0025760F" w:rsidRPr="00B10772" w:rsidRDefault="00627200"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Tal </w:t>
      </w:r>
      <w:r w:rsidRPr="00B10772">
        <w:rPr>
          <w:rFonts w:ascii="Palatino Linotype" w:eastAsia="Palatino Linotype" w:hAnsi="Palatino Linotype" w:cs="Palatino Linotype"/>
          <w:color w:val="000000"/>
        </w:rPr>
        <w:t xml:space="preserve">y como se ha señalado, </w:t>
      </w:r>
      <w:r w:rsidRPr="00B10772">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sidRPr="00B10772">
        <w:rPr>
          <w:rFonts w:ascii="Palatino Linotype" w:eastAsia="Palatino Linotype" w:hAnsi="Palatino Linotype" w:cs="Palatino Linotype"/>
          <w:color w:val="000000"/>
        </w:rPr>
        <w:t xml:space="preserve">, ya sea porque la genera, posee o administra; </w:t>
      </w:r>
      <w:r w:rsidRPr="00B10772">
        <w:rPr>
          <w:rFonts w:ascii="Palatino Linotype" w:eastAsia="Palatino Linotype" w:hAnsi="Palatino Linotype" w:cs="Palatino Linotype"/>
          <w:b/>
          <w:bCs/>
          <w:color w:val="000000"/>
        </w:rPr>
        <w:t>toda vez que</w:t>
      </w:r>
      <w:r w:rsidRPr="00B10772">
        <w:rPr>
          <w:rFonts w:ascii="Palatino Linotype" w:eastAsia="Palatino Linotype" w:hAnsi="Palatino Linotype" w:cs="Palatino Linotype"/>
          <w:color w:val="000000"/>
        </w:rPr>
        <w:t xml:space="preserve">, a través de dicha acción, </w:t>
      </w:r>
      <w:r w:rsidRPr="00B10772">
        <w:rPr>
          <w:rFonts w:ascii="Palatino Linotype" w:eastAsia="Palatino Linotype" w:hAnsi="Palatino Linotype" w:cs="Palatino Linotype"/>
          <w:b/>
          <w:color w:val="000000"/>
        </w:rPr>
        <w:t>permite que las personas ejerzan un medio de control sobre las acciones que se están ejerciendo y evaluar su desempeño</w:t>
      </w:r>
      <w:r w:rsidRPr="00B10772">
        <w:rPr>
          <w:rFonts w:ascii="Palatino Linotype" w:eastAsia="Palatino Linotype" w:hAnsi="Palatino Linotype" w:cs="Palatino Linotype"/>
          <w:color w:val="000000"/>
        </w:rPr>
        <w:t>.</w:t>
      </w:r>
    </w:p>
    <w:p w14:paraId="31D92F55" w14:textId="7674DF40"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CA5A0D1" w14:textId="33613595" w:rsidR="00627200" w:rsidRPr="00B10772" w:rsidRDefault="00627200" w:rsidP="0062720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0772">
        <w:rPr>
          <w:rFonts w:ascii="Palatino Linotype" w:hAnsi="Palatino Linotype"/>
          <w:b/>
          <w:bCs/>
          <w:color w:val="000000" w:themeColor="text1"/>
        </w:rPr>
        <w:t>IV. De la naturaleza de la información solicitada.</w:t>
      </w:r>
    </w:p>
    <w:p w14:paraId="14CF9EBC" w14:textId="77777777" w:rsidR="00627200" w:rsidRPr="00B10772" w:rsidRDefault="00627200"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0A7919D" w14:textId="441BE12F" w:rsidR="0025760F" w:rsidRPr="00B10772" w:rsidRDefault="001409A2"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No es ocioso mencionar que</w:t>
      </w:r>
      <w:r w:rsidRPr="00B10772">
        <w:rPr>
          <w:rFonts w:ascii="Palatino Linotype" w:eastAsia="MS Mincho" w:hAnsi="Palatino Linotype" w:cs="Arial"/>
        </w:rPr>
        <w:t>, de acuerdo con la Organización Mundial de la Salud, “[l]</w:t>
      </w:r>
      <w:r w:rsidRPr="00B10772">
        <w:rPr>
          <w:rFonts w:ascii="Palatino Linotype" w:eastAsia="MS Mincho" w:hAnsi="Palatino Linotype" w:cs="Arial"/>
          <w:i/>
          <w:iCs/>
        </w:rPr>
        <w:t>os coronavirus son una extensa familia de virus que pueden causar enfermedades tanto en animales como en humanos. En los humanos, se sabe que varios coronavirus causan infecciones respiratorias que pueden ir desde el resfriado común hasta enfermedades más graves como el síndrome respiratorio de Oriente Medio (MERS) y el síndrome respiratorio agudo severo (SRAS). El coronavirus que se ha descubierto más recientemente causa la enfermedad por coronavirus COVID-19</w:t>
      </w:r>
      <w:r w:rsidRPr="00B10772">
        <w:rPr>
          <w:rStyle w:val="Refdenotaalpie"/>
          <w:rFonts w:ascii="Palatino Linotype" w:eastAsia="MS Mincho" w:hAnsi="Palatino Linotype" w:cs="Arial"/>
          <w:i/>
          <w:iCs/>
        </w:rPr>
        <w:footnoteReference w:id="14"/>
      </w:r>
      <w:r w:rsidRPr="00B10772">
        <w:rPr>
          <w:rFonts w:ascii="Palatino Linotype" w:eastAsia="MS Mincho" w:hAnsi="Palatino Linotype" w:cs="Arial"/>
          <w:i/>
          <w:iCs/>
        </w:rPr>
        <w:t>.</w:t>
      </w:r>
    </w:p>
    <w:p w14:paraId="5F5CD2F5"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107790BA" w14:textId="44EA34C8" w:rsidR="004D7D46" w:rsidRPr="00B10772" w:rsidRDefault="001409A2"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El </w:t>
      </w:r>
      <w:r w:rsidRPr="00B10772">
        <w:rPr>
          <w:rFonts w:ascii="Palatino Linotype" w:eastAsia="MS Mincho" w:hAnsi="Palatino Linotype" w:cs="Arial"/>
          <w:i/>
          <w:iCs/>
        </w:rPr>
        <w:t xml:space="preserve">“COVID-19 es la enfermedad infecciosa causada por el coronavirus que se ha descubierto más recientemente. Tanto este nuevo virus como la enfermedad que provoca eran </w:t>
      </w:r>
      <w:r w:rsidRPr="00B10772">
        <w:rPr>
          <w:rFonts w:ascii="Palatino Linotype" w:eastAsia="MS Mincho" w:hAnsi="Palatino Linotype" w:cs="Arial"/>
          <w:i/>
          <w:iCs/>
        </w:rPr>
        <w:lastRenderedPageBreak/>
        <w:t xml:space="preserve">desconocidos antes de que estallara el brote en Wuhan (China) en diciembre de 2019. Actualmente </w:t>
      </w:r>
      <w:r w:rsidRPr="00B10772">
        <w:rPr>
          <w:rFonts w:ascii="Palatino Linotype" w:eastAsia="MS Mincho" w:hAnsi="Palatino Linotype" w:cs="Arial"/>
        </w:rPr>
        <w:t>[el]</w:t>
      </w:r>
      <w:r w:rsidRPr="00B10772">
        <w:rPr>
          <w:rFonts w:ascii="Palatino Linotype" w:eastAsia="MS Mincho" w:hAnsi="Palatino Linotype" w:cs="Arial"/>
          <w:i/>
          <w:iCs/>
        </w:rPr>
        <w:t xml:space="preserve"> COVID</w:t>
      </w:r>
      <w:r w:rsidRPr="00B10772">
        <w:rPr>
          <w:rFonts w:ascii="Palatino Linotype" w:eastAsia="MS Mincho" w:hAnsi="Palatino Linotype" w:cs="Arial"/>
          <w:i/>
          <w:iCs/>
        </w:rPr>
        <w:noBreakHyphen/>
        <w:t>19 es una pandemia que afecta a muchos países de todo el mundo.</w:t>
      </w:r>
      <w:r w:rsidRPr="00B10772">
        <w:rPr>
          <w:rFonts w:ascii="Palatino Linotype" w:eastAsia="MS Mincho" w:hAnsi="Palatino Linotype" w:cs="Arial"/>
        </w:rPr>
        <w:t>”</w:t>
      </w:r>
      <w:r w:rsidRPr="00B10772">
        <w:rPr>
          <w:rStyle w:val="Refdenotaalpie"/>
          <w:rFonts w:ascii="Palatino Linotype" w:eastAsia="MS Mincho" w:hAnsi="Palatino Linotype" w:cs="Arial"/>
        </w:rPr>
        <w:footnoteReference w:id="15"/>
      </w:r>
    </w:p>
    <w:p w14:paraId="6C90611B"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1951BA12" w14:textId="496D2294" w:rsidR="004D7D46" w:rsidRPr="00B10772" w:rsidRDefault="001409A2"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Al </w:t>
      </w:r>
      <w:r w:rsidRPr="00B10772">
        <w:rPr>
          <w:rFonts w:ascii="Palatino Linotype" w:eastAsiaTheme="minorHAnsi" w:hAnsi="Palatino Linotype" w:cs="Arial"/>
          <w:lang w:eastAsia="en-US"/>
        </w:rPr>
        <w:t>veintisiete (27) de abril de dos mil veintidós, México reporta que existe una estimación de 6,015,049 casos positivos; 338,269 defunciones</w:t>
      </w:r>
      <w:r w:rsidR="00A65581" w:rsidRPr="00B10772">
        <w:rPr>
          <w:rFonts w:ascii="Palatino Linotype" w:eastAsiaTheme="minorHAnsi" w:hAnsi="Palatino Linotype" w:cs="Arial"/>
          <w:lang w:eastAsia="en-US"/>
        </w:rPr>
        <w:t>;</w:t>
      </w:r>
      <w:r w:rsidRPr="00B10772">
        <w:rPr>
          <w:rFonts w:ascii="Palatino Linotype" w:eastAsiaTheme="minorHAnsi" w:hAnsi="Palatino Linotype" w:cs="Arial"/>
          <w:lang w:eastAsia="en-US"/>
        </w:rPr>
        <w:t xml:space="preserve"> y </w:t>
      </w:r>
      <w:r w:rsidR="00A65581" w:rsidRPr="00B10772">
        <w:rPr>
          <w:rFonts w:ascii="Palatino Linotype" w:eastAsiaTheme="minorHAnsi" w:hAnsi="Palatino Linotype" w:cs="Arial"/>
          <w:lang w:eastAsia="en-US"/>
        </w:rPr>
        <w:t>4,497</w:t>
      </w:r>
      <w:r w:rsidRPr="00B10772">
        <w:rPr>
          <w:rFonts w:ascii="Palatino Linotype" w:eastAsiaTheme="minorHAnsi" w:hAnsi="Palatino Linotype" w:cs="Arial"/>
          <w:lang w:eastAsia="en-US"/>
        </w:rPr>
        <w:t xml:space="preserve"> pacientes activos, con una acumulación de </w:t>
      </w:r>
      <w:r w:rsidR="00A65581" w:rsidRPr="00B10772">
        <w:rPr>
          <w:rFonts w:ascii="Palatino Linotype" w:eastAsiaTheme="minorHAnsi" w:hAnsi="Palatino Linotype" w:cs="Arial"/>
          <w:lang w:eastAsia="en-US"/>
        </w:rPr>
        <w:t>5,735,115</w:t>
      </w:r>
      <w:r w:rsidRPr="00B10772">
        <w:rPr>
          <w:rFonts w:ascii="Palatino Linotype" w:eastAsiaTheme="minorHAnsi" w:hAnsi="Palatino Linotype" w:cs="Arial"/>
          <w:lang w:eastAsia="en-US"/>
        </w:rPr>
        <w:t xml:space="preserve"> casos confirmados</w:t>
      </w:r>
      <w:r w:rsidR="00A65581" w:rsidRPr="00B10772">
        <w:rPr>
          <w:rFonts w:ascii="Palatino Linotype" w:eastAsiaTheme="minorHAnsi" w:hAnsi="Palatino Linotype" w:cs="Arial"/>
          <w:lang w:eastAsia="en-US"/>
        </w:rPr>
        <w:t>;</w:t>
      </w:r>
      <w:r w:rsidRPr="00B10772">
        <w:rPr>
          <w:rFonts w:ascii="Palatino Linotype" w:eastAsiaTheme="minorHAnsi" w:hAnsi="Palatino Linotype" w:cs="Arial"/>
          <w:lang w:eastAsia="en-US"/>
        </w:rPr>
        <w:t xml:space="preserve"> </w:t>
      </w:r>
      <w:r w:rsidR="00A65581" w:rsidRPr="00B10772">
        <w:rPr>
          <w:rFonts w:ascii="Palatino Linotype" w:eastAsiaTheme="minorHAnsi" w:hAnsi="Palatino Linotype" w:cs="Arial"/>
          <w:lang w:eastAsia="en-US"/>
        </w:rPr>
        <w:t>9,354,315</w:t>
      </w:r>
      <w:r w:rsidRPr="00B10772">
        <w:rPr>
          <w:rFonts w:ascii="Palatino Linotype" w:eastAsiaTheme="minorHAnsi" w:hAnsi="Palatino Linotype" w:cs="Arial"/>
          <w:lang w:eastAsia="en-US"/>
        </w:rPr>
        <w:t xml:space="preserve"> casos negativos</w:t>
      </w:r>
      <w:r w:rsidR="00A65581" w:rsidRPr="00B10772">
        <w:rPr>
          <w:rFonts w:ascii="Palatino Linotype" w:eastAsiaTheme="minorHAnsi" w:hAnsi="Palatino Linotype" w:cs="Arial"/>
          <w:lang w:eastAsia="en-US"/>
        </w:rPr>
        <w:t>;</w:t>
      </w:r>
      <w:r w:rsidRPr="00B10772">
        <w:rPr>
          <w:rFonts w:ascii="Palatino Linotype" w:eastAsiaTheme="minorHAnsi" w:hAnsi="Palatino Linotype" w:cs="Arial"/>
          <w:lang w:eastAsia="en-US"/>
        </w:rPr>
        <w:t xml:space="preserve"> </w:t>
      </w:r>
      <w:r w:rsidR="00A65581" w:rsidRPr="00B10772">
        <w:rPr>
          <w:rFonts w:ascii="Palatino Linotype" w:eastAsiaTheme="minorHAnsi" w:hAnsi="Palatino Linotype" w:cs="Arial"/>
          <w:lang w:eastAsia="en-US"/>
        </w:rPr>
        <w:t>688,334</w:t>
      </w:r>
      <w:r w:rsidRPr="00B10772">
        <w:rPr>
          <w:rFonts w:ascii="Palatino Linotype" w:eastAsiaTheme="minorHAnsi" w:hAnsi="Palatino Linotype" w:cs="Arial"/>
          <w:lang w:eastAsia="en-US"/>
        </w:rPr>
        <w:t xml:space="preserve"> casos sospechosos</w:t>
      </w:r>
      <w:r w:rsidR="00A65581" w:rsidRPr="00B10772">
        <w:rPr>
          <w:rFonts w:ascii="Palatino Linotype" w:eastAsiaTheme="minorHAnsi" w:hAnsi="Palatino Linotype" w:cs="Arial"/>
          <w:lang w:eastAsia="en-US"/>
        </w:rPr>
        <w:t xml:space="preserve">; 324,173 </w:t>
      </w:r>
      <w:r w:rsidRPr="00B10772">
        <w:rPr>
          <w:rFonts w:ascii="Palatino Linotype" w:eastAsiaTheme="minorHAnsi" w:hAnsi="Palatino Linotype" w:cs="Arial"/>
          <w:lang w:eastAsia="en-US"/>
        </w:rPr>
        <w:t>defunciones</w:t>
      </w:r>
      <w:r w:rsidR="00A65581" w:rsidRPr="00B10772">
        <w:rPr>
          <w:rFonts w:ascii="Palatino Linotype" w:eastAsiaTheme="minorHAnsi" w:hAnsi="Palatino Linotype" w:cs="Arial"/>
          <w:lang w:eastAsia="en-US"/>
        </w:rPr>
        <w:t>;</w:t>
      </w:r>
      <w:r w:rsidRPr="00B10772">
        <w:rPr>
          <w:rFonts w:ascii="Palatino Linotype" w:eastAsiaTheme="minorHAnsi" w:hAnsi="Palatino Linotype" w:cs="Arial"/>
          <w:lang w:eastAsia="en-US"/>
        </w:rPr>
        <w:t xml:space="preserve"> </w:t>
      </w:r>
      <w:r w:rsidR="00A65581" w:rsidRPr="00B10772">
        <w:rPr>
          <w:rFonts w:ascii="Palatino Linotype" w:eastAsiaTheme="minorHAnsi" w:hAnsi="Palatino Linotype" w:cs="Arial"/>
          <w:lang w:eastAsia="en-US"/>
        </w:rPr>
        <w:t>5,035,685</w:t>
      </w:r>
      <w:r w:rsidRPr="00B10772">
        <w:rPr>
          <w:rFonts w:ascii="Palatino Linotype" w:eastAsiaTheme="minorHAnsi" w:hAnsi="Palatino Linotype" w:cs="Arial"/>
          <w:lang w:eastAsia="en-US"/>
        </w:rPr>
        <w:t xml:space="preserve"> recuperados</w:t>
      </w:r>
      <w:r w:rsidR="00A65581" w:rsidRPr="00B10772">
        <w:rPr>
          <w:rFonts w:ascii="Palatino Linotype" w:eastAsiaTheme="minorHAnsi" w:hAnsi="Palatino Linotype" w:cs="Arial"/>
          <w:lang w:eastAsia="en-US"/>
        </w:rPr>
        <w:t>;</w:t>
      </w:r>
      <w:r w:rsidRPr="00B10772">
        <w:rPr>
          <w:rFonts w:ascii="Palatino Linotype" w:eastAsiaTheme="minorHAnsi" w:hAnsi="Palatino Linotype" w:cs="Arial"/>
          <w:lang w:eastAsia="en-US"/>
        </w:rPr>
        <w:t xml:space="preserve"> y </w:t>
      </w:r>
      <w:r w:rsidR="00A65581" w:rsidRPr="00B10772">
        <w:rPr>
          <w:rFonts w:ascii="Palatino Linotype" w:eastAsiaTheme="minorHAnsi" w:hAnsi="Palatino Linotype" w:cs="Arial"/>
          <w:lang w:eastAsia="en-US"/>
        </w:rPr>
        <w:t>4,066</w:t>
      </w:r>
      <w:r w:rsidRPr="00B10772">
        <w:rPr>
          <w:rFonts w:ascii="Palatino Linotype" w:eastAsiaTheme="minorHAnsi" w:hAnsi="Palatino Linotype" w:cs="Arial"/>
          <w:lang w:eastAsia="en-US"/>
        </w:rPr>
        <w:t xml:space="preserve"> casos activos</w:t>
      </w:r>
      <w:r w:rsidRPr="00B10772">
        <w:rPr>
          <w:rStyle w:val="Refdenotaalpie"/>
          <w:rFonts w:ascii="Palatino Linotype" w:eastAsiaTheme="minorHAnsi" w:hAnsi="Palatino Linotype" w:cs="Arial"/>
          <w:lang w:eastAsia="en-US"/>
        </w:rPr>
        <w:footnoteReference w:id="16"/>
      </w:r>
      <w:r w:rsidRPr="00B10772">
        <w:rPr>
          <w:rFonts w:ascii="Palatino Linotype" w:eastAsiaTheme="minorHAnsi" w:hAnsi="Palatino Linotype" w:cs="Arial"/>
          <w:lang w:eastAsia="en-US"/>
        </w:rPr>
        <w:t>.</w:t>
      </w:r>
    </w:p>
    <w:p w14:paraId="7AD4583C" w14:textId="77777777" w:rsidR="004D3E6E" w:rsidRPr="00B10772" w:rsidRDefault="004D3E6E" w:rsidP="004D3E6E">
      <w:pPr>
        <w:pStyle w:val="Prrafodelista"/>
        <w:tabs>
          <w:tab w:val="left" w:pos="426"/>
        </w:tabs>
        <w:spacing w:before="240" w:after="240" w:line="360" w:lineRule="auto"/>
        <w:ind w:left="0" w:right="51"/>
        <w:jc w:val="both"/>
        <w:rPr>
          <w:rFonts w:ascii="Palatino Linotype" w:hAnsi="Palatino Linotype"/>
          <w:color w:val="000000" w:themeColor="text1"/>
        </w:rPr>
      </w:pPr>
    </w:p>
    <w:p w14:paraId="45455420" w14:textId="2506E182" w:rsidR="004D3E6E" w:rsidRPr="00B10772" w:rsidRDefault="004D3E6E"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eastAsiaTheme="minorHAnsi" w:hAnsi="Palatino Linotype" w:cs="Arial"/>
          <w:lang w:eastAsia="en-US"/>
        </w:rPr>
        <w:t xml:space="preserve">No se omite señalar que la pandemia generada por el virus </w:t>
      </w:r>
      <w:r w:rsidRPr="00B10772">
        <w:rPr>
          <w:rFonts w:ascii="Palatino Linotype" w:eastAsiaTheme="minorHAnsi" w:hAnsi="Palatino Linotype" w:cs="Arial"/>
          <w:i/>
          <w:iCs/>
          <w:lang w:eastAsia="en-US"/>
        </w:rPr>
        <w:t>SARS-COV2</w:t>
      </w:r>
      <w:r w:rsidRPr="00B10772">
        <w:rPr>
          <w:rFonts w:ascii="Palatino Linotype" w:eastAsiaTheme="minorHAnsi" w:hAnsi="Palatino Linotype" w:cs="Arial"/>
          <w:lang w:eastAsia="en-US"/>
        </w:rPr>
        <w:t xml:space="preserve"> (COVID-19) obtuvo un reconocimiento público a nivel nacional el veintitrés (23) de marzo de dos mil veinte, fecha en que se publicó en el Diario Oficial de la Federación el </w:t>
      </w:r>
      <w:r w:rsidRPr="00B10772">
        <w:rPr>
          <w:rFonts w:ascii="Palatino Linotype" w:eastAsiaTheme="minorHAnsi" w:hAnsi="Palatino Linotype" w:cs="Arial"/>
          <w:i/>
          <w:iCs/>
          <w:lang w:eastAsia="en-US"/>
        </w:rPr>
        <w:t>“Acuerdo por el que el Consejo de Salubridad General reconoce la epidemia de enfermedad por el virus SARS-CoV2 (COVID-19) en México, como una enfermedad grave de atención prioritaria, así como se establecen las actividades de preparación y respuesta ante dicha epidencia”</w:t>
      </w:r>
      <w:r w:rsidRPr="00B10772">
        <w:rPr>
          <w:rFonts w:ascii="Palatino Linotype" w:eastAsiaTheme="minorHAnsi" w:hAnsi="Palatino Linotype" w:cs="Arial"/>
          <w:lang w:eastAsia="en-US"/>
        </w:rPr>
        <w:t>.</w:t>
      </w:r>
    </w:p>
    <w:p w14:paraId="13E7EA51" w14:textId="77777777" w:rsidR="004D3E6E" w:rsidRPr="00B10772" w:rsidRDefault="004D3E6E" w:rsidP="004D3E6E">
      <w:pPr>
        <w:pStyle w:val="Prrafodelista"/>
        <w:tabs>
          <w:tab w:val="left" w:pos="426"/>
        </w:tabs>
        <w:spacing w:before="240" w:after="240" w:line="360" w:lineRule="auto"/>
        <w:ind w:left="0" w:right="51"/>
        <w:jc w:val="both"/>
        <w:rPr>
          <w:rFonts w:ascii="Palatino Linotype" w:hAnsi="Palatino Linotype"/>
          <w:color w:val="000000" w:themeColor="text1"/>
        </w:rPr>
      </w:pPr>
    </w:p>
    <w:p w14:paraId="038C2296" w14:textId="20D202D5" w:rsidR="004D3E6E" w:rsidRPr="00B10772" w:rsidRDefault="004D3E6E"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eastAsiaTheme="minorHAnsi" w:hAnsi="Palatino Linotype" w:cs="Arial"/>
          <w:lang w:eastAsia="en-US"/>
        </w:rPr>
        <w:t xml:space="preserve">Posteriormente, el treinta (30) de marzo </w:t>
      </w:r>
      <w:r w:rsidR="00487A51" w:rsidRPr="00B10772">
        <w:rPr>
          <w:rFonts w:ascii="Palatino Linotype" w:eastAsiaTheme="minorHAnsi" w:hAnsi="Palatino Linotype" w:cs="Arial"/>
          <w:lang w:eastAsia="en-US"/>
        </w:rPr>
        <w:t xml:space="preserve">de dos mil veinte, se publicó también en el Diario Oficial de la Federación el </w:t>
      </w:r>
      <w:r w:rsidR="00487A51" w:rsidRPr="00B10772">
        <w:rPr>
          <w:rFonts w:ascii="Palatino Linotype" w:eastAsiaTheme="minorHAnsi" w:hAnsi="Palatino Linotype" w:cs="Arial"/>
          <w:i/>
          <w:iCs/>
          <w:lang w:eastAsia="en-US"/>
        </w:rPr>
        <w:t>“Acuerdo por el que se declara como contingencia sanitaria por causas de fuerza mayor, a la epidemia de enfermedad generada por el virus SARS-CoV2 (COVID-19)</w:t>
      </w:r>
      <w:r w:rsidR="00487A51" w:rsidRPr="00B10772">
        <w:rPr>
          <w:rFonts w:ascii="Palatino Linotype" w:eastAsiaTheme="minorHAnsi" w:hAnsi="Palatino Linotype" w:cs="Arial"/>
          <w:lang w:eastAsia="en-US"/>
        </w:rPr>
        <w:t>.</w:t>
      </w:r>
    </w:p>
    <w:p w14:paraId="33C3648B" w14:textId="77777777" w:rsidR="00487A51" w:rsidRPr="00B10772" w:rsidRDefault="00487A51" w:rsidP="00487A51">
      <w:pPr>
        <w:pStyle w:val="Prrafodelista"/>
        <w:tabs>
          <w:tab w:val="left" w:pos="426"/>
        </w:tabs>
        <w:spacing w:before="240" w:after="240" w:line="360" w:lineRule="auto"/>
        <w:ind w:left="0" w:right="51"/>
        <w:jc w:val="both"/>
        <w:rPr>
          <w:rFonts w:ascii="Palatino Linotype" w:hAnsi="Palatino Linotype"/>
          <w:color w:val="000000" w:themeColor="text1"/>
        </w:rPr>
      </w:pPr>
    </w:p>
    <w:p w14:paraId="31851641" w14:textId="099F7C63" w:rsidR="00487A51" w:rsidRPr="00B10772" w:rsidRDefault="00487A51"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eastAsiaTheme="minorHAnsi" w:hAnsi="Palatino Linotype" w:cs="Arial"/>
          <w:lang w:eastAsia="en-US"/>
        </w:rPr>
        <w:lastRenderedPageBreak/>
        <w:t xml:space="preserve">En nuestra entidad, el dos (02) de abril de dos mil veinte, se publicó en el periódico oficial ‘Gaceta del Gobierno’, el </w:t>
      </w:r>
      <w:r w:rsidRPr="00B10772">
        <w:rPr>
          <w:rFonts w:ascii="Palatino Linotype" w:eastAsiaTheme="minorHAnsi" w:hAnsi="Palatino Linotype" w:cs="Arial"/>
          <w:i/>
          <w:iCs/>
          <w:lang w:eastAsia="en-US"/>
        </w:rPr>
        <w:t>“Acuerdo por el que se Establecen las Medidas Preventivas y de Seguridad que se Deberán Implementar para la Mitigación y Control de los Riesgos para la Salud que Implica la Enfermedad por el Virus (COVID-19), en el Estado de México”</w:t>
      </w:r>
      <w:r w:rsidRPr="00B10772">
        <w:rPr>
          <w:rStyle w:val="Refdenotaalpie"/>
          <w:rFonts w:ascii="Palatino Linotype" w:eastAsiaTheme="minorHAnsi" w:hAnsi="Palatino Linotype" w:cs="Arial"/>
          <w:i/>
          <w:iCs/>
          <w:lang w:eastAsia="en-US"/>
        </w:rPr>
        <w:footnoteReference w:id="17"/>
      </w:r>
      <w:r w:rsidRPr="00B10772">
        <w:rPr>
          <w:rFonts w:ascii="Palatino Linotype" w:eastAsiaTheme="minorHAnsi" w:hAnsi="Palatino Linotype" w:cs="Arial"/>
          <w:lang w:eastAsia="en-US"/>
        </w:rPr>
        <w:t>, dentro del cual, se</w:t>
      </w:r>
      <w:r w:rsidR="00F72901" w:rsidRPr="00B10772">
        <w:rPr>
          <w:rFonts w:ascii="Palatino Linotype" w:eastAsiaTheme="minorHAnsi" w:hAnsi="Palatino Linotype" w:cs="Arial"/>
          <w:lang w:eastAsia="en-US"/>
        </w:rPr>
        <w:t xml:space="preserve"> ordenó la suspensión temporal y de manera inmediata de todas las actividades no esenciales, con la finalidad de mitigar la dispersión y transmisión del virus </w:t>
      </w:r>
      <w:r w:rsidR="00F72901" w:rsidRPr="00B10772">
        <w:rPr>
          <w:rFonts w:ascii="Palatino Linotype" w:eastAsiaTheme="minorHAnsi" w:hAnsi="Palatino Linotype" w:cs="Arial"/>
          <w:i/>
          <w:iCs/>
          <w:lang w:eastAsia="en-US"/>
        </w:rPr>
        <w:t>SARS-CoV2</w:t>
      </w:r>
      <w:r w:rsidR="00F72901" w:rsidRPr="00B10772">
        <w:rPr>
          <w:rFonts w:ascii="Palatino Linotype" w:eastAsiaTheme="minorHAnsi" w:hAnsi="Palatino Linotype" w:cs="Arial"/>
          <w:lang w:eastAsia="en-US"/>
        </w:rPr>
        <w:t xml:space="preserve"> en la comunidad.</w:t>
      </w:r>
    </w:p>
    <w:p w14:paraId="26FDC385"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151396CC" w14:textId="12B5A349" w:rsidR="004D7D46" w:rsidRPr="00B10772" w:rsidRDefault="00621954"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las cosas, por cuanto hace a la información requerida por el particular a través de la solicitud de información </w:t>
      </w:r>
      <w:r w:rsidRPr="00B10772">
        <w:rPr>
          <w:rFonts w:ascii="Palatino Linotype" w:hAnsi="Palatino Linotype"/>
          <w:b/>
          <w:bCs/>
          <w:color w:val="000000" w:themeColor="text1"/>
        </w:rPr>
        <w:t>00005/DONAGUER/IP/2022</w:t>
      </w:r>
      <w:r w:rsidRPr="00B10772">
        <w:rPr>
          <w:rFonts w:ascii="Palatino Linotype" w:hAnsi="Palatino Linotype"/>
          <w:color w:val="000000" w:themeColor="text1"/>
        </w:rPr>
        <w:t xml:space="preserve">, mediante la cual, el </w:t>
      </w:r>
      <w:r w:rsidRPr="00B10772">
        <w:rPr>
          <w:rFonts w:ascii="Palatino Linotype" w:hAnsi="Palatino Linotype"/>
          <w:b/>
          <w:bCs/>
          <w:color w:val="000000" w:themeColor="text1"/>
        </w:rPr>
        <w:t>RECURRENTE</w:t>
      </w:r>
      <w:r w:rsidRPr="00B10772">
        <w:rPr>
          <w:rFonts w:ascii="Palatino Linotype" w:hAnsi="Palatino Linotype"/>
          <w:color w:val="000000" w:themeColor="text1"/>
        </w:rPr>
        <w:t xml:space="preserve"> solicitó conocer los gastos generados con motivo de la pandemia por COVID-19, de manera desglosada, durante la administración 2019-2021, se entiende entonces que éste busca acceder a cada una de las erogaciones realizadas por el Ayuntamiento de Donato Guerra con motivo de la pandemia ocasionada por el virus </w:t>
      </w:r>
      <w:r w:rsidRPr="00B10772">
        <w:rPr>
          <w:rFonts w:ascii="Palatino Linotype" w:hAnsi="Palatino Linotype"/>
          <w:i/>
          <w:iCs/>
          <w:color w:val="000000" w:themeColor="text1"/>
        </w:rPr>
        <w:t>SARS-C</w:t>
      </w:r>
      <w:r w:rsidR="00F72901" w:rsidRPr="00B10772">
        <w:rPr>
          <w:rFonts w:ascii="Palatino Linotype" w:hAnsi="Palatino Linotype"/>
          <w:i/>
          <w:iCs/>
          <w:color w:val="000000" w:themeColor="text1"/>
        </w:rPr>
        <w:t>o</w:t>
      </w:r>
      <w:r w:rsidRPr="00B10772">
        <w:rPr>
          <w:rFonts w:ascii="Palatino Linotype" w:hAnsi="Palatino Linotype"/>
          <w:i/>
          <w:iCs/>
          <w:color w:val="000000" w:themeColor="text1"/>
        </w:rPr>
        <w:t>V-2</w:t>
      </w:r>
      <w:r w:rsidR="00F72901" w:rsidRPr="00B10772">
        <w:rPr>
          <w:rFonts w:ascii="Palatino Linotype" w:hAnsi="Palatino Linotype"/>
          <w:color w:val="000000" w:themeColor="text1"/>
        </w:rPr>
        <w:t xml:space="preserve"> (COVID-19).</w:t>
      </w:r>
    </w:p>
    <w:p w14:paraId="41998FFD"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D974C83" w14:textId="18E5787C" w:rsidR="004D7D46" w:rsidRPr="00B10772" w:rsidRDefault="00621954"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ese sentido, conviene señalar que la Ley de Transparencia y Acceso a la Información Pública del Estado de México y Municipios, en su artículo 92, enlista los temas, documentos y políticas que son reconocidos como </w:t>
      </w:r>
      <w:r w:rsidR="00F85CE1" w:rsidRPr="00B10772">
        <w:rPr>
          <w:rFonts w:ascii="Palatino Linotype" w:hAnsi="Palatino Linotype"/>
          <w:b/>
          <w:color w:val="000000" w:themeColor="text1"/>
        </w:rPr>
        <w:t>obligaciones</w:t>
      </w:r>
      <w:r w:rsidRPr="00B10772">
        <w:rPr>
          <w:rFonts w:ascii="Palatino Linotype" w:hAnsi="Palatino Linotype"/>
          <w:b/>
          <w:color w:val="000000" w:themeColor="text1"/>
        </w:rPr>
        <w:t xml:space="preserve"> </w:t>
      </w:r>
      <w:r w:rsidR="00F85CE1" w:rsidRPr="00B10772">
        <w:rPr>
          <w:rFonts w:ascii="Palatino Linotype" w:hAnsi="Palatino Linotype"/>
          <w:b/>
          <w:color w:val="000000" w:themeColor="text1"/>
        </w:rPr>
        <w:t>de transparencia común</w:t>
      </w:r>
      <w:r w:rsidR="00F85CE1" w:rsidRPr="00B10772">
        <w:rPr>
          <w:rFonts w:ascii="Palatino Linotype" w:hAnsi="Palatino Linotype"/>
          <w:color w:val="000000" w:themeColor="text1"/>
        </w:rPr>
        <w:t>;</w:t>
      </w:r>
      <w:r w:rsidRPr="00B10772">
        <w:rPr>
          <w:rFonts w:ascii="Palatino Linotype" w:hAnsi="Palatino Linotype"/>
          <w:color w:val="000000" w:themeColor="text1"/>
        </w:rPr>
        <w:t xml:space="preserve"> la cual, por su naturaleza, deberá ser puesta a disposición del público de manera permanente y actualizada de forma sencilla, precisa y entendible, en los respectivos medios electrónicos, de acuerdo con las facultades, atribuciones, funciones u objeto social de los Sujetos Obligados, según corresponda, </w:t>
      </w:r>
      <w:r w:rsidRPr="00B10772">
        <w:rPr>
          <w:rFonts w:ascii="Palatino Linotype" w:hAnsi="Palatino Linotype"/>
          <w:color w:val="000000" w:themeColor="text1"/>
        </w:rPr>
        <w:lastRenderedPageBreak/>
        <w:t xml:space="preserve">destacando lo establecido por </w:t>
      </w:r>
      <w:r w:rsidR="008903DD" w:rsidRPr="00B10772">
        <w:rPr>
          <w:rFonts w:ascii="Palatino Linotype" w:hAnsi="Palatino Linotype"/>
          <w:color w:val="000000" w:themeColor="text1"/>
        </w:rPr>
        <w:t>las fracciones XXIX y XXXV</w:t>
      </w:r>
      <w:r w:rsidRPr="00B10772">
        <w:rPr>
          <w:rFonts w:ascii="Palatino Linotype" w:hAnsi="Palatino Linotype"/>
          <w:color w:val="000000" w:themeColor="text1"/>
        </w:rPr>
        <w:t>, misma</w:t>
      </w:r>
      <w:r w:rsidR="008903DD" w:rsidRPr="00B10772">
        <w:rPr>
          <w:rFonts w:ascii="Palatino Linotype" w:hAnsi="Palatino Linotype"/>
          <w:color w:val="000000" w:themeColor="text1"/>
        </w:rPr>
        <w:t>s</w:t>
      </w:r>
      <w:r w:rsidRPr="00B10772">
        <w:rPr>
          <w:rFonts w:ascii="Palatino Linotype" w:hAnsi="Palatino Linotype"/>
          <w:color w:val="000000" w:themeColor="text1"/>
        </w:rPr>
        <w:t xml:space="preserve"> que se transcribe a continuación:</w:t>
      </w:r>
    </w:p>
    <w:p w14:paraId="13AE5816" w14:textId="1E49ADF1"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BA2ADA0" w14:textId="396ABAF5"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r w:rsidRPr="00B10772">
        <w:rPr>
          <w:rFonts w:ascii="Palatino Linotype" w:hAnsi="Palatino Linotype"/>
          <w:b/>
          <w:bCs/>
          <w:i/>
          <w:iCs/>
          <w:sz w:val="22"/>
          <w:szCs w:val="22"/>
        </w:rPr>
        <w:t>Artículo 92.</w:t>
      </w:r>
      <w:r w:rsidRPr="00B10772">
        <w:rPr>
          <w:rFonts w:ascii="Palatino Linotype" w:hAnsi="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E6724C" w14:textId="48116F8F"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p>
    <w:p w14:paraId="5FF195C4" w14:textId="2706F80D"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b/>
          <w:bCs/>
          <w:i/>
          <w:iCs/>
          <w:sz w:val="22"/>
          <w:szCs w:val="22"/>
        </w:rPr>
        <w:t>XXIX.</w:t>
      </w:r>
      <w:r w:rsidRPr="00B10772">
        <w:rPr>
          <w:rFonts w:ascii="Palatino Linotype" w:hAnsi="Palatino Linotype"/>
          <w:i/>
          <w:iCs/>
          <w:sz w:val="22"/>
          <w:szCs w:val="22"/>
        </w:rPr>
        <w:t xml:space="preserve"> La información sobre los </w:t>
      </w:r>
      <w:r w:rsidRPr="00B10772">
        <w:rPr>
          <w:rFonts w:ascii="Palatino Linotype" w:hAnsi="Palatino Linotype"/>
          <w:b/>
          <w:bCs/>
          <w:i/>
          <w:iCs/>
          <w:sz w:val="22"/>
          <w:szCs w:val="22"/>
        </w:rPr>
        <w:t>procesos y resultados sobre procedimientos de adjudicación directa, invitación restringida y licitación de cualquier naturaleza</w:t>
      </w:r>
      <w:r w:rsidRPr="00B10772">
        <w:rPr>
          <w:rFonts w:ascii="Palatino Linotype" w:hAnsi="Palatino Linotype"/>
          <w:i/>
          <w:iCs/>
          <w:sz w:val="22"/>
          <w:szCs w:val="22"/>
        </w:rPr>
        <w:t>, incluyendo la versión pública del expediente respectivo y de los contratos celebrados, que deberán contener, por los menos, lo siguiente:</w:t>
      </w:r>
    </w:p>
    <w:p w14:paraId="7EBD9DDA" w14:textId="77777777"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B10772">
        <w:rPr>
          <w:rFonts w:ascii="Palatino Linotype" w:hAnsi="Palatino Linotype"/>
          <w:b/>
          <w:bCs/>
          <w:i/>
          <w:iCs/>
          <w:sz w:val="22"/>
          <w:szCs w:val="22"/>
        </w:rPr>
        <w:t xml:space="preserve">a) De licitaciones públicas o procedimientos de invitación restringida: </w:t>
      </w:r>
    </w:p>
    <w:p w14:paraId="639F6D14"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w:t>
      </w:r>
      <w:r w:rsidRPr="00B10772">
        <w:rPr>
          <w:rFonts w:ascii="Palatino Linotype" w:hAnsi="Palatino Linotype"/>
          <w:i/>
          <w:iCs/>
          <w:sz w:val="22"/>
          <w:szCs w:val="22"/>
        </w:rPr>
        <w:t xml:space="preserve"> La convocatoria o invitación emitida, así como los fundamentos legales aplicados para llevarla a cabo; </w:t>
      </w:r>
    </w:p>
    <w:p w14:paraId="0DECAB17"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2)</w:t>
      </w:r>
      <w:r w:rsidRPr="00B10772">
        <w:rPr>
          <w:rFonts w:ascii="Palatino Linotype" w:hAnsi="Palatino Linotype"/>
          <w:i/>
          <w:iCs/>
          <w:sz w:val="22"/>
          <w:szCs w:val="22"/>
        </w:rPr>
        <w:t xml:space="preserve"> Los nombres de los participantes o invitados; </w:t>
      </w:r>
    </w:p>
    <w:p w14:paraId="1296BCB1"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3)</w:t>
      </w:r>
      <w:r w:rsidRPr="00B10772">
        <w:rPr>
          <w:rFonts w:ascii="Palatino Linotype" w:hAnsi="Palatino Linotype"/>
          <w:i/>
          <w:iCs/>
          <w:sz w:val="22"/>
          <w:szCs w:val="22"/>
        </w:rPr>
        <w:t xml:space="preserve"> El nombre del ganador y las razones que lo justifican; </w:t>
      </w:r>
    </w:p>
    <w:p w14:paraId="73CBC982"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4)</w:t>
      </w:r>
      <w:r w:rsidRPr="00B10772">
        <w:rPr>
          <w:rFonts w:ascii="Palatino Linotype" w:hAnsi="Palatino Linotype"/>
          <w:i/>
          <w:iCs/>
          <w:sz w:val="22"/>
          <w:szCs w:val="22"/>
        </w:rPr>
        <w:t xml:space="preserve"> El área solicitante y la responsable de su ejecución; </w:t>
      </w:r>
    </w:p>
    <w:p w14:paraId="1CF694B2"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5)</w:t>
      </w:r>
      <w:r w:rsidRPr="00B10772">
        <w:rPr>
          <w:rFonts w:ascii="Palatino Linotype" w:hAnsi="Palatino Linotype"/>
          <w:i/>
          <w:iCs/>
          <w:sz w:val="22"/>
          <w:szCs w:val="22"/>
        </w:rPr>
        <w:t xml:space="preserve"> Las convocatorias e invitaciones emitidas; </w:t>
      </w:r>
    </w:p>
    <w:p w14:paraId="05560C90"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6)</w:t>
      </w:r>
      <w:r w:rsidRPr="00B10772">
        <w:rPr>
          <w:rFonts w:ascii="Palatino Linotype" w:hAnsi="Palatino Linotype"/>
          <w:i/>
          <w:iCs/>
          <w:sz w:val="22"/>
          <w:szCs w:val="22"/>
        </w:rPr>
        <w:t xml:space="preserve"> Los dictámenes y fallo de adjudicación; </w:t>
      </w:r>
    </w:p>
    <w:p w14:paraId="3B68AD77"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7)</w:t>
      </w:r>
      <w:r w:rsidRPr="00B10772">
        <w:rPr>
          <w:rFonts w:ascii="Palatino Linotype" w:hAnsi="Palatino Linotype"/>
          <w:i/>
          <w:iCs/>
          <w:sz w:val="22"/>
          <w:szCs w:val="22"/>
        </w:rPr>
        <w:t xml:space="preserve"> El contrato y, en su caso, sus anexos; </w:t>
      </w:r>
    </w:p>
    <w:p w14:paraId="029F31A6"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8)</w:t>
      </w:r>
      <w:r w:rsidRPr="00B10772">
        <w:rPr>
          <w:rFonts w:ascii="Palatino Linotype" w:hAnsi="Palatino Linotype"/>
          <w:i/>
          <w:iCs/>
          <w:sz w:val="22"/>
          <w:szCs w:val="22"/>
        </w:rPr>
        <w:t xml:space="preserve"> Los mecanismos de vigilancia y supervisión, incluyendo en su caso, los estudios de impacto urbano y ambiental, según corresponda; </w:t>
      </w:r>
    </w:p>
    <w:p w14:paraId="2DEDCB70"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9)</w:t>
      </w:r>
      <w:r w:rsidRPr="00B10772">
        <w:rPr>
          <w:rFonts w:ascii="Palatino Linotype" w:hAnsi="Palatino Linotype"/>
          <w:i/>
          <w:iCs/>
          <w:sz w:val="22"/>
          <w:szCs w:val="22"/>
        </w:rPr>
        <w:t xml:space="preserve"> La partida presupuestal, de conformidad con el clasificador por objeto del gasto, en el caso de ser aplicable; </w:t>
      </w:r>
    </w:p>
    <w:p w14:paraId="6F05A3E5"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10)</w:t>
      </w:r>
      <w:r w:rsidRPr="00B10772">
        <w:rPr>
          <w:rFonts w:ascii="Palatino Linotype" w:hAnsi="Palatino Linotype"/>
          <w:i/>
          <w:iCs/>
          <w:sz w:val="22"/>
          <w:szCs w:val="22"/>
        </w:rPr>
        <w:t xml:space="preserve"> Origen de los recursos especificando si son federales, estatales o municipales, así como el tipo de fondo de participación o aportación respectiva; </w:t>
      </w:r>
    </w:p>
    <w:p w14:paraId="6E39B482"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11)</w:t>
      </w:r>
      <w:r w:rsidRPr="00B10772">
        <w:rPr>
          <w:rFonts w:ascii="Palatino Linotype" w:hAnsi="Palatino Linotype"/>
          <w:i/>
          <w:iCs/>
          <w:sz w:val="22"/>
          <w:szCs w:val="22"/>
        </w:rPr>
        <w:t xml:space="preserve"> Los convenios modificatorios que, en su caso, sean firmados, precisando el objeto y la fecha de celebración; </w:t>
      </w:r>
    </w:p>
    <w:p w14:paraId="3897F9B5"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12)</w:t>
      </w:r>
      <w:r w:rsidRPr="00B10772">
        <w:rPr>
          <w:rFonts w:ascii="Palatino Linotype" w:hAnsi="Palatino Linotype"/>
          <w:i/>
          <w:iCs/>
          <w:sz w:val="22"/>
          <w:szCs w:val="22"/>
        </w:rPr>
        <w:t xml:space="preserve"> Los informes de avance físico y financiero sobre las obras o servicios contratados; </w:t>
      </w:r>
    </w:p>
    <w:p w14:paraId="4F6ABE8A"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13)</w:t>
      </w:r>
      <w:r w:rsidRPr="00B10772">
        <w:rPr>
          <w:rFonts w:ascii="Palatino Linotype" w:hAnsi="Palatino Linotype"/>
          <w:i/>
          <w:iCs/>
          <w:sz w:val="22"/>
          <w:szCs w:val="22"/>
        </w:rPr>
        <w:t xml:space="preserve"> El convenio de terminación; y </w:t>
      </w:r>
    </w:p>
    <w:p w14:paraId="5B6B3C08"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14)</w:t>
      </w:r>
      <w:r w:rsidRPr="00B10772">
        <w:rPr>
          <w:rFonts w:ascii="Palatino Linotype" w:hAnsi="Palatino Linotype"/>
          <w:i/>
          <w:iCs/>
          <w:sz w:val="22"/>
          <w:szCs w:val="22"/>
        </w:rPr>
        <w:t xml:space="preserve"> El finiquito. </w:t>
      </w:r>
    </w:p>
    <w:p w14:paraId="3FCB580B" w14:textId="77777777"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B10772">
        <w:rPr>
          <w:rFonts w:ascii="Palatino Linotype" w:hAnsi="Palatino Linotype"/>
          <w:b/>
          <w:bCs/>
          <w:i/>
          <w:iCs/>
          <w:sz w:val="22"/>
          <w:szCs w:val="22"/>
        </w:rPr>
        <w:t xml:space="preserve">b) De las adjudicaciones directas: </w:t>
      </w:r>
    </w:p>
    <w:p w14:paraId="76806C2D"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lastRenderedPageBreak/>
        <w:t>1)</w:t>
      </w:r>
      <w:r w:rsidRPr="00B10772">
        <w:rPr>
          <w:rFonts w:ascii="Palatino Linotype" w:hAnsi="Palatino Linotype"/>
          <w:i/>
          <w:iCs/>
          <w:sz w:val="22"/>
          <w:szCs w:val="22"/>
        </w:rPr>
        <w:t xml:space="preserve"> La propuesta enviada por el participante; </w:t>
      </w:r>
    </w:p>
    <w:p w14:paraId="4D2CCF51"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2)</w:t>
      </w:r>
      <w:r w:rsidRPr="00B10772">
        <w:rPr>
          <w:rFonts w:ascii="Palatino Linotype" w:hAnsi="Palatino Linotype"/>
          <w:i/>
          <w:iCs/>
          <w:sz w:val="22"/>
          <w:szCs w:val="22"/>
        </w:rPr>
        <w:t xml:space="preserve"> Los motivos y fundamentos legales aplicados para llevarla a cabo; </w:t>
      </w:r>
    </w:p>
    <w:p w14:paraId="455EA206"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3)</w:t>
      </w:r>
      <w:r w:rsidRPr="00B10772">
        <w:rPr>
          <w:rFonts w:ascii="Palatino Linotype" w:hAnsi="Palatino Linotype"/>
          <w:i/>
          <w:iCs/>
          <w:sz w:val="22"/>
          <w:szCs w:val="22"/>
        </w:rPr>
        <w:t xml:space="preserve"> La autorización del ejercicio de la opción; </w:t>
      </w:r>
    </w:p>
    <w:p w14:paraId="2C5F6465"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4)</w:t>
      </w:r>
      <w:r w:rsidRPr="00B10772">
        <w:rPr>
          <w:rFonts w:ascii="Palatino Linotype" w:hAnsi="Palatino Linotype"/>
          <w:i/>
          <w:iCs/>
          <w:sz w:val="22"/>
          <w:szCs w:val="22"/>
        </w:rPr>
        <w:t xml:space="preserve"> En su caso, las cotizaciones consideradas, especificando los nombres de los proveedores y sus montos; </w:t>
      </w:r>
    </w:p>
    <w:p w14:paraId="79EEF446"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5)</w:t>
      </w:r>
      <w:r w:rsidRPr="00B10772">
        <w:rPr>
          <w:rFonts w:ascii="Palatino Linotype" w:hAnsi="Palatino Linotype"/>
          <w:i/>
          <w:iCs/>
          <w:sz w:val="22"/>
          <w:szCs w:val="22"/>
        </w:rPr>
        <w:t xml:space="preserve"> El nombre de la persona física o jurídica colectiva adjudicada; </w:t>
      </w:r>
    </w:p>
    <w:p w14:paraId="2392634A"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6)</w:t>
      </w:r>
      <w:r w:rsidRPr="00B10772">
        <w:rPr>
          <w:rFonts w:ascii="Palatino Linotype" w:hAnsi="Palatino Linotype"/>
          <w:i/>
          <w:iCs/>
          <w:sz w:val="22"/>
          <w:szCs w:val="22"/>
        </w:rPr>
        <w:t xml:space="preserve"> La unidad administrativa solicitante y la responsable de su ejecución; </w:t>
      </w:r>
    </w:p>
    <w:p w14:paraId="5D98A05A"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7)</w:t>
      </w:r>
      <w:r w:rsidRPr="00B10772">
        <w:rPr>
          <w:rFonts w:ascii="Palatino Linotype" w:hAnsi="Palatino Linotype"/>
          <w:i/>
          <w:iCs/>
          <w:sz w:val="22"/>
          <w:szCs w:val="22"/>
        </w:rPr>
        <w:t xml:space="preserve"> El número, fecha, el monto del contrato y el plazo de entrega o de ejecución de los servicios u obra; </w:t>
      </w:r>
    </w:p>
    <w:p w14:paraId="6B62E9C9"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8)</w:t>
      </w:r>
      <w:r w:rsidRPr="00B10772">
        <w:rPr>
          <w:rFonts w:ascii="Palatino Linotype" w:hAnsi="Palatino Linotype"/>
          <w:i/>
          <w:iCs/>
          <w:sz w:val="22"/>
          <w:szCs w:val="22"/>
        </w:rPr>
        <w:t xml:space="preserve"> Los mecanismos de vigilancia y supervisión, incluyendo, en su caso, los estudios de impacto urbano y ambiental, según corresponda; </w:t>
      </w:r>
    </w:p>
    <w:p w14:paraId="0E6C2C01"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9)</w:t>
      </w:r>
      <w:r w:rsidRPr="00B10772">
        <w:rPr>
          <w:rFonts w:ascii="Palatino Linotype" w:hAnsi="Palatino Linotype"/>
          <w:i/>
          <w:iCs/>
          <w:sz w:val="22"/>
          <w:szCs w:val="22"/>
        </w:rPr>
        <w:t xml:space="preserve"> Los informes de avance sobre las obras o servicios contratados; </w:t>
      </w:r>
    </w:p>
    <w:p w14:paraId="5DDF6397" w14:textId="77777777"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10)</w:t>
      </w:r>
      <w:r w:rsidRPr="00B10772">
        <w:rPr>
          <w:rFonts w:ascii="Palatino Linotype" w:hAnsi="Palatino Linotype"/>
          <w:i/>
          <w:iCs/>
          <w:sz w:val="22"/>
          <w:szCs w:val="22"/>
        </w:rPr>
        <w:t xml:space="preserve"> El convenio de terminación; y </w:t>
      </w:r>
    </w:p>
    <w:p w14:paraId="5166DB1F" w14:textId="66E0EC8A" w:rsidR="00673201" w:rsidRPr="00B10772" w:rsidRDefault="00673201" w:rsidP="00673201">
      <w:pPr>
        <w:pStyle w:val="Prrafodelista"/>
        <w:tabs>
          <w:tab w:val="left" w:pos="426"/>
        </w:tabs>
        <w:spacing w:before="240" w:after="240" w:line="276" w:lineRule="auto"/>
        <w:ind w:left="851" w:right="567"/>
        <w:jc w:val="both"/>
        <w:rPr>
          <w:rFonts w:ascii="Palatino Linotype" w:hAnsi="Palatino Linotype"/>
          <w:i/>
          <w:iCs/>
          <w:sz w:val="22"/>
          <w:szCs w:val="22"/>
        </w:rPr>
      </w:pPr>
      <w:r w:rsidRPr="00B10772">
        <w:rPr>
          <w:rFonts w:ascii="Palatino Linotype" w:hAnsi="Palatino Linotype"/>
          <w:b/>
          <w:bCs/>
          <w:i/>
          <w:iCs/>
          <w:sz w:val="22"/>
          <w:szCs w:val="22"/>
        </w:rPr>
        <w:t>11)</w:t>
      </w:r>
      <w:r w:rsidRPr="00B10772">
        <w:rPr>
          <w:rFonts w:ascii="Palatino Linotype" w:hAnsi="Palatino Linotype"/>
          <w:i/>
          <w:iCs/>
          <w:sz w:val="22"/>
          <w:szCs w:val="22"/>
        </w:rPr>
        <w:t xml:space="preserve"> El finiquito.</w:t>
      </w:r>
    </w:p>
    <w:p w14:paraId="502B1A00" w14:textId="2256C59D"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p>
    <w:p w14:paraId="75E7D2B3" w14:textId="123861F7"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b/>
          <w:bCs/>
          <w:i/>
          <w:iCs/>
          <w:sz w:val="22"/>
          <w:szCs w:val="22"/>
        </w:rPr>
        <w:t>XXXV.</w:t>
      </w:r>
      <w:r w:rsidRPr="00B10772">
        <w:rPr>
          <w:rFonts w:ascii="Palatino Linotype" w:hAnsi="Palatino Linotype"/>
          <w:i/>
          <w:iCs/>
          <w:sz w:val="22"/>
          <w:szCs w:val="22"/>
        </w:rPr>
        <w:t xml:space="preserve"> </w:t>
      </w:r>
      <w:r w:rsidRPr="00B10772">
        <w:rPr>
          <w:rFonts w:ascii="Palatino Linotype" w:hAnsi="Palatino Linotype"/>
          <w:b/>
          <w:bCs/>
          <w:i/>
          <w:iCs/>
          <w:sz w:val="22"/>
          <w:szCs w:val="22"/>
        </w:rPr>
        <w:t>Informes de avances programáticos o presupuestales, balances generales y estado financiero</w:t>
      </w:r>
      <w:r w:rsidRPr="00B10772">
        <w:rPr>
          <w:rFonts w:ascii="Palatino Linotype" w:hAnsi="Palatino Linotype"/>
          <w:i/>
          <w:iCs/>
          <w:sz w:val="22"/>
          <w:szCs w:val="22"/>
        </w:rPr>
        <w:t>;</w:t>
      </w:r>
    </w:p>
    <w:p w14:paraId="1812EF7D" w14:textId="770CDC2F" w:rsidR="00673201" w:rsidRPr="00B10772" w:rsidRDefault="00673201" w:rsidP="00673201">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10772">
        <w:rPr>
          <w:rFonts w:ascii="Palatino Linotype" w:hAnsi="Palatino Linotype"/>
          <w:i/>
          <w:iCs/>
          <w:sz w:val="22"/>
          <w:szCs w:val="22"/>
        </w:rPr>
        <w:t>(…)”</w:t>
      </w:r>
    </w:p>
    <w:p w14:paraId="3B80121F" w14:textId="77777777" w:rsidR="00673201" w:rsidRPr="00B10772" w:rsidRDefault="00673201"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F097779" w14:textId="542DAAF3" w:rsidR="004D7D46" w:rsidRPr="00B10772" w:rsidRDefault="004D7D46"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D</w:t>
      </w:r>
      <w:r w:rsidR="00F85CE1" w:rsidRPr="00B10772">
        <w:rPr>
          <w:rFonts w:ascii="Palatino Linotype" w:hAnsi="Palatino Linotype"/>
          <w:color w:val="000000" w:themeColor="text1"/>
        </w:rPr>
        <w:t xml:space="preserve">e tal manera que </w:t>
      </w:r>
      <w:r w:rsidR="009929D2" w:rsidRPr="00B10772">
        <w:rPr>
          <w:rFonts w:ascii="Palatino Linotype" w:hAnsi="Palatino Linotype"/>
          <w:color w:val="000000" w:themeColor="text1"/>
        </w:rPr>
        <w:t>todo gasto que realicen los Sujetos Obligados</w:t>
      </w:r>
      <w:r w:rsidR="00EC2AF0" w:rsidRPr="00B10772">
        <w:rPr>
          <w:rFonts w:ascii="Palatino Linotype" w:hAnsi="Palatino Linotype"/>
          <w:color w:val="000000" w:themeColor="text1"/>
        </w:rPr>
        <w:t xml:space="preserve">, derivado de la la contratación o adquisición de cualquier tipo de bienes y/o servicios, </w:t>
      </w:r>
      <w:r w:rsidR="00F85CE1" w:rsidRPr="00B10772">
        <w:rPr>
          <w:rFonts w:ascii="Palatino Linotype" w:hAnsi="Palatino Linotype"/>
          <w:color w:val="000000" w:themeColor="text1"/>
        </w:rPr>
        <w:t xml:space="preserve">será información pública, </w:t>
      </w:r>
      <w:r w:rsidR="00EC2AF0" w:rsidRPr="00B10772">
        <w:rPr>
          <w:rFonts w:ascii="Palatino Linotype" w:hAnsi="Palatino Linotype"/>
          <w:color w:val="000000" w:themeColor="text1"/>
        </w:rPr>
        <w:t xml:space="preserve">ya que </w:t>
      </w:r>
      <w:r w:rsidR="00F85CE1" w:rsidRPr="00B10772">
        <w:rPr>
          <w:rFonts w:ascii="Palatino Linotype" w:hAnsi="Palatino Linotype"/>
          <w:color w:val="000000" w:themeColor="text1"/>
        </w:rPr>
        <w:t xml:space="preserve">por su naturaleza, deberá ser difundida de manera permanente a la ciudadanía, pues </w:t>
      </w:r>
      <w:r w:rsidR="00EC2AF0" w:rsidRPr="00B10772">
        <w:rPr>
          <w:rFonts w:ascii="Palatino Linotype" w:hAnsi="Palatino Linotype"/>
          <w:color w:val="000000" w:themeColor="text1"/>
        </w:rPr>
        <w:t>toda erogación presupone</w:t>
      </w:r>
      <w:r w:rsidR="00F85CE1" w:rsidRPr="00B10772">
        <w:rPr>
          <w:rFonts w:ascii="Palatino Linotype" w:hAnsi="Palatino Linotype"/>
          <w:color w:val="000000" w:themeColor="text1"/>
        </w:rPr>
        <w:t xml:space="preserve"> el uso de recursos públicos, los cuales deben estar en constante vigilancia y calificación por parte de la ciudadanía.</w:t>
      </w:r>
    </w:p>
    <w:p w14:paraId="215BD703"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6FFBAA9" w14:textId="4002E24D" w:rsidR="001305E4" w:rsidRPr="00B10772" w:rsidRDefault="00444E90"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las cosas, el artículo 115 de la Constitución Política de los Estados Unidos Mexicanos, en su fracción II, establece que </w:t>
      </w:r>
      <w:r w:rsidRPr="00B10772">
        <w:rPr>
          <w:rFonts w:ascii="Palatino Linotype" w:hAnsi="Palatino Linotype"/>
          <w:b/>
          <w:bCs/>
          <w:color w:val="000000" w:themeColor="text1"/>
        </w:rPr>
        <w:t>los municipios estarán investidos de personalidad jurídica y manejarán su patrimonio conforme a la ley</w:t>
      </w:r>
      <w:r w:rsidRPr="00B10772">
        <w:rPr>
          <w:rFonts w:ascii="Palatino Linotype" w:hAnsi="Palatino Linotype"/>
          <w:color w:val="000000" w:themeColor="text1"/>
        </w:rPr>
        <w:t xml:space="preserve">. Asimismo, reconoce que los ayuntamientos tendrán facultades para aprobar, de acuerdo con </w:t>
      </w:r>
      <w:r w:rsidRPr="00B10772">
        <w:rPr>
          <w:rFonts w:ascii="Palatino Linotype" w:hAnsi="Palatino Linotype"/>
          <w:color w:val="000000" w:themeColor="text1"/>
        </w:rPr>
        <w:lastRenderedPageBreak/>
        <w:t xml:space="preserve">las leyes en materia municipal que deberán expedir las legislaturas de los Estados, los bandos de policía y gobierno, los reglamentos, circulares y disposiciones administrativas de observancia general dentro de sus respectivas jurisdicciones, que </w:t>
      </w:r>
      <w:r w:rsidRPr="00B10772">
        <w:rPr>
          <w:rFonts w:ascii="Palatino Linotype" w:hAnsi="Palatino Linotype"/>
          <w:b/>
          <w:color w:val="000000" w:themeColor="text1"/>
        </w:rPr>
        <w:t xml:space="preserve">organicen la administración pública municipal, regulen las materias, procedimientos, </w:t>
      </w:r>
      <w:r w:rsidRPr="00B10772">
        <w:rPr>
          <w:rFonts w:ascii="Palatino Linotype" w:hAnsi="Palatino Linotype"/>
          <w:bCs/>
          <w:color w:val="000000" w:themeColor="text1"/>
        </w:rPr>
        <w:t>funciones y servicios públicos de su competencia</w:t>
      </w:r>
      <w:r w:rsidRPr="00B10772">
        <w:rPr>
          <w:rFonts w:ascii="Palatino Linotype" w:hAnsi="Palatino Linotype"/>
          <w:color w:val="000000" w:themeColor="text1"/>
        </w:rPr>
        <w:t xml:space="preserve"> y aseguren la participación ciudadana y vecinal.</w:t>
      </w:r>
    </w:p>
    <w:p w14:paraId="49B08168" w14:textId="77777777" w:rsidR="00444E90" w:rsidRPr="00B10772" w:rsidRDefault="00444E90" w:rsidP="00444E90">
      <w:pPr>
        <w:pStyle w:val="Prrafodelista"/>
        <w:tabs>
          <w:tab w:val="left" w:pos="426"/>
        </w:tabs>
        <w:spacing w:before="240" w:after="240" w:line="360" w:lineRule="auto"/>
        <w:ind w:left="0" w:right="51"/>
        <w:jc w:val="both"/>
        <w:rPr>
          <w:rFonts w:ascii="Palatino Linotype" w:hAnsi="Palatino Linotype"/>
          <w:color w:val="000000" w:themeColor="text1"/>
        </w:rPr>
      </w:pPr>
    </w:p>
    <w:p w14:paraId="6537B1E8" w14:textId="7268E82B" w:rsidR="00444E90" w:rsidRPr="00B10772" w:rsidRDefault="00444E90"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Correlativo a lo anterior, la Ley Orgánica Municipal del Estado de México establece que cada municipio será gobernado por un ayuntamiento de elección popular directa y no habrá ninguna autoridad intermedia entre éste y el Gobierno del Estado</w:t>
      </w:r>
      <w:r w:rsidRPr="00B10772">
        <w:rPr>
          <w:rStyle w:val="Refdenotaalpie"/>
          <w:rFonts w:ascii="Palatino Linotype" w:hAnsi="Palatino Linotype"/>
          <w:color w:val="000000" w:themeColor="text1"/>
        </w:rPr>
        <w:footnoteReference w:id="18"/>
      </w:r>
      <w:r w:rsidRPr="00B10772">
        <w:rPr>
          <w:rFonts w:ascii="Palatino Linotype" w:hAnsi="Palatino Linotype"/>
          <w:color w:val="000000" w:themeColor="text1"/>
        </w:rPr>
        <w:t>; asimismo, se integrarán por un Presidente, un Síndico y los Regidores que se determinen según el principio de representación proporcional</w:t>
      </w:r>
      <w:r w:rsidRPr="00B10772">
        <w:rPr>
          <w:rStyle w:val="Refdenotaalpie"/>
          <w:rFonts w:ascii="Palatino Linotype" w:hAnsi="Palatino Linotype"/>
          <w:color w:val="000000" w:themeColor="text1"/>
        </w:rPr>
        <w:footnoteReference w:id="19"/>
      </w:r>
      <w:r w:rsidRPr="00B10772">
        <w:rPr>
          <w:rFonts w:ascii="Palatino Linotype" w:hAnsi="Palatino Linotype"/>
          <w:color w:val="000000" w:themeColor="text1"/>
        </w:rPr>
        <w:t>.</w:t>
      </w:r>
    </w:p>
    <w:p w14:paraId="19ADBFF1" w14:textId="77777777" w:rsidR="00444E90" w:rsidRPr="00B10772" w:rsidRDefault="00444E90" w:rsidP="00444E90">
      <w:pPr>
        <w:pStyle w:val="Prrafodelista"/>
        <w:tabs>
          <w:tab w:val="left" w:pos="426"/>
        </w:tabs>
        <w:spacing w:before="240" w:after="240" w:line="360" w:lineRule="auto"/>
        <w:ind w:left="0" w:right="51"/>
        <w:jc w:val="both"/>
        <w:rPr>
          <w:rFonts w:ascii="Palatino Linotype" w:hAnsi="Palatino Linotype"/>
          <w:color w:val="000000" w:themeColor="text1"/>
        </w:rPr>
      </w:pPr>
    </w:p>
    <w:p w14:paraId="3CF2ACDE" w14:textId="04F3F177" w:rsidR="00444E90" w:rsidRPr="00B10772" w:rsidRDefault="00444E90"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Para el despacho, estudio y planeación de los diversos asuntos de la administración municipal, el ayuntamiento contará por lo menos con las siguientes Dependencias</w:t>
      </w:r>
      <w:r w:rsidRPr="00B10772">
        <w:rPr>
          <w:rStyle w:val="Refdenotaalpie"/>
          <w:rFonts w:ascii="Palatino Linotype" w:hAnsi="Palatino Linotype"/>
          <w:color w:val="000000" w:themeColor="text1"/>
        </w:rPr>
        <w:footnoteReference w:id="20"/>
      </w:r>
      <w:r w:rsidRPr="00B10772">
        <w:rPr>
          <w:rFonts w:ascii="Palatino Linotype" w:hAnsi="Palatino Linotype"/>
          <w:color w:val="000000" w:themeColor="text1"/>
        </w:rPr>
        <w:t>:</w:t>
      </w:r>
    </w:p>
    <w:p w14:paraId="138A2833"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La secretaría del ayuntamiento;</w:t>
      </w:r>
    </w:p>
    <w:p w14:paraId="3634D60A"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b/>
          <w:bCs/>
          <w:color w:val="000000" w:themeColor="text1"/>
        </w:rPr>
      </w:pPr>
      <w:r w:rsidRPr="00B10772">
        <w:rPr>
          <w:rFonts w:ascii="Palatino Linotype" w:hAnsi="Palatino Linotype"/>
          <w:b/>
          <w:bCs/>
          <w:color w:val="000000" w:themeColor="text1"/>
        </w:rPr>
        <w:t>La tesorería municipal.</w:t>
      </w:r>
    </w:p>
    <w:p w14:paraId="2404093D"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La Dirección de Obras Públicas o equivalente.</w:t>
      </w:r>
    </w:p>
    <w:p w14:paraId="49E32733"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bCs/>
          <w:color w:val="000000" w:themeColor="text1"/>
        </w:rPr>
      </w:pPr>
      <w:r w:rsidRPr="00B10772">
        <w:rPr>
          <w:rFonts w:ascii="Palatino Linotype" w:hAnsi="Palatino Linotype"/>
          <w:bCs/>
          <w:color w:val="000000" w:themeColor="text1"/>
        </w:rPr>
        <w:t>La Dirección de Desarrollo Económico o equivalente.</w:t>
      </w:r>
    </w:p>
    <w:p w14:paraId="2A63B8A7"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La Dirección de Desarrollo Urbano o equivalente;</w:t>
      </w:r>
    </w:p>
    <w:p w14:paraId="4EAFB270"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 xml:space="preserve">La Dirección de Ecología o equivalente; y </w:t>
      </w:r>
    </w:p>
    <w:p w14:paraId="455D4F60" w14:textId="77777777"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 xml:space="preserve">La Dirección de Desarrollo Social o equivalente, y </w:t>
      </w:r>
    </w:p>
    <w:p w14:paraId="1D8308AC" w14:textId="27BAE3CD" w:rsidR="00444E90" w:rsidRPr="00B10772" w:rsidRDefault="00444E90" w:rsidP="00444E90">
      <w:pPr>
        <w:pStyle w:val="Prrafodelista"/>
        <w:numPr>
          <w:ilvl w:val="1"/>
          <w:numId w:val="24"/>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lastRenderedPageBreak/>
        <w:t>La Coordinación Municipal de Protección Civil o equivalente.</w:t>
      </w:r>
    </w:p>
    <w:p w14:paraId="2C321739" w14:textId="77777777" w:rsidR="00444E90" w:rsidRPr="00B10772" w:rsidRDefault="00444E90" w:rsidP="00444E90">
      <w:pPr>
        <w:pStyle w:val="Prrafodelista"/>
        <w:tabs>
          <w:tab w:val="left" w:pos="426"/>
        </w:tabs>
        <w:spacing w:before="240" w:after="240" w:line="360" w:lineRule="auto"/>
        <w:ind w:left="0" w:right="51"/>
        <w:jc w:val="both"/>
        <w:rPr>
          <w:rFonts w:ascii="Palatino Linotype" w:hAnsi="Palatino Linotype"/>
          <w:color w:val="000000" w:themeColor="text1"/>
        </w:rPr>
      </w:pPr>
    </w:p>
    <w:p w14:paraId="0AED9862" w14:textId="06688C80" w:rsidR="00444E90" w:rsidRPr="00B10772" w:rsidRDefault="00444E90"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Lo anterior es recuperado dentro del Bando Municipal de Donato Guerra, pues en su dispositivo 44 establece que para el despacho de los asuntos municipales, el Cabildo se auxiliará de dependencias, áreas administrativas, organismos públicos descentralizados, autónomos y desconcentrados de la administración pública municipal que considere necesarios para el desarrollo de sus actividades</w:t>
      </w:r>
      <w:r w:rsidR="00793027" w:rsidRPr="00B10772">
        <w:rPr>
          <w:rFonts w:ascii="Palatino Linotype" w:hAnsi="Palatino Linotype"/>
          <w:color w:val="000000" w:themeColor="text1"/>
        </w:rPr>
        <w:t xml:space="preserve">, dentro de las que se destaca la </w:t>
      </w:r>
      <w:r w:rsidR="00793027" w:rsidRPr="00B10772">
        <w:rPr>
          <w:rFonts w:ascii="Palatino Linotype" w:hAnsi="Palatino Linotype"/>
          <w:b/>
          <w:bCs/>
          <w:color w:val="000000" w:themeColor="text1"/>
        </w:rPr>
        <w:t>Tesorería Municipal</w:t>
      </w:r>
      <w:r w:rsidR="00793027" w:rsidRPr="00B10772">
        <w:rPr>
          <w:rFonts w:ascii="Palatino Linotype" w:hAnsi="Palatino Linotype"/>
          <w:color w:val="000000" w:themeColor="text1"/>
        </w:rPr>
        <w:t xml:space="preserve">, la cual contará con tres departamentos: </w:t>
      </w:r>
      <w:r w:rsidR="00793027" w:rsidRPr="00B10772">
        <w:rPr>
          <w:rFonts w:ascii="Palatino Linotype" w:hAnsi="Palatino Linotype"/>
          <w:b/>
          <w:bCs/>
          <w:color w:val="000000" w:themeColor="text1"/>
        </w:rPr>
        <w:t>a) Adquisiciones</w:t>
      </w:r>
      <w:r w:rsidR="00793027" w:rsidRPr="00B10772">
        <w:rPr>
          <w:rFonts w:ascii="Palatino Linotype" w:hAnsi="Palatino Linotype"/>
          <w:color w:val="000000" w:themeColor="text1"/>
        </w:rPr>
        <w:t xml:space="preserve">; </w:t>
      </w:r>
      <w:r w:rsidR="00793027" w:rsidRPr="00B10772">
        <w:rPr>
          <w:rFonts w:ascii="Palatino Linotype" w:hAnsi="Palatino Linotype"/>
          <w:b/>
          <w:bCs/>
          <w:color w:val="000000" w:themeColor="text1"/>
        </w:rPr>
        <w:t>b)</w:t>
      </w:r>
      <w:r w:rsidR="00793027" w:rsidRPr="00B10772">
        <w:rPr>
          <w:rFonts w:ascii="Palatino Linotype" w:hAnsi="Palatino Linotype"/>
          <w:color w:val="000000" w:themeColor="text1"/>
        </w:rPr>
        <w:t xml:space="preserve"> Bodega; y, </w:t>
      </w:r>
      <w:r w:rsidR="00793027" w:rsidRPr="00B10772">
        <w:rPr>
          <w:rFonts w:ascii="Palatino Linotype" w:hAnsi="Palatino Linotype"/>
          <w:b/>
          <w:bCs/>
          <w:color w:val="000000" w:themeColor="text1"/>
        </w:rPr>
        <w:t>c)</w:t>
      </w:r>
      <w:r w:rsidR="00793027" w:rsidRPr="00B10772">
        <w:rPr>
          <w:rFonts w:ascii="Palatino Linotype" w:hAnsi="Palatino Linotype"/>
          <w:color w:val="000000" w:themeColor="text1"/>
        </w:rPr>
        <w:t xml:space="preserve"> Cajero.</w:t>
      </w:r>
    </w:p>
    <w:p w14:paraId="3D7AD5DA" w14:textId="77777777" w:rsidR="00444E90" w:rsidRPr="00B10772" w:rsidRDefault="00444E90" w:rsidP="00444E90">
      <w:pPr>
        <w:pStyle w:val="Prrafodelista"/>
        <w:tabs>
          <w:tab w:val="left" w:pos="426"/>
        </w:tabs>
        <w:spacing w:before="240" w:after="240" w:line="360" w:lineRule="auto"/>
        <w:ind w:left="0" w:right="51"/>
        <w:jc w:val="both"/>
        <w:rPr>
          <w:rFonts w:ascii="Palatino Linotype" w:hAnsi="Palatino Linotype"/>
          <w:color w:val="000000" w:themeColor="text1"/>
        </w:rPr>
      </w:pPr>
    </w:p>
    <w:p w14:paraId="6D9BF143" w14:textId="74F03F18" w:rsidR="004D7D46" w:rsidRPr="00B10772" w:rsidRDefault="00444E90"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D</w:t>
      </w:r>
      <w:r w:rsidR="00EC2AF0" w:rsidRPr="00B10772">
        <w:rPr>
          <w:rFonts w:ascii="Palatino Linotype" w:hAnsi="Palatino Linotype"/>
          <w:color w:val="000000" w:themeColor="text1"/>
        </w:rPr>
        <w:t xml:space="preserve">icho lo anterior, </w:t>
      </w:r>
      <w:r w:rsidR="00793027" w:rsidRPr="00B10772">
        <w:rPr>
          <w:rFonts w:ascii="Palatino Linotype" w:hAnsi="Palatino Linotype"/>
          <w:color w:val="000000" w:themeColor="text1"/>
        </w:rPr>
        <w:t>no es ocioso reiterar</w:t>
      </w:r>
      <w:r w:rsidR="00EC2AF0" w:rsidRPr="00B10772">
        <w:rPr>
          <w:rFonts w:ascii="Palatino Linotype" w:hAnsi="Palatino Linotype"/>
          <w:color w:val="000000" w:themeColor="text1"/>
        </w:rPr>
        <w:t xml:space="preserve"> que el área administrativa que se encargó de dar respuesta a la solicitud de información fue la </w:t>
      </w:r>
      <w:r w:rsidR="00EC2AF0" w:rsidRPr="00B10772">
        <w:rPr>
          <w:rFonts w:ascii="Palatino Linotype" w:hAnsi="Palatino Linotype"/>
          <w:b/>
          <w:bCs/>
          <w:color w:val="000000" w:themeColor="text1"/>
        </w:rPr>
        <w:t>Tesorería Municipal</w:t>
      </w:r>
      <w:r w:rsidR="00EC2AF0" w:rsidRPr="00B10772">
        <w:rPr>
          <w:rFonts w:ascii="Palatino Linotype" w:hAnsi="Palatino Linotype"/>
          <w:color w:val="000000" w:themeColor="text1"/>
        </w:rPr>
        <w:t xml:space="preserve">; la cual, de conformidad con lo dispuesto por el artículo </w:t>
      </w:r>
      <w:r w:rsidR="00C33BCB" w:rsidRPr="00B10772">
        <w:rPr>
          <w:rFonts w:ascii="Palatino Linotype" w:hAnsi="Palatino Linotype"/>
          <w:color w:val="000000" w:themeColor="text1"/>
        </w:rPr>
        <w:t>95 de la Ley Orgánica Municipal del Estado de México tendrá, entre sus atribuciones, las siguientes:</w:t>
      </w:r>
    </w:p>
    <w:p w14:paraId="4BBD19D4" w14:textId="5DE4BAB0"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84C3620" w14:textId="67E562DE"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r w:rsidRPr="00B10772">
        <w:rPr>
          <w:rFonts w:ascii="Palatino Linotype" w:hAnsi="Palatino Linotype"/>
          <w:b/>
          <w:bCs/>
          <w:i/>
          <w:iCs/>
          <w:sz w:val="22"/>
          <w:szCs w:val="22"/>
        </w:rPr>
        <w:t>Artículo 95.-</w:t>
      </w:r>
      <w:r w:rsidRPr="00B10772">
        <w:rPr>
          <w:rFonts w:ascii="Palatino Linotype" w:hAnsi="Palatino Linotype"/>
          <w:i/>
          <w:iCs/>
          <w:sz w:val="22"/>
          <w:szCs w:val="22"/>
        </w:rPr>
        <w:t xml:space="preserve"> Son atribuciones del tesorero municipal: </w:t>
      </w:r>
    </w:p>
    <w:p w14:paraId="2ADACE2D" w14:textId="7EC5572B"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b/>
          <w:bCs/>
          <w:i/>
          <w:iCs/>
          <w:sz w:val="22"/>
          <w:szCs w:val="22"/>
        </w:rPr>
        <w:t>I.</w:t>
      </w:r>
      <w:r w:rsidRPr="00B10772">
        <w:rPr>
          <w:rFonts w:ascii="Palatino Linotype" w:hAnsi="Palatino Linotype"/>
          <w:i/>
          <w:iCs/>
          <w:sz w:val="22"/>
          <w:szCs w:val="22"/>
        </w:rPr>
        <w:t xml:space="preserve"> </w:t>
      </w:r>
      <w:r w:rsidRPr="00B10772">
        <w:rPr>
          <w:rFonts w:ascii="Palatino Linotype" w:hAnsi="Palatino Linotype"/>
          <w:b/>
          <w:bCs/>
          <w:i/>
          <w:iCs/>
          <w:sz w:val="22"/>
          <w:szCs w:val="22"/>
        </w:rPr>
        <w:t>Administrar la hacienda pública municipal</w:t>
      </w:r>
      <w:r w:rsidRPr="00B10772">
        <w:rPr>
          <w:rFonts w:ascii="Palatino Linotype" w:hAnsi="Palatino Linotype"/>
          <w:i/>
          <w:iCs/>
          <w:sz w:val="22"/>
          <w:szCs w:val="22"/>
        </w:rPr>
        <w:t>, de conformidad con las disposiciones legales aplicables;</w:t>
      </w:r>
    </w:p>
    <w:p w14:paraId="73ADFBE3" w14:textId="1ED6862B"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p>
    <w:p w14:paraId="26E5F20B" w14:textId="7B10104A"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b/>
          <w:bCs/>
          <w:i/>
          <w:iCs/>
          <w:sz w:val="22"/>
          <w:szCs w:val="22"/>
        </w:rPr>
        <w:t>IV.</w:t>
      </w:r>
      <w:r w:rsidRPr="00B10772">
        <w:rPr>
          <w:rFonts w:ascii="Palatino Linotype" w:hAnsi="Palatino Linotype"/>
          <w:i/>
          <w:iCs/>
          <w:sz w:val="22"/>
          <w:szCs w:val="22"/>
        </w:rPr>
        <w:t xml:space="preserve"> </w:t>
      </w:r>
      <w:r w:rsidRPr="00B10772">
        <w:rPr>
          <w:rFonts w:ascii="Palatino Linotype" w:hAnsi="Palatino Linotype"/>
          <w:b/>
          <w:bCs/>
          <w:i/>
          <w:iCs/>
          <w:sz w:val="22"/>
          <w:szCs w:val="22"/>
        </w:rPr>
        <w:t>Llevar los registros contables</w:t>
      </w:r>
      <w:r w:rsidRPr="00B10772">
        <w:rPr>
          <w:rFonts w:ascii="Palatino Linotype" w:hAnsi="Palatino Linotype"/>
          <w:i/>
          <w:iCs/>
          <w:sz w:val="22"/>
          <w:szCs w:val="22"/>
        </w:rPr>
        <w:t>, financieros y administrativos de los ingresos, egresos, e inventarios;</w:t>
      </w:r>
    </w:p>
    <w:p w14:paraId="324DE690" w14:textId="32EBE67D"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p>
    <w:p w14:paraId="1EF62367" w14:textId="3470709B"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b/>
          <w:bCs/>
          <w:i/>
          <w:iCs/>
          <w:sz w:val="22"/>
          <w:szCs w:val="22"/>
        </w:rPr>
        <w:t>VI.</w:t>
      </w:r>
      <w:r w:rsidRPr="00B10772">
        <w:rPr>
          <w:rFonts w:ascii="Palatino Linotype" w:hAnsi="Palatino Linotype"/>
          <w:i/>
          <w:iCs/>
          <w:sz w:val="22"/>
          <w:szCs w:val="22"/>
        </w:rPr>
        <w:t xml:space="preserve"> </w:t>
      </w:r>
      <w:r w:rsidRPr="00B10772">
        <w:rPr>
          <w:rFonts w:ascii="Palatino Linotype" w:hAnsi="Palatino Linotype"/>
          <w:b/>
          <w:bCs/>
          <w:i/>
          <w:iCs/>
          <w:sz w:val="22"/>
          <w:szCs w:val="22"/>
        </w:rPr>
        <w:t>Presentar</w:t>
      </w:r>
      <w:r w:rsidRPr="00B10772">
        <w:rPr>
          <w:rFonts w:ascii="Palatino Linotype" w:hAnsi="Palatino Linotype"/>
          <w:i/>
          <w:iCs/>
          <w:sz w:val="22"/>
          <w:szCs w:val="22"/>
        </w:rPr>
        <w:t xml:space="preserve"> anualmente al ayuntamiento </w:t>
      </w:r>
      <w:r w:rsidRPr="00B10772">
        <w:rPr>
          <w:rFonts w:ascii="Palatino Linotype" w:hAnsi="Palatino Linotype"/>
          <w:b/>
          <w:bCs/>
          <w:i/>
          <w:iCs/>
          <w:sz w:val="22"/>
          <w:szCs w:val="22"/>
        </w:rPr>
        <w:t>un informe de la situación contable</w:t>
      </w:r>
      <w:r w:rsidRPr="00B10772">
        <w:rPr>
          <w:rFonts w:ascii="Palatino Linotype" w:hAnsi="Palatino Linotype"/>
          <w:i/>
          <w:iCs/>
          <w:sz w:val="22"/>
          <w:szCs w:val="22"/>
        </w:rPr>
        <w:t xml:space="preserve"> financiera de la Tesorería Municipal;</w:t>
      </w:r>
    </w:p>
    <w:p w14:paraId="505F2BD6" w14:textId="660EC513"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i/>
          <w:iCs/>
          <w:sz w:val="22"/>
          <w:szCs w:val="22"/>
        </w:rPr>
      </w:pPr>
      <w:r w:rsidRPr="00B10772">
        <w:rPr>
          <w:rFonts w:ascii="Palatino Linotype" w:hAnsi="Palatino Linotype"/>
          <w:i/>
          <w:iCs/>
          <w:sz w:val="22"/>
          <w:szCs w:val="22"/>
        </w:rPr>
        <w:t>(…)”</w:t>
      </w:r>
    </w:p>
    <w:p w14:paraId="5FAB4F5B" w14:textId="329BDF4E" w:rsidR="00C33BCB" w:rsidRPr="00B10772" w:rsidRDefault="00C33BCB" w:rsidP="00C33BCB">
      <w:pPr>
        <w:pStyle w:val="Prrafodelista"/>
        <w:tabs>
          <w:tab w:val="left" w:pos="426"/>
        </w:tabs>
        <w:spacing w:before="240" w:after="240" w:line="276" w:lineRule="auto"/>
        <w:ind w:left="567" w:right="567"/>
        <w:jc w:val="both"/>
        <w:rPr>
          <w:rFonts w:ascii="Palatino Linotype" w:hAnsi="Palatino Linotype"/>
          <w:sz w:val="22"/>
          <w:szCs w:val="22"/>
        </w:rPr>
      </w:pPr>
      <w:r w:rsidRPr="00B10772">
        <w:rPr>
          <w:rFonts w:ascii="Palatino Linotype" w:hAnsi="Palatino Linotype"/>
          <w:sz w:val="22"/>
          <w:szCs w:val="22"/>
        </w:rPr>
        <w:t>(Énfasis añadido)</w:t>
      </w:r>
    </w:p>
    <w:p w14:paraId="3956B39F" w14:textId="77777777" w:rsidR="00C33BCB" w:rsidRPr="00B10772" w:rsidRDefault="00C33BCB"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95969A1" w14:textId="3436D26B"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lastRenderedPageBreak/>
        <w:t>De lo anterior se coligue que la Unidad de Transparencia turnó adecuadamente la solicitud de información al área administrativa naturalmente competente para poseer, generar y/o administrar información relacionada con los gastos realizados por motivo de la pandemia provocada por el virus COVID-19.</w:t>
      </w:r>
    </w:p>
    <w:p w14:paraId="545463C3"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702FFD8D" w14:textId="10893FBF"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No es ocioso mencionar que todo gasto realizado por el</w:t>
      </w:r>
      <w:r w:rsidRPr="00B10772">
        <w:rPr>
          <w:rFonts w:ascii="Palatino Linotype" w:hAnsi="Palatino Linotype"/>
          <w:b/>
          <w:bCs/>
          <w:color w:val="000000" w:themeColor="text1"/>
        </w:rPr>
        <w:t xml:space="preserve"> SUJETO OBLIGADO</w:t>
      </w:r>
      <w:r w:rsidRPr="00B10772">
        <w:rPr>
          <w:rFonts w:ascii="Palatino Linotype" w:hAnsi="Palatino Linotype"/>
          <w:color w:val="000000" w:themeColor="text1"/>
        </w:rPr>
        <w:t xml:space="preserve"> es, naturalmente, pagado mediante la aplicación de fondos públicos, y </w:t>
      </w:r>
      <w:r w:rsidRPr="00B10772">
        <w:rPr>
          <w:rFonts w:ascii="Palatino Linotype" w:eastAsia="MS Mincho" w:hAnsi="Palatino Linotype" w:cs="Times New Roman"/>
        </w:rPr>
        <w:t>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1C008105" w14:textId="7C5F2B72"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6AFB912" w14:textId="77777777" w:rsidR="009942BB" w:rsidRPr="00B10772" w:rsidRDefault="009942BB" w:rsidP="009942BB">
      <w:pPr>
        <w:pStyle w:val="Prrafodelista"/>
        <w:spacing w:line="276" w:lineRule="auto"/>
        <w:ind w:left="567" w:right="567"/>
        <w:jc w:val="both"/>
        <w:rPr>
          <w:rFonts w:ascii="Palatino Linotype" w:eastAsia="Times New Roman" w:hAnsi="Palatino Linotype" w:cs="Arial"/>
          <w:b/>
          <w:i/>
          <w:iCs/>
          <w:sz w:val="22"/>
          <w:lang w:val="es-ES"/>
        </w:rPr>
      </w:pPr>
      <w:r w:rsidRPr="00B10772">
        <w:rPr>
          <w:rFonts w:ascii="Palatino Linotype" w:eastAsia="Times New Roman" w:hAnsi="Palatino Linotype" w:cs="Arial"/>
          <w:b/>
          <w:i/>
          <w:iCs/>
          <w:sz w:val="22"/>
          <w:lang w:val="es-ES"/>
        </w:rPr>
        <w:t>“Artículo 61.</w:t>
      </w:r>
    </w:p>
    <w:p w14:paraId="2E5BD90F" w14:textId="77777777" w:rsidR="009942BB" w:rsidRPr="00B10772" w:rsidRDefault="009942BB" w:rsidP="009942BB">
      <w:pPr>
        <w:pStyle w:val="Prrafodelista"/>
        <w:spacing w:line="276" w:lineRule="auto"/>
        <w:ind w:left="567" w:right="567"/>
        <w:jc w:val="both"/>
        <w:rPr>
          <w:rFonts w:ascii="Palatino Linotype" w:eastAsia="Times New Roman" w:hAnsi="Palatino Linotype" w:cs="Arial"/>
          <w:iCs/>
          <w:sz w:val="22"/>
          <w:szCs w:val="10"/>
          <w:lang w:val="es-ES"/>
        </w:rPr>
      </w:pPr>
      <w:r w:rsidRPr="00B10772">
        <w:rPr>
          <w:rFonts w:ascii="Palatino Linotype" w:eastAsia="Times New Roman" w:hAnsi="Palatino Linotype" w:cs="Arial"/>
          <w:iCs/>
          <w:sz w:val="22"/>
          <w:szCs w:val="10"/>
          <w:lang w:val="es-ES"/>
        </w:rPr>
        <w:t>(…)</w:t>
      </w:r>
    </w:p>
    <w:p w14:paraId="14A2CF0C" w14:textId="77777777" w:rsidR="009942BB" w:rsidRPr="00B10772" w:rsidRDefault="009942BB" w:rsidP="009942B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0772">
        <w:rPr>
          <w:rFonts w:ascii="Palatino Linotype" w:hAnsi="Palatino Linotype" w:cs="Bookman Old Style"/>
          <w:b/>
          <w:i/>
          <w:iCs/>
          <w:sz w:val="22"/>
        </w:rPr>
        <w:t>XXXIII.</w:t>
      </w:r>
      <w:r w:rsidRPr="00B10772">
        <w:rPr>
          <w:rFonts w:ascii="Palatino Linotype" w:hAnsi="Palatino Linotype" w:cs="Bookman Old Style"/>
          <w:i/>
          <w:iCs/>
          <w:sz w:val="22"/>
        </w:rPr>
        <w:t xml:space="preserve"> Revisar, por conducto del </w:t>
      </w:r>
      <w:r w:rsidRPr="00B10772">
        <w:rPr>
          <w:rFonts w:ascii="Palatino Linotype" w:hAnsi="Palatino Linotype" w:cs="Bookman Old Style"/>
          <w:b/>
          <w:i/>
          <w:iCs/>
          <w:sz w:val="22"/>
        </w:rPr>
        <w:t>Órgano Superior de Fiscalización del Estado de México</w:t>
      </w:r>
      <w:r w:rsidRPr="00B10772">
        <w:rPr>
          <w:rFonts w:ascii="Palatino Linotype" w:hAnsi="Palatino Linotype" w:cs="Bookman Old Style"/>
          <w:i/>
          <w:iCs/>
          <w:sz w:val="22"/>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44EDB47C" w14:textId="77777777" w:rsidR="009942BB" w:rsidRPr="00B10772" w:rsidRDefault="009942BB" w:rsidP="009942B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0772">
        <w:rPr>
          <w:rFonts w:ascii="Palatino Linotype" w:hAnsi="Palatino Linotype" w:cs="Bookman Old Style"/>
          <w:i/>
          <w:iCs/>
          <w:sz w:val="22"/>
        </w:rPr>
        <w:t>(…)</w:t>
      </w:r>
    </w:p>
    <w:p w14:paraId="6E31CA91" w14:textId="77777777" w:rsidR="009942BB" w:rsidRPr="00B10772" w:rsidRDefault="009942BB" w:rsidP="009942BB">
      <w:pPr>
        <w:pStyle w:val="Prrafodelista"/>
        <w:autoSpaceDE w:val="0"/>
        <w:autoSpaceDN w:val="0"/>
        <w:adjustRightInd w:val="0"/>
        <w:spacing w:line="276" w:lineRule="auto"/>
        <w:ind w:left="567" w:right="567"/>
        <w:jc w:val="both"/>
        <w:rPr>
          <w:rFonts w:ascii="Palatino Linotype" w:hAnsi="Palatino Linotype" w:cs="Bookman Old Style"/>
          <w:i/>
          <w:iCs/>
          <w:sz w:val="22"/>
        </w:rPr>
      </w:pPr>
      <w:r w:rsidRPr="00B10772">
        <w:rPr>
          <w:rFonts w:ascii="Palatino Linotype" w:hAnsi="Palatino Linotype" w:cs="Bookman Old Style"/>
          <w:b/>
          <w:i/>
          <w:iCs/>
          <w:sz w:val="22"/>
        </w:rPr>
        <w:t>XXXIV.</w:t>
      </w:r>
      <w:r w:rsidRPr="00B10772">
        <w:rPr>
          <w:rFonts w:ascii="Palatino Linotype" w:hAnsi="Palatino Linotype" w:cs="Bookman Old Style"/>
          <w:i/>
          <w:iCs/>
          <w:sz w:val="22"/>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10772">
        <w:rPr>
          <w:rFonts w:ascii="Palatino Linotype" w:hAnsi="Palatino Linotype" w:cs="Bookman Old Style"/>
          <w:b/>
          <w:i/>
          <w:iCs/>
          <w:sz w:val="22"/>
        </w:rPr>
        <w:t>Órgano Superior de Fiscalización</w:t>
      </w:r>
      <w:r w:rsidRPr="00B10772">
        <w:rPr>
          <w:rFonts w:ascii="Palatino Linotype" w:hAnsi="Palatino Linotype" w:cs="Bookman Old Style"/>
          <w:i/>
          <w:iCs/>
          <w:sz w:val="22"/>
        </w:rPr>
        <w:t>.”</w:t>
      </w:r>
    </w:p>
    <w:p w14:paraId="07350E7F" w14:textId="77777777" w:rsidR="009942BB" w:rsidRPr="00B10772" w:rsidRDefault="009942BB" w:rsidP="009942BB">
      <w:pPr>
        <w:pStyle w:val="Prrafodelista"/>
        <w:autoSpaceDE w:val="0"/>
        <w:autoSpaceDN w:val="0"/>
        <w:adjustRightInd w:val="0"/>
        <w:spacing w:line="276" w:lineRule="auto"/>
        <w:ind w:left="567" w:right="567"/>
        <w:jc w:val="both"/>
        <w:rPr>
          <w:rFonts w:ascii="Palatino Linotype" w:hAnsi="Palatino Linotype" w:cs="Bookman Old Style"/>
          <w:iCs/>
          <w:sz w:val="22"/>
        </w:rPr>
      </w:pPr>
      <w:r w:rsidRPr="00B10772">
        <w:rPr>
          <w:rFonts w:ascii="Palatino Linotype" w:hAnsi="Palatino Linotype" w:cs="Bookman Old Style"/>
          <w:iCs/>
          <w:sz w:val="22"/>
        </w:rPr>
        <w:t>(Énfasis añadido)</w:t>
      </w:r>
    </w:p>
    <w:p w14:paraId="1CD8449B" w14:textId="77777777" w:rsidR="009942BB" w:rsidRPr="00B10772" w:rsidRDefault="009942BB"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4446AD1" w14:textId="0BA3A883"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Correlativo </w:t>
      </w:r>
      <w:r w:rsidRPr="00B10772">
        <w:rPr>
          <w:rFonts w:ascii="Palatino Linotype" w:eastAsia="MS Mincho" w:hAnsi="Palatino Linotype" w:cs="Times New Roman"/>
        </w:rPr>
        <w:t xml:space="preserve">a lo anterior, la Ley de Fiscalización Superior del Estado de México, tiene por objeto establecer disposiciones encaminadas a fiscalizar, auditar y revisar </w:t>
      </w:r>
      <w:r w:rsidRPr="00B10772">
        <w:rPr>
          <w:rFonts w:ascii="Palatino Linotype" w:eastAsia="MS Mincho" w:hAnsi="Palatino Linotype" w:cs="Times New Roman"/>
        </w:rPr>
        <w:lastRenderedPageBreak/>
        <w:t xml:space="preserve">las cuentas y actos relativos a la aplicación de los recursos públicos del Estado de México y de los municipios; y en este sentido, se aprecia que el </w:t>
      </w:r>
      <w:r w:rsidRPr="00B10772">
        <w:rPr>
          <w:rFonts w:ascii="Palatino Linotype" w:eastAsia="MS Mincho" w:hAnsi="Palatino Linotype" w:cs="Times New Roman"/>
          <w:b/>
        </w:rPr>
        <w:t>SUJETO OBLIGADO</w:t>
      </w:r>
      <w:r w:rsidRPr="00B10772">
        <w:rPr>
          <w:rFonts w:ascii="Palatino Linotype" w:eastAsia="MS Mincho" w:hAnsi="Palatino Linotype" w:cs="Times New Roman"/>
        </w:rPr>
        <w:t xml:space="preserve"> se halla reconocido como un Sujeto de Fiscalización con base en los artículos 2, fracción II, y 4, fracción II:</w:t>
      </w:r>
    </w:p>
    <w:p w14:paraId="08EE5C14" w14:textId="0C26C2A1"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DBB68B9"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i/>
          <w:sz w:val="22"/>
        </w:rPr>
        <w:t>“</w:t>
      </w:r>
      <w:r w:rsidRPr="00B10772">
        <w:rPr>
          <w:rFonts w:ascii="Palatino Linotype" w:hAnsi="Palatino Linotype"/>
          <w:b/>
          <w:i/>
          <w:sz w:val="22"/>
        </w:rPr>
        <w:t>Artículo 2.</w:t>
      </w:r>
      <w:r w:rsidRPr="00B10772">
        <w:rPr>
          <w:rFonts w:ascii="Palatino Linotype" w:hAnsi="Palatino Linotype"/>
          <w:i/>
          <w:sz w:val="22"/>
        </w:rPr>
        <w:t xml:space="preserve"> Para los efectos de la presente Ley, se entenderá por:</w:t>
      </w:r>
    </w:p>
    <w:p w14:paraId="69AD45C4"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i/>
          <w:sz w:val="22"/>
        </w:rPr>
        <w:t>(…)</w:t>
      </w:r>
    </w:p>
    <w:p w14:paraId="375A51C3"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b/>
          <w:i/>
          <w:sz w:val="22"/>
        </w:rPr>
        <w:t>II.</w:t>
      </w:r>
      <w:r w:rsidRPr="00B10772">
        <w:rPr>
          <w:rFonts w:ascii="Palatino Linotype" w:hAnsi="Palatino Linotype"/>
          <w:i/>
          <w:sz w:val="22"/>
        </w:rPr>
        <w:t xml:space="preserve"> Municipios: A los Municipios del Estado;</w:t>
      </w:r>
    </w:p>
    <w:p w14:paraId="1EFF6C5A"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i/>
          <w:sz w:val="22"/>
        </w:rPr>
        <w:t>(…)</w:t>
      </w:r>
    </w:p>
    <w:p w14:paraId="47EC6940" w14:textId="77777777" w:rsidR="009942BB" w:rsidRPr="00B10772" w:rsidRDefault="009942BB" w:rsidP="009942BB">
      <w:pPr>
        <w:spacing w:line="276" w:lineRule="auto"/>
        <w:ind w:left="567" w:right="567"/>
        <w:contextualSpacing/>
        <w:jc w:val="both"/>
        <w:rPr>
          <w:rFonts w:ascii="Palatino Linotype" w:hAnsi="Palatino Linotype"/>
          <w:i/>
          <w:sz w:val="22"/>
        </w:rPr>
      </w:pPr>
    </w:p>
    <w:p w14:paraId="538E8AB3"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b/>
          <w:i/>
          <w:sz w:val="22"/>
        </w:rPr>
        <w:t>Artículo 4.-</w:t>
      </w:r>
      <w:r w:rsidRPr="00B10772">
        <w:rPr>
          <w:rFonts w:ascii="Palatino Linotype" w:hAnsi="Palatino Linotype"/>
          <w:i/>
          <w:sz w:val="22"/>
        </w:rPr>
        <w:t xml:space="preserve"> Son sujetos de fiscalización:</w:t>
      </w:r>
    </w:p>
    <w:p w14:paraId="1E6BD5B0"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i/>
          <w:sz w:val="22"/>
        </w:rPr>
        <w:t>(…)</w:t>
      </w:r>
    </w:p>
    <w:p w14:paraId="29F1808E"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b/>
          <w:i/>
          <w:sz w:val="22"/>
        </w:rPr>
        <w:t>II.</w:t>
      </w:r>
      <w:r w:rsidRPr="00B10772">
        <w:rPr>
          <w:rFonts w:ascii="Palatino Linotype" w:hAnsi="Palatino Linotype"/>
          <w:i/>
          <w:sz w:val="22"/>
        </w:rPr>
        <w:t xml:space="preserve"> Los municipios del Estado de México; </w:t>
      </w:r>
    </w:p>
    <w:p w14:paraId="30DD833B" w14:textId="77777777" w:rsidR="009942BB" w:rsidRPr="00B10772" w:rsidRDefault="009942BB" w:rsidP="009942BB">
      <w:pPr>
        <w:spacing w:line="276" w:lineRule="auto"/>
        <w:ind w:left="567" w:right="567"/>
        <w:contextualSpacing/>
        <w:jc w:val="both"/>
        <w:rPr>
          <w:rFonts w:ascii="Palatino Linotype" w:hAnsi="Palatino Linotype"/>
          <w:i/>
          <w:sz w:val="22"/>
        </w:rPr>
      </w:pPr>
      <w:r w:rsidRPr="00B10772">
        <w:rPr>
          <w:rFonts w:ascii="Palatino Linotype" w:hAnsi="Palatino Linotype"/>
          <w:i/>
          <w:sz w:val="22"/>
        </w:rPr>
        <w:t>(…)”</w:t>
      </w:r>
    </w:p>
    <w:p w14:paraId="58000E78" w14:textId="77777777" w:rsidR="009942BB" w:rsidRPr="00B10772" w:rsidRDefault="009942BB"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1D49E4F" w14:textId="44F9714D"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Establecido </w:t>
      </w:r>
      <w:r w:rsidRPr="00B10772">
        <w:rPr>
          <w:rFonts w:ascii="Palatino Linotype" w:eastAsia="MS Mincho" w:hAnsi="Palatino Linotype" w:cs="Times New Roman"/>
        </w:rPr>
        <w:t xml:space="preserve">lo anterior, el Órgano Superior de Fiscalización del Estado de México (OSFEM), emite anualmente una herramienta para elaborar y presentar los informes mensuales, denominado </w:t>
      </w:r>
      <w:r w:rsidRPr="00B10772">
        <w:rPr>
          <w:rFonts w:ascii="Palatino Linotype" w:eastAsia="MS Mincho" w:hAnsi="Palatino Linotype" w:cs="Times New Roman"/>
          <w:b/>
          <w:bCs/>
        </w:rPr>
        <w:t>“Políticas para la Integración del Informe Trimestral de los Sujetos de Fiscalización Municipales”</w:t>
      </w:r>
      <w:r w:rsidRPr="00B10772">
        <w:rPr>
          <w:rFonts w:ascii="Palatino Linotype" w:eastAsia="MS Mincho" w:hAnsi="Palatino Linotype" w:cs="Times New Roman"/>
        </w:rPr>
        <w:t>, cuyo objetivo es establecer las especificaciones necesarias para que las entidades fiscales elaboren y presentes los referidos informes.</w:t>
      </w:r>
    </w:p>
    <w:p w14:paraId="63334986"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16B74EE" w14:textId="4A8A4EB9"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Las políticas </w:t>
      </w:r>
      <w:r w:rsidRPr="00B10772">
        <w:rPr>
          <w:rFonts w:ascii="Palatino Linotype" w:hAnsi="Palatino Linotype"/>
          <w:color w:val="000000" w:themeColor="text1"/>
          <w:lang w:val="es-ES_tradnl"/>
        </w:rPr>
        <w:t>son de observancia general para todos los servidores públicos de las entidades fiscalizables de la administración pública municipal que desempeñen un empleo, cargo o comisión y que manejen recursos públicos.</w:t>
      </w:r>
    </w:p>
    <w:p w14:paraId="141B1E62"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56AFB33" w14:textId="55EA61D9"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lastRenderedPageBreak/>
        <w:t xml:space="preserve">La </w:t>
      </w:r>
      <w:r w:rsidRPr="00B10772">
        <w:rPr>
          <w:rFonts w:ascii="Palatino Linotype" w:eastAsia="MS Mincho" w:hAnsi="Palatino Linotype" w:cs="Times New Roman"/>
        </w:rPr>
        <w:t>integración del Informe Trimestral se entregará de manera física al Órgano Superior de Fiscalización del Estado de México, y estará compuesto de la siguiente manera:</w:t>
      </w:r>
    </w:p>
    <w:p w14:paraId="1BB89980" w14:textId="7C76DE2C" w:rsidR="009942BB" w:rsidRPr="00B10772" w:rsidRDefault="009942BB" w:rsidP="009942BB">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eastAsia="MS Mincho" w:hAnsi="Palatino Linotype" w:cs="Times New Roman"/>
        </w:rPr>
        <w:t>Información impresa; e</w:t>
      </w:r>
    </w:p>
    <w:p w14:paraId="77363A36" w14:textId="70BAF609" w:rsidR="009942BB" w:rsidRPr="00B10772" w:rsidRDefault="009942BB" w:rsidP="009942BB">
      <w:pPr>
        <w:pStyle w:val="Prrafodelista"/>
        <w:numPr>
          <w:ilvl w:val="1"/>
          <w:numId w:val="22"/>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eastAsia="MS Mincho" w:hAnsi="Palatino Linotype" w:cs="Times New Roman"/>
        </w:rPr>
        <w:t>Información en medio de almacenamiento electrónico, discos compactos (CD).</w:t>
      </w:r>
    </w:p>
    <w:p w14:paraId="36A0C4DE"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02DEED28" w14:textId="32B38CF8" w:rsidR="004D7D46" w:rsidRPr="00B10772" w:rsidRDefault="009942BB"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Por </w:t>
      </w:r>
      <w:r w:rsidRPr="00B10772">
        <w:rPr>
          <w:rFonts w:ascii="Palatino Linotype" w:eastAsia="MS Mincho" w:hAnsi="Palatino Linotype" w:cs="Times New Roman"/>
        </w:rPr>
        <w:t>cuanto hace a la información en medio de almacenamiento electrónico, los Lineamientos para la Entrega del Informe Trimestral Municipal, refieren que comprenderá documentos digitalizados y en formato PDF, XLS, XML, así como TXT, la cual se integrará en seis módulos, a saber:</w:t>
      </w:r>
    </w:p>
    <w:p w14:paraId="232E6380" w14:textId="47A9B98F"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5406CFA" w14:textId="55653F03" w:rsidR="009942BB" w:rsidRPr="00B10772" w:rsidRDefault="009942BB" w:rsidP="009942BB">
      <w:pPr>
        <w:pStyle w:val="Prrafodelista"/>
        <w:tabs>
          <w:tab w:val="left" w:pos="426"/>
        </w:tabs>
        <w:spacing w:before="240" w:after="240" w:line="360" w:lineRule="auto"/>
        <w:ind w:left="0" w:right="51"/>
        <w:jc w:val="center"/>
        <w:rPr>
          <w:rFonts w:ascii="Palatino Linotype" w:hAnsi="Palatino Linotype"/>
          <w:color w:val="000000" w:themeColor="text1"/>
        </w:rPr>
      </w:pPr>
      <w:r w:rsidRPr="00B10772">
        <w:object w:dxaOrig="12765" w:dyaOrig="5235" w14:anchorId="759AF992">
          <v:shape id="_x0000_i1028" type="#_x0000_t75" style="width:384.2pt;height:157.9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4988786" r:id="rId15"/>
        </w:object>
      </w:r>
    </w:p>
    <w:p w14:paraId="0A44628D" w14:textId="77777777" w:rsidR="009942BB" w:rsidRPr="00B10772" w:rsidRDefault="009942BB"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681E306" w14:textId="034AD00A" w:rsidR="004D7D46" w:rsidRPr="00B10772" w:rsidRDefault="00BA544E"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Respecto al contenido del Módulo 1, de la Información Contable y Administrativa, éste se compondrá de cuatro submódulos:</w:t>
      </w:r>
    </w:p>
    <w:p w14:paraId="681BBBB0" w14:textId="7F4179E6" w:rsidR="00BA544E" w:rsidRPr="00B10772" w:rsidRDefault="00BA544E" w:rsidP="00BA544E">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Estados Financieros</w:t>
      </w:r>
    </w:p>
    <w:p w14:paraId="0DEE6FD5" w14:textId="7BDCAFD7" w:rsidR="00BA544E" w:rsidRPr="00B10772" w:rsidRDefault="00BA544E" w:rsidP="00BA544E">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Formatos Auxiliares</w:t>
      </w:r>
    </w:p>
    <w:p w14:paraId="5C52BA13" w14:textId="6CA38B3B" w:rsidR="00BA544E" w:rsidRPr="00B10772" w:rsidRDefault="00BA544E" w:rsidP="00BA544E">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t>Otros Archivos</w:t>
      </w:r>
    </w:p>
    <w:p w14:paraId="59215A88" w14:textId="54435918" w:rsidR="00BA544E" w:rsidRPr="00B10772" w:rsidRDefault="00BA544E" w:rsidP="00BA544E">
      <w:pPr>
        <w:pStyle w:val="Prrafodelista"/>
        <w:numPr>
          <w:ilvl w:val="1"/>
          <w:numId w:val="23"/>
        </w:numPr>
        <w:tabs>
          <w:tab w:val="left" w:pos="426"/>
        </w:tabs>
        <w:spacing w:before="240" w:after="240" w:line="360" w:lineRule="auto"/>
        <w:ind w:left="1134" w:right="51"/>
        <w:jc w:val="both"/>
        <w:rPr>
          <w:rFonts w:ascii="Palatino Linotype" w:hAnsi="Palatino Linotype"/>
          <w:color w:val="000000" w:themeColor="text1"/>
        </w:rPr>
      </w:pPr>
      <w:r w:rsidRPr="00B10772">
        <w:rPr>
          <w:rFonts w:ascii="Palatino Linotype" w:hAnsi="Palatino Linotype"/>
          <w:color w:val="000000" w:themeColor="text1"/>
        </w:rPr>
        <w:lastRenderedPageBreak/>
        <w:t>Pólizas</w:t>
      </w:r>
    </w:p>
    <w:p w14:paraId="6E6A6C93"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2CAF1E3" w14:textId="3DB59D32" w:rsidR="004D7D46" w:rsidRPr="00B10772" w:rsidRDefault="00BA544E"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A modo desagregado, cada uno de los submódulos estará integrado por los siguientes formatos:</w:t>
      </w:r>
    </w:p>
    <w:p w14:paraId="7E0207C8" w14:textId="7B5C5443"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20198B06" w14:textId="13953BAB" w:rsidR="00BA544E" w:rsidRPr="00B10772" w:rsidRDefault="00F207D7" w:rsidP="00BA544E">
      <w:pPr>
        <w:pStyle w:val="Prrafodelista"/>
        <w:tabs>
          <w:tab w:val="left" w:pos="426"/>
        </w:tabs>
        <w:spacing w:before="240" w:after="240" w:line="360" w:lineRule="auto"/>
        <w:ind w:left="0" w:right="51"/>
        <w:jc w:val="center"/>
        <w:rPr>
          <w:rFonts w:ascii="Palatino Linotype" w:hAnsi="Palatino Linotype"/>
          <w:color w:val="000000" w:themeColor="text1"/>
        </w:rPr>
      </w:pPr>
      <w:r w:rsidRPr="00B10772">
        <w:object w:dxaOrig="9765" w:dyaOrig="8430" w14:anchorId="641E9AFE">
          <v:shape id="_x0000_i1029" type="#_x0000_t75" style="width:377.75pt;height:325.6pt" o:ole="" o:bordertopcolor="this" o:borderleftcolor="this" o:borderbottomcolor="this" o:borderrightcolor="this">
            <v:imagedata r:id="rId16" o:title=""/>
            <w10:bordertop type="single" width="8"/>
            <w10:borderleft type="single" width="8"/>
            <w10:borderbottom type="single" width="8"/>
            <w10:borderright type="single" width="8"/>
          </v:shape>
          <o:OLEObject Type="Embed" ProgID="Paint.Picture" ShapeID="_x0000_i1029" DrawAspect="Content" ObjectID="_1714988787" r:id="rId17"/>
        </w:object>
      </w:r>
    </w:p>
    <w:p w14:paraId="39E9A626" w14:textId="77777777" w:rsidR="00BA544E" w:rsidRPr="00B10772" w:rsidRDefault="00BA544E"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64DC3B78" w14:textId="7DC86F97" w:rsidR="004D7D46" w:rsidRPr="00B10772" w:rsidRDefault="00F207D7"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para este momento del estudio, conviene recordar que el particular señaló en su solicitud primigenia que requería la información de forma </w:t>
      </w:r>
      <w:r w:rsidRPr="00B10772">
        <w:rPr>
          <w:rFonts w:ascii="Palatino Linotype" w:hAnsi="Palatino Linotype"/>
          <w:i/>
          <w:iCs/>
          <w:color w:val="000000" w:themeColor="text1"/>
        </w:rPr>
        <w:t>desglosada</w:t>
      </w:r>
      <w:r w:rsidRPr="00B10772">
        <w:rPr>
          <w:rFonts w:ascii="Palatino Linotype" w:hAnsi="Palatino Linotype"/>
          <w:color w:val="000000" w:themeColor="text1"/>
        </w:rPr>
        <w:t xml:space="preserve">, lo cual significa que desea acceder a la información de los gastos erogados con motivo de la pandemia por COVID-19 con el mayor grado de desagregación posible. Por lo </w:t>
      </w:r>
      <w:r w:rsidRPr="00B10772">
        <w:rPr>
          <w:rFonts w:ascii="Palatino Linotype" w:hAnsi="Palatino Linotype"/>
          <w:color w:val="000000" w:themeColor="text1"/>
        </w:rPr>
        <w:lastRenderedPageBreak/>
        <w:t xml:space="preserve">tanto, 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deberá buscar e identificar en sus archivos los documentos que den cuenta de ello.</w:t>
      </w:r>
    </w:p>
    <w:p w14:paraId="00821616" w14:textId="77777777"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3ADFC7CA" w14:textId="36C96297" w:rsidR="004D7D46" w:rsidRPr="00B10772" w:rsidRDefault="00F207D7"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Lo anterior se sustenta con base en el Criterio de Interpretación </w:t>
      </w:r>
      <w:r w:rsidR="00BB543D" w:rsidRPr="00B10772">
        <w:rPr>
          <w:rFonts w:ascii="Palatino Linotype" w:hAnsi="Palatino Linotype"/>
          <w:color w:val="000000" w:themeColor="text1"/>
        </w:rPr>
        <w:t>16/17 emitido por el Instituto Nacional de Transparencia, Acceso a la Información y Protección de Datos Personales, cuyo rubro y texto establecen lo siguiente:</w:t>
      </w:r>
    </w:p>
    <w:p w14:paraId="2A99D13A" w14:textId="2FA59256"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1838276B" w14:textId="4530BB21" w:rsidR="00BB543D" w:rsidRPr="00B10772" w:rsidRDefault="00BB543D" w:rsidP="00BB543D">
      <w:pPr>
        <w:spacing w:before="240" w:after="240" w:line="276" w:lineRule="auto"/>
        <w:ind w:left="567" w:right="567"/>
        <w:jc w:val="both"/>
        <w:rPr>
          <w:rFonts w:ascii="Palatino Linotype" w:hAnsi="Palatino Linotype" w:cs="Arial"/>
          <w:i/>
          <w:iCs/>
          <w:sz w:val="22"/>
          <w:szCs w:val="22"/>
        </w:rPr>
      </w:pPr>
      <w:r w:rsidRPr="00B10772">
        <w:rPr>
          <w:rFonts w:ascii="Palatino Linotype" w:hAnsi="Palatino Linotype" w:cs="Arial"/>
          <w:b/>
          <w:bCs/>
          <w:i/>
          <w:iCs/>
          <w:sz w:val="22"/>
          <w:szCs w:val="22"/>
        </w:rPr>
        <w:t>EXPRESIÓN DOCUMENTAL. “</w:t>
      </w:r>
      <w:r w:rsidRPr="00B10772">
        <w:rPr>
          <w:rFonts w:ascii="Palatino Linotype" w:hAnsi="Palatino Linotype" w:cs="Arial"/>
          <w:bCs/>
          <w:i/>
          <w:iCs/>
          <w:sz w:val="22"/>
          <w:szCs w:val="22"/>
        </w:rPr>
        <w:t>Cuando</w:t>
      </w:r>
      <w:r w:rsidRPr="00B10772">
        <w:rPr>
          <w:rFonts w:ascii="Palatino Linotype" w:hAnsi="Palatino Linotype" w:cs="Arial"/>
          <w:i/>
          <w:iCs/>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B10772">
        <w:rPr>
          <w:rFonts w:ascii="Palatino Linotype" w:hAnsi="Palatino Linotype" w:cs="Arial"/>
          <w:i/>
          <w:iCs/>
          <w:sz w:val="22"/>
          <w:szCs w:val="22"/>
        </w:rPr>
        <w:t>o bien, la solicitud constituya una consulta,</w:t>
      </w:r>
      <w:r w:rsidRPr="00B10772">
        <w:rPr>
          <w:rFonts w:ascii="Palatino Linotype" w:hAnsi="Palatino Linotype" w:cs="Arial"/>
          <w:i/>
          <w:iCs/>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w:t>
      </w:r>
    </w:p>
    <w:p w14:paraId="14263125" w14:textId="77777777" w:rsidR="00BB543D" w:rsidRPr="00B10772" w:rsidRDefault="00BB543D"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5DFD02C6" w14:textId="51AB4F54" w:rsidR="004D7D46" w:rsidRPr="00B10772" w:rsidRDefault="00BB543D" w:rsidP="004D7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las cosas, y en seguimiento a las obligaciones de contabilización y fiscalización de las erogaciones que realiza el Ayuntamiento de Donato Guerra, </w:t>
      </w:r>
      <w:r w:rsidRPr="00B10772">
        <w:rPr>
          <w:rFonts w:ascii="Palatino Linotype" w:hAnsi="Palatino Linotype"/>
          <w:b/>
          <w:bCs/>
          <w:color w:val="000000" w:themeColor="text1"/>
        </w:rPr>
        <w:t>de manera enunciativa mas no limitativa</w:t>
      </w:r>
      <w:r w:rsidRPr="00B10772">
        <w:rPr>
          <w:rFonts w:ascii="Palatino Linotype" w:hAnsi="Palatino Linotype"/>
          <w:color w:val="000000" w:themeColor="text1"/>
        </w:rPr>
        <w:t>, se señalan a continuación algunos de los formatos contables que pudieran dar cuenta de los gastos realizados por motivo de la pandemia causada por el COVID-19 de forma desglosada o desagregada:</w:t>
      </w:r>
    </w:p>
    <w:p w14:paraId="10626301" w14:textId="340F375D" w:rsidR="004D7D46" w:rsidRPr="00B10772" w:rsidRDefault="004D7D46"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46CBB4AA" w14:textId="490058EB" w:rsidR="00BB543D" w:rsidRPr="00B10772" w:rsidRDefault="00687A52" w:rsidP="00BB543D">
      <w:pPr>
        <w:pStyle w:val="Prrafodelista"/>
        <w:tabs>
          <w:tab w:val="left" w:pos="426"/>
        </w:tabs>
        <w:spacing w:before="240" w:after="240" w:line="360" w:lineRule="auto"/>
        <w:ind w:left="0" w:right="51"/>
        <w:jc w:val="center"/>
      </w:pPr>
      <w:r w:rsidRPr="00B10772">
        <w:object w:dxaOrig="8310" w:dyaOrig="4965" w14:anchorId="37EAA22F">
          <v:shape id="_x0000_i1030" type="#_x0000_t75" style="width:376.65pt;height:225.65pt" o:ole="" o:bordertopcolor="this" o:borderleftcolor="this" o:borderbottomcolor="this" o:borderrightcolor="this">
            <v:imagedata r:id="rId18" o:title=""/>
            <w10:bordertop type="single" width="8"/>
            <w10:borderleft type="single" width="8"/>
            <w10:borderbottom type="single" width="8"/>
            <w10:borderright type="single" width="8"/>
          </v:shape>
          <o:OLEObject Type="Embed" ProgID="Paint.Picture" ShapeID="_x0000_i1030" DrawAspect="Content" ObjectID="_1714988788" r:id="rId19"/>
        </w:object>
      </w:r>
    </w:p>
    <w:p w14:paraId="6D56708A" w14:textId="59C0FD9B" w:rsidR="00BB543D" w:rsidRPr="00B10772" w:rsidRDefault="00687A52" w:rsidP="00BB543D">
      <w:pPr>
        <w:pStyle w:val="Prrafodelista"/>
        <w:tabs>
          <w:tab w:val="left" w:pos="426"/>
        </w:tabs>
        <w:spacing w:before="240" w:after="240" w:line="360" w:lineRule="auto"/>
        <w:ind w:left="0" w:right="51"/>
        <w:jc w:val="center"/>
      </w:pPr>
      <w:r w:rsidRPr="00B10772">
        <w:object w:dxaOrig="8340" w:dyaOrig="4740" w14:anchorId="31807042">
          <v:shape id="_x0000_i1031" type="#_x0000_t75" style="width:373.95pt;height:212.8pt" o:ole="" o:bordertopcolor="this" o:borderleftcolor="this" o:borderbottomcolor="this" o:borderrightcolor="this">
            <v:imagedata r:id="rId20" o:title=""/>
            <w10:bordertop type="single" width="8"/>
            <w10:borderleft type="single" width="8"/>
            <w10:borderbottom type="single" width="8"/>
            <w10:borderright type="single" width="8"/>
          </v:shape>
          <o:OLEObject Type="Embed" ProgID="Paint.Picture" ShapeID="_x0000_i1031" DrawAspect="Content" ObjectID="_1714988789" r:id="rId21"/>
        </w:object>
      </w:r>
    </w:p>
    <w:p w14:paraId="16C99042" w14:textId="4ED3424C" w:rsidR="00BB543D" w:rsidRPr="00B10772" w:rsidRDefault="00687A52" w:rsidP="00BB543D">
      <w:pPr>
        <w:pStyle w:val="Prrafodelista"/>
        <w:tabs>
          <w:tab w:val="left" w:pos="426"/>
        </w:tabs>
        <w:spacing w:before="240" w:after="240" w:line="360" w:lineRule="auto"/>
        <w:ind w:left="0" w:right="51"/>
        <w:jc w:val="center"/>
      </w:pPr>
      <w:r w:rsidRPr="00B10772">
        <w:object w:dxaOrig="14415" w:dyaOrig="8850" w14:anchorId="74F9F8CE">
          <v:shape id="_x0000_i1032" type="#_x0000_t75" style="width:382.55pt;height:234.25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Paint.Picture" ShapeID="_x0000_i1032" DrawAspect="Content" ObjectID="_1714988790" r:id="rId23"/>
        </w:object>
      </w:r>
    </w:p>
    <w:p w14:paraId="4B861870" w14:textId="059B26FE" w:rsidR="00687A52" w:rsidRPr="00B10772" w:rsidRDefault="00687A52" w:rsidP="00BB543D">
      <w:pPr>
        <w:pStyle w:val="Prrafodelista"/>
        <w:tabs>
          <w:tab w:val="left" w:pos="426"/>
        </w:tabs>
        <w:spacing w:before="240" w:after="240" w:line="360" w:lineRule="auto"/>
        <w:ind w:left="0" w:right="51"/>
        <w:jc w:val="center"/>
        <w:rPr>
          <w:rFonts w:ascii="Palatino Linotype" w:hAnsi="Palatino Linotype"/>
          <w:color w:val="000000" w:themeColor="text1"/>
        </w:rPr>
      </w:pPr>
      <w:r w:rsidRPr="00B10772">
        <w:object w:dxaOrig="14385" w:dyaOrig="9105" w14:anchorId="0FDB2EEE">
          <v:shape id="_x0000_i1033" type="#_x0000_t75" style="width:380.95pt;height:242.35pt" o:ole="" o:bordertopcolor="this" o:borderleftcolor="this" o:borderbottomcolor="this" o:borderrightcolor="this">
            <v:imagedata r:id="rId24" o:title=""/>
            <w10:bordertop type="single" width="8"/>
            <w10:borderleft type="single" width="8"/>
            <w10:borderbottom type="single" width="8"/>
            <w10:borderright type="single" width="8"/>
          </v:shape>
          <o:OLEObject Type="Embed" ProgID="Paint.Picture" ShapeID="_x0000_i1033" DrawAspect="Content" ObjectID="_1714988791" r:id="rId25"/>
        </w:object>
      </w:r>
    </w:p>
    <w:p w14:paraId="6EC5F3C9" w14:textId="77777777" w:rsidR="00BB543D" w:rsidRPr="00B10772" w:rsidRDefault="00BB543D" w:rsidP="004D7D46">
      <w:pPr>
        <w:pStyle w:val="Prrafodelista"/>
        <w:tabs>
          <w:tab w:val="left" w:pos="426"/>
        </w:tabs>
        <w:spacing w:before="240" w:after="240" w:line="360" w:lineRule="auto"/>
        <w:ind w:left="0" w:right="51"/>
        <w:jc w:val="both"/>
        <w:rPr>
          <w:rFonts w:ascii="Palatino Linotype" w:hAnsi="Palatino Linotype"/>
          <w:color w:val="000000" w:themeColor="text1"/>
        </w:rPr>
      </w:pPr>
    </w:p>
    <w:p w14:paraId="34C37583" w14:textId="5101E3C7" w:rsidR="004D7D46" w:rsidRPr="00B10772" w:rsidRDefault="00687A52" w:rsidP="00B6474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w:t>
      </w:r>
      <w:r w:rsidR="00B6474A" w:rsidRPr="00B10772">
        <w:rPr>
          <w:rFonts w:ascii="Palatino Linotype" w:hAnsi="Palatino Linotype"/>
          <w:color w:val="000000" w:themeColor="text1"/>
        </w:rPr>
        <w:t xml:space="preserve">las cosas, el </w:t>
      </w:r>
      <w:r w:rsidR="00B6474A" w:rsidRPr="00B10772">
        <w:rPr>
          <w:rFonts w:ascii="Palatino Linotype" w:hAnsi="Palatino Linotype"/>
          <w:b/>
          <w:bCs/>
          <w:color w:val="000000" w:themeColor="text1"/>
        </w:rPr>
        <w:t>SUJETO OBLIGADO</w:t>
      </w:r>
      <w:r w:rsidR="00B6474A" w:rsidRPr="00B10772">
        <w:rPr>
          <w:rFonts w:ascii="Palatino Linotype" w:hAnsi="Palatino Linotype"/>
          <w:color w:val="000000" w:themeColor="text1"/>
        </w:rPr>
        <w:t xml:space="preserve"> deberá identificar dentro de sus archivos la expresión documental que mejor atienda la pretensión del </w:t>
      </w:r>
      <w:r w:rsidR="00B6474A" w:rsidRPr="00B10772">
        <w:rPr>
          <w:rFonts w:ascii="Palatino Linotype" w:hAnsi="Palatino Linotype"/>
          <w:b/>
          <w:bCs/>
          <w:color w:val="000000" w:themeColor="text1"/>
        </w:rPr>
        <w:t>RECURRENTE</w:t>
      </w:r>
      <w:r w:rsidR="00B6474A" w:rsidRPr="00B10772">
        <w:rPr>
          <w:rFonts w:ascii="Palatino Linotype" w:hAnsi="Palatino Linotype"/>
          <w:color w:val="000000" w:themeColor="text1"/>
        </w:rPr>
        <w:t xml:space="preserve"> a efecto de que ésta se ponga a su disposición, de ser procedente en versión pública.</w:t>
      </w:r>
    </w:p>
    <w:p w14:paraId="77BB6736" w14:textId="77777777" w:rsidR="00B6474A" w:rsidRPr="00B10772" w:rsidRDefault="00B6474A" w:rsidP="00B6474A">
      <w:pPr>
        <w:pStyle w:val="Prrafodelista"/>
        <w:tabs>
          <w:tab w:val="left" w:pos="426"/>
        </w:tabs>
        <w:spacing w:before="240" w:after="240" w:line="360" w:lineRule="auto"/>
        <w:ind w:left="0" w:right="51"/>
        <w:jc w:val="both"/>
        <w:rPr>
          <w:rFonts w:ascii="Palatino Linotype" w:hAnsi="Palatino Linotype"/>
          <w:color w:val="000000" w:themeColor="text1"/>
        </w:rPr>
      </w:pPr>
    </w:p>
    <w:p w14:paraId="0347B8F4" w14:textId="122F8C1C" w:rsidR="00F65292" w:rsidRPr="00B10772" w:rsidRDefault="00F65292" w:rsidP="00F65292">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sidRPr="00B10772">
        <w:rPr>
          <w:rFonts w:ascii="Palatino Linotype" w:hAnsi="Palatino Linotype"/>
          <w:b/>
          <w:bCs/>
          <w:color w:val="000000" w:themeColor="text1"/>
        </w:rPr>
        <w:lastRenderedPageBreak/>
        <w:t>V. Del cambio de la modalidad de entrega de la información.</w:t>
      </w:r>
    </w:p>
    <w:p w14:paraId="1833F3BA" w14:textId="77777777" w:rsidR="00F65292" w:rsidRPr="00B10772" w:rsidRDefault="00F65292"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15214A5" w14:textId="292561BF" w:rsidR="0025760F" w:rsidRPr="00B10772"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Como ha sido expuesto en párrafos previos, la</w:t>
      </w:r>
      <w:r w:rsidR="00F24633" w:rsidRPr="00B10772">
        <w:rPr>
          <w:rFonts w:ascii="Palatino Linotype" w:hAnsi="Palatino Linotype"/>
          <w:color w:val="000000" w:themeColor="text1"/>
        </w:rPr>
        <w:t xml:space="preserve"> </w:t>
      </w:r>
      <w:r w:rsidR="00F24633" w:rsidRPr="00B10772">
        <w:rPr>
          <w:rFonts w:ascii="Palatino Linotype" w:hAnsi="Palatino Linotype"/>
          <w:bCs/>
          <w:iCs/>
          <w:color w:val="000000" w:themeColor="text1"/>
          <w:lang w:val="es-ES_tradnl"/>
        </w:rPr>
        <w:t xml:space="preserve">Ley de Transparencia y Acceso a la Información Pública del Estado de México y Municipios establece que el </w:t>
      </w:r>
      <w:r w:rsidR="00F24633" w:rsidRPr="00B10772">
        <w:rPr>
          <w:rFonts w:ascii="Palatino Linotype" w:hAnsi="Palatino Linotype"/>
          <w:b/>
          <w:bCs/>
          <w:iCs/>
          <w:color w:val="000000" w:themeColor="text1"/>
        </w:rPr>
        <w:t>recurso de revisión</w:t>
      </w:r>
      <w:r w:rsidR="00F24633" w:rsidRPr="00B10772">
        <w:rPr>
          <w:rFonts w:ascii="Palatino Linotype" w:hAnsi="Palatino Linotype"/>
          <w:bCs/>
          <w:iCs/>
          <w:color w:val="000000" w:themeColor="text1"/>
        </w:rPr>
        <w:t xml:space="preserve"> es la garantía secundaria mediante la cual se pretende reparar cualquier posible afectación al derecho de acceso a la información pública</w:t>
      </w:r>
      <w:r w:rsidR="00F24633" w:rsidRPr="00B10772">
        <w:rPr>
          <w:rFonts w:ascii="Palatino Linotype" w:hAnsi="Palatino Linotype"/>
          <w:bCs/>
          <w:iCs/>
          <w:color w:val="000000" w:themeColor="text1"/>
          <w:vertAlign w:val="superscript"/>
        </w:rPr>
        <w:footnoteReference w:id="21"/>
      </w:r>
      <w:r w:rsidR="00F24633" w:rsidRPr="00B10772">
        <w:rPr>
          <w:rFonts w:ascii="Palatino Linotype" w:hAnsi="Palatino Linotype"/>
          <w:bCs/>
          <w:iCs/>
          <w:color w:val="000000" w:themeColor="text1"/>
        </w:rPr>
        <w:t xml:space="preserve">; y </w:t>
      </w:r>
      <w:r w:rsidR="00F24633" w:rsidRPr="00B10772">
        <w:rPr>
          <w:rFonts w:ascii="Palatino Linotype" w:hAnsi="Palatino Linotype"/>
          <w:b/>
          <w:bCs/>
          <w:iCs/>
          <w:color w:val="000000" w:themeColor="text1"/>
        </w:rPr>
        <w:t>procederá</w:t>
      </w:r>
      <w:r w:rsidR="00F24633" w:rsidRPr="00B10772">
        <w:rPr>
          <w:rFonts w:ascii="Palatino Linotype" w:hAnsi="Palatino Linotype"/>
          <w:bCs/>
          <w:iCs/>
          <w:color w:val="000000" w:themeColor="text1"/>
        </w:rPr>
        <w:t xml:space="preserve">, entre otras, </w:t>
      </w:r>
      <w:r w:rsidR="00F24633" w:rsidRPr="00B10772">
        <w:rPr>
          <w:rFonts w:ascii="Palatino Linotype" w:hAnsi="Palatino Linotype"/>
          <w:b/>
          <w:bCs/>
          <w:iCs/>
          <w:color w:val="000000" w:themeColor="text1"/>
        </w:rPr>
        <w:t>en contra de la</w:t>
      </w:r>
      <w:r w:rsidR="00F24633" w:rsidRPr="00B10772">
        <w:rPr>
          <w:rFonts w:ascii="Palatino Linotype" w:hAnsi="Palatino Linotype"/>
          <w:bCs/>
          <w:iCs/>
          <w:color w:val="000000" w:themeColor="text1"/>
        </w:rPr>
        <w:t xml:space="preserve"> notificación, </w:t>
      </w:r>
      <w:r w:rsidR="00F24633" w:rsidRPr="00B10772">
        <w:rPr>
          <w:rFonts w:ascii="Palatino Linotype" w:hAnsi="Palatino Linotype"/>
          <w:b/>
          <w:bCs/>
          <w:iCs/>
          <w:color w:val="000000" w:themeColor="text1"/>
        </w:rPr>
        <w:t>entrega o puesta a disposición de información en una modalidad o formato distinto al solicitado</w:t>
      </w:r>
      <w:r w:rsidR="00F24633" w:rsidRPr="00B10772">
        <w:rPr>
          <w:rFonts w:ascii="Palatino Linotype" w:hAnsi="Palatino Linotype"/>
          <w:bCs/>
          <w:iCs/>
          <w:color w:val="000000" w:themeColor="text1"/>
          <w:vertAlign w:val="superscript"/>
        </w:rPr>
        <w:footnoteReference w:id="22"/>
      </w:r>
      <w:r w:rsidR="00F24633" w:rsidRPr="00B10772">
        <w:rPr>
          <w:rFonts w:ascii="Palatino Linotype" w:hAnsi="Palatino Linotype"/>
          <w:bCs/>
          <w:iCs/>
          <w:color w:val="000000" w:themeColor="text1"/>
        </w:rPr>
        <w:t>.</w:t>
      </w:r>
    </w:p>
    <w:p w14:paraId="781481CD"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021A307" w14:textId="752B0E6C" w:rsidR="0025760F" w:rsidRPr="00B10772"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Al respecto, el </w:t>
      </w:r>
      <w:r w:rsidRPr="00B10772">
        <w:rPr>
          <w:rFonts w:ascii="Palatino Linotype" w:eastAsia="Times New Roman" w:hAnsi="Palatino Linotype" w:cs="Arial"/>
          <w:bCs/>
          <w:iCs/>
        </w:rPr>
        <w:t>artículo 164 de la Ley de Transparencia y Acceso a la Información Pública del Estado de México y Municipios establece lo siguiente:</w:t>
      </w:r>
    </w:p>
    <w:p w14:paraId="21C2FEC4" w14:textId="3971FF6E" w:rsidR="0025760F" w:rsidRPr="00B10772" w:rsidRDefault="0025760F" w:rsidP="00392DDB">
      <w:pPr>
        <w:pStyle w:val="Prrafodelista"/>
        <w:tabs>
          <w:tab w:val="left" w:pos="426"/>
        </w:tabs>
        <w:spacing w:before="240" w:line="360" w:lineRule="auto"/>
        <w:ind w:left="0" w:right="51"/>
        <w:jc w:val="both"/>
        <w:rPr>
          <w:rFonts w:ascii="Palatino Linotype" w:hAnsi="Palatino Linotype"/>
          <w:color w:val="000000" w:themeColor="text1"/>
        </w:rPr>
      </w:pPr>
    </w:p>
    <w:p w14:paraId="341F35A6" w14:textId="77777777" w:rsidR="00392DDB" w:rsidRPr="00B10772" w:rsidRDefault="00392DDB" w:rsidP="00392DDB">
      <w:pPr>
        <w:pStyle w:val="Prrafodelista"/>
        <w:tabs>
          <w:tab w:val="left" w:pos="426"/>
        </w:tabs>
        <w:spacing w:before="240" w:after="240" w:line="276" w:lineRule="auto"/>
        <w:ind w:left="567" w:right="567"/>
        <w:jc w:val="both"/>
        <w:rPr>
          <w:rFonts w:ascii="Palatino Linotype" w:hAnsi="Palatino Linotype"/>
          <w:bCs/>
          <w:i/>
          <w:iCs/>
          <w:color w:val="000000" w:themeColor="text1"/>
          <w:sz w:val="22"/>
          <w:szCs w:val="22"/>
        </w:rPr>
      </w:pPr>
      <w:r w:rsidRPr="00B10772">
        <w:rPr>
          <w:rFonts w:ascii="Palatino Linotype" w:hAnsi="Palatino Linotype"/>
          <w:bCs/>
          <w:i/>
          <w:iCs/>
          <w:color w:val="000000" w:themeColor="text1"/>
          <w:sz w:val="22"/>
          <w:szCs w:val="22"/>
        </w:rPr>
        <w:t>“</w:t>
      </w:r>
      <w:r w:rsidRPr="00B10772">
        <w:rPr>
          <w:rFonts w:ascii="Palatino Linotype" w:hAnsi="Palatino Linotype"/>
          <w:b/>
          <w:bCs/>
          <w:i/>
          <w:iCs/>
          <w:color w:val="000000" w:themeColor="text1"/>
          <w:sz w:val="22"/>
          <w:szCs w:val="22"/>
        </w:rPr>
        <w:t>Artículo 164.</w:t>
      </w:r>
      <w:r w:rsidRPr="00B10772">
        <w:rPr>
          <w:rFonts w:ascii="Palatino Linotype" w:hAnsi="Palatino Linotype"/>
          <w:bCs/>
          <w:i/>
          <w:iCs/>
          <w:color w:val="000000" w:themeColor="text1"/>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C59ECC2" w14:textId="77777777" w:rsidR="00392DDB" w:rsidRPr="00B10772" w:rsidRDefault="00392DDB" w:rsidP="00392DDB">
      <w:pPr>
        <w:pStyle w:val="Prrafodelista"/>
        <w:tabs>
          <w:tab w:val="left" w:pos="426"/>
        </w:tabs>
        <w:spacing w:before="240" w:after="240" w:line="276" w:lineRule="auto"/>
        <w:ind w:left="567" w:right="567"/>
        <w:jc w:val="both"/>
        <w:rPr>
          <w:rFonts w:ascii="Palatino Linotype" w:hAnsi="Palatino Linotype"/>
          <w:bCs/>
          <w:iCs/>
          <w:color w:val="000000" w:themeColor="text1"/>
          <w:sz w:val="22"/>
          <w:szCs w:val="22"/>
        </w:rPr>
      </w:pPr>
      <w:r w:rsidRPr="00B10772">
        <w:rPr>
          <w:rFonts w:ascii="Palatino Linotype" w:hAnsi="Palatino Linotype"/>
          <w:bCs/>
          <w:i/>
          <w:iCs/>
          <w:color w:val="000000" w:themeColor="text1"/>
          <w:sz w:val="22"/>
          <w:szCs w:val="22"/>
        </w:rPr>
        <w:t xml:space="preserve">En cualquier caso, </w:t>
      </w:r>
      <w:r w:rsidRPr="00B10772">
        <w:rPr>
          <w:rFonts w:ascii="Palatino Linotype" w:hAnsi="Palatino Linotype"/>
          <w:b/>
          <w:bCs/>
          <w:i/>
          <w:iCs/>
          <w:color w:val="000000" w:themeColor="text1"/>
          <w:sz w:val="22"/>
          <w:szCs w:val="22"/>
        </w:rPr>
        <w:t>se deberá fundar y motivar la necesidad de ofrecer otras modalidades</w:t>
      </w:r>
      <w:r w:rsidRPr="00B10772">
        <w:rPr>
          <w:rFonts w:ascii="Palatino Linotype" w:hAnsi="Palatino Linotype"/>
          <w:bCs/>
          <w:i/>
          <w:iCs/>
          <w:color w:val="000000" w:themeColor="text1"/>
          <w:sz w:val="22"/>
          <w:szCs w:val="22"/>
        </w:rPr>
        <w:t>.”</w:t>
      </w:r>
    </w:p>
    <w:p w14:paraId="10DCA4F2" w14:textId="77777777" w:rsidR="00392DDB" w:rsidRPr="00B10772" w:rsidRDefault="00392DDB" w:rsidP="00392DDB">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B10772">
        <w:rPr>
          <w:rFonts w:ascii="Palatino Linotype" w:hAnsi="Palatino Linotype"/>
          <w:bCs/>
          <w:iCs/>
          <w:color w:val="000000" w:themeColor="text1"/>
          <w:sz w:val="22"/>
          <w:szCs w:val="22"/>
        </w:rPr>
        <w:t>(Énfasis añadido)</w:t>
      </w:r>
    </w:p>
    <w:p w14:paraId="5C020318" w14:textId="77777777" w:rsidR="00392DDB" w:rsidRPr="00B10772" w:rsidRDefault="00392DDB"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54299DAB" w14:textId="58DC1F77" w:rsidR="0025760F" w:rsidRPr="00B10772"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Del </w:t>
      </w:r>
      <w:r w:rsidRPr="00B10772">
        <w:rPr>
          <w:rFonts w:ascii="Palatino Linotype" w:hAnsi="Palatino Linotype"/>
          <w:bCs/>
          <w:iCs/>
          <w:color w:val="000000" w:themeColor="text1"/>
        </w:rPr>
        <w:t xml:space="preserve">numeral previamente citado se desprende que el </w:t>
      </w:r>
      <w:r w:rsidRPr="00B10772">
        <w:rPr>
          <w:rFonts w:ascii="Palatino Linotype" w:hAnsi="Palatino Linotype"/>
          <w:b/>
          <w:bCs/>
          <w:iCs/>
          <w:color w:val="000000" w:themeColor="text1"/>
        </w:rPr>
        <w:t>SUJETO OBLIGADO</w:t>
      </w:r>
      <w:r w:rsidRPr="00B10772">
        <w:rPr>
          <w:rFonts w:ascii="Palatino Linotype" w:hAnsi="Palatino Linotype"/>
          <w:bCs/>
          <w:iCs/>
          <w:color w:val="000000" w:themeColor="text1"/>
        </w:rPr>
        <w:t xml:space="preserve"> sí puede ofrecer cambiar la modalidad de entrega de la información cuando por cualquier motivo no pueda entregarse en la originalmente señalada, sin embargo, </w:t>
      </w:r>
      <w:r w:rsidRPr="00B10772">
        <w:rPr>
          <w:rFonts w:ascii="Palatino Linotype" w:hAnsi="Palatino Linotype"/>
          <w:b/>
          <w:bCs/>
          <w:iCs/>
          <w:color w:val="000000" w:themeColor="text1"/>
        </w:rPr>
        <w:t>deberá fundar y motivar las razones por las que no sea posible entregar la misma en el medio elegido por la particular</w:t>
      </w:r>
      <w:r w:rsidRPr="00B10772">
        <w:rPr>
          <w:rFonts w:ascii="Palatino Linotype" w:hAnsi="Palatino Linotype"/>
          <w:bCs/>
          <w:iCs/>
          <w:color w:val="000000" w:themeColor="text1"/>
        </w:rPr>
        <w:t>.</w:t>
      </w:r>
    </w:p>
    <w:p w14:paraId="352D552E"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51E9FFF" w14:textId="01ED41AD" w:rsidR="0025760F" w:rsidRPr="00B10772"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Aunado </w:t>
      </w:r>
      <w:r w:rsidRPr="00B10772">
        <w:rPr>
          <w:rFonts w:ascii="Palatino Linotype" w:eastAsia="Times New Roman" w:hAnsi="Palatino Linotype" w:cs="Arial"/>
          <w:bCs/>
          <w:iCs/>
        </w:rPr>
        <w:t xml:space="preserve">a lo anterior, </w:t>
      </w:r>
      <w:r w:rsidRPr="00B10772">
        <w:rPr>
          <w:rFonts w:ascii="Palatino Linotype" w:eastAsia="Times New Roman" w:hAnsi="Palatino Linotype" w:cs="Arial"/>
          <w:b/>
          <w:bCs/>
          <w:iCs/>
        </w:rPr>
        <w:t>el Instituto Nacional de Transparencia, Acceso a la Información y Protección de Datos Personales ha establecido que,</w:t>
      </w:r>
      <w:r w:rsidRPr="00B10772">
        <w:rPr>
          <w:rFonts w:ascii="Palatino Linotype" w:eastAsia="Times New Roman" w:hAnsi="Palatino Linotype" w:cs="Arial"/>
          <w:bCs/>
          <w:iCs/>
        </w:rPr>
        <w:t xml:space="preserve"> </w:t>
      </w:r>
      <w:r w:rsidRPr="00B10772">
        <w:rPr>
          <w:rFonts w:ascii="Palatino Linotype" w:eastAsia="Times New Roman" w:hAnsi="Palatino Linotype" w:cs="Arial"/>
          <w:b/>
          <w:bCs/>
          <w:iCs/>
        </w:rPr>
        <w:t>para justificar un cambio en la modalidad de entrega de la información debe existir un obstáculo infranqueable o de difícil superación para atenderla</w:t>
      </w:r>
      <w:r w:rsidRPr="00B10772">
        <w:rPr>
          <w:rFonts w:ascii="Palatino Linotype" w:eastAsia="Times New Roman" w:hAnsi="Palatino Linotype" w:cs="Arial"/>
          <w:b/>
          <w:bCs/>
          <w:iCs/>
          <w:vertAlign w:val="superscript"/>
        </w:rPr>
        <w:footnoteReference w:id="23"/>
      </w:r>
      <w:r w:rsidRPr="00B10772">
        <w:rPr>
          <w:rFonts w:ascii="Palatino Linotype" w:eastAsia="Times New Roman" w:hAnsi="Palatino Linotype" w:cs="Arial"/>
          <w:bCs/>
          <w:iCs/>
        </w:rPr>
        <w:t>, como lo es que la información solicitada se encuentre en un formato diverso al solicitado, que atendiendo a las características de la misma sea imposible su reproducción en el medio elegido por el particular, o bien, que la información que dé atención a la solicitud amerite un cruce de información en los sistemas de datos, entre otros.</w:t>
      </w:r>
    </w:p>
    <w:p w14:paraId="02E91540"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066C4C87" w14:textId="3F7683FD" w:rsidR="0025760F" w:rsidRPr="00B10772" w:rsidRDefault="00392DDB"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w:t>
      </w:r>
      <w:r w:rsidRPr="00B10772">
        <w:rPr>
          <w:rFonts w:ascii="Palatino Linotype" w:eastAsia="Times New Roman" w:hAnsi="Palatino Linotype" w:cs="Arial"/>
          <w:bCs/>
          <w:iCs/>
        </w:rPr>
        <w:t xml:space="preserve">el presente caso, no se advierte que el </w:t>
      </w:r>
      <w:r w:rsidRPr="00B10772">
        <w:rPr>
          <w:rFonts w:ascii="Palatino Linotype" w:eastAsia="Times New Roman" w:hAnsi="Palatino Linotype" w:cs="Arial"/>
          <w:b/>
          <w:bCs/>
          <w:iCs/>
        </w:rPr>
        <w:t>SUJETO OBLIGADO</w:t>
      </w:r>
      <w:r w:rsidRPr="00B10772">
        <w:rPr>
          <w:rFonts w:ascii="Palatino Linotype" w:eastAsia="Times New Roman" w:hAnsi="Palatino Linotype" w:cs="Arial"/>
          <w:bCs/>
          <w:iCs/>
        </w:rPr>
        <w:t xml:space="preserve"> haya fundado ni motivado las razones que lo orillaron a determinar el cambio de modalidad de entrega de la información, toda vez que como se señaló previamente, </w:t>
      </w:r>
      <w:r w:rsidR="001801C6" w:rsidRPr="00B10772">
        <w:rPr>
          <w:rFonts w:ascii="Palatino Linotype" w:eastAsia="Times New Roman" w:hAnsi="Palatino Linotype" w:cs="Arial"/>
          <w:b/>
          <w:bCs/>
          <w:iCs/>
        </w:rPr>
        <w:t>el Titular de la Unidad de Transparencia</w:t>
      </w:r>
      <w:r w:rsidRPr="00B10772">
        <w:rPr>
          <w:rFonts w:ascii="Palatino Linotype" w:eastAsia="Times New Roman" w:hAnsi="Palatino Linotype" w:cs="Arial"/>
          <w:b/>
          <w:bCs/>
          <w:iCs/>
        </w:rPr>
        <w:t xml:space="preserve"> únicamente se limitó a referir que </w:t>
      </w:r>
      <w:r w:rsidR="001801C6" w:rsidRPr="00B10772">
        <w:rPr>
          <w:rFonts w:ascii="Palatino Linotype" w:eastAsia="Times New Roman" w:hAnsi="Palatino Linotype" w:cs="Arial"/>
          <w:b/>
          <w:bCs/>
          <w:iCs/>
        </w:rPr>
        <w:t>la información se pondría a disposición del particular para su consulta en la Tesorería Municipal</w:t>
      </w:r>
      <w:r w:rsidRPr="00B10772">
        <w:rPr>
          <w:rFonts w:ascii="Palatino Linotype" w:eastAsia="Times New Roman" w:hAnsi="Palatino Linotype" w:cs="Arial"/>
          <w:bCs/>
          <w:iCs/>
        </w:rPr>
        <w:t xml:space="preserve">; y, con base en ese débil y perceptiblemente </w:t>
      </w:r>
      <w:r w:rsidRPr="00B10772">
        <w:rPr>
          <w:rFonts w:ascii="Palatino Linotype" w:eastAsia="Times New Roman" w:hAnsi="Palatino Linotype" w:cs="Arial"/>
          <w:b/>
          <w:bCs/>
          <w:iCs/>
        </w:rPr>
        <w:t>negligente</w:t>
      </w:r>
      <w:r w:rsidRPr="00B10772">
        <w:rPr>
          <w:rFonts w:ascii="Palatino Linotype" w:eastAsia="Times New Roman" w:hAnsi="Palatino Linotype" w:cs="Arial"/>
          <w:bCs/>
          <w:iCs/>
        </w:rPr>
        <w:t xml:space="preserve"> </w:t>
      </w:r>
      <w:r w:rsidR="001801C6" w:rsidRPr="00B10772">
        <w:rPr>
          <w:rFonts w:ascii="Palatino Linotype" w:eastAsia="Times New Roman" w:hAnsi="Palatino Linotype" w:cs="Arial"/>
          <w:bCs/>
          <w:iCs/>
        </w:rPr>
        <w:t>pronunciamiento</w:t>
      </w:r>
      <w:r w:rsidRPr="00B10772">
        <w:rPr>
          <w:rFonts w:ascii="Palatino Linotype" w:eastAsia="Times New Roman" w:hAnsi="Palatino Linotype" w:cs="Arial"/>
          <w:bCs/>
          <w:iCs/>
        </w:rPr>
        <w:t xml:space="preserve">, </w:t>
      </w:r>
      <w:r w:rsidR="001801C6" w:rsidRPr="00B10772">
        <w:rPr>
          <w:rFonts w:ascii="Palatino Linotype" w:eastAsia="Times New Roman" w:hAnsi="Palatino Linotype" w:cs="Arial"/>
          <w:bCs/>
          <w:iCs/>
        </w:rPr>
        <w:t xml:space="preserve">pretendió dar por atendido el derecho de acceso a la información ejercido por el </w:t>
      </w:r>
      <w:r w:rsidR="001801C6" w:rsidRPr="00B10772">
        <w:rPr>
          <w:rFonts w:ascii="Palatino Linotype" w:eastAsia="Times New Roman" w:hAnsi="Palatino Linotype" w:cs="Arial"/>
          <w:b/>
          <w:iCs/>
        </w:rPr>
        <w:t>RECURRENTE</w:t>
      </w:r>
      <w:r w:rsidR="001801C6" w:rsidRPr="00B10772">
        <w:rPr>
          <w:rFonts w:ascii="Palatino Linotype" w:eastAsia="Times New Roman" w:hAnsi="Palatino Linotype" w:cs="Arial"/>
          <w:bCs/>
          <w:iCs/>
        </w:rPr>
        <w:t xml:space="preserve">, dejándolo en un total estado de </w:t>
      </w:r>
      <w:r w:rsidR="001801C6" w:rsidRPr="00B10772">
        <w:rPr>
          <w:rFonts w:ascii="Palatino Linotype" w:eastAsia="Times New Roman" w:hAnsi="Palatino Linotype" w:cs="Arial"/>
          <w:b/>
          <w:iCs/>
        </w:rPr>
        <w:t>incertidumbre</w:t>
      </w:r>
      <w:r w:rsidR="001801C6" w:rsidRPr="00B10772">
        <w:rPr>
          <w:rFonts w:ascii="Palatino Linotype" w:eastAsia="Times New Roman" w:hAnsi="Palatino Linotype" w:cs="Arial"/>
          <w:bCs/>
          <w:iCs/>
        </w:rPr>
        <w:t>.</w:t>
      </w:r>
    </w:p>
    <w:p w14:paraId="4C58125F"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6AC6C23E" w14:textId="3765A9AE" w:rsidR="0025760F" w:rsidRPr="00B10772" w:rsidRDefault="00C23D17"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 </w:t>
      </w:r>
      <w:r w:rsidRPr="00B10772">
        <w:rPr>
          <w:rFonts w:ascii="Palatino Linotype" w:eastAsia="Times New Roman" w:hAnsi="Palatino Linotype" w:cs="Arial"/>
          <w:bCs/>
          <w:iCs/>
        </w:rPr>
        <w:t xml:space="preserve">pesar de lo anterior, para mejor proveer, esta Ponencia Resolutora se acercó a la Dirección de Informática del propio Instituto de Transparencia, Acceso a la Información Pública y Protección de Datos Personales del Estado de México y Municipios, a efecto de comprobar si existía algún reporte de incidencia manifestado por el </w:t>
      </w:r>
      <w:r w:rsidRPr="00B10772">
        <w:rPr>
          <w:rFonts w:ascii="Palatino Linotype" w:eastAsia="Times New Roman" w:hAnsi="Palatino Linotype" w:cs="Arial"/>
          <w:b/>
          <w:bCs/>
          <w:iCs/>
        </w:rPr>
        <w:t>SUJETO OBLIGADO</w:t>
      </w:r>
      <w:r w:rsidRPr="00B10772">
        <w:rPr>
          <w:rFonts w:ascii="Palatino Linotype" w:eastAsia="Times New Roman" w:hAnsi="Palatino Linotype" w:cs="Arial"/>
          <w:bCs/>
          <w:iCs/>
        </w:rPr>
        <w:t xml:space="preserve"> que comunicara alguna dificultad o </w:t>
      </w:r>
      <w:r w:rsidRPr="00B10772">
        <w:rPr>
          <w:rFonts w:ascii="Palatino Linotype" w:eastAsia="Times New Roman" w:hAnsi="Palatino Linotype" w:cs="Arial"/>
          <w:bCs/>
          <w:iCs/>
        </w:rPr>
        <w:lastRenderedPageBreak/>
        <w:t xml:space="preserve">imposibilidad para entregar los archivos al particular vía SAIMEX; sin embargo, </w:t>
      </w:r>
      <w:r w:rsidRPr="00B10772">
        <w:rPr>
          <w:rFonts w:ascii="Palatino Linotype" w:eastAsia="Times New Roman" w:hAnsi="Palatino Linotype" w:cs="Arial"/>
          <w:b/>
          <w:iCs/>
        </w:rPr>
        <w:t xml:space="preserve">no se cuenta con ningún reporte, oficio de comunicación o soporte del </w:t>
      </w:r>
      <w:r w:rsidR="00DD6949" w:rsidRPr="00B10772">
        <w:rPr>
          <w:rFonts w:ascii="Palatino Linotype" w:eastAsia="Times New Roman" w:hAnsi="Palatino Linotype" w:cs="Arial"/>
          <w:b/>
          <w:iCs/>
        </w:rPr>
        <w:t>Ayuntamiento de Donato Guerra</w:t>
      </w:r>
      <w:r w:rsidRPr="00B10772">
        <w:rPr>
          <w:rFonts w:ascii="Palatino Linotype" w:eastAsia="Times New Roman" w:hAnsi="Palatino Linotype" w:cs="Arial"/>
          <w:b/>
          <w:iCs/>
        </w:rPr>
        <w:t xml:space="preserve"> que acredite las razones por las que no puede entregar la información vía digital</w:t>
      </w:r>
      <w:r w:rsidRPr="00B10772">
        <w:rPr>
          <w:rFonts w:ascii="Palatino Linotype" w:eastAsia="Times New Roman" w:hAnsi="Palatino Linotype" w:cs="Arial"/>
          <w:bCs/>
          <w:iCs/>
        </w:rPr>
        <w:t>.</w:t>
      </w:r>
    </w:p>
    <w:p w14:paraId="5C57FD5E"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7FE7050E" w14:textId="5FFAF0CB" w:rsidR="0025760F" w:rsidRPr="00B10772" w:rsidRDefault="00F95592" w:rsidP="002576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razón de lo anterior, </w:t>
      </w:r>
      <w:r w:rsidRPr="00B10772">
        <w:rPr>
          <w:rFonts w:ascii="Palatino Linotype" w:hAnsi="Palatino Linotype"/>
          <w:bCs/>
          <w:iCs/>
          <w:color w:val="000000" w:themeColor="text1"/>
          <w:lang w:val="es-ES_tradnl"/>
        </w:rPr>
        <w:t xml:space="preserve">toda vez que el </w:t>
      </w:r>
      <w:r w:rsidRPr="00B10772">
        <w:rPr>
          <w:rFonts w:ascii="Palatino Linotype" w:hAnsi="Palatino Linotype"/>
          <w:b/>
          <w:bCs/>
          <w:iCs/>
          <w:color w:val="000000" w:themeColor="text1"/>
          <w:lang w:val="es-ES_tradnl"/>
        </w:rPr>
        <w:t>SUJETO OBLIGADO</w:t>
      </w:r>
      <w:r w:rsidRPr="00B10772">
        <w:rPr>
          <w:rFonts w:ascii="Palatino Linotype" w:hAnsi="Palatino Linotype"/>
          <w:bCs/>
          <w:iCs/>
          <w:color w:val="000000" w:themeColor="text1"/>
          <w:lang w:val="es-ES_tradnl"/>
        </w:rPr>
        <w:t xml:space="preserve"> fue omiso en señalar de manera puntual, detallada y precisa las razones por las que no puede entregar la información solicitada vía SAIMEX, </w:t>
      </w:r>
      <w:r w:rsidRPr="00B10772">
        <w:rPr>
          <w:rFonts w:ascii="Palatino Linotype" w:hAnsi="Palatino Linotype"/>
          <w:b/>
          <w:iCs/>
          <w:color w:val="000000" w:themeColor="text1"/>
          <w:lang w:val="es-ES_tradnl"/>
        </w:rPr>
        <w:t xml:space="preserve">este Organismo Garante determina ajeno a toda legalidad la pretensión del </w:t>
      </w:r>
      <w:r w:rsidR="00DD6949" w:rsidRPr="00B10772">
        <w:rPr>
          <w:rFonts w:ascii="Palatino Linotype" w:hAnsi="Palatino Linotype"/>
          <w:b/>
          <w:iCs/>
          <w:color w:val="000000" w:themeColor="text1"/>
          <w:lang w:val="es-ES_tradnl"/>
        </w:rPr>
        <w:t>Ayuntamiento de Donato Guerra</w:t>
      </w:r>
      <w:r w:rsidRPr="00B10772">
        <w:rPr>
          <w:rFonts w:ascii="Palatino Linotype" w:hAnsi="Palatino Linotype"/>
          <w:b/>
          <w:iCs/>
          <w:color w:val="000000" w:themeColor="text1"/>
          <w:lang w:val="es-ES_tradnl"/>
        </w:rPr>
        <w:t xml:space="preserve"> de cambiar la modalidad de entrega a vía </w:t>
      </w:r>
      <w:r w:rsidRPr="00B10772">
        <w:rPr>
          <w:rFonts w:ascii="Palatino Linotype" w:hAnsi="Palatino Linotype"/>
          <w:b/>
          <w:i/>
          <w:iCs/>
          <w:color w:val="000000" w:themeColor="text1"/>
          <w:lang w:val="es-ES_tradnl"/>
        </w:rPr>
        <w:t>in situ</w:t>
      </w:r>
      <w:r w:rsidRPr="00B10772">
        <w:rPr>
          <w:rFonts w:ascii="Palatino Linotype" w:hAnsi="Palatino Linotype"/>
          <w:b/>
          <w:iCs/>
          <w:color w:val="000000" w:themeColor="text1"/>
          <w:lang w:val="es-ES_tradnl"/>
        </w:rPr>
        <w:t xml:space="preserve"> o Consulta Directa</w:t>
      </w:r>
      <w:r w:rsidRPr="00B10772">
        <w:rPr>
          <w:rFonts w:ascii="Palatino Linotype" w:hAnsi="Palatino Linotype"/>
          <w:bCs/>
          <w:iCs/>
          <w:color w:val="000000" w:themeColor="text1"/>
          <w:lang w:val="es-ES_tradnl"/>
        </w:rPr>
        <w:t>.</w:t>
      </w:r>
    </w:p>
    <w:p w14:paraId="2FE955D7"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3BB1FA83" w14:textId="72902152" w:rsidR="00B6474A" w:rsidRPr="00B10772" w:rsidRDefault="00BF64BC" w:rsidP="00A154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mérito de lo anterior, resultan fundadas las razones o motivos de inconformidad hechos valer por </w:t>
      </w:r>
      <w:r w:rsidR="00B6474A" w:rsidRPr="00B10772">
        <w:rPr>
          <w:rFonts w:ascii="Palatino Linotype" w:hAnsi="Palatino Linotype"/>
          <w:color w:val="000000" w:themeColor="text1"/>
        </w:rPr>
        <w:t>el</w:t>
      </w:r>
      <w:r w:rsidRPr="00B10772">
        <w:rPr>
          <w:rFonts w:ascii="Palatino Linotype" w:hAnsi="Palatino Linotype"/>
          <w:color w:val="000000" w:themeColor="text1"/>
        </w:rPr>
        <w:t xml:space="preserve"> </w:t>
      </w:r>
      <w:r w:rsidRPr="00B10772">
        <w:rPr>
          <w:rFonts w:ascii="Palatino Linotype" w:hAnsi="Palatino Linotype"/>
          <w:b/>
          <w:bCs/>
          <w:color w:val="000000" w:themeColor="text1"/>
        </w:rPr>
        <w:t>RECURRENTE</w:t>
      </w:r>
      <w:r w:rsidRPr="00B10772">
        <w:rPr>
          <w:rFonts w:ascii="Palatino Linotype" w:hAnsi="Palatino Linotype"/>
          <w:color w:val="000000" w:themeColor="text1"/>
        </w:rPr>
        <w:t xml:space="preserve"> en el recurso de revisión </w:t>
      </w:r>
      <w:r w:rsidR="00DD6949" w:rsidRPr="00B10772">
        <w:rPr>
          <w:rFonts w:ascii="Palatino Linotype" w:hAnsi="Palatino Linotype"/>
          <w:b/>
          <w:bCs/>
          <w:color w:val="000000" w:themeColor="text1"/>
        </w:rPr>
        <w:t>00698/INFOEM/IP/RR/2022</w:t>
      </w:r>
      <w:r w:rsidRPr="00B10772">
        <w:rPr>
          <w:rFonts w:ascii="Palatino Linotype" w:hAnsi="Palatino Linotype"/>
          <w:color w:val="000000" w:themeColor="text1"/>
        </w:rPr>
        <w:t xml:space="preserve">; en consecuencia, este Organismo Garante encuentra conforme a derecho </w:t>
      </w:r>
      <w:r w:rsidRPr="00B10772">
        <w:rPr>
          <w:rFonts w:ascii="Palatino Linotype" w:hAnsi="Palatino Linotype"/>
          <w:b/>
          <w:bCs/>
          <w:color w:val="000000" w:themeColor="text1"/>
        </w:rPr>
        <w:t>revocar</w:t>
      </w:r>
      <w:r w:rsidRPr="00B10772">
        <w:rPr>
          <w:rFonts w:ascii="Palatino Linotype" w:hAnsi="Palatino Linotype"/>
          <w:color w:val="000000" w:themeColor="text1"/>
        </w:rPr>
        <w:t xml:space="preserve"> la respuesta del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y se </w:t>
      </w:r>
      <w:r w:rsidRPr="00B10772">
        <w:rPr>
          <w:rFonts w:ascii="Palatino Linotype" w:hAnsi="Palatino Linotype"/>
          <w:b/>
          <w:bCs/>
          <w:color w:val="000000" w:themeColor="text1"/>
        </w:rPr>
        <w:t>ordena</w:t>
      </w:r>
      <w:r w:rsidRPr="00B10772">
        <w:rPr>
          <w:rFonts w:ascii="Palatino Linotype" w:hAnsi="Palatino Linotype"/>
          <w:color w:val="000000" w:themeColor="text1"/>
        </w:rPr>
        <w:t xml:space="preserve"> entregar</w:t>
      </w:r>
      <w:r w:rsidR="00B6474A" w:rsidRPr="00B10772">
        <w:rPr>
          <w:rFonts w:ascii="Palatino Linotype" w:hAnsi="Palatino Linotype"/>
          <w:color w:val="000000" w:themeColor="text1"/>
        </w:rPr>
        <w:t xml:space="preserve"> los documentos donde consten las erogaciones realizadas con motivo de la pandemia ocasionada por el virus COVID-19, por el periodo comprendido del uno (01) de enero de dos mil diecinueve al treinta y uno (31) de diciembre de dos mil veintiuno.</w:t>
      </w:r>
    </w:p>
    <w:p w14:paraId="35E45A8B" w14:textId="77777777" w:rsidR="00B6474A" w:rsidRPr="00B10772" w:rsidRDefault="00B6474A" w:rsidP="00B6474A">
      <w:pPr>
        <w:pStyle w:val="Prrafodelista"/>
        <w:tabs>
          <w:tab w:val="left" w:pos="426"/>
        </w:tabs>
        <w:spacing w:before="240" w:after="240" w:line="360" w:lineRule="auto"/>
        <w:ind w:left="0" w:right="51"/>
        <w:jc w:val="both"/>
        <w:rPr>
          <w:rFonts w:ascii="Palatino Linotype" w:hAnsi="Palatino Linotype"/>
          <w:color w:val="000000" w:themeColor="text1"/>
        </w:rPr>
      </w:pPr>
    </w:p>
    <w:p w14:paraId="14725001" w14:textId="77777777" w:rsidR="00B6474A" w:rsidRPr="00B10772" w:rsidRDefault="00B6474A" w:rsidP="00B6474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Por otro lado, no debe ignorarse que, si dentro de la información que se ordena entregar al </w:t>
      </w:r>
      <w:r w:rsidRPr="00B10772">
        <w:rPr>
          <w:rFonts w:ascii="Palatino Linotype" w:hAnsi="Palatino Linotype"/>
          <w:b/>
          <w:bCs/>
          <w:color w:val="000000" w:themeColor="text1"/>
        </w:rPr>
        <w:t>RECURRENTE</w:t>
      </w:r>
      <w:r w:rsidRPr="00B10772">
        <w:rPr>
          <w:rFonts w:ascii="Palatino Linotype" w:hAnsi="Palatino Linotype"/>
          <w:color w:val="000000" w:themeColor="text1"/>
        </w:rPr>
        <w:t xml:space="preserve"> se actualizara alguna causal de clasificación, ya sea por reserva o confidencialidad, 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deberá generar las versiones públicas pertinentes, atendiendo los argumentos vertidos dentro del Considerando QUINTO de la presente resolución.</w:t>
      </w:r>
    </w:p>
    <w:p w14:paraId="0C1CC760" w14:textId="77777777" w:rsidR="0025760F" w:rsidRPr="00B10772" w:rsidRDefault="0025760F" w:rsidP="0025760F">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B10772"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7" w:name="_Toc87545544"/>
      <w:r w:rsidRPr="00B10772">
        <w:rPr>
          <w:rFonts w:ascii="Palatino Linotype" w:hAnsi="Palatino Linotype"/>
          <w:b/>
          <w:bCs/>
          <w:color w:val="000000" w:themeColor="text1"/>
        </w:rPr>
        <w:t>QUINTO</w:t>
      </w:r>
      <w:r w:rsidR="00F01443" w:rsidRPr="00B10772">
        <w:rPr>
          <w:rFonts w:ascii="Palatino Linotype" w:hAnsi="Palatino Linotype"/>
          <w:b/>
          <w:bCs/>
          <w:color w:val="000000" w:themeColor="text1"/>
        </w:rPr>
        <w:t>. De la versión pública.</w:t>
      </w:r>
      <w:bookmarkEnd w:id="27"/>
    </w:p>
    <w:p w14:paraId="294C3AEA" w14:textId="77777777" w:rsidR="00F01443" w:rsidRPr="00B10772"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436C6738" w:rsidR="00CA7A78" w:rsidRPr="00B10772"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Debe destacarse que, </w:t>
      </w:r>
      <w:r w:rsidR="00CA7A78" w:rsidRPr="00B10772">
        <w:rPr>
          <w:rFonts w:ascii="Palatino Linotype" w:hAnsi="Palatino Linotype"/>
          <w:color w:val="000000" w:themeColor="text1"/>
        </w:rPr>
        <w:t xml:space="preserve">debido a la naturaleza de la información </w:t>
      </w:r>
      <w:r w:rsidR="00CA7A78" w:rsidRPr="00B10772">
        <w:rPr>
          <w:rFonts w:ascii="Palatino Linotype" w:hAnsi="Palatino Linotype"/>
          <w:bCs/>
          <w:color w:val="000000" w:themeColor="text1"/>
        </w:rPr>
        <w:t>solicitada</w:t>
      </w:r>
      <w:r w:rsidR="00BB6ADD" w:rsidRPr="00B10772">
        <w:rPr>
          <w:rFonts w:ascii="Palatino Linotype" w:hAnsi="Palatino Linotype"/>
          <w:bCs/>
          <w:color w:val="000000" w:themeColor="text1"/>
        </w:rPr>
        <w:t xml:space="preserve">, consistente en el Registro de las Solicitudes de Información, </w:t>
      </w:r>
      <w:r w:rsidR="00CA7A78" w:rsidRPr="00B10772">
        <w:rPr>
          <w:rFonts w:ascii="Palatino Linotype" w:hAnsi="Palatino Linotype"/>
          <w:bCs/>
          <w:color w:val="000000" w:themeColor="text1"/>
        </w:rPr>
        <w:t>eventualmente</w:t>
      </w:r>
      <w:r w:rsidR="00CA7A78" w:rsidRPr="00B10772">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4850C0C"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La </w:t>
      </w:r>
      <w:r w:rsidRPr="00B10772">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0F2BFA2F"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E9CF202" w14:textId="25299E0A" w:rsidR="009D13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El </w:t>
      </w:r>
      <w:r w:rsidRPr="00B10772">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0E208AB"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B572C4C" w14:textId="2C984B22" w:rsidR="00CA7A78" w:rsidRPr="00B10772"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8" w:name="_Toc87545545"/>
      <w:r w:rsidRPr="00B10772">
        <w:rPr>
          <w:rFonts w:ascii="Palatino Linotype" w:hAnsi="Palatino Linotype"/>
          <w:b/>
          <w:color w:val="000000" w:themeColor="text1"/>
        </w:rPr>
        <w:t>I. Requisitos previos.</w:t>
      </w:r>
      <w:bookmarkEnd w:id="28"/>
    </w:p>
    <w:p w14:paraId="7A4B0F56"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7FAE175"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Los </w:t>
      </w:r>
      <w:r w:rsidRPr="00B10772">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EA835D2"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6259DEB"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Además, </w:t>
      </w:r>
      <w:r w:rsidRPr="00B10772">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C28181D"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CFA3F53" w14:textId="1931DEEA"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lastRenderedPageBreak/>
        <w:t xml:space="preserve">El </w:t>
      </w:r>
      <w:r w:rsidRPr="00B10772">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694AAA"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9416A56" w14:textId="4D408F9E" w:rsidR="00CA7A78" w:rsidRPr="00B10772"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9" w:name="_Toc87545546"/>
      <w:r w:rsidRPr="00B10772">
        <w:rPr>
          <w:rFonts w:ascii="Palatino Linotype" w:hAnsi="Palatino Linotype"/>
          <w:b/>
          <w:color w:val="000000" w:themeColor="text1"/>
        </w:rPr>
        <w:t>II. Supuestos de clasificación.</w:t>
      </w:r>
      <w:bookmarkEnd w:id="29"/>
    </w:p>
    <w:p w14:paraId="4D9928FA"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FC7D98D"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Las </w:t>
      </w:r>
      <w:r w:rsidRPr="00B10772">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60F1F287"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108251F" w14:textId="3CF20C12"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Los </w:t>
      </w:r>
      <w:r w:rsidRPr="00B10772">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B621959" w14:textId="77777777" w:rsidR="00CA7A78" w:rsidRPr="00B10772"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5F08CB3" w14:textId="77777777" w:rsidR="00CA7A78" w:rsidRPr="00B10772"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10772">
        <w:rPr>
          <w:rFonts w:ascii="Palatino Linotype" w:hAnsi="Palatino Linotype" w:cs="Bookman Old Style"/>
          <w:bCs/>
          <w:i/>
          <w:color w:val="000000"/>
          <w:sz w:val="22"/>
          <w:szCs w:val="22"/>
        </w:rPr>
        <w:t xml:space="preserve">“I. </w:t>
      </w:r>
      <w:r w:rsidRPr="00B10772">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8528C9C" w14:textId="77777777" w:rsidR="00CA7A78" w:rsidRPr="00B10772"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10772">
        <w:rPr>
          <w:rFonts w:ascii="Palatino Linotype" w:hAnsi="Palatino Linotype" w:cs="Bookman Old Style"/>
          <w:bCs/>
          <w:i/>
          <w:color w:val="000000"/>
          <w:sz w:val="22"/>
          <w:szCs w:val="22"/>
        </w:rPr>
        <w:t xml:space="preserve">II. </w:t>
      </w:r>
      <w:r w:rsidRPr="00B10772">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1E937DB" w14:textId="77777777" w:rsidR="00CA7A78" w:rsidRPr="00B10772"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10772">
        <w:rPr>
          <w:rFonts w:ascii="Palatino Linotype" w:hAnsi="Palatino Linotype" w:cs="Bookman Old Style"/>
          <w:bCs/>
          <w:i/>
          <w:color w:val="000000"/>
          <w:sz w:val="22"/>
          <w:szCs w:val="22"/>
        </w:rPr>
        <w:t xml:space="preserve">III. </w:t>
      </w:r>
      <w:r w:rsidRPr="00B10772">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2B1097B7" w14:textId="77777777" w:rsidR="00CA7A78" w:rsidRPr="00B10772"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10772">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36990213" w14:textId="77777777" w:rsidR="00CA7A78" w:rsidRPr="00B10772" w:rsidRDefault="00CA7A78" w:rsidP="00CA7A78">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B10772">
        <w:rPr>
          <w:rFonts w:ascii="Palatino Linotype" w:hAnsi="Palatino Linotype" w:cs="Bookman Old Style"/>
          <w:i/>
          <w:color w:val="000000"/>
          <w:sz w:val="22"/>
          <w:szCs w:val="22"/>
        </w:rPr>
        <w:lastRenderedPageBreak/>
        <w:t>No se considerará confidencial la información que se encuentre en los registros públicos o en fuentes de acceso público, ni tampoco la que sea considerada por la presente ley como información pública. “</w:t>
      </w:r>
    </w:p>
    <w:p w14:paraId="3E095314"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E0AD7B1"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Mientras </w:t>
      </w:r>
      <w:r w:rsidRPr="00B10772">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014D6F"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A0474A4"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Como </w:t>
      </w:r>
      <w:r w:rsidRPr="00B10772">
        <w:rPr>
          <w:rFonts w:ascii="Palatino Linotype" w:eastAsia="MS Mincho" w:hAnsi="Palatino Linotype" w:cs="Times New Roman"/>
        </w:rPr>
        <w:t xml:space="preserve">consecuencia de lo anterior, el </w:t>
      </w:r>
      <w:r w:rsidRPr="00B10772">
        <w:rPr>
          <w:rFonts w:ascii="Palatino Linotype" w:eastAsia="MS Mincho" w:hAnsi="Palatino Linotype" w:cs="Times New Roman"/>
          <w:b/>
          <w:bCs/>
        </w:rPr>
        <w:t>SUJETO OBLIGADO</w:t>
      </w:r>
      <w:r w:rsidRPr="00B10772">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57FB7ED5"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435E710" w14:textId="663DA79D"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Al </w:t>
      </w:r>
      <w:r w:rsidRPr="00B10772">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D735103"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D232830"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i/>
          <w:sz w:val="22"/>
          <w:szCs w:val="22"/>
        </w:rPr>
        <w:t>“</w:t>
      </w:r>
      <w:r w:rsidRPr="00B10772">
        <w:rPr>
          <w:rFonts w:ascii="Palatino Linotype" w:hAnsi="Palatino Linotype" w:cs="Arial"/>
          <w:b/>
          <w:i/>
          <w:sz w:val="22"/>
          <w:szCs w:val="22"/>
        </w:rPr>
        <w:t>Quincuagésimo.</w:t>
      </w:r>
      <w:r w:rsidRPr="00B10772">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8C97D54"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D9A25C"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i/>
          <w:sz w:val="22"/>
          <w:szCs w:val="22"/>
        </w:rPr>
        <w:t>Quincuagésimo primero.</w:t>
      </w:r>
      <w:r w:rsidRPr="00B10772">
        <w:rPr>
          <w:rFonts w:ascii="Palatino Linotype" w:hAnsi="Palatino Linotype" w:cs="Arial"/>
          <w:i/>
          <w:sz w:val="22"/>
          <w:szCs w:val="22"/>
        </w:rPr>
        <w:t xml:space="preserve"> La leyenda en los documentos clasificados indicará:</w:t>
      </w:r>
    </w:p>
    <w:p w14:paraId="1C3668A8"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I.</w:t>
      </w:r>
      <w:r w:rsidRPr="00B10772">
        <w:rPr>
          <w:rFonts w:ascii="Palatino Linotype" w:hAnsi="Palatino Linotype" w:cs="Arial"/>
          <w:i/>
          <w:sz w:val="22"/>
          <w:szCs w:val="22"/>
        </w:rPr>
        <w:t xml:space="preserve"> La fecha de sesión del Comité de Transparencia en donde se confirmó la clasificación, en su caso;</w:t>
      </w:r>
    </w:p>
    <w:p w14:paraId="6E59C893"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II.</w:t>
      </w:r>
      <w:r w:rsidRPr="00B10772">
        <w:rPr>
          <w:rFonts w:ascii="Palatino Linotype" w:hAnsi="Palatino Linotype" w:cs="Arial"/>
          <w:i/>
          <w:sz w:val="22"/>
          <w:szCs w:val="22"/>
        </w:rPr>
        <w:t xml:space="preserve"> El nombre del área;</w:t>
      </w:r>
    </w:p>
    <w:p w14:paraId="05709D8D"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lastRenderedPageBreak/>
        <w:t>III.</w:t>
      </w:r>
      <w:r w:rsidRPr="00B10772">
        <w:rPr>
          <w:rFonts w:ascii="Palatino Linotype" w:hAnsi="Palatino Linotype" w:cs="Arial"/>
          <w:i/>
          <w:sz w:val="22"/>
          <w:szCs w:val="22"/>
        </w:rPr>
        <w:t xml:space="preserve"> La palabra reservado o confidencial;</w:t>
      </w:r>
    </w:p>
    <w:p w14:paraId="4C58DE4C"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IV.</w:t>
      </w:r>
      <w:r w:rsidRPr="00B10772">
        <w:rPr>
          <w:rFonts w:ascii="Palatino Linotype" w:hAnsi="Palatino Linotype" w:cs="Arial"/>
          <w:i/>
          <w:sz w:val="22"/>
          <w:szCs w:val="22"/>
        </w:rPr>
        <w:t xml:space="preserve"> Las partes o secciones reservadas o confidenciales, en su caso;</w:t>
      </w:r>
    </w:p>
    <w:p w14:paraId="0854ECAB"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V.</w:t>
      </w:r>
      <w:r w:rsidRPr="00B10772">
        <w:rPr>
          <w:rFonts w:ascii="Palatino Linotype" w:hAnsi="Palatino Linotype" w:cs="Arial"/>
          <w:i/>
          <w:sz w:val="22"/>
          <w:szCs w:val="22"/>
        </w:rPr>
        <w:t xml:space="preserve"> El fundamento legal;</w:t>
      </w:r>
    </w:p>
    <w:p w14:paraId="3D08148B"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VI.</w:t>
      </w:r>
      <w:r w:rsidRPr="00B10772">
        <w:rPr>
          <w:rFonts w:ascii="Palatino Linotype" w:hAnsi="Palatino Linotype" w:cs="Arial"/>
          <w:i/>
          <w:sz w:val="22"/>
          <w:szCs w:val="22"/>
        </w:rPr>
        <w:t xml:space="preserve"> El periodo de reserva, y</w:t>
      </w:r>
    </w:p>
    <w:p w14:paraId="7A08E9B7"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bCs/>
          <w:i/>
          <w:sz w:val="22"/>
          <w:szCs w:val="22"/>
        </w:rPr>
        <w:t>VII.</w:t>
      </w:r>
      <w:r w:rsidRPr="00B10772">
        <w:rPr>
          <w:rFonts w:ascii="Palatino Linotype" w:hAnsi="Palatino Linotype" w:cs="Arial"/>
          <w:i/>
          <w:sz w:val="22"/>
          <w:szCs w:val="22"/>
        </w:rPr>
        <w:t xml:space="preserve"> La rúbrica del titular del área.</w:t>
      </w:r>
    </w:p>
    <w:p w14:paraId="42FB0DC9"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44CBF0C"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i/>
          <w:sz w:val="22"/>
          <w:szCs w:val="22"/>
        </w:rPr>
        <w:t>Quincuagésimo segundo.</w:t>
      </w:r>
      <w:r w:rsidRPr="00B10772">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7F49FFD4"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54E86B5D"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36BB8A8" w14:textId="77777777" w:rsidR="00CA7A78" w:rsidRPr="00B10772" w:rsidRDefault="00CA7A78" w:rsidP="00CA7A78">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10772">
        <w:rPr>
          <w:rFonts w:ascii="Palatino Linotype" w:hAnsi="Palatino Linotype" w:cs="Arial"/>
          <w:b/>
          <w:i/>
          <w:sz w:val="22"/>
          <w:szCs w:val="22"/>
        </w:rPr>
        <w:t>Quincuagésimo tercero.</w:t>
      </w:r>
      <w:r w:rsidRPr="00B10772">
        <w:rPr>
          <w:rFonts w:ascii="Palatino Linotype" w:hAnsi="Palatino Linotype" w:cs="Arial"/>
          <w:i/>
          <w:sz w:val="22"/>
          <w:szCs w:val="22"/>
        </w:rPr>
        <w:t xml:space="preserve"> El formato para señalar la clasificación parcial de un documento, es el siguiente:</w:t>
      </w:r>
    </w:p>
    <w:p w14:paraId="66542400" w14:textId="3B9B39FD" w:rsidR="00CA7A78" w:rsidRPr="00B10772" w:rsidRDefault="00CA7A78" w:rsidP="00CA7A78">
      <w:pPr>
        <w:pStyle w:val="Prrafodelista"/>
        <w:tabs>
          <w:tab w:val="left" w:pos="426"/>
        </w:tabs>
        <w:spacing w:before="240" w:after="240" w:line="360" w:lineRule="auto"/>
        <w:ind w:left="0" w:right="51"/>
        <w:jc w:val="center"/>
        <w:rPr>
          <w:rFonts w:ascii="Palatino Linotype" w:hAnsi="Palatino Linotype"/>
          <w:color w:val="000000" w:themeColor="text1"/>
        </w:rPr>
      </w:pPr>
      <w:r w:rsidRPr="00B10772">
        <w:rPr>
          <w:rFonts w:ascii="Palatino Linotype" w:hAnsi="Palatino Linotype" w:cs="Arial"/>
          <w:i/>
          <w:noProof/>
          <w:lang w:eastAsia="es-MX"/>
        </w:rPr>
        <w:drawing>
          <wp:inline distT="0" distB="0" distL="0" distR="0" wp14:anchorId="4D0C6FE8" wp14:editId="138BF4A5">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5F867"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329B9E5" w14:textId="6E84C65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Una </w:t>
      </w:r>
      <w:r w:rsidRPr="00B10772">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BF7A64C"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76B9F57B" w14:textId="16245990" w:rsidR="00CA7A78" w:rsidRPr="00B10772" w:rsidRDefault="00CA7A78" w:rsidP="00CA7A78">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0" w:name="_Toc87545547"/>
      <w:r w:rsidRPr="00B10772">
        <w:rPr>
          <w:rFonts w:ascii="Palatino Linotype" w:hAnsi="Palatino Linotype"/>
          <w:b/>
          <w:color w:val="000000" w:themeColor="text1"/>
        </w:rPr>
        <w:t>III. La intervención del Comité de Transparencia.</w:t>
      </w:r>
      <w:bookmarkEnd w:id="30"/>
    </w:p>
    <w:p w14:paraId="4B083D4C" w14:textId="2F89BEF9"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sidRPr="00B10772">
        <w:rPr>
          <w:rFonts w:ascii="Palatino Linotype" w:hAnsi="Palatino Linotype"/>
          <w:b/>
          <w:color w:val="000000" w:themeColor="text1"/>
        </w:rPr>
        <w:t>a) Formalidades para emitir el Acuerdo de clasificación.</w:t>
      </w:r>
    </w:p>
    <w:p w14:paraId="570B75E1"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49095867"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El </w:t>
      </w:r>
      <w:r w:rsidRPr="00B10772">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913A11"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0C6D5F11"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Evidentemente, </w:t>
      </w:r>
      <w:r w:rsidRPr="00B10772">
        <w:rPr>
          <w:rFonts w:ascii="Palatino Linotype" w:eastAsia="MS Mincho" w:hAnsi="Palatino Linotype" w:cs="Times New Roman"/>
        </w:rPr>
        <w:t xml:space="preserve">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w:t>
      </w:r>
      <w:r w:rsidRPr="00B10772">
        <w:rPr>
          <w:rFonts w:ascii="Palatino Linotype" w:eastAsia="MS Mincho" w:hAnsi="Palatino Linotype" w:cs="Times New Roman"/>
        </w:rPr>
        <w:lastRenderedPageBreak/>
        <w:t>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E4CE30"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D0F1764" w14:textId="16C6FE6D"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La </w:t>
      </w:r>
      <w:r w:rsidRPr="00B10772">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6B39305"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B1B6028" w14:textId="4422CCF2"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b/>
          <w:color w:val="000000" w:themeColor="text1"/>
        </w:rPr>
      </w:pPr>
      <w:r w:rsidRPr="00B10772">
        <w:rPr>
          <w:rFonts w:ascii="Palatino Linotype" w:hAnsi="Palatino Linotype"/>
          <w:b/>
          <w:color w:val="000000" w:themeColor="text1"/>
        </w:rPr>
        <w:t>b) Requisitos de fondo del Acuerdo de Clasificación.</w:t>
      </w:r>
    </w:p>
    <w:p w14:paraId="1444C017"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25EFA8"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Como </w:t>
      </w:r>
      <w:r w:rsidRPr="00B10772">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767A7BD"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5E9B0833"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De </w:t>
      </w:r>
      <w:r w:rsidRPr="00B10772">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96872E"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35CCFD2D"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Han </w:t>
      </w:r>
      <w:r w:rsidRPr="00B10772">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B10772">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B10772">
        <w:rPr>
          <w:rFonts w:ascii="Palatino Linotype" w:eastAsia="MS Mincho" w:hAnsi="Palatino Linotype" w:cs="Times New Roman"/>
        </w:rPr>
        <w:t>.</w:t>
      </w:r>
    </w:p>
    <w:p w14:paraId="14197ECB"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E366771" w14:textId="3121E440"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Por </w:t>
      </w:r>
      <w:r w:rsidRPr="00B10772">
        <w:rPr>
          <w:rFonts w:ascii="Palatino Linotype" w:eastAsia="MS Mincho" w:hAnsi="Palatino Linotype" w:cs="Times New Roman"/>
        </w:rPr>
        <w:t>su parte, el intérprete judicial del país ha establecido una jurisprudencia</w:t>
      </w:r>
      <w:r w:rsidRPr="00B10772">
        <w:rPr>
          <w:rStyle w:val="Refdenotaalpie"/>
          <w:rFonts w:ascii="Palatino Linotype" w:eastAsia="MS Mincho" w:hAnsi="Palatino Linotype" w:cs="Times New Roman"/>
        </w:rPr>
        <w:footnoteReference w:id="24"/>
      </w:r>
      <w:r w:rsidRPr="00B10772">
        <w:rPr>
          <w:rFonts w:ascii="Palatino Linotype" w:eastAsia="MS Mincho" w:hAnsi="Palatino Linotype" w:cs="Times New Roman"/>
        </w:rPr>
        <w:t xml:space="preserve"> respecto a qué debe entenderse por fundamentación y motivación, en los siguientes términos:</w:t>
      </w:r>
    </w:p>
    <w:p w14:paraId="521BDF63" w14:textId="77777777" w:rsidR="00CA7A78" w:rsidRPr="00B10772" w:rsidRDefault="00CA7A78" w:rsidP="00CA7A78">
      <w:pPr>
        <w:pStyle w:val="Prrafodelista"/>
        <w:tabs>
          <w:tab w:val="left" w:pos="426"/>
        </w:tabs>
        <w:spacing w:before="240" w:line="360" w:lineRule="auto"/>
        <w:ind w:left="0" w:right="51"/>
        <w:jc w:val="both"/>
        <w:rPr>
          <w:rFonts w:ascii="Palatino Linotype" w:hAnsi="Palatino Linotype"/>
          <w:color w:val="000000" w:themeColor="text1"/>
        </w:rPr>
      </w:pPr>
    </w:p>
    <w:p w14:paraId="333662B2" w14:textId="77777777" w:rsidR="00CA7A78" w:rsidRPr="00B10772" w:rsidRDefault="00CA7A78" w:rsidP="00CA7A78">
      <w:pPr>
        <w:spacing w:line="276" w:lineRule="auto"/>
        <w:ind w:left="567" w:right="567"/>
        <w:contextualSpacing/>
        <w:jc w:val="both"/>
        <w:rPr>
          <w:rFonts w:ascii="Palatino Linotype" w:hAnsi="Palatino Linotype" w:cs="Arial"/>
          <w:i/>
          <w:color w:val="000000"/>
          <w:sz w:val="22"/>
          <w:szCs w:val="22"/>
        </w:rPr>
      </w:pPr>
      <w:r w:rsidRPr="00B10772">
        <w:rPr>
          <w:rFonts w:ascii="Palatino Linotype" w:hAnsi="Palatino Linotype" w:cs="Arial"/>
          <w:b/>
          <w:i/>
          <w:color w:val="000000"/>
          <w:sz w:val="22"/>
          <w:szCs w:val="22"/>
        </w:rPr>
        <w:lastRenderedPageBreak/>
        <w:t>FUNDAMENTACIÓN Y MOTIVACIÓN.</w:t>
      </w:r>
      <w:r w:rsidRPr="00B10772">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6062B14"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42ABFE6"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Así, </w:t>
      </w:r>
      <w:r w:rsidRPr="00B10772">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108AF5"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60AFBFE1"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w:t>
      </w:r>
      <w:r w:rsidRPr="00B10772">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16103A3"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11D56972" w14:textId="77777777"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En </w:t>
      </w:r>
      <w:r w:rsidRPr="00B10772">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33AFD1A" w14:textId="77777777" w:rsidR="00CA7A78" w:rsidRPr="00B10772"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33DF0354" w:rsidR="00CA7A78" w:rsidRPr="00B10772" w:rsidRDefault="00CA7A78"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Otro </w:t>
      </w:r>
      <w:r w:rsidRPr="00B10772">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0D8F85DC" w14:textId="560F0251" w:rsidR="00BB6ADD" w:rsidRPr="00B10772" w:rsidRDefault="00BB6ADD" w:rsidP="00BB6ADD">
      <w:pPr>
        <w:pStyle w:val="Prrafodelista"/>
        <w:tabs>
          <w:tab w:val="left" w:pos="426"/>
        </w:tabs>
        <w:spacing w:before="240" w:after="240" w:line="360" w:lineRule="auto"/>
        <w:ind w:left="0" w:right="51"/>
        <w:jc w:val="both"/>
        <w:rPr>
          <w:rFonts w:ascii="Palatino Linotype" w:eastAsia="Times New Roman" w:hAnsi="Palatino Linotype" w:cs="Arial"/>
        </w:rPr>
      </w:pPr>
    </w:p>
    <w:p w14:paraId="2F05640F" w14:textId="1E0667C2" w:rsidR="00953B03" w:rsidRPr="00B10772" w:rsidRDefault="00B6474A"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1" w:name="_Toc87545548"/>
      <w:r w:rsidRPr="00B10772">
        <w:rPr>
          <w:rFonts w:ascii="Palatino Linotype" w:hAnsi="Palatino Linotype"/>
          <w:b/>
          <w:bCs/>
          <w:color w:val="000000" w:themeColor="text1"/>
        </w:rPr>
        <w:t>SEXTO</w:t>
      </w:r>
      <w:r w:rsidR="00953B03" w:rsidRPr="00B10772">
        <w:rPr>
          <w:rFonts w:ascii="Palatino Linotype" w:hAnsi="Palatino Linotype"/>
          <w:b/>
          <w:bCs/>
          <w:color w:val="000000" w:themeColor="text1"/>
        </w:rPr>
        <w:t>. Decisión</w:t>
      </w:r>
      <w:bookmarkEnd w:id="31"/>
    </w:p>
    <w:p w14:paraId="2B8DED45" w14:textId="77777777" w:rsidR="00953B03" w:rsidRPr="00B10772"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278C7CD1" w:rsidR="00953B03" w:rsidRPr="00B10772" w:rsidRDefault="00BB24E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Luego de analizar el marco legal de competencia del </w:t>
      </w:r>
      <w:r w:rsidRPr="00B10772">
        <w:rPr>
          <w:rFonts w:ascii="Palatino Linotype" w:hAnsi="Palatino Linotype"/>
          <w:b/>
          <w:bCs/>
          <w:color w:val="000000" w:themeColor="text1"/>
        </w:rPr>
        <w:t>SUJETO OBLIGADO</w:t>
      </w:r>
      <w:r w:rsidRPr="00B10772">
        <w:rPr>
          <w:rFonts w:ascii="Palatino Linotype" w:hAnsi="Palatino Linotype"/>
          <w:color w:val="000000" w:themeColor="text1"/>
        </w:rPr>
        <w:t xml:space="preserve"> para poseer, generar y administrar la información, se determinó que </w:t>
      </w:r>
      <w:r w:rsidR="00675C36" w:rsidRPr="00B10772">
        <w:rPr>
          <w:rFonts w:ascii="Palatino Linotype" w:hAnsi="Palatino Linotype"/>
          <w:color w:val="000000" w:themeColor="text1"/>
        </w:rPr>
        <w:t>el</w:t>
      </w:r>
      <w:r w:rsidRPr="00B10772">
        <w:rPr>
          <w:rFonts w:ascii="Palatino Linotype" w:hAnsi="Palatino Linotype"/>
          <w:color w:val="000000" w:themeColor="text1"/>
        </w:rPr>
        <w:t xml:space="preserve"> </w:t>
      </w:r>
      <w:r w:rsidR="00DD6949" w:rsidRPr="00B10772">
        <w:rPr>
          <w:rFonts w:ascii="Palatino Linotype" w:hAnsi="Palatino Linotype"/>
          <w:color w:val="000000" w:themeColor="text1"/>
        </w:rPr>
        <w:t>Ayuntamiento de Donato Guerra</w:t>
      </w:r>
      <w:r w:rsidR="00703F6C" w:rsidRPr="00B10772">
        <w:rPr>
          <w:rFonts w:ascii="Palatino Linotype" w:hAnsi="Palatino Linotype"/>
          <w:color w:val="000000" w:themeColor="text1"/>
        </w:rPr>
        <w:t xml:space="preserve"> </w:t>
      </w:r>
      <w:r w:rsidR="00675C36" w:rsidRPr="00B10772">
        <w:rPr>
          <w:rFonts w:ascii="Palatino Linotype" w:hAnsi="Palatino Linotype"/>
          <w:color w:val="000000" w:themeColor="text1"/>
        </w:rPr>
        <w:t xml:space="preserve">no debía tener ningún impedimento para entregar </w:t>
      </w:r>
      <w:r w:rsidR="00B6474A" w:rsidRPr="00B10772">
        <w:rPr>
          <w:rFonts w:ascii="Palatino Linotype" w:hAnsi="Palatino Linotype"/>
          <w:color w:val="000000" w:themeColor="text1"/>
        </w:rPr>
        <w:t>la información relacionada con los gastos generados por motivo de la pandemia causada por el virus COVID-19, por el periodo comprendido del uno (01) de enero de dos mil diecinueve al treinta y uno (31) de diciembre de dos mil veintiuno</w:t>
      </w:r>
      <w:r w:rsidR="00703F6C" w:rsidRPr="00B10772">
        <w:rPr>
          <w:rFonts w:ascii="Palatino Linotype" w:hAnsi="Palatino Linotype"/>
          <w:color w:val="000000" w:themeColor="text1"/>
        </w:rPr>
        <w:t>.</w:t>
      </w:r>
      <w:r w:rsidR="00675C36" w:rsidRPr="00B10772">
        <w:rPr>
          <w:rFonts w:ascii="Palatino Linotype" w:hAnsi="Palatino Linotype"/>
          <w:color w:val="000000" w:themeColor="text1"/>
        </w:rPr>
        <w:t xml:space="preserve"> Asimismo, se desestimó la pretensión del </w:t>
      </w:r>
      <w:r w:rsidR="00675C36" w:rsidRPr="00B10772">
        <w:rPr>
          <w:rFonts w:ascii="Palatino Linotype" w:hAnsi="Palatino Linotype"/>
          <w:b/>
          <w:bCs/>
          <w:color w:val="000000" w:themeColor="text1"/>
        </w:rPr>
        <w:t>SUJETO OBLIGADO</w:t>
      </w:r>
      <w:r w:rsidR="00675C36" w:rsidRPr="00B10772">
        <w:rPr>
          <w:rFonts w:ascii="Palatino Linotype" w:hAnsi="Palatino Linotype"/>
          <w:color w:val="000000" w:themeColor="text1"/>
        </w:rPr>
        <w:t xml:space="preserve"> de cambiar la modalidad de entrega de la información, por carecer de fundamentación y motivación.</w:t>
      </w:r>
    </w:p>
    <w:p w14:paraId="07E67D9C" w14:textId="306D7B6D" w:rsidR="00F6300E" w:rsidRPr="00B10772"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36D3526" w:rsidR="00F01443" w:rsidRPr="00B10772"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rPr>
        <w:t xml:space="preserve">Por </w:t>
      </w:r>
      <w:r w:rsidRPr="00B10772">
        <w:rPr>
          <w:rFonts w:ascii="Palatino Linotype" w:eastAsia="MS Mincho" w:hAnsi="Palatino Linotype" w:cstheme="majorBidi"/>
        </w:rPr>
        <w:t>lo tanto,</w:t>
      </w:r>
      <w:r w:rsidRPr="00B10772">
        <w:rPr>
          <w:rFonts w:ascii="Palatino Linotype" w:eastAsia="MS Mincho" w:hAnsi="Palatino Linotype" w:cstheme="majorBidi"/>
          <w:lang w:val="es-ES"/>
        </w:rPr>
        <w:t xml:space="preserve"> en consecuencia y en mérito de lo expuesto en líneas anteriores, resultan fundadas las razones o motivos de inconformidad hechos valer por el </w:t>
      </w:r>
      <w:r w:rsidRPr="00B10772">
        <w:rPr>
          <w:rFonts w:ascii="Palatino Linotype" w:eastAsia="MS Mincho" w:hAnsi="Palatino Linotype" w:cstheme="majorBidi"/>
          <w:b/>
          <w:lang w:val="es-ES"/>
        </w:rPr>
        <w:t>RECURRENTE</w:t>
      </w:r>
      <w:r w:rsidRPr="00B10772">
        <w:rPr>
          <w:rFonts w:ascii="Palatino Linotype" w:eastAsia="MS Mincho" w:hAnsi="Palatino Linotype" w:cstheme="majorBidi"/>
          <w:lang w:val="es-ES"/>
        </w:rPr>
        <w:t xml:space="preserve"> dentro del recurso de revisión </w:t>
      </w:r>
      <w:r w:rsidR="00DD6949" w:rsidRPr="00B10772">
        <w:rPr>
          <w:rFonts w:ascii="Palatino Linotype" w:eastAsia="MS Mincho" w:hAnsi="Palatino Linotype" w:cstheme="majorBidi"/>
          <w:b/>
          <w:bCs/>
          <w:lang w:val="es-ES"/>
        </w:rPr>
        <w:t>00698/INFOEM/IP/RR/2022</w:t>
      </w:r>
      <w:r w:rsidRPr="00B10772">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675C36" w:rsidRPr="00B10772">
        <w:rPr>
          <w:rFonts w:ascii="Palatino Linotype" w:eastAsia="MS Mincho" w:hAnsi="Palatino Linotype" w:cstheme="majorBidi"/>
          <w:b/>
          <w:lang w:val="es-ES"/>
        </w:rPr>
        <w:t>REVOCA</w:t>
      </w:r>
      <w:r w:rsidRPr="00B10772">
        <w:rPr>
          <w:rFonts w:ascii="Palatino Linotype" w:eastAsia="MS Mincho" w:hAnsi="Palatino Linotype" w:cstheme="majorBidi"/>
          <w:lang w:val="es-ES"/>
        </w:rPr>
        <w:t xml:space="preserve"> la respuesta a la solicitud de información número </w:t>
      </w:r>
      <w:r w:rsidR="00DD6949" w:rsidRPr="00B10772">
        <w:rPr>
          <w:rFonts w:ascii="Palatino Linotype" w:eastAsia="MS Mincho" w:hAnsi="Palatino Linotype" w:cstheme="majorBidi"/>
          <w:b/>
          <w:lang w:val="es-ES"/>
        </w:rPr>
        <w:t>00005/DONAGUER/IP/2022</w:t>
      </w:r>
      <w:r w:rsidRPr="00B10772">
        <w:rPr>
          <w:rFonts w:ascii="Palatino Linotype" w:eastAsia="MS Mincho" w:hAnsi="Palatino Linotype" w:cstheme="majorBidi"/>
          <w:lang w:val="es-ES"/>
        </w:rPr>
        <w:t>.</w:t>
      </w:r>
    </w:p>
    <w:p w14:paraId="370E910A" w14:textId="77777777" w:rsidR="00F01443" w:rsidRPr="00B10772"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B10772"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10772">
        <w:rPr>
          <w:rFonts w:ascii="Palatino Linotype" w:hAnsi="Palatino Linotype"/>
          <w:color w:val="000000" w:themeColor="text1"/>
          <w:lang w:val="es-ES"/>
        </w:rPr>
        <w:t xml:space="preserve">Por </w:t>
      </w:r>
      <w:r w:rsidR="00B41516" w:rsidRPr="00B10772">
        <w:rPr>
          <w:rFonts w:ascii="Palatino Linotype" w:hAnsi="Palatino Linotype"/>
          <w:color w:val="000000" w:themeColor="text1"/>
        </w:rPr>
        <w:t xml:space="preserve">lo anteriormente expuesto y fundado, </w:t>
      </w:r>
      <w:r w:rsidR="003E6079" w:rsidRPr="00B10772">
        <w:rPr>
          <w:rFonts w:ascii="Palatino Linotype" w:hAnsi="Palatino Linotype"/>
          <w:color w:val="000000" w:themeColor="text1"/>
        </w:rPr>
        <w:t>e</w:t>
      </w:r>
      <w:r w:rsidR="00B41516" w:rsidRPr="00B10772">
        <w:rPr>
          <w:rFonts w:ascii="Palatino Linotype" w:hAnsi="Palatino Linotype"/>
          <w:color w:val="000000" w:themeColor="text1"/>
        </w:rPr>
        <w:t xml:space="preserve">ste </w:t>
      </w:r>
      <w:r w:rsidR="00B41516" w:rsidRPr="00B10772">
        <w:rPr>
          <w:rFonts w:ascii="Palatino Linotype" w:hAnsi="Palatino Linotype"/>
          <w:b/>
          <w:color w:val="000000" w:themeColor="text1"/>
        </w:rPr>
        <w:t>ÓRGANO GARANTE</w:t>
      </w:r>
      <w:r w:rsidR="00B41516" w:rsidRPr="00B10772">
        <w:rPr>
          <w:rFonts w:ascii="Palatino Linotype" w:hAnsi="Palatino Linotype"/>
          <w:color w:val="000000" w:themeColor="text1"/>
        </w:rPr>
        <w:t xml:space="preserve"> emite los siguientes:</w:t>
      </w:r>
      <w:r w:rsidR="003E6079" w:rsidRPr="00B10772">
        <w:rPr>
          <w:rFonts w:ascii="Palatino Linotype" w:hAnsi="Palatino Linotype"/>
          <w:color w:val="000000" w:themeColor="text1"/>
        </w:rPr>
        <w:t xml:space="preserve"> </w:t>
      </w:r>
      <w:r w:rsidR="00D71057" w:rsidRPr="00B10772">
        <w:rPr>
          <w:rFonts w:ascii="Palatino Linotype" w:hAnsi="Palatino Linotype"/>
          <w:color w:val="000000" w:themeColor="text1"/>
        </w:rPr>
        <w:t>--------------------------------------------------------------------------</w:t>
      </w:r>
      <w:r w:rsidR="00E10AC3" w:rsidRPr="00B10772">
        <w:rPr>
          <w:rFonts w:ascii="Palatino Linotype" w:hAnsi="Palatino Linotype"/>
          <w:color w:val="000000" w:themeColor="text1"/>
        </w:rPr>
        <w:t>-----------------</w:t>
      </w:r>
      <w:r w:rsidR="00895335" w:rsidRPr="00B10772">
        <w:rPr>
          <w:rFonts w:ascii="Palatino Linotype" w:hAnsi="Palatino Linotype"/>
          <w:color w:val="000000" w:themeColor="text1"/>
        </w:rPr>
        <w:t>--</w:t>
      </w:r>
      <w:r w:rsidR="003E6079" w:rsidRPr="00B10772">
        <w:rPr>
          <w:rFonts w:ascii="Palatino Linotype" w:hAnsi="Palatino Linotype"/>
          <w:color w:val="000000" w:themeColor="text1"/>
        </w:rPr>
        <w:t>-------------------------------------------------------------------------------------------------------------</w:t>
      </w:r>
      <w:r w:rsidR="00895335" w:rsidRPr="00B10772">
        <w:rPr>
          <w:rFonts w:ascii="Palatino Linotype" w:hAnsi="Palatino Linotype"/>
          <w:color w:val="000000" w:themeColor="text1"/>
        </w:rPr>
        <w:t>--</w:t>
      </w:r>
    </w:p>
    <w:p w14:paraId="19A111DC" w14:textId="77777777" w:rsidR="00266588" w:rsidRPr="00B10772" w:rsidRDefault="00266588">
      <w:pPr>
        <w:rPr>
          <w:rFonts w:ascii="Palatino Linotype" w:hAnsi="Palatino Linotype"/>
          <w:color w:val="000000" w:themeColor="text1"/>
        </w:rPr>
      </w:pPr>
      <w:r w:rsidRPr="00B10772">
        <w:rPr>
          <w:rFonts w:ascii="Palatino Linotype" w:hAnsi="Palatino Linotype"/>
          <w:color w:val="000000" w:themeColor="text1"/>
        </w:rPr>
        <w:br w:type="page"/>
      </w:r>
    </w:p>
    <w:p w14:paraId="18C7D92B" w14:textId="77777777" w:rsidR="009959DB" w:rsidRPr="00B10772" w:rsidRDefault="009959DB" w:rsidP="007E2870">
      <w:pPr>
        <w:pStyle w:val="Ttulo1"/>
        <w:spacing w:after="240" w:line="360" w:lineRule="auto"/>
        <w:jc w:val="center"/>
        <w:rPr>
          <w:b/>
          <w:color w:val="000000" w:themeColor="text1"/>
          <w:szCs w:val="24"/>
        </w:rPr>
      </w:pPr>
      <w:bookmarkStart w:id="32" w:name="_Toc495427547"/>
      <w:bookmarkStart w:id="33" w:name="_Toc497905366"/>
      <w:bookmarkStart w:id="34" w:name="_Toc87545549"/>
      <w:r w:rsidRPr="00B10772">
        <w:rPr>
          <w:b/>
          <w:color w:val="000000" w:themeColor="text1"/>
          <w:szCs w:val="24"/>
        </w:rPr>
        <w:lastRenderedPageBreak/>
        <w:t>R E S O L U T I V O S</w:t>
      </w:r>
      <w:bookmarkEnd w:id="24"/>
      <w:bookmarkEnd w:id="25"/>
      <w:bookmarkEnd w:id="32"/>
      <w:bookmarkEnd w:id="33"/>
      <w:bookmarkEnd w:id="34"/>
    </w:p>
    <w:p w14:paraId="67A78F7D" w14:textId="43DB6ED8" w:rsidR="00CA0640" w:rsidRPr="00B10772" w:rsidRDefault="00CA0640" w:rsidP="00CA0640">
      <w:pPr>
        <w:spacing w:line="360" w:lineRule="auto"/>
        <w:jc w:val="both"/>
        <w:rPr>
          <w:rFonts w:ascii="Palatino Linotype" w:eastAsia="Times New Roman" w:hAnsi="Palatino Linotype" w:cs="Times New Roman"/>
        </w:rPr>
      </w:pPr>
      <w:r w:rsidRPr="00B10772">
        <w:rPr>
          <w:rFonts w:ascii="Palatino Linotype" w:eastAsia="Times New Roman" w:hAnsi="Palatino Linotype" w:cs="Arial"/>
          <w:b/>
          <w:sz w:val="28"/>
          <w:szCs w:val="28"/>
        </w:rPr>
        <w:t>PRIMERO</w:t>
      </w:r>
      <w:r w:rsidRPr="00B10772">
        <w:rPr>
          <w:rFonts w:ascii="Palatino Linotype" w:eastAsia="Times New Roman" w:hAnsi="Palatino Linotype" w:cs="Arial"/>
          <w:b/>
        </w:rPr>
        <w:t xml:space="preserve">. </w:t>
      </w:r>
      <w:bookmarkStart w:id="35" w:name="_GoBack"/>
      <w:r w:rsidRPr="00B10772">
        <w:rPr>
          <w:rFonts w:ascii="Palatino Linotype" w:eastAsia="Times New Roman" w:hAnsi="Palatino Linotype" w:cs="Arial"/>
        </w:rPr>
        <w:t>Resultan</w:t>
      </w:r>
      <w:r w:rsidR="00892AB9" w:rsidRPr="00B10772">
        <w:rPr>
          <w:rFonts w:ascii="Palatino Linotype" w:eastAsia="Times New Roman" w:hAnsi="Palatino Linotype" w:cs="Arial"/>
        </w:rPr>
        <w:t xml:space="preserve"> </w:t>
      </w:r>
      <w:r w:rsidRPr="00B10772">
        <w:rPr>
          <w:rFonts w:ascii="Palatino Linotype" w:eastAsia="Times New Roman" w:hAnsi="Palatino Linotype" w:cs="Arial"/>
        </w:rPr>
        <w:t>fundadas las</w:t>
      </w:r>
      <w:r w:rsidRPr="00B10772">
        <w:rPr>
          <w:rFonts w:ascii="Palatino Linotype" w:eastAsia="Times New Roman" w:hAnsi="Palatino Linotype" w:cs="Arial"/>
          <w:b/>
        </w:rPr>
        <w:t xml:space="preserve"> </w:t>
      </w:r>
      <w:r w:rsidRPr="00B10772">
        <w:rPr>
          <w:rFonts w:ascii="Palatino Linotype" w:eastAsia="Times New Roman" w:hAnsi="Palatino Linotype" w:cs="Arial"/>
          <w:lang w:val="es-ES"/>
        </w:rPr>
        <w:t xml:space="preserve">razones o motivos de inconformidad hechos valer </w:t>
      </w:r>
      <w:r w:rsidRPr="00B10772">
        <w:rPr>
          <w:rFonts w:ascii="Palatino Linotype" w:eastAsia="Calibri" w:hAnsi="Palatino Linotype" w:cs="Arial"/>
          <w:lang w:val="es-ES"/>
        </w:rPr>
        <w:t xml:space="preserve">en el recurso de revisión </w:t>
      </w:r>
      <w:r w:rsidR="00DD6949" w:rsidRPr="00B10772">
        <w:rPr>
          <w:rFonts w:ascii="Palatino Linotype" w:eastAsia="Times New Roman" w:hAnsi="Palatino Linotype" w:cs="Times New Roman"/>
          <w:b/>
        </w:rPr>
        <w:t>00698/INFOEM/IP/RR/2022</w:t>
      </w:r>
      <w:r w:rsidRPr="00B10772">
        <w:rPr>
          <w:rFonts w:ascii="Palatino Linotype" w:eastAsia="Times New Roman" w:hAnsi="Palatino Linotype" w:cs="Times New Roman"/>
          <w:b/>
        </w:rPr>
        <w:t xml:space="preserve"> </w:t>
      </w:r>
      <w:r w:rsidRPr="00B10772">
        <w:rPr>
          <w:rFonts w:ascii="Palatino Linotype" w:eastAsia="Times New Roman" w:hAnsi="Palatino Linotype" w:cs="Times New Roman"/>
        </w:rPr>
        <w:t>en términos de los</w:t>
      </w:r>
      <w:r w:rsidRPr="00B10772">
        <w:rPr>
          <w:rFonts w:ascii="Palatino Linotype" w:eastAsia="Times New Roman" w:hAnsi="Palatino Linotype" w:cs="Times New Roman"/>
          <w:b/>
          <w:bCs/>
        </w:rPr>
        <w:t xml:space="preserve"> Considerandos</w:t>
      </w:r>
      <w:r w:rsidRPr="00B10772">
        <w:rPr>
          <w:rFonts w:ascii="Palatino Linotype" w:eastAsia="Times New Roman" w:hAnsi="Palatino Linotype" w:cs="Times New Roman"/>
        </w:rPr>
        <w:t xml:space="preserve"> </w:t>
      </w:r>
      <w:r w:rsidRPr="00B10772">
        <w:rPr>
          <w:rFonts w:ascii="Palatino Linotype" w:eastAsia="Times New Roman" w:hAnsi="Palatino Linotype" w:cs="Times New Roman"/>
          <w:b/>
        </w:rPr>
        <w:t xml:space="preserve">CUARTO </w:t>
      </w:r>
      <w:r w:rsidRPr="00B10772">
        <w:rPr>
          <w:rFonts w:ascii="Palatino Linotype" w:eastAsia="Times New Roman" w:hAnsi="Palatino Linotype" w:cs="Times New Roman"/>
          <w:bCs/>
        </w:rPr>
        <w:t xml:space="preserve">y </w:t>
      </w:r>
      <w:r w:rsidRPr="00B10772">
        <w:rPr>
          <w:rFonts w:ascii="Palatino Linotype" w:eastAsia="Times New Roman" w:hAnsi="Palatino Linotype" w:cs="Times New Roman"/>
          <w:b/>
        </w:rPr>
        <w:t xml:space="preserve">QUINTO </w:t>
      </w:r>
      <w:r w:rsidRPr="00B10772">
        <w:rPr>
          <w:rFonts w:ascii="Palatino Linotype" w:eastAsia="Times New Roman" w:hAnsi="Palatino Linotype" w:cs="Times New Roman"/>
        </w:rPr>
        <w:t>de la presente resolución.</w:t>
      </w:r>
    </w:p>
    <w:p w14:paraId="223895AA" w14:textId="77777777" w:rsidR="00CA0640" w:rsidRPr="00B10772" w:rsidRDefault="00CA0640" w:rsidP="00CA0640">
      <w:pPr>
        <w:spacing w:line="360" w:lineRule="auto"/>
        <w:contextualSpacing/>
        <w:jc w:val="both"/>
        <w:rPr>
          <w:rFonts w:ascii="Palatino Linotype" w:eastAsia="Calibri" w:hAnsi="Palatino Linotype" w:cs="Arial"/>
          <w:b/>
          <w:bCs/>
          <w:lang w:val="es-ES"/>
        </w:rPr>
      </w:pPr>
    </w:p>
    <w:p w14:paraId="6FD259C5" w14:textId="517AA97D" w:rsidR="00CA0640" w:rsidRPr="00B10772" w:rsidRDefault="00CA0640" w:rsidP="00CA0640">
      <w:pPr>
        <w:spacing w:line="360" w:lineRule="auto"/>
        <w:contextualSpacing/>
        <w:jc w:val="both"/>
        <w:rPr>
          <w:rFonts w:ascii="Palatino Linotype" w:eastAsia="Times New Roman" w:hAnsi="Palatino Linotype" w:cs="Arial"/>
          <w:color w:val="000000"/>
        </w:rPr>
      </w:pPr>
      <w:r w:rsidRPr="00B10772">
        <w:rPr>
          <w:rFonts w:ascii="Palatino Linotype" w:eastAsia="Calibri" w:hAnsi="Palatino Linotype" w:cs="Arial"/>
          <w:b/>
          <w:bCs/>
          <w:sz w:val="28"/>
          <w:szCs w:val="28"/>
          <w:lang w:val="es-ES"/>
        </w:rPr>
        <w:t>SEGUNDO</w:t>
      </w:r>
      <w:r w:rsidRPr="00B10772">
        <w:rPr>
          <w:rFonts w:ascii="Palatino Linotype" w:eastAsia="Calibri" w:hAnsi="Palatino Linotype" w:cs="Arial"/>
          <w:b/>
          <w:bCs/>
          <w:lang w:val="es-ES"/>
        </w:rPr>
        <w:t xml:space="preserve">. </w:t>
      </w:r>
      <w:r w:rsidRPr="00B10772">
        <w:rPr>
          <w:rFonts w:ascii="Palatino Linotype" w:eastAsia="Calibri" w:hAnsi="Palatino Linotype" w:cs="Arial"/>
          <w:lang w:val="es-ES"/>
        </w:rPr>
        <w:t xml:space="preserve">Se </w:t>
      </w:r>
      <w:r w:rsidR="00111260" w:rsidRPr="00B10772">
        <w:rPr>
          <w:rFonts w:ascii="Palatino Linotype" w:eastAsia="Calibri" w:hAnsi="Palatino Linotype" w:cs="Arial"/>
          <w:b/>
          <w:lang w:val="es-ES"/>
        </w:rPr>
        <w:t>REVOCA</w:t>
      </w:r>
      <w:r w:rsidRPr="00B10772">
        <w:rPr>
          <w:rFonts w:ascii="Palatino Linotype" w:eastAsia="Calibri" w:hAnsi="Palatino Linotype" w:cs="Arial"/>
          <w:lang w:val="es-ES"/>
        </w:rPr>
        <w:t xml:space="preserve"> la respuesta emitida por el </w:t>
      </w:r>
      <w:r w:rsidR="00DD6949" w:rsidRPr="00B10772">
        <w:rPr>
          <w:rFonts w:ascii="Palatino Linotype" w:eastAsia="Calibri" w:hAnsi="Palatino Linotype" w:cs="Arial"/>
          <w:b/>
        </w:rPr>
        <w:t>Ayuntamiento de Donato Guerra</w:t>
      </w:r>
      <w:r w:rsidRPr="00B10772">
        <w:rPr>
          <w:rFonts w:ascii="Palatino Linotype" w:eastAsia="Calibri" w:hAnsi="Palatino Linotype" w:cs="Arial"/>
          <w:bCs/>
        </w:rPr>
        <w:t xml:space="preserve"> a la solicitud </w:t>
      </w:r>
      <w:r w:rsidR="00DD6949" w:rsidRPr="00B10772">
        <w:rPr>
          <w:rFonts w:ascii="Palatino Linotype" w:eastAsia="Calibri" w:hAnsi="Palatino Linotype" w:cs="Arial"/>
          <w:b/>
        </w:rPr>
        <w:t>00005/DONAGUER/IP/2022</w:t>
      </w:r>
      <w:r w:rsidRPr="00B10772">
        <w:rPr>
          <w:rFonts w:ascii="Palatino Linotype" w:eastAsia="Calibri" w:hAnsi="Palatino Linotype" w:cs="Arial"/>
          <w:b/>
        </w:rPr>
        <w:t xml:space="preserve"> </w:t>
      </w:r>
      <w:bookmarkEnd w:id="35"/>
      <w:r w:rsidRPr="00B10772">
        <w:rPr>
          <w:rFonts w:ascii="Palatino Linotype" w:eastAsia="Calibri" w:hAnsi="Palatino Linotype" w:cs="Arial"/>
        </w:rPr>
        <w:t xml:space="preserve">y se </w:t>
      </w:r>
      <w:r w:rsidRPr="00B10772">
        <w:rPr>
          <w:rFonts w:ascii="Palatino Linotype" w:eastAsia="Calibri" w:hAnsi="Palatino Linotype" w:cs="Arial"/>
          <w:b/>
        </w:rPr>
        <w:t>ORDENA</w:t>
      </w:r>
      <w:r w:rsidRPr="00B10772">
        <w:rPr>
          <w:rFonts w:ascii="Palatino Linotype" w:eastAsia="Calibri" w:hAnsi="Palatino Linotype" w:cs="Arial"/>
          <w:b/>
          <w:lang w:val="es-ES"/>
        </w:rPr>
        <w:t xml:space="preserve"> </w:t>
      </w:r>
      <w:r w:rsidRPr="00B10772">
        <w:rPr>
          <w:rFonts w:ascii="Palatino Linotype" w:eastAsia="Calibri" w:hAnsi="Palatino Linotype" w:cs="Arial"/>
          <w:lang w:val="es-ES"/>
        </w:rPr>
        <w:t xml:space="preserve">entregar, </w:t>
      </w:r>
      <w:bookmarkStart w:id="36" w:name="_Toc460947013"/>
      <w:r w:rsidR="00E91BFE" w:rsidRPr="00B10772">
        <w:rPr>
          <w:rFonts w:ascii="Palatino Linotype" w:eastAsia="Calibri" w:hAnsi="Palatino Linotype" w:cs="Arial"/>
          <w:lang w:val="es-ES"/>
        </w:rPr>
        <w:t>vía</w:t>
      </w:r>
      <w:r w:rsidR="008705E1" w:rsidRPr="00B10772">
        <w:rPr>
          <w:rFonts w:ascii="Palatino Linotype" w:eastAsia="Calibri" w:hAnsi="Palatino Linotype" w:cs="Arial"/>
          <w:lang w:val="es-ES"/>
        </w:rPr>
        <w:t xml:space="preserve"> Sistema de Acceso a la Información Pública Mexiquense (SAIMEX)</w:t>
      </w:r>
      <w:r w:rsidR="00892AB9" w:rsidRPr="00B10772">
        <w:rPr>
          <w:rFonts w:ascii="Palatino Linotype" w:eastAsia="Times New Roman" w:hAnsi="Palatino Linotype" w:cs="Arial"/>
          <w:color w:val="000000"/>
        </w:rPr>
        <w:t xml:space="preserve">, </w:t>
      </w:r>
      <w:r w:rsidR="00D93E8A" w:rsidRPr="00B10772">
        <w:rPr>
          <w:rFonts w:ascii="Palatino Linotype" w:eastAsia="Times New Roman" w:hAnsi="Palatino Linotype" w:cs="Arial"/>
          <w:color w:val="000000"/>
        </w:rPr>
        <w:t xml:space="preserve">previa búsqueda exhaustiva y razonable, </w:t>
      </w:r>
      <w:r w:rsidR="00892AB9" w:rsidRPr="00B10772">
        <w:rPr>
          <w:rFonts w:ascii="Palatino Linotype" w:eastAsia="Times New Roman" w:hAnsi="Palatino Linotype" w:cs="Arial"/>
          <w:color w:val="000000"/>
        </w:rPr>
        <w:t xml:space="preserve">de ser procedente </w:t>
      </w:r>
      <w:r w:rsidRPr="00B10772">
        <w:rPr>
          <w:rFonts w:ascii="Palatino Linotype" w:eastAsia="Times New Roman" w:hAnsi="Palatino Linotype" w:cs="Arial"/>
          <w:color w:val="000000"/>
        </w:rPr>
        <w:t>en versión pública,</w:t>
      </w:r>
      <w:r w:rsidR="00D93E8A" w:rsidRPr="00B10772">
        <w:rPr>
          <w:rFonts w:ascii="Palatino Linotype" w:eastAsia="Times New Roman" w:hAnsi="Palatino Linotype" w:cs="Arial"/>
          <w:color w:val="000000"/>
        </w:rPr>
        <w:t xml:space="preserve"> los documentos donde</w:t>
      </w:r>
      <w:r w:rsidR="008903DD" w:rsidRPr="00B10772">
        <w:rPr>
          <w:rFonts w:ascii="Palatino Linotype" w:eastAsia="Times New Roman" w:hAnsi="Palatino Linotype" w:cs="Arial"/>
          <w:color w:val="000000"/>
        </w:rPr>
        <w:t xml:space="preserve"> conste, de la manera más desagregada posible,</w:t>
      </w:r>
      <w:r w:rsidR="00D93E8A" w:rsidRPr="00B10772">
        <w:rPr>
          <w:rFonts w:ascii="Palatino Linotype" w:eastAsia="Times New Roman" w:hAnsi="Palatino Linotype" w:cs="Arial"/>
          <w:color w:val="000000"/>
        </w:rPr>
        <w:t xml:space="preserve"> </w:t>
      </w:r>
      <w:r w:rsidR="00E91BFE" w:rsidRPr="00B10772">
        <w:rPr>
          <w:rFonts w:ascii="Palatino Linotype" w:eastAsia="Times New Roman" w:hAnsi="Palatino Linotype" w:cs="Arial"/>
          <w:color w:val="000000"/>
        </w:rPr>
        <w:t>la</w:t>
      </w:r>
      <w:r w:rsidR="00266588" w:rsidRPr="00B10772">
        <w:rPr>
          <w:rFonts w:ascii="Palatino Linotype" w:eastAsia="Times New Roman" w:hAnsi="Palatino Linotype" w:cs="Arial"/>
          <w:color w:val="000000"/>
        </w:rPr>
        <w:t xml:space="preserve"> siguiente información</w:t>
      </w:r>
      <w:r w:rsidRPr="00B10772">
        <w:rPr>
          <w:rFonts w:ascii="Palatino Linotype" w:eastAsia="Times New Roman" w:hAnsi="Palatino Linotype" w:cs="Arial"/>
          <w:color w:val="000000"/>
        </w:rPr>
        <w:t xml:space="preserve">: </w:t>
      </w:r>
    </w:p>
    <w:p w14:paraId="73CAD18D" w14:textId="77777777" w:rsidR="00CA0640" w:rsidRPr="00B10772" w:rsidRDefault="00CA0640" w:rsidP="00CA0640">
      <w:pPr>
        <w:spacing w:line="360" w:lineRule="auto"/>
        <w:ind w:right="616"/>
        <w:jc w:val="both"/>
        <w:rPr>
          <w:rFonts w:ascii="Palatino Linotype" w:hAnsi="Palatino Linotype"/>
          <w:b/>
          <w:bCs/>
        </w:rPr>
      </w:pPr>
      <w:bookmarkStart w:id="37" w:name="_Hlk22229143"/>
    </w:p>
    <w:bookmarkEnd w:id="37"/>
    <w:p w14:paraId="3AAF756B" w14:textId="3B2CF354" w:rsidR="00892AB9" w:rsidRPr="00B10772" w:rsidRDefault="00D93E8A" w:rsidP="002A2FF2">
      <w:pPr>
        <w:pStyle w:val="Prrafodelista"/>
        <w:numPr>
          <w:ilvl w:val="0"/>
          <w:numId w:val="3"/>
        </w:numPr>
        <w:spacing w:after="240" w:line="360" w:lineRule="auto"/>
        <w:ind w:left="851" w:right="567" w:hanging="284"/>
        <w:jc w:val="both"/>
        <w:rPr>
          <w:rFonts w:ascii="Palatino Linotype" w:hAnsi="Palatino Linotype"/>
          <w:b/>
          <w:bCs/>
          <w:color w:val="000000"/>
          <w:u w:val="double"/>
        </w:rPr>
      </w:pPr>
      <w:r w:rsidRPr="00B10772">
        <w:rPr>
          <w:rFonts w:ascii="Palatino Linotype" w:hAnsi="Palatino Linotype"/>
          <w:b/>
          <w:bCs/>
          <w:color w:val="000000"/>
        </w:rPr>
        <w:t xml:space="preserve">Gastos generados con motivo de la pandemia ocasionada por el virus </w:t>
      </w:r>
      <w:r w:rsidRPr="00B10772">
        <w:rPr>
          <w:rFonts w:ascii="Palatino Linotype" w:hAnsi="Palatino Linotype"/>
          <w:b/>
          <w:bCs/>
          <w:i/>
          <w:iCs/>
          <w:color w:val="000000"/>
        </w:rPr>
        <w:t>SARS-C</w:t>
      </w:r>
      <w:r w:rsidR="001F3EAC" w:rsidRPr="00B10772">
        <w:rPr>
          <w:rFonts w:ascii="Palatino Linotype" w:hAnsi="Palatino Linotype"/>
          <w:b/>
          <w:bCs/>
          <w:i/>
          <w:iCs/>
          <w:color w:val="000000"/>
        </w:rPr>
        <w:t>o</w:t>
      </w:r>
      <w:r w:rsidRPr="00B10772">
        <w:rPr>
          <w:rFonts w:ascii="Palatino Linotype" w:hAnsi="Palatino Linotype"/>
          <w:b/>
          <w:bCs/>
          <w:i/>
          <w:iCs/>
          <w:color w:val="000000"/>
        </w:rPr>
        <w:t>V2</w:t>
      </w:r>
      <w:r w:rsidRPr="00B10772">
        <w:rPr>
          <w:rFonts w:ascii="Palatino Linotype" w:hAnsi="Palatino Linotype"/>
          <w:b/>
          <w:bCs/>
          <w:color w:val="000000"/>
        </w:rPr>
        <w:t xml:space="preserve"> (COVID-19), por el periodo comprendido del </w:t>
      </w:r>
      <w:r w:rsidR="001F3EAC" w:rsidRPr="00B10772">
        <w:rPr>
          <w:rFonts w:ascii="Palatino Linotype" w:hAnsi="Palatino Linotype"/>
          <w:b/>
          <w:bCs/>
          <w:color w:val="000000"/>
        </w:rPr>
        <w:t>uno (01) de enero de dos mil diecinueve</w:t>
      </w:r>
      <w:r w:rsidRPr="00B10772">
        <w:rPr>
          <w:rFonts w:ascii="Palatino Linotype" w:hAnsi="Palatino Linotype"/>
          <w:b/>
          <w:bCs/>
          <w:color w:val="000000"/>
        </w:rPr>
        <w:t xml:space="preserve"> al treinta y uno (31) de diciembre de dos mil veintiuno.</w:t>
      </w:r>
    </w:p>
    <w:p w14:paraId="19C3E213" w14:textId="1BC1DAA3" w:rsidR="00CA0640" w:rsidRPr="00B10772" w:rsidRDefault="00CA0640" w:rsidP="0046340E">
      <w:pPr>
        <w:tabs>
          <w:tab w:val="left" w:pos="993"/>
        </w:tabs>
        <w:spacing w:line="360" w:lineRule="auto"/>
        <w:jc w:val="both"/>
        <w:rPr>
          <w:rFonts w:ascii="Palatino Linotype" w:eastAsia="Calibri" w:hAnsi="Palatino Linotype" w:cs="Arial"/>
        </w:rPr>
      </w:pPr>
      <w:r w:rsidRPr="00B10772">
        <w:rPr>
          <w:rFonts w:ascii="Palatino Linotype" w:hAnsi="Palatino Linotype"/>
          <w:color w:val="000000"/>
        </w:rPr>
        <w:t xml:space="preserve">Para </w:t>
      </w:r>
      <w:r w:rsidRPr="00B10772">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B10772">
        <w:rPr>
          <w:rFonts w:ascii="Palatino Linotype" w:eastAsia="Calibri" w:hAnsi="Palatino Linotype" w:cs="Arial"/>
          <w:b/>
        </w:rPr>
        <w:t>RECURRENTE</w:t>
      </w:r>
      <w:r w:rsidRPr="00B10772">
        <w:rPr>
          <w:rFonts w:ascii="Palatino Linotype" w:eastAsia="Calibri" w:hAnsi="Palatino Linotype" w:cs="Arial"/>
        </w:rPr>
        <w:t>.</w:t>
      </w:r>
    </w:p>
    <w:p w14:paraId="75CA2A2B" w14:textId="77777777" w:rsidR="0046340E" w:rsidRPr="00B10772" w:rsidRDefault="0046340E" w:rsidP="00CA0640">
      <w:pPr>
        <w:tabs>
          <w:tab w:val="left" w:pos="993"/>
        </w:tabs>
        <w:spacing w:line="360" w:lineRule="auto"/>
        <w:ind w:right="567"/>
        <w:jc w:val="both"/>
        <w:rPr>
          <w:rFonts w:ascii="Palatino Linotype" w:eastAsia="Calibri" w:hAnsi="Palatino Linotype" w:cs="Arial"/>
        </w:rPr>
      </w:pPr>
    </w:p>
    <w:p w14:paraId="5463F9DB" w14:textId="0C3EE2CF" w:rsidR="00CA0640" w:rsidRPr="00B10772" w:rsidRDefault="00CA0640" w:rsidP="00CA0640">
      <w:pPr>
        <w:spacing w:line="360" w:lineRule="auto"/>
        <w:jc w:val="both"/>
        <w:rPr>
          <w:rFonts w:ascii="Palatino Linotype" w:eastAsia="MS Mincho" w:hAnsi="Palatino Linotype" w:cs="Times New Roman"/>
          <w:color w:val="000000"/>
        </w:rPr>
      </w:pPr>
      <w:r w:rsidRPr="00B10772">
        <w:rPr>
          <w:rFonts w:ascii="Palatino Linotype" w:eastAsia="MS Mincho" w:hAnsi="Palatino Linotype" w:cs="Times New Roman"/>
          <w:b/>
          <w:color w:val="000000"/>
          <w:sz w:val="28"/>
          <w:szCs w:val="28"/>
        </w:rPr>
        <w:t>TERCERO</w:t>
      </w:r>
      <w:r w:rsidRPr="00B10772">
        <w:rPr>
          <w:rFonts w:ascii="Palatino Linotype" w:eastAsia="MS Mincho" w:hAnsi="Palatino Linotype" w:cs="Times New Roman"/>
          <w:b/>
          <w:color w:val="000000"/>
        </w:rPr>
        <w:t>.</w:t>
      </w:r>
      <w:r w:rsidRPr="00B10772">
        <w:rPr>
          <w:rFonts w:ascii="Palatino Linotype" w:eastAsia="MS Mincho" w:hAnsi="Palatino Linotype" w:cs="Times New Roman"/>
          <w:color w:val="000000"/>
        </w:rPr>
        <w:t xml:space="preserve"> Notifíquese al Titular de la Unidad de Transparencia del</w:t>
      </w:r>
      <w:r w:rsidRPr="00B10772">
        <w:rPr>
          <w:rFonts w:ascii="Palatino Linotype" w:eastAsia="MS Mincho" w:hAnsi="Palatino Linotype" w:cs="Times New Roman"/>
          <w:b/>
          <w:color w:val="000000"/>
        </w:rPr>
        <w:t xml:space="preserve"> </w:t>
      </w:r>
      <w:r w:rsidR="007C7D43" w:rsidRPr="00B10772">
        <w:rPr>
          <w:rFonts w:ascii="Palatino Linotype" w:eastAsia="MS Mincho" w:hAnsi="Palatino Linotype" w:cs="Times New Roman"/>
          <w:b/>
          <w:color w:val="000000"/>
        </w:rPr>
        <w:t>SUJETO OBLIGADO</w:t>
      </w:r>
      <w:r w:rsidRPr="00B10772">
        <w:rPr>
          <w:rFonts w:ascii="Palatino Linotype" w:eastAsia="MS Mincho" w:hAnsi="Palatino Linotype" w:cs="Times New Roman"/>
          <w:color w:val="000000"/>
        </w:rPr>
        <w:t xml:space="preserve">, </w:t>
      </w:r>
      <w:r w:rsidR="00512DCC" w:rsidRPr="00B10772">
        <w:rPr>
          <w:rFonts w:ascii="Palatino Linotype" w:eastAsia="MS Mincho" w:hAnsi="Palatino Linotype" w:cs="Times New Roman"/>
          <w:color w:val="000000"/>
        </w:rPr>
        <w:t xml:space="preserve">vía Sistema de Acceso a la Información Mexiquense (SAIMEX), </w:t>
      </w:r>
      <w:r w:rsidRPr="00B10772">
        <w:rPr>
          <w:rFonts w:ascii="Palatino Linotype" w:eastAsia="MS Mincho" w:hAnsi="Palatino Linotype" w:cs="Times New Roman"/>
          <w:color w:val="000000"/>
        </w:rPr>
        <w:t xml:space="preserve">para </w:t>
      </w:r>
      <w:r w:rsidRPr="00B10772">
        <w:rPr>
          <w:rFonts w:ascii="Palatino Linotype" w:eastAsia="MS Mincho" w:hAnsi="Palatino Linotype" w:cs="Times New Roman"/>
          <w:color w:val="000000"/>
        </w:rPr>
        <w:lastRenderedPageBreak/>
        <w:t>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1A751802" w14:textId="77777777" w:rsidR="00CA0640" w:rsidRPr="00B10772" w:rsidRDefault="00CA0640" w:rsidP="00CA0640">
      <w:pPr>
        <w:spacing w:line="360" w:lineRule="auto"/>
        <w:jc w:val="both"/>
        <w:rPr>
          <w:rFonts w:ascii="Palatino Linotype" w:eastAsia="MS Mincho" w:hAnsi="Palatino Linotype" w:cs="Times New Roman"/>
          <w:color w:val="000000"/>
        </w:rPr>
      </w:pPr>
    </w:p>
    <w:p w14:paraId="1926C937" w14:textId="77777777" w:rsidR="00CA0640" w:rsidRPr="00B10772" w:rsidRDefault="00CA0640" w:rsidP="00CA0640">
      <w:pPr>
        <w:spacing w:line="360" w:lineRule="auto"/>
        <w:jc w:val="both"/>
        <w:rPr>
          <w:rFonts w:ascii="Palatino Linotype" w:eastAsia="MS Mincho" w:hAnsi="Palatino Linotype" w:cs="Times New Roman"/>
          <w:color w:val="000000"/>
        </w:rPr>
      </w:pPr>
      <w:r w:rsidRPr="00B10772">
        <w:rPr>
          <w:rFonts w:ascii="Palatino Linotype" w:eastAsia="MS Mincho" w:hAnsi="Palatino Linotype" w:cs="Times New Roman"/>
          <w:b/>
          <w:bCs/>
          <w:color w:val="000000"/>
          <w:sz w:val="28"/>
          <w:szCs w:val="28"/>
        </w:rPr>
        <w:t>CUARTO</w:t>
      </w:r>
      <w:r w:rsidRPr="00B10772">
        <w:rPr>
          <w:rFonts w:ascii="Palatino Linotype" w:eastAsia="MS Mincho" w:hAnsi="Palatino Linotype" w:cs="Times New Roman"/>
          <w:b/>
          <w:bCs/>
          <w:color w:val="000000"/>
        </w:rPr>
        <w:t>.</w:t>
      </w:r>
      <w:r w:rsidRPr="00B10772">
        <w:rPr>
          <w:rFonts w:ascii="Palatino Linotype" w:eastAsia="MS Mincho" w:hAnsi="Palatino Linotype" w:cs="Times New Roman"/>
          <w:color w:val="000000"/>
        </w:rPr>
        <w:t xml:space="preserve"> De </w:t>
      </w:r>
      <w:r w:rsidRPr="00B10772">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B10772">
        <w:rPr>
          <w:rFonts w:ascii="Palatino Linotype" w:eastAsia="MS Mincho" w:hAnsi="Palatino Linotype" w:cs="Times New Roman"/>
          <w:b/>
          <w:color w:val="000000"/>
        </w:rPr>
        <w:t>SUJETO OBLIGADO,</w:t>
      </w:r>
      <w:r w:rsidRPr="00B10772">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B10772" w:rsidRDefault="00CA0640" w:rsidP="00CA0640">
      <w:pPr>
        <w:spacing w:line="360" w:lineRule="auto"/>
        <w:jc w:val="both"/>
        <w:rPr>
          <w:rFonts w:ascii="Palatino Linotype" w:eastAsia="MS Mincho" w:hAnsi="Palatino Linotype" w:cs="Times New Roman"/>
          <w:color w:val="000000"/>
        </w:rPr>
      </w:pPr>
    </w:p>
    <w:p w14:paraId="667576E1" w14:textId="26AB3206" w:rsidR="00CA0640" w:rsidRPr="00B10772" w:rsidRDefault="00CA0640" w:rsidP="00CA0640">
      <w:pPr>
        <w:spacing w:line="360" w:lineRule="auto"/>
        <w:jc w:val="both"/>
        <w:rPr>
          <w:rFonts w:ascii="Palatino Linotype" w:eastAsia="MS Mincho" w:hAnsi="Palatino Linotype" w:cs="Times New Roman"/>
          <w:color w:val="000000"/>
        </w:rPr>
      </w:pPr>
      <w:r w:rsidRPr="00B10772">
        <w:rPr>
          <w:rFonts w:ascii="Palatino Linotype" w:eastAsia="MS Mincho" w:hAnsi="Palatino Linotype" w:cs="Times New Roman"/>
          <w:b/>
          <w:color w:val="000000"/>
          <w:sz w:val="28"/>
          <w:szCs w:val="28"/>
        </w:rPr>
        <w:t>QUINTO</w:t>
      </w:r>
      <w:r w:rsidRPr="00B10772">
        <w:rPr>
          <w:rFonts w:ascii="Palatino Linotype" w:eastAsia="MS Mincho" w:hAnsi="Palatino Linotype" w:cs="Times New Roman"/>
          <w:b/>
          <w:color w:val="000000"/>
        </w:rPr>
        <w:t xml:space="preserve">. </w:t>
      </w:r>
      <w:r w:rsidRPr="00B10772">
        <w:rPr>
          <w:rFonts w:ascii="Palatino Linotype" w:eastAsia="MS Mincho" w:hAnsi="Palatino Linotype" w:cs="Times New Roman"/>
          <w:color w:val="000000"/>
        </w:rPr>
        <w:t xml:space="preserve">Notifíquese al </w:t>
      </w:r>
      <w:r w:rsidRPr="00B10772">
        <w:rPr>
          <w:rFonts w:ascii="Palatino Linotype" w:eastAsia="MS Mincho" w:hAnsi="Palatino Linotype" w:cs="Times New Roman"/>
          <w:b/>
          <w:bCs/>
          <w:color w:val="000000"/>
        </w:rPr>
        <w:t>RECURRENTE</w:t>
      </w:r>
      <w:r w:rsidRPr="00B10772">
        <w:rPr>
          <w:rFonts w:ascii="Palatino Linotype" w:eastAsia="MS Mincho" w:hAnsi="Palatino Linotype" w:cs="Times New Roman"/>
          <w:color w:val="000000"/>
        </w:rPr>
        <w:t xml:space="preserve"> la presente resolución</w:t>
      </w:r>
      <w:r w:rsidR="00512DCC" w:rsidRPr="00B10772">
        <w:rPr>
          <w:rFonts w:ascii="Palatino Linotype" w:eastAsia="MS Mincho" w:hAnsi="Palatino Linotype" w:cs="Times New Roman"/>
          <w:color w:val="000000"/>
        </w:rPr>
        <w:t xml:space="preserve"> vía Sistema de Acceso a la Información Mexiquense (SAIMEX).</w:t>
      </w:r>
    </w:p>
    <w:p w14:paraId="435E92A5" w14:textId="77777777" w:rsidR="00CA0640" w:rsidRPr="00B10772" w:rsidRDefault="00CA0640" w:rsidP="00CA0640">
      <w:pPr>
        <w:spacing w:line="360" w:lineRule="auto"/>
        <w:jc w:val="both"/>
        <w:rPr>
          <w:rFonts w:ascii="Palatino Linotype" w:hAnsi="Palatino Linotype"/>
          <w:b/>
        </w:rPr>
      </w:pPr>
    </w:p>
    <w:p w14:paraId="1E2CA3C7" w14:textId="034EA821" w:rsidR="00CA0640" w:rsidRPr="00B10772" w:rsidRDefault="00CA0640" w:rsidP="00CA0640">
      <w:pPr>
        <w:spacing w:line="360" w:lineRule="auto"/>
        <w:jc w:val="both"/>
        <w:rPr>
          <w:rFonts w:ascii="Palatino Linotype" w:eastAsia="MS Mincho" w:hAnsi="Palatino Linotype" w:cs="Times New Roman"/>
          <w:color w:val="000000"/>
          <w:lang w:val="es-ES"/>
        </w:rPr>
      </w:pPr>
      <w:r w:rsidRPr="00B10772">
        <w:rPr>
          <w:rFonts w:ascii="Palatino Linotype" w:eastAsia="MS Mincho" w:hAnsi="Palatino Linotype" w:cs="Times New Roman"/>
          <w:b/>
          <w:sz w:val="28"/>
          <w:szCs w:val="28"/>
        </w:rPr>
        <w:t>SEXTO</w:t>
      </w:r>
      <w:r w:rsidRPr="00B10772">
        <w:rPr>
          <w:rFonts w:ascii="Palatino Linotype" w:eastAsia="MS Mincho" w:hAnsi="Palatino Linotype" w:cs="Times New Roman"/>
          <w:b/>
          <w:color w:val="000000"/>
        </w:rPr>
        <w:t xml:space="preserve">. </w:t>
      </w:r>
      <w:r w:rsidRPr="00B10772">
        <w:rPr>
          <w:rFonts w:ascii="Palatino Linotype" w:eastAsia="MS Mincho" w:hAnsi="Palatino Linotype" w:cs="Times New Roman"/>
          <w:color w:val="000000"/>
        </w:rPr>
        <w:t xml:space="preserve">Se hace del conocimiento del </w:t>
      </w:r>
      <w:r w:rsidRPr="00B10772">
        <w:rPr>
          <w:rFonts w:ascii="Palatino Linotype" w:eastAsia="MS Mincho" w:hAnsi="Palatino Linotype" w:cs="Times New Roman"/>
          <w:b/>
          <w:bCs/>
          <w:color w:val="000000"/>
        </w:rPr>
        <w:t>RECURRENTE</w:t>
      </w:r>
      <w:r w:rsidRPr="00B10772">
        <w:rPr>
          <w:rFonts w:ascii="Palatino Linotype" w:hAnsi="Palatino Linotype"/>
          <w:b/>
        </w:rPr>
        <w:t xml:space="preserve"> </w:t>
      </w:r>
      <w:r w:rsidRPr="00B10772">
        <w:rPr>
          <w:rFonts w:ascii="Palatino Linotype" w:eastAsia="MS Mincho" w:hAnsi="Palatino Linotype" w:cs="Times New Roman"/>
          <w:color w:val="000000"/>
        </w:rPr>
        <w:t xml:space="preserve">que, </w:t>
      </w:r>
      <w:bookmarkEnd w:id="36"/>
      <w:r w:rsidRPr="00B10772">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B10772">
        <w:rPr>
          <w:rFonts w:ascii="Palatino Linotype" w:eastAsia="MS Mincho" w:hAnsi="Palatino Linotype" w:cs="Times New Roman"/>
          <w:bCs/>
          <w:color w:val="000000"/>
          <w:lang w:val="es-ES"/>
        </w:rPr>
        <w:t xml:space="preserve">juicio de amparo </w:t>
      </w:r>
      <w:r w:rsidRPr="00B10772">
        <w:rPr>
          <w:rFonts w:ascii="Palatino Linotype" w:eastAsia="MS Mincho" w:hAnsi="Palatino Linotype" w:cs="Times New Roman"/>
          <w:color w:val="000000"/>
          <w:lang w:val="es-ES"/>
        </w:rPr>
        <w:t>en los términos de las Leyes aplicables.</w:t>
      </w:r>
    </w:p>
    <w:p w14:paraId="5539087E" w14:textId="0807B5D3" w:rsidR="00111260" w:rsidRPr="00B10772" w:rsidRDefault="00111260" w:rsidP="00CA0640">
      <w:pPr>
        <w:spacing w:line="360" w:lineRule="auto"/>
        <w:jc w:val="both"/>
        <w:rPr>
          <w:rFonts w:ascii="Palatino Linotype" w:eastAsia="MS Mincho" w:hAnsi="Palatino Linotype" w:cs="Times New Roman"/>
          <w:color w:val="000000"/>
          <w:lang w:val="es-ES"/>
        </w:rPr>
      </w:pPr>
    </w:p>
    <w:p w14:paraId="4D2DFDA9" w14:textId="77777777" w:rsidR="00B10772" w:rsidRDefault="00B10772" w:rsidP="00B10772">
      <w:pPr>
        <w:spacing w:before="240" w:after="240" w:line="360" w:lineRule="auto"/>
        <w:ind w:firstLine="1"/>
        <w:jc w:val="both"/>
        <w:rPr>
          <w:rFonts w:ascii="Palatino Linotype" w:hAnsi="Palatino Linotype"/>
        </w:rPr>
      </w:pPr>
      <w:r w:rsidRPr="00B10772">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B10772">
        <w:rPr>
          <w:rFonts w:ascii="Palatino Linotype" w:hAnsi="Palatino Linotype"/>
        </w:rPr>
        <w:lastRenderedPageBreak/>
        <w:t>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783C9" w14:textId="77777777" w:rsidR="00713E90" w:rsidRDefault="00713E90" w:rsidP="00587366">
      <w:r>
        <w:separator/>
      </w:r>
    </w:p>
  </w:endnote>
  <w:endnote w:type="continuationSeparator" w:id="0">
    <w:p w14:paraId="482E995C" w14:textId="77777777" w:rsidR="00713E90" w:rsidRDefault="00713E9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70A2F" w:rsidRPr="00883450" w:rsidRDefault="00070A2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35915">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35915">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4BF156D8" w:rsidR="00070A2F" w:rsidRDefault="00070A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70A2F" w:rsidRPr="00883450" w:rsidRDefault="00070A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35915" w:rsidRPr="0063591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35915" w:rsidRPr="00635915">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44C02D09" w:rsidR="00070A2F" w:rsidRPr="00883450" w:rsidRDefault="00070A2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57B82" w14:textId="77777777" w:rsidR="00713E90" w:rsidRDefault="00713E90" w:rsidP="00587366">
      <w:r>
        <w:separator/>
      </w:r>
    </w:p>
  </w:footnote>
  <w:footnote w:type="continuationSeparator" w:id="0">
    <w:p w14:paraId="560EF743" w14:textId="77777777" w:rsidR="00713E90" w:rsidRDefault="00713E90" w:rsidP="00587366">
      <w:r>
        <w:continuationSeparator/>
      </w:r>
    </w:p>
  </w:footnote>
  <w:footnote w:id="1">
    <w:p w14:paraId="5E086919" w14:textId="77777777" w:rsidR="00B742E4" w:rsidRDefault="00B742E4" w:rsidP="00B742E4">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B4CCD6" w14:textId="77777777" w:rsidR="00B742E4" w:rsidRDefault="00B742E4" w:rsidP="00B742E4">
      <w:pPr>
        <w:pStyle w:val="Textonotapie"/>
        <w:jc w:val="both"/>
      </w:pPr>
      <w:r>
        <w:rPr>
          <w:lang w:val="es-ES_tradnl"/>
        </w:rPr>
        <w:t>(…)”</w:t>
      </w:r>
    </w:p>
  </w:footnote>
  <w:footnote w:id="2">
    <w:p w14:paraId="31C71B15"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E66C088"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6F4FB53" w14:textId="77777777" w:rsidR="00070A2F" w:rsidRPr="009C43C2" w:rsidRDefault="00070A2F" w:rsidP="00DA2D95">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F5A516D" w14:textId="77777777" w:rsidR="00070A2F" w:rsidRDefault="00070A2F" w:rsidP="00DA2D95">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6">
    <w:p w14:paraId="3F8BB9F5" w14:textId="77777777" w:rsidR="004D7D46" w:rsidRDefault="004D7D46" w:rsidP="004D7D46">
      <w:pPr>
        <w:pStyle w:val="Textonotapie"/>
      </w:pPr>
      <w:r>
        <w:rPr>
          <w:rStyle w:val="Refdenotaalpie"/>
        </w:rPr>
        <w:footnoteRef/>
      </w:r>
      <w:r>
        <w:t xml:space="preserve"> Artículo 50, Ley de Transparencia y Acceso a la Información Pública del Estado de México y Municipios.</w:t>
      </w:r>
    </w:p>
  </w:footnote>
  <w:footnote w:id="7">
    <w:p w14:paraId="6E69BDE6" w14:textId="77777777" w:rsidR="004D7D46" w:rsidRDefault="004D7D46" w:rsidP="004D7D46">
      <w:pPr>
        <w:pStyle w:val="Textonotapie"/>
      </w:pPr>
      <w:r>
        <w:rPr>
          <w:rStyle w:val="Refdenotaalpie"/>
        </w:rPr>
        <w:footnoteRef/>
      </w:r>
      <w:r>
        <w:t xml:space="preserve"> Artículo 51, Ídem.</w:t>
      </w:r>
    </w:p>
  </w:footnote>
  <w:footnote w:id="8">
    <w:p w14:paraId="58137E06" w14:textId="77777777" w:rsidR="004D7D46" w:rsidRDefault="004D7D46" w:rsidP="004D7D46">
      <w:pPr>
        <w:pStyle w:val="Textonotapie"/>
      </w:pPr>
      <w:r>
        <w:rPr>
          <w:rStyle w:val="Refdenotaalpie"/>
        </w:rPr>
        <w:footnoteRef/>
      </w:r>
      <w:r>
        <w:t xml:space="preserve"> Artículo 58, Ley de Transparencia y Acceso a la Información Pública del Estado de México y Municipios.</w:t>
      </w:r>
    </w:p>
  </w:footnote>
  <w:footnote w:id="9">
    <w:p w14:paraId="7ED682F1" w14:textId="77777777" w:rsidR="004D7D46" w:rsidRDefault="004D7D46" w:rsidP="004D7D46">
      <w:pPr>
        <w:pStyle w:val="Textonotapie"/>
      </w:pPr>
      <w:r>
        <w:rPr>
          <w:rStyle w:val="Refdenotaalpie"/>
        </w:rPr>
        <w:footnoteRef/>
      </w:r>
      <w:r>
        <w:t xml:space="preserve"> Artículo 59, Ídem.</w:t>
      </w:r>
    </w:p>
  </w:footnote>
  <w:footnote w:id="10">
    <w:p w14:paraId="4B29F4AA" w14:textId="2E58FCA4" w:rsidR="00705973" w:rsidRDefault="00705973">
      <w:pPr>
        <w:pStyle w:val="Textonotapie"/>
      </w:pPr>
      <w:r>
        <w:rPr>
          <w:rStyle w:val="Refdenotaalpie"/>
        </w:rPr>
        <w:footnoteRef/>
      </w:r>
      <w:r>
        <w:t xml:space="preserve"> Consultable en: </w:t>
      </w:r>
      <w:r w:rsidRPr="00705973">
        <w:t>https://www.ipomex.org.mx/ipo3/lgt/indice/DONATOGUERRA/art_92_vii/4.web</w:t>
      </w:r>
    </w:p>
  </w:footnote>
  <w:footnote w:id="11">
    <w:p w14:paraId="4196F0F0" w14:textId="77777777" w:rsidR="00627200" w:rsidRDefault="00627200" w:rsidP="006272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2">
    <w:p w14:paraId="611DFCB5" w14:textId="77777777" w:rsidR="00627200" w:rsidRDefault="00627200" w:rsidP="006272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3">
    <w:p w14:paraId="06A50267"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0359EEBB"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roofErr w:type="gramStart"/>
      <w:r>
        <w:rPr>
          <w:rFonts w:ascii="Palatino Linotype" w:eastAsia="Palatino Linotype" w:hAnsi="Palatino Linotype" w:cs="Palatino Linotype"/>
          <w:color w:val="000000"/>
          <w:sz w:val="18"/>
          <w:szCs w:val="18"/>
        </w:rPr>
        <w:t>.(</w:t>
      </w:r>
      <w:proofErr w:type="gramEnd"/>
      <w:r>
        <w:rPr>
          <w:rFonts w:ascii="Palatino Linotype" w:eastAsia="Palatino Linotype" w:hAnsi="Palatino Linotype" w:cs="Palatino Linotype"/>
          <w:color w:val="000000"/>
          <w:sz w:val="18"/>
          <w:szCs w:val="18"/>
        </w:rPr>
        <w:t>…)</w:t>
      </w:r>
    </w:p>
    <w:p w14:paraId="2C283E75" w14:textId="77777777" w:rsidR="00627200" w:rsidRDefault="00627200" w:rsidP="0062720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EF0DCD9" w14:textId="77777777" w:rsidR="00627200" w:rsidRDefault="00627200" w:rsidP="00627200">
      <w:pPr>
        <w:pBdr>
          <w:top w:val="nil"/>
          <w:left w:val="nil"/>
          <w:bottom w:val="nil"/>
          <w:right w:val="nil"/>
          <w:between w:val="nil"/>
        </w:pBdr>
        <w:rPr>
          <w:color w:val="000000"/>
          <w:sz w:val="20"/>
          <w:szCs w:val="20"/>
        </w:rPr>
      </w:pPr>
      <w:r>
        <w:rPr>
          <w:color w:val="000000"/>
          <w:sz w:val="20"/>
          <w:szCs w:val="20"/>
        </w:rPr>
        <w:t>(…)”</w:t>
      </w:r>
    </w:p>
  </w:footnote>
  <w:footnote w:id="14">
    <w:p w14:paraId="29D43AB3" w14:textId="77777777" w:rsidR="001409A2" w:rsidRDefault="001409A2" w:rsidP="001409A2">
      <w:pPr>
        <w:pStyle w:val="Textonotapie"/>
      </w:pPr>
      <w:r>
        <w:rPr>
          <w:rStyle w:val="Refdenotaalpie"/>
        </w:rPr>
        <w:footnoteRef/>
      </w:r>
      <w:r>
        <w:t xml:space="preserve"> ¿Qué es un coronavirus? Preguntas y respuestas sobre la enfermedad por coronavirus (COVID-19); Portal de la Organización Mundial de la Salud; recuperado de </w:t>
      </w:r>
      <w:r w:rsidRPr="0009755D">
        <w:t>https://www.who.int/es/emergencies/diseases/novel-coronavirus-2019/advice-for-public/q-a-coronaviruses</w:t>
      </w:r>
    </w:p>
  </w:footnote>
  <w:footnote w:id="15">
    <w:p w14:paraId="67F7B0CC" w14:textId="77777777" w:rsidR="001409A2" w:rsidRDefault="001409A2" w:rsidP="001409A2">
      <w:pPr>
        <w:pStyle w:val="Textonotapie"/>
      </w:pPr>
      <w:r>
        <w:rPr>
          <w:rStyle w:val="Refdenotaalpie"/>
        </w:rPr>
        <w:footnoteRef/>
      </w:r>
      <w:r>
        <w:t xml:space="preserve"> ¿Qué es la COVID-19?; Ídem.</w:t>
      </w:r>
    </w:p>
  </w:footnote>
  <w:footnote w:id="16">
    <w:p w14:paraId="2F59464B" w14:textId="77777777" w:rsidR="001409A2" w:rsidRDefault="001409A2" w:rsidP="001409A2">
      <w:pPr>
        <w:pStyle w:val="Textonotapie"/>
      </w:pPr>
      <w:r>
        <w:rPr>
          <w:rStyle w:val="Refdenotaalpie"/>
        </w:rPr>
        <w:footnoteRef/>
      </w:r>
      <w:r>
        <w:t xml:space="preserve"> Información General, Portal oficial de datos del COVID-19, Consejo Nacional de Ciencia y Tecnología, Recuperado de </w:t>
      </w:r>
      <w:r w:rsidRPr="00FF2CAA">
        <w:t>https://datos.covid-19.conacyt.mx/</w:t>
      </w:r>
    </w:p>
  </w:footnote>
  <w:footnote w:id="17">
    <w:p w14:paraId="6C4922EB" w14:textId="1B25D038" w:rsidR="00487A51" w:rsidRDefault="00487A51">
      <w:pPr>
        <w:pStyle w:val="Textonotapie"/>
      </w:pPr>
      <w:r>
        <w:rPr>
          <w:rStyle w:val="Refdenotaalpie"/>
        </w:rPr>
        <w:footnoteRef/>
      </w:r>
      <w:r>
        <w:t xml:space="preserve"> Consultable en </w:t>
      </w:r>
      <w:r w:rsidRPr="00487A51">
        <w:t>https://monitoreoqr.edomex.gob.mx/dHome/medidas_sanitarias/GACETA_02_DE_ABRIL_2020_%28MEDIDAS_PREVENTIVAS_Y_ACTIVIDADES%29%28ABROGADO%29.pdf</w:t>
      </w:r>
    </w:p>
  </w:footnote>
  <w:footnote w:id="18">
    <w:p w14:paraId="3D9FB21B" w14:textId="77777777" w:rsidR="00444E90" w:rsidRDefault="00444E90" w:rsidP="00444E90">
      <w:pPr>
        <w:pStyle w:val="Textonotapie"/>
      </w:pPr>
      <w:r>
        <w:rPr>
          <w:rStyle w:val="Refdenotaalpie"/>
        </w:rPr>
        <w:footnoteRef/>
      </w:r>
      <w:r>
        <w:t xml:space="preserve"> Artículo 15, Ley Orgánica Municipal del Estado de México.</w:t>
      </w:r>
    </w:p>
  </w:footnote>
  <w:footnote w:id="19">
    <w:p w14:paraId="328092A5" w14:textId="77777777" w:rsidR="00444E90" w:rsidRDefault="00444E90" w:rsidP="00444E90">
      <w:pPr>
        <w:pStyle w:val="Textonotapie"/>
      </w:pPr>
      <w:r>
        <w:rPr>
          <w:rStyle w:val="Refdenotaalpie"/>
        </w:rPr>
        <w:footnoteRef/>
      </w:r>
      <w:r>
        <w:t xml:space="preserve"> Artículo 16, Ídem.</w:t>
      </w:r>
    </w:p>
  </w:footnote>
  <w:footnote w:id="20">
    <w:p w14:paraId="1DFBE81B" w14:textId="77777777" w:rsidR="00444E90" w:rsidRDefault="00444E90" w:rsidP="00444E90">
      <w:pPr>
        <w:pStyle w:val="Textonotapie"/>
      </w:pPr>
      <w:r>
        <w:rPr>
          <w:rStyle w:val="Refdenotaalpie"/>
        </w:rPr>
        <w:footnoteRef/>
      </w:r>
      <w:r>
        <w:t xml:space="preserve"> Artículo 87, Ídem.</w:t>
      </w:r>
    </w:p>
  </w:footnote>
  <w:footnote w:id="21">
    <w:p w14:paraId="3928D552" w14:textId="77777777" w:rsidR="00F24633" w:rsidRDefault="00F24633" w:rsidP="00F24633">
      <w:pPr>
        <w:pStyle w:val="Textonotapie"/>
      </w:pPr>
      <w:r>
        <w:rPr>
          <w:rStyle w:val="Refdenotaalpie"/>
        </w:rPr>
        <w:footnoteRef/>
      </w:r>
      <w:r>
        <w:t xml:space="preserve"> Artículo 176, Ley de Transparencia y Acceso a la Información Pública del Estado de México y Municipios.</w:t>
      </w:r>
    </w:p>
  </w:footnote>
  <w:footnote w:id="22">
    <w:p w14:paraId="6E8C8B25" w14:textId="77777777" w:rsidR="00F24633" w:rsidRDefault="00F24633" w:rsidP="00F24633">
      <w:pPr>
        <w:pStyle w:val="Textonotapie"/>
      </w:pPr>
      <w:r>
        <w:rPr>
          <w:rStyle w:val="Refdenotaalpie"/>
        </w:rPr>
        <w:footnoteRef/>
      </w:r>
      <w:r>
        <w:t xml:space="preserve"> Artículo 179, fracción VIII, Ídem.</w:t>
      </w:r>
    </w:p>
  </w:footnote>
  <w:footnote w:id="23">
    <w:p w14:paraId="05FD3144" w14:textId="77777777" w:rsidR="00392DDB" w:rsidRDefault="00392DDB" w:rsidP="00392DDB">
      <w:pPr>
        <w:pStyle w:val="Textonotapie"/>
      </w:pPr>
      <w:r>
        <w:rPr>
          <w:rStyle w:val="Refdenotaalpie"/>
        </w:rPr>
        <w:footnoteRef/>
      </w:r>
      <w:r>
        <w:t xml:space="preserve"> RIA 155/20 y RIA 167/20</w:t>
      </w:r>
    </w:p>
  </w:footnote>
  <w:footnote w:id="24">
    <w:p w14:paraId="7C3E2F0F" w14:textId="77777777" w:rsidR="00070A2F" w:rsidRDefault="00070A2F" w:rsidP="00CA7A78">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49D818D" w:rsidR="00070A2F" w:rsidRDefault="00DD6949" w:rsidP="001C6012">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556C4A50">
          <wp:simplePos x="0" y="0"/>
          <wp:positionH relativeFrom="margin">
            <wp:posOffset>-1071880</wp:posOffset>
          </wp:positionH>
          <wp:positionV relativeFrom="page">
            <wp:posOffset>7620</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r w:rsidR="00070A2F">
      <w:tab/>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689"/>
    </w:tblGrid>
    <w:tr w:rsidR="00070A2F" w:rsidRPr="00025127" w14:paraId="07F2896E" w14:textId="77777777" w:rsidTr="007F3018">
      <w:trPr>
        <w:trHeight w:val="138"/>
        <w:jc w:val="right"/>
      </w:trPr>
      <w:tc>
        <w:tcPr>
          <w:tcW w:w="3261" w:type="dxa"/>
          <w:vAlign w:val="center"/>
        </w:tcPr>
        <w:p w14:paraId="4A5B1974" w14:textId="3B2AB4E0" w:rsidR="00070A2F" w:rsidRPr="00025127" w:rsidRDefault="00070A2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89" w:type="dxa"/>
          <w:vAlign w:val="center"/>
        </w:tcPr>
        <w:p w14:paraId="3A05B4B6" w14:textId="4B1F9AE9" w:rsidR="00070A2F" w:rsidRPr="00025127" w:rsidRDefault="000F72C1" w:rsidP="005F1362">
          <w:pPr>
            <w:pStyle w:val="Encabezado"/>
            <w:jc w:val="both"/>
            <w:rPr>
              <w:rFonts w:ascii="Palatino Linotype" w:hAnsi="Palatino Linotype"/>
              <w:b/>
              <w:sz w:val="22"/>
              <w:szCs w:val="22"/>
            </w:rPr>
          </w:pPr>
          <w:r>
            <w:rPr>
              <w:rFonts w:ascii="Palatino Linotype" w:hAnsi="Palatino Linotype"/>
              <w:b/>
              <w:sz w:val="22"/>
              <w:szCs w:val="22"/>
            </w:rPr>
            <w:t>00698</w:t>
          </w:r>
          <w:r w:rsidR="00070A2F" w:rsidRPr="00025127">
            <w:rPr>
              <w:rFonts w:ascii="Palatino Linotype" w:hAnsi="Palatino Linotype"/>
              <w:b/>
              <w:sz w:val="22"/>
              <w:szCs w:val="22"/>
            </w:rPr>
            <w:t>/INFOEM/IP/RR/</w:t>
          </w:r>
          <w:r w:rsidR="00070A2F">
            <w:rPr>
              <w:rFonts w:ascii="Palatino Linotype" w:hAnsi="Palatino Linotype"/>
              <w:b/>
              <w:sz w:val="22"/>
              <w:szCs w:val="22"/>
            </w:rPr>
            <w:t>202</w:t>
          </w:r>
          <w:r>
            <w:rPr>
              <w:rFonts w:ascii="Palatino Linotype" w:hAnsi="Palatino Linotype"/>
              <w:b/>
              <w:sz w:val="22"/>
              <w:szCs w:val="22"/>
            </w:rPr>
            <w:t>2</w:t>
          </w:r>
        </w:p>
      </w:tc>
    </w:tr>
    <w:tr w:rsidR="007F3018" w:rsidRPr="00025127" w14:paraId="1B5D8690" w14:textId="77777777" w:rsidTr="007F3018">
      <w:trPr>
        <w:trHeight w:val="233"/>
        <w:jc w:val="right"/>
      </w:trPr>
      <w:tc>
        <w:tcPr>
          <w:tcW w:w="3261" w:type="dxa"/>
          <w:vAlign w:val="center"/>
        </w:tcPr>
        <w:p w14:paraId="3903F2C6" w14:textId="22D569F8" w:rsidR="007F3018" w:rsidRPr="00025127" w:rsidRDefault="007F3018" w:rsidP="007F301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89" w:type="dxa"/>
          <w:vAlign w:val="center"/>
        </w:tcPr>
        <w:p w14:paraId="03C799A2" w14:textId="34058B28" w:rsidR="007F3018" w:rsidRPr="00025127" w:rsidRDefault="000F72C1" w:rsidP="007F3018">
          <w:pPr>
            <w:pStyle w:val="Encabezado"/>
            <w:rPr>
              <w:rFonts w:ascii="Palatino Linotype" w:hAnsi="Palatino Linotype"/>
              <w:b/>
              <w:sz w:val="22"/>
              <w:szCs w:val="22"/>
            </w:rPr>
          </w:pPr>
          <w:r>
            <w:rPr>
              <w:rFonts w:ascii="Palatino Linotype" w:hAnsi="Palatino Linotype"/>
              <w:b/>
              <w:bCs/>
              <w:color w:val="000000"/>
              <w:sz w:val="22"/>
              <w:szCs w:val="22"/>
            </w:rPr>
            <w:t>Ayuntamiento de Donato Guerra</w:t>
          </w:r>
        </w:p>
      </w:tc>
    </w:tr>
    <w:tr w:rsidR="00070A2F" w:rsidRPr="00025127" w14:paraId="095EB01B" w14:textId="77777777" w:rsidTr="007F3018">
      <w:trPr>
        <w:trHeight w:val="321"/>
        <w:jc w:val="right"/>
      </w:trPr>
      <w:tc>
        <w:tcPr>
          <w:tcW w:w="3261" w:type="dxa"/>
          <w:vAlign w:val="center"/>
        </w:tcPr>
        <w:p w14:paraId="6E000A51" w14:textId="05E1861A" w:rsidR="00070A2F" w:rsidRPr="00025127" w:rsidRDefault="00070A2F"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89" w:type="dxa"/>
          <w:vAlign w:val="center"/>
        </w:tcPr>
        <w:p w14:paraId="07560085" w14:textId="64DC8836" w:rsidR="00070A2F" w:rsidRPr="00025127" w:rsidRDefault="00070A2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070A2F" w:rsidRDefault="00070A2F"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544"/>
    </w:tblGrid>
    <w:tr w:rsidR="00070A2F" w:rsidRPr="00025127" w14:paraId="0A3256F2" w14:textId="77777777" w:rsidTr="000F72C1">
      <w:trPr>
        <w:trHeight w:val="138"/>
        <w:jc w:val="right"/>
      </w:trPr>
      <w:tc>
        <w:tcPr>
          <w:tcW w:w="3828" w:type="dxa"/>
          <w:vAlign w:val="center"/>
        </w:tcPr>
        <w:p w14:paraId="3D80769D" w14:textId="065BB558" w:rsidR="00070A2F" w:rsidRPr="00025127" w:rsidRDefault="00070A2F"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4" w:type="dxa"/>
          <w:vAlign w:val="center"/>
        </w:tcPr>
        <w:p w14:paraId="0453495E" w14:textId="45372500" w:rsidR="00070A2F" w:rsidRPr="00025127" w:rsidRDefault="000F72C1" w:rsidP="005F1362">
          <w:pPr>
            <w:pStyle w:val="Encabezado"/>
            <w:rPr>
              <w:rFonts w:ascii="Palatino Linotype" w:hAnsi="Palatino Linotype"/>
              <w:b/>
              <w:sz w:val="22"/>
              <w:szCs w:val="22"/>
            </w:rPr>
          </w:pPr>
          <w:r>
            <w:rPr>
              <w:rFonts w:ascii="Palatino Linotype" w:hAnsi="Palatino Linotype"/>
              <w:b/>
              <w:sz w:val="22"/>
              <w:szCs w:val="22"/>
            </w:rPr>
            <w:t>00698</w:t>
          </w:r>
          <w:r w:rsidR="00070A2F" w:rsidRPr="00025127">
            <w:rPr>
              <w:rFonts w:ascii="Palatino Linotype" w:hAnsi="Palatino Linotype"/>
              <w:b/>
              <w:sz w:val="22"/>
              <w:szCs w:val="22"/>
            </w:rPr>
            <w:t>/INFOEM/IP/RR/</w:t>
          </w:r>
          <w:r w:rsidR="00070A2F">
            <w:rPr>
              <w:rFonts w:ascii="Palatino Linotype" w:hAnsi="Palatino Linotype"/>
              <w:b/>
              <w:sz w:val="22"/>
              <w:szCs w:val="22"/>
            </w:rPr>
            <w:t>202</w:t>
          </w:r>
          <w:r>
            <w:rPr>
              <w:rFonts w:ascii="Palatino Linotype" w:hAnsi="Palatino Linotype"/>
              <w:b/>
              <w:sz w:val="22"/>
              <w:szCs w:val="22"/>
            </w:rPr>
            <w:t>2</w:t>
          </w:r>
        </w:p>
      </w:tc>
    </w:tr>
    <w:tr w:rsidR="00070A2F" w:rsidRPr="00025127" w14:paraId="128C8B3C" w14:textId="77777777" w:rsidTr="000F72C1">
      <w:trPr>
        <w:trHeight w:val="233"/>
        <w:jc w:val="right"/>
      </w:trPr>
      <w:tc>
        <w:tcPr>
          <w:tcW w:w="3828" w:type="dxa"/>
          <w:vAlign w:val="center"/>
        </w:tcPr>
        <w:p w14:paraId="483E3371" w14:textId="66B1BC74" w:rsidR="00070A2F" w:rsidRPr="00025127" w:rsidRDefault="00070A2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4" w:type="dxa"/>
        </w:tcPr>
        <w:p w14:paraId="1548525E" w14:textId="64F1619E" w:rsidR="00070A2F" w:rsidRPr="00025127" w:rsidRDefault="00635915" w:rsidP="0058757A">
          <w:pPr>
            <w:pStyle w:val="Encabezado"/>
            <w:rPr>
              <w:rFonts w:ascii="Palatino Linotype" w:hAnsi="Palatino Linotype"/>
              <w:b/>
              <w:sz w:val="22"/>
              <w:szCs w:val="22"/>
            </w:rPr>
          </w:pPr>
          <w:r>
            <w:rPr>
              <w:rFonts w:ascii="Palatino Linotype" w:hAnsi="Palatino Linotype"/>
              <w:b/>
              <w:sz w:val="22"/>
              <w:szCs w:val="22"/>
            </w:rPr>
            <w:t xml:space="preserve">XXXX XXXXX </w:t>
          </w:r>
          <w:proofErr w:type="spellStart"/>
          <w:r>
            <w:rPr>
              <w:rFonts w:ascii="Palatino Linotype" w:hAnsi="Palatino Linotype"/>
              <w:b/>
              <w:sz w:val="22"/>
              <w:szCs w:val="22"/>
            </w:rPr>
            <w:t>XXXXX</w:t>
          </w:r>
          <w:proofErr w:type="spellEnd"/>
        </w:p>
      </w:tc>
    </w:tr>
    <w:tr w:rsidR="00070A2F" w:rsidRPr="00025127" w14:paraId="41BE0704" w14:textId="77777777" w:rsidTr="000F72C1">
      <w:trPr>
        <w:trHeight w:val="321"/>
        <w:jc w:val="right"/>
      </w:trPr>
      <w:tc>
        <w:tcPr>
          <w:tcW w:w="3828" w:type="dxa"/>
          <w:vAlign w:val="center"/>
        </w:tcPr>
        <w:p w14:paraId="34C64148" w14:textId="10C6C8A9" w:rsidR="00070A2F" w:rsidRPr="00025127" w:rsidRDefault="00070A2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4" w:type="dxa"/>
          <w:vAlign w:val="center"/>
        </w:tcPr>
        <w:p w14:paraId="34C341BF" w14:textId="6830D2BD" w:rsidR="00070A2F" w:rsidRPr="00025127" w:rsidRDefault="000F72C1" w:rsidP="00CE1B8A">
          <w:pPr>
            <w:pStyle w:val="Encabezado"/>
            <w:rPr>
              <w:rFonts w:ascii="Palatino Linotype" w:hAnsi="Palatino Linotype"/>
              <w:b/>
              <w:sz w:val="22"/>
              <w:szCs w:val="22"/>
            </w:rPr>
          </w:pPr>
          <w:r>
            <w:rPr>
              <w:rFonts w:ascii="Palatino Linotype" w:hAnsi="Palatino Linotype"/>
              <w:b/>
              <w:bCs/>
              <w:color w:val="000000"/>
              <w:sz w:val="22"/>
              <w:szCs w:val="22"/>
            </w:rPr>
            <w:t>Ayuntamiento de Donato Guerra</w:t>
          </w:r>
        </w:p>
      </w:tc>
    </w:tr>
    <w:tr w:rsidR="00070A2F" w:rsidRPr="00025127" w14:paraId="0C8B6193" w14:textId="77777777" w:rsidTr="000F72C1">
      <w:trPr>
        <w:trHeight w:val="321"/>
        <w:jc w:val="right"/>
      </w:trPr>
      <w:tc>
        <w:tcPr>
          <w:tcW w:w="3828" w:type="dxa"/>
          <w:vAlign w:val="center"/>
        </w:tcPr>
        <w:p w14:paraId="321FFAFF" w14:textId="0E8C2CE7" w:rsidR="00070A2F" w:rsidRPr="00025127" w:rsidRDefault="00070A2F"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4" w:type="dxa"/>
          <w:vAlign w:val="center"/>
        </w:tcPr>
        <w:p w14:paraId="0FECDA9D" w14:textId="6D336FD0" w:rsidR="00070A2F" w:rsidRPr="00025127" w:rsidRDefault="00070A2F"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367C6F8" w:rsidR="00070A2F" w:rsidRDefault="00713E90"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85.05pt;margin-top:-116.1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A07612"/>
    <w:multiLevelType w:val="hybridMultilevel"/>
    <w:tmpl w:val="DE40C6E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500B5"/>
    <w:multiLevelType w:val="hybridMultilevel"/>
    <w:tmpl w:val="633095B6"/>
    <w:lvl w:ilvl="0" w:tplc="FFFFFFFF">
      <w:start w:val="1"/>
      <w:numFmt w:val="decimal"/>
      <w:lvlText w:val="%1."/>
      <w:lvlJc w:val="left"/>
      <w:pPr>
        <w:ind w:left="0" w:firstLine="0"/>
      </w:pPr>
      <w:rPr>
        <w:rFonts w:ascii="Palatino Linotype" w:hAnsi="Palatino Linotype" w:hint="default"/>
        <w:b/>
        <w:i w:val="0"/>
        <w:sz w:val="24"/>
      </w:rPr>
    </w:lvl>
    <w:lvl w:ilvl="1" w:tplc="0A1C2B9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F7E74D4"/>
    <w:multiLevelType w:val="hybridMultilevel"/>
    <w:tmpl w:val="1B96BB7A"/>
    <w:lvl w:ilvl="0" w:tplc="FFFFFFFF">
      <w:start w:val="1"/>
      <w:numFmt w:val="decimal"/>
      <w:lvlText w:val="%1."/>
      <w:lvlJc w:val="left"/>
      <w:pPr>
        <w:ind w:left="0" w:firstLine="0"/>
      </w:pPr>
      <w:rPr>
        <w:rFonts w:ascii="Palatino Linotype" w:hAnsi="Palatino Linotype" w:hint="default"/>
        <w:b/>
        <w:i w:val="0"/>
        <w:sz w:val="24"/>
      </w:rPr>
    </w:lvl>
    <w:lvl w:ilvl="1" w:tplc="BCBAE40E">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0E5E20"/>
    <w:multiLevelType w:val="hybridMultilevel"/>
    <w:tmpl w:val="512ED86E"/>
    <w:lvl w:ilvl="0" w:tplc="FFFFFFFF">
      <w:start w:val="1"/>
      <w:numFmt w:val="decimal"/>
      <w:lvlText w:val="%1."/>
      <w:lvlJc w:val="left"/>
      <w:pPr>
        <w:ind w:left="0" w:firstLine="0"/>
      </w:pPr>
      <w:rPr>
        <w:rFonts w:ascii="Palatino Linotype" w:hAnsi="Palatino Linotype" w:hint="default"/>
        <w:b/>
        <w:i w:val="0"/>
        <w:sz w:val="24"/>
      </w:rPr>
    </w:lvl>
    <w:lvl w:ilvl="1" w:tplc="6B60C29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A57641"/>
    <w:multiLevelType w:val="hybridMultilevel"/>
    <w:tmpl w:val="DBFCFBB6"/>
    <w:lvl w:ilvl="0" w:tplc="FFFFFFFF">
      <w:start w:val="1"/>
      <w:numFmt w:val="decimal"/>
      <w:lvlText w:val="%1."/>
      <w:lvlJc w:val="left"/>
      <w:pPr>
        <w:ind w:left="0" w:firstLine="0"/>
      </w:pPr>
      <w:rPr>
        <w:rFonts w:ascii="Palatino Linotype" w:hAnsi="Palatino Linotype" w:hint="default"/>
        <w:b/>
        <w:i w:val="0"/>
        <w:sz w:val="24"/>
      </w:rPr>
    </w:lvl>
    <w:lvl w:ilvl="1" w:tplc="FDD20DF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F0124E"/>
    <w:multiLevelType w:val="hybridMultilevel"/>
    <w:tmpl w:val="1382B108"/>
    <w:lvl w:ilvl="0" w:tplc="FFFFFFFF">
      <w:start w:val="1"/>
      <w:numFmt w:val="decimal"/>
      <w:lvlText w:val="%1."/>
      <w:lvlJc w:val="left"/>
      <w:pPr>
        <w:ind w:left="0" w:firstLine="0"/>
      </w:pPr>
      <w:rPr>
        <w:rFonts w:ascii="Palatino Linotype" w:hAnsi="Palatino Linotype" w:hint="default"/>
        <w:b/>
        <w:i w:val="0"/>
        <w:sz w:val="24"/>
      </w:rPr>
    </w:lvl>
    <w:lvl w:ilvl="1" w:tplc="F3A0F43A">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BE41206"/>
    <w:multiLevelType w:val="hybridMultilevel"/>
    <w:tmpl w:val="F2CC3DDE"/>
    <w:lvl w:ilvl="0" w:tplc="FFFFFFFF">
      <w:start w:val="1"/>
      <w:numFmt w:val="decimal"/>
      <w:lvlText w:val="%1."/>
      <w:lvlJc w:val="left"/>
      <w:pPr>
        <w:ind w:left="0" w:firstLine="0"/>
      </w:pPr>
      <w:rPr>
        <w:rFonts w:ascii="Palatino Linotype" w:hAnsi="Palatino Linotype" w:hint="default"/>
        <w:b/>
        <w:i w:val="0"/>
        <w:sz w:val="24"/>
      </w:rPr>
    </w:lvl>
    <w:lvl w:ilvl="1" w:tplc="DE14510C">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803A9C"/>
    <w:multiLevelType w:val="hybridMultilevel"/>
    <w:tmpl w:val="FAECC158"/>
    <w:lvl w:ilvl="0" w:tplc="FFFFFFFF">
      <w:start w:val="1"/>
      <w:numFmt w:val="decimal"/>
      <w:lvlText w:val="%1."/>
      <w:lvlJc w:val="left"/>
      <w:pPr>
        <w:ind w:left="0" w:firstLine="0"/>
      </w:pPr>
      <w:rPr>
        <w:rFonts w:ascii="Palatino Linotype" w:hAnsi="Palatino Linotype" w:hint="default"/>
        <w:b/>
        <w:i w:val="0"/>
        <w:sz w:val="24"/>
      </w:rPr>
    </w:lvl>
    <w:lvl w:ilvl="1" w:tplc="FF1C60C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nsid w:val="3C862DC0"/>
    <w:multiLevelType w:val="hybridMultilevel"/>
    <w:tmpl w:val="C8FE50DA"/>
    <w:lvl w:ilvl="0" w:tplc="FFFFFFFF">
      <w:start w:val="1"/>
      <w:numFmt w:val="decimal"/>
      <w:lvlText w:val="%1."/>
      <w:lvlJc w:val="left"/>
      <w:pPr>
        <w:ind w:left="0" w:firstLine="0"/>
      </w:pPr>
      <w:rPr>
        <w:rFonts w:ascii="Palatino Linotype" w:hAnsi="Palatino Linotype" w:hint="default"/>
        <w:b/>
        <w:i w:val="0"/>
        <w:sz w:val="24"/>
      </w:rPr>
    </w:lvl>
    <w:lvl w:ilvl="1" w:tplc="464C4388">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25751AF"/>
    <w:multiLevelType w:val="hybridMultilevel"/>
    <w:tmpl w:val="D6E0CC10"/>
    <w:lvl w:ilvl="0" w:tplc="FFFFFFFF">
      <w:start w:val="1"/>
      <w:numFmt w:val="decimal"/>
      <w:lvlText w:val="%1."/>
      <w:lvlJc w:val="left"/>
      <w:pPr>
        <w:ind w:left="0" w:firstLine="0"/>
      </w:pPr>
      <w:rPr>
        <w:rFonts w:ascii="Palatino Linotype" w:hAnsi="Palatino Linotype" w:hint="default"/>
        <w:b/>
        <w:i w:val="0"/>
        <w:sz w:val="24"/>
      </w:rPr>
    </w:lvl>
    <w:lvl w:ilvl="1" w:tplc="33DCF4D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43C36445"/>
    <w:multiLevelType w:val="hybridMultilevel"/>
    <w:tmpl w:val="9E0842F8"/>
    <w:lvl w:ilvl="0" w:tplc="FFFFFFFF">
      <w:start w:val="1"/>
      <w:numFmt w:val="decimal"/>
      <w:lvlText w:val="%1."/>
      <w:lvlJc w:val="left"/>
      <w:pPr>
        <w:ind w:left="0" w:firstLine="0"/>
      </w:pPr>
      <w:rPr>
        <w:rFonts w:ascii="Palatino Linotype" w:hAnsi="Palatino Linotype" w:hint="default"/>
        <w:b/>
        <w:i w:val="0"/>
        <w:sz w:val="24"/>
      </w:rPr>
    </w:lvl>
    <w:lvl w:ilvl="1" w:tplc="B4BAD030">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EE02ECB"/>
    <w:multiLevelType w:val="hybridMultilevel"/>
    <w:tmpl w:val="A0D0C568"/>
    <w:lvl w:ilvl="0" w:tplc="FFFFFFFF">
      <w:start w:val="1"/>
      <w:numFmt w:val="decimal"/>
      <w:lvlText w:val="%1."/>
      <w:lvlJc w:val="left"/>
      <w:pPr>
        <w:ind w:left="0" w:firstLine="0"/>
      </w:pPr>
      <w:rPr>
        <w:rFonts w:ascii="Palatino Linotype" w:hAnsi="Palatino Linotype" w:hint="default"/>
        <w:b/>
        <w:i w:val="0"/>
        <w:sz w:val="24"/>
      </w:rPr>
    </w:lvl>
    <w:lvl w:ilvl="1" w:tplc="C73AB7A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53C15500"/>
    <w:multiLevelType w:val="hybridMultilevel"/>
    <w:tmpl w:val="47004452"/>
    <w:lvl w:ilvl="0" w:tplc="FFFFFFFF">
      <w:start w:val="1"/>
      <w:numFmt w:val="decimal"/>
      <w:lvlText w:val="%1."/>
      <w:lvlJc w:val="left"/>
      <w:pPr>
        <w:ind w:left="0" w:firstLine="0"/>
      </w:pPr>
      <w:rPr>
        <w:rFonts w:ascii="Palatino Linotype" w:hAnsi="Palatino Linotype" w:hint="default"/>
        <w:b/>
        <w:i w:val="0"/>
        <w:sz w:val="24"/>
      </w:rPr>
    </w:lvl>
    <w:lvl w:ilvl="1" w:tplc="67B888F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5B2311C4"/>
    <w:multiLevelType w:val="hybridMultilevel"/>
    <w:tmpl w:val="BED43BEE"/>
    <w:lvl w:ilvl="0" w:tplc="FFFFFFFF">
      <w:start w:val="1"/>
      <w:numFmt w:val="decimal"/>
      <w:lvlText w:val="%1."/>
      <w:lvlJc w:val="left"/>
      <w:pPr>
        <w:ind w:left="0" w:firstLine="0"/>
      </w:pPr>
      <w:rPr>
        <w:rFonts w:ascii="Palatino Linotype" w:hAnsi="Palatino Linotype" w:hint="default"/>
        <w:b/>
        <w:i w:val="0"/>
        <w:sz w:val="24"/>
      </w:rPr>
    </w:lvl>
    <w:lvl w:ilvl="1" w:tplc="A7D6593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4CD5A58"/>
    <w:multiLevelType w:val="hybridMultilevel"/>
    <w:tmpl w:val="41A6F826"/>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73EC72B9"/>
    <w:multiLevelType w:val="hybridMultilevel"/>
    <w:tmpl w:val="666A583E"/>
    <w:lvl w:ilvl="0" w:tplc="FFFFFFFF">
      <w:start w:val="1"/>
      <w:numFmt w:val="decimal"/>
      <w:lvlText w:val="%1."/>
      <w:lvlJc w:val="left"/>
      <w:pPr>
        <w:ind w:left="0" w:firstLine="0"/>
      </w:pPr>
      <w:rPr>
        <w:rFonts w:ascii="Palatino Linotype" w:hAnsi="Palatino Linotype" w:hint="default"/>
        <w:b/>
        <w:i w:val="0"/>
        <w:sz w:val="24"/>
      </w:rPr>
    </w:lvl>
    <w:lvl w:ilvl="1" w:tplc="DF64AC8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72505BB"/>
    <w:multiLevelType w:val="hybridMultilevel"/>
    <w:tmpl w:val="39C4A078"/>
    <w:lvl w:ilvl="0" w:tplc="FFFFFFFF">
      <w:start w:val="1"/>
      <w:numFmt w:val="decimal"/>
      <w:lvlText w:val="%1."/>
      <w:lvlJc w:val="left"/>
      <w:pPr>
        <w:ind w:left="0" w:firstLine="0"/>
      </w:pPr>
      <w:rPr>
        <w:rFonts w:ascii="Palatino Linotype" w:hAnsi="Palatino Linotype" w:hint="default"/>
        <w:b/>
        <w:i w:val="0"/>
        <w:sz w:val="24"/>
      </w:rPr>
    </w:lvl>
    <w:lvl w:ilvl="1" w:tplc="CBA2C19E">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8D305F1"/>
    <w:multiLevelType w:val="hybridMultilevel"/>
    <w:tmpl w:val="F872F7F6"/>
    <w:lvl w:ilvl="0" w:tplc="FFFFFFFF">
      <w:start w:val="1"/>
      <w:numFmt w:val="decimal"/>
      <w:lvlText w:val="%1."/>
      <w:lvlJc w:val="left"/>
      <w:pPr>
        <w:ind w:left="0" w:firstLine="0"/>
      </w:pPr>
      <w:rPr>
        <w:rFonts w:ascii="Palatino Linotype" w:hAnsi="Palatino Linotype" w:hint="default"/>
        <w:b/>
        <w:i w:val="0"/>
        <w:sz w:val="24"/>
      </w:rPr>
    </w:lvl>
    <w:lvl w:ilvl="1" w:tplc="2990C68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766A2B"/>
    <w:multiLevelType w:val="hybridMultilevel"/>
    <w:tmpl w:val="B0AC5F7C"/>
    <w:lvl w:ilvl="0" w:tplc="FFFFFFFF">
      <w:start w:val="1"/>
      <w:numFmt w:val="decimal"/>
      <w:lvlText w:val="%1."/>
      <w:lvlJc w:val="left"/>
      <w:pPr>
        <w:ind w:left="0" w:firstLine="0"/>
      </w:pPr>
      <w:rPr>
        <w:rFonts w:ascii="Palatino Linotype" w:hAnsi="Palatino Linotype" w:hint="default"/>
        <w:b/>
        <w:i w:val="0"/>
        <w:sz w:val="24"/>
      </w:rPr>
    </w:lvl>
    <w:lvl w:ilvl="1" w:tplc="7B1C51D4">
      <w:start w:val="1"/>
      <w:numFmt w:val="lowerLetter"/>
      <w:lvlText w:val="%2)"/>
      <w:lvlJc w:val="lef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5"/>
  </w:num>
  <w:num w:numId="3">
    <w:abstractNumId w:val="10"/>
  </w:num>
  <w:num w:numId="4">
    <w:abstractNumId w:val="0"/>
  </w:num>
  <w:num w:numId="5">
    <w:abstractNumId w:val="22"/>
  </w:num>
  <w:num w:numId="6">
    <w:abstractNumId w:val="1"/>
  </w:num>
  <w:num w:numId="7">
    <w:abstractNumId w:val="12"/>
  </w:num>
  <w:num w:numId="8">
    <w:abstractNumId w:val="7"/>
  </w:num>
  <w:num w:numId="9">
    <w:abstractNumId w:val="9"/>
  </w:num>
  <w:num w:numId="10">
    <w:abstractNumId w:val="17"/>
  </w:num>
  <w:num w:numId="11">
    <w:abstractNumId w:val="11"/>
  </w:num>
  <w:num w:numId="12">
    <w:abstractNumId w:val="16"/>
  </w:num>
  <w:num w:numId="13">
    <w:abstractNumId w:val="6"/>
  </w:num>
  <w:num w:numId="14">
    <w:abstractNumId w:val="2"/>
  </w:num>
  <w:num w:numId="15">
    <w:abstractNumId w:val="5"/>
  </w:num>
  <w:num w:numId="16">
    <w:abstractNumId w:val="21"/>
  </w:num>
  <w:num w:numId="17">
    <w:abstractNumId w:val="4"/>
  </w:num>
  <w:num w:numId="18">
    <w:abstractNumId w:val="20"/>
  </w:num>
  <w:num w:numId="19">
    <w:abstractNumId w:val="14"/>
  </w:num>
  <w:num w:numId="20">
    <w:abstractNumId w:val="13"/>
  </w:num>
  <w:num w:numId="21">
    <w:abstractNumId w:val="18"/>
  </w:num>
  <w:num w:numId="22">
    <w:abstractNumId w:val="3"/>
  </w:num>
  <w:num w:numId="23">
    <w:abstractNumId w:val="23"/>
  </w:num>
  <w:num w:numId="24">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1B89"/>
    <w:rsid w:val="00012472"/>
    <w:rsid w:val="0001398B"/>
    <w:rsid w:val="000203D3"/>
    <w:rsid w:val="000204A6"/>
    <w:rsid w:val="000211F8"/>
    <w:rsid w:val="0002146F"/>
    <w:rsid w:val="00022D89"/>
    <w:rsid w:val="000236A3"/>
    <w:rsid w:val="00024BCC"/>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0A2F"/>
    <w:rsid w:val="0007221E"/>
    <w:rsid w:val="00074573"/>
    <w:rsid w:val="000800AC"/>
    <w:rsid w:val="0008230A"/>
    <w:rsid w:val="00082D11"/>
    <w:rsid w:val="00082E28"/>
    <w:rsid w:val="000834FE"/>
    <w:rsid w:val="0008465D"/>
    <w:rsid w:val="00084E31"/>
    <w:rsid w:val="0008542A"/>
    <w:rsid w:val="00090D6F"/>
    <w:rsid w:val="00091C2C"/>
    <w:rsid w:val="00093FC7"/>
    <w:rsid w:val="000953E2"/>
    <w:rsid w:val="00095BB9"/>
    <w:rsid w:val="000A26B8"/>
    <w:rsid w:val="000A3F90"/>
    <w:rsid w:val="000A4554"/>
    <w:rsid w:val="000A45FD"/>
    <w:rsid w:val="000A4E44"/>
    <w:rsid w:val="000A556A"/>
    <w:rsid w:val="000A65D1"/>
    <w:rsid w:val="000A77ED"/>
    <w:rsid w:val="000B0370"/>
    <w:rsid w:val="000B50A3"/>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64F"/>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0F72C1"/>
    <w:rsid w:val="00100187"/>
    <w:rsid w:val="00100DDD"/>
    <w:rsid w:val="00102D65"/>
    <w:rsid w:val="00103662"/>
    <w:rsid w:val="00103888"/>
    <w:rsid w:val="00107499"/>
    <w:rsid w:val="00107557"/>
    <w:rsid w:val="00111260"/>
    <w:rsid w:val="0011167C"/>
    <w:rsid w:val="00111F02"/>
    <w:rsid w:val="0011279B"/>
    <w:rsid w:val="00112B02"/>
    <w:rsid w:val="00114A21"/>
    <w:rsid w:val="00117441"/>
    <w:rsid w:val="0012006D"/>
    <w:rsid w:val="00121F4A"/>
    <w:rsid w:val="00122E4B"/>
    <w:rsid w:val="0012380D"/>
    <w:rsid w:val="00124015"/>
    <w:rsid w:val="00124CF1"/>
    <w:rsid w:val="001250B4"/>
    <w:rsid w:val="001253D1"/>
    <w:rsid w:val="00127E68"/>
    <w:rsid w:val="001305E4"/>
    <w:rsid w:val="001318D2"/>
    <w:rsid w:val="00132C06"/>
    <w:rsid w:val="00133B79"/>
    <w:rsid w:val="00133CE5"/>
    <w:rsid w:val="00134AEC"/>
    <w:rsid w:val="001352E5"/>
    <w:rsid w:val="00135DD5"/>
    <w:rsid w:val="0013673A"/>
    <w:rsid w:val="0013752C"/>
    <w:rsid w:val="001409A2"/>
    <w:rsid w:val="00140D44"/>
    <w:rsid w:val="00142648"/>
    <w:rsid w:val="00143219"/>
    <w:rsid w:val="001436BB"/>
    <w:rsid w:val="001437CC"/>
    <w:rsid w:val="00143BD1"/>
    <w:rsid w:val="001444F5"/>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B6B"/>
    <w:rsid w:val="00161E95"/>
    <w:rsid w:val="00163780"/>
    <w:rsid w:val="00163B1F"/>
    <w:rsid w:val="001648EE"/>
    <w:rsid w:val="00164B65"/>
    <w:rsid w:val="001656F2"/>
    <w:rsid w:val="00166794"/>
    <w:rsid w:val="0017273C"/>
    <w:rsid w:val="001732E3"/>
    <w:rsid w:val="00174E02"/>
    <w:rsid w:val="0017653A"/>
    <w:rsid w:val="001775DF"/>
    <w:rsid w:val="001801C6"/>
    <w:rsid w:val="00183383"/>
    <w:rsid w:val="00185460"/>
    <w:rsid w:val="001862A3"/>
    <w:rsid w:val="00192E4B"/>
    <w:rsid w:val="00194D62"/>
    <w:rsid w:val="00196407"/>
    <w:rsid w:val="00197091"/>
    <w:rsid w:val="001972CC"/>
    <w:rsid w:val="001A032D"/>
    <w:rsid w:val="001A138D"/>
    <w:rsid w:val="001A2857"/>
    <w:rsid w:val="001A2A89"/>
    <w:rsid w:val="001A3634"/>
    <w:rsid w:val="001A4D5D"/>
    <w:rsid w:val="001A5150"/>
    <w:rsid w:val="001A58B9"/>
    <w:rsid w:val="001A61E1"/>
    <w:rsid w:val="001A6C1E"/>
    <w:rsid w:val="001B30F9"/>
    <w:rsid w:val="001B3659"/>
    <w:rsid w:val="001B40F3"/>
    <w:rsid w:val="001B4FAF"/>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38CD"/>
    <w:rsid w:val="001F3EA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B11"/>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6659"/>
    <w:rsid w:val="0025760F"/>
    <w:rsid w:val="00257E5F"/>
    <w:rsid w:val="00260C1D"/>
    <w:rsid w:val="00261001"/>
    <w:rsid w:val="00261A42"/>
    <w:rsid w:val="00261D84"/>
    <w:rsid w:val="002629A6"/>
    <w:rsid w:val="00263F23"/>
    <w:rsid w:val="00264D02"/>
    <w:rsid w:val="0026500D"/>
    <w:rsid w:val="00265CD7"/>
    <w:rsid w:val="00266588"/>
    <w:rsid w:val="002665BD"/>
    <w:rsid w:val="00271B06"/>
    <w:rsid w:val="00272FEC"/>
    <w:rsid w:val="00273013"/>
    <w:rsid w:val="002730A4"/>
    <w:rsid w:val="00273C37"/>
    <w:rsid w:val="0027430D"/>
    <w:rsid w:val="002746D9"/>
    <w:rsid w:val="00274ED2"/>
    <w:rsid w:val="002765F2"/>
    <w:rsid w:val="00277A35"/>
    <w:rsid w:val="00280994"/>
    <w:rsid w:val="00280E3F"/>
    <w:rsid w:val="00280F05"/>
    <w:rsid w:val="0028248C"/>
    <w:rsid w:val="00286DDB"/>
    <w:rsid w:val="002871EB"/>
    <w:rsid w:val="0029042C"/>
    <w:rsid w:val="00290B48"/>
    <w:rsid w:val="002948C4"/>
    <w:rsid w:val="00297E45"/>
    <w:rsid w:val="002A2099"/>
    <w:rsid w:val="002A229B"/>
    <w:rsid w:val="002A2FF2"/>
    <w:rsid w:val="002A35B6"/>
    <w:rsid w:val="002A4172"/>
    <w:rsid w:val="002A4516"/>
    <w:rsid w:val="002A54DE"/>
    <w:rsid w:val="002A7FAB"/>
    <w:rsid w:val="002B0032"/>
    <w:rsid w:val="002B085C"/>
    <w:rsid w:val="002B1AE9"/>
    <w:rsid w:val="002B2278"/>
    <w:rsid w:val="002B284F"/>
    <w:rsid w:val="002B2A2E"/>
    <w:rsid w:val="002B2F59"/>
    <w:rsid w:val="002B309C"/>
    <w:rsid w:val="002B4D21"/>
    <w:rsid w:val="002B7516"/>
    <w:rsid w:val="002C0074"/>
    <w:rsid w:val="002C0159"/>
    <w:rsid w:val="002C0804"/>
    <w:rsid w:val="002C0DC5"/>
    <w:rsid w:val="002C1007"/>
    <w:rsid w:val="002C2D44"/>
    <w:rsid w:val="002C40FB"/>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1DB"/>
    <w:rsid w:val="002E3FAE"/>
    <w:rsid w:val="002E4443"/>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BF9"/>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47B9"/>
    <w:rsid w:val="00316065"/>
    <w:rsid w:val="00317883"/>
    <w:rsid w:val="00317EFF"/>
    <w:rsid w:val="00321260"/>
    <w:rsid w:val="00321AA3"/>
    <w:rsid w:val="00321AE9"/>
    <w:rsid w:val="00321EEE"/>
    <w:rsid w:val="00323895"/>
    <w:rsid w:val="0032586C"/>
    <w:rsid w:val="00326579"/>
    <w:rsid w:val="00327D79"/>
    <w:rsid w:val="00327D7A"/>
    <w:rsid w:val="003326D4"/>
    <w:rsid w:val="00332E6B"/>
    <w:rsid w:val="003337F3"/>
    <w:rsid w:val="00333BE8"/>
    <w:rsid w:val="003344DB"/>
    <w:rsid w:val="00335898"/>
    <w:rsid w:val="00335BFE"/>
    <w:rsid w:val="00335E9C"/>
    <w:rsid w:val="0033608B"/>
    <w:rsid w:val="0033675D"/>
    <w:rsid w:val="00337941"/>
    <w:rsid w:val="00340445"/>
    <w:rsid w:val="003407D0"/>
    <w:rsid w:val="0034181B"/>
    <w:rsid w:val="00342BBE"/>
    <w:rsid w:val="00342C51"/>
    <w:rsid w:val="00345856"/>
    <w:rsid w:val="0034595C"/>
    <w:rsid w:val="00345B79"/>
    <w:rsid w:val="00345D0F"/>
    <w:rsid w:val="0034614E"/>
    <w:rsid w:val="00346885"/>
    <w:rsid w:val="003468BE"/>
    <w:rsid w:val="003472B3"/>
    <w:rsid w:val="0035104F"/>
    <w:rsid w:val="003522BF"/>
    <w:rsid w:val="00352901"/>
    <w:rsid w:val="00355AEE"/>
    <w:rsid w:val="00355D3B"/>
    <w:rsid w:val="0035606B"/>
    <w:rsid w:val="0036073F"/>
    <w:rsid w:val="003615A3"/>
    <w:rsid w:val="003629EE"/>
    <w:rsid w:val="003643B3"/>
    <w:rsid w:val="0037049A"/>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2DDB"/>
    <w:rsid w:val="0039380F"/>
    <w:rsid w:val="00393B71"/>
    <w:rsid w:val="00394095"/>
    <w:rsid w:val="003940F6"/>
    <w:rsid w:val="003955D3"/>
    <w:rsid w:val="00396545"/>
    <w:rsid w:val="0039671B"/>
    <w:rsid w:val="00396F71"/>
    <w:rsid w:val="003A03D0"/>
    <w:rsid w:val="003A04FF"/>
    <w:rsid w:val="003A1B01"/>
    <w:rsid w:val="003A2029"/>
    <w:rsid w:val="003A3AA3"/>
    <w:rsid w:val="003A6417"/>
    <w:rsid w:val="003A65FE"/>
    <w:rsid w:val="003A6A5A"/>
    <w:rsid w:val="003A7221"/>
    <w:rsid w:val="003A730E"/>
    <w:rsid w:val="003B1CEE"/>
    <w:rsid w:val="003B2199"/>
    <w:rsid w:val="003B2856"/>
    <w:rsid w:val="003B2A0D"/>
    <w:rsid w:val="003B31FA"/>
    <w:rsid w:val="003B55AD"/>
    <w:rsid w:val="003B57FE"/>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6EF9"/>
    <w:rsid w:val="003F70CA"/>
    <w:rsid w:val="003F7823"/>
    <w:rsid w:val="00400E76"/>
    <w:rsid w:val="0040137F"/>
    <w:rsid w:val="00402179"/>
    <w:rsid w:val="0040278D"/>
    <w:rsid w:val="00403249"/>
    <w:rsid w:val="00405EF3"/>
    <w:rsid w:val="004078C8"/>
    <w:rsid w:val="00407AD1"/>
    <w:rsid w:val="004102DE"/>
    <w:rsid w:val="00412696"/>
    <w:rsid w:val="00412E24"/>
    <w:rsid w:val="004147B1"/>
    <w:rsid w:val="00416727"/>
    <w:rsid w:val="0042068A"/>
    <w:rsid w:val="00421D0A"/>
    <w:rsid w:val="0042267F"/>
    <w:rsid w:val="0042437A"/>
    <w:rsid w:val="00424992"/>
    <w:rsid w:val="00424E72"/>
    <w:rsid w:val="00425F0D"/>
    <w:rsid w:val="00426D7C"/>
    <w:rsid w:val="00427621"/>
    <w:rsid w:val="004300ED"/>
    <w:rsid w:val="00431687"/>
    <w:rsid w:val="00431A58"/>
    <w:rsid w:val="00432B72"/>
    <w:rsid w:val="00433016"/>
    <w:rsid w:val="004342F1"/>
    <w:rsid w:val="004349C0"/>
    <w:rsid w:val="00437702"/>
    <w:rsid w:val="00437909"/>
    <w:rsid w:val="004401B5"/>
    <w:rsid w:val="00440800"/>
    <w:rsid w:val="004413DD"/>
    <w:rsid w:val="00442393"/>
    <w:rsid w:val="004436D7"/>
    <w:rsid w:val="00443DCB"/>
    <w:rsid w:val="00443DEB"/>
    <w:rsid w:val="00444E90"/>
    <w:rsid w:val="0044535B"/>
    <w:rsid w:val="00445FDA"/>
    <w:rsid w:val="004466B2"/>
    <w:rsid w:val="004473B2"/>
    <w:rsid w:val="00447F0D"/>
    <w:rsid w:val="0045047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87A51"/>
    <w:rsid w:val="004911B6"/>
    <w:rsid w:val="00491C96"/>
    <w:rsid w:val="004923B6"/>
    <w:rsid w:val="00494294"/>
    <w:rsid w:val="00495611"/>
    <w:rsid w:val="004961DA"/>
    <w:rsid w:val="00496359"/>
    <w:rsid w:val="00497926"/>
    <w:rsid w:val="004A09BF"/>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3E6E"/>
    <w:rsid w:val="004D4509"/>
    <w:rsid w:val="004D52DD"/>
    <w:rsid w:val="004D5A36"/>
    <w:rsid w:val="004D68F8"/>
    <w:rsid w:val="004D6D19"/>
    <w:rsid w:val="004D7D46"/>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5EB2"/>
    <w:rsid w:val="00507043"/>
    <w:rsid w:val="00507C08"/>
    <w:rsid w:val="00507D18"/>
    <w:rsid w:val="0051016E"/>
    <w:rsid w:val="00511A30"/>
    <w:rsid w:val="00512DCC"/>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3F18"/>
    <w:rsid w:val="00537E2C"/>
    <w:rsid w:val="00540208"/>
    <w:rsid w:val="00542797"/>
    <w:rsid w:val="00542B3A"/>
    <w:rsid w:val="00544ADC"/>
    <w:rsid w:val="00544B9C"/>
    <w:rsid w:val="00544E13"/>
    <w:rsid w:val="00544EC9"/>
    <w:rsid w:val="00546FBD"/>
    <w:rsid w:val="0055156F"/>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69D6"/>
    <w:rsid w:val="0056788F"/>
    <w:rsid w:val="00567998"/>
    <w:rsid w:val="00573BC6"/>
    <w:rsid w:val="005759CD"/>
    <w:rsid w:val="00575D39"/>
    <w:rsid w:val="00575F2C"/>
    <w:rsid w:val="00576B7D"/>
    <w:rsid w:val="00577884"/>
    <w:rsid w:val="00581C0F"/>
    <w:rsid w:val="00582919"/>
    <w:rsid w:val="005849B2"/>
    <w:rsid w:val="00585172"/>
    <w:rsid w:val="00585A55"/>
    <w:rsid w:val="005872E3"/>
    <w:rsid w:val="00587366"/>
    <w:rsid w:val="0058757A"/>
    <w:rsid w:val="00590037"/>
    <w:rsid w:val="00590892"/>
    <w:rsid w:val="00593476"/>
    <w:rsid w:val="005937BC"/>
    <w:rsid w:val="00594C52"/>
    <w:rsid w:val="00595511"/>
    <w:rsid w:val="00596149"/>
    <w:rsid w:val="00596514"/>
    <w:rsid w:val="0059679B"/>
    <w:rsid w:val="00597B44"/>
    <w:rsid w:val="00597D18"/>
    <w:rsid w:val="005A1FAB"/>
    <w:rsid w:val="005A228F"/>
    <w:rsid w:val="005A28A3"/>
    <w:rsid w:val="005A2A65"/>
    <w:rsid w:val="005A2F65"/>
    <w:rsid w:val="005A3513"/>
    <w:rsid w:val="005A3581"/>
    <w:rsid w:val="005A3BD7"/>
    <w:rsid w:val="005A60E1"/>
    <w:rsid w:val="005A6788"/>
    <w:rsid w:val="005A786F"/>
    <w:rsid w:val="005B0B57"/>
    <w:rsid w:val="005B169C"/>
    <w:rsid w:val="005B18FF"/>
    <w:rsid w:val="005B2DD1"/>
    <w:rsid w:val="005B3A49"/>
    <w:rsid w:val="005B6ADF"/>
    <w:rsid w:val="005B773D"/>
    <w:rsid w:val="005B7C5D"/>
    <w:rsid w:val="005C02B5"/>
    <w:rsid w:val="005C0821"/>
    <w:rsid w:val="005C19CB"/>
    <w:rsid w:val="005C1A74"/>
    <w:rsid w:val="005C287E"/>
    <w:rsid w:val="005C3294"/>
    <w:rsid w:val="005C347F"/>
    <w:rsid w:val="005C3B63"/>
    <w:rsid w:val="005C450C"/>
    <w:rsid w:val="005C6961"/>
    <w:rsid w:val="005C6F55"/>
    <w:rsid w:val="005C7367"/>
    <w:rsid w:val="005D0EB4"/>
    <w:rsid w:val="005D18A6"/>
    <w:rsid w:val="005D27DD"/>
    <w:rsid w:val="005D3493"/>
    <w:rsid w:val="005D622E"/>
    <w:rsid w:val="005D6617"/>
    <w:rsid w:val="005D6FF0"/>
    <w:rsid w:val="005E11D5"/>
    <w:rsid w:val="005E2F3E"/>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11DC1"/>
    <w:rsid w:val="00613655"/>
    <w:rsid w:val="006144EE"/>
    <w:rsid w:val="00617125"/>
    <w:rsid w:val="00617813"/>
    <w:rsid w:val="006206CC"/>
    <w:rsid w:val="00620FDF"/>
    <w:rsid w:val="00621954"/>
    <w:rsid w:val="00622B06"/>
    <w:rsid w:val="00624425"/>
    <w:rsid w:val="006257C2"/>
    <w:rsid w:val="00625E9B"/>
    <w:rsid w:val="00627163"/>
    <w:rsid w:val="00627200"/>
    <w:rsid w:val="00627DB0"/>
    <w:rsid w:val="0063034E"/>
    <w:rsid w:val="00630B0D"/>
    <w:rsid w:val="00634476"/>
    <w:rsid w:val="00635915"/>
    <w:rsid w:val="0063654A"/>
    <w:rsid w:val="00637475"/>
    <w:rsid w:val="0064393B"/>
    <w:rsid w:val="006439A1"/>
    <w:rsid w:val="00644375"/>
    <w:rsid w:val="00644A5C"/>
    <w:rsid w:val="00646A08"/>
    <w:rsid w:val="00650392"/>
    <w:rsid w:val="0065061D"/>
    <w:rsid w:val="00651701"/>
    <w:rsid w:val="00654327"/>
    <w:rsid w:val="00655146"/>
    <w:rsid w:val="0065715E"/>
    <w:rsid w:val="00657670"/>
    <w:rsid w:val="00657DBF"/>
    <w:rsid w:val="00657DE0"/>
    <w:rsid w:val="00662C69"/>
    <w:rsid w:val="006633C0"/>
    <w:rsid w:val="00663470"/>
    <w:rsid w:val="00663CC7"/>
    <w:rsid w:val="0066458B"/>
    <w:rsid w:val="00664805"/>
    <w:rsid w:val="00664FB5"/>
    <w:rsid w:val="006674A0"/>
    <w:rsid w:val="006718FB"/>
    <w:rsid w:val="006720F3"/>
    <w:rsid w:val="00672744"/>
    <w:rsid w:val="00673201"/>
    <w:rsid w:val="00673695"/>
    <w:rsid w:val="00673DB5"/>
    <w:rsid w:val="00674701"/>
    <w:rsid w:val="00674A46"/>
    <w:rsid w:val="006752B0"/>
    <w:rsid w:val="00675C36"/>
    <w:rsid w:val="00675F80"/>
    <w:rsid w:val="00676959"/>
    <w:rsid w:val="00676C6B"/>
    <w:rsid w:val="00677358"/>
    <w:rsid w:val="00680F25"/>
    <w:rsid w:val="00682297"/>
    <w:rsid w:val="006842C0"/>
    <w:rsid w:val="00685689"/>
    <w:rsid w:val="0068594B"/>
    <w:rsid w:val="00686B04"/>
    <w:rsid w:val="00687A52"/>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0262"/>
    <w:rsid w:val="00703F6C"/>
    <w:rsid w:val="007050B1"/>
    <w:rsid w:val="00705527"/>
    <w:rsid w:val="00705973"/>
    <w:rsid w:val="00707096"/>
    <w:rsid w:val="007127BB"/>
    <w:rsid w:val="007136BC"/>
    <w:rsid w:val="00713E90"/>
    <w:rsid w:val="00714576"/>
    <w:rsid w:val="00714FEC"/>
    <w:rsid w:val="00715A04"/>
    <w:rsid w:val="00715B7D"/>
    <w:rsid w:val="00716EC8"/>
    <w:rsid w:val="00720AB4"/>
    <w:rsid w:val="00721335"/>
    <w:rsid w:val="00721924"/>
    <w:rsid w:val="00721F66"/>
    <w:rsid w:val="00722B93"/>
    <w:rsid w:val="0072445A"/>
    <w:rsid w:val="00731F1F"/>
    <w:rsid w:val="0073324B"/>
    <w:rsid w:val="007337E6"/>
    <w:rsid w:val="00735A75"/>
    <w:rsid w:val="00735E96"/>
    <w:rsid w:val="007365AD"/>
    <w:rsid w:val="00740BA4"/>
    <w:rsid w:val="00742486"/>
    <w:rsid w:val="0074433B"/>
    <w:rsid w:val="007446C2"/>
    <w:rsid w:val="0074573F"/>
    <w:rsid w:val="0074628D"/>
    <w:rsid w:val="007473D2"/>
    <w:rsid w:val="007479C2"/>
    <w:rsid w:val="0075033C"/>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78"/>
    <w:rsid w:val="00774DFD"/>
    <w:rsid w:val="007753FA"/>
    <w:rsid w:val="0077544D"/>
    <w:rsid w:val="00775D67"/>
    <w:rsid w:val="00776C78"/>
    <w:rsid w:val="0078079A"/>
    <w:rsid w:val="00780902"/>
    <w:rsid w:val="0078249C"/>
    <w:rsid w:val="00784AA0"/>
    <w:rsid w:val="00784F3D"/>
    <w:rsid w:val="00785321"/>
    <w:rsid w:val="00785E63"/>
    <w:rsid w:val="007860B9"/>
    <w:rsid w:val="00786DD5"/>
    <w:rsid w:val="00787184"/>
    <w:rsid w:val="007914E4"/>
    <w:rsid w:val="00791E58"/>
    <w:rsid w:val="00792EB4"/>
    <w:rsid w:val="00793027"/>
    <w:rsid w:val="00794C2B"/>
    <w:rsid w:val="007A0692"/>
    <w:rsid w:val="007A082B"/>
    <w:rsid w:val="007A0A0E"/>
    <w:rsid w:val="007A1303"/>
    <w:rsid w:val="007A1ECE"/>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26D2"/>
    <w:rsid w:val="007D3FBD"/>
    <w:rsid w:val="007D49A0"/>
    <w:rsid w:val="007D7EF3"/>
    <w:rsid w:val="007E0553"/>
    <w:rsid w:val="007E1992"/>
    <w:rsid w:val="007E2870"/>
    <w:rsid w:val="007E5125"/>
    <w:rsid w:val="007E5DB4"/>
    <w:rsid w:val="007E6334"/>
    <w:rsid w:val="007E64B6"/>
    <w:rsid w:val="007E72DF"/>
    <w:rsid w:val="007F0617"/>
    <w:rsid w:val="007F3018"/>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A17"/>
    <w:rsid w:val="008167F5"/>
    <w:rsid w:val="0081794B"/>
    <w:rsid w:val="00817D8E"/>
    <w:rsid w:val="008200A3"/>
    <w:rsid w:val="00820BF2"/>
    <w:rsid w:val="00824C4E"/>
    <w:rsid w:val="00826125"/>
    <w:rsid w:val="00826F38"/>
    <w:rsid w:val="00830D70"/>
    <w:rsid w:val="00831969"/>
    <w:rsid w:val="00833417"/>
    <w:rsid w:val="00833CE6"/>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00C4"/>
    <w:rsid w:val="00851A81"/>
    <w:rsid w:val="00851F4C"/>
    <w:rsid w:val="0085224B"/>
    <w:rsid w:val="008523BA"/>
    <w:rsid w:val="00852B26"/>
    <w:rsid w:val="0085480B"/>
    <w:rsid w:val="00855985"/>
    <w:rsid w:val="008560F4"/>
    <w:rsid w:val="008568B1"/>
    <w:rsid w:val="008570EB"/>
    <w:rsid w:val="00857B3C"/>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3DD"/>
    <w:rsid w:val="0089067B"/>
    <w:rsid w:val="00890700"/>
    <w:rsid w:val="00892AB9"/>
    <w:rsid w:val="00893857"/>
    <w:rsid w:val="0089412A"/>
    <w:rsid w:val="00895335"/>
    <w:rsid w:val="00895536"/>
    <w:rsid w:val="008965EF"/>
    <w:rsid w:val="00896AD4"/>
    <w:rsid w:val="00897752"/>
    <w:rsid w:val="008A04C2"/>
    <w:rsid w:val="008A2811"/>
    <w:rsid w:val="008A3FC8"/>
    <w:rsid w:val="008A5131"/>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4571"/>
    <w:rsid w:val="008C6F34"/>
    <w:rsid w:val="008C7108"/>
    <w:rsid w:val="008C75C8"/>
    <w:rsid w:val="008C7B25"/>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AE8"/>
    <w:rsid w:val="008E3E12"/>
    <w:rsid w:val="008E4DCD"/>
    <w:rsid w:val="008E5767"/>
    <w:rsid w:val="008E580D"/>
    <w:rsid w:val="008F12E6"/>
    <w:rsid w:val="008F1558"/>
    <w:rsid w:val="008F2B44"/>
    <w:rsid w:val="008F5927"/>
    <w:rsid w:val="008F5F96"/>
    <w:rsid w:val="008F7752"/>
    <w:rsid w:val="009012F8"/>
    <w:rsid w:val="0090174A"/>
    <w:rsid w:val="00902E52"/>
    <w:rsid w:val="009036B3"/>
    <w:rsid w:val="00906061"/>
    <w:rsid w:val="0090620F"/>
    <w:rsid w:val="009071FE"/>
    <w:rsid w:val="00907761"/>
    <w:rsid w:val="00907A46"/>
    <w:rsid w:val="00910076"/>
    <w:rsid w:val="0091242A"/>
    <w:rsid w:val="00912E53"/>
    <w:rsid w:val="0091395C"/>
    <w:rsid w:val="00913AA4"/>
    <w:rsid w:val="00915778"/>
    <w:rsid w:val="009164DD"/>
    <w:rsid w:val="009210C9"/>
    <w:rsid w:val="00925C68"/>
    <w:rsid w:val="009315B0"/>
    <w:rsid w:val="009316E9"/>
    <w:rsid w:val="00931C93"/>
    <w:rsid w:val="00931EE2"/>
    <w:rsid w:val="00931FD8"/>
    <w:rsid w:val="0093282F"/>
    <w:rsid w:val="00933141"/>
    <w:rsid w:val="0093416D"/>
    <w:rsid w:val="0093652D"/>
    <w:rsid w:val="00937309"/>
    <w:rsid w:val="00937D66"/>
    <w:rsid w:val="0094065A"/>
    <w:rsid w:val="00940FE2"/>
    <w:rsid w:val="00943E62"/>
    <w:rsid w:val="0094462D"/>
    <w:rsid w:val="00945A61"/>
    <w:rsid w:val="00950154"/>
    <w:rsid w:val="009503CC"/>
    <w:rsid w:val="00950C6E"/>
    <w:rsid w:val="00951ECA"/>
    <w:rsid w:val="00953054"/>
    <w:rsid w:val="009531D6"/>
    <w:rsid w:val="00953610"/>
    <w:rsid w:val="0095382C"/>
    <w:rsid w:val="00953B03"/>
    <w:rsid w:val="009548C1"/>
    <w:rsid w:val="00956219"/>
    <w:rsid w:val="009563A5"/>
    <w:rsid w:val="00956868"/>
    <w:rsid w:val="00957039"/>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29D2"/>
    <w:rsid w:val="009942BB"/>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29FB"/>
    <w:rsid w:val="009F307E"/>
    <w:rsid w:val="009F37D5"/>
    <w:rsid w:val="009F50DE"/>
    <w:rsid w:val="009F5F3E"/>
    <w:rsid w:val="009F6D2A"/>
    <w:rsid w:val="009F6D34"/>
    <w:rsid w:val="009F74A2"/>
    <w:rsid w:val="009F7BB0"/>
    <w:rsid w:val="009F7F02"/>
    <w:rsid w:val="00A00663"/>
    <w:rsid w:val="00A0179F"/>
    <w:rsid w:val="00A01B7D"/>
    <w:rsid w:val="00A036C5"/>
    <w:rsid w:val="00A03AD2"/>
    <w:rsid w:val="00A05DA0"/>
    <w:rsid w:val="00A07176"/>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63EB"/>
    <w:rsid w:val="00A263F8"/>
    <w:rsid w:val="00A27A7F"/>
    <w:rsid w:val="00A3276A"/>
    <w:rsid w:val="00A33754"/>
    <w:rsid w:val="00A349D2"/>
    <w:rsid w:val="00A34B98"/>
    <w:rsid w:val="00A34C05"/>
    <w:rsid w:val="00A35492"/>
    <w:rsid w:val="00A4044E"/>
    <w:rsid w:val="00A40535"/>
    <w:rsid w:val="00A42475"/>
    <w:rsid w:val="00A42869"/>
    <w:rsid w:val="00A4379F"/>
    <w:rsid w:val="00A4387C"/>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2EAD"/>
    <w:rsid w:val="00A55D2B"/>
    <w:rsid w:val="00A572BC"/>
    <w:rsid w:val="00A57A82"/>
    <w:rsid w:val="00A62B7B"/>
    <w:rsid w:val="00A65581"/>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117C"/>
    <w:rsid w:val="00A92E9F"/>
    <w:rsid w:val="00A92EC0"/>
    <w:rsid w:val="00A92EED"/>
    <w:rsid w:val="00A96CE6"/>
    <w:rsid w:val="00A975D5"/>
    <w:rsid w:val="00A9772B"/>
    <w:rsid w:val="00AA0660"/>
    <w:rsid w:val="00AA1409"/>
    <w:rsid w:val="00AA1848"/>
    <w:rsid w:val="00AA3875"/>
    <w:rsid w:val="00AA404A"/>
    <w:rsid w:val="00AA40DC"/>
    <w:rsid w:val="00AA6228"/>
    <w:rsid w:val="00AA69A4"/>
    <w:rsid w:val="00AB04ED"/>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87F"/>
    <w:rsid w:val="00AE48E8"/>
    <w:rsid w:val="00AE5FCC"/>
    <w:rsid w:val="00AE7D9E"/>
    <w:rsid w:val="00AE7F20"/>
    <w:rsid w:val="00AF0E7C"/>
    <w:rsid w:val="00AF0F3E"/>
    <w:rsid w:val="00AF1F04"/>
    <w:rsid w:val="00AF3B55"/>
    <w:rsid w:val="00AF3D59"/>
    <w:rsid w:val="00AF6794"/>
    <w:rsid w:val="00AF6F48"/>
    <w:rsid w:val="00AF717E"/>
    <w:rsid w:val="00B016F7"/>
    <w:rsid w:val="00B02BDD"/>
    <w:rsid w:val="00B04470"/>
    <w:rsid w:val="00B04E10"/>
    <w:rsid w:val="00B055B9"/>
    <w:rsid w:val="00B10772"/>
    <w:rsid w:val="00B13243"/>
    <w:rsid w:val="00B13455"/>
    <w:rsid w:val="00B13511"/>
    <w:rsid w:val="00B13D85"/>
    <w:rsid w:val="00B16296"/>
    <w:rsid w:val="00B16CC7"/>
    <w:rsid w:val="00B1786A"/>
    <w:rsid w:val="00B206D8"/>
    <w:rsid w:val="00B20C75"/>
    <w:rsid w:val="00B230E5"/>
    <w:rsid w:val="00B23E88"/>
    <w:rsid w:val="00B267A4"/>
    <w:rsid w:val="00B30967"/>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5AB"/>
    <w:rsid w:val="00B54A5F"/>
    <w:rsid w:val="00B560C2"/>
    <w:rsid w:val="00B56409"/>
    <w:rsid w:val="00B56F9B"/>
    <w:rsid w:val="00B57F54"/>
    <w:rsid w:val="00B64099"/>
    <w:rsid w:val="00B643D6"/>
    <w:rsid w:val="00B6474A"/>
    <w:rsid w:val="00B64919"/>
    <w:rsid w:val="00B65D95"/>
    <w:rsid w:val="00B667C6"/>
    <w:rsid w:val="00B66BC8"/>
    <w:rsid w:val="00B71F08"/>
    <w:rsid w:val="00B73838"/>
    <w:rsid w:val="00B7421A"/>
    <w:rsid w:val="00B742E4"/>
    <w:rsid w:val="00B74366"/>
    <w:rsid w:val="00B75F20"/>
    <w:rsid w:val="00B762FD"/>
    <w:rsid w:val="00B808A4"/>
    <w:rsid w:val="00B81371"/>
    <w:rsid w:val="00B818B8"/>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4E"/>
    <w:rsid w:val="00BA54A2"/>
    <w:rsid w:val="00BA6D15"/>
    <w:rsid w:val="00BA7987"/>
    <w:rsid w:val="00BA7CFA"/>
    <w:rsid w:val="00BB1309"/>
    <w:rsid w:val="00BB24E5"/>
    <w:rsid w:val="00BB2592"/>
    <w:rsid w:val="00BB3156"/>
    <w:rsid w:val="00BB543D"/>
    <w:rsid w:val="00BB5CA9"/>
    <w:rsid w:val="00BB6662"/>
    <w:rsid w:val="00BB6ADD"/>
    <w:rsid w:val="00BB7E0C"/>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5B1E"/>
    <w:rsid w:val="00BF64BC"/>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68"/>
    <w:rsid w:val="00C203F6"/>
    <w:rsid w:val="00C20EB1"/>
    <w:rsid w:val="00C2139F"/>
    <w:rsid w:val="00C23D17"/>
    <w:rsid w:val="00C24101"/>
    <w:rsid w:val="00C24FF3"/>
    <w:rsid w:val="00C2575E"/>
    <w:rsid w:val="00C26121"/>
    <w:rsid w:val="00C27ABF"/>
    <w:rsid w:val="00C3086E"/>
    <w:rsid w:val="00C315FB"/>
    <w:rsid w:val="00C31713"/>
    <w:rsid w:val="00C317BD"/>
    <w:rsid w:val="00C33279"/>
    <w:rsid w:val="00C33BCB"/>
    <w:rsid w:val="00C34B8F"/>
    <w:rsid w:val="00C35332"/>
    <w:rsid w:val="00C37421"/>
    <w:rsid w:val="00C41015"/>
    <w:rsid w:val="00C41131"/>
    <w:rsid w:val="00C411C1"/>
    <w:rsid w:val="00C422BD"/>
    <w:rsid w:val="00C42A15"/>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63BE"/>
    <w:rsid w:val="00C70AB7"/>
    <w:rsid w:val="00C71858"/>
    <w:rsid w:val="00C722C5"/>
    <w:rsid w:val="00C74346"/>
    <w:rsid w:val="00C744AE"/>
    <w:rsid w:val="00C74781"/>
    <w:rsid w:val="00C76B87"/>
    <w:rsid w:val="00C80034"/>
    <w:rsid w:val="00C828E8"/>
    <w:rsid w:val="00C82F4B"/>
    <w:rsid w:val="00C83579"/>
    <w:rsid w:val="00C83EA7"/>
    <w:rsid w:val="00C84559"/>
    <w:rsid w:val="00C84E31"/>
    <w:rsid w:val="00C851EE"/>
    <w:rsid w:val="00C862C4"/>
    <w:rsid w:val="00C86977"/>
    <w:rsid w:val="00C86B34"/>
    <w:rsid w:val="00C86FFF"/>
    <w:rsid w:val="00C871C7"/>
    <w:rsid w:val="00C91060"/>
    <w:rsid w:val="00C928FD"/>
    <w:rsid w:val="00C95593"/>
    <w:rsid w:val="00CA0640"/>
    <w:rsid w:val="00CA2022"/>
    <w:rsid w:val="00CA4741"/>
    <w:rsid w:val="00CA7A78"/>
    <w:rsid w:val="00CA7F49"/>
    <w:rsid w:val="00CB122D"/>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2C8"/>
    <w:rsid w:val="00CC48D6"/>
    <w:rsid w:val="00CD32FE"/>
    <w:rsid w:val="00CD3E7D"/>
    <w:rsid w:val="00CD5036"/>
    <w:rsid w:val="00CD6866"/>
    <w:rsid w:val="00CD76D4"/>
    <w:rsid w:val="00CD7893"/>
    <w:rsid w:val="00CE03CC"/>
    <w:rsid w:val="00CE1B8A"/>
    <w:rsid w:val="00CE7E6A"/>
    <w:rsid w:val="00CF030B"/>
    <w:rsid w:val="00CF23A2"/>
    <w:rsid w:val="00CF5D77"/>
    <w:rsid w:val="00CF6EB2"/>
    <w:rsid w:val="00D00269"/>
    <w:rsid w:val="00D00379"/>
    <w:rsid w:val="00D02F72"/>
    <w:rsid w:val="00D04834"/>
    <w:rsid w:val="00D04A27"/>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3E8A"/>
    <w:rsid w:val="00D947F0"/>
    <w:rsid w:val="00D963CC"/>
    <w:rsid w:val="00DA22D8"/>
    <w:rsid w:val="00DA2D95"/>
    <w:rsid w:val="00DA3A4F"/>
    <w:rsid w:val="00DA42C0"/>
    <w:rsid w:val="00DA506E"/>
    <w:rsid w:val="00DA52A2"/>
    <w:rsid w:val="00DA57B0"/>
    <w:rsid w:val="00DA7E2F"/>
    <w:rsid w:val="00DB0C0B"/>
    <w:rsid w:val="00DB2446"/>
    <w:rsid w:val="00DB31E7"/>
    <w:rsid w:val="00DB3A66"/>
    <w:rsid w:val="00DB4BEF"/>
    <w:rsid w:val="00DB51AE"/>
    <w:rsid w:val="00DB546B"/>
    <w:rsid w:val="00DB74A4"/>
    <w:rsid w:val="00DB78B2"/>
    <w:rsid w:val="00DC073A"/>
    <w:rsid w:val="00DC0A7B"/>
    <w:rsid w:val="00DC1539"/>
    <w:rsid w:val="00DC1F48"/>
    <w:rsid w:val="00DC2022"/>
    <w:rsid w:val="00DC230C"/>
    <w:rsid w:val="00DC27E7"/>
    <w:rsid w:val="00DC2CE7"/>
    <w:rsid w:val="00DC301A"/>
    <w:rsid w:val="00DC5188"/>
    <w:rsid w:val="00DC6294"/>
    <w:rsid w:val="00DC6AEA"/>
    <w:rsid w:val="00DC7377"/>
    <w:rsid w:val="00DD2912"/>
    <w:rsid w:val="00DD2DF2"/>
    <w:rsid w:val="00DD353B"/>
    <w:rsid w:val="00DD3902"/>
    <w:rsid w:val="00DD417A"/>
    <w:rsid w:val="00DD45C1"/>
    <w:rsid w:val="00DD4849"/>
    <w:rsid w:val="00DD6949"/>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25A"/>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58EF"/>
    <w:rsid w:val="00E46673"/>
    <w:rsid w:val="00E47A5F"/>
    <w:rsid w:val="00E506E7"/>
    <w:rsid w:val="00E507A5"/>
    <w:rsid w:val="00E51A57"/>
    <w:rsid w:val="00E52779"/>
    <w:rsid w:val="00E528D2"/>
    <w:rsid w:val="00E54E89"/>
    <w:rsid w:val="00E57E0F"/>
    <w:rsid w:val="00E601CE"/>
    <w:rsid w:val="00E602CF"/>
    <w:rsid w:val="00E60B1D"/>
    <w:rsid w:val="00E61EE8"/>
    <w:rsid w:val="00E62061"/>
    <w:rsid w:val="00E62441"/>
    <w:rsid w:val="00E63879"/>
    <w:rsid w:val="00E647FF"/>
    <w:rsid w:val="00E650C6"/>
    <w:rsid w:val="00E66A80"/>
    <w:rsid w:val="00E66EE6"/>
    <w:rsid w:val="00E7063D"/>
    <w:rsid w:val="00E71329"/>
    <w:rsid w:val="00E71633"/>
    <w:rsid w:val="00E7218C"/>
    <w:rsid w:val="00E72689"/>
    <w:rsid w:val="00E730AA"/>
    <w:rsid w:val="00E74C7A"/>
    <w:rsid w:val="00E76F52"/>
    <w:rsid w:val="00E82B54"/>
    <w:rsid w:val="00E8380C"/>
    <w:rsid w:val="00E838B2"/>
    <w:rsid w:val="00E842F0"/>
    <w:rsid w:val="00E84521"/>
    <w:rsid w:val="00E84D6B"/>
    <w:rsid w:val="00E856B0"/>
    <w:rsid w:val="00E85D85"/>
    <w:rsid w:val="00E86868"/>
    <w:rsid w:val="00E86C2A"/>
    <w:rsid w:val="00E86CA1"/>
    <w:rsid w:val="00E87711"/>
    <w:rsid w:val="00E87F07"/>
    <w:rsid w:val="00E90BD8"/>
    <w:rsid w:val="00E91BFE"/>
    <w:rsid w:val="00E91E35"/>
    <w:rsid w:val="00E9230E"/>
    <w:rsid w:val="00E931BD"/>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1"/>
    <w:rsid w:val="00EB2513"/>
    <w:rsid w:val="00EB3DF7"/>
    <w:rsid w:val="00EB40DC"/>
    <w:rsid w:val="00EB4A53"/>
    <w:rsid w:val="00EB5616"/>
    <w:rsid w:val="00EB743F"/>
    <w:rsid w:val="00EC064C"/>
    <w:rsid w:val="00EC0BFA"/>
    <w:rsid w:val="00EC0D38"/>
    <w:rsid w:val="00EC115D"/>
    <w:rsid w:val="00EC152A"/>
    <w:rsid w:val="00EC2AF0"/>
    <w:rsid w:val="00EC3328"/>
    <w:rsid w:val="00EC34A9"/>
    <w:rsid w:val="00EC3934"/>
    <w:rsid w:val="00EC5E28"/>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E55A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3E45"/>
    <w:rsid w:val="00F147C6"/>
    <w:rsid w:val="00F147E7"/>
    <w:rsid w:val="00F207D7"/>
    <w:rsid w:val="00F20933"/>
    <w:rsid w:val="00F21705"/>
    <w:rsid w:val="00F231FC"/>
    <w:rsid w:val="00F24633"/>
    <w:rsid w:val="00F24AB7"/>
    <w:rsid w:val="00F24BD9"/>
    <w:rsid w:val="00F2567E"/>
    <w:rsid w:val="00F25E84"/>
    <w:rsid w:val="00F26068"/>
    <w:rsid w:val="00F2706D"/>
    <w:rsid w:val="00F2723F"/>
    <w:rsid w:val="00F27ADB"/>
    <w:rsid w:val="00F31178"/>
    <w:rsid w:val="00F32971"/>
    <w:rsid w:val="00F3400B"/>
    <w:rsid w:val="00F35C44"/>
    <w:rsid w:val="00F36760"/>
    <w:rsid w:val="00F37B6F"/>
    <w:rsid w:val="00F40C05"/>
    <w:rsid w:val="00F40E86"/>
    <w:rsid w:val="00F42168"/>
    <w:rsid w:val="00F425B3"/>
    <w:rsid w:val="00F44C78"/>
    <w:rsid w:val="00F44F38"/>
    <w:rsid w:val="00F452C0"/>
    <w:rsid w:val="00F459E6"/>
    <w:rsid w:val="00F53C70"/>
    <w:rsid w:val="00F55309"/>
    <w:rsid w:val="00F562A9"/>
    <w:rsid w:val="00F56E0D"/>
    <w:rsid w:val="00F60C62"/>
    <w:rsid w:val="00F6300E"/>
    <w:rsid w:val="00F6301A"/>
    <w:rsid w:val="00F645AF"/>
    <w:rsid w:val="00F65292"/>
    <w:rsid w:val="00F66BC9"/>
    <w:rsid w:val="00F66CB1"/>
    <w:rsid w:val="00F67946"/>
    <w:rsid w:val="00F72901"/>
    <w:rsid w:val="00F72B99"/>
    <w:rsid w:val="00F72CCD"/>
    <w:rsid w:val="00F72E9F"/>
    <w:rsid w:val="00F73166"/>
    <w:rsid w:val="00F736F9"/>
    <w:rsid w:val="00F739E9"/>
    <w:rsid w:val="00F81620"/>
    <w:rsid w:val="00F84240"/>
    <w:rsid w:val="00F85237"/>
    <w:rsid w:val="00F8564F"/>
    <w:rsid w:val="00F85CE1"/>
    <w:rsid w:val="00F87DAE"/>
    <w:rsid w:val="00F9000A"/>
    <w:rsid w:val="00F9002A"/>
    <w:rsid w:val="00F906D0"/>
    <w:rsid w:val="00F90CC8"/>
    <w:rsid w:val="00F93FEB"/>
    <w:rsid w:val="00F94E43"/>
    <w:rsid w:val="00F95592"/>
    <w:rsid w:val="00F96156"/>
    <w:rsid w:val="00F96460"/>
    <w:rsid w:val="00F97AFE"/>
    <w:rsid w:val="00F97E65"/>
    <w:rsid w:val="00FA0128"/>
    <w:rsid w:val="00FA0F09"/>
    <w:rsid w:val="00FA1786"/>
    <w:rsid w:val="00FA17C2"/>
    <w:rsid w:val="00FA215F"/>
    <w:rsid w:val="00FA3191"/>
    <w:rsid w:val="00FA341F"/>
    <w:rsid w:val="00FA5AE3"/>
    <w:rsid w:val="00FA73DD"/>
    <w:rsid w:val="00FB02A8"/>
    <w:rsid w:val="00FB13C2"/>
    <w:rsid w:val="00FB27FA"/>
    <w:rsid w:val="00FB35D3"/>
    <w:rsid w:val="00FB380D"/>
    <w:rsid w:val="00FB3A3C"/>
    <w:rsid w:val="00FB3FB7"/>
    <w:rsid w:val="00FB52E9"/>
    <w:rsid w:val="00FB76C5"/>
    <w:rsid w:val="00FB7FBE"/>
    <w:rsid w:val="00FC03FD"/>
    <w:rsid w:val="00FC0824"/>
    <w:rsid w:val="00FC0C57"/>
    <w:rsid w:val="00FC16B9"/>
    <w:rsid w:val="00FC1DA7"/>
    <w:rsid w:val="00FC2414"/>
    <w:rsid w:val="00FC2C4D"/>
    <w:rsid w:val="00FC2E20"/>
    <w:rsid w:val="00FC44A1"/>
    <w:rsid w:val="00FC4BCF"/>
    <w:rsid w:val="00FC4DEB"/>
    <w:rsid w:val="00FC4ED9"/>
    <w:rsid w:val="00FC50CE"/>
    <w:rsid w:val="00FC62AC"/>
    <w:rsid w:val="00FC6AC7"/>
    <w:rsid w:val="00FC7499"/>
    <w:rsid w:val="00FC77FF"/>
    <w:rsid w:val="00FC7E40"/>
    <w:rsid w:val="00FD1351"/>
    <w:rsid w:val="00FD4B65"/>
    <w:rsid w:val="00FD6729"/>
    <w:rsid w:val="00FD7996"/>
    <w:rsid w:val="00FD7A80"/>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45EE"/>
    <w:rsid w:val="00FF4B14"/>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rPr>
  </w:style>
  <w:style w:type="character" w:customStyle="1" w:styleId="UnresolvedMention">
    <w:name w:val="Unresolved Mention"/>
    <w:basedOn w:val="Fuentedeprrafopredeter"/>
    <w:uiPriority w:val="99"/>
    <w:semiHidden/>
    <w:unhideWhenUsed/>
    <w:rsid w:val="00833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643625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2162707">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0653023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58763802">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40394874">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8958250">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8022259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FED6C-0CB3-4722-8ADF-276BAA9C7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50</Pages>
  <Words>10271</Words>
  <Characters>56491</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2019-12-11T01:19:00Z</cp:lastPrinted>
  <dcterms:created xsi:type="dcterms:W3CDTF">2022-04-27T20:41:00Z</dcterms:created>
  <dcterms:modified xsi:type="dcterms:W3CDTF">2022-05-25T18:00:00Z</dcterms:modified>
</cp:coreProperties>
</file>