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05A" w:rsidRDefault="008221A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ocho de junio de dos mil veintidós</w:t>
      </w:r>
      <w:r>
        <w:rPr>
          <w:rFonts w:ascii="Palatino Linotype" w:eastAsia="Palatino Linotype" w:hAnsi="Palatino Linotype" w:cs="Palatino Linotype"/>
        </w:rPr>
        <w:t xml:space="preserve">. </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03184/INFOEM/IP/RR/2022,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w:t>
      </w:r>
      <w:r w:rsidR="00643580" w:rsidRPr="00643580">
        <w:rPr>
          <w:rFonts w:ascii="Palatino Linotype" w:eastAsia="Palatino Linotype" w:hAnsi="Palatino Linotype" w:cs="Palatino Linotype"/>
          <w:b/>
        </w:rPr>
        <w:t>XXXXXX XXXXXX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contra de la respuesta por parte del </w:t>
      </w:r>
      <w:r>
        <w:rPr>
          <w:rFonts w:ascii="Palatino Linotype" w:eastAsia="Palatino Linotype" w:hAnsi="Palatino Linotype" w:cs="Palatino Linotype"/>
          <w:b/>
        </w:rPr>
        <w:t>Organismo Público Descent</w:t>
      </w:r>
      <w:r w:rsidR="0055678C">
        <w:rPr>
          <w:rFonts w:ascii="Palatino Linotype" w:eastAsia="Palatino Linotype" w:hAnsi="Palatino Linotype" w:cs="Palatino Linotype"/>
          <w:b/>
        </w:rPr>
        <w:t>ralizado para la Prestación de l</w:t>
      </w:r>
      <w:r>
        <w:rPr>
          <w:rFonts w:ascii="Palatino Linotype" w:eastAsia="Palatino Linotype" w:hAnsi="Palatino Linotype" w:cs="Palatino Linotype"/>
          <w:b/>
        </w:rPr>
        <w:t xml:space="preserve">os Servicios de Agua Potable Alcantarillado y Saneamiento de Atizapán de Zaragoza por sus siglas S.A.P.A.S.A.,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F8105A" w:rsidRDefault="008221A6">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F8105A" w:rsidRDefault="008221A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veintisiete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rPr>
        <w:t xml:space="preserve"> 00017/OASATIZARA/IP/2022, </w:t>
      </w:r>
      <w:r>
        <w:rPr>
          <w:rFonts w:ascii="Palatino Linotype" w:eastAsia="Palatino Linotype" w:hAnsi="Palatino Linotype" w:cs="Palatino Linotype"/>
        </w:rPr>
        <w:t xml:space="preserve">mediante la cual requirió la información siguiente: </w:t>
      </w:r>
    </w:p>
    <w:p w:rsidR="00F8105A" w:rsidRDefault="008221A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“Buenas tardes espero la Titular de Administración ahora si me pueda dar respuesta a lo que solicito o bien pueda la asesoría correcta con la Titular de Transparencia. </w:t>
      </w:r>
      <w:r>
        <w:rPr>
          <w:rFonts w:ascii="Palatino Linotype" w:eastAsia="Palatino Linotype" w:hAnsi="Palatino Linotype" w:cs="Palatino Linotype"/>
          <w:b/>
          <w:i/>
          <w:sz w:val="22"/>
          <w:szCs w:val="22"/>
        </w:rPr>
        <w:lastRenderedPageBreak/>
        <w:t xml:space="preserve">Solicito la </w:t>
      </w:r>
      <w:proofErr w:type="spellStart"/>
      <w:r>
        <w:rPr>
          <w:rFonts w:ascii="Palatino Linotype" w:eastAsia="Palatino Linotype" w:hAnsi="Palatino Linotype" w:cs="Palatino Linotype"/>
          <w:b/>
          <w:i/>
          <w:sz w:val="22"/>
          <w:szCs w:val="22"/>
        </w:rPr>
        <w:t>nomina</w:t>
      </w:r>
      <w:proofErr w:type="spellEnd"/>
      <w:r>
        <w:rPr>
          <w:rFonts w:ascii="Palatino Linotype" w:eastAsia="Palatino Linotype" w:hAnsi="Palatino Linotype" w:cs="Palatino Linotype"/>
          <w:b/>
          <w:i/>
          <w:sz w:val="22"/>
          <w:szCs w:val="22"/>
        </w:rPr>
        <w:t xml:space="preserve"> de todo el personal de </w:t>
      </w:r>
      <w:proofErr w:type="spellStart"/>
      <w:r>
        <w:rPr>
          <w:rFonts w:ascii="Palatino Linotype" w:eastAsia="Palatino Linotype" w:hAnsi="Palatino Linotype" w:cs="Palatino Linotype"/>
          <w:b/>
          <w:i/>
          <w:sz w:val="22"/>
          <w:szCs w:val="22"/>
        </w:rPr>
        <w:t>Sapasa</w:t>
      </w:r>
      <w:proofErr w:type="spellEnd"/>
      <w:r>
        <w:rPr>
          <w:rFonts w:ascii="Palatino Linotype" w:eastAsia="Palatino Linotype" w:hAnsi="Palatino Linotype" w:cs="Palatino Linotype"/>
          <w:b/>
          <w:i/>
          <w:sz w:val="22"/>
          <w:szCs w:val="22"/>
        </w:rPr>
        <w:t xml:space="preserve"> de la primera quincena de enero así como todos los </w:t>
      </w:r>
      <w:proofErr w:type="spellStart"/>
      <w:r>
        <w:rPr>
          <w:rFonts w:ascii="Palatino Linotype" w:eastAsia="Palatino Linotype" w:hAnsi="Palatino Linotype" w:cs="Palatino Linotype"/>
          <w:b/>
          <w:i/>
          <w:sz w:val="22"/>
          <w:szCs w:val="22"/>
        </w:rPr>
        <w:t>curriculum</w:t>
      </w:r>
      <w:proofErr w:type="spellEnd"/>
      <w:r>
        <w:rPr>
          <w:rFonts w:ascii="Palatino Linotype" w:eastAsia="Palatino Linotype" w:hAnsi="Palatino Linotype" w:cs="Palatino Linotype"/>
          <w:b/>
          <w:i/>
          <w:sz w:val="22"/>
          <w:szCs w:val="22"/>
        </w:rPr>
        <w:t xml:space="preserve"> Vitae de todos los mandos medios y superiores, así también a la Unidad de Transparencia solicito el acta de comité donde asignan a los servidores públicos habilitados de cada área y quien integra su </w:t>
      </w:r>
      <w:proofErr w:type="spellStart"/>
      <w:r>
        <w:rPr>
          <w:rFonts w:ascii="Palatino Linotype" w:eastAsia="Palatino Linotype" w:hAnsi="Palatino Linotype" w:cs="Palatino Linotype"/>
          <w:b/>
          <w:i/>
          <w:sz w:val="22"/>
          <w:szCs w:val="22"/>
        </w:rPr>
        <w:t>comite</w:t>
      </w:r>
      <w:proofErr w:type="spellEnd"/>
      <w:r>
        <w:rPr>
          <w:rFonts w:ascii="Palatino Linotype" w:eastAsia="Palatino Linotype" w:hAnsi="Palatino Linotype" w:cs="Palatino Linotype"/>
          <w:b/>
          <w:i/>
          <w:sz w:val="22"/>
          <w:szCs w:val="22"/>
        </w:rPr>
        <w:t xml:space="preserve"> de transparencia esto lo solicito por medio de </w:t>
      </w:r>
      <w:proofErr w:type="spellStart"/>
      <w:r>
        <w:rPr>
          <w:rFonts w:ascii="Palatino Linotype" w:eastAsia="Palatino Linotype" w:hAnsi="Palatino Linotype" w:cs="Palatino Linotype"/>
          <w:b/>
          <w:i/>
          <w:sz w:val="22"/>
          <w:szCs w:val="22"/>
        </w:rPr>
        <w:t>saimex</w:t>
      </w:r>
      <w:proofErr w:type="spellEnd"/>
      <w:r>
        <w:rPr>
          <w:rFonts w:ascii="Palatino Linotype" w:eastAsia="Palatino Linotype" w:hAnsi="Palatino Linotype" w:cs="Palatino Linotype"/>
          <w:i/>
          <w:sz w:val="22"/>
          <w:szCs w:val="22"/>
        </w:rPr>
        <w:t>, aclaro esta información es muy clara no pido una liga para que me anexen y menos un cambio de modalidad buenas tardes espero mi respuesta gracias.” (Sic) (Énfasis añadido)</w:t>
      </w:r>
    </w:p>
    <w:p w:rsidR="00F8105A" w:rsidRDefault="008221A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 xml:space="preserve">En fecha dieciocho de febrero de dos mil veintidós, el Sujeto Obligado notificó al particular la prórroga para atender la solicitud de información, medularmente en los siguientes términos: </w:t>
      </w:r>
    </w:p>
    <w:p w:rsidR="00F8105A" w:rsidRDefault="008221A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F8105A" w:rsidRDefault="008221A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solicita prórroga de siete días en virtud de que nos encontramos en búsqueda y clasificación de la información requerida.</w:t>
      </w:r>
    </w:p>
    <w:p w:rsidR="00F8105A" w:rsidRDefault="008221A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MARIAMNEÈ VEGA BLANCARTE</w:t>
      </w:r>
    </w:p>
    <w:p w:rsidR="00F8105A" w:rsidRDefault="008221A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rsidR="00F8105A" w:rsidRDefault="008221A6">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sz w:val="22"/>
          <w:szCs w:val="22"/>
        </w:rPr>
        <w:t xml:space="preserve">Archivo adjunto: </w:t>
      </w:r>
      <w:r>
        <w:rPr>
          <w:rFonts w:ascii="Palatino Linotype" w:eastAsia="Palatino Linotype" w:hAnsi="Palatino Linotype" w:cs="Palatino Linotype"/>
        </w:rPr>
        <w:t xml:space="preserve">Documento de dieciséis fojas, el cual consta en el Acta de la Segunda Sesión Extraordinaria del Comité de Transparencia, </w:t>
      </w:r>
      <w:r>
        <w:rPr>
          <w:rFonts w:ascii="Palatino Linotype" w:eastAsia="Palatino Linotype" w:hAnsi="Palatino Linotype" w:cs="Palatino Linotype"/>
        </w:rPr>
        <w:lastRenderedPageBreak/>
        <w:t xml:space="preserve">mediante la cual se aprueba por unanimidad de votos, la ampliación de plazo para la atención de la presente solicitud. </w:t>
      </w:r>
    </w:p>
    <w:p w:rsidR="00F8105A" w:rsidRDefault="008221A6">
      <w:pPr>
        <w:spacing w:before="240" w:after="240" w:line="360" w:lineRule="auto"/>
        <w:ind w:left="567" w:right="900"/>
        <w:jc w:val="center"/>
        <w:rPr>
          <w:rFonts w:ascii="Palatino Linotype" w:eastAsia="Palatino Linotype" w:hAnsi="Palatino Linotype" w:cs="Palatino Linotype"/>
        </w:rPr>
      </w:pPr>
      <w:r>
        <w:object w:dxaOrig="6300" w:dyaOrig="8400" w14:anchorId="6F52B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419.25pt" o:ole="">
            <v:imagedata r:id="rId8" o:title=""/>
          </v:shape>
          <o:OLEObject Type="Embed" ProgID="PBrush" ShapeID="_x0000_i1025" DrawAspect="Content" ObjectID="_1718632354" r:id="rId9"/>
        </w:object>
      </w:r>
    </w:p>
    <w:p w:rsidR="00F8105A" w:rsidRDefault="008221A6">
      <w:pPr>
        <w:spacing w:before="240" w:after="240" w:line="360" w:lineRule="auto"/>
        <w:jc w:val="both"/>
        <w:rPr>
          <w:rFonts w:ascii="Palatino Linotype" w:eastAsia="Palatino Linotype" w:hAnsi="Palatino Linotype" w:cs="Palatino Linotype"/>
          <w:b/>
        </w:rPr>
      </w:pPr>
      <w:r>
        <w:object w:dxaOrig="8295" w:dyaOrig="9405" w14:anchorId="24B64DB7">
          <v:shape id="_x0000_i1026" type="#_x0000_t75" style="width:416.25pt;height:471pt" o:ole="">
            <v:imagedata r:id="rId10" o:title=""/>
          </v:shape>
          <o:OLEObject Type="Embed" ProgID="PBrush" ShapeID="_x0000_i1026" DrawAspect="Content" ObjectID="_1718632355" r:id="rId11"/>
        </w:object>
      </w:r>
      <w:r>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101601</wp:posOffset>
                </wp:positionH>
                <wp:positionV relativeFrom="paragraph">
                  <wp:posOffset>5346700</wp:posOffset>
                </wp:positionV>
                <wp:extent cx="4562475" cy="542925"/>
                <wp:effectExtent l="0" t="0" r="0" b="0"/>
                <wp:wrapNone/>
                <wp:docPr id="91" name="Rectángulo 91"/>
                <wp:cNvGraphicFramePr/>
                <a:graphic xmlns:a="http://schemas.openxmlformats.org/drawingml/2006/main">
                  <a:graphicData uri="http://schemas.microsoft.com/office/word/2010/wordprocessingShape">
                    <wps:wsp>
                      <wps:cNvSpPr/>
                      <wps:spPr>
                        <a:xfrm>
                          <a:off x="3083813" y="3527588"/>
                          <a:ext cx="4524375" cy="504825"/>
                        </a:xfrm>
                        <a:prstGeom prst="rect">
                          <a:avLst/>
                        </a:prstGeom>
                        <a:noFill/>
                        <a:ln w="38100" cap="flat" cmpd="sng">
                          <a:solidFill>
                            <a:srgbClr val="002060"/>
                          </a:solidFill>
                          <a:prstDash val="solid"/>
                          <a:round/>
                          <a:headEnd type="none" w="sm" len="sm"/>
                          <a:tailEnd type="none" w="sm" len="sm"/>
                        </a:ln>
                      </wps:spPr>
                      <wps:txbx>
                        <w:txbxContent>
                          <w:p w:rsidR="00B153AF" w:rsidRDefault="00B153AF">
                            <w:pPr>
                              <w:textDirection w:val="btLr"/>
                            </w:pPr>
                          </w:p>
                        </w:txbxContent>
                      </wps:txbx>
                      <wps:bodyPr spcFirstLastPara="1" wrap="square" lIns="91425" tIns="91425" rIns="91425" bIns="91425" anchor="ctr" anchorCtr="0">
                        <a:noAutofit/>
                      </wps:bodyPr>
                    </wps:wsp>
                  </a:graphicData>
                </a:graphic>
              </wp:anchor>
            </w:drawing>
          </mc:Choice>
          <mc:Fallback>
            <w:pict>
              <v:rect id="Rectángulo 91" o:spid="_x0000_s1026" style="position:absolute;left:0;text-align:left;margin-left:8pt;margin-top:421pt;width:359.25pt;height:4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" filled="f" strokecolor="#002060" strokeweight="3pt">
                <v:stroke startarrowwidth="narrow" startarrowlength="short" endarrowwidth="narrow" endarrowlength="short" joinstyle="round"/>
                <v:textbox inset="2.53958mm,2.53958mm,2.53958mm,2.53958mm">
                  <w:txbxContent>
                    <w:p w:rsidR="00B153AF" w:rsidRDefault="00B153AF">
                      <w:pPr>
                        <w:textDirection w:val="btLr"/>
                      </w:pPr>
                    </w:p>
                  </w:txbxContent>
                </v:textbox>
              </v:rect>
            </w:pict>
          </mc:Fallback>
        </mc:AlternateContent>
      </w:r>
    </w:p>
    <w:p w:rsidR="00F8105A" w:rsidRDefault="008221A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3. Respuesta. </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uno de marzo de dos mil veintidós</w:t>
      </w:r>
      <w:r>
        <w:rPr>
          <w:rFonts w:ascii="Palatino Linotype" w:eastAsia="Palatino Linotype" w:hAnsi="Palatino Linotype" w:cs="Palatino Linotype"/>
        </w:rPr>
        <w:t xml:space="preserve">, el Sujeto Obligado  remitió su respuesta a la solicitud de acceso a la información a través del SAIMEX, sustancialmente en los términos siguientes:   </w:t>
      </w:r>
    </w:p>
    <w:p w:rsidR="00F8105A" w:rsidRDefault="008221A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F8105A" w:rsidRDefault="008221A6">
      <w:pPr>
        <w:spacing w:before="240" w:after="240"/>
        <w:ind w:left="567" w:right="900"/>
        <w:jc w:val="both"/>
        <w:rPr>
          <w:rFonts w:ascii="Palatino Linotype" w:eastAsia="Palatino Linotype" w:hAnsi="Palatino Linotype" w:cs="Palatino Linotype"/>
          <w:i/>
          <w:sz w:val="22"/>
          <w:szCs w:val="22"/>
        </w:rPr>
      </w:pPr>
      <w:r w:rsidRPr="009347F0">
        <w:rPr>
          <w:rFonts w:ascii="Palatino Linotype" w:eastAsia="Palatino Linotype" w:hAnsi="Palatino Linotype" w:cs="Palatino Linotype"/>
          <w:b/>
          <w:i/>
          <w:sz w:val="22"/>
          <w:szCs w:val="22"/>
          <w:u w:val="single"/>
        </w:rPr>
        <w:t>Por lo que atañe a la Subdirección de Administración y Finanzas, área encargada de atender su solicitud, la cual adjunta los archivos denominados: "ListadoNomina1eraEne22.pdf" y "CURRICULUMS documento en el que podrá encontrar respuesta a su solicitud de información.</w:t>
      </w:r>
      <w:r w:rsidRPr="009347F0">
        <w:rPr>
          <w:rFonts w:ascii="Palatino Linotype" w:eastAsia="Palatino Linotype" w:hAnsi="Palatino Linotype" w:cs="Palatino Linotype"/>
          <w:i/>
          <w:sz w:val="22"/>
          <w:szCs w:val="22"/>
        </w:rPr>
        <w:t xml:space="preserve"> </w:t>
      </w:r>
      <w:r w:rsidRPr="009347F0">
        <w:rPr>
          <w:rFonts w:ascii="Palatino Linotype" w:eastAsia="Palatino Linotype" w:hAnsi="Palatino Linotype" w:cs="Palatino Linotype"/>
          <w:b/>
          <w:i/>
          <w:sz w:val="22"/>
          <w:szCs w:val="22"/>
          <w:u w:val="single"/>
        </w:rPr>
        <w:t xml:space="preserve">En lo concerniente a lo siguiente: "acta de comité donde asignan a los servidores públicos habilitados de cada área" se le informa que no obra en los archivos de la unidad de transparencia acta de comité en donde se asigne a los servidores públicos habilitados, lo anterior es </w:t>
      </w:r>
      <w:proofErr w:type="spellStart"/>
      <w:r w:rsidRPr="009347F0">
        <w:rPr>
          <w:rFonts w:ascii="Palatino Linotype" w:eastAsia="Palatino Linotype" w:hAnsi="Palatino Linotype" w:cs="Palatino Linotype"/>
          <w:b/>
          <w:i/>
          <w:sz w:val="22"/>
          <w:szCs w:val="22"/>
          <w:u w:val="single"/>
        </w:rPr>
        <w:t>asi</w:t>
      </w:r>
      <w:proofErr w:type="spellEnd"/>
      <w:r w:rsidRPr="009347F0">
        <w:rPr>
          <w:rFonts w:ascii="Palatino Linotype" w:eastAsia="Palatino Linotype" w:hAnsi="Palatino Linotype" w:cs="Palatino Linotype"/>
          <w:b/>
          <w:i/>
          <w:sz w:val="22"/>
          <w:szCs w:val="22"/>
          <w:u w:val="single"/>
        </w:rPr>
        <w:t xml:space="preserve"> de conformidad con el artículo 58 de la Ley de Transparencia y Acceso a la Información Pública del Estado de México y Municipios, los servidores públicos habilitados serán designados por el titular del sujeto obligado a propuesta del responsable de la unidad de transparencia </w:t>
      </w:r>
      <w:r w:rsidRPr="009347F0">
        <w:rPr>
          <w:rFonts w:ascii="Palatino Linotype" w:eastAsia="Palatino Linotype" w:hAnsi="Palatino Linotype" w:cs="Palatino Linotype"/>
          <w:i/>
          <w:sz w:val="22"/>
          <w:szCs w:val="22"/>
        </w:rPr>
        <w:t xml:space="preserve">y </w:t>
      </w:r>
      <w:r w:rsidRPr="009347F0">
        <w:rPr>
          <w:rFonts w:ascii="Palatino Linotype" w:eastAsia="Palatino Linotype" w:hAnsi="Palatino Linotype" w:cs="Palatino Linotype"/>
          <w:b/>
          <w:i/>
          <w:sz w:val="22"/>
          <w:szCs w:val="22"/>
          <w:u w:val="single"/>
        </w:rPr>
        <w:t xml:space="preserve">por lo que hace a: "quien integra su comité de transparencia" se adjunta la Acta de la Primera Sesión Ordinaria de dicho Órgano colegiado, documento en el que podrá encontrar respuesta a su solicitud de información pública. </w:t>
      </w:r>
      <w:r w:rsidRPr="009347F0">
        <w:rPr>
          <w:rFonts w:ascii="Palatino Linotype" w:eastAsia="Palatino Linotype" w:hAnsi="Palatino Linotype" w:cs="Palatino Linotype"/>
          <w:i/>
          <w:sz w:val="22"/>
          <w:szCs w:val="22"/>
        </w:rPr>
        <w:t>Finalmente, se le comunica que, en caso de inconformidad a la respuesta dada a s</w:t>
      </w:r>
      <w:r>
        <w:rPr>
          <w:rFonts w:ascii="Palatino Linotype" w:eastAsia="Palatino Linotype" w:hAnsi="Palatino Linotype" w:cs="Palatino Linotype"/>
          <w:i/>
          <w:sz w:val="22"/>
          <w:szCs w:val="22"/>
        </w:rPr>
        <w:t>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rsidR="00F8105A" w:rsidRDefault="008221A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F8105A" w:rsidRDefault="008221A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 MARIAMNEÈ VEGA BLANCARTE " (Sic) (Énfasis añadido)</w:t>
      </w:r>
    </w:p>
    <w:p w:rsidR="00F8105A" w:rsidRDefault="008221A6">
      <w:pPr>
        <w:spacing w:before="240" w:after="240"/>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F8105A" w:rsidRDefault="008221A6">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 xml:space="preserve">ListadoNomina1eraEne22.pdf”: </w:t>
      </w:r>
      <w:r>
        <w:rPr>
          <w:rFonts w:ascii="Palatino Linotype" w:eastAsia="Palatino Linotype" w:hAnsi="Palatino Linotype" w:cs="Palatino Linotype"/>
          <w:sz w:val="22"/>
          <w:szCs w:val="22"/>
        </w:rPr>
        <w:t xml:space="preserve">Documento de veintiséis fojas en el que se advierte la nómina general de la primera quincena de enero de 2022. </w:t>
      </w:r>
    </w:p>
    <w:p w:rsidR="00F8105A" w:rsidRDefault="008221A6">
      <w:pPr>
        <w:spacing w:before="240" w:after="240" w:line="360" w:lineRule="auto"/>
        <w:ind w:right="902"/>
        <w:rPr>
          <w:rFonts w:ascii="Palatino Linotype" w:eastAsia="Palatino Linotype" w:hAnsi="Palatino Linotype" w:cs="Palatino Linotype"/>
          <w:sz w:val="22"/>
          <w:szCs w:val="22"/>
        </w:rPr>
      </w:pPr>
      <w:r>
        <w:object w:dxaOrig="9990" w:dyaOrig="7035">
          <v:shape id="_x0000_i1027" type="#_x0000_t75" style="width:499.5pt;height:351.75pt" o:ole="">
            <v:imagedata r:id="rId12" o:title=""/>
          </v:shape>
          <o:OLEObject Type="Embed" ProgID="PBrush" ShapeID="_x0000_i1027" DrawAspect="Content" ObjectID="_1718632356" r:id="rId13"/>
        </w:object>
      </w:r>
    </w:p>
    <w:p w:rsidR="00F8105A" w:rsidRDefault="008221A6">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“Acta de la 1a Sesión Ordinaria del CT 2022.pdf”: </w:t>
      </w:r>
      <w:r>
        <w:rPr>
          <w:rFonts w:ascii="Palatino Linotype" w:eastAsia="Palatino Linotype" w:hAnsi="Palatino Linotype" w:cs="Palatino Linotype"/>
          <w:sz w:val="22"/>
          <w:szCs w:val="22"/>
        </w:rPr>
        <w:t>Consiste en el Acta de la Primera Sesión Ordinaria, celebrada el 2 de febrero de dos mil veintidós, mediante la cual se designó a los miembros que integran el Comité de Transparencia 2022-2024.</w:t>
      </w:r>
    </w:p>
    <w:p w:rsidR="00F8105A" w:rsidRDefault="008221A6">
      <w:pPr>
        <w:spacing w:before="240" w:after="240" w:line="360" w:lineRule="auto"/>
        <w:ind w:right="902"/>
        <w:jc w:val="center"/>
        <w:rPr>
          <w:rFonts w:ascii="Palatino Linotype" w:eastAsia="Palatino Linotype" w:hAnsi="Palatino Linotype" w:cs="Palatino Linotype"/>
          <w:sz w:val="22"/>
          <w:szCs w:val="22"/>
        </w:rPr>
      </w:pPr>
      <w:r>
        <w:object w:dxaOrig="5235" w:dyaOrig="7680">
          <v:shape id="_x0000_i1028" type="#_x0000_t75" style="width:261.75pt;height:383.25pt" o:ole="">
            <v:imagedata r:id="rId14" o:title=""/>
          </v:shape>
          <o:OLEObject Type="Embed" ProgID="PBrush" ShapeID="_x0000_i1028" DrawAspect="Content" ObjectID="_1718632357" r:id="rId15"/>
        </w:object>
      </w:r>
    </w:p>
    <w:p w:rsidR="00F8105A" w:rsidRDefault="008221A6">
      <w:pPr>
        <w:spacing w:before="240" w:after="240" w:line="360" w:lineRule="auto"/>
        <w:ind w:left="567" w:right="902"/>
        <w:jc w:val="center"/>
        <w:rPr>
          <w:rFonts w:ascii="Palatino Linotype" w:eastAsia="Palatino Linotype" w:hAnsi="Palatino Linotype" w:cs="Palatino Linotype"/>
          <w:b/>
          <w:i/>
          <w:sz w:val="22"/>
          <w:szCs w:val="22"/>
        </w:rPr>
      </w:pPr>
      <w:r>
        <w:object w:dxaOrig="7005" w:dyaOrig="7380">
          <v:shape id="_x0000_i1029" type="#_x0000_t75" style="width:350.25pt;height:369pt" o:ole="">
            <v:imagedata r:id="rId16" o:title=""/>
          </v:shape>
          <o:OLEObject Type="Embed" ProgID="PBrush" ShapeID="_x0000_i1029" DrawAspect="Content" ObjectID="_1718632358" r:id="rId17"/>
        </w:object>
      </w:r>
    </w:p>
    <w:p w:rsidR="00F8105A" w:rsidRDefault="008221A6">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“CURRICULUMS.pdf”: </w:t>
      </w:r>
      <w:r>
        <w:rPr>
          <w:rFonts w:ascii="Palatino Linotype" w:eastAsia="Palatino Linotype" w:hAnsi="Palatino Linotype" w:cs="Palatino Linotype"/>
          <w:sz w:val="22"/>
          <w:szCs w:val="22"/>
        </w:rPr>
        <w:t>Documento de trece fojas que contiene las fichas curriculares de los Servidores Públicos adscritos al Organismo Público Descentralizado para la Prestación de los Servicios de Agua Potable, Alcantarillado y Saneamiento del Municipio de Atizapán de Zaragoza.</w:t>
      </w:r>
    </w:p>
    <w:p w:rsidR="00F8105A" w:rsidRDefault="008221A6">
      <w:pPr>
        <w:spacing w:before="240" w:after="240" w:line="360" w:lineRule="auto"/>
        <w:ind w:right="49"/>
        <w:jc w:val="both"/>
        <w:rPr>
          <w:rFonts w:ascii="Palatino Linotype" w:eastAsia="Palatino Linotype" w:hAnsi="Palatino Linotype" w:cs="Palatino Linotype"/>
          <w:b/>
        </w:rPr>
      </w:pPr>
      <w:r>
        <w:object w:dxaOrig="8670" w:dyaOrig="10305">
          <v:shape id="_x0000_i1030" type="#_x0000_t75" style="width:433.5pt;height:515.25pt" o:ole="">
            <v:imagedata r:id="rId18" o:title=""/>
          </v:shape>
          <o:OLEObject Type="Embed" ProgID="PBrush" ShapeID="_x0000_i1030" DrawAspect="Content" ObjectID="_1718632359" r:id="rId19"/>
        </w:object>
      </w:r>
    </w:p>
    <w:p w:rsidR="00F8105A" w:rsidRDefault="009347F0">
      <w:pPr>
        <w:spacing w:before="240" w:after="240" w:line="360" w:lineRule="auto"/>
        <w:ind w:right="49"/>
        <w:jc w:val="both"/>
        <w:rPr>
          <w:rFonts w:ascii="Palatino Linotype" w:eastAsia="Palatino Linotype" w:hAnsi="Palatino Linotype" w:cs="Palatino Linotype"/>
        </w:rPr>
      </w:pPr>
      <w:r w:rsidRPr="009347F0">
        <w:rPr>
          <w:rFonts w:ascii="Palatino Linotype" w:eastAsia="Palatino Linotype" w:hAnsi="Palatino Linotype" w:cs="Palatino Linotype"/>
          <w:b/>
        </w:rPr>
        <w:lastRenderedPageBreak/>
        <w:t>4. Interposición</w:t>
      </w:r>
      <w:r w:rsidR="008221A6">
        <w:rPr>
          <w:rFonts w:ascii="Palatino Linotype" w:eastAsia="Palatino Linotype" w:hAnsi="Palatino Linotype" w:cs="Palatino Linotype"/>
          <w:b/>
        </w:rPr>
        <w:t xml:space="preserve"> del recurso de revisión. </w:t>
      </w:r>
      <w:r w:rsidR="008221A6">
        <w:rPr>
          <w:rFonts w:ascii="Palatino Linotype" w:eastAsia="Palatino Linotype" w:hAnsi="Palatino Linotype" w:cs="Palatino Linotype"/>
        </w:rPr>
        <w:t xml:space="preserve">Inconforme con los términos de la respuesta emitida por parte del Sujeto Obligado, el </w:t>
      </w:r>
      <w:r w:rsidR="008221A6">
        <w:rPr>
          <w:rFonts w:ascii="Palatino Linotype" w:eastAsia="Palatino Linotype" w:hAnsi="Palatino Linotype" w:cs="Palatino Linotype"/>
          <w:b/>
        </w:rPr>
        <w:t>tres de marzo de dos mil veintidós,</w:t>
      </w:r>
      <w:r w:rsidR="008221A6">
        <w:rPr>
          <w:rFonts w:ascii="Palatino Linotype" w:eastAsia="Palatino Linotype" w:hAnsi="Palatino Linotype" w:cs="Palatino Linotype"/>
        </w:rPr>
        <w:t xml:space="preserve"> </w:t>
      </w:r>
      <w:r w:rsidR="008221A6">
        <w:rPr>
          <w:rFonts w:ascii="Palatino Linotype" w:eastAsia="Palatino Linotype" w:hAnsi="Palatino Linotype" w:cs="Palatino Linotype"/>
          <w:b/>
        </w:rPr>
        <w:t>el Recurrente</w:t>
      </w:r>
      <w:r w:rsidR="008221A6">
        <w:rPr>
          <w:rFonts w:ascii="Palatino Linotype" w:eastAsia="Palatino Linotype" w:hAnsi="Palatino Linotype" w:cs="Palatino Linotype"/>
        </w:rPr>
        <w:t xml:space="preserve"> interpuso el recurso de revisión a través de </w:t>
      </w:r>
      <w:r w:rsidR="008221A6">
        <w:rPr>
          <w:rFonts w:ascii="Palatino Linotype" w:eastAsia="Palatino Linotype" w:hAnsi="Palatino Linotype" w:cs="Palatino Linotype"/>
          <w:b/>
        </w:rPr>
        <w:t xml:space="preserve">SAIMEX, </w:t>
      </w:r>
      <w:r w:rsidR="008221A6">
        <w:rPr>
          <w:rFonts w:ascii="Palatino Linotype" w:eastAsia="Palatino Linotype" w:hAnsi="Palatino Linotype" w:cs="Palatino Linotype"/>
        </w:rPr>
        <w:t>manifestándose de la siguiente manera:</w:t>
      </w:r>
    </w:p>
    <w:p w:rsidR="00F8105A" w:rsidRDefault="008221A6">
      <w:pPr>
        <w:numPr>
          <w:ilvl w:val="0"/>
          <w:numId w:val="2"/>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rsidR="00F8105A" w:rsidRDefault="008221A6">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ME ENTREGA INCOMPLETA LA INFORMACION SOLICITADA” (Sic)</w:t>
      </w:r>
    </w:p>
    <w:p w:rsidR="00F8105A" w:rsidRDefault="00F8105A">
      <w:pPr>
        <w:pBdr>
          <w:top w:val="nil"/>
          <w:left w:val="nil"/>
          <w:bottom w:val="nil"/>
          <w:right w:val="nil"/>
          <w:between w:val="nil"/>
        </w:pBdr>
        <w:tabs>
          <w:tab w:val="left" w:pos="567"/>
        </w:tabs>
        <w:ind w:right="1041"/>
        <w:jc w:val="both"/>
        <w:rPr>
          <w:rFonts w:ascii="Palatino Linotype" w:eastAsia="Palatino Linotype" w:hAnsi="Palatino Linotype" w:cs="Palatino Linotype"/>
          <w:b/>
          <w:color w:val="000000"/>
        </w:rPr>
      </w:pPr>
    </w:p>
    <w:p w:rsidR="00F8105A" w:rsidRDefault="008221A6">
      <w:pPr>
        <w:numPr>
          <w:ilvl w:val="0"/>
          <w:numId w:val="2"/>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rsidR="00F8105A" w:rsidRDefault="00F8105A">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rsidR="00F8105A" w:rsidRDefault="008221A6">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NOMIA QUE ME </w:t>
      </w:r>
      <w:proofErr w:type="spellStart"/>
      <w:r>
        <w:rPr>
          <w:rFonts w:ascii="Palatino Linotype" w:eastAsia="Palatino Linotype" w:hAnsi="Palatino Linotype" w:cs="Palatino Linotype"/>
          <w:i/>
          <w:color w:val="000000"/>
          <w:sz w:val="22"/>
          <w:szCs w:val="22"/>
        </w:rPr>
        <w:t>ME</w:t>
      </w:r>
      <w:proofErr w:type="spellEnd"/>
      <w:r>
        <w:rPr>
          <w:rFonts w:ascii="Palatino Linotype" w:eastAsia="Palatino Linotype" w:hAnsi="Palatino Linotype" w:cs="Palatino Linotype"/>
          <w:i/>
          <w:color w:val="000000"/>
          <w:sz w:val="22"/>
          <w:szCs w:val="22"/>
        </w:rPr>
        <w:t xml:space="preserve"> ENCIA NO ES MUY CLARA Y SOLICITE EL ACTA DONDE ESTEN APROBADOS SUS SERVIDORES PUBLICOS HABILITADOS Y NO SE ME ENVIO ESA ACTA” (Sic)</w:t>
      </w:r>
    </w:p>
    <w:p w:rsidR="00F8105A" w:rsidRDefault="009347F0">
      <w:pPr>
        <w:spacing w:before="240" w:after="240" w:line="360" w:lineRule="auto"/>
        <w:jc w:val="both"/>
        <w:rPr>
          <w:rFonts w:ascii="Palatino Linotype" w:eastAsia="Palatino Linotype" w:hAnsi="Palatino Linotype" w:cs="Palatino Linotype"/>
        </w:rPr>
      </w:pPr>
      <w:r w:rsidRPr="009347F0">
        <w:rPr>
          <w:rFonts w:ascii="Palatino Linotype" w:eastAsia="Palatino Linotype" w:hAnsi="Palatino Linotype" w:cs="Palatino Linotype"/>
          <w:b/>
        </w:rPr>
        <w:t>5</w:t>
      </w:r>
      <w:r w:rsidR="008221A6" w:rsidRPr="009347F0">
        <w:rPr>
          <w:rFonts w:ascii="Palatino Linotype" w:eastAsia="Palatino Linotype" w:hAnsi="Palatino Linotype" w:cs="Palatino Linotype"/>
          <w:b/>
        </w:rPr>
        <w:t>. Turno</w:t>
      </w:r>
      <w:r w:rsidR="008221A6">
        <w:rPr>
          <w:rFonts w:ascii="Palatino Linotype" w:eastAsia="Palatino Linotype" w:hAnsi="Palatino Linotype" w:cs="Palatino Linotype"/>
          <w:b/>
        </w:rPr>
        <w:t xml:space="preserve">. </w:t>
      </w:r>
      <w:r w:rsidR="008221A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008221A6">
        <w:rPr>
          <w:rFonts w:ascii="Palatino Linotype" w:eastAsia="Palatino Linotype" w:hAnsi="Palatino Linotype" w:cs="Palatino Linotype"/>
          <w:b/>
        </w:rPr>
        <w:t xml:space="preserve"> </w:t>
      </w:r>
      <w:r w:rsidR="008221A6">
        <w:rPr>
          <w:rFonts w:ascii="Palatino Linotype" w:eastAsia="Palatino Linotype" w:hAnsi="Palatino Linotype" w:cs="Palatino Linotype"/>
        </w:rPr>
        <w:t>de</w:t>
      </w:r>
      <w:r w:rsidR="008221A6">
        <w:rPr>
          <w:rFonts w:ascii="Palatino Linotype" w:eastAsia="Palatino Linotype" w:hAnsi="Palatino Linotype" w:cs="Palatino Linotype"/>
          <w:b/>
        </w:rPr>
        <w:t xml:space="preserve"> </w:t>
      </w:r>
      <w:r w:rsidR="008221A6">
        <w:rPr>
          <w:rFonts w:ascii="Palatino Linotype" w:eastAsia="Palatino Linotype" w:hAnsi="Palatino Linotype" w:cs="Palatino Linotype"/>
        </w:rPr>
        <w:t xml:space="preserve">Transparencia, Acceso a la Información Pública y Protección de Datos Personales del Estado de México y Municipios, a la </w:t>
      </w:r>
      <w:r w:rsidR="008221A6">
        <w:rPr>
          <w:rFonts w:ascii="Palatino Linotype" w:eastAsia="Palatino Linotype" w:hAnsi="Palatino Linotype" w:cs="Palatino Linotype"/>
          <w:b/>
        </w:rPr>
        <w:t>Comisionada Guadalupe Ramírez Peña</w:t>
      </w:r>
      <w:r w:rsidR="008221A6">
        <w:rPr>
          <w:rFonts w:ascii="Palatino Linotype" w:eastAsia="Palatino Linotype" w:hAnsi="Palatino Linotype" w:cs="Palatino Linotype"/>
        </w:rPr>
        <w:t xml:space="preserve">, a efecto de que analizara sobre su admisión o su </w:t>
      </w:r>
      <w:proofErr w:type="spellStart"/>
      <w:r w:rsidR="008221A6">
        <w:rPr>
          <w:rFonts w:ascii="Palatino Linotype" w:eastAsia="Palatino Linotype" w:hAnsi="Palatino Linotype" w:cs="Palatino Linotype"/>
        </w:rPr>
        <w:t>desechamiento</w:t>
      </w:r>
      <w:proofErr w:type="spellEnd"/>
      <w:r w:rsidR="008221A6">
        <w:rPr>
          <w:rFonts w:ascii="Palatino Linotype" w:eastAsia="Palatino Linotype" w:hAnsi="Palatino Linotype" w:cs="Palatino Linotype"/>
        </w:rPr>
        <w:t>.</w:t>
      </w:r>
    </w:p>
    <w:p w:rsidR="00F8105A" w:rsidRDefault="009347F0">
      <w:pPr>
        <w:spacing w:before="240" w:after="240" w:line="360" w:lineRule="auto"/>
        <w:jc w:val="both"/>
        <w:rPr>
          <w:rFonts w:ascii="Palatino Linotype" w:eastAsia="Palatino Linotype" w:hAnsi="Palatino Linotype" w:cs="Palatino Linotype"/>
        </w:rPr>
      </w:pPr>
      <w:r w:rsidRPr="009347F0">
        <w:rPr>
          <w:rFonts w:ascii="Palatino Linotype" w:eastAsia="Palatino Linotype" w:hAnsi="Palatino Linotype" w:cs="Palatino Linotype"/>
          <w:b/>
        </w:rPr>
        <w:t>6</w:t>
      </w:r>
      <w:r w:rsidR="008221A6" w:rsidRPr="009347F0">
        <w:rPr>
          <w:rFonts w:ascii="Palatino Linotype" w:eastAsia="Palatino Linotype" w:hAnsi="Palatino Linotype" w:cs="Palatino Linotype"/>
          <w:b/>
        </w:rPr>
        <w:t>.</w:t>
      </w:r>
      <w:r w:rsidR="008221A6" w:rsidRPr="009347F0">
        <w:rPr>
          <w:rFonts w:ascii="Palatino Linotype" w:eastAsia="Palatino Linotype" w:hAnsi="Palatino Linotype" w:cs="Palatino Linotype"/>
          <w:b/>
          <w:i/>
        </w:rPr>
        <w:t xml:space="preserve"> </w:t>
      </w:r>
      <w:r w:rsidR="008221A6">
        <w:rPr>
          <w:rFonts w:ascii="Palatino Linotype" w:eastAsia="Palatino Linotype" w:hAnsi="Palatino Linotype" w:cs="Palatino Linotype"/>
          <w:b/>
        </w:rPr>
        <w:t>Admisión del Recurso de revisión.</w:t>
      </w:r>
      <w:r w:rsidR="008221A6">
        <w:rPr>
          <w:rFonts w:ascii="Palatino Linotype" w:eastAsia="Palatino Linotype" w:hAnsi="Palatino Linotype" w:cs="Palatino Linotype"/>
          <w:sz w:val="28"/>
          <w:szCs w:val="28"/>
        </w:rPr>
        <w:t xml:space="preserve"> </w:t>
      </w:r>
      <w:r w:rsidR="008221A6">
        <w:rPr>
          <w:rFonts w:ascii="Palatino Linotype" w:eastAsia="Palatino Linotype" w:hAnsi="Palatino Linotype" w:cs="Palatino Linotype"/>
        </w:rPr>
        <w:t>Con fecha</w:t>
      </w:r>
      <w:r w:rsidR="008221A6">
        <w:rPr>
          <w:rFonts w:ascii="Palatino Linotype" w:eastAsia="Palatino Linotype" w:hAnsi="Palatino Linotype" w:cs="Palatino Linotype"/>
          <w:b/>
        </w:rPr>
        <w:t xml:space="preserve"> ocho de marzo de dos mil veintidós, </w:t>
      </w:r>
      <w:r w:rsidR="008221A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sidR="008221A6">
        <w:rPr>
          <w:rFonts w:ascii="Palatino Linotype" w:eastAsia="Palatino Linotype" w:hAnsi="Palatino Linotype" w:cs="Palatino Linotype"/>
        </w:rPr>
        <w:lastRenderedPageBreak/>
        <w:t>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F8105A" w:rsidRDefault="009347F0">
      <w:pPr>
        <w:spacing w:before="240" w:after="240" w:line="360" w:lineRule="auto"/>
        <w:ind w:right="49"/>
        <w:jc w:val="both"/>
        <w:rPr>
          <w:rFonts w:ascii="Palatino Linotype" w:eastAsia="Palatino Linotype" w:hAnsi="Palatino Linotype" w:cs="Palatino Linotype"/>
        </w:rPr>
      </w:pPr>
      <w:r w:rsidRPr="009347F0">
        <w:rPr>
          <w:rFonts w:ascii="Palatino Linotype" w:eastAsia="Palatino Linotype" w:hAnsi="Palatino Linotype" w:cs="Palatino Linotype"/>
          <w:b/>
        </w:rPr>
        <w:t>7</w:t>
      </w:r>
      <w:r w:rsidR="008221A6" w:rsidRPr="009347F0">
        <w:rPr>
          <w:rFonts w:ascii="Palatino Linotype" w:eastAsia="Palatino Linotype" w:hAnsi="Palatino Linotype" w:cs="Palatino Linotype"/>
          <w:b/>
        </w:rPr>
        <w:t>. Manifestaciones</w:t>
      </w:r>
      <w:r w:rsidR="008221A6">
        <w:rPr>
          <w:rFonts w:ascii="Palatino Linotype" w:eastAsia="Palatino Linotype" w:hAnsi="Palatino Linotype" w:cs="Palatino Linotype"/>
        </w:rPr>
        <w:t>.</w:t>
      </w:r>
      <w:r w:rsidR="008221A6">
        <w:rPr>
          <w:rFonts w:ascii="Palatino Linotype" w:eastAsia="Palatino Linotype" w:hAnsi="Palatino Linotype" w:cs="Palatino Linotype"/>
          <w:sz w:val="28"/>
          <w:szCs w:val="28"/>
        </w:rPr>
        <w:t xml:space="preserve"> </w:t>
      </w:r>
      <w:r w:rsidR="008221A6">
        <w:rPr>
          <w:rFonts w:ascii="Palatino Linotype" w:eastAsia="Palatino Linotype" w:hAnsi="Palatino Linotype" w:cs="Palatino Linotype"/>
        </w:rPr>
        <w:t xml:space="preserve">De las constancias que obran agregadas en el expediente electrónico al rubro citado, se tiene que el </w:t>
      </w:r>
      <w:r w:rsidR="008221A6">
        <w:rPr>
          <w:rFonts w:ascii="Palatino Linotype" w:eastAsia="Palatino Linotype" w:hAnsi="Palatino Linotype" w:cs="Palatino Linotype"/>
          <w:b/>
        </w:rPr>
        <w:t>Sujeto Obligado</w:t>
      </w:r>
      <w:r w:rsidR="008221A6">
        <w:rPr>
          <w:rFonts w:ascii="Palatino Linotype" w:eastAsia="Palatino Linotype" w:hAnsi="Palatino Linotype" w:cs="Palatino Linotype"/>
        </w:rPr>
        <w:t xml:space="preserve"> rindió su informe justificado en fecha </w:t>
      </w:r>
      <w:r w:rsidR="008221A6">
        <w:rPr>
          <w:rFonts w:ascii="Palatino Linotype" w:eastAsia="Palatino Linotype" w:hAnsi="Palatino Linotype" w:cs="Palatino Linotype"/>
          <w:b/>
        </w:rPr>
        <w:t>diez de marzo de dos mil veintidós</w:t>
      </w:r>
      <w:r w:rsidR="008221A6">
        <w:rPr>
          <w:rFonts w:ascii="Palatino Linotype" w:eastAsia="Palatino Linotype" w:hAnsi="Palatino Linotype" w:cs="Palatino Linotype"/>
        </w:rPr>
        <w:t xml:space="preserve">, con el archivo electrónico </w:t>
      </w:r>
      <w:r w:rsidR="008221A6">
        <w:rPr>
          <w:rFonts w:ascii="Palatino Linotype" w:eastAsia="Palatino Linotype" w:hAnsi="Palatino Linotype" w:cs="Palatino Linotype"/>
          <w:b/>
          <w:i/>
        </w:rPr>
        <w:t>“17.pdf”</w:t>
      </w:r>
      <w:r w:rsidR="008221A6">
        <w:rPr>
          <w:rFonts w:ascii="Palatino Linotype" w:eastAsia="Palatino Linotype" w:hAnsi="Palatino Linotype" w:cs="Palatino Linotype"/>
        </w:rPr>
        <w:t>, mediante el cual, la Subdirectora de Administración y Finanzas ratificó su respuesta inicial.</w:t>
      </w:r>
    </w:p>
    <w:p w:rsidR="00F8105A" w:rsidRDefault="008221A6">
      <w:pPr>
        <w:spacing w:before="240" w:after="240" w:line="360" w:lineRule="auto"/>
        <w:ind w:right="49"/>
        <w:jc w:val="center"/>
        <w:rPr>
          <w:rFonts w:ascii="Palatino Linotype" w:eastAsia="Palatino Linotype" w:hAnsi="Palatino Linotype" w:cs="Palatino Linotype"/>
        </w:rPr>
      </w:pPr>
      <w:r>
        <w:rPr>
          <w:noProof/>
          <w:lang w:val="es-MX"/>
        </w:rPr>
        <w:lastRenderedPageBreak/>
        <w:drawing>
          <wp:inline distT="0" distB="0" distL="114300" distR="114300">
            <wp:extent cx="3790950" cy="4448175"/>
            <wp:effectExtent l="0" t="0" r="0" b="0"/>
            <wp:docPr id="1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3790950" cy="4448175"/>
                    </a:xfrm>
                    <a:prstGeom prst="rect">
                      <a:avLst/>
                    </a:prstGeom>
                    <a:ln/>
                  </pic:spPr>
                </pic:pic>
              </a:graphicData>
            </a:graphic>
          </wp:inline>
        </w:drawing>
      </w:r>
    </w:p>
    <w:p w:rsidR="00F8105A" w:rsidRDefault="008221A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mencionar que este archivo se puso a la vista del particular mediante acuerdo emitido por la Comisionada Ponente, el </w:t>
      </w:r>
      <w:r>
        <w:rPr>
          <w:rFonts w:ascii="Palatino Linotype" w:eastAsia="Palatino Linotype" w:hAnsi="Palatino Linotype" w:cs="Palatino Linotype"/>
          <w:b/>
        </w:rPr>
        <w:t xml:space="preserve">veintisiete de mayo de dos mil veintidós, </w:t>
      </w:r>
      <w:r>
        <w:rPr>
          <w:rFonts w:ascii="Palatino Linotype" w:eastAsia="Palatino Linotype" w:hAnsi="Palatino Linotype" w:cs="Palatino Linotype"/>
        </w:rPr>
        <w:t>asimismo por cuanto hace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se tiene que fue omiso en presentar manifestaciones, pruebas y/o alegatos en la etapa procedimental previamente </w:t>
      </w:r>
      <w:r>
        <w:rPr>
          <w:rFonts w:ascii="Palatino Linotype" w:eastAsia="Palatino Linotype" w:hAnsi="Palatino Linotype" w:cs="Palatino Linotype"/>
        </w:rPr>
        <w:lastRenderedPageBreak/>
        <w:t xml:space="preserve">reconocida en nuestra Ley de Transparencia, por lo cual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w:t>
      </w:r>
    </w:p>
    <w:p w:rsidR="00F8105A" w:rsidRDefault="008221A6" w:rsidP="009347F0">
      <w:pPr>
        <w:spacing w:before="240" w:after="240" w:line="360" w:lineRule="auto"/>
        <w:ind w:right="49"/>
        <w:jc w:val="both"/>
      </w:pPr>
      <w:r>
        <w:object w:dxaOrig="8835" w:dyaOrig="2070">
          <v:shape id="_x0000_i1031" type="#_x0000_t75" style="width:442.5pt;height:103.5pt" o:ole="">
            <v:imagedata r:id="rId21" o:title=""/>
          </v:shape>
          <o:OLEObject Type="Embed" ProgID="PBrush" ShapeID="_x0000_i1031" DrawAspect="Content" ObjectID="_1718632360" r:id="rId22"/>
        </w:object>
      </w:r>
    </w:p>
    <w:p w:rsidR="00F8105A" w:rsidRDefault="009347F0">
      <w:pPr>
        <w:spacing w:before="240" w:after="240" w:line="360" w:lineRule="auto"/>
        <w:jc w:val="both"/>
        <w:rPr>
          <w:rFonts w:ascii="Palatino Linotype" w:eastAsia="Palatino Linotype" w:hAnsi="Palatino Linotype" w:cs="Palatino Linotype"/>
        </w:rPr>
      </w:pPr>
      <w:r w:rsidRPr="009347F0">
        <w:rPr>
          <w:rFonts w:ascii="Palatino Linotype" w:eastAsia="Palatino Linotype" w:hAnsi="Palatino Linotype" w:cs="Palatino Linotype"/>
          <w:b/>
        </w:rPr>
        <w:t>8</w:t>
      </w:r>
      <w:r w:rsidR="008221A6" w:rsidRPr="009347F0">
        <w:rPr>
          <w:rFonts w:ascii="Palatino Linotype" w:eastAsia="Palatino Linotype" w:hAnsi="Palatino Linotype" w:cs="Palatino Linotype"/>
          <w:b/>
        </w:rPr>
        <w:t xml:space="preserve">.- </w:t>
      </w:r>
      <w:r w:rsidR="008221A6">
        <w:rPr>
          <w:rFonts w:ascii="Palatino Linotype" w:eastAsia="Palatino Linotype" w:hAnsi="Palatino Linotype" w:cs="Palatino Linotype"/>
          <w:b/>
        </w:rPr>
        <w:t>Ampliación del plazo para emitir resolución.</w:t>
      </w:r>
      <w:r w:rsidR="008221A6">
        <w:rPr>
          <w:rFonts w:ascii="Palatino Linotype" w:eastAsia="Palatino Linotype" w:hAnsi="Palatino Linotype" w:cs="Palatino Linotype"/>
        </w:rPr>
        <w:t xml:space="preserve"> El </w:t>
      </w:r>
      <w:r w:rsidR="008221A6">
        <w:rPr>
          <w:rFonts w:ascii="Palatino Linotype" w:eastAsia="Palatino Linotype" w:hAnsi="Palatino Linotype" w:cs="Palatino Linotype"/>
          <w:b/>
        </w:rPr>
        <w:t>veintisiete de mayo de dos mil veintidós</w:t>
      </w:r>
      <w:r w:rsidR="008221A6">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F8105A" w:rsidRDefault="009347F0">
      <w:pPr>
        <w:widowControl w:val="0"/>
        <w:spacing w:before="240" w:after="240" w:line="360" w:lineRule="auto"/>
        <w:jc w:val="both"/>
        <w:rPr>
          <w:rFonts w:ascii="Palatino Linotype" w:eastAsia="Palatino Linotype" w:hAnsi="Palatino Linotype" w:cs="Palatino Linotype"/>
        </w:rPr>
      </w:pPr>
      <w:r w:rsidRPr="009347F0">
        <w:rPr>
          <w:rFonts w:ascii="Palatino Linotype" w:eastAsia="Palatino Linotype" w:hAnsi="Palatino Linotype" w:cs="Palatino Linotype"/>
          <w:b/>
        </w:rPr>
        <w:t>9</w:t>
      </w:r>
      <w:r w:rsidR="008221A6" w:rsidRPr="009347F0">
        <w:rPr>
          <w:rFonts w:ascii="Palatino Linotype" w:eastAsia="Palatino Linotype" w:hAnsi="Palatino Linotype" w:cs="Palatino Linotype"/>
          <w:b/>
        </w:rPr>
        <w:t>. Cierre</w:t>
      </w:r>
      <w:r w:rsidR="008221A6">
        <w:rPr>
          <w:rFonts w:ascii="Palatino Linotype" w:eastAsia="Palatino Linotype" w:hAnsi="Palatino Linotype" w:cs="Palatino Linotype"/>
          <w:b/>
        </w:rPr>
        <w:t xml:space="preserve"> de instrucción. </w:t>
      </w:r>
      <w:r w:rsidR="008221A6">
        <w:rPr>
          <w:rFonts w:ascii="Palatino Linotype" w:eastAsia="Palatino Linotype" w:hAnsi="Palatino Linotype" w:cs="Palatino Linotype"/>
        </w:rPr>
        <w:t xml:space="preserve">Una vez transcurrido el periodo otorgado a las partes para realizar sus manifestaciones y no habiendo documentos que integrar al expediente, con </w:t>
      </w:r>
      <w:r w:rsidR="008221A6" w:rsidRPr="009347F0">
        <w:rPr>
          <w:rFonts w:ascii="Palatino Linotype" w:eastAsia="Palatino Linotype" w:hAnsi="Palatino Linotype" w:cs="Palatino Linotype"/>
        </w:rPr>
        <w:t xml:space="preserve">fecha </w:t>
      </w:r>
      <w:r w:rsidR="00AC01AF">
        <w:rPr>
          <w:rFonts w:ascii="Palatino Linotype" w:eastAsia="Palatino Linotype" w:hAnsi="Palatino Linotype" w:cs="Palatino Linotype"/>
          <w:b/>
        </w:rPr>
        <w:t>tres</w:t>
      </w:r>
      <w:r w:rsidR="008221A6" w:rsidRPr="009347F0">
        <w:rPr>
          <w:rFonts w:ascii="Palatino Linotype" w:eastAsia="Palatino Linotype" w:hAnsi="Palatino Linotype" w:cs="Palatino Linotype"/>
          <w:b/>
        </w:rPr>
        <w:t xml:space="preserve"> de junio</w:t>
      </w:r>
      <w:r w:rsidR="008221A6">
        <w:rPr>
          <w:rFonts w:ascii="Palatino Linotype" w:eastAsia="Palatino Linotype" w:hAnsi="Palatino Linotype" w:cs="Palatino Linotype"/>
          <w:b/>
        </w:rPr>
        <w:t xml:space="preserve"> de dos mil veintidós</w:t>
      </w:r>
      <w:r w:rsidR="008221A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F8105A" w:rsidRDefault="008221A6">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F8105A" w:rsidRDefault="008221A6">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w:t>
      </w:r>
      <w:r>
        <w:rPr>
          <w:rFonts w:ascii="Palatino Linotype" w:eastAsia="Palatino Linotype" w:hAnsi="Palatino Linotype" w:cs="Palatino Linotype"/>
        </w:rPr>
        <w:lastRenderedPageBreak/>
        <w:t>artículos 178 y 180 de la Ley de Transparencia y Acceso a la Información Pública del Estado de México y Municipios.</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Sujeto Obligado remitió la respuesta a la solicitud de información el día </w:t>
      </w:r>
      <w:r>
        <w:rPr>
          <w:rFonts w:ascii="Palatino Linotype" w:eastAsia="Palatino Linotype" w:hAnsi="Palatino Linotype" w:cs="Palatino Linotype"/>
          <w:b/>
        </w:rPr>
        <w:t xml:space="preserve">uno de marzo de dos mil veintidós, </w:t>
      </w:r>
      <w:r>
        <w:rPr>
          <w:rFonts w:ascii="Palatino Linotype" w:eastAsia="Palatino Linotype" w:hAnsi="Palatino Linotype" w:cs="Palatino Linotype"/>
        </w:rPr>
        <w:t xml:space="preserve">mientras que el recurso de revisión interpuesto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tres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en el que se conoció la respuesta impugnada.</w:t>
      </w:r>
    </w:p>
    <w:p w:rsidR="00F8105A" w:rsidRDefault="008221A6">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rsidR="00F8105A" w:rsidRDefault="008221A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F8105A" w:rsidRDefault="008221A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8105A" w:rsidRDefault="008221A6">
      <w:pPr>
        <w:spacing w:before="120" w:after="120"/>
        <w:ind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V. La entrega de información incompleta;”</w:t>
      </w:r>
    </w:p>
    <w:p w:rsidR="00F8105A" w:rsidRDefault="008221A6">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F8105A" w:rsidRDefault="008221A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8105A" w:rsidRDefault="008221A6">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F8105A" w:rsidRDefault="008221A6">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F8105A" w:rsidRDefault="008221A6">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F8105A" w:rsidRDefault="008221A6">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8105A" w:rsidRDefault="008221A6">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F8105A" w:rsidRDefault="008221A6">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8105A" w:rsidRDefault="008221A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F8105A" w:rsidRDefault="008221A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w:t>
      </w:r>
      <w:r>
        <w:rPr>
          <w:rFonts w:ascii="Palatino Linotype" w:eastAsia="Palatino Linotype" w:hAnsi="Palatino Linotype" w:cs="Palatino Linotype"/>
          <w:i/>
          <w:sz w:val="22"/>
          <w:szCs w:val="22"/>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8105A" w:rsidRDefault="008221A6">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F8105A" w:rsidRDefault="008221A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F8105A" w:rsidRDefault="008221A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F8105A" w:rsidRDefault="008221A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8105A" w:rsidRDefault="008221A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F8105A" w:rsidRDefault="008221A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8105A" w:rsidRDefault="008221A6">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8105A" w:rsidRDefault="008221A6">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Pr>
          <w:rFonts w:ascii="Palatino Linotype" w:eastAsia="Palatino Linotype" w:hAnsi="Palatino Linotype" w:cs="Palatino Linotype"/>
          <w:b/>
          <w:i/>
          <w:sz w:val="22"/>
          <w:szCs w:val="22"/>
        </w:rPr>
        <w:lastRenderedPageBreak/>
        <w:t>público, en los términos de las causas legítimas y estrictamente necesarias previstas por esta Ley.</w:t>
      </w:r>
    </w:p>
    <w:p w:rsidR="00F8105A" w:rsidRDefault="008221A6">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8105A" w:rsidRDefault="008221A6">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8105A" w:rsidRDefault="008221A6">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8105A" w:rsidRDefault="008221A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w:t>
      </w:r>
      <w:r>
        <w:rPr>
          <w:rFonts w:ascii="Palatino Linotype" w:eastAsia="Palatino Linotype" w:hAnsi="Palatino Linotype" w:cs="Palatino Linotype"/>
          <w:color w:val="000000"/>
        </w:rPr>
        <w:lastRenderedPageBreak/>
        <w:t xml:space="preserve">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rsidR="00F8105A" w:rsidRDefault="008221A6">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F8105A" w:rsidRDefault="008221A6">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F8105A" w:rsidRDefault="008221A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F8105A" w:rsidRDefault="008221A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w:t>
      </w:r>
      <w:r>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rsidR="00F8105A" w:rsidRDefault="008221A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8105A" w:rsidRDefault="008221A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F8105A" w:rsidRDefault="008221A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F8105A" w:rsidRDefault="008221A6">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8105A" w:rsidRDefault="008221A6">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8105A" w:rsidRDefault="008221A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8105A" w:rsidRDefault="008221A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F8105A" w:rsidRDefault="008221A6">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F8105A" w:rsidRDefault="008221A6">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F8105A" w:rsidRDefault="008221A6">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resulta relevante o beneficiosa para la sociedad y no simplemente de </w:t>
      </w:r>
      <w:r>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F8105A" w:rsidRDefault="008221A6">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Nómina de todo el personal de S.A.P.A.S.A de la primera quincena de enero </w:t>
      </w:r>
    </w:p>
    <w:p w:rsidR="00F8105A" w:rsidRDefault="008221A6">
      <w:pPr>
        <w:numPr>
          <w:ilvl w:val="0"/>
          <w:numId w:val="6"/>
        </w:numPr>
        <w:pBdr>
          <w:top w:val="nil"/>
          <w:left w:val="nil"/>
          <w:bottom w:val="nil"/>
          <w:right w:val="nil"/>
          <w:between w:val="nil"/>
        </w:pBdr>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Todos los </w:t>
      </w:r>
      <w:proofErr w:type="spellStart"/>
      <w:r>
        <w:rPr>
          <w:rFonts w:ascii="Palatino Linotype" w:eastAsia="Palatino Linotype" w:hAnsi="Palatino Linotype" w:cs="Palatino Linotype"/>
          <w:b/>
          <w:color w:val="000000"/>
          <w:sz w:val="22"/>
          <w:szCs w:val="22"/>
        </w:rPr>
        <w:t>Curriculum</w:t>
      </w:r>
      <w:proofErr w:type="spellEnd"/>
      <w:r>
        <w:rPr>
          <w:rFonts w:ascii="Palatino Linotype" w:eastAsia="Palatino Linotype" w:hAnsi="Palatino Linotype" w:cs="Palatino Linotype"/>
          <w:b/>
          <w:color w:val="000000"/>
          <w:sz w:val="22"/>
          <w:szCs w:val="22"/>
        </w:rPr>
        <w:t xml:space="preserve"> Vitae de Mandos Medios y Superiores</w:t>
      </w:r>
    </w:p>
    <w:p w:rsidR="00F8105A" w:rsidRDefault="008221A6">
      <w:pPr>
        <w:numPr>
          <w:ilvl w:val="0"/>
          <w:numId w:val="6"/>
        </w:numPr>
        <w:pBdr>
          <w:top w:val="nil"/>
          <w:left w:val="nil"/>
          <w:bottom w:val="nil"/>
          <w:right w:val="nil"/>
          <w:between w:val="nil"/>
        </w:pBdr>
        <w:spacing w:after="280"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Acta de Comité donde asignan a los Servidores Públicos Habilitados de cada área y quien integra su Comité de Transparencia.</w:t>
      </w:r>
    </w:p>
    <w:p w:rsidR="00F8105A" w:rsidRDefault="008221A6">
      <w:pPr>
        <w:spacing w:before="280" w:after="28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pronunció de la siguiente manera: </w:t>
      </w:r>
    </w:p>
    <w:p w:rsidR="00F8105A" w:rsidRDefault="008221A6">
      <w:pPr>
        <w:spacing w:before="280" w:after="28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1.-</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Respecto de los </w:t>
      </w:r>
      <w:proofErr w:type="spellStart"/>
      <w:r>
        <w:rPr>
          <w:rFonts w:ascii="Palatino Linotype" w:eastAsia="Palatino Linotype" w:hAnsi="Palatino Linotype" w:cs="Palatino Linotype"/>
          <w:b/>
        </w:rPr>
        <w:t>curriculum</w:t>
      </w:r>
      <w:proofErr w:type="spellEnd"/>
      <w:r>
        <w:rPr>
          <w:rFonts w:ascii="Palatino Linotype" w:eastAsia="Palatino Linotype" w:hAnsi="Palatino Linotype" w:cs="Palatino Linotype"/>
          <w:b/>
        </w:rPr>
        <w:t xml:space="preserve"> vitae y la nómina de la primera quincena</w:t>
      </w:r>
      <w:r>
        <w:rPr>
          <w:rFonts w:ascii="Palatino Linotype" w:eastAsia="Palatino Linotype" w:hAnsi="Palatino Linotype" w:cs="Palatino Linotype"/>
        </w:rPr>
        <w:t xml:space="preserve">, el Sujeto Obligado, por conducto de la </w:t>
      </w:r>
      <w:r>
        <w:rPr>
          <w:rFonts w:ascii="Palatino Linotype" w:eastAsia="Palatino Linotype" w:hAnsi="Palatino Linotype" w:cs="Palatino Linotype"/>
          <w:b/>
        </w:rPr>
        <w:t>Subdirección de Administración</w:t>
      </w:r>
      <w:r>
        <w:rPr>
          <w:rFonts w:ascii="Palatino Linotype" w:eastAsia="Palatino Linotype" w:hAnsi="Palatino Linotype" w:cs="Palatino Linotype"/>
        </w:rPr>
        <w:t xml:space="preserve"> y Finanzas, adjuntó los archivos denominados: </w:t>
      </w:r>
      <w:r>
        <w:rPr>
          <w:rFonts w:ascii="Palatino Linotype" w:eastAsia="Palatino Linotype" w:hAnsi="Palatino Linotype" w:cs="Palatino Linotype"/>
          <w:b/>
          <w:i/>
        </w:rPr>
        <w:t xml:space="preserve">"ListadoNomina1eraEne22.pdf" </w:t>
      </w:r>
      <w:r>
        <w:rPr>
          <w:rFonts w:ascii="Palatino Linotype" w:eastAsia="Palatino Linotype" w:hAnsi="Palatino Linotype" w:cs="Palatino Linotype"/>
        </w:rPr>
        <w:t xml:space="preserve">y </w:t>
      </w:r>
      <w:r>
        <w:rPr>
          <w:rFonts w:ascii="Palatino Linotype" w:eastAsia="Palatino Linotype" w:hAnsi="Palatino Linotype" w:cs="Palatino Linotype"/>
          <w:b/>
          <w:i/>
        </w:rPr>
        <w:t>"CURRICULUMS.pdf”</w:t>
      </w:r>
      <w:r>
        <w:rPr>
          <w:rFonts w:ascii="Palatino Linotype" w:eastAsia="Palatino Linotype" w:hAnsi="Palatino Linotype" w:cs="Palatino Linotype"/>
        </w:rPr>
        <w:t xml:space="preserve">, documentos en los que obran los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 los servidores </w:t>
      </w:r>
      <w:r>
        <w:rPr>
          <w:rFonts w:ascii="Palatino Linotype" w:eastAsia="Palatino Linotype" w:hAnsi="Palatino Linotype" w:cs="Palatino Linotype"/>
        </w:rPr>
        <w:lastRenderedPageBreak/>
        <w:t>públicos y la nómina general correspondiente a la primera quincena de enero de 2022.</w:t>
      </w:r>
    </w:p>
    <w:p w:rsidR="00F8105A" w:rsidRDefault="008221A6">
      <w:pPr>
        <w:spacing w:before="280" w:after="28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2.- En lo tocante al acta de comité en la que se asignan a los servidores públicos habilitados</w:t>
      </w:r>
      <w:r>
        <w:rPr>
          <w:rFonts w:ascii="Palatino Linotype" w:eastAsia="Palatino Linotype" w:hAnsi="Palatino Linotype" w:cs="Palatino Linotype"/>
        </w:rPr>
        <w:t>, la Titular de la Unidad de Transparencia refirió que “…</w:t>
      </w:r>
      <w:r>
        <w:rPr>
          <w:rFonts w:ascii="Palatino Linotype" w:eastAsia="Palatino Linotype" w:hAnsi="Palatino Linotype" w:cs="Palatino Linotype"/>
          <w:b/>
          <w:i/>
          <w:u w:val="single"/>
        </w:rPr>
        <w:t xml:space="preserve">no obra en los archivos de la unidad de transparencia acta de comité en donde se asigne a los servidores públicos habilitados, lo anterior es </w:t>
      </w:r>
      <w:proofErr w:type="spellStart"/>
      <w:r>
        <w:rPr>
          <w:rFonts w:ascii="Palatino Linotype" w:eastAsia="Palatino Linotype" w:hAnsi="Palatino Linotype" w:cs="Palatino Linotype"/>
          <w:b/>
          <w:i/>
          <w:u w:val="single"/>
        </w:rPr>
        <w:t>asi</w:t>
      </w:r>
      <w:proofErr w:type="spellEnd"/>
      <w:r>
        <w:rPr>
          <w:rFonts w:ascii="Palatino Linotype" w:eastAsia="Palatino Linotype" w:hAnsi="Palatino Linotype" w:cs="Palatino Linotype"/>
          <w:b/>
          <w:i/>
          <w:u w:val="single"/>
        </w:rPr>
        <w:t xml:space="preserve"> de conformidad con el artículo 58 de la Ley de Transparencia y Acceso a la Información Pública del Estado de México y Municipios, los servidores públicos habilitados serán designados por el titular del sujeto obligado a propuesta del responsable de la unidad de transparencia…”</w:t>
      </w:r>
      <w:r>
        <w:rPr>
          <w:rFonts w:ascii="Palatino Linotype" w:eastAsia="Palatino Linotype" w:hAnsi="Palatino Linotype" w:cs="Palatino Linotype"/>
          <w:i/>
        </w:rPr>
        <w:t>(Sic) (Énfasis añadido)</w:t>
      </w:r>
    </w:p>
    <w:p w:rsidR="00F8105A" w:rsidRDefault="008221A6">
      <w:pPr>
        <w:spacing w:before="280" w:after="28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3.- Finalmente sobre los integrantes del Comité de Transparencia</w:t>
      </w:r>
      <w:r>
        <w:rPr>
          <w:rFonts w:ascii="Palatino Linotype" w:eastAsia="Palatino Linotype" w:hAnsi="Palatino Linotype" w:cs="Palatino Linotype"/>
        </w:rPr>
        <w:t xml:space="preserve">, la Titular de la Unidad de Transparencia remitió el Acta de la Primera Sesión Ordinaria de dicho Órgano colegiado, documento en el que se aprecian los integrantes y cargos dentro de este. </w:t>
      </w:r>
    </w:p>
    <w:p w:rsidR="00F8105A" w:rsidRDefault="008221A6">
      <w:pPr>
        <w:spacing w:before="280" w:after="28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Una vez conocida la respuesta, el particular se inconformó por la entrega de información incompleta, expresando en sus razones o motivos de inconformidad principalmente por la falta del acta en la que se asignan a los servidores públicos </w:t>
      </w:r>
      <w:r>
        <w:rPr>
          <w:rFonts w:ascii="Palatino Linotype" w:eastAsia="Palatino Linotype" w:hAnsi="Palatino Linotype" w:cs="Palatino Linotype"/>
        </w:rPr>
        <w:lastRenderedPageBreak/>
        <w:t xml:space="preserve">habilitados y por la nómina, tal como se vislumbra en la siguiente cita: </w:t>
      </w:r>
      <w:r>
        <w:rPr>
          <w:rFonts w:ascii="Palatino Linotype" w:eastAsia="Palatino Linotype" w:hAnsi="Palatino Linotype" w:cs="Palatino Linotype"/>
          <w:i/>
        </w:rPr>
        <w:t xml:space="preserve">“LA NOMIA QUE ME </w:t>
      </w:r>
      <w:proofErr w:type="spellStart"/>
      <w:r>
        <w:rPr>
          <w:rFonts w:ascii="Palatino Linotype" w:eastAsia="Palatino Linotype" w:hAnsi="Palatino Linotype" w:cs="Palatino Linotype"/>
          <w:i/>
        </w:rPr>
        <w:t>ME</w:t>
      </w:r>
      <w:proofErr w:type="spellEnd"/>
      <w:r>
        <w:rPr>
          <w:rFonts w:ascii="Palatino Linotype" w:eastAsia="Palatino Linotype" w:hAnsi="Palatino Linotype" w:cs="Palatino Linotype"/>
          <w:i/>
        </w:rPr>
        <w:t xml:space="preserve"> ENCIA NO ES MUY CLARA Y SOLICITE EL ACTA DONDE ESTEN APROBADOS SUS SERVIDORES PUBLICOS HABILITADOS Y NO SE ME ENVIO ESA ACTA” (Sic), </w:t>
      </w:r>
      <w:r>
        <w:rPr>
          <w:rFonts w:ascii="Palatino Linotype" w:eastAsia="Palatino Linotype" w:hAnsi="Palatino Linotype" w:cs="Palatino Linotype"/>
        </w:rPr>
        <w:t>consecuentemente d</w:t>
      </w:r>
      <w:r>
        <w:rPr>
          <w:rFonts w:ascii="Palatino Linotype" w:eastAsia="Palatino Linotype" w:hAnsi="Palatino Linotype" w:cs="Palatino Linotype"/>
          <w:color w:val="000000"/>
        </w:rPr>
        <w:t xml:space="preserve">el análisis a los motivos de inconformidad se advierte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está conforme con la entrega de los </w:t>
      </w:r>
      <w:proofErr w:type="spellStart"/>
      <w:r>
        <w:rPr>
          <w:rFonts w:ascii="Palatino Linotype" w:eastAsia="Palatino Linotype" w:hAnsi="Palatino Linotype" w:cs="Palatino Linotype"/>
          <w:color w:val="000000"/>
        </w:rPr>
        <w:t>curriculum</w:t>
      </w:r>
      <w:proofErr w:type="spellEnd"/>
      <w:r>
        <w:rPr>
          <w:rFonts w:ascii="Palatino Linotype" w:eastAsia="Palatino Linotype" w:hAnsi="Palatino Linotype" w:cs="Palatino Linotype"/>
          <w:color w:val="000000"/>
        </w:rPr>
        <w:t xml:space="preserve"> vitae y el Acta de la Primera Sesión Ordinaria del Comité de Transparencia en el que obra la integración del mismo; por ello,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8105A" w:rsidRDefault="008221A6">
      <w:pPr>
        <w:pBdr>
          <w:top w:val="nil"/>
          <w:left w:val="nil"/>
          <w:bottom w:val="nil"/>
          <w:right w:val="nil"/>
          <w:between w:val="nil"/>
        </w:pBdr>
        <w:spacing w:line="276" w:lineRule="auto"/>
        <w:ind w:left="567" w:right="567"/>
        <w:jc w:val="both"/>
        <w:rPr>
          <w:color w:val="000000"/>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i/>
          <w:color w:val="000000"/>
          <w:sz w:val="22"/>
          <w:szCs w:val="22"/>
        </w:rPr>
        <w:t>REVISIÓN EN AMPARO. LOS RESOLUTIVOS NO COMBATIDOS DEBEN DECLARARSE FIRMES</w:t>
      </w:r>
      <w:r>
        <w:rPr>
          <w:rFonts w:ascii="Palatino Linotype" w:eastAsia="Palatino Linotype" w:hAnsi="Palatino Linotype" w:cs="Palatino Linotype"/>
          <w:i/>
          <w:color w:val="000000"/>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F8105A" w:rsidRDefault="00F8105A">
      <w:pPr>
        <w:spacing w:line="276" w:lineRule="auto"/>
      </w:pPr>
    </w:p>
    <w:p w:rsidR="00F8105A" w:rsidRDefault="008221A6">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 xml:space="preserve">Esto es, la parte de la solicitud sobre la que no se expresó inconformidad, debe declararse consentida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ya que no pueden producirse efectos jurídicos tendentes a revocar, confirmar o modificar la parte de la respuesta con relación a la parte de la solicitud que no fue motivo de inconformidad ya que se infiere un consentimiento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ante la falta de impugnación eficaz.</w:t>
      </w:r>
    </w:p>
    <w:p w:rsidR="00F8105A" w:rsidRDefault="00F8105A">
      <w:pPr>
        <w:spacing w:line="360" w:lineRule="auto"/>
      </w:pPr>
    </w:p>
    <w:p w:rsidR="00F8105A" w:rsidRDefault="008221A6">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rsidR="00F8105A" w:rsidRDefault="00F8105A"/>
    <w:p w:rsidR="00F8105A" w:rsidRDefault="008221A6">
      <w:pPr>
        <w:pBdr>
          <w:top w:val="nil"/>
          <w:left w:val="nil"/>
          <w:bottom w:val="nil"/>
          <w:right w:val="nil"/>
          <w:between w:val="nil"/>
        </w:pBdr>
        <w:spacing w:line="276" w:lineRule="auto"/>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ACTOS CONSENTIDOS. SON LOS QUE NO SE IMPUGNAN MEDIANTE EL RECURSO IDÓNEO</w:t>
      </w:r>
      <w:r>
        <w:rPr>
          <w:rFonts w:ascii="Palatino Linotype" w:eastAsia="Palatino Linotype" w:hAnsi="Palatino Linotype" w:cs="Palatino Linotype"/>
          <w:i/>
          <w:color w:val="000000"/>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8105A" w:rsidRDefault="008221A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el estudio se centrará en los dos puntos sobre los que el particular manifiesta su inconformidad y de resultar procedente, se ordenará la respectiva entrega de la información. </w:t>
      </w:r>
    </w:p>
    <w:p w:rsidR="00F8105A" w:rsidRDefault="008221A6">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w:t>
      </w:r>
      <w:r>
        <w:rPr>
          <w:rFonts w:ascii="Palatino Linotype" w:eastAsia="Palatino Linotype" w:hAnsi="Palatino Linotype" w:cs="Palatino Linotype"/>
        </w:rPr>
        <w:t xml:space="preserve"> </w:t>
      </w:r>
      <w:r>
        <w:rPr>
          <w:rFonts w:ascii="Palatino Linotype" w:eastAsia="Palatino Linotype" w:hAnsi="Palatino Linotype" w:cs="Palatino Linotype"/>
          <w:b/>
        </w:rPr>
        <w:t>Acta de Comité donde asignan a los Servidores Públicos Habilitados.</w:t>
      </w:r>
    </w:p>
    <w:p w:rsidR="00F8105A" w:rsidRDefault="008221A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el estudio de este punto, es preciso señalar que la Titular de la Unidad de Transparencia refirió lo siguiente “…</w:t>
      </w:r>
      <w:r>
        <w:rPr>
          <w:rFonts w:ascii="Palatino Linotype" w:eastAsia="Palatino Linotype" w:hAnsi="Palatino Linotype" w:cs="Palatino Linotype"/>
          <w:b/>
          <w:i/>
          <w:u w:val="single"/>
        </w:rPr>
        <w:t xml:space="preserve">no obra en los archivos de la unidad de transparencia acta de comité en donde se asigne a los servidores públicos habilitados, lo anterior es </w:t>
      </w:r>
      <w:proofErr w:type="spellStart"/>
      <w:r>
        <w:rPr>
          <w:rFonts w:ascii="Palatino Linotype" w:eastAsia="Palatino Linotype" w:hAnsi="Palatino Linotype" w:cs="Palatino Linotype"/>
          <w:b/>
          <w:i/>
          <w:u w:val="single"/>
        </w:rPr>
        <w:t>asi</w:t>
      </w:r>
      <w:proofErr w:type="spellEnd"/>
      <w:r>
        <w:rPr>
          <w:rFonts w:ascii="Palatino Linotype" w:eastAsia="Palatino Linotype" w:hAnsi="Palatino Linotype" w:cs="Palatino Linotype"/>
          <w:b/>
          <w:i/>
          <w:u w:val="single"/>
        </w:rPr>
        <w:t xml:space="preserve"> de conformidad con el artículo 58 de la Ley de Transparencia y Acceso a la Información Pública del Estado de México y Municipios, los servidores públicos habilitados serán designados por el titular del sujeto obligado a propuesta del responsable de la unidad de transparencia…”</w:t>
      </w:r>
      <w:r>
        <w:rPr>
          <w:rFonts w:ascii="Palatino Linotype" w:eastAsia="Palatino Linotype" w:hAnsi="Palatino Linotype" w:cs="Palatino Linotype"/>
          <w:i/>
        </w:rPr>
        <w:t>(Sic) (Énfasis añadido)</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anterior, resulta importante señalar que si bien es cierto, se manifestó la servidora pública habilitada competente para dar respuesta, no menos cierto es que no se colmó a cabalidad el derecho de acceso a la información pública, toda vez que únicamente se limitó a referir que no obra en los archivos de la unidad de transparencia acta de comité en donde se designe a los servidores públicos habilitados, </w:t>
      </w:r>
      <w:r w:rsidRPr="009347F0">
        <w:rPr>
          <w:rFonts w:ascii="Palatino Linotype" w:eastAsia="Palatino Linotype" w:hAnsi="Palatino Linotype" w:cs="Palatino Linotype"/>
        </w:rPr>
        <w:t>sin que se pronuncie de manera clara y precisa respecto de la designación de los servidores públicos habilitados,</w:t>
      </w:r>
      <w:r>
        <w:rPr>
          <w:rFonts w:ascii="Palatino Linotype" w:eastAsia="Palatino Linotype" w:hAnsi="Palatino Linotype" w:cs="Palatino Linotype"/>
        </w:rPr>
        <w:t xml:space="preserve"> por lo que se concluye que este pronunciamiento del Sujeto Obligado carecen de congruencia y exhaustividad, sirve como refuerzo de lo anterior, traer a colación</w:t>
      </w:r>
      <w:r>
        <w:rPr>
          <w:rFonts w:ascii="Palatino Linotype" w:eastAsia="Palatino Linotype" w:hAnsi="Palatino Linotype" w:cs="Palatino Linotype"/>
          <w:color w:val="000000"/>
          <w:u w:val="single"/>
        </w:rPr>
        <w:t xml:space="preserve"> el Criterio 02/17, emitido por el Pleno del </w:t>
      </w:r>
      <w:r>
        <w:rPr>
          <w:rFonts w:ascii="Palatino Linotype" w:eastAsia="Palatino Linotype" w:hAnsi="Palatino Linotype" w:cs="Palatino Linotype"/>
        </w:rPr>
        <w:t>Instituto Nacional de Transparencia y Acceso a la Información y Protección de Datos Personales, de título y texto siguientes:</w:t>
      </w:r>
    </w:p>
    <w:p w:rsidR="00F8105A" w:rsidRDefault="00822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“Congruencia y exhaustividad. Sus alcances para garantizar el derecho de acceso a la información. </w:t>
      </w:r>
      <w:r>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sz w:val="22"/>
          <w:szCs w:val="22"/>
        </w:rPr>
        <w:t xml:space="preserve">; mientras que </w:t>
      </w:r>
      <w:r>
        <w:rPr>
          <w:rFonts w:ascii="Palatino Linotype" w:eastAsia="Palatino Linotype" w:hAnsi="Palatino Linotype" w:cs="Palatino Linotype"/>
          <w:b/>
          <w:i/>
          <w:sz w:val="22"/>
          <w:szCs w:val="22"/>
        </w:rPr>
        <w:t>la exhaustividad significa que dicha respuesta se refiera expresamente a cada uno de los puntos solicitados</w:t>
      </w:r>
      <w:r>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F8105A" w:rsidRDefault="008221A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de conformidad con el artículo 3, fracción XXXIX de la Ley de Transparencia y Acceso a la Información Pública del Estado de México y Municipios, el servidor público habilitado se define de la siguiente manera: </w:t>
      </w:r>
    </w:p>
    <w:p w:rsidR="00F8105A" w:rsidRDefault="008221A6">
      <w:pPr>
        <w:spacing w:before="280" w:after="28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spellStart"/>
      <w:r>
        <w:rPr>
          <w:rFonts w:ascii="Palatino Linotype" w:eastAsia="Palatino Linotype" w:hAnsi="Palatino Linotype" w:cs="Palatino Linotype"/>
          <w:i/>
          <w:sz w:val="22"/>
          <w:szCs w:val="22"/>
        </w:rPr>
        <w:t>XXXIX.Servidor</w:t>
      </w:r>
      <w:proofErr w:type="spellEnd"/>
      <w:r>
        <w:rPr>
          <w:rFonts w:ascii="Palatino Linotype" w:eastAsia="Palatino Linotype" w:hAnsi="Palatino Linotype" w:cs="Palatino Linotype"/>
          <w:i/>
          <w:sz w:val="22"/>
          <w:szCs w:val="22"/>
        </w:rPr>
        <w:t xml:space="preserve"> público habilitado: </w:t>
      </w:r>
      <w:r>
        <w:rPr>
          <w:rFonts w:ascii="Palatino Linotype" w:eastAsia="Palatino Linotype" w:hAnsi="Palatino Linotype" w:cs="Palatino Linotype"/>
          <w:b/>
          <w:i/>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Pr>
          <w:rFonts w:ascii="Palatino Linotype" w:eastAsia="Palatino Linotype" w:hAnsi="Palatino Linotype" w:cs="Palatino Linotype"/>
          <w:i/>
          <w:sz w:val="22"/>
          <w:szCs w:val="22"/>
        </w:rPr>
        <w:t>;” (Sic) (Énfasis añadido)</w:t>
      </w:r>
    </w:p>
    <w:p w:rsidR="00F8105A" w:rsidRDefault="008221A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los artículos 58 y 59 de la legislación en referencia, así como los artículos  4.12, 4.13, 4.14 y 4.32 del Reglamento de la Ley de Transparencia y Acceso a la Información Pública del Estado de México prevén lo siguiente sobre el tópico en análisis: </w:t>
      </w:r>
    </w:p>
    <w:p w:rsidR="00F8105A" w:rsidRDefault="008221A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IV </w:t>
      </w:r>
    </w:p>
    <w:p w:rsidR="00F8105A" w:rsidRDefault="008221A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los Servidores Públicos Habilitados </w:t>
      </w:r>
    </w:p>
    <w:p w:rsidR="00F8105A" w:rsidRDefault="008221A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58. </w:t>
      </w:r>
      <w:r>
        <w:rPr>
          <w:rFonts w:ascii="Palatino Linotype" w:eastAsia="Palatino Linotype" w:hAnsi="Palatino Linotype" w:cs="Palatino Linotype"/>
          <w:b/>
          <w:i/>
          <w:sz w:val="22"/>
          <w:szCs w:val="22"/>
        </w:rPr>
        <w:t xml:space="preserve">Los servidores públicos habilitados serán designados por el titular del sujeto obligado a propuesta del responsable de la Unidad de Transparencia. </w:t>
      </w:r>
    </w:p>
    <w:p w:rsidR="00F8105A" w:rsidRDefault="008221A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59. </w:t>
      </w:r>
      <w:r>
        <w:rPr>
          <w:rFonts w:ascii="Palatino Linotype" w:eastAsia="Palatino Linotype" w:hAnsi="Palatino Linotype" w:cs="Palatino Linotype"/>
          <w:b/>
          <w:i/>
          <w:sz w:val="22"/>
          <w:szCs w:val="22"/>
        </w:rPr>
        <w:t>Los servidores públicos habilitados tendrán las funciones siguientes:</w:t>
      </w:r>
      <w:r>
        <w:rPr>
          <w:rFonts w:ascii="Palatino Linotype" w:eastAsia="Palatino Linotype" w:hAnsi="Palatino Linotype" w:cs="Palatino Linotype"/>
          <w:i/>
          <w:sz w:val="22"/>
          <w:szCs w:val="22"/>
        </w:rPr>
        <w:t xml:space="preserve"> </w:t>
      </w:r>
    </w:p>
    <w:p w:rsidR="00F8105A" w:rsidRDefault="008221A6">
      <w:pPr>
        <w:numPr>
          <w:ilvl w:val="0"/>
          <w:numId w:val="3"/>
        </w:numPr>
        <w:pBdr>
          <w:top w:val="nil"/>
          <w:left w:val="nil"/>
          <w:bottom w:val="nil"/>
          <w:right w:val="nil"/>
          <w:between w:val="nil"/>
        </w:pBdr>
        <w:spacing w:before="240" w:line="276" w:lineRule="auto"/>
        <w:ind w:left="567"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Localizar la información que le solicite la Unidad de Transparencia; </w:t>
      </w:r>
    </w:p>
    <w:p w:rsidR="00F8105A" w:rsidRDefault="008221A6">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Proporcionar la información que obre en los archivos y que le sea solicitada por la Unidad de Transparencia; </w:t>
      </w:r>
    </w:p>
    <w:p w:rsidR="00F8105A" w:rsidRDefault="008221A6">
      <w:pPr>
        <w:numPr>
          <w:ilvl w:val="0"/>
          <w:numId w:val="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Apoyar a la Unidad de Transparencia en lo que esta le solicite para el cumplimiento de sus funciones; </w:t>
      </w:r>
    </w:p>
    <w:p w:rsidR="00F8105A" w:rsidRDefault="008221A6">
      <w:pPr>
        <w:numPr>
          <w:ilvl w:val="0"/>
          <w:numId w:val="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Proporcionar a la Unidad de Transparencia, las modificaciones a la información pública de oficio que obre en su poder; </w:t>
      </w:r>
    </w:p>
    <w:p w:rsidR="00F8105A" w:rsidRDefault="008221A6">
      <w:pPr>
        <w:numPr>
          <w:ilvl w:val="0"/>
          <w:numId w:val="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Integrar y presentar al responsable de la Unidad de Transparencia la propuesta de clasificación de información, la cual tendrá los fundamentos y argumentos en que se basa dicha propuesta; </w:t>
      </w:r>
    </w:p>
    <w:p w:rsidR="00F8105A" w:rsidRDefault="008221A6">
      <w:pPr>
        <w:numPr>
          <w:ilvl w:val="0"/>
          <w:numId w:val="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Verificar, una vez analizado el contenido de la información, que no se encuentre en los supuestos de información clasificada; y </w:t>
      </w:r>
    </w:p>
    <w:p w:rsidR="00F8105A" w:rsidRDefault="008221A6">
      <w:pPr>
        <w:numPr>
          <w:ilvl w:val="0"/>
          <w:numId w:val="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Dar cuenta a la Unidad de Transparencia del vencimiento de los plazos de reserva.</w:t>
      </w:r>
    </w:p>
    <w:p w:rsidR="00F8105A" w:rsidRDefault="008221A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8105A" w:rsidRDefault="008221A6">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4.12.- </w:t>
      </w:r>
      <w:r>
        <w:rPr>
          <w:rFonts w:ascii="Palatino Linotype" w:eastAsia="Palatino Linotype" w:hAnsi="Palatino Linotype" w:cs="Palatino Linotype"/>
          <w:b/>
          <w:i/>
          <w:color w:val="000000"/>
          <w:sz w:val="22"/>
          <w:szCs w:val="22"/>
        </w:rPr>
        <w:t>El presidente del Comité de Información</w:t>
      </w:r>
      <w:r>
        <w:rPr>
          <w:rFonts w:ascii="Palatino Linotype" w:eastAsia="Palatino Linotype" w:hAnsi="Palatino Linotype" w:cs="Palatino Linotype"/>
          <w:b/>
          <w:i/>
          <w:color w:val="000000"/>
          <w:sz w:val="22"/>
          <w:szCs w:val="22"/>
          <w:vertAlign w:val="superscript"/>
        </w:rPr>
        <w:footnoteReference w:id="3"/>
      </w:r>
      <w:r>
        <w:rPr>
          <w:rFonts w:ascii="Palatino Linotype" w:eastAsia="Palatino Linotype" w:hAnsi="Palatino Linotype" w:cs="Palatino Linotype"/>
          <w:b/>
          <w:i/>
          <w:color w:val="000000"/>
          <w:sz w:val="22"/>
          <w:szCs w:val="22"/>
        </w:rPr>
        <w:t xml:space="preserve"> designará a los servidores públicos habilitados y a los suplentes, propuestos por el responsable de la Unidad de Información</w:t>
      </w:r>
      <w:r>
        <w:rPr>
          <w:rFonts w:ascii="Palatino Linotype" w:eastAsia="Palatino Linotype" w:hAnsi="Palatino Linotype" w:cs="Palatino Linotype"/>
          <w:b/>
          <w:i/>
          <w:color w:val="000000"/>
          <w:sz w:val="22"/>
          <w:szCs w:val="22"/>
          <w:vertAlign w:val="superscript"/>
        </w:rPr>
        <w:footnoteReference w:id="4"/>
      </w:r>
      <w:r>
        <w:rPr>
          <w:rFonts w:ascii="Palatino Linotype" w:eastAsia="Palatino Linotype" w:hAnsi="Palatino Linotype" w:cs="Palatino Linotype"/>
          <w:b/>
          <w:i/>
          <w:color w:val="000000"/>
          <w:sz w:val="22"/>
          <w:szCs w:val="22"/>
        </w:rPr>
        <w:t xml:space="preserve">. </w:t>
      </w:r>
    </w:p>
    <w:p w:rsidR="00F8105A" w:rsidRDefault="008221A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4.13.- </w:t>
      </w:r>
      <w:r>
        <w:rPr>
          <w:rFonts w:ascii="Palatino Linotype" w:eastAsia="Palatino Linotype" w:hAnsi="Palatino Linotype" w:cs="Palatino Linotype"/>
          <w:b/>
          <w:i/>
          <w:color w:val="000000"/>
          <w:sz w:val="22"/>
          <w:szCs w:val="22"/>
        </w:rPr>
        <w:t>Los servidores públicos habilitados estarán vinculados con la Unidad de Información. En consecuencia, no deberán atender directamente a las personas solicitantes de información pública, en cuanto al cumplimiento de la Ley y el Reglamento, salvo que la Unidad de Información así se lo haya requerido expresamente.</w:t>
      </w:r>
      <w:r>
        <w:rPr>
          <w:rFonts w:ascii="Palatino Linotype" w:eastAsia="Palatino Linotype" w:hAnsi="Palatino Linotype" w:cs="Palatino Linotype"/>
          <w:i/>
          <w:color w:val="000000"/>
          <w:sz w:val="22"/>
          <w:szCs w:val="22"/>
        </w:rPr>
        <w:t xml:space="preserve"> </w:t>
      </w:r>
    </w:p>
    <w:p w:rsidR="00F8105A" w:rsidRDefault="008221A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4.14.- Los servidores públicos habilitados ejercerán las funciones respetando las limitaciones de Ley; verificando, previo análisis del contenido de la información pública, que ésta no se encuentre en los supuestos de información clasificada o que contenga datos personales.</w:t>
      </w:r>
    </w:p>
    <w:p w:rsidR="00F8105A" w:rsidRDefault="008221A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8105A" w:rsidRDefault="008221A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4.32.- Las Unidades de Información desahogarán las solicitudes de acceso a la información, así como las relativas a datos personales, dentro del término máximo de Ley, de acuerdo a los siguientes lineamientos: </w:t>
      </w:r>
    </w:p>
    <w:p w:rsidR="00F8105A" w:rsidRDefault="008221A6">
      <w:pPr>
        <w:numPr>
          <w:ilvl w:val="0"/>
          <w:numId w:val="5"/>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Recibida la solicitud de acceso a la información o de modificación de datos personales, las Unidades de Información deberán turnarlas a los servidores públicos habilitados que correspondan y que estimen puedan conocer el lugar en que se encuentre la información correspondiente. </w:t>
      </w:r>
    </w:p>
    <w:p w:rsidR="00F8105A" w:rsidRDefault="008221A6">
      <w:pPr>
        <w:numPr>
          <w:ilvl w:val="0"/>
          <w:numId w:val="5"/>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contar o de conocer el lugar en que se encuentre la información solicitada, el servidor público habilitado deberá remitir la información a la Unidad de Información respectiva, o en su caso, le hará de su conocimiento el lugar en que </w:t>
      </w:r>
      <w:r>
        <w:rPr>
          <w:rFonts w:ascii="Palatino Linotype" w:eastAsia="Palatino Linotype" w:hAnsi="Palatino Linotype" w:cs="Palatino Linotype"/>
          <w:i/>
          <w:color w:val="000000"/>
          <w:sz w:val="22"/>
          <w:szCs w:val="22"/>
        </w:rPr>
        <w:lastRenderedPageBreak/>
        <w:t>estime se encuentra la información, y a su vez, tratándose de datos personales establecerá las medidas de protección pertinentes.</w:t>
      </w:r>
    </w:p>
    <w:p w:rsidR="00F8105A" w:rsidRDefault="008221A6">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(Sic) (Énfasis añadido)</w:t>
      </w:r>
    </w:p>
    <w:p w:rsidR="00B153AF" w:rsidRDefault="008221A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anteriormente citado, se colige que la normatividad, así como el Reglamento, regulan la designación de los servidores públicos habilitados, esto con la finalidad de que el derecho de acceso a la información pública sea garantizado pues a ellos se les deberá turnar estos requerimientos, a efecto de que localicen la información necesaria para dar respuesta a los solicitantes, en consecuencia, por disposición de la norma, los Sujetos Obligados deben contar con servidores públicos habilitados, mismos que fueron designados previa propuesta del Titular de</w:t>
      </w:r>
      <w:r w:rsidR="00B153AF">
        <w:rPr>
          <w:rFonts w:ascii="Palatino Linotype" w:eastAsia="Palatino Linotype" w:hAnsi="Palatino Linotype" w:cs="Palatino Linotype"/>
        </w:rPr>
        <w:t xml:space="preserve"> la Unidad de Transparencia.</w:t>
      </w:r>
    </w:p>
    <w:p w:rsidR="00B153AF" w:rsidRDefault="00B153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no escapa de la óptica de este Organismo Garante que en respuesta, el </w:t>
      </w:r>
      <w:r w:rsidRPr="001174AE">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lo siguiente: “</w:t>
      </w:r>
      <w:r w:rsidRPr="009347F0">
        <w:rPr>
          <w:rFonts w:ascii="Palatino Linotype" w:eastAsia="Palatino Linotype" w:hAnsi="Palatino Linotype" w:cs="Palatino Linotype"/>
          <w:b/>
          <w:i/>
          <w:sz w:val="22"/>
          <w:szCs w:val="22"/>
          <w:u w:val="single"/>
        </w:rPr>
        <w:t xml:space="preserve">En lo concerniente a lo siguiente: "acta de comité donde asignan a los servidores públicos habilitados de cada área" se le informa que no obra en los archivos de la unidad de transparencia acta de comité en donde se asigne a los servidores públicos habilitados, lo anterior es </w:t>
      </w:r>
      <w:proofErr w:type="spellStart"/>
      <w:r w:rsidRPr="009347F0">
        <w:rPr>
          <w:rFonts w:ascii="Palatino Linotype" w:eastAsia="Palatino Linotype" w:hAnsi="Palatino Linotype" w:cs="Palatino Linotype"/>
          <w:b/>
          <w:i/>
          <w:sz w:val="22"/>
          <w:szCs w:val="22"/>
          <w:u w:val="single"/>
        </w:rPr>
        <w:t>asi</w:t>
      </w:r>
      <w:proofErr w:type="spellEnd"/>
      <w:r w:rsidRPr="009347F0">
        <w:rPr>
          <w:rFonts w:ascii="Palatino Linotype" w:eastAsia="Palatino Linotype" w:hAnsi="Palatino Linotype" w:cs="Palatino Linotype"/>
          <w:b/>
          <w:i/>
          <w:sz w:val="22"/>
          <w:szCs w:val="22"/>
          <w:u w:val="single"/>
        </w:rPr>
        <w:t xml:space="preserve"> de conformidad con el artículo 58 de la Ley de Transparencia y Acceso a la Información Pública del Estado de México y Municipios, los servidores públicos habilitados serán designados por el titular del sujeto obligado a propuesta del responsable de la unidad de transparencia</w:t>
      </w:r>
      <w:r>
        <w:rPr>
          <w:rFonts w:ascii="Palatino Linotype" w:eastAsia="Palatino Linotype" w:hAnsi="Palatino Linotype" w:cs="Palatino Linotype"/>
          <w:b/>
          <w:i/>
          <w:sz w:val="22"/>
          <w:szCs w:val="22"/>
          <w:u w:val="single"/>
        </w:rPr>
        <w:t>”</w:t>
      </w:r>
      <w:r w:rsidR="001174AE">
        <w:rPr>
          <w:rFonts w:ascii="Palatino Linotype" w:eastAsia="Palatino Linotype" w:hAnsi="Palatino Linotype" w:cs="Palatino Linotype"/>
          <w:b/>
          <w:i/>
          <w:sz w:val="22"/>
          <w:szCs w:val="22"/>
          <w:u w:val="single"/>
        </w:rPr>
        <w:t>.</w:t>
      </w:r>
    </w:p>
    <w:p w:rsidR="00B153AF" w:rsidRDefault="00B153AF">
      <w:pPr>
        <w:spacing w:before="240" w:after="240" w:line="360" w:lineRule="auto"/>
        <w:ind w:right="49"/>
        <w:jc w:val="both"/>
        <w:rPr>
          <w:rFonts w:ascii="Palatino Linotype" w:eastAsia="Palatino Linotype" w:hAnsi="Palatino Linotype" w:cs="Palatino Linotype"/>
        </w:rPr>
      </w:pPr>
    </w:p>
    <w:p w:rsidR="00B153AF" w:rsidRPr="001174AE" w:rsidRDefault="001174AE" w:rsidP="001174AE">
      <w:pPr>
        <w:spacing w:before="100" w:beforeAutospacing="1" w:after="100" w:afterAutospacing="1" w:line="360" w:lineRule="auto"/>
        <w:jc w:val="both"/>
        <w:rPr>
          <w:rFonts w:ascii="Palatino Linotype" w:hAnsi="Palatino Linotype" w:cs="Arial"/>
          <w:lang w:eastAsia="es-ES"/>
        </w:rPr>
      </w:pPr>
      <w:r>
        <w:rPr>
          <w:rFonts w:ascii="Palatino Linotype" w:eastAsia="Palatino Linotype" w:hAnsi="Palatino Linotype" w:cs="Palatino Linotype"/>
          <w:szCs w:val="22"/>
        </w:rPr>
        <w:lastRenderedPageBreak/>
        <w:t xml:space="preserve">En atención a ello, si bien es cierto que para el caso en particular, esta información no se encuentra en actas, cabe la posibilidad de que pudiera obrar de manera enunciativa más no limitativa en algún oficio, circular o documento, </w:t>
      </w:r>
      <w:r w:rsidR="00B153AF">
        <w:rPr>
          <w:rFonts w:ascii="Palatino Linotype" w:eastAsia="Palatino Linotype" w:hAnsi="Palatino Linotype" w:cs="Palatino Linotype"/>
          <w:szCs w:val="22"/>
        </w:rPr>
        <w:t xml:space="preserve">por lo que </w:t>
      </w:r>
      <w:r w:rsidR="00B153AF" w:rsidRPr="00F86C01">
        <w:rPr>
          <w:rFonts w:ascii="Palatino Linotype" w:hAnsi="Palatino Linotype" w:cs="Arial"/>
          <w:lang w:val="es-MX"/>
        </w:rPr>
        <w:t>resulta importante a</w:t>
      </w:r>
      <w:r w:rsidR="00B153AF">
        <w:rPr>
          <w:rFonts w:ascii="Palatino Linotype" w:hAnsi="Palatino Linotype" w:cs="Arial"/>
          <w:lang w:val="es-MX"/>
        </w:rPr>
        <w:t xml:space="preserve">plicar la suplencia prevista en los artículos 13 y 181 de la </w:t>
      </w:r>
      <w:r w:rsidR="00B153AF" w:rsidRPr="00F86C01">
        <w:rPr>
          <w:rFonts w:ascii="Palatino Linotype" w:hAnsi="Palatino Linotype" w:cs="Arial"/>
          <w:lang w:val="es-MX"/>
        </w:rPr>
        <w:t>Ley de Transparencia y Acceso a la Información Pública del Estado de México y Municipios</w:t>
      </w:r>
      <w:r>
        <w:rPr>
          <w:rFonts w:ascii="Palatino Linotype" w:hAnsi="Palatino Linotype" w:cs="Arial"/>
          <w:lang w:val="es-MX"/>
        </w:rPr>
        <w:t>, en favor del</w:t>
      </w:r>
      <w:r w:rsidR="00B153AF">
        <w:rPr>
          <w:rFonts w:ascii="Palatino Linotype" w:hAnsi="Palatino Linotype" w:cs="Arial"/>
          <w:lang w:val="es-MX"/>
        </w:rPr>
        <w:t xml:space="preserve"> </w:t>
      </w:r>
      <w:r w:rsidR="00B153AF" w:rsidRPr="00F86C01">
        <w:rPr>
          <w:rFonts w:ascii="Palatino Linotype" w:hAnsi="Palatino Linotype" w:cs="Arial"/>
          <w:b/>
          <w:lang w:val="es-MX"/>
        </w:rPr>
        <w:t>Recurrente</w:t>
      </w:r>
      <w:r w:rsidR="00B153AF">
        <w:rPr>
          <w:rFonts w:ascii="Palatino Linotype" w:hAnsi="Palatino Linotype" w:cs="Arial"/>
          <w:lang w:val="es-MX"/>
        </w:rPr>
        <w:t xml:space="preserve">, a efecto de que </w:t>
      </w:r>
      <w:r w:rsidR="00B153AF" w:rsidRPr="00C74ACC">
        <w:rPr>
          <w:rFonts w:ascii="Palatino Linotype" w:hAnsi="Palatino Linotype" w:cs="Arial"/>
          <w:b/>
          <w:lang w:val="es-MX"/>
        </w:rPr>
        <w:t>al momento de ordenar la entrega de</w:t>
      </w:r>
      <w:r>
        <w:rPr>
          <w:rFonts w:ascii="Palatino Linotype" w:hAnsi="Palatino Linotype" w:cs="Arial"/>
          <w:b/>
          <w:lang w:val="es-MX"/>
        </w:rPr>
        <w:t xml:space="preserve"> la información</w:t>
      </w:r>
      <w:r w:rsidR="00B153AF" w:rsidRPr="00C74ACC">
        <w:rPr>
          <w:rFonts w:ascii="Palatino Linotype" w:hAnsi="Palatino Linotype" w:cs="Arial"/>
          <w:b/>
          <w:lang w:val="es-MX"/>
        </w:rPr>
        <w:t>, se tome en cuenta qu</w:t>
      </w:r>
      <w:r>
        <w:rPr>
          <w:rFonts w:ascii="Palatino Linotype" w:hAnsi="Palatino Linotype" w:cs="Arial"/>
          <w:b/>
          <w:lang w:val="es-MX"/>
        </w:rPr>
        <w:t>e el particular requiere el documento donde conste la designación de los servidores públicos habilitados al interior del Sujeto Obligado</w:t>
      </w:r>
      <w:r w:rsidR="00B153AF">
        <w:rPr>
          <w:rFonts w:ascii="Palatino Linotype" w:hAnsi="Palatino Linotype" w:cs="Arial"/>
          <w:lang w:val="es-MX"/>
        </w:rPr>
        <w:t xml:space="preserve">, lo anterior en razón de que cabe la posibilidad de que </w:t>
      </w:r>
      <w:r>
        <w:rPr>
          <w:rFonts w:ascii="Palatino Linotype" w:hAnsi="Palatino Linotype" w:cs="Arial"/>
          <w:b/>
          <w:lang w:val="es-MX"/>
        </w:rPr>
        <w:t>el</w:t>
      </w:r>
      <w:r w:rsidR="00B153AF" w:rsidRPr="00C74ACC">
        <w:rPr>
          <w:rFonts w:ascii="Palatino Linotype" w:hAnsi="Palatino Linotype" w:cs="Arial"/>
          <w:b/>
          <w:lang w:val="es-MX"/>
        </w:rPr>
        <w:t xml:space="preserve"> Recurrente</w:t>
      </w:r>
      <w:r w:rsidR="00B153AF">
        <w:rPr>
          <w:rFonts w:ascii="Palatino Linotype" w:hAnsi="Palatino Linotype" w:cs="Arial"/>
          <w:lang w:val="es-MX"/>
        </w:rPr>
        <w:t xml:space="preserve"> no sea</w:t>
      </w:r>
      <w:r>
        <w:rPr>
          <w:rFonts w:ascii="Palatino Linotype" w:hAnsi="Palatino Linotype" w:cs="Arial"/>
          <w:lang w:val="es-MX"/>
        </w:rPr>
        <w:t xml:space="preserve"> experto</w:t>
      </w:r>
      <w:r w:rsidR="00B153AF" w:rsidRPr="00F86C01">
        <w:rPr>
          <w:rFonts w:ascii="Palatino Linotype" w:hAnsi="Palatino Linotype" w:cs="Arial"/>
          <w:lang w:val="es-MX"/>
        </w:rPr>
        <w:t xml:space="preserve"> en la materia</w:t>
      </w:r>
      <w:r w:rsidR="00B153AF">
        <w:rPr>
          <w:rFonts w:ascii="Palatino Linotype" w:hAnsi="Palatino Linotype" w:cs="Arial"/>
          <w:lang w:val="es-MX"/>
        </w:rPr>
        <w:t xml:space="preserve"> para conocer la denominación exacta de la información </w:t>
      </w:r>
      <w:r w:rsidR="00B153AF" w:rsidRPr="00F86C01">
        <w:rPr>
          <w:rFonts w:ascii="Palatino Linotype" w:hAnsi="Palatino Linotype" w:cs="Arial"/>
          <w:lang w:val="es-MX"/>
        </w:rPr>
        <w:t xml:space="preserve">generada por </w:t>
      </w:r>
      <w:r w:rsidR="00B153AF">
        <w:rPr>
          <w:rFonts w:ascii="Palatino Linotype" w:hAnsi="Palatino Linotype" w:cs="Arial"/>
          <w:lang w:val="es-MX"/>
        </w:rPr>
        <w:t>el Sujeto Obligado</w:t>
      </w:r>
      <w:r w:rsidR="00B153AF" w:rsidRPr="00F86C01">
        <w:rPr>
          <w:rFonts w:ascii="Palatino Linotype" w:hAnsi="Palatino Linotype" w:cs="Arial"/>
          <w:lang w:val="es-MX"/>
        </w:rPr>
        <w:t xml:space="preserve">, por lo que en aras de proteger el derecho de acceso a la información pública que </w:t>
      </w:r>
      <w:r w:rsidR="00B153AF">
        <w:rPr>
          <w:rFonts w:ascii="Palatino Linotype" w:hAnsi="Palatino Linotype" w:cs="Arial"/>
          <w:lang w:val="es-MX"/>
        </w:rPr>
        <w:t>le asiste es que se invoca  esta facultad del Instituto.</w:t>
      </w:r>
    </w:p>
    <w:p w:rsidR="00F8105A" w:rsidRDefault="008221A6">
      <w:pPr>
        <w:ind w:right="49"/>
        <w:rPr>
          <w:rFonts w:ascii="Palatino Linotype" w:eastAsia="Palatino Linotype" w:hAnsi="Palatino Linotype" w:cs="Palatino Linotype"/>
          <w:b/>
        </w:rPr>
      </w:pPr>
      <w:r>
        <w:rPr>
          <w:rFonts w:ascii="Palatino Linotype" w:eastAsia="Palatino Linotype" w:hAnsi="Palatino Linotype" w:cs="Palatino Linotype"/>
          <w:b/>
        </w:rPr>
        <w:t>2.-</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Nómina de todo el personal de S.A.P.A.S.A de la primera quincena de enero </w:t>
      </w:r>
    </w:p>
    <w:p w:rsidR="00F8105A" w:rsidRDefault="008221A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lo tocante a este punto, el </w:t>
      </w:r>
      <w:r w:rsidRPr="001174AE">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 la Subdirectora de Administración y Finanzas, remitió el archivo electrónico denominado “</w:t>
      </w:r>
      <w:r>
        <w:rPr>
          <w:rFonts w:ascii="Palatino Linotype" w:eastAsia="Palatino Linotype" w:hAnsi="Palatino Linotype" w:cs="Palatino Linotype"/>
          <w:b/>
          <w:i/>
        </w:rPr>
        <w:t xml:space="preserve">ListadoNomina1eraEne22.pdf”, </w:t>
      </w:r>
      <w:r>
        <w:rPr>
          <w:rFonts w:ascii="Palatino Linotype" w:eastAsia="Palatino Linotype" w:hAnsi="Palatino Linotype" w:cs="Palatino Linotype"/>
        </w:rPr>
        <w:t xml:space="preserve">el cual consiste en un documento de veintiséis fojas en el que se advierte la nómina general de la primera quincena de enero de 2022, sin embargo, al momento de la interposición del Recurso de Revisión, el particular expresó que </w:t>
      </w:r>
      <w:r>
        <w:rPr>
          <w:rFonts w:ascii="Palatino Linotype" w:eastAsia="Palatino Linotype" w:hAnsi="Palatino Linotype" w:cs="Palatino Linotype"/>
          <w:i/>
        </w:rPr>
        <w:t xml:space="preserve">“LA NOMIA QUE ME </w:t>
      </w:r>
      <w:proofErr w:type="spellStart"/>
      <w:r>
        <w:rPr>
          <w:rFonts w:ascii="Palatino Linotype" w:eastAsia="Palatino Linotype" w:hAnsi="Palatino Linotype" w:cs="Palatino Linotype"/>
          <w:i/>
        </w:rPr>
        <w:t>ME</w:t>
      </w:r>
      <w:proofErr w:type="spellEnd"/>
      <w:r>
        <w:rPr>
          <w:rFonts w:ascii="Palatino Linotype" w:eastAsia="Palatino Linotype" w:hAnsi="Palatino Linotype" w:cs="Palatino Linotype"/>
          <w:i/>
        </w:rPr>
        <w:t xml:space="preserve"> ENCIA NO ES MUY CLARA”</w:t>
      </w:r>
    </w:p>
    <w:p w:rsidR="0052608B" w:rsidRDefault="0052608B" w:rsidP="0052608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 la </w:t>
      </w:r>
      <w:r w:rsidRPr="0052608B">
        <w:rPr>
          <w:rFonts w:ascii="Palatino Linotype" w:eastAsia="Palatino Linotype" w:hAnsi="Palatino Linotype" w:cs="Palatino Linotype"/>
          <w:color w:val="000000"/>
        </w:rPr>
        <w:t>Subdirectora de Administración y Finanzas</w:t>
      </w:r>
      <w:r>
        <w:rPr>
          <w:rFonts w:ascii="Palatino Linotype" w:eastAsia="Palatino Linotype" w:hAnsi="Palatino Linotype" w:cs="Palatino Linotype"/>
          <w:color w:val="000000"/>
        </w:rPr>
        <w:t xml:space="preserve">, en su carácter de Servidora Pública Habilitada competente, para efecto de que </w:t>
      </w:r>
      <w:r>
        <w:rPr>
          <w:rFonts w:ascii="Palatino Linotype" w:eastAsia="Palatino Linotype" w:hAnsi="Palatino Linotype" w:cs="Palatino Linotype"/>
        </w:rPr>
        <w:t xml:space="preserve">emitiera el pronunciamiento que diera respuesta a la solicitud de información, para mayor referencia resulta importante traer a colación las siguientes capturas de pantalla: </w:t>
      </w:r>
    </w:p>
    <w:p w:rsidR="0052608B" w:rsidRDefault="0052608B">
      <w:pPr>
        <w:spacing w:before="240" w:after="240" w:line="360" w:lineRule="auto"/>
        <w:ind w:right="49"/>
        <w:jc w:val="both"/>
      </w:pPr>
      <w:r>
        <w:rPr>
          <w:noProof/>
          <w:lang w:val="es-MX"/>
        </w:rPr>
        <mc:AlternateContent>
          <mc:Choice Requires="wps">
            <w:drawing>
              <wp:anchor distT="0" distB="0" distL="114300" distR="114300" simplePos="0" relativeHeight="251659264" behindDoc="0" locked="0" layoutInCell="1" allowOverlap="1">
                <wp:simplePos x="0" y="0"/>
                <wp:positionH relativeFrom="column">
                  <wp:posOffset>1329690</wp:posOffset>
                </wp:positionH>
                <wp:positionV relativeFrom="paragraph">
                  <wp:posOffset>124460</wp:posOffset>
                </wp:positionV>
                <wp:extent cx="504825" cy="409575"/>
                <wp:effectExtent l="57150" t="38100" r="85725" b="104775"/>
                <wp:wrapNone/>
                <wp:docPr id="1" name="Rectángulo 1"/>
                <wp:cNvGraphicFramePr/>
                <a:graphic xmlns:a="http://schemas.openxmlformats.org/drawingml/2006/main">
                  <a:graphicData uri="http://schemas.microsoft.com/office/word/2010/wordprocessingShape">
                    <wps:wsp>
                      <wps:cNvSpPr/>
                      <wps:spPr>
                        <a:xfrm>
                          <a:off x="0" y="0"/>
                          <a:ext cx="504825" cy="4095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37465" id="Rectángulo 1" o:spid="_x0000_s1026" style="position:absolute;margin-left:104.7pt;margin-top:9.8pt;width:39.7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" filled="f" strokecolor="#002060" strokeweight="2.25pt">
                <v:shadow on="t" color="black" opacity="22937f" origin=",.5" offset="0,.63889mm"/>
              </v:rect>
            </w:pict>
          </mc:Fallback>
        </mc:AlternateContent>
      </w:r>
      <w:r>
        <w:object w:dxaOrig="15045" w:dyaOrig="2070">
          <v:shape id="_x0000_i1032" type="#_x0000_t75" style="width:474pt;height:65.25pt" o:ole="">
            <v:imagedata r:id="rId23" o:title=""/>
          </v:shape>
          <o:OLEObject Type="Embed" ProgID="PBrush" ShapeID="_x0000_i1032" DrawAspect="Content" ObjectID="_1718632361" r:id="rId24"/>
        </w:object>
      </w:r>
    </w:p>
    <w:p w:rsidR="0052608B" w:rsidRDefault="0052608B" w:rsidP="0052608B">
      <w:pPr>
        <w:spacing w:before="240" w:after="240" w:line="360" w:lineRule="auto"/>
        <w:ind w:right="49"/>
        <w:jc w:val="center"/>
        <w:rPr>
          <w:rFonts w:ascii="Palatino Linotype" w:eastAsia="Palatino Linotype" w:hAnsi="Palatino Linotype" w:cs="Palatino Linotype"/>
        </w:rPr>
      </w:pPr>
      <w:r>
        <w:rPr>
          <w:noProof/>
          <w:lang w:val="es-MX"/>
        </w:rPr>
        <w:lastRenderedPageBreak/>
        <mc:AlternateContent>
          <mc:Choice Requires="wps">
            <w:drawing>
              <wp:anchor distT="0" distB="0" distL="114300" distR="114300" simplePos="0" relativeHeight="251660288" behindDoc="0" locked="0" layoutInCell="1" allowOverlap="1">
                <wp:simplePos x="0" y="0"/>
                <wp:positionH relativeFrom="column">
                  <wp:posOffset>605790</wp:posOffset>
                </wp:positionH>
                <wp:positionV relativeFrom="paragraph">
                  <wp:posOffset>555626</wp:posOffset>
                </wp:positionV>
                <wp:extent cx="3552825" cy="704850"/>
                <wp:effectExtent l="57150" t="38100" r="85725" b="95250"/>
                <wp:wrapNone/>
                <wp:docPr id="2" name="Rectángulo 2"/>
                <wp:cNvGraphicFramePr/>
                <a:graphic xmlns:a="http://schemas.openxmlformats.org/drawingml/2006/main">
                  <a:graphicData uri="http://schemas.microsoft.com/office/word/2010/wordprocessingShape">
                    <wps:wsp>
                      <wps:cNvSpPr/>
                      <wps:spPr>
                        <a:xfrm>
                          <a:off x="0" y="0"/>
                          <a:ext cx="3552825" cy="7048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EE8C28" id="Rectángulo 2" o:spid="_x0000_s1026" style="position:absolute;margin-left:47.7pt;margin-top:43.75pt;width:279.75pt;height:5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" filled="f" strokecolor="#002060" strokeweight="2.25pt">
                <v:shadow on="t" color="black" opacity="22937f" origin=",.5" offset="0,.63889mm"/>
              </v:rect>
            </w:pict>
          </mc:Fallback>
        </mc:AlternateContent>
      </w:r>
      <w:r>
        <w:object w:dxaOrig="7665" w:dyaOrig="6435">
          <v:shape id="_x0000_i1033" type="#_x0000_t75" style="width:349.5pt;height:293.25pt" o:ole="">
            <v:imagedata r:id="rId25" o:title=""/>
          </v:shape>
          <o:OLEObject Type="Embed" ProgID="PBrush" ShapeID="_x0000_i1033" DrawAspect="Content" ObjectID="_1718632362" r:id="rId26"/>
        </w:object>
      </w:r>
    </w:p>
    <w:p w:rsidR="0052608B" w:rsidRDefault="0052608B" w:rsidP="0052608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Bajo esta línea de pensamiento conviene apuntar que la Subdirección de Administración y Finanzas es la unidad administrativa competente para atender el requerimiento del particular, en virtud de que el Reglamento Orgánico Interno d</w:t>
      </w:r>
      <w:r w:rsidRPr="0052608B">
        <w:rPr>
          <w:rFonts w:ascii="Palatino Linotype" w:eastAsia="Palatino Linotype" w:hAnsi="Palatino Linotype" w:cs="Palatino Linotype"/>
        </w:rPr>
        <w:t>el Org</w:t>
      </w:r>
      <w:r>
        <w:rPr>
          <w:rFonts w:ascii="Palatino Linotype" w:eastAsia="Palatino Linotype" w:hAnsi="Palatino Linotype" w:cs="Palatino Linotype"/>
        </w:rPr>
        <w:t>anismo Público Descentralizado para la Prestación de los Servicios de Agua Potable, Alcantarillado y</w:t>
      </w:r>
      <w:r w:rsidRPr="0052608B">
        <w:rPr>
          <w:rFonts w:ascii="Palatino Linotype" w:eastAsia="Palatino Linotype" w:hAnsi="Palatino Linotype" w:cs="Palatino Linotype"/>
        </w:rPr>
        <w:t xml:space="preserve"> Saneamiento</w:t>
      </w:r>
      <w:r>
        <w:rPr>
          <w:rFonts w:ascii="Palatino Linotype" w:eastAsia="Palatino Linotype" w:hAnsi="Palatino Linotype" w:cs="Palatino Linotype"/>
        </w:rPr>
        <w:t xml:space="preserve"> del Municipio de Atizapán de Zaragoza, conocido c</w:t>
      </w:r>
      <w:r w:rsidRPr="0052608B">
        <w:rPr>
          <w:rFonts w:ascii="Palatino Linotype" w:eastAsia="Palatino Linotype" w:hAnsi="Palatino Linotype" w:cs="Palatino Linotype"/>
        </w:rPr>
        <w:t>omo S.A.P.A.S.A.</w:t>
      </w:r>
      <w:r>
        <w:rPr>
          <w:rFonts w:ascii="Palatino Linotype" w:eastAsia="Palatino Linotype" w:hAnsi="Palatino Linotype" w:cs="Palatino Linotype"/>
        </w:rPr>
        <w:t xml:space="preserve">, por ello resulta pertinente traer a colación el contenido de estos preceptos: </w:t>
      </w:r>
    </w:p>
    <w:p w:rsidR="0052608B" w:rsidRDefault="00115136" w:rsidP="0052608B">
      <w:pPr>
        <w:pStyle w:val="Prrafodelista"/>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w:t>
      </w:r>
      <w:r w:rsidR="0052608B" w:rsidRPr="0052608B">
        <w:rPr>
          <w:rFonts w:ascii="Palatino Linotype" w:eastAsia="Palatino Linotype" w:hAnsi="Palatino Linotype" w:cs="Palatino Linotype"/>
          <w:i/>
          <w:sz w:val="22"/>
        </w:rPr>
        <w:t>Artículo 81. Para el estudio, planeación y despacho de los asuntos de su competencia, la Subdirección de Administración y Finanzas, se integrará por las siguientes Unidades Administrativas:</w:t>
      </w:r>
    </w:p>
    <w:p w:rsidR="0052608B" w:rsidRDefault="0052608B" w:rsidP="0052608B">
      <w:pPr>
        <w:pStyle w:val="Prrafodelista"/>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52608B" w:rsidRPr="0052608B" w:rsidRDefault="0052608B" w:rsidP="0052608B">
      <w:pPr>
        <w:pStyle w:val="Prrafodelista"/>
        <w:spacing w:before="240" w:after="240" w:line="276" w:lineRule="auto"/>
        <w:ind w:left="567" w:right="900"/>
        <w:jc w:val="both"/>
        <w:rPr>
          <w:rFonts w:ascii="Palatino Linotype" w:eastAsia="Palatino Linotype" w:hAnsi="Palatino Linotype" w:cs="Palatino Linotype"/>
          <w:b/>
          <w:i/>
          <w:sz w:val="22"/>
        </w:rPr>
      </w:pPr>
      <w:proofErr w:type="spellStart"/>
      <w:r w:rsidRPr="0052608B">
        <w:rPr>
          <w:rFonts w:ascii="Palatino Linotype" w:eastAsia="Palatino Linotype" w:hAnsi="Palatino Linotype" w:cs="Palatino Linotype"/>
          <w:b/>
          <w:i/>
          <w:sz w:val="22"/>
        </w:rPr>
        <w:t>III.Coordinación</w:t>
      </w:r>
      <w:proofErr w:type="spellEnd"/>
      <w:r w:rsidRPr="0052608B">
        <w:rPr>
          <w:rFonts w:ascii="Palatino Linotype" w:eastAsia="Palatino Linotype" w:hAnsi="Palatino Linotype" w:cs="Palatino Linotype"/>
          <w:b/>
          <w:i/>
          <w:sz w:val="22"/>
        </w:rPr>
        <w:t xml:space="preserve"> de Administración;</w:t>
      </w:r>
    </w:p>
    <w:p w:rsidR="0052608B" w:rsidRDefault="0052608B" w:rsidP="0052608B">
      <w:pPr>
        <w:pStyle w:val="Prrafodelista"/>
        <w:spacing w:before="240" w:after="240" w:line="276" w:lineRule="auto"/>
        <w:ind w:left="567" w:right="900"/>
        <w:jc w:val="both"/>
        <w:rPr>
          <w:rFonts w:ascii="Palatino Linotype" w:eastAsia="Palatino Linotype" w:hAnsi="Palatino Linotype" w:cs="Palatino Linotype"/>
          <w:b/>
          <w:i/>
          <w:sz w:val="22"/>
        </w:rPr>
      </w:pPr>
      <w:r w:rsidRPr="0052608B">
        <w:rPr>
          <w:rFonts w:ascii="Palatino Linotype" w:eastAsia="Palatino Linotype" w:hAnsi="Palatino Linotype" w:cs="Palatino Linotype"/>
          <w:b/>
          <w:i/>
          <w:sz w:val="22"/>
        </w:rPr>
        <w:t xml:space="preserve"> III. A. Departamento de Capital Humano;</w:t>
      </w:r>
    </w:p>
    <w:p w:rsidR="00115136" w:rsidRDefault="00115136" w:rsidP="0052608B">
      <w:pPr>
        <w:pStyle w:val="Prrafodelista"/>
        <w:spacing w:before="240"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w:t>
      </w:r>
    </w:p>
    <w:p w:rsidR="00115136" w:rsidRDefault="00115136" w:rsidP="0052608B">
      <w:pPr>
        <w:pStyle w:val="Prrafodelista"/>
        <w:spacing w:before="240" w:after="240" w:line="276" w:lineRule="auto"/>
        <w:ind w:left="567" w:right="900"/>
        <w:jc w:val="both"/>
        <w:rPr>
          <w:rFonts w:ascii="Palatino Linotype" w:eastAsia="Palatino Linotype" w:hAnsi="Palatino Linotype" w:cs="Palatino Linotype"/>
          <w:i/>
          <w:sz w:val="22"/>
        </w:rPr>
      </w:pPr>
      <w:r w:rsidRPr="00115136">
        <w:rPr>
          <w:rFonts w:ascii="Palatino Linotype" w:eastAsia="Palatino Linotype" w:hAnsi="Palatino Linotype" w:cs="Palatino Linotype"/>
          <w:i/>
          <w:sz w:val="22"/>
        </w:rPr>
        <w:t>Artículo 90. La Coordinación de la Administración, será supervisada por la Subdirección de Administración y Finanzas del Organismo y tendrá de manera enunciativa más no limitativa, las siguientes atribuciones:</w:t>
      </w:r>
    </w:p>
    <w:p w:rsidR="00115136" w:rsidRDefault="00115136" w:rsidP="0052608B">
      <w:pPr>
        <w:pStyle w:val="Prrafodelista"/>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115136" w:rsidRDefault="00115136" w:rsidP="0052608B">
      <w:pPr>
        <w:pStyle w:val="Prrafodelista"/>
        <w:spacing w:before="240" w:after="240" w:line="276" w:lineRule="auto"/>
        <w:ind w:left="567" w:right="900"/>
        <w:jc w:val="both"/>
        <w:rPr>
          <w:rFonts w:ascii="Palatino Linotype" w:eastAsia="Palatino Linotype" w:hAnsi="Palatino Linotype" w:cs="Palatino Linotype"/>
          <w:i/>
          <w:sz w:val="22"/>
        </w:rPr>
      </w:pPr>
      <w:r w:rsidRPr="00115136">
        <w:rPr>
          <w:rFonts w:ascii="Palatino Linotype" w:eastAsia="Palatino Linotype" w:hAnsi="Palatino Linotype" w:cs="Palatino Linotype"/>
          <w:b/>
          <w:i/>
          <w:sz w:val="22"/>
          <w:u w:val="single"/>
        </w:rPr>
        <w:t>XIII. Vigilar que se lleve a cabo la correcta aplicación de altas, bajas, elaboración de nómina</w:t>
      </w:r>
      <w:r w:rsidRPr="00115136">
        <w:rPr>
          <w:rFonts w:ascii="Palatino Linotype" w:eastAsia="Palatino Linotype" w:hAnsi="Palatino Linotype" w:cs="Palatino Linotype"/>
          <w:i/>
          <w:sz w:val="22"/>
        </w:rPr>
        <w:t xml:space="preserve"> y control de registros del personal del Organismo; y</w:t>
      </w:r>
    </w:p>
    <w:p w:rsidR="00115136" w:rsidRPr="00115136" w:rsidRDefault="00115136" w:rsidP="0052608B">
      <w:pPr>
        <w:pStyle w:val="Prrafodelista"/>
        <w:spacing w:before="240" w:after="240" w:line="276" w:lineRule="auto"/>
        <w:ind w:left="567" w:right="900"/>
        <w:jc w:val="both"/>
        <w:rPr>
          <w:rFonts w:ascii="Palatino Linotype" w:eastAsia="Palatino Linotype" w:hAnsi="Palatino Linotype" w:cs="Palatino Linotype"/>
          <w:i/>
          <w:sz w:val="22"/>
        </w:rPr>
      </w:pPr>
      <w:r w:rsidRPr="00115136">
        <w:rPr>
          <w:rFonts w:ascii="Palatino Linotype" w:eastAsia="Palatino Linotype" w:hAnsi="Palatino Linotype" w:cs="Palatino Linotype"/>
          <w:i/>
          <w:sz w:val="22"/>
        </w:rPr>
        <w:t>…</w:t>
      </w:r>
    </w:p>
    <w:p w:rsidR="00115136" w:rsidRDefault="00115136" w:rsidP="0052608B">
      <w:pPr>
        <w:pStyle w:val="Prrafodelista"/>
        <w:spacing w:before="240" w:after="240" w:line="276" w:lineRule="auto"/>
        <w:ind w:left="567" w:right="900"/>
        <w:jc w:val="both"/>
        <w:rPr>
          <w:rFonts w:ascii="Palatino Linotype" w:eastAsia="Palatino Linotype" w:hAnsi="Palatino Linotype" w:cs="Palatino Linotype"/>
          <w:i/>
          <w:sz w:val="22"/>
        </w:rPr>
      </w:pPr>
      <w:r w:rsidRPr="00115136">
        <w:rPr>
          <w:rFonts w:ascii="Palatino Linotype" w:eastAsia="Palatino Linotype" w:hAnsi="Palatino Linotype" w:cs="Palatino Linotype"/>
          <w:i/>
          <w:sz w:val="22"/>
        </w:rPr>
        <w:t>Artículo 92. El Departamento de Capital Humano, será supervisado por la Coordinación de Administración del Organismo y tendrá de manera enunciativa más no limitativa, las siguientes atribuciones:</w:t>
      </w:r>
    </w:p>
    <w:p w:rsidR="00115136" w:rsidRDefault="00115136" w:rsidP="0052608B">
      <w:pPr>
        <w:pStyle w:val="Prrafodelista"/>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115136" w:rsidRPr="00115136" w:rsidRDefault="00115136" w:rsidP="0052608B">
      <w:pPr>
        <w:pStyle w:val="Prrafodelista"/>
        <w:spacing w:before="240" w:after="240" w:line="276" w:lineRule="auto"/>
        <w:ind w:left="567" w:right="900"/>
        <w:jc w:val="both"/>
        <w:rPr>
          <w:rFonts w:ascii="Palatino Linotype" w:eastAsia="Palatino Linotype" w:hAnsi="Palatino Linotype" w:cs="Palatino Linotype"/>
          <w:i/>
          <w:sz w:val="22"/>
        </w:rPr>
      </w:pPr>
      <w:r w:rsidRPr="00115136">
        <w:rPr>
          <w:rFonts w:ascii="Palatino Linotype" w:eastAsia="Palatino Linotype" w:hAnsi="Palatino Linotype" w:cs="Palatino Linotype"/>
          <w:b/>
          <w:i/>
          <w:sz w:val="22"/>
        </w:rPr>
        <w:t>XV. Elaborar la nómina quincenal conforme a la normatividad establecida;</w:t>
      </w:r>
      <w:r>
        <w:rPr>
          <w:rFonts w:ascii="Palatino Linotype" w:eastAsia="Palatino Linotype" w:hAnsi="Palatino Linotype" w:cs="Palatino Linotype"/>
          <w:b/>
          <w:i/>
          <w:sz w:val="22"/>
        </w:rPr>
        <w:t xml:space="preserve">” </w:t>
      </w:r>
      <w:r>
        <w:rPr>
          <w:rFonts w:ascii="Palatino Linotype" w:eastAsia="Palatino Linotype" w:hAnsi="Palatino Linotype" w:cs="Palatino Linotype"/>
          <w:i/>
          <w:sz w:val="22"/>
        </w:rPr>
        <w:t>(Sic) (Énfasis añadido)</w:t>
      </w:r>
    </w:p>
    <w:p w:rsidR="00115136" w:rsidRDefault="00115136" w:rsidP="00115136">
      <w:pPr>
        <w:spacing w:before="240" w:after="240" w:line="360" w:lineRule="auto"/>
        <w:ind w:right="49"/>
        <w:jc w:val="both"/>
        <w:rPr>
          <w:rFonts w:ascii="Palatino Linotype" w:eastAsia="Palatino Linotype" w:hAnsi="Palatino Linotype" w:cs="Palatino Linotype"/>
        </w:rPr>
      </w:pPr>
      <w:r w:rsidRPr="00B04271">
        <w:rPr>
          <w:rFonts w:ascii="Palatino Linotype" w:eastAsia="Palatino Linotype" w:hAnsi="Palatino Linotype" w:cs="Palatino Linotype"/>
        </w:rPr>
        <w:t>Bajo esta lógica, se tiene que  la respuesta fue vertida por la unidad administrativa compet</w:t>
      </w:r>
      <w:r>
        <w:rPr>
          <w:rFonts w:ascii="Palatino Linotype" w:eastAsia="Palatino Linotype" w:hAnsi="Palatino Linotype" w:cs="Palatino Linotype"/>
        </w:rPr>
        <w:t>ente, ello en virtud de que la Subd</w:t>
      </w:r>
      <w:r w:rsidRPr="00B04271">
        <w:rPr>
          <w:rFonts w:ascii="Palatino Linotype" w:eastAsia="Palatino Linotype" w:hAnsi="Palatino Linotype" w:cs="Palatino Linotype"/>
        </w:rPr>
        <w:t xml:space="preserve">irección de Administración </w:t>
      </w:r>
      <w:r>
        <w:rPr>
          <w:rFonts w:ascii="Palatino Linotype" w:eastAsia="Palatino Linotype" w:hAnsi="Palatino Linotype" w:cs="Palatino Linotype"/>
        </w:rPr>
        <w:t xml:space="preserve">y Finanzas </w:t>
      </w:r>
      <w:r w:rsidRPr="00B04271">
        <w:rPr>
          <w:rFonts w:ascii="Palatino Linotype" w:eastAsia="Palatino Linotype" w:hAnsi="Palatino Linotype" w:cs="Palatino Linotype"/>
        </w:rPr>
        <w:t>es la encargada de</w:t>
      </w:r>
      <w:r>
        <w:rPr>
          <w:rFonts w:ascii="Palatino Linotype" w:eastAsia="Palatino Linotype" w:hAnsi="Palatino Linotype" w:cs="Palatino Linotype"/>
        </w:rPr>
        <w:t xml:space="preserve"> supervisar a la Coordinación de Administración, la cual a su vez vigila que el Departamento de Capital Humano elabore la nómina quincenal correctamente</w:t>
      </w:r>
      <w:r w:rsidRPr="00B04271">
        <w:rPr>
          <w:rFonts w:ascii="Palatino Linotype" w:eastAsia="Palatino Linotype" w:hAnsi="Palatino Linotype" w:cs="Palatino Linotype"/>
        </w:rPr>
        <w:t xml:space="preserve">, </w:t>
      </w:r>
      <w:r>
        <w:rPr>
          <w:rFonts w:ascii="Palatino Linotype" w:eastAsia="Palatino Linotype" w:hAnsi="Palatino Linotype" w:cs="Palatino Linotype"/>
        </w:rPr>
        <w:t xml:space="preserve">por lo que al haber existido un pronunciamiento por parte del Servidor Público Habilitado competente, este Instituto no está facultado para </w:t>
      </w:r>
      <w:r>
        <w:rPr>
          <w:rFonts w:ascii="Palatino Linotype" w:eastAsia="Palatino Linotype" w:hAnsi="Palatino Linotype" w:cs="Palatino Linotype"/>
        </w:rPr>
        <w:lastRenderedPageBreak/>
        <w:t>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115136" w:rsidRDefault="00115136" w:rsidP="00115136">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7906B7" w:rsidRDefault="007906B7" w:rsidP="001174AE">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otro orden de ideas, resulta </w:t>
      </w:r>
      <w:r w:rsidR="002F62F2">
        <w:rPr>
          <w:rFonts w:ascii="Palatino Linotype" w:eastAsia="Palatino Linotype" w:hAnsi="Palatino Linotype" w:cs="Palatino Linotype"/>
        </w:rPr>
        <w:t xml:space="preserve">pertinente mencionar que el </w:t>
      </w:r>
      <w:r w:rsidR="002F62F2" w:rsidRPr="002F62F2">
        <w:rPr>
          <w:rFonts w:ascii="Palatino Linotype" w:eastAsia="Palatino Linotype" w:hAnsi="Palatino Linotype" w:cs="Palatino Linotype"/>
          <w:b/>
        </w:rPr>
        <w:t>Sujeto Obligado</w:t>
      </w:r>
      <w:r w:rsidR="002F62F2">
        <w:rPr>
          <w:rFonts w:ascii="Palatino Linotype" w:eastAsia="Palatino Linotype" w:hAnsi="Palatino Linotype" w:cs="Palatino Linotype"/>
        </w:rPr>
        <w:t xml:space="preserve"> remitió en respuesta, la nómina general de todos los trabajadores correspondiente a la primera quincena de enero de dos mil veintidós, tal como se remite al Órgano </w:t>
      </w:r>
      <w:r w:rsidR="002F62F2">
        <w:rPr>
          <w:rFonts w:ascii="Palatino Linotype" w:eastAsia="Palatino Linotype" w:hAnsi="Palatino Linotype" w:cs="Palatino Linotype"/>
        </w:rPr>
        <w:lastRenderedPageBreak/>
        <w:t xml:space="preserve">Superior de Fiscalización del Estado de México, en términos del Disco 4, que se trae a colación para mejor proveer del presente estudio: </w:t>
      </w:r>
    </w:p>
    <w:p w:rsidR="002F62F2" w:rsidRDefault="00F976D1" w:rsidP="00F976D1">
      <w:pPr>
        <w:shd w:val="clear" w:color="auto" w:fill="FFFFFF"/>
        <w:spacing w:line="360" w:lineRule="auto"/>
        <w:jc w:val="center"/>
        <w:rPr>
          <w:rFonts w:ascii="Palatino Linotype" w:eastAsia="Palatino Linotype" w:hAnsi="Palatino Linotype" w:cs="Palatino Linotype"/>
        </w:rPr>
      </w:pPr>
      <w:r>
        <w:object w:dxaOrig="17895" w:dyaOrig="11790">
          <v:shape id="_x0000_i1034" type="#_x0000_t75" style="width:462.75pt;height:303.75pt" o:ole="">
            <v:imagedata r:id="rId27" o:title=""/>
          </v:shape>
          <o:OLEObject Type="Embed" ProgID="PBrush" ShapeID="_x0000_i1034" DrawAspect="Content" ObjectID="_1718632363" r:id="rId28"/>
        </w:object>
      </w:r>
    </w:p>
    <w:p w:rsidR="002F62F2" w:rsidRDefault="00F976D1" w:rsidP="001174AE">
      <w:pPr>
        <w:shd w:val="clear" w:color="auto" w:fill="FFFFFF"/>
        <w:spacing w:line="360" w:lineRule="auto"/>
        <w:jc w:val="both"/>
      </w:pPr>
      <w:r>
        <w:object w:dxaOrig="10095" w:dyaOrig="11505">
          <v:shape id="_x0000_i1035" type="#_x0000_t75" style="width:442.5pt;height:503.25pt" o:ole="">
            <v:imagedata r:id="rId29" o:title=""/>
          </v:shape>
          <o:OLEObject Type="Embed" ProgID="PBrush" ShapeID="_x0000_i1035" DrawAspect="Content" ObjectID="_1718632364" r:id="rId30"/>
        </w:object>
      </w:r>
    </w:p>
    <w:p w:rsidR="00F976D1" w:rsidRDefault="00F976D1" w:rsidP="001174AE">
      <w:pPr>
        <w:shd w:val="clear" w:color="auto" w:fill="FFFFFF"/>
        <w:spacing w:line="360" w:lineRule="auto"/>
        <w:jc w:val="both"/>
        <w:rPr>
          <w:rFonts w:ascii="Palatino Linotype" w:eastAsia="Palatino Linotype" w:hAnsi="Palatino Linotype" w:cs="Palatino Linotype"/>
        </w:rPr>
      </w:pPr>
      <w:r>
        <w:object w:dxaOrig="9765" w:dyaOrig="10395">
          <v:shape id="_x0000_i1036" type="#_x0000_t75" style="width:441.75pt;height:470.25pt" o:ole="">
            <v:imagedata r:id="rId31" o:title=""/>
          </v:shape>
          <o:OLEObject Type="Embed" ProgID="PBrush" ShapeID="_x0000_i1036" DrawAspect="Content" ObjectID="_1718632365" r:id="rId32"/>
        </w:object>
      </w:r>
    </w:p>
    <w:p w:rsidR="00F976D1" w:rsidRDefault="00F976D1" w:rsidP="001174AE">
      <w:pPr>
        <w:shd w:val="clear" w:color="auto" w:fill="FFFFFF"/>
        <w:spacing w:line="360" w:lineRule="auto"/>
        <w:jc w:val="both"/>
        <w:rPr>
          <w:rFonts w:ascii="Palatino Linotype" w:eastAsia="Palatino Linotype" w:hAnsi="Palatino Linotype" w:cs="Palatino Linotype"/>
        </w:rPr>
      </w:pPr>
    </w:p>
    <w:p w:rsidR="00F976D1" w:rsidRDefault="00F976D1" w:rsidP="001174AE">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del análisis a las razones o motivos de inconformidad del particular, se aprecia que su inconformidad versa sobre la falta de claridad de la nómina, situación que este organismo garante advirtió al vislumbrar que el </w:t>
      </w:r>
      <w:r w:rsidRPr="00F976D1">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6C292F">
        <w:rPr>
          <w:rFonts w:ascii="Palatino Linotype" w:eastAsia="Palatino Linotype" w:hAnsi="Palatino Linotype" w:cs="Palatino Linotype"/>
        </w:rPr>
        <w:t xml:space="preserve">remitió este archivo en versión pública, esto </w:t>
      </w:r>
      <w:r>
        <w:rPr>
          <w:rFonts w:ascii="Palatino Linotype" w:eastAsia="Palatino Linotype" w:hAnsi="Palatino Linotype" w:cs="Palatino Linotype"/>
        </w:rPr>
        <w:t>test</w:t>
      </w:r>
      <w:r w:rsidR="006C292F">
        <w:rPr>
          <w:rFonts w:ascii="Palatino Linotype" w:eastAsia="Palatino Linotype" w:hAnsi="Palatino Linotype" w:cs="Palatino Linotype"/>
        </w:rPr>
        <w:t>ando</w:t>
      </w:r>
      <w:r>
        <w:rPr>
          <w:rFonts w:ascii="Palatino Linotype" w:eastAsia="Palatino Linotype" w:hAnsi="Palatino Linotype" w:cs="Palatino Linotype"/>
        </w:rPr>
        <w:t xml:space="preserve"> datos de los servidores públicos que son susceptibles de clasificarse como confidenciales, tales como CURP, RFC, número de empleado y clave ISSEMYM</w:t>
      </w:r>
    </w:p>
    <w:p w:rsidR="006C292F" w:rsidRDefault="006C292F" w:rsidP="001174AE">
      <w:pPr>
        <w:shd w:val="clear" w:color="auto" w:fill="FFFFFF"/>
        <w:spacing w:line="360" w:lineRule="auto"/>
        <w:jc w:val="both"/>
        <w:rPr>
          <w:rFonts w:ascii="Palatino Linotype" w:eastAsia="Palatino Linotype" w:hAnsi="Palatino Linotype" w:cs="Palatino Linotype"/>
        </w:rPr>
      </w:pPr>
    </w:p>
    <w:p w:rsidR="001174AE" w:rsidRDefault="006C292F" w:rsidP="00FC0452">
      <w:pPr>
        <w:spacing w:before="240" w:after="240" w:line="360" w:lineRule="auto"/>
        <w:ind w:right="49"/>
        <w:contextualSpacing/>
        <w:jc w:val="both"/>
        <w:rPr>
          <w:rFonts w:ascii="Palatino Linotype" w:eastAsia="Palatino Linotype" w:hAnsi="Palatino Linotype" w:cs="Palatino Linotype"/>
          <w:lang w:eastAsia="es-ES"/>
        </w:rPr>
      </w:pPr>
      <w:r>
        <w:rPr>
          <w:rFonts w:ascii="Palatino Linotype" w:eastAsia="Palatino Linotype" w:hAnsi="Palatino Linotype" w:cs="Palatino Linotype"/>
        </w:rPr>
        <w:t xml:space="preserve">Aunado a lo anterior, </w:t>
      </w:r>
      <w:r w:rsidR="001174AE">
        <w:rPr>
          <w:rFonts w:ascii="Palatino Linotype" w:eastAsia="Palatino Linotype" w:hAnsi="Palatino Linotype" w:cs="Palatino Linotype"/>
        </w:rPr>
        <w:t xml:space="preserve">dicha versión pública no fue acompañada del acuerdo de comité de transparencia en el que se funde y motive el actuar del </w:t>
      </w:r>
      <w:r w:rsidR="001174AE" w:rsidRPr="006C292F">
        <w:rPr>
          <w:rFonts w:ascii="Palatino Linotype" w:eastAsia="Palatino Linotype" w:hAnsi="Palatino Linotype" w:cs="Palatino Linotype"/>
          <w:b/>
        </w:rPr>
        <w:t>Sujeto Obligado</w:t>
      </w:r>
      <w:r w:rsidR="001174AE">
        <w:rPr>
          <w:rFonts w:ascii="Palatino Linotype" w:eastAsia="Palatino Linotype" w:hAnsi="Palatino Linotype" w:cs="Palatino Linotype"/>
        </w:rPr>
        <w:t>, por lo tanto</w:t>
      </w:r>
      <w:r w:rsidR="00FC0452">
        <w:rPr>
          <w:rFonts w:ascii="Palatino Linotype" w:eastAsia="Palatino Linotype" w:hAnsi="Palatino Linotype" w:cs="Palatino Linotype"/>
        </w:rPr>
        <w:t xml:space="preserve">, es necesario </w:t>
      </w:r>
      <w:r w:rsidR="00FC0452" w:rsidRPr="00FC0452">
        <w:rPr>
          <w:rFonts w:ascii="Palatino Linotype" w:hAnsi="Palatino Linotype"/>
          <w:lang w:eastAsia="es-ES"/>
        </w:rPr>
        <w:t xml:space="preserve">que se acompañe el acuerdo del Comité de Transparencia en donde se apruebe la versión pública de la </w:t>
      </w:r>
      <w:r w:rsidR="00FC0452">
        <w:rPr>
          <w:rFonts w:ascii="Palatino Linotype" w:hAnsi="Palatino Linotype"/>
          <w:lang w:eastAsia="es-ES"/>
        </w:rPr>
        <w:t xml:space="preserve">nómina </w:t>
      </w:r>
      <w:r w:rsidR="00FC0452" w:rsidRPr="00FC0452">
        <w:rPr>
          <w:rFonts w:ascii="Palatino Linotype" w:hAnsi="Palatino Linotype"/>
          <w:lang w:eastAsia="es-ES"/>
        </w:rPr>
        <w:t xml:space="preserve">alusiva, ya que en caso contrario </w:t>
      </w:r>
      <w:r w:rsidR="00FC0452" w:rsidRPr="00FC0452">
        <w:rPr>
          <w:rFonts w:ascii="Palatino Linotype" w:hAnsi="Palatino Linotype" w:cs="Arial"/>
          <w:lang w:eastAsia="es-ES"/>
        </w:rPr>
        <w:t xml:space="preserve">se considera que es un </w:t>
      </w:r>
      <w:r w:rsidR="00FC0452">
        <w:rPr>
          <w:rFonts w:ascii="Palatino Linotype" w:hAnsi="Palatino Linotype" w:cs="Arial"/>
          <w:lang w:eastAsia="es-ES"/>
        </w:rPr>
        <w:t xml:space="preserve">documento ilegible e ilegal, esto en razón de </w:t>
      </w:r>
      <w:r w:rsidR="00FC0452" w:rsidRPr="00FC0452">
        <w:rPr>
          <w:rFonts w:ascii="Palatino Linotype" w:hAnsi="Palatino Linotype" w:cs="Arial"/>
          <w:lang w:eastAsia="es-ES"/>
        </w:rPr>
        <w:t xml:space="preserve">que </w:t>
      </w:r>
      <w:r w:rsidR="00FC0452" w:rsidRPr="00FC0452">
        <w:rPr>
          <w:rFonts w:ascii="Palatino Linotype" w:eastAsia="Palatino Linotype" w:hAnsi="Palatino Linotype" w:cs="Palatino Linotype"/>
          <w:lang w:eastAsia="es-ES"/>
        </w:rPr>
        <w:t>los artículos 12</w:t>
      </w:r>
      <w:r w:rsidR="00FC0452" w:rsidRPr="00FC0452">
        <w:rPr>
          <w:rFonts w:ascii="Palatino Linotype" w:eastAsia="Palatino Linotype" w:hAnsi="Palatino Linotype" w:cs="Palatino Linotype"/>
          <w:vertAlign w:val="superscript"/>
          <w:lang w:eastAsia="es-ES"/>
        </w:rPr>
        <w:footnoteReference w:id="5"/>
      </w:r>
      <w:r w:rsidR="00FC0452" w:rsidRPr="00FC0452">
        <w:rPr>
          <w:rFonts w:ascii="Palatino Linotype" w:eastAsia="Palatino Linotype" w:hAnsi="Palatino Linotype" w:cs="Palatino Linotype"/>
          <w:lang w:eastAsia="es-ES"/>
        </w:rPr>
        <w:t xml:space="preserve"> y 23 fracción, IV</w:t>
      </w:r>
      <w:r w:rsidR="00FC0452" w:rsidRPr="00FC0452">
        <w:rPr>
          <w:rFonts w:ascii="Palatino Linotype" w:eastAsia="Palatino Linotype" w:hAnsi="Palatino Linotype" w:cs="Palatino Linotype"/>
          <w:vertAlign w:val="superscript"/>
          <w:lang w:eastAsia="es-ES"/>
        </w:rPr>
        <w:footnoteReference w:id="6"/>
      </w:r>
      <w:r w:rsidR="00FC0452" w:rsidRPr="00FC0452">
        <w:rPr>
          <w:rFonts w:ascii="Palatino Linotype" w:eastAsia="Palatino Linotype" w:hAnsi="Palatino Linotype" w:cs="Palatino Linotype"/>
          <w:lang w:eastAsia="es-ES"/>
        </w:rPr>
        <w:t xml:space="preserve"> de la Ley de la Materia, establecen que los Sujetos Obligados tiene la obligación de transparentar y permitir el acceso a toda la </w:t>
      </w:r>
      <w:r w:rsidR="00FC0452" w:rsidRPr="00FC0452">
        <w:rPr>
          <w:rFonts w:ascii="Palatino Linotype" w:eastAsia="Palatino Linotype" w:hAnsi="Palatino Linotype" w:cs="Palatino Linotype"/>
          <w:lang w:eastAsia="es-ES"/>
        </w:rPr>
        <w:lastRenderedPageBreak/>
        <w:t>información pública que generen, recopilen, administren, manejen, procesen, archiven o conserven; así como proteger los datos personales que obren en su poder.</w:t>
      </w:r>
    </w:p>
    <w:p w:rsidR="00FC0452" w:rsidRDefault="00FC0452" w:rsidP="00FC0452">
      <w:pPr>
        <w:spacing w:before="240" w:after="240" w:line="360" w:lineRule="auto"/>
        <w:ind w:right="49"/>
        <w:contextualSpacing/>
        <w:jc w:val="both"/>
        <w:rPr>
          <w:rFonts w:ascii="Palatino Linotype" w:eastAsia="Palatino Linotype" w:hAnsi="Palatino Linotype" w:cs="Palatino Linotype"/>
          <w:lang w:eastAsia="es-ES"/>
        </w:rPr>
      </w:pPr>
    </w:p>
    <w:p w:rsidR="00FC0452" w:rsidRPr="00FC0452" w:rsidRDefault="00FC0452" w:rsidP="00FC0452">
      <w:pPr>
        <w:spacing w:before="240" w:after="240" w:line="360" w:lineRule="auto"/>
        <w:ind w:right="49"/>
        <w:contextualSpacing/>
        <w:jc w:val="both"/>
        <w:rPr>
          <w:rFonts w:ascii="Palatino Linotype" w:eastAsia="Palatino Linotype" w:hAnsi="Palatino Linotype" w:cs="Palatino Linotype"/>
          <w:lang w:eastAsia="es-ES"/>
        </w:rPr>
      </w:pPr>
      <w:r w:rsidRPr="00FC0452">
        <w:rPr>
          <w:rFonts w:ascii="Palatino Linotype" w:eastAsia="Palatino Linotype" w:hAnsi="Palatino Linotype" w:cs="Palatino Linotype"/>
          <w:lang w:eastAsia="es-ES"/>
        </w:rPr>
        <w:t>Aunque, existen excepciones al derecho de acceso a la información conforme a lo establecido en los artículos 3, fracciones XX, XXI, XXXIV y XLV, 91, 122, 135, 140, 141 y 142 de la repetitiva Ley de Transparencia, los cuales establecen lo siguiente:</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i/>
          <w:sz w:val="22"/>
          <w:szCs w:val="22"/>
          <w:lang w:eastAsia="es-ES"/>
        </w:rPr>
        <w:t>“</w:t>
      </w:r>
      <w:r w:rsidRPr="00FC0452">
        <w:rPr>
          <w:rFonts w:ascii="Palatino Linotype" w:eastAsia="Palatino Linotype" w:hAnsi="Palatino Linotype" w:cs="Palatino Linotype"/>
          <w:b/>
          <w:i/>
          <w:sz w:val="22"/>
          <w:szCs w:val="22"/>
          <w:lang w:eastAsia="es-ES"/>
        </w:rPr>
        <w:t>Artículo 3.</w:t>
      </w:r>
      <w:r w:rsidRPr="00FC0452">
        <w:rPr>
          <w:rFonts w:ascii="Palatino Linotype" w:eastAsia="Palatino Linotype" w:hAnsi="Palatino Linotype" w:cs="Palatino Linotype"/>
          <w:i/>
          <w:sz w:val="22"/>
          <w:szCs w:val="22"/>
          <w:lang w:eastAsia="es-ES"/>
        </w:rPr>
        <w:t xml:space="preserve"> Para los efectos de la presente Ley se entenderá por:…</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XX.</w:t>
      </w:r>
      <w:r w:rsidRPr="00FC0452">
        <w:rPr>
          <w:rFonts w:ascii="Palatino Linotype" w:eastAsia="Palatino Linotype" w:hAnsi="Palatino Linotype" w:cs="Palatino Linotype"/>
          <w:i/>
          <w:sz w:val="22"/>
          <w:szCs w:val="22"/>
          <w:lang w:eastAsia="es-ES"/>
        </w:rPr>
        <w:t xml:space="preserve"> Información clasificada: Aquella considerada por la presente Ley como reservada o confidencial; </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XXI.</w:t>
      </w:r>
      <w:r w:rsidRPr="00FC0452">
        <w:rPr>
          <w:rFonts w:ascii="Palatino Linotype" w:eastAsia="Palatino Linotype" w:hAnsi="Palatino Linotype" w:cs="Palatino Linotype"/>
          <w:i/>
          <w:sz w:val="22"/>
          <w:szCs w:val="22"/>
          <w:lang w:eastAsia="es-ES"/>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i/>
          <w:sz w:val="22"/>
          <w:szCs w:val="22"/>
          <w:lang w:eastAsia="es-ES"/>
        </w:rPr>
        <w:t>…</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XXXIV</w:t>
      </w:r>
      <w:r w:rsidRPr="00FC0452">
        <w:rPr>
          <w:rFonts w:ascii="Palatino Linotype" w:eastAsia="Palatino Linotype" w:hAnsi="Palatino Linotype" w:cs="Palatino Linotype"/>
          <w:i/>
          <w:sz w:val="22"/>
          <w:szCs w:val="22"/>
          <w:lang w:eastAsia="es-ES"/>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i/>
          <w:sz w:val="22"/>
          <w:szCs w:val="22"/>
          <w:lang w:eastAsia="es-ES"/>
        </w:rPr>
        <w:t>…</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XLV.</w:t>
      </w:r>
      <w:r w:rsidRPr="00FC0452">
        <w:rPr>
          <w:rFonts w:ascii="Palatino Linotype" w:eastAsia="Palatino Linotype" w:hAnsi="Palatino Linotype" w:cs="Palatino Linotype"/>
          <w:i/>
          <w:sz w:val="22"/>
          <w:szCs w:val="22"/>
          <w:lang w:eastAsia="es-ES"/>
        </w:rPr>
        <w:t xml:space="preserve"> Versión pública: Documento en el que se elimine, suprime o borra la información clasificada como reservada o confidencial para permitir su acceso</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Artículo 91.</w:t>
      </w:r>
      <w:r w:rsidRPr="00FC0452">
        <w:rPr>
          <w:rFonts w:ascii="Palatino Linotype" w:eastAsia="Palatino Linotype" w:hAnsi="Palatino Linotype" w:cs="Palatino Linotype"/>
          <w:i/>
          <w:sz w:val="22"/>
          <w:szCs w:val="22"/>
          <w:lang w:eastAsia="es-ES"/>
        </w:rPr>
        <w:t xml:space="preserve"> El acceso a la información pública será restringido excepcionalmente, cuando ésta sea clasificada como reservada o confidencial.</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Artículo 122.</w:t>
      </w:r>
      <w:r w:rsidRPr="00FC0452">
        <w:rPr>
          <w:rFonts w:ascii="Palatino Linotype" w:eastAsia="Palatino Linotype" w:hAnsi="Palatino Linotype" w:cs="Palatino Linotype"/>
          <w:i/>
          <w:sz w:val="22"/>
          <w:szCs w:val="22"/>
          <w:lang w:eastAsia="es-ES"/>
        </w:rPr>
        <w:t xml:space="preserve"> La clasificación es el proceso mediante el cual el sujeto obligado determina que la información en su poder </w:t>
      </w:r>
      <w:proofErr w:type="spellStart"/>
      <w:r w:rsidRPr="00FC0452">
        <w:rPr>
          <w:rFonts w:ascii="Palatino Linotype" w:eastAsia="Palatino Linotype" w:hAnsi="Palatino Linotype" w:cs="Palatino Linotype"/>
          <w:i/>
          <w:sz w:val="22"/>
          <w:szCs w:val="22"/>
          <w:lang w:eastAsia="es-ES"/>
        </w:rPr>
        <w:t>actualiza</w:t>
      </w:r>
      <w:proofErr w:type="spellEnd"/>
      <w:r w:rsidRPr="00FC0452">
        <w:rPr>
          <w:rFonts w:ascii="Palatino Linotype" w:eastAsia="Palatino Linotype" w:hAnsi="Palatino Linotype" w:cs="Palatino Linotype"/>
          <w:i/>
          <w:sz w:val="22"/>
          <w:szCs w:val="22"/>
          <w:lang w:eastAsia="es-ES"/>
        </w:rPr>
        <w:t xml:space="preserve"> alguno de los supuestos de reserva o confidencialidad, de conformidad con lo dispuesto en el presente título.</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highlight w:val="yellow"/>
          <w:lang w:eastAsia="es-ES"/>
        </w:rPr>
      </w:pPr>
      <w:r w:rsidRPr="00FC0452">
        <w:rPr>
          <w:rFonts w:ascii="Palatino Linotype" w:eastAsia="Palatino Linotype" w:hAnsi="Palatino Linotype" w:cs="Palatino Linotype"/>
          <w:i/>
          <w:sz w:val="22"/>
          <w:szCs w:val="22"/>
          <w:lang w:eastAsia="es-ES"/>
        </w:rPr>
        <w:lastRenderedPageBreak/>
        <w:t>Los supuestos de reserva o confidencialidad previstos en las leyes deberán ser acordes con las bases, principios y disposiciones establecidos en la Ley General y, en ningún caso, podrán contravenirla.</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i/>
          <w:sz w:val="22"/>
          <w:szCs w:val="22"/>
          <w:lang w:eastAsia="es-ES"/>
        </w:rPr>
        <w:t>Los titulares de las áreas de los sujetos obligados serán los responsables de clasificar la información, de conformidad con lo dispuesto en la presente Ley y demás disposiciones jurídicas aplicables</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Artículo 135.</w:t>
      </w:r>
      <w:r w:rsidRPr="00FC0452">
        <w:rPr>
          <w:rFonts w:ascii="Palatino Linotype" w:eastAsia="Palatino Linotype" w:hAnsi="Palatino Linotype" w:cs="Palatino Linotype"/>
          <w:i/>
          <w:sz w:val="22"/>
          <w:szCs w:val="22"/>
          <w:lang w:eastAsia="es-ES"/>
        </w:rPr>
        <w:t xml:space="preserve"> Los lineamientos generales que se emitan al respecto en materia de clasificación de la información reservada y confidencial y, para la elaboración de versiones públicas, serán de observancia obligatoria para los sujetos obligados.</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Artículo 143</w:t>
      </w:r>
      <w:r w:rsidRPr="00FC0452">
        <w:rPr>
          <w:rFonts w:ascii="Palatino Linotype" w:eastAsia="Palatino Linotype" w:hAnsi="Palatino Linotype" w:cs="Palatino Linotype"/>
          <w:i/>
          <w:sz w:val="22"/>
          <w:szCs w:val="22"/>
          <w:lang w:eastAsia="es-ES"/>
        </w:rPr>
        <w:t>. Para los efectos de esta Ley se considera información confidencial, la clasificada como tal, de manera permanente, por su naturaleza, cuando:</w:t>
      </w:r>
    </w:p>
    <w:p w:rsidR="00FC0452" w:rsidRPr="00FC0452" w:rsidRDefault="00FC0452" w:rsidP="00FC0452">
      <w:pPr>
        <w:tabs>
          <w:tab w:val="left" w:pos="709"/>
        </w:tabs>
        <w:ind w:left="567" w:right="567"/>
        <w:jc w:val="both"/>
        <w:rPr>
          <w:rFonts w:ascii="Palatino Linotype" w:eastAsia="Palatino Linotype" w:hAnsi="Palatino Linotype" w:cs="Palatino Linotype"/>
          <w:b/>
          <w:i/>
          <w:sz w:val="22"/>
          <w:szCs w:val="22"/>
          <w:lang w:eastAsia="es-ES"/>
        </w:rPr>
      </w:pPr>
      <w:r w:rsidRPr="00FC0452">
        <w:rPr>
          <w:rFonts w:ascii="Palatino Linotype" w:eastAsia="Palatino Linotype" w:hAnsi="Palatino Linotype" w:cs="Palatino Linotype"/>
          <w:b/>
          <w:i/>
          <w:sz w:val="22"/>
          <w:szCs w:val="22"/>
          <w:lang w:eastAsia="es-ES"/>
        </w:rPr>
        <w:t xml:space="preserve">I. Se refiera a la información privada y los datos personales concernientes a una persona física o </w:t>
      </w:r>
      <w:proofErr w:type="gramStart"/>
      <w:r w:rsidRPr="00FC0452">
        <w:rPr>
          <w:rFonts w:ascii="Palatino Linotype" w:eastAsia="Palatino Linotype" w:hAnsi="Palatino Linotype" w:cs="Palatino Linotype"/>
          <w:b/>
          <w:i/>
          <w:sz w:val="22"/>
          <w:szCs w:val="22"/>
          <w:lang w:eastAsia="es-ES"/>
        </w:rPr>
        <w:t>jurídico</w:t>
      </w:r>
      <w:proofErr w:type="gramEnd"/>
      <w:r w:rsidRPr="00FC0452">
        <w:rPr>
          <w:rFonts w:ascii="Palatino Linotype" w:eastAsia="Palatino Linotype" w:hAnsi="Palatino Linotype" w:cs="Palatino Linotype"/>
          <w:b/>
          <w:i/>
          <w:sz w:val="22"/>
          <w:szCs w:val="22"/>
          <w:lang w:eastAsia="es-ES"/>
        </w:rPr>
        <w:t xml:space="preserve"> colectiva identificada o identificable; </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II.</w:t>
      </w:r>
      <w:r w:rsidRPr="00FC0452">
        <w:rPr>
          <w:rFonts w:ascii="Palatino Linotype" w:eastAsia="Palatino Linotype" w:hAnsi="Palatino Linotype" w:cs="Palatino Linotype"/>
          <w:i/>
          <w:sz w:val="22"/>
          <w:szCs w:val="22"/>
          <w:lang w:eastAsia="es-ES"/>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III.</w:t>
      </w:r>
      <w:r w:rsidRPr="00FC0452">
        <w:rPr>
          <w:rFonts w:ascii="Palatino Linotype" w:eastAsia="Palatino Linotype" w:hAnsi="Palatino Linotype" w:cs="Palatino Linotype"/>
          <w:i/>
          <w:sz w:val="22"/>
          <w:szCs w:val="22"/>
          <w:lang w:eastAsia="es-ES"/>
        </w:rPr>
        <w:t xml:space="preserve"> La que presenten los particulares a los sujetos obligados, de conformidad con lo dispuesto por las leyes o los tratados internacionales.</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i/>
          <w:sz w:val="22"/>
          <w:szCs w:val="22"/>
          <w:lang w:eastAsia="es-ES"/>
        </w:rPr>
        <w:t>La información confidencial no estará sujeta a temporalidad alguna y sólo podrán tener acceso a ella los titulares de la misma, sus representantes y los servidores públicos facultados para ello.</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i/>
          <w:sz w:val="22"/>
          <w:szCs w:val="22"/>
          <w:lang w:eastAsia="es-ES"/>
        </w:rPr>
        <w:t>No se considerará confidencial la información que se encuentre en los registros públicos o en fuentes de acceso público, ni tampoco la que sea considerada por la presente ley como información pública.</w:t>
      </w:r>
    </w:p>
    <w:p w:rsidR="00FC0452" w:rsidRPr="00FC0452" w:rsidRDefault="00FC0452" w:rsidP="00FC0452">
      <w:pPr>
        <w:tabs>
          <w:tab w:val="left" w:pos="709"/>
        </w:tabs>
        <w:ind w:left="567" w:right="567"/>
        <w:jc w:val="both"/>
        <w:rPr>
          <w:rFonts w:ascii="Palatino Linotype" w:eastAsia="Palatino Linotype" w:hAnsi="Palatino Linotype" w:cs="Palatino Linotype"/>
          <w:b/>
          <w:i/>
          <w:sz w:val="22"/>
          <w:szCs w:val="22"/>
          <w:lang w:eastAsia="es-ES"/>
        </w:rPr>
      </w:pPr>
      <w:r w:rsidRPr="00FC0452">
        <w:rPr>
          <w:rFonts w:ascii="Palatino Linotype" w:eastAsia="Palatino Linotype" w:hAnsi="Palatino Linotype" w:cs="Palatino Linotype"/>
          <w:b/>
          <w:i/>
          <w:sz w:val="22"/>
          <w:szCs w:val="22"/>
          <w:lang w:eastAsia="es-ES"/>
        </w:rPr>
        <w:t>Artículo 147. Para que los sujetos obligados puedan permitir el acceso a información confidencial requieren obtener el consentimiento de los particulares titulares de la información.</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Artículo 148.</w:t>
      </w:r>
      <w:r w:rsidRPr="00FC0452">
        <w:rPr>
          <w:rFonts w:ascii="Palatino Linotype" w:eastAsia="Palatino Linotype" w:hAnsi="Palatino Linotype" w:cs="Palatino Linotype"/>
          <w:i/>
          <w:sz w:val="22"/>
          <w:szCs w:val="22"/>
          <w:lang w:eastAsia="es-ES"/>
        </w:rPr>
        <w:t xml:space="preserve"> No se requerirá el consentimiento del titular de la información confidencial cuando:</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I.</w:t>
      </w:r>
      <w:r w:rsidRPr="00FC0452">
        <w:rPr>
          <w:rFonts w:ascii="Palatino Linotype" w:eastAsia="Palatino Linotype" w:hAnsi="Palatino Linotype" w:cs="Palatino Linotype"/>
          <w:i/>
          <w:sz w:val="22"/>
          <w:szCs w:val="22"/>
          <w:lang w:eastAsia="es-ES"/>
        </w:rPr>
        <w:t xml:space="preserve"> La información se encuentre en registros públicos o fuentes de acceso público;</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II.</w:t>
      </w:r>
      <w:r w:rsidRPr="00FC0452">
        <w:rPr>
          <w:rFonts w:ascii="Palatino Linotype" w:eastAsia="Palatino Linotype" w:hAnsi="Palatino Linotype" w:cs="Palatino Linotype"/>
          <w:i/>
          <w:sz w:val="22"/>
          <w:szCs w:val="22"/>
          <w:lang w:eastAsia="es-ES"/>
        </w:rPr>
        <w:t xml:space="preserve"> Por Ley tenga el carácter de pública;</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III</w:t>
      </w:r>
      <w:r w:rsidRPr="00FC0452">
        <w:rPr>
          <w:rFonts w:ascii="Palatino Linotype" w:eastAsia="Palatino Linotype" w:hAnsi="Palatino Linotype" w:cs="Palatino Linotype"/>
          <w:i/>
          <w:sz w:val="22"/>
          <w:szCs w:val="22"/>
          <w:lang w:eastAsia="es-ES"/>
        </w:rPr>
        <w:t>. Exista una orden judicial;</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lastRenderedPageBreak/>
        <w:t>IV.</w:t>
      </w:r>
      <w:r w:rsidRPr="00FC0452">
        <w:rPr>
          <w:rFonts w:ascii="Palatino Linotype" w:eastAsia="Palatino Linotype" w:hAnsi="Palatino Linotype" w:cs="Palatino Linotype"/>
          <w:i/>
          <w:sz w:val="22"/>
          <w:szCs w:val="22"/>
          <w:lang w:eastAsia="es-ES"/>
        </w:rPr>
        <w:t xml:space="preserve"> Por razones de seguridad pública, o para proteger los derechos de terceros, se requiera su publicación; o</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V.</w:t>
      </w:r>
      <w:r w:rsidRPr="00FC0452">
        <w:rPr>
          <w:rFonts w:ascii="Palatino Linotype" w:eastAsia="Palatino Linotype" w:hAnsi="Palatino Linotype" w:cs="Palatino Linotype"/>
          <w:i/>
          <w:sz w:val="22"/>
          <w:szCs w:val="22"/>
          <w:lang w:eastAsia="es-ES"/>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i/>
          <w:sz w:val="22"/>
          <w:szCs w:val="22"/>
          <w:lang w:eastAsia="es-ES"/>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Artículo 149.</w:t>
      </w:r>
      <w:r w:rsidRPr="00FC0452">
        <w:rPr>
          <w:rFonts w:ascii="Palatino Linotype" w:eastAsia="Palatino Linotype" w:hAnsi="Palatino Linotype" w:cs="Palatino Linotype"/>
          <w:i/>
          <w:sz w:val="22"/>
          <w:szCs w:val="22"/>
          <w:lang w:eastAsia="es-ES"/>
        </w:rPr>
        <w:t xml:space="preserve"> El acuerdo que clasifique la información como confidencial deberá contener un razonamiento lógico en el que demuestre que la información se encuentra en alguna o algunas de las hipótesis previstas en la presente Ley.” (Sic)</w:t>
      </w:r>
    </w:p>
    <w:p w:rsidR="00FC0452" w:rsidRPr="00FC0452" w:rsidRDefault="00FC0452" w:rsidP="00FC0452">
      <w:pPr>
        <w:tabs>
          <w:tab w:val="left" w:pos="709"/>
        </w:tabs>
        <w:ind w:left="567" w:right="567"/>
        <w:jc w:val="both"/>
        <w:rPr>
          <w:rFonts w:ascii="Palatino Linotype" w:eastAsia="Palatino Linotype" w:hAnsi="Palatino Linotype" w:cs="Palatino Linotype"/>
          <w:i/>
          <w:sz w:val="22"/>
          <w:szCs w:val="22"/>
          <w:lang w:eastAsia="es-ES"/>
        </w:rPr>
      </w:pPr>
    </w:p>
    <w:p w:rsidR="00FC0452" w:rsidRPr="00FC0452" w:rsidRDefault="00FC0452" w:rsidP="00FC0452">
      <w:pPr>
        <w:spacing w:line="360" w:lineRule="auto"/>
        <w:jc w:val="both"/>
        <w:rPr>
          <w:rFonts w:ascii="Palatino Linotype" w:eastAsia="Palatino Linotype" w:hAnsi="Palatino Linotype" w:cs="Palatino Linotype"/>
          <w:lang w:eastAsia="es-ES"/>
        </w:rPr>
      </w:pPr>
      <w:r w:rsidRPr="00FC0452">
        <w:rPr>
          <w:rFonts w:ascii="Palatino Linotype" w:eastAsia="Palatino Linotype" w:hAnsi="Palatino Linotype" w:cs="Palatino Linotype"/>
          <w:lang w:eastAsia="es-ES"/>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rsidR="00FC0452" w:rsidRDefault="00FC0452" w:rsidP="00FC0452">
      <w:pPr>
        <w:spacing w:before="240" w:after="240" w:line="360" w:lineRule="auto"/>
        <w:ind w:right="49"/>
        <w:contextualSpacing/>
        <w:jc w:val="both"/>
        <w:rPr>
          <w:rFonts w:ascii="Palatino Linotype" w:eastAsia="Palatino Linotype" w:hAnsi="Palatino Linotype" w:cs="Palatino Linotype"/>
          <w:lang w:eastAsia="es-ES"/>
        </w:rPr>
      </w:pPr>
    </w:p>
    <w:p w:rsidR="00FC0452" w:rsidRPr="00FC0452" w:rsidRDefault="00FC0452" w:rsidP="00FC0452">
      <w:pPr>
        <w:spacing w:line="360" w:lineRule="auto"/>
        <w:jc w:val="both"/>
        <w:rPr>
          <w:rFonts w:ascii="Palatino Linotype" w:eastAsia="Palatino Linotype" w:hAnsi="Palatino Linotype" w:cs="Palatino Linotype"/>
          <w:lang w:eastAsia="es-ES"/>
        </w:rPr>
      </w:pPr>
      <w:r w:rsidRPr="00FC0452">
        <w:rPr>
          <w:rFonts w:ascii="Palatino Linotype" w:eastAsia="Palatino Linotype" w:hAnsi="Palatino Linotype" w:cs="Palatino Linotype"/>
          <w:lang w:eastAsia="es-ES"/>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w:t>
      </w:r>
      <w:r w:rsidRPr="00FC0452">
        <w:rPr>
          <w:rFonts w:ascii="Palatino Linotype" w:eastAsia="Palatino Linotype" w:hAnsi="Palatino Linotype" w:cs="Palatino Linotype"/>
          <w:lang w:eastAsia="es-ES"/>
        </w:rPr>
        <w:lastRenderedPageBreak/>
        <w:t>derecho internacional o a Sujetos Obligados cuando no involucren el ejercicio de recursos públicos y la que presenten los particulares a los Sujetos Obligados, de conformidad con lo dispuesto por las leyes o los tratados internacionales.</w:t>
      </w:r>
    </w:p>
    <w:p w:rsidR="00FC0452" w:rsidRPr="00FC0452" w:rsidRDefault="00FC0452" w:rsidP="00FC0452">
      <w:pPr>
        <w:spacing w:line="360" w:lineRule="auto"/>
        <w:jc w:val="both"/>
        <w:rPr>
          <w:rFonts w:ascii="Palatino Linotype" w:eastAsia="Palatino Linotype" w:hAnsi="Palatino Linotype" w:cs="Palatino Linotype"/>
          <w:lang w:eastAsia="es-ES"/>
        </w:rPr>
      </w:pPr>
    </w:p>
    <w:p w:rsidR="00FC0452" w:rsidRPr="00FC0452" w:rsidRDefault="00FC0452" w:rsidP="00FC0452">
      <w:pPr>
        <w:spacing w:line="360" w:lineRule="auto"/>
        <w:jc w:val="both"/>
        <w:rPr>
          <w:rFonts w:ascii="Palatino Linotype" w:eastAsia="Palatino Linotype" w:hAnsi="Palatino Linotype" w:cs="Palatino Linotype"/>
          <w:lang w:eastAsia="es-ES"/>
        </w:rPr>
      </w:pPr>
      <w:r w:rsidRPr="00FC0452">
        <w:rPr>
          <w:rFonts w:ascii="Palatino Linotype" w:eastAsia="Palatino Linotype" w:hAnsi="Palatino Linotype" w:cs="Palatino Linotype"/>
          <w:lang w:eastAsia="es-ES"/>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FC0452" w:rsidRPr="00FC0452" w:rsidRDefault="00FC0452" w:rsidP="00FC0452">
      <w:pPr>
        <w:spacing w:line="360" w:lineRule="auto"/>
        <w:jc w:val="both"/>
        <w:rPr>
          <w:rFonts w:ascii="Palatino Linotype" w:eastAsia="Palatino Linotype" w:hAnsi="Palatino Linotype" w:cs="Palatino Linotype"/>
          <w:lang w:eastAsia="es-ES"/>
        </w:rPr>
      </w:pPr>
    </w:p>
    <w:p w:rsidR="00FC0452" w:rsidRPr="00FC0452" w:rsidRDefault="00FC0452" w:rsidP="00FC0452">
      <w:pPr>
        <w:ind w:left="567" w:right="616"/>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i/>
          <w:sz w:val="22"/>
          <w:szCs w:val="22"/>
          <w:lang w:eastAsia="es-ES"/>
        </w:rPr>
        <w:t>“</w:t>
      </w:r>
      <w:r w:rsidRPr="00FC0452">
        <w:rPr>
          <w:rFonts w:ascii="Palatino Linotype" w:eastAsia="Palatino Linotype" w:hAnsi="Palatino Linotype" w:cs="Palatino Linotype"/>
          <w:b/>
          <w:i/>
          <w:sz w:val="22"/>
          <w:szCs w:val="22"/>
          <w:lang w:eastAsia="es-ES"/>
        </w:rPr>
        <w:t>Artículo 168</w:t>
      </w:r>
      <w:r w:rsidRPr="00FC0452">
        <w:rPr>
          <w:rFonts w:ascii="Palatino Linotype" w:eastAsia="Palatino Linotype" w:hAnsi="Palatino Linotype" w:cs="Palatino Linotype"/>
          <w:i/>
          <w:sz w:val="22"/>
          <w:szCs w:val="22"/>
          <w:lang w:eastAsia="es-ES"/>
        </w:rPr>
        <w:t>. En caso de que los sujetos obligados consideren que los documentos o la información deban ser clasificados, se sujetará a lo siguiente:</w:t>
      </w:r>
    </w:p>
    <w:p w:rsidR="00FC0452" w:rsidRPr="00FC0452" w:rsidRDefault="00FC0452" w:rsidP="00FC0452">
      <w:pPr>
        <w:ind w:left="567" w:right="616"/>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I.</w:t>
      </w:r>
      <w:r w:rsidRPr="00FC0452">
        <w:rPr>
          <w:rFonts w:ascii="Palatino Linotype" w:eastAsia="Palatino Linotype" w:hAnsi="Palatino Linotype" w:cs="Palatino Linotype"/>
          <w:i/>
          <w:sz w:val="22"/>
          <w:szCs w:val="22"/>
          <w:lang w:eastAsia="es-ES"/>
        </w:rPr>
        <w:t xml:space="preserve"> El Área deberá remitir la solicitud, así como un escrito en el que </w:t>
      </w:r>
      <w:r w:rsidRPr="00FC0452">
        <w:rPr>
          <w:rFonts w:ascii="Palatino Linotype" w:eastAsia="Palatino Linotype" w:hAnsi="Palatino Linotype" w:cs="Palatino Linotype"/>
          <w:b/>
          <w:i/>
          <w:sz w:val="22"/>
          <w:szCs w:val="22"/>
          <w:lang w:eastAsia="es-ES"/>
        </w:rPr>
        <w:t>funde y motive la clasificación al Comité de Transparencia</w:t>
      </w:r>
      <w:r w:rsidRPr="00FC0452">
        <w:rPr>
          <w:rFonts w:ascii="Palatino Linotype" w:eastAsia="Palatino Linotype" w:hAnsi="Palatino Linotype" w:cs="Palatino Linotype"/>
          <w:i/>
          <w:sz w:val="22"/>
          <w:szCs w:val="22"/>
          <w:lang w:eastAsia="es-ES"/>
        </w:rPr>
        <w:t>, mismo que deberá resolver para:</w:t>
      </w:r>
    </w:p>
    <w:p w:rsidR="00FC0452" w:rsidRPr="00FC0452" w:rsidRDefault="00FC0452" w:rsidP="00FC0452">
      <w:pPr>
        <w:ind w:left="567" w:right="616"/>
        <w:jc w:val="both"/>
        <w:rPr>
          <w:rFonts w:ascii="Palatino Linotype" w:eastAsia="Palatino Linotype" w:hAnsi="Palatino Linotype" w:cs="Palatino Linotype"/>
          <w:b/>
          <w:i/>
          <w:sz w:val="22"/>
          <w:szCs w:val="22"/>
          <w:lang w:eastAsia="es-ES"/>
        </w:rPr>
      </w:pPr>
      <w:r w:rsidRPr="00FC0452">
        <w:rPr>
          <w:rFonts w:ascii="Palatino Linotype" w:eastAsia="Palatino Linotype" w:hAnsi="Palatino Linotype" w:cs="Palatino Linotype"/>
          <w:i/>
          <w:sz w:val="22"/>
          <w:szCs w:val="22"/>
          <w:lang w:eastAsia="es-ES"/>
        </w:rPr>
        <w:t>a</w:t>
      </w:r>
      <w:r w:rsidRPr="00FC0452">
        <w:rPr>
          <w:rFonts w:ascii="Palatino Linotype" w:eastAsia="Palatino Linotype" w:hAnsi="Palatino Linotype" w:cs="Palatino Linotype"/>
          <w:b/>
          <w:i/>
          <w:sz w:val="22"/>
          <w:szCs w:val="22"/>
          <w:lang w:eastAsia="es-ES"/>
        </w:rPr>
        <w:t>) Confirmar la clasificación;</w:t>
      </w:r>
    </w:p>
    <w:p w:rsidR="00FC0452" w:rsidRPr="00FC0452" w:rsidRDefault="00FC0452" w:rsidP="00FC0452">
      <w:pPr>
        <w:ind w:left="567" w:right="616"/>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i/>
          <w:sz w:val="22"/>
          <w:szCs w:val="22"/>
          <w:lang w:eastAsia="es-ES"/>
        </w:rPr>
        <w:t>b) Modificar la clasificación y otorgar total o parcialmente el acceso a la información; y c) Revocar la clasificación y conceder el acceso a la información.</w:t>
      </w:r>
    </w:p>
    <w:p w:rsidR="00FC0452" w:rsidRPr="00FC0452" w:rsidRDefault="00FC0452" w:rsidP="00FC0452">
      <w:pPr>
        <w:ind w:left="567" w:right="616"/>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II.</w:t>
      </w:r>
      <w:r w:rsidRPr="00FC0452">
        <w:rPr>
          <w:rFonts w:ascii="Palatino Linotype" w:eastAsia="Palatino Linotype" w:hAnsi="Palatino Linotype" w:cs="Palatino Linotype"/>
          <w:i/>
          <w:sz w:val="22"/>
          <w:szCs w:val="22"/>
          <w:lang w:eastAsia="es-ES"/>
        </w:rPr>
        <w:t xml:space="preserve"> El Comité de Transparencia podrá tener acceso a la información que esté en poder del Área correspondiente, de la cual se haya solicitado su clasificación; y</w:t>
      </w:r>
    </w:p>
    <w:p w:rsidR="00FC0452" w:rsidRPr="00FC0452" w:rsidRDefault="00FC0452" w:rsidP="00FC0452">
      <w:pPr>
        <w:ind w:left="567" w:right="616"/>
        <w:jc w:val="both"/>
        <w:rPr>
          <w:rFonts w:ascii="Palatino Linotype" w:eastAsia="Palatino Linotype" w:hAnsi="Palatino Linotype" w:cs="Palatino Linotype"/>
          <w:i/>
          <w:sz w:val="22"/>
          <w:szCs w:val="22"/>
          <w:lang w:eastAsia="es-ES"/>
        </w:rPr>
      </w:pPr>
      <w:r w:rsidRPr="00FC0452">
        <w:rPr>
          <w:rFonts w:ascii="Palatino Linotype" w:eastAsia="Palatino Linotype" w:hAnsi="Palatino Linotype" w:cs="Palatino Linotype"/>
          <w:b/>
          <w:i/>
          <w:sz w:val="22"/>
          <w:szCs w:val="22"/>
          <w:lang w:eastAsia="es-ES"/>
        </w:rPr>
        <w:t>III.</w:t>
      </w:r>
      <w:r w:rsidRPr="00FC0452">
        <w:rPr>
          <w:rFonts w:ascii="Palatino Linotype" w:eastAsia="Palatino Linotype" w:hAnsi="Palatino Linotype" w:cs="Palatino Linotype"/>
          <w:i/>
          <w:sz w:val="22"/>
          <w:szCs w:val="22"/>
          <w:lang w:eastAsia="es-ES"/>
        </w:rPr>
        <w:t xml:space="preserve"> La resolución del Comité de Transparencia será notificada al interesado en el plazo de respuesta a la solicitud que establece esta Ley.</w:t>
      </w:r>
    </w:p>
    <w:p w:rsidR="00FC0452" w:rsidRPr="00FC0452" w:rsidRDefault="00FC0452" w:rsidP="00FC0452">
      <w:pPr>
        <w:spacing w:line="360" w:lineRule="auto"/>
        <w:jc w:val="both"/>
        <w:rPr>
          <w:rFonts w:ascii="Palatino Linotype" w:eastAsia="Palatino Linotype" w:hAnsi="Palatino Linotype" w:cs="Palatino Linotype"/>
          <w:lang w:eastAsia="es-ES"/>
        </w:rPr>
      </w:pPr>
    </w:p>
    <w:p w:rsidR="00FC0452" w:rsidRPr="00FC0452" w:rsidRDefault="00FC0452" w:rsidP="00FC0452">
      <w:pPr>
        <w:spacing w:line="360" w:lineRule="auto"/>
        <w:jc w:val="both"/>
        <w:rPr>
          <w:rFonts w:ascii="Palatino Linotype" w:eastAsia="Palatino Linotype" w:hAnsi="Palatino Linotype" w:cs="Palatino Linotype"/>
          <w:lang w:eastAsia="es-ES"/>
        </w:rPr>
      </w:pPr>
      <w:r w:rsidRPr="00FC0452">
        <w:rPr>
          <w:rFonts w:ascii="Palatino Linotype" w:eastAsia="Palatino Linotype" w:hAnsi="Palatino Linotype" w:cs="Palatino Linotype"/>
          <w:lang w:eastAsia="es-ES"/>
        </w:rPr>
        <w:t xml:space="preserve">Hechas estas precisiones, se advierte que el </w:t>
      </w:r>
      <w:r w:rsidRPr="00FC0452">
        <w:rPr>
          <w:rFonts w:ascii="Palatino Linotype" w:eastAsia="Palatino Linotype" w:hAnsi="Palatino Linotype" w:cs="Palatino Linotype"/>
          <w:b/>
          <w:lang w:eastAsia="es-ES"/>
        </w:rPr>
        <w:t>Sujeto Obligado</w:t>
      </w:r>
      <w:r w:rsidRPr="00FC0452">
        <w:rPr>
          <w:rFonts w:ascii="Palatino Linotype" w:eastAsia="Palatino Linotype" w:hAnsi="Palatino Linotype" w:cs="Palatino Linotype"/>
          <w:lang w:eastAsia="es-ES"/>
        </w:rPr>
        <w:t xml:space="preserve"> no cumplió con lo señalado en lo procedente, al omitir acompañar el acuerdo de su Comité de </w:t>
      </w:r>
      <w:r w:rsidRPr="00FC0452">
        <w:rPr>
          <w:rFonts w:ascii="Palatino Linotype" w:eastAsia="Palatino Linotype" w:hAnsi="Palatino Linotype" w:cs="Palatino Linotype"/>
          <w:lang w:eastAsia="es-ES"/>
        </w:rPr>
        <w:lastRenderedPageBreak/>
        <w:t>Transparencia que funde y motive del por</w:t>
      </w:r>
      <w:r>
        <w:rPr>
          <w:rFonts w:ascii="Palatino Linotype" w:eastAsia="Palatino Linotype" w:hAnsi="Palatino Linotype" w:cs="Palatino Linotype"/>
          <w:lang w:eastAsia="es-ES"/>
        </w:rPr>
        <w:t xml:space="preserve"> </w:t>
      </w:r>
      <w:r w:rsidRPr="00FC0452">
        <w:rPr>
          <w:rFonts w:ascii="Palatino Linotype" w:eastAsia="Palatino Linotype" w:hAnsi="Palatino Linotype" w:cs="Palatino Linotype"/>
          <w:lang w:eastAsia="es-ES"/>
        </w:rPr>
        <w:t>qué</w:t>
      </w:r>
      <w:r>
        <w:rPr>
          <w:rFonts w:ascii="Palatino Linotype" w:eastAsia="Palatino Linotype" w:hAnsi="Palatino Linotype" w:cs="Palatino Linotype"/>
          <w:lang w:eastAsia="es-ES"/>
        </w:rPr>
        <w:t xml:space="preserve"> testó</w:t>
      </w:r>
      <w:r w:rsidRPr="00FC0452">
        <w:rPr>
          <w:rFonts w:ascii="Palatino Linotype" w:eastAsia="Palatino Linotype" w:hAnsi="Palatino Linotype" w:cs="Palatino Linotype"/>
          <w:lang w:eastAsia="es-ES"/>
        </w:rPr>
        <w:t xml:space="preserve"> </w:t>
      </w:r>
      <w:r>
        <w:rPr>
          <w:rFonts w:ascii="Palatino Linotype" w:eastAsia="Palatino Linotype" w:hAnsi="Palatino Linotype" w:cs="Palatino Linotype"/>
          <w:lang w:eastAsia="es-ES"/>
        </w:rPr>
        <w:t xml:space="preserve">los tres rubros de la nómina </w:t>
      </w:r>
      <w:r w:rsidRPr="00FC0452">
        <w:rPr>
          <w:rFonts w:ascii="Palatino Linotype" w:eastAsia="Palatino Linotype" w:hAnsi="Palatino Linotype" w:cs="Palatino Linotype"/>
          <w:lang w:eastAsia="es-ES"/>
        </w:rPr>
        <w:t>alusiva, siendo incongruente y creando con ello una incertidumbre jurídica, por no sustentar la versión pública de los datos señalados, contraviniendo lo establecido por el artículo 9, fracción I</w:t>
      </w:r>
      <w:r w:rsidRPr="00FC0452">
        <w:rPr>
          <w:rFonts w:ascii="Palatino Linotype" w:eastAsia="Palatino Linotype" w:hAnsi="Palatino Linotype" w:cs="Palatino Linotype"/>
          <w:vertAlign w:val="superscript"/>
          <w:lang w:eastAsia="es-ES"/>
        </w:rPr>
        <w:footnoteReference w:id="7"/>
      </w:r>
      <w:r w:rsidRPr="00FC0452">
        <w:rPr>
          <w:rFonts w:ascii="Palatino Linotype" w:eastAsia="Palatino Linotype" w:hAnsi="Palatino Linotype" w:cs="Palatino Linotype"/>
          <w:lang w:eastAsia="es-ES"/>
        </w:rPr>
        <w:t>, VI, VIII y 11 párrafo primero</w:t>
      </w:r>
      <w:r w:rsidRPr="00FC0452">
        <w:rPr>
          <w:rFonts w:ascii="Palatino Linotype" w:eastAsia="Palatino Linotype" w:hAnsi="Palatino Linotype" w:cs="Palatino Linotype"/>
          <w:vertAlign w:val="superscript"/>
          <w:lang w:eastAsia="es-ES"/>
        </w:rPr>
        <w:footnoteReference w:id="8"/>
      </w:r>
      <w:r w:rsidRPr="00FC0452">
        <w:rPr>
          <w:rFonts w:ascii="Palatino Linotype" w:eastAsia="Palatino Linotype" w:hAnsi="Palatino Linotype" w:cs="Palatino Linotype"/>
          <w:lang w:eastAsia="es-ES"/>
        </w:rPr>
        <w:t xml:space="preserve"> de la ley de la Materia.</w:t>
      </w:r>
    </w:p>
    <w:p w:rsidR="00FC0452" w:rsidRPr="006C292F" w:rsidRDefault="00FC0452" w:rsidP="00FC0452">
      <w:pPr>
        <w:spacing w:before="240" w:after="240" w:line="360" w:lineRule="auto"/>
        <w:ind w:right="49"/>
        <w:contextualSpacing/>
        <w:jc w:val="both"/>
        <w:rPr>
          <w:rFonts w:ascii="Palatino Linotype" w:eastAsia="Palatino Linotype" w:hAnsi="Palatino Linotype" w:cs="Palatino Linotype"/>
          <w:lang w:eastAsia="es-ES"/>
        </w:rPr>
      </w:pPr>
    </w:p>
    <w:p w:rsidR="001174AE" w:rsidRDefault="00FC0452" w:rsidP="001174A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Adicionalmente</w:t>
      </w:r>
      <w:r w:rsidR="001174AE">
        <w:rPr>
          <w:rFonts w:ascii="Palatino Linotype" w:eastAsia="Palatino Linotype" w:hAnsi="Palatino Linotype" w:cs="Palatino Linotype"/>
        </w:rPr>
        <w:t xml:space="preserve">, no se advierte que el </w:t>
      </w:r>
      <w:r w:rsidR="001174AE" w:rsidRPr="006C292F">
        <w:rPr>
          <w:rFonts w:ascii="Palatino Linotype" w:eastAsia="Palatino Linotype" w:hAnsi="Palatino Linotype" w:cs="Palatino Linotype"/>
          <w:b/>
        </w:rPr>
        <w:t xml:space="preserve">Sujeto </w:t>
      </w:r>
      <w:r w:rsidR="006C292F" w:rsidRPr="006C292F">
        <w:rPr>
          <w:rFonts w:ascii="Palatino Linotype" w:eastAsia="Palatino Linotype" w:hAnsi="Palatino Linotype" w:cs="Palatino Linotype"/>
          <w:b/>
        </w:rPr>
        <w:t>Obligado</w:t>
      </w:r>
      <w:r w:rsidR="006C292F">
        <w:rPr>
          <w:rFonts w:ascii="Palatino Linotype" w:eastAsia="Palatino Linotype" w:hAnsi="Palatino Linotype" w:cs="Palatino Linotype"/>
        </w:rPr>
        <w:t xml:space="preserve"> </w:t>
      </w:r>
      <w:r w:rsidR="001174AE">
        <w:rPr>
          <w:rFonts w:ascii="Palatino Linotype" w:eastAsia="Palatino Linotype" w:hAnsi="Palatino Linotype" w:cs="Palatino Linotype"/>
        </w:rPr>
        <w:t xml:space="preserve">hubiese expresado el artículo, fracción, inciso o </w:t>
      </w:r>
      <w:proofErr w:type="spellStart"/>
      <w:r w:rsidR="001174AE">
        <w:rPr>
          <w:rFonts w:ascii="Palatino Linotype" w:eastAsia="Palatino Linotype" w:hAnsi="Palatino Linotype" w:cs="Palatino Linotype"/>
        </w:rPr>
        <w:t>subinciso</w:t>
      </w:r>
      <w:proofErr w:type="spellEnd"/>
      <w:r w:rsidR="001174AE">
        <w:rPr>
          <w:rFonts w:ascii="Palatino Linotype" w:eastAsia="Palatino Linotype" w:hAnsi="Palatino Linotype" w:cs="Palatino Linotype"/>
        </w:rPr>
        <w:t xml:space="preserve"> de la legislación aplicable a la materia, que establece de manera expresa la naturaleza jurídica de todos y cada uno de los datos contenidos en los recibos de nómina que entregó en respuesta, lo anterior, con la finalidad de justificar la procedencia de omitirlos o testarlos, en consecuencia, el actuar del Sujeto Obligado </w:t>
      </w:r>
      <w:r w:rsidR="001174AE">
        <w:rPr>
          <w:rFonts w:ascii="Palatino Linotype" w:eastAsia="Palatino Linotype" w:hAnsi="Palatino Linotype" w:cs="Palatino Linotype"/>
          <w:color w:val="222222"/>
        </w:rPr>
        <w:t xml:space="preserve">carece de fundamentación y motivación, consistentes en la </w:t>
      </w:r>
      <w:r w:rsidR="001174AE">
        <w:rPr>
          <w:rFonts w:ascii="Palatino Linotype" w:eastAsia="Palatino Linotype" w:hAnsi="Palatino Linotype" w:cs="Palatino Linotype"/>
        </w:rPr>
        <w:t>obligación que tiene todo ente público de expresar los preceptos jurídicos aplicables al asunto motivo del acto y las razones o argumentos de su actuar.</w:t>
      </w:r>
    </w:p>
    <w:p w:rsidR="001174AE" w:rsidRDefault="001174AE" w:rsidP="001174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el máximo tribunal del país ha establecido jurisprudencia respecto a qué debe entenderse por fundamentación y motivación, en los siguientes términos:</w:t>
      </w:r>
    </w:p>
    <w:p w:rsidR="001174AE" w:rsidRDefault="001174AE" w:rsidP="001174AE">
      <w:pPr>
        <w:jc w:val="both"/>
        <w:rPr>
          <w:rFonts w:ascii="Palatino Linotype" w:eastAsia="Palatino Linotype" w:hAnsi="Palatino Linotype" w:cs="Palatino Linotype"/>
        </w:rPr>
      </w:pPr>
    </w:p>
    <w:p w:rsidR="001174AE" w:rsidRDefault="001174AE" w:rsidP="001174AE">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“FUNDAMENTACION Y MOTIVACION. </w:t>
      </w:r>
      <w:r>
        <w:rPr>
          <w:rFonts w:ascii="Palatino Linotype" w:eastAsia="Palatino Linotype" w:hAnsi="Palatino Linotype" w:cs="Palatino Linotype"/>
          <w:i/>
          <w:sz w:val="22"/>
          <w:szCs w:val="22"/>
        </w:rPr>
        <w:t xml:space="preserve">La </w:t>
      </w:r>
      <w:r>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sz w:val="22"/>
          <w:szCs w:val="22"/>
        </w:rPr>
        <w:t>.</w:t>
      </w:r>
    </w:p>
    <w:p w:rsidR="001174AE" w:rsidRDefault="001174AE" w:rsidP="001174AE">
      <w:pPr>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roofErr w:type="gramStart"/>
      <w:r>
        <w:rPr>
          <w:rFonts w:ascii="Palatino Linotype" w:eastAsia="Palatino Linotype" w:hAnsi="Palatino Linotype" w:cs="Palatino Linotype"/>
          <w:b/>
          <w:i/>
          <w:sz w:val="22"/>
          <w:szCs w:val="22"/>
        </w:rPr>
        <w:t>”(</w:t>
      </w:r>
      <w:proofErr w:type="gramEnd"/>
      <w:r>
        <w:rPr>
          <w:rFonts w:ascii="Palatino Linotype" w:eastAsia="Palatino Linotype" w:hAnsi="Palatino Linotype" w:cs="Palatino Linotype"/>
          <w:b/>
          <w:i/>
          <w:sz w:val="22"/>
          <w:szCs w:val="22"/>
        </w:rPr>
        <w:t>Sic)</w:t>
      </w:r>
    </w:p>
    <w:p w:rsidR="001174AE" w:rsidRDefault="001174AE" w:rsidP="001174AE">
      <w:pPr>
        <w:ind w:left="851" w:right="850"/>
        <w:jc w:val="both"/>
        <w:rPr>
          <w:rFonts w:ascii="Palatino Linotype" w:eastAsia="Palatino Linotype" w:hAnsi="Palatino Linotype" w:cs="Palatino Linotype"/>
          <w:i/>
          <w:sz w:val="22"/>
          <w:szCs w:val="22"/>
        </w:rPr>
      </w:pPr>
    </w:p>
    <w:p w:rsidR="001174AE" w:rsidRDefault="001174AE" w:rsidP="001174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un acto de autoridad se surte la debida fundamentación cuando se cita el precepto legal aplicable al caso concreto y la debida motivación cuando se </w:t>
      </w:r>
      <w:r>
        <w:rPr>
          <w:rFonts w:ascii="Palatino Linotype" w:eastAsia="Palatino Linotype" w:hAnsi="Palatino Linotype" w:cs="Palatino Linotype"/>
          <w:color w:val="222222"/>
        </w:rPr>
        <w:t>expresan</w:t>
      </w:r>
      <w:r>
        <w:rPr>
          <w:rFonts w:ascii="Palatino Linotype" w:eastAsia="Palatino Linotype" w:hAnsi="Palatino Linotype" w:cs="Palatino Linotype"/>
        </w:rPr>
        <w:t xml:space="preserve"> las razones, motivos o circunstancias que tomó en cuenta la autoridad para adecuar el hecho a los fundamentos de derecho.</w:t>
      </w:r>
    </w:p>
    <w:p w:rsidR="001174AE" w:rsidRDefault="001174AE" w:rsidP="001174AE">
      <w:pPr>
        <w:spacing w:line="360" w:lineRule="auto"/>
        <w:ind w:right="-518"/>
        <w:jc w:val="both"/>
        <w:rPr>
          <w:rFonts w:ascii="Palatino Linotype" w:eastAsia="Palatino Linotype" w:hAnsi="Palatino Linotype" w:cs="Palatino Linotype"/>
        </w:rPr>
      </w:pPr>
    </w:p>
    <w:p w:rsidR="001174AE" w:rsidRDefault="001174AE" w:rsidP="001174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Más aún, a través de diversa jurisprudencia dictada por el </w:t>
      </w:r>
      <w:r>
        <w:rPr>
          <w:rFonts w:ascii="Palatino Linotype" w:eastAsia="Palatino Linotype" w:hAnsi="Palatino Linotype" w:cs="Palatino Linotype"/>
          <w:color w:val="222222"/>
        </w:rPr>
        <w:t>Poder</w:t>
      </w:r>
      <w:r>
        <w:rPr>
          <w:rFonts w:ascii="Palatino Linotype" w:eastAsia="Palatino Linotype" w:hAnsi="Palatino Linotype" w:cs="Palatino Linotype"/>
        </w:rPr>
        <w:t xml:space="preserve"> Judicial de la Federación se sostiene que la finalidad de la fundamentación o motivación es la de explicar, justificar, posibilitar la defensa y comunicar la decisión de la autoridad:</w:t>
      </w:r>
    </w:p>
    <w:p w:rsidR="001174AE" w:rsidRDefault="001174AE" w:rsidP="001174AE">
      <w:pPr>
        <w:ind w:right="-518"/>
        <w:jc w:val="both"/>
        <w:rPr>
          <w:rFonts w:ascii="Palatino Linotype" w:eastAsia="Palatino Linotype" w:hAnsi="Palatino Linotype" w:cs="Palatino Linotype"/>
        </w:rPr>
      </w:pPr>
    </w:p>
    <w:p w:rsidR="001174AE" w:rsidRDefault="001174AE" w:rsidP="001174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El contenido formal de la garantía de legalidad prevista en el artículo 16 constitucional relativa a la fundamentación</w:t>
      </w:r>
      <w:r>
        <w:rPr>
          <w:rFonts w:ascii="Palatino Linotype" w:eastAsia="Palatino Linotype" w:hAnsi="Palatino Linotype" w:cs="Palatino Linotype"/>
          <w:b/>
          <w:i/>
          <w:sz w:val="22"/>
          <w:szCs w:val="22"/>
        </w:rPr>
        <w:t xml:space="preserve"> y motivación tiene como propósito primordial y ratio que el justiciable conozca el "para </w:t>
      </w:r>
      <w:r>
        <w:rPr>
          <w:rFonts w:ascii="Palatino Linotype" w:eastAsia="Palatino Linotype" w:hAnsi="Palatino Linotype" w:cs="Palatino Linotype"/>
          <w:b/>
          <w:i/>
          <w:sz w:val="22"/>
          <w:szCs w:val="22"/>
        </w:rPr>
        <w:lastRenderedPageBreak/>
        <w:t>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.”(Sic)</w:t>
      </w:r>
    </w:p>
    <w:p w:rsidR="001174AE" w:rsidRDefault="001174AE" w:rsidP="001174AE">
      <w:pPr>
        <w:ind w:left="851" w:right="899"/>
        <w:jc w:val="both"/>
        <w:rPr>
          <w:rFonts w:ascii="Palatino Linotype" w:eastAsia="Palatino Linotype" w:hAnsi="Palatino Linotype" w:cs="Palatino Linotype"/>
          <w:i/>
          <w:sz w:val="22"/>
          <w:szCs w:val="22"/>
        </w:rPr>
      </w:pPr>
    </w:p>
    <w:p w:rsidR="001174AE" w:rsidRDefault="001174AE" w:rsidP="001174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1174AE" w:rsidRDefault="001174AE" w:rsidP="001174AE">
      <w:pPr>
        <w:ind w:right="-518"/>
        <w:jc w:val="both"/>
        <w:rPr>
          <w:rFonts w:ascii="Palatino Linotype" w:eastAsia="Palatino Linotype" w:hAnsi="Palatino Linotype" w:cs="Palatino Linotype"/>
        </w:rPr>
      </w:pPr>
    </w:p>
    <w:p w:rsidR="001174AE" w:rsidRDefault="001174AE" w:rsidP="001174A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rsidR="001174AE" w:rsidRDefault="001174AE" w:rsidP="001174AE">
      <w:pPr>
        <w:shd w:val="clear" w:color="auto" w:fill="FFFFFF"/>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no se debe perder de vista que la clasificación es el proceso mediante el cual el sujeto obligado determina que la información en su poder </w:t>
      </w:r>
      <w:proofErr w:type="spellStart"/>
      <w:r>
        <w:rPr>
          <w:rFonts w:ascii="Palatino Linotype" w:eastAsia="Palatino Linotype" w:hAnsi="Palatino Linotype" w:cs="Palatino Linotype"/>
        </w:rPr>
        <w:t>actualiza</w:t>
      </w:r>
      <w:proofErr w:type="spellEnd"/>
      <w:r>
        <w:rPr>
          <w:rFonts w:ascii="Palatino Linotype" w:eastAsia="Palatino Linotype" w:hAnsi="Palatino Linotype" w:cs="Palatino Linotype"/>
        </w:rPr>
        <w:t xml:space="preserve"> alguno de los supuestos de reserva o confidencialidad, los cuales deberán ser acordes con </w:t>
      </w:r>
      <w:r>
        <w:rPr>
          <w:rFonts w:ascii="Palatino Linotype" w:eastAsia="Palatino Linotype" w:hAnsi="Palatino Linotype" w:cs="Palatino Linotype"/>
        </w:rPr>
        <w:lastRenderedPageBreak/>
        <w:t>las bases, principios y disposiciones establecidos en la Ley General de Transparencia, al respecto, conviene referir que la Ley de Transparencia vigente en el Estado de México establece:</w:t>
      </w:r>
    </w:p>
    <w:p w:rsidR="001174AE" w:rsidRDefault="001174AE" w:rsidP="001174AE">
      <w:pPr>
        <w:shd w:val="clear" w:color="auto" w:fill="FFFFFF"/>
        <w:spacing w:line="360" w:lineRule="auto"/>
        <w:jc w:val="both"/>
        <w:rPr>
          <w:b/>
        </w:rPr>
      </w:pPr>
    </w:p>
    <w:p w:rsidR="001174AE" w:rsidRDefault="001174AE" w:rsidP="001174AE">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Pr>
          <w:rFonts w:ascii="Palatino Linotype" w:eastAsia="Palatino Linotype" w:hAnsi="Palatino Linotype" w:cs="Palatino Linotype"/>
          <w:i/>
          <w:sz w:val="22"/>
          <w:szCs w:val="22"/>
        </w:rPr>
        <w:t xml:space="preserve"> previstos en esta Ley </w:t>
      </w:r>
      <w:r>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Pr>
          <w:rFonts w:ascii="Palatino Linotype" w:eastAsia="Palatino Linotype" w:hAnsi="Palatino Linotype" w:cs="Palatino Linotype"/>
          <w:i/>
          <w:sz w:val="22"/>
          <w:szCs w:val="22"/>
        </w:rPr>
        <w:t>, de conformidad con lo previsto en la presente Ley.</w:t>
      </w:r>
    </w:p>
    <w:p w:rsidR="001174AE" w:rsidRDefault="001174AE" w:rsidP="001174AE">
      <w:pPr>
        <w:shd w:val="clear" w:color="auto" w:fill="FFFFFF"/>
        <w:ind w:left="851" w:right="851"/>
        <w:jc w:val="both"/>
        <w:rPr>
          <w:rFonts w:ascii="Palatino Linotype" w:eastAsia="Palatino Linotype" w:hAnsi="Palatino Linotype" w:cs="Palatino Linotype"/>
          <w:b/>
          <w:i/>
          <w:sz w:val="22"/>
          <w:szCs w:val="22"/>
        </w:rPr>
      </w:pPr>
    </w:p>
    <w:p w:rsidR="001174AE" w:rsidRDefault="001174AE" w:rsidP="001174AE">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clasificación de la información se llevará a cabo</w:t>
      </w:r>
      <w:r>
        <w:rPr>
          <w:rFonts w:ascii="Palatino Linotype" w:eastAsia="Palatino Linotype" w:hAnsi="Palatino Linotype" w:cs="Palatino Linotype"/>
          <w:i/>
          <w:sz w:val="22"/>
          <w:szCs w:val="22"/>
        </w:rPr>
        <w:t xml:space="preserve"> en el momento en que:</w:t>
      </w:r>
    </w:p>
    <w:p w:rsidR="001174AE" w:rsidRDefault="001174AE" w:rsidP="001174AE">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reciba una solicitud de acceso a la información</w:t>
      </w:r>
      <w:r>
        <w:rPr>
          <w:rFonts w:ascii="Palatino Linotype" w:eastAsia="Palatino Linotype" w:hAnsi="Palatino Linotype" w:cs="Palatino Linotype"/>
          <w:i/>
          <w:sz w:val="22"/>
          <w:szCs w:val="22"/>
        </w:rPr>
        <w:t>;</w:t>
      </w:r>
    </w:p>
    <w:p w:rsidR="001174AE" w:rsidRDefault="001174AE" w:rsidP="001174AE">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1174AE" w:rsidRDefault="001174AE" w:rsidP="001174AE">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1174AE" w:rsidRDefault="001174AE" w:rsidP="001174AE">
      <w:pPr>
        <w:shd w:val="clear" w:color="auto" w:fill="FFFFFF"/>
        <w:ind w:left="851" w:right="851"/>
        <w:jc w:val="both"/>
        <w:rPr>
          <w:rFonts w:ascii="Palatino Linotype" w:eastAsia="Palatino Linotype" w:hAnsi="Palatino Linotype" w:cs="Palatino Linotype"/>
          <w:i/>
          <w:sz w:val="22"/>
          <w:szCs w:val="22"/>
        </w:rPr>
      </w:pPr>
    </w:p>
    <w:p w:rsidR="001174AE" w:rsidRDefault="001174AE" w:rsidP="001174AE">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rsidR="001174AE" w:rsidRDefault="001174AE" w:rsidP="001174AE">
      <w:pPr>
        <w:shd w:val="clear" w:color="auto" w:fill="FFFFFF"/>
        <w:ind w:left="851" w:right="851"/>
        <w:jc w:val="both"/>
        <w:rPr>
          <w:rFonts w:ascii="Palatino Linotype" w:eastAsia="Palatino Linotype" w:hAnsi="Palatino Linotype" w:cs="Palatino Linotype"/>
          <w:i/>
          <w:sz w:val="22"/>
          <w:szCs w:val="22"/>
        </w:rPr>
      </w:pPr>
    </w:p>
    <w:p w:rsidR="001174AE" w:rsidRDefault="001174AE" w:rsidP="001174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no podrán emitir acuerdos de carácter general</w:t>
      </w:r>
      <w:r>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rsidR="001174AE" w:rsidRDefault="001174AE" w:rsidP="001174AE">
      <w:pPr>
        <w:ind w:left="851" w:right="851"/>
        <w:jc w:val="both"/>
        <w:rPr>
          <w:rFonts w:ascii="Palatino Linotype" w:eastAsia="Palatino Linotype" w:hAnsi="Palatino Linotype" w:cs="Palatino Linotype"/>
          <w:i/>
          <w:sz w:val="22"/>
          <w:szCs w:val="22"/>
        </w:rPr>
      </w:pPr>
    </w:p>
    <w:p w:rsidR="001174AE" w:rsidRDefault="001174AE" w:rsidP="001174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En ningún caso se podrán clasificar documentos antes de que se genere la información</w:t>
      </w:r>
      <w:r>
        <w:rPr>
          <w:rFonts w:ascii="Palatino Linotype" w:eastAsia="Palatino Linotype" w:hAnsi="Palatino Linotype" w:cs="Palatino Linotype"/>
          <w:i/>
          <w:sz w:val="22"/>
          <w:szCs w:val="22"/>
        </w:rPr>
        <w:t>.</w:t>
      </w:r>
    </w:p>
    <w:p w:rsidR="001174AE" w:rsidRDefault="001174AE" w:rsidP="001174AE">
      <w:pPr>
        <w:ind w:left="851" w:right="851"/>
        <w:jc w:val="both"/>
        <w:rPr>
          <w:rFonts w:ascii="Palatino Linotype" w:eastAsia="Palatino Linotype" w:hAnsi="Palatino Linotype" w:cs="Palatino Linotype"/>
          <w:i/>
          <w:sz w:val="22"/>
          <w:szCs w:val="22"/>
        </w:rPr>
      </w:pPr>
    </w:p>
    <w:p w:rsidR="001174AE" w:rsidRDefault="001174AE" w:rsidP="001174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w:t>
      </w:r>
    </w:p>
    <w:p w:rsidR="001174AE" w:rsidRDefault="001174AE" w:rsidP="001174AE">
      <w:pPr>
        <w:ind w:left="851" w:right="851"/>
        <w:jc w:val="both"/>
        <w:rPr>
          <w:rFonts w:ascii="Palatino Linotype" w:eastAsia="Palatino Linotype" w:hAnsi="Palatino Linotype" w:cs="Palatino Linotype"/>
          <w:b/>
          <w:i/>
          <w:sz w:val="22"/>
          <w:szCs w:val="22"/>
        </w:rPr>
      </w:pPr>
    </w:p>
    <w:p w:rsidR="001174AE" w:rsidRDefault="001174AE" w:rsidP="001174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1174AE" w:rsidRDefault="001174AE" w:rsidP="001174AE">
      <w:pPr>
        <w:ind w:left="851" w:right="851"/>
        <w:jc w:val="both"/>
        <w:rPr>
          <w:rFonts w:ascii="Palatino Linotype" w:eastAsia="Palatino Linotype" w:hAnsi="Palatino Linotype" w:cs="Palatino Linotype"/>
          <w:i/>
          <w:sz w:val="22"/>
          <w:szCs w:val="22"/>
        </w:rPr>
      </w:pPr>
    </w:p>
    <w:p w:rsidR="001174AE" w:rsidRDefault="006C292F" w:rsidP="001174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1174AE" w:rsidRDefault="001174AE" w:rsidP="001174AE">
      <w:pPr>
        <w:ind w:left="851" w:right="851"/>
        <w:jc w:val="both"/>
        <w:rPr>
          <w:rFonts w:ascii="Palatino Linotype" w:eastAsia="Palatino Linotype" w:hAnsi="Palatino Linotype" w:cs="Palatino Linotype"/>
          <w:i/>
          <w:sz w:val="22"/>
          <w:szCs w:val="22"/>
        </w:rPr>
      </w:pPr>
    </w:p>
    <w:p w:rsidR="00F8105A" w:rsidRDefault="001174AE" w:rsidP="001174A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normatividad se aprecia que l</w:t>
      </w:r>
      <w:r>
        <w:rPr>
          <w:rFonts w:ascii="Palatino Linotype" w:eastAsia="Palatino Linotype" w:hAnsi="Palatino Linotype" w:cs="Palatino Linotype"/>
          <w:b/>
        </w:rPr>
        <w:t xml:space="preserve">a </w:t>
      </w:r>
      <w:r>
        <w:rPr>
          <w:rFonts w:ascii="Palatino Linotype" w:eastAsia="Palatino Linotype" w:hAnsi="Palatino Linotype" w:cs="Palatino Linotype"/>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Pr>
          <w:rFonts w:ascii="Palatino Linotype" w:eastAsia="Palatino Linotype" w:hAnsi="Palatino Linotype" w:cs="Palatino Linotype"/>
          <w:i/>
        </w:rPr>
        <w:t>se reciba una solicitud de acceso a la información;</w:t>
      </w:r>
      <w:r>
        <w:rPr>
          <w:rFonts w:ascii="Palatino Linotype" w:eastAsia="Palatino Linotype" w:hAnsi="Palatino Linotype" w:cs="Palatino Linotype"/>
        </w:rPr>
        <w:t xml:space="preserve"> </w:t>
      </w:r>
      <w:r>
        <w:rPr>
          <w:rFonts w:ascii="Palatino Linotype" w:eastAsia="Palatino Linotype" w:hAnsi="Palatino Linotype" w:cs="Palatino Linotype"/>
          <w:i/>
        </w:rPr>
        <w:t>determine mediante resolución de autoridad competente; o</w:t>
      </w:r>
      <w:r>
        <w:rPr>
          <w:rFonts w:ascii="Palatino Linotype" w:eastAsia="Palatino Linotype" w:hAnsi="Palatino Linotype" w:cs="Palatino Linotype"/>
        </w:rPr>
        <w:t xml:space="preserve"> </w:t>
      </w:r>
      <w:r>
        <w:rPr>
          <w:rFonts w:ascii="Palatino Linotype" w:eastAsia="Palatino Linotype" w:hAnsi="Palatino Linotype" w:cs="Palatino Linotype"/>
          <w:i/>
        </w:rPr>
        <w:t>generen versiones públicas para dar cumplimiento a las obligaciones de transparencia,</w:t>
      </w:r>
      <w:r>
        <w:rPr>
          <w:rFonts w:ascii="Palatino Linotype" w:eastAsia="Palatino Linotype" w:hAnsi="Palatino Linotype" w:cs="Palatino Linotype"/>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Sujeto Obligado.</w:t>
      </w:r>
    </w:p>
    <w:p w:rsidR="00FC0452" w:rsidRPr="00FC0452" w:rsidRDefault="00FC0452" w:rsidP="00FC0452">
      <w:pPr>
        <w:spacing w:line="360" w:lineRule="auto"/>
        <w:contextualSpacing/>
        <w:jc w:val="both"/>
        <w:rPr>
          <w:rFonts w:ascii="Palatino Linotype" w:eastAsia="Palatino Linotype" w:hAnsi="Palatino Linotype" w:cs="Palatino Linotype"/>
          <w:lang w:eastAsia="es-ES"/>
        </w:rPr>
      </w:pPr>
      <w:r>
        <w:rPr>
          <w:rFonts w:ascii="Palatino Linotype" w:eastAsia="Palatino Linotype" w:hAnsi="Palatino Linotype" w:cs="Palatino Linotype"/>
          <w:lang w:eastAsia="es-ES"/>
        </w:rPr>
        <w:t>E</w:t>
      </w:r>
      <w:r w:rsidRPr="00FC0452">
        <w:rPr>
          <w:rFonts w:ascii="Palatino Linotype" w:eastAsia="Palatino Linotype" w:hAnsi="Palatino Linotype" w:cs="Palatino Linotype"/>
          <w:lang w:eastAsia="es-ES"/>
        </w:rPr>
        <w:t xml:space="preserve">n conclusión, la versión pública de la </w:t>
      </w:r>
      <w:r>
        <w:rPr>
          <w:rFonts w:ascii="Palatino Linotype" w:eastAsia="Palatino Linotype" w:hAnsi="Palatino Linotype" w:cs="Palatino Linotype"/>
          <w:lang w:eastAsia="es-ES"/>
        </w:rPr>
        <w:t>nómina remitida en respuesta</w:t>
      </w:r>
      <w:r w:rsidRPr="00FC0452">
        <w:rPr>
          <w:rFonts w:ascii="Palatino Linotype" w:eastAsia="Palatino Linotype" w:hAnsi="Palatino Linotype" w:cs="Palatino Linotype"/>
          <w:lang w:eastAsia="es-ES"/>
        </w:rPr>
        <w:t xml:space="preserve"> no cumple con los requisitos señalados por la Ley de Transparencia vigente en la entidad; razón por la cual es dable ordenar al Sujeto Obligado el acuerdo de clasificación de la </w:t>
      </w:r>
      <w:r w:rsidRPr="00FC0452">
        <w:rPr>
          <w:rFonts w:ascii="Palatino Linotype" w:eastAsia="Palatino Linotype" w:hAnsi="Palatino Linotype" w:cs="Palatino Linotype"/>
          <w:lang w:eastAsia="es-ES"/>
        </w:rPr>
        <w:lastRenderedPageBreak/>
        <w:t xml:space="preserve">información a través del cual se apruebe la versión pública </w:t>
      </w:r>
      <w:r>
        <w:rPr>
          <w:rFonts w:ascii="Palatino Linotype" w:eastAsia="Palatino Linotype" w:hAnsi="Palatino Linotype" w:cs="Palatino Linotype"/>
          <w:lang w:eastAsia="es-ES"/>
        </w:rPr>
        <w:t>de la nómina del Sujeto Obligado, correspondiente a la primera quincena de enero de la presente anualidad,</w:t>
      </w:r>
      <w:r w:rsidRPr="00FC0452">
        <w:rPr>
          <w:rFonts w:ascii="Palatino Linotype" w:eastAsia="Palatino Linotype" w:hAnsi="Palatino Linotype" w:cs="Palatino Linotype"/>
          <w:lang w:eastAsia="es-ES"/>
        </w:rPr>
        <w:t xml:space="preserve"> remitida en respuesta, debidamente fundado y motivado, precisando los motivos o razones por los cuales llevaron a testar cada apartado.</w:t>
      </w:r>
    </w:p>
    <w:p w:rsidR="006C292F" w:rsidRPr="006C292F" w:rsidRDefault="006C292F" w:rsidP="006C292F">
      <w:pPr>
        <w:spacing w:before="240" w:after="240" w:line="360" w:lineRule="auto"/>
        <w:jc w:val="both"/>
        <w:rPr>
          <w:rFonts w:ascii="Palatino Linotype" w:eastAsia="Palatino Linotype" w:hAnsi="Palatino Linotype" w:cs="Palatino Linotype"/>
        </w:rPr>
      </w:pPr>
      <w:r w:rsidRPr="006C292F">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6C292F">
        <w:rPr>
          <w:rFonts w:ascii="Palatino Linotype" w:eastAsia="Palatino Linotype" w:hAnsi="Palatino Linotype" w:cs="Palatino Linotype"/>
          <w:b/>
        </w:rPr>
        <w:t xml:space="preserve">Sujeto Obligado </w:t>
      </w:r>
      <w:r w:rsidRPr="006C292F">
        <w:rPr>
          <w:rFonts w:ascii="Palatino Linotype" w:eastAsia="Palatino Linotype" w:hAnsi="Palatino Linotype" w:cs="Palatino Linotype"/>
        </w:rPr>
        <w:t>entregue la información requerida en versión pública de ser procedente, tal como se detalla en el siguiente considerando.</w:t>
      </w:r>
    </w:p>
    <w:p w:rsidR="006C292F" w:rsidRPr="006C292F" w:rsidRDefault="006C292F" w:rsidP="006C292F">
      <w:pPr>
        <w:spacing w:before="240" w:after="240" w:line="360" w:lineRule="auto"/>
        <w:ind w:right="49"/>
        <w:jc w:val="both"/>
        <w:rPr>
          <w:rFonts w:ascii="Palatino Linotype" w:eastAsia="Palatino Linotype" w:hAnsi="Palatino Linotype" w:cs="Palatino Linotype"/>
        </w:rPr>
      </w:pPr>
      <w:r w:rsidRPr="006C292F">
        <w:rPr>
          <w:rFonts w:ascii="Palatino Linotype" w:eastAsia="Palatino Linotype" w:hAnsi="Palatino Linotype" w:cs="Palatino Linotype"/>
          <w:b/>
        </w:rPr>
        <w:t xml:space="preserve">Quinto. Versión Pública. </w:t>
      </w:r>
      <w:r w:rsidRPr="006C292F">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6C292F" w:rsidRPr="006C292F" w:rsidRDefault="006C292F" w:rsidP="006C292F">
      <w:pPr>
        <w:spacing w:before="240" w:after="240" w:line="360" w:lineRule="auto"/>
        <w:ind w:right="50"/>
        <w:jc w:val="both"/>
        <w:rPr>
          <w:rFonts w:ascii="Palatino Linotype" w:eastAsia="Palatino Linotype" w:hAnsi="Palatino Linotype" w:cs="Palatino Linotype"/>
        </w:rPr>
      </w:pPr>
      <w:r w:rsidRPr="006C292F">
        <w:rPr>
          <w:rFonts w:ascii="Palatino Linotype" w:eastAsia="Palatino Linotype" w:hAnsi="Palatino Linotype" w:cs="Palatino Linotype"/>
        </w:rPr>
        <w:lastRenderedPageBreak/>
        <w:t xml:space="preserve">Lo anterior, de conformidad a lo que señalan los artículos 3 fracciones IX, XX, XXI y XLV, 91, 132 fracciones II y III, y 143 </w:t>
      </w:r>
      <w:proofErr w:type="gramStart"/>
      <w:r w:rsidRPr="006C292F">
        <w:rPr>
          <w:rFonts w:ascii="Palatino Linotype" w:eastAsia="Palatino Linotype" w:hAnsi="Palatino Linotype" w:cs="Palatino Linotype"/>
        </w:rPr>
        <w:t>fracción</w:t>
      </w:r>
      <w:proofErr w:type="gramEnd"/>
      <w:r w:rsidRPr="006C292F">
        <w:rPr>
          <w:rFonts w:ascii="Palatino Linotype" w:eastAsia="Palatino Linotype" w:hAnsi="Palatino Linotype" w:cs="Palatino Linotype"/>
        </w:rPr>
        <w:t xml:space="preserve"> I de la Ley de Transparencia y Acceso a la Información Pública del Estado de México y Municipios que establecen:</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i/>
          <w:sz w:val="22"/>
          <w:szCs w:val="22"/>
        </w:rPr>
        <w:t>“</w:t>
      </w:r>
      <w:r w:rsidRPr="006C292F">
        <w:rPr>
          <w:rFonts w:ascii="Palatino Linotype" w:eastAsia="Palatino Linotype" w:hAnsi="Palatino Linotype" w:cs="Palatino Linotype"/>
          <w:b/>
          <w:i/>
          <w:sz w:val="22"/>
          <w:szCs w:val="22"/>
        </w:rPr>
        <w:t>Artículo 3</w:t>
      </w:r>
      <w:r w:rsidRPr="006C292F">
        <w:rPr>
          <w:rFonts w:ascii="Palatino Linotype" w:eastAsia="Palatino Linotype" w:hAnsi="Palatino Linotype" w:cs="Palatino Linotype"/>
          <w:i/>
          <w:sz w:val="22"/>
          <w:szCs w:val="22"/>
        </w:rPr>
        <w:t>. Para los efectos de la presente Ley se entenderá por:</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i/>
          <w:sz w:val="22"/>
          <w:szCs w:val="22"/>
        </w:rPr>
        <w:t>[…]</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IX. Datos personales:</w:t>
      </w:r>
      <w:r w:rsidRPr="006C292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XX. Información clasificada</w:t>
      </w:r>
      <w:r w:rsidRPr="006C292F">
        <w:rPr>
          <w:rFonts w:ascii="Palatino Linotype" w:eastAsia="Palatino Linotype" w:hAnsi="Palatino Linotype" w:cs="Palatino Linotype"/>
          <w:i/>
          <w:sz w:val="22"/>
          <w:szCs w:val="22"/>
        </w:rPr>
        <w:t>: Aquella considerada por la presente Ley como reservada o confidencial;</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XXI. Información confidencial:</w:t>
      </w:r>
      <w:r w:rsidRPr="006C292F">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XLV. Versión pública:</w:t>
      </w:r>
      <w:r w:rsidRPr="006C292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i/>
          <w:sz w:val="22"/>
          <w:szCs w:val="22"/>
        </w:rPr>
        <w:t>[…]</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 xml:space="preserve">Artículo 91. </w:t>
      </w:r>
      <w:r w:rsidRPr="006C292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 xml:space="preserve">Artículo 132. </w:t>
      </w:r>
      <w:r w:rsidRPr="006C292F">
        <w:rPr>
          <w:rFonts w:ascii="Palatino Linotype" w:eastAsia="Palatino Linotype" w:hAnsi="Palatino Linotype" w:cs="Palatino Linotype"/>
          <w:i/>
          <w:sz w:val="22"/>
          <w:szCs w:val="22"/>
        </w:rPr>
        <w:t>La clasificación de la información se llevará a cabo en el momento en que:</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w:t>
      </w:r>
      <w:r w:rsidRPr="006C292F">
        <w:rPr>
          <w:rFonts w:ascii="Palatino Linotype" w:eastAsia="Palatino Linotype" w:hAnsi="Palatino Linotype" w:cs="Palatino Linotype"/>
          <w:i/>
          <w:sz w:val="22"/>
          <w:szCs w:val="22"/>
        </w:rPr>
        <w:t>. Se reciba una solicitud de acceso a la información;</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II</w:t>
      </w:r>
      <w:r w:rsidRPr="006C292F">
        <w:rPr>
          <w:rFonts w:ascii="Palatino Linotype" w:eastAsia="Palatino Linotype" w:hAnsi="Palatino Linotype" w:cs="Palatino Linotype"/>
          <w:i/>
          <w:sz w:val="22"/>
          <w:szCs w:val="22"/>
        </w:rPr>
        <w:t>. Se determine mediante resolución de autoridad competente; o</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III</w:t>
      </w:r>
      <w:r w:rsidRPr="006C292F">
        <w:rPr>
          <w:rFonts w:ascii="Palatino Linotype" w:eastAsia="Palatino Linotype" w:hAnsi="Palatino Linotype" w:cs="Palatino Linotype"/>
          <w:i/>
          <w:sz w:val="22"/>
          <w:szCs w:val="22"/>
        </w:rPr>
        <w:t>. Se generen versiones públicas para dar cumplimiento a las obligaciones de transparencia previstas en esta Ley.</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i/>
          <w:sz w:val="22"/>
          <w:szCs w:val="22"/>
        </w:rPr>
        <w:lastRenderedPageBreak/>
        <w:t>[…]</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Artículo 143</w:t>
      </w:r>
      <w:r w:rsidRPr="006C292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w:t>
      </w:r>
      <w:r w:rsidRPr="006C292F">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6C292F">
        <w:rPr>
          <w:rFonts w:ascii="Palatino Linotype" w:eastAsia="Palatino Linotype" w:hAnsi="Palatino Linotype" w:cs="Palatino Linotype"/>
          <w:i/>
          <w:sz w:val="22"/>
          <w:szCs w:val="22"/>
        </w:rPr>
        <w:t>jurídico</w:t>
      </w:r>
      <w:proofErr w:type="gramEnd"/>
      <w:r w:rsidRPr="006C292F">
        <w:rPr>
          <w:rFonts w:ascii="Palatino Linotype" w:eastAsia="Palatino Linotype" w:hAnsi="Palatino Linotype" w:cs="Palatino Linotype"/>
          <w:i/>
          <w:sz w:val="22"/>
          <w:szCs w:val="22"/>
        </w:rPr>
        <w:t xml:space="preserve"> colectiva identificada o identificable;</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II.</w:t>
      </w:r>
      <w:r w:rsidRPr="006C292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III</w:t>
      </w:r>
      <w:r w:rsidRPr="006C292F">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6C292F" w:rsidRPr="006C292F" w:rsidRDefault="006C292F" w:rsidP="006C292F">
      <w:pPr>
        <w:spacing w:before="240" w:after="240" w:line="360" w:lineRule="auto"/>
        <w:jc w:val="both"/>
        <w:rPr>
          <w:rFonts w:ascii="Palatino Linotype" w:eastAsia="Palatino Linotype" w:hAnsi="Palatino Linotype" w:cs="Palatino Linotype"/>
        </w:rPr>
      </w:pPr>
      <w:r w:rsidRPr="006C292F">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6C292F">
        <w:rPr>
          <w:rFonts w:ascii="Palatino Linotype" w:eastAsia="Palatino Linotype" w:hAnsi="Palatino Linotype" w:cs="Palatino Linotype"/>
        </w:rPr>
        <w:lastRenderedPageBreak/>
        <w:t>generarán, en su caso, versiones públicas de expedientes o documentos que contengan partes o secciones clasificadas.</w:t>
      </w:r>
    </w:p>
    <w:p w:rsidR="006C292F" w:rsidRPr="006C292F" w:rsidRDefault="006C292F" w:rsidP="006C292F">
      <w:pPr>
        <w:spacing w:before="240" w:after="240" w:line="360" w:lineRule="auto"/>
        <w:jc w:val="both"/>
        <w:rPr>
          <w:rFonts w:ascii="Palatino Linotype" w:eastAsia="Palatino Linotype" w:hAnsi="Palatino Linotype" w:cs="Palatino Linotype"/>
        </w:rPr>
      </w:pPr>
      <w:r w:rsidRPr="006C292F">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i/>
          <w:sz w:val="22"/>
          <w:szCs w:val="22"/>
        </w:rPr>
        <w:t>“</w:t>
      </w:r>
      <w:r w:rsidRPr="006C292F">
        <w:rPr>
          <w:rFonts w:ascii="Palatino Linotype" w:eastAsia="Palatino Linotype" w:hAnsi="Palatino Linotype" w:cs="Palatino Linotype"/>
          <w:b/>
          <w:i/>
          <w:sz w:val="22"/>
          <w:szCs w:val="22"/>
        </w:rPr>
        <w:t>Quincuagésimo sexto</w:t>
      </w:r>
      <w:r w:rsidRPr="006C292F">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Quincuagésimo séptimo</w:t>
      </w:r>
      <w:r w:rsidRPr="006C292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w:t>
      </w:r>
      <w:r w:rsidRPr="006C292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II.</w:t>
      </w:r>
      <w:r w:rsidRPr="006C292F">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6C292F" w:rsidRPr="006C292F" w:rsidRDefault="006C292F" w:rsidP="006C292F">
      <w:pPr>
        <w:spacing w:before="120" w:after="120"/>
        <w:ind w:left="993"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III.</w:t>
      </w:r>
      <w:r w:rsidRPr="006C292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6C292F" w:rsidRPr="006C292F" w:rsidRDefault="006C292F" w:rsidP="006C292F">
      <w:pPr>
        <w:spacing w:before="120" w:after="120"/>
        <w:ind w:left="851" w:right="902"/>
        <w:jc w:val="both"/>
        <w:rPr>
          <w:rFonts w:ascii="Palatino Linotype" w:eastAsia="Palatino Linotype" w:hAnsi="Palatino Linotype" w:cs="Palatino Linotype"/>
          <w:i/>
          <w:sz w:val="22"/>
          <w:szCs w:val="22"/>
        </w:rPr>
      </w:pPr>
      <w:r w:rsidRPr="006C292F">
        <w:rPr>
          <w:rFonts w:ascii="Palatino Linotype" w:eastAsia="Palatino Linotype" w:hAnsi="Palatino Linotype" w:cs="Palatino Linotype"/>
          <w:b/>
          <w:i/>
          <w:sz w:val="22"/>
          <w:szCs w:val="22"/>
        </w:rPr>
        <w:t>Quincuagésimo octavo</w:t>
      </w:r>
      <w:r w:rsidRPr="006C292F">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6C292F" w:rsidRPr="006C292F" w:rsidRDefault="006C292F" w:rsidP="006C292F">
      <w:pPr>
        <w:spacing w:before="240" w:after="240" w:line="360" w:lineRule="auto"/>
        <w:jc w:val="both"/>
        <w:rPr>
          <w:rFonts w:ascii="Palatino Linotype" w:eastAsia="Palatino Linotype" w:hAnsi="Palatino Linotype" w:cs="Palatino Linotype"/>
        </w:rPr>
      </w:pPr>
      <w:r w:rsidRPr="006C292F">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C292F" w:rsidRPr="006C292F" w:rsidRDefault="006C292F" w:rsidP="006C292F">
      <w:pPr>
        <w:spacing w:before="240" w:after="240" w:line="360" w:lineRule="auto"/>
        <w:jc w:val="both"/>
        <w:rPr>
          <w:rFonts w:ascii="Palatino Linotype" w:eastAsia="Palatino Linotype" w:hAnsi="Palatino Linotype" w:cs="Palatino Linotype"/>
        </w:rPr>
      </w:pPr>
      <w:r w:rsidRPr="006C292F">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C292F" w:rsidRPr="006C292F" w:rsidTr="005C5AC7">
        <w:tc>
          <w:tcPr>
            <w:tcW w:w="4253" w:type="dxa"/>
            <w:gridSpan w:val="2"/>
            <w:tcBorders>
              <w:top w:val="nil"/>
              <w:left w:val="nil"/>
              <w:right w:val="nil"/>
            </w:tcBorders>
          </w:tcPr>
          <w:p w:rsidR="006C292F" w:rsidRPr="006C292F" w:rsidRDefault="006C292F" w:rsidP="006C292F">
            <w:pPr>
              <w:jc w:val="center"/>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6C292F" w:rsidRPr="006C292F" w:rsidRDefault="006C292F" w:rsidP="006C292F">
            <w:pPr>
              <w:jc w:val="center"/>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Total</w:t>
            </w:r>
          </w:p>
        </w:tc>
      </w:tr>
      <w:tr w:rsidR="006C292F" w:rsidRPr="006C292F" w:rsidTr="005C5AC7">
        <w:tc>
          <w:tcPr>
            <w:tcW w:w="1134" w:type="dxa"/>
          </w:tcPr>
          <w:p w:rsidR="006C292F" w:rsidRPr="006C292F" w:rsidRDefault="006C292F" w:rsidP="006C292F">
            <w:pPr>
              <w:jc w:val="center"/>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Concepto</w:t>
            </w:r>
          </w:p>
        </w:tc>
        <w:tc>
          <w:tcPr>
            <w:tcW w:w="3119" w:type="dxa"/>
          </w:tcPr>
          <w:p w:rsidR="006C292F" w:rsidRPr="006C292F" w:rsidRDefault="006C292F" w:rsidP="006C292F">
            <w:pPr>
              <w:jc w:val="center"/>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Dónde</w:t>
            </w:r>
          </w:p>
        </w:tc>
        <w:tc>
          <w:tcPr>
            <w:tcW w:w="1129" w:type="dxa"/>
          </w:tcPr>
          <w:p w:rsidR="006C292F" w:rsidRPr="006C292F" w:rsidRDefault="006C292F" w:rsidP="006C292F">
            <w:pPr>
              <w:jc w:val="center"/>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Concepto</w:t>
            </w:r>
          </w:p>
        </w:tc>
        <w:tc>
          <w:tcPr>
            <w:tcW w:w="3446" w:type="dxa"/>
          </w:tcPr>
          <w:p w:rsidR="006C292F" w:rsidRPr="006C292F" w:rsidRDefault="006C292F" w:rsidP="006C292F">
            <w:pPr>
              <w:jc w:val="center"/>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Dónde</w:t>
            </w:r>
          </w:p>
        </w:tc>
      </w:tr>
      <w:tr w:rsidR="006C292F" w:rsidRPr="006C292F" w:rsidTr="005C5AC7">
        <w:tc>
          <w:tcPr>
            <w:tcW w:w="8828" w:type="dxa"/>
            <w:gridSpan w:val="4"/>
          </w:tcPr>
          <w:p w:rsidR="006C292F" w:rsidRPr="006C292F" w:rsidRDefault="006C292F" w:rsidP="006C292F">
            <w:pPr>
              <w:jc w:val="center"/>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Sello oficial o logotipo del sujeto obligado</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Fecha de clasificación</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Fecha de clasificación</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Área</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señalará el nombre del área del cual es titular quien clasifica.</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Área</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señalará el nombre del área de la cual es el titular quien clasifica.</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Información reservada</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6C292F">
              <w:rPr>
                <w:rFonts w:ascii="Palatino Linotype" w:eastAsia="Palatino Linotype" w:hAnsi="Palatino Linotype" w:cs="Palatino Linotype"/>
                <w:sz w:val="12"/>
                <w:szCs w:val="12"/>
              </w:rPr>
              <w:t>anotarán</w:t>
            </w:r>
            <w:proofErr w:type="gramEnd"/>
            <w:r w:rsidRPr="006C292F">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Reservado</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Leyenda de información RESERVADA.</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Fundamento legal</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Periodo de reserva</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Ampliación del periodo de reserva</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 xml:space="preserve">En caso de haber solicitado la ampliación del periodo de reserva originalmente establecido, se deberá anotar </w:t>
            </w:r>
            <w:r w:rsidRPr="006C292F">
              <w:rPr>
                <w:rFonts w:ascii="Palatino Linotype" w:eastAsia="Palatino Linotype" w:hAnsi="Palatino Linotype" w:cs="Palatino Linotype"/>
                <w:sz w:val="12"/>
                <w:szCs w:val="12"/>
              </w:rPr>
              <w:lastRenderedPageBreak/>
              <w:t>el número de años o meses por los que se amplía la reserva.</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lastRenderedPageBreak/>
              <w:t>Fundamento legal</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Confidencial</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Ampliación del periodo de reserva</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Fundamento legal</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Confidencial</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Leyenda de información CONFIDENCIAL.</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Rúbrica del titular del área</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Rúbrica autógrafa de quien clasifica.</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Fundamento legal</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Fecha de desclasificación</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anotará la fecha en que se desclasifica el documento.</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Rúbrica del titular del área</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Rúbrica autógrafa de quien clasifica.</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Rúbrica y cargo del servidor público</w:t>
            </w: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Rúbrica autógrafa de quien desclasifica.</w:t>
            </w: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Fecha de desclasificación</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Se anotará la fecha en que se desclasifica.</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Partes o secciones reservadas o confidenciales</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 xml:space="preserve">En caso que una vez desclasificado el expediente, </w:t>
            </w:r>
            <w:proofErr w:type="spellStart"/>
            <w:r w:rsidRPr="006C292F">
              <w:rPr>
                <w:rFonts w:ascii="Palatino Linotype" w:eastAsia="Palatino Linotype" w:hAnsi="Palatino Linotype" w:cs="Palatino Linotype"/>
                <w:sz w:val="12"/>
                <w:szCs w:val="12"/>
              </w:rPr>
              <w:t>subsistanpartes</w:t>
            </w:r>
            <w:proofErr w:type="spellEnd"/>
            <w:r w:rsidRPr="006C292F">
              <w:rPr>
                <w:rFonts w:ascii="Palatino Linotype" w:eastAsia="Palatino Linotype" w:hAnsi="Palatino Linotype" w:cs="Palatino Linotype"/>
                <w:sz w:val="12"/>
                <w:szCs w:val="12"/>
              </w:rPr>
              <w:t xml:space="preserve"> o secciones del mismo reservadas o confidenciales, se señalará este hecho.</w:t>
            </w:r>
          </w:p>
        </w:tc>
      </w:tr>
      <w:tr w:rsidR="006C292F" w:rsidRPr="006C292F" w:rsidTr="005C5AC7">
        <w:tc>
          <w:tcPr>
            <w:tcW w:w="1134" w:type="dxa"/>
          </w:tcPr>
          <w:p w:rsidR="006C292F" w:rsidRPr="006C292F" w:rsidRDefault="006C292F" w:rsidP="006C292F">
            <w:pPr>
              <w:jc w:val="both"/>
              <w:rPr>
                <w:rFonts w:ascii="Palatino Linotype" w:eastAsia="Palatino Linotype" w:hAnsi="Palatino Linotype" w:cs="Palatino Linotype"/>
                <w:b/>
                <w:sz w:val="12"/>
                <w:szCs w:val="12"/>
              </w:rPr>
            </w:pPr>
          </w:p>
        </w:tc>
        <w:tc>
          <w:tcPr>
            <w:tcW w:w="3119" w:type="dxa"/>
          </w:tcPr>
          <w:p w:rsidR="006C292F" w:rsidRPr="006C292F" w:rsidRDefault="006C292F" w:rsidP="006C292F">
            <w:pPr>
              <w:jc w:val="both"/>
              <w:rPr>
                <w:rFonts w:ascii="Palatino Linotype" w:eastAsia="Palatino Linotype" w:hAnsi="Palatino Linotype" w:cs="Palatino Linotype"/>
                <w:sz w:val="12"/>
                <w:szCs w:val="12"/>
              </w:rPr>
            </w:pPr>
          </w:p>
        </w:tc>
        <w:tc>
          <w:tcPr>
            <w:tcW w:w="1129" w:type="dxa"/>
          </w:tcPr>
          <w:p w:rsidR="006C292F" w:rsidRPr="006C292F" w:rsidRDefault="006C292F" w:rsidP="006C292F">
            <w:pPr>
              <w:jc w:val="both"/>
              <w:rPr>
                <w:rFonts w:ascii="Palatino Linotype" w:eastAsia="Palatino Linotype" w:hAnsi="Palatino Linotype" w:cs="Palatino Linotype"/>
                <w:b/>
                <w:sz w:val="12"/>
                <w:szCs w:val="12"/>
              </w:rPr>
            </w:pPr>
            <w:r w:rsidRPr="006C292F">
              <w:rPr>
                <w:rFonts w:ascii="Palatino Linotype" w:eastAsia="Palatino Linotype" w:hAnsi="Palatino Linotype" w:cs="Palatino Linotype"/>
                <w:b/>
                <w:sz w:val="12"/>
                <w:szCs w:val="12"/>
              </w:rPr>
              <w:t>Rúbrica y cargo del servidor público</w:t>
            </w:r>
          </w:p>
        </w:tc>
        <w:tc>
          <w:tcPr>
            <w:tcW w:w="3446" w:type="dxa"/>
          </w:tcPr>
          <w:p w:rsidR="006C292F" w:rsidRPr="006C292F" w:rsidRDefault="006C292F" w:rsidP="006C292F">
            <w:pPr>
              <w:jc w:val="both"/>
              <w:rPr>
                <w:rFonts w:ascii="Palatino Linotype" w:eastAsia="Palatino Linotype" w:hAnsi="Palatino Linotype" w:cs="Palatino Linotype"/>
                <w:sz w:val="12"/>
                <w:szCs w:val="12"/>
              </w:rPr>
            </w:pPr>
            <w:r w:rsidRPr="006C292F">
              <w:rPr>
                <w:rFonts w:ascii="Palatino Linotype" w:eastAsia="Palatino Linotype" w:hAnsi="Palatino Linotype" w:cs="Palatino Linotype"/>
                <w:sz w:val="12"/>
                <w:szCs w:val="12"/>
              </w:rPr>
              <w:t>Rúbrica autógrafa de quien desclasifica.</w:t>
            </w:r>
          </w:p>
        </w:tc>
      </w:tr>
    </w:tbl>
    <w:p w:rsidR="006C292F" w:rsidRPr="001174AE" w:rsidRDefault="006C292F" w:rsidP="001174AE">
      <w:pPr>
        <w:spacing w:before="240" w:after="240" w:line="360" w:lineRule="auto"/>
        <w:jc w:val="both"/>
        <w:rPr>
          <w:rFonts w:ascii="Palatino Linotype" w:eastAsia="Palatino Linotype" w:hAnsi="Palatino Linotype" w:cs="Palatino Linotype"/>
        </w:rPr>
      </w:pP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rsidR="00F8105A" w:rsidRDefault="008221A6">
      <w:pPr>
        <w:numPr>
          <w:ilvl w:val="0"/>
          <w:numId w:val="1"/>
        </w:numPr>
        <w:pBdr>
          <w:top w:val="nil"/>
          <w:left w:val="nil"/>
          <w:bottom w:val="nil"/>
          <w:right w:val="nil"/>
          <w:between w:val="nil"/>
        </w:pBdr>
        <w:spacing w:before="240" w:after="240" w:line="360" w:lineRule="auto"/>
        <w:ind w:left="284" w:hanging="56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F8105A" w:rsidRDefault="008221A6">
      <w:pPr>
        <w:spacing w:before="240" w:after="240" w:line="360" w:lineRule="auto"/>
        <w:jc w:val="both"/>
        <w:rPr>
          <w:rFonts w:ascii="Palatino Linotype" w:eastAsia="Palatino Linotype" w:hAnsi="Palatino Linotype" w:cs="Palatino Linotype"/>
        </w:rPr>
      </w:pPr>
      <w:bookmarkStart w:id="4" w:name="_heading=h.3dy6vkm" w:colFirst="0" w:colLast="0"/>
      <w:bookmarkEnd w:id="4"/>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parcialmente</w:t>
      </w:r>
      <w:r>
        <w:rPr>
          <w:rFonts w:ascii="Palatino Linotype" w:eastAsia="Palatino Linotype" w:hAnsi="Palatino Linotype" w:cs="Palatino Linotype"/>
        </w:rPr>
        <w:t xml:space="preserve">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03184/INFOEM/IP/RR/2022</w:t>
      </w:r>
      <w:r>
        <w:rPr>
          <w:rFonts w:ascii="Palatino Linotype" w:eastAsia="Palatino Linotype" w:hAnsi="Palatino Linotype" w:cs="Palatino Linotype"/>
        </w:rPr>
        <w:t xml:space="preserve">, por lo </w:t>
      </w:r>
      <w:r>
        <w:rPr>
          <w:rFonts w:ascii="Palatino Linotype" w:eastAsia="Palatino Linotype" w:hAnsi="Palatino Linotype" w:cs="Palatino Linotype"/>
        </w:rPr>
        <w:lastRenderedPageBreak/>
        <w:t>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rsidR="00F8105A" w:rsidRDefault="008221A6">
      <w:pPr>
        <w:spacing w:before="240" w:after="240" w:line="360" w:lineRule="auto"/>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Sujeto Obligado, que </w:t>
      </w:r>
      <w:r>
        <w:rPr>
          <w:rFonts w:ascii="Palatino Linotype" w:eastAsia="Palatino Linotype" w:hAnsi="Palatino Linotype" w:cs="Palatino Linotype"/>
          <w:b/>
        </w:rPr>
        <w:t>previa búsqueda exhaustiva y razonable</w:t>
      </w:r>
      <w:r>
        <w:rPr>
          <w:rFonts w:ascii="Palatino Linotype" w:eastAsia="Palatino Linotype" w:hAnsi="Palatino Linotype" w:cs="Palatino Linotype"/>
        </w:rPr>
        <w:t xml:space="preserve">,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de ser el caso, en </w:t>
      </w:r>
      <w:r>
        <w:rPr>
          <w:rFonts w:ascii="Palatino Linotype" w:eastAsia="Palatino Linotype" w:hAnsi="Palatino Linotype" w:cs="Palatino Linotype"/>
          <w:b/>
        </w:rPr>
        <w:t>versión pública</w:t>
      </w:r>
      <w:r w:rsidR="006C292F">
        <w:rPr>
          <w:rFonts w:ascii="Palatino Linotype" w:eastAsia="Palatino Linotype" w:hAnsi="Palatino Linotype" w:cs="Palatino Linotype"/>
          <w:b/>
        </w:rPr>
        <w:t xml:space="preserve"> de ser procedente</w:t>
      </w:r>
      <w:r>
        <w:rPr>
          <w:rFonts w:ascii="Palatino Linotype" w:eastAsia="Palatino Linotype" w:hAnsi="Palatino Linotype" w:cs="Palatino Linotype"/>
        </w:rPr>
        <w:t xml:space="preserve">, 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lo siguiente:</w:t>
      </w:r>
    </w:p>
    <w:p w:rsidR="00F8105A" w:rsidRDefault="008221A6">
      <w:pPr>
        <w:numPr>
          <w:ilvl w:val="0"/>
          <w:numId w:val="7"/>
        </w:numPr>
        <w:pBdr>
          <w:top w:val="nil"/>
          <w:left w:val="nil"/>
          <w:bottom w:val="nil"/>
          <w:right w:val="nil"/>
          <w:between w:val="nil"/>
        </w:pBdr>
        <w:spacing w:before="120"/>
        <w:ind w:left="567" w:right="900"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Documento o documentos en los que conste la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color w:val="000000"/>
          <w:sz w:val="22"/>
          <w:szCs w:val="22"/>
        </w:rPr>
        <w:t xml:space="preserve">signación de los servidores públicos habilitados de cada unidad administrativa al interior del Sujeto Obligado, al veintisiete de enero de dos mil veintidós. </w:t>
      </w:r>
    </w:p>
    <w:p w:rsidR="00F8105A" w:rsidRDefault="008221A6">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w:t>
      </w:r>
      <w:r w:rsidR="00BB46A6">
        <w:rPr>
          <w:rFonts w:ascii="Palatino Linotype" w:eastAsia="Palatino Linotype" w:hAnsi="Palatino Linotype" w:cs="Palatino Linotype"/>
          <w:i/>
          <w:sz w:val="22"/>
          <w:szCs w:val="22"/>
        </w:rPr>
        <w:t xml:space="preserve">así como de las versiones públicas remitidas en respuesta, </w:t>
      </w:r>
      <w:r>
        <w:rPr>
          <w:rFonts w:ascii="Palatino Linotype" w:eastAsia="Palatino Linotype" w:hAnsi="Palatino Linotype" w:cs="Palatino Linotype"/>
          <w:i/>
          <w:sz w:val="22"/>
          <w:szCs w:val="22"/>
        </w:rPr>
        <w:t>mismo que también hará de conocimiento de la particular.</w:t>
      </w:r>
    </w:p>
    <w:p w:rsidR="00F8105A" w:rsidRDefault="008221A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 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w:t>
      </w:r>
      <w:r>
        <w:rPr>
          <w:rFonts w:ascii="Palatino Linotype" w:eastAsia="Palatino Linotype" w:hAnsi="Palatino Linotype" w:cs="Palatino Linotype"/>
          <w:b/>
        </w:rPr>
        <w:t>diez días hábiles</w:t>
      </w:r>
      <w:r>
        <w:rPr>
          <w:rFonts w:ascii="Palatino Linotype" w:eastAsia="Palatino Linotype" w:hAnsi="Palatino Linotype" w:cs="Palatino Linotype"/>
        </w:rPr>
        <w:t>, debiendo informar a este Instituto en un plazo de tres días hábiles siguientes sobre el cumplimiento dado a la misma</w:t>
      </w:r>
      <w:r>
        <w:rPr>
          <w:rFonts w:ascii="Palatino Linotype" w:eastAsia="Palatino Linotype" w:hAnsi="Palatino Linotype" w:cs="Palatino Linotype"/>
          <w:b/>
        </w:rPr>
        <w:t>.</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8105A" w:rsidRDefault="00822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recurrente </w:t>
      </w:r>
      <w:r>
        <w:rPr>
          <w:rFonts w:ascii="Palatino Linotype" w:eastAsia="Palatino Linotype" w:hAnsi="Palatino Linotype" w:cs="Palatino Linotype"/>
          <w:b/>
        </w:rPr>
        <w:t>vía Sistema de Acceso a la Información Mexiquense (SAIMEX),</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la presente resolución, </w:t>
      </w:r>
      <w:r>
        <w:rPr>
          <w:rFonts w:ascii="Palatino Linotype" w:eastAsia="Palatino Linotype" w:hAnsi="Palatino Linotype" w:cs="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Pr>
          <w:rFonts w:ascii="Palatino Linotype" w:eastAsia="Palatino Linotype" w:hAnsi="Palatino Linotype" w:cs="Palatino Linotype"/>
          <w:b/>
        </w:rPr>
        <w:t>vía Juicio de Amparo</w:t>
      </w:r>
      <w:r>
        <w:rPr>
          <w:rFonts w:ascii="Palatino Linotype" w:eastAsia="Palatino Linotype" w:hAnsi="Palatino Linotype" w:cs="Palatino Linotype"/>
        </w:rPr>
        <w:t xml:space="preserve"> en los términos de las leyes aplicables.</w:t>
      </w:r>
    </w:p>
    <w:p w:rsidR="00F8105A" w:rsidRDefault="008221A6">
      <w:pPr>
        <w:spacing w:before="240" w:after="240" w:line="360" w:lineRule="auto"/>
        <w:jc w:val="both"/>
        <w:rPr>
          <w:rFonts w:ascii="Palatino Linotype" w:eastAsia="Palatino Linotype" w:hAnsi="Palatino Linotype" w:cs="Palatino Linotype"/>
        </w:rPr>
        <w:sectPr w:rsidR="00F8105A">
          <w:headerReference w:type="default" r:id="rId33"/>
          <w:footerReference w:type="default" r:id="rId34"/>
          <w:headerReference w:type="first" r:id="rId35"/>
          <w:footerReference w:type="first" r:id="rId36"/>
          <w:pgSz w:w="12240" w:h="15840"/>
          <w:pgMar w:top="1985" w:right="1701" w:bottom="1701" w:left="1701" w:header="709" w:footer="709"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p>
    <w:p w:rsidR="00F8105A" w:rsidRDefault="00F8105A">
      <w:pPr>
        <w:spacing w:before="240" w:after="240" w:line="360" w:lineRule="auto"/>
        <w:jc w:val="both"/>
        <w:rPr>
          <w:rFonts w:ascii="Palatino Linotype" w:eastAsia="Palatino Linotype" w:hAnsi="Palatino Linotype" w:cs="Palatino Linotype"/>
        </w:rPr>
      </w:pPr>
    </w:p>
    <w:sectPr w:rsidR="00F8105A">
      <w:headerReference w:type="first" r:id="rId3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7DD" w:rsidRDefault="00B557DD">
      <w:r>
        <w:separator/>
      </w:r>
    </w:p>
  </w:endnote>
  <w:endnote w:type="continuationSeparator" w:id="0">
    <w:p w:rsidR="00B557DD" w:rsidRDefault="00B5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3AF" w:rsidRDefault="00B153A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43580">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43580">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rsidR="00B153AF" w:rsidRDefault="00B153A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3AF" w:rsidRDefault="00B153A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43580">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43580">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rsidR="00B153AF" w:rsidRDefault="00B153A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7DD" w:rsidRDefault="00B557DD">
      <w:r>
        <w:separator/>
      </w:r>
    </w:p>
  </w:footnote>
  <w:footnote w:type="continuationSeparator" w:id="0">
    <w:p w:rsidR="00B557DD" w:rsidRDefault="00B557DD">
      <w:r>
        <w:continuationSeparator/>
      </w:r>
    </w:p>
  </w:footnote>
  <w:footnote w:id="1">
    <w:p w:rsidR="00B153AF" w:rsidRDefault="00B153A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B153AF" w:rsidRDefault="00B153A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B153AF" w:rsidRDefault="00B153A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Actualmente Comité de Transparencia</w:t>
      </w:r>
    </w:p>
  </w:footnote>
  <w:footnote w:id="4">
    <w:p w:rsidR="00B153AF" w:rsidRDefault="00B153A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Actualmente Unidad de Transparencia</w:t>
      </w:r>
    </w:p>
  </w:footnote>
  <w:footnote w:id="5">
    <w:p w:rsidR="00FC0452" w:rsidRPr="000337DA" w:rsidRDefault="00FC0452" w:rsidP="00FC0452">
      <w:pPr>
        <w:tabs>
          <w:tab w:val="left" w:pos="709"/>
        </w:tabs>
        <w:ind w:right="567"/>
        <w:jc w:val="both"/>
        <w:rPr>
          <w:rFonts w:ascii="Palatino Linotype" w:eastAsia="Palatino Linotype" w:hAnsi="Palatino Linotype" w:cs="Palatino Linotype"/>
          <w:sz w:val="16"/>
          <w:szCs w:val="16"/>
        </w:rPr>
      </w:pPr>
      <w:r w:rsidRPr="000337DA">
        <w:rPr>
          <w:rFonts w:ascii="Palatino Linotype" w:hAnsi="Palatino Linotype"/>
          <w:sz w:val="16"/>
          <w:szCs w:val="16"/>
          <w:vertAlign w:val="superscript"/>
        </w:rPr>
        <w:footnoteRef/>
      </w:r>
      <w:r w:rsidRPr="000337DA">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rsidR="00FC0452" w:rsidRPr="000337DA" w:rsidRDefault="00FC0452" w:rsidP="00FC0452">
      <w:pPr>
        <w:tabs>
          <w:tab w:val="left" w:pos="709"/>
        </w:tabs>
        <w:ind w:right="567"/>
        <w:jc w:val="both"/>
        <w:rPr>
          <w:rFonts w:ascii="Palatino Linotype" w:eastAsia="Palatino Linotype" w:hAnsi="Palatino Linotype" w:cs="Palatino Linotype"/>
          <w:sz w:val="16"/>
          <w:szCs w:val="16"/>
        </w:rPr>
      </w:pPr>
      <w:r w:rsidRPr="000337DA">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6">
    <w:p w:rsidR="00FC0452" w:rsidRPr="000337DA" w:rsidRDefault="00FC0452" w:rsidP="00FC0452">
      <w:pPr>
        <w:tabs>
          <w:tab w:val="left" w:pos="709"/>
        </w:tabs>
        <w:ind w:right="567"/>
        <w:jc w:val="both"/>
        <w:rPr>
          <w:rFonts w:ascii="Palatino Linotype" w:eastAsia="Palatino Linotype" w:hAnsi="Palatino Linotype" w:cs="Palatino Linotype"/>
          <w:sz w:val="16"/>
          <w:szCs w:val="16"/>
        </w:rPr>
      </w:pPr>
      <w:r w:rsidRPr="000337DA">
        <w:rPr>
          <w:rFonts w:ascii="Palatino Linotype" w:hAnsi="Palatino Linotype"/>
          <w:sz w:val="16"/>
          <w:szCs w:val="16"/>
          <w:vertAlign w:val="superscript"/>
        </w:rPr>
        <w:footnoteRef/>
      </w:r>
      <w:r w:rsidRPr="000337DA">
        <w:rPr>
          <w:rFonts w:ascii="Palatino Linotype" w:eastAsia="Palatino Linotype" w:hAnsi="Palatino Linotype" w:cs="Palatino Linotype"/>
          <w:sz w:val="16"/>
          <w:szCs w:val="16"/>
        </w:rPr>
        <w:t xml:space="preserve"> Artículo 23. Son sujetos obligados a transparentar y permitir el acceso a su información y proteger los datos p</w:t>
      </w:r>
      <w:r>
        <w:rPr>
          <w:rFonts w:ascii="Palatino Linotype" w:eastAsia="Palatino Linotype" w:hAnsi="Palatino Linotype" w:cs="Palatino Linotype"/>
          <w:sz w:val="16"/>
          <w:szCs w:val="16"/>
        </w:rPr>
        <w:t>ersonales que obren en su poder…</w:t>
      </w:r>
    </w:p>
    <w:p w:rsidR="00FC0452" w:rsidRPr="000337DA" w:rsidRDefault="00FC0452" w:rsidP="00FC0452">
      <w:pPr>
        <w:tabs>
          <w:tab w:val="left" w:pos="709"/>
        </w:tabs>
        <w:ind w:right="567"/>
        <w:jc w:val="both"/>
        <w:rPr>
          <w:rFonts w:ascii="Palatino Linotype" w:eastAsia="Palatino Linotype" w:hAnsi="Palatino Linotype" w:cs="Palatino Linotype"/>
          <w:sz w:val="16"/>
          <w:szCs w:val="16"/>
        </w:rPr>
      </w:pPr>
      <w:r w:rsidRPr="00710653">
        <w:rPr>
          <w:rFonts w:ascii="Palatino Linotype" w:eastAsia="Palatino Linotype" w:hAnsi="Palatino Linotype" w:cs="Palatino Linotype"/>
          <w:sz w:val="16"/>
          <w:szCs w:val="16"/>
        </w:rPr>
        <w:t>IV. Los ayuntamientos y las dependencias, organismos, órganos y entidades de la administración municipal;</w:t>
      </w:r>
      <w:r>
        <w:rPr>
          <w:rFonts w:ascii="Palatino Linotype" w:eastAsia="Palatino Linotype" w:hAnsi="Palatino Linotype" w:cs="Palatino Linotype"/>
          <w:sz w:val="16"/>
          <w:szCs w:val="16"/>
        </w:rPr>
        <w:t>…”(Sic)</w:t>
      </w:r>
    </w:p>
  </w:footnote>
  <w:footnote w:id="7">
    <w:p w:rsidR="00FC0452" w:rsidRDefault="00FC0452" w:rsidP="00FC045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sidRPr="005C2B9A">
        <w:rPr>
          <w:rFonts w:ascii="Palatino Linotype" w:eastAsia="Palatino Linotype" w:hAnsi="Palatino Linotype" w:cs="Palatino Linotype"/>
          <w:color w:val="000000"/>
          <w:sz w:val="16"/>
          <w:szCs w:val="16"/>
        </w:rPr>
        <w:t>“</w:t>
      </w:r>
      <w:r>
        <w:rPr>
          <w:rFonts w:ascii="Palatino Linotype" w:eastAsia="Palatino Linotype" w:hAnsi="Palatino Linotype" w:cs="Palatino Linotype"/>
          <w:color w:val="000000"/>
          <w:sz w:val="16"/>
          <w:szCs w:val="16"/>
        </w:rPr>
        <w:t>Artículo 9. El Instituto deberá regir su funcionamiento de acuerdo a los siguientes principios:</w:t>
      </w:r>
    </w:p>
    <w:p w:rsidR="00FC0452" w:rsidRDefault="00FC0452" w:rsidP="00FC045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rsidR="00FC0452" w:rsidRDefault="00FC0452" w:rsidP="00FC0452">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7A0BDE">
        <w:rPr>
          <w:rFonts w:ascii="Palatino Linotype" w:eastAsia="Palatino Linotype" w:hAnsi="Palatino Linotype" w:cs="Palatino Linotype"/>
          <w:color w:val="000000"/>
          <w:sz w:val="16"/>
          <w:szCs w:val="16"/>
        </w:rPr>
        <w:t>VI. Legalidad: Obligación del Instituto de ajustar su actuación, que funde y motive sus resoluciones y</w:t>
      </w:r>
      <w:r>
        <w:rPr>
          <w:rFonts w:ascii="Palatino Linotype" w:eastAsia="Palatino Linotype" w:hAnsi="Palatino Linotype" w:cs="Palatino Linotype"/>
          <w:color w:val="000000"/>
          <w:sz w:val="16"/>
          <w:szCs w:val="16"/>
        </w:rPr>
        <w:t xml:space="preserve"> actos en las normas aplicables…</w:t>
      </w:r>
    </w:p>
    <w:p w:rsidR="00FC0452" w:rsidRDefault="00FC0452" w:rsidP="00FC0452">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7A0BDE">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w:t>
      </w:r>
      <w:r>
        <w:rPr>
          <w:rFonts w:ascii="Palatino Linotype" w:eastAsia="Palatino Linotype" w:hAnsi="Palatino Linotype" w:cs="Palatino Linotype"/>
          <w:color w:val="000000"/>
          <w:sz w:val="16"/>
          <w:szCs w:val="16"/>
        </w:rPr>
        <w:t>…” (Sic)</w:t>
      </w:r>
    </w:p>
  </w:footnote>
  <w:footnote w:id="8">
    <w:p w:rsidR="00FC0452" w:rsidRDefault="00FC0452" w:rsidP="00FC0452">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5C2B9A">
        <w:rPr>
          <w:rFonts w:ascii="Palatino Linotype" w:eastAsia="Palatino Linotype" w:hAnsi="Palatino Linotype" w:cs="Palatino Linotype"/>
          <w:color w:val="000000"/>
          <w:sz w:val="16"/>
          <w:szCs w:val="16"/>
        </w:rPr>
        <w:footnoteRef/>
      </w:r>
      <w:r w:rsidRPr="005C2B9A">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color w:val="000000"/>
          <w:sz w:val="16"/>
          <w:szCs w:val="16"/>
        </w:rPr>
        <w:t xml:space="preserve">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3AF" w:rsidRDefault="00B153A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-1034415</wp:posOffset>
          </wp:positionH>
          <wp:positionV relativeFrom="paragraph">
            <wp:posOffset>-175895</wp:posOffset>
          </wp:positionV>
          <wp:extent cx="7809865" cy="10165715"/>
          <wp:effectExtent l="0" t="0" r="0" b="0"/>
          <wp:wrapNone/>
          <wp:docPr id="9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B153AF">
      <w:tc>
        <w:tcPr>
          <w:tcW w:w="2489" w:type="dxa"/>
          <w:shd w:val="clear" w:color="auto" w:fill="auto"/>
        </w:tcPr>
        <w:p w:rsidR="00B153AF" w:rsidRDefault="00B153A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B153AF" w:rsidRDefault="00B153AF">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03184/INFOEM/IP/RR/2022 </w:t>
          </w:r>
        </w:p>
      </w:tc>
    </w:tr>
    <w:tr w:rsidR="00B153AF">
      <w:trPr>
        <w:trHeight w:val="228"/>
      </w:trPr>
      <w:tc>
        <w:tcPr>
          <w:tcW w:w="2489" w:type="dxa"/>
          <w:shd w:val="clear" w:color="auto" w:fill="auto"/>
          <w:vAlign w:val="center"/>
        </w:tcPr>
        <w:p w:rsidR="00B153AF" w:rsidRDefault="00B153A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B153AF" w:rsidRDefault="00B153AF">
          <w:pPr>
            <w:ind w:left="-45" w:right="594"/>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Descentralizado para la Prestación de Los Servicios de Agua Potable Alcantarillado y Saneamiento de Atizapán de Zaragoza por sus siglas S.A.P.A.S.A.</w:t>
          </w:r>
        </w:p>
      </w:tc>
    </w:tr>
    <w:tr w:rsidR="00B153AF">
      <w:tc>
        <w:tcPr>
          <w:tcW w:w="2489" w:type="dxa"/>
          <w:shd w:val="clear" w:color="auto" w:fill="auto"/>
          <w:vAlign w:val="center"/>
        </w:tcPr>
        <w:p w:rsidR="00B153AF" w:rsidRDefault="00B153AF">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B153AF" w:rsidRDefault="00B153AF">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153AF" w:rsidRDefault="00B153A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3AF" w:rsidRDefault="00B153A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-1138482</wp:posOffset>
          </wp:positionH>
          <wp:positionV relativeFrom="paragraph">
            <wp:posOffset>-415289</wp:posOffset>
          </wp:positionV>
          <wp:extent cx="7809876" cy="10165823"/>
          <wp:effectExtent l="0" t="0" r="0" b="0"/>
          <wp:wrapNone/>
          <wp:docPr id="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670" w:type="dxa"/>
      <w:tblInd w:w="3261" w:type="dxa"/>
      <w:tblLayout w:type="fixed"/>
      <w:tblLook w:val="0400" w:firstRow="0" w:lastRow="0" w:firstColumn="0" w:lastColumn="0" w:noHBand="0" w:noVBand="1"/>
    </w:tblPr>
    <w:tblGrid>
      <w:gridCol w:w="2551"/>
      <w:gridCol w:w="3119"/>
    </w:tblGrid>
    <w:tr w:rsidR="00B153AF">
      <w:tc>
        <w:tcPr>
          <w:tcW w:w="2551" w:type="dxa"/>
          <w:shd w:val="clear" w:color="auto" w:fill="auto"/>
          <w:vAlign w:val="center"/>
        </w:tcPr>
        <w:p w:rsidR="00B153AF" w:rsidRDefault="00B153A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rsidR="00B153AF" w:rsidRDefault="00B153AF">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03184/INFOEM/IP/RR/2022</w:t>
          </w:r>
        </w:p>
      </w:tc>
    </w:tr>
    <w:tr w:rsidR="00B153AF">
      <w:trPr>
        <w:trHeight w:val="130"/>
      </w:trPr>
      <w:tc>
        <w:tcPr>
          <w:tcW w:w="2551" w:type="dxa"/>
          <w:shd w:val="clear" w:color="auto" w:fill="auto"/>
          <w:vAlign w:val="center"/>
        </w:tcPr>
        <w:p w:rsidR="00B153AF" w:rsidRDefault="00B153A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rsidR="00B153AF" w:rsidRDefault="00643580">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XXXXXX</w:t>
          </w:r>
        </w:p>
      </w:tc>
    </w:tr>
    <w:tr w:rsidR="00B153AF">
      <w:trPr>
        <w:trHeight w:val="228"/>
      </w:trPr>
      <w:tc>
        <w:tcPr>
          <w:tcW w:w="2551" w:type="dxa"/>
          <w:shd w:val="clear" w:color="auto" w:fill="auto"/>
          <w:vAlign w:val="center"/>
        </w:tcPr>
        <w:p w:rsidR="00B153AF" w:rsidRDefault="00B153A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rsidR="00B153AF" w:rsidRDefault="00B153AF">
          <w:pPr>
            <w:ind w:left="-45"/>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Descentralizado para la Prestación de Los Servicios de Agua Potable Alcantarillado y Saneamiento de Atizapán de Zaragoza por sus siglas S.A.P.A.S.A.</w:t>
          </w:r>
        </w:p>
      </w:tc>
    </w:tr>
    <w:tr w:rsidR="00B153AF">
      <w:tc>
        <w:tcPr>
          <w:tcW w:w="2551" w:type="dxa"/>
          <w:shd w:val="clear" w:color="auto" w:fill="auto"/>
          <w:vAlign w:val="center"/>
        </w:tcPr>
        <w:p w:rsidR="00B153AF" w:rsidRDefault="00B153A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rsidR="00B153AF" w:rsidRDefault="00B153AF">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153AF" w:rsidRDefault="00B153A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3AF" w:rsidRDefault="00B153A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67164"/>
    <w:multiLevelType w:val="multilevel"/>
    <w:tmpl w:val="BE0EB30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30B84295"/>
    <w:multiLevelType w:val="hybridMultilevel"/>
    <w:tmpl w:val="29E0D09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1C763FD"/>
    <w:multiLevelType w:val="multilevel"/>
    <w:tmpl w:val="76C28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A014DB"/>
    <w:multiLevelType w:val="multilevel"/>
    <w:tmpl w:val="7044591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48D678BD"/>
    <w:multiLevelType w:val="hybridMultilevel"/>
    <w:tmpl w:val="5380EFA0"/>
    <w:lvl w:ilvl="0" w:tplc="2CFAC1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742A33"/>
    <w:multiLevelType w:val="multilevel"/>
    <w:tmpl w:val="5F8010C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2E7F4F"/>
    <w:multiLevelType w:val="multilevel"/>
    <w:tmpl w:val="78EEA07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6DFF0E1D"/>
    <w:multiLevelType w:val="multilevel"/>
    <w:tmpl w:val="3F24AA18"/>
    <w:lvl w:ilvl="0">
      <w:start w:val="1"/>
      <w:numFmt w:val="lowerLetter"/>
      <w:pStyle w:val="Listaconvietas3"/>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5431E3"/>
    <w:multiLevelType w:val="multilevel"/>
    <w:tmpl w:val="1780EB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7"/>
  </w:num>
  <w:num w:numId="3">
    <w:abstractNumId w:val="8"/>
  </w:num>
  <w:num w:numId="4">
    <w:abstractNumId w:val="3"/>
  </w:num>
  <w:num w:numId="5">
    <w:abstractNumId w:val="6"/>
  </w:num>
  <w:num w:numId="6">
    <w:abstractNumId w:val="2"/>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05A"/>
    <w:rsid w:val="00115136"/>
    <w:rsid w:val="001174AE"/>
    <w:rsid w:val="002F62F2"/>
    <w:rsid w:val="00404964"/>
    <w:rsid w:val="0052608B"/>
    <w:rsid w:val="0055678C"/>
    <w:rsid w:val="00643580"/>
    <w:rsid w:val="006C292F"/>
    <w:rsid w:val="007906B7"/>
    <w:rsid w:val="008221A6"/>
    <w:rsid w:val="008A5562"/>
    <w:rsid w:val="009347F0"/>
    <w:rsid w:val="00953799"/>
    <w:rsid w:val="00AC01AF"/>
    <w:rsid w:val="00B153AF"/>
    <w:rsid w:val="00B557DD"/>
    <w:rsid w:val="00BB46A6"/>
    <w:rsid w:val="00D00CF1"/>
    <w:rsid w:val="00F8105A"/>
    <w:rsid w:val="00F976D1"/>
    <w:rsid w:val="00FC04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7A15CB-AC68-45F5-83A2-7411EC45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6">
    <w:basedOn w:val="TableNormal0"/>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halHa3WK1VdIbhBk849fgAWAgA==">AMUW2mW+myRo+92kGAmAiQhm+g8XfAuUHQaLI6+KuY5DWNZ+m3OepRMcoLoK/NxD8+OqBs2NomVLs4P16e4HASQZ0ZyRMwA0qrL0no712EupZRD3CjbylLvsF5jGN/n69BqkXxbGXmd3vyAD+H9QH0ruDfp3ryfKCxNx+b6SJ4mI/pabD4kojHM=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11129</Words>
  <Characters>61215</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72200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cp:lastPrinted>2022-06-09T16:38:00Z</cp:lastPrinted>
  <dcterms:created xsi:type="dcterms:W3CDTF">2022-06-09T00:10:00Z</dcterms:created>
  <dcterms:modified xsi:type="dcterms:W3CDTF">2022-07-06T22:06:00Z</dcterms:modified>
</cp:coreProperties>
</file>