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F0E6" w14:textId="3957AECA" w:rsidR="002D6D69" w:rsidRPr="003D5B55" w:rsidRDefault="002D6D69" w:rsidP="002D6D69">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9878BF">
        <w:rPr>
          <w:rFonts w:eastAsia="Calibri" w:cs="Tahoma"/>
          <w:lang w:val="es-ES"/>
        </w:rPr>
        <w:t xml:space="preserve">treinta </w:t>
      </w:r>
      <w:r>
        <w:rPr>
          <w:rFonts w:eastAsia="Calibri" w:cs="Tahoma"/>
          <w:lang w:val="es-ES"/>
        </w:rPr>
        <w:t xml:space="preserve">de marzo de dos mil veintidós. </w:t>
      </w:r>
    </w:p>
    <w:p w14:paraId="27F866F2" w14:textId="77777777" w:rsidR="002D6D69" w:rsidRPr="003D5B55" w:rsidRDefault="002D6D69" w:rsidP="002D6D69">
      <w:pPr>
        <w:tabs>
          <w:tab w:val="left" w:pos="2520"/>
        </w:tabs>
        <w:spacing w:after="0" w:line="360" w:lineRule="auto"/>
        <w:rPr>
          <w:rFonts w:eastAsia="Calibri" w:cs="Tahoma"/>
          <w:b/>
          <w:bCs/>
          <w:lang w:val="es-ES"/>
        </w:rPr>
      </w:pPr>
      <w:r>
        <w:rPr>
          <w:rFonts w:eastAsia="Calibri" w:cs="Tahoma"/>
          <w:b/>
          <w:bCs/>
          <w:lang w:val="es-ES"/>
        </w:rPr>
        <w:tab/>
      </w:r>
    </w:p>
    <w:p w14:paraId="7F921F03" w14:textId="04A030F2" w:rsidR="002D6D69" w:rsidRDefault="002D6D69" w:rsidP="002D6D69">
      <w:pPr>
        <w:spacing w:after="0" w:line="360" w:lineRule="auto"/>
        <w:rPr>
          <w:rFonts w:cs="Tahoma"/>
          <w:bCs/>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 los Recursos de Revisión </w:t>
      </w:r>
      <w:bookmarkStart w:id="0" w:name="_Hlk94093986"/>
      <w:r w:rsidRPr="00860BF3">
        <w:rPr>
          <w:rFonts w:eastAsia="Calibri" w:cs="Tahoma"/>
        </w:rPr>
        <w:t>00</w:t>
      </w:r>
      <w:r>
        <w:rPr>
          <w:rFonts w:eastAsia="Calibri" w:cs="Tahoma"/>
        </w:rPr>
        <w:t>961</w:t>
      </w:r>
      <w:r w:rsidRPr="00860BF3">
        <w:rPr>
          <w:rFonts w:eastAsia="Calibri" w:cs="Tahoma"/>
        </w:rPr>
        <w:t>/INFOEM/IP/RR/2022 y 00</w:t>
      </w:r>
      <w:r>
        <w:rPr>
          <w:rFonts w:eastAsia="Calibri" w:cs="Tahoma"/>
        </w:rPr>
        <w:t>962</w:t>
      </w:r>
      <w:r w:rsidRPr="00860BF3">
        <w:rPr>
          <w:rFonts w:eastAsia="Calibri" w:cs="Tahoma"/>
        </w:rPr>
        <w:t>/INFOEM/IP/RR/2022</w:t>
      </w:r>
      <w:bookmarkEnd w:id="0"/>
      <w:r>
        <w:rPr>
          <w:rFonts w:eastAsia="Calibri" w:cs="Tahoma"/>
        </w:rPr>
        <w:t>, interpuestos p</w:t>
      </w:r>
      <w:r w:rsidR="00A823B7">
        <w:rPr>
          <w:rFonts w:eastAsia="Calibri" w:cs="Tahoma"/>
        </w:rPr>
        <w:t>or el Recurrente</w:t>
      </w:r>
      <w:r w:rsidRPr="00240180">
        <w:rPr>
          <w:rFonts w:cs="Tahoma"/>
          <w:color w:val="0D0D0D" w:themeColor="text1" w:themeTint="F2"/>
        </w:rPr>
        <w:t xml:space="preserve"> o Particular, en contra de la falta de respuesta del Sujeto Obligado, </w:t>
      </w:r>
      <w:r>
        <w:rPr>
          <w:rFonts w:cs="Tahoma"/>
          <w:color w:val="0D0D0D" w:themeColor="text1" w:themeTint="F2"/>
        </w:rPr>
        <w:t xml:space="preserve">Ayuntamiento de </w:t>
      </w:r>
      <w:r w:rsidR="00A823B7">
        <w:rPr>
          <w:rFonts w:cs="Tahoma"/>
          <w:color w:val="0D0D0D" w:themeColor="text1" w:themeTint="F2"/>
        </w:rPr>
        <w:t>Santo Tomás</w:t>
      </w:r>
      <w:r w:rsidRPr="00240180">
        <w:rPr>
          <w:rFonts w:cs="Tahoma"/>
          <w:color w:val="0D0D0D" w:themeColor="text1" w:themeTint="F2"/>
        </w:rPr>
        <w:t xml:space="preserve">, </w:t>
      </w:r>
      <w:r>
        <w:rPr>
          <w:rFonts w:cs="Tahoma"/>
          <w:color w:val="0D0D0D" w:themeColor="text1" w:themeTint="F2"/>
        </w:rPr>
        <w:t xml:space="preserve">a las solicitudes de acceso a la información pública </w:t>
      </w:r>
      <w:r w:rsidR="00A823B7" w:rsidRPr="00A823B7">
        <w:t>0001</w:t>
      </w:r>
      <w:r w:rsidR="00A823B7">
        <w:t>3</w:t>
      </w:r>
      <w:r w:rsidR="00A823B7" w:rsidRPr="00A823B7">
        <w:t>/SANTOTOM/IP/2022</w:t>
      </w:r>
      <w:r w:rsidR="00A823B7">
        <w:t xml:space="preserve"> y </w:t>
      </w:r>
      <w:r w:rsidR="00A823B7" w:rsidRPr="00A823B7">
        <w:t>00014/SANTOTOM/IP/2022</w:t>
      </w:r>
      <w:r w:rsidRPr="00860BF3">
        <w:rPr>
          <w:rFonts w:cs="Tahoma"/>
          <w:iCs/>
          <w:color w:val="0D0D0D" w:themeColor="text1" w:themeTint="F2"/>
        </w:rPr>
        <w:t>,</w:t>
      </w:r>
      <w:r w:rsidRPr="00860BF3">
        <w:rPr>
          <w:rFonts w:cs="Tahoma"/>
          <w:color w:val="0D0D0D" w:themeColor="text1" w:themeTint="F2"/>
        </w:rPr>
        <w:t xml:space="preserve"> s</w:t>
      </w:r>
      <w:r w:rsidRPr="0085149F">
        <w:rPr>
          <w:rFonts w:cs="Tahoma"/>
          <w:color w:val="0D0D0D" w:themeColor="text1" w:themeTint="F2"/>
        </w:rPr>
        <w:t>e emite</w:t>
      </w:r>
      <w:r w:rsidRPr="003D5B55">
        <w:rPr>
          <w:rFonts w:cs="Tahoma"/>
          <w:bCs/>
          <w:color w:val="0D0D0D" w:themeColor="text1" w:themeTint="F2"/>
        </w:rPr>
        <w:t xml:space="preserve"> la presente Resolución, con base en los Antecedentes y Considerandos que se exponen a continuación:</w:t>
      </w:r>
    </w:p>
    <w:p w14:paraId="23BCB2C6" w14:textId="77777777" w:rsidR="002D6D69" w:rsidRPr="00004084" w:rsidRDefault="002D6D69" w:rsidP="002D6D69">
      <w:pPr>
        <w:spacing w:after="0" w:line="360" w:lineRule="auto"/>
        <w:rPr>
          <w:rFonts w:cs="Tahoma"/>
          <w:color w:val="0D0D0D" w:themeColor="text1" w:themeTint="F2"/>
        </w:rPr>
      </w:pPr>
    </w:p>
    <w:p w14:paraId="19231300" w14:textId="77777777" w:rsidR="002D6D69" w:rsidRPr="003D5B55" w:rsidRDefault="002D6D69" w:rsidP="002D6D69">
      <w:pPr>
        <w:spacing w:after="0" w:line="360" w:lineRule="auto"/>
        <w:jc w:val="center"/>
        <w:rPr>
          <w:rFonts w:eastAsia="Calibri" w:cs="Tahoma"/>
          <w:b/>
          <w:bCs/>
          <w:lang w:val="es-ES"/>
        </w:rPr>
      </w:pPr>
      <w:r w:rsidRPr="003D5B55">
        <w:rPr>
          <w:rFonts w:eastAsia="Calibri" w:cs="Tahoma"/>
          <w:b/>
          <w:bCs/>
          <w:lang w:val="es-ES"/>
        </w:rPr>
        <w:t>A N T E C E D E N T E S:</w:t>
      </w:r>
    </w:p>
    <w:p w14:paraId="719C9BE6" w14:textId="77777777" w:rsidR="002D6D69" w:rsidRPr="003D5B55" w:rsidRDefault="002D6D69" w:rsidP="002D6D69">
      <w:pPr>
        <w:spacing w:after="0" w:line="360" w:lineRule="auto"/>
        <w:rPr>
          <w:lang w:val="es-ES"/>
        </w:rPr>
      </w:pPr>
    </w:p>
    <w:p w14:paraId="2015A98A" w14:textId="77777777" w:rsidR="002D6D69" w:rsidRPr="003D5B55" w:rsidRDefault="002D6D69" w:rsidP="002D6D69">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las solicitudes de información.</w:t>
      </w:r>
    </w:p>
    <w:p w14:paraId="7A15C4A8" w14:textId="77777777" w:rsidR="002D6D69" w:rsidRPr="003D5B55" w:rsidRDefault="002D6D69" w:rsidP="002D6D69">
      <w:pPr>
        <w:spacing w:after="0" w:line="360" w:lineRule="auto"/>
        <w:rPr>
          <w:rFonts w:eastAsia="Calibri" w:cs="Tahoma"/>
          <w:b/>
          <w:bCs/>
          <w:lang w:val="es-ES"/>
        </w:rPr>
      </w:pPr>
    </w:p>
    <w:p w14:paraId="302663B5" w14:textId="5ADA0DDE" w:rsidR="002D6D69" w:rsidRPr="0033044C" w:rsidRDefault="002D6D69" w:rsidP="005635E2">
      <w:pPr>
        <w:tabs>
          <w:tab w:val="left" w:pos="567"/>
        </w:tabs>
        <w:spacing w:line="360" w:lineRule="auto"/>
        <w:rPr>
          <w:rFonts w:cs="Tahoma"/>
          <w:bCs/>
        </w:rPr>
      </w:pPr>
      <w:r w:rsidRPr="00033B8E">
        <w:rPr>
          <w:rFonts w:cs="Tahoma"/>
        </w:rPr>
        <w:t xml:space="preserve">Con fecha </w:t>
      </w:r>
      <w:r w:rsidR="00A823B7">
        <w:rPr>
          <w:rFonts w:cs="Tahoma"/>
        </w:rPr>
        <w:t>veinticuatro</w:t>
      </w:r>
      <w:r>
        <w:rPr>
          <w:rFonts w:cs="Tahoma"/>
        </w:rPr>
        <w:t xml:space="preserve"> de enero de dos mil veintidós</w:t>
      </w:r>
      <w:r w:rsidRPr="00033B8E">
        <w:rPr>
          <w:rFonts w:cs="Tahoma"/>
        </w:rPr>
        <w:t xml:space="preserve">, </w:t>
      </w:r>
      <w:r>
        <w:rPr>
          <w:rFonts w:cs="Tahoma"/>
        </w:rPr>
        <w:t xml:space="preserve">se </w:t>
      </w:r>
      <w:r w:rsidR="009878BF">
        <w:rPr>
          <w:rFonts w:cs="Tahoma"/>
        </w:rPr>
        <w:t>tuvieron por recibidas</w:t>
      </w:r>
      <w:r w:rsidRPr="00033B8E">
        <w:rPr>
          <w:rFonts w:cs="Tahoma"/>
        </w:rPr>
        <w:t xml:space="preserve"> </w:t>
      </w:r>
      <w:r>
        <w:rPr>
          <w:rFonts w:cs="Tahoma"/>
        </w:rPr>
        <w:t>dos solicitudes</w:t>
      </w:r>
      <w:r w:rsidRPr="00033B8E">
        <w:rPr>
          <w:rFonts w:cs="Tahoma"/>
        </w:rPr>
        <w:t xml:space="preserve"> de acceso a la información pública, a través del Sistema de Acceso a la Información Mexiquense (SAIMEX), ante </w:t>
      </w:r>
      <w:r>
        <w:rPr>
          <w:rFonts w:cs="Tahoma"/>
        </w:rPr>
        <w:t>el</w:t>
      </w:r>
      <w:r w:rsidRPr="00033B8E">
        <w:rPr>
          <w:rFonts w:cs="Tahoma"/>
        </w:rPr>
        <w:t xml:space="preserve"> </w:t>
      </w:r>
      <w:r>
        <w:rPr>
          <w:rFonts w:cs="Tahoma"/>
          <w:bCs/>
        </w:rPr>
        <w:t xml:space="preserve">Ayuntamiento de </w:t>
      </w:r>
      <w:r w:rsidR="00A823B7">
        <w:rPr>
          <w:rFonts w:cs="Tahoma"/>
          <w:bCs/>
        </w:rPr>
        <w:t>Santo Tomás</w:t>
      </w:r>
      <w:r w:rsidR="008D2D61">
        <w:rPr>
          <w:rFonts w:cs="Tahoma"/>
          <w:bCs/>
        </w:rPr>
        <w:t>;</w:t>
      </w:r>
      <w:r w:rsidRPr="00613198">
        <w:rPr>
          <w:bCs/>
        </w:rPr>
        <w:t xml:space="preserve"> </w:t>
      </w:r>
      <w:r w:rsidR="008D2D61">
        <w:rPr>
          <w:color w:val="000000"/>
        </w:rPr>
        <w:t>lo anterior</w:t>
      </w:r>
      <w:r w:rsidR="008D2D61" w:rsidRPr="00A71B93">
        <w:rPr>
          <w:rFonts w:eastAsia="Calibri" w:cs="Tahoma"/>
          <w:b/>
          <w:bCs/>
          <w:lang w:val="es-ES"/>
        </w:rPr>
        <w:t xml:space="preserve">, ya que si bien, se </w:t>
      </w:r>
      <w:r w:rsidR="008D2D61">
        <w:rPr>
          <w:rFonts w:eastAsia="Calibri" w:cs="Tahoma"/>
          <w:b/>
          <w:bCs/>
          <w:lang w:val="es-ES"/>
        </w:rPr>
        <w:t>registraron el veintidós y veintitrés de dicho</w:t>
      </w:r>
      <w:r w:rsidR="008D2D61" w:rsidRPr="00A71B93">
        <w:rPr>
          <w:rFonts w:eastAsia="Calibri" w:cs="Tahoma"/>
          <w:b/>
          <w:bCs/>
          <w:lang w:val="es-ES"/>
        </w:rPr>
        <w:t xml:space="preserve"> mes y año</w:t>
      </w:r>
      <w:r w:rsidR="008D2D61">
        <w:rPr>
          <w:rFonts w:eastAsia="Calibri" w:cs="Tahoma"/>
          <w:b/>
          <w:bCs/>
          <w:lang w:val="es-ES"/>
        </w:rPr>
        <w:t>, respectivamente</w:t>
      </w:r>
      <w:r w:rsidR="008D2D61" w:rsidRPr="00A71B93">
        <w:rPr>
          <w:rFonts w:eastAsia="Calibri" w:cs="Tahoma"/>
          <w:b/>
          <w:bCs/>
          <w:lang w:val="es-ES"/>
        </w:rPr>
        <w:t xml:space="preserve">, también lo es, que fue inhábil, de conformidad con el artículo 3°, fracción X, de la Ley de Transparencia y Acceso a la Información Pública del Estado de México y Municipios y </w:t>
      </w:r>
      <w:r w:rsidR="008D2D61" w:rsidRPr="00A71B93">
        <w:rPr>
          <w:rFonts w:eastAsia="Calibri" w:cs="Tahoma"/>
          <w:b/>
          <w:bCs/>
        </w:rPr>
        <w:t xml:space="preserve">el Calendario Oficial en Materia de Transparencia, Acceso a la Información Pública y Protección de Datos Personales del Estado de México y Municipios, así como de laborales de este Instituto, para el año dos mil </w:t>
      </w:r>
      <w:r w:rsidR="005635E2">
        <w:rPr>
          <w:rFonts w:eastAsia="Calibri" w:cs="Tahoma"/>
          <w:b/>
          <w:bCs/>
        </w:rPr>
        <w:t>veintiuno</w:t>
      </w:r>
      <w:r w:rsidR="008D2D61" w:rsidRPr="00A71B93">
        <w:rPr>
          <w:rFonts w:eastAsia="Calibri" w:cs="Tahoma"/>
          <w:b/>
          <w:bCs/>
        </w:rPr>
        <w:t xml:space="preserve"> y enero dos mil </w:t>
      </w:r>
      <w:r w:rsidR="008D2D61">
        <w:rPr>
          <w:rFonts w:eastAsia="Calibri" w:cs="Tahoma"/>
          <w:b/>
          <w:bCs/>
        </w:rPr>
        <w:t>v</w:t>
      </w:r>
      <w:r w:rsidR="005635E2">
        <w:rPr>
          <w:rFonts w:eastAsia="Calibri" w:cs="Tahoma"/>
          <w:b/>
          <w:bCs/>
        </w:rPr>
        <w:t xml:space="preserve">eintidós, </w:t>
      </w:r>
      <w:r>
        <w:rPr>
          <w:bCs/>
        </w:rPr>
        <w:t>en los siguientes términos</w:t>
      </w:r>
      <w:r w:rsidRPr="0033044C">
        <w:rPr>
          <w:rFonts w:cs="Tahoma"/>
          <w:bCs/>
        </w:rPr>
        <w:t>:</w:t>
      </w:r>
    </w:p>
    <w:p w14:paraId="4BCBE833" w14:textId="77777777" w:rsidR="002D6D69" w:rsidRDefault="002D6D69" w:rsidP="002D6D69">
      <w:pPr>
        <w:spacing w:after="0" w:line="360" w:lineRule="auto"/>
        <w:ind w:left="567" w:right="567"/>
        <w:rPr>
          <w:rFonts w:cs="Tahoma"/>
          <w:b/>
          <w:bCs/>
        </w:rPr>
      </w:pPr>
    </w:p>
    <w:p w14:paraId="1228EA14" w14:textId="4636D298" w:rsidR="007367F8" w:rsidRPr="009878BF" w:rsidRDefault="009878BF" w:rsidP="009878BF">
      <w:pPr>
        <w:tabs>
          <w:tab w:val="left" w:pos="4667"/>
        </w:tabs>
        <w:spacing w:after="0" w:line="360" w:lineRule="auto"/>
        <w:ind w:left="567" w:right="567"/>
        <w:rPr>
          <w:b/>
          <w:sz w:val="20"/>
          <w:szCs w:val="20"/>
        </w:rPr>
      </w:pPr>
      <w:r w:rsidRPr="009878BF">
        <w:rPr>
          <w:b/>
          <w:sz w:val="20"/>
          <w:szCs w:val="20"/>
        </w:rPr>
        <w:lastRenderedPageBreak/>
        <w:t xml:space="preserve">Solicitud de información pública </w:t>
      </w:r>
      <w:r w:rsidR="007367F8" w:rsidRPr="009878BF">
        <w:rPr>
          <w:b/>
          <w:sz w:val="20"/>
          <w:szCs w:val="20"/>
        </w:rPr>
        <w:t>con número de folio</w:t>
      </w:r>
      <w:r w:rsidR="00DA28B1" w:rsidRPr="009878BF">
        <w:rPr>
          <w:b/>
          <w:sz w:val="20"/>
          <w:szCs w:val="20"/>
        </w:rPr>
        <w:t xml:space="preserve"> 00013/SANTOTOM/IP/2022</w:t>
      </w:r>
    </w:p>
    <w:p w14:paraId="53FC2E3C" w14:textId="3FAE6A6C" w:rsidR="007367F8" w:rsidRPr="009878BF" w:rsidRDefault="00DA28B1" w:rsidP="009878BF">
      <w:pPr>
        <w:tabs>
          <w:tab w:val="left" w:pos="4667"/>
        </w:tabs>
        <w:spacing w:after="0" w:line="360" w:lineRule="auto"/>
        <w:ind w:left="567" w:right="567"/>
        <w:rPr>
          <w:rFonts w:cs="Tahoma"/>
          <w:b/>
          <w:bCs/>
          <w:i/>
          <w:sz w:val="20"/>
          <w:szCs w:val="20"/>
        </w:rPr>
      </w:pPr>
      <w:r w:rsidRPr="009878BF">
        <w:rPr>
          <w:sz w:val="20"/>
          <w:szCs w:val="20"/>
        </w:rPr>
        <w:t xml:space="preserve"> </w:t>
      </w:r>
      <w:r w:rsidR="002D6D69" w:rsidRPr="009878BF">
        <w:rPr>
          <w:rFonts w:cs="Tahoma"/>
          <w:b/>
          <w:bCs/>
          <w:i/>
          <w:sz w:val="20"/>
          <w:szCs w:val="20"/>
        </w:rPr>
        <w:t>“DESCRIPCIÓN CLARA Y PRECISA DE LA INFORMACIÓN SOLICITADA</w:t>
      </w:r>
    </w:p>
    <w:p w14:paraId="7142F8EC" w14:textId="77777777" w:rsidR="009878BF" w:rsidRDefault="00DA28B1" w:rsidP="009878BF">
      <w:pPr>
        <w:tabs>
          <w:tab w:val="left" w:pos="4667"/>
        </w:tabs>
        <w:spacing w:after="0" w:line="360" w:lineRule="auto"/>
        <w:ind w:left="567" w:right="567"/>
        <w:rPr>
          <w:rFonts w:eastAsia="Times New Roman" w:cs="Tahoma"/>
          <w:b/>
          <w:bCs/>
          <w:i/>
          <w:iCs/>
          <w:color w:val="auto"/>
          <w:sz w:val="20"/>
          <w:szCs w:val="20"/>
          <w:lang w:eastAsia="es-ES"/>
        </w:rPr>
      </w:pPr>
      <w:r w:rsidRPr="009878BF">
        <w:rPr>
          <w:i/>
          <w:iCs/>
          <w:color w:val="000000"/>
          <w:sz w:val="20"/>
          <w:szCs w:val="20"/>
        </w:rPr>
        <w:t xml:space="preserve">Me podrían proporcionar los recibos de nómina de la primera quincena de enero del 2022 de todos los trabajadores del Ayuntamiento y el </w:t>
      </w:r>
      <w:proofErr w:type="spellStart"/>
      <w:r w:rsidRPr="009878BF">
        <w:rPr>
          <w:i/>
          <w:iCs/>
          <w:color w:val="000000"/>
          <w:sz w:val="20"/>
          <w:szCs w:val="20"/>
        </w:rPr>
        <w:t>Dif</w:t>
      </w:r>
      <w:proofErr w:type="spellEnd"/>
      <w:r w:rsidRPr="009878BF">
        <w:rPr>
          <w:i/>
          <w:iCs/>
          <w:color w:val="000000"/>
          <w:sz w:val="20"/>
          <w:szCs w:val="20"/>
        </w:rPr>
        <w:t xml:space="preserve"> municipal</w:t>
      </w:r>
      <w:r w:rsidR="0090192D" w:rsidRPr="009878BF">
        <w:rPr>
          <w:i/>
          <w:iCs/>
          <w:color w:val="000000"/>
          <w:sz w:val="20"/>
          <w:szCs w:val="20"/>
        </w:rPr>
        <w:t xml:space="preserve">” </w:t>
      </w:r>
      <w:r w:rsidR="002D6D69" w:rsidRPr="009878BF">
        <w:rPr>
          <w:i/>
          <w:iCs/>
          <w:color w:val="000000"/>
          <w:sz w:val="20"/>
          <w:szCs w:val="20"/>
        </w:rPr>
        <w:t>(Sic)</w:t>
      </w:r>
      <w:r w:rsidR="002D6D69" w:rsidRPr="009878BF">
        <w:rPr>
          <w:rFonts w:eastAsia="Times New Roman" w:cs="Tahoma"/>
          <w:b/>
          <w:bCs/>
          <w:i/>
          <w:iCs/>
          <w:color w:val="auto"/>
          <w:sz w:val="20"/>
          <w:szCs w:val="20"/>
          <w:lang w:eastAsia="es-ES"/>
        </w:rPr>
        <w:t xml:space="preserve"> </w:t>
      </w:r>
    </w:p>
    <w:p w14:paraId="2C22E966" w14:textId="77777777" w:rsidR="009878BF" w:rsidRDefault="009878BF" w:rsidP="009878BF">
      <w:pPr>
        <w:tabs>
          <w:tab w:val="left" w:pos="4667"/>
        </w:tabs>
        <w:spacing w:after="0" w:line="360" w:lineRule="auto"/>
        <w:ind w:left="567" w:right="567"/>
        <w:rPr>
          <w:rFonts w:eastAsia="Times New Roman" w:cs="Tahoma"/>
          <w:b/>
          <w:bCs/>
          <w:i/>
          <w:iCs/>
          <w:color w:val="auto"/>
          <w:sz w:val="20"/>
          <w:szCs w:val="20"/>
          <w:lang w:eastAsia="es-ES"/>
        </w:rPr>
      </w:pPr>
    </w:p>
    <w:p w14:paraId="28346D1A" w14:textId="315470FE" w:rsidR="007367F8" w:rsidRPr="009878BF" w:rsidRDefault="002D6D69" w:rsidP="009878BF">
      <w:pPr>
        <w:tabs>
          <w:tab w:val="left" w:pos="4667"/>
        </w:tabs>
        <w:spacing w:after="0" w:line="360" w:lineRule="auto"/>
        <w:ind w:left="567" w:right="567"/>
        <w:rPr>
          <w:rFonts w:eastAsia="Times New Roman" w:cs="Tahoma"/>
          <w:b/>
          <w:bCs/>
          <w:i/>
          <w:iCs/>
          <w:color w:val="auto"/>
          <w:sz w:val="20"/>
          <w:szCs w:val="20"/>
          <w:lang w:eastAsia="es-ES"/>
        </w:rPr>
      </w:pPr>
      <w:r w:rsidRPr="009878BF">
        <w:rPr>
          <w:rFonts w:eastAsia="Times New Roman" w:cs="Tahoma"/>
          <w:b/>
          <w:bCs/>
          <w:i/>
          <w:iCs/>
          <w:color w:val="auto"/>
          <w:sz w:val="20"/>
          <w:szCs w:val="20"/>
          <w:lang w:eastAsia="es-ES"/>
        </w:rPr>
        <w:t>“MODALIDAD DE ENTREGA</w:t>
      </w:r>
    </w:p>
    <w:p w14:paraId="406C0C34" w14:textId="10BFC6A5" w:rsidR="002D6D69" w:rsidRPr="009878BF" w:rsidRDefault="002D6D69" w:rsidP="009878BF">
      <w:pPr>
        <w:tabs>
          <w:tab w:val="left" w:pos="4667"/>
        </w:tabs>
        <w:spacing w:after="0" w:line="360" w:lineRule="auto"/>
        <w:ind w:left="567" w:right="567"/>
        <w:rPr>
          <w:rFonts w:eastAsia="Times New Roman" w:cs="Tahoma"/>
          <w:b/>
          <w:bCs/>
          <w:i/>
          <w:iCs/>
          <w:color w:val="auto"/>
          <w:sz w:val="20"/>
          <w:szCs w:val="20"/>
          <w:lang w:eastAsia="es-ES"/>
        </w:rPr>
      </w:pPr>
      <w:r w:rsidRPr="009878BF">
        <w:rPr>
          <w:rFonts w:eastAsia="Times New Roman" w:cs="Arial"/>
          <w:bCs/>
          <w:i/>
          <w:iCs/>
          <w:color w:val="auto"/>
          <w:sz w:val="20"/>
          <w:szCs w:val="20"/>
          <w:lang w:eastAsia="es-ES"/>
        </w:rPr>
        <w:t>A través del SAIMEX” (Sic)</w:t>
      </w:r>
    </w:p>
    <w:p w14:paraId="65BAEA5A" w14:textId="77777777" w:rsidR="007367F8" w:rsidRPr="009878BF" w:rsidRDefault="007367F8" w:rsidP="009878BF">
      <w:pPr>
        <w:tabs>
          <w:tab w:val="left" w:pos="4667"/>
        </w:tabs>
        <w:spacing w:after="0" w:line="360" w:lineRule="auto"/>
        <w:ind w:left="567" w:right="567"/>
        <w:rPr>
          <w:sz w:val="20"/>
          <w:szCs w:val="20"/>
        </w:rPr>
      </w:pPr>
    </w:p>
    <w:p w14:paraId="264730FB" w14:textId="15765C76" w:rsidR="007367F8" w:rsidRPr="009878BF" w:rsidRDefault="009878BF" w:rsidP="009878BF">
      <w:pPr>
        <w:tabs>
          <w:tab w:val="left" w:pos="4667"/>
        </w:tabs>
        <w:spacing w:after="0" w:line="360" w:lineRule="auto"/>
        <w:ind w:left="567" w:right="567"/>
        <w:rPr>
          <w:b/>
          <w:sz w:val="20"/>
          <w:szCs w:val="20"/>
        </w:rPr>
      </w:pPr>
      <w:r>
        <w:rPr>
          <w:b/>
          <w:sz w:val="20"/>
          <w:szCs w:val="20"/>
        </w:rPr>
        <w:t>Solicitud</w:t>
      </w:r>
      <w:r w:rsidR="007367F8" w:rsidRPr="009878BF">
        <w:rPr>
          <w:b/>
          <w:sz w:val="20"/>
          <w:szCs w:val="20"/>
        </w:rPr>
        <w:t xml:space="preserve"> de información pública con número de folio 00014/SANTOTOM/IP/2022</w:t>
      </w:r>
    </w:p>
    <w:p w14:paraId="600D5515" w14:textId="00323E17" w:rsidR="007367F8" w:rsidRPr="009878BF" w:rsidRDefault="007367F8" w:rsidP="009878BF">
      <w:pPr>
        <w:tabs>
          <w:tab w:val="left" w:pos="4667"/>
        </w:tabs>
        <w:spacing w:after="0" w:line="360" w:lineRule="auto"/>
        <w:ind w:left="567" w:right="567"/>
        <w:rPr>
          <w:rFonts w:cs="Tahoma"/>
          <w:b/>
          <w:bCs/>
          <w:i/>
          <w:sz w:val="20"/>
          <w:szCs w:val="20"/>
        </w:rPr>
      </w:pPr>
      <w:r w:rsidRPr="009878BF">
        <w:rPr>
          <w:rFonts w:cs="Tahoma"/>
          <w:b/>
          <w:bCs/>
          <w:i/>
          <w:sz w:val="20"/>
          <w:szCs w:val="20"/>
        </w:rPr>
        <w:t>“DESCRIPCIÓN CLARA Y PRECISA DE LA INFORMACIÓN SOLICITADA</w:t>
      </w:r>
    </w:p>
    <w:p w14:paraId="6136C6B5" w14:textId="118B84E9" w:rsidR="007367F8" w:rsidRDefault="007367F8" w:rsidP="009878BF">
      <w:pPr>
        <w:tabs>
          <w:tab w:val="left" w:pos="4667"/>
        </w:tabs>
        <w:spacing w:after="0" w:line="360" w:lineRule="auto"/>
        <w:ind w:left="567" w:right="567"/>
        <w:rPr>
          <w:i/>
          <w:iCs/>
          <w:color w:val="000000"/>
          <w:sz w:val="20"/>
          <w:szCs w:val="20"/>
        </w:rPr>
      </w:pPr>
      <w:r w:rsidRPr="009878BF">
        <w:rPr>
          <w:i/>
          <w:iCs/>
          <w:color w:val="000000"/>
          <w:sz w:val="20"/>
          <w:szCs w:val="20"/>
        </w:rPr>
        <w:t>Me podrías proporcionar los recibos de nómina de los integrantes del cabildo, tesorero, coordinadores y directores del Ayuntamiento</w:t>
      </w:r>
      <w:r w:rsidR="0090192D" w:rsidRPr="009878BF">
        <w:rPr>
          <w:i/>
          <w:iCs/>
          <w:color w:val="000000"/>
          <w:sz w:val="20"/>
          <w:szCs w:val="20"/>
        </w:rPr>
        <w:t>” (Sic).</w:t>
      </w:r>
    </w:p>
    <w:p w14:paraId="7F4D1552" w14:textId="77777777" w:rsidR="009878BF" w:rsidRDefault="009878BF" w:rsidP="009878BF">
      <w:pPr>
        <w:tabs>
          <w:tab w:val="left" w:pos="4667"/>
        </w:tabs>
        <w:spacing w:after="0" w:line="360" w:lineRule="auto"/>
        <w:ind w:left="567" w:right="567"/>
        <w:rPr>
          <w:i/>
          <w:iCs/>
          <w:color w:val="000000"/>
          <w:sz w:val="20"/>
          <w:szCs w:val="20"/>
        </w:rPr>
      </w:pPr>
    </w:p>
    <w:p w14:paraId="2AAF9954" w14:textId="77777777" w:rsidR="009878BF" w:rsidRPr="009878BF" w:rsidRDefault="009878BF" w:rsidP="009878BF">
      <w:pPr>
        <w:tabs>
          <w:tab w:val="left" w:pos="4667"/>
        </w:tabs>
        <w:spacing w:after="0" w:line="360" w:lineRule="auto"/>
        <w:ind w:left="567" w:right="567"/>
        <w:rPr>
          <w:b/>
          <w:bCs/>
          <w:i/>
          <w:iCs/>
          <w:sz w:val="20"/>
          <w:szCs w:val="20"/>
        </w:rPr>
      </w:pPr>
      <w:r w:rsidRPr="009878BF">
        <w:rPr>
          <w:b/>
          <w:bCs/>
          <w:i/>
          <w:iCs/>
          <w:sz w:val="20"/>
          <w:szCs w:val="20"/>
        </w:rPr>
        <w:t>“MODALIDAD DE ENTREGA</w:t>
      </w:r>
    </w:p>
    <w:p w14:paraId="2D9A0774" w14:textId="77777777" w:rsidR="009878BF" w:rsidRPr="009878BF" w:rsidRDefault="009878BF" w:rsidP="009878BF">
      <w:pPr>
        <w:tabs>
          <w:tab w:val="left" w:pos="4667"/>
        </w:tabs>
        <w:spacing w:after="0" w:line="360" w:lineRule="auto"/>
        <w:ind w:left="567" w:right="567"/>
        <w:rPr>
          <w:b/>
          <w:bCs/>
          <w:i/>
          <w:iCs/>
          <w:sz w:val="20"/>
          <w:szCs w:val="20"/>
        </w:rPr>
      </w:pPr>
      <w:r w:rsidRPr="009878BF">
        <w:rPr>
          <w:bCs/>
          <w:i/>
          <w:iCs/>
          <w:sz w:val="20"/>
          <w:szCs w:val="20"/>
        </w:rPr>
        <w:t>A través del SAIMEX” (Sic)</w:t>
      </w:r>
    </w:p>
    <w:p w14:paraId="0C1CF5CB" w14:textId="77777777" w:rsidR="002D6D69" w:rsidRDefault="002D6D69" w:rsidP="007367F8">
      <w:pPr>
        <w:spacing w:after="0" w:line="360" w:lineRule="auto"/>
        <w:ind w:right="567"/>
        <w:rPr>
          <w:rFonts w:eastAsia="Times New Roman" w:cs="Arial"/>
          <w:bCs/>
          <w:i/>
          <w:iCs/>
          <w:color w:val="auto"/>
          <w:sz w:val="20"/>
          <w:lang w:eastAsia="es-ES"/>
        </w:rPr>
      </w:pPr>
    </w:p>
    <w:p w14:paraId="4E0E2A7D" w14:textId="77777777" w:rsidR="002D6D69" w:rsidRPr="003D5B55" w:rsidRDefault="002D6D69" w:rsidP="002D6D69">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1080CAAA" w14:textId="77777777" w:rsidR="002D6D69" w:rsidRPr="003D5B55" w:rsidRDefault="002D6D69" w:rsidP="002D6D69">
      <w:pPr>
        <w:spacing w:after="0" w:line="360" w:lineRule="auto"/>
        <w:rPr>
          <w:rFonts w:eastAsia="Calibri" w:cs="Tahoma"/>
          <w:b/>
          <w:bCs/>
        </w:rPr>
      </w:pPr>
    </w:p>
    <w:p w14:paraId="37EB99A6" w14:textId="0F2BB5E2" w:rsidR="002D6D69" w:rsidRDefault="002D6D69" w:rsidP="002D6D69">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 xml:space="preserve">las solicitudes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Pr>
          <w:rFonts w:eastAsia="Calibri" w:cs="Tahoma"/>
          <w:b/>
          <w:bCs/>
        </w:rPr>
        <w:t xml:space="preserve">Ayuntamiento de </w:t>
      </w:r>
      <w:r w:rsidR="0090192D">
        <w:rPr>
          <w:rFonts w:eastAsia="Calibri" w:cs="Tahoma"/>
          <w:b/>
          <w:bCs/>
        </w:rPr>
        <w:t>Santo Tomás</w:t>
      </w:r>
      <w:r w:rsidRPr="003D5B55">
        <w:rPr>
          <w:rFonts w:eastAsia="Calibri" w:cs="Tahoma"/>
          <w:bCs/>
          <w:color w:val="000000"/>
        </w:rPr>
        <w:t>, omitió dar respuesta</w:t>
      </w:r>
      <w:r>
        <w:rPr>
          <w:rFonts w:eastAsia="Calibri" w:cs="Tahoma"/>
          <w:bCs/>
          <w:color w:val="000000"/>
        </w:rPr>
        <w:t xml:space="preserve"> a las solicitudes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6472507E" w14:textId="77777777" w:rsidR="002D6D69" w:rsidRDefault="002D6D69" w:rsidP="002D6D69">
      <w:pPr>
        <w:autoSpaceDE w:val="0"/>
        <w:autoSpaceDN w:val="0"/>
        <w:adjustRightInd w:val="0"/>
        <w:spacing w:after="0" w:line="360" w:lineRule="auto"/>
        <w:rPr>
          <w:rFonts w:eastAsia="Calibri" w:cs="Tahoma"/>
          <w:color w:val="000000"/>
          <w:lang w:val="es-ES"/>
        </w:rPr>
      </w:pPr>
    </w:p>
    <w:p w14:paraId="1086CDCA" w14:textId="77777777" w:rsidR="002D6D69" w:rsidRPr="005369D0" w:rsidRDefault="002D6D69" w:rsidP="002D6D69">
      <w:pPr>
        <w:spacing w:after="0" w:line="360" w:lineRule="auto"/>
        <w:rPr>
          <w:rFonts w:eastAsia="Calibri" w:cs="Tahoma"/>
          <w:b/>
          <w:bCs/>
        </w:rPr>
      </w:pPr>
      <w:r w:rsidRPr="005369D0">
        <w:rPr>
          <w:rFonts w:eastAsia="Calibri" w:cs="Tahoma"/>
          <w:b/>
          <w:bCs/>
        </w:rPr>
        <w:t>III. Interposición de</w:t>
      </w:r>
      <w:r>
        <w:rPr>
          <w:rFonts w:eastAsia="Calibri" w:cs="Tahoma"/>
          <w:b/>
          <w:bCs/>
        </w:rPr>
        <w:t xml:space="preserve"> </w:t>
      </w:r>
      <w:r w:rsidRPr="005369D0">
        <w:rPr>
          <w:rFonts w:eastAsia="Calibri" w:cs="Tahoma"/>
          <w:b/>
          <w:bCs/>
        </w:rPr>
        <w:t>l</w:t>
      </w:r>
      <w:r>
        <w:rPr>
          <w:rFonts w:eastAsia="Calibri" w:cs="Tahoma"/>
          <w:b/>
          <w:bCs/>
        </w:rPr>
        <w:t>os</w:t>
      </w:r>
      <w:r w:rsidRPr="005369D0">
        <w:rPr>
          <w:rFonts w:eastAsia="Calibri" w:cs="Tahoma"/>
          <w:b/>
          <w:bCs/>
        </w:rPr>
        <w:t xml:space="preserve"> Recurso</w:t>
      </w:r>
      <w:r>
        <w:rPr>
          <w:rFonts w:eastAsia="Calibri" w:cs="Tahoma"/>
          <w:b/>
          <w:bCs/>
        </w:rPr>
        <w:t>s</w:t>
      </w:r>
      <w:r w:rsidRPr="005369D0">
        <w:rPr>
          <w:rFonts w:eastAsia="Calibri" w:cs="Tahoma"/>
          <w:b/>
          <w:bCs/>
        </w:rPr>
        <w:t xml:space="preserve"> de Revisión. </w:t>
      </w:r>
    </w:p>
    <w:p w14:paraId="4D1A52F9" w14:textId="163359E5" w:rsidR="002D6D69" w:rsidRDefault="002D6D69" w:rsidP="002D6D69">
      <w:pPr>
        <w:spacing w:after="0" w:line="360" w:lineRule="auto"/>
        <w:rPr>
          <w:rFonts w:eastAsia="Times New Roman" w:cs="Tahoma"/>
          <w:bCs/>
          <w:color w:val="auto"/>
          <w:lang w:eastAsia="es-ES"/>
        </w:rPr>
      </w:pPr>
      <w:r w:rsidRPr="00CA21DC">
        <w:rPr>
          <w:rFonts w:eastAsia="Times New Roman" w:cs="Tahoma"/>
          <w:bCs/>
          <w:color w:val="auto"/>
          <w:lang w:val="es-ES" w:eastAsia="es-ES"/>
        </w:rPr>
        <w:lastRenderedPageBreak/>
        <w:t xml:space="preserve">Con fecha </w:t>
      </w:r>
      <w:r w:rsidR="0090192D">
        <w:rPr>
          <w:rFonts w:eastAsia="Times New Roman" w:cs="Tahoma"/>
          <w:bCs/>
          <w:color w:val="auto"/>
          <w:lang w:val="es-ES" w:eastAsia="es-ES"/>
        </w:rPr>
        <w:t>dieciocho</w:t>
      </w:r>
      <w:r>
        <w:rPr>
          <w:rFonts w:eastAsia="Times New Roman" w:cs="Tahoma"/>
          <w:bCs/>
          <w:color w:val="auto"/>
          <w:lang w:val="es-ES" w:eastAsia="es-ES"/>
        </w:rPr>
        <w:t xml:space="preserve"> de febrero de dos mil veintidós,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dos </w:t>
      </w:r>
      <w:r w:rsidRPr="003D5B55">
        <w:rPr>
          <w:rFonts w:eastAsia="Times New Roman" w:cs="Tahoma"/>
          <w:bCs/>
          <w:color w:val="auto"/>
          <w:lang w:eastAsia="es-ES"/>
        </w:rPr>
        <w:t>Recurso</w:t>
      </w:r>
      <w:r>
        <w:rPr>
          <w:rFonts w:eastAsia="Times New Roman" w:cs="Tahoma"/>
          <w:bCs/>
          <w:color w:val="auto"/>
          <w:lang w:eastAsia="es-ES"/>
        </w:rPr>
        <w:t xml:space="preserve">s </w:t>
      </w:r>
      <w:r w:rsidRPr="003D5B55">
        <w:rPr>
          <w:rFonts w:eastAsia="Times New Roman" w:cs="Tahoma"/>
          <w:bCs/>
          <w:color w:val="auto"/>
          <w:lang w:eastAsia="es-ES"/>
        </w:rPr>
        <w:t>de Revisión</w:t>
      </w:r>
      <w:r>
        <w:rPr>
          <w:rFonts w:eastAsia="Times New Roman" w:cs="Tahoma"/>
          <w:bCs/>
          <w:color w:val="auto"/>
          <w:lang w:eastAsia="es-ES"/>
        </w:rPr>
        <w:t>,</w:t>
      </w:r>
      <w:r w:rsidRPr="003D5B55">
        <w:rPr>
          <w:rFonts w:eastAsia="Times New Roman" w:cs="Tahoma"/>
          <w:bCs/>
          <w:color w:val="auto"/>
          <w:lang w:eastAsia="es-ES"/>
        </w:rPr>
        <w:t xml:space="preserve"> interpuesto</w:t>
      </w:r>
      <w:r>
        <w:rPr>
          <w:rFonts w:eastAsia="Times New Roman" w:cs="Tahoma"/>
          <w:bCs/>
          <w:color w:val="auto"/>
          <w:lang w:eastAsia="es-ES"/>
        </w:rPr>
        <w:t>s</w:t>
      </w:r>
      <w:r w:rsidRPr="003D5B55">
        <w:rPr>
          <w:rFonts w:eastAsia="Times New Roman" w:cs="Tahoma"/>
          <w:bCs/>
          <w:color w:val="auto"/>
          <w:lang w:eastAsia="es-ES"/>
        </w:rPr>
        <w:t xml:space="preserve">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w:t>
      </w:r>
      <w:r>
        <w:rPr>
          <w:rFonts w:eastAsia="Times New Roman" w:cs="Tahoma"/>
          <w:bCs/>
          <w:color w:val="auto"/>
          <w:lang w:eastAsia="es-ES"/>
        </w:rPr>
        <w:t xml:space="preserve"> </w:t>
      </w:r>
      <w:r w:rsidRPr="00CA21DC">
        <w:rPr>
          <w:rFonts w:eastAsia="Times New Roman" w:cs="Tahoma"/>
          <w:bCs/>
          <w:color w:val="auto"/>
          <w:lang w:eastAsia="es-ES"/>
        </w:rPr>
        <w:t>en los siguientes términos:</w:t>
      </w:r>
    </w:p>
    <w:p w14:paraId="7A52DE27" w14:textId="77777777" w:rsidR="005635E2" w:rsidRDefault="005635E2" w:rsidP="002D6D69">
      <w:pPr>
        <w:spacing w:after="0" w:line="360" w:lineRule="auto"/>
        <w:rPr>
          <w:rFonts w:eastAsia="Times New Roman" w:cs="Tahoma"/>
          <w:bCs/>
          <w:color w:val="auto"/>
          <w:lang w:eastAsia="es-ES"/>
        </w:rPr>
      </w:pPr>
    </w:p>
    <w:p w14:paraId="14A51A94" w14:textId="2BA9DFAA" w:rsidR="002D6D69" w:rsidRPr="003067B6" w:rsidRDefault="002D6D69" w:rsidP="002D6D69">
      <w:pPr>
        <w:spacing w:after="0" w:line="360" w:lineRule="auto"/>
        <w:ind w:left="567" w:right="567"/>
        <w:rPr>
          <w:rFonts w:eastAsia="Times New Roman" w:cs="Tahoma"/>
          <w:b/>
          <w:bCs/>
          <w:i/>
          <w:color w:val="auto"/>
          <w:sz w:val="20"/>
          <w:szCs w:val="20"/>
          <w:lang w:eastAsia="es-ES"/>
        </w:rPr>
      </w:pPr>
      <w:r w:rsidRPr="003067B6">
        <w:rPr>
          <w:rFonts w:eastAsia="Times New Roman" w:cs="Tahoma"/>
          <w:b/>
          <w:bCs/>
          <w:i/>
          <w:color w:val="auto"/>
          <w:sz w:val="20"/>
          <w:szCs w:val="20"/>
          <w:lang w:eastAsia="es-ES"/>
        </w:rPr>
        <w:t xml:space="preserve">Solicitud de información número </w:t>
      </w:r>
      <w:r w:rsidR="00E505C8" w:rsidRPr="003067B6">
        <w:rPr>
          <w:b/>
          <w:bCs/>
          <w:i/>
          <w:iCs/>
          <w:sz w:val="20"/>
          <w:szCs w:val="20"/>
        </w:rPr>
        <w:t>00013/SANTOTOM/IP/2022</w:t>
      </w:r>
      <w:r w:rsidRPr="003067B6">
        <w:rPr>
          <w:rFonts w:eastAsia="Times New Roman" w:cs="Tahoma"/>
          <w:b/>
          <w:bCs/>
          <w:i/>
          <w:color w:val="auto"/>
          <w:sz w:val="20"/>
          <w:szCs w:val="20"/>
          <w:lang w:eastAsia="es-ES"/>
        </w:rPr>
        <w:t xml:space="preserve">, referente al Recurso de Revisión </w:t>
      </w:r>
      <w:r w:rsidRPr="003067B6">
        <w:rPr>
          <w:rFonts w:eastAsia="Times New Roman" w:cs="Tahoma"/>
          <w:b/>
          <w:bCs/>
          <w:i/>
          <w:color w:val="auto"/>
          <w:sz w:val="20"/>
          <w:szCs w:val="20"/>
          <w:lang w:eastAsia="es-ES"/>
        </w:rPr>
        <w:tab/>
        <w:t>00</w:t>
      </w:r>
      <w:r w:rsidR="00E505C8" w:rsidRPr="003067B6">
        <w:rPr>
          <w:rFonts w:eastAsia="Times New Roman" w:cs="Tahoma"/>
          <w:b/>
          <w:bCs/>
          <w:i/>
          <w:color w:val="auto"/>
          <w:sz w:val="20"/>
          <w:szCs w:val="20"/>
          <w:lang w:eastAsia="es-ES"/>
        </w:rPr>
        <w:t>96</w:t>
      </w:r>
      <w:r w:rsidRPr="003067B6">
        <w:rPr>
          <w:rFonts w:eastAsia="Times New Roman" w:cs="Tahoma"/>
          <w:b/>
          <w:bCs/>
          <w:i/>
          <w:color w:val="auto"/>
          <w:sz w:val="20"/>
          <w:szCs w:val="20"/>
          <w:lang w:eastAsia="es-ES"/>
        </w:rPr>
        <w:t>2/INFOEM/IP/RR/2022</w:t>
      </w:r>
    </w:p>
    <w:p w14:paraId="3B5F29C9" w14:textId="77777777" w:rsidR="00E505C8" w:rsidRPr="003067B6" w:rsidRDefault="002D6D69" w:rsidP="00E505C8">
      <w:pPr>
        <w:spacing w:after="0" w:line="360" w:lineRule="auto"/>
        <w:ind w:right="567" w:firstLine="567"/>
        <w:rPr>
          <w:rFonts w:eastAsia="Times New Roman" w:cs="Tahoma"/>
          <w:b/>
          <w:bCs/>
          <w:i/>
          <w:color w:val="auto"/>
          <w:sz w:val="20"/>
          <w:szCs w:val="20"/>
          <w:lang w:eastAsia="es-ES"/>
        </w:rPr>
      </w:pPr>
      <w:r w:rsidRPr="003067B6">
        <w:rPr>
          <w:rFonts w:eastAsia="Times New Roman" w:cs="Tahoma"/>
          <w:b/>
          <w:bCs/>
          <w:i/>
          <w:color w:val="auto"/>
          <w:sz w:val="20"/>
          <w:szCs w:val="20"/>
          <w:lang w:eastAsia="es-ES"/>
        </w:rPr>
        <w:t>“ACTO IMPUGNADO</w:t>
      </w:r>
    </w:p>
    <w:p w14:paraId="25198C08" w14:textId="3A3D3682" w:rsidR="00E505C8" w:rsidRPr="003067B6" w:rsidRDefault="003067B6" w:rsidP="00E505C8">
      <w:pPr>
        <w:spacing w:after="0" w:line="360" w:lineRule="auto"/>
        <w:ind w:left="567" w:right="567"/>
        <w:rPr>
          <w:rFonts w:eastAsia="Times New Roman" w:cs="Tahoma"/>
          <w:b/>
          <w:bCs/>
          <w:i/>
          <w:color w:val="auto"/>
          <w:sz w:val="20"/>
          <w:szCs w:val="20"/>
          <w:lang w:eastAsia="es-ES"/>
        </w:rPr>
      </w:pPr>
      <w:r w:rsidRPr="003067B6">
        <w:rPr>
          <w:i/>
          <w:iCs/>
          <w:color w:val="000000"/>
          <w:sz w:val="20"/>
          <w:szCs w:val="20"/>
        </w:rPr>
        <w:t>No ubo respuesta por parte del Ayuntamiento de Santo Tomás</w:t>
      </w:r>
      <w:r>
        <w:rPr>
          <w:i/>
          <w:iCs/>
          <w:color w:val="000000"/>
          <w:sz w:val="20"/>
          <w:szCs w:val="20"/>
        </w:rPr>
        <w:t>”</w:t>
      </w:r>
      <w:r w:rsidR="00EC7E5C" w:rsidRPr="003067B6">
        <w:rPr>
          <w:i/>
          <w:iCs/>
          <w:color w:val="000000"/>
          <w:sz w:val="20"/>
          <w:szCs w:val="20"/>
        </w:rPr>
        <w:t xml:space="preserve"> </w:t>
      </w:r>
      <w:r w:rsidR="00E505C8" w:rsidRPr="003067B6">
        <w:rPr>
          <w:i/>
          <w:iCs/>
          <w:color w:val="000000"/>
          <w:sz w:val="20"/>
          <w:szCs w:val="20"/>
        </w:rPr>
        <w:t>(Sic)</w:t>
      </w:r>
      <w:r w:rsidR="00E505C8" w:rsidRPr="003067B6">
        <w:rPr>
          <w:rFonts w:eastAsia="Times New Roman" w:cs="Tahoma"/>
          <w:b/>
          <w:bCs/>
          <w:i/>
          <w:iCs/>
          <w:color w:val="auto"/>
          <w:sz w:val="20"/>
          <w:szCs w:val="20"/>
          <w:lang w:eastAsia="es-ES"/>
        </w:rPr>
        <w:t xml:space="preserve"> </w:t>
      </w:r>
    </w:p>
    <w:p w14:paraId="421AEB0E" w14:textId="77777777" w:rsidR="002D6D69" w:rsidRPr="003067B6" w:rsidRDefault="002D6D69" w:rsidP="002D6D69">
      <w:pPr>
        <w:spacing w:after="0" w:line="360" w:lineRule="auto"/>
        <w:ind w:left="567" w:right="567"/>
        <w:rPr>
          <w:rFonts w:eastAsia="Times New Roman" w:cs="Tahoma"/>
          <w:bCs/>
          <w:i/>
          <w:color w:val="auto"/>
          <w:sz w:val="20"/>
          <w:szCs w:val="20"/>
          <w:lang w:eastAsia="es-ES"/>
        </w:rPr>
      </w:pPr>
    </w:p>
    <w:p w14:paraId="1DB8524D" w14:textId="77777777" w:rsidR="002D6D69" w:rsidRPr="003067B6" w:rsidRDefault="002D6D69" w:rsidP="002D6D69">
      <w:pPr>
        <w:spacing w:after="0" w:line="360" w:lineRule="auto"/>
        <w:ind w:left="567" w:right="567"/>
        <w:rPr>
          <w:rFonts w:eastAsia="Times New Roman" w:cs="Tahoma"/>
          <w:b/>
          <w:bCs/>
          <w:i/>
          <w:color w:val="auto"/>
          <w:sz w:val="20"/>
          <w:szCs w:val="20"/>
          <w:lang w:eastAsia="es-ES"/>
        </w:rPr>
      </w:pPr>
      <w:r w:rsidRPr="003067B6">
        <w:rPr>
          <w:rFonts w:eastAsia="Times New Roman" w:cs="Tahoma"/>
          <w:b/>
          <w:bCs/>
          <w:i/>
          <w:color w:val="auto"/>
          <w:sz w:val="20"/>
          <w:szCs w:val="20"/>
          <w:lang w:eastAsia="es-ES"/>
        </w:rPr>
        <w:t>“RAZONES O MOTIVOS DE LA INCONFORMIDAD</w:t>
      </w:r>
    </w:p>
    <w:p w14:paraId="433A221F" w14:textId="6F5D5C3C" w:rsidR="002D6D69" w:rsidRPr="003067B6" w:rsidRDefault="00EC7E5C" w:rsidP="002D6D69">
      <w:pPr>
        <w:spacing w:after="0" w:line="360" w:lineRule="auto"/>
        <w:ind w:left="567" w:right="567"/>
        <w:rPr>
          <w:rFonts w:eastAsia="Times New Roman" w:cs="Tahoma"/>
          <w:bCs/>
          <w:color w:val="auto"/>
          <w:sz w:val="20"/>
          <w:szCs w:val="20"/>
          <w:lang w:eastAsia="es-ES"/>
        </w:rPr>
      </w:pPr>
      <w:r w:rsidRPr="003067B6">
        <w:rPr>
          <w:i/>
          <w:iCs/>
          <w:color w:val="000000"/>
          <w:sz w:val="20"/>
          <w:szCs w:val="20"/>
        </w:rPr>
        <w:t>No me enviaron la información solicitada</w:t>
      </w:r>
      <w:r w:rsidR="002D6D69" w:rsidRPr="003067B6">
        <w:rPr>
          <w:i/>
          <w:color w:val="000000"/>
          <w:sz w:val="20"/>
          <w:szCs w:val="20"/>
        </w:rPr>
        <w:t>”</w:t>
      </w:r>
      <w:r w:rsidR="002D6D69" w:rsidRPr="003067B6">
        <w:rPr>
          <w:bCs/>
          <w:i/>
          <w:color w:val="000000"/>
          <w:sz w:val="20"/>
          <w:szCs w:val="20"/>
        </w:rPr>
        <w:t xml:space="preserve"> </w:t>
      </w:r>
      <w:r w:rsidR="002D6D69" w:rsidRPr="003067B6">
        <w:rPr>
          <w:rFonts w:eastAsia="Times New Roman" w:cs="Tahoma"/>
          <w:bCs/>
          <w:i/>
          <w:color w:val="auto"/>
          <w:sz w:val="20"/>
          <w:szCs w:val="20"/>
          <w:lang w:eastAsia="es-ES"/>
        </w:rPr>
        <w:t>(Sic)</w:t>
      </w:r>
    </w:p>
    <w:p w14:paraId="283BEA69" w14:textId="77777777" w:rsidR="002D6D69" w:rsidRPr="003067B6" w:rsidRDefault="002D6D69" w:rsidP="002D6D69">
      <w:pPr>
        <w:spacing w:after="0" w:line="360" w:lineRule="auto"/>
        <w:ind w:left="567" w:right="567"/>
        <w:rPr>
          <w:rFonts w:eastAsia="Times New Roman" w:cs="Tahoma"/>
          <w:b/>
          <w:bCs/>
          <w:i/>
          <w:color w:val="auto"/>
          <w:sz w:val="20"/>
          <w:szCs w:val="20"/>
          <w:lang w:eastAsia="es-ES"/>
        </w:rPr>
      </w:pPr>
    </w:p>
    <w:p w14:paraId="4404D7D7" w14:textId="19A2AD1F" w:rsidR="00EC7E5C" w:rsidRPr="003067B6" w:rsidRDefault="00EC7E5C" w:rsidP="00EC7E5C">
      <w:pPr>
        <w:spacing w:after="0" w:line="360" w:lineRule="auto"/>
        <w:ind w:left="567" w:right="567"/>
        <w:rPr>
          <w:rFonts w:eastAsia="Times New Roman" w:cs="Tahoma"/>
          <w:b/>
          <w:bCs/>
          <w:i/>
          <w:color w:val="auto"/>
          <w:sz w:val="20"/>
          <w:szCs w:val="20"/>
          <w:lang w:eastAsia="es-ES"/>
        </w:rPr>
      </w:pPr>
      <w:r w:rsidRPr="003067B6">
        <w:rPr>
          <w:rFonts w:eastAsia="Times New Roman" w:cs="Tahoma"/>
          <w:b/>
          <w:bCs/>
          <w:i/>
          <w:color w:val="auto"/>
          <w:sz w:val="20"/>
          <w:szCs w:val="20"/>
          <w:lang w:eastAsia="es-ES"/>
        </w:rPr>
        <w:t xml:space="preserve">Solicitud de información número </w:t>
      </w:r>
      <w:r w:rsidRPr="003067B6">
        <w:rPr>
          <w:b/>
          <w:bCs/>
          <w:i/>
          <w:iCs/>
          <w:sz w:val="20"/>
          <w:szCs w:val="20"/>
        </w:rPr>
        <w:t>00014/SANTOTOM/IP/2022</w:t>
      </w:r>
      <w:r w:rsidRPr="003067B6">
        <w:rPr>
          <w:rFonts w:eastAsia="Times New Roman" w:cs="Tahoma"/>
          <w:b/>
          <w:bCs/>
          <w:i/>
          <w:color w:val="auto"/>
          <w:sz w:val="20"/>
          <w:szCs w:val="20"/>
          <w:lang w:eastAsia="es-ES"/>
        </w:rPr>
        <w:t xml:space="preserve">, referente al Recurso de Revisión </w:t>
      </w:r>
      <w:r w:rsidRPr="003067B6">
        <w:rPr>
          <w:rFonts w:eastAsia="Times New Roman" w:cs="Tahoma"/>
          <w:b/>
          <w:bCs/>
          <w:i/>
          <w:color w:val="auto"/>
          <w:sz w:val="20"/>
          <w:szCs w:val="20"/>
          <w:lang w:eastAsia="es-ES"/>
        </w:rPr>
        <w:tab/>
        <w:t>00961/INFOEM/IP/RR/2022</w:t>
      </w:r>
    </w:p>
    <w:p w14:paraId="1A09C109" w14:textId="10D84599" w:rsidR="002D6D69" w:rsidRPr="003067B6" w:rsidRDefault="002D6D69" w:rsidP="002D6D69">
      <w:pPr>
        <w:spacing w:after="0" w:line="360" w:lineRule="auto"/>
        <w:ind w:left="567" w:right="567"/>
        <w:rPr>
          <w:rFonts w:eastAsia="Times New Roman" w:cs="Tahoma"/>
          <w:b/>
          <w:bCs/>
          <w:i/>
          <w:color w:val="auto"/>
          <w:sz w:val="20"/>
          <w:szCs w:val="20"/>
          <w:lang w:eastAsia="es-ES"/>
        </w:rPr>
      </w:pPr>
      <w:r w:rsidRPr="003067B6">
        <w:rPr>
          <w:rFonts w:eastAsia="Times New Roman" w:cs="Tahoma"/>
          <w:b/>
          <w:bCs/>
          <w:i/>
          <w:color w:val="auto"/>
          <w:sz w:val="20"/>
          <w:szCs w:val="20"/>
          <w:lang w:eastAsia="es-ES"/>
        </w:rPr>
        <w:t>“ACTO IMPUGNADO</w:t>
      </w:r>
    </w:p>
    <w:p w14:paraId="033F27F3" w14:textId="11A30D14" w:rsidR="002D6D69" w:rsidRPr="003067B6" w:rsidRDefault="00121A5A" w:rsidP="002D6D69">
      <w:pPr>
        <w:spacing w:after="0" w:line="360" w:lineRule="auto"/>
        <w:ind w:left="567" w:right="567"/>
        <w:rPr>
          <w:rFonts w:eastAsia="Times New Roman" w:cs="Tahoma"/>
          <w:bCs/>
          <w:i/>
          <w:color w:val="auto"/>
          <w:sz w:val="20"/>
          <w:szCs w:val="20"/>
          <w:lang w:eastAsia="es-ES"/>
        </w:rPr>
      </w:pPr>
      <w:r w:rsidRPr="00121A5A">
        <w:rPr>
          <w:i/>
          <w:iCs/>
          <w:color w:val="000000"/>
          <w:sz w:val="20"/>
          <w:szCs w:val="20"/>
        </w:rPr>
        <w:t>No recibí respuesta</w:t>
      </w:r>
      <w:r w:rsidR="002D6D69" w:rsidRPr="003067B6">
        <w:rPr>
          <w:i/>
          <w:color w:val="000000"/>
          <w:sz w:val="20"/>
          <w:szCs w:val="20"/>
        </w:rPr>
        <w:t>”</w:t>
      </w:r>
      <w:r w:rsidR="002D6D69" w:rsidRPr="003067B6">
        <w:rPr>
          <w:bCs/>
          <w:i/>
          <w:color w:val="000000"/>
          <w:sz w:val="20"/>
          <w:szCs w:val="20"/>
        </w:rPr>
        <w:t xml:space="preserve"> </w:t>
      </w:r>
      <w:r w:rsidR="002D6D69" w:rsidRPr="003067B6">
        <w:rPr>
          <w:rFonts w:eastAsia="Times New Roman" w:cs="Tahoma"/>
          <w:bCs/>
          <w:i/>
          <w:color w:val="auto"/>
          <w:sz w:val="20"/>
          <w:szCs w:val="20"/>
          <w:lang w:eastAsia="es-ES"/>
        </w:rPr>
        <w:t>(Sic.)</w:t>
      </w:r>
    </w:p>
    <w:p w14:paraId="28EC592A" w14:textId="77777777" w:rsidR="002D6D69" w:rsidRPr="003067B6" w:rsidRDefault="002D6D69" w:rsidP="002D6D69">
      <w:pPr>
        <w:spacing w:after="0" w:line="360" w:lineRule="auto"/>
        <w:ind w:left="567" w:right="567"/>
        <w:rPr>
          <w:rFonts w:eastAsia="Times New Roman" w:cs="Tahoma"/>
          <w:bCs/>
          <w:i/>
          <w:color w:val="auto"/>
          <w:sz w:val="20"/>
          <w:szCs w:val="20"/>
          <w:lang w:eastAsia="es-ES"/>
        </w:rPr>
      </w:pPr>
    </w:p>
    <w:p w14:paraId="0E256978" w14:textId="77777777" w:rsidR="002D6D69" w:rsidRPr="003067B6" w:rsidRDefault="002D6D69" w:rsidP="002D6D69">
      <w:pPr>
        <w:spacing w:after="0" w:line="360" w:lineRule="auto"/>
        <w:ind w:left="567" w:right="567"/>
        <w:rPr>
          <w:rFonts w:eastAsia="Times New Roman" w:cs="Tahoma"/>
          <w:b/>
          <w:bCs/>
          <w:i/>
          <w:color w:val="auto"/>
          <w:sz w:val="20"/>
          <w:szCs w:val="20"/>
          <w:lang w:eastAsia="es-ES"/>
        </w:rPr>
      </w:pPr>
      <w:r w:rsidRPr="003067B6">
        <w:rPr>
          <w:rFonts w:eastAsia="Times New Roman" w:cs="Tahoma"/>
          <w:b/>
          <w:bCs/>
          <w:i/>
          <w:color w:val="auto"/>
          <w:sz w:val="20"/>
          <w:szCs w:val="20"/>
          <w:lang w:eastAsia="es-ES"/>
        </w:rPr>
        <w:t>“RAZONES O MOTIVOS DE LA INCONFORMIDAD</w:t>
      </w:r>
    </w:p>
    <w:p w14:paraId="4C4BD677" w14:textId="5D728E80" w:rsidR="002D6D69" w:rsidRPr="003067B6" w:rsidRDefault="004B3491" w:rsidP="002D6D69">
      <w:pPr>
        <w:spacing w:after="0" w:line="360" w:lineRule="auto"/>
        <w:ind w:left="567" w:right="567"/>
        <w:rPr>
          <w:rFonts w:eastAsia="Times New Roman" w:cs="Tahoma"/>
          <w:bCs/>
          <w:color w:val="auto"/>
          <w:sz w:val="20"/>
          <w:szCs w:val="20"/>
          <w:lang w:eastAsia="es-ES"/>
        </w:rPr>
      </w:pPr>
      <w:r w:rsidRPr="003067B6">
        <w:rPr>
          <w:i/>
          <w:iCs/>
          <w:color w:val="000000"/>
          <w:sz w:val="20"/>
          <w:szCs w:val="20"/>
        </w:rPr>
        <w:t xml:space="preserve">No recibí la </w:t>
      </w:r>
      <w:proofErr w:type="spellStart"/>
      <w:r w:rsidRPr="003067B6">
        <w:rPr>
          <w:i/>
          <w:iCs/>
          <w:color w:val="000000"/>
          <w:sz w:val="20"/>
          <w:szCs w:val="20"/>
        </w:rPr>
        <w:t>informacion</w:t>
      </w:r>
      <w:proofErr w:type="spellEnd"/>
      <w:r w:rsidR="002D6D69" w:rsidRPr="003067B6">
        <w:rPr>
          <w:i/>
          <w:color w:val="000000"/>
          <w:sz w:val="20"/>
          <w:szCs w:val="20"/>
        </w:rPr>
        <w:t>”</w:t>
      </w:r>
      <w:r w:rsidR="002D6D69" w:rsidRPr="003067B6">
        <w:rPr>
          <w:bCs/>
          <w:i/>
          <w:color w:val="000000"/>
          <w:sz w:val="20"/>
          <w:szCs w:val="20"/>
        </w:rPr>
        <w:t xml:space="preserve"> </w:t>
      </w:r>
      <w:r w:rsidR="002D6D69" w:rsidRPr="003067B6">
        <w:rPr>
          <w:rFonts w:eastAsia="Times New Roman" w:cs="Tahoma"/>
          <w:bCs/>
          <w:i/>
          <w:color w:val="auto"/>
          <w:sz w:val="20"/>
          <w:szCs w:val="20"/>
          <w:lang w:eastAsia="es-ES"/>
        </w:rPr>
        <w:t>(Sic)</w:t>
      </w:r>
    </w:p>
    <w:p w14:paraId="146F8413" w14:textId="77777777" w:rsidR="002D6D69" w:rsidRPr="003D5B55" w:rsidRDefault="002D6D69" w:rsidP="002D6D69">
      <w:pPr>
        <w:spacing w:after="0" w:line="360" w:lineRule="auto"/>
        <w:rPr>
          <w:rFonts w:eastAsia="Times New Roman" w:cs="Tahoma"/>
          <w:bCs/>
          <w:color w:val="auto"/>
          <w:lang w:eastAsia="es-ES"/>
        </w:rPr>
      </w:pPr>
    </w:p>
    <w:p w14:paraId="152A9583" w14:textId="77777777" w:rsidR="002D6D69" w:rsidRDefault="002D6D69" w:rsidP="002D6D69">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1DB67671" w14:textId="77777777" w:rsidR="002D6D69" w:rsidRDefault="002D6D69" w:rsidP="002D6D69">
      <w:pPr>
        <w:spacing w:after="0" w:line="360" w:lineRule="auto"/>
        <w:rPr>
          <w:rFonts w:eastAsia="Batang" w:cs="Tahoma"/>
          <w:bCs/>
          <w:color w:val="000000"/>
        </w:rPr>
      </w:pPr>
    </w:p>
    <w:p w14:paraId="7BEA9B33" w14:textId="2359811D" w:rsidR="002D6D69" w:rsidRPr="00A36F31" w:rsidRDefault="002D6D69" w:rsidP="002D6D69">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4B3491">
        <w:rPr>
          <w:rFonts w:eastAsia="Times New Roman" w:cs="Tahoma"/>
          <w:bCs/>
          <w:color w:val="auto"/>
          <w:lang w:val="es-ES" w:eastAsia="es-ES"/>
        </w:rPr>
        <w:t>dieciocho</w:t>
      </w:r>
      <w:r w:rsidRPr="00DB12DB">
        <w:rPr>
          <w:rFonts w:eastAsia="Times New Roman" w:cs="Tahoma"/>
          <w:bCs/>
          <w:color w:val="auto"/>
          <w:lang w:val="es-ES" w:eastAsia="es-ES"/>
        </w:rPr>
        <w:t xml:space="preserve"> de </w:t>
      </w:r>
      <w:r>
        <w:rPr>
          <w:rFonts w:eastAsia="Times New Roman" w:cs="Tahoma"/>
          <w:bCs/>
          <w:color w:val="auto"/>
          <w:lang w:val="es-ES" w:eastAsia="es-ES"/>
        </w:rPr>
        <w:t>febrero</w:t>
      </w:r>
      <w:r w:rsidRPr="00DB12DB">
        <w:rPr>
          <w:rFonts w:eastAsia="Times New Roman" w:cs="Tahoma"/>
          <w:bCs/>
          <w:color w:val="auto"/>
          <w:lang w:val="es-ES" w:eastAsia="es-ES"/>
        </w:rPr>
        <w:t xml:space="preserve"> </w:t>
      </w:r>
      <w:r w:rsidRPr="00126294">
        <w:rPr>
          <w:rFonts w:eastAsia="Times New Roman" w:cs="Tahoma"/>
          <w:bCs/>
          <w:color w:val="auto"/>
          <w:lang w:val="es-ES" w:eastAsia="es-ES"/>
        </w:rPr>
        <w:t>de dos mil ve</w:t>
      </w:r>
      <w:r>
        <w:rPr>
          <w:rFonts w:eastAsia="Times New Roman" w:cs="Tahoma"/>
          <w:bCs/>
          <w:color w:val="auto"/>
          <w:lang w:val="es-ES" w:eastAsia="es-ES"/>
        </w:rPr>
        <w:t>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bookmarkStart w:id="1" w:name="_Hlk86071468"/>
      <w:r w:rsidR="00357303" w:rsidRPr="00357303">
        <w:rPr>
          <w:rFonts w:eastAsia="Times New Roman" w:cs="Tahoma"/>
          <w:b/>
          <w:bCs/>
          <w:iCs/>
          <w:color w:val="auto"/>
          <w:lang w:eastAsia="es-ES"/>
        </w:rPr>
        <w:t>0096</w:t>
      </w:r>
      <w:r w:rsidR="00357303">
        <w:rPr>
          <w:rFonts w:eastAsia="Times New Roman" w:cs="Tahoma"/>
          <w:b/>
          <w:bCs/>
          <w:iCs/>
          <w:color w:val="auto"/>
          <w:lang w:eastAsia="es-ES"/>
        </w:rPr>
        <w:t>1</w:t>
      </w:r>
      <w:r w:rsidR="00357303" w:rsidRPr="00357303">
        <w:rPr>
          <w:rFonts w:eastAsia="Times New Roman" w:cs="Tahoma"/>
          <w:b/>
          <w:bCs/>
          <w:iCs/>
          <w:color w:val="auto"/>
          <w:lang w:eastAsia="es-ES"/>
        </w:rPr>
        <w:t>/INFOEM/IP/RR/2022</w:t>
      </w:r>
      <w:r w:rsidR="00357303">
        <w:rPr>
          <w:rFonts w:eastAsia="Times New Roman" w:cs="Tahoma"/>
          <w:b/>
          <w:bCs/>
          <w:i/>
          <w:color w:val="auto"/>
          <w:sz w:val="20"/>
          <w:szCs w:val="20"/>
          <w:lang w:eastAsia="es-ES"/>
        </w:rPr>
        <w:t xml:space="preserve"> </w:t>
      </w:r>
      <w:r>
        <w:rPr>
          <w:rFonts w:eastAsia="Batang" w:cs="Tahoma"/>
          <w:b/>
          <w:bCs/>
          <w:color w:val="000000"/>
        </w:rPr>
        <w:t>y</w:t>
      </w:r>
      <w:bookmarkEnd w:id="1"/>
      <w:r w:rsidR="00357303">
        <w:rPr>
          <w:rFonts w:eastAsia="Batang" w:cs="Tahoma"/>
          <w:b/>
          <w:bCs/>
          <w:color w:val="000000"/>
        </w:rPr>
        <w:t xml:space="preserve"> </w:t>
      </w:r>
      <w:r w:rsidR="00357303" w:rsidRPr="00357303">
        <w:rPr>
          <w:rFonts w:eastAsia="Times New Roman" w:cs="Tahoma"/>
          <w:b/>
          <w:bCs/>
          <w:iCs/>
          <w:color w:val="auto"/>
          <w:lang w:eastAsia="es-ES"/>
        </w:rPr>
        <w:t>0096</w:t>
      </w:r>
      <w:r w:rsidR="00357303">
        <w:rPr>
          <w:rFonts w:eastAsia="Times New Roman" w:cs="Tahoma"/>
          <w:b/>
          <w:bCs/>
          <w:iCs/>
          <w:color w:val="auto"/>
          <w:lang w:eastAsia="es-ES"/>
        </w:rPr>
        <w:t>2</w:t>
      </w:r>
      <w:r w:rsidR="00357303" w:rsidRPr="00357303">
        <w:rPr>
          <w:rFonts w:eastAsia="Times New Roman" w:cs="Tahoma"/>
          <w:b/>
          <w:bCs/>
          <w:iCs/>
          <w:color w:val="auto"/>
          <w:lang w:eastAsia="es-ES"/>
        </w:rPr>
        <w:t>/INFOEM/IP/RR/2022</w:t>
      </w:r>
      <w:r w:rsidRPr="00A36F31">
        <w:rPr>
          <w:rFonts w:eastAsia="Batang" w:cs="Tahoma"/>
          <w:bCs/>
          <w:color w:val="000000"/>
        </w:rPr>
        <w:t>, a</w:t>
      </w:r>
      <w:r>
        <w:rPr>
          <w:rFonts w:eastAsia="Batang" w:cs="Tahoma"/>
          <w:bCs/>
          <w:color w:val="000000"/>
        </w:rPr>
        <w:t xml:space="preserve"> </w:t>
      </w:r>
      <w:r w:rsidRPr="00A36F31">
        <w:rPr>
          <w:rFonts w:eastAsia="Batang" w:cs="Tahoma"/>
          <w:bCs/>
          <w:color w:val="000000"/>
        </w:rPr>
        <w:t>l</w:t>
      </w:r>
      <w:r>
        <w:rPr>
          <w:rFonts w:eastAsia="Batang" w:cs="Tahoma"/>
          <w:bCs/>
          <w:color w:val="000000"/>
        </w:rPr>
        <w:t>os M</w:t>
      </w:r>
      <w:r w:rsidRPr="00A36F31">
        <w:rPr>
          <w:rFonts w:eastAsia="Batang" w:cs="Tahoma"/>
          <w:bCs/>
          <w:color w:val="000000"/>
        </w:rPr>
        <w:t>edio</w:t>
      </w:r>
      <w:r>
        <w:rPr>
          <w:rFonts w:eastAsia="Batang" w:cs="Tahoma"/>
          <w:bCs/>
          <w:color w:val="000000"/>
        </w:rPr>
        <w:t>s</w:t>
      </w:r>
      <w:r w:rsidRPr="00A36F31">
        <w:rPr>
          <w:rFonts w:eastAsia="Batang" w:cs="Tahoma"/>
          <w:bCs/>
          <w:color w:val="000000"/>
        </w:rPr>
        <w:t xml:space="preserve"> de </w:t>
      </w:r>
      <w:r>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Pr>
          <w:rFonts w:eastAsia="Batang" w:cs="Tahoma"/>
          <w:bCs/>
          <w:color w:val="000000"/>
        </w:rPr>
        <w:t xml:space="preserve">al Comisionado </w:t>
      </w:r>
      <w:r w:rsidRPr="00A36F31">
        <w:rPr>
          <w:rFonts w:eastAsia="Batang" w:cs="Tahoma"/>
          <w:bCs/>
          <w:color w:val="000000"/>
        </w:rPr>
        <w:t xml:space="preserve">Luis Gustavo Parra Noriega, para los efectos del artículo 185, fracción </w:t>
      </w:r>
      <w:r w:rsidRPr="00A36F31">
        <w:rPr>
          <w:rFonts w:eastAsia="Batang" w:cs="Tahoma"/>
          <w:bCs/>
          <w:color w:val="000000"/>
        </w:rPr>
        <w:lastRenderedPageBreak/>
        <w:t>I de la Ley de Transparencia y Acceso a la Información Pública del Estado de México y Municipios.</w:t>
      </w:r>
    </w:p>
    <w:p w14:paraId="7250DEAC" w14:textId="77777777" w:rsidR="002D6D69" w:rsidRPr="003D5B55" w:rsidRDefault="002D6D69" w:rsidP="002D6D69">
      <w:pPr>
        <w:spacing w:after="0" w:line="360" w:lineRule="auto"/>
        <w:rPr>
          <w:rFonts w:eastAsia="Batang" w:cs="Tahoma"/>
          <w:bCs/>
          <w:color w:val="000000"/>
        </w:rPr>
      </w:pPr>
    </w:p>
    <w:p w14:paraId="237B6319" w14:textId="77178281" w:rsidR="002D6D69" w:rsidRPr="003D5B55" w:rsidRDefault="002D6D69" w:rsidP="002D6D69">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Pr>
          <w:rFonts w:eastAsia="Times New Roman" w:cs="Tahoma"/>
          <w:b/>
          <w:bCs/>
          <w:color w:val="auto"/>
          <w:lang w:eastAsia="es-ES"/>
        </w:rPr>
        <w:t xml:space="preserve"> </w:t>
      </w:r>
      <w:r w:rsidRPr="003D5B55">
        <w:rPr>
          <w:rFonts w:eastAsia="Times New Roman" w:cs="Tahoma"/>
          <w:b/>
          <w:bCs/>
          <w:color w:val="auto"/>
          <w:lang w:eastAsia="es-ES"/>
        </w:rPr>
        <w:t>l</w:t>
      </w:r>
      <w:r>
        <w:rPr>
          <w:rFonts w:eastAsia="Times New Roman" w:cs="Tahoma"/>
          <w:b/>
          <w:bCs/>
          <w:color w:val="auto"/>
          <w:lang w:eastAsia="es-ES"/>
        </w:rPr>
        <w:t>os</w:t>
      </w:r>
      <w:r w:rsidRPr="003D5B55">
        <w:rPr>
          <w:rFonts w:eastAsia="Times New Roman" w:cs="Tahoma"/>
          <w:b/>
          <w:bCs/>
          <w:color w:val="auto"/>
          <w:lang w:eastAsia="es-ES"/>
        </w:rPr>
        <w:t xml:space="preserve"> Recurso</w:t>
      </w:r>
      <w:r>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FE7D02">
        <w:rPr>
          <w:rFonts w:eastAsia="Batang" w:cs="Tahoma"/>
          <w:bCs/>
          <w:color w:val="000000"/>
        </w:rPr>
        <w:t>veintiuno y veintitrés</w:t>
      </w:r>
      <w:r>
        <w:rPr>
          <w:rFonts w:eastAsia="Batang" w:cs="Tahoma"/>
          <w:bCs/>
          <w:color w:val="000000"/>
        </w:rPr>
        <w:t xml:space="preserve"> de febrero de dos mil veintidós</w:t>
      </w:r>
      <w:r w:rsidRPr="003D5B55">
        <w:rPr>
          <w:rFonts w:eastAsia="Times New Roman" w:cs="Tahoma"/>
          <w:bCs/>
          <w:color w:val="auto"/>
          <w:lang w:val="es-ES_tradnl" w:eastAsia="es-ES"/>
        </w:rPr>
        <w:t>, se acordó</w:t>
      </w:r>
      <w:r>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en la misma</w:t>
      </w:r>
      <w:r w:rsidR="00C2676E">
        <w:rPr>
          <w:rFonts w:eastAsia="Times New Roman" w:cs="Tahoma"/>
          <w:bCs/>
          <w:color w:val="auto"/>
          <w:lang w:val="es-ES_tradnl" w:eastAsia="es-ES"/>
        </w:rPr>
        <w:t>s fechas</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4F957E3D" w14:textId="77777777" w:rsidR="002D6D69" w:rsidRPr="000F3317" w:rsidRDefault="002D6D69" w:rsidP="002D6D69">
      <w:pPr>
        <w:spacing w:after="0" w:line="360" w:lineRule="auto"/>
        <w:rPr>
          <w:rFonts w:cs="Tahoma"/>
        </w:rPr>
      </w:pPr>
    </w:p>
    <w:p w14:paraId="3518C0EE" w14:textId="77777777" w:rsidR="002D6D69" w:rsidRDefault="002D6D69" w:rsidP="002D6D69">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11AE2AFA" w14:textId="77777777" w:rsidR="002D6D69" w:rsidRDefault="002D6D69" w:rsidP="002D6D69">
      <w:pPr>
        <w:spacing w:after="0" w:line="360" w:lineRule="auto"/>
        <w:rPr>
          <w:rFonts w:cs="Tahoma"/>
          <w:lang w:val="es-ES_tradnl"/>
        </w:rPr>
      </w:pPr>
    </w:p>
    <w:p w14:paraId="61B37B5B" w14:textId="18F38C8D" w:rsidR="002D6D69" w:rsidRDefault="002D6D69" w:rsidP="002D6D69">
      <w:pPr>
        <w:spacing w:after="0" w:line="360" w:lineRule="auto"/>
        <w:rPr>
          <w:rFonts w:eastAsia="Batang" w:cs="Tahoma"/>
          <w:color w:val="000000"/>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 </w:t>
      </w:r>
      <w:r w:rsidR="00C2676E">
        <w:rPr>
          <w:rFonts w:eastAsia="Times New Roman" w:cs="Tahoma"/>
          <w:bCs/>
          <w:iCs/>
          <w:color w:val="auto"/>
          <w:lang w:val="es-ES" w:eastAsia="es-ES"/>
        </w:rPr>
        <w:t>tres</w:t>
      </w:r>
      <w:r>
        <w:rPr>
          <w:rFonts w:eastAsia="Times New Roman" w:cs="Tahoma"/>
          <w:bCs/>
          <w:iCs/>
          <w:color w:val="auto"/>
          <w:lang w:val="es-ES" w:eastAsia="es-ES"/>
        </w:rPr>
        <w:t xml:space="preserve"> de </w:t>
      </w:r>
      <w:r w:rsidR="00C2676E">
        <w:rPr>
          <w:rFonts w:eastAsia="Times New Roman" w:cs="Tahoma"/>
          <w:bCs/>
          <w:iCs/>
          <w:color w:val="auto"/>
          <w:lang w:val="es-ES" w:eastAsia="es-ES"/>
        </w:rPr>
        <w:t>marzo</w:t>
      </w:r>
      <w:r>
        <w:rPr>
          <w:rFonts w:eastAsia="Times New Roman" w:cs="Tahoma"/>
          <w:bCs/>
          <w:iCs/>
          <w:color w:val="auto"/>
          <w:lang w:val="es-ES" w:eastAsia="es-ES"/>
        </w:rPr>
        <w:t xml:space="preserve"> de dos mil veintidós</w:t>
      </w:r>
      <w:r w:rsidR="00FE7D02">
        <w:rPr>
          <w:rFonts w:eastAsia="Times New Roman" w:cs="Tahoma"/>
          <w:bCs/>
          <w:iCs/>
          <w:color w:val="auto"/>
          <w:lang w:val="es-ES" w:eastAsia="es-ES"/>
        </w:rPr>
        <w:t xml:space="preserve"> </w:t>
      </w:r>
      <w:r>
        <w:rPr>
          <w:rFonts w:eastAsia="Times New Roman" w:cs="Tahoma"/>
          <w:bCs/>
          <w:iCs/>
          <w:color w:val="auto"/>
          <w:lang w:val="es-ES" w:eastAsia="es-ES"/>
        </w:rPr>
        <w:t xml:space="preserve">el Pleno del Instituto de Transparencia, Acceso a la Información Pública y Protección de Datos Personales del Estado de México y Municipios, durante su </w:t>
      </w:r>
      <w:r w:rsidR="00C2676E">
        <w:rPr>
          <w:rFonts w:eastAsia="Times New Roman" w:cs="Tahoma"/>
          <w:bCs/>
          <w:iCs/>
          <w:color w:val="auto"/>
          <w:lang w:val="es-ES" w:eastAsia="es-ES"/>
        </w:rPr>
        <w:t>Octava</w:t>
      </w:r>
      <w:r>
        <w:rPr>
          <w:rFonts w:eastAsia="Times New Roman" w:cs="Tahoma"/>
          <w:bCs/>
          <w:iCs/>
          <w:color w:val="auto"/>
          <w:lang w:val="es-ES" w:eastAsia="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Pr>
          <w:rFonts w:eastAsia="Batang" w:cs="Tahoma"/>
          <w:b/>
          <w:bCs/>
          <w:color w:val="000000"/>
        </w:rPr>
        <w:t>00</w:t>
      </w:r>
      <w:r w:rsidR="00C2676E" w:rsidRPr="00357303">
        <w:rPr>
          <w:rFonts w:eastAsia="Times New Roman" w:cs="Tahoma"/>
          <w:b/>
          <w:bCs/>
          <w:iCs/>
          <w:color w:val="auto"/>
          <w:lang w:eastAsia="es-ES"/>
        </w:rPr>
        <w:t>0096</w:t>
      </w:r>
      <w:r w:rsidR="00C2676E">
        <w:rPr>
          <w:rFonts w:eastAsia="Times New Roman" w:cs="Tahoma"/>
          <w:b/>
          <w:bCs/>
          <w:iCs/>
          <w:color w:val="auto"/>
          <w:lang w:eastAsia="es-ES"/>
        </w:rPr>
        <w:t>2</w:t>
      </w:r>
      <w:r w:rsidR="00C2676E" w:rsidRPr="00357303">
        <w:rPr>
          <w:rFonts w:eastAsia="Times New Roman" w:cs="Tahoma"/>
          <w:b/>
          <w:bCs/>
          <w:iCs/>
          <w:color w:val="auto"/>
          <w:lang w:eastAsia="es-ES"/>
        </w:rPr>
        <w:t>/INFOEM/IP/RR/2022</w:t>
      </w:r>
      <w:r w:rsidR="00C2676E">
        <w:rPr>
          <w:rFonts w:eastAsia="Times New Roman" w:cs="Tahoma"/>
          <w:b/>
          <w:bCs/>
          <w:i/>
          <w:color w:val="auto"/>
          <w:sz w:val="20"/>
          <w:szCs w:val="20"/>
          <w:lang w:eastAsia="es-ES"/>
        </w:rPr>
        <w:t xml:space="preserve"> </w:t>
      </w:r>
      <w:r>
        <w:rPr>
          <w:rFonts w:eastAsia="Batang" w:cs="Tahoma"/>
          <w:b/>
          <w:bCs/>
          <w:color w:val="000000"/>
        </w:rPr>
        <w:t xml:space="preserve">al diverso </w:t>
      </w:r>
      <w:r w:rsidR="00C2676E" w:rsidRPr="00357303">
        <w:rPr>
          <w:rFonts w:eastAsia="Times New Roman" w:cs="Tahoma"/>
          <w:b/>
          <w:bCs/>
          <w:iCs/>
          <w:color w:val="auto"/>
          <w:lang w:eastAsia="es-ES"/>
        </w:rPr>
        <w:t>0096</w:t>
      </w:r>
      <w:r w:rsidR="00C2676E">
        <w:rPr>
          <w:rFonts w:eastAsia="Times New Roman" w:cs="Tahoma"/>
          <w:b/>
          <w:bCs/>
          <w:iCs/>
          <w:color w:val="auto"/>
          <w:lang w:eastAsia="es-ES"/>
        </w:rPr>
        <w:t>1</w:t>
      </w:r>
      <w:r w:rsidR="00C2676E" w:rsidRPr="00357303">
        <w:rPr>
          <w:rFonts w:eastAsia="Times New Roman" w:cs="Tahoma"/>
          <w:b/>
          <w:bCs/>
          <w:iCs/>
          <w:color w:val="auto"/>
          <w:lang w:eastAsia="es-ES"/>
        </w:rPr>
        <w:t>/INFOEM/IP/RR/2022</w:t>
      </w:r>
      <w:r>
        <w:rPr>
          <w:rFonts w:eastAsia="Batang" w:cs="Tahoma"/>
          <w:b/>
          <w:bCs/>
          <w:color w:val="000000"/>
        </w:rPr>
        <w:t xml:space="preserve">, </w:t>
      </w:r>
      <w:r w:rsidRPr="0035133F">
        <w:rPr>
          <w:rFonts w:eastAsia="Batang" w:cs="Tahoma"/>
          <w:color w:val="000000"/>
        </w:rPr>
        <w:t>por</w:t>
      </w:r>
      <w:r>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Pr>
          <w:rFonts w:eastAsia="Calibri" w:cs="Tahoma"/>
        </w:rPr>
        <w:t xml:space="preserve">Ayuntamiento de </w:t>
      </w:r>
      <w:r w:rsidR="00C31605">
        <w:rPr>
          <w:rFonts w:eastAsia="Calibri" w:cs="Tahoma"/>
        </w:rPr>
        <w:t>Santo Tomás</w:t>
      </w:r>
      <w:r>
        <w:rPr>
          <w:rFonts w:eastAsia="Batang" w:cs="Tahoma"/>
          <w:color w:val="000000"/>
        </w:rPr>
        <w:t xml:space="preserve">. </w:t>
      </w:r>
    </w:p>
    <w:p w14:paraId="3D90374A" w14:textId="77777777" w:rsidR="002D6D69" w:rsidRDefault="002D6D69" w:rsidP="002D6D69">
      <w:pPr>
        <w:spacing w:after="0" w:line="360" w:lineRule="auto"/>
        <w:rPr>
          <w:rFonts w:eastAsia="Times New Roman" w:cs="Tahoma"/>
          <w:bCs/>
          <w:iCs/>
          <w:color w:val="auto"/>
          <w:lang w:val="es-ES" w:eastAsia="es-ES"/>
        </w:rPr>
      </w:pPr>
    </w:p>
    <w:p w14:paraId="60A5D491" w14:textId="57CC625F" w:rsidR="002D6D69" w:rsidRDefault="002D6D69" w:rsidP="002D6D69">
      <w:pPr>
        <w:spacing w:after="0" w:line="360" w:lineRule="auto"/>
        <w:rPr>
          <w:rFonts w:eastAsia="Times New Roman" w:cs="Tahoma"/>
          <w:color w:val="auto"/>
          <w:szCs w:val="24"/>
          <w:lang w:val="es-ES" w:eastAsia="es-ES"/>
        </w:rPr>
      </w:pPr>
      <w:r>
        <w:rPr>
          <w:rFonts w:eastAsia="Times New Roman" w:cs="Tahoma"/>
          <w:b/>
          <w:color w:val="auto"/>
          <w:szCs w:val="24"/>
          <w:lang w:eastAsia="es-ES"/>
        </w:rPr>
        <w:lastRenderedPageBreak/>
        <w:t>e) Cierre de instrucción</w:t>
      </w:r>
      <w:r w:rsidRPr="00516366">
        <w:rPr>
          <w:rFonts w:eastAsia="Times New Roman" w:cs="Tahoma"/>
          <w:b/>
          <w:color w:val="auto"/>
          <w:szCs w:val="24"/>
          <w:lang w:eastAsia="es-ES"/>
        </w:rPr>
        <w:t>.</w:t>
      </w:r>
      <w:r w:rsidRPr="00516366">
        <w:rPr>
          <w:rFonts w:eastAsia="Times New Roman" w:cs="Tahoma"/>
          <w:color w:val="auto"/>
          <w:szCs w:val="24"/>
          <w:lang w:eastAsia="es-ES"/>
        </w:rPr>
        <w:t xml:space="preserve"> El </w:t>
      </w:r>
      <w:r w:rsidR="00516366">
        <w:rPr>
          <w:rFonts w:eastAsia="Times New Roman" w:cs="Tahoma"/>
          <w:color w:val="auto"/>
          <w:szCs w:val="24"/>
          <w:lang w:val="es-ES" w:eastAsia="es-ES"/>
        </w:rPr>
        <w:t>veintidós</w:t>
      </w:r>
      <w:r w:rsidRPr="00FB2ACB">
        <w:rPr>
          <w:rFonts w:eastAsia="Times New Roman" w:cs="Tahoma"/>
          <w:color w:val="auto"/>
          <w:szCs w:val="24"/>
          <w:lang w:val="es-ES" w:eastAsia="es-ES"/>
        </w:rPr>
        <w:t xml:space="preserve"> de dos mil veinti</w:t>
      </w:r>
      <w:r>
        <w:rPr>
          <w:rFonts w:eastAsia="Times New Roman" w:cs="Tahoma"/>
          <w:color w:val="auto"/>
          <w:szCs w:val="24"/>
          <w:lang w:val="es-ES" w:eastAsia="es-ES"/>
        </w:rPr>
        <w:t>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en </w:t>
      </w:r>
      <w:r w:rsidRPr="00516366">
        <w:rPr>
          <w:rFonts w:eastAsia="Times New Roman" w:cs="Tahoma"/>
          <w:color w:val="auto"/>
          <w:szCs w:val="24"/>
          <w:lang w:eastAsia="es-ES"/>
        </w:rPr>
        <w:t>la misma fecha</w:t>
      </w:r>
      <w:r>
        <w:rPr>
          <w:rFonts w:eastAsia="Times New Roman" w:cs="Tahoma"/>
          <w:color w:val="auto"/>
          <w:szCs w:val="24"/>
          <w:lang w:eastAsia="es-ES"/>
        </w:rPr>
        <w:t xml:space="preserve">,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 xml:space="preserve">. </w:t>
      </w:r>
    </w:p>
    <w:p w14:paraId="54D8B1D7" w14:textId="77777777" w:rsidR="002D6D69" w:rsidRDefault="002D6D69" w:rsidP="002D6D69">
      <w:pPr>
        <w:spacing w:after="0" w:line="360" w:lineRule="auto"/>
        <w:rPr>
          <w:rFonts w:eastAsia="Times New Roman" w:cs="Tahoma"/>
          <w:color w:val="auto"/>
          <w:szCs w:val="24"/>
          <w:lang w:eastAsia="es-ES"/>
        </w:rPr>
      </w:pPr>
    </w:p>
    <w:p w14:paraId="182B65EA" w14:textId="77777777" w:rsidR="002D6D69" w:rsidRDefault="002D6D69" w:rsidP="002D6D69">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53F18F8F" w14:textId="77777777" w:rsidR="002D6D69" w:rsidRPr="003D5B55" w:rsidRDefault="002D6D69" w:rsidP="002D6D69">
      <w:pPr>
        <w:spacing w:after="0" w:line="360" w:lineRule="auto"/>
        <w:rPr>
          <w:rFonts w:eastAsia="Times New Roman" w:cs="Tahoma"/>
          <w:bCs/>
          <w:iCs/>
          <w:color w:val="auto"/>
          <w:lang w:val="es-ES" w:eastAsia="es-ES"/>
        </w:rPr>
      </w:pPr>
    </w:p>
    <w:p w14:paraId="751D3AB6" w14:textId="77777777" w:rsidR="002D6D69" w:rsidRPr="006B4CAC" w:rsidRDefault="002D6D69" w:rsidP="002D6D69">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7D62492E" w14:textId="77777777" w:rsidR="002D6D69" w:rsidRDefault="002D6D69" w:rsidP="002D6D69">
      <w:pPr>
        <w:autoSpaceDE w:val="0"/>
        <w:autoSpaceDN w:val="0"/>
        <w:adjustRightInd w:val="0"/>
        <w:spacing w:after="0" w:line="360" w:lineRule="auto"/>
        <w:rPr>
          <w:rFonts w:eastAsia="Calibri" w:cs="Tahoma"/>
          <w:b/>
          <w:color w:val="000000"/>
          <w:szCs w:val="24"/>
          <w:lang w:val="es-ES" w:eastAsia="es-MX"/>
        </w:rPr>
      </w:pPr>
    </w:p>
    <w:p w14:paraId="3E9E6DA9" w14:textId="77777777" w:rsidR="002D6D69" w:rsidRPr="003D5B55" w:rsidRDefault="002D6D69" w:rsidP="002D6D69">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5EE1C149" w14:textId="77777777" w:rsidR="002D6D69" w:rsidRDefault="002D6D69" w:rsidP="002D6D69">
      <w:pPr>
        <w:autoSpaceDE w:val="0"/>
        <w:autoSpaceDN w:val="0"/>
        <w:adjustRightInd w:val="0"/>
        <w:spacing w:after="0" w:line="360" w:lineRule="auto"/>
        <w:rPr>
          <w:rFonts w:eastAsia="Times New Roman" w:cs="Tahoma"/>
          <w:b/>
          <w:color w:val="auto"/>
          <w:szCs w:val="24"/>
          <w:lang w:val="es-ES" w:eastAsia="es-ES"/>
        </w:rPr>
      </w:pPr>
    </w:p>
    <w:p w14:paraId="15C10602" w14:textId="77777777" w:rsidR="002D6D69" w:rsidRDefault="002D6D69" w:rsidP="002D6D69">
      <w:pPr>
        <w:spacing w:after="0" w:line="360" w:lineRule="auto"/>
        <w:rPr>
          <w:rFonts w:eastAsia="Times New Roman" w:cs="Tahoma"/>
          <w:bCs/>
          <w:color w:val="auto"/>
          <w:lang w:eastAsia="es-ES"/>
        </w:rPr>
      </w:pPr>
      <w:bookmarkStart w:id="2"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2"/>
    </w:p>
    <w:p w14:paraId="6D3C4D63" w14:textId="77777777" w:rsidR="002D6D69" w:rsidRDefault="002D6D69" w:rsidP="002D6D69">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lastRenderedPageBreak/>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3D71C354" w14:textId="77777777" w:rsidR="002D6D69" w:rsidRPr="003D5B55" w:rsidRDefault="002D6D69" w:rsidP="002D6D69">
      <w:pPr>
        <w:autoSpaceDE w:val="0"/>
        <w:autoSpaceDN w:val="0"/>
        <w:adjustRightInd w:val="0"/>
        <w:spacing w:after="0" w:line="360" w:lineRule="auto"/>
        <w:rPr>
          <w:rFonts w:eastAsia="Times New Roman" w:cs="Tahoma"/>
          <w:color w:val="auto"/>
          <w:szCs w:val="24"/>
          <w:lang w:val="es-ES" w:eastAsia="es-ES"/>
        </w:rPr>
      </w:pPr>
    </w:p>
    <w:p w14:paraId="505F4ACD" w14:textId="77777777" w:rsidR="002D6D69" w:rsidRPr="003D5B55" w:rsidRDefault="002D6D69" w:rsidP="002D6D69">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72C579C7" w14:textId="77777777" w:rsidR="002D6D69" w:rsidRPr="003D5B55" w:rsidRDefault="002D6D69" w:rsidP="002D6D69">
      <w:pPr>
        <w:autoSpaceDE w:val="0"/>
        <w:autoSpaceDN w:val="0"/>
        <w:adjustRightInd w:val="0"/>
        <w:spacing w:after="0" w:line="360" w:lineRule="auto"/>
        <w:rPr>
          <w:rFonts w:eastAsia="Times New Roman" w:cs="Tahoma"/>
          <w:color w:val="auto"/>
          <w:szCs w:val="24"/>
          <w:lang w:val="es-ES" w:eastAsia="es-ES"/>
        </w:rPr>
      </w:pPr>
    </w:p>
    <w:p w14:paraId="1CDDC94C" w14:textId="77777777" w:rsidR="002D6D69" w:rsidRDefault="002D6D69" w:rsidP="002D6D69">
      <w:pPr>
        <w:spacing w:after="0" w:line="360" w:lineRule="auto"/>
        <w:rPr>
          <w:b/>
          <w:lang w:val="es-ES"/>
        </w:rPr>
      </w:pPr>
      <w:r w:rsidRPr="003D5B55">
        <w:rPr>
          <w:b/>
          <w:lang w:val="es-ES"/>
        </w:rPr>
        <w:t>Causales de improcedencia</w:t>
      </w:r>
    </w:p>
    <w:p w14:paraId="038021C9" w14:textId="77777777" w:rsidR="002D6D69" w:rsidRPr="003D5B55" w:rsidRDefault="002D6D69" w:rsidP="002D6D69">
      <w:pPr>
        <w:spacing w:after="0" w:line="360" w:lineRule="auto"/>
      </w:pPr>
    </w:p>
    <w:p w14:paraId="659CBFD5" w14:textId="77777777" w:rsidR="002D6D69" w:rsidRPr="003D5B55" w:rsidRDefault="002D6D69" w:rsidP="002D6D69">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97847D6" w14:textId="77777777" w:rsidR="002D6D69" w:rsidRPr="003D5B55" w:rsidRDefault="002D6D69" w:rsidP="002D6D69">
      <w:pPr>
        <w:spacing w:after="0" w:line="360" w:lineRule="auto"/>
        <w:rPr>
          <w:rFonts w:eastAsia="Times New Roman" w:cs="Tahoma"/>
          <w:color w:val="auto"/>
          <w:lang w:eastAsia="es-ES"/>
        </w:rPr>
      </w:pPr>
    </w:p>
    <w:p w14:paraId="2668C771" w14:textId="77777777" w:rsidR="002D6D69" w:rsidRDefault="002D6D69" w:rsidP="002D6D69">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CB806B4" w14:textId="77777777" w:rsidR="002D6D69" w:rsidRPr="003D5B55" w:rsidRDefault="002D6D69" w:rsidP="002D6D69">
      <w:pPr>
        <w:spacing w:after="0" w:line="360" w:lineRule="auto"/>
        <w:rPr>
          <w:rFonts w:eastAsia="Times New Roman" w:cs="Tahoma"/>
          <w:color w:val="auto"/>
          <w:lang w:eastAsia="es-ES"/>
        </w:rPr>
      </w:pPr>
    </w:p>
    <w:p w14:paraId="5AE5FA43" w14:textId="77777777" w:rsidR="002D6D69" w:rsidRPr="003D5B55" w:rsidRDefault="002D6D69" w:rsidP="002D6D69">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 xml:space="preserve">en </w:t>
      </w:r>
      <w:r w:rsidRPr="003D5B55">
        <w:rPr>
          <w:rFonts w:eastAsia="Times New Roman" w:cs="Tahoma"/>
          <w:color w:val="auto"/>
          <w:u w:val="single"/>
          <w:lang w:val="es-ES" w:eastAsia="es-ES"/>
        </w:rPr>
        <w:lastRenderedPageBreak/>
        <w:t>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3BEB222" w14:textId="77777777" w:rsidR="002D6D69" w:rsidRPr="003D5B55" w:rsidRDefault="002D6D69" w:rsidP="002D6D69">
      <w:pPr>
        <w:spacing w:after="0" w:line="360" w:lineRule="auto"/>
        <w:rPr>
          <w:rFonts w:eastAsia="Times New Roman" w:cs="Tahoma"/>
          <w:color w:val="auto"/>
          <w:lang w:val="es-ES" w:eastAsia="es-ES"/>
        </w:rPr>
      </w:pPr>
    </w:p>
    <w:p w14:paraId="05C49B5F" w14:textId="77777777" w:rsidR="002D6D69" w:rsidRPr="003D5B55" w:rsidRDefault="002D6D69" w:rsidP="002D6D69">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Pr>
          <w:rFonts w:eastAsia="Times New Roman" w:cs="Tahoma"/>
          <w:bCs/>
          <w:color w:val="auto"/>
          <w:lang w:val="es-ES" w:eastAsia="es-ES"/>
        </w:rPr>
        <w:t>us</w:t>
      </w:r>
      <w:r w:rsidRPr="003D5B55">
        <w:rPr>
          <w:rFonts w:eastAsia="Times New Roman" w:cs="Tahoma"/>
          <w:bCs/>
          <w:color w:val="auto"/>
          <w:lang w:val="es-ES" w:eastAsia="es-ES"/>
        </w:rPr>
        <w:t xml:space="preserve"> solicitud</w:t>
      </w:r>
      <w:r>
        <w:rPr>
          <w:rFonts w:eastAsia="Times New Roman" w:cs="Tahoma"/>
          <w:bCs/>
          <w:color w:val="auto"/>
          <w:lang w:val="es-ES" w:eastAsia="es-ES"/>
        </w:rPr>
        <w:t>es</w:t>
      </w:r>
      <w:r w:rsidRPr="003D5B55">
        <w:rPr>
          <w:rFonts w:eastAsia="Times New Roman" w:cs="Tahoma"/>
          <w:bCs/>
          <w:color w:val="auto"/>
          <w:lang w:val="es-ES" w:eastAsia="es-ES"/>
        </w:rPr>
        <w:t xml:space="preserve"> de acceso a información pública.</w:t>
      </w:r>
    </w:p>
    <w:p w14:paraId="628936E5" w14:textId="77777777" w:rsidR="002D6D69" w:rsidRPr="003D5B55" w:rsidRDefault="002D6D69" w:rsidP="002D6D69">
      <w:pPr>
        <w:spacing w:after="0" w:line="360" w:lineRule="auto"/>
        <w:rPr>
          <w:rFonts w:eastAsia="Times New Roman" w:cs="Tahoma"/>
          <w:bCs/>
          <w:color w:val="auto"/>
          <w:lang w:val="es-ES" w:eastAsia="es-ES"/>
        </w:rPr>
      </w:pPr>
    </w:p>
    <w:p w14:paraId="450BCF8D" w14:textId="77777777" w:rsidR="002D6D69" w:rsidRPr="003D5B55" w:rsidRDefault="002D6D69" w:rsidP="002D6D69">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71261E53" w14:textId="77777777" w:rsidR="002D6D69" w:rsidRPr="003D5B55" w:rsidRDefault="002D6D69" w:rsidP="002D6D69">
      <w:pPr>
        <w:spacing w:after="0" w:line="360" w:lineRule="auto"/>
        <w:rPr>
          <w:rFonts w:eastAsia="Times New Roman" w:cs="Tahoma"/>
          <w:bCs/>
          <w:color w:val="0D0D0D" w:themeColor="text1" w:themeTint="F2"/>
          <w:lang w:eastAsia="es-ES"/>
        </w:rPr>
      </w:pPr>
    </w:p>
    <w:p w14:paraId="5E6648A4" w14:textId="77777777" w:rsidR="002D6D69" w:rsidRDefault="002D6D69" w:rsidP="002D6D69">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 sobre el tema, el a</w:t>
      </w:r>
      <w:r w:rsidRPr="003D5B55">
        <w:rPr>
          <w:rFonts w:eastAsia="Times New Roman" w:cs="Tahoma"/>
          <w:color w:val="auto"/>
          <w:szCs w:val="24"/>
          <w:lang w:eastAsia="es-ES"/>
        </w:rPr>
        <w:t>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14FDAA66" w14:textId="77777777" w:rsidR="002D6D69" w:rsidRPr="003D5B55" w:rsidRDefault="002D6D69" w:rsidP="002D6D69">
      <w:pPr>
        <w:spacing w:after="0" w:line="360" w:lineRule="auto"/>
        <w:rPr>
          <w:rFonts w:eastAsia="Times New Roman" w:cs="Tahoma"/>
          <w:color w:val="auto"/>
          <w:szCs w:val="24"/>
          <w:lang w:eastAsia="es-ES"/>
        </w:rPr>
      </w:pPr>
    </w:p>
    <w:p w14:paraId="627ED754" w14:textId="77777777" w:rsidR="002D6D69" w:rsidRDefault="002D6D69" w:rsidP="002D6D69">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17AE46" w14:textId="77777777" w:rsidR="002D6D69" w:rsidRDefault="002D6D69" w:rsidP="002D6D69">
      <w:pPr>
        <w:spacing w:after="0" w:line="360" w:lineRule="auto"/>
        <w:rPr>
          <w:rFonts w:eastAsia="Times New Roman" w:cs="Tahoma"/>
          <w:bCs/>
          <w:color w:val="0D0D0D" w:themeColor="text1" w:themeTint="F2"/>
          <w:lang w:eastAsia="es-ES"/>
        </w:rPr>
      </w:pPr>
    </w:p>
    <w:p w14:paraId="22857777" w14:textId="77777777" w:rsidR="002D6D69" w:rsidRDefault="002D6D69" w:rsidP="002D6D69">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7544E75F" w14:textId="77777777" w:rsidR="002D6D69" w:rsidRPr="003D5B55" w:rsidRDefault="002D6D69" w:rsidP="002D6D69">
      <w:pPr>
        <w:spacing w:after="0" w:line="360" w:lineRule="auto"/>
        <w:rPr>
          <w:rFonts w:eastAsia="Times New Roman" w:cs="Tahoma"/>
          <w:b/>
          <w:bCs/>
          <w:iCs/>
          <w:color w:val="auto"/>
          <w:lang w:val="es-ES" w:eastAsia="es-ES"/>
        </w:rPr>
      </w:pPr>
    </w:p>
    <w:p w14:paraId="6F6D0ADD" w14:textId="1DEE90CC" w:rsidR="002D6D69" w:rsidRDefault="002D6D69" w:rsidP="002D6D69">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w:t>
      </w:r>
      <w:r w:rsidRPr="003D5B55">
        <w:rPr>
          <w:rFonts w:eastAsia="Calibri" w:cs="Tahoma"/>
          <w:color w:val="000000"/>
          <w:szCs w:val="24"/>
          <w:lang w:val="es-ES" w:eastAsia="es-MX"/>
        </w:rPr>
        <w:lastRenderedPageBreak/>
        <w:t xml:space="preserve">desprende </w:t>
      </w:r>
      <w:r>
        <w:rPr>
          <w:rFonts w:eastAsia="Calibri" w:cs="Tahoma"/>
          <w:color w:val="000000"/>
          <w:szCs w:val="24"/>
          <w:lang w:val="es-ES" w:eastAsia="es-MX"/>
        </w:rPr>
        <w:t>que el Particular requirió, por medio de dos solicitudes de información, l</w:t>
      </w:r>
      <w:r w:rsidR="00790048">
        <w:rPr>
          <w:rFonts w:eastAsia="Calibri" w:cs="Tahoma"/>
          <w:color w:val="000000"/>
          <w:szCs w:val="24"/>
          <w:lang w:val="es-ES" w:eastAsia="es-MX"/>
        </w:rPr>
        <w:t>o</w:t>
      </w:r>
      <w:r>
        <w:rPr>
          <w:rFonts w:eastAsia="Calibri" w:cs="Tahoma"/>
          <w:color w:val="000000"/>
          <w:szCs w:val="24"/>
          <w:lang w:val="es-ES" w:eastAsia="es-MX"/>
        </w:rPr>
        <w:t xml:space="preserve">s </w:t>
      </w:r>
      <w:r w:rsidR="00790048">
        <w:rPr>
          <w:rFonts w:eastAsia="Calibri" w:cs="Tahoma"/>
          <w:color w:val="000000"/>
          <w:szCs w:val="24"/>
          <w:lang w:val="es-ES" w:eastAsia="es-MX"/>
        </w:rPr>
        <w:t xml:space="preserve">recibos de nómina </w:t>
      </w:r>
      <w:r w:rsidR="00312FD6">
        <w:rPr>
          <w:rFonts w:eastAsia="Calibri" w:cs="Tahoma"/>
          <w:color w:val="000000"/>
          <w:szCs w:val="24"/>
          <w:lang w:val="es-ES" w:eastAsia="es-MX"/>
        </w:rPr>
        <w:t>de todos los servidores públicos adscritos al Ayuntamiento de Santo Tomás y su Sistema Municipal para el Desarrollo Integral de la Familia, de la primera quincena de enero de dos mil veintidós.</w:t>
      </w:r>
    </w:p>
    <w:p w14:paraId="4546BB18" w14:textId="77777777" w:rsidR="002D6D69" w:rsidRDefault="002D6D69" w:rsidP="002D6D69">
      <w:pPr>
        <w:widowControl w:val="0"/>
        <w:autoSpaceDE w:val="0"/>
        <w:autoSpaceDN w:val="0"/>
        <w:adjustRightInd w:val="0"/>
        <w:spacing w:after="0" w:line="360" w:lineRule="auto"/>
        <w:rPr>
          <w:rFonts w:eastAsia="Calibri" w:cs="Tahoma"/>
          <w:color w:val="000000"/>
          <w:szCs w:val="24"/>
          <w:lang w:val="es-ES" w:eastAsia="es-MX"/>
        </w:rPr>
      </w:pPr>
    </w:p>
    <w:p w14:paraId="52B97D62" w14:textId="5C149EE2" w:rsidR="002D6D69" w:rsidRDefault="002D6D69" w:rsidP="002D6D69">
      <w:pPr>
        <w:widowControl w:val="0"/>
        <w:autoSpaceDE w:val="0"/>
        <w:autoSpaceDN w:val="0"/>
        <w:adjustRightInd w:val="0"/>
        <w:spacing w:after="0" w:line="360" w:lineRule="auto"/>
        <w:rPr>
          <w:rFonts w:cs="Tahoma"/>
          <w:bCs/>
          <w:iCs/>
          <w:color w:val="auto"/>
          <w:lang w:val="es-ES" w:eastAsia="es-ES"/>
        </w:rPr>
      </w:pPr>
      <w:r>
        <w:rPr>
          <w:rFonts w:cs="Tahoma"/>
          <w:bCs/>
          <w:iCs/>
          <w:lang w:val="es-ES"/>
        </w:rPr>
        <w:t>Ante la falta de respuesta del Ente Recurrido, el Particular, justamente se inconformó porque no le dieron contestación a sus requerimientos, lo cual se actualiza el supuesto previsto en el artículo 179, fracción VII, de la Ley de Transparencia y Acceso a la Información Pública del Estado de México y Municipios</w:t>
      </w:r>
      <w:r>
        <w:rPr>
          <w:rFonts w:cs="Tahoma"/>
          <w:bCs/>
          <w:iCs/>
          <w:shd w:val="clear" w:color="auto" w:fill="FFFFFF"/>
        </w:rPr>
        <w:t xml:space="preserve">. </w:t>
      </w:r>
      <w:r>
        <w:rPr>
          <w:rFonts w:cs="Tahoma"/>
          <w:lang w:val="es-ES"/>
        </w:rPr>
        <w:t>Así las cosas, una vez admitido y notificado los Recursos de Revisión a las partes, estas</w:t>
      </w:r>
      <w:r>
        <w:rPr>
          <w:rFonts w:cs="Tahoma"/>
          <w:bCs/>
          <w:iCs/>
          <w:lang w:val="es-ES" w:eastAsia="es-ES"/>
        </w:rPr>
        <w:t xml:space="preserve"> fueron omisas en realizar manifestaciones o alegatos.</w:t>
      </w:r>
    </w:p>
    <w:p w14:paraId="310C065F" w14:textId="77777777" w:rsidR="002D6D69" w:rsidRDefault="002D6D69" w:rsidP="002D6D69">
      <w:pPr>
        <w:tabs>
          <w:tab w:val="left" w:pos="4962"/>
        </w:tabs>
        <w:spacing w:after="0" w:line="360" w:lineRule="auto"/>
        <w:rPr>
          <w:rFonts w:eastAsia="Calibri" w:cs="Tahoma"/>
          <w:iCs/>
          <w:lang w:val="es-ES"/>
        </w:rPr>
      </w:pPr>
    </w:p>
    <w:p w14:paraId="355D4853" w14:textId="77777777" w:rsidR="002D6D69" w:rsidRDefault="002D6D69" w:rsidP="002D6D69">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las solicitudes de acceso a la información </w:t>
      </w:r>
      <w:r>
        <w:rPr>
          <w:rFonts w:eastAsia="Calibri" w:cs="Tahoma"/>
          <w:iCs/>
          <w:lang w:eastAsia="es-ES_tradnl"/>
        </w:rPr>
        <w:t xml:space="preserve">y los escritos recursales;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6AC5B83" w14:textId="77777777" w:rsidR="002D6D69" w:rsidRDefault="002D6D69" w:rsidP="002D6D69">
      <w:pPr>
        <w:tabs>
          <w:tab w:val="left" w:pos="4962"/>
        </w:tabs>
        <w:spacing w:after="0" w:line="360" w:lineRule="auto"/>
        <w:rPr>
          <w:rFonts w:eastAsia="Calibri" w:cs="Tahoma"/>
          <w:bCs/>
          <w:szCs w:val="24"/>
        </w:rPr>
      </w:pPr>
    </w:p>
    <w:p w14:paraId="2D3F95BF" w14:textId="77777777" w:rsidR="002D6D69" w:rsidRDefault="002D6D69" w:rsidP="002D6D69">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7B607C1A" w14:textId="77777777" w:rsidR="002D6D69" w:rsidRPr="003D5B55" w:rsidRDefault="002D6D69" w:rsidP="002D6D69">
      <w:pPr>
        <w:spacing w:after="0" w:line="360" w:lineRule="auto"/>
        <w:rPr>
          <w:rFonts w:eastAsia="Times New Roman" w:cs="Tahoma"/>
          <w:b/>
          <w:bCs/>
          <w:iCs/>
          <w:color w:val="auto"/>
          <w:lang w:eastAsia="es-ES"/>
        </w:rPr>
      </w:pPr>
    </w:p>
    <w:p w14:paraId="3F85E8BB" w14:textId="77777777" w:rsidR="002D6D69" w:rsidRPr="003D5B55" w:rsidRDefault="002D6D69" w:rsidP="002D6D69">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3E2E5F" w14:textId="77777777" w:rsidR="002D6D69" w:rsidRPr="003D5B55" w:rsidRDefault="002D6D69" w:rsidP="002D6D69">
      <w:pPr>
        <w:spacing w:after="0" w:line="360" w:lineRule="auto"/>
        <w:rPr>
          <w:rFonts w:eastAsia="Times New Roman" w:cs="Tahoma"/>
          <w:bCs/>
          <w:iCs/>
          <w:color w:val="auto"/>
          <w:lang w:eastAsia="es-ES"/>
        </w:rPr>
      </w:pPr>
    </w:p>
    <w:p w14:paraId="5F859D38" w14:textId="77777777" w:rsidR="002D6D69" w:rsidRPr="003D5B55"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3ED5BB7" w14:textId="77777777" w:rsidR="002D6D69" w:rsidRPr="003D5B55" w:rsidRDefault="002D6D69" w:rsidP="002D6D69">
      <w:pPr>
        <w:spacing w:after="0" w:line="360" w:lineRule="auto"/>
        <w:rPr>
          <w:rFonts w:eastAsia="Times New Roman" w:cs="Tahoma"/>
          <w:bCs/>
          <w:iCs/>
          <w:color w:val="auto"/>
          <w:lang w:eastAsia="es-ES"/>
        </w:rPr>
      </w:pPr>
    </w:p>
    <w:p w14:paraId="63E4444F" w14:textId="77777777" w:rsidR="002D6D69"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1D79D1" w14:textId="77777777" w:rsidR="002D6D69" w:rsidRPr="003D5B55" w:rsidRDefault="002D6D69" w:rsidP="002D6D69">
      <w:pPr>
        <w:spacing w:after="0" w:line="360" w:lineRule="auto"/>
        <w:rPr>
          <w:rFonts w:eastAsia="Times New Roman" w:cs="Tahoma"/>
          <w:bCs/>
          <w:iCs/>
          <w:color w:val="auto"/>
          <w:lang w:eastAsia="es-ES"/>
        </w:rPr>
      </w:pPr>
    </w:p>
    <w:p w14:paraId="50D72F13" w14:textId="77777777" w:rsidR="002D6D69" w:rsidRPr="003D5B55"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6A35D82C" w14:textId="77777777" w:rsidR="002D6D69" w:rsidRDefault="002D6D69" w:rsidP="002D6D69">
      <w:pPr>
        <w:spacing w:after="0" w:line="360" w:lineRule="auto"/>
        <w:rPr>
          <w:rFonts w:eastAsia="Times New Roman" w:cs="Tahoma"/>
          <w:bCs/>
          <w:iCs/>
          <w:color w:val="auto"/>
          <w:lang w:eastAsia="es-ES"/>
        </w:rPr>
      </w:pPr>
    </w:p>
    <w:p w14:paraId="2EB2FBE2" w14:textId="77777777" w:rsidR="002D6D69" w:rsidRPr="003D5B55"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2375D629" w14:textId="77777777" w:rsidR="002D6D69" w:rsidRDefault="002D6D69" w:rsidP="002D6D69">
      <w:pPr>
        <w:spacing w:after="0" w:line="360" w:lineRule="auto"/>
        <w:rPr>
          <w:rFonts w:eastAsia="Times New Roman" w:cs="Tahoma"/>
          <w:bCs/>
          <w:iCs/>
          <w:color w:val="auto"/>
          <w:lang w:eastAsia="es-ES"/>
        </w:rPr>
      </w:pPr>
    </w:p>
    <w:p w14:paraId="7AA59A30" w14:textId="77777777" w:rsidR="002D6D69" w:rsidRPr="003D5B55" w:rsidRDefault="002D6D69" w:rsidP="002D6D69">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E192597" w14:textId="77777777" w:rsidR="002D6D69" w:rsidRDefault="002D6D69" w:rsidP="002D6D69">
      <w:pPr>
        <w:spacing w:after="0" w:line="360" w:lineRule="auto"/>
        <w:rPr>
          <w:rFonts w:eastAsia="Times New Roman" w:cs="Tahoma"/>
          <w:bCs/>
          <w:iCs/>
          <w:color w:val="auto"/>
          <w:lang w:eastAsia="es-ES"/>
        </w:rPr>
      </w:pPr>
    </w:p>
    <w:p w14:paraId="65C3D8F6" w14:textId="77777777" w:rsidR="002D6D69"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Pr>
          <w:rFonts w:eastAsia="Times New Roman" w:cs="Tahoma"/>
          <w:bCs/>
          <w:iCs/>
          <w:color w:val="auto"/>
          <w:lang w:eastAsia="es-ES"/>
        </w:rPr>
        <w:t xml:space="preserve">; </w:t>
      </w:r>
    </w:p>
    <w:p w14:paraId="25673DAB" w14:textId="77777777" w:rsidR="002D6D69" w:rsidRDefault="002D6D69" w:rsidP="002D6D69">
      <w:pPr>
        <w:spacing w:after="0" w:line="360" w:lineRule="auto"/>
        <w:rPr>
          <w:rFonts w:eastAsia="Times New Roman" w:cs="Tahoma"/>
          <w:bCs/>
          <w:iCs/>
          <w:color w:val="auto"/>
          <w:lang w:eastAsia="es-ES"/>
        </w:rPr>
      </w:pPr>
    </w:p>
    <w:p w14:paraId="4A70CAEF" w14:textId="77777777" w:rsidR="00312FD6" w:rsidRPr="00597EA8" w:rsidRDefault="00312FD6" w:rsidP="00312FD6">
      <w:pPr>
        <w:spacing w:after="0" w:line="360" w:lineRule="auto"/>
        <w:rPr>
          <w:rFonts w:cs="Tahoma"/>
          <w:bCs/>
          <w:iCs/>
          <w:lang w:val="es-ES"/>
        </w:rPr>
      </w:pPr>
      <w:r w:rsidRPr="00597EA8">
        <w:rPr>
          <w:rFonts w:cs="Tahoma"/>
          <w:bCs/>
          <w:iCs/>
          <w:lang w:val="es-ES"/>
        </w:rPr>
        <w:t>El artículo 92, fracción VIII, que, la información sobre las remuneraciones bruta y neta de todos los servidores públicos de base o de confianza corresponden a una Obligación Común de Transparencia para los Sujetos Obligados.</w:t>
      </w:r>
    </w:p>
    <w:p w14:paraId="6425FECD" w14:textId="77777777" w:rsidR="00312FD6" w:rsidRPr="00597EA8" w:rsidRDefault="00312FD6" w:rsidP="00312FD6">
      <w:pPr>
        <w:spacing w:after="0" w:line="360" w:lineRule="auto"/>
        <w:rPr>
          <w:rFonts w:cs="Tahoma"/>
          <w:bCs/>
          <w:iCs/>
          <w:lang w:val="es-ES"/>
        </w:rPr>
      </w:pPr>
    </w:p>
    <w:p w14:paraId="341FFE70" w14:textId="77777777" w:rsidR="00312FD6" w:rsidRDefault="00312FD6" w:rsidP="002D6D69">
      <w:pPr>
        <w:spacing w:after="0" w:line="360" w:lineRule="auto"/>
        <w:rPr>
          <w:rFonts w:eastAsia="Times New Roman" w:cs="Tahoma"/>
          <w:bCs/>
          <w:iCs/>
          <w:color w:val="auto"/>
          <w:lang w:eastAsia="es-ES"/>
        </w:rPr>
      </w:pPr>
    </w:p>
    <w:p w14:paraId="04B59CF8" w14:textId="77777777" w:rsidR="002D6D69" w:rsidRDefault="002D6D69" w:rsidP="002D6D69">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lastRenderedPageBreak/>
        <w:t>Quinto. Estudio de Fondo.</w:t>
      </w:r>
    </w:p>
    <w:p w14:paraId="46539363" w14:textId="77777777" w:rsidR="002D6D69" w:rsidRPr="003D5B55" w:rsidRDefault="002D6D69" w:rsidP="002D6D69">
      <w:pPr>
        <w:spacing w:after="0" w:line="360" w:lineRule="auto"/>
        <w:rPr>
          <w:rFonts w:eastAsia="Times New Roman" w:cs="Tahoma"/>
          <w:b/>
          <w:bCs/>
          <w:iCs/>
          <w:color w:val="auto"/>
          <w:lang w:val="es-ES" w:eastAsia="es-ES"/>
        </w:rPr>
      </w:pPr>
    </w:p>
    <w:p w14:paraId="0F4A06C6" w14:textId="3A28C0CC" w:rsidR="002D6D69" w:rsidRPr="003D5B55"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rFonts w:eastAsia="Calibri" w:cs="Tahoma"/>
          <w:b/>
          <w:bCs/>
        </w:rPr>
        <w:t xml:space="preserve">Ayuntamiento de </w:t>
      </w:r>
      <w:r w:rsidR="005B404C">
        <w:rPr>
          <w:rFonts w:eastAsia="Calibri" w:cs="Tahoma"/>
          <w:b/>
          <w:bCs/>
        </w:rPr>
        <w:t>Santo Tomás</w:t>
      </w:r>
      <w:r w:rsidRPr="00DD51C6">
        <w:rPr>
          <w:rFonts w:eastAsia="Times New Roman" w:cs="Tahoma"/>
          <w:iCs/>
          <w:color w:val="auto"/>
          <w:lang w:eastAsia="es-ES"/>
        </w:rPr>
        <w:t>, a</w:t>
      </w:r>
      <w:r w:rsidRPr="003D5B55">
        <w:rPr>
          <w:rFonts w:eastAsia="Times New Roman" w:cs="Tahoma"/>
          <w:bCs/>
          <w:iCs/>
          <w:color w:val="auto"/>
          <w:lang w:eastAsia="es-ES"/>
        </w:rPr>
        <w:t xml:space="preserve"> la</w:t>
      </w:r>
      <w:r>
        <w:rPr>
          <w:rFonts w:eastAsia="Times New Roman" w:cs="Tahoma"/>
          <w:bCs/>
          <w:iCs/>
          <w:color w:val="auto"/>
          <w:lang w:eastAsia="es-ES"/>
        </w:rPr>
        <w:t>s</w:t>
      </w:r>
      <w:r w:rsidRPr="003D5B55">
        <w:rPr>
          <w:rFonts w:eastAsia="Times New Roman" w:cs="Tahoma"/>
          <w:bCs/>
          <w:iCs/>
          <w:color w:val="auto"/>
          <w:lang w:eastAsia="es-ES"/>
        </w:rPr>
        <w:t xml:space="preserve"> solicitud</w:t>
      </w:r>
      <w:r>
        <w:rPr>
          <w:rFonts w:eastAsia="Times New Roman" w:cs="Tahoma"/>
          <w:bCs/>
          <w:iCs/>
          <w:color w:val="auto"/>
          <w:lang w:eastAsia="es-ES"/>
        </w:rPr>
        <w:t>es</w:t>
      </w:r>
      <w:r w:rsidRPr="003D5B55">
        <w:rPr>
          <w:rFonts w:eastAsia="Times New Roman" w:cs="Tahoma"/>
          <w:bCs/>
          <w:iCs/>
          <w:color w:val="auto"/>
          <w:lang w:eastAsia="es-ES"/>
        </w:rPr>
        <w:t xml:space="preserve"> de información presentada</w:t>
      </w:r>
      <w:r>
        <w:rPr>
          <w:rFonts w:eastAsia="Times New Roman" w:cs="Tahoma"/>
          <w:bCs/>
          <w:iCs/>
          <w:color w:val="auto"/>
          <w:lang w:eastAsia="es-ES"/>
        </w:rPr>
        <w:t xml:space="preserve">s </w:t>
      </w:r>
      <w:r w:rsidRPr="003D5B55">
        <w:rPr>
          <w:rFonts w:eastAsia="Times New Roman" w:cs="Tahoma"/>
          <w:bCs/>
          <w:iCs/>
          <w:color w:val="auto"/>
          <w:lang w:eastAsia="es-ES"/>
        </w:rPr>
        <w:t xml:space="preserve">por el Recurrente. </w:t>
      </w:r>
    </w:p>
    <w:p w14:paraId="25F28A2F" w14:textId="77777777" w:rsidR="002D6D69" w:rsidRDefault="002D6D69" w:rsidP="002D6D69">
      <w:pPr>
        <w:spacing w:after="0" w:line="360" w:lineRule="auto"/>
        <w:rPr>
          <w:rFonts w:eastAsia="Times New Roman" w:cs="Tahoma"/>
          <w:bCs/>
          <w:iCs/>
          <w:color w:val="auto"/>
          <w:lang w:eastAsia="es-ES"/>
        </w:rPr>
      </w:pPr>
    </w:p>
    <w:p w14:paraId="64AC0603" w14:textId="77777777" w:rsidR="002D6D69" w:rsidRPr="003D5B55"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66F923C" w14:textId="77777777" w:rsidR="002D6D69" w:rsidRDefault="002D6D69" w:rsidP="002D6D69">
      <w:pPr>
        <w:spacing w:after="0" w:line="360" w:lineRule="auto"/>
        <w:rPr>
          <w:rFonts w:eastAsia="Times New Roman" w:cs="Tahoma"/>
          <w:bCs/>
          <w:iCs/>
          <w:color w:val="auto"/>
          <w:lang w:eastAsia="es-ES"/>
        </w:rPr>
      </w:pPr>
    </w:p>
    <w:p w14:paraId="363A6BBD" w14:textId="105DCF41" w:rsidR="002D6D69" w:rsidRPr="005B404C" w:rsidRDefault="002D6D69" w:rsidP="005B404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7A44014E" w14:textId="77777777" w:rsidR="002D6D69" w:rsidRPr="003D5B55" w:rsidRDefault="002D6D69" w:rsidP="002D6D69">
      <w:pPr>
        <w:spacing w:after="0" w:line="360" w:lineRule="auto"/>
        <w:ind w:left="360"/>
        <w:rPr>
          <w:rFonts w:eastAsia="Times New Roman" w:cs="Tahoma"/>
          <w:bCs/>
          <w:iCs/>
          <w:color w:val="auto"/>
          <w:lang w:eastAsia="es-ES"/>
        </w:rPr>
      </w:pPr>
    </w:p>
    <w:p w14:paraId="1DF310C3" w14:textId="77777777" w:rsidR="002D6D69" w:rsidRDefault="002D6D69" w:rsidP="002D6D69">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10D6D366" w14:textId="77777777" w:rsidR="002D6D69" w:rsidRDefault="002D6D69" w:rsidP="002D6D69">
      <w:pPr>
        <w:spacing w:after="0" w:line="360" w:lineRule="auto"/>
        <w:ind w:left="720"/>
        <w:rPr>
          <w:rFonts w:eastAsia="Times New Roman" w:cs="Tahoma"/>
          <w:bCs/>
          <w:iCs/>
          <w:color w:val="auto"/>
          <w:lang w:eastAsia="es-ES"/>
        </w:rPr>
      </w:pPr>
    </w:p>
    <w:p w14:paraId="1C789945" w14:textId="77777777" w:rsidR="002D6D69" w:rsidRPr="003D5B55" w:rsidRDefault="002D6D69" w:rsidP="002D6D69">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w:t>
      </w:r>
      <w:r>
        <w:rPr>
          <w:rFonts w:eastAsia="Times New Roman" w:cs="Tahoma"/>
          <w:bCs/>
          <w:iCs/>
          <w:color w:val="auto"/>
          <w:lang w:eastAsia="es-ES"/>
        </w:rPr>
        <w:t xml:space="preserve"> </w:t>
      </w:r>
      <w:r w:rsidRPr="003D5B55">
        <w:rPr>
          <w:rFonts w:eastAsia="Times New Roman" w:cs="Tahoma"/>
          <w:bCs/>
          <w:iCs/>
          <w:color w:val="auto"/>
          <w:lang w:eastAsia="es-ES"/>
        </w:rPr>
        <w:t>el acceso a la información y la participación ciudadana, así como, la rendición de cuentas.</w:t>
      </w:r>
    </w:p>
    <w:p w14:paraId="6811AFA2" w14:textId="77777777" w:rsidR="002D6D69" w:rsidRPr="003D5B55" w:rsidRDefault="002D6D69" w:rsidP="002D6D69">
      <w:pPr>
        <w:spacing w:after="0" w:line="360" w:lineRule="auto"/>
        <w:rPr>
          <w:rFonts w:eastAsia="Times New Roman" w:cs="Tahoma"/>
          <w:bCs/>
          <w:iCs/>
          <w:color w:val="auto"/>
          <w:lang w:eastAsia="es-ES"/>
        </w:rPr>
      </w:pPr>
    </w:p>
    <w:p w14:paraId="098BC17B" w14:textId="77777777" w:rsidR="002D6D69" w:rsidRPr="003D5B55"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sidRPr="003D5B55">
        <w:rPr>
          <w:rFonts w:eastAsia="Times New Roman" w:cs="Tahoma"/>
          <w:bCs/>
          <w:iCs/>
          <w:color w:val="auto"/>
          <w:lang w:eastAsia="es-ES"/>
        </w:rPr>
        <w:lastRenderedPageBreak/>
        <w:t>y mecanismos que garanticen la publicidad de información oportuna, verificable, comprensible, actualizada y completa.</w:t>
      </w:r>
    </w:p>
    <w:p w14:paraId="518A472D" w14:textId="77777777" w:rsidR="002D6D69" w:rsidRPr="003D5B55" w:rsidRDefault="002D6D69" w:rsidP="002D6D69">
      <w:pPr>
        <w:spacing w:after="0" w:line="360" w:lineRule="auto"/>
        <w:rPr>
          <w:rFonts w:eastAsia="Times New Roman" w:cs="Tahoma"/>
          <w:bCs/>
          <w:iCs/>
          <w:color w:val="auto"/>
          <w:lang w:eastAsia="es-ES"/>
        </w:rPr>
      </w:pPr>
    </w:p>
    <w:p w14:paraId="40D96BBB" w14:textId="77777777" w:rsidR="002D6D69" w:rsidRPr="003D5B55" w:rsidRDefault="002D6D69" w:rsidP="002D6D69">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006AB5D" w14:textId="77777777" w:rsidR="002D6D69" w:rsidRPr="003D5B55" w:rsidRDefault="002D6D69" w:rsidP="002D6D69">
      <w:pPr>
        <w:spacing w:after="0" w:line="360" w:lineRule="auto"/>
        <w:rPr>
          <w:rFonts w:eastAsia="Times New Roman" w:cs="Tahoma"/>
          <w:bCs/>
          <w:iCs/>
          <w:color w:val="auto"/>
          <w:lang w:eastAsia="es-ES"/>
        </w:rPr>
      </w:pPr>
    </w:p>
    <w:p w14:paraId="4AE90519" w14:textId="77777777" w:rsidR="002D6D69" w:rsidRPr="003D5B55" w:rsidRDefault="002D6D69" w:rsidP="002D6D69">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687562BA" w14:textId="77777777" w:rsidR="002D6D69" w:rsidRPr="003D5B55" w:rsidRDefault="002D6D69" w:rsidP="002D6D69">
      <w:pPr>
        <w:spacing w:after="0" w:line="360" w:lineRule="auto"/>
        <w:rPr>
          <w:rFonts w:eastAsia="Times New Roman" w:cs="Tahoma"/>
          <w:bCs/>
          <w:iCs/>
          <w:color w:val="auto"/>
          <w:lang w:eastAsia="es-ES"/>
        </w:rPr>
      </w:pPr>
    </w:p>
    <w:p w14:paraId="7A5960D1" w14:textId="77777777" w:rsidR="002D6D69" w:rsidRDefault="002D6D69" w:rsidP="002D6D69">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1E43DAB" w14:textId="77777777" w:rsidR="002D6D69" w:rsidRDefault="002D6D69" w:rsidP="002D6D69">
      <w:pPr>
        <w:spacing w:after="0" w:line="360" w:lineRule="auto"/>
        <w:ind w:left="720"/>
        <w:rPr>
          <w:rFonts w:eastAsia="Times New Roman" w:cs="Tahoma"/>
          <w:bCs/>
          <w:iCs/>
          <w:color w:val="auto"/>
          <w:lang w:eastAsia="es-ES"/>
        </w:rPr>
      </w:pPr>
    </w:p>
    <w:p w14:paraId="7E2DA75C" w14:textId="77777777" w:rsidR="002D6D69" w:rsidRDefault="002D6D69" w:rsidP="002D6D69">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87A61BE" w14:textId="77777777" w:rsidR="002D6D69" w:rsidRDefault="002D6D69" w:rsidP="002D6D69">
      <w:pPr>
        <w:pStyle w:val="Prrafodelista"/>
        <w:spacing w:after="0" w:line="360" w:lineRule="auto"/>
        <w:rPr>
          <w:rFonts w:eastAsia="Times New Roman" w:cs="Tahoma"/>
          <w:bCs/>
          <w:iCs/>
          <w:color w:val="auto"/>
          <w:lang w:eastAsia="es-ES"/>
        </w:rPr>
      </w:pPr>
    </w:p>
    <w:p w14:paraId="4A049076" w14:textId="77777777" w:rsidR="002D6D69" w:rsidRPr="003D5B55" w:rsidRDefault="002D6D69" w:rsidP="002D6D69">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2C26E1ED" w14:textId="77777777" w:rsidR="002D6D69" w:rsidRPr="003D5B55" w:rsidRDefault="002D6D69" w:rsidP="002D6D69">
      <w:pPr>
        <w:spacing w:after="0" w:line="360" w:lineRule="auto"/>
        <w:rPr>
          <w:rFonts w:eastAsia="Times New Roman" w:cs="Tahoma"/>
          <w:bCs/>
          <w:iCs/>
          <w:color w:val="auto"/>
          <w:lang w:eastAsia="es-ES"/>
        </w:rPr>
      </w:pPr>
    </w:p>
    <w:p w14:paraId="6AB5F984" w14:textId="77777777" w:rsidR="002D6D69" w:rsidRDefault="002D6D69" w:rsidP="002D6D69">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62323489" w14:textId="77777777" w:rsidR="002D6D69" w:rsidRDefault="002D6D69" w:rsidP="002D6D69">
      <w:pPr>
        <w:pStyle w:val="Prrafodelista"/>
        <w:spacing w:after="0" w:line="360" w:lineRule="auto"/>
        <w:rPr>
          <w:rFonts w:eastAsia="Times New Roman" w:cs="Tahoma"/>
          <w:b/>
          <w:bCs/>
          <w:iCs/>
          <w:color w:val="auto"/>
          <w:lang w:eastAsia="es-ES"/>
        </w:rPr>
      </w:pPr>
    </w:p>
    <w:p w14:paraId="3B166814" w14:textId="77777777" w:rsidR="002D6D69" w:rsidRPr="002302CE" w:rsidRDefault="002D6D69" w:rsidP="002D6D69">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5A387DA" w14:textId="77777777" w:rsidR="002D6D69" w:rsidRDefault="002D6D69" w:rsidP="002D6D69">
      <w:pPr>
        <w:pStyle w:val="Prrafodelista"/>
        <w:spacing w:after="0" w:line="360" w:lineRule="auto"/>
        <w:rPr>
          <w:rFonts w:eastAsia="Times New Roman" w:cs="Tahoma"/>
          <w:b/>
          <w:bCs/>
          <w:iCs/>
          <w:color w:val="auto"/>
          <w:lang w:eastAsia="es-ES"/>
        </w:rPr>
      </w:pPr>
    </w:p>
    <w:p w14:paraId="4D9FA610" w14:textId="77777777" w:rsidR="002D6D69" w:rsidRPr="003D5B55" w:rsidRDefault="002D6D69" w:rsidP="002D6D69">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0B294EC" w14:textId="77777777" w:rsidR="002D6D69" w:rsidRDefault="002D6D69" w:rsidP="002D6D69">
      <w:pPr>
        <w:spacing w:after="0" w:line="360" w:lineRule="auto"/>
        <w:rPr>
          <w:rFonts w:eastAsia="Times New Roman" w:cs="Tahoma"/>
          <w:bCs/>
          <w:iCs/>
          <w:color w:val="auto"/>
          <w:lang w:eastAsia="es-ES"/>
        </w:rPr>
      </w:pPr>
    </w:p>
    <w:p w14:paraId="5E07E4CB" w14:textId="60355611" w:rsidR="002D6D69" w:rsidRPr="00DD3B9A" w:rsidRDefault="002D6D69" w:rsidP="002D6D69">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Pr>
          <w:rFonts w:eastAsia="Calibri" w:cs="Tahoma"/>
        </w:rPr>
        <w:t xml:space="preserve">Ayuntamiento de </w:t>
      </w:r>
      <w:r w:rsidR="00154A91">
        <w:rPr>
          <w:rFonts w:eastAsia="Calibri" w:cs="Tahoma"/>
        </w:rPr>
        <w:t>Santo Tomás</w:t>
      </w:r>
      <w:r w:rsidRPr="001452B2">
        <w:rPr>
          <w:rFonts w:eastAsia="Times New Roman" w:cs="Tahoma"/>
          <w:iCs/>
          <w:color w:val="auto"/>
          <w:lang w:eastAsia="es-ES"/>
        </w:rPr>
        <w:t>,</w:t>
      </w:r>
      <w:r w:rsidRPr="001452B2">
        <w:rPr>
          <w:rFonts w:eastAsia="Times New Roman" w:cs="Tahoma"/>
          <w:bCs/>
          <w:iCs/>
          <w:color w:val="auto"/>
          <w:lang w:eastAsia="es-ES"/>
        </w:rPr>
        <w:t xml:space="preserve"> no </w:t>
      </w:r>
      <w:r w:rsidRPr="001452B2">
        <w:rPr>
          <w:rFonts w:eastAsia="Times New Roman" w:cs="Tahoma"/>
          <w:bCs/>
          <w:iCs/>
          <w:color w:val="auto"/>
          <w:lang w:eastAsia="es-ES"/>
        </w:rPr>
        <w:lastRenderedPageBreak/>
        <w:t>había registrado respuesta a</w:t>
      </w:r>
      <w:r>
        <w:rPr>
          <w:rFonts w:eastAsia="Times New Roman" w:cs="Tahoma"/>
          <w:bCs/>
          <w:iCs/>
          <w:color w:val="auto"/>
          <w:lang w:eastAsia="es-ES"/>
        </w:rPr>
        <w:t xml:space="preserve"> los</w:t>
      </w:r>
      <w:r w:rsidRPr="001452B2">
        <w:rPr>
          <w:rFonts w:eastAsia="Times New Roman" w:cs="Tahoma"/>
          <w:bCs/>
          <w:iCs/>
          <w:color w:val="auto"/>
          <w:lang w:eastAsia="es-ES"/>
        </w:rPr>
        <w:t xml:space="preserve"> requerimiento</w:t>
      </w:r>
      <w:r>
        <w:rPr>
          <w:rFonts w:eastAsia="Times New Roman" w:cs="Tahoma"/>
          <w:bCs/>
          <w:iCs/>
          <w:color w:val="auto"/>
          <w:lang w:eastAsia="es-ES"/>
        </w:rPr>
        <w:t>s</w:t>
      </w:r>
      <w:r w:rsidRPr="001452B2">
        <w:rPr>
          <w:rFonts w:eastAsia="Times New Roman" w:cs="Tahoma"/>
          <w:bCs/>
          <w:iCs/>
          <w:color w:val="auto"/>
          <w:lang w:eastAsia="es-ES"/>
        </w:rPr>
        <w:t xml:space="preserve"> de acceso a la información, </w:t>
      </w:r>
      <w:r>
        <w:rPr>
          <w:rFonts w:eastAsia="Times New Roman" w:cs="Tahoma"/>
          <w:bCs/>
          <w:iCs/>
          <w:color w:val="auto"/>
          <w:lang w:eastAsia="es-ES"/>
        </w:rPr>
        <w:t>los cuales</w:t>
      </w:r>
      <w:r w:rsidR="00154A91">
        <w:rPr>
          <w:rFonts w:eastAsia="Times New Roman" w:cs="Tahoma"/>
          <w:bCs/>
          <w:iCs/>
          <w:color w:val="auto"/>
          <w:lang w:eastAsia="es-ES"/>
        </w:rPr>
        <w:t xml:space="preserve"> </w:t>
      </w:r>
      <w:r>
        <w:rPr>
          <w:rFonts w:eastAsia="Times New Roman" w:cs="Tahoma"/>
          <w:bCs/>
          <w:iCs/>
          <w:color w:val="auto"/>
          <w:lang w:eastAsia="es-ES"/>
        </w:rPr>
        <w:t xml:space="preserve">se </w:t>
      </w:r>
      <w:r w:rsidR="005C3C1E">
        <w:rPr>
          <w:rFonts w:eastAsia="Times New Roman" w:cs="Tahoma"/>
          <w:bCs/>
          <w:iCs/>
          <w:color w:val="auto"/>
          <w:lang w:eastAsia="es-ES"/>
        </w:rPr>
        <w:t>tuvieron por recibidos el veinticuatro</w:t>
      </w:r>
      <w:r>
        <w:rPr>
          <w:rFonts w:eastAsia="Times New Roman" w:cs="Tahoma"/>
          <w:bCs/>
          <w:iCs/>
          <w:color w:val="auto"/>
          <w:lang w:eastAsia="es-ES"/>
        </w:rPr>
        <w:t xml:space="preserve"> de </w:t>
      </w:r>
      <w:r w:rsidR="00154A91">
        <w:rPr>
          <w:rFonts w:eastAsia="Times New Roman" w:cs="Tahoma"/>
          <w:bCs/>
          <w:iCs/>
          <w:color w:val="auto"/>
          <w:lang w:eastAsia="es-ES"/>
        </w:rPr>
        <w:t>febrero</w:t>
      </w:r>
      <w:r>
        <w:rPr>
          <w:rFonts w:eastAsia="Times New Roman" w:cs="Tahoma"/>
          <w:bCs/>
          <w:iCs/>
          <w:color w:val="auto"/>
          <w:lang w:eastAsia="es-ES"/>
        </w:rPr>
        <w:t xml:space="preserve"> de dos mil veintidós.</w:t>
      </w:r>
    </w:p>
    <w:p w14:paraId="6FE12F63" w14:textId="77777777" w:rsidR="002D6D69" w:rsidRDefault="002D6D69" w:rsidP="002D6D69">
      <w:pPr>
        <w:spacing w:after="0" w:line="360" w:lineRule="auto"/>
        <w:rPr>
          <w:rFonts w:eastAsia="Times New Roman" w:cs="Tahoma"/>
          <w:b/>
          <w:bCs/>
          <w:iCs/>
          <w:color w:val="auto"/>
          <w:lang w:eastAsia="es-ES"/>
        </w:rPr>
      </w:pPr>
    </w:p>
    <w:p w14:paraId="2CE3E6FF" w14:textId="7FF7B1A1" w:rsidR="002D6D69" w:rsidRDefault="002D6D69" w:rsidP="002D6D69">
      <w:pPr>
        <w:spacing w:after="0" w:line="360" w:lineRule="auto"/>
        <w:rPr>
          <w:rFonts w:eastAsia="Batang" w:cs="Tahoma"/>
          <w:lang w:val="es-ES"/>
        </w:rPr>
      </w:pPr>
      <w:r>
        <w:rPr>
          <w:rFonts w:eastAsia="Calibri" w:cs="Tahoma"/>
          <w:bCs/>
          <w:color w:val="000000"/>
        </w:rPr>
        <w:t xml:space="preserve">En ese orden de ideas, el plazo con el que contaba el Sujeto Obligado para emitir contestación a los requerimientos informativos, </w:t>
      </w:r>
      <w:r>
        <w:rPr>
          <w:rFonts w:eastAsia="Calibri" w:cs="Tahoma"/>
          <w:b/>
          <w:bCs/>
          <w:color w:val="000000"/>
        </w:rPr>
        <w:t xml:space="preserve">comenzó a correr el </w:t>
      </w:r>
      <w:r w:rsidR="00882201">
        <w:rPr>
          <w:rFonts w:eastAsia="Calibri" w:cs="Tahoma"/>
          <w:b/>
          <w:bCs/>
          <w:color w:val="000000"/>
        </w:rPr>
        <w:t>veinticinco</w:t>
      </w:r>
      <w:r>
        <w:rPr>
          <w:rFonts w:eastAsia="Calibri" w:cs="Tahoma"/>
          <w:b/>
          <w:bCs/>
          <w:color w:val="000000"/>
        </w:rPr>
        <w:t xml:space="preserve"> de </w:t>
      </w:r>
      <w:r w:rsidR="00154A91">
        <w:rPr>
          <w:rFonts w:eastAsia="Calibri" w:cs="Tahoma"/>
          <w:b/>
          <w:bCs/>
          <w:color w:val="000000"/>
        </w:rPr>
        <w:t>febrero</w:t>
      </w:r>
      <w:r>
        <w:rPr>
          <w:rFonts w:eastAsia="Calibri" w:cs="Tahoma"/>
          <w:b/>
          <w:bCs/>
          <w:color w:val="000000"/>
        </w:rPr>
        <w:t xml:space="preserve"> y feneció el </w:t>
      </w:r>
      <w:r w:rsidR="00882201">
        <w:rPr>
          <w:rFonts w:eastAsia="Calibri" w:cs="Tahoma"/>
          <w:b/>
          <w:bCs/>
          <w:color w:val="000000"/>
        </w:rPr>
        <w:t>quince</w:t>
      </w:r>
      <w:r>
        <w:rPr>
          <w:rFonts w:eastAsia="Calibri" w:cs="Tahoma"/>
          <w:b/>
          <w:bCs/>
          <w:color w:val="000000"/>
        </w:rPr>
        <w:t xml:space="preserve"> de </w:t>
      </w:r>
      <w:r w:rsidR="00154A91">
        <w:rPr>
          <w:rFonts w:eastAsia="Calibri" w:cs="Tahoma"/>
          <w:b/>
          <w:bCs/>
          <w:color w:val="000000"/>
        </w:rPr>
        <w:t>marz</w:t>
      </w:r>
      <w:r>
        <w:rPr>
          <w:rFonts w:eastAsia="Calibri" w:cs="Tahoma"/>
          <w:b/>
          <w:bCs/>
          <w:color w:val="000000"/>
        </w:rPr>
        <w:t>o</w:t>
      </w:r>
      <w:r>
        <w:rPr>
          <w:rFonts w:eastAsia="Calibri" w:cs="Tahoma"/>
          <w:color w:val="000000"/>
        </w:rPr>
        <w:t xml:space="preserve">, ambos de la presente anualidad, lo anterior, sin contar los días, </w:t>
      </w:r>
      <w:r w:rsidR="0072368E">
        <w:rPr>
          <w:rFonts w:eastAsia="Calibri" w:cs="Tahoma"/>
          <w:color w:val="000000"/>
        </w:rPr>
        <w:t xml:space="preserve">veintinueve y treinta de enero, así como, del cinco al siete, doce y trece de febrero, </w:t>
      </w:r>
      <w:r w:rsidR="00CE6BA2">
        <w:rPr>
          <w:rFonts w:eastAsia="Calibri" w:cs="Tahoma"/>
          <w:color w:val="000000"/>
        </w:rPr>
        <w:t>todos de la presente anualidad</w:t>
      </w:r>
      <w:r>
        <w:rPr>
          <w:rFonts w:eastAsia="Calibri" w:cs="Tahoma"/>
          <w:color w:val="000000"/>
        </w:rPr>
        <w:t xml:space="preserve">, al ser inhábiles, </w:t>
      </w:r>
      <w:r>
        <w:rPr>
          <w:rFonts w:eastAsia="Batang" w:cs="Tahoma"/>
          <w:bCs/>
        </w:rPr>
        <w:t xml:space="preserve">de conformidad con los artículos 3°, fracción X, de la Ley de Transparencia y Acceso a la Información Pública del Estado de México y Municipios, el </w:t>
      </w:r>
      <w:r>
        <w:rPr>
          <w:rFonts w:eastAsia="Batang" w:cs="Tahoma"/>
          <w:lang w:val="es-ES"/>
        </w:rPr>
        <w:t>Calendario Oficial en Materia de Transparencia, Acceso a la Información Pública y Protección de Datos Personales del Estado de México y Municipios, así como de</w:t>
      </w:r>
      <w:r w:rsidR="004E05E0">
        <w:rPr>
          <w:rFonts w:eastAsia="Batang" w:cs="Tahoma"/>
          <w:lang w:val="es-ES"/>
        </w:rPr>
        <w:t xml:space="preserve"> días</w:t>
      </w:r>
      <w:r>
        <w:rPr>
          <w:rFonts w:eastAsia="Batang" w:cs="Tahoma"/>
          <w:lang w:val="es-ES"/>
        </w:rPr>
        <w:t xml:space="preserve"> laborales de este Instituto, </w:t>
      </w:r>
      <w:r w:rsidRPr="00064E5D">
        <w:rPr>
          <w:rFonts w:eastAsia="Batang" w:cs="Tahoma"/>
          <w:lang w:val="es-ES"/>
        </w:rPr>
        <w:t xml:space="preserve">para el año dos mil </w:t>
      </w:r>
      <w:r>
        <w:rPr>
          <w:rFonts w:eastAsia="Batang" w:cs="Tahoma"/>
          <w:lang w:val="es-ES"/>
        </w:rPr>
        <w:t>veintidós</w:t>
      </w:r>
      <w:r w:rsidRPr="00064E5D">
        <w:rPr>
          <w:rFonts w:eastAsia="Batang" w:cs="Tahoma"/>
          <w:lang w:val="es-ES"/>
        </w:rPr>
        <w:t xml:space="preserve"> y enero dos mil </w:t>
      </w:r>
      <w:r>
        <w:rPr>
          <w:rFonts w:eastAsia="Batang" w:cs="Tahoma"/>
          <w:lang w:val="es-ES"/>
        </w:rPr>
        <w:t>veintitrés.</w:t>
      </w:r>
    </w:p>
    <w:p w14:paraId="3E218C32" w14:textId="77777777" w:rsidR="002D6D69" w:rsidRDefault="002D6D69" w:rsidP="002D6D69">
      <w:pPr>
        <w:spacing w:after="0" w:line="360" w:lineRule="auto"/>
        <w:rPr>
          <w:rFonts w:eastAsia="Times New Roman" w:cs="Tahoma"/>
          <w:b/>
          <w:bCs/>
          <w:iCs/>
          <w:color w:val="auto"/>
          <w:lang w:eastAsia="es-ES"/>
        </w:rPr>
      </w:pPr>
    </w:p>
    <w:p w14:paraId="4F03CDDB" w14:textId="2CE47FE0" w:rsidR="004E05E0" w:rsidRDefault="002D6D69" w:rsidP="004E05E0">
      <w:pPr>
        <w:spacing w:after="0" w:line="360" w:lineRule="auto"/>
        <w:rPr>
          <w:noProof/>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las solicitudes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r w:rsidRPr="00E178BA">
        <w:rPr>
          <w:noProof/>
        </w:rPr>
        <w:t xml:space="preserve"> </w:t>
      </w:r>
    </w:p>
    <w:p w14:paraId="5C66727C" w14:textId="77777777" w:rsidR="00CE6BA2" w:rsidRPr="004E05E0" w:rsidRDefault="00CE6BA2" w:rsidP="004E05E0">
      <w:pPr>
        <w:spacing w:after="0" w:line="360" w:lineRule="auto"/>
        <w:rPr>
          <w:noProof/>
        </w:rPr>
      </w:pPr>
    </w:p>
    <w:p w14:paraId="197A6CAE" w14:textId="77777777" w:rsidR="00CE6BA2" w:rsidRDefault="004D489A" w:rsidP="004D489A">
      <w:pPr>
        <w:spacing w:after="0" w:line="360" w:lineRule="auto"/>
        <w:jc w:val="center"/>
        <w:rPr>
          <w:rFonts w:eastAsia="Calibri" w:cs="Tahoma"/>
          <w:color w:val="000000"/>
          <w:lang w:val="es-ES"/>
        </w:rPr>
      </w:pPr>
      <w:r>
        <w:rPr>
          <w:noProof/>
          <w:lang w:eastAsia="es-MX"/>
        </w:rPr>
        <w:drawing>
          <wp:inline distT="0" distB="0" distL="0" distR="0" wp14:anchorId="61A3EFBD" wp14:editId="39A7420D">
            <wp:extent cx="2857956" cy="1268569"/>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314" t="19594" r="53622" b="48776"/>
                    <a:stretch/>
                  </pic:blipFill>
                  <pic:spPr bwMode="auto">
                    <a:xfrm>
                      <a:off x="0" y="0"/>
                      <a:ext cx="2884789" cy="1280479"/>
                    </a:xfrm>
                    <a:prstGeom prst="rect">
                      <a:avLst/>
                    </a:prstGeom>
                    <a:ln>
                      <a:noFill/>
                    </a:ln>
                    <a:extLst>
                      <a:ext uri="{53640926-AAD7-44D8-BBD7-CCE9431645EC}">
                        <a14:shadowObscured xmlns:a14="http://schemas.microsoft.com/office/drawing/2010/main"/>
                      </a:ext>
                    </a:extLst>
                  </pic:spPr>
                </pic:pic>
              </a:graphicData>
            </a:graphic>
          </wp:inline>
        </w:drawing>
      </w:r>
    </w:p>
    <w:p w14:paraId="121B1E77" w14:textId="08A81D84" w:rsidR="002D6D69" w:rsidRDefault="004D489A" w:rsidP="004D489A">
      <w:pPr>
        <w:spacing w:after="0" w:line="360" w:lineRule="auto"/>
        <w:jc w:val="center"/>
        <w:rPr>
          <w:rFonts w:eastAsia="Calibri" w:cs="Tahoma"/>
          <w:color w:val="000000"/>
          <w:lang w:val="es-ES"/>
        </w:rPr>
      </w:pPr>
      <w:r>
        <w:rPr>
          <w:noProof/>
          <w:lang w:eastAsia="es-MX"/>
        </w:rPr>
        <w:drawing>
          <wp:inline distT="0" distB="0" distL="0" distR="0" wp14:anchorId="7616FC43" wp14:editId="59083DD4">
            <wp:extent cx="2886075" cy="113338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12" t="16326" r="54526" b="56319"/>
                    <a:stretch/>
                  </pic:blipFill>
                  <pic:spPr bwMode="auto">
                    <a:xfrm>
                      <a:off x="0" y="0"/>
                      <a:ext cx="2946452" cy="1157099"/>
                    </a:xfrm>
                    <a:prstGeom prst="rect">
                      <a:avLst/>
                    </a:prstGeom>
                    <a:ln>
                      <a:noFill/>
                    </a:ln>
                    <a:extLst>
                      <a:ext uri="{53640926-AAD7-44D8-BBD7-CCE9431645EC}">
                        <a14:shadowObscured xmlns:a14="http://schemas.microsoft.com/office/drawing/2010/main"/>
                      </a:ext>
                    </a:extLst>
                  </pic:spPr>
                </pic:pic>
              </a:graphicData>
            </a:graphic>
          </wp:inline>
        </w:drawing>
      </w:r>
    </w:p>
    <w:p w14:paraId="3B57C8FC" w14:textId="77777777" w:rsidR="004D489A" w:rsidRPr="004D489A" w:rsidRDefault="004D489A" w:rsidP="004D489A">
      <w:pPr>
        <w:spacing w:after="0" w:line="360" w:lineRule="auto"/>
        <w:jc w:val="center"/>
        <w:rPr>
          <w:rFonts w:eastAsia="Calibri" w:cs="Tahoma"/>
          <w:color w:val="000000"/>
          <w:lang w:val="es-ES"/>
        </w:rPr>
      </w:pPr>
    </w:p>
    <w:p w14:paraId="356C73BA" w14:textId="6C4637B2" w:rsidR="002D6D69" w:rsidRDefault="002D6D69" w:rsidP="002D6D69">
      <w:pPr>
        <w:tabs>
          <w:tab w:val="left" w:pos="4962"/>
        </w:tabs>
        <w:spacing w:after="0" w:line="360" w:lineRule="auto"/>
        <w:rPr>
          <w:rFonts w:eastAsia="Calibri" w:cs="Tahoma"/>
          <w:b/>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Pr>
          <w:rFonts w:eastAsia="Calibri" w:cs="Tahoma"/>
        </w:rPr>
        <w:t xml:space="preserve">Ayuntamiento de </w:t>
      </w:r>
      <w:r w:rsidR="004D489A">
        <w:rPr>
          <w:rFonts w:eastAsia="Calibri" w:cs="Tahoma"/>
        </w:rPr>
        <w:t>Santo Tomás</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las solicitudes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855A27">
        <w:rPr>
          <w:rFonts w:eastAsia="Calibri" w:cs="Tahoma"/>
          <w:b/>
          <w:color w:val="000000"/>
        </w:rPr>
        <w:t xml:space="preserve">el </w:t>
      </w:r>
      <w:r w:rsidR="00EB2F43">
        <w:rPr>
          <w:rFonts w:eastAsia="Calibri" w:cs="Tahoma"/>
          <w:b/>
          <w:color w:val="000000"/>
        </w:rPr>
        <w:t>quince</w:t>
      </w:r>
      <w:r>
        <w:rPr>
          <w:rFonts w:eastAsia="Calibri" w:cs="Tahoma"/>
          <w:b/>
          <w:color w:val="000000"/>
        </w:rPr>
        <w:t xml:space="preserve"> de </w:t>
      </w:r>
      <w:r w:rsidR="00855A27">
        <w:rPr>
          <w:rFonts w:eastAsia="Calibri" w:cs="Tahoma"/>
          <w:b/>
          <w:color w:val="000000"/>
        </w:rPr>
        <w:t>marzo</w:t>
      </w:r>
      <w:r>
        <w:rPr>
          <w:rFonts w:eastAsia="Calibri" w:cs="Tahoma"/>
          <w:b/>
          <w:color w:val="000000"/>
        </w:rPr>
        <w:t xml:space="preserve"> de dos mil veintidós</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1CA07EC3" w14:textId="77777777" w:rsidR="002D6D69" w:rsidRDefault="002D6D69" w:rsidP="002D6D69">
      <w:pPr>
        <w:tabs>
          <w:tab w:val="left" w:pos="4962"/>
        </w:tabs>
        <w:spacing w:after="0" w:line="360" w:lineRule="auto"/>
        <w:rPr>
          <w:rFonts w:eastAsia="Calibri" w:cs="Tahoma"/>
          <w:b/>
          <w:color w:val="000000"/>
        </w:rPr>
      </w:pPr>
    </w:p>
    <w:p w14:paraId="542BD0A9" w14:textId="687A6012" w:rsidR="002D6D69" w:rsidRDefault="002D6D69" w:rsidP="002D6D69">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referente a l</w:t>
      </w:r>
      <w:r w:rsidR="00855A27">
        <w:rPr>
          <w:rFonts w:eastAsia="Calibri" w:cs="Tahoma"/>
          <w:bCs/>
        </w:rPr>
        <w:t>o</w:t>
      </w:r>
      <w:r>
        <w:rPr>
          <w:rFonts w:eastAsia="Calibri" w:cs="Tahoma"/>
          <w:bCs/>
        </w:rPr>
        <w:t xml:space="preserve">s </w:t>
      </w:r>
      <w:r w:rsidR="00855A27">
        <w:rPr>
          <w:rFonts w:eastAsia="Calibri" w:cs="Tahoma"/>
          <w:bCs/>
        </w:rPr>
        <w:t xml:space="preserve">recibos de nómina </w:t>
      </w:r>
      <w:r w:rsidR="00EB2F43">
        <w:rPr>
          <w:rFonts w:eastAsia="Calibri" w:cs="Tahoma"/>
          <w:bCs/>
        </w:rPr>
        <w:t>de los servidores públicos.</w:t>
      </w:r>
    </w:p>
    <w:p w14:paraId="2A990840" w14:textId="4BDE3EA4" w:rsidR="00BA6CBB" w:rsidRDefault="00BA6CBB" w:rsidP="002D6D69">
      <w:pPr>
        <w:spacing w:after="0" w:line="360" w:lineRule="auto"/>
        <w:rPr>
          <w:rFonts w:eastAsia="Calibri" w:cs="Tahoma"/>
          <w:bCs/>
        </w:rPr>
      </w:pPr>
    </w:p>
    <w:p w14:paraId="6080A0CC" w14:textId="02FF3E00" w:rsidR="00EB2F43" w:rsidRPr="00597EA8" w:rsidRDefault="00EB2F43" w:rsidP="00EB2F43">
      <w:pPr>
        <w:tabs>
          <w:tab w:val="left" w:pos="7049"/>
        </w:tabs>
        <w:spacing w:after="0" w:line="360" w:lineRule="auto"/>
        <w:rPr>
          <w:rFonts w:eastAsia="Calibri" w:cs="Tahoma"/>
          <w:bCs/>
          <w:color w:val="000000"/>
        </w:rPr>
      </w:pPr>
      <w:r>
        <w:rPr>
          <w:rFonts w:eastAsia="Calibri" w:cs="Tahoma"/>
          <w:bCs/>
          <w:color w:val="000000"/>
        </w:rPr>
        <w:t>Sobre el documento solicitado del servidor público referido,</w:t>
      </w:r>
      <w:r w:rsidRPr="00597EA8">
        <w:rPr>
          <w:rFonts w:eastAsia="Calibri" w:cs="Tahoma"/>
          <w:bCs/>
          <w:color w:val="000000"/>
        </w:rPr>
        <w:t xml:space="preserve">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1A594F1" w14:textId="77777777" w:rsidR="00EB2F43" w:rsidRPr="00597EA8" w:rsidRDefault="00EB2F43" w:rsidP="00EB2F43">
      <w:pPr>
        <w:spacing w:after="0" w:line="360" w:lineRule="auto"/>
        <w:rPr>
          <w:rFonts w:eastAsia="Calibri" w:cs="Tahoma"/>
          <w:bCs/>
          <w:color w:val="000000"/>
        </w:rPr>
      </w:pPr>
    </w:p>
    <w:p w14:paraId="084FAB6F" w14:textId="77777777" w:rsidR="00EB2F43" w:rsidRPr="00597EA8" w:rsidRDefault="00EB2F43" w:rsidP="00EB2F43">
      <w:pPr>
        <w:spacing w:after="0" w:line="360" w:lineRule="auto"/>
        <w:rPr>
          <w:rFonts w:eastAsia="Calibri" w:cs="Tahoma"/>
          <w:bCs/>
          <w:color w:val="000000"/>
        </w:rPr>
      </w:pPr>
      <w:r w:rsidRPr="00597EA8">
        <w:rPr>
          <w:rFonts w:eastAsia="Calibri" w:cs="Tahoma"/>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370788B" w14:textId="77777777" w:rsidR="00EB2F43" w:rsidRPr="00597EA8" w:rsidRDefault="00EB2F43" w:rsidP="00EB2F43">
      <w:pPr>
        <w:spacing w:after="0" w:line="360" w:lineRule="auto"/>
        <w:rPr>
          <w:rFonts w:eastAsia="Calibri" w:cs="Tahoma"/>
          <w:bCs/>
          <w:color w:val="000000"/>
        </w:rPr>
      </w:pPr>
    </w:p>
    <w:p w14:paraId="3CCD67AE" w14:textId="77777777" w:rsidR="00EB2F43" w:rsidRPr="00597EA8" w:rsidRDefault="00EB2F43" w:rsidP="00EB2F43">
      <w:pPr>
        <w:spacing w:after="0" w:line="360" w:lineRule="auto"/>
        <w:rPr>
          <w:rFonts w:eastAsia="Calibri" w:cs="Tahoma"/>
          <w:bCs/>
          <w:iCs/>
          <w:color w:val="000000"/>
          <w:lang w:val="es-ES"/>
        </w:rPr>
      </w:pPr>
      <w:r w:rsidRPr="00597EA8">
        <w:rPr>
          <w:rFonts w:eastAsia="Calibri" w:cs="Tahoma"/>
          <w:bCs/>
          <w:iCs/>
          <w:color w:val="000000"/>
          <w:lang w:val="es-ES"/>
        </w:rPr>
        <w:lastRenderedPageBreak/>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F0F495E" w14:textId="77777777" w:rsidR="00EB2F43" w:rsidRPr="00597EA8" w:rsidRDefault="00EB2F43" w:rsidP="00EB2F43">
      <w:pPr>
        <w:spacing w:after="0" w:line="360" w:lineRule="auto"/>
        <w:rPr>
          <w:rFonts w:eastAsia="Calibri" w:cs="Tahoma"/>
          <w:bCs/>
          <w:color w:val="000000"/>
        </w:rPr>
      </w:pPr>
    </w:p>
    <w:p w14:paraId="787E55BD" w14:textId="77777777" w:rsidR="00EB2F43" w:rsidRPr="00597EA8" w:rsidRDefault="00EB2F43" w:rsidP="00EB2F43">
      <w:pPr>
        <w:spacing w:after="0" w:line="360" w:lineRule="auto"/>
        <w:rPr>
          <w:b/>
          <w:bCs/>
          <w:iCs/>
          <w:lang w:val="es-ES"/>
        </w:rPr>
      </w:pPr>
      <w:r w:rsidRPr="00597EA8">
        <w:rPr>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597EA8">
        <w:rPr>
          <w:b/>
          <w:bCs/>
          <w:iCs/>
          <w:lang w:val="es-ES"/>
        </w:rPr>
        <w:t>1000 Servicios Personales</w:t>
      </w:r>
      <w:r w:rsidRPr="00597EA8">
        <w:rPr>
          <w:bCs/>
          <w:iCs/>
          <w:lang w:val="es-ES"/>
        </w:rPr>
        <w:t>,</w:t>
      </w:r>
      <w:r w:rsidRPr="00597EA8">
        <w:rPr>
          <w:b/>
          <w:bCs/>
          <w:iCs/>
          <w:lang w:val="es-ES"/>
        </w:rPr>
        <w:t xml:space="preserve"> que agrupa las remuneraciones del personal al servicio de los entes públicos, tales como el sueldo, salarios, dietas, honorarios, prestaciones, obligaciones laborales, entre otras.</w:t>
      </w:r>
    </w:p>
    <w:p w14:paraId="21AC3583" w14:textId="77777777" w:rsidR="00EB2F43" w:rsidRPr="00597EA8" w:rsidRDefault="00EB2F43" w:rsidP="00EB2F43">
      <w:pPr>
        <w:spacing w:after="0" w:line="360" w:lineRule="auto"/>
        <w:rPr>
          <w:rFonts w:eastAsia="Calibri" w:cs="Tahoma"/>
          <w:bCs/>
          <w:color w:val="000000"/>
        </w:rPr>
      </w:pPr>
    </w:p>
    <w:p w14:paraId="668DB42F" w14:textId="77777777" w:rsidR="00EB2F43" w:rsidRPr="00597EA8" w:rsidRDefault="00EB2F43" w:rsidP="00EB2F43">
      <w:pPr>
        <w:spacing w:after="0" w:line="360" w:lineRule="auto"/>
        <w:rPr>
          <w:rFonts w:eastAsia="Calibri" w:cs="Tahoma"/>
          <w:bCs/>
          <w:color w:val="000000"/>
        </w:rPr>
      </w:pPr>
      <w:r w:rsidRPr="00597EA8">
        <w:rPr>
          <w:rFonts w:eastAsia="Calibri" w:cs="Tahoma"/>
          <w:bCs/>
          <w:color w:val="000000"/>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597EA8">
        <w:rPr>
          <w:rFonts w:eastAsia="Calibri" w:cs="Tahoma"/>
          <w:b/>
          <w:bCs/>
          <w:color w:val="000000"/>
        </w:rPr>
        <w:t>recibos de pago de salarios o las</w:t>
      </w:r>
      <w:r w:rsidRPr="00597EA8">
        <w:rPr>
          <w:rFonts w:eastAsia="Calibri" w:cs="Tahoma"/>
          <w:bCs/>
          <w:color w:val="000000"/>
        </w:rPr>
        <w:t xml:space="preserve"> </w:t>
      </w:r>
      <w:r w:rsidRPr="00597EA8">
        <w:rPr>
          <w:rFonts w:eastAsia="Calibri" w:cs="Tahoma"/>
          <w:b/>
          <w:bCs/>
          <w:color w:val="000000"/>
        </w:rPr>
        <w:t xml:space="preserve">constancias documentales del pago de sueldos, </w:t>
      </w:r>
      <w:r w:rsidRPr="00597EA8">
        <w:rPr>
          <w:rFonts w:eastAsia="Calibri" w:cs="Tahoma"/>
          <w:b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C5492A5" w14:textId="6BEC1094" w:rsidR="00BA6CBB" w:rsidRDefault="00BA6CBB" w:rsidP="00BA6CBB">
      <w:pPr>
        <w:spacing w:after="0" w:line="360" w:lineRule="auto"/>
        <w:ind w:right="-93"/>
        <w:rPr>
          <w:rFonts w:eastAsia="Calibri" w:cs="Tahoma"/>
          <w:bCs/>
          <w:color w:val="auto"/>
        </w:rPr>
      </w:pPr>
    </w:p>
    <w:p w14:paraId="01BEC669" w14:textId="77777777" w:rsidR="00EB2F43" w:rsidRPr="004A70DF" w:rsidRDefault="00EB2F43" w:rsidP="00EB2F43">
      <w:pPr>
        <w:spacing w:after="0" w:line="360" w:lineRule="auto"/>
        <w:rPr>
          <w:rFonts w:eastAsia="Times New Roman" w:cs="Tahoma"/>
          <w:color w:val="000000"/>
          <w:lang w:eastAsia="es-ES"/>
        </w:rPr>
      </w:pPr>
      <w:r w:rsidRPr="00822F37">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maneja en el </w:t>
      </w:r>
      <w:r w:rsidRPr="00822F37">
        <w:rPr>
          <w:rFonts w:eastAsia="Times New Roman" w:cs="Tahoma"/>
          <w:b/>
          <w:color w:val="auto"/>
          <w:lang w:eastAsia="es-ES"/>
        </w:rPr>
        <w:t>Módulo 4</w:t>
      </w:r>
      <w:r w:rsidRPr="00822F37">
        <w:rPr>
          <w:rFonts w:eastAsia="Times New Roman" w:cs="Tahoma"/>
          <w:bCs/>
          <w:color w:val="auto"/>
          <w:lang w:eastAsia="es-ES"/>
        </w:rPr>
        <w:t xml:space="preserve">, se advierte que se encuentran los Comprobantes Fiscales Digitales </w:t>
      </w:r>
      <w:r w:rsidRPr="00822F37">
        <w:rPr>
          <w:rFonts w:eastAsia="Times New Roman" w:cs="Tahoma"/>
          <w:bCs/>
          <w:color w:val="auto"/>
          <w:lang w:eastAsia="es-ES"/>
        </w:rPr>
        <w:lastRenderedPageBreak/>
        <w:t>por Internet por concepto de Nómina, mismos que serán entregados al Órgano Superior de Fiscalización del Estado de México, que contiene todas las percepciones y deducciones que recibe cada servidor público</w:t>
      </w:r>
      <w:r>
        <w:rPr>
          <w:rFonts w:eastAsia="Times New Roman" w:cs="Tahoma"/>
          <w:bCs/>
          <w:color w:val="auto"/>
          <w:lang w:eastAsia="es-ES"/>
        </w:rPr>
        <w:t>.</w:t>
      </w:r>
    </w:p>
    <w:p w14:paraId="0ECE487E" w14:textId="77777777" w:rsidR="00EB2F43" w:rsidRPr="004A70DF" w:rsidRDefault="00EB2F43" w:rsidP="00EB2F43">
      <w:pPr>
        <w:spacing w:after="0" w:line="360" w:lineRule="auto"/>
        <w:rPr>
          <w:rFonts w:eastAsia="Times New Roman" w:cs="Tahoma"/>
          <w:iCs/>
          <w:color w:val="000000"/>
          <w:lang w:val="es-ES" w:eastAsia="es-ES"/>
        </w:rPr>
      </w:pPr>
    </w:p>
    <w:p w14:paraId="1ABFD2E9" w14:textId="4D6157AF" w:rsidR="00EB2F43" w:rsidRPr="00597EA8" w:rsidRDefault="00EB2F43" w:rsidP="00EB2F43">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Ayuntamiento debe generar el documento peticionado;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 xml:space="preserve">se considera que, para atender </w:t>
      </w:r>
      <w:r w:rsidR="003F6F02">
        <w:rPr>
          <w:rFonts w:eastAsia="Times New Roman" w:cs="Tahoma"/>
          <w:bCs/>
          <w:iCs/>
          <w:color w:val="auto"/>
          <w:lang w:eastAsia="es-ES"/>
        </w:rPr>
        <w:t>las solicitudes de información</w:t>
      </w:r>
      <w:r w:rsidRPr="00597EA8">
        <w:rPr>
          <w:rFonts w:eastAsia="Times New Roman" w:cs="Tahoma"/>
          <w:bCs/>
          <w:iCs/>
          <w:color w:val="auto"/>
          <w:lang w:eastAsia="es-ES"/>
        </w:rPr>
        <w:t>,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4C0AE38D" w14:textId="77777777" w:rsidR="00EB2F43" w:rsidRPr="00597EA8" w:rsidRDefault="00EB2F43" w:rsidP="00EB2F43">
      <w:pPr>
        <w:spacing w:after="0" w:line="360" w:lineRule="auto"/>
        <w:rPr>
          <w:rFonts w:eastAsia="Times New Roman" w:cs="Tahoma"/>
          <w:bCs/>
          <w:iCs/>
          <w:color w:val="auto"/>
          <w:lang w:eastAsia="es-ES"/>
        </w:rPr>
      </w:pPr>
    </w:p>
    <w:p w14:paraId="58C866D2" w14:textId="77777777" w:rsidR="00EB2F43" w:rsidRPr="00597EA8" w:rsidRDefault="00EB2F43" w:rsidP="00EB2F43">
      <w:pPr>
        <w:spacing w:after="0" w:line="360" w:lineRule="auto"/>
        <w:rPr>
          <w:rFonts w:eastAsia="Times New Roman" w:cs="Tahoma"/>
          <w:bCs/>
          <w:iCs/>
          <w:color w:val="auto"/>
          <w:lang w:val="es-ES" w:eastAsia="es-ES"/>
        </w:rPr>
      </w:pPr>
      <w:r w:rsidRPr="00597EA8">
        <w:rPr>
          <w:rFonts w:eastAsia="Times New Roman" w:cs="Tahoma"/>
          <w:bCs/>
          <w:iCs/>
          <w:color w:val="auto"/>
          <w:lang w:val="es-ES_tradnl" w:eastAsia="es-ES"/>
        </w:rPr>
        <w:t>No pasa desaperci</w:t>
      </w:r>
      <w:r>
        <w:rPr>
          <w:rFonts w:eastAsia="Times New Roman" w:cs="Tahoma"/>
          <w:bCs/>
          <w:iCs/>
          <w:color w:val="auto"/>
          <w:lang w:val="es-ES_tradnl" w:eastAsia="es-ES"/>
        </w:rPr>
        <w:t>bido para este Instituto que las expresiones s</w:t>
      </w:r>
      <w:r w:rsidRPr="00597EA8">
        <w:rPr>
          <w:rFonts w:eastAsia="Times New Roman" w:cs="Tahoma"/>
          <w:bCs/>
          <w:iCs/>
          <w:color w:val="auto"/>
          <w:lang w:val="es-ES_tradnl" w:eastAsia="es-ES"/>
        </w:rPr>
        <w:t>, pudieran contener datos personales confidenciales, en términos del artículo 143, fracción I de la Ley de Transparencia y Acceso a la Información Pública del Estado de México; a</w:t>
      </w:r>
      <w:r w:rsidRPr="00597EA8">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B1D74E3" w14:textId="77777777" w:rsidR="00EB2F43" w:rsidRPr="00597EA8" w:rsidRDefault="00EB2F43" w:rsidP="00EB2F43">
      <w:pPr>
        <w:spacing w:after="0" w:line="360" w:lineRule="auto"/>
        <w:rPr>
          <w:rFonts w:eastAsia="Times New Roman" w:cs="Tahoma"/>
          <w:bCs/>
          <w:iCs/>
          <w:color w:val="auto"/>
          <w:lang w:val="es-ES" w:eastAsia="es-ES"/>
        </w:rPr>
      </w:pPr>
    </w:p>
    <w:p w14:paraId="5419DFD6" w14:textId="77777777" w:rsidR="00EB2F43" w:rsidRPr="00597EA8" w:rsidRDefault="00EB2F43" w:rsidP="00EB2F43">
      <w:pPr>
        <w:spacing w:after="0" w:line="360" w:lineRule="auto"/>
        <w:rPr>
          <w:rFonts w:eastAsia="Times New Roman" w:cs="Tahoma"/>
          <w:bCs/>
          <w:iCs/>
          <w:color w:val="auto"/>
          <w:lang w:val="es-ES" w:eastAsia="es-ES"/>
        </w:rPr>
      </w:pPr>
      <w:r w:rsidRPr="00597EA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84A57F9" w14:textId="77777777" w:rsidR="002D6D69" w:rsidRDefault="002D6D69" w:rsidP="002D6D69">
      <w:pPr>
        <w:spacing w:after="0" w:line="360" w:lineRule="auto"/>
        <w:contextualSpacing/>
        <w:rPr>
          <w:rFonts w:eastAsia="Calibri" w:cs="Tahoma"/>
          <w:b/>
          <w:color w:val="000000"/>
        </w:rPr>
      </w:pPr>
    </w:p>
    <w:p w14:paraId="2A6DBADA" w14:textId="77777777" w:rsidR="003F6F02" w:rsidRDefault="003F6F02" w:rsidP="002D6D69">
      <w:pPr>
        <w:spacing w:after="0" w:line="360" w:lineRule="auto"/>
        <w:contextualSpacing/>
        <w:rPr>
          <w:rFonts w:eastAsia="Calibri" w:cs="Tahoma"/>
          <w:b/>
          <w:color w:val="000000"/>
        </w:rPr>
      </w:pPr>
    </w:p>
    <w:p w14:paraId="671DD6AD" w14:textId="77777777" w:rsidR="002D6D69" w:rsidRPr="003D5B55" w:rsidRDefault="002D6D69" w:rsidP="002D6D69">
      <w:pPr>
        <w:spacing w:after="0" w:line="360" w:lineRule="auto"/>
        <w:contextualSpacing/>
        <w:rPr>
          <w:rFonts w:eastAsia="Calibri" w:cs="Tahoma"/>
          <w:b/>
          <w:color w:val="000000"/>
        </w:rPr>
      </w:pPr>
      <w:r w:rsidRPr="003D5B55">
        <w:rPr>
          <w:rFonts w:eastAsia="Calibri" w:cs="Tahoma"/>
          <w:b/>
          <w:color w:val="000000"/>
        </w:rPr>
        <w:t xml:space="preserve">SEXTO. Decisión. </w:t>
      </w:r>
    </w:p>
    <w:p w14:paraId="7EC1A846" w14:textId="77777777" w:rsidR="002D6D69" w:rsidRPr="003D5B55" w:rsidRDefault="002D6D69" w:rsidP="002D6D69">
      <w:pPr>
        <w:spacing w:after="0" w:line="360" w:lineRule="auto"/>
        <w:contextualSpacing/>
        <w:rPr>
          <w:rFonts w:eastAsia="Calibri" w:cs="Tahoma"/>
          <w:b/>
          <w:color w:val="000000"/>
          <w:highlight w:val="yellow"/>
        </w:rPr>
      </w:pPr>
    </w:p>
    <w:p w14:paraId="6661882D" w14:textId="3AF4E57B" w:rsidR="002D6D69" w:rsidRPr="00695E2F" w:rsidRDefault="002D6D69" w:rsidP="002D6D69">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las solicitudes de información pública con número</w:t>
      </w:r>
      <w:r w:rsidR="00E0640C">
        <w:rPr>
          <w:rFonts w:eastAsia="Times New Roman" w:cs="Tahoma"/>
          <w:color w:val="auto"/>
          <w:lang w:eastAsia="es-ES"/>
        </w:rPr>
        <w:t>s</w:t>
      </w:r>
      <w:r>
        <w:rPr>
          <w:rFonts w:eastAsia="Times New Roman" w:cs="Tahoma"/>
          <w:color w:val="auto"/>
          <w:lang w:eastAsia="es-ES"/>
        </w:rPr>
        <w:t xml:space="preserve"> </w:t>
      </w:r>
      <w:r w:rsidR="00E0640C" w:rsidRPr="00E0640C">
        <w:rPr>
          <w:rFonts w:eastAsia="Calibri" w:cs="Tahoma"/>
          <w:b/>
          <w:bCs/>
        </w:rPr>
        <w:t>00961/INFOEM/IP/RR/2022 y 00962/INFOEM/IP/RR/2022</w:t>
      </w:r>
      <w:r w:rsidRPr="00DC77CC">
        <w:rPr>
          <w:rFonts w:eastAsia="Times New Roman" w:cs="Tahoma"/>
          <w:iCs/>
          <w:color w:val="auto"/>
          <w:lang w:eastAsia="es-ES"/>
        </w:rPr>
        <w:t>.</w:t>
      </w:r>
    </w:p>
    <w:p w14:paraId="46B22533" w14:textId="77777777" w:rsidR="002D6D69" w:rsidRDefault="002D6D69" w:rsidP="002D6D69">
      <w:pPr>
        <w:spacing w:after="0" w:line="360" w:lineRule="auto"/>
        <w:rPr>
          <w:rFonts w:eastAsia="Times New Roman" w:cs="Tahoma"/>
          <w:b/>
          <w:bCs/>
          <w:iCs/>
          <w:color w:val="auto"/>
          <w:lang w:eastAsia="es-ES"/>
        </w:rPr>
      </w:pPr>
    </w:p>
    <w:p w14:paraId="3B4A0339" w14:textId="77777777" w:rsidR="002D6D69" w:rsidRDefault="002D6D69" w:rsidP="002D6D69">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216A788D" w14:textId="77777777" w:rsidR="002D6D69" w:rsidRPr="00695E2F" w:rsidRDefault="002D6D69" w:rsidP="002D6D69">
      <w:pPr>
        <w:autoSpaceDE w:val="0"/>
        <w:autoSpaceDN w:val="0"/>
        <w:adjustRightInd w:val="0"/>
        <w:spacing w:after="0" w:line="360" w:lineRule="auto"/>
        <w:rPr>
          <w:rFonts w:eastAsia="Calibri" w:cs="Tahoma"/>
          <w:b/>
          <w:bCs/>
          <w:iCs/>
          <w:color w:val="auto"/>
          <w:lang w:val="es-ES"/>
        </w:rPr>
      </w:pPr>
    </w:p>
    <w:p w14:paraId="0C9F80B5" w14:textId="52B279E9" w:rsidR="002D6D69" w:rsidRDefault="002D6D69" w:rsidP="002D6D69">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w:t>
      </w:r>
      <w:r>
        <w:rPr>
          <w:rFonts w:eastAsia="Calibri" w:cs="Tahoma"/>
          <w:bCs/>
          <w:iCs/>
          <w:color w:val="auto"/>
          <w:lang w:val="es-ES"/>
        </w:rPr>
        <w:t xml:space="preserve">Ayuntamiento de </w:t>
      </w:r>
      <w:r w:rsidR="00E0640C">
        <w:rPr>
          <w:rFonts w:eastAsia="Calibri" w:cs="Tahoma"/>
          <w:bCs/>
          <w:iCs/>
          <w:color w:val="auto"/>
          <w:lang w:val="es-ES"/>
        </w:rPr>
        <w:t>Santo Tomás</w:t>
      </w:r>
      <w:r>
        <w:rPr>
          <w:rFonts w:eastAsia="Calibri" w:cs="Tahoma"/>
          <w:bCs/>
          <w:iCs/>
          <w:color w:val="auto"/>
          <w:lang w:val="es-ES"/>
        </w:rPr>
        <w:t xml:space="preserve"> </w:t>
      </w:r>
      <w:r w:rsidRPr="00695E2F">
        <w:rPr>
          <w:rFonts w:eastAsia="Calibri" w:cs="Tahoma"/>
          <w:bCs/>
          <w:iCs/>
          <w:color w:val="auto"/>
          <w:lang w:val="es-ES"/>
        </w:rPr>
        <w:t xml:space="preserve">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las solicitudes y en su caso, proporcionarle los documentos donde conste lo peticionado.</w:t>
      </w:r>
    </w:p>
    <w:p w14:paraId="5E195E2B" w14:textId="77777777" w:rsidR="002D6D69" w:rsidRPr="00695E2F" w:rsidRDefault="002D6D69" w:rsidP="002D6D69">
      <w:pPr>
        <w:widowControl w:val="0"/>
        <w:autoSpaceDE w:val="0"/>
        <w:autoSpaceDN w:val="0"/>
        <w:adjustRightInd w:val="0"/>
        <w:spacing w:after="0" w:line="360" w:lineRule="auto"/>
        <w:rPr>
          <w:rFonts w:eastAsia="Calibri" w:cs="Tahoma"/>
          <w:bCs/>
          <w:iCs/>
          <w:color w:val="auto"/>
          <w:lang w:val="es-ES"/>
        </w:rPr>
      </w:pPr>
    </w:p>
    <w:p w14:paraId="0E3E7D3A" w14:textId="77777777" w:rsidR="002D6D69" w:rsidRDefault="002D6D69" w:rsidP="002D6D69">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p>
    <w:p w14:paraId="0E56D93D" w14:textId="77777777" w:rsidR="002D6D69" w:rsidRDefault="002D6D69" w:rsidP="002D6D69">
      <w:pPr>
        <w:spacing w:after="0" w:line="360" w:lineRule="auto"/>
        <w:rPr>
          <w:rFonts w:eastAsia="Calibri" w:cs="Tahoma"/>
          <w:bCs/>
          <w:iCs/>
          <w:color w:val="auto"/>
          <w:lang w:val="es-ES" w:eastAsia="es-ES_tradnl"/>
        </w:rPr>
      </w:pPr>
    </w:p>
    <w:p w14:paraId="34D8B15B" w14:textId="77777777" w:rsidR="002D6D69" w:rsidRDefault="002D6D69" w:rsidP="002D6D69">
      <w:pPr>
        <w:spacing w:after="0" w:line="360" w:lineRule="auto"/>
        <w:rPr>
          <w:rFonts w:eastAsia="Calibri" w:cs="Tahoma"/>
          <w:bCs/>
          <w:iCs/>
          <w:color w:val="auto"/>
        </w:rPr>
      </w:pPr>
      <w:r w:rsidRPr="00695E2F">
        <w:rPr>
          <w:rFonts w:eastAsia="Calibri" w:cs="Tahoma"/>
          <w:bCs/>
          <w:iCs/>
          <w:color w:val="auto"/>
        </w:rPr>
        <w:t xml:space="preserve">La labor </w:t>
      </w:r>
      <w:r>
        <w:rPr>
          <w:rFonts w:eastAsia="Calibri" w:cs="Tahoma"/>
          <w:bCs/>
          <w:iCs/>
          <w:color w:val="auto"/>
        </w:rPr>
        <w:t>del Instituto de Transparencia, Acceso a la Información Pública y Protección de Datos Personales del Estado de México y Municipios</w:t>
      </w:r>
      <w:r w:rsidRPr="00695E2F">
        <w:rPr>
          <w:rFonts w:eastAsia="Calibri" w:cs="Tahoma"/>
          <w:bCs/>
          <w:iCs/>
          <w:color w:val="auto"/>
        </w:rPr>
        <w:t>, es apoyar a la población a acceder a la información pública y garantizar la protección de sus datos personales.</w:t>
      </w:r>
    </w:p>
    <w:p w14:paraId="7818D2BC" w14:textId="77777777" w:rsidR="002D6D69" w:rsidRPr="00695E2F" w:rsidRDefault="002D6D69" w:rsidP="002D6D69">
      <w:pPr>
        <w:spacing w:after="0" w:line="360" w:lineRule="auto"/>
        <w:rPr>
          <w:rFonts w:eastAsia="Calibri" w:cs="Tahoma"/>
          <w:bCs/>
          <w:iCs/>
          <w:color w:val="auto"/>
        </w:rPr>
      </w:pPr>
    </w:p>
    <w:p w14:paraId="6B597EF7" w14:textId="77777777" w:rsidR="002D6D69" w:rsidRPr="003D5B55" w:rsidRDefault="002D6D69" w:rsidP="002D6D69">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368AF8E" w14:textId="77777777" w:rsidR="002D6D69" w:rsidRDefault="002D6D69" w:rsidP="002D6D69">
      <w:pPr>
        <w:spacing w:after="0" w:line="360" w:lineRule="auto"/>
        <w:rPr>
          <w:rFonts w:eastAsia="Times New Roman" w:cs="Tahoma"/>
          <w:bCs/>
          <w:color w:val="auto"/>
          <w:lang w:eastAsia="es-ES"/>
        </w:rPr>
      </w:pPr>
    </w:p>
    <w:p w14:paraId="52C5CA3C" w14:textId="77777777" w:rsidR="003F6F02" w:rsidRDefault="003F6F02" w:rsidP="002D6D69">
      <w:pPr>
        <w:spacing w:after="0" w:line="360" w:lineRule="auto"/>
        <w:rPr>
          <w:rFonts w:eastAsia="Times New Roman" w:cs="Tahoma"/>
          <w:bCs/>
          <w:color w:val="auto"/>
          <w:lang w:eastAsia="es-ES"/>
        </w:rPr>
      </w:pPr>
    </w:p>
    <w:p w14:paraId="4223D518" w14:textId="50B4BEFA" w:rsidR="002D6D69" w:rsidRDefault="002D6D69" w:rsidP="002D6D69">
      <w:pPr>
        <w:widowControl w:val="0"/>
        <w:spacing w:after="0" w:line="360" w:lineRule="auto"/>
        <w:rPr>
          <w:rFonts w:eastAsia="Times New Roman" w:cs="Tahoma"/>
          <w:bCs/>
          <w:color w:val="auto"/>
          <w:lang w:eastAsia="es-ES"/>
        </w:rPr>
      </w:pPr>
      <w:r w:rsidRPr="003D5B55">
        <w:rPr>
          <w:rFonts w:eastAsia="Times New Roman" w:cs="Tahoma"/>
          <w:bCs/>
          <w:color w:val="auto"/>
          <w:lang w:eastAsia="es-ES"/>
        </w:rPr>
        <w:lastRenderedPageBreak/>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E0640C">
        <w:rPr>
          <w:rFonts w:eastAsia="Times New Roman" w:cs="Tahoma"/>
          <w:bCs/>
          <w:color w:val="auto"/>
          <w:lang w:eastAsia="es-ES"/>
        </w:rPr>
        <w:t>Santo Tomás</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Pr>
          <w:rFonts w:eastAsia="Times New Roman" w:cs="Tahoma"/>
          <w:bCs/>
          <w:color w:val="auto"/>
          <w:lang w:eastAsia="es-ES"/>
        </w:rPr>
        <w:t>.</w:t>
      </w:r>
    </w:p>
    <w:p w14:paraId="73B2D2E1" w14:textId="77777777" w:rsidR="002D6D69" w:rsidRDefault="002D6D69" w:rsidP="002D6D69">
      <w:pPr>
        <w:spacing w:after="0" w:line="360" w:lineRule="auto"/>
        <w:rPr>
          <w:rFonts w:eastAsia="Times New Roman" w:cs="Tahoma"/>
          <w:bCs/>
          <w:color w:val="auto"/>
          <w:lang w:eastAsia="es-ES"/>
        </w:rPr>
      </w:pPr>
    </w:p>
    <w:p w14:paraId="2E5107C9" w14:textId="77777777" w:rsidR="002D6D69" w:rsidRDefault="002D6D69" w:rsidP="002D6D69">
      <w:pPr>
        <w:spacing w:after="0" w:line="360" w:lineRule="auto"/>
        <w:rPr>
          <w:rFonts w:eastAsia="Times New Roman" w:cs="Tahoma"/>
          <w:bCs/>
          <w:color w:val="auto"/>
          <w:lang w:eastAsia="es-ES"/>
        </w:rPr>
      </w:pPr>
      <w:r>
        <w:rPr>
          <w:rFonts w:eastAsia="Times New Roman" w:cs="Tahoma"/>
          <w:bCs/>
          <w:color w:val="auto"/>
          <w:lang w:eastAsia="es-ES"/>
        </w:rPr>
        <w:t>Sobre el tema</w:t>
      </w:r>
      <w:r w:rsidRPr="003D5B55">
        <w:rPr>
          <w:rFonts w:eastAsia="Times New Roman" w:cs="Tahoma"/>
          <w:bCs/>
          <w:color w:val="auto"/>
          <w:lang w:eastAsia="es-ES"/>
        </w:rPr>
        <w:t xml:space="preserve">, el artículo 36, fracción X, del ordenamiento jurídico en cita, establece que es atribución de este Instituto hacer del conocimiento del Órgano Interno de Control o equivalente de cada Sujeto Obligado las infracciones a esta Ley. </w:t>
      </w:r>
    </w:p>
    <w:p w14:paraId="75A48235" w14:textId="77777777" w:rsidR="002D6D69" w:rsidRDefault="002D6D69" w:rsidP="002D6D69">
      <w:pPr>
        <w:spacing w:after="0" w:line="360" w:lineRule="auto"/>
        <w:rPr>
          <w:rFonts w:eastAsia="Times New Roman" w:cs="Tahoma"/>
          <w:bCs/>
          <w:color w:val="auto"/>
          <w:lang w:eastAsia="es-ES"/>
        </w:rPr>
      </w:pPr>
    </w:p>
    <w:p w14:paraId="43242370" w14:textId="77777777" w:rsidR="002D6D69" w:rsidRDefault="002D6D69" w:rsidP="002D6D69">
      <w:pPr>
        <w:spacing w:after="0" w:line="360" w:lineRule="auto"/>
        <w:rPr>
          <w:rFonts w:eastAsia="Times New Roman" w:cs="Tahoma"/>
          <w:bCs/>
          <w:color w:val="auto"/>
          <w:lang w:eastAsia="es-ES"/>
        </w:rPr>
      </w:pPr>
      <w:r w:rsidRPr="003D5B55">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C706703" w14:textId="77777777" w:rsidR="002D6D69" w:rsidRDefault="002D6D69" w:rsidP="002D6D69">
      <w:pPr>
        <w:spacing w:after="0" w:line="360" w:lineRule="auto"/>
        <w:rPr>
          <w:rFonts w:eastAsia="Times New Roman" w:cs="Tahoma"/>
          <w:bCs/>
          <w:color w:val="auto"/>
          <w:lang w:eastAsia="es-ES"/>
        </w:rPr>
      </w:pPr>
    </w:p>
    <w:p w14:paraId="5F2CCA6F" w14:textId="77777777" w:rsidR="002D6D69" w:rsidRPr="003D5B55" w:rsidRDefault="002D6D69" w:rsidP="002D6D69">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45EF730" w14:textId="77777777" w:rsidR="002D6D69" w:rsidRPr="003D5B55" w:rsidRDefault="002D6D69" w:rsidP="002D6D69">
      <w:pPr>
        <w:spacing w:after="0" w:line="360" w:lineRule="auto"/>
        <w:rPr>
          <w:rFonts w:eastAsia="Times New Roman" w:cs="Tahoma"/>
          <w:bCs/>
          <w:color w:val="auto"/>
          <w:lang w:eastAsia="es-ES"/>
        </w:rPr>
      </w:pPr>
    </w:p>
    <w:p w14:paraId="5A3DD7BC" w14:textId="77777777" w:rsidR="002D6D69" w:rsidRDefault="002D6D69" w:rsidP="002D6D69">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118A2556" w14:textId="77777777" w:rsidR="002D6D69" w:rsidRDefault="002D6D69" w:rsidP="002D6D69">
      <w:pPr>
        <w:spacing w:after="0" w:line="360" w:lineRule="auto"/>
        <w:rPr>
          <w:rFonts w:eastAsia="Times New Roman" w:cs="Tahoma"/>
          <w:bCs/>
          <w:color w:val="auto"/>
          <w:lang w:eastAsia="es-ES"/>
        </w:rPr>
      </w:pPr>
    </w:p>
    <w:p w14:paraId="7BC70624" w14:textId="77777777" w:rsidR="002D6D69" w:rsidRDefault="002D6D69" w:rsidP="002D6D69">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D43923C" w14:textId="77777777" w:rsidR="002D6D69" w:rsidRDefault="002D6D69" w:rsidP="002D6D69">
      <w:pPr>
        <w:spacing w:after="0" w:line="360" w:lineRule="auto"/>
        <w:rPr>
          <w:rFonts w:eastAsia="Times New Roman" w:cs="Tahoma"/>
          <w:bCs/>
          <w:color w:val="auto"/>
          <w:lang w:eastAsia="es-ES"/>
        </w:rPr>
      </w:pPr>
    </w:p>
    <w:p w14:paraId="08EC5357" w14:textId="77777777" w:rsidR="003F6F02" w:rsidRDefault="003F6F02" w:rsidP="002D6D69">
      <w:pPr>
        <w:spacing w:after="0" w:line="360" w:lineRule="auto"/>
        <w:rPr>
          <w:rFonts w:eastAsia="Times New Roman" w:cs="Tahoma"/>
          <w:bCs/>
          <w:color w:val="auto"/>
          <w:lang w:eastAsia="es-ES"/>
        </w:rPr>
      </w:pPr>
    </w:p>
    <w:p w14:paraId="444DC4B7" w14:textId="77777777" w:rsidR="002D6D69" w:rsidRPr="003D5B55" w:rsidRDefault="002D6D69" w:rsidP="002D6D69">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76806DCE" w14:textId="77777777" w:rsidR="002D6D69" w:rsidRDefault="002D6D69" w:rsidP="002D6D69">
      <w:pPr>
        <w:spacing w:after="0" w:line="360" w:lineRule="auto"/>
        <w:ind w:right="113"/>
        <w:rPr>
          <w:rFonts w:eastAsia="Times New Roman" w:cs="Arial"/>
          <w:b/>
          <w:color w:val="auto"/>
          <w:lang w:eastAsia="es-ES"/>
        </w:rPr>
      </w:pPr>
    </w:p>
    <w:p w14:paraId="3801630F" w14:textId="0FA83593" w:rsidR="002D6D69" w:rsidRPr="00D13FCC" w:rsidRDefault="002D6D69" w:rsidP="002D6D69">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los Recursos de Revisión </w:t>
      </w:r>
      <w:r w:rsidR="001B5F92" w:rsidRPr="001B5F92">
        <w:rPr>
          <w:rFonts w:eastAsia="Calibri" w:cs="Tahoma"/>
          <w:b/>
          <w:bCs/>
        </w:rPr>
        <w:t>00961/INFOEM/IP/RR/2022 y 00962/INFOEM/IP/RR/2022</w:t>
      </w:r>
      <w:r w:rsidRPr="001B5F92">
        <w:rPr>
          <w:rFonts w:eastAsia="Times New Roman" w:cs="Tahoma"/>
          <w:b/>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28420D98" w14:textId="77777777" w:rsidR="002D6D69" w:rsidRPr="00D13FCC" w:rsidRDefault="002D6D69" w:rsidP="002D6D69">
      <w:pPr>
        <w:spacing w:after="0" w:line="360" w:lineRule="auto"/>
        <w:rPr>
          <w:rFonts w:eastAsia="Times New Roman" w:cs="Tahoma"/>
          <w:b/>
          <w:bCs/>
          <w:color w:val="auto"/>
          <w:lang w:eastAsia="es-ES"/>
        </w:rPr>
      </w:pPr>
    </w:p>
    <w:p w14:paraId="09103D37" w14:textId="0B809A00" w:rsidR="002D6D69" w:rsidRPr="00FA7B52" w:rsidRDefault="002D6D69" w:rsidP="002D6D69">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las solicitudes de acceso a la información </w:t>
      </w:r>
      <w:r w:rsidR="001B5F92" w:rsidRPr="001B5F92">
        <w:rPr>
          <w:b/>
          <w:bCs/>
        </w:rPr>
        <w:t>00013/SANTOTOM/IP/2022 y 00014/SANTOTOM/IP/2022</w:t>
      </w:r>
      <w:r w:rsidRPr="00695E2F">
        <w:rPr>
          <w:rFonts w:eastAsia="Times New Roman" w:cs="Tahoma"/>
          <w:color w:val="auto"/>
          <w:szCs w:val="20"/>
          <w:lang w:eastAsia="es-ES"/>
        </w:rPr>
        <w:t>,</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4F0914E9" w14:textId="77777777" w:rsidR="002D6D69" w:rsidRPr="00D13FCC" w:rsidRDefault="002D6D69" w:rsidP="002D6D69">
      <w:pPr>
        <w:spacing w:after="0" w:line="360" w:lineRule="auto"/>
        <w:ind w:right="-93"/>
        <w:rPr>
          <w:rFonts w:eastAsia="Calibri" w:cs="Tahoma"/>
          <w:bCs/>
          <w:color w:val="auto"/>
        </w:rPr>
      </w:pPr>
    </w:p>
    <w:p w14:paraId="2A7415BF" w14:textId="77777777" w:rsidR="002D6D69" w:rsidRPr="00D13FCC" w:rsidRDefault="002D6D69" w:rsidP="002D6D69">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427317D4" w14:textId="77777777" w:rsidR="002D6D69" w:rsidRPr="00D13FCC" w:rsidRDefault="002D6D69" w:rsidP="002D6D69">
      <w:pPr>
        <w:spacing w:after="0" w:line="360" w:lineRule="auto"/>
        <w:rPr>
          <w:rFonts w:eastAsia="Calibri" w:cs="Tahoma"/>
          <w:b/>
          <w:bCs/>
          <w:color w:val="auto"/>
        </w:rPr>
      </w:pPr>
    </w:p>
    <w:p w14:paraId="5465F8E1" w14:textId="77777777" w:rsidR="002D6D69" w:rsidRDefault="002D6D69" w:rsidP="002D6D69">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709B9E9" w14:textId="77777777" w:rsidR="002D6D69" w:rsidRDefault="002D6D69" w:rsidP="002D6D69">
      <w:pPr>
        <w:spacing w:after="0" w:line="360" w:lineRule="auto"/>
        <w:rPr>
          <w:rFonts w:eastAsia="Times New Roman" w:cs="Tahoma"/>
          <w:i/>
          <w:color w:val="auto"/>
          <w:lang w:eastAsia="es-ES"/>
        </w:rPr>
      </w:pPr>
    </w:p>
    <w:p w14:paraId="6D45E787" w14:textId="77777777" w:rsidR="003F6F02" w:rsidRDefault="003F6F02" w:rsidP="002D6D69">
      <w:pPr>
        <w:spacing w:after="0" w:line="360" w:lineRule="auto"/>
        <w:rPr>
          <w:rFonts w:eastAsia="Times New Roman" w:cs="Tahoma"/>
          <w:i/>
          <w:color w:val="auto"/>
          <w:lang w:eastAsia="es-ES"/>
        </w:rPr>
      </w:pPr>
    </w:p>
    <w:p w14:paraId="2DD0055A" w14:textId="77777777" w:rsidR="003F6F02" w:rsidRDefault="003F6F02" w:rsidP="002D6D69">
      <w:pPr>
        <w:spacing w:after="0" w:line="360" w:lineRule="auto"/>
        <w:rPr>
          <w:rFonts w:eastAsia="Times New Roman" w:cs="Tahoma"/>
          <w:i/>
          <w:color w:val="auto"/>
          <w:lang w:eastAsia="es-ES"/>
        </w:rPr>
      </w:pPr>
    </w:p>
    <w:p w14:paraId="7B2E083E" w14:textId="77777777" w:rsidR="002D6D69" w:rsidRPr="005325F4" w:rsidRDefault="002D6D69" w:rsidP="002D6D69">
      <w:pPr>
        <w:spacing w:after="0" w:line="360" w:lineRule="auto"/>
      </w:pPr>
      <w:r w:rsidRPr="00D13FCC">
        <w:rPr>
          <w:rFonts w:eastAsia="Calibri"/>
          <w:b/>
          <w:bCs/>
          <w:iCs/>
          <w:lang w:val="es-ES" w:eastAsia="es-ES"/>
        </w:rPr>
        <w:t>QUINTO</w:t>
      </w:r>
      <w:r w:rsidRPr="00D13FCC">
        <w:rPr>
          <w:rFonts w:eastAsia="Calibri"/>
          <w:bCs/>
          <w:iCs/>
          <w:lang w:val="es-ES" w:eastAsia="es-ES"/>
        </w:rPr>
        <w:t>.</w:t>
      </w:r>
      <w:r w:rsidRPr="00D13FCC">
        <w:rPr>
          <w:b/>
          <w:lang w:eastAsia="es-ES"/>
        </w:rPr>
        <w:t>NOTIFÍQUESE</w:t>
      </w:r>
      <w:r w:rsidRPr="00D13FCC">
        <w:rPr>
          <w:lang w:eastAsia="es-ES"/>
        </w:rPr>
        <w:t xml:space="preserve"> </w:t>
      </w:r>
      <w:r w:rsidRPr="005325F4">
        <w:rPr>
          <w:lang w:eastAsia="es-ES"/>
        </w:rPr>
        <w:t xml:space="preserve">al </w:t>
      </w:r>
      <w:r w:rsidRPr="005325F4">
        <w:t>Recurrente la presente Resolución, a través del Sistema de</w:t>
      </w:r>
      <w:r>
        <w:t xml:space="preserve"> </w:t>
      </w:r>
      <w:r w:rsidRPr="005325F4">
        <w:t>Acceso a la Información Mexiquense (SAIMEX); asimismo, se hace de su conocimiento</w:t>
      </w:r>
      <w:r>
        <w:t xml:space="preserve"> </w:t>
      </w:r>
      <w:r w:rsidRPr="005325F4">
        <w:t>que de conformidad con lo establecido en el artículo 196 de la Ley de Transparencia y</w:t>
      </w:r>
      <w:r>
        <w:t xml:space="preserve"> </w:t>
      </w:r>
      <w:r w:rsidRPr="005325F4">
        <w:t>Acceso a la Información Pública del Estado de México y Municipios, podrá promover el Juicio de Amparo en los términos de las leyes aplicables.</w:t>
      </w:r>
    </w:p>
    <w:p w14:paraId="2FFF223E" w14:textId="77777777" w:rsidR="002D6D69" w:rsidRPr="00D13FCC" w:rsidRDefault="002D6D69" w:rsidP="002D6D69">
      <w:pPr>
        <w:spacing w:after="0" w:line="360" w:lineRule="auto"/>
        <w:rPr>
          <w:rFonts w:eastAsia="Times New Roman" w:cs="Tahoma"/>
          <w:color w:val="auto"/>
          <w:lang w:eastAsia="es-ES"/>
        </w:rPr>
      </w:pPr>
    </w:p>
    <w:p w14:paraId="69D177C4" w14:textId="77777777" w:rsidR="002D6D69" w:rsidRPr="00546DEA" w:rsidRDefault="002D6D69" w:rsidP="002D6D69">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3EC92D7" w14:textId="77777777" w:rsidR="002D6D69" w:rsidRPr="00D13FCC" w:rsidRDefault="002D6D69" w:rsidP="002D6D69">
      <w:pPr>
        <w:spacing w:after="0" w:line="360" w:lineRule="auto"/>
        <w:ind w:right="-93"/>
        <w:rPr>
          <w:rFonts w:eastAsia="Times New Roman" w:cs="Times New Roman"/>
          <w:color w:val="000000"/>
          <w:shd w:val="clear" w:color="auto" w:fill="FFFFFF"/>
          <w:lang w:eastAsia="es-ES"/>
        </w:rPr>
      </w:pPr>
    </w:p>
    <w:p w14:paraId="45CA0684" w14:textId="77777777" w:rsidR="002D6D69" w:rsidRDefault="002D6D69" w:rsidP="002D6D69">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15B3">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7268C992" w14:textId="77777777" w:rsidR="002D6D69" w:rsidRDefault="002D6D69" w:rsidP="002D6D69">
      <w:pPr>
        <w:spacing w:after="0" w:line="360" w:lineRule="auto"/>
        <w:ind w:right="-93"/>
        <w:rPr>
          <w:rFonts w:eastAsia="Calibri" w:cs="Tahoma"/>
          <w:bCs/>
          <w:color w:val="auto"/>
        </w:rPr>
      </w:pPr>
    </w:p>
    <w:p w14:paraId="3909DB27" w14:textId="02145843" w:rsidR="002D6D69" w:rsidRDefault="002D6D69" w:rsidP="002D6D69">
      <w:pPr>
        <w:spacing w:after="0" w:line="360" w:lineRule="auto"/>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eastAsia="Calibri" w:cs="Tahoma"/>
          <w:lang w:val="es-ES" w:eastAsia="es-ES_tradnl"/>
        </w:rPr>
        <w:t>DÉCIMA</w:t>
      </w:r>
      <w:r w:rsidRPr="00445101">
        <w:rPr>
          <w:rFonts w:eastAsia="Calibri" w:cs="Tahoma"/>
          <w:lang w:val="es-ES" w:eastAsia="es-ES_tradnl"/>
        </w:rPr>
        <w:t xml:space="preserve"> </w:t>
      </w:r>
      <w:r w:rsidR="007F7EA0">
        <w:rPr>
          <w:rFonts w:eastAsia="Calibri" w:cs="Tahoma"/>
          <w:lang w:val="es-ES" w:eastAsia="es-ES_tradnl"/>
        </w:rPr>
        <w:t>SEGUNDA</w:t>
      </w:r>
      <w:r w:rsidR="001B5F92">
        <w:rPr>
          <w:rFonts w:eastAsia="Calibri" w:cs="Tahoma"/>
          <w:lang w:val="es-ES" w:eastAsia="es-ES_tradnl"/>
        </w:rPr>
        <w:t xml:space="preserve"> SESIÓN</w:t>
      </w:r>
      <w:r w:rsidRPr="00445101">
        <w:rPr>
          <w:rFonts w:eastAsia="Calibri" w:cs="Tahoma"/>
          <w:lang w:val="es-ES" w:eastAsia="es-ES_tradnl"/>
        </w:rPr>
        <w:t xml:space="preserve"> ORDINARIA, CELEBRADA EL </w:t>
      </w:r>
      <w:r w:rsidR="007F7EA0">
        <w:rPr>
          <w:rFonts w:eastAsia="Calibri" w:cs="Tahoma"/>
          <w:lang w:val="es-ES" w:eastAsia="es-ES_tradnl"/>
        </w:rPr>
        <w:t>TREINTA</w:t>
      </w:r>
      <w:r>
        <w:rPr>
          <w:rFonts w:eastAsia="Calibri" w:cs="Tahoma"/>
          <w:lang w:val="es-ES" w:eastAsia="es-ES_tradnl"/>
        </w:rPr>
        <w:t xml:space="preserve"> DE MARZO</w:t>
      </w:r>
      <w:r w:rsidRPr="00445101">
        <w:rPr>
          <w:rFonts w:eastAsia="Calibri" w:cs="Tahoma"/>
          <w:lang w:val="es-ES" w:eastAsia="es-ES_tradnl"/>
        </w:rPr>
        <w:t xml:space="preserve"> DE DOS MIL VEINTI</w:t>
      </w:r>
      <w:r>
        <w:rPr>
          <w:rFonts w:eastAsia="Calibri" w:cs="Tahoma"/>
          <w:lang w:val="es-ES" w:eastAsia="es-ES_tradnl"/>
        </w:rPr>
        <w:t>DÓS</w:t>
      </w:r>
      <w:r w:rsidRPr="00445101">
        <w:rPr>
          <w:rFonts w:eastAsia="Calibri" w:cs="Tahoma"/>
          <w:lang w:val="es-ES" w:eastAsia="es-ES_tradnl"/>
        </w:rPr>
        <w:t>, ANTE EL SECRETARIO TÉCNICO DEL PLENO, ALEXIS TAPIA RAMÍREZ</w:t>
      </w:r>
      <w:r>
        <w:rPr>
          <w:rFonts w:eastAsia="Calibri" w:cs="Tahoma"/>
          <w:lang w:val="es-ES" w:eastAsia="es-ES_tradnl"/>
        </w:rPr>
        <w:t>.</w:t>
      </w:r>
      <w:r>
        <w:br w:type="page"/>
      </w:r>
    </w:p>
    <w:p w14:paraId="4A293D69" w14:textId="77777777" w:rsidR="002D6D69" w:rsidRDefault="002D6D69" w:rsidP="002D6D69"/>
    <w:p w14:paraId="41BAEB56" w14:textId="77777777" w:rsidR="004D2BA8" w:rsidRDefault="004D2BA8"/>
    <w:sectPr w:rsidR="004D2BA8" w:rsidSect="00020231">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4A7F" w14:textId="77777777" w:rsidR="000A6DD4" w:rsidRDefault="000A6DD4" w:rsidP="002D6D69">
      <w:pPr>
        <w:spacing w:after="0" w:line="240" w:lineRule="auto"/>
      </w:pPr>
      <w:r>
        <w:separator/>
      </w:r>
    </w:p>
  </w:endnote>
  <w:endnote w:type="continuationSeparator" w:id="0">
    <w:p w14:paraId="452744E8" w14:textId="77777777" w:rsidR="000A6DD4" w:rsidRDefault="000A6DD4" w:rsidP="002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9681A9C" w14:textId="77777777" w:rsidR="00881E53" w:rsidRDefault="001B5F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9D1B668" w14:textId="77777777" w:rsidR="00881E53" w:rsidRDefault="000A6D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78DD504B" w14:textId="77777777" w:rsidR="00881E53" w:rsidRDefault="001B5F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7EA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7EA0">
              <w:rPr>
                <w:b/>
                <w:bCs/>
                <w:noProof/>
              </w:rPr>
              <w:t>21</w:t>
            </w:r>
            <w:r>
              <w:rPr>
                <w:b/>
                <w:bCs/>
                <w:sz w:val="24"/>
                <w:szCs w:val="24"/>
              </w:rPr>
              <w:fldChar w:fldCharType="end"/>
            </w:r>
          </w:p>
        </w:sdtContent>
      </w:sdt>
    </w:sdtContent>
  </w:sdt>
  <w:p w14:paraId="5D5E4CEC" w14:textId="77777777" w:rsidR="00881E53" w:rsidRDefault="000A6DD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3BD7DAE6" w14:textId="77777777" w:rsidR="00881E53" w:rsidRDefault="001B5F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2F4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2F43">
              <w:rPr>
                <w:b/>
                <w:bCs/>
                <w:noProof/>
              </w:rPr>
              <w:t>21</w:t>
            </w:r>
            <w:r>
              <w:rPr>
                <w:b/>
                <w:bCs/>
                <w:sz w:val="24"/>
                <w:szCs w:val="24"/>
              </w:rPr>
              <w:fldChar w:fldCharType="end"/>
            </w:r>
          </w:p>
        </w:sdtContent>
      </w:sdt>
    </w:sdtContent>
  </w:sdt>
  <w:p w14:paraId="62F56E56" w14:textId="77777777" w:rsidR="00881E53" w:rsidRDefault="000A6D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BF56" w14:textId="77777777" w:rsidR="000A6DD4" w:rsidRDefault="000A6DD4" w:rsidP="002D6D69">
      <w:pPr>
        <w:spacing w:after="0" w:line="240" w:lineRule="auto"/>
      </w:pPr>
      <w:r>
        <w:separator/>
      </w:r>
    </w:p>
  </w:footnote>
  <w:footnote w:type="continuationSeparator" w:id="0">
    <w:p w14:paraId="716F3C07" w14:textId="77777777" w:rsidR="000A6DD4" w:rsidRDefault="000A6DD4" w:rsidP="002D6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211F7A91" w14:textId="77777777" w:rsidTr="00881E53">
      <w:trPr>
        <w:trHeight w:val="132"/>
      </w:trPr>
      <w:tc>
        <w:tcPr>
          <w:tcW w:w="2691" w:type="dxa"/>
        </w:tcPr>
        <w:p w14:paraId="27202042" w14:textId="77777777" w:rsidR="00881E53" w:rsidRPr="00E152D8" w:rsidRDefault="001B5F92"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68255BA" w14:textId="77777777" w:rsidR="00881E53" w:rsidRPr="00EE1572" w:rsidRDefault="001B5F92" w:rsidP="00881E53">
          <w:pPr>
            <w:tabs>
              <w:tab w:val="right" w:pos="8838"/>
            </w:tabs>
            <w:ind w:left="-28" w:right="-32"/>
            <w:rPr>
              <w:rFonts w:eastAsia="Calibri" w:cs="Tahoma"/>
            </w:rPr>
          </w:pPr>
          <w:r w:rsidRPr="00EE1572">
            <w:rPr>
              <w:rFonts w:eastAsia="Calibri" w:cs="Tahoma"/>
            </w:rPr>
            <w:t>03846/INFOEM/IP/RR/2020</w:t>
          </w:r>
        </w:p>
      </w:tc>
    </w:tr>
    <w:tr w:rsidR="00881E53" w:rsidRPr="00E152D8" w14:paraId="63472179" w14:textId="77777777" w:rsidTr="00881E53">
      <w:trPr>
        <w:trHeight w:val="261"/>
      </w:trPr>
      <w:tc>
        <w:tcPr>
          <w:tcW w:w="2691" w:type="dxa"/>
        </w:tcPr>
        <w:p w14:paraId="4FADD6C7" w14:textId="77777777" w:rsidR="00881E53" w:rsidRPr="00E152D8" w:rsidRDefault="001B5F92"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B1582C8" w14:textId="77777777" w:rsidR="00881E53" w:rsidRPr="00EE1572" w:rsidRDefault="001B5F92"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24786ADB" w14:textId="77777777" w:rsidTr="00881E53">
      <w:trPr>
        <w:trHeight w:val="261"/>
      </w:trPr>
      <w:tc>
        <w:tcPr>
          <w:tcW w:w="2691" w:type="dxa"/>
        </w:tcPr>
        <w:p w14:paraId="3ADC1199" w14:textId="77777777" w:rsidR="00881E53" w:rsidRPr="00E152D8" w:rsidRDefault="001B5F92"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279BF0FA" w14:textId="77777777" w:rsidR="00881E53" w:rsidRPr="00E152D8" w:rsidRDefault="001B5F92"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3AA82AB3" w14:textId="77777777" w:rsidR="00881E53" w:rsidRDefault="000A6DD4">
    <w:pPr>
      <w:pStyle w:val="Encabezado"/>
    </w:pPr>
    <w:r>
      <w:rPr>
        <w:noProof/>
      </w:rPr>
      <w:pict w14:anchorId="6F7A1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7FC9" w14:textId="38E14AA4" w:rsidR="003067B6" w:rsidRPr="003067B6" w:rsidRDefault="000A6DD4">
    <w:pPr>
      <w:rPr>
        <w:sz w:val="12"/>
      </w:rPr>
    </w:pPr>
    <w:r>
      <w:rPr>
        <w:noProof/>
      </w:rPr>
      <w:pict w14:anchorId="38D1F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3.35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567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260"/>
    </w:tblGrid>
    <w:tr w:rsidR="00881E53" w:rsidRPr="00E152D8" w14:paraId="2F071FB0" w14:textId="77777777" w:rsidTr="003067B6">
      <w:trPr>
        <w:trHeight w:val="138"/>
      </w:trPr>
      <w:tc>
        <w:tcPr>
          <w:tcW w:w="2410" w:type="dxa"/>
        </w:tcPr>
        <w:p w14:paraId="68979BE5" w14:textId="77777777" w:rsidR="00881E53" w:rsidRPr="00E152D8" w:rsidRDefault="001B5F92"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14:paraId="1B44874C" w14:textId="0A34B15A" w:rsidR="00881E53" w:rsidRPr="00051642" w:rsidRDefault="00E0640C" w:rsidP="003067B6">
          <w:pPr>
            <w:tabs>
              <w:tab w:val="right" w:pos="8838"/>
            </w:tabs>
            <w:ind w:right="33"/>
            <w:rPr>
              <w:rFonts w:eastAsia="Calibri" w:cs="Tahoma"/>
            </w:rPr>
          </w:pPr>
          <w:r w:rsidRPr="00860BF3">
            <w:rPr>
              <w:rFonts w:eastAsia="Calibri" w:cs="Tahoma"/>
            </w:rPr>
            <w:t>00</w:t>
          </w:r>
          <w:r>
            <w:rPr>
              <w:rFonts w:eastAsia="Calibri" w:cs="Tahoma"/>
            </w:rPr>
            <w:t>961</w:t>
          </w:r>
          <w:r w:rsidRPr="00860BF3">
            <w:rPr>
              <w:rFonts w:eastAsia="Calibri" w:cs="Tahoma"/>
            </w:rPr>
            <w:t xml:space="preserve">/INFOEM/IP/RR/2022 </w:t>
          </w:r>
          <w:r w:rsidR="001B5F92">
            <w:rPr>
              <w:rFonts w:eastAsia="Calibri" w:cs="Tahoma"/>
              <w:lang w:val="es-MX"/>
            </w:rPr>
            <w:t>y acumulado</w:t>
          </w:r>
        </w:p>
      </w:tc>
    </w:tr>
    <w:tr w:rsidR="00881E53" w:rsidRPr="00E152D8" w14:paraId="0A8A0F8B" w14:textId="77777777" w:rsidTr="003067B6">
      <w:trPr>
        <w:trHeight w:val="273"/>
      </w:trPr>
      <w:tc>
        <w:tcPr>
          <w:tcW w:w="2410" w:type="dxa"/>
        </w:tcPr>
        <w:p w14:paraId="3F577BCE" w14:textId="77777777" w:rsidR="00881E53" w:rsidRPr="00E152D8" w:rsidRDefault="001B5F92"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1A3551A6" w14:textId="2814CCCA" w:rsidR="00881E53" w:rsidRPr="00051642" w:rsidRDefault="001B5F92" w:rsidP="00881E53">
          <w:pPr>
            <w:tabs>
              <w:tab w:val="right" w:pos="8838"/>
            </w:tabs>
            <w:ind w:left="-28" w:right="-32"/>
            <w:rPr>
              <w:rFonts w:eastAsia="Calibri" w:cs="Tahoma"/>
              <w:lang w:val="es-MX"/>
            </w:rPr>
          </w:pPr>
          <w:r>
            <w:rPr>
              <w:rFonts w:eastAsia="Calibri" w:cs="Tahoma"/>
              <w:lang w:val="es-MX"/>
            </w:rPr>
            <w:t xml:space="preserve">Ayuntamiento de </w:t>
          </w:r>
          <w:r w:rsidR="0090192D">
            <w:rPr>
              <w:rFonts w:eastAsia="Calibri" w:cs="Tahoma"/>
              <w:lang w:val="es-MX"/>
            </w:rPr>
            <w:t>Santo Tomás</w:t>
          </w:r>
        </w:p>
      </w:tc>
    </w:tr>
    <w:tr w:rsidR="00881E53" w:rsidRPr="00E152D8" w14:paraId="6A0D3799" w14:textId="77777777" w:rsidTr="003067B6">
      <w:trPr>
        <w:trHeight w:val="273"/>
      </w:trPr>
      <w:tc>
        <w:tcPr>
          <w:tcW w:w="2410" w:type="dxa"/>
        </w:tcPr>
        <w:p w14:paraId="6D8310D9" w14:textId="77777777" w:rsidR="00881E53" w:rsidRPr="00E152D8" w:rsidRDefault="001B5F92"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582A4E5D" w14:textId="77777777" w:rsidR="00881E53" w:rsidRPr="00E152D8" w:rsidRDefault="001B5F92"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181AE56A" w14:textId="18135645" w:rsidR="00881E53" w:rsidRDefault="000A6DD4" w:rsidP="00881E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121"/>
    </w:tblGrid>
    <w:tr w:rsidR="00881E53" w:rsidRPr="00E152D8" w14:paraId="4CF4EB00" w14:textId="77777777" w:rsidTr="009878BF">
      <w:trPr>
        <w:trHeight w:val="132"/>
      </w:trPr>
      <w:tc>
        <w:tcPr>
          <w:tcW w:w="2691" w:type="dxa"/>
        </w:tcPr>
        <w:p w14:paraId="47ED5DEF" w14:textId="77777777" w:rsidR="00881E53" w:rsidRPr="00E152D8" w:rsidRDefault="001B5F92" w:rsidP="00881E53">
          <w:pPr>
            <w:tabs>
              <w:tab w:val="right" w:pos="8838"/>
            </w:tabs>
            <w:ind w:right="-105"/>
            <w:rPr>
              <w:rFonts w:eastAsia="Calibri" w:cs="Tahoma"/>
              <w:b/>
              <w:lang w:val="es-MX"/>
            </w:rPr>
          </w:pPr>
          <w:r w:rsidRPr="00E152D8">
            <w:rPr>
              <w:rFonts w:eastAsia="Calibri" w:cs="Tahoma"/>
              <w:b/>
              <w:lang w:val="es-MX"/>
            </w:rPr>
            <w:t>Recurso de Revisión:</w:t>
          </w:r>
        </w:p>
      </w:tc>
      <w:tc>
        <w:tcPr>
          <w:tcW w:w="3121" w:type="dxa"/>
        </w:tcPr>
        <w:p w14:paraId="7839656C" w14:textId="194DDFF3" w:rsidR="00881E53" w:rsidRPr="00051642" w:rsidRDefault="001B5F92" w:rsidP="00881E53">
          <w:pPr>
            <w:tabs>
              <w:tab w:val="right" w:pos="8838"/>
            </w:tabs>
            <w:ind w:left="-111" w:right="-32"/>
            <w:rPr>
              <w:rFonts w:eastAsia="Calibri" w:cs="Tahoma"/>
            </w:rPr>
          </w:pPr>
          <w:r>
            <w:rPr>
              <w:rFonts w:eastAsia="Calibri" w:cs="Tahoma"/>
              <w:lang w:val="es-MX"/>
            </w:rPr>
            <w:t>00</w:t>
          </w:r>
          <w:r w:rsidR="002D6D69">
            <w:rPr>
              <w:rFonts w:eastAsia="Calibri" w:cs="Tahoma"/>
              <w:lang w:val="es-MX"/>
            </w:rPr>
            <w:t>96</w:t>
          </w:r>
          <w:r>
            <w:rPr>
              <w:rFonts w:eastAsia="Calibri" w:cs="Tahoma"/>
              <w:lang w:val="es-MX"/>
            </w:rPr>
            <w:t>1/INFOEM/IP/RR/2022 y acumulado</w:t>
          </w:r>
        </w:p>
      </w:tc>
    </w:tr>
    <w:tr w:rsidR="00881E53" w:rsidRPr="00E152D8" w14:paraId="33A54A87" w14:textId="77777777" w:rsidTr="009878BF">
      <w:trPr>
        <w:trHeight w:val="132"/>
      </w:trPr>
      <w:tc>
        <w:tcPr>
          <w:tcW w:w="2691" w:type="dxa"/>
        </w:tcPr>
        <w:p w14:paraId="6AE8481F" w14:textId="77777777" w:rsidR="00881E53" w:rsidRPr="00E152D8" w:rsidRDefault="001B5F92"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21" w:type="dxa"/>
        </w:tcPr>
        <w:p w14:paraId="6C23C764" w14:textId="5B951A9C" w:rsidR="00881E53" w:rsidRPr="00E152D8" w:rsidRDefault="000A6DD4" w:rsidP="00881E53">
          <w:pPr>
            <w:tabs>
              <w:tab w:val="right" w:pos="8838"/>
            </w:tabs>
            <w:ind w:left="-111" w:right="-109"/>
            <w:rPr>
              <w:rFonts w:eastAsia="Calibri" w:cs="Tahoma"/>
              <w:lang w:val="es-MX"/>
            </w:rPr>
          </w:pPr>
        </w:p>
      </w:tc>
    </w:tr>
    <w:tr w:rsidR="00881E53" w:rsidRPr="00E152D8" w14:paraId="3F94D342" w14:textId="77777777" w:rsidTr="009878BF">
      <w:trPr>
        <w:trHeight w:val="261"/>
      </w:trPr>
      <w:tc>
        <w:tcPr>
          <w:tcW w:w="2691" w:type="dxa"/>
        </w:tcPr>
        <w:p w14:paraId="6728F8FA" w14:textId="77777777" w:rsidR="00881E53" w:rsidRPr="00E152D8" w:rsidRDefault="001B5F92"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21" w:type="dxa"/>
        </w:tcPr>
        <w:p w14:paraId="29E48A27" w14:textId="50674261" w:rsidR="00881E53" w:rsidRPr="00051642" w:rsidRDefault="001B5F92" w:rsidP="005E139E">
          <w:pPr>
            <w:tabs>
              <w:tab w:val="right" w:pos="8838"/>
            </w:tabs>
            <w:ind w:left="-111" w:right="-32"/>
            <w:rPr>
              <w:rFonts w:eastAsia="Calibri" w:cs="Tahoma"/>
              <w:lang w:val="es-MX"/>
            </w:rPr>
          </w:pPr>
          <w:r>
            <w:rPr>
              <w:rFonts w:eastAsia="Calibri" w:cs="Tahoma"/>
              <w:lang w:val="es-MX"/>
            </w:rPr>
            <w:t xml:space="preserve">Ayuntamiento de </w:t>
          </w:r>
          <w:r w:rsidR="002D6D69">
            <w:rPr>
              <w:rFonts w:eastAsia="Calibri" w:cs="Tahoma"/>
              <w:lang w:val="es-MX"/>
            </w:rPr>
            <w:t>Santo Tomás</w:t>
          </w:r>
        </w:p>
      </w:tc>
    </w:tr>
    <w:tr w:rsidR="00881E53" w:rsidRPr="00E152D8" w14:paraId="0E61CD9D" w14:textId="77777777" w:rsidTr="009878BF">
      <w:trPr>
        <w:trHeight w:val="261"/>
      </w:trPr>
      <w:tc>
        <w:tcPr>
          <w:tcW w:w="2691" w:type="dxa"/>
        </w:tcPr>
        <w:p w14:paraId="4B7963B1" w14:textId="77777777" w:rsidR="00881E53" w:rsidRPr="00E152D8" w:rsidRDefault="001B5F92" w:rsidP="00881E53">
          <w:pPr>
            <w:tabs>
              <w:tab w:val="right" w:pos="8838"/>
            </w:tabs>
            <w:ind w:right="-105"/>
            <w:rPr>
              <w:rFonts w:eastAsia="Calibri" w:cs="Tahoma"/>
              <w:b/>
              <w:lang w:val="es-MX"/>
            </w:rPr>
          </w:pPr>
          <w:r w:rsidRPr="00E152D8">
            <w:rPr>
              <w:rFonts w:eastAsia="Calibri" w:cs="Tahoma"/>
              <w:b/>
              <w:lang w:val="es-MX"/>
            </w:rPr>
            <w:t>Comisionado Ponente:</w:t>
          </w:r>
        </w:p>
      </w:tc>
      <w:tc>
        <w:tcPr>
          <w:tcW w:w="3121" w:type="dxa"/>
        </w:tcPr>
        <w:p w14:paraId="0AF2598B" w14:textId="77777777" w:rsidR="00881E53" w:rsidRPr="00E152D8" w:rsidRDefault="001B5F92"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5919C8A4" w14:textId="77777777" w:rsidR="00881E53" w:rsidRDefault="000A6DD4" w:rsidP="00881E53">
    <w:pPr>
      <w:pStyle w:val="Encabezado"/>
      <w:tabs>
        <w:tab w:val="left" w:pos="5812"/>
      </w:tabs>
    </w:pPr>
    <w:r>
      <w:rPr>
        <w:noProof/>
      </w:rPr>
      <w:pict w14:anchorId="6A71B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91.8pt;margin-top:-127.5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CCB76A3"/>
    <w:multiLevelType w:val="hybridMultilevel"/>
    <w:tmpl w:val="30E64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932078594">
    <w:abstractNumId w:val="0"/>
  </w:num>
  <w:num w:numId="2" w16cid:durableId="1189758562">
    <w:abstractNumId w:val="2"/>
  </w:num>
  <w:num w:numId="3" w16cid:durableId="76757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69"/>
    <w:rsid w:val="0001495E"/>
    <w:rsid w:val="000A6DD4"/>
    <w:rsid w:val="00121A5A"/>
    <w:rsid w:val="00154A91"/>
    <w:rsid w:val="001B5F92"/>
    <w:rsid w:val="002217B7"/>
    <w:rsid w:val="002D6D69"/>
    <w:rsid w:val="003067B6"/>
    <w:rsid w:val="00312FD6"/>
    <w:rsid w:val="00357303"/>
    <w:rsid w:val="003F6F02"/>
    <w:rsid w:val="004B3491"/>
    <w:rsid w:val="004D2BA8"/>
    <w:rsid w:val="004D489A"/>
    <w:rsid w:val="004E05E0"/>
    <w:rsid w:val="00516366"/>
    <w:rsid w:val="005635E2"/>
    <w:rsid w:val="005B404C"/>
    <w:rsid w:val="005C3C1E"/>
    <w:rsid w:val="0072368E"/>
    <w:rsid w:val="007367F8"/>
    <w:rsid w:val="00790048"/>
    <w:rsid w:val="007F7EA0"/>
    <w:rsid w:val="00855A27"/>
    <w:rsid w:val="00882201"/>
    <w:rsid w:val="008D2D61"/>
    <w:rsid w:val="0090192D"/>
    <w:rsid w:val="0098367F"/>
    <w:rsid w:val="009878BF"/>
    <w:rsid w:val="00A823B7"/>
    <w:rsid w:val="00A96068"/>
    <w:rsid w:val="00BA6CBB"/>
    <w:rsid w:val="00C2676E"/>
    <w:rsid w:val="00C31605"/>
    <w:rsid w:val="00CE6BA2"/>
    <w:rsid w:val="00DA28B1"/>
    <w:rsid w:val="00E0640C"/>
    <w:rsid w:val="00E21B37"/>
    <w:rsid w:val="00E505C8"/>
    <w:rsid w:val="00EB2F43"/>
    <w:rsid w:val="00EC7E5C"/>
    <w:rsid w:val="00FE7D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901B"/>
  <w15:chartTrackingRefBased/>
  <w15:docId w15:val="{D427D1D1-1EA2-4435-9C95-70765A42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6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6D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6D69"/>
    <w:rPr>
      <w:rFonts w:ascii="Palatino Linotype" w:hAnsi="Palatino Linotype"/>
      <w:color w:val="000000" w:themeColor="text1"/>
    </w:rPr>
  </w:style>
  <w:style w:type="paragraph" w:styleId="Piedepgina">
    <w:name w:val="footer"/>
    <w:basedOn w:val="Normal"/>
    <w:link w:val="PiedepginaCar"/>
    <w:uiPriority w:val="99"/>
    <w:unhideWhenUsed/>
    <w:rsid w:val="002D6D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6D69"/>
    <w:rPr>
      <w:rFonts w:ascii="Palatino Linotype" w:hAnsi="Palatino Linotype"/>
      <w:color w:val="000000" w:themeColor="text1"/>
    </w:rPr>
  </w:style>
  <w:style w:type="table" w:styleId="Tablaconcuadrcula">
    <w:name w:val="Table Grid"/>
    <w:basedOn w:val="Tablanormal"/>
    <w:uiPriority w:val="39"/>
    <w:qFormat/>
    <w:rsid w:val="002D6D6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D6D6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D6D6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5002</Words>
  <Characters>27512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Yesica Gonzales Romero</cp:lastModifiedBy>
  <cp:revision>2</cp:revision>
  <dcterms:created xsi:type="dcterms:W3CDTF">2022-05-18T03:13:00Z</dcterms:created>
  <dcterms:modified xsi:type="dcterms:W3CDTF">2022-05-18T03:13:00Z</dcterms:modified>
</cp:coreProperties>
</file>