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05CB07A" w14:textId="07FB847A" w:rsidR="005A3DCE" w:rsidRPr="00506B40" w:rsidRDefault="006E4886" w:rsidP="00A50A86">
      <w:pPr>
        <w:spacing w:before="240" w:after="240" w:line="360" w:lineRule="auto"/>
        <w:jc w:val="both"/>
        <w:rPr>
          <w:rFonts w:ascii="Palatino Linotype" w:eastAsia="Palatino Linotype" w:hAnsi="Palatino Linotype" w:cs="Palatino Linotype"/>
          <w:b/>
        </w:rPr>
      </w:pPr>
      <w:r w:rsidRPr="00506B40">
        <w:rPr>
          <w:rFonts w:ascii="Palatino Linotype" w:eastAsia="Palatino Linotype" w:hAnsi="Palatino Linotype" w:cs="Palatino Linotype"/>
        </w:rPr>
        <w:t xml:space="preserve">Resolución del Pleno del Instituto de Transparencia, Acceso a la Información Pública y Protección de Datos Personales del Estado de México y Municipios, con domicilio en Metepec, </w:t>
      </w:r>
      <w:r w:rsidR="00E41CEB" w:rsidRPr="00506B40">
        <w:rPr>
          <w:rFonts w:ascii="Palatino Linotype" w:eastAsia="Palatino Linotype" w:hAnsi="Palatino Linotype" w:cs="Palatino Linotype"/>
        </w:rPr>
        <w:t>Esta</w:t>
      </w:r>
      <w:r w:rsidR="00C13E73" w:rsidRPr="00506B40">
        <w:rPr>
          <w:rFonts w:ascii="Palatino Linotype" w:eastAsia="Palatino Linotype" w:hAnsi="Palatino Linotype" w:cs="Palatino Linotype"/>
        </w:rPr>
        <w:t xml:space="preserve">do de México, de fecha </w:t>
      </w:r>
      <w:r w:rsidR="00A50A86" w:rsidRPr="00506B40">
        <w:rPr>
          <w:rFonts w:ascii="Palatino Linotype" w:eastAsia="Palatino Linotype" w:hAnsi="Palatino Linotype" w:cs="Palatino Linotype"/>
          <w:b/>
        </w:rPr>
        <w:t>dieciséis</w:t>
      </w:r>
      <w:r w:rsidR="001300F4" w:rsidRPr="00506B40">
        <w:rPr>
          <w:rFonts w:ascii="Palatino Linotype" w:eastAsia="Palatino Linotype" w:hAnsi="Palatino Linotype" w:cs="Palatino Linotype"/>
          <w:b/>
        </w:rPr>
        <w:t xml:space="preserve"> de noviembre</w:t>
      </w:r>
      <w:r w:rsidRPr="00506B40">
        <w:rPr>
          <w:rFonts w:ascii="Palatino Linotype" w:eastAsia="Palatino Linotype" w:hAnsi="Palatino Linotype" w:cs="Palatino Linotype"/>
          <w:b/>
        </w:rPr>
        <w:t xml:space="preserve"> del dos mil veintidós. </w:t>
      </w:r>
    </w:p>
    <w:p w14:paraId="0EEB1622" w14:textId="77777777" w:rsidR="005A3DCE" w:rsidRPr="00506B40" w:rsidRDefault="006E4886">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Visto</w:t>
      </w:r>
      <w:r w:rsidRPr="00506B40">
        <w:rPr>
          <w:rFonts w:ascii="Palatino Linotype" w:eastAsia="Palatino Linotype" w:hAnsi="Palatino Linotype" w:cs="Palatino Linotype"/>
        </w:rPr>
        <w:t xml:space="preserve"> el expediente relativo al recurso de revisión </w:t>
      </w:r>
      <w:r w:rsidR="001300F4" w:rsidRPr="00506B40">
        <w:rPr>
          <w:rFonts w:ascii="Palatino Linotype" w:eastAsia="Palatino Linotype" w:hAnsi="Palatino Linotype" w:cs="Palatino Linotype"/>
          <w:b/>
        </w:rPr>
        <w:t>12019</w:t>
      </w:r>
      <w:r w:rsidRPr="00506B40">
        <w:rPr>
          <w:rFonts w:ascii="Palatino Linotype" w:eastAsia="Palatino Linotype" w:hAnsi="Palatino Linotype" w:cs="Palatino Linotype"/>
          <w:b/>
        </w:rPr>
        <w:t>/INFOEM/IP/RR/2022</w:t>
      </w:r>
      <w:r w:rsidRPr="00506B40">
        <w:rPr>
          <w:rFonts w:ascii="Palatino Linotype" w:eastAsia="Palatino Linotype" w:hAnsi="Palatino Linotype" w:cs="Palatino Linotype"/>
        </w:rPr>
        <w:t>, interpuesto por</w:t>
      </w:r>
      <w:r w:rsidRPr="00506B40">
        <w:rPr>
          <w:rFonts w:ascii="Palatino Linotype" w:eastAsia="Palatino Linotype" w:hAnsi="Palatino Linotype" w:cs="Palatino Linotype"/>
          <w:b/>
        </w:rPr>
        <w:t xml:space="preserve"> </w:t>
      </w:r>
      <w:r w:rsidR="001300F4" w:rsidRPr="00506B40">
        <w:rPr>
          <w:rFonts w:ascii="Palatino Linotype" w:eastAsia="Palatino Linotype" w:hAnsi="Palatino Linotype" w:cs="Palatino Linotype"/>
          <w:b/>
        </w:rPr>
        <w:t>un particular que no proporcionó nombre ni seudónimo</w:t>
      </w:r>
      <w:r w:rsidRPr="00506B40">
        <w:rPr>
          <w:rFonts w:ascii="Palatino Linotype" w:eastAsia="Palatino Linotype" w:hAnsi="Palatino Linotype" w:cs="Palatino Linotype"/>
          <w:b/>
        </w:rPr>
        <w:t>,</w:t>
      </w:r>
      <w:r w:rsidRPr="00506B40">
        <w:rPr>
          <w:rFonts w:ascii="Palatino Linotype" w:eastAsia="Palatino Linotype" w:hAnsi="Palatino Linotype" w:cs="Palatino Linotype"/>
        </w:rPr>
        <w:t xml:space="preserve"> en lo sucesivo </w:t>
      </w:r>
      <w:r w:rsidR="001300F4" w:rsidRPr="00506B40">
        <w:rPr>
          <w:rFonts w:ascii="Palatino Linotype" w:eastAsia="Palatino Linotype" w:hAnsi="Palatino Linotype" w:cs="Palatino Linotype"/>
        </w:rPr>
        <w:t>la parte</w:t>
      </w:r>
      <w:r w:rsidRPr="00506B40">
        <w:rPr>
          <w:rFonts w:ascii="Palatino Linotype" w:eastAsia="Palatino Linotype" w:hAnsi="Palatino Linotype" w:cs="Palatino Linotype"/>
        </w:rPr>
        <w:t xml:space="preserve"> </w:t>
      </w:r>
      <w:r w:rsidRPr="00506B40">
        <w:rPr>
          <w:rFonts w:ascii="Palatino Linotype" w:eastAsia="Palatino Linotype" w:hAnsi="Palatino Linotype" w:cs="Palatino Linotype"/>
          <w:b/>
        </w:rPr>
        <w:t>RECURRENTE</w:t>
      </w:r>
      <w:r w:rsidRPr="00506B40">
        <w:rPr>
          <w:rFonts w:ascii="Palatino Linotype" w:eastAsia="Palatino Linotype" w:hAnsi="Palatino Linotype" w:cs="Palatino Linotype"/>
        </w:rPr>
        <w:t xml:space="preserve">, en contra de la respuesta a su solicitud de información con número de folio </w:t>
      </w:r>
      <w:r w:rsidR="001300F4" w:rsidRPr="00506B40">
        <w:rPr>
          <w:rFonts w:ascii="Palatino Linotype" w:eastAsia="Palatino Linotype" w:hAnsi="Palatino Linotype" w:cs="Palatino Linotype"/>
          <w:b/>
        </w:rPr>
        <w:t>00576/TLALNEPA/IP/2022</w:t>
      </w:r>
      <w:r w:rsidRPr="00506B40">
        <w:rPr>
          <w:rFonts w:ascii="Palatino Linotype" w:eastAsia="Palatino Linotype" w:hAnsi="Palatino Linotype" w:cs="Palatino Linotype"/>
        </w:rPr>
        <w:t xml:space="preserve">, por parte del </w:t>
      </w:r>
      <w:r w:rsidRPr="00506B40">
        <w:rPr>
          <w:rFonts w:ascii="Palatino Linotype" w:eastAsia="Palatino Linotype" w:hAnsi="Palatino Linotype" w:cs="Palatino Linotype"/>
          <w:b/>
        </w:rPr>
        <w:t xml:space="preserve">Ayuntamiento </w:t>
      </w:r>
      <w:r w:rsidR="001300F4" w:rsidRPr="00506B40">
        <w:rPr>
          <w:rFonts w:ascii="Palatino Linotype" w:eastAsia="Palatino Linotype" w:hAnsi="Palatino Linotype" w:cs="Palatino Linotype"/>
          <w:b/>
        </w:rPr>
        <w:t>de Tlalnepantla de Baz</w:t>
      </w:r>
      <w:r w:rsidRPr="00506B40">
        <w:rPr>
          <w:rFonts w:ascii="Palatino Linotype" w:eastAsia="Palatino Linotype" w:hAnsi="Palatino Linotype" w:cs="Palatino Linotype"/>
          <w:b/>
        </w:rPr>
        <w:t>,</w:t>
      </w:r>
      <w:r w:rsidRPr="00506B40">
        <w:rPr>
          <w:rFonts w:ascii="Palatino Linotype" w:eastAsia="Palatino Linotype" w:hAnsi="Palatino Linotype" w:cs="Palatino Linotype"/>
        </w:rPr>
        <w:t xml:space="preserve"> en lo sucesivo el </w:t>
      </w:r>
      <w:r w:rsidRPr="00506B40">
        <w:rPr>
          <w:rFonts w:ascii="Palatino Linotype" w:eastAsia="Palatino Linotype" w:hAnsi="Palatino Linotype" w:cs="Palatino Linotype"/>
          <w:b/>
        </w:rPr>
        <w:t xml:space="preserve">SUJETO OBLIGADO; </w:t>
      </w:r>
      <w:r w:rsidRPr="00506B40">
        <w:rPr>
          <w:rFonts w:ascii="Palatino Linotype" w:eastAsia="Palatino Linotype" w:hAnsi="Palatino Linotype" w:cs="Palatino Linotype"/>
        </w:rPr>
        <w:t>se procede a dictar la presente resolución, con base en los siguientes:</w:t>
      </w:r>
    </w:p>
    <w:p w14:paraId="6BBCD9B6" w14:textId="77777777" w:rsidR="005A3DCE" w:rsidRPr="00506B40" w:rsidRDefault="006E4886">
      <w:pPr>
        <w:numPr>
          <w:ilvl w:val="0"/>
          <w:numId w:val="4"/>
        </w:numPr>
        <w:pBdr>
          <w:top w:val="nil"/>
          <w:left w:val="nil"/>
          <w:bottom w:val="nil"/>
          <w:right w:val="nil"/>
          <w:between w:val="nil"/>
        </w:pBdr>
        <w:spacing w:before="240" w:after="240" w:line="360" w:lineRule="auto"/>
        <w:ind w:left="1077"/>
        <w:jc w:val="center"/>
        <w:rPr>
          <w:rFonts w:ascii="Palatino Linotype" w:eastAsia="Palatino Linotype" w:hAnsi="Palatino Linotype" w:cs="Palatino Linotype"/>
          <w:b/>
          <w:sz w:val="22"/>
          <w:szCs w:val="22"/>
          <w:lang w:val="pt-BR"/>
        </w:rPr>
      </w:pPr>
      <w:r w:rsidRPr="00506B40">
        <w:rPr>
          <w:rFonts w:ascii="Palatino Linotype" w:eastAsia="Palatino Linotype" w:hAnsi="Palatino Linotype" w:cs="Palatino Linotype"/>
          <w:b/>
          <w:sz w:val="22"/>
          <w:szCs w:val="22"/>
          <w:lang w:val="pt-BR"/>
        </w:rPr>
        <w:t>A N T E C E D E N T E S:</w:t>
      </w:r>
    </w:p>
    <w:p w14:paraId="46F90045" w14:textId="77777777" w:rsidR="005A3DCE" w:rsidRPr="00506B40" w:rsidRDefault="006E4886">
      <w:pPr>
        <w:spacing w:before="240" w:after="240" w:line="360" w:lineRule="auto"/>
        <w:jc w:val="both"/>
        <w:rPr>
          <w:rFonts w:ascii="Palatino Linotype" w:eastAsia="Palatino Linotype" w:hAnsi="Palatino Linotype" w:cs="Palatino Linotype"/>
          <w:b/>
        </w:rPr>
      </w:pPr>
      <w:r w:rsidRPr="00506B40">
        <w:rPr>
          <w:rFonts w:ascii="Palatino Linotype" w:eastAsia="Palatino Linotype" w:hAnsi="Palatino Linotype" w:cs="Palatino Linotype"/>
          <w:b/>
        </w:rPr>
        <w:t xml:space="preserve">1. Solicitud de acceso a la información. </w:t>
      </w:r>
      <w:r w:rsidR="00E41CEB" w:rsidRPr="00506B40">
        <w:rPr>
          <w:rFonts w:ascii="Palatino Linotype" w:eastAsia="Palatino Linotype" w:hAnsi="Palatino Linotype" w:cs="Palatino Linotype"/>
        </w:rPr>
        <w:t xml:space="preserve">Con fecha </w:t>
      </w:r>
      <w:r w:rsidR="001300F4" w:rsidRPr="00506B40">
        <w:rPr>
          <w:rFonts w:ascii="Palatino Linotype" w:eastAsia="Palatino Linotype" w:hAnsi="Palatino Linotype" w:cs="Palatino Linotype"/>
          <w:b/>
        </w:rPr>
        <w:t>veinte</w:t>
      </w:r>
      <w:r w:rsidR="00E41CEB" w:rsidRPr="00506B40">
        <w:rPr>
          <w:rFonts w:ascii="Palatino Linotype" w:eastAsia="Palatino Linotype" w:hAnsi="Palatino Linotype" w:cs="Palatino Linotype"/>
          <w:b/>
        </w:rPr>
        <w:t xml:space="preserve"> de </w:t>
      </w:r>
      <w:r w:rsidR="001300F4" w:rsidRPr="00506B40">
        <w:rPr>
          <w:rFonts w:ascii="Palatino Linotype" w:eastAsia="Palatino Linotype" w:hAnsi="Palatino Linotype" w:cs="Palatino Linotype"/>
          <w:b/>
        </w:rPr>
        <w:t>junio</w:t>
      </w:r>
      <w:r w:rsidRPr="00506B40">
        <w:rPr>
          <w:rFonts w:ascii="Palatino Linotype" w:eastAsia="Palatino Linotype" w:hAnsi="Palatino Linotype" w:cs="Palatino Linotype"/>
          <w:b/>
        </w:rPr>
        <w:t xml:space="preserve"> del dos mil veintidós</w:t>
      </w:r>
      <w:r w:rsidRPr="00506B40">
        <w:rPr>
          <w:rFonts w:ascii="Palatino Linotype" w:eastAsia="Palatino Linotype" w:hAnsi="Palatino Linotype" w:cs="Palatino Linotype"/>
        </w:rPr>
        <w:t xml:space="preserve">, la parte </w:t>
      </w:r>
      <w:r w:rsidRPr="00506B40">
        <w:rPr>
          <w:rFonts w:ascii="Palatino Linotype" w:eastAsia="Palatino Linotype" w:hAnsi="Palatino Linotype" w:cs="Palatino Linotype"/>
          <w:b/>
        </w:rPr>
        <w:t>RECURRENTE</w:t>
      </w:r>
      <w:r w:rsidRPr="00506B40">
        <w:rPr>
          <w:rFonts w:ascii="Palatino Linotype" w:eastAsia="Palatino Linotype" w:hAnsi="Palatino Linotype" w:cs="Palatino Linotype"/>
        </w:rPr>
        <w:t xml:space="preserve"> formuló solicitud de acceso a información pública al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a través del Sistema de Acceso a la Información Mexiquense, en adelante </w:t>
      </w:r>
      <w:r w:rsidRPr="00506B40">
        <w:rPr>
          <w:rFonts w:ascii="Palatino Linotype" w:eastAsia="Palatino Linotype" w:hAnsi="Palatino Linotype" w:cs="Palatino Linotype"/>
          <w:b/>
        </w:rPr>
        <w:t>SAIMEX,</w:t>
      </w:r>
      <w:r w:rsidRPr="00506B40">
        <w:rPr>
          <w:rFonts w:ascii="Palatino Linotype" w:eastAsia="Palatino Linotype" w:hAnsi="Palatino Linotype" w:cs="Palatino Linotype"/>
        </w:rPr>
        <w:t xml:space="preserve"> requiriéndole lo siguiente:</w:t>
      </w:r>
    </w:p>
    <w:p w14:paraId="598C394C" w14:textId="77777777" w:rsidR="005A3DCE" w:rsidRPr="00506B40" w:rsidRDefault="006E4886">
      <w:pPr>
        <w:spacing w:before="240" w:after="240"/>
        <w:ind w:left="851" w:right="900"/>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w:t>
      </w:r>
      <w:r w:rsidR="001300F4" w:rsidRPr="00506B40">
        <w:rPr>
          <w:rFonts w:ascii="Palatino Linotype" w:eastAsia="Palatino Linotype" w:hAnsi="Palatino Linotype" w:cs="Palatino Linotype"/>
          <w:i/>
          <w:sz w:val="22"/>
          <w:szCs w:val="22"/>
        </w:rPr>
        <w:t xml:space="preserve">Todas </w:t>
      </w:r>
      <w:proofErr w:type="spellStart"/>
      <w:r w:rsidR="001300F4" w:rsidRPr="00506B40">
        <w:rPr>
          <w:rFonts w:ascii="Palatino Linotype" w:eastAsia="Palatino Linotype" w:hAnsi="Palatino Linotype" w:cs="Palatino Linotype"/>
          <w:i/>
          <w:sz w:val="22"/>
          <w:szCs w:val="22"/>
        </w:rPr>
        <w:t>laa</w:t>
      </w:r>
      <w:proofErr w:type="spellEnd"/>
      <w:r w:rsidR="001300F4" w:rsidRPr="00506B40">
        <w:rPr>
          <w:rFonts w:ascii="Palatino Linotype" w:eastAsia="Palatino Linotype" w:hAnsi="Palatino Linotype" w:cs="Palatino Linotype"/>
          <w:i/>
          <w:sz w:val="22"/>
          <w:szCs w:val="22"/>
        </w:rPr>
        <w:t xml:space="preserve"> resolución emitidas por el INFOEM a su Sujeto Obligado en el año 2022. </w:t>
      </w:r>
      <w:r w:rsidRPr="00506B40">
        <w:rPr>
          <w:rFonts w:ascii="Palatino Linotype" w:eastAsia="Palatino Linotype" w:hAnsi="Palatino Linotype" w:cs="Palatino Linotype"/>
          <w:i/>
          <w:sz w:val="22"/>
          <w:szCs w:val="22"/>
        </w:rPr>
        <w:t>(Sic)</w:t>
      </w:r>
    </w:p>
    <w:p w14:paraId="737EF777" w14:textId="77777777" w:rsidR="005A3DCE" w:rsidRPr="00506B40" w:rsidRDefault="006E4886">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Modalidad elegida para la entrega de la información: </w:t>
      </w:r>
      <w:r w:rsidRPr="00506B40">
        <w:rPr>
          <w:rFonts w:ascii="Palatino Linotype" w:eastAsia="Palatino Linotype" w:hAnsi="Palatino Linotype" w:cs="Palatino Linotype"/>
        </w:rPr>
        <w:t xml:space="preserve">a través del </w:t>
      </w:r>
      <w:r w:rsidRPr="00506B40">
        <w:rPr>
          <w:rFonts w:ascii="Palatino Linotype" w:eastAsia="Palatino Linotype" w:hAnsi="Palatino Linotype" w:cs="Palatino Linotype"/>
          <w:b/>
        </w:rPr>
        <w:t>SAIMEX</w:t>
      </w:r>
      <w:r w:rsidRPr="00506B40">
        <w:rPr>
          <w:rFonts w:ascii="Palatino Linotype" w:eastAsia="Palatino Linotype" w:hAnsi="Palatino Linotype" w:cs="Palatino Linotype"/>
        </w:rPr>
        <w:t>.</w:t>
      </w:r>
    </w:p>
    <w:p w14:paraId="68E88EC8" w14:textId="77777777" w:rsidR="005A3DCE" w:rsidRPr="00506B40" w:rsidRDefault="006E4886" w:rsidP="00863080">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2.</w:t>
      </w:r>
      <w:r w:rsidR="001300F4" w:rsidRPr="00506B40">
        <w:t xml:space="preserve"> </w:t>
      </w:r>
      <w:r w:rsidR="00863080" w:rsidRPr="00506B40">
        <w:rPr>
          <w:rFonts w:ascii="Palatino Linotype" w:eastAsia="Palatino Linotype" w:hAnsi="Palatino Linotype" w:cs="Palatino Linotype"/>
          <w:b/>
        </w:rPr>
        <w:t xml:space="preserve">Acuerdo </w:t>
      </w:r>
      <w:r w:rsidR="001300F4" w:rsidRPr="00506B40">
        <w:rPr>
          <w:rFonts w:ascii="Palatino Linotype" w:eastAsia="Palatino Linotype" w:hAnsi="Palatino Linotype" w:cs="Palatino Linotype"/>
          <w:b/>
        </w:rPr>
        <w:t>de incompetencia</w:t>
      </w:r>
      <w:r w:rsidRPr="00506B40">
        <w:rPr>
          <w:rFonts w:ascii="Palatino Linotype" w:eastAsia="Palatino Linotype" w:hAnsi="Palatino Linotype" w:cs="Palatino Linotype"/>
          <w:b/>
        </w:rPr>
        <w:t xml:space="preserve">. </w:t>
      </w:r>
      <w:r w:rsidR="00C13E73" w:rsidRPr="00506B40">
        <w:rPr>
          <w:rFonts w:ascii="Palatino Linotype" w:eastAsia="Palatino Linotype" w:hAnsi="Palatino Linotype" w:cs="Palatino Linotype"/>
        </w:rPr>
        <w:t xml:space="preserve">Con fecha </w:t>
      </w:r>
      <w:r w:rsidR="001300F4" w:rsidRPr="00506B40">
        <w:rPr>
          <w:rFonts w:ascii="Palatino Linotype" w:eastAsia="Palatino Linotype" w:hAnsi="Palatino Linotype" w:cs="Palatino Linotype"/>
          <w:b/>
        </w:rPr>
        <w:t>veintidós de junio</w:t>
      </w:r>
      <w:r w:rsidR="00E41CEB" w:rsidRPr="00506B40">
        <w:rPr>
          <w:rFonts w:ascii="Palatino Linotype" w:eastAsia="Palatino Linotype" w:hAnsi="Palatino Linotype" w:cs="Palatino Linotype"/>
          <w:b/>
        </w:rPr>
        <w:t xml:space="preserve"> </w:t>
      </w:r>
      <w:r w:rsidRPr="00506B40">
        <w:rPr>
          <w:rFonts w:ascii="Palatino Linotype" w:eastAsia="Palatino Linotype" w:hAnsi="Palatino Linotype" w:cs="Palatino Linotype"/>
          <w:b/>
        </w:rPr>
        <w:t>de dos mil veintidós</w:t>
      </w:r>
      <w:r w:rsidRPr="00506B40">
        <w:rPr>
          <w:rFonts w:ascii="Palatino Linotype" w:eastAsia="Palatino Linotype" w:hAnsi="Palatino Linotype" w:cs="Palatino Linotype"/>
        </w:rPr>
        <w:t xml:space="preserve"> el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envió su respuesta a la solicitud de acceso a la información a través del SAIMEX, la cual versa como sigue:</w:t>
      </w:r>
    </w:p>
    <w:p w14:paraId="3CBA86EB" w14:textId="77777777" w:rsidR="001300F4" w:rsidRPr="00506B40" w:rsidRDefault="006E4886" w:rsidP="001300F4">
      <w:pPr>
        <w:spacing w:before="240"/>
        <w:ind w:left="851" w:right="902"/>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lastRenderedPageBreak/>
        <w:t>“</w:t>
      </w:r>
      <w:r w:rsidR="001300F4" w:rsidRPr="00506B40">
        <w:rPr>
          <w:rFonts w:ascii="Palatino Linotype" w:eastAsia="Palatino Linotype" w:hAnsi="Palatino Linotype" w:cs="Palatino Linotype"/>
          <w:i/>
          <w:sz w:val="22"/>
          <w:szCs w:val="22"/>
        </w:rPr>
        <w:t>Por este medio reciba un cordial saludo y asimismo se informa que la información solicitada pertenece a las facultades de otro sujeto obligado tal y como se describe en el acuerdo adjunto.</w:t>
      </w:r>
    </w:p>
    <w:p w14:paraId="5AD6AD4D" w14:textId="77777777" w:rsidR="001300F4" w:rsidRPr="00506B40" w:rsidRDefault="001300F4" w:rsidP="001300F4">
      <w:pPr>
        <w:spacing w:before="240"/>
        <w:ind w:left="851" w:right="902"/>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ATENTAMENTE</w:t>
      </w:r>
    </w:p>
    <w:p w14:paraId="78C34B32" w14:textId="77777777" w:rsidR="005A3DCE" w:rsidRPr="00506B40" w:rsidRDefault="001300F4" w:rsidP="001300F4">
      <w:pPr>
        <w:spacing w:before="240"/>
        <w:ind w:left="851" w:right="902"/>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MTRA. CLARA CAMACHO MÉNDEZ</w:t>
      </w:r>
      <w:r w:rsidR="006E4886" w:rsidRPr="00506B40">
        <w:rPr>
          <w:rFonts w:ascii="Palatino Linotype" w:eastAsia="Palatino Linotype" w:hAnsi="Palatino Linotype" w:cs="Palatino Linotype"/>
          <w:i/>
          <w:sz w:val="22"/>
          <w:szCs w:val="22"/>
        </w:rPr>
        <w:t>” (Sic)</w:t>
      </w:r>
    </w:p>
    <w:p w14:paraId="7728B067" w14:textId="77777777" w:rsidR="005A3DCE" w:rsidRPr="00506B40" w:rsidRDefault="005A3DCE">
      <w:pPr>
        <w:ind w:left="851" w:right="902"/>
        <w:jc w:val="both"/>
        <w:rPr>
          <w:rFonts w:ascii="Palatino Linotype" w:eastAsia="Palatino Linotype" w:hAnsi="Palatino Linotype" w:cs="Palatino Linotype"/>
          <w:i/>
          <w:sz w:val="22"/>
          <w:szCs w:val="22"/>
        </w:rPr>
      </w:pPr>
    </w:p>
    <w:p w14:paraId="6F044757" w14:textId="77777777" w:rsidR="005A3DCE" w:rsidRPr="00506B40" w:rsidRDefault="006E4886">
      <w:pPr>
        <w:spacing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El </w:t>
      </w:r>
      <w:r w:rsidRPr="00506B40">
        <w:rPr>
          <w:rFonts w:ascii="Palatino Linotype" w:eastAsia="Palatino Linotype" w:hAnsi="Palatino Linotype" w:cs="Palatino Linotype"/>
          <w:b/>
        </w:rPr>
        <w:t>SUJETO OBLIGADO</w:t>
      </w:r>
      <w:r w:rsidR="00C13E73" w:rsidRPr="00506B40">
        <w:rPr>
          <w:rFonts w:ascii="Palatino Linotype" w:eastAsia="Palatino Linotype" w:hAnsi="Palatino Linotype" w:cs="Palatino Linotype"/>
        </w:rPr>
        <w:t>, Adjuntó a su respuesta el</w:t>
      </w:r>
      <w:r w:rsidRPr="00506B40">
        <w:rPr>
          <w:rFonts w:ascii="Palatino Linotype" w:eastAsia="Palatino Linotype" w:hAnsi="Palatino Linotype" w:cs="Palatino Linotype"/>
        </w:rPr>
        <w:t xml:space="preserve"> archivo electrónico denominado: </w:t>
      </w:r>
    </w:p>
    <w:p w14:paraId="1231D26A" w14:textId="77777777" w:rsidR="005A3DCE" w:rsidRPr="00506B40" w:rsidRDefault="006E4886" w:rsidP="00C13E73">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w:t>
      </w:r>
      <w:r w:rsidR="001300F4" w:rsidRPr="00506B40">
        <w:rPr>
          <w:rFonts w:ascii="Palatino Linotype" w:eastAsia="Palatino Linotype" w:hAnsi="Palatino Linotype" w:cs="Palatino Linotype"/>
          <w:b/>
        </w:rPr>
        <w:t xml:space="preserve">incompetencia </w:t>
      </w:r>
      <w:proofErr w:type="spellStart"/>
      <w:r w:rsidR="001300F4" w:rsidRPr="00506B40">
        <w:rPr>
          <w:rFonts w:ascii="Palatino Linotype" w:eastAsia="Palatino Linotype" w:hAnsi="Palatino Linotype" w:cs="Palatino Linotype"/>
          <w:b/>
        </w:rPr>
        <w:t>saimex</w:t>
      </w:r>
      <w:proofErr w:type="spellEnd"/>
      <w:r w:rsidR="001300F4" w:rsidRPr="00506B40">
        <w:rPr>
          <w:rFonts w:ascii="Palatino Linotype" w:eastAsia="Palatino Linotype" w:hAnsi="Palatino Linotype" w:cs="Palatino Linotype"/>
          <w:b/>
        </w:rPr>
        <w:t xml:space="preserve"> 576.pdf</w:t>
      </w:r>
      <w:r w:rsidRPr="00506B40">
        <w:rPr>
          <w:rFonts w:ascii="Palatino Linotype" w:eastAsia="Palatino Linotype" w:hAnsi="Palatino Linotype" w:cs="Palatino Linotype"/>
          <w:b/>
        </w:rPr>
        <w:t>”,</w:t>
      </w:r>
      <w:r w:rsidRPr="00506B40">
        <w:rPr>
          <w:rFonts w:ascii="Palatino Linotype" w:eastAsia="Palatino Linotype" w:hAnsi="Palatino Linotype" w:cs="Palatino Linotype"/>
        </w:rPr>
        <w:t xml:space="preserve"> el cual contiene </w:t>
      </w:r>
      <w:r w:rsidR="001300F4" w:rsidRPr="00506B40">
        <w:rPr>
          <w:rFonts w:ascii="Palatino Linotype" w:eastAsia="Palatino Linotype" w:hAnsi="Palatino Linotype" w:cs="Palatino Linotype"/>
        </w:rPr>
        <w:t>el oficio número UTAIM/01837/2022, de fecha veintidós de junio de dos mil veintidós, mediante el cual, se emite acuerdo de incompetencia en el siguiente sentido:</w:t>
      </w:r>
    </w:p>
    <w:p w14:paraId="1C61DF16" w14:textId="77777777" w:rsidR="001300F4" w:rsidRPr="00506B40" w:rsidRDefault="001300F4" w:rsidP="001300F4">
      <w:pPr>
        <w:spacing w:before="240" w:after="240" w:line="360" w:lineRule="auto"/>
        <w:jc w:val="center"/>
        <w:rPr>
          <w:rFonts w:ascii="Palatino Linotype" w:eastAsia="Palatino Linotype" w:hAnsi="Palatino Linotype" w:cs="Palatino Linotype"/>
        </w:rPr>
      </w:pPr>
      <w:r w:rsidRPr="00506B40">
        <w:rPr>
          <w:noProof/>
          <w:lang w:val="es-MX" w:eastAsia="es-MX"/>
        </w:rPr>
        <w:drawing>
          <wp:inline distT="0" distB="0" distL="0" distR="0" wp14:anchorId="63E75D31" wp14:editId="3DEF0608">
            <wp:extent cx="4133850" cy="3897014"/>
            <wp:effectExtent l="0" t="0" r="0" b="825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1032" t="21122" r="56381" b="24261"/>
                    <a:stretch/>
                  </pic:blipFill>
                  <pic:spPr bwMode="auto">
                    <a:xfrm>
                      <a:off x="0" y="0"/>
                      <a:ext cx="4158547" cy="3920296"/>
                    </a:xfrm>
                    <a:prstGeom prst="rect">
                      <a:avLst/>
                    </a:prstGeom>
                    <a:ln>
                      <a:noFill/>
                    </a:ln>
                    <a:extLst>
                      <a:ext uri="{53640926-AAD7-44D8-BBD7-CCE9431645EC}">
                        <a14:shadowObscured xmlns:a14="http://schemas.microsoft.com/office/drawing/2010/main"/>
                      </a:ext>
                    </a:extLst>
                  </pic:spPr>
                </pic:pic>
              </a:graphicData>
            </a:graphic>
          </wp:inline>
        </w:drawing>
      </w:r>
    </w:p>
    <w:p w14:paraId="71B819C5" w14:textId="77777777" w:rsidR="001300F4" w:rsidRPr="00506B40" w:rsidRDefault="001300F4" w:rsidP="00C13E73">
      <w:pPr>
        <w:spacing w:before="240" w:after="240" w:line="360" w:lineRule="auto"/>
        <w:jc w:val="both"/>
        <w:rPr>
          <w:rFonts w:ascii="Palatino Linotype" w:eastAsia="Palatino Linotype" w:hAnsi="Palatino Linotype" w:cs="Palatino Linotype"/>
        </w:rPr>
      </w:pPr>
    </w:p>
    <w:p w14:paraId="3EC17F0C" w14:textId="77777777" w:rsidR="00145741" w:rsidRPr="00506B40" w:rsidRDefault="00145741" w:rsidP="00C13E73">
      <w:pPr>
        <w:spacing w:before="240" w:after="240" w:line="360" w:lineRule="auto"/>
        <w:jc w:val="both"/>
        <w:rPr>
          <w:rFonts w:ascii="Palatino Linotype" w:eastAsia="Palatino Linotype" w:hAnsi="Palatino Linotype" w:cs="Palatino Linotype"/>
        </w:rPr>
      </w:pPr>
    </w:p>
    <w:p w14:paraId="2033B92A" w14:textId="77777777" w:rsidR="001300F4" w:rsidRPr="00506B40" w:rsidRDefault="001300F4" w:rsidP="00145741">
      <w:pPr>
        <w:spacing w:before="240" w:after="240" w:line="360" w:lineRule="auto"/>
        <w:jc w:val="center"/>
        <w:rPr>
          <w:rFonts w:ascii="Palatino Linotype" w:eastAsia="Palatino Linotype" w:hAnsi="Palatino Linotype" w:cs="Palatino Linotype"/>
        </w:rPr>
      </w:pPr>
      <w:r w:rsidRPr="00506B40">
        <w:rPr>
          <w:noProof/>
          <w:lang w:val="es-MX" w:eastAsia="es-MX"/>
        </w:rPr>
        <w:drawing>
          <wp:inline distT="0" distB="0" distL="0" distR="0" wp14:anchorId="15C72398" wp14:editId="13AD4B06">
            <wp:extent cx="4390737" cy="5126358"/>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l="11541" t="20519" r="56042" b="12191"/>
                    <a:stretch/>
                  </pic:blipFill>
                  <pic:spPr bwMode="auto">
                    <a:xfrm>
                      <a:off x="0" y="0"/>
                      <a:ext cx="4409800" cy="5148614"/>
                    </a:xfrm>
                    <a:prstGeom prst="rect">
                      <a:avLst/>
                    </a:prstGeom>
                    <a:ln>
                      <a:noFill/>
                    </a:ln>
                    <a:extLst>
                      <a:ext uri="{53640926-AAD7-44D8-BBD7-CCE9431645EC}">
                        <a14:shadowObscured xmlns:a14="http://schemas.microsoft.com/office/drawing/2010/main"/>
                      </a:ext>
                    </a:extLst>
                  </pic:spPr>
                </pic:pic>
              </a:graphicData>
            </a:graphic>
          </wp:inline>
        </w:drawing>
      </w:r>
    </w:p>
    <w:p w14:paraId="7B5356DF" w14:textId="77777777" w:rsidR="001300F4" w:rsidRPr="00506B40" w:rsidRDefault="00145741" w:rsidP="00C13E73">
      <w:pPr>
        <w:spacing w:before="240" w:after="240" w:line="360" w:lineRule="auto"/>
        <w:jc w:val="both"/>
        <w:rPr>
          <w:noProof/>
          <w:lang w:val="es-MX" w:eastAsia="es-MX"/>
        </w:rPr>
      </w:pPr>
      <w:r w:rsidRPr="00506B40">
        <w:rPr>
          <w:noProof/>
          <w:lang w:val="es-MX" w:eastAsia="es-MX"/>
        </w:rPr>
        <w:t>…</w:t>
      </w:r>
    </w:p>
    <w:p w14:paraId="4738A851" w14:textId="77777777" w:rsidR="00145741" w:rsidRPr="00506B40" w:rsidRDefault="00145741" w:rsidP="00C13E73">
      <w:pPr>
        <w:spacing w:before="240" w:after="240" w:line="360" w:lineRule="auto"/>
        <w:jc w:val="both"/>
        <w:rPr>
          <w:noProof/>
          <w:lang w:val="es-MX" w:eastAsia="es-MX"/>
        </w:rPr>
      </w:pPr>
    </w:p>
    <w:p w14:paraId="639DF647" w14:textId="77777777" w:rsidR="00145741" w:rsidRPr="00506B40" w:rsidRDefault="00145741" w:rsidP="00C13E73">
      <w:pPr>
        <w:spacing w:before="240" w:after="240" w:line="360" w:lineRule="auto"/>
        <w:jc w:val="both"/>
        <w:rPr>
          <w:rFonts w:ascii="Palatino Linotype" w:eastAsia="Palatino Linotype" w:hAnsi="Palatino Linotype" w:cs="Palatino Linotype"/>
        </w:rPr>
      </w:pPr>
    </w:p>
    <w:p w14:paraId="3DFDED3E" w14:textId="77777777" w:rsidR="001300F4" w:rsidRPr="00506B40" w:rsidRDefault="001300F4" w:rsidP="00145741">
      <w:pPr>
        <w:spacing w:before="240" w:after="240" w:line="360" w:lineRule="auto"/>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7A23DF9F" wp14:editId="4D46CAAD">
            <wp:extent cx="4591050" cy="5732740"/>
            <wp:effectExtent l="0" t="0" r="0" b="190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11541" t="18708" r="56381" b="10078"/>
                    <a:stretch/>
                  </pic:blipFill>
                  <pic:spPr bwMode="auto">
                    <a:xfrm>
                      <a:off x="0" y="0"/>
                      <a:ext cx="4594972" cy="5737638"/>
                    </a:xfrm>
                    <a:prstGeom prst="rect">
                      <a:avLst/>
                    </a:prstGeom>
                    <a:ln>
                      <a:noFill/>
                    </a:ln>
                    <a:extLst>
                      <a:ext uri="{53640926-AAD7-44D8-BBD7-CCE9431645EC}">
                        <a14:shadowObscured xmlns:a14="http://schemas.microsoft.com/office/drawing/2010/main"/>
                      </a:ext>
                    </a:extLst>
                  </pic:spPr>
                </pic:pic>
              </a:graphicData>
            </a:graphic>
          </wp:inline>
        </w:drawing>
      </w:r>
    </w:p>
    <w:p w14:paraId="51832922" w14:textId="77777777" w:rsidR="001300F4" w:rsidRPr="00506B40" w:rsidRDefault="001300F4" w:rsidP="00C13E73">
      <w:pPr>
        <w:spacing w:before="240" w:after="240" w:line="360" w:lineRule="auto"/>
        <w:jc w:val="both"/>
        <w:rPr>
          <w:rFonts w:ascii="Palatino Linotype" w:eastAsia="Palatino Linotype" w:hAnsi="Palatino Linotype" w:cs="Palatino Linotype"/>
        </w:rPr>
      </w:pPr>
    </w:p>
    <w:p w14:paraId="2FCDCD60" w14:textId="77777777" w:rsidR="001300F4" w:rsidRPr="00506B40" w:rsidRDefault="001300F4" w:rsidP="00145741">
      <w:pPr>
        <w:spacing w:before="240" w:after="240" w:line="360" w:lineRule="auto"/>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2FDA28B0" wp14:editId="5F57B99C">
            <wp:extent cx="4591050" cy="4851367"/>
            <wp:effectExtent l="0" t="0" r="0" b="6985"/>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10863" t="20217" r="56211" b="17924"/>
                    <a:stretch/>
                  </pic:blipFill>
                  <pic:spPr bwMode="auto">
                    <a:xfrm>
                      <a:off x="0" y="0"/>
                      <a:ext cx="4596906" cy="4857555"/>
                    </a:xfrm>
                    <a:prstGeom prst="rect">
                      <a:avLst/>
                    </a:prstGeom>
                    <a:ln>
                      <a:noFill/>
                    </a:ln>
                    <a:extLst>
                      <a:ext uri="{53640926-AAD7-44D8-BBD7-CCE9431645EC}">
                        <a14:shadowObscured xmlns:a14="http://schemas.microsoft.com/office/drawing/2010/main"/>
                      </a:ext>
                    </a:extLst>
                  </pic:spPr>
                </pic:pic>
              </a:graphicData>
            </a:graphic>
          </wp:inline>
        </w:drawing>
      </w:r>
    </w:p>
    <w:p w14:paraId="054CB56B" w14:textId="77777777" w:rsidR="001300F4" w:rsidRPr="00506B40" w:rsidRDefault="001300F4" w:rsidP="00145741">
      <w:pPr>
        <w:spacing w:before="240" w:after="240" w:line="360" w:lineRule="auto"/>
        <w:jc w:val="center"/>
        <w:rPr>
          <w:rFonts w:ascii="Palatino Linotype" w:eastAsia="Palatino Linotype" w:hAnsi="Palatino Linotype" w:cs="Palatino Linotype"/>
        </w:rPr>
      </w:pPr>
      <w:r w:rsidRPr="00506B40">
        <w:rPr>
          <w:noProof/>
          <w:lang w:val="es-MX" w:eastAsia="es-MX"/>
        </w:rPr>
        <w:drawing>
          <wp:inline distT="0" distB="0" distL="0" distR="0" wp14:anchorId="43786F10" wp14:editId="7E498709">
            <wp:extent cx="4400550" cy="2223436"/>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srcRect l="11202" t="41943" r="56550" b="29089"/>
                    <a:stretch/>
                  </pic:blipFill>
                  <pic:spPr bwMode="auto">
                    <a:xfrm>
                      <a:off x="0" y="0"/>
                      <a:ext cx="4415032" cy="2230753"/>
                    </a:xfrm>
                    <a:prstGeom prst="rect">
                      <a:avLst/>
                    </a:prstGeom>
                    <a:ln>
                      <a:noFill/>
                    </a:ln>
                    <a:extLst>
                      <a:ext uri="{53640926-AAD7-44D8-BBD7-CCE9431645EC}">
                        <a14:shadowObscured xmlns:a14="http://schemas.microsoft.com/office/drawing/2010/main"/>
                      </a:ext>
                    </a:extLst>
                  </pic:spPr>
                </pic:pic>
              </a:graphicData>
            </a:graphic>
          </wp:inline>
        </w:drawing>
      </w:r>
    </w:p>
    <w:p w14:paraId="6AD87FAB" w14:textId="77777777" w:rsidR="005A3DCE" w:rsidRPr="00506B40" w:rsidRDefault="006E4886">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lastRenderedPageBreak/>
        <w:t xml:space="preserve">3. Interposición del recurso de revisión. </w:t>
      </w:r>
      <w:r w:rsidRPr="00506B40">
        <w:rPr>
          <w:rFonts w:ascii="Palatino Linotype" w:eastAsia="Palatino Linotype" w:hAnsi="Palatino Linotype" w:cs="Palatino Linotype"/>
        </w:rPr>
        <w:t xml:space="preserve">Inconforme el solicitante con la respuesta del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interpuso recurso de revisión a travé</w:t>
      </w:r>
      <w:r w:rsidR="00551A04" w:rsidRPr="00506B40">
        <w:rPr>
          <w:rFonts w:ascii="Palatino Linotype" w:eastAsia="Palatino Linotype" w:hAnsi="Palatino Linotype" w:cs="Palatino Linotype"/>
        </w:rPr>
        <w:t xml:space="preserve">s del SAIMEX en fecha </w:t>
      </w:r>
      <w:r w:rsidR="00A9675B" w:rsidRPr="00506B40">
        <w:rPr>
          <w:rFonts w:ascii="Palatino Linotype" w:eastAsia="Palatino Linotype" w:hAnsi="Palatino Linotype" w:cs="Palatino Linotype"/>
          <w:b/>
        </w:rPr>
        <w:t>veintitrés</w:t>
      </w:r>
      <w:r w:rsidR="00321D85" w:rsidRPr="00506B40">
        <w:rPr>
          <w:rFonts w:ascii="Palatino Linotype" w:eastAsia="Palatino Linotype" w:hAnsi="Palatino Linotype" w:cs="Palatino Linotype"/>
          <w:b/>
        </w:rPr>
        <w:t xml:space="preserve"> de </w:t>
      </w:r>
      <w:r w:rsidR="00A9675B" w:rsidRPr="00506B40">
        <w:rPr>
          <w:rFonts w:ascii="Palatino Linotype" w:eastAsia="Palatino Linotype" w:hAnsi="Palatino Linotype" w:cs="Palatino Linotype"/>
          <w:b/>
        </w:rPr>
        <w:t>junio</w:t>
      </w:r>
      <w:r w:rsidRPr="00506B40">
        <w:rPr>
          <w:rFonts w:ascii="Palatino Linotype" w:eastAsia="Palatino Linotype" w:hAnsi="Palatino Linotype" w:cs="Palatino Linotype"/>
          <w:b/>
        </w:rPr>
        <w:t xml:space="preserve"> de dos mil veintidós,</w:t>
      </w:r>
      <w:r w:rsidRPr="00506B40">
        <w:rPr>
          <w:rFonts w:ascii="Palatino Linotype" w:eastAsia="Palatino Linotype" w:hAnsi="Palatino Linotype" w:cs="Palatino Linotype"/>
        </w:rPr>
        <w:t xml:space="preserve"> a través del cual expresó lo siguiente:</w:t>
      </w:r>
    </w:p>
    <w:p w14:paraId="0EA6AD00" w14:textId="77777777" w:rsidR="005A3DCE" w:rsidRPr="00506B40" w:rsidRDefault="006E4886">
      <w:pPr>
        <w:spacing w:line="360" w:lineRule="auto"/>
        <w:rPr>
          <w:rFonts w:ascii="Palatino Linotype" w:eastAsia="Palatino Linotype" w:hAnsi="Palatino Linotype" w:cs="Palatino Linotype"/>
          <w:b/>
        </w:rPr>
      </w:pPr>
      <w:r w:rsidRPr="00506B40">
        <w:rPr>
          <w:rFonts w:ascii="Palatino Linotype" w:eastAsia="Palatino Linotype" w:hAnsi="Palatino Linotype" w:cs="Palatino Linotype"/>
          <w:b/>
        </w:rPr>
        <w:t>a) Acto impugnado.</w:t>
      </w:r>
    </w:p>
    <w:p w14:paraId="2B477F71" w14:textId="77777777" w:rsidR="005A3DCE" w:rsidRPr="00506B40" w:rsidRDefault="006E4886" w:rsidP="00A9675B">
      <w:pPr>
        <w:spacing w:after="240" w:line="276" w:lineRule="auto"/>
        <w:ind w:left="851" w:right="900"/>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w:t>
      </w:r>
      <w:r w:rsidR="00A9675B" w:rsidRPr="00506B40">
        <w:rPr>
          <w:rFonts w:ascii="Palatino Linotype" w:eastAsia="Palatino Linotype" w:hAnsi="Palatino Linotype" w:cs="Palatino Linotype"/>
          <w:i/>
          <w:sz w:val="22"/>
          <w:szCs w:val="22"/>
        </w:rPr>
        <w:t>No me entregó la información solicitada</w:t>
      </w:r>
      <w:r w:rsidR="00551A04" w:rsidRPr="00506B40">
        <w:rPr>
          <w:rFonts w:ascii="Palatino Linotype" w:eastAsia="Palatino Linotype" w:hAnsi="Palatino Linotype" w:cs="Palatino Linotype"/>
          <w:i/>
          <w:sz w:val="22"/>
          <w:szCs w:val="22"/>
        </w:rPr>
        <w:t>.</w:t>
      </w:r>
      <w:r w:rsidRPr="00506B40">
        <w:rPr>
          <w:rFonts w:ascii="Palatino Linotype" w:eastAsia="Palatino Linotype" w:hAnsi="Palatino Linotype" w:cs="Palatino Linotype"/>
          <w:i/>
          <w:sz w:val="22"/>
          <w:szCs w:val="22"/>
        </w:rPr>
        <w:t>” (Sic)</w:t>
      </w:r>
    </w:p>
    <w:p w14:paraId="70F0CC7E" w14:textId="77777777" w:rsidR="005A3DCE" w:rsidRPr="00506B40" w:rsidRDefault="006E4886">
      <w:pPr>
        <w:spacing w:line="360" w:lineRule="auto"/>
        <w:jc w:val="both"/>
        <w:rPr>
          <w:rFonts w:ascii="Palatino Linotype" w:eastAsia="Palatino Linotype" w:hAnsi="Palatino Linotype" w:cs="Palatino Linotype"/>
          <w:b/>
        </w:rPr>
      </w:pPr>
      <w:r w:rsidRPr="00506B40">
        <w:rPr>
          <w:rFonts w:ascii="Palatino Linotype" w:eastAsia="Palatino Linotype" w:hAnsi="Palatino Linotype" w:cs="Palatino Linotype"/>
          <w:b/>
        </w:rPr>
        <w:t>b) Motivos de inconformidad.</w:t>
      </w:r>
    </w:p>
    <w:p w14:paraId="60E1F1B0" w14:textId="77777777" w:rsidR="005A3DCE" w:rsidRPr="00506B40" w:rsidRDefault="00321D85" w:rsidP="00D24E20">
      <w:pPr>
        <w:spacing w:after="240" w:line="276" w:lineRule="auto"/>
        <w:ind w:left="851" w:right="900"/>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w:t>
      </w:r>
      <w:r w:rsidR="00A9675B" w:rsidRPr="00506B40">
        <w:rPr>
          <w:rFonts w:ascii="Palatino Linotype" w:eastAsia="Palatino Linotype" w:hAnsi="Palatino Linotype" w:cs="Palatino Linotype"/>
          <w:i/>
          <w:sz w:val="22"/>
          <w:szCs w:val="22"/>
        </w:rPr>
        <w:t xml:space="preserve">Si en cierto que los entrega el INFOEM pero también es que la unidad de transparencia los tiene por lo que de acuerdo con mi derecho 5 constitucional y 4 de la ley de transparencia me los deben entregar.” </w:t>
      </w:r>
      <w:r w:rsidR="006E4886" w:rsidRPr="00506B40">
        <w:rPr>
          <w:rFonts w:ascii="Palatino Linotype" w:eastAsia="Palatino Linotype" w:hAnsi="Palatino Linotype" w:cs="Palatino Linotype"/>
          <w:i/>
          <w:sz w:val="22"/>
          <w:szCs w:val="22"/>
        </w:rPr>
        <w:t>(Sic)</w:t>
      </w:r>
    </w:p>
    <w:p w14:paraId="5701C6C7" w14:textId="77777777" w:rsidR="005A3DCE" w:rsidRPr="00506B40" w:rsidRDefault="006E4886">
      <w:pPr>
        <w:spacing w:before="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4. Turno. </w:t>
      </w:r>
      <w:r w:rsidRPr="00506B40">
        <w:rPr>
          <w:rFonts w:ascii="Palatino Linotype" w:eastAsia="Palatino Linotype" w:hAnsi="Palatino Linotype" w:cs="Palatino Linotype"/>
        </w:rPr>
        <w:t xml:space="preserve">De conformidad con el artículo 185, fracción I de la Ley de Transparencia y Acceso a la Información Pública del Estado de México y Municipios, el recurso de revisión número </w:t>
      </w:r>
      <w:r w:rsidR="00A9675B" w:rsidRPr="00506B40">
        <w:rPr>
          <w:rFonts w:ascii="Palatino Linotype" w:eastAsia="Palatino Linotype" w:hAnsi="Palatino Linotype" w:cs="Palatino Linotype"/>
          <w:b/>
        </w:rPr>
        <w:t>12019</w:t>
      </w:r>
      <w:r w:rsidRPr="00506B40">
        <w:rPr>
          <w:rFonts w:ascii="Palatino Linotype" w:eastAsia="Palatino Linotype" w:hAnsi="Palatino Linotype" w:cs="Palatino Linotype"/>
          <w:b/>
        </w:rPr>
        <w:t xml:space="preserve">/INFOEM/IP/RR/2022, </w:t>
      </w:r>
      <w:r w:rsidRPr="00506B40">
        <w:rPr>
          <w:rFonts w:ascii="Palatino Linotype" w:eastAsia="Palatino Linotype" w:hAnsi="Palatino Linotype" w:cs="Palatino Linotype"/>
        </w:rPr>
        <w:t xml:space="preserve">se turnó por el sistema electrónico del Instituto de Transparencia, Acceso a la Información Pública y Protección de Datos Personales del Estado de México y Municipios, a la Comisionada </w:t>
      </w:r>
      <w:r w:rsidRPr="00506B40">
        <w:rPr>
          <w:rFonts w:ascii="Palatino Linotype" w:eastAsia="Palatino Linotype" w:hAnsi="Palatino Linotype" w:cs="Palatino Linotype"/>
          <w:b/>
        </w:rPr>
        <w:t>Guadalupe Ramírez Peña</w:t>
      </w:r>
      <w:r w:rsidRPr="00506B40">
        <w:rPr>
          <w:rFonts w:ascii="Palatino Linotype" w:eastAsia="Palatino Linotype" w:hAnsi="Palatino Linotype" w:cs="Palatino Linotype"/>
        </w:rPr>
        <w:t>, para su análisis, estudio, elaboración del proyecto y presentación ante el Pleno de este Instituto.</w:t>
      </w:r>
    </w:p>
    <w:p w14:paraId="7A3391F6" w14:textId="77777777" w:rsidR="005A3DCE" w:rsidRPr="00506B40" w:rsidRDefault="005A3DCE">
      <w:pPr>
        <w:spacing w:line="360" w:lineRule="auto"/>
        <w:jc w:val="both"/>
        <w:rPr>
          <w:rFonts w:ascii="Palatino Linotype" w:eastAsia="Palatino Linotype" w:hAnsi="Palatino Linotype" w:cs="Palatino Linotype"/>
        </w:rPr>
      </w:pPr>
    </w:p>
    <w:p w14:paraId="27738A1F" w14:textId="77777777" w:rsidR="005A3DCE" w:rsidRPr="00506B40" w:rsidRDefault="006E4886">
      <w:pPr>
        <w:spacing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5. Admisión del recurso de revisión: </w:t>
      </w:r>
      <w:r w:rsidR="00551A04" w:rsidRPr="00506B40">
        <w:rPr>
          <w:rFonts w:ascii="Palatino Linotype" w:eastAsia="Palatino Linotype" w:hAnsi="Palatino Linotype" w:cs="Palatino Linotype"/>
        </w:rPr>
        <w:t xml:space="preserve">En fecha </w:t>
      </w:r>
      <w:r w:rsidR="00A9675B" w:rsidRPr="00506B40">
        <w:rPr>
          <w:rFonts w:ascii="Palatino Linotype" w:eastAsia="Palatino Linotype" w:hAnsi="Palatino Linotype" w:cs="Palatino Linotype"/>
          <w:b/>
        </w:rPr>
        <w:t>veintiocho de junio</w:t>
      </w:r>
      <w:r w:rsidRPr="00506B40">
        <w:rPr>
          <w:rFonts w:ascii="Palatino Linotype" w:eastAsia="Palatino Linotype" w:hAnsi="Palatino Linotype" w:cs="Palatino Linotype"/>
          <w:b/>
        </w:rPr>
        <w:t xml:space="preserve"> de dos mil veintidós</w:t>
      </w:r>
      <w:r w:rsidRPr="00506B40">
        <w:rPr>
          <w:rFonts w:ascii="Palatino Linotype" w:eastAsia="Palatino Linotype" w:hAnsi="Palatino Linotype" w:cs="Palatino Linotype"/>
        </w:rPr>
        <w:t xml:space="preserve">, la Comisionada ponente, admitió a trámite el recurso de revisión que ahora se resuelve, dando un plazo máximo de siete días hábiles para que las partes manifestaran lo que a su derecho resultara conveniente, ofrecieran pruebas, formularan alegatos y el Sujeto Obligado presentara su informe justificado. </w:t>
      </w:r>
    </w:p>
    <w:p w14:paraId="16869591" w14:textId="77777777" w:rsidR="009F1AE5" w:rsidRPr="00506B40" w:rsidRDefault="006E4886" w:rsidP="00551A04">
      <w:pPr>
        <w:spacing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lastRenderedPageBreak/>
        <w:t>6. Manifestaciones</w:t>
      </w:r>
      <w:r w:rsidRPr="00506B40">
        <w:rPr>
          <w:rFonts w:ascii="Palatino Linotype" w:eastAsia="Palatino Linotype" w:hAnsi="Palatino Linotype" w:cs="Palatino Linotype"/>
        </w:rPr>
        <w:t xml:space="preserve">: </w:t>
      </w:r>
      <w:r w:rsidR="00551A04" w:rsidRPr="00506B40">
        <w:rPr>
          <w:rFonts w:ascii="Palatino Linotype" w:eastAsia="Palatino Linotype" w:hAnsi="Palatino Linotype" w:cs="Palatino Linotype"/>
        </w:rPr>
        <w:t xml:space="preserve">De las constancias que obran en el expediente electrónico del SAIMEX se desprende que el </w:t>
      </w:r>
      <w:r w:rsidR="00551A04" w:rsidRPr="00506B40">
        <w:rPr>
          <w:rFonts w:ascii="Palatino Linotype" w:eastAsia="Palatino Linotype" w:hAnsi="Palatino Linotype" w:cs="Palatino Linotype"/>
          <w:b/>
        </w:rPr>
        <w:t>SUJETO OBLIGADO</w:t>
      </w:r>
      <w:r w:rsidR="00551A04" w:rsidRPr="00506B40">
        <w:rPr>
          <w:rFonts w:ascii="Palatino Linotype" w:eastAsia="Palatino Linotype" w:hAnsi="Palatino Linotype" w:cs="Palatino Linotype"/>
        </w:rPr>
        <w:t xml:space="preserve"> </w:t>
      </w:r>
      <w:r w:rsidR="009F1AE5" w:rsidRPr="00506B40">
        <w:rPr>
          <w:rFonts w:ascii="Palatino Linotype" w:eastAsia="Palatino Linotype" w:hAnsi="Palatino Linotype" w:cs="Palatino Linotype"/>
        </w:rPr>
        <w:t xml:space="preserve">a través de la Titular de la Unidad de Transparencia, </w:t>
      </w:r>
      <w:r w:rsidR="00551A04" w:rsidRPr="00506B40">
        <w:rPr>
          <w:rFonts w:ascii="Palatino Linotype" w:eastAsia="Palatino Linotype" w:hAnsi="Palatino Linotype" w:cs="Palatino Linotype"/>
        </w:rPr>
        <w:t xml:space="preserve">rindió su informe justificado, </w:t>
      </w:r>
      <w:r w:rsidR="009F1AE5" w:rsidRPr="00506B40">
        <w:rPr>
          <w:rFonts w:ascii="Palatino Linotype" w:eastAsia="Palatino Linotype" w:hAnsi="Palatino Linotype" w:cs="Palatino Linotype"/>
        </w:rPr>
        <w:t xml:space="preserve">en fecha cinco de julio de dos mil veintidós, mediante el documento </w:t>
      </w:r>
      <w:r w:rsidR="009F1AE5" w:rsidRPr="00506B40">
        <w:rPr>
          <w:rFonts w:ascii="Palatino Linotype" w:eastAsia="Palatino Linotype" w:hAnsi="Palatino Linotype" w:cs="Palatino Linotype"/>
          <w:b/>
          <w:i/>
        </w:rPr>
        <w:t xml:space="preserve">Manifestaciones RR12019.pdf, </w:t>
      </w:r>
      <w:r w:rsidR="009F1AE5" w:rsidRPr="00506B40">
        <w:rPr>
          <w:rFonts w:ascii="Palatino Linotype" w:eastAsia="Palatino Linotype" w:hAnsi="Palatino Linotype" w:cs="Palatino Linotype"/>
        </w:rPr>
        <w:t>mediante el cual ratifica su respuesta en el siguiente sentido:</w:t>
      </w:r>
    </w:p>
    <w:p w14:paraId="44248809" w14:textId="77777777" w:rsidR="009F1AE5" w:rsidRPr="00506B40" w:rsidRDefault="009F1AE5" w:rsidP="00551A04">
      <w:pPr>
        <w:spacing w:after="240" w:line="360" w:lineRule="auto"/>
        <w:jc w:val="both"/>
        <w:rPr>
          <w:rFonts w:ascii="Palatino Linotype" w:eastAsia="Palatino Linotype" w:hAnsi="Palatino Linotype" w:cs="Palatino Linotype"/>
        </w:rPr>
      </w:pPr>
      <w:r w:rsidRPr="00506B40">
        <w:rPr>
          <w:noProof/>
          <w:lang w:val="es-MX" w:eastAsia="es-MX"/>
        </w:rPr>
        <w:drawing>
          <wp:inline distT="0" distB="0" distL="0" distR="0" wp14:anchorId="65CE5662" wp14:editId="37D4E005">
            <wp:extent cx="5495925" cy="5296591"/>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9335" t="27761" r="57909" b="16113"/>
                    <a:stretch/>
                  </pic:blipFill>
                  <pic:spPr bwMode="auto">
                    <a:xfrm>
                      <a:off x="0" y="0"/>
                      <a:ext cx="5502336" cy="5302769"/>
                    </a:xfrm>
                    <a:prstGeom prst="rect">
                      <a:avLst/>
                    </a:prstGeom>
                    <a:ln>
                      <a:noFill/>
                    </a:ln>
                    <a:extLst>
                      <a:ext uri="{53640926-AAD7-44D8-BBD7-CCE9431645EC}">
                        <a14:shadowObscured xmlns:a14="http://schemas.microsoft.com/office/drawing/2010/main"/>
                      </a:ext>
                    </a:extLst>
                  </pic:spPr>
                </pic:pic>
              </a:graphicData>
            </a:graphic>
          </wp:inline>
        </w:drawing>
      </w:r>
    </w:p>
    <w:p w14:paraId="48838920" w14:textId="7E97A28C" w:rsidR="00551A04" w:rsidRPr="00506B40" w:rsidRDefault="009F1AE5" w:rsidP="00551A04">
      <w:pPr>
        <w:spacing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lastRenderedPageBreak/>
        <w:t xml:space="preserve">Documento que fue puesto a la vista de la parte </w:t>
      </w:r>
      <w:r w:rsidR="00551A04" w:rsidRPr="00506B40">
        <w:rPr>
          <w:rFonts w:ascii="Palatino Linotype" w:eastAsia="Palatino Linotype" w:hAnsi="Palatino Linotype" w:cs="Palatino Linotype"/>
          <w:b/>
        </w:rPr>
        <w:t>RECURRENTE</w:t>
      </w:r>
      <w:r w:rsidRPr="00506B40">
        <w:rPr>
          <w:rFonts w:ascii="Palatino Linotype" w:eastAsia="Palatino Linotype" w:hAnsi="Palatino Linotype" w:cs="Palatino Linotype"/>
        </w:rPr>
        <w:t>, el dieciocho d</w:t>
      </w:r>
      <w:r w:rsidR="00A50A86" w:rsidRPr="00506B40">
        <w:rPr>
          <w:rFonts w:ascii="Palatino Linotype" w:eastAsia="Palatino Linotype" w:hAnsi="Palatino Linotype" w:cs="Palatino Linotype"/>
        </w:rPr>
        <w:t>e octubre de dos mil veintidós,</w:t>
      </w:r>
      <w:r w:rsidRPr="00506B40">
        <w:rPr>
          <w:rFonts w:ascii="Palatino Linotype" w:eastAsia="Palatino Linotype" w:hAnsi="Palatino Linotype" w:cs="Palatino Linotype"/>
        </w:rPr>
        <w:t xml:space="preserve"> la cual </w:t>
      </w:r>
      <w:r w:rsidR="00551A04" w:rsidRPr="00506B40">
        <w:rPr>
          <w:rFonts w:ascii="Palatino Linotype" w:eastAsia="Palatino Linotype" w:hAnsi="Palatino Linotype" w:cs="Palatino Linotype"/>
        </w:rPr>
        <w:t>omitió realizar manifestaciones.</w:t>
      </w:r>
    </w:p>
    <w:p w14:paraId="793071E1" w14:textId="77777777" w:rsidR="005A3DCE" w:rsidRPr="00506B40" w:rsidRDefault="006E4886">
      <w:pPr>
        <w:widowControl w:val="0"/>
        <w:spacing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7. Ampliación del plazo.</w:t>
      </w:r>
      <w:r w:rsidR="00551A04" w:rsidRPr="00506B40">
        <w:rPr>
          <w:rFonts w:ascii="Palatino Linotype" w:eastAsia="Palatino Linotype" w:hAnsi="Palatino Linotype" w:cs="Palatino Linotype"/>
        </w:rPr>
        <w:t xml:space="preserve"> En fecha </w:t>
      </w:r>
      <w:r w:rsidR="009F1AE5" w:rsidRPr="00506B40">
        <w:rPr>
          <w:rFonts w:ascii="Palatino Linotype" w:eastAsia="Palatino Linotype" w:hAnsi="Palatino Linotype" w:cs="Palatino Linotype"/>
          <w:b/>
        </w:rPr>
        <w:t>siete de octubre de</w:t>
      </w:r>
      <w:r w:rsidRPr="00506B40">
        <w:rPr>
          <w:rFonts w:ascii="Palatino Linotype" w:eastAsia="Palatino Linotype" w:hAnsi="Palatino Linotype" w:cs="Palatino Linotype"/>
          <w:b/>
        </w:rPr>
        <w:t xml:space="preserve"> del año dos mil veintidós</w:t>
      </w:r>
      <w:r w:rsidRPr="00506B40">
        <w:rPr>
          <w:rFonts w:ascii="Palatino Linotype" w:eastAsia="Palatino Linotype" w:hAnsi="Palatino Linotype" w:cs="Palatino Linotype"/>
        </w:rPr>
        <w:t>, con fundamento en el artículo 181, párrafo tercero de la Ley de Transparencia y Acceso a la Información Pública del Estado de México y Municipios, se acordó la ampliación del plazo para su resolución.</w:t>
      </w:r>
    </w:p>
    <w:p w14:paraId="528DBC19"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Este organismo garante no pasa por alto justificar, que el plazo para emitir la resolución en el presente asunto encuentra justificación en el alto número de recursos de revisión recibidos dentro del primer semestre del año dos mil veintidós, que, en comparación con los recibidos el año pasado dentro del mismo periodo, se ha incrementado aproximadamente un 400%, circunstancia atípica que ha rebasado las capacidades técnicas y humanas del personal encargado de la proyección de las resoluciones a dichos medios de impugnación.</w:t>
      </w:r>
    </w:p>
    <w:p w14:paraId="2275F28F" w14:textId="77777777" w:rsidR="005A3DCE" w:rsidRPr="00506B40" w:rsidRDefault="005A3DCE">
      <w:pPr>
        <w:spacing w:line="360" w:lineRule="auto"/>
        <w:jc w:val="both"/>
        <w:rPr>
          <w:rFonts w:ascii="Palatino Linotype" w:eastAsia="Palatino Linotype" w:hAnsi="Palatino Linotype" w:cs="Palatino Linotype"/>
        </w:rPr>
      </w:pPr>
    </w:p>
    <w:p w14:paraId="21E72BDF"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Por ello, es menester precisar que, si bien se ha excedido el plazo para resolver el presente medio de impugnación, de conformidad con la ley de la materia, el plazo para emitir la resolución se encuentra justificado en los elementos para medir la razonabilidad de asuntos conforme a los parámetros establecidos por diversos órganos jurisdiccionales federales, aplicables también en procedimientos análogos, como el que nos ocupa.</w:t>
      </w:r>
    </w:p>
    <w:p w14:paraId="3C8ACE46" w14:textId="77777777" w:rsidR="005A3DCE" w:rsidRPr="00506B40" w:rsidRDefault="005A3DCE">
      <w:pPr>
        <w:spacing w:line="360" w:lineRule="auto"/>
        <w:jc w:val="both"/>
        <w:rPr>
          <w:rFonts w:ascii="Palatino Linotype" w:eastAsia="Palatino Linotype" w:hAnsi="Palatino Linotype" w:cs="Palatino Linotype"/>
        </w:rPr>
      </w:pPr>
    </w:p>
    <w:p w14:paraId="3418191D"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Así, en términos de lo que establecen los artículos 8.1 y 25 de la Convención Americana sobre Derechos Humanos, los recursos deben ser sencillos y resolverse </w:t>
      </w:r>
      <w:r w:rsidRPr="00506B40">
        <w:rPr>
          <w:rFonts w:ascii="Palatino Linotype" w:eastAsia="Palatino Linotype" w:hAnsi="Palatino Linotype" w:cs="Palatino Linotype"/>
        </w:rPr>
        <w:lastRenderedPageBreak/>
        <w:t>en el menor tiempo posible, tomando en consideración la dilación total del procedimiento; esto es, en un plazo razonable.</w:t>
      </w:r>
    </w:p>
    <w:p w14:paraId="1B884488" w14:textId="77777777" w:rsidR="005A3DCE" w:rsidRPr="00506B40" w:rsidRDefault="005A3DCE">
      <w:pPr>
        <w:spacing w:line="360" w:lineRule="auto"/>
        <w:jc w:val="both"/>
        <w:rPr>
          <w:rFonts w:ascii="Palatino Linotype" w:eastAsia="Palatino Linotype" w:hAnsi="Palatino Linotype" w:cs="Palatino Linotype"/>
        </w:rPr>
      </w:pPr>
    </w:p>
    <w:p w14:paraId="55B9C476"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En ese sentido, el legislador fijó los términos procesales en las leyes, de manera general, sin que pudiera prever la variada gama de casos que son resueltos por los órganos jurisdiccionales o cuasi jurisdiccionales, tanto por la complejidad de los hechos, como por el número de casos que conocen. </w:t>
      </w:r>
    </w:p>
    <w:p w14:paraId="52B2BF67" w14:textId="77777777" w:rsidR="005A3DCE" w:rsidRPr="00506B40" w:rsidRDefault="005A3DCE">
      <w:pPr>
        <w:spacing w:line="360" w:lineRule="auto"/>
        <w:jc w:val="both"/>
        <w:rPr>
          <w:rFonts w:ascii="Palatino Linotype" w:eastAsia="Palatino Linotype" w:hAnsi="Palatino Linotype" w:cs="Palatino Linotype"/>
        </w:rPr>
      </w:pPr>
    </w:p>
    <w:p w14:paraId="2E65B8C5" w14:textId="77777777" w:rsidR="005A3DCE" w:rsidRPr="00506B40" w:rsidRDefault="006E4886">
      <w:pPr>
        <w:spacing w:line="360" w:lineRule="auto"/>
        <w:jc w:val="both"/>
        <w:rPr>
          <w:rFonts w:ascii="Palatino Linotype" w:eastAsia="Palatino Linotype" w:hAnsi="Palatino Linotype" w:cs="Palatino Linotype"/>
          <w:strike/>
        </w:rPr>
      </w:pPr>
      <w:r w:rsidRPr="00506B40">
        <w:rPr>
          <w:rFonts w:ascii="Palatino Linotype" w:eastAsia="Palatino Linotype" w:hAnsi="Palatino Linotype" w:cs="Palatino Linotype"/>
        </w:rPr>
        <w:t xml:space="preserve">Por ello, excepcionalmente, si un asunto es resuelto con posterioridad a los plazos señalados por la norma debe analizarse la razonabilidad del tiempo necesario para su resolución, atentos a los siguientes criterios: </w:t>
      </w:r>
    </w:p>
    <w:p w14:paraId="0F6E3C0E" w14:textId="77777777" w:rsidR="005A3DCE" w:rsidRPr="00506B40" w:rsidRDefault="005A3DCE">
      <w:pPr>
        <w:spacing w:line="360" w:lineRule="auto"/>
        <w:jc w:val="both"/>
        <w:rPr>
          <w:rFonts w:ascii="Palatino Linotype" w:eastAsia="Palatino Linotype" w:hAnsi="Palatino Linotype" w:cs="Palatino Linotype"/>
        </w:rPr>
      </w:pPr>
    </w:p>
    <w:p w14:paraId="13029A70" w14:textId="77777777" w:rsidR="005A3DCE" w:rsidRPr="00506B40" w:rsidRDefault="006E4886">
      <w:pPr>
        <w:numPr>
          <w:ilvl w:val="0"/>
          <w:numId w:val="5"/>
        </w:num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Complejidad del Asunto: La complejidad de la prueba, la pluralidad de sujetos procesales, el tiempo transcurrido, las características y contexto del recurso. </w:t>
      </w:r>
    </w:p>
    <w:p w14:paraId="65EB7AC0" w14:textId="77777777" w:rsidR="005A3DCE" w:rsidRPr="00506B40" w:rsidRDefault="005A3DCE">
      <w:pPr>
        <w:spacing w:line="360" w:lineRule="auto"/>
        <w:ind w:left="927"/>
        <w:jc w:val="both"/>
        <w:rPr>
          <w:rFonts w:ascii="Palatino Linotype" w:eastAsia="Palatino Linotype" w:hAnsi="Palatino Linotype" w:cs="Palatino Linotype"/>
        </w:rPr>
      </w:pPr>
    </w:p>
    <w:p w14:paraId="15D0FD35" w14:textId="77777777" w:rsidR="005A3DCE" w:rsidRPr="00506B40" w:rsidRDefault="006E4886">
      <w:pPr>
        <w:numPr>
          <w:ilvl w:val="0"/>
          <w:numId w:val="5"/>
        </w:num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Actividad Procesal del interesado. Acciones u omisiones del interesado.</w:t>
      </w:r>
    </w:p>
    <w:p w14:paraId="0D8E8B7C" w14:textId="77777777" w:rsidR="005A3DCE" w:rsidRPr="00506B40" w:rsidRDefault="005A3DCE">
      <w:pPr>
        <w:spacing w:line="360" w:lineRule="auto"/>
        <w:jc w:val="both"/>
        <w:rPr>
          <w:rFonts w:ascii="Palatino Linotype" w:eastAsia="Palatino Linotype" w:hAnsi="Palatino Linotype" w:cs="Palatino Linotype"/>
        </w:rPr>
      </w:pPr>
    </w:p>
    <w:p w14:paraId="3089D47D" w14:textId="77777777" w:rsidR="009F1AE5" w:rsidRPr="00506B40" w:rsidRDefault="006E4886" w:rsidP="009F1AE5">
      <w:pPr>
        <w:numPr>
          <w:ilvl w:val="0"/>
          <w:numId w:val="5"/>
        </w:num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Conducta de la Autoridad: Las Acciones u omisiones realizadas en el procedimiento. Así como si la autoridad actuó con la debida diligencia.</w:t>
      </w:r>
    </w:p>
    <w:p w14:paraId="32A97AFB" w14:textId="77777777" w:rsidR="009F1AE5" w:rsidRPr="00506B40" w:rsidRDefault="009F1AE5" w:rsidP="009F1AE5">
      <w:pPr>
        <w:pStyle w:val="Prrafodelista"/>
        <w:rPr>
          <w:rFonts w:ascii="Palatino Linotype" w:eastAsia="Palatino Linotype" w:hAnsi="Palatino Linotype" w:cs="Palatino Linotype"/>
        </w:rPr>
      </w:pPr>
    </w:p>
    <w:p w14:paraId="2ADFB22C" w14:textId="77777777" w:rsidR="005A3DCE" w:rsidRPr="00506B40" w:rsidRDefault="006E4886" w:rsidP="009F1AE5">
      <w:pPr>
        <w:numPr>
          <w:ilvl w:val="0"/>
          <w:numId w:val="5"/>
        </w:num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 La afectación generada en la situación jurídica de la persona involucrada en el proceso: Violación a sus derechos humanos.</w:t>
      </w:r>
    </w:p>
    <w:p w14:paraId="62C3044B" w14:textId="77777777" w:rsidR="005A3DCE" w:rsidRPr="00506B40" w:rsidRDefault="005A3DCE">
      <w:pPr>
        <w:spacing w:line="360" w:lineRule="auto"/>
        <w:jc w:val="both"/>
        <w:rPr>
          <w:rFonts w:ascii="Palatino Linotype" w:eastAsia="Palatino Linotype" w:hAnsi="Palatino Linotype" w:cs="Palatino Linotype"/>
        </w:rPr>
      </w:pPr>
    </w:p>
    <w:p w14:paraId="6E88A7EE"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lastRenderedPageBreak/>
        <w:t>De modo que, cuando se trate de un asunto excepcional, por alguna o todas las características mencionadas; o bien, cuando el ingreso de asuntos al órgano jurisdiccional o cuasi jurisdiccional respectivo supere notoriamente al que podría considerarse normal, debe concluirse que es una excluyente de responsabilidad en relación con la actuación del funcionario, como ha acontecido en el caso que nos ocupa.</w:t>
      </w:r>
    </w:p>
    <w:p w14:paraId="0B9F4AE1" w14:textId="77777777" w:rsidR="005A3DCE" w:rsidRPr="00506B40" w:rsidRDefault="005A3DCE">
      <w:pPr>
        <w:spacing w:line="360" w:lineRule="auto"/>
        <w:jc w:val="both"/>
        <w:rPr>
          <w:rFonts w:ascii="Palatino Linotype" w:eastAsia="Palatino Linotype" w:hAnsi="Palatino Linotype" w:cs="Palatino Linotype"/>
        </w:rPr>
      </w:pPr>
    </w:p>
    <w:p w14:paraId="79083F20" w14:textId="77777777" w:rsidR="005A3DCE" w:rsidRPr="00506B40" w:rsidRDefault="006E4886">
      <w:pPr>
        <w:spacing w:line="360" w:lineRule="auto"/>
        <w:jc w:val="both"/>
        <w:rPr>
          <w:rFonts w:ascii="Palatino Linotype" w:eastAsia="Palatino Linotype" w:hAnsi="Palatino Linotype" w:cs="Palatino Linotype"/>
          <w:b/>
        </w:rPr>
      </w:pPr>
      <w:r w:rsidRPr="00506B40">
        <w:rPr>
          <w:rFonts w:ascii="Palatino Linotype" w:eastAsia="Palatino Linotype" w:hAnsi="Palatino Linotype" w:cs="Palatino Linotype"/>
        </w:rPr>
        <w:t xml:space="preserve">Argumento que encuentra sustento en la jurisprudencia P./J. 32/92 emitida por el Pleno de la Suprema Corte de Justicia de la Nación de rubro </w:t>
      </w:r>
      <w:r w:rsidRPr="00506B40">
        <w:rPr>
          <w:rFonts w:ascii="Palatino Linotype" w:eastAsia="Palatino Linotype" w:hAnsi="Palatino Linotype" w:cs="Palatino Linotype"/>
          <w:i/>
        </w:rPr>
        <w:t>“TÉRMINOS PROCESALES. PARA DETERMINAR SI UN FUNCIONARIO JUDICIAL ACTUÓ INDEBIDAMENTE POR NO RESPETARLOS SE DEBE ATENDER AL PRESUPUESTO QUE CONSIDERÓ EL LEGISLADOR AL FIJARLOS Y LAS CARACTERÍSTICAS DEL CASO.”</w:t>
      </w:r>
      <w:r w:rsidRPr="00506B40">
        <w:rPr>
          <w:rFonts w:ascii="Palatino Linotype" w:eastAsia="Palatino Linotype" w:hAnsi="Palatino Linotype" w:cs="Palatino Linotype"/>
        </w:rPr>
        <w:t>, visible en la Gaceta del Seminario Judicial de la Federación con el registro digital 205635.</w:t>
      </w:r>
    </w:p>
    <w:p w14:paraId="4C6AA0F7" w14:textId="77777777" w:rsidR="005A3DCE" w:rsidRPr="00506B40" w:rsidRDefault="005A3DCE">
      <w:pPr>
        <w:spacing w:line="360" w:lineRule="auto"/>
        <w:jc w:val="both"/>
        <w:rPr>
          <w:rFonts w:ascii="Palatino Linotype" w:eastAsia="Palatino Linotype" w:hAnsi="Palatino Linotype" w:cs="Palatino Linotype"/>
        </w:rPr>
      </w:pPr>
    </w:p>
    <w:p w14:paraId="31AE04C4"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Razones por las cuales cabe concluir que, la resolución al recurso de revisión se solventa hasta esta fecha, debido a que existe una excesiva carga de trabajo en desproporción a la capacidad de los recursos materiales y humanos con que cuenta este Instituto para atender la enorme demanda de usuarios que acuden para que se les garantice su Derecho de acceso a la información Pública y Protección de Datos Personales, aunado a la complejidad de los hechos a los que se refieren, así como al volumen del expediente, la extensión de los escritos y pruebas aportadas y desahogadas por las partes; lo que impide la tramitación de los recursos dentro de </w:t>
      </w:r>
      <w:r w:rsidRPr="00506B40">
        <w:rPr>
          <w:rFonts w:ascii="Palatino Linotype" w:eastAsia="Palatino Linotype" w:hAnsi="Palatino Linotype" w:cs="Palatino Linotype"/>
        </w:rPr>
        <w:lastRenderedPageBreak/>
        <w:t>los términos legales previamente establecidos por la Ley, por tratarse de causas de fuerza mayor.</w:t>
      </w:r>
    </w:p>
    <w:p w14:paraId="7BF98F4B" w14:textId="77777777" w:rsidR="005A3DCE" w:rsidRPr="00506B40" w:rsidRDefault="005A3DCE">
      <w:pPr>
        <w:spacing w:line="360" w:lineRule="auto"/>
        <w:jc w:val="both"/>
        <w:rPr>
          <w:rFonts w:ascii="Palatino Linotype" w:eastAsia="Palatino Linotype" w:hAnsi="Palatino Linotype" w:cs="Palatino Linotype"/>
        </w:rPr>
      </w:pPr>
    </w:p>
    <w:p w14:paraId="2FFB2403"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Al respecto, también son de considerar los criterios sostenidos por el Cuarto Tribunal Colegiado en Materia Administrativa del Primer Circuito, cuyos rubros y datos de identificación son los siguientes:</w:t>
      </w:r>
    </w:p>
    <w:p w14:paraId="50A152FE" w14:textId="77777777" w:rsidR="005A3DCE" w:rsidRPr="00506B40" w:rsidRDefault="005A3DCE">
      <w:pPr>
        <w:spacing w:line="360" w:lineRule="auto"/>
        <w:jc w:val="both"/>
        <w:rPr>
          <w:rFonts w:ascii="Palatino Linotype" w:eastAsia="Palatino Linotype" w:hAnsi="Palatino Linotype" w:cs="Palatino Linotype"/>
        </w:rPr>
      </w:pPr>
    </w:p>
    <w:p w14:paraId="57F9B430"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 </w:t>
      </w:r>
      <w:r w:rsidRPr="00506B40">
        <w:rPr>
          <w:rFonts w:ascii="Palatino Linotype" w:eastAsia="Palatino Linotype" w:hAnsi="Palatino Linotype" w:cs="Palatino Linotype"/>
          <w:i/>
        </w:rPr>
        <w:t>“PLAZO RAZONABLE PARA RESOLVER. DIMENSIÓN Y EFECTOS DE ESTE CONCEPTO CUANDO SE ADUCE EXCESIVA CARGA DE TRABAJO.”</w:t>
      </w:r>
      <w:r w:rsidRPr="00506B40">
        <w:rPr>
          <w:rFonts w:ascii="Palatino Linotype" w:eastAsia="Palatino Linotype" w:hAnsi="Palatino Linotype" w:cs="Palatino Linotype"/>
        </w:rPr>
        <w:t xml:space="preserve"> consultable en el Seminario Judicial de la Federación y su gaceta, con el registro digital 2002351.</w:t>
      </w:r>
    </w:p>
    <w:p w14:paraId="21826E14" w14:textId="77777777" w:rsidR="005A3DCE" w:rsidRPr="00506B40" w:rsidRDefault="005A3DCE">
      <w:pPr>
        <w:spacing w:line="360" w:lineRule="auto"/>
        <w:jc w:val="both"/>
        <w:rPr>
          <w:rFonts w:ascii="Palatino Linotype" w:eastAsia="Palatino Linotype" w:hAnsi="Palatino Linotype" w:cs="Palatino Linotype"/>
          <w:b/>
        </w:rPr>
      </w:pPr>
    </w:p>
    <w:p w14:paraId="23C5CA89"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i/>
        </w:rPr>
        <w:t>“PLAZO RAZONABLE PARA RESOLVER. CONCEPTO Y ELEMENTOS QUE LO INTEGRAN A LA LUZ DEL DERECHO INTERNACIONAL DE LOS DERECHOS HUMANOS.”</w:t>
      </w:r>
      <w:r w:rsidRPr="00506B40">
        <w:rPr>
          <w:rFonts w:ascii="Palatino Linotype" w:eastAsia="Palatino Linotype" w:hAnsi="Palatino Linotype" w:cs="Palatino Linotype"/>
        </w:rPr>
        <w:t>, visible en el Seminario Judicial de la Federación y su gaceta, con el registro digital 2002350.</w:t>
      </w:r>
    </w:p>
    <w:p w14:paraId="75F7B85E" w14:textId="77777777" w:rsidR="005A3DCE" w:rsidRPr="00506B40" w:rsidRDefault="005A3DCE">
      <w:pPr>
        <w:spacing w:line="360" w:lineRule="auto"/>
        <w:jc w:val="both"/>
        <w:rPr>
          <w:rFonts w:ascii="Palatino Linotype" w:eastAsia="Palatino Linotype" w:hAnsi="Palatino Linotype" w:cs="Palatino Linotype"/>
        </w:rPr>
      </w:pPr>
    </w:p>
    <w:p w14:paraId="3B68DCBE" w14:textId="77777777" w:rsidR="005A3DCE" w:rsidRPr="00506B40" w:rsidRDefault="006E4886">
      <w:pPr>
        <w:spacing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Por ello, este organismo garante comprometido con la tutela de los derechos humanos confiados, señala que este exceso de plazo legal para resolver el presente asunto, resulta de carácter excepcional.</w:t>
      </w:r>
    </w:p>
    <w:p w14:paraId="40E942C2" w14:textId="77777777" w:rsidR="00321D85" w:rsidRPr="00506B40" w:rsidRDefault="00321D85"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b/>
        </w:rPr>
      </w:pPr>
    </w:p>
    <w:p w14:paraId="4FB2EF3B" w14:textId="77777777" w:rsidR="00D965AF" w:rsidRPr="00506B40" w:rsidRDefault="00D965AF"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8. Alcance a Informe Justificado. </w:t>
      </w:r>
      <w:r w:rsidR="00107365" w:rsidRPr="00506B40">
        <w:rPr>
          <w:rFonts w:ascii="Palatino Linotype" w:eastAsia="Palatino Linotype" w:hAnsi="Palatino Linotype" w:cs="Palatino Linotype"/>
        </w:rPr>
        <w:t>El</w:t>
      </w:r>
      <w:r w:rsidRPr="00506B40">
        <w:rPr>
          <w:rFonts w:ascii="Palatino Linotype" w:eastAsia="Palatino Linotype" w:hAnsi="Palatino Linotype" w:cs="Palatino Linotype"/>
          <w:b/>
        </w:rPr>
        <w:t xml:space="preserve"> veinte de octubre de dos mil veintidós, </w:t>
      </w:r>
      <w:r w:rsidRPr="00506B40">
        <w:rPr>
          <w:rFonts w:ascii="Palatino Linotype" w:eastAsia="Palatino Linotype" w:hAnsi="Palatino Linotype" w:cs="Palatino Linotype"/>
        </w:rPr>
        <w:t xml:space="preserve">el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envía a través de SAIMEX, alcance al informe justificado, mediante el archivo; </w:t>
      </w:r>
      <w:r w:rsidR="00107365" w:rsidRPr="00506B40">
        <w:rPr>
          <w:rFonts w:ascii="Palatino Linotype" w:eastAsia="Palatino Linotype" w:hAnsi="Palatino Linotype" w:cs="Palatino Linotype"/>
        </w:rPr>
        <w:t>“</w:t>
      </w:r>
      <w:r w:rsidRPr="00506B40">
        <w:rPr>
          <w:rFonts w:ascii="Palatino Linotype" w:eastAsia="Palatino Linotype" w:hAnsi="Palatino Linotype" w:cs="Palatino Linotype"/>
          <w:b/>
        </w:rPr>
        <w:t>Alcance a Manifestaciones RR12019.pdf</w:t>
      </w:r>
      <w:r w:rsidR="00107365" w:rsidRPr="00506B40">
        <w:rPr>
          <w:rFonts w:ascii="Palatino Linotype" w:eastAsia="Palatino Linotype" w:hAnsi="Palatino Linotype" w:cs="Palatino Linotype"/>
          <w:b/>
        </w:rPr>
        <w:t>”</w:t>
      </w:r>
      <w:r w:rsidRPr="00506B40">
        <w:rPr>
          <w:rFonts w:ascii="Palatino Linotype" w:eastAsia="Palatino Linotype" w:hAnsi="Palatino Linotype" w:cs="Palatino Linotype"/>
        </w:rPr>
        <w:t xml:space="preserve">, </w:t>
      </w:r>
      <w:r w:rsidR="00107365" w:rsidRPr="00506B40">
        <w:rPr>
          <w:rFonts w:ascii="Palatino Linotype" w:eastAsia="Palatino Linotype" w:hAnsi="Palatino Linotype" w:cs="Palatino Linotype"/>
        </w:rPr>
        <w:t xml:space="preserve">en el que se muestra oficio UTIM/02936/2022 de fecha veinte de octubre  del presente año, </w:t>
      </w:r>
      <w:r w:rsidR="00107365" w:rsidRPr="00506B40">
        <w:rPr>
          <w:rFonts w:ascii="Palatino Linotype" w:eastAsia="Palatino Linotype" w:hAnsi="Palatino Linotype" w:cs="Palatino Linotype"/>
        </w:rPr>
        <w:lastRenderedPageBreak/>
        <w:t xml:space="preserve">suscrito por la Titular de la Unidad de Transparencia, </w:t>
      </w:r>
      <w:r w:rsidRPr="00506B40">
        <w:rPr>
          <w:rFonts w:ascii="Palatino Linotype" w:eastAsia="Palatino Linotype" w:hAnsi="Palatino Linotype" w:cs="Palatino Linotype"/>
        </w:rPr>
        <w:t>en el que manifiesta:</w:t>
      </w:r>
    </w:p>
    <w:p w14:paraId="1E9093B6" w14:textId="77777777" w:rsidR="00D965AF" w:rsidRPr="00506B40" w:rsidRDefault="00D965AF"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p>
    <w:p w14:paraId="2B7F6876" w14:textId="77777777" w:rsidR="00D965AF" w:rsidRPr="00506B40" w:rsidRDefault="00D965AF" w:rsidP="00D965AF">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7CA2E14D" wp14:editId="0FAA3DBD">
            <wp:extent cx="4371975" cy="3567934"/>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839" t="27459" r="51630" b="29692"/>
                    <a:stretch/>
                  </pic:blipFill>
                  <pic:spPr bwMode="auto">
                    <a:xfrm>
                      <a:off x="0" y="0"/>
                      <a:ext cx="4379632" cy="3574183"/>
                    </a:xfrm>
                    <a:prstGeom prst="rect">
                      <a:avLst/>
                    </a:prstGeom>
                    <a:ln>
                      <a:noFill/>
                    </a:ln>
                    <a:extLst>
                      <a:ext uri="{53640926-AAD7-44D8-BBD7-CCE9431645EC}">
                        <a14:shadowObscured xmlns:a14="http://schemas.microsoft.com/office/drawing/2010/main"/>
                      </a:ext>
                    </a:extLst>
                  </pic:spPr>
                </pic:pic>
              </a:graphicData>
            </a:graphic>
          </wp:inline>
        </w:drawing>
      </w:r>
    </w:p>
    <w:p w14:paraId="51D74B50" w14:textId="77777777" w:rsidR="00D965AF" w:rsidRPr="00506B40" w:rsidRDefault="00D965AF" w:rsidP="00D965AF">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110F2B65" wp14:editId="0E0069DB">
            <wp:extent cx="3133725" cy="2688699"/>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348" t="33494" r="51969" b="22752"/>
                    <a:stretch/>
                  </pic:blipFill>
                  <pic:spPr bwMode="auto">
                    <a:xfrm>
                      <a:off x="0" y="0"/>
                      <a:ext cx="3141917" cy="2695727"/>
                    </a:xfrm>
                    <a:prstGeom prst="rect">
                      <a:avLst/>
                    </a:prstGeom>
                    <a:ln>
                      <a:noFill/>
                    </a:ln>
                    <a:extLst>
                      <a:ext uri="{53640926-AAD7-44D8-BBD7-CCE9431645EC}">
                        <a14:shadowObscured xmlns:a14="http://schemas.microsoft.com/office/drawing/2010/main"/>
                      </a:ext>
                    </a:extLst>
                  </pic:spPr>
                </pic:pic>
              </a:graphicData>
            </a:graphic>
          </wp:inline>
        </w:drawing>
      </w:r>
    </w:p>
    <w:p w14:paraId="4B710ABD" w14:textId="77777777" w:rsidR="00D965AF" w:rsidRPr="00506B40" w:rsidRDefault="00D965AF"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p>
    <w:p w14:paraId="4AB5C3DC" w14:textId="77777777" w:rsidR="00D965AF" w:rsidRPr="00506B40" w:rsidRDefault="00D965AF" w:rsidP="00D965AF">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40E9B7D2" wp14:editId="613DD525">
            <wp:extent cx="4676775" cy="351376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651" t="37417" r="50272" b="19734"/>
                    <a:stretch/>
                  </pic:blipFill>
                  <pic:spPr bwMode="auto">
                    <a:xfrm>
                      <a:off x="0" y="0"/>
                      <a:ext cx="4694461" cy="3527054"/>
                    </a:xfrm>
                    <a:prstGeom prst="rect">
                      <a:avLst/>
                    </a:prstGeom>
                    <a:ln>
                      <a:noFill/>
                    </a:ln>
                    <a:extLst>
                      <a:ext uri="{53640926-AAD7-44D8-BBD7-CCE9431645EC}">
                        <a14:shadowObscured xmlns:a14="http://schemas.microsoft.com/office/drawing/2010/main"/>
                      </a:ext>
                    </a:extLst>
                  </pic:spPr>
                </pic:pic>
              </a:graphicData>
            </a:graphic>
          </wp:inline>
        </w:drawing>
      </w:r>
    </w:p>
    <w:p w14:paraId="3A27A889" w14:textId="77777777" w:rsidR="00D965AF" w:rsidRPr="00506B40" w:rsidRDefault="00D965AF" w:rsidP="00D965AF">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1C26CED3" wp14:editId="17D93B16">
            <wp:extent cx="4648200" cy="3540339"/>
            <wp:effectExtent l="0" t="0" r="0" b="317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802" t="22934" r="50442" b="32709"/>
                    <a:stretch/>
                  </pic:blipFill>
                  <pic:spPr bwMode="auto">
                    <a:xfrm>
                      <a:off x="0" y="0"/>
                      <a:ext cx="4662203" cy="3551005"/>
                    </a:xfrm>
                    <a:prstGeom prst="rect">
                      <a:avLst/>
                    </a:prstGeom>
                    <a:ln>
                      <a:noFill/>
                    </a:ln>
                    <a:extLst>
                      <a:ext uri="{53640926-AAD7-44D8-BBD7-CCE9431645EC}">
                        <a14:shadowObscured xmlns:a14="http://schemas.microsoft.com/office/drawing/2010/main"/>
                      </a:ext>
                    </a:extLst>
                  </pic:spPr>
                </pic:pic>
              </a:graphicData>
            </a:graphic>
          </wp:inline>
        </w:drawing>
      </w:r>
    </w:p>
    <w:p w14:paraId="1E7972E7" w14:textId="77777777" w:rsidR="00D965AF" w:rsidRPr="00506B40" w:rsidRDefault="00D965AF" w:rsidP="00D965AF">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03BC8AF2" wp14:editId="732B121E">
            <wp:extent cx="4210050" cy="3812434"/>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178" t="28062" r="50272" b="22752"/>
                    <a:stretch/>
                  </pic:blipFill>
                  <pic:spPr bwMode="auto">
                    <a:xfrm>
                      <a:off x="0" y="0"/>
                      <a:ext cx="4225090" cy="3826054"/>
                    </a:xfrm>
                    <a:prstGeom prst="rect">
                      <a:avLst/>
                    </a:prstGeom>
                    <a:ln>
                      <a:noFill/>
                    </a:ln>
                    <a:extLst>
                      <a:ext uri="{53640926-AAD7-44D8-BBD7-CCE9431645EC}">
                        <a14:shadowObscured xmlns:a14="http://schemas.microsoft.com/office/drawing/2010/main"/>
                      </a:ext>
                    </a:extLst>
                  </pic:spPr>
                </pic:pic>
              </a:graphicData>
            </a:graphic>
          </wp:inline>
        </w:drawing>
      </w:r>
    </w:p>
    <w:p w14:paraId="3439C74F" w14:textId="77777777" w:rsidR="00D965AF" w:rsidRPr="00506B40" w:rsidRDefault="00D965AF" w:rsidP="00D965AF">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56630F8B" wp14:editId="31583112">
            <wp:extent cx="3448050" cy="3231418"/>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821" t="23234" r="49762" b="22752"/>
                    <a:stretch/>
                  </pic:blipFill>
                  <pic:spPr bwMode="auto">
                    <a:xfrm>
                      <a:off x="0" y="0"/>
                      <a:ext cx="3473464" cy="3255235"/>
                    </a:xfrm>
                    <a:prstGeom prst="rect">
                      <a:avLst/>
                    </a:prstGeom>
                    <a:ln>
                      <a:noFill/>
                    </a:ln>
                    <a:extLst>
                      <a:ext uri="{53640926-AAD7-44D8-BBD7-CCE9431645EC}">
                        <a14:shadowObscured xmlns:a14="http://schemas.microsoft.com/office/drawing/2010/main"/>
                      </a:ext>
                    </a:extLst>
                  </pic:spPr>
                </pic:pic>
              </a:graphicData>
            </a:graphic>
          </wp:inline>
        </w:drawing>
      </w:r>
    </w:p>
    <w:p w14:paraId="279FEECD" w14:textId="77777777" w:rsidR="00D965AF" w:rsidRPr="00506B40" w:rsidRDefault="00D965AF" w:rsidP="00D965AF">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1F5F56C2" wp14:editId="27901470">
            <wp:extent cx="4133850" cy="3572186"/>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330" t="30175" r="50441" b="21847"/>
                    <a:stretch/>
                  </pic:blipFill>
                  <pic:spPr bwMode="auto">
                    <a:xfrm>
                      <a:off x="0" y="0"/>
                      <a:ext cx="4141032" cy="3578392"/>
                    </a:xfrm>
                    <a:prstGeom prst="rect">
                      <a:avLst/>
                    </a:prstGeom>
                    <a:ln>
                      <a:noFill/>
                    </a:ln>
                    <a:extLst>
                      <a:ext uri="{53640926-AAD7-44D8-BBD7-CCE9431645EC}">
                        <a14:shadowObscured xmlns:a14="http://schemas.microsoft.com/office/drawing/2010/main"/>
                      </a:ext>
                    </a:extLst>
                  </pic:spPr>
                </pic:pic>
              </a:graphicData>
            </a:graphic>
          </wp:inline>
        </w:drawing>
      </w:r>
    </w:p>
    <w:p w14:paraId="3D9904CA" w14:textId="77777777" w:rsidR="00D965AF" w:rsidRPr="00506B40" w:rsidRDefault="00D965AF" w:rsidP="00107365">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5D6CDCDC" wp14:editId="3461CB66">
            <wp:extent cx="4229100" cy="358760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178" t="25046" r="50611" b="29390"/>
                    <a:stretch/>
                  </pic:blipFill>
                  <pic:spPr bwMode="auto">
                    <a:xfrm>
                      <a:off x="0" y="0"/>
                      <a:ext cx="4239245" cy="3596213"/>
                    </a:xfrm>
                    <a:prstGeom prst="rect">
                      <a:avLst/>
                    </a:prstGeom>
                    <a:ln>
                      <a:noFill/>
                    </a:ln>
                    <a:extLst>
                      <a:ext uri="{53640926-AAD7-44D8-BBD7-CCE9431645EC}">
                        <a14:shadowObscured xmlns:a14="http://schemas.microsoft.com/office/drawing/2010/main"/>
                      </a:ext>
                    </a:extLst>
                  </pic:spPr>
                </pic:pic>
              </a:graphicData>
            </a:graphic>
          </wp:inline>
        </w:drawing>
      </w:r>
    </w:p>
    <w:p w14:paraId="32599CD0" w14:textId="77777777" w:rsidR="00D965AF" w:rsidRPr="00506B40" w:rsidRDefault="00D965AF"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p>
    <w:p w14:paraId="32E1B2D4" w14:textId="77777777" w:rsidR="00D965AF" w:rsidRPr="00506B40" w:rsidRDefault="00D965AF" w:rsidP="00107365">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26C4DBFA" wp14:editId="6937CA14">
            <wp:extent cx="4838700" cy="5104563"/>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500" t="28968" r="50611" b="13096"/>
                    <a:stretch/>
                  </pic:blipFill>
                  <pic:spPr bwMode="auto">
                    <a:xfrm>
                      <a:off x="0" y="0"/>
                      <a:ext cx="4845632" cy="5111876"/>
                    </a:xfrm>
                    <a:prstGeom prst="rect">
                      <a:avLst/>
                    </a:prstGeom>
                    <a:ln>
                      <a:noFill/>
                    </a:ln>
                    <a:extLst>
                      <a:ext uri="{53640926-AAD7-44D8-BBD7-CCE9431645EC}">
                        <a14:shadowObscured xmlns:a14="http://schemas.microsoft.com/office/drawing/2010/main"/>
                      </a:ext>
                    </a:extLst>
                  </pic:spPr>
                </pic:pic>
              </a:graphicData>
            </a:graphic>
          </wp:inline>
        </w:drawing>
      </w:r>
    </w:p>
    <w:p w14:paraId="5F88007E" w14:textId="6B52A27B" w:rsidR="00D24E20" w:rsidRPr="00506B40" w:rsidRDefault="00D965AF" w:rsidP="00D24E20">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1C504D51" wp14:editId="4FB2CD0E">
            <wp:extent cx="4143375" cy="1576284"/>
            <wp:effectExtent l="0" t="0" r="0" b="508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7820" t="31985" r="50951" b="46892"/>
                    <a:stretch/>
                  </pic:blipFill>
                  <pic:spPr bwMode="auto">
                    <a:xfrm>
                      <a:off x="0" y="0"/>
                      <a:ext cx="4207166" cy="1600552"/>
                    </a:xfrm>
                    <a:prstGeom prst="rect">
                      <a:avLst/>
                    </a:prstGeom>
                    <a:ln>
                      <a:noFill/>
                    </a:ln>
                    <a:extLst>
                      <a:ext uri="{53640926-AAD7-44D8-BBD7-CCE9431645EC}">
                        <a14:shadowObscured xmlns:a14="http://schemas.microsoft.com/office/drawing/2010/main"/>
                      </a:ext>
                    </a:extLst>
                  </pic:spPr>
                </pic:pic>
              </a:graphicData>
            </a:graphic>
          </wp:inline>
        </w:drawing>
      </w:r>
    </w:p>
    <w:p w14:paraId="5C3035A1" w14:textId="77777777" w:rsidR="00D24E20" w:rsidRPr="00506B40" w:rsidRDefault="00D24E20" w:rsidP="00D24E20">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p>
    <w:p w14:paraId="31115969" w14:textId="2EDD958C" w:rsidR="00A50A86" w:rsidRPr="00506B40" w:rsidRDefault="00A50A86" w:rsidP="00A50A86">
      <w:pPr>
        <w:spacing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Documento que fue puesto a la vista de la parte </w:t>
      </w:r>
      <w:r w:rsidRPr="00506B40">
        <w:rPr>
          <w:rFonts w:ascii="Palatino Linotype" w:eastAsia="Palatino Linotype" w:hAnsi="Palatino Linotype" w:cs="Palatino Linotype"/>
          <w:b/>
        </w:rPr>
        <w:t>RECURRENTE</w:t>
      </w:r>
      <w:r w:rsidRPr="00506B40">
        <w:rPr>
          <w:rFonts w:ascii="Palatino Linotype" w:eastAsia="Palatino Linotype" w:hAnsi="Palatino Linotype" w:cs="Palatino Linotype"/>
        </w:rPr>
        <w:t xml:space="preserve">, el dieciocho de octubre de dos mil veintidós, sin que la parte </w:t>
      </w:r>
      <w:r w:rsidRPr="00506B40">
        <w:rPr>
          <w:rFonts w:ascii="Palatino Linotype" w:eastAsia="Palatino Linotype" w:hAnsi="Palatino Linotype" w:cs="Palatino Linotype"/>
          <w:b/>
          <w:bCs/>
        </w:rPr>
        <w:t>RECURRENTE</w:t>
      </w:r>
      <w:r w:rsidRPr="00506B40">
        <w:rPr>
          <w:rFonts w:ascii="Palatino Linotype" w:eastAsia="Palatino Linotype" w:hAnsi="Palatino Linotype" w:cs="Palatino Linotype"/>
        </w:rPr>
        <w:t xml:space="preserve"> emitiera manifestaciones.</w:t>
      </w:r>
    </w:p>
    <w:p w14:paraId="6C626D7D" w14:textId="77777777" w:rsidR="007476A8" w:rsidRPr="00506B40" w:rsidRDefault="007476A8"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b/>
        </w:rPr>
      </w:pPr>
    </w:p>
    <w:p w14:paraId="7714BDAA" w14:textId="77777777" w:rsidR="005A3DCE" w:rsidRPr="00506B40" w:rsidRDefault="00D965AF"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9. </w:t>
      </w:r>
      <w:r w:rsidR="006E4886" w:rsidRPr="00506B40">
        <w:rPr>
          <w:rFonts w:ascii="Palatino Linotype" w:eastAsia="Palatino Linotype" w:hAnsi="Palatino Linotype" w:cs="Palatino Linotype"/>
          <w:b/>
        </w:rPr>
        <w:t xml:space="preserve">Cierre de instrucción. </w:t>
      </w:r>
      <w:r w:rsidR="00321D85" w:rsidRPr="00506B40">
        <w:rPr>
          <w:rFonts w:ascii="Palatino Linotype" w:eastAsia="Palatino Linotype" w:hAnsi="Palatino Linotype" w:cs="Palatino Linotype"/>
        </w:rPr>
        <w:t xml:space="preserve">En fecha </w:t>
      </w:r>
      <w:r w:rsidR="00EF5D92" w:rsidRPr="00506B40">
        <w:rPr>
          <w:rFonts w:ascii="Palatino Linotype" w:eastAsia="Palatino Linotype" w:hAnsi="Palatino Linotype" w:cs="Palatino Linotype"/>
          <w:b/>
        </w:rPr>
        <w:t xml:space="preserve">veintiséis </w:t>
      </w:r>
      <w:r w:rsidR="00321D85" w:rsidRPr="00506B40">
        <w:rPr>
          <w:rFonts w:ascii="Palatino Linotype" w:eastAsia="Palatino Linotype" w:hAnsi="Palatino Linotype" w:cs="Palatino Linotype"/>
          <w:b/>
        </w:rPr>
        <w:t xml:space="preserve">de </w:t>
      </w:r>
      <w:r w:rsidR="009F1AE5" w:rsidRPr="00506B40">
        <w:rPr>
          <w:rFonts w:ascii="Palatino Linotype" w:eastAsia="Palatino Linotype" w:hAnsi="Palatino Linotype" w:cs="Palatino Linotype"/>
          <w:b/>
        </w:rPr>
        <w:t>octubre</w:t>
      </w:r>
      <w:r w:rsidR="006E4886" w:rsidRPr="00506B40">
        <w:rPr>
          <w:rFonts w:ascii="Palatino Linotype" w:eastAsia="Palatino Linotype" w:hAnsi="Palatino Linotype" w:cs="Palatino Linotype"/>
          <w:b/>
        </w:rPr>
        <w:t xml:space="preserve"> de dos mil veintidós</w:t>
      </w:r>
      <w:r w:rsidR="009F1AE5" w:rsidRPr="00506B40">
        <w:rPr>
          <w:rFonts w:ascii="Palatino Linotype" w:eastAsia="Palatino Linotype" w:hAnsi="Palatino Linotype" w:cs="Palatino Linotype"/>
        </w:rPr>
        <w:t>,</w:t>
      </w:r>
      <w:r w:rsidR="006E4886" w:rsidRPr="00506B40">
        <w:rPr>
          <w:rFonts w:ascii="Palatino Linotype" w:eastAsia="Palatino Linotype" w:hAnsi="Palatino Linotype" w:cs="Palatino Linotype"/>
        </w:rPr>
        <w:t xml:space="preserve"> la Comisionada ponente determinó el cierre de instrucción en términos de la fracción VI del artículo 185 de la Ley de Transparencia y Acceso a la Información Pública del Estado de México y Municipios.</w:t>
      </w:r>
    </w:p>
    <w:p w14:paraId="71BD1E76" w14:textId="77777777" w:rsidR="00551A04" w:rsidRPr="00506B40" w:rsidRDefault="00551A04" w:rsidP="00321D85">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p>
    <w:p w14:paraId="7F4690DF" w14:textId="77777777" w:rsidR="005A3DCE" w:rsidRPr="00506B40" w:rsidRDefault="006E4886">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En razón de que fue debidamente sustanciado el expediente electrónico y no existe diligencia pendiente de desahogo, se emite la Resolución que conforme a Derecho proceda, de acuerdo con los siguientes: </w:t>
      </w:r>
    </w:p>
    <w:p w14:paraId="5130AC87" w14:textId="77777777" w:rsidR="005A3DCE" w:rsidRPr="00506B40" w:rsidRDefault="00107365">
      <w:pPr>
        <w:numPr>
          <w:ilvl w:val="0"/>
          <w:numId w:val="4"/>
        </w:numPr>
        <w:pBdr>
          <w:top w:val="nil"/>
          <w:left w:val="nil"/>
          <w:bottom w:val="nil"/>
          <w:right w:val="nil"/>
          <w:between w:val="nil"/>
        </w:pBdr>
        <w:spacing w:before="240" w:after="240" w:line="360" w:lineRule="auto"/>
        <w:ind w:left="720"/>
        <w:jc w:val="center"/>
        <w:rPr>
          <w:rFonts w:ascii="Palatino Linotype" w:eastAsia="Palatino Linotype" w:hAnsi="Palatino Linotype" w:cs="Palatino Linotype"/>
          <w:b/>
          <w:sz w:val="22"/>
          <w:szCs w:val="22"/>
          <w:lang w:val="pt-BR"/>
        </w:rPr>
      </w:pPr>
      <w:r w:rsidRPr="00506B40">
        <w:rPr>
          <w:rFonts w:ascii="Palatino Linotype" w:eastAsia="Palatino Linotype" w:hAnsi="Palatino Linotype" w:cs="Palatino Linotype"/>
          <w:b/>
          <w:sz w:val="22"/>
          <w:szCs w:val="22"/>
          <w:lang w:val="pt-BR"/>
        </w:rPr>
        <w:t>C O N S I D E R A N D O</w:t>
      </w:r>
    </w:p>
    <w:p w14:paraId="53579813" w14:textId="77777777" w:rsidR="005A3DCE" w:rsidRPr="00506B40" w:rsidRDefault="006E4886">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Primero. Competencia. </w:t>
      </w:r>
      <w:r w:rsidRPr="00506B40">
        <w:rPr>
          <w:rFonts w:ascii="Palatino Linotype" w:eastAsia="Palatino Linotype" w:hAnsi="Palatino Linotype" w:cs="Palatino Linotype"/>
        </w:rPr>
        <w:t xml:space="preserve">El Instituto de Transparencia, Acceso a la Información Pública y Protección de Datos Personales del Estado de México y Municipios, es competente para conocer y resolver el presente recurso de revisión interpuesto por la parte </w:t>
      </w:r>
      <w:r w:rsidR="006A0AF5" w:rsidRPr="00506B40">
        <w:rPr>
          <w:rFonts w:ascii="Palatino Linotype" w:eastAsia="Palatino Linotype" w:hAnsi="Palatino Linotype" w:cs="Palatino Linotype"/>
          <w:b/>
        </w:rPr>
        <w:t>RECURRENTE</w:t>
      </w:r>
      <w:r w:rsidRPr="00506B40">
        <w:rPr>
          <w:rFonts w:ascii="Palatino Linotype" w:eastAsia="Palatino Linotype" w:hAnsi="Palatino Linotype" w:cs="Palatino Linotype"/>
        </w:rPr>
        <w:t xml:space="preserve">, conforme a lo dispuesto en los artículos 6, apartado A de la Constitución Política de los Estados Unidos Mexicanos; 5, párrafos trigésimo, trigésimo primero y trigésimo segundo, fracciones IV y V de la Constitución Política del Estado Libre y Soberano de México; 1, 2, fracción II; 13,  29, 36, fracciones I y II; 176, 178, 179, 181 párrafo tercero y 185 de la Ley Transparencia y Acceso a la </w:t>
      </w:r>
      <w:r w:rsidRPr="00506B40">
        <w:rPr>
          <w:rFonts w:ascii="Palatino Linotype" w:eastAsia="Palatino Linotype" w:hAnsi="Palatino Linotype" w:cs="Palatino Linotype"/>
        </w:rPr>
        <w:lastRenderedPageBreak/>
        <w:t>Información Pública del Estado de México y Municipios; 9, fracciones I y XXIV y 11 del Reglamento Interior del Instituto de Transparencia, Acceso a la Información Pública y Protección de Datos Personales del Estado de México y Municipios.</w:t>
      </w:r>
    </w:p>
    <w:p w14:paraId="6271F35B" w14:textId="77777777" w:rsidR="00270610" w:rsidRPr="00506B40" w:rsidRDefault="00270610" w:rsidP="00270610">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Segundo. Oportunidad y Procedibilidad del Recurso de Revisión. </w:t>
      </w:r>
      <w:r w:rsidRPr="00506B40">
        <w:rPr>
          <w:rFonts w:ascii="Palatino Linotype" w:eastAsia="Palatino Linotype" w:hAnsi="Palatino Linotype" w:cs="Palatino Linotype"/>
        </w:rPr>
        <w:t>Previo al estudio del fondo del asunto, se procede a analizar los requisitos de oportunidad y procedibilidad que debe reunir el recurso de revisión interpuesto, previstos en los artículos 178 y 180 de la Ley de Transparencia y Acceso a la Información Pública del Estado de México y Municipios.</w:t>
      </w:r>
    </w:p>
    <w:p w14:paraId="4891DDD3" w14:textId="77777777" w:rsidR="00270610" w:rsidRPr="00506B40" w:rsidRDefault="00270610" w:rsidP="00270610">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Al respecto la Ley de Transparencia y Acceso a la Información Pública del Estado de México y Municipios, establece lo siguiente:</w:t>
      </w:r>
    </w:p>
    <w:p w14:paraId="1EF7B37B" w14:textId="77777777" w:rsidR="00270610" w:rsidRPr="00506B40" w:rsidRDefault="00270610" w:rsidP="00270610">
      <w:pPr>
        <w:ind w:left="851" w:right="900"/>
        <w:jc w:val="both"/>
        <w:rPr>
          <w:rFonts w:ascii="Palatino Linotype" w:eastAsia="Palatino Linotype" w:hAnsi="Palatino Linotype" w:cs="Palatino Linotype"/>
          <w:i/>
          <w:sz w:val="28"/>
          <w:szCs w:val="28"/>
        </w:rPr>
      </w:pPr>
      <w:r w:rsidRPr="00506B40">
        <w:rPr>
          <w:rFonts w:ascii="Palatino Linotype" w:eastAsia="Palatino Linotype" w:hAnsi="Palatino Linotype" w:cs="Palatino Linotype"/>
          <w:b/>
          <w:i/>
          <w:sz w:val="22"/>
          <w:szCs w:val="22"/>
        </w:rPr>
        <w:t xml:space="preserve">“Artículo 178. </w:t>
      </w:r>
      <w:r w:rsidRPr="00506B40">
        <w:rPr>
          <w:rFonts w:ascii="Palatino Linotype" w:eastAsia="Palatino Linotype" w:hAnsi="Palatino Linotype" w:cs="Palatino Linotype"/>
          <w:i/>
          <w:sz w:val="22"/>
          <w:szCs w:val="22"/>
        </w:rPr>
        <w:t>El solicitante podrá interponer, por sí mismo o a través de su representante, de manera directa o por medios electrónicos, recurso de revisión ante el Instituto o ante la Unidad de Transparencia que haya conocido de la solicitud dentro de los quince días hábiles, siguientes a la fecha de la notificación de la respuesta.</w:t>
      </w:r>
    </w:p>
    <w:p w14:paraId="1FAD48A2" w14:textId="77777777" w:rsidR="00270610" w:rsidRPr="00506B40" w:rsidRDefault="00270610" w:rsidP="00270610">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Del precepto legal transcrito, se desprende que cuando los solicitantes de información en el ejercicio del derecho de acceso a la información no se encuentren satisfechos con la información entregada por los sujetos obligados, podrán interponer recurso de revisión de manera directa o por medios electrónicos dentro de los quince días hábiles siguientes a la fecha de notificación de la respuesta, y, toda vez que el </w:t>
      </w:r>
      <w:r w:rsidRPr="00506B40">
        <w:rPr>
          <w:rFonts w:ascii="Palatino Linotype" w:eastAsia="Palatino Linotype" w:hAnsi="Palatino Linotype" w:cs="Palatino Linotype"/>
          <w:b/>
        </w:rPr>
        <w:t xml:space="preserve">SUJETO OBLIGADO </w:t>
      </w:r>
      <w:r w:rsidRPr="00506B40">
        <w:rPr>
          <w:rFonts w:ascii="Palatino Linotype" w:eastAsia="Palatino Linotype" w:hAnsi="Palatino Linotype" w:cs="Palatino Linotype"/>
        </w:rPr>
        <w:t xml:space="preserve">remitió la respuesta a la solicitud de información el día </w:t>
      </w:r>
      <w:r w:rsidR="006A0AF5" w:rsidRPr="00506B40">
        <w:rPr>
          <w:rFonts w:ascii="Palatino Linotype" w:eastAsia="Palatino Linotype" w:hAnsi="Palatino Linotype" w:cs="Palatino Linotype"/>
          <w:b/>
        </w:rPr>
        <w:t>veintidós</w:t>
      </w:r>
      <w:r w:rsidRPr="00506B40">
        <w:rPr>
          <w:rFonts w:ascii="Palatino Linotype" w:eastAsia="Palatino Linotype" w:hAnsi="Palatino Linotype" w:cs="Palatino Linotype"/>
          <w:b/>
        </w:rPr>
        <w:t xml:space="preserve"> de </w:t>
      </w:r>
      <w:r w:rsidR="006A0AF5" w:rsidRPr="00506B40">
        <w:rPr>
          <w:rFonts w:ascii="Palatino Linotype" w:eastAsia="Palatino Linotype" w:hAnsi="Palatino Linotype" w:cs="Palatino Linotype"/>
          <w:b/>
        </w:rPr>
        <w:t>junio</w:t>
      </w:r>
      <w:r w:rsidRPr="00506B40">
        <w:rPr>
          <w:rFonts w:ascii="Palatino Linotype" w:eastAsia="Palatino Linotype" w:hAnsi="Palatino Linotype" w:cs="Palatino Linotype"/>
          <w:b/>
        </w:rPr>
        <w:t xml:space="preserve"> de dos mil veintidós, </w:t>
      </w:r>
      <w:r w:rsidRPr="00506B40">
        <w:rPr>
          <w:rFonts w:ascii="Palatino Linotype" w:eastAsia="Palatino Linotype" w:hAnsi="Palatino Linotype" w:cs="Palatino Linotype"/>
        </w:rPr>
        <w:t xml:space="preserve">mientras que el recurso de revisión interpuesto por la parte </w:t>
      </w:r>
      <w:r w:rsidRPr="00506B40">
        <w:rPr>
          <w:rFonts w:ascii="Palatino Linotype" w:eastAsia="Palatino Linotype" w:hAnsi="Palatino Linotype" w:cs="Palatino Linotype"/>
          <w:b/>
        </w:rPr>
        <w:t>RECURRENTE</w:t>
      </w:r>
      <w:r w:rsidRPr="00506B40">
        <w:rPr>
          <w:rFonts w:ascii="Palatino Linotype" w:eastAsia="Palatino Linotype" w:hAnsi="Palatino Linotype" w:cs="Palatino Linotype"/>
        </w:rPr>
        <w:t xml:space="preserve">, se tuvo por presentado el día </w:t>
      </w:r>
      <w:r w:rsidR="006A0AF5" w:rsidRPr="00506B40">
        <w:rPr>
          <w:rFonts w:ascii="Palatino Linotype" w:eastAsia="Palatino Linotype" w:hAnsi="Palatino Linotype" w:cs="Palatino Linotype"/>
          <w:b/>
        </w:rPr>
        <w:t>veintitrés</w:t>
      </w:r>
      <w:r w:rsidRPr="00506B40">
        <w:rPr>
          <w:rFonts w:ascii="Palatino Linotype" w:eastAsia="Palatino Linotype" w:hAnsi="Palatino Linotype" w:cs="Palatino Linotype"/>
          <w:b/>
        </w:rPr>
        <w:t xml:space="preserve"> de </w:t>
      </w:r>
      <w:r w:rsidR="00EF5D92" w:rsidRPr="00506B40">
        <w:rPr>
          <w:rFonts w:ascii="Palatino Linotype" w:eastAsia="Palatino Linotype" w:hAnsi="Palatino Linotype" w:cs="Palatino Linotype"/>
          <w:b/>
        </w:rPr>
        <w:lastRenderedPageBreak/>
        <w:t>junio</w:t>
      </w:r>
      <w:r w:rsidRPr="00506B40">
        <w:rPr>
          <w:rFonts w:ascii="Palatino Linotype" w:eastAsia="Palatino Linotype" w:hAnsi="Palatino Linotype" w:cs="Palatino Linotype"/>
          <w:b/>
        </w:rPr>
        <w:t xml:space="preserve"> de dos mil veintidós</w:t>
      </w:r>
      <w:r w:rsidR="006A0AF5" w:rsidRPr="00506B40">
        <w:rPr>
          <w:rFonts w:ascii="Palatino Linotype" w:eastAsia="Palatino Linotype" w:hAnsi="Palatino Linotype" w:cs="Palatino Linotype"/>
        </w:rPr>
        <w:t xml:space="preserve">; esto es, al primer </w:t>
      </w:r>
      <w:r w:rsidRPr="00506B40">
        <w:rPr>
          <w:rFonts w:ascii="Palatino Linotype" w:eastAsia="Palatino Linotype" w:hAnsi="Palatino Linotype" w:cs="Palatino Linotype"/>
        </w:rPr>
        <w:t xml:space="preserve">día hábil </w:t>
      </w:r>
      <w:r w:rsidR="006A0AF5" w:rsidRPr="00506B40">
        <w:rPr>
          <w:rFonts w:ascii="Palatino Linotype" w:eastAsia="Palatino Linotype" w:hAnsi="Palatino Linotype" w:cs="Palatino Linotype"/>
        </w:rPr>
        <w:t xml:space="preserve">siguiente </w:t>
      </w:r>
      <w:r w:rsidRPr="00506B40">
        <w:rPr>
          <w:rFonts w:ascii="Palatino Linotype" w:eastAsia="Palatino Linotype" w:hAnsi="Palatino Linotype" w:cs="Palatino Linotype"/>
        </w:rPr>
        <w:t>en que tuvo conocimiento de la respuesta impugnada.</w:t>
      </w:r>
    </w:p>
    <w:p w14:paraId="55C82540" w14:textId="77777777" w:rsidR="006A0AF5" w:rsidRPr="00506B40" w:rsidRDefault="006A0AF5" w:rsidP="006A0AF5">
      <w:pPr>
        <w:pStyle w:val="NormalWeb"/>
        <w:spacing w:before="0" w:beforeAutospacing="0" w:after="160" w:afterAutospacing="0" w:line="360" w:lineRule="auto"/>
        <w:jc w:val="both"/>
      </w:pPr>
      <w:r w:rsidRPr="00506B40">
        <w:rPr>
          <w:rFonts w:ascii="Palatino Linotype" w:hAnsi="Palatino Linotype"/>
        </w:rPr>
        <w:t xml:space="preserve">Además, por cuanto hace a la procedibilidad del recurso de revisión, es de suma importancia señalar que la parte </w:t>
      </w:r>
      <w:r w:rsidRPr="00506B40">
        <w:rPr>
          <w:rFonts w:ascii="Palatino Linotype" w:hAnsi="Palatino Linotype"/>
          <w:b/>
          <w:bCs/>
        </w:rPr>
        <w:t>RECURRENTE</w:t>
      </w:r>
      <w:r w:rsidRPr="00506B40">
        <w:rPr>
          <w:rFonts w:ascii="Palatino Linotype" w:hAnsi="Palatino Linotype"/>
        </w:rPr>
        <w:t>, no señaló nombre o seudónimo con el cual desee ser identificado, como se advierte en el detalle de seguimiento del SAIMEX, no obstante lo anterior, no proporcionar el nombre no es motivo para archivar la solicitud de acceso a la información pública como concluida, conforme a lo previsto en el artículo 155, penúltimo párrafo de la Ley de Transparencia y Acceso a la Información Pública del Estado de México y Municipios que establece lo siguiente:</w:t>
      </w:r>
    </w:p>
    <w:p w14:paraId="7A49DD24" w14:textId="77777777" w:rsidR="006A0AF5" w:rsidRPr="00506B40" w:rsidRDefault="006A0AF5" w:rsidP="006A0AF5">
      <w:pPr>
        <w:pStyle w:val="NormalWeb"/>
        <w:spacing w:before="240" w:beforeAutospacing="0" w:after="240" w:afterAutospacing="0" w:line="276" w:lineRule="auto"/>
        <w:ind w:left="851" w:right="902"/>
        <w:jc w:val="both"/>
      </w:pPr>
      <w:r w:rsidRPr="00506B40">
        <w:rPr>
          <w:rFonts w:ascii="Palatino Linotype" w:hAnsi="Palatino Linotype"/>
          <w:i/>
          <w:iCs/>
          <w:sz w:val="22"/>
          <w:szCs w:val="22"/>
        </w:rPr>
        <w:t>"</w:t>
      </w:r>
      <w:r w:rsidRPr="00506B40">
        <w:rPr>
          <w:rFonts w:ascii="Palatino Linotype" w:hAnsi="Palatino Linotype"/>
          <w:b/>
          <w:bCs/>
          <w:i/>
          <w:iCs/>
          <w:sz w:val="22"/>
          <w:szCs w:val="22"/>
        </w:rPr>
        <w:t>Las solicitudes anónimas</w:t>
      </w:r>
      <w:r w:rsidRPr="00506B40">
        <w:rPr>
          <w:rFonts w:ascii="Palatino Linotype" w:hAnsi="Palatino Linotype"/>
          <w:i/>
          <w:iCs/>
          <w:sz w:val="22"/>
          <w:szCs w:val="22"/>
        </w:rPr>
        <w:t xml:space="preserve">, con nombre incompleto o seudónimo </w:t>
      </w:r>
      <w:r w:rsidRPr="00506B40">
        <w:rPr>
          <w:rFonts w:ascii="Palatino Linotype" w:hAnsi="Palatino Linotype"/>
          <w:b/>
          <w:bCs/>
          <w:i/>
          <w:iCs/>
          <w:sz w:val="22"/>
          <w:szCs w:val="22"/>
        </w:rPr>
        <w:t>serán procedentes para su trámite por parte del sujeto obligado ante quien se presente</w:t>
      </w:r>
      <w:r w:rsidRPr="00506B40">
        <w:rPr>
          <w:rFonts w:ascii="Palatino Linotype" w:hAnsi="Palatino Linotype"/>
          <w:i/>
          <w:iCs/>
          <w:sz w:val="22"/>
          <w:szCs w:val="22"/>
        </w:rPr>
        <w:t>. No podrá requerirse información adicional con motivo del nombre proporcionado por el solicitante."</w:t>
      </w:r>
    </w:p>
    <w:p w14:paraId="7EB5A68F" w14:textId="77777777" w:rsidR="005A3DCE" w:rsidRPr="00506B40" w:rsidRDefault="006E4886">
      <w:pPr>
        <w:pBdr>
          <w:top w:val="nil"/>
          <w:left w:val="nil"/>
          <w:bottom w:val="nil"/>
          <w:right w:val="nil"/>
          <w:between w:val="nil"/>
        </w:pBdr>
        <w:spacing w:after="240" w:line="360" w:lineRule="auto"/>
        <w:ind w:right="-147"/>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Además, por cuanto hace a la procedibilidad del recurso de revisión una vez realizado el análisis del formato de interposición del recurso, se acreditan plenamente de todos y cada uno de los elementos formales exigidos por el artículo 180 de la Ley de Transparencia y Acceso a la Información Pública del Estado de México y Municipios, en atención a que fue presentado mediante el formato visible en </w:t>
      </w:r>
      <w:r w:rsidRPr="00506B40">
        <w:rPr>
          <w:rFonts w:ascii="Palatino Linotype" w:eastAsia="Palatino Linotype" w:hAnsi="Palatino Linotype" w:cs="Palatino Linotype"/>
          <w:b/>
        </w:rPr>
        <w:t>EL</w:t>
      </w:r>
      <w:r w:rsidRPr="00506B40">
        <w:rPr>
          <w:rFonts w:ascii="Palatino Linotype" w:eastAsia="Palatino Linotype" w:hAnsi="Palatino Linotype" w:cs="Palatino Linotype"/>
        </w:rPr>
        <w:t xml:space="preserve"> </w:t>
      </w:r>
      <w:r w:rsidRPr="00506B40">
        <w:rPr>
          <w:rFonts w:ascii="Palatino Linotype" w:eastAsia="Palatino Linotype" w:hAnsi="Palatino Linotype" w:cs="Palatino Linotype"/>
          <w:b/>
        </w:rPr>
        <w:t>SAIMEX</w:t>
      </w:r>
      <w:r w:rsidRPr="00506B40">
        <w:rPr>
          <w:rFonts w:ascii="Palatino Linotype" w:eastAsia="Palatino Linotype" w:hAnsi="Palatino Linotype" w:cs="Palatino Linotype"/>
        </w:rPr>
        <w:t>.</w:t>
      </w:r>
    </w:p>
    <w:p w14:paraId="19C3BF27" w14:textId="77777777" w:rsidR="005A3DCE" w:rsidRPr="00506B40" w:rsidRDefault="006E4886">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Asimismo, resulta procedente la interposición del recurso de revisión al rubro anotado, toda vez que se actualiza las hipótesis previstas</w:t>
      </w:r>
      <w:r w:rsidR="006A0AF5" w:rsidRPr="00506B40">
        <w:rPr>
          <w:rFonts w:ascii="Palatino Linotype" w:eastAsia="Palatino Linotype" w:hAnsi="Palatino Linotype" w:cs="Palatino Linotype"/>
        </w:rPr>
        <w:t xml:space="preserve"> en el artículo 179, fracciones I y IV </w:t>
      </w:r>
      <w:r w:rsidRPr="00506B40">
        <w:rPr>
          <w:rFonts w:ascii="Palatino Linotype" w:eastAsia="Palatino Linotype" w:hAnsi="Palatino Linotype" w:cs="Palatino Linotype"/>
        </w:rPr>
        <w:t>de la ley de la materia, que a la letra dice:</w:t>
      </w:r>
    </w:p>
    <w:p w14:paraId="0588F0BF" w14:textId="77777777" w:rsidR="005A3DCE" w:rsidRPr="00506B40" w:rsidRDefault="006E4886" w:rsidP="006A0AF5">
      <w:pPr>
        <w:spacing w:line="276" w:lineRule="auto"/>
        <w:ind w:left="1276" w:right="1752"/>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lastRenderedPageBreak/>
        <w:t>“</w:t>
      </w:r>
      <w:r w:rsidRPr="00506B40">
        <w:rPr>
          <w:rFonts w:ascii="Palatino Linotype" w:eastAsia="Palatino Linotype" w:hAnsi="Palatino Linotype" w:cs="Palatino Linotype"/>
          <w:b/>
          <w:i/>
          <w:sz w:val="22"/>
          <w:szCs w:val="22"/>
        </w:rPr>
        <w:t xml:space="preserve">Artículo 179. </w:t>
      </w:r>
      <w:r w:rsidRPr="00506B40">
        <w:rPr>
          <w:rFonts w:ascii="Palatino Linotype" w:eastAsia="Palatino Linotype" w:hAnsi="Palatino Linotype" w:cs="Palatino Linotype"/>
          <w:i/>
          <w:sz w:val="22"/>
          <w:szCs w:val="22"/>
        </w:rPr>
        <w:t xml:space="preserve">El recurso de revisión es un medio de protección que la Ley otorga a los particulares, para hacer valer su derecho de acceso a la información pública, y procederá en contra de las siguientes </w:t>
      </w:r>
      <w:r w:rsidRPr="00506B40">
        <w:rPr>
          <w:rFonts w:ascii="Palatino Linotype" w:eastAsia="Palatino Linotype" w:hAnsi="Palatino Linotype" w:cs="Palatino Linotype"/>
          <w:i/>
        </w:rPr>
        <w:t>causas</w:t>
      </w:r>
      <w:r w:rsidRPr="00506B40">
        <w:rPr>
          <w:rFonts w:ascii="Palatino Linotype" w:eastAsia="Palatino Linotype" w:hAnsi="Palatino Linotype" w:cs="Palatino Linotype"/>
          <w:i/>
          <w:sz w:val="22"/>
          <w:szCs w:val="22"/>
        </w:rPr>
        <w:t>:</w:t>
      </w:r>
    </w:p>
    <w:p w14:paraId="71887DFD" w14:textId="77777777" w:rsidR="006A0AF5" w:rsidRPr="00506B40" w:rsidRDefault="006A0AF5" w:rsidP="006A0AF5">
      <w:pPr>
        <w:spacing w:line="276" w:lineRule="auto"/>
        <w:ind w:left="1276" w:right="1752"/>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I. La negativa a la información solicitada;</w:t>
      </w:r>
    </w:p>
    <w:p w14:paraId="1C56525E" w14:textId="77777777" w:rsidR="006A0AF5" w:rsidRPr="00506B40" w:rsidRDefault="006E4886" w:rsidP="006A0AF5">
      <w:pPr>
        <w:spacing w:line="276" w:lineRule="auto"/>
        <w:ind w:left="1276" w:right="1752"/>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w:t>
      </w:r>
    </w:p>
    <w:p w14:paraId="36A29293" w14:textId="77777777" w:rsidR="005A3DCE" w:rsidRPr="00506B40" w:rsidRDefault="006A0AF5" w:rsidP="006A0AF5">
      <w:pPr>
        <w:spacing w:line="276" w:lineRule="auto"/>
        <w:ind w:left="1276" w:right="1752"/>
        <w:jc w:val="both"/>
        <w:rPr>
          <w:rFonts w:ascii="Palatino Linotype" w:eastAsia="Palatino Linotype" w:hAnsi="Palatino Linotype" w:cs="Palatino Linotype"/>
          <w:i/>
          <w:sz w:val="22"/>
          <w:szCs w:val="22"/>
        </w:rPr>
      </w:pPr>
      <w:r w:rsidRPr="00506B40">
        <w:rPr>
          <w:rFonts w:ascii="Palatino Linotype" w:eastAsia="Palatino Linotype" w:hAnsi="Palatino Linotype" w:cs="Palatino Linotype"/>
          <w:i/>
          <w:sz w:val="22"/>
          <w:szCs w:val="22"/>
        </w:rPr>
        <w:t>IV. La declaración de incompetencia por el sujeto obligado;</w:t>
      </w:r>
      <w:r w:rsidR="006E4886" w:rsidRPr="00506B40">
        <w:rPr>
          <w:rFonts w:ascii="Palatino Linotype" w:eastAsia="Palatino Linotype" w:hAnsi="Palatino Linotype" w:cs="Palatino Linotype"/>
          <w:i/>
          <w:sz w:val="22"/>
          <w:szCs w:val="22"/>
        </w:rPr>
        <w:t>” (Sic)</w:t>
      </w:r>
    </w:p>
    <w:p w14:paraId="15DDF49C" w14:textId="77777777" w:rsidR="005A3DCE" w:rsidRPr="00506B40" w:rsidRDefault="005A3DCE">
      <w:pPr>
        <w:pBdr>
          <w:top w:val="nil"/>
          <w:left w:val="nil"/>
          <w:bottom w:val="nil"/>
          <w:right w:val="nil"/>
          <w:between w:val="nil"/>
        </w:pBdr>
        <w:spacing w:line="360" w:lineRule="auto"/>
        <w:ind w:right="-150"/>
        <w:jc w:val="both"/>
        <w:rPr>
          <w:rFonts w:ascii="Palatino Linotype" w:eastAsia="Palatino Linotype" w:hAnsi="Palatino Linotype" w:cs="Palatino Linotype"/>
        </w:rPr>
      </w:pPr>
    </w:p>
    <w:p w14:paraId="7EFDCB07" w14:textId="77777777" w:rsidR="00EF5D92" w:rsidRPr="00506B40" w:rsidRDefault="006E4886" w:rsidP="00EF5D92">
      <w:pPr>
        <w:spacing w:before="280" w:after="28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b/>
        </w:rPr>
        <w:t xml:space="preserve">Tercero. </w:t>
      </w:r>
      <w:r w:rsidR="00EF5D92" w:rsidRPr="00506B40">
        <w:rPr>
          <w:rFonts w:ascii="Palatino Linotype" w:eastAsia="Palatino Linotype" w:hAnsi="Palatino Linotype" w:cs="Palatino Linotype"/>
          <w:b/>
        </w:rPr>
        <w:t xml:space="preserve">Análisis de las causales de sobreseimiento del recurso de revisión. </w:t>
      </w:r>
      <w:r w:rsidR="00EF5D92" w:rsidRPr="00506B40">
        <w:rPr>
          <w:rFonts w:ascii="Palatino Linotype" w:eastAsia="Palatino Linotype" w:hAnsi="Palatino Linotype" w:cs="Palatino Linotype"/>
        </w:rPr>
        <w:t xml:space="preserve">En primera instancia, debe apuntarse que del análisis al recurso de revisión que ahora se resuelve, se tiene que se actualiza la causal de sobreseimiento del recurso de revisión establecido en la fracción III del artículo 192 en relación con el diverso 186 fracción I, ambos de la Ley de Transparencia y Acceso a la Información Pública del Estado de México y Municipios, derivado del contenido del informe justificado rendido por el </w:t>
      </w:r>
      <w:r w:rsidR="00EF5D92" w:rsidRPr="00506B40">
        <w:rPr>
          <w:rFonts w:ascii="Palatino Linotype" w:eastAsia="Palatino Linotype" w:hAnsi="Palatino Linotype" w:cs="Palatino Linotype"/>
          <w:b/>
        </w:rPr>
        <w:t>SUJETO OBLIGADO.</w:t>
      </w:r>
      <w:r w:rsidR="00EF5D92" w:rsidRPr="00506B40">
        <w:rPr>
          <w:rFonts w:ascii="Palatino Linotype" w:eastAsia="Palatino Linotype" w:hAnsi="Palatino Linotype" w:cs="Palatino Linotype"/>
        </w:rPr>
        <w:t xml:space="preserve"> </w:t>
      </w:r>
    </w:p>
    <w:p w14:paraId="6962BAE2" w14:textId="77777777" w:rsidR="00EF5D92" w:rsidRPr="00506B40" w:rsidRDefault="00EF5D92" w:rsidP="00EF5D92">
      <w:pPr>
        <w:spacing w:before="280" w:after="28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Para una mejor comprensión del asunto, de las constancias que obran en el expediente electrónico, valoradas anteriormente, destacan por su importancia los antecedentes siguientes:</w:t>
      </w:r>
    </w:p>
    <w:p w14:paraId="0BA86D4F" w14:textId="77777777" w:rsidR="00EF5D92" w:rsidRPr="00506B40" w:rsidRDefault="00EF5D92">
      <w:pPr>
        <w:spacing w:before="280" w:after="28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En la solicitud de información materia del presente recurso, la parte solicitante requirió al </w:t>
      </w:r>
      <w:r w:rsidRPr="00506B40">
        <w:rPr>
          <w:rFonts w:ascii="Palatino Linotype" w:eastAsia="Palatino Linotype" w:hAnsi="Palatino Linotype" w:cs="Palatino Linotype"/>
          <w:b/>
        </w:rPr>
        <w:t>SUJETO</w:t>
      </w:r>
      <w:r w:rsidRPr="00506B40">
        <w:rPr>
          <w:rFonts w:ascii="Palatino Linotype" w:eastAsia="Palatino Linotype" w:hAnsi="Palatino Linotype" w:cs="Palatino Linotype"/>
        </w:rPr>
        <w:t xml:space="preserve"> </w:t>
      </w:r>
      <w:r w:rsidRPr="00506B40">
        <w:rPr>
          <w:rFonts w:ascii="Palatino Linotype" w:eastAsia="Palatino Linotype" w:hAnsi="Palatino Linotype" w:cs="Palatino Linotype"/>
          <w:b/>
        </w:rPr>
        <w:t>OBLIGADO</w:t>
      </w:r>
      <w:r w:rsidRPr="00506B40">
        <w:rPr>
          <w:rFonts w:ascii="Palatino Linotype" w:eastAsia="Palatino Linotype" w:hAnsi="Palatino Linotype" w:cs="Palatino Linotype"/>
        </w:rPr>
        <w:t xml:space="preserve"> lo siguiente:</w:t>
      </w:r>
    </w:p>
    <w:p w14:paraId="5776372E" w14:textId="77777777" w:rsidR="006A0AF5" w:rsidRPr="00506B40" w:rsidRDefault="006A0AF5" w:rsidP="00EF5D92">
      <w:pPr>
        <w:pStyle w:val="Prrafodelista"/>
        <w:spacing w:before="240" w:after="240" w:line="360" w:lineRule="auto"/>
        <w:ind w:left="720" w:right="900"/>
        <w:jc w:val="both"/>
        <w:rPr>
          <w:rFonts w:ascii="Palatino Linotype" w:eastAsia="Palatino Linotype" w:hAnsi="Palatino Linotype" w:cs="Palatino Linotype"/>
          <w:b/>
          <w:i/>
          <w:u w:val="single"/>
        </w:rPr>
      </w:pPr>
      <w:r w:rsidRPr="00506B40">
        <w:rPr>
          <w:rFonts w:ascii="Palatino Linotype" w:eastAsia="Palatino Linotype" w:hAnsi="Palatino Linotype" w:cs="Palatino Linotype"/>
          <w:b/>
          <w:i/>
          <w:u w:val="single"/>
        </w:rPr>
        <w:t xml:space="preserve">Todas </w:t>
      </w:r>
      <w:proofErr w:type="spellStart"/>
      <w:r w:rsidRPr="00506B40">
        <w:rPr>
          <w:rFonts w:ascii="Palatino Linotype" w:eastAsia="Palatino Linotype" w:hAnsi="Palatino Linotype" w:cs="Palatino Linotype"/>
          <w:b/>
          <w:i/>
          <w:u w:val="single"/>
        </w:rPr>
        <w:t>laa</w:t>
      </w:r>
      <w:proofErr w:type="spellEnd"/>
      <w:r w:rsidRPr="00506B40">
        <w:rPr>
          <w:rFonts w:ascii="Palatino Linotype" w:eastAsia="Palatino Linotype" w:hAnsi="Palatino Linotype" w:cs="Palatino Linotype"/>
          <w:b/>
          <w:i/>
          <w:u w:val="single"/>
        </w:rPr>
        <w:t xml:space="preserve"> resolución emitidas por el INFOEM a su Sujeto Obligado en el año 2022.</w:t>
      </w:r>
    </w:p>
    <w:p w14:paraId="6D2FC47D" w14:textId="77777777" w:rsidR="006A0AF5" w:rsidRPr="00506B40" w:rsidRDefault="006E4886" w:rsidP="006A0AF5">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lastRenderedPageBreak/>
        <w:t xml:space="preserve">Por su parte el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emitió su respuesta </w:t>
      </w:r>
      <w:r w:rsidR="00055EA5" w:rsidRPr="00506B40">
        <w:rPr>
          <w:rFonts w:ascii="Palatino Linotype" w:eastAsia="Palatino Linotype" w:hAnsi="Palatino Linotype" w:cs="Palatino Linotype"/>
        </w:rPr>
        <w:t>a través de</w:t>
      </w:r>
      <w:r w:rsidR="006A0AF5" w:rsidRPr="00506B40">
        <w:rPr>
          <w:rFonts w:ascii="Palatino Linotype" w:eastAsia="Palatino Linotype" w:hAnsi="Palatino Linotype" w:cs="Palatino Linotype"/>
        </w:rPr>
        <w:t xml:space="preserve">  la cual manifiesta que no es competente para atender su solicitud de información pública, destacando los argumentos siguientes:</w:t>
      </w:r>
    </w:p>
    <w:p w14:paraId="5C91D503" w14:textId="77777777" w:rsidR="006A0AF5" w:rsidRPr="00506B40" w:rsidRDefault="002F04E4" w:rsidP="00EF5D92">
      <w:pPr>
        <w:spacing w:before="240" w:after="240" w:line="360" w:lineRule="auto"/>
        <w:jc w:val="both"/>
        <w:rPr>
          <w:rFonts w:ascii="Palatino Linotype" w:eastAsia="Palatino Linotype" w:hAnsi="Palatino Linotype" w:cs="Palatino Linotype"/>
          <w:b/>
          <w:i/>
        </w:rPr>
      </w:pPr>
      <w:r w:rsidRPr="00506B40">
        <w:rPr>
          <w:rFonts w:ascii="Palatino Linotype" w:eastAsia="Palatino Linotype" w:hAnsi="Palatino Linotype" w:cs="Palatino Linotype"/>
          <w:i/>
        </w:rPr>
        <w:t>“</w:t>
      </w:r>
      <w:r w:rsidR="006A0AF5" w:rsidRPr="00506B40">
        <w:rPr>
          <w:rFonts w:ascii="Palatino Linotype" w:eastAsia="Palatino Linotype" w:hAnsi="Palatino Linotype" w:cs="Palatino Linotype"/>
          <w:i/>
        </w:rPr>
        <w:t xml:space="preserve">Conforme al Reglamento Interno de la Administración Pública Municipal de Tlalnepantla de Baz, Estado de México, publicado en la Gaceta Municipal No. 1 O, este Sujeto Obligado </w:t>
      </w:r>
      <w:r w:rsidR="006A0AF5" w:rsidRPr="00506B40">
        <w:rPr>
          <w:rFonts w:ascii="Palatino Linotype" w:eastAsia="Palatino Linotype" w:hAnsi="Palatino Linotype" w:cs="Palatino Linotype"/>
          <w:b/>
          <w:i/>
        </w:rPr>
        <w:t>no cuenta con la facultad de emitir resoluciones a nombre del Instituto de Transparencia, Acceso a la Información Pública y Protección de Datos Personales del Estado de México y Municipios.</w:t>
      </w:r>
    </w:p>
    <w:p w14:paraId="61A5B99E" w14:textId="77777777" w:rsidR="006A0AF5" w:rsidRPr="00506B40" w:rsidRDefault="006A0AF5" w:rsidP="006A0AF5">
      <w:pPr>
        <w:pStyle w:val="Prrafodelista"/>
        <w:numPr>
          <w:ilvl w:val="0"/>
          <w:numId w:val="9"/>
        </w:numPr>
        <w:spacing w:before="240" w:after="240" w:line="360" w:lineRule="auto"/>
        <w:jc w:val="both"/>
        <w:rPr>
          <w:rFonts w:ascii="Palatino Linotype" w:eastAsia="Palatino Linotype" w:hAnsi="Palatino Linotype" w:cs="Palatino Linotype"/>
          <w:i/>
        </w:rPr>
      </w:pPr>
      <w:r w:rsidRPr="00506B40">
        <w:rPr>
          <w:rFonts w:ascii="Palatino Linotype" w:eastAsia="Palatino Linotype" w:hAnsi="Palatino Linotype" w:cs="Palatino Linotype"/>
          <w:i/>
        </w:rPr>
        <w:t xml:space="preserve">Que el Municipio de Tlalnepantla de Baz, solo es un Sujeto Obligado, mismo que de conformidad con el artículo 24 de la Ley de Transparencia y Acceso a la Información </w:t>
      </w:r>
      <w:proofErr w:type="spellStart"/>
      <w:r w:rsidRPr="00506B40">
        <w:rPr>
          <w:rFonts w:ascii="Palatino Linotype" w:eastAsia="Palatino Linotype" w:hAnsi="Palatino Linotype" w:cs="Palatino Linotype"/>
          <w:i/>
        </w:rPr>
        <w:t>Publica</w:t>
      </w:r>
      <w:proofErr w:type="spellEnd"/>
      <w:r w:rsidRPr="00506B40">
        <w:rPr>
          <w:rFonts w:ascii="Palatino Linotype" w:eastAsia="Palatino Linotype" w:hAnsi="Palatino Linotype" w:cs="Palatino Linotype"/>
          <w:i/>
        </w:rPr>
        <w:t xml:space="preserve"> del Estado de México y Municipios, </w:t>
      </w:r>
      <w:r w:rsidR="0044594E" w:rsidRPr="00506B40">
        <w:rPr>
          <w:rFonts w:ascii="Palatino Linotype" w:eastAsia="Palatino Linotype" w:hAnsi="Palatino Linotype" w:cs="Palatino Linotype"/>
          <w:i/>
        </w:rPr>
        <w:t xml:space="preserve">y </w:t>
      </w:r>
      <w:r w:rsidRPr="00506B40">
        <w:rPr>
          <w:rFonts w:ascii="Palatino Linotype" w:eastAsia="Palatino Linotype" w:hAnsi="Palatino Linotype" w:cs="Palatino Linotype"/>
          <w:i/>
        </w:rPr>
        <w:t>cuenta con las siguientes obligaciones que el mismo ordenamiento destaca</w:t>
      </w:r>
      <w:r w:rsidR="002F04E4" w:rsidRPr="00506B40">
        <w:rPr>
          <w:rFonts w:ascii="Palatino Linotype" w:eastAsia="Palatino Linotype" w:hAnsi="Palatino Linotype" w:cs="Palatino Linotype"/>
          <w:i/>
        </w:rPr>
        <w:t>..</w:t>
      </w:r>
      <w:r w:rsidRPr="00506B40">
        <w:rPr>
          <w:rFonts w:ascii="Palatino Linotype" w:eastAsia="Palatino Linotype" w:hAnsi="Palatino Linotype" w:cs="Palatino Linotype"/>
          <w:i/>
        </w:rPr>
        <w:t>.</w:t>
      </w:r>
    </w:p>
    <w:p w14:paraId="2DCEC0F6" w14:textId="77777777" w:rsidR="006A0AF5" w:rsidRPr="00506B40" w:rsidRDefault="006A0AF5" w:rsidP="006A0AF5">
      <w:pPr>
        <w:pStyle w:val="Prrafodelista"/>
        <w:numPr>
          <w:ilvl w:val="0"/>
          <w:numId w:val="9"/>
        </w:numPr>
        <w:spacing w:before="240" w:after="240" w:line="360" w:lineRule="auto"/>
        <w:jc w:val="both"/>
        <w:rPr>
          <w:rFonts w:ascii="Palatino Linotype" w:eastAsia="Palatino Linotype" w:hAnsi="Palatino Linotype" w:cs="Palatino Linotype"/>
          <w:i/>
        </w:rPr>
      </w:pPr>
      <w:r w:rsidRPr="00506B40">
        <w:rPr>
          <w:rFonts w:ascii="Palatino Linotype" w:eastAsia="Palatino Linotype" w:hAnsi="Palatino Linotype" w:cs="Palatino Linotype"/>
          <w:b/>
          <w:i/>
        </w:rPr>
        <w:t xml:space="preserve">El Instituto de Transparencia, Acceso a la Información Pública y Protección de Datos Personales del Estado de México y Municipios, es el encargado de conocer y resolver los recursos de revisión interpuestos por los particulares, por lo que de conformidad con los artículos 187 y 188 de la Ley de Transparencia y Acceso a la Información </w:t>
      </w:r>
      <w:proofErr w:type="spellStart"/>
      <w:r w:rsidRPr="00506B40">
        <w:rPr>
          <w:rFonts w:ascii="Palatino Linotype" w:eastAsia="Palatino Linotype" w:hAnsi="Palatino Linotype" w:cs="Palatino Linotype"/>
          <w:b/>
          <w:i/>
        </w:rPr>
        <w:t>Publica</w:t>
      </w:r>
      <w:proofErr w:type="spellEnd"/>
      <w:r w:rsidRPr="00506B40">
        <w:rPr>
          <w:rFonts w:ascii="Palatino Linotype" w:eastAsia="Palatino Linotype" w:hAnsi="Palatino Linotype" w:cs="Palatino Linotype"/>
          <w:b/>
          <w:i/>
        </w:rPr>
        <w:t xml:space="preserve"> del Estado de México y Municipios</w:t>
      </w:r>
      <w:r w:rsidRPr="00506B40">
        <w:rPr>
          <w:rFonts w:ascii="Palatino Linotype" w:eastAsia="Palatino Linotype" w:hAnsi="Palatino Linotype" w:cs="Palatino Linotype"/>
          <w:i/>
        </w:rPr>
        <w:t>, el Instituto es quien se pronuncia en las resoluciones; robustecido con el artículo 7 del Reglamento Interior del Instituto de Transparencia, Acceso a la Información Pública y Protección de Datos Personales del Estado de México y Municipios.</w:t>
      </w:r>
    </w:p>
    <w:p w14:paraId="6FCD59AF" w14:textId="77777777" w:rsidR="0044594E" w:rsidRPr="00506B40" w:rsidRDefault="006A0AF5" w:rsidP="0044594E">
      <w:pPr>
        <w:pStyle w:val="Prrafodelista"/>
        <w:numPr>
          <w:ilvl w:val="0"/>
          <w:numId w:val="9"/>
        </w:numPr>
        <w:spacing w:before="240" w:after="240" w:line="360" w:lineRule="auto"/>
        <w:jc w:val="both"/>
        <w:rPr>
          <w:rFonts w:ascii="Palatino Linotype" w:eastAsia="Palatino Linotype" w:hAnsi="Palatino Linotype" w:cs="Palatino Linotype"/>
          <w:i/>
        </w:rPr>
      </w:pPr>
      <w:r w:rsidRPr="00506B40">
        <w:rPr>
          <w:rFonts w:ascii="Palatino Linotype" w:eastAsia="Palatino Linotype" w:hAnsi="Palatino Linotype" w:cs="Palatino Linotype"/>
          <w:i/>
        </w:rPr>
        <w:t xml:space="preserve">Hace de conocimiento al solicitante que de conformidad con el artículo 161 de la Ley de Transparencia y Acceso a la Información </w:t>
      </w:r>
      <w:proofErr w:type="spellStart"/>
      <w:r w:rsidRPr="00506B40">
        <w:rPr>
          <w:rFonts w:ascii="Palatino Linotype" w:eastAsia="Palatino Linotype" w:hAnsi="Palatino Linotype" w:cs="Palatino Linotype"/>
          <w:i/>
        </w:rPr>
        <w:t>Publica</w:t>
      </w:r>
      <w:proofErr w:type="spellEnd"/>
      <w:r w:rsidRPr="00506B40">
        <w:rPr>
          <w:rFonts w:ascii="Palatino Linotype" w:eastAsia="Palatino Linotype" w:hAnsi="Palatino Linotype" w:cs="Palatino Linotype"/>
          <w:i/>
        </w:rPr>
        <w:t xml:space="preserve"> del Estado de México y Municipios, la información solicitada la puede </w:t>
      </w:r>
      <w:r w:rsidRPr="00506B40">
        <w:rPr>
          <w:rFonts w:ascii="Palatino Linotype" w:eastAsia="Palatino Linotype" w:hAnsi="Palatino Linotype" w:cs="Palatino Linotype"/>
          <w:b/>
          <w:i/>
        </w:rPr>
        <w:t xml:space="preserve">visualizar de manera electrónica en el portal oficial del </w:t>
      </w:r>
      <w:r w:rsidRPr="00506B40">
        <w:rPr>
          <w:rFonts w:ascii="Palatino Linotype" w:eastAsia="Palatino Linotype" w:hAnsi="Palatino Linotype" w:cs="Palatino Linotype"/>
          <w:b/>
          <w:i/>
        </w:rPr>
        <w:lastRenderedPageBreak/>
        <w:t>Sujeto Obligado competente, siendo este el Instituto de Transparencia, Acceso a la Información Pública y Protección de Datos Personales del Estado de México y Municipios, misma que podrá consultar de la siguiente manera:</w:t>
      </w:r>
      <w:r w:rsidR="0044594E" w:rsidRPr="00506B40">
        <w:rPr>
          <w:rFonts w:ascii="Palatino Linotype" w:eastAsia="Palatino Linotype" w:hAnsi="Palatino Linotype" w:cs="Palatino Linotype"/>
          <w:i/>
        </w:rPr>
        <w:t xml:space="preserve"> </w:t>
      </w:r>
    </w:p>
    <w:p w14:paraId="33F670E2" w14:textId="77777777" w:rsidR="0044594E" w:rsidRPr="00506B40" w:rsidRDefault="0044594E" w:rsidP="0044594E">
      <w:pPr>
        <w:pStyle w:val="Prrafodelista"/>
        <w:spacing w:before="240" w:after="240" w:line="360" w:lineRule="auto"/>
        <w:ind w:left="720"/>
        <w:jc w:val="both"/>
        <w:rPr>
          <w:rFonts w:ascii="Palatino Linotype" w:eastAsia="Palatino Linotype" w:hAnsi="Palatino Linotype" w:cs="Palatino Linotype"/>
          <w:i/>
        </w:rPr>
      </w:pPr>
      <w:r w:rsidRPr="00506B40">
        <w:rPr>
          <w:rFonts w:ascii="Palatino Linotype" w:eastAsia="Palatino Linotype" w:hAnsi="Palatino Linotype" w:cs="Palatino Linotype"/>
          <w:i/>
        </w:rPr>
        <w:t>1. Ingresa al buscador de su preferencia y</w:t>
      </w:r>
      <w:r w:rsidR="002F04E4" w:rsidRPr="00506B40">
        <w:rPr>
          <w:rFonts w:ascii="Palatino Linotype" w:eastAsia="Palatino Linotype" w:hAnsi="Palatino Linotype" w:cs="Palatino Linotype"/>
          <w:i/>
        </w:rPr>
        <w:t xml:space="preserve"> escribe en la página: https://</w:t>
      </w:r>
      <w:r w:rsidRPr="00506B40">
        <w:rPr>
          <w:rFonts w:ascii="Palatino Linotype" w:eastAsia="Palatino Linotype" w:hAnsi="Palatino Linotype" w:cs="Palatino Linotype"/>
          <w:i/>
        </w:rPr>
        <w:t>www.infoem.org.mx/</w:t>
      </w:r>
    </w:p>
    <w:p w14:paraId="10554D92" w14:textId="77777777" w:rsidR="0044594E" w:rsidRPr="00506B40" w:rsidRDefault="0044594E" w:rsidP="0044594E">
      <w:pPr>
        <w:pStyle w:val="Prrafodelista"/>
        <w:spacing w:before="240" w:after="240" w:line="360" w:lineRule="auto"/>
        <w:ind w:left="720"/>
        <w:jc w:val="both"/>
        <w:rPr>
          <w:rFonts w:ascii="Palatino Linotype" w:eastAsia="Palatino Linotype" w:hAnsi="Palatino Linotype" w:cs="Palatino Linotype"/>
          <w:i/>
        </w:rPr>
      </w:pPr>
      <w:r w:rsidRPr="00506B40">
        <w:rPr>
          <w:rFonts w:ascii="Palatino Linotype" w:eastAsia="Palatino Linotype" w:hAnsi="Palatino Linotype" w:cs="Palatino Linotype"/>
          <w:i/>
        </w:rPr>
        <w:t>2. Selecciona en la parte superior la pestaña de "Información Pública"</w:t>
      </w:r>
    </w:p>
    <w:p w14:paraId="338D87BF" w14:textId="77777777" w:rsidR="0044594E" w:rsidRPr="00506B40" w:rsidRDefault="0044594E" w:rsidP="0044594E">
      <w:pPr>
        <w:pStyle w:val="Prrafodelista"/>
        <w:spacing w:before="240" w:after="240" w:line="360" w:lineRule="auto"/>
        <w:ind w:left="720"/>
        <w:jc w:val="both"/>
        <w:rPr>
          <w:rFonts w:ascii="Palatino Linotype" w:eastAsia="Palatino Linotype" w:hAnsi="Palatino Linotype" w:cs="Palatino Linotype"/>
          <w:i/>
        </w:rPr>
      </w:pPr>
      <w:r w:rsidRPr="00506B40">
        <w:rPr>
          <w:rFonts w:ascii="Palatino Linotype" w:eastAsia="Palatino Linotype" w:hAnsi="Palatino Linotype" w:cs="Palatino Linotype"/>
          <w:i/>
        </w:rPr>
        <w:t>3.</w:t>
      </w:r>
      <w:r w:rsidR="002F04E4" w:rsidRPr="00506B40">
        <w:rPr>
          <w:rFonts w:ascii="Palatino Linotype" w:eastAsia="Palatino Linotype" w:hAnsi="Palatino Linotype" w:cs="Palatino Linotype"/>
          <w:i/>
        </w:rPr>
        <w:t xml:space="preserve"> </w:t>
      </w:r>
      <w:r w:rsidRPr="00506B40">
        <w:rPr>
          <w:rFonts w:ascii="Palatino Linotype" w:eastAsia="Palatino Linotype" w:hAnsi="Palatino Linotype" w:cs="Palatino Linotype"/>
          <w:i/>
        </w:rPr>
        <w:t>Una vez seleccionada la pestaña del numeral anterior, se debe hacer seleccionar el apartado que dice "Recurso de revisión en versión pública" y allí podrá consultar los recursos de revisión emitidos por el Pleno del INFOEM de todos los Sujetos Obligados pertenecientes al Estado de México.</w:t>
      </w:r>
      <w:r w:rsidR="002F04E4" w:rsidRPr="00506B40">
        <w:rPr>
          <w:rFonts w:ascii="Palatino Linotype" w:eastAsia="Palatino Linotype" w:hAnsi="Palatino Linotype" w:cs="Palatino Linotype"/>
          <w:i/>
        </w:rPr>
        <w:t>”</w:t>
      </w:r>
      <w:r w:rsidR="00EF5D92" w:rsidRPr="00506B40">
        <w:rPr>
          <w:rFonts w:ascii="Palatino Linotype" w:eastAsia="Palatino Linotype" w:hAnsi="Palatino Linotype" w:cs="Palatino Linotype"/>
          <w:i/>
        </w:rPr>
        <w:t xml:space="preserve"> (Sic)</w:t>
      </w:r>
    </w:p>
    <w:p w14:paraId="579D7C95" w14:textId="77777777" w:rsidR="001E4353" w:rsidRPr="00506B40" w:rsidRDefault="006E4886">
      <w:pPr>
        <w:shd w:val="clear" w:color="auto" w:fill="FFFFFF"/>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No conforme el particular con la respuesta, interpone el recurso de revisión que se resuelve, </w:t>
      </w:r>
      <w:r w:rsidR="00055EA5" w:rsidRPr="00506B40">
        <w:rPr>
          <w:rFonts w:ascii="Palatino Linotype" w:eastAsia="Palatino Linotype" w:hAnsi="Palatino Linotype" w:cs="Palatino Linotype"/>
        </w:rPr>
        <w:t>porque “</w:t>
      </w:r>
      <w:r w:rsidR="0044594E" w:rsidRPr="00506B40">
        <w:rPr>
          <w:rFonts w:ascii="Palatino Linotype" w:eastAsia="Palatino Linotype" w:hAnsi="Palatino Linotype" w:cs="Palatino Linotype"/>
          <w:b/>
          <w:i/>
        </w:rPr>
        <w:t>No me entregó la información solicitada</w:t>
      </w:r>
      <w:r w:rsidR="0044594E" w:rsidRPr="00506B40">
        <w:rPr>
          <w:rFonts w:ascii="Palatino Linotype" w:eastAsia="Palatino Linotype" w:hAnsi="Palatino Linotype" w:cs="Palatino Linotype"/>
          <w:b/>
        </w:rPr>
        <w:t>”</w:t>
      </w:r>
      <w:r w:rsidR="0044594E" w:rsidRPr="00506B40">
        <w:rPr>
          <w:rFonts w:ascii="Palatino Linotype" w:eastAsia="Palatino Linotype" w:hAnsi="Palatino Linotype" w:cs="Palatino Linotype"/>
        </w:rPr>
        <w:t xml:space="preserve"> y como motivo de inconformidad que:</w:t>
      </w:r>
      <w:r w:rsidR="0044594E" w:rsidRPr="00506B40">
        <w:rPr>
          <w:rFonts w:ascii="Palatino Linotype" w:eastAsia="Palatino Linotype" w:hAnsi="Palatino Linotype" w:cs="Palatino Linotype"/>
          <w:i/>
        </w:rPr>
        <w:t xml:space="preserve"> </w:t>
      </w:r>
      <w:r w:rsidR="0044594E" w:rsidRPr="00506B40">
        <w:rPr>
          <w:rFonts w:ascii="Palatino Linotype" w:eastAsia="Palatino Linotype" w:hAnsi="Palatino Linotype" w:cs="Palatino Linotype"/>
        </w:rPr>
        <w:t>“</w:t>
      </w:r>
      <w:r w:rsidR="0044594E" w:rsidRPr="00506B40">
        <w:rPr>
          <w:rFonts w:ascii="Palatino Linotype" w:eastAsia="Palatino Linotype" w:hAnsi="Palatino Linotype" w:cs="Palatino Linotype"/>
          <w:i/>
        </w:rPr>
        <w:t xml:space="preserve">Si en cierto que los entrega el INFOEM pero también es </w:t>
      </w:r>
      <w:r w:rsidR="0044594E" w:rsidRPr="00506B40">
        <w:rPr>
          <w:rFonts w:ascii="Palatino Linotype" w:eastAsia="Palatino Linotype" w:hAnsi="Palatino Linotype" w:cs="Palatino Linotype"/>
          <w:i/>
          <w:u w:val="single"/>
        </w:rPr>
        <w:t xml:space="preserve">que </w:t>
      </w:r>
      <w:r w:rsidR="0044594E" w:rsidRPr="00506B40">
        <w:rPr>
          <w:rFonts w:ascii="Palatino Linotype" w:eastAsia="Palatino Linotype" w:hAnsi="Palatino Linotype" w:cs="Palatino Linotype"/>
          <w:b/>
          <w:i/>
          <w:u w:val="single"/>
        </w:rPr>
        <w:t>la unidad de transparencia los tiene</w:t>
      </w:r>
      <w:r w:rsidR="0044594E" w:rsidRPr="00506B40">
        <w:rPr>
          <w:rFonts w:ascii="Palatino Linotype" w:eastAsia="Palatino Linotype" w:hAnsi="Palatino Linotype" w:cs="Palatino Linotype"/>
          <w:b/>
          <w:i/>
        </w:rPr>
        <w:t xml:space="preserve"> </w:t>
      </w:r>
      <w:r w:rsidR="0044594E" w:rsidRPr="00506B40">
        <w:rPr>
          <w:rFonts w:ascii="Palatino Linotype" w:eastAsia="Palatino Linotype" w:hAnsi="Palatino Linotype" w:cs="Palatino Linotype"/>
          <w:i/>
        </w:rPr>
        <w:t>por lo que de acuerdo con mi derecho 5 constitucional y 4 de la ley de transparencia me los deben entregar</w:t>
      </w:r>
      <w:r w:rsidR="00055EA5" w:rsidRPr="00506B40">
        <w:rPr>
          <w:rFonts w:ascii="Palatino Linotype" w:eastAsia="Palatino Linotype" w:hAnsi="Palatino Linotype" w:cs="Palatino Linotype"/>
          <w:i/>
        </w:rPr>
        <w:t>.” (Sic)</w:t>
      </w:r>
    </w:p>
    <w:p w14:paraId="4FC143EF" w14:textId="77777777" w:rsidR="00EF5D92" w:rsidRPr="00506B40" w:rsidRDefault="006E4886" w:rsidP="00486E13">
      <w:pPr>
        <w:spacing w:before="240" w:after="240" w:line="360" w:lineRule="auto"/>
        <w:jc w:val="both"/>
        <w:rPr>
          <w:rFonts w:ascii="Palatino Linotype" w:eastAsia="Palatino Linotype" w:hAnsi="Palatino Linotype" w:cs="Palatino Linotype"/>
          <w:i/>
        </w:rPr>
      </w:pPr>
      <w:r w:rsidRPr="00506B40">
        <w:rPr>
          <w:rFonts w:ascii="Palatino Linotype" w:eastAsia="Palatino Linotype" w:hAnsi="Palatino Linotype" w:cs="Palatino Linotype"/>
        </w:rPr>
        <w:t xml:space="preserve">Ante la interposición del Recurso de Revisión, el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w:t>
      </w:r>
      <w:r w:rsidR="0044594E" w:rsidRPr="00506B40">
        <w:rPr>
          <w:rFonts w:ascii="Palatino Linotype" w:eastAsia="Palatino Linotype" w:hAnsi="Palatino Linotype" w:cs="Palatino Linotype"/>
        </w:rPr>
        <w:t xml:space="preserve">rinde </w:t>
      </w:r>
      <w:r w:rsidR="00055EA5" w:rsidRPr="00506B40">
        <w:rPr>
          <w:rFonts w:ascii="Palatino Linotype" w:eastAsia="Palatino Linotype" w:hAnsi="Palatino Linotype" w:cs="Palatino Linotype"/>
        </w:rPr>
        <w:t>su informe justificado</w:t>
      </w:r>
      <w:r w:rsidR="005D1409" w:rsidRPr="00506B40">
        <w:rPr>
          <w:rFonts w:ascii="Palatino Linotype" w:eastAsia="Palatino Linotype" w:hAnsi="Palatino Linotype" w:cs="Palatino Linotype"/>
        </w:rPr>
        <w:t xml:space="preserve">, en el que sustancialmente </w:t>
      </w:r>
      <w:r w:rsidR="006C4C64" w:rsidRPr="00506B40">
        <w:rPr>
          <w:rFonts w:ascii="Palatino Linotype" w:eastAsia="Palatino Linotype" w:hAnsi="Palatino Linotype" w:cs="Palatino Linotype"/>
        </w:rPr>
        <w:t>“</w:t>
      </w:r>
      <w:r w:rsidR="005D1409" w:rsidRPr="00506B40">
        <w:rPr>
          <w:rFonts w:ascii="Palatino Linotype" w:eastAsia="Palatino Linotype" w:hAnsi="Palatino Linotype" w:cs="Palatino Linotype"/>
          <w:i/>
        </w:rPr>
        <w:t xml:space="preserve">ratifica el acuerdo de incompetencia remitido al ahora recurrente, toda vez que es otro Sujeto Obligado quien genera la información e incluso la tiene de manera disponible en su portal oficial por lo </w:t>
      </w:r>
      <w:r w:rsidR="005D1409" w:rsidRPr="00506B40">
        <w:rPr>
          <w:rFonts w:ascii="Palatino Linotype" w:eastAsia="Palatino Linotype" w:hAnsi="Palatino Linotype" w:cs="Palatino Linotype"/>
          <w:b/>
          <w:i/>
        </w:rPr>
        <w:t xml:space="preserve">que se hizo de conocimiento al ciudadano </w:t>
      </w:r>
      <w:r w:rsidR="005D1409" w:rsidRPr="00506B40">
        <w:rPr>
          <w:rFonts w:ascii="Palatino Linotype" w:eastAsia="Palatino Linotype" w:hAnsi="Palatino Linotype" w:cs="Palatino Linotype"/>
          <w:b/>
          <w:i/>
          <w:u w:val="single"/>
        </w:rPr>
        <w:t>el vínculo electrónico para acceder a la información</w:t>
      </w:r>
      <w:r w:rsidR="005D1409" w:rsidRPr="00506B40">
        <w:rPr>
          <w:rFonts w:ascii="Palatino Linotype" w:eastAsia="Palatino Linotype" w:hAnsi="Palatino Linotype" w:cs="Palatino Linotype"/>
          <w:b/>
          <w:i/>
        </w:rPr>
        <w:t xml:space="preserve"> dando cumplimiento así con lo referido en el artículo 161 de la Ley de Transparencia y Acceso a la Información </w:t>
      </w:r>
      <w:r w:rsidR="00486E13" w:rsidRPr="00506B40">
        <w:rPr>
          <w:rFonts w:ascii="Palatino Linotype" w:eastAsia="Palatino Linotype" w:hAnsi="Palatino Linotype" w:cs="Palatino Linotype"/>
          <w:b/>
          <w:i/>
        </w:rPr>
        <w:t>Pública</w:t>
      </w:r>
      <w:r w:rsidR="005D1409" w:rsidRPr="00506B40">
        <w:rPr>
          <w:rFonts w:ascii="Palatino Linotype" w:eastAsia="Palatino Linotype" w:hAnsi="Palatino Linotype" w:cs="Palatino Linotype"/>
          <w:b/>
          <w:i/>
        </w:rPr>
        <w:t xml:space="preserve"> del Estado de México y Municipios</w:t>
      </w:r>
      <w:r w:rsidR="006C4C64" w:rsidRPr="00506B40">
        <w:rPr>
          <w:rFonts w:ascii="Palatino Linotype" w:eastAsia="Palatino Linotype" w:hAnsi="Palatino Linotype" w:cs="Palatino Linotype"/>
          <w:i/>
        </w:rPr>
        <w:t>” .</w:t>
      </w:r>
      <w:r w:rsidR="005D1409" w:rsidRPr="00506B40">
        <w:rPr>
          <w:rFonts w:ascii="Palatino Linotype" w:eastAsia="Palatino Linotype" w:hAnsi="Palatino Linotype" w:cs="Palatino Linotype"/>
          <w:i/>
        </w:rPr>
        <w:t xml:space="preserve"> </w:t>
      </w:r>
      <w:r w:rsidR="006C4C64" w:rsidRPr="00506B40">
        <w:rPr>
          <w:rFonts w:ascii="Palatino Linotype" w:eastAsia="Palatino Linotype" w:hAnsi="Palatino Linotype" w:cs="Palatino Linotype"/>
          <w:i/>
        </w:rPr>
        <w:t>(Sic)</w:t>
      </w:r>
    </w:p>
    <w:p w14:paraId="4457FF91" w14:textId="77777777" w:rsidR="00EF5D92" w:rsidRPr="00506B40" w:rsidRDefault="00486E13">
      <w:pPr>
        <w:spacing w:before="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lastRenderedPageBreak/>
        <w:t>Sin embargo, mediante alcance al Informe Justificado, modifica su respuesta y envía lo siguiente:</w:t>
      </w:r>
    </w:p>
    <w:p w14:paraId="7EF42C0C" w14:textId="77777777" w:rsidR="00486E13" w:rsidRPr="00506B40" w:rsidRDefault="00486E13">
      <w:pPr>
        <w:spacing w:before="240" w:line="360" w:lineRule="auto"/>
        <w:jc w:val="both"/>
        <w:rPr>
          <w:rFonts w:ascii="Palatino Linotype" w:eastAsia="Palatino Linotype" w:hAnsi="Palatino Linotype" w:cs="Palatino Linotype"/>
        </w:rPr>
      </w:pPr>
    </w:p>
    <w:p w14:paraId="784AC869"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19716782" wp14:editId="2E9C9C67">
            <wp:extent cx="4371975" cy="3567934"/>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8839" t="27459" r="51630" b="29692"/>
                    <a:stretch/>
                  </pic:blipFill>
                  <pic:spPr bwMode="auto">
                    <a:xfrm>
                      <a:off x="0" y="0"/>
                      <a:ext cx="4379632" cy="3574183"/>
                    </a:xfrm>
                    <a:prstGeom prst="rect">
                      <a:avLst/>
                    </a:prstGeom>
                    <a:ln>
                      <a:noFill/>
                    </a:ln>
                    <a:extLst>
                      <a:ext uri="{53640926-AAD7-44D8-BBD7-CCE9431645EC}">
                        <a14:shadowObscured xmlns:a14="http://schemas.microsoft.com/office/drawing/2010/main"/>
                      </a:ext>
                    </a:extLst>
                  </pic:spPr>
                </pic:pic>
              </a:graphicData>
            </a:graphic>
          </wp:inline>
        </w:drawing>
      </w:r>
    </w:p>
    <w:p w14:paraId="67F74E51" w14:textId="77777777" w:rsidR="00486E13" w:rsidRPr="00506B40" w:rsidRDefault="00486E13" w:rsidP="00863080">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r w:rsidRPr="00506B40">
        <w:rPr>
          <w:rFonts w:ascii="Palatino Linotype" w:eastAsia="Palatino Linotype" w:hAnsi="Palatino Linotype" w:cs="Palatino Linotype"/>
        </w:rPr>
        <w:t>De lo antes señalado</w:t>
      </w:r>
      <w:r w:rsidR="00863080" w:rsidRPr="00506B40">
        <w:rPr>
          <w:rFonts w:ascii="Palatino Linotype" w:eastAsia="Palatino Linotype" w:hAnsi="Palatino Linotype" w:cs="Palatino Linotype"/>
        </w:rPr>
        <w:t>,</w:t>
      </w:r>
      <w:r w:rsidRPr="00506B40">
        <w:rPr>
          <w:rFonts w:ascii="Palatino Linotype" w:eastAsia="Palatino Linotype" w:hAnsi="Palatino Linotype" w:cs="Palatino Linotype"/>
        </w:rPr>
        <w:t xml:space="preserve"> se observa que el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w:t>
      </w:r>
      <w:r w:rsidR="00897EEB" w:rsidRPr="00506B40">
        <w:rPr>
          <w:rFonts w:ascii="Palatino Linotype" w:eastAsia="Palatino Linotype" w:hAnsi="Palatino Linotype" w:cs="Palatino Linotype"/>
        </w:rPr>
        <w:t>refiere</w:t>
      </w:r>
      <w:r w:rsidRPr="00506B40">
        <w:rPr>
          <w:rFonts w:ascii="Palatino Linotype" w:eastAsia="Palatino Linotype" w:hAnsi="Palatino Linotype" w:cs="Palatino Linotype"/>
        </w:rPr>
        <w:t xml:space="preserve"> que cuenta con treinta y dos resoluciones de recursos de re</w:t>
      </w:r>
      <w:r w:rsidR="00863080" w:rsidRPr="00506B40">
        <w:rPr>
          <w:rFonts w:ascii="Palatino Linotype" w:eastAsia="Palatino Linotype" w:hAnsi="Palatino Linotype" w:cs="Palatino Linotype"/>
        </w:rPr>
        <w:t>visión, que fueron notificadas en atención al periodo solicitado, es decir del uno de enero al</w:t>
      </w:r>
      <w:r w:rsidR="00897EEB" w:rsidRPr="00506B40">
        <w:rPr>
          <w:rFonts w:ascii="Palatino Linotype" w:eastAsia="Palatino Linotype" w:hAnsi="Palatino Linotype" w:cs="Palatino Linotype"/>
        </w:rPr>
        <w:t xml:space="preserve"> veinte de junio de dos mil veintidós</w:t>
      </w:r>
      <w:r w:rsidRPr="00506B40">
        <w:rPr>
          <w:rFonts w:ascii="Palatino Linotype" w:eastAsia="Palatino Linotype" w:hAnsi="Palatino Linotype" w:cs="Palatino Linotype"/>
        </w:rPr>
        <w:t xml:space="preserve">, y las </w:t>
      </w:r>
      <w:r w:rsidR="00897EEB" w:rsidRPr="00506B40">
        <w:rPr>
          <w:rFonts w:ascii="Palatino Linotype" w:eastAsia="Palatino Linotype" w:hAnsi="Palatino Linotype" w:cs="Palatino Linotype"/>
        </w:rPr>
        <w:t>d</w:t>
      </w:r>
      <w:r w:rsidRPr="00506B40">
        <w:rPr>
          <w:rFonts w:ascii="Palatino Linotype" w:eastAsia="Palatino Linotype" w:hAnsi="Palatino Linotype" w:cs="Palatino Linotype"/>
        </w:rPr>
        <w:t>a conocer mediante</w:t>
      </w:r>
      <w:r w:rsidR="00D63494" w:rsidRPr="00506B40">
        <w:rPr>
          <w:rFonts w:ascii="Palatino Linotype" w:eastAsia="Palatino Linotype" w:hAnsi="Palatino Linotype" w:cs="Palatino Linotype"/>
        </w:rPr>
        <w:t xml:space="preserve"> un listado que identifica</w:t>
      </w:r>
      <w:r w:rsidR="00863080" w:rsidRPr="00506B40">
        <w:rPr>
          <w:rFonts w:ascii="Palatino Linotype" w:eastAsia="Palatino Linotype" w:hAnsi="Palatino Linotype" w:cs="Palatino Linotype"/>
        </w:rPr>
        <w:t xml:space="preserve"> el número de folio de cada</w:t>
      </w:r>
      <w:r w:rsidRPr="00506B40">
        <w:rPr>
          <w:rFonts w:ascii="Palatino Linotype" w:eastAsia="Palatino Linotype" w:hAnsi="Palatino Linotype" w:cs="Palatino Linotype"/>
        </w:rPr>
        <w:t xml:space="preserve"> Recurso de Revisión.</w:t>
      </w:r>
    </w:p>
    <w:p w14:paraId="1584621B"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p>
    <w:p w14:paraId="12B44FC6" w14:textId="409EA560"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Por otra parte, precisa como acceder al portal del </w:t>
      </w:r>
      <w:r w:rsidR="00D63494" w:rsidRPr="00506B40">
        <w:rPr>
          <w:rFonts w:ascii="Palatino Linotype" w:eastAsia="Palatino Linotype" w:hAnsi="Palatino Linotype" w:cs="Palatino Linotype"/>
        </w:rPr>
        <w:t xml:space="preserve">Instituto de Transparencia, Acceso a la Información Pública y Protección de Datos Personales del Estado de México y </w:t>
      </w:r>
      <w:r w:rsidR="00D63494" w:rsidRPr="00506B40">
        <w:rPr>
          <w:rFonts w:ascii="Palatino Linotype" w:eastAsia="Palatino Linotype" w:hAnsi="Palatino Linotype" w:cs="Palatino Linotype"/>
        </w:rPr>
        <w:lastRenderedPageBreak/>
        <w:t>Municipios (INFOEM)</w:t>
      </w:r>
      <w:r w:rsidRPr="00506B40">
        <w:rPr>
          <w:rFonts w:ascii="Palatino Linotype" w:eastAsia="Palatino Linotype" w:hAnsi="Palatino Linotype" w:cs="Palatino Linotype"/>
        </w:rPr>
        <w:t xml:space="preserve">, mediante señalar paso a paso, las acciones que ha de seguir </w:t>
      </w:r>
      <w:r w:rsidR="00897EEB" w:rsidRPr="00506B40">
        <w:rPr>
          <w:rFonts w:ascii="Palatino Linotype" w:eastAsia="Palatino Linotype" w:hAnsi="Palatino Linotype" w:cs="Palatino Linotype"/>
        </w:rPr>
        <w:t xml:space="preserve">el particular </w:t>
      </w:r>
      <w:r w:rsidRPr="00506B40">
        <w:rPr>
          <w:rFonts w:ascii="Palatino Linotype" w:eastAsia="Palatino Linotype" w:hAnsi="Palatino Linotype" w:cs="Palatino Linotype"/>
        </w:rPr>
        <w:t>para localizar la información:</w:t>
      </w:r>
    </w:p>
    <w:p w14:paraId="2A65079E"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p>
    <w:p w14:paraId="00E20415"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4928DB68" wp14:editId="3F760344">
            <wp:extent cx="3133725" cy="2688699"/>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9348" t="33494" r="51969" b="22752"/>
                    <a:stretch/>
                  </pic:blipFill>
                  <pic:spPr bwMode="auto">
                    <a:xfrm>
                      <a:off x="0" y="0"/>
                      <a:ext cx="3141917" cy="2695727"/>
                    </a:xfrm>
                    <a:prstGeom prst="rect">
                      <a:avLst/>
                    </a:prstGeom>
                    <a:ln>
                      <a:noFill/>
                    </a:ln>
                    <a:extLst>
                      <a:ext uri="{53640926-AAD7-44D8-BBD7-CCE9431645EC}">
                        <a14:shadowObscured xmlns:a14="http://schemas.microsoft.com/office/drawing/2010/main"/>
                      </a:ext>
                    </a:extLst>
                  </pic:spPr>
                </pic:pic>
              </a:graphicData>
            </a:graphic>
          </wp:inline>
        </w:drawing>
      </w:r>
    </w:p>
    <w:p w14:paraId="79C33845"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p>
    <w:p w14:paraId="5152BA6F"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2D68236B" wp14:editId="0F237FF0">
            <wp:extent cx="4676775" cy="3513766"/>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651" t="37417" r="50272" b="19734"/>
                    <a:stretch/>
                  </pic:blipFill>
                  <pic:spPr bwMode="auto">
                    <a:xfrm>
                      <a:off x="0" y="0"/>
                      <a:ext cx="4694461" cy="3527054"/>
                    </a:xfrm>
                    <a:prstGeom prst="rect">
                      <a:avLst/>
                    </a:prstGeom>
                    <a:ln>
                      <a:noFill/>
                    </a:ln>
                    <a:extLst>
                      <a:ext uri="{53640926-AAD7-44D8-BBD7-CCE9431645EC}">
                        <a14:shadowObscured xmlns:a14="http://schemas.microsoft.com/office/drawing/2010/main"/>
                      </a:ext>
                    </a:extLst>
                  </pic:spPr>
                </pic:pic>
              </a:graphicData>
            </a:graphic>
          </wp:inline>
        </w:drawing>
      </w:r>
    </w:p>
    <w:p w14:paraId="6DC71401"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5FEFD947" wp14:editId="0F6F5063">
            <wp:extent cx="4648200" cy="3540339"/>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16802" t="22934" r="50442" b="32709"/>
                    <a:stretch/>
                  </pic:blipFill>
                  <pic:spPr bwMode="auto">
                    <a:xfrm>
                      <a:off x="0" y="0"/>
                      <a:ext cx="4662203" cy="3551005"/>
                    </a:xfrm>
                    <a:prstGeom prst="rect">
                      <a:avLst/>
                    </a:prstGeom>
                    <a:ln>
                      <a:noFill/>
                    </a:ln>
                    <a:extLst>
                      <a:ext uri="{53640926-AAD7-44D8-BBD7-CCE9431645EC}">
                        <a14:shadowObscured xmlns:a14="http://schemas.microsoft.com/office/drawing/2010/main"/>
                      </a:ext>
                    </a:extLst>
                  </pic:spPr>
                </pic:pic>
              </a:graphicData>
            </a:graphic>
          </wp:inline>
        </w:drawing>
      </w:r>
    </w:p>
    <w:p w14:paraId="095768D9" w14:textId="07E21CDA" w:rsidR="00486E13" w:rsidRPr="00506B40" w:rsidRDefault="00D63494" w:rsidP="00A50A86">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r w:rsidRPr="00506B40">
        <w:rPr>
          <w:rFonts w:ascii="Palatino Linotype" w:eastAsia="Palatino Linotype" w:hAnsi="Palatino Linotype" w:cs="Palatino Linotype"/>
        </w:rPr>
        <w:lastRenderedPageBreak/>
        <w:t>También d</w:t>
      </w:r>
      <w:r w:rsidR="00486E13" w:rsidRPr="00506B40">
        <w:rPr>
          <w:rFonts w:ascii="Palatino Linotype" w:eastAsia="Palatino Linotype" w:hAnsi="Palatino Linotype" w:cs="Palatino Linotype"/>
        </w:rPr>
        <w:t xml:space="preserve">escribe la forma en que debe </w:t>
      </w:r>
      <w:r w:rsidR="00A50A86" w:rsidRPr="00506B40">
        <w:rPr>
          <w:rFonts w:ascii="Palatino Linotype" w:eastAsia="Palatino Linotype" w:hAnsi="Palatino Linotype" w:cs="Palatino Linotype"/>
        </w:rPr>
        <w:t>ingresar</w:t>
      </w:r>
      <w:r w:rsidR="00486E13" w:rsidRPr="00506B40">
        <w:rPr>
          <w:rFonts w:ascii="Palatino Linotype" w:eastAsia="Palatino Linotype" w:hAnsi="Palatino Linotype" w:cs="Palatino Linotype"/>
        </w:rPr>
        <w:t xml:space="preserve"> y los campos a llenar para localizar la información</w:t>
      </w:r>
      <w:r w:rsidR="00897EEB" w:rsidRPr="00506B40">
        <w:rPr>
          <w:rFonts w:ascii="Palatino Linotype" w:eastAsia="Palatino Linotype" w:hAnsi="Palatino Linotype" w:cs="Palatino Linotype"/>
        </w:rPr>
        <w:t xml:space="preserve"> que requiere</w:t>
      </w:r>
      <w:r w:rsidR="00486E13" w:rsidRPr="00506B40">
        <w:rPr>
          <w:rFonts w:ascii="Palatino Linotype" w:eastAsia="Palatino Linotype" w:hAnsi="Palatino Linotype" w:cs="Palatino Linotype"/>
        </w:rPr>
        <w:t>:</w:t>
      </w:r>
    </w:p>
    <w:p w14:paraId="795DF152"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3C6BA667" wp14:editId="08DB9F5A">
            <wp:extent cx="4210050" cy="3812434"/>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19178" t="28062" r="50272" b="22752"/>
                    <a:stretch/>
                  </pic:blipFill>
                  <pic:spPr bwMode="auto">
                    <a:xfrm>
                      <a:off x="0" y="0"/>
                      <a:ext cx="4225090" cy="3826054"/>
                    </a:xfrm>
                    <a:prstGeom prst="rect">
                      <a:avLst/>
                    </a:prstGeom>
                    <a:ln>
                      <a:noFill/>
                    </a:ln>
                    <a:extLst>
                      <a:ext uri="{53640926-AAD7-44D8-BBD7-CCE9431645EC}">
                        <a14:shadowObscured xmlns:a14="http://schemas.microsoft.com/office/drawing/2010/main"/>
                      </a:ext>
                    </a:extLst>
                  </pic:spPr>
                </pic:pic>
              </a:graphicData>
            </a:graphic>
          </wp:inline>
        </w:drawing>
      </w:r>
    </w:p>
    <w:p w14:paraId="23FFC23D"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6C7D02AE" wp14:editId="12DCB5E4">
            <wp:extent cx="3448050" cy="3231418"/>
            <wp:effectExtent l="0" t="0" r="0" b="762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7821" t="23234" r="49762" b="22752"/>
                    <a:stretch/>
                  </pic:blipFill>
                  <pic:spPr bwMode="auto">
                    <a:xfrm>
                      <a:off x="0" y="0"/>
                      <a:ext cx="3473464" cy="3255235"/>
                    </a:xfrm>
                    <a:prstGeom prst="rect">
                      <a:avLst/>
                    </a:prstGeom>
                    <a:ln>
                      <a:noFill/>
                    </a:ln>
                    <a:extLst>
                      <a:ext uri="{53640926-AAD7-44D8-BBD7-CCE9431645EC}">
                        <a14:shadowObscured xmlns:a14="http://schemas.microsoft.com/office/drawing/2010/main"/>
                      </a:ext>
                    </a:extLst>
                  </pic:spPr>
                </pic:pic>
              </a:graphicData>
            </a:graphic>
          </wp:inline>
        </w:drawing>
      </w:r>
    </w:p>
    <w:p w14:paraId="25CB63EC"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drawing>
          <wp:inline distT="0" distB="0" distL="0" distR="0" wp14:anchorId="383A95DD" wp14:editId="3A94154E">
            <wp:extent cx="4133850" cy="3572186"/>
            <wp:effectExtent l="0" t="0" r="0" b="952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8330" t="30175" r="50441" b="21847"/>
                    <a:stretch/>
                  </pic:blipFill>
                  <pic:spPr bwMode="auto">
                    <a:xfrm>
                      <a:off x="0" y="0"/>
                      <a:ext cx="4141032" cy="3578392"/>
                    </a:xfrm>
                    <a:prstGeom prst="rect">
                      <a:avLst/>
                    </a:prstGeom>
                    <a:ln>
                      <a:noFill/>
                    </a:ln>
                    <a:extLst>
                      <a:ext uri="{53640926-AAD7-44D8-BBD7-CCE9431645EC}">
                        <a14:shadowObscured xmlns:a14="http://schemas.microsoft.com/office/drawing/2010/main"/>
                      </a:ext>
                    </a:extLst>
                  </pic:spPr>
                </pic:pic>
              </a:graphicData>
            </a:graphic>
          </wp:inline>
        </w:drawing>
      </w:r>
    </w:p>
    <w:p w14:paraId="06C50C56" w14:textId="77777777" w:rsidR="00486E13" w:rsidRPr="00506B40" w:rsidRDefault="00486E13" w:rsidP="00486E13">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5E0218E4" wp14:editId="1181CE94">
            <wp:extent cx="4229100" cy="3587607"/>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9178" t="25046" r="50611" b="29390"/>
                    <a:stretch/>
                  </pic:blipFill>
                  <pic:spPr bwMode="auto">
                    <a:xfrm>
                      <a:off x="0" y="0"/>
                      <a:ext cx="4239245" cy="3596213"/>
                    </a:xfrm>
                    <a:prstGeom prst="rect">
                      <a:avLst/>
                    </a:prstGeom>
                    <a:ln>
                      <a:noFill/>
                    </a:ln>
                    <a:extLst>
                      <a:ext uri="{53640926-AAD7-44D8-BBD7-CCE9431645EC}">
                        <a14:shadowObscured xmlns:a14="http://schemas.microsoft.com/office/drawing/2010/main"/>
                      </a:ext>
                    </a:extLst>
                  </pic:spPr>
                </pic:pic>
              </a:graphicData>
            </a:graphic>
          </wp:inline>
        </w:drawing>
      </w:r>
    </w:p>
    <w:p w14:paraId="5076EA2D" w14:textId="77777777" w:rsidR="00486E13" w:rsidRPr="00506B40" w:rsidRDefault="00897EEB" w:rsidP="00486E13">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r w:rsidRPr="00506B40">
        <w:rPr>
          <w:rFonts w:ascii="Palatino Linotype" w:eastAsia="Palatino Linotype" w:hAnsi="Palatino Linotype" w:cs="Palatino Linotype"/>
        </w:rPr>
        <w:t>Así también</w:t>
      </w:r>
      <w:r w:rsidR="00864223" w:rsidRPr="00506B40">
        <w:rPr>
          <w:rFonts w:ascii="Palatino Linotype" w:eastAsia="Palatino Linotype" w:hAnsi="Palatino Linotype" w:cs="Palatino Linotype"/>
        </w:rPr>
        <w:t>,</w:t>
      </w:r>
      <w:r w:rsidRPr="00506B40">
        <w:rPr>
          <w:rFonts w:ascii="Palatino Linotype" w:eastAsia="Palatino Linotype" w:hAnsi="Palatino Linotype" w:cs="Palatino Linotype"/>
        </w:rPr>
        <w:t xml:space="preserve"> el </w:t>
      </w:r>
      <w:r w:rsidRPr="00506B40">
        <w:rPr>
          <w:rFonts w:ascii="Palatino Linotype" w:eastAsia="Palatino Linotype" w:hAnsi="Palatino Linotype" w:cs="Palatino Linotype"/>
          <w:b/>
        </w:rPr>
        <w:t>SUJETO OBLIGADO</w:t>
      </w:r>
      <w:r w:rsidRPr="00506B40">
        <w:rPr>
          <w:rFonts w:ascii="Palatino Linotype" w:eastAsia="Palatino Linotype" w:hAnsi="Palatino Linotype" w:cs="Palatino Linotype"/>
        </w:rPr>
        <w:t xml:space="preserve"> comprueba que la información solicitada se encuentra disponible al hacer apertura de los archivos:</w:t>
      </w:r>
    </w:p>
    <w:p w14:paraId="7D029D41" w14:textId="77777777" w:rsidR="00716DBF" w:rsidRPr="00506B40" w:rsidRDefault="00486E13" w:rsidP="00897EEB">
      <w:pPr>
        <w:widowControl w:val="0"/>
        <w:pBdr>
          <w:top w:val="nil"/>
          <w:left w:val="nil"/>
          <w:bottom w:val="nil"/>
          <w:right w:val="nil"/>
          <w:between w:val="nil"/>
        </w:pBdr>
        <w:tabs>
          <w:tab w:val="left" w:pos="709"/>
        </w:tabs>
        <w:spacing w:before="120" w:after="240" w:line="360" w:lineRule="auto"/>
        <w:contextualSpacing/>
        <w:jc w:val="center"/>
        <w:rPr>
          <w:rFonts w:ascii="Palatino Linotype" w:eastAsia="Palatino Linotype" w:hAnsi="Palatino Linotype" w:cs="Palatino Linotype"/>
        </w:rPr>
      </w:pPr>
      <w:r w:rsidRPr="00506B40">
        <w:rPr>
          <w:noProof/>
          <w:lang w:val="es-MX" w:eastAsia="es-MX"/>
        </w:rPr>
        <w:lastRenderedPageBreak/>
        <w:drawing>
          <wp:inline distT="0" distB="0" distL="0" distR="0" wp14:anchorId="3BDEBEE2" wp14:editId="6B4DCA00">
            <wp:extent cx="4838700" cy="5104563"/>
            <wp:effectExtent l="0" t="0" r="0" b="127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8500" t="28968" r="50611" b="13096"/>
                    <a:stretch/>
                  </pic:blipFill>
                  <pic:spPr bwMode="auto">
                    <a:xfrm>
                      <a:off x="0" y="0"/>
                      <a:ext cx="4845632" cy="5111876"/>
                    </a:xfrm>
                    <a:prstGeom prst="rect">
                      <a:avLst/>
                    </a:prstGeom>
                    <a:ln>
                      <a:noFill/>
                    </a:ln>
                    <a:extLst>
                      <a:ext uri="{53640926-AAD7-44D8-BBD7-CCE9431645EC}">
                        <a14:shadowObscured xmlns:a14="http://schemas.microsoft.com/office/drawing/2010/main"/>
                      </a:ext>
                    </a:extLst>
                  </pic:spPr>
                </pic:pic>
              </a:graphicData>
            </a:graphic>
          </wp:inline>
        </w:drawing>
      </w:r>
    </w:p>
    <w:p w14:paraId="6857CFCE" w14:textId="77777777" w:rsidR="0065005F" w:rsidRPr="00506B40" w:rsidRDefault="0065005F" w:rsidP="0065005F">
      <w:pPr>
        <w:pStyle w:val="NormalWeb"/>
        <w:spacing w:before="0" w:beforeAutospacing="0" w:after="160" w:afterAutospacing="0" w:line="360" w:lineRule="auto"/>
        <w:jc w:val="both"/>
        <w:rPr>
          <w:rFonts w:ascii="Palatino Linotype" w:hAnsi="Palatino Linotype"/>
        </w:rPr>
      </w:pPr>
      <w:r w:rsidRPr="00506B40">
        <w:rPr>
          <w:rFonts w:ascii="Palatino Linotype" w:hAnsi="Palatino Linotype"/>
        </w:rPr>
        <w:t xml:space="preserve">Por lo que se realizó una consulta al sitio de referencia, </w:t>
      </w:r>
      <w:hyperlink r:id="rId24" w:history="1">
        <w:r w:rsidRPr="00506B40">
          <w:rPr>
            <w:rStyle w:val="Hipervnculo"/>
            <w:rFonts w:ascii="Palatino Linotype" w:hAnsi="Palatino Linotype"/>
            <w:color w:val="auto"/>
          </w:rPr>
          <w:t>https://www.infoem.org.mx/</w:t>
        </w:r>
      </w:hyperlink>
      <w:r w:rsidRPr="00506B40">
        <w:rPr>
          <w:rFonts w:ascii="Palatino Linotype" w:hAnsi="Palatino Linotype"/>
        </w:rPr>
        <w:t xml:space="preserve">, siguiendo los pasos que señaló el </w:t>
      </w:r>
      <w:r w:rsidRPr="00506B40">
        <w:rPr>
          <w:rFonts w:ascii="Palatino Linotype" w:hAnsi="Palatino Linotype"/>
          <w:b/>
        </w:rPr>
        <w:t>SUJETO OBLIGADO,</w:t>
      </w:r>
      <w:r w:rsidRPr="00506B40">
        <w:rPr>
          <w:rFonts w:ascii="Palatino Linotype" w:hAnsi="Palatino Linotype"/>
        </w:rPr>
        <w:t xml:space="preserve"> mostrando la siguiente información:</w:t>
      </w:r>
    </w:p>
    <w:p w14:paraId="0BCC0228" w14:textId="77777777" w:rsidR="0065005F" w:rsidRPr="00506B40" w:rsidRDefault="0065005F" w:rsidP="00897EEB">
      <w:pPr>
        <w:pStyle w:val="NormalWeb"/>
        <w:spacing w:before="0" w:beforeAutospacing="0" w:after="160" w:afterAutospacing="0"/>
        <w:jc w:val="both"/>
        <w:rPr>
          <w:rFonts w:ascii="Palatino Linotype" w:hAnsi="Palatino Linotype"/>
        </w:rPr>
      </w:pPr>
    </w:p>
    <w:p w14:paraId="2C7B76B9" w14:textId="77777777" w:rsidR="0065005F" w:rsidRPr="00506B40" w:rsidRDefault="0065005F" w:rsidP="0065005F">
      <w:pPr>
        <w:pStyle w:val="NormalWeb"/>
        <w:spacing w:before="0" w:beforeAutospacing="0" w:after="160" w:afterAutospacing="0"/>
        <w:jc w:val="center"/>
        <w:rPr>
          <w:rFonts w:ascii="Palatino Linotype" w:hAnsi="Palatino Linotype"/>
        </w:rPr>
      </w:pPr>
      <w:r w:rsidRPr="00506B40">
        <w:rPr>
          <w:noProof/>
        </w:rPr>
        <w:lastRenderedPageBreak/>
        <w:drawing>
          <wp:inline distT="0" distB="0" distL="0" distR="0" wp14:anchorId="224B6367" wp14:editId="41313492">
            <wp:extent cx="5196840" cy="7124700"/>
            <wp:effectExtent l="0" t="0" r="381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0353" t="15993" r="58079" b="7061"/>
                    <a:stretch/>
                  </pic:blipFill>
                  <pic:spPr bwMode="auto">
                    <a:xfrm>
                      <a:off x="0" y="0"/>
                      <a:ext cx="5206194" cy="7137524"/>
                    </a:xfrm>
                    <a:prstGeom prst="rect">
                      <a:avLst/>
                    </a:prstGeom>
                    <a:ln>
                      <a:noFill/>
                    </a:ln>
                    <a:extLst>
                      <a:ext uri="{53640926-AAD7-44D8-BBD7-CCE9431645EC}">
                        <a14:shadowObscured xmlns:a14="http://schemas.microsoft.com/office/drawing/2010/main"/>
                      </a:ext>
                    </a:extLst>
                  </pic:spPr>
                </pic:pic>
              </a:graphicData>
            </a:graphic>
          </wp:inline>
        </w:drawing>
      </w:r>
    </w:p>
    <w:p w14:paraId="178667E8" w14:textId="3EBE1778" w:rsidR="0065005F" w:rsidRPr="00506B40" w:rsidRDefault="0065005F" w:rsidP="001B7F77">
      <w:pPr>
        <w:pStyle w:val="NormalWeb"/>
        <w:spacing w:before="0" w:beforeAutospacing="0" w:after="160" w:afterAutospacing="0" w:line="360" w:lineRule="auto"/>
        <w:jc w:val="both"/>
        <w:rPr>
          <w:rFonts w:ascii="Palatino Linotype" w:hAnsi="Palatino Linotype"/>
        </w:rPr>
      </w:pPr>
      <w:r w:rsidRPr="00506B40">
        <w:rPr>
          <w:rFonts w:ascii="Palatino Linotype" w:hAnsi="Palatino Linotype"/>
        </w:rPr>
        <w:lastRenderedPageBreak/>
        <w:t xml:space="preserve">Destacando que efectivamente se trata de </w:t>
      </w:r>
      <w:r w:rsidR="00D63494" w:rsidRPr="00506B40">
        <w:rPr>
          <w:rFonts w:ascii="Palatino Linotype" w:hAnsi="Palatino Linotype"/>
        </w:rPr>
        <w:t>treinta y dos</w:t>
      </w:r>
      <w:r w:rsidR="00A50A86" w:rsidRPr="00506B40">
        <w:rPr>
          <w:rFonts w:ascii="Palatino Linotype" w:hAnsi="Palatino Linotype"/>
        </w:rPr>
        <w:t xml:space="preserve"> registros de Resolucio</w:t>
      </w:r>
      <w:r w:rsidRPr="00506B40">
        <w:rPr>
          <w:rFonts w:ascii="Palatino Linotype" w:hAnsi="Palatino Linotype"/>
        </w:rPr>
        <w:t>n</w:t>
      </w:r>
      <w:r w:rsidR="00A50A86" w:rsidRPr="00506B40">
        <w:rPr>
          <w:rFonts w:ascii="Palatino Linotype" w:hAnsi="Palatino Linotype"/>
        </w:rPr>
        <w:t>es</w:t>
      </w:r>
      <w:r w:rsidRPr="00506B40">
        <w:rPr>
          <w:rFonts w:ascii="Palatino Linotype" w:hAnsi="Palatino Linotype"/>
        </w:rPr>
        <w:t xml:space="preserve"> del </w:t>
      </w:r>
      <w:r w:rsidRPr="00506B40">
        <w:rPr>
          <w:rFonts w:ascii="Palatino Linotype" w:hAnsi="Palatino Linotype"/>
          <w:b/>
        </w:rPr>
        <w:t>SUJETO OBLIGADO</w:t>
      </w:r>
      <w:r w:rsidRPr="00506B40">
        <w:rPr>
          <w:rFonts w:ascii="Palatino Linotype" w:hAnsi="Palatino Linotype"/>
        </w:rPr>
        <w:t xml:space="preserve">,  </w:t>
      </w:r>
      <w:r w:rsidR="001B7F77" w:rsidRPr="00506B40">
        <w:rPr>
          <w:rFonts w:ascii="Palatino Linotype" w:hAnsi="Palatino Linotype"/>
        </w:rPr>
        <w:t>en versión pública, que corresponden a</w:t>
      </w:r>
      <w:r w:rsidR="00D63494" w:rsidRPr="00506B40">
        <w:rPr>
          <w:rFonts w:ascii="Palatino Linotype" w:hAnsi="Palatino Linotype"/>
        </w:rPr>
        <w:t>l periodo solicitado,</w:t>
      </w:r>
      <w:r w:rsidRPr="00506B40">
        <w:rPr>
          <w:rFonts w:ascii="Palatino Linotype" w:hAnsi="Palatino Linotype"/>
        </w:rPr>
        <w:t xml:space="preserve"> por lo que a manera de ejemplo se apertura uno de ellos en los que se </w:t>
      </w:r>
      <w:r w:rsidR="00CC4F8C" w:rsidRPr="00506B40">
        <w:rPr>
          <w:rFonts w:ascii="Palatino Linotype" w:hAnsi="Palatino Linotype"/>
        </w:rPr>
        <w:t>observa</w:t>
      </w:r>
      <w:r w:rsidR="009A1D39" w:rsidRPr="00506B40">
        <w:rPr>
          <w:rFonts w:ascii="Palatino Linotype" w:hAnsi="Palatino Linotype"/>
        </w:rPr>
        <w:t xml:space="preserve"> la información</w:t>
      </w:r>
      <w:r w:rsidR="00CC4F8C" w:rsidRPr="00506B40">
        <w:rPr>
          <w:rFonts w:ascii="Palatino Linotype" w:hAnsi="Palatino Linotype"/>
        </w:rPr>
        <w:t xml:space="preserve"> solicitada</w:t>
      </w:r>
      <w:r w:rsidRPr="00506B40">
        <w:rPr>
          <w:rFonts w:ascii="Palatino Linotype" w:hAnsi="Palatino Linotype"/>
        </w:rPr>
        <w:t>:</w:t>
      </w:r>
    </w:p>
    <w:p w14:paraId="1A4CFAD0" w14:textId="77777777" w:rsidR="009A1D39" w:rsidRPr="00506B40" w:rsidRDefault="009A1D39" w:rsidP="0065005F">
      <w:pPr>
        <w:pStyle w:val="NormalWeb"/>
        <w:spacing w:before="0" w:beforeAutospacing="0" w:after="160" w:afterAutospacing="0" w:line="360" w:lineRule="auto"/>
        <w:jc w:val="both"/>
        <w:rPr>
          <w:rFonts w:ascii="Palatino Linotype" w:hAnsi="Palatino Linotype"/>
        </w:rPr>
      </w:pPr>
      <w:r w:rsidRPr="00506B40">
        <w:rPr>
          <w:noProof/>
        </w:rPr>
        <w:drawing>
          <wp:inline distT="0" distB="0" distL="0" distR="0" wp14:anchorId="17BA89D3" wp14:editId="6A4633C0">
            <wp:extent cx="5505450" cy="5915025"/>
            <wp:effectExtent l="0" t="0" r="0"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971" r="52720" b="6783"/>
                    <a:stretch/>
                  </pic:blipFill>
                  <pic:spPr bwMode="auto">
                    <a:xfrm>
                      <a:off x="0" y="0"/>
                      <a:ext cx="5509140" cy="5918990"/>
                    </a:xfrm>
                    <a:prstGeom prst="rect">
                      <a:avLst/>
                    </a:prstGeom>
                    <a:ln>
                      <a:noFill/>
                    </a:ln>
                    <a:extLst>
                      <a:ext uri="{53640926-AAD7-44D8-BBD7-CCE9431645EC}">
                        <a14:shadowObscured xmlns:a14="http://schemas.microsoft.com/office/drawing/2010/main"/>
                      </a:ext>
                    </a:extLst>
                  </pic:spPr>
                </pic:pic>
              </a:graphicData>
            </a:graphic>
          </wp:inline>
        </w:drawing>
      </w:r>
    </w:p>
    <w:p w14:paraId="163EB4A3" w14:textId="77777777" w:rsidR="0065005F" w:rsidRPr="00506B40" w:rsidRDefault="0065005F" w:rsidP="00897EEB">
      <w:pPr>
        <w:pStyle w:val="NormalWeb"/>
        <w:spacing w:before="0" w:beforeAutospacing="0" w:after="160" w:afterAutospacing="0"/>
        <w:jc w:val="both"/>
        <w:rPr>
          <w:rFonts w:ascii="Palatino Linotype" w:hAnsi="Palatino Linotype"/>
        </w:rPr>
      </w:pPr>
    </w:p>
    <w:p w14:paraId="7EA49818" w14:textId="6DF61A4E" w:rsidR="00CC4F8C" w:rsidRPr="00506B40" w:rsidRDefault="00897EEB" w:rsidP="00D63494">
      <w:pPr>
        <w:pStyle w:val="NormalWeb"/>
        <w:spacing w:before="0" w:beforeAutospacing="0" w:after="160" w:afterAutospacing="0" w:line="360" w:lineRule="auto"/>
        <w:jc w:val="both"/>
        <w:rPr>
          <w:rFonts w:ascii="Palatino Linotype" w:hAnsi="Palatino Linotype"/>
        </w:rPr>
      </w:pPr>
      <w:r w:rsidRPr="00506B40">
        <w:rPr>
          <w:rFonts w:ascii="Palatino Linotype" w:hAnsi="Palatino Linotype"/>
        </w:rPr>
        <w:t xml:space="preserve">De </w:t>
      </w:r>
      <w:r w:rsidR="00CC4F8C" w:rsidRPr="00506B40">
        <w:rPr>
          <w:rFonts w:ascii="Palatino Linotype" w:hAnsi="Palatino Linotype"/>
        </w:rPr>
        <w:t xml:space="preserve">lo cual </w:t>
      </w:r>
      <w:r w:rsidRPr="00506B40">
        <w:rPr>
          <w:rFonts w:ascii="Palatino Linotype" w:hAnsi="Palatino Linotype"/>
        </w:rPr>
        <w:t>se advierte que si bien</w:t>
      </w:r>
      <w:r w:rsidR="001B7F77" w:rsidRPr="00506B40">
        <w:rPr>
          <w:rFonts w:ascii="Palatino Linotype" w:hAnsi="Palatino Linotype"/>
        </w:rPr>
        <w:t>,</w:t>
      </w:r>
      <w:r w:rsidR="00CC4F8C" w:rsidRPr="00506B40">
        <w:rPr>
          <w:rFonts w:ascii="Palatino Linotype" w:hAnsi="Palatino Linotype"/>
        </w:rPr>
        <w:t xml:space="preserve"> no fue elaborado por el </w:t>
      </w:r>
      <w:r w:rsidR="00CC4F8C" w:rsidRPr="00506B40">
        <w:rPr>
          <w:rFonts w:ascii="Palatino Linotype" w:hAnsi="Palatino Linotype"/>
          <w:b/>
        </w:rPr>
        <w:t>SUJETO OBLIGADO,</w:t>
      </w:r>
      <w:r w:rsidRPr="00506B40">
        <w:rPr>
          <w:rFonts w:ascii="Palatino Linotype" w:hAnsi="Palatino Linotype"/>
        </w:rPr>
        <w:t xml:space="preserve"> </w:t>
      </w:r>
      <w:r w:rsidR="00D63494" w:rsidRPr="00506B40">
        <w:rPr>
          <w:rFonts w:ascii="Palatino Linotype" w:hAnsi="Palatino Linotype"/>
        </w:rPr>
        <w:t xml:space="preserve">sin embargo, </w:t>
      </w:r>
      <w:r w:rsidRPr="00506B40">
        <w:rPr>
          <w:rFonts w:ascii="Palatino Linotype" w:hAnsi="Palatino Linotype"/>
        </w:rPr>
        <w:t xml:space="preserve">fue </w:t>
      </w:r>
      <w:r w:rsidR="00CC4F8C" w:rsidRPr="00506B40">
        <w:rPr>
          <w:rFonts w:ascii="Palatino Linotype" w:hAnsi="Palatino Linotype"/>
        </w:rPr>
        <w:t>orientado</w:t>
      </w:r>
      <w:r w:rsidRPr="00506B40">
        <w:rPr>
          <w:rFonts w:ascii="Palatino Linotype" w:hAnsi="Palatino Linotype"/>
        </w:rPr>
        <w:t xml:space="preserve"> por la Titular de la Unidad de Transparencia,</w:t>
      </w:r>
      <w:r w:rsidR="00CC4F8C" w:rsidRPr="00506B40">
        <w:rPr>
          <w:rFonts w:ascii="Palatino Linotype" w:hAnsi="Palatino Linotype"/>
        </w:rPr>
        <w:t xml:space="preserve"> a fin de que el particular obtuviera la información</w:t>
      </w:r>
      <w:r w:rsidR="00D63494" w:rsidRPr="00506B40">
        <w:rPr>
          <w:rFonts w:ascii="Palatino Linotype" w:hAnsi="Palatino Linotype"/>
        </w:rPr>
        <w:t xml:space="preserve"> pública so</w:t>
      </w:r>
      <w:r w:rsidR="001B7F77" w:rsidRPr="00506B40">
        <w:rPr>
          <w:rFonts w:ascii="Palatino Linotype" w:hAnsi="Palatino Linotype"/>
        </w:rPr>
        <w:t>licitada, en el periodo requerido</w:t>
      </w:r>
      <w:r w:rsidR="00D63494" w:rsidRPr="00506B40">
        <w:rPr>
          <w:rFonts w:ascii="Palatino Linotype" w:hAnsi="Palatino Linotype"/>
        </w:rPr>
        <w:t>.</w:t>
      </w:r>
    </w:p>
    <w:p w14:paraId="512CC9D7" w14:textId="25F4CD38" w:rsidR="00897EEB" w:rsidRPr="00506B40" w:rsidRDefault="00897EEB" w:rsidP="001B7F77">
      <w:pPr>
        <w:pStyle w:val="NormalWeb"/>
        <w:spacing w:before="0" w:beforeAutospacing="0" w:after="0" w:afterAutospacing="0" w:line="360" w:lineRule="auto"/>
        <w:ind w:right="49"/>
        <w:jc w:val="both"/>
      </w:pPr>
      <w:r w:rsidRPr="00506B40">
        <w:rPr>
          <w:rFonts w:ascii="Palatino Linotype" w:hAnsi="Palatino Linotype"/>
        </w:rPr>
        <w:t xml:space="preserve">Por lo que en el caso concreto, es evidente que el </w:t>
      </w:r>
      <w:r w:rsidRPr="00506B40">
        <w:rPr>
          <w:rFonts w:ascii="Palatino Linotype" w:hAnsi="Palatino Linotype"/>
          <w:b/>
          <w:bCs/>
        </w:rPr>
        <w:t>SUJETO OBLIGADO</w:t>
      </w:r>
      <w:r w:rsidRPr="00506B40">
        <w:rPr>
          <w:rFonts w:ascii="Palatino Linotype" w:hAnsi="Palatino Linotype"/>
        </w:rPr>
        <w:t xml:space="preserve"> modificó su respuesta, ya que, mediante</w:t>
      </w:r>
      <w:r w:rsidR="00CC4F8C" w:rsidRPr="00506B40">
        <w:rPr>
          <w:rFonts w:ascii="Palatino Linotype" w:hAnsi="Palatino Linotype"/>
        </w:rPr>
        <w:t xml:space="preserve"> alcance </w:t>
      </w:r>
      <w:r w:rsidRPr="00506B40">
        <w:rPr>
          <w:rFonts w:ascii="Palatino Linotype" w:hAnsi="Palatino Linotype"/>
        </w:rPr>
        <w:t xml:space="preserve"> informe justificado proporcionó la información solicitada respecto d</w:t>
      </w:r>
      <w:r w:rsidR="00D63494" w:rsidRPr="00506B40">
        <w:rPr>
          <w:rFonts w:ascii="Palatino Linotype" w:hAnsi="Palatino Linotype"/>
        </w:rPr>
        <w:t xml:space="preserve">e </w:t>
      </w:r>
      <w:r w:rsidR="001C6320" w:rsidRPr="00506B40">
        <w:rPr>
          <w:rFonts w:ascii="Palatino Linotype" w:hAnsi="Palatino Linotype"/>
        </w:rPr>
        <w:t>t</w:t>
      </w:r>
      <w:r w:rsidR="001C6320" w:rsidRPr="00506B40">
        <w:rPr>
          <w:rFonts w:ascii="Palatino Linotype" w:eastAsia="Palatino Linotype" w:hAnsi="Palatino Linotype" w:cs="Palatino Linotype"/>
        </w:rPr>
        <w:t>odas las resolucio</w:t>
      </w:r>
      <w:r w:rsidR="00D63494" w:rsidRPr="00506B40">
        <w:rPr>
          <w:rFonts w:ascii="Palatino Linotype" w:eastAsia="Palatino Linotype" w:hAnsi="Palatino Linotype" w:cs="Palatino Linotype"/>
        </w:rPr>
        <w:t>n</w:t>
      </w:r>
      <w:r w:rsidR="001C6320" w:rsidRPr="00506B40">
        <w:rPr>
          <w:rFonts w:ascii="Palatino Linotype" w:eastAsia="Palatino Linotype" w:hAnsi="Palatino Linotype" w:cs="Palatino Linotype"/>
        </w:rPr>
        <w:t>es</w:t>
      </w:r>
      <w:r w:rsidR="00D63494" w:rsidRPr="00506B40">
        <w:rPr>
          <w:rFonts w:ascii="Palatino Linotype" w:eastAsia="Palatino Linotype" w:hAnsi="Palatino Linotype" w:cs="Palatino Linotype"/>
        </w:rPr>
        <w:t xml:space="preserve"> emitidas p</w:t>
      </w:r>
      <w:r w:rsidR="001B7F77" w:rsidRPr="00506B40">
        <w:rPr>
          <w:rFonts w:ascii="Palatino Linotype" w:eastAsia="Palatino Linotype" w:hAnsi="Palatino Linotype" w:cs="Palatino Linotype"/>
        </w:rPr>
        <w:t>or el INFOEM</w:t>
      </w:r>
      <w:r w:rsidR="00D63494" w:rsidRPr="00506B40">
        <w:rPr>
          <w:rFonts w:ascii="Palatino Linotype" w:eastAsia="Palatino Linotype" w:hAnsi="Palatino Linotype" w:cs="Palatino Linotype"/>
        </w:rPr>
        <w:t xml:space="preserve"> </w:t>
      </w:r>
      <w:r w:rsidR="001C6320" w:rsidRPr="00506B40">
        <w:rPr>
          <w:rFonts w:ascii="Palatino Linotype" w:eastAsia="Palatino Linotype" w:hAnsi="Palatino Linotype" w:cs="Palatino Linotype"/>
        </w:rPr>
        <w:t>al</w:t>
      </w:r>
      <w:r w:rsidR="00D63494" w:rsidRPr="00506B40">
        <w:rPr>
          <w:rFonts w:ascii="Palatino Linotype" w:eastAsia="Palatino Linotype" w:hAnsi="Palatino Linotype" w:cs="Palatino Linotype"/>
        </w:rPr>
        <w:t xml:space="preserve"> Sujeto Obligado en el año 2022</w:t>
      </w:r>
      <w:r w:rsidR="001C6320" w:rsidRPr="00506B40">
        <w:rPr>
          <w:rFonts w:ascii="Palatino Linotype" w:eastAsia="Palatino Linotype" w:hAnsi="Palatino Linotype" w:cs="Palatino Linotype"/>
        </w:rPr>
        <w:t xml:space="preserve">, es decir del </w:t>
      </w:r>
      <w:r w:rsidR="001B7F77" w:rsidRPr="00506B40">
        <w:rPr>
          <w:rFonts w:ascii="Palatino Linotype" w:eastAsia="Palatino Linotype" w:hAnsi="Palatino Linotype" w:cs="Palatino Linotype"/>
        </w:rPr>
        <w:t>uno</w:t>
      </w:r>
      <w:r w:rsidR="001C6320" w:rsidRPr="00506B40">
        <w:rPr>
          <w:rFonts w:ascii="Palatino Linotype" w:eastAsia="Palatino Linotype" w:hAnsi="Palatino Linotype" w:cs="Palatino Linotype"/>
        </w:rPr>
        <w:t xml:space="preserve"> de enero al veinte de junio de dos mil veintidós.</w:t>
      </w:r>
    </w:p>
    <w:p w14:paraId="3E480CE8" w14:textId="77777777" w:rsidR="00716DBF" w:rsidRPr="00506B40" w:rsidRDefault="00716DBF" w:rsidP="00D63494">
      <w:pPr>
        <w:pStyle w:val="NormalWeb"/>
        <w:spacing w:before="240" w:beforeAutospacing="0" w:after="240" w:afterAutospacing="0" w:line="360" w:lineRule="auto"/>
        <w:jc w:val="both"/>
      </w:pPr>
      <w:r w:rsidRPr="00506B40">
        <w:rPr>
          <w:rFonts w:ascii="Palatino Linotype" w:hAnsi="Palatino Linotype"/>
        </w:rPr>
        <w:t>En consecuencia se estima que se actualiza el artículo 192, fracción III de la Ley de Transparencia y Acceso a la Información Pública del Estado de México y Municipios vigente, a saber:</w:t>
      </w:r>
    </w:p>
    <w:p w14:paraId="6D23E4EA" w14:textId="77777777" w:rsidR="00716DBF" w:rsidRPr="00506B40" w:rsidRDefault="00716DBF" w:rsidP="001C6320">
      <w:pPr>
        <w:pStyle w:val="NormalWeb"/>
        <w:spacing w:before="240" w:beforeAutospacing="0" w:after="240" w:afterAutospacing="0" w:line="276" w:lineRule="auto"/>
        <w:ind w:left="851" w:right="900"/>
        <w:jc w:val="both"/>
      </w:pPr>
      <w:r w:rsidRPr="00506B40">
        <w:rPr>
          <w:rFonts w:ascii="Palatino Linotype" w:hAnsi="Palatino Linotype"/>
          <w:i/>
          <w:iCs/>
          <w:sz w:val="22"/>
          <w:szCs w:val="22"/>
        </w:rPr>
        <w:t>“</w:t>
      </w:r>
      <w:r w:rsidRPr="00506B40">
        <w:rPr>
          <w:rFonts w:ascii="Palatino Linotype" w:hAnsi="Palatino Linotype"/>
          <w:b/>
          <w:bCs/>
          <w:i/>
          <w:iCs/>
          <w:sz w:val="22"/>
          <w:szCs w:val="22"/>
        </w:rPr>
        <w:t>Artículo 192</w:t>
      </w:r>
      <w:r w:rsidRPr="00506B40">
        <w:rPr>
          <w:rFonts w:ascii="Palatino Linotype" w:hAnsi="Palatino Linotype"/>
          <w:i/>
          <w:iCs/>
          <w:sz w:val="22"/>
          <w:szCs w:val="22"/>
        </w:rPr>
        <w:t xml:space="preserve">. </w:t>
      </w:r>
      <w:r w:rsidRPr="00506B40">
        <w:rPr>
          <w:rFonts w:ascii="Palatino Linotype" w:hAnsi="Palatino Linotype"/>
          <w:b/>
          <w:bCs/>
          <w:i/>
          <w:iCs/>
          <w:sz w:val="22"/>
          <w:szCs w:val="22"/>
        </w:rPr>
        <w:t>El recurso será sobreseído</w:t>
      </w:r>
      <w:r w:rsidRPr="00506B40">
        <w:rPr>
          <w:rFonts w:ascii="Palatino Linotype" w:hAnsi="Palatino Linotype"/>
          <w:i/>
          <w:iCs/>
          <w:sz w:val="22"/>
          <w:szCs w:val="22"/>
        </w:rPr>
        <w:t xml:space="preserve">, </w:t>
      </w:r>
      <w:r w:rsidRPr="00506B40">
        <w:rPr>
          <w:rFonts w:ascii="Palatino Linotype" w:hAnsi="Palatino Linotype"/>
          <w:b/>
          <w:bCs/>
          <w:i/>
          <w:iCs/>
          <w:sz w:val="22"/>
          <w:szCs w:val="22"/>
        </w:rPr>
        <w:t>en todo o en parte,</w:t>
      </w:r>
      <w:r w:rsidRPr="00506B40">
        <w:rPr>
          <w:rFonts w:ascii="Palatino Linotype" w:hAnsi="Palatino Linotype"/>
          <w:i/>
          <w:iCs/>
          <w:sz w:val="22"/>
          <w:szCs w:val="22"/>
        </w:rPr>
        <w:t xml:space="preserve"> </w:t>
      </w:r>
      <w:r w:rsidRPr="00506B40">
        <w:rPr>
          <w:rFonts w:ascii="Palatino Linotype" w:hAnsi="Palatino Linotype"/>
          <w:b/>
          <w:bCs/>
          <w:i/>
          <w:iCs/>
          <w:sz w:val="22"/>
          <w:szCs w:val="22"/>
        </w:rPr>
        <w:t>cuando una vez admitido, se actualicen alguno de los siguientes supuestos</w:t>
      </w:r>
      <w:r w:rsidRPr="00506B40">
        <w:rPr>
          <w:rFonts w:ascii="Palatino Linotype" w:hAnsi="Palatino Linotype"/>
          <w:i/>
          <w:iCs/>
          <w:sz w:val="22"/>
          <w:szCs w:val="22"/>
        </w:rPr>
        <w:t>: </w:t>
      </w:r>
    </w:p>
    <w:p w14:paraId="1511CD89" w14:textId="77777777" w:rsidR="00716DBF" w:rsidRPr="00506B40" w:rsidRDefault="00716DBF" w:rsidP="001C6320">
      <w:pPr>
        <w:pStyle w:val="NormalWeb"/>
        <w:spacing w:before="240" w:beforeAutospacing="0" w:after="240" w:afterAutospacing="0" w:line="276" w:lineRule="auto"/>
        <w:ind w:left="1134" w:right="900"/>
        <w:jc w:val="both"/>
      </w:pPr>
      <w:r w:rsidRPr="00506B40">
        <w:rPr>
          <w:rFonts w:ascii="Palatino Linotype" w:hAnsi="Palatino Linotype"/>
          <w:i/>
          <w:iCs/>
          <w:sz w:val="22"/>
          <w:szCs w:val="22"/>
        </w:rPr>
        <w:t>(…)</w:t>
      </w:r>
    </w:p>
    <w:p w14:paraId="097C8CB2" w14:textId="3B71AB1F" w:rsidR="001C6320" w:rsidRPr="00506B40" w:rsidRDefault="00716DBF" w:rsidP="001B7F77">
      <w:pPr>
        <w:pStyle w:val="NormalWeb"/>
        <w:spacing w:before="240" w:beforeAutospacing="0" w:after="240" w:afterAutospacing="0" w:line="276" w:lineRule="auto"/>
        <w:ind w:left="1134" w:right="900"/>
        <w:jc w:val="both"/>
      </w:pPr>
      <w:r w:rsidRPr="00506B40">
        <w:rPr>
          <w:rFonts w:ascii="Palatino Linotype" w:hAnsi="Palatino Linotype"/>
          <w:b/>
          <w:bCs/>
          <w:i/>
          <w:iCs/>
          <w:sz w:val="22"/>
          <w:szCs w:val="22"/>
        </w:rPr>
        <w:t>III. El sujeto obligado responsable del acto, lo modifique o revoque de tal manera que el recurso de revisión quede sin materia...</w:t>
      </w:r>
      <w:r w:rsidRPr="00506B40">
        <w:rPr>
          <w:rFonts w:ascii="Palatino Linotype" w:hAnsi="Palatino Linotype"/>
          <w:i/>
          <w:iCs/>
          <w:sz w:val="22"/>
          <w:szCs w:val="22"/>
        </w:rPr>
        <w:t>”</w:t>
      </w:r>
    </w:p>
    <w:p w14:paraId="0A2E4F7A" w14:textId="77777777" w:rsidR="00716DBF" w:rsidRPr="00506B40" w:rsidRDefault="00716DBF" w:rsidP="00D63494">
      <w:pPr>
        <w:pStyle w:val="NormalWeb"/>
        <w:spacing w:before="240" w:beforeAutospacing="0" w:after="240" w:afterAutospacing="0" w:line="360" w:lineRule="auto"/>
        <w:jc w:val="both"/>
      </w:pPr>
      <w:r w:rsidRPr="00506B40">
        <w:rPr>
          <w:rFonts w:ascii="Palatino Linotype" w:hAnsi="Palatino Linotype"/>
        </w:rPr>
        <w:t>De lo establecido en el precepto legal citado se advierte que el sobreseimiento del recurso de revisión procede en los siguientes casos:</w:t>
      </w:r>
    </w:p>
    <w:p w14:paraId="2DABA163" w14:textId="77777777" w:rsidR="00716DBF" w:rsidRPr="00506B40" w:rsidRDefault="00716DBF" w:rsidP="00D63494">
      <w:pPr>
        <w:pStyle w:val="NormalWeb"/>
        <w:spacing w:before="240" w:beforeAutospacing="0" w:after="240" w:afterAutospacing="0" w:line="360" w:lineRule="auto"/>
        <w:ind w:left="284"/>
        <w:jc w:val="both"/>
      </w:pPr>
      <w:r w:rsidRPr="00506B40">
        <w:rPr>
          <w:rFonts w:ascii="Palatino Linotype" w:hAnsi="Palatino Linotype"/>
        </w:rPr>
        <w:t>a) Cuando el sujeto obligado modifique el acto impugnado. </w:t>
      </w:r>
    </w:p>
    <w:p w14:paraId="2C5B10EF" w14:textId="77777777" w:rsidR="00716DBF" w:rsidRPr="00506B40" w:rsidRDefault="00716DBF" w:rsidP="00D63494">
      <w:pPr>
        <w:pStyle w:val="NormalWeb"/>
        <w:spacing w:before="240" w:beforeAutospacing="0" w:after="240" w:afterAutospacing="0" w:line="360" w:lineRule="auto"/>
        <w:ind w:left="284"/>
        <w:jc w:val="both"/>
      </w:pPr>
      <w:r w:rsidRPr="00506B40">
        <w:rPr>
          <w:rFonts w:ascii="Palatino Linotype" w:hAnsi="Palatino Linotype"/>
        </w:rPr>
        <w:t>b) Cuando el sujeto obligado revoque el acto impugnado; </w:t>
      </w:r>
    </w:p>
    <w:p w14:paraId="3CA55C9E" w14:textId="77777777" w:rsidR="00716DBF" w:rsidRPr="00506B40" w:rsidRDefault="00716DBF" w:rsidP="00D63494">
      <w:pPr>
        <w:pStyle w:val="NormalWeb"/>
        <w:spacing w:before="240" w:beforeAutospacing="0" w:after="240" w:afterAutospacing="0" w:line="360" w:lineRule="auto"/>
        <w:jc w:val="both"/>
      </w:pPr>
      <w:r w:rsidRPr="00506B40">
        <w:rPr>
          <w:rFonts w:ascii="Palatino Linotype" w:hAnsi="Palatino Linotype"/>
        </w:rPr>
        <w:lastRenderedPageBreak/>
        <w:t>Quedando en ambos casos el acto combatido sin materia o sin efectos.</w:t>
      </w:r>
    </w:p>
    <w:p w14:paraId="2EDEF14A" w14:textId="77777777" w:rsidR="00716DBF" w:rsidRPr="00506B40" w:rsidRDefault="00716DBF" w:rsidP="00716DBF">
      <w:pPr>
        <w:pStyle w:val="NormalWeb"/>
        <w:spacing w:before="240" w:beforeAutospacing="0" w:after="240" w:afterAutospacing="0" w:line="360" w:lineRule="auto"/>
        <w:jc w:val="both"/>
      </w:pPr>
      <w:r w:rsidRPr="00506B40">
        <w:rPr>
          <w:rFonts w:ascii="Palatino Linotype" w:hAnsi="Palatino Linotype"/>
        </w:rPr>
        <w:t>Como se observa de lo anterior, un acto impugnado es modificado en aquellos casos en los que el Sujeto Obligado después de haber otorgado una respuesta, o haber omitido hacerlo (acto de no hacer), emite una o una diversa de manera posterior y en ésta subsana las deficiencias que hubiera tenido, quedando satisfecho el derecho subjetivo accionado por la parte Recurrente.</w:t>
      </w:r>
    </w:p>
    <w:p w14:paraId="39DB8032" w14:textId="77777777" w:rsidR="00716DBF" w:rsidRPr="00506B40" w:rsidRDefault="00716DBF" w:rsidP="00716DBF">
      <w:pPr>
        <w:pStyle w:val="NormalWeb"/>
        <w:spacing w:before="240" w:beforeAutospacing="0" w:after="240" w:afterAutospacing="0" w:line="360" w:lineRule="auto"/>
        <w:jc w:val="both"/>
      </w:pPr>
      <w:r w:rsidRPr="00506B40">
        <w:rPr>
          <w:rFonts w:ascii="Palatino Linotype" w:hAnsi="Palatino Linotype"/>
        </w:rPr>
        <w:t>Por lo que hace a la revocación, esta se actualiza cuando el Sujeto Obligado deja sin efectos la primera respuesta o su primer acto y en su lugar emite otro con las características y cualidades suficientes para dejar satisfecho el ejercicio del derecho al acceso a la información pública.</w:t>
      </w:r>
    </w:p>
    <w:p w14:paraId="34D1CF9D" w14:textId="77777777" w:rsidR="00716DBF" w:rsidRPr="00506B40" w:rsidRDefault="00716DBF" w:rsidP="00716DBF">
      <w:pPr>
        <w:pStyle w:val="NormalWeb"/>
        <w:spacing w:before="240" w:beforeAutospacing="0" w:after="240" w:afterAutospacing="0" w:line="360" w:lineRule="auto"/>
        <w:jc w:val="both"/>
      </w:pPr>
      <w:r w:rsidRPr="00506B40">
        <w:rPr>
          <w:rFonts w:ascii="Palatino Linotype" w:hAnsi="Palatino Linotype"/>
        </w:rPr>
        <w:t>En este orden de ideas, un acto impugnado queda sin efectos, cuando aun existiendo jurídicamente (esto es, que no se ha modificado, ni revocado) ya no genera ninguna consecuencia legal.</w:t>
      </w:r>
    </w:p>
    <w:p w14:paraId="70167E84" w14:textId="74C92948" w:rsidR="00716DBF" w:rsidRPr="00506B40" w:rsidRDefault="00716DBF" w:rsidP="00716DBF">
      <w:pPr>
        <w:pStyle w:val="NormalWeb"/>
        <w:spacing w:before="240" w:beforeAutospacing="0" w:after="240" w:afterAutospacing="0" w:line="360" w:lineRule="auto"/>
        <w:jc w:val="both"/>
      </w:pPr>
      <w:r w:rsidRPr="00506B40">
        <w:rPr>
          <w:rFonts w:ascii="Palatino Linotype" w:hAnsi="Palatino Linotype"/>
        </w:rPr>
        <w:t xml:space="preserve">En tanto, en el presente caso queda sin materia, toda vez que en el Informe Justificado, el </w:t>
      </w:r>
      <w:r w:rsidRPr="00506B40">
        <w:rPr>
          <w:rFonts w:ascii="Palatino Linotype" w:hAnsi="Palatino Linotype"/>
          <w:b/>
          <w:bCs/>
        </w:rPr>
        <w:t>SUJETO OBLIGADO</w:t>
      </w:r>
      <w:r w:rsidRPr="00506B40">
        <w:rPr>
          <w:rFonts w:ascii="Palatino Linotype" w:hAnsi="Palatino Linotype"/>
        </w:rPr>
        <w:t xml:space="preserve"> modificó la respuesta </w:t>
      </w:r>
      <w:r w:rsidR="007476A8" w:rsidRPr="00506B40">
        <w:rPr>
          <w:rFonts w:ascii="Palatino Linotype" w:hAnsi="Palatino Linotype"/>
        </w:rPr>
        <w:t>al indicar las resoluciones que le han sido notificadas por el Instituto durante el periodo solicitado, así como precisar puntualmente los pasos para acceder a dicha información</w:t>
      </w:r>
      <w:r w:rsidRPr="00506B40">
        <w:rPr>
          <w:rFonts w:ascii="Palatino Linotype" w:hAnsi="Palatino Linotype"/>
        </w:rPr>
        <w:t xml:space="preserve">, aunque ello haya sido de manera posterior a su respuesta inicial, por tal motivo, debe tenerse que con lo entregado por el </w:t>
      </w:r>
      <w:r w:rsidRPr="00506B40">
        <w:rPr>
          <w:rFonts w:ascii="Palatino Linotype" w:hAnsi="Palatino Linotype"/>
          <w:b/>
          <w:bCs/>
        </w:rPr>
        <w:t>SUJETO OBLIGADO,</w:t>
      </w:r>
      <w:r w:rsidRPr="00506B40">
        <w:rPr>
          <w:rFonts w:ascii="Palatino Linotype" w:hAnsi="Palatino Linotype"/>
        </w:rPr>
        <w:t xml:space="preserve"> se satisface la solicitud planteada, quedando sin materia el presente recurso de revisión, actualizándose entonces, la causal prevista en la fracción III del artículo 192 de la Ley de la Materia vigente en la Entidad, antes transcrita. </w:t>
      </w:r>
    </w:p>
    <w:p w14:paraId="2A008EE8" w14:textId="77777777" w:rsidR="00716DBF" w:rsidRPr="00506B40" w:rsidRDefault="00716DBF" w:rsidP="00716DBF">
      <w:pPr>
        <w:pStyle w:val="NormalWeb"/>
        <w:spacing w:before="240" w:beforeAutospacing="0" w:after="240" w:afterAutospacing="0" w:line="360" w:lineRule="auto"/>
        <w:jc w:val="both"/>
      </w:pPr>
      <w:r w:rsidRPr="00506B40">
        <w:rPr>
          <w:rFonts w:ascii="Palatino Linotype" w:hAnsi="Palatino Linotype"/>
        </w:rPr>
        <w:lastRenderedPageBreak/>
        <w:t xml:space="preserve">Siendo el </w:t>
      </w:r>
      <w:r w:rsidRPr="00506B40">
        <w:rPr>
          <w:rFonts w:ascii="Palatino Linotype" w:hAnsi="Palatino Linotype"/>
          <w:i/>
          <w:iCs/>
        </w:rPr>
        <w:t>sobreseimiento</w:t>
      </w:r>
      <w:r w:rsidRPr="00506B40">
        <w:rPr>
          <w:rFonts w:ascii="Palatino Linotype" w:hAnsi="Palatino Linotype"/>
        </w:rPr>
        <w:t xml:space="preserve"> un acto que da por terminado el procedimiento administrativo de impugnación por alguna causa sobreviniente en el juicio de que se trate, que impide a la autoridad referirse a lo sustancial de lo planteado por el recurrente teniendo como consecuencia dar por concluido el medio de impugnación, este Instituto se encuentra imposibilitado para entrar al estudio de fondo del recurso de revisión, lo anterior con apoyo en el criterio del Poder Judicial de la Federación con rubro: </w:t>
      </w:r>
      <w:r w:rsidRPr="00506B40">
        <w:rPr>
          <w:rFonts w:ascii="Palatino Linotype" w:hAnsi="Palatino Linotype"/>
          <w:b/>
          <w:bCs/>
        </w:rPr>
        <w:t>SOBRESEIMIENTO, NO PERMITE ENTRAR AL ESTUDIO DE LAS CUESTIONES DE FONDO.</w:t>
      </w:r>
    </w:p>
    <w:p w14:paraId="727724FB" w14:textId="77777777" w:rsidR="00716DBF" w:rsidRPr="00506B40" w:rsidRDefault="00716DBF" w:rsidP="00716DBF">
      <w:pPr>
        <w:pStyle w:val="NormalWeb"/>
        <w:spacing w:before="80" w:beforeAutospacing="0" w:after="240" w:afterAutospacing="0" w:line="360" w:lineRule="auto"/>
        <w:jc w:val="both"/>
      </w:pPr>
      <w:r w:rsidRPr="00506B40">
        <w:rPr>
          <w:rFonts w:ascii="Palatino Linotype" w:hAnsi="Palatino Linotype"/>
        </w:rPr>
        <w:t>Así, con fundamento en lo prescrito en los</w:t>
      </w:r>
      <w:r w:rsidRPr="00506B40">
        <w:t xml:space="preserve"> </w:t>
      </w:r>
      <w:r w:rsidRPr="00506B40">
        <w:rPr>
          <w:rFonts w:ascii="Palatino Linotype" w:hAnsi="Palatino Linotype"/>
        </w:rPr>
        <w:t>artículos 5 párrafos trigésimo, trigésimo primero y trigésimo segundo fracciones IV y V de la Constitución Política del Estado Libre y Soberano de México; 2, fracción II; 29, 36 fracciones I y II; 176, 178, 181, 185, fracción I, 186 y 188 de la Ley de Transparencia y Acceso a la Información Pública del Estado de México y Municipios, este Pleno:</w:t>
      </w:r>
    </w:p>
    <w:p w14:paraId="5FD2B50E" w14:textId="77777777" w:rsidR="00716DBF" w:rsidRPr="00506B40" w:rsidRDefault="00716DBF" w:rsidP="00716DBF">
      <w:pPr>
        <w:widowControl w:val="0"/>
        <w:pBdr>
          <w:top w:val="nil"/>
          <w:left w:val="nil"/>
          <w:bottom w:val="nil"/>
          <w:right w:val="nil"/>
          <w:between w:val="nil"/>
        </w:pBdr>
        <w:tabs>
          <w:tab w:val="left" w:pos="709"/>
        </w:tabs>
        <w:spacing w:before="120" w:after="240" w:line="360" w:lineRule="auto"/>
        <w:contextualSpacing/>
        <w:jc w:val="both"/>
        <w:rPr>
          <w:rFonts w:ascii="Palatino Linotype" w:eastAsia="Palatino Linotype" w:hAnsi="Palatino Linotype" w:cs="Palatino Linotype"/>
        </w:rPr>
      </w:pPr>
    </w:p>
    <w:p w14:paraId="3178CE4D" w14:textId="77777777" w:rsidR="005A3DCE" w:rsidRPr="00506B40" w:rsidRDefault="006E4886">
      <w:pPr>
        <w:numPr>
          <w:ilvl w:val="0"/>
          <w:numId w:val="4"/>
        </w:numPr>
        <w:pBdr>
          <w:top w:val="nil"/>
          <w:left w:val="nil"/>
          <w:bottom w:val="nil"/>
          <w:right w:val="nil"/>
          <w:between w:val="nil"/>
        </w:pBdr>
        <w:spacing w:before="240" w:after="240" w:line="360" w:lineRule="auto"/>
        <w:jc w:val="center"/>
        <w:rPr>
          <w:rFonts w:ascii="Palatino Linotype" w:eastAsia="Palatino Linotype" w:hAnsi="Palatino Linotype" w:cs="Palatino Linotype"/>
          <w:b/>
          <w:szCs w:val="22"/>
        </w:rPr>
      </w:pPr>
      <w:r w:rsidRPr="00506B40">
        <w:rPr>
          <w:rFonts w:ascii="Palatino Linotype" w:eastAsia="Palatino Linotype" w:hAnsi="Palatino Linotype" w:cs="Palatino Linotype"/>
          <w:b/>
          <w:szCs w:val="22"/>
        </w:rPr>
        <w:t>R E S U E L V</w:t>
      </w:r>
      <w:r w:rsidR="002C13EA" w:rsidRPr="00506B40">
        <w:rPr>
          <w:rFonts w:ascii="Palatino Linotype" w:eastAsia="Palatino Linotype" w:hAnsi="Palatino Linotype" w:cs="Palatino Linotype"/>
          <w:b/>
          <w:szCs w:val="22"/>
        </w:rPr>
        <w:t xml:space="preserve"> E</w:t>
      </w:r>
    </w:p>
    <w:p w14:paraId="028F2F40" w14:textId="77777777" w:rsidR="001C6320" w:rsidRPr="00506B40" w:rsidRDefault="002C13EA" w:rsidP="001C6320">
      <w:pPr>
        <w:pStyle w:val="NormalWeb"/>
        <w:spacing w:before="240" w:beforeAutospacing="0" w:after="240" w:afterAutospacing="0" w:line="360" w:lineRule="auto"/>
        <w:jc w:val="both"/>
      </w:pPr>
      <w:r w:rsidRPr="00506B40">
        <w:rPr>
          <w:rFonts w:ascii="Palatino Linotype" w:eastAsia="Palatino Linotype" w:hAnsi="Palatino Linotype" w:cs="Palatino Linotype"/>
          <w:b/>
        </w:rPr>
        <w:t>PRIMERO</w:t>
      </w:r>
      <w:r w:rsidR="006E4886" w:rsidRPr="00506B40">
        <w:rPr>
          <w:rFonts w:ascii="Palatino Linotype" w:eastAsia="Palatino Linotype" w:hAnsi="Palatino Linotype" w:cs="Palatino Linotype"/>
          <w:b/>
        </w:rPr>
        <w:t xml:space="preserve">. </w:t>
      </w:r>
      <w:r w:rsidR="001C6320" w:rsidRPr="00506B40">
        <w:rPr>
          <w:rFonts w:ascii="Palatino Linotype" w:hAnsi="Palatino Linotype"/>
        </w:rPr>
        <w:t>Se</w:t>
      </w:r>
      <w:r w:rsidR="001C6320" w:rsidRPr="00506B40">
        <w:rPr>
          <w:rFonts w:ascii="Palatino Linotype" w:hAnsi="Palatino Linotype"/>
          <w:b/>
          <w:bCs/>
        </w:rPr>
        <w:t xml:space="preserve"> Sobresee </w:t>
      </w:r>
      <w:r w:rsidR="001C6320" w:rsidRPr="00506B40">
        <w:rPr>
          <w:rFonts w:ascii="Palatino Linotype" w:hAnsi="Palatino Linotype"/>
        </w:rPr>
        <w:t xml:space="preserve">el recurso de revisión número </w:t>
      </w:r>
      <w:r w:rsidR="001C6320" w:rsidRPr="00506B40">
        <w:rPr>
          <w:rFonts w:ascii="Palatino Linotype" w:hAnsi="Palatino Linotype"/>
          <w:b/>
          <w:bCs/>
        </w:rPr>
        <w:t xml:space="preserve">12019/INFOEM/IP/RR/2022, </w:t>
      </w:r>
      <w:r w:rsidR="001C6320" w:rsidRPr="00506B40">
        <w:rPr>
          <w:rFonts w:ascii="Palatino Linotype" w:hAnsi="Palatino Linotype"/>
        </w:rPr>
        <w:t xml:space="preserve">porque al </w:t>
      </w:r>
      <w:r w:rsidR="001C6320" w:rsidRPr="00506B40">
        <w:rPr>
          <w:rFonts w:ascii="Palatino Linotype" w:hAnsi="Palatino Linotype"/>
          <w:b/>
          <w:bCs/>
        </w:rPr>
        <w:t>modificar la respuesta</w:t>
      </w:r>
      <w:r w:rsidR="001C6320" w:rsidRPr="00506B40">
        <w:rPr>
          <w:rFonts w:ascii="Palatino Linotype" w:hAnsi="Palatino Linotype"/>
        </w:rPr>
        <w:t xml:space="preserve"> se actualizó la causal prevista en el artículo 192, fracción III, de la Ley de Transparencia y Acceso a la Información Pública del Estado de México y Municipios, quedando sin materia en términos del considerando </w:t>
      </w:r>
      <w:r w:rsidR="001C6320" w:rsidRPr="00506B40">
        <w:rPr>
          <w:rFonts w:ascii="Palatino Linotype" w:hAnsi="Palatino Linotype"/>
          <w:b/>
          <w:bCs/>
        </w:rPr>
        <w:t xml:space="preserve">Tercero </w:t>
      </w:r>
      <w:r w:rsidR="001C6320" w:rsidRPr="00506B40">
        <w:rPr>
          <w:rFonts w:ascii="Palatino Linotype" w:hAnsi="Palatino Linotype"/>
        </w:rPr>
        <w:t>de la presente Resolución.</w:t>
      </w:r>
    </w:p>
    <w:p w14:paraId="4A146478" w14:textId="77777777" w:rsidR="001C6320" w:rsidRPr="00506B40" w:rsidRDefault="001C6320" w:rsidP="001C6320">
      <w:pPr>
        <w:pStyle w:val="NormalWeb"/>
        <w:spacing w:before="240" w:beforeAutospacing="0" w:after="240" w:afterAutospacing="0" w:line="360" w:lineRule="auto"/>
        <w:jc w:val="both"/>
      </w:pPr>
      <w:r w:rsidRPr="00506B40">
        <w:rPr>
          <w:rFonts w:ascii="Palatino Linotype" w:hAnsi="Palatino Linotype"/>
          <w:b/>
          <w:bCs/>
        </w:rPr>
        <w:lastRenderedPageBreak/>
        <w:t xml:space="preserve">SEGUNDO. Notifíquese vía </w:t>
      </w:r>
      <w:r w:rsidRPr="00506B40">
        <w:rPr>
          <w:rFonts w:ascii="Palatino Linotype" w:hAnsi="Palatino Linotype"/>
        </w:rPr>
        <w:t>Sistema de Acceso a la Información Mexiquense (</w:t>
      </w:r>
      <w:r w:rsidRPr="00506B40">
        <w:rPr>
          <w:rFonts w:ascii="Palatino Linotype" w:hAnsi="Palatino Linotype"/>
          <w:b/>
          <w:bCs/>
        </w:rPr>
        <w:t>SAIMEX)</w:t>
      </w:r>
      <w:r w:rsidRPr="00506B40">
        <w:rPr>
          <w:rFonts w:ascii="Palatino Linotype" w:hAnsi="Palatino Linotype"/>
          <w:b/>
          <w:bCs/>
          <w:i/>
          <w:iCs/>
        </w:rPr>
        <w:t xml:space="preserve">, </w:t>
      </w:r>
      <w:r w:rsidRPr="00506B40">
        <w:rPr>
          <w:rFonts w:ascii="Palatino Linotype" w:hAnsi="Palatino Linotype"/>
        </w:rPr>
        <w:t xml:space="preserve">al Titular de la Unidad de Transparencia del </w:t>
      </w:r>
      <w:r w:rsidRPr="00506B40">
        <w:rPr>
          <w:rFonts w:ascii="Palatino Linotype" w:hAnsi="Palatino Linotype"/>
          <w:b/>
          <w:bCs/>
        </w:rPr>
        <w:t>SUJETO OBLIGADO</w:t>
      </w:r>
      <w:r w:rsidRPr="00506B40">
        <w:rPr>
          <w:rFonts w:ascii="Palatino Linotype" w:hAnsi="Palatino Linotype"/>
        </w:rPr>
        <w:t xml:space="preserve"> la presente resolución, para su conocimiento.</w:t>
      </w:r>
    </w:p>
    <w:p w14:paraId="0B5F2E9C" w14:textId="77777777" w:rsidR="001C6320" w:rsidRPr="00506B40" w:rsidRDefault="001C6320" w:rsidP="001C6320">
      <w:pPr>
        <w:pStyle w:val="NormalWeb"/>
        <w:spacing w:before="240" w:beforeAutospacing="0" w:after="240" w:afterAutospacing="0" w:line="360" w:lineRule="auto"/>
        <w:jc w:val="both"/>
      </w:pPr>
      <w:r w:rsidRPr="00506B40">
        <w:rPr>
          <w:rFonts w:ascii="Palatino Linotype" w:hAnsi="Palatino Linotype"/>
          <w:b/>
          <w:bCs/>
        </w:rPr>
        <w:t xml:space="preserve">TERCERO. Notifíquese, </w:t>
      </w:r>
      <w:r w:rsidRPr="00506B40">
        <w:rPr>
          <w:rFonts w:ascii="Palatino Linotype" w:hAnsi="Palatino Linotype"/>
        </w:rPr>
        <w:t>vía</w:t>
      </w:r>
      <w:r w:rsidRPr="00506B40">
        <w:rPr>
          <w:rFonts w:ascii="Palatino Linotype" w:hAnsi="Palatino Linotype"/>
          <w:b/>
          <w:bCs/>
        </w:rPr>
        <w:t xml:space="preserve"> SAIMEX</w:t>
      </w:r>
      <w:r w:rsidRPr="00506B40">
        <w:rPr>
          <w:rFonts w:ascii="Palatino Linotype" w:hAnsi="Palatino Linotype"/>
        </w:rPr>
        <w:t>, a</w:t>
      </w:r>
      <w:r w:rsidRPr="00506B40">
        <w:rPr>
          <w:rFonts w:ascii="Palatino Linotype" w:hAnsi="Palatino Linotype"/>
          <w:b/>
          <w:bCs/>
        </w:rPr>
        <w:t xml:space="preserve"> </w:t>
      </w:r>
      <w:r w:rsidRPr="00506B40">
        <w:rPr>
          <w:rFonts w:ascii="Palatino Linotype" w:hAnsi="Palatino Linotype"/>
        </w:rPr>
        <w:t xml:space="preserve">la parte </w:t>
      </w:r>
      <w:r w:rsidRPr="00506B40">
        <w:rPr>
          <w:rFonts w:ascii="Palatino Linotype" w:hAnsi="Palatino Linotype"/>
          <w:b/>
          <w:bCs/>
        </w:rPr>
        <w:t>RECURRENTE</w:t>
      </w:r>
      <w:r w:rsidRPr="00506B40">
        <w:rPr>
          <w:rFonts w:ascii="Palatino Linotype" w:hAnsi="Palatino Linotype"/>
        </w:rPr>
        <w:t xml:space="preserve"> la presente resolución, así como, que de conformidad con lo establecido en el artículo 196 de la Ley de Transparencia y Acceso a la Información Pública del Estado de México y Municipios, podrá impugnarla vía el Juicio de Amparo en los términos de las leyes aplicables.</w:t>
      </w:r>
    </w:p>
    <w:p w14:paraId="3D9A17D5" w14:textId="77777777" w:rsidR="00501659" w:rsidRDefault="006E4886" w:rsidP="00A50A86">
      <w:pPr>
        <w:spacing w:before="240" w:after="240" w:line="360" w:lineRule="auto"/>
        <w:jc w:val="both"/>
        <w:rPr>
          <w:rFonts w:ascii="Palatino Linotype" w:eastAsia="Palatino Linotype" w:hAnsi="Palatino Linotype" w:cs="Palatino Linotype"/>
        </w:rPr>
      </w:pPr>
      <w:r w:rsidRPr="00506B40">
        <w:rPr>
          <w:rFonts w:ascii="Palatino Linotype" w:eastAsia="Palatino Linotype" w:hAnsi="Palatino Linotype" w:cs="Palatino Linotype"/>
        </w:rPr>
        <w:t xml:space="preserve">ASÍ LO RESUELVE, POR UNANIMIDAD DE VOTOS, EL PLENO DEL INSTITUTO DE TRANSPARENCIA, ACCESO A LA INFORMACIÓN PÚBLICA Y PROTECCIÓN DE DATOS PERSONALES DEL ESTADO DE MÉXICO Y MUNICIPIOS, CONFORMADO POR LOS COMISIONADOS JOSÉ MARTÍNEZ VILCHIS, MARÍA DEL ROSARIO MEJÍA AYALA, SHARON CRISTINA MORALES MARTÍNEZ, LUIS GUSTAVO PARRA NORIEGA Y GUADALUPE RAMÍREZ PEÑA; EN LA </w:t>
      </w:r>
      <w:r w:rsidR="001C6320" w:rsidRPr="00506B40">
        <w:rPr>
          <w:rFonts w:ascii="Palatino Linotype" w:eastAsia="Palatino Linotype" w:hAnsi="Palatino Linotype" w:cs="Palatino Linotype"/>
        </w:rPr>
        <w:t>CUADRAGÉSIMA</w:t>
      </w:r>
      <w:r w:rsidRPr="00506B40">
        <w:rPr>
          <w:rFonts w:ascii="Palatino Linotype" w:eastAsia="Palatino Linotype" w:hAnsi="Palatino Linotype" w:cs="Palatino Linotype"/>
        </w:rPr>
        <w:t xml:space="preserve"> </w:t>
      </w:r>
      <w:r w:rsidR="00A50A86" w:rsidRPr="00506B40">
        <w:rPr>
          <w:rFonts w:ascii="Palatino Linotype" w:eastAsia="Palatino Linotype" w:hAnsi="Palatino Linotype" w:cs="Palatino Linotype"/>
        </w:rPr>
        <w:t xml:space="preserve">PRIMERA </w:t>
      </w:r>
      <w:r w:rsidRPr="00506B40">
        <w:rPr>
          <w:rFonts w:ascii="Palatino Linotype" w:eastAsia="Palatino Linotype" w:hAnsi="Palatino Linotype" w:cs="Palatino Linotype"/>
        </w:rPr>
        <w:t>SES</w:t>
      </w:r>
      <w:r w:rsidR="00E079F0" w:rsidRPr="00506B40">
        <w:rPr>
          <w:rFonts w:ascii="Palatino Linotype" w:eastAsia="Palatino Linotype" w:hAnsi="Palatino Linotype" w:cs="Palatino Linotype"/>
        </w:rPr>
        <w:t xml:space="preserve">IÓN ORDINARIA CELEBRADA EL </w:t>
      </w:r>
      <w:r w:rsidR="00A50A86" w:rsidRPr="00506B40">
        <w:rPr>
          <w:rFonts w:ascii="Palatino Linotype" w:eastAsia="Palatino Linotype" w:hAnsi="Palatino Linotype" w:cs="Palatino Linotype"/>
        </w:rPr>
        <w:t>DIECISÉIS</w:t>
      </w:r>
      <w:r w:rsidRPr="00506B40">
        <w:rPr>
          <w:rFonts w:ascii="Palatino Linotype" w:eastAsia="Palatino Linotype" w:hAnsi="Palatino Linotype" w:cs="Palatino Linotype"/>
        </w:rPr>
        <w:t xml:space="preserve"> DE </w:t>
      </w:r>
      <w:r w:rsidR="002C13EA" w:rsidRPr="00506B40">
        <w:rPr>
          <w:rFonts w:ascii="Palatino Linotype" w:eastAsia="Palatino Linotype" w:hAnsi="Palatino Linotype" w:cs="Palatino Linotype"/>
        </w:rPr>
        <w:t>NOVIEMBRE</w:t>
      </w:r>
      <w:r w:rsidRPr="00506B40">
        <w:rPr>
          <w:rFonts w:ascii="Palatino Linotype" w:eastAsia="Palatino Linotype" w:hAnsi="Palatino Linotype" w:cs="Palatino Linotype"/>
        </w:rPr>
        <w:t xml:space="preserve"> DEL DOS MIL VEINTIDÓS, ANTE EL SECRETARIO TÉCNICO DEL PLENO ALEXIS TAPIA RAMÍREZ.   </w:t>
      </w:r>
    </w:p>
    <w:p w14:paraId="6707131D" w14:textId="77777777" w:rsidR="00501659" w:rsidRDefault="00501659" w:rsidP="00A50A86">
      <w:pPr>
        <w:spacing w:before="240" w:after="240" w:line="360" w:lineRule="auto"/>
        <w:jc w:val="both"/>
        <w:rPr>
          <w:rFonts w:ascii="Palatino Linotype" w:eastAsia="Palatino Linotype" w:hAnsi="Palatino Linotype" w:cs="Palatino Linotype"/>
        </w:rPr>
      </w:pPr>
    </w:p>
    <w:p w14:paraId="5D8BC713" w14:textId="5B910F5C" w:rsidR="005A3DCE" w:rsidRPr="00506B40" w:rsidRDefault="006E4886" w:rsidP="00A50A86">
      <w:pPr>
        <w:spacing w:before="240" w:after="240" w:line="360" w:lineRule="auto"/>
        <w:jc w:val="both"/>
        <w:rPr>
          <w:rFonts w:ascii="Palatino Linotype" w:eastAsia="Palatino Linotype" w:hAnsi="Palatino Linotype" w:cs="Palatino Linotype"/>
        </w:rPr>
        <w:sectPr w:rsidR="005A3DCE" w:rsidRPr="00506B40">
          <w:headerReference w:type="default" r:id="rId27"/>
          <w:footerReference w:type="default" r:id="rId28"/>
          <w:headerReference w:type="first" r:id="rId29"/>
          <w:footerReference w:type="first" r:id="rId30"/>
          <w:pgSz w:w="12240" w:h="15840"/>
          <w:pgMar w:top="2041" w:right="1701" w:bottom="1701" w:left="1701" w:header="709" w:footer="709" w:gutter="0"/>
          <w:pgNumType w:start="1"/>
          <w:cols w:space="720"/>
          <w:titlePg/>
        </w:sectPr>
      </w:pPr>
      <w:r w:rsidRPr="00506B40">
        <w:rPr>
          <w:rFonts w:ascii="Palatino Linotype" w:eastAsia="Palatino Linotype" w:hAnsi="Palatino Linotype" w:cs="Palatino Linotype"/>
        </w:rPr>
        <w:t xml:space="preserve"> </w:t>
      </w:r>
      <w:r w:rsidR="007A4690" w:rsidRPr="00506B40">
        <w:rPr>
          <w:rFonts w:ascii="Palatino Linotype" w:eastAsia="Palatino Linotype" w:hAnsi="Palatino Linotype" w:cs="Palatino Linotype"/>
        </w:rPr>
        <w:t xml:space="preserve">   </w:t>
      </w:r>
    </w:p>
    <w:p w14:paraId="56610AC7" w14:textId="77777777" w:rsidR="005A3DCE" w:rsidRPr="00506B40" w:rsidRDefault="005A3DCE">
      <w:pPr>
        <w:spacing w:before="240" w:after="240" w:line="360" w:lineRule="auto"/>
        <w:jc w:val="both"/>
        <w:rPr>
          <w:rFonts w:ascii="Palatino Linotype" w:eastAsia="Palatino Linotype" w:hAnsi="Palatino Linotype" w:cs="Palatino Linotype"/>
        </w:rPr>
      </w:pPr>
    </w:p>
    <w:sectPr w:rsidR="005A3DCE" w:rsidRPr="00506B40">
      <w:headerReference w:type="first" r:id="rId31"/>
      <w:pgSz w:w="12240" w:h="15840"/>
      <w:pgMar w:top="2041" w:right="1701" w:bottom="1701" w:left="1701" w:header="709" w:footer="709" w:gutter="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0F322E4" w14:textId="77777777" w:rsidR="002847B4" w:rsidRDefault="002847B4">
      <w:r>
        <w:separator/>
      </w:r>
    </w:p>
  </w:endnote>
  <w:endnote w:type="continuationSeparator" w:id="0">
    <w:p w14:paraId="52BE8429" w14:textId="77777777" w:rsidR="002847B4" w:rsidRDefault="002847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Liberation Serif">
    <w:altName w:val="Times New Roman"/>
    <w:panose1 w:val="00000000000000000000"/>
    <w:charset w:val="00"/>
    <w:family w:val="roman"/>
    <w:notTrueType/>
    <w:pitch w:val="default"/>
  </w:font>
  <w:font w:name="DejaVu Sans">
    <w:altName w:val="Times New Roman"/>
    <w:panose1 w:val="00000000000000000000"/>
    <w:charset w:val="00"/>
    <w:family w:val="roman"/>
    <w:notTrueType/>
    <w:pitch w:val="default"/>
  </w:font>
  <w:font w:name="Lohit Hindi">
    <w:altName w:val="Times New Roman"/>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348FA4" w14:textId="77777777" w:rsidR="000317F5" w:rsidRDefault="000317F5">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BA7B84">
      <w:rPr>
        <w:rFonts w:ascii="Arial" w:eastAsia="Arial" w:hAnsi="Arial" w:cs="Arial"/>
        <w:b/>
        <w:noProof/>
        <w:color w:val="000000"/>
        <w:sz w:val="20"/>
        <w:szCs w:val="20"/>
      </w:rPr>
      <w:t>35</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BA7B84">
      <w:rPr>
        <w:rFonts w:ascii="Arial" w:eastAsia="Arial" w:hAnsi="Arial" w:cs="Arial"/>
        <w:b/>
        <w:noProof/>
        <w:color w:val="000000"/>
        <w:sz w:val="20"/>
        <w:szCs w:val="20"/>
      </w:rPr>
      <w:t>36</w:t>
    </w:r>
    <w:r>
      <w:rPr>
        <w:rFonts w:ascii="Arial" w:eastAsia="Arial" w:hAnsi="Arial" w:cs="Arial"/>
        <w:b/>
        <w:color w:val="000000"/>
        <w:sz w:val="20"/>
        <w:szCs w:val="20"/>
      </w:rPr>
      <w:fldChar w:fldCharType="end"/>
    </w:r>
  </w:p>
  <w:p w14:paraId="73775B9E" w14:textId="77777777" w:rsidR="000317F5" w:rsidRDefault="000317F5">
    <w:pPr>
      <w:pBdr>
        <w:top w:val="nil"/>
        <w:left w:val="nil"/>
        <w:bottom w:val="nil"/>
        <w:right w:val="nil"/>
        <w:between w:val="nil"/>
      </w:pBdr>
      <w:tabs>
        <w:tab w:val="center" w:pos="4252"/>
        <w:tab w:val="right" w:pos="8504"/>
      </w:tabs>
      <w:rPr>
        <w:color w:val="000000"/>
      </w:rPr>
    </w:pPr>
  </w:p>
  <w:p w14:paraId="4502C2D2" w14:textId="77777777" w:rsidR="000317F5" w:rsidRDefault="000317F5">
    <w:pPr>
      <w:pBdr>
        <w:top w:val="nil"/>
        <w:left w:val="nil"/>
        <w:bottom w:val="nil"/>
        <w:right w:val="nil"/>
        <w:between w:val="nil"/>
      </w:pBdr>
      <w:tabs>
        <w:tab w:val="center" w:pos="4252"/>
        <w:tab w:val="right" w:pos="8504"/>
      </w:tabs>
      <w:ind w:firstLine="708"/>
      <w:rPr>
        <w:rFonts w:ascii="Calibri" w:eastAsia="Calibri" w:hAnsi="Calibri" w:cs="Calibri"/>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C4091DE" w14:textId="77777777" w:rsidR="000317F5" w:rsidRDefault="000317F5">
    <w:pPr>
      <w:pBdr>
        <w:top w:val="nil"/>
        <w:left w:val="nil"/>
        <w:bottom w:val="nil"/>
        <w:right w:val="nil"/>
        <w:between w:val="nil"/>
      </w:pBdr>
      <w:tabs>
        <w:tab w:val="center" w:pos="4252"/>
        <w:tab w:val="right" w:pos="8504"/>
      </w:tabs>
      <w:jc w:val="right"/>
      <w:rPr>
        <w:rFonts w:ascii="Arial" w:eastAsia="Arial" w:hAnsi="Arial" w:cs="Arial"/>
        <w:color w:val="000000"/>
        <w:sz w:val="20"/>
        <w:szCs w:val="20"/>
      </w:rPr>
    </w:pPr>
    <w:r>
      <w:rPr>
        <w:rFonts w:ascii="Arial" w:eastAsia="Arial" w:hAnsi="Arial" w:cs="Arial"/>
        <w:b/>
        <w:color w:val="000000"/>
        <w:sz w:val="20"/>
        <w:szCs w:val="20"/>
      </w:rPr>
      <w:t xml:space="preserve">Página </w:t>
    </w:r>
    <w:r>
      <w:rPr>
        <w:rFonts w:ascii="Arial" w:eastAsia="Arial" w:hAnsi="Arial" w:cs="Arial"/>
        <w:b/>
        <w:color w:val="000000"/>
        <w:sz w:val="20"/>
        <w:szCs w:val="20"/>
      </w:rPr>
      <w:fldChar w:fldCharType="begin"/>
    </w:r>
    <w:r>
      <w:rPr>
        <w:rFonts w:ascii="Arial" w:eastAsia="Arial" w:hAnsi="Arial" w:cs="Arial"/>
        <w:b/>
        <w:color w:val="000000"/>
        <w:sz w:val="20"/>
        <w:szCs w:val="20"/>
      </w:rPr>
      <w:instrText>PAGE</w:instrText>
    </w:r>
    <w:r>
      <w:rPr>
        <w:rFonts w:ascii="Arial" w:eastAsia="Arial" w:hAnsi="Arial" w:cs="Arial"/>
        <w:b/>
        <w:color w:val="000000"/>
        <w:sz w:val="20"/>
        <w:szCs w:val="20"/>
      </w:rPr>
      <w:fldChar w:fldCharType="separate"/>
    </w:r>
    <w:r w:rsidR="00BA7B84">
      <w:rPr>
        <w:rFonts w:ascii="Arial" w:eastAsia="Arial" w:hAnsi="Arial" w:cs="Arial"/>
        <w:b/>
        <w:noProof/>
        <w:color w:val="000000"/>
        <w:sz w:val="20"/>
        <w:szCs w:val="20"/>
      </w:rPr>
      <w:t>36</w:t>
    </w:r>
    <w:r>
      <w:rPr>
        <w:rFonts w:ascii="Arial" w:eastAsia="Arial" w:hAnsi="Arial" w:cs="Arial"/>
        <w:b/>
        <w:color w:val="000000"/>
        <w:sz w:val="20"/>
        <w:szCs w:val="20"/>
      </w:rPr>
      <w:fldChar w:fldCharType="end"/>
    </w:r>
    <w:r>
      <w:rPr>
        <w:rFonts w:ascii="Arial" w:eastAsia="Arial" w:hAnsi="Arial" w:cs="Arial"/>
        <w:color w:val="000000"/>
        <w:sz w:val="20"/>
        <w:szCs w:val="20"/>
      </w:rPr>
      <w:t xml:space="preserve"> de </w:t>
    </w:r>
    <w:r>
      <w:rPr>
        <w:rFonts w:ascii="Arial" w:eastAsia="Arial" w:hAnsi="Arial" w:cs="Arial"/>
        <w:b/>
        <w:color w:val="000000"/>
        <w:sz w:val="20"/>
        <w:szCs w:val="20"/>
      </w:rPr>
      <w:fldChar w:fldCharType="begin"/>
    </w:r>
    <w:r>
      <w:rPr>
        <w:rFonts w:ascii="Arial" w:eastAsia="Arial" w:hAnsi="Arial" w:cs="Arial"/>
        <w:b/>
        <w:color w:val="000000"/>
        <w:sz w:val="20"/>
        <w:szCs w:val="20"/>
      </w:rPr>
      <w:instrText>NUMPAGES</w:instrText>
    </w:r>
    <w:r>
      <w:rPr>
        <w:rFonts w:ascii="Arial" w:eastAsia="Arial" w:hAnsi="Arial" w:cs="Arial"/>
        <w:b/>
        <w:color w:val="000000"/>
        <w:sz w:val="20"/>
        <w:szCs w:val="20"/>
      </w:rPr>
      <w:fldChar w:fldCharType="separate"/>
    </w:r>
    <w:r w:rsidR="00BA7B84">
      <w:rPr>
        <w:rFonts w:ascii="Arial" w:eastAsia="Arial" w:hAnsi="Arial" w:cs="Arial"/>
        <w:b/>
        <w:noProof/>
        <w:color w:val="000000"/>
        <w:sz w:val="20"/>
        <w:szCs w:val="20"/>
      </w:rPr>
      <w:t>36</w:t>
    </w:r>
    <w:r>
      <w:rPr>
        <w:rFonts w:ascii="Arial" w:eastAsia="Arial" w:hAnsi="Arial" w:cs="Arial"/>
        <w:b/>
        <w:color w:val="000000"/>
        <w:sz w:val="20"/>
        <w:szCs w:val="20"/>
      </w:rPr>
      <w:fldChar w:fldCharType="end"/>
    </w:r>
  </w:p>
  <w:p w14:paraId="6428C9E9" w14:textId="77777777" w:rsidR="000317F5" w:rsidRDefault="000317F5">
    <w:pPr>
      <w:pBdr>
        <w:top w:val="nil"/>
        <w:left w:val="nil"/>
        <w:bottom w:val="nil"/>
        <w:right w:val="nil"/>
        <w:between w:val="nil"/>
      </w:pBdr>
      <w:tabs>
        <w:tab w:val="center" w:pos="4252"/>
        <w:tab w:val="right" w:pos="8504"/>
      </w:tabs>
      <w:rPr>
        <w:rFonts w:ascii="Calibri" w:eastAsia="Calibri" w:hAnsi="Calibri" w:cs="Calibri"/>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4D54AB" w14:textId="77777777" w:rsidR="002847B4" w:rsidRDefault="002847B4">
      <w:r>
        <w:separator/>
      </w:r>
    </w:p>
  </w:footnote>
  <w:footnote w:type="continuationSeparator" w:id="0">
    <w:p w14:paraId="45B6603F" w14:textId="77777777" w:rsidR="002847B4" w:rsidRDefault="002847B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8EF5E3" w14:textId="77777777" w:rsidR="000317F5" w:rsidRDefault="000317F5">
    <w:pPr>
      <w:widowControl w:val="0"/>
      <w:pBdr>
        <w:top w:val="nil"/>
        <w:left w:val="nil"/>
        <w:bottom w:val="nil"/>
        <w:right w:val="nil"/>
        <w:between w:val="nil"/>
      </w:pBdr>
      <w:spacing w:line="276" w:lineRule="auto"/>
      <w:rPr>
        <w:rFonts w:ascii="Calibri" w:eastAsia="Calibri" w:hAnsi="Calibri" w:cs="Calibri"/>
        <w:color w:val="000000"/>
      </w:rPr>
    </w:pPr>
  </w:p>
  <w:tbl>
    <w:tblPr>
      <w:tblStyle w:val="a2"/>
      <w:tblW w:w="5528" w:type="dxa"/>
      <w:tblInd w:w="3261" w:type="dxa"/>
      <w:tblLayout w:type="fixed"/>
      <w:tblLook w:val="0400" w:firstRow="0" w:lastRow="0" w:firstColumn="0" w:lastColumn="0" w:noHBand="0" w:noVBand="1"/>
    </w:tblPr>
    <w:tblGrid>
      <w:gridCol w:w="2551"/>
      <w:gridCol w:w="2977"/>
    </w:tblGrid>
    <w:tr w:rsidR="000317F5" w14:paraId="0AB36227" w14:textId="77777777">
      <w:tc>
        <w:tcPr>
          <w:tcW w:w="2551" w:type="dxa"/>
          <w:vAlign w:val="center"/>
        </w:tcPr>
        <w:p w14:paraId="0C7BE574" w14:textId="77777777" w:rsidR="000317F5" w:rsidRDefault="000317F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2977" w:type="dxa"/>
          <w:vAlign w:val="center"/>
        </w:tcPr>
        <w:p w14:paraId="081E3A68" w14:textId="77777777" w:rsidR="000317F5" w:rsidRDefault="000317F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12019/INFOEM/IP/RR/2022</w:t>
          </w:r>
        </w:p>
      </w:tc>
    </w:tr>
    <w:tr w:rsidR="000317F5" w14:paraId="29CC668C" w14:textId="77777777">
      <w:trPr>
        <w:trHeight w:val="228"/>
      </w:trPr>
      <w:tc>
        <w:tcPr>
          <w:tcW w:w="2551" w:type="dxa"/>
          <w:vAlign w:val="center"/>
        </w:tcPr>
        <w:p w14:paraId="1EC938C1" w14:textId="77777777" w:rsidR="000317F5" w:rsidRDefault="000317F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2977" w:type="dxa"/>
          <w:vAlign w:val="center"/>
        </w:tcPr>
        <w:p w14:paraId="2892FBA3" w14:textId="77777777" w:rsidR="000317F5" w:rsidRDefault="000317F5" w:rsidP="00E41CEB">
          <w:pPr>
            <w:jc w:val="both"/>
            <w:rPr>
              <w:rFonts w:ascii="Palatino Linotype" w:eastAsia="Palatino Linotype" w:hAnsi="Palatino Linotype" w:cs="Palatino Linotype"/>
              <w:b/>
              <w:sz w:val="22"/>
              <w:szCs w:val="22"/>
            </w:rPr>
          </w:pPr>
          <w:r w:rsidRPr="001300F4">
            <w:rPr>
              <w:rFonts w:ascii="Palatino Linotype" w:eastAsia="Palatino Linotype" w:hAnsi="Palatino Linotype" w:cs="Palatino Linotype"/>
              <w:b/>
              <w:sz w:val="22"/>
              <w:szCs w:val="22"/>
            </w:rPr>
            <w:t>Ayuntamiento de Tlalnepantla de Baz</w:t>
          </w:r>
        </w:p>
      </w:tc>
    </w:tr>
    <w:tr w:rsidR="000317F5" w14:paraId="2E3B9FE7" w14:textId="77777777">
      <w:tc>
        <w:tcPr>
          <w:tcW w:w="2551" w:type="dxa"/>
          <w:vAlign w:val="center"/>
        </w:tcPr>
        <w:p w14:paraId="2186C388" w14:textId="77777777" w:rsidR="000317F5" w:rsidRDefault="000317F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2977" w:type="dxa"/>
          <w:vAlign w:val="center"/>
        </w:tcPr>
        <w:p w14:paraId="4A07F480" w14:textId="77777777" w:rsidR="000317F5" w:rsidRDefault="000317F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40722CBF" w14:textId="77777777" w:rsidR="000317F5" w:rsidRDefault="000317F5">
    <w:pPr>
      <w:pBdr>
        <w:top w:val="nil"/>
        <w:left w:val="nil"/>
        <w:bottom w:val="nil"/>
        <w:right w:val="nil"/>
        <w:between w:val="nil"/>
      </w:pBdr>
      <w:tabs>
        <w:tab w:val="center" w:pos="4252"/>
        <w:tab w:val="right" w:pos="8504"/>
        <w:tab w:val="left" w:pos="2326"/>
      </w:tabs>
      <w:rPr>
        <w:rFonts w:ascii="Calibri" w:eastAsia="Calibri" w:hAnsi="Calibri" w:cs="Calibri"/>
        <w:color w:val="000000"/>
      </w:rPr>
    </w:pPr>
    <w:r>
      <w:rPr>
        <w:rFonts w:ascii="Calibri" w:eastAsia="Calibri" w:hAnsi="Calibri" w:cs="Calibri"/>
        <w:color w:val="000000"/>
      </w:rPr>
      <w:tab/>
    </w:r>
    <w:r>
      <w:rPr>
        <w:noProof/>
        <w:lang w:val="es-MX" w:eastAsia="es-MX"/>
      </w:rPr>
      <w:drawing>
        <wp:anchor distT="0" distB="0" distL="0" distR="0" simplePos="0" relativeHeight="251658240" behindDoc="1" locked="0" layoutInCell="1" hidden="0" allowOverlap="1" wp14:anchorId="546773F3" wp14:editId="1FD8160F">
          <wp:simplePos x="0" y="0"/>
          <wp:positionH relativeFrom="column">
            <wp:posOffset>-695770</wp:posOffset>
          </wp:positionH>
          <wp:positionV relativeFrom="paragraph">
            <wp:posOffset>-1200945</wp:posOffset>
          </wp:positionV>
          <wp:extent cx="7809876" cy="10165823"/>
          <wp:effectExtent l="0" t="0" r="0" b="0"/>
          <wp:wrapNone/>
          <wp:docPr id="3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F86875" w14:textId="77777777" w:rsidR="000317F5" w:rsidRDefault="000317F5">
    <w:pPr>
      <w:pBdr>
        <w:top w:val="nil"/>
        <w:left w:val="nil"/>
        <w:bottom w:val="nil"/>
        <w:right w:val="nil"/>
        <w:between w:val="nil"/>
      </w:pBdr>
      <w:tabs>
        <w:tab w:val="center" w:pos="4252"/>
        <w:tab w:val="right" w:pos="8504"/>
      </w:tabs>
      <w:jc w:val="both"/>
      <w:rPr>
        <w:rFonts w:ascii="Calibri" w:eastAsia="Calibri" w:hAnsi="Calibri" w:cs="Calibri"/>
        <w:color w:val="000000"/>
      </w:rPr>
    </w:pPr>
    <w:r>
      <w:rPr>
        <w:noProof/>
        <w:lang w:val="es-MX" w:eastAsia="es-MX"/>
      </w:rPr>
      <w:drawing>
        <wp:anchor distT="0" distB="0" distL="0" distR="0" simplePos="0" relativeHeight="251659264" behindDoc="1" locked="0" layoutInCell="1" hidden="0" allowOverlap="1" wp14:anchorId="3FD2FCB0" wp14:editId="1C34D178">
          <wp:simplePos x="0" y="0"/>
          <wp:positionH relativeFrom="column">
            <wp:posOffset>-846160</wp:posOffset>
          </wp:positionH>
          <wp:positionV relativeFrom="paragraph">
            <wp:posOffset>-171231</wp:posOffset>
          </wp:positionV>
          <wp:extent cx="7809876" cy="10165823"/>
          <wp:effectExtent l="0" t="0" r="0" b="0"/>
          <wp:wrapNone/>
          <wp:docPr id="3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
                  <a:srcRect/>
                  <a:stretch>
                    <a:fillRect/>
                  </a:stretch>
                </pic:blipFill>
                <pic:spPr>
                  <a:xfrm>
                    <a:off x="0" y="0"/>
                    <a:ext cx="7809876" cy="10165823"/>
                  </a:xfrm>
                  <a:prstGeom prst="rect">
                    <a:avLst/>
                  </a:prstGeom>
                  <a:ln/>
                </pic:spPr>
              </pic:pic>
            </a:graphicData>
          </a:graphic>
        </wp:anchor>
      </w:drawing>
    </w:r>
  </w:p>
  <w:tbl>
    <w:tblPr>
      <w:tblStyle w:val="a1"/>
      <w:tblW w:w="5670" w:type="dxa"/>
      <w:tblInd w:w="3119" w:type="dxa"/>
      <w:tblLayout w:type="fixed"/>
      <w:tblLook w:val="0400" w:firstRow="0" w:lastRow="0" w:firstColumn="0" w:lastColumn="0" w:noHBand="0" w:noVBand="1"/>
    </w:tblPr>
    <w:tblGrid>
      <w:gridCol w:w="2551"/>
      <w:gridCol w:w="3119"/>
    </w:tblGrid>
    <w:tr w:rsidR="000317F5" w14:paraId="147B078D" w14:textId="77777777">
      <w:tc>
        <w:tcPr>
          <w:tcW w:w="2551" w:type="dxa"/>
          <w:vAlign w:val="center"/>
        </w:tcPr>
        <w:p w14:paraId="6BCC0F37" w14:textId="77777777" w:rsidR="000317F5" w:rsidRDefault="000317F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Recurso de Revisión:</w:t>
          </w:r>
        </w:p>
      </w:tc>
      <w:tc>
        <w:tcPr>
          <w:tcW w:w="3119" w:type="dxa"/>
          <w:vAlign w:val="center"/>
        </w:tcPr>
        <w:p w14:paraId="0E70B276" w14:textId="77777777" w:rsidR="000317F5" w:rsidRDefault="000317F5">
          <w:pPr>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 xml:space="preserve">12019/INFOEM/IP/RR/2022. </w:t>
          </w:r>
        </w:p>
      </w:tc>
    </w:tr>
    <w:tr w:rsidR="000317F5" w14:paraId="57AD2C57" w14:textId="77777777">
      <w:tc>
        <w:tcPr>
          <w:tcW w:w="2551" w:type="dxa"/>
          <w:vAlign w:val="center"/>
        </w:tcPr>
        <w:p w14:paraId="4EDD65EB" w14:textId="77777777" w:rsidR="000317F5" w:rsidRDefault="000317F5">
          <w:pPr>
            <w:ind w:left="35" w:hanging="35"/>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Recurrente:</w:t>
          </w:r>
        </w:p>
      </w:tc>
      <w:tc>
        <w:tcPr>
          <w:tcW w:w="3119" w:type="dxa"/>
          <w:vAlign w:val="center"/>
        </w:tcPr>
        <w:p w14:paraId="1E9BBCF8" w14:textId="77777777" w:rsidR="000317F5" w:rsidRDefault="000317F5">
          <w:pPr>
            <w:ind w:right="181"/>
            <w:jc w:val="both"/>
            <w:rPr>
              <w:rFonts w:ascii="Palatino Linotype" w:eastAsia="Palatino Linotype" w:hAnsi="Palatino Linotype" w:cs="Palatino Linotype"/>
              <w:b/>
              <w:sz w:val="22"/>
              <w:szCs w:val="22"/>
            </w:rPr>
          </w:pPr>
        </w:p>
      </w:tc>
    </w:tr>
    <w:tr w:rsidR="000317F5" w14:paraId="6A66B2F4" w14:textId="77777777">
      <w:trPr>
        <w:trHeight w:val="228"/>
      </w:trPr>
      <w:tc>
        <w:tcPr>
          <w:tcW w:w="2551" w:type="dxa"/>
          <w:vAlign w:val="center"/>
        </w:tcPr>
        <w:p w14:paraId="298AF2ED" w14:textId="77777777" w:rsidR="000317F5" w:rsidRDefault="000317F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Sujeto obligado:</w:t>
          </w:r>
        </w:p>
      </w:tc>
      <w:tc>
        <w:tcPr>
          <w:tcW w:w="3119" w:type="dxa"/>
          <w:vAlign w:val="center"/>
        </w:tcPr>
        <w:p w14:paraId="52964876" w14:textId="77777777" w:rsidR="000317F5" w:rsidRDefault="000317F5" w:rsidP="00E41CEB">
          <w:pPr>
            <w:ind w:right="181"/>
            <w:jc w:val="both"/>
            <w:rPr>
              <w:rFonts w:ascii="Palatino Linotype" w:eastAsia="Palatino Linotype" w:hAnsi="Palatino Linotype" w:cs="Palatino Linotype"/>
              <w:b/>
              <w:sz w:val="22"/>
              <w:szCs w:val="22"/>
            </w:rPr>
          </w:pPr>
          <w:r w:rsidRPr="001300F4">
            <w:rPr>
              <w:rFonts w:ascii="Palatino Linotype" w:eastAsia="Palatino Linotype" w:hAnsi="Palatino Linotype" w:cs="Palatino Linotype"/>
              <w:b/>
              <w:sz w:val="22"/>
              <w:szCs w:val="22"/>
            </w:rPr>
            <w:t>Ayuntamiento de Tlalnepantla de Baz</w:t>
          </w:r>
        </w:p>
      </w:tc>
    </w:tr>
    <w:tr w:rsidR="000317F5" w14:paraId="285C7D39" w14:textId="77777777">
      <w:tc>
        <w:tcPr>
          <w:tcW w:w="2551" w:type="dxa"/>
          <w:vAlign w:val="center"/>
        </w:tcPr>
        <w:p w14:paraId="00EC1D8D" w14:textId="77777777" w:rsidR="000317F5" w:rsidRDefault="000317F5">
          <w:pPr>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Comisionada ponente:</w:t>
          </w:r>
        </w:p>
      </w:tc>
      <w:tc>
        <w:tcPr>
          <w:tcW w:w="3119" w:type="dxa"/>
          <w:vAlign w:val="center"/>
        </w:tcPr>
        <w:p w14:paraId="7D3654B4" w14:textId="77777777" w:rsidR="000317F5" w:rsidRDefault="000317F5">
          <w:pPr>
            <w:ind w:right="-533"/>
            <w:jc w:val="both"/>
            <w:rPr>
              <w:rFonts w:ascii="Palatino Linotype" w:eastAsia="Palatino Linotype" w:hAnsi="Palatino Linotype" w:cs="Palatino Linotype"/>
              <w:b/>
              <w:sz w:val="22"/>
              <w:szCs w:val="22"/>
            </w:rPr>
          </w:pPr>
          <w:r>
            <w:rPr>
              <w:rFonts w:ascii="Palatino Linotype" w:eastAsia="Palatino Linotype" w:hAnsi="Palatino Linotype" w:cs="Palatino Linotype"/>
              <w:b/>
              <w:sz w:val="22"/>
              <w:szCs w:val="22"/>
            </w:rPr>
            <w:t>Guadalupe Ramírez Peña.</w:t>
          </w:r>
        </w:p>
      </w:tc>
    </w:tr>
  </w:tbl>
  <w:p w14:paraId="7F3CAE13" w14:textId="77777777" w:rsidR="000317F5" w:rsidRDefault="000317F5">
    <w:pPr>
      <w:pBdr>
        <w:top w:val="nil"/>
        <w:left w:val="nil"/>
        <w:bottom w:val="nil"/>
        <w:right w:val="nil"/>
        <w:between w:val="nil"/>
      </w:pBdr>
      <w:tabs>
        <w:tab w:val="center" w:pos="4252"/>
        <w:tab w:val="right" w:pos="8504"/>
      </w:tabs>
      <w:rPr>
        <w:rFonts w:ascii="Calibri" w:eastAsia="Calibri" w:hAnsi="Calibri" w:cs="Calibri"/>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93EB50" w14:textId="77777777" w:rsidR="000317F5" w:rsidRDefault="000317F5">
    <w:pPr>
      <w:pBdr>
        <w:top w:val="nil"/>
        <w:left w:val="nil"/>
        <w:bottom w:val="nil"/>
        <w:right w:val="nil"/>
        <w:between w:val="nil"/>
      </w:pBdr>
      <w:tabs>
        <w:tab w:val="center" w:pos="4252"/>
        <w:tab w:val="right" w:pos="8504"/>
      </w:tabs>
      <w:jc w:val="both"/>
      <w:rPr>
        <w:rFonts w:ascii="Calibri" w:eastAsia="Calibri" w:hAnsi="Calibri" w:cs="Calibri"/>
        <w:color w:val="000000"/>
      </w:rPr>
    </w:pPr>
  </w:p>
  <w:p w14:paraId="78B748C8" w14:textId="77777777" w:rsidR="000317F5" w:rsidRDefault="000317F5">
    <w:pPr>
      <w:pBdr>
        <w:top w:val="nil"/>
        <w:left w:val="nil"/>
        <w:bottom w:val="nil"/>
        <w:right w:val="nil"/>
        <w:between w:val="nil"/>
      </w:pBdr>
      <w:tabs>
        <w:tab w:val="center" w:pos="4252"/>
        <w:tab w:val="right" w:pos="8504"/>
      </w:tabs>
      <w:rPr>
        <w:rFonts w:ascii="Calibri" w:eastAsia="Calibri" w:hAnsi="Calibri" w:cs="Calibri"/>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A260932"/>
    <w:multiLevelType w:val="hybridMultilevel"/>
    <w:tmpl w:val="047A11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27A81BE5"/>
    <w:multiLevelType w:val="multilevel"/>
    <w:tmpl w:val="BB506E2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40F065B5"/>
    <w:multiLevelType w:val="multilevel"/>
    <w:tmpl w:val="2AB0EBD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43EE5631"/>
    <w:multiLevelType w:val="multilevel"/>
    <w:tmpl w:val="E05A5CF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 w15:restartNumberingAfterBreak="0">
    <w:nsid w:val="556A17A5"/>
    <w:multiLevelType w:val="hybridMultilevel"/>
    <w:tmpl w:val="81BC850E"/>
    <w:lvl w:ilvl="0" w:tplc="E36C3A42">
      <w:start w:val="1"/>
      <w:numFmt w:val="lowerLetter"/>
      <w:lvlText w:val="%1)"/>
      <w:lvlJc w:val="left"/>
      <w:pPr>
        <w:ind w:left="1974" w:hanging="840"/>
      </w:pPr>
      <w:rPr>
        <w:rFonts w:hint="default"/>
      </w:rPr>
    </w:lvl>
    <w:lvl w:ilvl="1" w:tplc="080A0019" w:tentative="1">
      <w:start w:val="1"/>
      <w:numFmt w:val="lowerLetter"/>
      <w:lvlText w:val="%2."/>
      <w:lvlJc w:val="left"/>
      <w:pPr>
        <w:ind w:left="2007" w:hanging="360"/>
      </w:pPr>
    </w:lvl>
    <w:lvl w:ilvl="2" w:tplc="080A001B" w:tentative="1">
      <w:start w:val="1"/>
      <w:numFmt w:val="lowerRoman"/>
      <w:lvlText w:val="%3."/>
      <w:lvlJc w:val="right"/>
      <w:pPr>
        <w:ind w:left="2727" w:hanging="180"/>
      </w:pPr>
    </w:lvl>
    <w:lvl w:ilvl="3" w:tplc="080A000F" w:tentative="1">
      <w:start w:val="1"/>
      <w:numFmt w:val="decimal"/>
      <w:lvlText w:val="%4."/>
      <w:lvlJc w:val="left"/>
      <w:pPr>
        <w:ind w:left="3447" w:hanging="360"/>
      </w:pPr>
    </w:lvl>
    <w:lvl w:ilvl="4" w:tplc="080A0019" w:tentative="1">
      <w:start w:val="1"/>
      <w:numFmt w:val="lowerLetter"/>
      <w:lvlText w:val="%5."/>
      <w:lvlJc w:val="left"/>
      <w:pPr>
        <w:ind w:left="4167" w:hanging="360"/>
      </w:pPr>
    </w:lvl>
    <w:lvl w:ilvl="5" w:tplc="080A001B" w:tentative="1">
      <w:start w:val="1"/>
      <w:numFmt w:val="lowerRoman"/>
      <w:lvlText w:val="%6."/>
      <w:lvlJc w:val="right"/>
      <w:pPr>
        <w:ind w:left="4887" w:hanging="180"/>
      </w:pPr>
    </w:lvl>
    <w:lvl w:ilvl="6" w:tplc="080A000F" w:tentative="1">
      <w:start w:val="1"/>
      <w:numFmt w:val="decimal"/>
      <w:lvlText w:val="%7."/>
      <w:lvlJc w:val="left"/>
      <w:pPr>
        <w:ind w:left="5607" w:hanging="360"/>
      </w:pPr>
    </w:lvl>
    <w:lvl w:ilvl="7" w:tplc="080A0019" w:tentative="1">
      <w:start w:val="1"/>
      <w:numFmt w:val="lowerLetter"/>
      <w:lvlText w:val="%8."/>
      <w:lvlJc w:val="left"/>
      <w:pPr>
        <w:ind w:left="6327" w:hanging="360"/>
      </w:pPr>
    </w:lvl>
    <w:lvl w:ilvl="8" w:tplc="080A001B" w:tentative="1">
      <w:start w:val="1"/>
      <w:numFmt w:val="lowerRoman"/>
      <w:lvlText w:val="%9."/>
      <w:lvlJc w:val="right"/>
      <w:pPr>
        <w:ind w:left="7047" w:hanging="180"/>
      </w:pPr>
    </w:lvl>
  </w:abstractNum>
  <w:abstractNum w:abstractNumId="5" w15:restartNumberingAfterBreak="0">
    <w:nsid w:val="57E66DCE"/>
    <w:multiLevelType w:val="hybridMultilevel"/>
    <w:tmpl w:val="4B8A47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65E01A9A"/>
    <w:multiLevelType w:val="multilevel"/>
    <w:tmpl w:val="9814A606"/>
    <w:lvl w:ilvl="0">
      <w:start w:val="1"/>
      <w:numFmt w:val="lowerLetter"/>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7" w15:restartNumberingAfterBreak="0">
    <w:nsid w:val="705240F4"/>
    <w:multiLevelType w:val="hybridMultilevel"/>
    <w:tmpl w:val="5B7893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741F134B"/>
    <w:multiLevelType w:val="multilevel"/>
    <w:tmpl w:val="CBDE82F8"/>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7FE67E2E"/>
    <w:multiLevelType w:val="hybridMultilevel"/>
    <w:tmpl w:val="E204383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
  </w:num>
  <w:num w:numId="2">
    <w:abstractNumId w:val="3"/>
  </w:num>
  <w:num w:numId="3">
    <w:abstractNumId w:val="1"/>
  </w:num>
  <w:num w:numId="4">
    <w:abstractNumId w:val="8"/>
  </w:num>
  <w:num w:numId="5">
    <w:abstractNumId w:val="6"/>
  </w:num>
  <w:num w:numId="6">
    <w:abstractNumId w:val="7"/>
  </w:num>
  <w:num w:numId="7">
    <w:abstractNumId w:val="9"/>
  </w:num>
  <w:num w:numId="8">
    <w:abstractNumId w:val="4"/>
  </w:num>
  <w:num w:numId="9">
    <w:abstractNumId w:val="0"/>
  </w:num>
  <w:num w:numId="10">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ctiveWritingStyle w:appName="MSWord" w:lang="pt-BR" w:vendorID="64" w:dllVersion="6" w:nlCheck="1" w:checkStyle="0"/>
  <w:activeWritingStyle w:appName="MSWord" w:lang="es-ES" w:vendorID="64" w:dllVersion="6" w:nlCheck="1" w:checkStyle="1"/>
  <w:activeWritingStyle w:appName="MSWord" w:lang="es-MX" w:vendorID="64" w:dllVersion="6" w:nlCheck="1" w:checkStyle="1"/>
  <w:activeWritingStyle w:appName="MSWord" w:lang="es-ES" w:vendorID="64" w:dllVersion="4096" w:nlCheck="1" w:checkStyle="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A3DCE"/>
    <w:rsid w:val="000317F5"/>
    <w:rsid w:val="00036160"/>
    <w:rsid w:val="00055EA5"/>
    <w:rsid w:val="00074488"/>
    <w:rsid w:val="000808F1"/>
    <w:rsid w:val="0009673E"/>
    <w:rsid w:val="000C734F"/>
    <w:rsid w:val="000F675F"/>
    <w:rsid w:val="00107365"/>
    <w:rsid w:val="001300F4"/>
    <w:rsid w:val="00145741"/>
    <w:rsid w:val="001925D1"/>
    <w:rsid w:val="001B06DD"/>
    <w:rsid w:val="001B7F77"/>
    <w:rsid w:val="001C51AB"/>
    <w:rsid w:val="001C6320"/>
    <w:rsid w:val="001C7FF6"/>
    <w:rsid w:val="001D55E3"/>
    <w:rsid w:val="001E4353"/>
    <w:rsid w:val="00220FE7"/>
    <w:rsid w:val="0022151E"/>
    <w:rsid w:val="002266CE"/>
    <w:rsid w:val="00270610"/>
    <w:rsid w:val="00283D07"/>
    <w:rsid w:val="002847B4"/>
    <w:rsid w:val="002C13EA"/>
    <w:rsid w:val="002F04E4"/>
    <w:rsid w:val="002F3800"/>
    <w:rsid w:val="00321D85"/>
    <w:rsid w:val="003362EE"/>
    <w:rsid w:val="00337E6A"/>
    <w:rsid w:val="00354863"/>
    <w:rsid w:val="003565CE"/>
    <w:rsid w:val="00374EFC"/>
    <w:rsid w:val="00377F2E"/>
    <w:rsid w:val="003C2257"/>
    <w:rsid w:val="003D076B"/>
    <w:rsid w:val="0044594E"/>
    <w:rsid w:val="00445AB3"/>
    <w:rsid w:val="004536ED"/>
    <w:rsid w:val="004637A6"/>
    <w:rsid w:val="00486E13"/>
    <w:rsid w:val="004E151C"/>
    <w:rsid w:val="004E5FA6"/>
    <w:rsid w:val="00501659"/>
    <w:rsid w:val="00506B40"/>
    <w:rsid w:val="00543A55"/>
    <w:rsid w:val="00551A04"/>
    <w:rsid w:val="00551FBF"/>
    <w:rsid w:val="00597F74"/>
    <w:rsid w:val="005A3DCE"/>
    <w:rsid w:val="005D1409"/>
    <w:rsid w:val="005E4850"/>
    <w:rsid w:val="005E5F80"/>
    <w:rsid w:val="0065005F"/>
    <w:rsid w:val="006575B5"/>
    <w:rsid w:val="006924C5"/>
    <w:rsid w:val="006A0AF5"/>
    <w:rsid w:val="006B5B9A"/>
    <w:rsid w:val="006B79EE"/>
    <w:rsid w:val="006C3CB8"/>
    <w:rsid w:val="006C4C64"/>
    <w:rsid w:val="006E4886"/>
    <w:rsid w:val="00716DBF"/>
    <w:rsid w:val="007476A8"/>
    <w:rsid w:val="00755AF7"/>
    <w:rsid w:val="00790742"/>
    <w:rsid w:val="007A4690"/>
    <w:rsid w:val="007A4E6D"/>
    <w:rsid w:val="007E2CDB"/>
    <w:rsid w:val="00834360"/>
    <w:rsid w:val="00856CD0"/>
    <w:rsid w:val="00857B0E"/>
    <w:rsid w:val="00863080"/>
    <w:rsid w:val="008637AE"/>
    <w:rsid w:val="00864223"/>
    <w:rsid w:val="00894CA4"/>
    <w:rsid w:val="00897EEB"/>
    <w:rsid w:val="008F16E0"/>
    <w:rsid w:val="0095000B"/>
    <w:rsid w:val="009741CC"/>
    <w:rsid w:val="009A0E5B"/>
    <w:rsid w:val="009A1D39"/>
    <w:rsid w:val="009B4BB0"/>
    <w:rsid w:val="009B568E"/>
    <w:rsid w:val="009F1AE5"/>
    <w:rsid w:val="00A33E5F"/>
    <w:rsid w:val="00A50A86"/>
    <w:rsid w:val="00A622B6"/>
    <w:rsid w:val="00A90781"/>
    <w:rsid w:val="00A9675B"/>
    <w:rsid w:val="00B106FD"/>
    <w:rsid w:val="00B11108"/>
    <w:rsid w:val="00B413F6"/>
    <w:rsid w:val="00B43446"/>
    <w:rsid w:val="00B84E1B"/>
    <w:rsid w:val="00BA7B84"/>
    <w:rsid w:val="00BC77C0"/>
    <w:rsid w:val="00BF2C68"/>
    <w:rsid w:val="00BF2DA9"/>
    <w:rsid w:val="00BF651D"/>
    <w:rsid w:val="00C13E73"/>
    <w:rsid w:val="00C45C7E"/>
    <w:rsid w:val="00C831AA"/>
    <w:rsid w:val="00CA1627"/>
    <w:rsid w:val="00CB71BF"/>
    <w:rsid w:val="00CC4F8C"/>
    <w:rsid w:val="00CD506D"/>
    <w:rsid w:val="00CF41AB"/>
    <w:rsid w:val="00CF5AE2"/>
    <w:rsid w:val="00D24E20"/>
    <w:rsid w:val="00D63494"/>
    <w:rsid w:val="00D70D5B"/>
    <w:rsid w:val="00D965AF"/>
    <w:rsid w:val="00E034C9"/>
    <w:rsid w:val="00E048ED"/>
    <w:rsid w:val="00E079F0"/>
    <w:rsid w:val="00E41CEB"/>
    <w:rsid w:val="00E64F55"/>
    <w:rsid w:val="00E71882"/>
    <w:rsid w:val="00E860BE"/>
    <w:rsid w:val="00EA0A8E"/>
    <w:rsid w:val="00ED2E5F"/>
    <w:rsid w:val="00EE7483"/>
    <w:rsid w:val="00EF5D92"/>
    <w:rsid w:val="00F61912"/>
    <w:rsid w:val="00FA173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A94811"/>
  <w15:docId w15:val="{C0ED8229-0782-4970-AB10-922D0AA34D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s-E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3C64"/>
    <w:rPr>
      <w:lang w:eastAsia="es-ES"/>
    </w:rPr>
  </w:style>
  <w:style w:type="paragraph" w:styleId="Ttulo1">
    <w:name w:val="heading 1"/>
    <w:basedOn w:val="Normal"/>
    <w:next w:val="Normal"/>
    <w:link w:val="Ttulo1Car"/>
    <w:uiPriority w:val="9"/>
    <w:qFormat/>
    <w:rsid w:val="0039279D"/>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39279D"/>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link w:val="Ttulo3Car"/>
    <w:uiPriority w:val="9"/>
    <w:qFormat/>
    <w:rsid w:val="002D2EAC"/>
    <w:pPr>
      <w:spacing w:before="100" w:beforeAutospacing="1" w:after="100" w:afterAutospacing="1"/>
      <w:outlineLvl w:val="2"/>
    </w:pPr>
    <w:rPr>
      <w:b/>
      <w:bCs/>
      <w:sz w:val="27"/>
      <w:szCs w:val="27"/>
      <w:lang w:val="es-MX" w:eastAsia="es-MX"/>
    </w:rPr>
  </w:style>
  <w:style w:type="paragraph" w:styleId="Ttulo4">
    <w:name w:val="heading 4"/>
    <w:basedOn w:val="Normal"/>
    <w:next w:val="Normal"/>
    <w:pPr>
      <w:keepNext/>
      <w:keepLines/>
      <w:spacing w:before="240" w:after="40"/>
      <w:outlineLvl w:val="3"/>
    </w:pPr>
    <w:rPr>
      <w:b/>
    </w:rPr>
  </w:style>
  <w:style w:type="paragraph" w:styleId="Ttulo5">
    <w:name w:val="heading 5"/>
    <w:basedOn w:val="Normal"/>
    <w:next w:val="Normal"/>
    <w:pPr>
      <w:keepNext/>
      <w:keepLines/>
      <w:spacing w:before="220" w:after="40"/>
      <w:outlineLvl w:val="4"/>
    </w:pPr>
    <w:rPr>
      <w:b/>
      <w:sz w:val="22"/>
      <w:szCs w:val="22"/>
    </w:rPr>
  </w:style>
  <w:style w:type="paragraph" w:styleId="Ttulo6">
    <w:name w:val="heading 6"/>
    <w:basedOn w:val="Normal"/>
    <w:next w:val="Normal"/>
    <w:pPr>
      <w:keepNext/>
      <w:keepLines/>
      <w:spacing w:before="200" w:after="40"/>
      <w:outlineLvl w:val="5"/>
    </w:pPr>
    <w:rPr>
      <w:b/>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pPr>
      <w:keepNext/>
      <w:keepLines/>
      <w:spacing w:before="480" w:after="120"/>
    </w:pPr>
    <w:rPr>
      <w:b/>
      <w:sz w:val="72"/>
      <w:szCs w:val="72"/>
    </w:rPr>
  </w:style>
  <w:style w:type="paragraph" w:styleId="Encabezado">
    <w:name w:val="header"/>
    <w:basedOn w:val="Normal"/>
    <w:link w:val="Encabezado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EncabezadoCar">
    <w:name w:val="Encabezado Car"/>
    <w:basedOn w:val="Fuentedeprrafopredeter"/>
    <w:link w:val="Encabezado"/>
    <w:uiPriority w:val="99"/>
    <w:rsid w:val="00AC3C64"/>
    <w:rPr>
      <w:rFonts w:eastAsiaTheme="minorEastAsia"/>
      <w:sz w:val="24"/>
      <w:szCs w:val="24"/>
      <w:lang w:val="es-ES_tradnl" w:eastAsia="es-ES"/>
    </w:rPr>
  </w:style>
  <w:style w:type="paragraph" w:styleId="Piedepgina">
    <w:name w:val="footer"/>
    <w:basedOn w:val="Normal"/>
    <w:link w:val="PiedepginaCar"/>
    <w:uiPriority w:val="99"/>
    <w:unhideWhenUsed/>
    <w:rsid w:val="00AC3C64"/>
    <w:pPr>
      <w:tabs>
        <w:tab w:val="center" w:pos="4252"/>
        <w:tab w:val="right" w:pos="8504"/>
      </w:tabs>
    </w:pPr>
    <w:rPr>
      <w:rFonts w:asciiTheme="minorHAnsi" w:eastAsiaTheme="minorEastAsia" w:hAnsiTheme="minorHAnsi" w:cstheme="minorBidi"/>
      <w:lang w:val="es-ES_tradnl"/>
    </w:rPr>
  </w:style>
  <w:style w:type="character" w:customStyle="1" w:styleId="PiedepginaCar">
    <w:name w:val="Pie de página Car"/>
    <w:basedOn w:val="Fuentedeprrafopredeter"/>
    <w:link w:val="Piedepgina"/>
    <w:uiPriority w:val="99"/>
    <w:rsid w:val="00AC3C64"/>
    <w:rPr>
      <w:rFonts w:eastAsiaTheme="minorEastAsia"/>
      <w:sz w:val="24"/>
      <w:szCs w:val="24"/>
      <w:lang w:val="es-ES_tradnl" w:eastAsia="es-ES"/>
    </w:rPr>
  </w:style>
  <w:style w:type="character" w:customStyle="1" w:styleId="PrrafodelistaCar">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locked/>
    <w:rsid w:val="00AC3C64"/>
    <w:rPr>
      <w:rFonts w:ascii="Times New Roman" w:eastAsia="Times New Roman" w:hAnsi="Times New Roman" w:cs="Times New Roman"/>
      <w:lang w:val="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rsid w:val="00AC3C64"/>
    <w:pPr>
      <w:ind w:left="708"/>
    </w:pPr>
    <w:rPr>
      <w:sz w:val="22"/>
      <w:szCs w:val="22"/>
      <w:lang w:eastAsia="en-US"/>
    </w:rPr>
  </w:style>
  <w:style w:type="table" w:styleId="Tablaconcuadrcula">
    <w:name w:val="Table Grid"/>
    <w:basedOn w:val="Tablanormal"/>
    <w:uiPriority w:val="59"/>
    <w:rsid w:val="00AC3C64"/>
    <w:rPr>
      <w:rFonts w:eastAsiaTheme="minorEastAsia"/>
      <w:lang w:val="es-ES_tradnl"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Fuentedeprrafopredeter"/>
    <w:rsid w:val="00AC3C64"/>
  </w:style>
  <w:style w:type="character" w:customStyle="1" w:styleId="apple-converted-space">
    <w:name w:val="apple-converted-space"/>
    <w:basedOn w:val="Fuentedeprrafopredeter"/>
    <w:rsid w:val="00AC3C64"/>
  </w:style>
  <w:style w:type="paragraph" w:customStyle="1" w:styleId="paragraph">
    <w:name w:val="paragraph"/>
    <w:basedOn w:val="Normal"/>
    <w:rsid w:val="00AC3C64"/>
    <w:pPr>
      <w:spacing w:before="100" w:beforeAutospacing="1" w:after="100" w:afterAutospacing="1"/>
    </w:pPr>
    <w:rPr>
      <w:lang w:val="es-MX" w:eastAsia="es-MX"/>
    </w:rPr>
  </w:style>
  <w:style w:type="character" w:customStyle="1" w:styleId="eop">
    <w:name w:val="eop"/>
    <w:basedOn w:val="Fuentedeprrafopredeter"/>
    <w:rsid w:val="00AC3C64"/>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iPriority w:val="99"/>
    <w:unhideWhenUsed/>
    <w:qFormat/>
    <w:rsid w:val="00AC3C64"/>
    <w:rPr>
      <w:rFonts w:asciiTheme="minorHAnsi" w:eastAsiaTheme="minorHAnsi" w:hAnsiTheme="minorHAnsi" w:cstheme="minorBidi"/>
      <w:sz w:val="20"/>
      <w:szCs w:val="20"/>
      <w:lang w:val="es-MX" w:eastAsia="en-US"/>
    </w:rPr>
  </w:style>
  <w:style w:type="character" w:customStyle="1" w:styleId="TextonotapieCar">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uiPriority w:val="99"/>
    <w:qFormat/>
    <w:rsid w:val="00AC3C64"/>
    <w:rPr>
      <w:sz w:val="20"/>
      <w:szCs w:val="20"/>
    </w:rPr>
  </w:style>
  <w:style w:type="character" w:styleId="Refdenotaalpie">
    <w:name w:val="footnote reference"/>
    <w:aliases w:val="Footnotes refss,Texto de nota al pie,Ref. de nota al pie 2,Appel note de bas de page,referencia nota al pie,BVI fnr,Footnote number,f,4_G,16 Point,Superscript 6 Point,Texto nota al pie,Footnote Reference Char3,Ref,de nota al pie,註腳內容"/>
    <w:basedOn w:val="Fuentedeprrafopredeter"/>
    <w:uiPriority w:val="99"/>
    <w:unhideWhenUsed/>
    <w:qFormat/>
    <w:rsid w:val="00AC3C64"/>
    <w:rPr>
      <w:vertAlign w:val="superscript"/>
    </w:rPr>
  </w:style>
  <w:style w:type="character" w:styleId="Hipervnculo">
    <w:name w:val="Hyperlink"/>
    <w:aliases w:val="Hipervínculo1,Hipervínculo11,Hipervínculo12,Hipervínculo13,Hipervínculo14,Hipervínculo15"/>
    <w:basedOn w:val="Fuentedeprrafopredeter"/>
    <w:uiPriority w:val="99"/>
    <w:unhideWhenUsed/>
    <w:qFormat/>
    <w:rsid w:val="00AC3C64"/>
    <w:rPr>
      <w:color w:val="0563C1" w:themeColor="hyperlink"/>
      <w:u w:val="single"/>
    </w:rPr>
  </w:style>
  <w:style w:type="paragraph" w:styleId="NormalWeb">
    <w:name w:val="Normal (Web)"/>
    <w:basedOn w:val="Normal"/>
    <w:uiPriority w:val="99"/>
    <w:unhideWhenUsed/>
    <w:rsid w:val="00AC3C64"/>
    <w:pPr>
      <w:spacing w:before="100" w:beforeAutospacing="1" w:after="100" w:afterAutospacing="1"/>
    </w:pPr>
    <w:rPr>
      <w:lang w:val="es-MX" w:eastAsia="es-MX"/>
    </w:rPr>
  </w:style>
  <w:style w:type="character" w:customStyle="1" w:styleId="Ttulo3Car">
    <w:name w:val="Título 3 Car"/>
    <w:basedOn w:val="Fuentedeprrafopredeter"/>
    <w:link w:val="Ttulo3"/>
    <w:uiPriority w:val="9"/>
    <w:rsid w:val="002D2EAC"/>
    <w:rPr>
      <w:rFonts w:ascii="Times New Roman" w:eastAsia="Times New Roman" w:hAnsi="Times New Roman" w:cs="Times New Roman"/>
      <w:b/>
      <w:bCs/>
      <w:sz w:val="27"/>
      <w:szCs w:val="27"/>
      <w:lang w:eastAsia="es-MX"/>
    </w:rPr>
  </w:style>
  <w:style w:type="character" w:customStyle="1" w:styleId="titulorubro">
    <w:name w:val="titulorubro"/>
    <w:basedOn w:val="Fuentedeprrafopredeter"/>
    <w:rsid w:val="002D2EAC"/>
  </w:style>
  <w:style w:type="paragraph" w:styleId="Textoindependiente">
    <w:name w:val="Body Text"/>
    <w:basedOn w:val="Normal"/>
    <w:link w:val="TextoindependienteCar"/>
    <w:uiPriority w:val="99"/>
    <w:qFormat/>
    <w:rsid w:val="006F3C93"/>
    <w:pPr>
      <w:autoSpaceDE w:val="0"/>
      <w:autoSpaceDN w:val="0"/>
      <w:adjustRightInd w:val="0"/>
      <w:ind w:left="93"/>
    </w:pPr>
    <w:rPr>
      <w:rFonts w:eastAsiaTheme="minorHAnsi"/>
      <w:sz w:val="23"/>
      <w:szCs w:val="23"/>
      <w:lang w:val="es-MX" w:eastAsia="en-US"/>
    </w:rPr>
  </w:style>
  <w:style w:type="character" w:customStyle="1" w:styleId="TextoindependienteCar">
    <w:name w:val="Texto independiente Car"/>
    <w:basedOn w:val="Fuentedeprrafopredeter"/>
    <w:link w:val="Textoindependiente"/>
    <w:uiPriority w:val="99"/>
    <w:rsid w:val="006F3C93"/>
    <w:rPr>
      <w:rFonts w:ascii="Times New Roman" w:hAnsi="Times New Roman" w:cs="Times New Roman"/>
      <w:sz w:val="23"/>
      <w:szCs w:val="23"/>
    </w:rPr>
  </w:style>
  <w:style w:type="paragraph" w:styleId="Textodeglobo">
    <w:name w:val="Balloon Text"/>
    <w:basedOn w:val="Normal"/>
    <w:link w:val="TextodegloboCar"/>
    <w:uiPriority w:val="99"/>
    <w:semiHidden/>
    <w:unhideWhenUsed/>
    <w:rsid w:val="00A037B6"/>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A037B6"/>
    <w:rPr>
      <w:rFonts w:ascii="Segoe UI" w:eastAsia="Times New Roman" w:hAnsi="Segoe UI" w:cs="Segoe UI"/>
      <w:sz w:val="18"/>
      <w:szCs w:val="18"/>
      <w:lang w:val="es-ES" w:eastAsia="es-ES"/>
    </w:rPr>
  </w:style>
  <w:style w:type="paragraph" w:customStyle="1" w:styleId="Pa1">
    <w:name w:val="Pa1"/>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2">
    <w:name w:val="Pa2"/>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customStyle="1" w:styleId="Pa3">
    <w:name w:val="Pa3"/>
    <w:basedOn w:val="Normal"/>
    <w:next w:val="Normal"/>
    <w:uiPriority w:val="99"/>
    <w:rsid w:val="0074718F"/>
    <w:pPr>
      <w:autoSpaceDE w:val="0"/>
      <w:autoSpaceDN w:val="0"/>
      <w:adjustRightInd w:val="0"/>
      <w:spacing w:line="191" w:lineRule="atLeast"/>
    </w:pPr>
    <w:rPr>
      <w:rFonts w:ascii="Helvetica" w:eastAsiaTheme="minorHAnsi" w:hAnsi="Helvetica" w:cs="Helvetica"/>
      <w:lang w:val="es-MX" w:eastAsia="en-US"/>
    </w:rPr>
  </w:style>
  <w:style w:type="paragraph" w:styleId="Sinespaciado">
    <w:name w:val="No Spacing"/>
    <w:aliases w:val="Francesa,INAI"/>
    <w:link w:val="SinespaciadoCar"/>
    <w:uiPriority w:val="1"/>
    <w:qFormat/>
    <w:rsid w:val="00CE2CFE"/>
  </w:style>
  <w:style w:type="character" w:customStyle="1" w:styleId="SinespaciadoCar">
    <w:name w:val="Sin espaciado Car"/>
    <w:aliases w:val="Francesa Car,INAI Car"/>
    <w:link w:val="Sinespaciado"/>
    <w:uiPriority w:val="1"/>
    <w:locked/>
    <w:rsid w:val="00CE2CFE"/>
  </w:style>
  <w:style w:type="table" w:styleId="Tabladelista1clara-nfasis1">
    <w:name w:val="List Table 1 Light Accent 1"/>
    <w:basedOn w:val="Tablanormal"/>
    <w:uiPriority w:val="46"/>
    <w:rsid w:val="00D30935"/>
    <w:rPr>
      <w:rFonts w:eastAsiaTheme="minorEastAsia"/>
      <w:lang w:val="es-ES_tradnl" w:eastAsia="es-ES"/>
    </w:rPr>
    <w:tblPr>
      <w:tblStyleRowBandSize w:val="1"/>
      <w:tblStyleColBandSize w:val="1"/>
    </w:tblPr>
    <w:tblStylePr w:type="firstRow">
      <w:rPr>
        <w:b/>
        <w:bCs/>
      </w:rPr>
      <w:tblPr/>
      <w:tcPr>
        <w:tcBorders>
          <w:bottom w:val="single" w:sz="4" w:space="0" w:color="9CC2E5" w:themeColor="accent1" w:themeTint="99"/>
        </w:tcBorders>
      </w:tcPr>
    </w:tblStylePr>
    <w:tblStylePr w:type="lastRow">
      <w:rPr>
        <w:b/>
        <w:bCs/>
      </w:rPr>
      <w:tblPr/>
      <w:tcPr>
        <w:tcBorders>
          <w:top w:val="sing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apple-tab-span">
    <w:name w:val="apple-tab-span"/>
    <w:basedOn w:val="Fuentedeprrafopredeter"/>
    <w:rsid w:val="00147361"/>
  </w:style>
  <w:style w:type="paragraph" w:customStyle="1" w:styleId="j">
    <w:name w:val="j"/>
    <w:basedOn w:val="Normal"/>
    <w:rsid w:val="00C2090B"/>
    <w:pPr>
      <w:spacing w:before="100" w:beforeAutospacing="1" w:after="100" w:afterAutospacing="1"/>
    </w:pPr>
    <w:rPr>
      <w:lang w:val="es-MX" w:eastAsia="es-MX"/>
    </w:rPr>
  </w:style>
  <w:style w:type="character" w:customStyle="1" w:styleId="Ttulo1Car">
    <w:name w:val="Título 1 Car"/>
    <w:basedOn w:val="Fuentedeprrafopredeter"/>
    <w:link w:val="Ttulo1"/>
    <w:uiPriority w:val="9"/>
    <w:rsid w:val="0039279D"/>
    <w:rPr>
      <w:rFonts w:asciiTheme="majorHAnsi" w:eastAsiaTheme="majorEastAsia" w:hAnsiTheme="majorHAnsi" w:cstheme="majorBidi"/>
      <w:color w:val="2E74B5" w:themeColor="accent1" w:themeShade="BF"/>
      <w:sz w:val="32"/>
      <w:szCs w:val="32"/>
      <w:lang w:val="es-ES" w:eastAsia="es-ES"/>
    </w:rPr>
  </w:style>
  <w:style w:type="character" w:customStyle="1" w:styleId="Ttulo2Car">
    <w:name w:val="Título 2 Car"/>
    <w:basedOn w:val="Fuentedeprrafopredeter"/>
    <w:link w:val="Ttulo2"/>
    <w:uiPriority w:val="9"/>
    <w:rsid w:val="0039279D"/>
    <w:rPr>
      <w:rFonts w:asciiTheme="majorHAnsi" w:eastAsiaTheme="majorEastAsia" w:hAnsiTheme="majorHAnsi" w:cstheme="majorBidi"/>
      <w:color w:val="2E74B5" w:themeColor="accent1" w:themeShade="BF"/>
      <w:sz w:val="26"/>
      <w:szCs w:val="26"/>
      <w:lang w:val="es-ES" w:eastAsia="es-ES"/>
    </w:rPr>
  </w:style>
  <w:style w:type="character" w:styleId="Textoennegrita">
    <w:name w:val="Strong"/>
    <w:uiPriority w:val="22"/>
    <w:qFormat/>
    <w:rsid w:val="0039279D"/>
    <w:rPr>
      <w:b/>
      <w:bCs/>
    </w:rPr>
  </w:style>
  <w:style w:type="paragraph" w:customStyle="1" w:styleId="Texto">
    <w:name w:val="Texto"/>
    <w:basedOn w:val="Normal"/>
    <w:link w:val="TextoCar"/>
    <w:qFormat/>
    <w:rsid w:val="0039279D"/>
    <w:pPr>
      <w:spacing w:after="101" w:line="216" w:lineRule="exact"/>
      <w:ind w:firstLine="288"/>
      <w:jc w:val="both"/>
    </w:pPr>
    <w:rPr>
      <w:rFonts w:ascii="Arial" w:hAnsi="Arial" w:cs="Arial"/>
      <w:sz w:val="18"/>
      <w:szCs w:val="18"/>
      <w:lang w:val="es-MX"/>
    </w:rPr>
  </w:style>
  <w:style w:type="character" w:customStyle="1" w:styleId="TextoCar">
    <w:name w:val="Texto Car"/>
    <w:link w:val="Texto"/>
    <w:locked/>
    <w:rsid w:val="0039279D"/>
    <w:rPr>
      <w:rFonts w:ascii="Arial" w:eastAsia="Times New Roman" w:hAnsi="Arial" w:cs="Arial"/>
      <w:sz w:val="18"/>
      <w:szCs w:val="18"/>
      <w:lang w:eastAsia="es-ES"/>
    </w:rPr>
  </w:style>
  <w:style w:type="paragraph" w:styleId="Textosinformato">
    <w:name w:val="Plain Text"/>
    <w:basedOn w:val="Normal"/>
    <w:link w:val="TextosinformatoCar"/>
    <w:rsid w:val="0039279D"/>
    <w:rPr>
      <w:rFonts w:ascii="Courier New" w:hAnsi="Courier New"/>
      <w:sz w:val="20"/>
      <w:szCs w:val="20"/>
    </w:rPr>
  </w:style>
  <w:style w:type="character" w:customStyle="1" w:styleId="TextosinformatoCar">
    <w:name w:val="Texto sin formato Car"/>
    <w:basedOn w:val="Fuentedeprrafopredeter"/>
    <w:link w:val="Textosinformato"/>
    <w:rsid w:val="0039279D"/>
    <w:rPr>
      <w:rFonts w:ascii="Courier New" w:eastAsia="Times New Roman" w:hAnsi="Courier New" w:cs="Times New Roman"/>
      <w:sz w:val="20"/>
      <w:szCs w:val="20"/>
      <w:lang w:val="es-ES" w:eastAsia="es-ES"/>
    </w:rPr>
  </w:style>
  <w:style w:type="paragraph" w:customStyle="1" w:styleId="Default">
    <w:name w:val="Default"/>
    <w:rsid w:val="0039279D"/>
    <w:pPr>
      <w:autoSpaceDE w:val="0"/>
      <w:autoSpaceDN w:val="0"/>
      <w:adjustRightInd w:val="0"/>
    </w:pPr>
    <w:rPr>
      <w:rFonts w:ascii="Arial" w:hAnsi="Arial" w:cs="Arial"/>
      <w:color w:val="000000"/>
    </w:rPr>
  </w:style>
  <w:style w:type="paragraph" w:customStyle="1" w:styleId="Standard">
    <w:name w:val="Standard"/>
    <w:rsid w:val="0039279D"/>
    <w:pPr>
      <w:widowControl w:val="0"/>
      <w:suppressAutoHyphens/>
      <w:autoSpaceDN w:val="0"/>
      <w:textAlignment w:val="baseline"/>
    </w:pPr>
    <w:rPr>
      <w:rFonts w:ascii="Liberation Serif" w:eastAsia="DejaVu Sans" w:hAnsi="Liberation Serif" w:cs="Lohit Hindi"/>
      <w:kern w:val="3"/>
      <w:lang w:eastAsia="zh-CN" w:bidi="hi-IN"/>
    </w:rPr>
  </w:style>
  <w:style w:type="paragraph" w:customStyle="1" w:styleId="q">
    <w:name w:val="q"/>
    <w:basedOn w:val="Normal"/>
    <w:rsid w:val="0039279D"/>
    <w:pPr>
      <w:spacing w:before="100" w:beforeAutospacing="1" w:after="100" w:afterAutospacing="1"/>
    </w:pPr>
    <w:rPr>
      <w:lang w:val="es-MX" w:eastAsia="es-MX"/>
    </w:rPr>
  </w:style>
  <w:style w:type="paragraph" w:styleId="Bibliografa">
    <w:name w:val="Bibliography"/>
    <w:basedOn w:val="Normal"/>
    <w:next w:val="Normal"/>
    <w:uiPriority w:val="37"/>
    <w:semiHidden/>
    <w:unhideWhenUsed/>
    <w:rsid w:val="0039279D"/>
  </w:style>
  <w:style w:type="character" w:customStyle="1" w:styleId="nacep">
    <w:name w:val="n_acep"/>
    <w:basedOn w:val="Fuentedeprrafopredeter"/>
    <w:rsid w:val="0039279D"/>
  </w:style>
  <w:style w:type="character" w:customStyle="1" w:styleId="m2871584667633129156gmail-apple-converted-space">
    <w:name w:val="m_2871584667633129156gmail-apple-converted-space"/>
    <w:basedOn w:val="Fuentedeprrafopredeter"/>
    <w:rsid w:val="0039279D"/>
  </w:style>
  <w:style w:type="character" w:customStyle="1" w:styleId="m2871584667633129156gmail-msofootnotereference">
    <w:name w:val="m_2871584667633129156gmail-msofootnotereference"/>
    <w:basedOn w:val="Fuentedeprrafopredeter"/>
    <w:rsid w:val="0039279D"/>
  </w:style>
  <w:style w:type="paragraph" w:customStyle="1" w:styleId="m2871584667633129156gmail-msofootnotetext">
    <w:name w:val="m_2871584667633129156gmail-msofootnotetext"/>
    <w:basedOn w:val="Normal"/>
    <w:rsid w:val="0039279D"/>
    <w:pPr>
      <w:spacing w:before="100" w:beforeAutospacing="1" w:after="100" w:afterAutospacing="1"/>
    </w:pPr>
    <w:rPr>
      <w:lang w:val="es-MX" w:eastAsia="es-MX"/>
    </w:rPr>
  </w:style>
  <w:style w:type="paragraph" w:styleId="Textoindependiente2">
    <w:name w:val="Body Text 2"/>
    <w:basedOn w:val="Normal"/>
    <w:link w:val="Textoindependiente2Car"/>
    <w:uiPriority w:val="99"/>
    <w:unhideWhenUsed/>
    <w:rsid w:val="0039279D"/>
    <w:pPr>
      <w:spacing w:after="120" w:line="480" w:lineRule="auto"/>
    </w:pPr>
    <w:rPr>
      <w:lang w:val="es-MX"/>
    </w:rPr>
  </w:style>
  <w:style w:type="character" w:customStyle="1" w:styleId="Textoindependiente2Car">
    <w:name w:val="Texto independiente 2 Car"/>
    <w:basedOn w:val="Fuentedeprrafopredeter"/>
    <w:link w:val="Textoindependiente2"/>
    <w:uiPriority w:val="99"/>
    <w:rsid w:val="0039279D"/>
    <w:rPr>
      <w:rFonts w:ascii="Times New Roman" w:eastAsia="Times New Roman" w:hAnsi="Times New Roman" w:cs="Times New Roman"/>
      <w:sz w:val="24"/>
      <w:szCs w:val="24"/>
      <w:lang w:eastAsia="es-ES"/>
    </w:rPr>
  </w:style>
  <w:style w:type="character" w:styleId="Hipervnculovisitado">
    <w:name w:val="FollowedHyperlink"/>
    <w:basedOn w:val="Fuentedeprrafopredeter"/>
    <w:uiPriority w:val="99"/>
    <w:semiHidden/>
    <w:unhideWhenUsed/>
    <w:rsid w:val="0039279D"/>
    <w:rPr>
      <w:color w:val="954F72" w:themeColor="followedHyperlink"/>
      <w:u w:val="single"/>
    </w:rPr>
  </w:style>
  <w:style w:type="paragraph" w:styleId="Lista">
    <w:name w:val="List"/>
    <w:basedOn w:val="Normal"/>
    <w:uiPriority w:val="99"/>
    <w:unhideWhenUsed/>
    <w:rsid w:val="0039279D"/>
    <w:pPr>
      <w:ind w:left="283" w:hanging="283"/>
      <w:contextualSpacing/>
    </w:pPr>
  </w:style>
  <w:style w:type="paragraph" w:styleId="Lista2">
    <w:name w:val="List 2"/>
    <w:basedOn w:val="Normal"/>
    <w:uiPriority w:val="99"/>
    <w:unhideWhenUsed/>
    <w:rsid w:val="0039279D"/>
    <w:pPr>
      <w:ind w:left="566" w:hanging="283"/>
      <w:contextualSpacing/>
    </w:pPr>
  </w:style>
  <w:style w:type="paragraph" w:styleId="Saludo">
    <w:name w:val="Salutation"/>
    <w:basedOn w:val="Normal"/>
    <w:next w:val="Normal"/>
    <w:link w:val="SaludoCar"/>
    <w:uiPriority w:val="99"/>
    <w:unhideWhenUsed/>
    <w:rsid w:val="0039279D"/>
  </w:style>
  <w:style w:type="character" w:customStyle="1" w:styleId="SaludoCar">
    <w:name w:val="Saludo Car"/>
    <w:basedOn w:val="Fuentedeprrafopredeter"/>
    <w:link w:val="Saludo"/>
    <w:uiPriority w:val="99"/>
    <w:rsid w:val="0039279D"/>
    <w:rPr>
      <w:rFonts w:ascii="Times New Roman" w:eastAsia="Times New Roman" w:hAnsi="Times New Roman" w:cs="Times New Roman"/>
      <w:sz w:val="24"/>
      <w:szCs w:val="24"/>
      <w:lang w:val="es-ES" w:eastAsia="es-ES"/>
    </w:rPr>
  </w:style>
  <w:style w:type="paragraph" w:styleId="Sangradetextonormal">
    <w:name w:val="Body Text Indent"/>
    <w:basedOn w:val="Normal"/>
    <w:link w:val="SangradetextonormalCar"/>
    <w:uiPriority w:val="99"/>
    <w:unhideWhenUsed/>
    <w:rsid w:val="0039279D"/>
    <w:pPr>
      <w:spacing w:after="120"/>
      <w:ind w:left="283"/>
    </w:pPr>
  </w:style>
  <w:style w:type="character" w:customStyle="1" w:styleId="SangradetextonormalCar">
    <w:name w:val="Sangría de texto normal Car"/>
    <w:basedOn w:val="Fuentedeprrafopredeter"/>
    <w:link w:val="Sangradetextonormal"/>
    <w:uiPriority w:val="99"/>
    <w:rsid w:val="0039279D"/>
    <w:rPr>
      <w:rFonts w:ascii="Times New Roman" w:eastAsia="Times New Roman" w:hAnsi="Times New Roman" w:cs="Times New Roman"/>
      <w:sz w:val="24"/>
      <w:szCs w:val="24"/>
      <w:lang w:val="es-ES" w:eastAsia="es-ES"/>
    </w:rPr>
  </w:style>
  <w:style w:type="paragraph" w:styleId="Textoindependienteprimerasangra2">
    <w:name w:val="Body Text First Indent 2"/>
    <w:basedOn w:val="Sangradetextonormal"/>
    <w:link w:val="Textoindependienteprimerasangra2Car"/>
    <w:uiPriority w:val="99"/>
    <w:unhideWhenUsed/>
    <w:rsid w:val="0039279D"/>
    <w:pPr>
      <w:spacing w:after="0"/>
      <w:ind w:left="360" w:firstLine="360"/>
    </w:pPr>
  </w:style>
  <w:style w:type="character" w:customStyle="1" w:styleId="Textoindependienteprimerasangra2Car">
    <w:name w:val="Texto independiente primera sangría 2 Car"/>
    <w:basedOn w:val="SangradetextonormalCar"/>
    <w:link w:val="Textoindependienteprimerasangra2"/>
    <w:uiPriority w:val="99"/>
    <w:rsid w:val="0039279D"/>
    <w:rPr>
      <w:rFonts w:ascii="Times New Roman" w:eastAsia="Times New Roman" w:hAnsi="Times New Roman" w:cs="Times New Roman"/>
      <w:sz w:val="24"/>
      <w:szCs w:val="24"/>
      <w:lang w:val="es-ES" w:eastAsia="es-ES"/>
    </w:rPr>
  </w:style>
  <w:style w:type="character" w:customStyle="1" w:styleId="u">
    <w:name w:val="u"/>
    <w:basedOn w:val="Fuentedeprrafopredeter"/>
    <w:rsid w:val="0039279D"/>
  </w:style>
  <w:style w:type="character" w:customStyle="1" w:styleId="TextonotapieCar1">
    <w:name w:val="Texto nota pie Car1"/>
    <w:basedOn w:val="Fuentedeprrafopredeter"/>
    <w:uiPriority w:val="99"/>
    <w:rsid w:val="0039279D"/>
    <w:rPr>
      <w:sz w:val="20"/>
      <w:szCs w:val="20"/>
    </w:rPr>
  </w:style>
  <w:style w:type="paragraph" w:customStyle="1" w:styleId="rtejustify">
    <w:name w:val="rtejustify"/>
    <w:basedOn w:val="Normal"/>
    <w:rsid w:val="0039279D"/>
    <w:pPr>
      <w:spacing w:before="100" w:beforeAutospacing="1" w:after="100" w:afterAutospacing="1"/>
    </w:pPr>
    <w:rPr>
      <w:lang w:val="es-MX" w:eastAsia="es-MX"/>
    </w:rPr>
  </w:style>
  <w:style w:type="character" w:styleId="nfasis">
    <w:name w:val="Emphasis"/>
    <w:basedOn w:val="Fuentedeprrafopredeter"/>
    <w:uiPriority w:val="20"/>
    <w:qFormat/>
    <w:rsid w:val="0039279D"/>
    <w:rPr>
      <w:i/>
      <w:iCs/>
    </w:rPr>
  </w:style>
  <w:style w:type="paragraph" w:customStyle="1" w:styleId="j1">
    <w:name w:val="j1"/>
    <w:basedOn w:val="Normal"/>
    <w:rsid w:val="0039279D"/>
    <w:pPr>
      <w:spacing w:before="100" w:beforeAutospacing="1" w:after="100" w:afterAutospacing="1"/>
    </w:pPr>
    <w:rPr>
      <w:lang w:val="es-MX" w:eastAsia="es-MX"/>
    </w:rPr>
  </w:style>
  <w:style w:type="character" w:customStyle="1" w:styleId="d">
    <w:name w:val="d"/>
    <w:basedOn w:val="Fuentedeprrafopredeter"/>
    <w:rsid w:val="0039279D"/>
  </w:style>
  <w:style w:type="character" w:customStyle="1" w:styleId="m-7180717751901043621gmail-msofootnotereference">
    <w:name w:val="m_-7180717751901043621gmail-msofootnotereference"/>
    <w:basedOn w:val="Fuentedeprrafopredeter"/>
    <w:rsid w:val="0039279D"/>
  </w:style>
  <w:style w:type="character" w:customStyle="1" w:styleId="m-3579365149168697376gmail-msofootnotereference">
    <w:name w:val="m_-3579365149168697376gmail-msofootnotereference"/>
    <w:basedOn w:val="Fuentedeprrafopredeter"/>
    <w:rsid w:val="0039279D"/>
  </w:style>
  <w:style w:type="paragraph" w:customStyle="1" w:styleId="m-3579365149168697376gmail-msofootnotetext">
    <w:name w:val="m_-3579365149168697376gmail-msofootnotetext"/>
    <w:basedOn w:val="Normal"/>
    <w:rsid w:val="0039279D"/>
    <w:pPr>
      <w:spacing w:before="100" w:beforeAutospacing="1" w:after="100" w:afterAutospacing="1"/>
    </w:pPr>
    <w:rPr>
      <w:lang w:val="es-MX" w:eastAsia="es-MX"/>
    </w:rPr>
  </w:style>
  <w:style w:type="character" w:customStyle="1" w:styleId="ams">
    <w:name w:val="ams"/>
    <w:basedOn w:val="Fuentedeprrafopredeter"/>
    <w:rsid w:val="0039279D"/>
  </w:style>
  <w:style w:type="character" w:customStyle="1" w:styleId="apple-style-span">
    <w:name w:val="apple-style-span"/>
    <w:rsid w:val="00910B44"/>
  </w:style>
  <w:style w:type="paragraph" w:styleId="Subttulo">
    <w:name w:val="Subtitle"/>
    <w:basedOn w:val="Normal"/>
    <w:next w:val="Normal"/>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108" w:type="dxa"/>
        <w:right w:w="108"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115" w:type="dxa"/>
        <w:right w:w="115" w:type="dxa"/>
      </w:tblCellMar>
    </w:tblPr>
  </w:style>
  <w:style w:type="table" w:customStyle="1" w:styleId="Tabladelista1clara-nfasis11">
    <w:name w:val="Tabla de lista 1 clara - Énfasis 11"/>
    <w:basedOn w:val="Tablanormal"/>
    <w:uiPriority w:val="46"/>
    <w:rsid w:val="00EE7483"/>
    <w:rPr>
      <w:rFonts w:asciiTheme="minorHAnsi" w:eastAsia="MS Mincho" w:hAnsiTheme="minorHAnsi" w:cstheme="minorBidi"/>
      <w:lang w:val="es-ES_tradnl" w:eastAsia="es-ES"/>
    </w:rPr>
    <w:tblPr>
      <w:tblStyleRowBandSize w:val="1"/>
      <w:tblStyleColBandSize w:val="1"/>
    </w:tblPr>
    <w:tblStylePr w:type="firstRow">
      <w:rPr>
        <w:b/>
        <w:bCs/>
      </w:rPr>
      <w:tblPr/>
      <w:tcPr>
        <w:tcBorders>
          <w:bottom w:val="single" w:sz="4" w:space="0" w:color="95B3D7"/>
        </w:tcBorders>
      </w:tcPr>
    </w:tblStylePr>
    <w:tblStylePr w:type="lastRow">
      <w:rPr>
        <w:b/>
        <w:bCs/>
      </w:rPr>
      <w:tblPr/>
      <w:tcPr>
        <w:tcBorders>
          <w:top w:val="single" w:sz="4" w:space="0" w:color="95B3D7"/>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521414">
      <w:bodyDiv w:val="1"/>
      <w:marLeft w:val="0"/>
      <w:marRight w:val="0"/>
      <w:marTop w:val="0"/>
      <w:marBottom w:val="0"/>
      <w:divBdr>
        <w:top w:val="none" w:sz="0" w:space="0" w:color="auto"/>
        <w:left w:val="none" w:sz="0" w:space="0" w:color="auto"/>
        <w:bottom w:val="none" w:sz="0" w:space="0" w:color="auto"/>
        <w:right w:val="none" w:sz="0" w:space="0" w:color="auto"/>
      </w:divBdr>
    </w:div>
    <w:div w:id="99573212">
      <w:bodyDiv w:val="1"/>
      <w:marLeft w:val="0"/>
      <w:marRight w:val="0"/>
      <w:marTop w:val="0"/>
      <w:marBottom w:val="0"/>
      <w:divBdr>
        <w:top w:val="none" w:sz="0" w:space="0" w:color="auto"/>
        <w:left w:val="none" w:sz="0" w:space="0" w:color="auto"/>
        <w:bottom w:val="none" w:sz="0" w:space="0" w:color="auto"/>
        <w:right w:val="none" w:sz="0" w:space="0" w:color="auto"/>
      </w:divBdr>
    </w:div>
    <w:div w:id="489516035">
      <w:bodyDiv w:val="1"/>
      <w:marLeft w:val="0"/>
      <w:marRight w:val="0"/>
      <w:marTop w:val="0"/>
      <w:marBottom w:val="0"/>
      <w:divBdr>
        <w:top w:val="none" w:sz="0" w:space="0" w:color="auto"/>
        <w:left w:val="none" w:sz="0" w:space="0" w:color="auto"/>
        <w:bottom w:val="none" w:sz="0" w:space="0" w:color="auto"/>
        <w:right w:val="none" w:sz="0" w:space="0" w:color="auto"/>
      </w:divBdr>
    </w:div>
    <w:div w:id="564947347">
      <w:bodyDiv w:val="1"/>
      <w:marLeft w:val="0"/>
      <w:marRight w:val="0"/>
      <w:marTop w:val="0"/>
      <w:marBottom w:val="0"/>
      <w:divBdr>
        <w:top w:val="none" w:sz="0" w:space="0" w:color="auto"/>
        <w:left w:val="none" w:sz="0" w:space="0" w:color="auto"/>
        <w:bottom w:val="none" w:sz="0" w:space="0" w:color="auto"/>
        <w:right w:val="none" w:sz="0" w:space="0" w:color="auto"/>
      </w:divBdr>
    </w:div>
    <w:div w:id="599218826">
      <w:bodyDiv w:val="1"/>
      <w:marLeft w:val="0"/>
      <w:marRight w:val="0"/>
      <w:marTop w:val="0"/>
      <w:marBottom w:val="0"/>
      <w:divBdr>
        <w:top w:val="none" w:sz="0" w:space="0" w:color="auto"/>
        <w:left w:val="none" w:sz="0" w:space="0" w:color="auto"/>
        <w:bottom w:val="none" w:sz="0" w:space="0" w:color="auto"/>
        <w:right w:val="none" w:sz="0" w:space="0" w:color="auto"/>
      </w:divBdr>
    </w:div>
    <w:div w:id="1034766203">
      <w:bodyDiv w:val="1"/>
      <w:marLeft w:val="0"/>
      <w:marRight w:val="0"/>
      <w:marTop w:val="0"/>
      <w:marBottom w:val="0"/>
      <w:divBdr>
        <w:top w:val="none" w:sz="0" w:space="0" w:color="auto"/>
        <w:left w:val="none" w:sz="0" w:space="0" w:color="auto"/>
        <w:bottom w:val="none" w:sz="0" w:space="0" w:color="auto"/>
        <w:right w:val="none" w:sz="0" w:space="0" w:color="auto"/>
      </w:divBdr>
    </w:div>
    <w:div w:id="192198110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hyperlink" Target="https://www.infoem.org.mx/" TargetMode="External"/><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19.png"/></Relationships>
</file>

<file path=word/_rels/header2.xml.rels><?xml version="1.0" encoding="UTF-8" standalone="yes"?>
<Relationships xmlns="http://schemas.openxmlformats.org/package/2006/relationships"><Relationship Id="rId1" Type="http://schemas.openxmlformats.org/officeDocument/2006/relationships/image" Target="media/image19.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AkoJ23jC240b/ExtiEFceNbbCSw==">AMUW2mXRvkvGS1Z7p/Q3XrOMwKJpTGujhjouPoT5j46xcB4AlpOIREb3g7L/lJ3yzRKhGj1gjftpOwk3VOw2ehn0ZrdJWYsC5H7qIPNhSfXCgjK/50wzUqjH6ZZYduVzI8vTPljZ3xGY</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36</Pages>
  <Words>3894</Words>
  <Characters>21423</Characters>
  <Application>Microsoft Office Word</Application>
  <DocSecurity>0</DocSecurity>
  <Lines>178</Lines>
  <Paragraphs>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25267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MARICELA VILLAGOMEZ</cp:lastModifiedBy>
  <cp:revision>2</cp:revision>
  <cp:lastPrinted>2022-11-17T19:17:00Z</cp:lastPrinted>
  <dcterms:created xsi:type="dcterms:W3CDTF">2022-12-05T17:25:00Z</dcterms:created>
  <dcterms:modified xsi:type="dcterms:W3CDTF">2022-12-05T17:25:00Z</dcterms:modified>
</cp:coreProperties>
</file>