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47B" w:rsidRPr="0073752A" w:rsidRDefault="00CB0B53">
      <w:pPr>
        <w:spacing w:before="240"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veintiocho de septiembre de dos mil veintidós.</w:t>
      </w:r>
    </w:p>
    <w:p w:rsidR="005C447B" w:rsidRPr="0073752A" w:rsidRDefault="005C447B"/>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 xml:space="preserve">Visto </w:t>
      </w:r>
      <w:r w:rsidRPr="0073752A">
        <w:rPr>
          <w:rFonts w:ascii="Palatino Linotype" w:eastAsia="Palatino Linotype" w:hAnsi="Palatino Linotype" w:cs="Palatino Linotype"/>
          <w:sz w:val="24"/>
          <w:szCs w:val="24"/>
        </w:rPr>
        <w:t xml:space="preserve">el expediente relativo al recurso de revisión </w:t>
      </w:r>
      <w:r w:rsidRPr="0073752A">
        <w:rPr>
          <w:rFonts w:ascii="Palatino Linotype" w:eastAsia="Palatino Linotype" w:hAnsi="Palatino Linotype" w:cs="Palatino Linotype"/>
          <w:b/>
          <w:sz w:val="24"/>
          <w:szCs w:val="24"/>
        </w:rPr>
        <w:t>06684/INFOEM/IP/RR/2022</w:t>
      </w:r>
      <w:r w:rsidRPr="0073752A">
        <w:rPr>
          <w:rFonts w:ascii="Palatino Linotype" w:eastAsia="Palatino Linotype" w:hAnsi="Palatino Linotype" w:cs="Palatino Linotype"/>
          <w:sz w:val="24"/>
          <w:szCs w:val="24"/>
        </w:rPr>
        <w:t xml:space="preserve">, interpuesto por </w:t>
      </w:r>
      <w:r w:rsidR="00E14545">
        <w:rPr>
          <w:rFonts w:ascii="Palatino Linotype" w:eastAsia="Palatino Linotype" w:hAnsi="Palatino Linotype" w:cs="Palatino Linotype"/>
          <w:b/>
          <w:sz w:val="24"/>
          <w:szCs w:val="24"/>
        </w:rPr>
        <w:t>XXXXX XXXXXXXXX XXXXXX XXXXXXX</w:t>
      </w:r>
      <w:r w:rsidRPr="0073752A">
        <w:rPr>
          <w:rFonts w:ascii="Palatino Linotype" w:eastAsia="Palatino Linotype" w:hAnsi="Palatino Linotype" w:cs="Palatino Linotype"/>
          <w:sz w:val="24"/>
          <w:szCs w:val="24"/>
        </w:rPr>
        <w:t xml:space="preserve">, al cual en lo sucesivo se le denominara </w:t>
      </w:r>
      <w:r w:rsidRPr="0073752A">
        <w:rPr>
          <w:rFonts w:ascii="Palatino Linotype" w:eastAsia="Palatino Linotype" w:hAnsi="Palatino Linotype" w:cs="Palatino Linotype"/>
          <w:b/>
          <w:sz w:val="24"/>
          <w:szCs w:val="24"/>
        </w:rPr>
        <w:t>EL RECURRENTE</w:t>
      </w:r>
      <w:r w:rsidRPr="0073752A">
        <w:rPr>
          <w:rFonts w:ascii="Palatino Linotype" w:eastAsia="Palatino Linotype" w:hAnsi="Palatino Linotype" w:cs="Palatino Linotype"/>
          <w:sz w:val="24"/>
          <w:szCs w:val="24"/>
        </w:rPr>
        <w:t xml:space="preserve">, en contra de la respuesta a la solicitud de información con número de folio </w:t>
      </w:r>
      <w:r w:rsidRPr="0073752A">
        <w:rPr>
          <w:rFonts w:ascii="Palatino Linotype" w:eastAsia="Palatino Linotype" w:hAnsi="Palatino Linotype" w:cs="Palatino Linotype"/>
          <w:b/>
          <w:sz w:val="24"/>
          <w:szCs w:val="24"/>
        </w:rPr>
        <w:t>00197/TEXCOCO/IP/2022,</w:t>
      </w:r>
      <w:r w:rsidRPr="0073752A">
        <w:rPr>
          <w:rFonts w:ascii="Palatino Linotype" w:eastAsia="Palatino Linotype" w:hAnsi="Palatino Linotype" w:cs="Palatino Linotype"/>
          <w:sz w:val="24"/>
          <w:szCs w:val="24"/>
        </w:rPr>
        <w:t xml:space="preserve"> por parte del Ayuntamiento de Texcoco, en lo sucesivo </w:t>
      </w:r>
      <w:r w:rsidRPr="0073752A">
        <w:rPr>
          <w:rFonts w:ascii="Palatino Linotype" w:eastAsia="Palatino Linotype" w:hAnsi="Palatino Linotype" w:cs="Palatino Linotype"/>
          <w:b/>
          <w:sz w:val="24"/>
          <w:szCs w:val="24"/>
        </w:rPr>
        <w:t>EL</w:t>
      </w:r>
      <w:r w:rsidRPr="0073752A">
        <w:rPr>
          <w:rFonts w:ascii="Palatino Linotype" w:eastAsia="Palatino Linotype" w:hAnsi="Palatino Linotype" w:cs="Palatino Linotype"/>
          <w:sz w:val="24"/>
          <w:szCs w:val="24"/>
        </w:rPr>
        <w:t xml:space="preserve"> </w:t>
      </w:r>
      <w:r w:rsidRPr="0073752A">
        <w:rPr>
          <w:rFonts w:ascii="Palatino Linotype" w:eastAsia="Palatino Linotype" w:hAnsi="Palatino Linotype" w:cs="Palatino Linotype"/>
          <w:b/>
          <w:sz w:val="24"/>
          <w:szCs w:val="24"/>
        </w:rPr>
        <w:t xml:space="preserve">SUJETO OBLIGADO; </w:t>
      </w:r>
      <w:r w:rsidRPr="0073752A">
        <w:rPr>
          <w:rFonts w:ascii="Palatino Linotype" w:eastAsia="Palatino Linotype" w:hAnsi="Palatino Linotype" w:cs="Palatino Linotype"/>
          <w:sz w:val="24"/>
          <w:szCs w:val="24"/>
        </w:rPr>
        <w:t>se procede a dictar la presente resolución, con base en lo siguiente.</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ind w:right="49"/>
        <w:jc w:val="center"/>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A N T E C E D E N T E S</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1.</w:t>
      </w:r>
      <w:r w:rsidRPr="0073752A">
        <w:rPr>
          <w:rFonts w:ascii="Palatino Linotype" w:eastAsia="Palatino Linotype" w:hAnsi="Palatino Linotype" w:cs="Palatino Linotype"/>
          <w:sz w:val="24"/>
          <w:szCs w:val="24"/>
        </w:rPr>
        <w:t xml:space="preserve"> </w:t>
      </w:r>
      <w:r w:rsidRPr="0073752A">
        <w:rPr>
          <w:rFonts w:ascii="Palatino Linotype" w:eastAsia="Palatino Linotype" w:hAnsi="Palatino Linotype" w:cs="Palatino Linotype"/>
          <w:b/>
          <w:sz w:val="24"/>
          <w:szCs w:val="24"/>
        </w:rPr>
        <w:t xml:space="preserve">SOLICITUD DE INFORMACIÓN. </w:t>
      </w:r>
      <w:r w:rsidRPr="0073752A">
        <w:rPr>
          <w:rFonts w:ascii="Palatino Linotype" w:eastAsia="Palatino Linotype" w:hAnsi="Palatino Linotype" w:cs="Palatino Linotype"/>
          <w:sz w:val="24"/>
          <w:szCs w:val="24"/>
        </w:rPr>
        <w:t xml:space="preserve">Con fecha dieciocho de abril de dos mil </w:t>
      </w:r>
      <w:proofErr w:type="gramStart"/>
      <w:r w:rsidRPr="0073752A">
        <w:rPr>
          <w:rFonts w:ascii="Palatino Linotype" w:eastAsia="Palatino Linotype" w:hAnsi="Palatino Linotype" w:cs="Palatino Linotype"/>
          <w:sz w:val="24"/>
          <w:szCs w:val="24"/>
        </w:rPr>
        <w:t>veintidós</w:t>
      </w:r>
      <w:proofErr w:type="gramEnd"/>
      <w:r w:rsidRPr="0073752A">
        <w:rPr>
          <w:rFonts w:ascii="Palatino Linotype" w:eastAsia="Palatino Linotype" w:hAnsi="Palatino Linotype" w:cs="Palatino Linotype"/>
          <w:sz w:val="24"/>
          <w:szCs w:val="24"/>
        </w:rPr>
        <w:t xml:space="preserve">, </w:t>
      </w:r>
      <w:r w:rsidRPr="0073752A">
        <w:rPr>
          <w:rFonts w:ascii="Palatino Linotype" w:eastAsia="Palatino Linotype" w:hAnsi="Palatino Linotype" w:cs="Palatino Linotype"/>
          <w:b/>
          <w:sz w:val="24"/>
          <w:szCs w:val="24"/>
        </w:rPr>
        <w:t>EL RECURRENTE</w:t>
      </w:r>
      <w:r w:rsidRPr="0073752A">
        <w:rPr>
          <w:rFonts w:ascii="Palatino Linotype" w:eastAsia="Palatino Linotype" w:hAnsi="Palatino Linotype" w:cs="Palatino Linotype"/>
          <w:sz w:val="24"/>
          <w:szCs w:val="24"/>
        </w:rPr>
        <w:t>, presentó a través del Sistema de Acceso a la Información Mexiquense (</w:t>
      </w:r>
      <w:r w:rsidRPr="0073752A">
        <w:rPr>
          <w:rFonts w:ascii="Palatino Linotype" w:eastAsia="Palatino Linotype" w:hAnsi="Palatino Linotype" w:cs="Palatino Linotype"/>
          <w:b/>
          <w:sz w:val="24"/>
          <w:szCs w:val="24"/>
        </w:rPr>
        <w:t>SAIMEX)</w:t>
      </w:r>
      <w:r w:rsidRPr="0073752A">
        <w:rPr>
          <w:rFonts w:ascii="Palatino Linotype" w:eastAsia="Palatino Linotype" w:hAnsi="Palatino Linotype" w:cs="Palatino Linotype"/>
          <w:sz w:val="24"/>
          <w:szCs w:val="24"/>
        </w:rPr>
        <w:t xml:space="preserve"> ante </w:t>
      </w:r>
      <w:r w:rsidRPr="0073752A">
        <w:rPr>
          <w:rFonts w:ascii="Palatino Linotype" w:eastAsia="Palatino Linotype" w:hAnsi="Palatino Linotype" w:cs="Palatino Linotype"/>
          <w:b/>
          <w:sz w:val="24"/>
          <w:szCs w:val="24"/>
        </w:rPr>
        <w:t>EL SUJETO OBLIGADO</w:t>
      </w:r>
      <w:r w:rsidRPr="0073752A">
        <w:rPr>
          <w:rFonts w:ascii="Palatino Linotype" w:eastAsia="Palatino Linotype" w:hAnsi="Palatino Linotype" w:cs="Palatino Linotype"/>
          <w:sz w:val="24"/>
          <w:szCs w:val="24"/>
        </w:rPr>
        <w:t>, solicitud de acceso a la información pública, registrada bajo el número de expediente</w:t>
      </w:r>
      <w:r w:rsidRPr="0073752A">
        <w:rPr>
          <w:rFonts w:ascii="Verdana" w:eastAsia="Verdana" w:hAnsi="Verdana" w:cs="Verdana"/>
          <w:b/>
        </w:rPr>
        <w:t> </w:t>
      </w:r>
      <w:r w:rsidRPr="0073752A">
        <w:rPr>
          <w:rFonts w:ascii="Palatino Linotype" w:eastAsia="Palatino Linotype" w:hAnsi="Palatino Linotype" w:cs="Palatino Linotype"/>
          <w:b/>
          <w:sz w:val="24"/>
          <w:szCs w:val="24"/>
        </w:rPr>
        <w:t>00197/TEXCOCO/IP/2022</w:t>
      </w:r>
      <w:r w:rsidRPr="0073752A">
        <w:rPr>
          <w:rFonts w:ascii="Palatino Linotype" w:eastAsia="Palatino Linotype" w:hAnsi="Palatino Linotype" w:cs="Palatino Linotype"/>
          <w:sz w:val="24"/>
          <w:szCs w:val="24"/>
        </w:rPr>
        <w:t>,</w:t>
      </w:r>
      <w:r w:rsidRPr="0073752A">
        <w:rPr>
          <w:rFonts w:ascii="Palatino Linotype" w:eastAsia="Palatino Linotype" w:hAnsi="Palatino Linotype" w:cs="Palatino Linotype"/>
          <w:b/>
          <w:sz w:val="24"/>
          <w:szCs w:val="24"/>
        </w:rPr>
        <w:t xml:space="preserve"> </w:t>
      </w:r>
      <w:r w:rsidRPr="0073752A">
        <w:rPr>
          <w:rFonts w:ascii="Palatino Linotype" w:eastAsia="Palatino Linotype" w:hAnsi="Palatino Linotype" w:cs="Palatino Linotype"/>
          <w:sz w:val="24"/>
          <w:szCs w:val="24"/>
        </w:rPr>
        <w:t>mediante la cual solicitó la siguiente información:</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276" w:lineRule="auto"/>
        <w:ind w:left="709" w:right="758"/>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“Solicito me puedan brindar información sobre la cantidad del personal, nombres, puesto, profesiograma, grado académico, tipo de contratación, y remuneración del </w:t>
      </w:r>
      <w:r w:rsidRPr="0073752A">
        <w:rPr>
          <w:rFonts w:ascii="Palatino Linotype" w:eastAsia="Palatino Linotype" w:hAnsi="Palatino Linotype" w:cs="Palatino Linotype"/>
          <w:i/>
        </w:rPr>
        <w:lastRenderedPageBreak/>
        <w:t>personal que tuvo el H. Ayuntamiento de Texcoco en el ejercicio 2020. Específicamente en las áreas de Tesorería, Egresos, Áreas relacionadas con la Contabilidad, Presupuesto, y la Unidad de Transparencia.” (Sic).</w:t>
      </w:r>
    </w:p>
    <w:p w:rsidR="005C447B" w:rsidRPr="0073752A" w:rsidRDefault="005C447B">
      <w:pPr>
        <w:spacing w:after="0" w:line="360" w:lineRule="auto"/>
        <w:ind w:left="709" w:right="758"/>
        <w:jc w:val="both"/>
        <w:rPr>
          <w:rFonts w:ascii="Palatino Linotype" w:eastAsia="Palatino Linotype" w:hAnsi="Palatino Linotype" w:cs="Palatino Linotype"/>
          <w:i/>
        </w:rPr>
      </w:pPr>
    </w:p>
    <w:p w:rsidR="005C447B" w:rsidRPr="0073752A" w:rsidRDefault="00CB0B53">
      <w:pP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Modalidad de entrega: A través del </w:t>
      </w:r>
      <w:r w:rsidRPr="0073752A">
        <w:rPr>
          <w:rFonts w:ascii="Palatino Linotype" w:eastAsia="Palatino Linotype" w:hAnsi="Palatino Linotype" w:cs="Palatino Linotype"/>
          <w:b/>
          <w:sz w:val="24"/>
          <w:szCs w:val="24"/>
        </w:rPr>
        <w:t>SAIMEX</w:t>
      </w:r>
      <w:r w:rsidRPr="0073752A">
        <w:rPr>
          <w:rFonts w:ascii="Palatino Linotype" w:eastAsia="Palatino Linotype" w:hAnsi="Palatino Linotype" w:cs="Palatino Linotype"/>
          <w:sz w:val="24"/>
          <w:szCs w:val="24"/>
        </w:rPr>
        <w:t>.</w:t>
      </w:r>
    </w:p>
    <w:p w:rsidR="005C447B" w:rsidRPr="0073752A" w:rsidRDefault="005C447B"/>
    <w:p w:rsidR="005C447B" w:rsidRPr="0073752A" w:rsidRDefault="00CB0B53">
      <w:pPr>
        <w:spacing w:after="0" w:line="360" w:lineRule="auto"/>
        <w:jc w:val="both"/>
      </w:pPr>
      <w:r w:rsidRPr="0073752A">
        <w:rPr>
          <w:rFonts w:ascii="Palatino Linotype" w:eastAsia="Palatino Linotype" w:hAnsi="Palatino Linotype" w:cs="Palatino Linotype"/>
          <w:b/>
          <w:sz w:val="24"/>
          <w:szCs w:val="24"/>
        </w:rPr>
        <w:t xml:space="preserve">2. RESPUESTA.  </w:t>
      </w:r>
      <w:r w:rsidRPr="0073752A">
        <w:rPr>
          <w:rFonts w:ascii="Palatino Linotype" w:eastAsia="Palatino Linotype" w:hAnsi="Palatino Linotype" w:cs="Palatino Linotype"/>
          <w:sz w:val="24"/>
          <w:szCs w:val="24"/>
        </w:rPr>
        <w:t xml:space="preserve">Con fecha veintiséis de abril del dos mil veintidós, </w:t>
      </w:r>
      <w:r w:rsidRPr="0073752A">
        <w:rPr>
          <w:rFonts w:ascii="Palatino Linotype" w:eastAsia="Palatino Linotype" w:hAnsi="Palatino Linotype" w:cs="Palatino Linotype"/>
          <w:b/>
          <w:sz w:val="24"/>
          <w:szCs w:val="24"/>
        </w:rPr>
        <w:t>EL SUJETO OBLIGADO</w:t>
      </w:r>
      <w:r w:rsidRPr="0073752A">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73752A">
        <w:t xml:space="preserve"> </w:t>
      </w:r>
    </w:p>
    <w:p w:rsidR="005C447B" w:rsidRPr="0073752A" w:rsidRDefault="005C447B">
      <w:pPr>
        <w:spacing w:after="0" w:line="276" w:lineRule="auto"/>
        <w:jc w:val="both"/>
      </w:pP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Texcoco, México a 26 de Abril de 2022 Folio de la solicitud: 000197/TEXCOCO/IP/2022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RENE JONATHAN SANDOVAL TINOCO Unidad de Transparencia Ayuntamiento de Texcoco</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ATENTAMENTE</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Lic. René Jonathan Sandoval Tinoco”</w:t>
      </w:r>
    </w:p>
    <w:p w:rsidR="005C447B" w:rsidRPr="0073752A" w:rsidRDefault="005C447B"/>
    <w:p w:rsidR="005C447B" w:rsidRPr="0073752A" w:rsidRDefault="00CB0B53">
      <w:pPr>
        <w:spacing w:before="80" w:after="240" w:line="360" w:lineRule="auto"/>
        <w:ind w:right="-234"/>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El Sujeto Obligado adjuntó para tal efecto el siguiente archivo:</w:t>
      </w:r>
    </w:p>
    <w:p w:rsidR="005C447B" w:rsidRPr="0073752A" w:rsidRDefault="00E14545">
      <w:pPr>
        <w:spacing w:before="80" w:after="240" w:line="360" w:lineRule="auto"/>
        <w:ind w:right="-234"/>
        <w:jc w:val="both"/>
        <w:rPr>
          <w:rFonts w:ascii="Palatino Linotype" w:eastAsia="Palatino Linotype" w:hAnsi="Palatino Linotype" w:cs="Palatino Linotype"/>
          <w:sz w:val="24"/>
          <w:szCs w:val="24"/>
        </w:rPr>
      </w:pPr>
      <w:hyperlink r:id="rId8">
        <w:r w:rsidR="00CB0B53" w:rsidRPr="0073752A">
          <w:rPr>
            <w:rFonts w:ascii="Palatino Linotype" w:eastAsia="Palatino Linotype" w:hAnsi="Palatino Linotype" w:cs="Palatino Linotype"/>
            <w:b/>
            <w:sz w:val="24"/>
            <w:szCs w:val="24"/>
            <w:u w:val="single"/>
          </w:rPr>
          <w:t>RESPUESTA SOLICITUD 197-2022.pdf</w:t>
        </w:r>
      </w:hyperlink>
      <w:r w:rsidR="00CB0B53" w:rsidRPr="0073752A">
        <w:rPr>
          <w:rFonts w:ascii="Palatino Linotype" w:eastAsia="Palatino Linotype" w:hAnsi="Palatino Linotype" w:cs="Palatino Linotype"/>
          <w:sz w:val="24"/>
          <w:szCs w:val="24"/>
        </w:rPr>
        <w:t xml:space="preserve">: Oficio con fecha del veintiséis de abril de dos mil veintidós, signado por el Titular de la Unidad de Transparencia, mediante el cual </w:t>
      </w:r>
      <w:r w:rsidR="00CB0B53" w:rsidRPr="0073752A">
        <w:rPr>
          <w:rFonts w:ascii="Palatino Linotype" w:eastAsia="Palatino Linotype" w:hAnsi="Palatino Linotype" w:cs="Palatino Linotype"/>
          <w:sz w:val="24"/>
          <w:szCs w:val="24"/>
        </w:rPr>
        <w:lastRenderedPageBreak/>
        <w:t xml:space="preserve">refiere que la Subdirección de Recursos Humanos hace entrega de tres ligas electrónicas que dirigen a la información solicitada, tal como se advierte a continuación: </w:t>
      </w:r>
    </w:p>
    <w:p w:rsidR="005C447B" w:rsidRPr="0073752A" w:rsidRDefault="00CB0B53">
      <w:pPr>
        <w:spacing w:before="80" w:after="240" w:line="360" w:lineRule="auto"/>
        <w:ind w:right="-234"/>
        <w:jc w:val="both"/>
        <w:rPr>
          <w:rFonts w:ascii="Palatino Linotype" w:eastAsia="Palatino Linotype" w:hAnsi="Palatino Linotype" w:cs="Palatino Linotype"/>
          <w:sz w:val="24"/>
          <w:szCs w:val="24"/>
        </w:rPr>
      </w:pPr>
      <w:r w:rsidRPr="0073752A">
        <w:rPr>
          <w:noProof/>
        </w:rPr>
        <w:drawing>
          <wp:inline distT="0" distB="0" distL="0" distR="0">
            <wp:extent cx="5400675" cy="3028950"/>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400675" cy="3028950"/>
                    </a:xfrm>
                    <a:prstGeom prst="rect">
                      <a:avLst/>
                    </a:prstGeom>
                    <a:ln/>
                  </pic:spPr>
                </pic:pic>
              </a:graphicData>
            </a:graphic>
          </wp:inline>
        </w:drawing>
      </w:r>
    </w:p>
    <w:p w:rsidR="005C447B" w:rsidRPr="0073752A" w:rsidRDefault="00CB0B53">
      <w:pPr>
        <w:spacing w:before="80" w:after="240" w:line="360" w:lineRule="auto"/>
        <w:ind w:right="-234"/>
        <w:jc w:val="both"/>
        <w:rPr>
          <w:rFonts w:ascii="Palatino Linotype" w:eastAsia="Palatino Linotype" w:hAnsi="Palatino Linotype" w:cs="Palatino Linotype"/>
          <w:b/>
          <w:sz w:val="24"/>
          <w:szCs w:val="24"/>
        </w:rPr>
      </w:pPr>
      <w:r w:rsidRPr="0073752A">
        <w:rPr>
          <w:rFonts w:ascii="Palatino Linotype" w:eastAsia="Palatino Linotype" w:hAnsi="Palatino Linotype" w:cs="Palatino Linotype"/>
          <w:b/>
          <w:sz w:val="24"/>
          <w:szCs w:val="24"/>
        </w:rPr>
        <w:t xml:space="preserve">3. DEL RECURSO DE REVISIÓN. </w:t>
      </w:r>
      <w:r w:rsidRPr="0073752A">
        <w:rPr>
          <w:rFonts w:ascii="Palatino Linotype" w:eastAsia="Palatino Linotype" w:hAnsi="Palatino Linotype" w:cs="Palatino Linotype"/>
          <w:sz w:val="24"/>
          <w:szCs w:val="24"/>
        </w:rPr>
        <w:t>Inconforme con la respuesta del</w:t>
      </w:r>
      <w:r w:rsidRPr="0073752A">
        <w:rPr>
          <w:rFonts w:ascii="Palatino Linotype" w:eastAsia="Palatino Linotype" w:hAnsi="Palatino Linotype" w:cs="Palatino Linotype"/>
          <w:b/>
          <w:sz w:val="24"/>
          <w:szCs w:val="24"/>
        </w:rPr>
        <w:t xml:space="preserve"> SUJETO OBLIGADO, </w:t>
      </w:r>
      <w:r w:rsidRPr="0073752A">
        <w:rPr>
          <w:rFonts w:ascii="Palatino Linotype" w:eastAsia="Palatino Linotype" w:hAnsi="Palatino Linotype" w:cs="Palatino Linotype"/>
          <w:sz w:val="24"/>
          <w:szCs w:val="24"/>
        </w:rPr>
        <w:t>en fecha veintiséis de abril de dos mil veintidós</w:t>
      </w:r>
      <w:r w:rsidRPr="0073752A">
        <w:rPr>
          <w:rFonts w:ascii="Palatino Linotype" w:eastAsia="Palatino Linotype" w:hAnsi="Palatino Linotype" w:cs="Palatino Linotype"/>
          <w:b/>
          <w:sz w:val="24"/>
          <w:szCs w:val="24"/>
        </w:rPr>
        <w:t xml:space="preserve">, EL RECURRENTE </w:t>
      </w:r>
      <w:r w:rsidRPr="0073752A">
        <w:rPr>
          <w:rFonts w:ascii="Palatino Linotype" w:eastAsia="Palatino Linotype" w:hAnsi="Palatino Linotype" w:cs="Palatino Linotype"/>
          <w:sz w:val="24"/>
          <w:szCs w:val="24"/>
        </w:rPr>
        <w:t>interpuso el recurso de revisión, el cual fue registrado</w:t>
      </w:r>
      <w:r w:rsidRPr="0073752A">
        <w:rPr>
          <w:rFonts w:ascii="Palatino Linotype" w:eastAsia="Palatino Linotype" w:hAnsi="Palatino Linotype" w:cs="Palatino Linotype"/>
          <w:b/>
          <w:sz w:val="24"/>
          <w:szCs w:val="24"/>
        </w:rPr>
        <w:t xml:space="preserve"> </w:t>
      </w:r>
      <w:r w:rsidRPr="0073752A">
        <w:rPr>
          <w:rFonts w:ascii="Palatino Linotype" w:eastAsia="Palatino Linotype" w:hAnsi="Palatino Linotype" w:cs="Palatino Linotype"/>
          <w:sz w:val="24"/>
          <w:szCs w:val="24"/>
        </w:rPr>
        <w:t xml:space="preserve">en el sistema electrónico con el expediente número </w:t>
      </w:r>
      <w:r w:rsidRPr="0073752A">
        <w:rPr>
          <w:rFonts w:ascii="Palatino Linotype" w:eastAsia="Palatino Linotype" w:hAnsi="Palatino Linotype" w:cs="Palatino Linotype"/>
          <w:b/>
          <w:sz w:val="24"/>
          <w:szCs w:val="24"/>
        </w:rPr>
        <w:t>06684/INFOEM/IP/RR/2022</w:t>
      </w:r>
      <w:r w:rsidRPr="0073752A">
        <w:rPr>
          <w:rFonts w:ascii="Palatino Linotype" w:eastAsia="Palatino Linotype" w:hAnsi="Palatino Linotype" w:cs="Palatino Linotype"/>
          <w:sz w:val="24"/>
          <w:szCs w:val="24"/>
        </w:rPr>
        <w:t>, en el cual manifiesta, lo siguiente:</w:t>
      </w:r>
    </w:p>
    <w:p w:rsidR="005C447B" w:rsidRPr="0073752A" w:rsidRDefault="00CB0B53">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73752A">
        <w:rPr>
          <w:rFonts w:ascii="Palatino Linotype" w:eastAsia="Palatino Linotype" w:hAnsi="Palatino Linotype" w:cs="Palatino Linotype"/>
          <w:b/>
          <w:i/>
          <w:sz w:val="24"/>
          <w:szCs w:val="24"/>
        </w:rPr>
        <w:t>Acto Impugnado:</w:t>
      </w:r>
    </w:p>
    <w:p w:rsidR="005C447B" w:rsidRPr="0073752A" w:rsidRDefault="00CB0B53">
      <w:pPr>
        <w:spacing w:before="240" w:after="240" w:line="276" w:lineRule="auto"/>
        <w:ind w:left="851"/>
        <w:jc w:val="both"/>
        <w:rPr>
          <w:rFonts w:ascii="Palatino Linotype" w:eastAsia="Palatino Linotype" w:hAnsi="Palatino Linotype" w:cs="Palatino Linotype"/>
          <w:i/>
        </w:rPr>
      </w:pPr>
      <w:r w:rsidRPr="0073752A">
        <w:rPr>
          <w:rFonts w:ascii="Palatino Linotype" w:eastAsia="Palatino Linotype" w:hAnsi="Palatino Linotype" w:cs="Palatino Linotype"/>
          <w:i/>
        </w:rPr>
        <w:t>“00197/TEXCOCO/IP/2022.” [</w:t>
      </w:r>
      <w:proofErr w:type="gramStart"/>
      <w:r w:rsidRPr="0073752A">
        <w:rPr>
          <w:rFonts w:ascii="Palatino Linotype" w:eastAsia="Palatino Linotype" w:hAnsi="Palatino Linotype" w:cs="Palatino Linotype"/>
          <w:i/>
        </w:rPr>
        <w:t>sic</w:t>
      </w:r>
      <w:proofErr w:type="gramEnd"/>
      <w:r w:rsidRPr="0073752A">
        <w:rPr>
          <w:rFonts w:ascii="Palatino Linotype" w:eastAsia="Palatino Linotype" w:hAnsi="Palatino Linotype" w:cs="Palatino Linotype"/>
          <w:i/>
        </w:rPr>
        <w:t>]</w:t>
      </w:r>
    </w:p>
    <w:p w:rsidR="005C447B" w:rsidRPr="0073752A" w:rsidRDefault="00CB0B53">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73752A">
        <w:rPr>
          <w:rFonts w:ascii="Palatino Linotype" w:eastAsia="Palatino Linotype" w:hAnsi="Palatino Linotype" w:cs="Palatino Linotype"/>
          <w:b/>
          <w:i/>
          <w:sz w:val="24"/>
          <w:szCs w:val="24"/>
        </w:rPr>
        <w:t>Razones o Motivos de Inconformidad</w:t>
      </w:r>
      <w:r w:rsidRPr="0073752A">
        <w:rPr>
          <w:rFonts w:ascii="Palatino Linotype" w:eastAsia="Palatino Linotype" w:hAnsi="Palatino Linotype" w:cs="Palatino Linotype"/>
          <w:i/>
          <w:sz w:val="24"/>
          <w:szCs w:val="24"/>
        </w:rPr>
        <w:t>:</w:t>
      </w:r>
    </w:p>
    <w:p w:rsidR="005C447B" w:rsidRPr="0073752A" w:rsidRDefault="00CB0B53">
      <w:pPr>
        <w:spacing w:before="240" w:after="0" w:line="276" w:lineRule="auto"/>
        <w:ind w:left="851" w:right="616"/>
        <w:jc w:val="both"/>
        <w:rPr>
          <w:rFonts w:ascii="Palatino Linotype" w:eastAsia="Palatino Linotype" w:hAnsi="Palatino Linotype" w:cs="Palatino Linotype"/>
          <w:i/>
        </w:rPr>
      </w:pPr>
      <w:r w:rsidRPr="0073752A">
        <w:rPr>
          <w:rFonts w:ascii="Palatino Linotype" w:eastAsia="Palatino Linotype" w:hAnsi="Palatino Linotype" w:cs="Palatino Linotype"/>
          <w:i/>
          <w:sz w:val="24"/>
          <w:szCs w:val="24"/>
        </w:rPr>
        <w:lastRenderedPageBreak/>
        <w:t>“</w:t>
      </w:r>
      <w:r w:rsidRPr="0073752A">
        <w:rPr>
          <w:rFonts w:ascii="Palatino Linotype" w:eastAsia="Palatino Linotype" w:hAnsi="Palatino Linotype" w:cs="Palatino Linotype"/>
          <w:i/>
        </w:rPr>
        <w:t xml:space="preserve">La respuesta recibida de parte de la entidad pública, contiene 3 vínculos que supuestamente llevan al organigrama del ayuntamiento y tabulador de sueldos y salarios de los funcionarios públicos. Sin embargo 2 de estos vínculos presentan errores para </w:t>
      </w:r>
      <w:proofErr w:type="spellStart"/>
      <w:r w:rsidRPr="0073752A">
        <w:rPr>
          <w:rFonts w:ascii="Palatino Linotype" w:eastAsia="Palatino Linotype" w:hAnsi="Palatino Linotype" w:cs="Palatino Linotype"/>
          <w:i/>
        </w:rPr>
        <w:t>accesar</w:t>
      </w:r>
      <w:proofErr w:type="spellEnd"/>
      <w:r w:rsidRPr="0073752A">
        <w:rPr>
          <w:rFonts w:ascii="Palatino Linotype" w:eastAsia="Palatino Linotype" w:hAnsi="Palatino Linotype" w:cs="Palatino Linotype"/>
          <w:i/>
        </w:rPr>
        <w:t xml:space="preserve"> a ellos. El primer vínculo abre una página que no corresponde a lo solicitado, el segundo vinculo si abre una página oficial de información pública, y el tercer vínculo abre una página en crudo con errores y de nula navegación” [sic]</w:t>
      </w:r>
    </w:p>
    <w:p w:rsidR="005C447B" w:rsidRPr="0073752A" w:rsidRDefault="005C447B">
      <w:pPr>
        <w:spacing w:before="240" w:after="0" w:line="360" w:lineRule="auto"/>
        <w:ind w:left="851"/>
        <w:jc w:val="both"/>
        <w:rPr>
          <w:rFonts w:ascii="Palatino Linotype" w:eastAsia="Palatino Linotype" w:hAnsi="Palatino Linotype" w:cs="Palatino Linotype"/>
          <w:i/>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 xml:space="preserve">4. TURNO. </w:t>
      </w:r>
      <w:r w:rsidRPr="0073752A">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3752A">
        <w:rPr>
          <w:rFonts w:ascii="Palatino Linotype" w:eastAsia="Palatino Linotype" w:hAnsi="Palatino Linotype" w:cs="Palatino Linotype"/>
          <w:b/>
          <w:sz w:val="24"/>
          <w:szCs w:val="24"/>
        </w:rPr>
        <w:t xml:space="preserve">Guadalupe Ramírez Peña, </w:t>
      </w:r>
      <w:r w:rsidRPr="0073752A">
        <w:rPr>
          <w:rFonts w:ascii="Palatino Linotype" w:eastAsia="Palatino Linotype" w:hAnsi="Palatino Linotype" w:cs="Palatino Linotype"/>
          <w:sz w:val="24"/>
          <w:szCs w:val="24"/>
        </w:rPr>
        <w:t>a efecto de que analizara sobre su admisión o su desechamiento.</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5. ADMISIÓN DEL RECURSO DE REVISIÓN.</w:t>
      </w:r>
      <w:r w:rsidRPr="0073752A">
        <w:rPr>
          <w:rFonts w:ascii="Palatino Linotype" w:eastAsia="Palatino Linotype" w:hAnsi="Palatino Linotype" w:cs="Palatino Linotype"/>
          <w:sz w:val="24"/>
          <w:szCs w:val="24"/>
        </w:rPr>
        <w:t xml:space="preserve"> Con fecha</w:t>
      </w:r>
      <w:r w:rsidRPr="0073752A">
        <w:rPr>
          <w:rFonts w:ascii="Palatino Linotype" w:eastAsia="Palatino Linotype" w:hAnsi="Palatino Linotype" w:cs="Palatino Linotype"/>
          <w:b/>
          <w:sz w:val="24"/>
          <w:szCs w:val="24"/>
        </w:rPr>
        <w:t xml:space="preserve"> veintinueve de abril de dos mil veintidós, </w:t>
      </w:r>
      <w:r w:rsidRPr="0073752A">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3752A">
        <w:rPr>
          <w:rFonts w:ascii="Palatino Linotype" w:eastAsia="Palatino Linotype" w:hAnsi="Palatino Linotype" w:cs="Palatino Linotype"/>
          <w:b/>
          <w:sz w:val="24"/>
          <w:szCs w:val="24"/>
        </w:rPr>
        <w:t xml:space="preserve">SUJETO OBLIGADO </w:t>
      </w:r>
      <w:r w:rsidRPr="0073752A">
        <w:rPr>
          <w:rFonts w:ascii="Palatino Linotype" w:eastAsia="Palatino Linotype" w:hAnsi="Palatino Linotype" w:cs="Palatino Linotype"/>
          <w:sz w:val="24"/>
          <w:szCs w:val="24"/>
        </w:rPr>
        <w:t>presentara su informe justificado.</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before="160" w:after="0" w:line="360" w:lineRule="auto"/>
        <w:ind w:right="-234"/>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lastRenderedPageBreak/>
        <w:t>6. MANIFESTACIONES.</w:t>
      </w:r>
      <w:r w:rsidRPr="0073752A">
        <w:rPr>
          <w:rFonts w:ascii="Palatino Linotype" w:eastAsia="Palatino Linotype" w:hAnsi="Palatino Linotype" w:cs="Palatino Linotype"/>
          <w:sz w:val="24"/>
          <w:szCs w:val="24"/>
        </w:rPr>
        <w:t xml:space="preserve"> El nueve de mayo de dos mil veintidós se recibió, a través del Sistema de Acceso a la Información Mexiquense (SAIMEX), el Informe Justificado del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w:t>
      </w:r>
      <w:r w:rsidRPr="0073752A">
        <w:rPr>
          <w:rFonts w:ascii="Palatino Linotype" w:eastAsia="Palatino Linotype" w:hAnsi="Palatino Linotype" w:cs="Palatino Linotype"/>
          <w:b/>
          <w:sz w:val="24"/>
          <w:szCs w:val="24"/>
        </w:rPr>
        <w:t xml:space="preserve"> </w:t>
      </w:r>
      <w:r w:rsidRPr="0073752A">
        <w:rPr>
          <w:rFonts w:ascii="Palatino Linotype" w:eastAsia="Palatino Linotype" w:hAnsi="Palatino Linotype" w:cs="Palatino Linotype"/>
          <w:sz w:val="24"/>
          <w:szCs w:val="24"/>
        </w:rPr>
        <w:t xml:space="preserve">a través del siguiente archivo electrónico: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i/>
          <w:sz w:val="24"/>
          <w:szCs w:val="24"/>
          <w:u w:val="single"/>
        </w:rPr>
        <w:t>RECURSO DE REVISIÓN 6684 22.pdf</w:t>
      </w:r>
      <w:r w:rsidRPr="0073752A">
        <w:rPr>
          <w:rFonts w:ascii="Palatino Linotype" w:eastAsia="Palatino Linotype" w:hAnsi="Palatino Linotype" w:cs="Palatino Linotype"/>
          <w:b/>
          <w:i/>
          <w:sz w:val="24"/>
          <w:szCs w:val="24"/>
        </w:rPr>
        <w:t xml:space="preserve">: </w:t>
      </w:r>
      <w:r w:rsidRPr="0073752A">
        <w:rPr>
          <w:rFonts w:ascii="Palatino Linotype" w:eastAsia="Palatino Linotype" w:hAnsi="Palatino Linotype" w:cs="Palatino Linotype"/>
          <w:sz w:val="24"/>
          <w:szCs w:val="24"/>
        </w:rPr>
        <w:t xml:space="preserve">Oficio con fecha del nueve de mayo de dos mil veintidós, signado por el Titular de la Unidad de Transparencia, mediante el cual refiere que el Área de Recursos Humanos y Nómina hace entrega de la información solicitada. </w:t>
      </w:r>
    </w:p>
    <w:p w:rsidR="005C447B" w:rsidRPr="0073752A" w:rsidRDefault="005C447B">
      <w:pPr>
        <w:spacing w:line="360" w:lineRule="auto"/>
        <w:jc w:val="both"/>
      </w:pPr>
    </w:p>
    <w:p w:rsidR="005C447B" w:rsidRPr="0073752A" w:rsidRDefault="00CB0B53">
      <w:pPr>
        <w:spacing w:line="360" w:lineRule="auto"/>
        <w:jc w:val="center"/>
        <w:rPr>
          <w:rFonts w:ascii="Palatino Linotype" w:eastAsia="Palatino Linotype" w:hAnsi="Palatino Linotype" w:cs="Palatino Linotype"/>
          <w:sz w:val="24"/>
          <w:szCs w:val="24"/>
        </w:rPr>
      </w:pPr>
      <w:r w:rsidRPr="0073752A">
        <w:rPr>
          <w:noProof/>
        </w:rPr>
        <w:lastRenderedPageBreak/>
        <w:drawing>
          <wp:inline distT="0" distB="0" distL="0" distR="0">
            <wp:extent cx="6006748" cy="6944107"/>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5132" t="22338" r="35336" b="10342"/>
                    <a:stretch>
                      <a:fillRect/>
                    </a:stretch>
                  </pic:blipFill>
                  <pic:spPr>
                    <a:xfrm>
                      <a:off x="0" y="0"/>
                      <a:ext cx="6006748" cy="6944107"/>
                    </a:xfrm>
                    <a:prstGeom prst="rect">
                      <a:avLst/>
                    </a:prstGeom>
                    <a:ln/>
                  </pic:spPr>
                </pic:pic>
              </a:graphicData>
            </a:graphic>
          </wp:inline>
        </w:drawing>
      </w:r>
    </w:p>
    <w:p w:rsidR="005C447B" w:rsidRPr="0073752A" w:rsidRDefault="00CB0B53">
      <w:pPr>
        <w:rPr>
          <w:rFonts w:ascii="Palatino Linotype" w:eastAsia="Palatino Linotype" w:hAnsi="Palatino Linotype" w:cs="Palatino Linotype"/>
          <w:b/>
          <w:i/>
          <w:sz w:val="24"/>
          <w:szCs w:val="24"/>
        </w:rPr>
      </w:pPr>
      <w:r w:rsidRPr="0073752A">
        <w:rPr>
          <w:rFonts w:ascii="Palatino Linotype" w:eastAsia="Palatino Linotype" w:hAnsi="Palatino Linotype" w:cs="Palatino Linotype"/>
          <w:b/>
          <w:i/>
          <w:sz w:val="24"/>
          <w:szCs w:val="24"/>
          <w:u w:val="single"/>
        </w:rPr>
        <w:lastRenderedPageBreak/>
        <w:t>Personal Tesorería.pdf</w:t>
      </w:r>
      <w:r w:rsidRPr="0073752A">
        <w:rPr>
          <w:rFonts w:ascii="Palatino Linotype" w:eastAsia="Palatino Linotype" w:hAnsi="Palatino Linotype" w:cs="Palatino Linotype"/>
          <w:b/>
          <w:i/>
          <w:sz w:val="24"/>
          <w:szCs w:val="24"/>
        </w:rPr>
        <w:t>:</w:t>
      </w:r>
    </w:p>
    <w:p w:rsidR="005C447B" w:rsidRPr="0073752A" w:rsidRDefault="00CB0B53">
      <w:pPr>
        <w:jc w:val="center"/>
        <w:rPr>
          <w:rFonts w:ascii="Palatino Linotype" w:eastAsia="Palatino Linotype" w:hAnsi="Palatino Linotype" w:cs="Palatino Linotype"/>
          <w:b/>
          <w:i/>
          <w:sz w:val="24"/>
          <w:szCs w:val="24"/>
        </w:rPr>
      </w:pPr>
      <w:r w:rsidRPr="0073752A">
        <w:rPr>
          <w:noProof/>
        </w:rPr>
        <w:drawing>
          <wp:inline distT="0" distB="0" distL="0" distR="0">
            <wp:extent cx="5497014" cy="5582756"/>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25119" t="23243" r="26171" b="6118"/>
                    <a:stretch>
                      <a:fillRect/>
                    </a:stretch>
                  </pic:blipFill>
                  <pic:spPr>
                    <a:xfrm>
                      <a:off x="0" y="0"/>
                      <a:ext cx="5497014" cy="5582756"/>
                    </a:xfrm>
                    <a:prstGeom prst="rect">
                      <a:avLst/>
                    </a:prstGeom>
                    <a:ln/>
                  </pic:spPr>
                </pic:pic>
              </a:graphicData>
            </a:graphic>
          </wp:inline>
        </w:drawing>
      </w:r>
    </w:p>
    <w:p w:rsidR="005C447B" w:rsidRPr="0073752A" w:rsidRDefault="005C447B">
      <w:pPr>
        <w:jc w:val="center"/>
        <w:rPr>
          <w:rFonts w:ascii="Palatino Linotype" w:eastAsia="Palatino Linotype" w:hAnsi="Palatino Linotype" w:cs="Palatino Linotype"/>
          <w:b/>
          <w:i/>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7. AMPLIACIÓN DEL TÉRMINO PARA RESOLVER</w:t>
      </w:r>
      <w:r w:rsidRPr="0073752A">
        <w:rPr>
          <w:rFonts w:ascii="Palatino Linotype" w:eastAsia="Palatino Linotype" w:hAnsi="Palatino Linotype" w:cs="Palatino Linotype"/>
          <w:sz w:val="24"/>
          <w:szCs w:val="24"/>
        </w:rPr>
        <w:t>.</w:t>
      </w:r>
      <w:r w:rsidRPr="0073752A">
        <w:rPr>
          <w:rFonts w:ascii="Palatino Linotype" w:eastAsia="Palatino Linotype" w:hAnsi="Palatino Linotype" w:cs="Palatino Linotype"/>
        </w:rPr>
        <w:t xml:space="preserve"> </w:t>
      </w:r>
      <w:r w:rsidRPr="0073752A">
        <w:rPr>
          <w:rFonts w:ascii="Palatino Linotype" w:eastAsia="Palatino Linotype" w:hAnsi="Palatino Linotype" w:cs="Palatino Linotype"/>
          <w:sz w:val="24"/>
          <w:szCs w:val="24"/>
        </w:rPr>
        <w:t xml:space="preserve">En fecha veintiséis de agosto de dos mil veintidós, se amplió el término para resolver el recurso de revisión </w:t>
      </w:r>
      <w:r w:rsidRPr="0073752A">
        <w:rPr>
          <w:rFonts w:ascii="Palatino Linotype" w:eastAsia="Palatino Linotype" w:hAnsi="Palatino Linotype" w:cs="Palatino Linotype"/>
          <w:sz w:val="24"/>
          <w:szCs w:val="24"/>
        </w:rPr>
        <w:lastRenderedPageBreak/>
        <w:t xml:space="preserve">en términos del artículo 181 párrafo tercero de la Ley de Transparencia y Acceso a la Información Pública del Estado de México y Municipios.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73752A">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trike/>
          <w:sz w:val="24"/>
          <w:szCs w:val="24"/>
        </w:rPr>
      </w:pPr>
      <w:r w:rsidRPr="0073752A">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w:t>
      </w:r>
      <w:proofErr w:type="gramStart"/>
      <w:r w:rsidRPr="0073752A">
        <w:rPr>
          <w:rFonts w:ascii="Palatino Linotype" w:eastAsia="Palatino Linotype" w:hAnsi="Palatino Linotype" w:cs="Palatino Linotype"/>
          <w:sz w:val="24"/>
          <w:szCs w:val="24"/>
        </w:rPr>
        <w:t>su resolución atentos</w:t>
      </w:r>
      <w:proofErr w:type="gramEnd"/>
      <w:r w:rsidRPr="0073752A">
        <w:rPr>
          <w:rFonts w:ascii="Palatino Linotype" w:eastAsia="Palatino Linotype" w:hAnsi="Palatino Linotype" w:cs="Palatino Linotype"/>
          <w:sz w:val="24"/>
          <w:szCs w:val="24"/>
        </w:rPr>
        <w:t xml:space="preserve"> a los siguientes criterios: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numPr>
          <w:ilvl w:val="0"/>
          <w:numId w:val="3"/>
        </w:num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5C447B" w:rsidRPr="0073752A" w:rsidRDefault="005C447B">
      <w:pPr>
        <w:spacing w:after="0" w:line="360" w:lineRule="auto"/>
        <w:ind w:left="927"/>
        <w:jc w:val="both"/>
        <w:rPr>
          <w:rFonts w:ascii="Palatino Linotype" w:eastAsia="Palatino Linotype" w:hAnsi="Palatino Linotype" w:cs="Palatino Linotype"/>
          <w:sz w:val="24"/>
          <w:szCs w:val="24"/>
        </w:rPr>
      </w:pPr>
    </w:p>
    <w:p w:rsidR="005C447B" w:rsidRPr="0073752A" w:rsidRDefault="00CB0B53">
      <w:pPr>
        <w:numPr>
          <w:ilvl w:val="0"/>
          <w:numId w:val="3"/>
        </w:num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Actividad Procesal del interesado. Acciones u omisiones del interesado.</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numPr>
          <w:ilvl w:val="0"/>
          <w:numId w:val="3"/>
        </w:num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5C447B" w:rsidRPr="0073752A" w:rsidRDefault="005C447B">
      <w:pPr>
        <w:spacing w:after="0" w:line="360" w:lineRule="auto"/>
        <w:ind w:left="708"/>
        <w:rPr>
          <w:rFonts w:ascii="Palatino Linotype" w:eastAsia="Palatino Linotype" w:hAnsi="Palatino Linotype" w:cs="Palatino Linotype"/>
          <w:sz w:val="24"/>
          <w:szCs w:val="24"/>
        </w:rPr>
      </w:pPr>
    </w:p>
    <w:p w:rsidR="005C447B" w:rsidRPr="0073752A" w:rsidRDefault="00CB0B53">
      <w:pPr>
        <w:spacing w:after="0" w:line="360" w:lineRule="auto"/>
        <w:ind w:left="567"/>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5C447B" w:rsidRPr="0073752A" w:rsidRDefault="00CB0B53">
      <w:pPr>
        <w:spacing w:after="0" w:line="360" w:lineRule="auto"/>
        <w:ind w:left="567"/>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w:t>
      </w:r>
      <w:r w:rsidRPr="0073752A">
        <w:rPr>
          <w:rFonts w:ascii="Palatino Linotype" w:eastAsia="Palatino Linotype" w:hAnsi="Palatino Linotype" w:cs="Palatino Linotype"/>
          <w:sz w:val="24"/>
          <w:szCs w:val="24"/>
        </w:rPr>
        <w:lastRenderedPageBreak/>
        <w:t>podría considerarse normal, debe concluirse que es una excluyente de responsabilidad en relación con la actuación del funcionario, como ha acontecido en el caso que nos ocupa.</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b/>
          <w:sz w:val="24"/>
          <w:szCs w:val="24"/>
        </w:rPr>
      </w:pPr>
      <w:r w:rsidRPr="0073752A">
        <w:rPr>
          <w:rFonts w:ascii="Palatino Linotype" w:eastAsia="Palatino Linotype" w:hAnsi="Palatino Linotype" w:cs="Palatino Linotype"/>
          <w:sz w:val="24"/>
          <w:szCs w:val="24"/>
        </w:rPr>
        <w:t>Argumento que encuentra sustento en la jurisprudencia P</w:t>
      </w:r>
      <w:proofErr w:type="gramStart"/>
      <w:r w:rsidRPr="0073752A">
        <w:rPr>
          <w:rFonts w:ascii="Palatino Linotype" w:eastAsia="Palatino Linotype" w:hAnsi="Palatino Linotype" w:cs="Palatino Linotype"/>
          <w:sz w:val="24"/>
          <w:szCs w:val="24"/>
        </w:rPr>
        <w:t>./</w:t>
      </w:r>
      <w:proofErr w:type="gramEnd"/>
      <w:r w:rsidRPr="0073752A">
        <w:rPr>
          <w:rFonts w:ascii="Palatino Linotype" w:eastAsia="Palatino Linotype" w:hAnsi="Palatino Linotype" w:cs="Palatino Linotype"/>
          <w:sz w:val="24"/>
          <w:szCs w:val="24"/>
        </w:rPr>
        <w:t xml:space="preserve">J. 32/92 emitida por el Pleno de la Suprema Corte de Justicia de la Nación de rubro </w:t>
      </w:r>
      <w:r w:rsidRPr="0073752A">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73752A">
        <w:rPr>
          <w:rFonts w:ascii="Palatino Linotype" w:eastAsia="Palatino Linotype" w:hAnsi="Palatino Linotype" w:cs="Palatino Linotype"/>
          <w:sz w:val="24"/>
          <w:szCs w:val="24"/>
        </w:rPr>
        <w:t>, visible en la Gaceta del Seminario Judicial de la Federación con el registro digital 205635.</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 </w:t>
      </w:r>
      <w:r w:rsidRPr="0073752A">
        <w:rPr>
          <w:rFonts w:ascii="Palatino Linotype" w:eastAsia="Palatino Linotype" w:hAnsi="Palatino Linotype" w:cs="Palatino Linotype"/>
          <w:i/>
          <w:sz w:val="24"/>
          <w:szCs w:val="24"/>
        </w:rPr>
        <w:t>“PLAZO RAZONABLE PARA RESOLVER. DIMENSIÓN Y EFECTOS DE ESTE CONCEPTO CUANDO SE ADUCE EXCESIVA CARGA DE TRABAJO.”</w:t>
      </w:r>
      <w:r w:rsidRPr="0073752A">
        <w:rPr>
          <w:rFonts w:ascii="Palatino Linotype" w:eastAsia="Palatino Linotype" w:hAnsi="Palatino Linotype" w:cs="Palatino Linotype"/>
          <w:sz w:val="24"/>
          <w:szCs w:val="24"/>
        </w:rPr>
        <w:t xml:space="preserve"> consultable en el Seminario Judicial de la Federación y su gaceta, con el registro digital 2002351.</w:t>
      </w:r>
    </w:p>
    <w:p w:rsidR="005C447B" w:rsidRPr="0073752A" w:rsidRDefault="005C447B">
      <w:pPr>
        <w:spacing w:after="0" w:line="360" w:lineRule="auto"/>
        <w:jc w:val="both"/>
        <w:rPr>
          <w:rFonts w:ascii="Palatino Linotype" w:eastAsia="Palatino Linotype" w:hAnsi="Palatino Linotype" w:cs="Palatino Linotype"/>
          <w:b/>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73752A">
        <w:rPr>
          <w:rFonts w:ascii="Palatino Linotype" w:eastAsia="Palatino Linotype" w:hAnsi="Palatino Linotype" w:cs="Palatino Linotype"/>
          <w:sz w:val="24"/>
          <w:szCs w:val="24"/>
        </w:rPr>
        <w:t>, visible en el Seminario Judicial de la Federación y su gaceta, con el registro digital 2002350.</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 xml:space="preserve">8. CIERRE DE INSTRUCCIÓN. </w:t>
      </w:r>
      <w:r w:rsidRPr="0073752A">
        <w:rPr>
          <w:rFonts w:ascii="Palatino Linotype" w:eastAsia="Palatino Linotype" w:hAnsi="Palatino Linotype" w:cs="Palatino Linotype"/>
          <w:sz w:val="24"/>
          <w:szCs w:val="24"/>
        </w:rPr>
        <w:t xml:space="preserve">El </w:t>
      </w:r>
      <w:r w:rsidR="00E14545" w:rsidRPr="0073752A">
        <w:rPr>
          <w:rFonts w:ascii="Palatino Linotype" w:eastAsia="Palatino Linotype" w:hAnsi="Palatino Linotype" w:cs="Palatino Linotype"/>
          <w:sz w:val="24"/>
          <w:szCs w:val="24"/>
        </w:rPr>
        <w:t>veintidós</w:t>
      </w:r>
      <w:bookmarkStart w:id="1" w:name="_GoBack"/>
      <w:bookmarkEnd w:id="1"/>
      <w:r w:rsidRPr="0073752A">
        <w:rPr>
          <w:rFonts w:ascii="Palatino Linotype" w:eastAsia="Palatino Linotype" w:hAnsi="Palatino Linotype" w:cs="Palatino Linotype"/>
          <w:sz w:val="24"/>
          <w:szCs w:val="24"/>
        </w:rPr>
        <w:t xml:space="preserve"> de septiembre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rsidR="005C447B" w:rsidRPr="0073752A" w:rsidRDefault="005C447B">
      <w:pPr>
        <w:spacing w:line="360" w:lineRule="auto"/>
        <w:jc w:val="both"/>
        <w:rPr>
          <w:rFonts w:ascii="Palatino Linotype" w:eastAsia="Palatino Linotype" w:hAnsi="Palatino Linotype" w:cs="Palatino Linotype"/>
          <w:sz w:val="24"/>
          <w:szCs w:val="24"/>
        </w:rPr>
      </w:pPr>
    </w:p>
    <w:p w:rsidR="005C447B" w:rsidRPr="0073752A" w:rsidRDefault="00CB0B53">
      <w:pPr>
        <w:widowControl w:val="0"/>
        <w:spacing w:after="0" w:line="360" w:lineRule="auto"/>
        <w:jc w:val="center"/>
        <w:rPr>
          <w:rFonts w:ascii="Palatino Linotype" w:eastAsia="Palatino Linotype" w:hAnsi="Palatino Linotype" w:cs="Palatino Linotype"/>
          <w:b/>
          <w:sz w:val="24"/>
          <w:szCs w:val="24"/>
        </w:rPr>
      </w:pPr>
      <w:r w:rsidRPr="0073752A">
        <w:rPr>
          <w:rFonts w:ascii="Palatino Linotype" w:eastAsia="Palatino Linotype" w:hAnsi="Palatino Linotype" w:cs="Palatino Linotype"/>
          <w:b/>
          <w:sz w:val="24"/>
          <w:szCs w:val="24"/>
        </w:rPr>
        <w:t>C O N S I D E R A N D O S</w:t>
      </w:r>
    </w:p>
    <w:p w:rsidR="005C447B" w:rsidRPr="0073752A" w:rsidRDefault="005C447B">
      <w:pPr>
        <w:spacing w:after="0" w:line="360" w:lineRule="auto"/>
        <w:jc w:val="both"/>
        <w:rPr>
          <w:rFonts w:ascii="Palatino Linotype" w:eastAsia="Palatino Linotype" w:hAnsi="Palatino Linotype" w:cs="Palatino Linotype"/>
          <w:b/>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PRIMERO. COMPETENCIA.</w:t>
      </w:r>
      <w:r w:rsidRPr="0073752A">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C447B" w:rsidRPr="0073752A" w:rsidRDefault="005C447B">
      <w:pPr>
        <w:jc w:val="both"/>
        <w:rPr>
          <w:rFonts w:ascii="Palatino Linotype" w:eastAsia="Palatino Linotype" w:hAnsi="Palatino Linotype" w:cs="Palatino Linotype"/>
          <w:b/>
          <w:i/>
          <w:sz w:val="24"/>
          <w:szCs w:val="24"/>
        </w:rPr>
      </w:pPr>
    </w:p>
    <w:p w:rsidR="005C447B" w:rsidRPr="0073752A" w:rsidRDefault="00CB0B53">
      <w:pPr>
        <w:spacing w:before="160" w:after="0" w:line="360" w:lineRule="auto"/>
        <w:ind w:right="-234"/>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 xml:space="preserve">SEGUNDO. OPORTUNIDAD Y PROCEDIBILIDAD DEL RECURSO DE REVISIÓN.  </w:t>
      </w:r>
      <w:r w:rsidRPr="0073752A">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w:t>
      </w:r>
      <w:r w:rsidRPr="0073752A">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rsidR="005C447B" w:rsidRPr="0073752A" w:rsidRDefault="005C447B">
      <w:pPr>
        <w:spacing w:after="0" w:line="360" w:lineRule="auto"/>
        <w:ind w:right="-234"/>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73752A">
        <w:rPr>
          <w:rFonts w:ascii="Palatino Linotype" w:eastAsia="Palatino Linotype" w:hAnsi="Palatino Linotype" w:cs="Palatino Linotype"/>
          <w:b/>
          <w:sz w:val="24"/>
          <w:szCs w:val="24"/>
        </w:rPr>
        <w:t xml:space="preserve"> EL SUJETO OBLIGADO </w:t>
      </w:r>
      <w:r w:rsidRPr="0073752A">
        <w:rPr>
          <w:rFonts w:ascii="Palatino Linotype" w:eastAsia="Palatino Linotype" w:hAnsi="Palatino Linotype" w:cs="Palatino Linotype"/>
          <w:sz w:val="24"/>
          <w:szCs w:val="24"/>
        </w:rPr>
        <w:t xml:space="preserve">emitió la respuesta, toda vez que esta fue pronunciada el día veintiséis de abril de dos mil veintidós, mientras que el </w:t>
      </w:r>
      <w:r w:rsidRPr="0073752A">
        <w:rPr>
          <w:rFonts w:ascii="Palatino Linotype" w:eastAsia="Palatino Linotype" w:hAnsi="Palatino Linotype" w:cs="Palatino Linotype"/>
          <w:b/>
          <w:sz w:val="24"/>
          <w:szCs w:val="24"/>
        </w:rPr>
        <w:t>RECURRENTE</w:t>
      </w:r>
      <w:r w:rsidRPr="0073752A">
        <w:rPr>
          <w:rFonts w:ascii="Palatino Linotype" w:eastAsia="Palatino Linotype" w:hAnsi="Palatino Linotype" w:cs="Palatino Linotype"/>
          <w:sz w:val="24"/>
          <w:szCs w:val="24"/>
        </w:rPr>
        <w:t xml:space="preserve"> interpuso el recurso de revisión en la misma fecha que se pronunció la respuesta, circunstancia que no es determinante para declararlo extemporáneo, toda vez que el tiempo concedido es para delimitar el término en que puede impugnarse la respuesta, lo cual no impide que se presente antes de iniciado el plazo previsto.</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ind w:right="-234"/>
        <w:jc w:val="both"/>
        <w:rPr>
          <w:sz w:val="24"/>
          <w:szCs w:val="24"/>
        </w:rPr>
      </w:pPr>
      <w:r w:rsidRPr="0073752A">
        <w:rPr>
          <w:rFonts w:ascii="Palatino Linotype" w:eastAsia="Palatino Linotype" w:hAnsi="Palatino Linotype" w:cs="Palatino Linotype"/>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73752A">
        <w:rPr>
          <w:i/>
          <w:sz w:val="24"/>
          <w:szCs w:val="24"/>
        </w:rPr>
        <w:t> </w:t>
      </w:r>
    </w:p>
    <w:p w:rsidR="005C447B" w:rsidRPr="0073752A" w:rsidRDefault="005C447B">
      <w:pPr>
        <w:shd w:val="clear" w:color="auto" w:fill="FFFFFF"/>
        <w:spacing w:after="0" w:line="360" w:lineRule="auto"/>
        <w:ind w:left="567" w:right="760"/>
        <w:jc w:val="both"/>
        <w:rPr>
          <w:rFonts w:ascii="Palatino Linotype" w:eastAsia="Palatino Linotype" w:hAnsi="Palatino Linotype" w:cs="Palatino Linotype"/>
        </w:rPr>
      </w:pPr>
    </w:p>
    <w:p w:rsidR="005C447B" w:rsidRPr="0073752A" w:rsidRDefault="00CB0B53">
      <w:pPr>
        <w:shd w:val="clear" w:color="auto" w:fill="FFFFFF"/>
        <w:spacing w:after="0" w:line="360" w:lineRule="auto"/>
        <w:ind w:left="567" w:right="760"/>
        <w:jc w:val="both"/>
      </w:pPr>
      <w:r w:rsidRPr="0073752A">
        <w:rPr>
          <w:rFonts w:ascii="Palatino Linotype" w:eastAsia="Palatino Linotype" w:hAnsi="Palatino Linotype" w:cs="Palatino Linotype"/>
        </w:rPr>
        <w:t>"</w:t>
      </w:r>
      <w:r w:rsidRPr="0073752A">
        <w:rPr>
          <w:rFonts w:ascii="Palatino Linotype" w:eastAsia="Palatino Linotype" w:hAnsi="Palatino Linotype" w:cs="Palatino Linotype"/>
          <w:i/>
        </w:rPr>
        <w:t>RECURSO DE RECLAMACIÓN. SU INTERPOSICIÓN NO ES EXTEMPORÁNEA SI SE REALIZA ANTES DE QUE INICIE EL PLAZO PARA HACERLO.</w:t>
      </w:r>
    </w:p>
    <w:p w:rsidR="005C447B" w:rsidRPr="0073752A" w:rsidRDefault="00CB0B53">
      <w:pPr>
        <w:shd w:val="clear" w:color="auto" w:fill="FFFFFF"/>
        <w:spacing w:after="240" w:line="276" w:lineRule="auto"/>
        <w:ind w:left="567" w:right="760"/>
        <w:jc w:val="both"/>
      </w:pPr>
      <w:r w:rsidRPr="0073752A">
        <w:rPr>
          <w:rFonts w:ascii="Palatino Linotype" w:eastAsia="Palatino Linotype" w:hAnsi="Palatino Linotype" w:cs="Palatino Linotype"/>
          <w:i/>
        </w:rPr>
        <w:t xml:space="preserve">Conforme al artículo 104, párrafo segundo, de la Ley de Amparo, el recurso de reclamación podrá interponerse por cualquiera de las partes, por escrito, dentro del </w:t>
      </w:r>
      <w:r w:rsidRPr="0073752A">
        <w:rPr>
          <w:rFonts w:ascii="Palatino Linotype" w:eastAsia="Palatino Linotype" w:hAnsi="Palatino Linotype" w:cs="Palatino Linotype"/>
          <w:i/>
        </w:rPr>
        <w:lastRenderedPageBreak/>
        <w:t>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5C447B" w:rsidRPr="0073752A" w:rsidRDefault="00CB0B53">
      <w:pPr>
        <w:shd w:val="clear" w:color="auto" w:fill="FFFFFF"/>
        <w:spacing w:before="240" w:after="0" w:line="360" w:lineRule="auto"/>
        <w:ind w:left="567" w:right="760"/>
        <w:jc w:val="both"/>
        <w:rPr>
          <w:rFonts w:ascii="Palatino Linotype" w:eastAsia="Palatino Linotype" w:hAnsi="Palatino Linotype" w:cs="Palatino Linotype"/>
        </w:rPr>
      </w:pPr>
      <w:r w:rsidRPr="0073752A">
        <w:rPr>
          <w:rFonts w:ascii="Palatino Linotype" w:eastAsia="Palatino Linotype" w:hAnsi="Palatino Linotype" w:cs="Palatino Linotype"/>
          <w:i/>
        </w:rPr>
        <w:t>De ahí que si dicho recurso se interpone antes de que inicie el plazo para hacerlo, su presentación no es extemporánea…</w:t>
      </w:r>
      <w:r w:rsidRPr="0073752A">
        <w:rPr>
          <w:rFonts w:ascii="Palatino Linotype" w:eastAsia="Palatino Linotype" w:hAnsi="Palatino Linotype" w:cs="Palatino Linotype"/>
        </w:rPr>
        <w:t>"(Sic)</w:t>
      </w:r>
    </w:p>
    <w:p w:rsidR="005C447B" w:rsidRPr="0073752A" w:rsidRDefault="005C447B">
      <w:pPr>
        <w:spacing w:after="0" w:line="360" w:lineRule="auto"/>
        <w:ind w:right="-234"/>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b/>
          <w:sz w:val="24"/>
          <w:szCs w:val="24"/>
        </w:rPr>
      </w:pPr>
      <w:r w:rsidRPr="0073752A">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73752A">
        <w:rPr>
          <w:rFonts w:ascii="Palatino Linotype" w:eastAsia="Palatino Linotype" w:hAnsi="Palatino Linotype" w:cs="Palatino Linotype"/>
          <w:b/>
          <w:sz w:val="24"/>
          <w:szCs w:val="24"/>
        </w:rPr>
        <w:t xml:space="preserve">EL SAIMEX.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Finalmente, resulta procedente la interposición del recurso, según lo aducido por el </w:t>
      </w:r>
      <w:r w:rsidRPr="0073752A">
        <w:rPr>
          <w:rFonts w:ascii="Palatino Linotype" w:eastAsia="Palatino Linotype" w:hAnsi="Palatino Linotype" w:cs="Palatino Linotype"/>
          <w:b/>
          <w:sz w:val="24"/>
          <w:szCs w:val="24"/>
        </w:rPr>
        <w:t>RECURRENTE</w:t>
      </w:r>
      <w:r w:rsidRPr="0073752A">
        <w:rPr>
          <w:rFonts w:ascii="Palatino Linotype" w:eastAsia="Palatino Linotype" w:hAnsi="Palatino Linotype" w:cs="Palatino Linotype"/>
          <w:sz w:val="24"/>
          <w:szCs w:val="24"/>
        </w:rPr>
        <w:t xml:space="preserve"> en sus razones o motivos de inconformidad, de acuerdo al artículo 179, fracción IX de la Ley de Transparencia y Acceso a la Información Pública del Estado de México y Municipios; que a la letra dice:</w:t>
      </w:r>
    </w:p>
    <w:p w:rsidR="005C447B" w:rsidRPr="0073752A" w:rsidRDefault="005C447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5C447B" w:rsidRPr="0073752A" w:rsidRDefault="00CB0B53">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73752A">
        <w:rPr>
          <w:rFonts w:ascii="Palatino Linotype" w:eastAsia="Palatino Linotype" w:hAnsi="Palatino Linotype" w:cs="Palatino Linotype"/>
          <w:b/>
          <w:i/>
        </w:rPr>
        <w:t>“Artículo 179</w:t>
      </w:r>
      <w:r w:rsidRPr="0073752A">
        <w:rPr>
          <w:rFonts w:ascii="Palatino Linotype" w:eastAsia="Palatino Linotype" w:hAnsi="Palatino Linotype" w:cs="Palatino Linotype"/>
          <w:i/>
        </w:rPr>
        <w:t xml:space="preserve">. </w:t>
      </w:r>
      <w:r w:rsidRPr="0073752A">
        <w:rPr>
          <w:rFonts w:ascii="Palatino Linotype" w:eastAsia="Palatino Linotype" w:hAnsi="Palatino Linotype" w:cs="Palatino Linotype"/>
          <w:b/>
          <w:i/>
        </w:rPr>
        <w:t>El recurso de revisión</w:t>
      </w:r>
      <w:r w:rsidRPr="0073752A">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73752A">
        <w:rPr>
          <w:rFonts w:ascii="Palatino Linotype" w:eastAsia="Palatino Linotype" w:hAnsi="Palatino Linotype" w:cs="Palatino Linotype"/>
          <w:b/>
          <w:i/>
        </w:rPr>
        <w:t>, y procederá en contra de las siguientes causas</w:t>
      </w:r>
      <w:r w:rsidRPr="0073752A">
        <w:rPr>
          <w:rFonts w:ascii="Palatino Linotype" w:eastAsia="Palatino Linotype" w:hAnsi="Palatino Linotype" w:cs="Palatino Linotype"/>
          <w:i/>
        </w:rPr>
        <w:t>:</w:t>
      </w:r>
    </w:p>
    <w:p w:rsidR="005C447B" w:rsidRPr="0073752A" w:rsidRDefault="00CB0B53">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73752A">
        <w:rPr>
          <w:rFonts w:ascii="Palatino Linotype" w:eastAsia="Palatino Linotype" w:hAnsi="Palatino Linotype" w:cs="Palatino Linotype"/>
          <w:i/>
        </w:rPr>
        <w:t>IX. La entrega o puesta a disposición de información en un formato incomprensible y/o no accesible para el solicitante;” (Sic)</w:t>
      </w:r>
    </w:p>
    <w:p w:rsidR="005C447B" w:rsidRPr="0073752A" w:rsidRDefault="005C447B">
      <w:pPr>
        <w:spacing w:after="0" w:line="360" w:lineRule="auto"/>
        <w:jc w:val="both"/>
        <w:rPr>
          <w:rFonts w:ascii="Palatino Linotype" w:eastAsia="Palatino Linotype" w:hAnsi="Palatino Linotype" w:cs="Palatino Linotype"/>
          <w:b/>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lastRenderedPageBreak/>
        <w:t xml:space="preserve">TERCERO. MATERIA DE LA REVISIÓN. </w:t>
      </w:r>
      <w:r w:rsidRPr="0073752A">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es adecuada y suficiente para satisfacer el derecho de acceso a la información pública de la parte </w:t>
      </w:r>
      <w:r w:rsidRPr="0073752A">
        <w:rPr>
          <w:rFonts w:ascii="Palatino Linotype" w:eastAsia="Palatino Linotype" w:hAnsi="Palatino Linotype" w:cs="Palatino Linotype"/>
          <w:b/>
          <w:sz w:val="24"/>
          <w:szCs w:val="24"/>
        </w:rPr>
        <w:t>RECURRENTE</w:t>
      </w:r>
      <w:r w:rsidRPr="0073752A">
        <w:rPr>
          <w:rFonts w:ascii="Palatino Linotype" w:eastAsia="Palatino Linotype" w:hAnsi="Palatino Linotype" w:cs="Palatino Linotype"/>
          <w:sz w:val="24"/>
          <w:szCs w:val="24"/>
        </w:rPr>
        <w:t>, o en su defecto, en caso de ser procedente, ordenar la entrega de información oportuna.</w:t>
      </w:r>
    </w:p>
    <w:p w:rsidR="005C447B" w:rsidRPr="0073752A" w:rsidRDefault="005C447B">
      <w:pPr>
        <w:rPr>
          <w:rFonts w:ascii="Palatino Linotype" w:eastAsia="Palatino Linotype" w:hAnsi="Palatino Linotype" w:cs="Palatino Linotype"/>
          <w:b/>
          <w:i/>
          <w:sz w:val="24"/>
          <w:szCs w:val="24"/>
        </w:rPr>
      </w:pPr>
    </w:p>
    <w:p w:rsidR="005C447B" w:rsidRPr="0073752A" w:rsidRDefault="00CB0B5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 xml:space="preserve">CUARTO. ESTUDIO Y RESOLUCIÓN DEL ASUNTO.  </w:t>
      </w:r>
      <w:r w:rsidRPr="0073752A">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5C447B" w:rsidRPr="0073752A" w:rsidRDefault="005C44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 “</w:t>
      </w:r>
      <w:r w:rsidRPr="0073752A">
        <w:rPr>
          <w:rFonts w:ascii="Palatino Linotype" w:eastAsia="Palatino Linotype" w:hAnsi="Palatino Linotype" w:cs="Palatino Linotype"/>
          <w:b/>
          <w:i/>
        </w:rPr>
        <w:t>Artículo 4.</w:t>
      </w:r>
      <w:r w:rsidRPr="0073752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73752A">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w:t>
      </w:r>
      <w:r w:rsidRPr="0073752A">
        <w:rPr>
          <w:rFonts w:ascii="Palatino Linotype" w:eastAsia="Palatino Linotype" w:hAnsi="Palatino Linotype" w:cs="Palatino Linotype"/>
          <w:i/>
        </w:rPr>
        <w:lastRenderedPageBreak/>
        <w:t>interés público, en los términos de las causas legítimas y estrictamente necesarias previstas por esta Ley.”(Sic)</w:t>
      </w:r>
    </w:p>
    <w:p w:rsidR="005C447B" w:rsidRPr="0073752A" w:rsidRDefault="005C447B">
      <w:pPr>
        <w:spacing w:after="0" w:line="360" w:lineRule="auto"/>
        <w:ind w:left="851" w:right="900"/>
        <w:jc w:val="both"/>
        <w:rPr>
          <w:rFonts w:ascii="Palatino Linotype" w:eastAsia="Palatino Linotype" w:hAnsi="Palatino Linotype" w:cs="Palatino Linotype"/>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276" w:lineRule="auto"/>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“Artículo 12</w:t>
      </w:r>
      <w:r w:rsidRPr="0073752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5C447B" w:rsidRPr="0073752A" w:rsidRDefault="00CB0B53">
      <w:pPr>
        <w:spacing w:after="0" w:line="276" w:lineRule="auto"/>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5C447B" w:rsidRPr="0073752A" w:rsidRDefault="005C447B">
      <w:pPr>
        <w:spacing w:after="0" w:line="360" w:lineRule="auto"/>
        <w:ind w:left="851" w:right="902"/>
        <w:jc w:val="both"/>
        <w:rPr>
          <w:rFonts w:ascii="Palatino Linotype" w:eastAsia="Palatino Linotype" w:hAnsi="Palatino Linotype" w:cs="Palatino Linotype"/>
          <w:i/>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73752A">
        <w:rPr>
          <w:rFonts w:ascii="Palatino Linotype" w:eastAsia="Palatino Linotype" w:hAnsi="Palatino Linotype" w:cs="Palatino Linotype"/>
          <w:b/>
          <w:sz w:val="24"/>
          <w:szCs w:val="24"/>
        </w:rPr>
        <w:t xml:space="preserve"> </w:t>
      </w:r>
      <w:r w:rsidRPr="0073752A">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73752A">
        <w:rPr>
          <w:rFonts w:ascii="Palatino Linotype" w:eastAsia="Palatino Linotype" w:hAnsi="Palatino Linotype" w:cs="Palatino Linotype"/>
          <w:i/>
          <w:sz w:val="24"/>
          <w:szCs w:val="24"/>
        </w:rPr>
        <w:t>ad hoc</w:t>
      </w:r>
      <w:r w:rsidRPr="0073752A">
        <w:rPr>
          <w:rFonts w:ascii="Palatino Linotype" w:eastAsia="Palatino Linotype" w:hAnsi="Palatino Linotype" w:cs="Palatino Linotype"/>
          <w:sz w:val="24"/>
          <w:szCs w:val="24"/>
        </w:rPr>
        <w:t>, para satisfacer el derecho de acceso a la información pública.</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Aunado a ello el artículo 24 de la Ley de la materia</w:t>
      </w:r>
      <w:r w:rsidRPr="0073752A">
        <w:rPr>
          <w:rFonts w:ascii="Palatino Linotype" w:eastAsia="Palatino Linotype" w:hAnsi="Palatino Linotype" w:cs="Palatino Linotype"/>
          <w:sz w:val="24"/>
          <w:szCs w:val="24"/>
          <w:vertAlign w:val="superscript"/>
        </w:rPr>
        <w:footnoteReference w:id="1"/>
      </w:r>
      <w:r w:rsidRPr="0073752A">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rPr>
      </w:pPr>
      <w:r w:rsidRPr="0073752A">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73752A">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73752A">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73752A">
        <w:rPr>
          <w:rFonts w:ascii="Palatino Linotype" w:eastAsia="Palatino Linotype" w:hAnsi="Palatino Linotype" w:cs="Palatino Linotype"/>
        </w:rPr>
        <w:t xml:space="preserve"> </w:t>
      </w:r>
    </w:p>
    <w:p w:rsidR="005C447B" w:rsidRPr="0073752A" w:rsidRDefault="005C447B">
      <w:pPr>
        <w:spacing w:after="0" w:line="276" w:lineRule="auto"/>
        <w:jc w:val="both"/>
        <w:rPr>
          <w:rFonts w:ascii="Palatino Linotype" w:eastAsia="Palatino Linotype" w:hAnsi="Palatino Linotype" w:cs="Palatino Linotype"/>
        </w:rPr>
      </w:pPr>
    </w:p>
    <w:p w:rsidR="005C447B" w:rsidRPr="0073752A" w:rsidRDefault="00CB0B53">
      <w:pPr>
        <w:spacing w:after="0" w:line="276" w:lineRule="auto"/>
        <w:ind w:left="851" w:right="899"/>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r w:rsidRPr="0073752A">
        <w:rPr>
          <w:rFonts w:ascii="Palatino Linotype" w:eastAsia="Palatino Linotype" w:hAnsi="Palatino Linotype" w:cs="Palatino Linotype"/>
          <w:b/>
          <w:i/>
        </w:rPr>
        <w:t xml:space="preserve">Artículo 3. </w:t>
      </w:r>
      <w:r w:rsidRPr="0073752A">
        <w:rPr>
          <w:rFonts w:ascii="Palatino Linotype" w:eastAsia="Palatino Linotype" w:hAnsi="Palatino Linotype" w:cs="Palatino Linotype"/>
          <w:i/>
        </w:rPr>
        <w:t>Para los efectos de la presente Ley se entenderá por:</w:t>
      </w:r>
    </w:p>
    <w:p w:rsidR="005C447B" w:rsidRPr="0073752A" w:rsidRDefault="00CB0B53">
      <w:pPr>
        <w:spacing w:after="0" w:line="276" w:lineRule="auto"/>
        <w:ind w:left="1134" w:right="899"/>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spacing w:after="0" w:line="276" w:lineRule="auto"/>
        <w:ind w:left="1134" w:right="899"/>
        <w:jc w:val="both"/>
        <w:rPr>
          <w:rFonts w:ascii="Palatino Linotype" w:eastAsia="Palatino Linotype" w:hAnsi="Palatino Linotype" w:cs="Palatino Linotype"/>
          <w:i/>
        </w:rPr>
      </w:pPr>
      <w:r w:rsidRPr="0073752A">
        <w:rPr>
          <w:rFonts w:ascii="Palatino Linotype" w:eastAsia="Palatino Linotype" w:hAnsi="Palatino Linotype" w:cs="Palatino Linotype"/>
          <w:b/>
          <w:i/>
        </w:rPr>
        <w:t>XI. Documento:</w:t>
      </w:r>
      <w:r w:rsidRPr="0073752A">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w:t>
      </w:r>
      <w:r w:rsidRPr="0073752A">
        <w:rPr>
          <w:rFonts w:ascii="Palatino Linotype" w:eastAsia="Palatino Linotype" w:hAnsi="Palatino Linotype" w:cs="Palatino Linotype"/>
          <w:i/>
        </w:rPr>
        <w:lastRenderedPageBreak/>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3752A">
        <w:rPr>
          <w:rFonts w:ascii="Palatino Linotype" w:eastAsia="Palatino Linotype" w:hAnsi="Palatino Linotype" w:cs="Palatino Linotype"/>
          <w:b/>
          <w:i/>
        </w:rPr>
        <w:t>…</w:t>
      </w:r>
      <w:r w:rsidRPr="0073752A">
        <w:rPr>
          <w:rFonts w:ascii="Palatino Linotype" w:eastAsia="Palatino Linotype" w:hAnsi="Palatino Linotype" w:cs="Palatino Linotype"/>
          <w:i/>
        </w:rPr>
        <w:t>”</w:t>
      </w:r>
    </w:p>
    <w:p w:rsidR="005C447B" w:rsidRPr="0073752A" w:rsidRDefault="005C447B">
      <w:pPr>
        <w:spacing w:after="0" w:line="276" w:lineRule="auto"/>
        <w:ind w:left="1134" w:right="899"/>
        <w:jc w:val="both"/>
        <w:rPr>
          <w:rFonts w:ascii="Palatino Linotype" w:eastAsia="Palatino Linotype" w:hAnsi="Palatino Linotype" w:cs="Palatino Linotype"/>
          <w:i/>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C447B" w:rsidRPr="0073752A" w:rsidRDefault="005C447B">
      <w:pPr>
        <w:spacing w:after="0" w:line="276" w:lineRule="auto"/>
        <w:jc w:val="both"/>
        <w:rPr>
          <w:rFonts w:ascii="Palatino Linotype" w:eastAsia="Palatino Linotype" w:hAnsi="Palatino Linotype" w:cs="Palatino Linotype"/>
          <w:sz w:val="24"/>
          <w:szCs w:val="24"/>
        </w:rPr>
      </w:pPr>
    </w:p>
    <w:p w:rsidR="005C447B" w:rsidRPr="0073752A" w:rsidRDefault="00CB0B53">
      <w:pPr>
        <w:spacing w:after="0" w:line="276" w:lineRule="auto"/>
        <w:ind w:left="851" w:right="902"/>
        <w:jc w:val="both"/>
        <w:rPr>
          <w:rFonts w:ascii="Palatino Linotype" w:eastAsia="Palatino Linotype" w:hAnsi="Palatino Linotype" w:cs="Palatino Linotype"/>
          <w:b/>
          <w:i/>
        </w:rPr>
      </w:pPr>
      <w:r w:rsidRPr="0073752A">
        <w:rPr>
          <w:rFonts w:ascii="Palatino Linotype" w:eastAsia="Palatino Linotype" w:hAnsi="Palatino Linotype" w:cs="Palatino Linotype"/>
          <w:b/>
        </w:rPr>
        <w:t>“</w:t>
      </w:r>
      <w:r w:rsidRPr="0073752A">
        <w:rPr>
          <w:rFonts w:ascii="Palatino Linotype" w:eastAsia="Palatino Linotype" w:hAnsi="Palatino Linotype" w:cs="Palatino Linotype"/>
          <w:b/>
          <w:i/>
        </w:rPr>
        <w:t>CRITERIO 0002-11</w:t>
      </w:r>
    </w:p>
    <w:p w:rsidR="005C447B" w:rsidRPr="0073752A" w:rsidRDefault="00CB0B53">
      <w:pPr>
        <w:spacing w:after="0" w:line="276" w:lineRule="auto"/>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3752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C447B" w:rsidRPr="0073752A" w:rsidRDefault="00CB0B53">
      <w:pPr>
        <w:spacing w:after="0" w:line="276" w:lineRule="auto"/>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t>En consecuencia el acceso a la información se refiere a que se cumplan cualquiera de los siguientes tres supuestos:</w:t>
      </w:r>
    </w:p>
    <w:p w:rsidR="005C447B" w:rsidRPr="0073752A" w:rsidRDefault="00CB0B53">
      <w:pPr>
        <w:spacing w:after="0" w:line="276" w:lineRule="auto"/>
        <w:ind w:left="1134" w:right="902"/>
        <w:jc w:val="both"/>
        <w:rPr>
          <w:rFonts w:ascii="Palatino Linotype" w:eastAsia="Palatino Linotype" w:hAnsi="Palatino Linotype" w:cs="Palatino Linotype"/>
          <w:b/>
          <w:i/>
        </w:rPr>
      </w:pPr>
      <w:r w:rsidRPr="0073752A">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5C447B" w:rsidRPr="0073752A" w:rsidRDefault="00CB0B53">
      <w:pPr>
        <w:spacing w:after="0" w:line="276" w:lineRule="auto"/>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5C447B" w:rsidRPr="0073752A" w:rsidRDefault="00CB0B53">
      <w:pPr>
        <w:spacing w:after="0" w:line="276" w:lineRule="auto"/>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w:t>
      </w:r>
    </w:p>
    <w:p w:rsidR="005C447B" w:rsidRPr="0073752A" w:rsidRDefault="005C447B">
      <w:pPr>
        <w:spacing w:after="0" w:line="360" w:lineRule="auto"/>
        <w:ind w:left="1134" w:right="902"/>
        <w:jc w:val="both"/>
        <w:rPr>
          <w:rFonts w:ascii="Palatino Linotype" w:eastAsia="Palatino Linotype" w:hAnsi="Palatino Linotype" w:cs="Palatino Linotype"/>
          <w:i/>
        </w:rPr>
      </w:pPr>
    </w:p>
    <w:p w:rsidR="005C447B" w:rsidRPr="0073752A" w:rsidRDefault="00CB0B53">
      <w:pPr>
        <w:pBdr>
          <w:top w:val="nil"/>
          <w:left w:val="nil"/>
          <w:bottom w:val="nil"/>
          <w:right w:val="nil"/>
          <w:between w:val="nil"/>
        </w:pBdr>
        <w:spacing w:after="24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73752A">
        <w:rPr>
          <w:rFonts w:ascii="Palatino Linotype" w:eastAsia="Palatino Linotype" w:hAnsi="Palatino Linotype" w:cs="Palatino Linotype"/>
          <w:b/>
          <w:sz w:val="24"/>
          <w:szCs w:val="24"/>
        </w:rPr>
        <w:t>RECURRENTE</w:t>
      </w:r>
      <w:r w:rsidRPr="0073752A">
        <w:rPr>
          <w:rFonts w:ascii="Palatino Linotype" w:eastAsia="Palatino Linotype" w:hAnsi="Palatino Linotype" w:cs="Palatino Linotype"/>
          <w:sz w:val="24"/>
          <w:szCs w:val="24"/>
        </w:rPr>
        <w:t xml:space="preserve"> requirió al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le proporcione, información consistente en lo siguiente:</w:t>
      </w:r>
    </w:p>
    <w:p w:rsidR="005C447B" w:rsidRPr="0073752A" w:rsidRDefault="00CB0B53">
      <w:pPr>
        <w:spacing w:after="24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De las áreas de Tesorería, Egresos, áreas relacionadas con la contabilidad, presupuesto y de la Unidad de Transparencia:</w:t>
      </w:r>
    </w:p>
    <w:p w:rsidR="005C447B" w:rsidRPr="0073752A" w:rsidRDefault="00CB0B53">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Del ejercicio Fiscal 2020, la cantidad del personal, nombres, puesto, profesiograma, grado académico, tipo de contratación, y remuneración del personal</w:t>
      </w: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En respuesta, 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de acuerdo a la respuesta de la Subdirección de Recursos Humanos, precisa que la información solicitada se encuentra en las siguientes ligas electrónicas: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E14545">
      <w:pPr>
        <w:spacing w:after="0" w:line="360" w:lineRule="auto"/>
        <w:jc w:val="both"/>
        <w:rPr>
          <w:rFonts w:ascii="Palatino Linotype" w:eastAsia="Palatino Linotype" w:hAnsi="Palatino Linotype" w:cs="Palatino Linotype"/>
          <w:i/>
          <w:sz w:val="24"/>
          <w:szCs w:val="24"/>
        </w:rPr>
      </w:pPr>
      <w:hyperlink r:id="rId12">
        <w:r w:rsidR="00CB0B53" w:rsidRPr="0073752A">
          <w:rPr>
            <w:rFonts w:ascii="Palatino Linotype" w:eastAsia="Palatino Linotype" w:hAnsi="Palatino Linotype" w:cs="Palatino Linotype"/>
            <w:i/>
            <w:sz w:val="24"/>
            <w:szCs w:val="24"/>
            <w:u w:val="single"/>
          </w:rPr>
          <w:t>https://texcoco.ayuntamientodigital.god.mx/transparencia/texcoco/ayuntamiento_92_llB_210407113127_organigrama-oficial-40-trimeestre.pdf</w:t>
        </w:r>
      </w:hyperlink>
      <w:r w:rsidR="00CB0B53" w:rsidRPr="0073752A">
        <w:rPr>
          <w:rFonts w:ascii="Palatino Linotype" w:eastAsia="Palatino Linotype" w:hAnsi="Palatino Linotype" w:cs="Palatino Linotype"/>
          <w:i/>
          <w:sz w:val="24"/>
          <w:szCs w:val="24"/>
        </w:rPr>
        <w:t xml:space="preserve"> </w:t>
      </w:r>
    </w:p>
    <w:p w:rsidR="005C447B" w:rsidRPr="0073752A" w:rsidRDefault="005C447B">
      <w:pPr>
        <w:spacing w:after="0" w:line="360" w:lineRule="auto"/>
        <w:jc w:val="both"/>
        <w:rPr>
          <w:rFonts w:ascii="Palatino Linotype" w:eastAsia="Palatino Linotype" w:hAnsi="Palatino Linotype" w:cs="Palatino Linotype"/>
          <w:i/>
          <w:sz w:val="24"/>
          <w:szCs w:val="24"/>
        </w:rPr>
      </w:pPr>
    </w:p>
    <w:p w:rsidR="005C447B" w:rsidRPr="0073752A" w:rsidRDefault="00E14545">
      <w:pPr>
        <w:spacing w:after="0" w:line="360" w:lineRule="auto"/>
        <w:jc w:val="both"/>
        <w:rPr>
          <w:rFonts w:ascii="Palatino Linotype" w:eastAsia="Palatino Linotype" w:hAnsi="Palatino Linotype" w:cs="Palatino Linotype"/>
          <w:i/>
          <w:sz w:val="24"/>
          <w:szCs w:val="24"/>
        </w:rPr>
      </w:pPr>
      <w:hyperlink r:id="rId13">
        <w:r w:rsidR="00CB0B53" w:rsidRPr="0073752A">
          <w:rPr>
            <w:rFonts w:ascii="Palatino Linotype" w:eastAsia="Palatino Linotype" w:hAnsi="Palatino Linotype" w:cs="Palatino Linotype"/>
            <w:i/>
            <w:sz w:val="24"/>
            <w:szCs w:val="24"/>
            <w:u w:val="single"/>
          </w:rPr>
          <w:t>https://www.ipomex.org.mx/ipo3/lgt/indice/TEXCOCO/organigramas.web</w:t>
        </w:r>
      </w:hyperlink>
      <w:r w:rsidR="00CB0B53" w:rsidRPr="0073752A">
        <w:rPr>
          <w:rFonts w:ascii="Palatino Linotype" w:eastAsia="Palatino Linotype" w:hAnsi="Palatino Linotype" w:cs="Palatino Linotype"/>
          <w:i/>
          <w:sz w:val="24"/>
          <w:szCs w:val="24"/>
        </w:rPr>
        <w:t xml:space="preserve"> </w:t>
      </w:r>
    </w:p>
    <w:p w:rsidR="005C447B" w:rsidRPr="0073752A" w:rsidRDefault="005C447B">
      <w:pPr>
        <w:spacing w:after="0" w:line="360" w:lineRule="auto"/>
        <w:jc w:val="both"/>
        <w:rPr>
          <w:rFonts w:ascii="Palatino Linotype" w:eastAsia="Palatino Linotype" w:hAnsi="Palatino Linotype" w:cs="Palatino Linotype"/>
          <w:i/>
          <w:sz w:val="24"/>
          <w:szCs w:val="24"/>
        </w:rPr>
      </w:pPr>
    </w:p>
    <w:p w:rsidR="005C447B" w:rsidRPr="0073752A" w:rsidRDefault="00E14545">
      <w:pPr>
        <w:spacing w:after="0" w:line="360" w:lineRule="auto"/>
        <w:jc w:val="both"/>
        <w:rPr>
          <w:rFonts w:ascii="Palatino Linotype" w:eastAsia="Palatino Linotype" w:hAnsi="Palatino Linotype" w:cs="Palatino Linotype"/>
          <w:i/>
          <w:sz w:val="16"/>
          <w:szCs w:val="16"/>
        </w:rPr>
      </w:pPr>
      <w:hyperlink r:id="rId14">
        <w:r w:rsidR="00CB0B53" w:rsidRPr="0073752A">
          <w:rPr>
            <w:rFonts w:ascii="Palatino Linotype" w:eastAsia="Palatino Linotype" w:hAnsi="Palatino Linotype" w:cs="Palatino Linotype"/>
            <w:i/>
            <w:sz w:val="24"/>
            <w:szCs w:val="24"/>
            <w:u w:val="single"/>
          </w:rPr>
          <w:t>https://texcoco.ayuntamientodigital.gob.mx/transparencia/texcoco/ayuntamiento_92_VIIIB_210824132955_tabulador-de-sueldoss.pdf</w:t>
        </w:r>
      </w:hyperlink>
      <w:r w:rsidR="00CB0B53" w:rsidRPr="0073752A">
        <w:rPr>
          <w:rFonts w:ascii="Palatino Linotype" w:eastAsia="Palatino Linotype" w:hAnsi="Palatino Linotype" w:cs="Palatino Linotype"/>
          <w:i/>
          <w:sz w:val="24"/>
          <w:szCs w:val="24"/>
        </w:rPr>
        <w:t xml:space="preserve"> </w:t>
      </w: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Conocida la respuesta por el particular, al no estar conforme con los términos de la misma, presentó el recurso de revisión que nos ocupa, mediante el cual señaló como motivo de inconformidad en lo medular porque el primer vínculo abre una página que no corresponde a lo solicitado, el segundo vinculo si abre una página oficial de información pública, y el tercer vínculo abre una página en crudo con errores y de nula navegación.</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Cabe precisar que, una vez notificado el recurso de revisión al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remitió su informe justificado en donde hace entrega de un cuadro en el que se encuentra la adscripción, escolaridad, nombre, categoría y el sueldo neto de los servidores públicos adscritos a la Tesorería Municipal, la Dirección de Ingresos y la Dirección de Egresos, por su parte el ahora </w:t>
      </w:r>
      <w:r w:rsidRPr="0073752A">
        <w:rPr>
          <w:rFonts w:ascii="Palatino Linotype" w:eastAsia="Palatino Linotype" w:hAnsi="Palatino Linotype" w:cs="Palatino Linotype"/>
          <w:b/>
          <w:sz w:val="24"/>
          <w:szCs w:val="24"/>
        </w:rPr>
        <w:t>RECURRENTE</w:t>
      </w:r>
      <w:r w:rsidRPr="0073752A">
        <w:rPr>
          <w:rFonts w:ascii="Palatino Linotype" w:eastAsia="Palatino Linotype" w:hAnsi="Palatino Linotype" w:cs="Palatino Linotype"/>
          <w:sz w:val="24"/>
          <w:szCs w:val="24"/>
        </w:rPr>
        <w:t xml:space="preserve"> fue omiso en emitir sus manifestaciones.</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tabs>
          <w:tab w:val="left" w:pos="8647"/>
        </w:tabs>
        <w:spacing w:after="0" w:line="360" w:lineRule="auto"/>
        <w:ind w:right="14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En primera instancia conviene precisar que los términos de contabilidad y presupuesto, se refieren a lo siguiente: </w:t>
      </w:r>
    </w:p>
    <w:p w:rsidR="005C447B" w:rsidRPr="0073752A" w:rsidRDefault="005C447B">
      <w:pPr>
        <w:tabs>
          <w:tab w:val="left" w:pos="8647"/>
        </w:tabs>
        <w:spacing w:after="0" w:line="360" w:lineRule="auto"/>
        <w:ind w:right="141"/>
        <w:jc w:val="both"/>
        <w:rPr>
          <w:rFonts w:ascii="Palatino Linotype" w:eastAsia="Palatino Linotype" w:hAnsi="Palatino Linotype" w:cs="Palatino Linotype"/>
          <w:sz w:val="24"/>
          <w:szCs w:val="24"/>
        </w:rPr>
      </w:pPr>
    </w:p>
    <w:p w:rsidR="005C447B" w:rsidRPr="0073752A" w:rsidRDefault="00CB0B53">
      <w:pPr>
        <w:tabs>
          <w:tab w:val="left" w:pos="7938"/>
        </w:tabs>
        <w:spacing w:after="0" w:line="276" w:lineRule="auto"/>
        <w:ind w:left="851" w:right="900"/>
        <w:jc w:val="both"/>
        <w:rPr>
          <w:rFonts w:ascii="Palatino Linotype" w:eastAsia="Palatino Linotype" w:hAnsi="Palatino Linotype" w:cs="Palatino Linotype"/>
          <w:b/>
          <w:i/>
        </w:rPr>
      </w:pPr>
      <w:r w:rsidRPr="0073752A">
        <w:rPr>
          <w:rFonts w:ascii="Palatino Linotype" w:eastAsia="Palatino Linotype" w:hAnsi="Palatino Linotype" w:cs="Palatino Linotype"/>
          <w:b/>
          <w:i/>
        </w:rPr>
        <w:t xml:space="preserve">DICCIONARIO DE CONTABILIDAD Y SISTEMAS DE INFORMACIÓN, EMITIDO POR LA UNIVERDID DE GUADALAJARA. </w:t>
      </w:r>
    </w:p>
    <w:p w:rsidR="005C447B" w:rsidRPr="0073752A" w:rsidRDefault="00CB0B53">
      <w:pPr>
        <w:tabs>
          <w:tab w:val="left" w:pos="7938"/>
        </w:tabs>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b/>
          <w:i/>
        </w:rPr>
        <w:t>Contabilidad.</w:t>
      </w:r>
      <w:r w:rsidRPr="0073752A">
        <w:rPr>
          <w:rFonts w:ascii="Palatino Linotype" w:eastAsia="Palatino Linotype" w:hAnsi="Palatino Linotype" w:cs="Palatino Linotype"/>
          <w:i/>
        </w:rPr>
        <w:t xml:space="preserve"> Técnica de captación, clasificación y registro sistemático de las operaciones de una entidad para producir información oportuna, relevante y veraz. La contabilidad es la disciplina que se enriquece con las áreas administrativa, jurídica y fiscal, financiera, costos y auditoría.</w:t>
      </w:r>
    </w:p>
    <w:p w:rsidR="005C447B" w:rsidRPr="0073752A" w:rsidRDefault="00CB0B53">
      <w:pPr>
        <w:tabs>
          <w:tab w:val="left" w:pos="7938"/>
        </w:tabs>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b/>
          <w:i/>
        </w:rPr>
        <w:lastRenderedPageBreak/>
        <w:t>Presupuesto.</w:t>
      </w:r>
      <w:r w:rsidRPr="0073752A">
        <w:rPr>
          <w:rFonts w:ascii="Palatino Linotype" w:eastAsia="Palatino Linotype" w:hAnsi="Palatino Linotype" w:cs="Palatino Linotype"/>
          <w:i/>
        </w:rPr>
        <w:t xml:space="preserve"> Del francés antiguo </w:t>
      </w:r>
      <w:proofErr w:type="spellStart"/>
      <w:r w:rsidRPr="0073752A">
        <w:rPr>
          <w:rFonts w:ascii="Palatino Linotype" w:eastAsia="Palatino Linotype" w:hAnsi="Palatino Linotype" w:cs="Palatino Linotype"/>
          <w:i/>
        </w:rPr>
        <w:t>bougette</w:t>
      </w:r>
      <w:proofErr w:type="spellEnd"/>
      <w:r w:rsidRPr="0073752A">
        <w:rPr>
          <w:rFonts w:ascii="Palatino Linotype" w:eastAsia="Palatino Linotype" w:hAnsi="Palatino Linotype" w:cs="Palatino Linotype"/>
          <w:i/>
        </w:rPr>
        <w:t xml:space="preserve"> o bolsa, sinónimo de control del gasto. Un conjunto de pronósticos referente a un periodo determinado. Es un plan integrador, sistemático y objetivo.</w:t>
      </w:r>
    </w:p>
    <w:p w:rsidR="005C447B" w:rsidRPr="0073752A" w:rsidRDefault="005C447B">
      <w:pPr>
        <w:tabs>
          <w:tab w:val="left" w:pos="8647"/>
        </w:tabs>
        <w:spacing w:after="0" w:line="276" w:lineRule="auto"/>
        <w:ind w:right="141"/>
        <w:jc w:val="both"/>
        <w:rPr>
          <w:rFonts w:ascii="Palatino Linotype" w:eastAsia="Palatino Linotype" w:hAnsi="Palatino Linotype" w:cs="Palatino Linotype"/>
          <w:sz w:val="24"/>
          <w:szCs w:val="24"/>
        </w:rPr>
      </w:pPr>
    </w:p>
    <w:p w:rsidR="005C447B" w:rsidRPr="0073752A" w:rsidRDefault="00CB0B53">
      <w:pPr>
        <w:tabs>
          <w:tab w:val="left" w:pos="8647"/>
        </w:tabs>
        <w:spacing w:after="0" w:line="360" w:lineRule="auto"/>
        <w:ind w:right="14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De acuerdo a lo anterior la contabilidad consiste en las actividades y técnicas relacionadas a obtener información oportuna en materia, fiscal, financiera, de costos y auditoría, por lo que al presupuesto corresponde este se entiende como un control de gasto, llevado a cabo mediante </w:t>
      </w:r>
      <w:proofErr w:type="gramStart"/>
      <w:r w:rsidRPr="0073752A">
        <w:rPr>
          <w:rFonts w:ascii="Palatino Linotype" w:eastAsia="Palatino Linotype" w:hAnsi="Palatino Linotype" w:cs="Palatino Linotype"/>
          <w:sz w:val="24"/>
          <w:szCs w:val="24"/>
        </w:rPr>
        <w:t>un proyecto integrados, sistemático y objetivo</w:t>
      </w:r>
      <w:proofErr w:type="gramEnd"/>
      <w:r w:rsidRPr="0073752A">
        <w:rPr>
          <w:rFonts w:ascii="Palatino Linotype" w:eastAsia="Palatino Linotype" w:hAnsi="Palatino Linotype" w:cs="Palatino Linotype"/>
          <w:sz w:val="24"/>
          <w:szCs w:val="24"/>
        </w:rPr>
        <w:t xml:space="preserve">. </w:t>
      </w:r>
    </w:p>
    <w:p w:rsidR="005C447B" w:rsidRPr="0073752A" w:rsidRDefault="005C447B">
      <w:pPr>
        <w:tabs>
          <w:tab w:val="left" w:pos="8647"/>
        </w:tabs>
        <w:spacing w:after="0" w:line="360" w:lineRule="auto"/>
        <w:ind w:right="141"/>
        <w:jc w:val="both"/>
        <w:rPr>
          <w:rFonts w:ascii="Palatino Linotype" w:eastAsia="Palatino Linotype" w:hAnsi="Palatino Linotype" w:cs="Palatino Linotype"/>
          <w:sz w:val="24"/>
          <w:szCs w:val="24"/>
        </w:rPr>
      </w:pPr>
    </w:p>
    <w:p w:rsidR="005C447B" w:rsidRPr="0073752A" w:rsidRDefault="00CB0B53">
      <w:pPr>
        <w:tabs>
          <w:tab w:val="left" w:pos="8647"/>
        </w:tabs>
        <w:spacing w:after="0" w:line="360" w:lineRule="auto"/>
        <w:ind w:right="14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Por lo antes precisado y de acuerdo con la temporalidad señalada por el </w:t>
      </w:r>
      <w:r w:rsidRPr="0073752A">
        <w:rPr>
          <w:rFonts w:ascii="Palatino Linotype" w:eastAsia="Palatino Linotype" w:hAnsi="Palatino Linotype" w:cs="Palatino Linotype"/>
          <w:b/>
          <w:sz w:val="24"/>
          <w:szCs w:val="24"/>
        </w:rPr>
        <w:t xml:space="preserve">RECURRENTE </w:t>
      </w:r>
      <w:r w:rsidRPr="0073752A">
        <w:rPr>
          <w:rFonts w:ascii="Palatino Linotype" w:eastAsia="Palatino Linotype" w:hAnsi="Palatino Linotype" w:cs="Palatino Linotype"/>
          <w:sz w:val="24"/>
          <w:szCs w:val="24"/>
        </w:rPr>
        <w:t>en su solicitud inicial conviene mencionar la estructura orgánica de la Tesorería Municipal vigente al dos mil veinte de acuerdo a lo siguiente:</w:t>
      </w:r>
    </w:p>
    <w:p w:rsidR="005C447B" w:rsidRPr="0073752A" w:rsidRDefault="005C447B">
      <w:pPr>
        <w:tabs>
          <w:tab w:val="left" w:pos="8647"/>
        </w:tabs>
        <w:spacing w:after="0" w:line="360" w:lineRule="auto"/>
        <w:ind w:right="141"/>
        <w:jc w:val="both"/>
        <w:rPr>
          <w:rFonts w:ascii="Palatino Linotype" w:eastAsia="Palatino Linotype" w:hAnsi="Palatino Linotype" w:cs="Palatino Linotype"/>
          <w:sz w:val="24"/>
          <w:szCs w:val="24"/>
        </w:rPr>
      </w:pPr>
    </w:p>
    <w:p w:rsidR="005C447B" w:rsidRPr="0073752A" w:rsidRDefault="00CB0B53">
      <w:pPr>
        <w:tabs>
          <w:tab w:val="left" w:pos="8505"/>
        </w:tabs>
        <w:spacing w:after="0" w:line="276" w:lineRule="auto"/>
        <w:ind w:left="851" w:right="900"/>
        <w:jc w:val="both"/>
        <w:rPr>
          <w:rFonts w:ascii="Palatino Linotype" w:eastAsia="Palatino Linotype" w:hAnsi="Palatino Linotype" w:cs="Palatino Linotype"/>
          <w:b/>
          <w:i/>
        </w:rPr>
      </w:pPr>
      <w:r w:rsidRPr="0073752A">
        <w:rPr>
          <w:rFonts w:ascii="Palatino Linotype" w:eastAsia="Palatino Linotype" w:hAnsi="Palatino Linotype" w:cs="Palatino Linotype"/>
          <w:b/>
          <w:i/>
        </w:rPr>
        <w:t>BANDO DE GOBIERNO DEL MUNICIPIO DE TEXCOCO 2020.</w:t>
      </w:r>
    </w:p>
    <w:p w:rsidR="005C447B" w:rsidRPr="0073752A" w:rsidRDefault="005C447B">
      <w:pPr>
        <w:tabs>
          <w:tab w:val="left" w:pos="8505"/>
        </w:tabs>
        <w:spacing w:after="0" w:line="276" w:lineRule="auto"/>
        <w:ind w:left="851" w:right="900"/>
        <w:jc w:val="both"/>
        <w:rPr>
          <w:rFonts w:ascii="Palatino Linotype" w:eastAsia="Palatino Linotype" w:hAnsi="Palatino Linotype" w:cs="Palatino Linotype"/>
          <w:b/>
          <w:i/>
        </w:rPr>
      </w:pPr>
    </w:p>
    <w:p w:rsidR="005C447B" w:rsidRPr="0073752A" w:rsidRDefault="00CB0B53">
      <w:pPr>
        <w:tabs>
          <w:tab w:val="left" w:pos="8505"/>
        </w:tabs>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Artículo 31</w:t>
      </w:r>
      <w:r w:rsidRPr="0073752A">
        <w:rPr>
          <w:rFonts w:ascii="Palatino Linotype" w:eastAsia="Palatino Linotype" w:hAnsi="Palatino Linotype" w:cs="Palatino Linotype"/>
          <w:i/>
          <w:u w:val="single"/>
        </w:rPr>
        <w:t>.- La Tesorería Municipal</w:t>
      </w:r>
      <w:r w:rsidRPr="0073752A">
        <w:rPr>
          <w:rFonts w:ascii="Palatino Linotype" w:eastAsia="Palatino Linotype" w:hAnsi="Palatino Linotype" w:cs="Palatino Linotype"/>
          <w:i/>
        </w:rPr>
        <w:t xml:space="preserve"> es la dependencia facultada para gestionar, recaudar y administrar la Hacienda Pública Municipal por medio de las </w:t>
      </w:r>
      <w:r w:rsidRPr="0073752A">
        <w:rPr>
          <w:rFonts w:ascii="Palatino Linotype" w:eastAsia="Palatino Linotype" w:hAnsi="Palatino Linotype" w:cs="Palatino Linotype"/>
          <w:i/>
          <w:u w:val="single"/>
        </w:rPr>
        <w:t>Direcciones de Ingresos y Egresos, apoyadas por las áreas de Contabilidad, Cuenta Pública y por la Coordinación Municipal de Notificadores</w:t>
      </w:r>
      <w:r w:rsidRPr="0073752A">
        <w:rPr>
          <w:rFonts w:ascii="Palatino Linotype" w:eastAsia="Palatino Linotype" w:hAnsi="Palatino Linotype" w:cs="Palatino Linotype"/>
          <w:i/>
        </w:rPr>
        <w:t>.</w:t>
      </w: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De acuerdo a lo anterior, la Tesorería Municipal gestiona, recauda y administra la Hacienda Pública Municipal, por conducto de las Direcciones de Ingresos y Egresos mismas que cuentan con el apoyo de las áreas de Contabilidad, Cuenta Pública y por la Coordinación Municipal de Notificadores.</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De igual modo, el Bando de Gobierno del Municipio de Texcoco 2020, refiere lo siguiente:</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b/>
          <w:i/>
        </w:rPr>
        <w:t>“</w:t>
      </w:r>
      <w:r w:rsidRPr="0073752A">
        <w:rPr>
          <w:rFonts w:ascii="Palatino Linotype" w:eastAsia="Palatino Linotype" w:hAnsi="Palatino Linotype" w:cs="Palatino Linotype"/>
          <w:i/>
        </w:rPr>
        <w:t>Artículo 153.- La Unidad de Transparencia será la responsable de garantizar a las personas el derecho al acceso a la información pública de conformidad con lo establecido en la ley de Transparencia y Acceso a la Información Pública.”</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tabs>
          <w:tab w:val="left" w:pos="8647"/>
        </w:tabs>
        <w:spacing w:after="0" w:line="360" w:lineRule="auto"/>
        <w:ind w:right="141"/>
        <w:jc w:val="both"/>
        <w:rPr>
          <w:rFonts w:ascii="Palatino Linotype" w:eastAsia="Palatino Linotype" w:hAnsi="Palatino Linotype" w:cs="Palatino Linotype"/>
          <w:sz w:val="24"/>
          <w:szCs w:val="24"/>
        </w:rPr>
      </w:pPr>
      <w:bookmarkStart w:id="2" w:name="_heading=h.30j0zll" w:colFirst="0" w:colLast="0"/>
      <w:bookmarkEnd w:id="2"/>
      <w:r w:rsidRPr="0073752A">
        <w:rPr>
          <w:rFonts w:ascii="Palatino Linotype" w:eastAsia="Palatino Linotype" w:hAnsi="Palatino Linotype" w:cs="Palatino Linotype"/>
          <w:sz w:val="24"/>
          <w:szCs w:val="24"/>
        </w:rPr>
        <w:t xml:space="preserve">De acuerdo a lo anterior, se determina que en efecto, 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contaba en el año dos mil veinte con la Tesorería Municipal, la Dirección de Egresos, la Dirección de Ingresos, el áreas de Contabilidad, Cuenta Pública y por la Coordinación Municipal de Notificadores que lleva a cabo actividades relacionadas a la contabilidad y presupuesto de conformidad con sus atribuciones y con una Unidad de Transparencia.</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tabs>
          <w:tab w:val="left" w:pos="8647"/>
        </w:tabs>
        <w:spacing w:after="0" w:line="360" w:lineRule="auto"/>
        <w:ind w:right="14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Aclarado lo anterior resulta importante mencionar que al ingresar a las ligas electrónicas, proporcionadas como respuesta a la solicitud de información, se observa lo siguiente:</w:t>
      </w:r>
    </w:p>
    <w:p w:rsidR="005C447B" w:rsidRPr="0073752A" w:rsidRDefault="005C447B">
      <w:pPr>
        <w:tabs>
          <w:tab w:val="left" w:pos="8647"/>
        </w:tabs>
        <w:spacing w:after="0" w:line="360" w:lineRule="auto"/>
        <w:ind w:right="141"/>
        <w:jc w:val="both"/>
        <w:rPr>
          <w:rFonts w:ascii="Palatino Linotype" w:eastAsia="Palatino Linotype" w:hAnsi="Palatino Linotype" w:cs="Palatino Linotype"/>
          <w:sz w:val="24"/>
          <w:szCs w:val="24"/>
        </w:rPr>
      </w:pPr>
    </w:p>
    <w:p w:rsidR="005C447B" w:rsidRPr="0073752A" w:rsidRDefault="00E14545">
      <w:pPr>
        <w:tabs>
          <w:tab w:val="left" w:pos="8647"/>
        </w:tabs>
        <w:spacing w:after="0" w:line="360" w:lineRule="auto"/>
        <w:ind w:right="141"/>
        <w:jc w:val="both"/>
        <w:rPr>
          <w:rFonts w:ascii="Palatino Linotype" w:eastAsia="Palatino Linotype" w:hAnsi="Palatino Linotype" w:cs="Palatino Linotype"/>
          <w:sz w:val="24"/>
          <w:szCs w:val="24"/>
        </w:rPr>
      </w:pPr>
      <w:hyperlink r:id="rId15">
        <w:r w:rsidR="00CB0B53" w:rsidRPr="0073752A">
          <w:rPr>
            <w:rFonts w:ascii="Palatino Linotype" w:eastAsia="Palatino Linotype" w:hAnsi="Palatino Linotype" w:cs="Palatino Linotype"/>
            <w:sz w:val="24"/>
            <w:szCs w:val="24"/>
            <w:u w:val="single"/>
          </w:rPr>
          <w:t>https://texcoco.ayuntamientodigital.god.mx/transparencia/texcoco/ayuntamiento_92_ll-B_210407113127_organigrama-oficial-40-trimeestre.pdf</w:t>
        </w:r>
      </w:hyperlink>
      <w:r w:rsidR="00CB0B53" w:rsidRPr="0073752A">
        <w:rPr>
          <w:rFonts w:ascii="Palatino Linotype" w:eastAsia="Palatino Linotype" w:hAnsi="Palatino Linotype" w:cs="Palatino Linotype"/>
          <w:sz w:val="24"/>
          <w:szCs w:val="24"/>
        </w:rPr>
        <w:t xml:space="preserve"> </w:t>
      </w:r>
    </w:p>
    <w:p w:rsidR="005C447B" w:rsidRPr="0073752A" w:rsidRDefault="005C447B">
      <w:pPr>
        <w:tabs>
          <w:tab w:val="left" w:pos="8647"/>
        </w:tabs>
        <w:spacing w:after="0" w:line="360" w:lineRule="auto"/>
        <w:ind w:right="141"/>
        <w:jc w:val="both"/>
      </w:pPr>
    </w:p>
    <w:p w:rsidR="005C447B" w:rsidRPr="0073752A" w:rsidRDefault="00CB0B53">
      <w:pPr>
        <w:tabs>
          <w:tab w:val="left" w:pos="8647"/>
        </w:tabs>
        <w:spacing w:after="0" w:line="360" w:lineRule="auto"/>
        <w:ind w:right="141"/>
        <w:jc w:val="both"/>
        <w:rPr>
          <w:rFonts w:ascii="Palatino Linotype" w:eastAsia="Palatino Linotype" w:hAnsi="Palatino Linotype" w:cs="Palatino Linotype"/>
          <w:sz w:val="24"/>
          <w:szCs w:val="24"/>
        </w:rPr>
      </w:pPr>
      <w:r w:rsidRPr="0073752A">
        <w:rPr>
          <w:noProof/>
        </w:rPr>
        <w:lastRenderedPageBreak/>
        <w:drawing>
          <wp:inline distT="0" distB="0" distL="0" distR="0">
            <wp:extent cx="5514173" cy="2657513"/>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32927" t="17501" r="33638" b="34820"/>
                    <a:stretch>
                      <a:fillRect/>
                    </a:stretch>
                  </pic:blipFill>
                  <pic:spPr>
                    <a:xfrm>
                      <a:off x="0" y="0"/>
                      <a:ext cx="5514173" cy="2657513"/>
                    </a:xfrm>
                    <a:prstGeom prst="rect">
                      <a:avLst/>
                    </a:prstGeom>
                    <a:ln/>
                  </pic:spPr>
                </pic:pic>
              </a:graphicData>
            </a:graphic>
          </wp:inline>
        </w:drawing>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E14545">
      <w:pPr>
        <w:spacing w:after="0" w:line="360" w:lineRule="auto"/>
        <w:jc w:val="both"/>
      </w:pPr>
      <w:hyperlink r:id="rId17">
        <w:r w:rsidR="00CB0B53" w:rsidRPr="0073752A">
          <w:rPr>
            <w:u w:val="single"/>
          </w:rPr>
          <w:t>https://www.ipomex.org.mx/ipo3/lgt/indice/TEXCOCO/organigramas.web</w:t>
        </w:r>
      </w:hyperlink>
      <w:r w:rsidR="00CB0B53" w:rsidRPr="0073752A">
        <w:t xml:space="preserve"> </w:t>
      </w:r>
    </w:p>
    <w:p w:rsidR="005C447B" w:rsidRPr="0073752A" w:rsidRDefault="005C447B">
      <w:pPr>
        <w:spacing w:after="0" w:line="360" w:lineRule="auto"/>
        <w:jc w:val="both"/>
      </w:pPr>
    </w:p>
    <w:p w:rsidR="005C447B" w:rsidRPr="0073752A" w:rsidRDefault="00CB0B53">
      <w:pPr>
        <w:spacing w:after="0" w:line="360" w:lineRule="auto"/>
        <w:jc w:val="center"/>
      </w:pPr>
      <w:r w:rsidRPr="0073752A">
        <w:rPr>
          <w:noProof/>
        </w:rPr>
        <w:lastRenderedPageBreak/>
        <w:drawing>
          <wp:inline distT="0" distB="0" distL="0" distR="0">
            <wp:extent cx="4594635" cy="3852743"/>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26986" t="21122" r="32111" b="4043"/>
                    <a:stretch>
                      <a:fillRect/>
                    </a:stretch>
                  </pic:blipFill>
                  <pic:spPr>
                    <a:xfrm>
                      <a:off x="0" y="0"/>
                      <a:ext cx="4594635" cy="3852743"/>
                    </a:xfrm>
                    <a:prstGeom prst="rect">
                      <a:avLst/>
                    </a:prstGeom>
                    <a:ln/>
                  </pic:spPr>
                </pic:pic>
              </a:graphicData>
            </a:graphic>
          </wp:inline>
        </w:drawing>
      </w:r>
    </w:p>
    <w:p w:rsidR="005C447B" w:rsidRPr="0073752A" w:rsidRDefault="00E14545">
      <w:pPr>
        <w:spacing w:after="0" w:line="360" w:lineRule="auto"/>
        <w:jc w:val="both"/>
        <w:rPr>
          <w:rFonts w:ascii="Palatino Linotype" w:eastAsia="Palatino Linotype" w:hAnsi="Palatino Linotype" w:cs="Palatino Linotype"/>
          <w:sz w:val="24"/>
          <w:szCs w:val="24"/>
        </w:rPr>
      </w:pPr>
      <w:hyperlink r:id="rId19">
        <w:r w:rsidR="00CB0B53" w:rsidRPr="0073752A">
          <w:rPr>
            <w:u w:val="single"/>
          </w:rPr>
          <w:t>https://texcoco.ayuntamientodigital.gob.mx/transparencia/ayuntamiento</w:t>
        </w:r>
      </w:hyperlink>
      <w:r w:rsidR="00CB0B53" w:rsidRPr="0073752A">
        <w:t xml:space="preserve">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noProof/>
        </w:rPr>
        <w:lastRenderedPageBreak/>
        <w:drawing>
          <wp:inline distT="0" distB="0" distL="0" distR="0">
            <wp:extent cx="5372446" cy="4746997"/>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6639" r="43142" b="4043"/>
                    <a:stretch>
                      <a:fillRect/>
                    </a:stretch>
                  </pic:blipFill>
                  <pic:spPr>
                    <a:xfrm>
                      <a:off x="0" y="0"/>
                      <a:ext cx="5372446" cy="4746997"/>
                    </a:xfrm>
                    <a:prstGeom prst="rect">
                      <a:avLst/>
                    </a:prstGeom>
                    <a:ln/>
                  </pic:spPr>
                </pic:pic>
              </a:graphicData>
            </a:graphic>
          </wp:inline>
        </w:drawing>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En donde se observa que no contiene la información solicitada; por consiguiente, no se colmó la pretensión de la parte </w:t>
      </w:r>
      <w:r w:rsidRPr="0073752A">
        <w:rPr>
          <w:rFonts w:ascii="Palatino Linotype" w:eastAsia="Palatino Linotype" w:hAnsi="Palatino Linotype" w:cs="Palatino Linotype"/>
          <w:b/>
          <w:sz w:val="24"/>
          <w:szCs w:val="24"/>
        </w:rPr>
        <w:t>RECURRENTE</w:t>
      </w:r>
      <w:r w:rsidRPr="0073752A">
        <w:rPr>
          <w:rFonts w:ascii="Palatino Linotype" w:eastAsia="Palatino Linotype" w:hAnsi="Palatino Linotype" w:cs="Palatino Linotype"/>
          <w:sz w:val="24"/>
          <w:szCs w:val="24"/>
        </w:rPr>
        <w:t xml:space="preserve"> en razón de lo siguiente: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La primera liga marca un error de carga</w:t>
      </w:r>
    </w:p>
    <w:p w:rsidR="005C447B" w:rsidRPr="0073752A" w:rsidRDefault="00CB0B5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La segunda liga remite al portal del IPOMEX correspondiente a la fracción III de la estructura orgánica del </w:t>
      </w:r>
      <w:r w:rsidRPr="0073752A">
        <w:rPr>
          <w:rFonts w:ascii="Palatino Linotype" w:eastAsia="Palatino Linotype" w:hAnsi="Palatino Linotype" w:cs="Palatino Linotype"/>
          <w:b/>
          <w:sz w:val="24"/>
          <w:szCs w:val="24"/>
        </w:rPr>
        <w:t xml:space="preserve">SUJETO OBLIGADO pero correspondiente al ejercicio fiscal 2022, lo cual no corresponde con el periodo solicitado. </w:t>
      </w:r>
    </w:p>
    <w:p w:rsidR="005C447B" w:rsidRPr="0073752A" w:rsidRDefault="00CB0B5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 xml:space="preserve">La tercera liga remite a un portal para ingresar a la información pública de oficio del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sin detallar el procedimiento específico para acceder a los datos solicitados.</w:t>
      </w:r>
    </w:p>
    <w:p w:rsidR="005C447B" w:rsidRPr="0073752A" w:rsidRDefault="005C44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5C447B" w:rsidRPr="0073752A" w:rsidRDefault="00CB0B5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5C447B" w:rsidRPr="0073752A" w:rsidRDefault="005C44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5C447B" w:rsidRPr="0073752A" w:rsidRDefault="00CB0B5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rPr>
      </w:pPr>
      <w:r w:rsidRPr="0073752A">
        <w:rPr>
          <w:rFonts w:ascii="Palatino Linotype" w:eastAsia="Palatino Linotype" w:hAnsi="Palatino Linotype" w:cs="Palatino Linotype"/>
          <w:b/>
          <w:i/>
        </w:rPr>
        <w:t>“Artículo 11.</w:t>
      </w:r>
      <w:r w:rsidRPr="0073752A">
        <w:rPr>
          <w:rFonts w:ascii="Palatino Linotype" w:eastAsia="Palatino Linotype" w:hAnsi="Palatino Linotype" w:cs="Palatino Linotype"/>
          <w:i/>
        </w:rPr>
        <w:t xml:space="preserve"> </w:t>
      </w:r>
      <w:r w:rsidRPr="0073752A">
        <w:rPr>
          <w:rFonts w:ascii="Palatino Linotype" w:eastAsia="Palatino Linotype" w:hAnsi="Palatino Linotype" w:cs="Palatino Linotype"/>
          <w:b/>
          <w:i/>
          <w:u w:val="single"/>
        </w:rPr>
        <w:t>En la generación, publicación y entrega de información se deberá garantizar que ésta sea accesible, actualizada, completa, congruente, confiable, verificable, veraz, integral, oportuna y expedita</w:t>
      </w:r>
      <w:r w:rsidRPr="0073752A">
        <w:rPr>
          <w:rFonts w:ascii="Palatino Linotype" w:eastAsia="Palatino Linotype" w:hAnsi="Palatino Linotype" w:cs="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5C447B" w:rsidRPr="0073752A" w:rsidRDefault="00CB0B5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5C447B">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rPr>
      </w:pPr>
    </w:p>
    <w:p w:rsidR="005C447B" w:rsidRPr="0073752A" w:rsidRDefault="00CB0B5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rPr>
      </w:pPr>
      <w:r w:rsidRPr="0073752A">
        <w:rPr>
          <w:rFonts w:ascii="Palatino Linotype" w:eastAsia="Palatino Linotype" w:hAnsi="Palatino Linotype" w:cs="Palatino Linotype"/>
          <w:b/>
          <w:i/>
        </w:rPr>
        <w:t>Artículo 161.</w:t>
      </w:r>
      <w:r w:rsidRPr="0073752A">
        <w:rPr>
          <w:rFonts w:ascii="Palatino Linotype" w:eastAsia="Palatino Linotype" w:hAnsi="Palatino Linotype" w:cs="Palatino Linotype"/>
          <w:i/>
        </w:rPr>
        <w:t xml:space="preserve"> </w:t>
      </w:r>
      <w:r w:rsidRPr="0073752A">
        <w:rPr>
          <w:rFonts w:ascii="Palatino Linotype" w:eastAsia="Palatino Linotype" w:hAnsi="Palatino Linotype" w:cs="Palatino Linotype"/>
          <w:b/>
          <w:i/>
          <w:u w:val="single"/>
        </w:rPr>
        <w:t>Cuando la información requerida por el solicitante ya esté disponible al público</w:t>
      </w:r>
      <w:r w:rsidRPr="0073752A">
        <w:rPr>
          <w:rFonts w:ascii="Palatino Linotype" w:eastAsia="Palatino Linotype" w:hAnsi="Palatino Linotype" w:cs="Palatino Linotype"/>
          <w:i/>
        </w:rPr>
        <w:t xml:space="preserve"> en medios impresos, tales como libros, compendios, trípticos, registros públicos, </w:t>
      </w:r>
      <w:r w:rsidRPr="0073752A">
        <w:rPr>
          <w:rFonts w:ascii="Palatino Linotype" w:eastAsia="Palatino Linotype" w:hAnsi="Palatino Linotype" w:cs="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5C447B" w:rsidRPr="0073752A" w:rsidRDefault="005C44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5C447B" w:rsidRPr="0073752A" w:rsidRDefault="00CB0B5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5C447B" w:rsidRPr="0073752A" w:rsidRDefault="005C44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5C447B" w:rsidRPr="0073752A" w:rsidRDefault="00CB0B53">
      <w:pPr>
        <w:numPr>
          <w:ilvl w:val="0"/>
          <w:numId w:val="5"/>
        </w:numPr>
        <w:pBdr>
          <w:top w:val="nil"/>
          <w:left w:val="nil"/>
          <w:bottom w:val="nil"/>
          <w:right w:val="nil"/>
          <w:between w:val="nil"/>
        </w:pBdr>
        <w:spacing w:after="0" w:line="240" w:lineRule="auto"/>
        <w:ind w:left="1134" w:hanging="567"/>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La fuente</w:t>
      </w:r>
    </w:p>
    <w:p w:rsidR="005C447B" w:rsidRPr="0073752A" w:rsidRDefault="00CB0B53">
      <w:pPr>
        <w:numPr>
          <w:ilvl w:val="0"/>
          <w:numId w:val="5"/>
        </w:numPr>
        <w:pBdr>
          <w:top w:val="nil"/>
          <w:left w:val="nil"/>
          <w:bottom w:val="nil"/>
          <w:right w:val="nil"/>
          <w:between w:val="nil"/>
        </w:pBdr>
        <w:spacing w:after="0" w:line="240" w:lineRule="auto"/>
        <w:ind w:left="1134" w:hanging="567"/>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El lugar y</w:t>
      </w:r>
    </w:p>
    <w:p w:rsidR="005C447B" w:rsidRPr="0073752A" w:rsidRDefault="00CB0B53">
      <w:pPr>
        <w:numPr>
          <w:ilvl w:val="0"/>
          <w:numId w:val="5"/>
        </w:numPr>
        <w:pBdr>
          <w:top w:val="nil"/>
          <w:left w:val="nil"/>
          <w:bottom w:val="nil"/>
          <w:right w:val="nil"/>
          <w:between w:val="nil"/>
        </w:pBdr>
        <w:spacing w:after="0" w:line="240" w:lineRule="auto"/>
        <w:ind w:left="1134" w:hanging="567"/>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La forma </w:t>
      </w:r>
    </w:p>
    <w:p w:rsidR="005C447B" w:rsidRPr="0073752A" w:rsidRDefault="005C44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5C447B" w:rsidRPr="0073752A" w:rsidRDefault="00CB0B5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Asimismo, se establece que la fuente de la información deberá ser:</w:t>
      </w:r>
    </w:p>
    <w:p w:rsidR="005C447B" w:rsidRPr="0073752A" w:rsidRDefault="005C44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5C447B" w:rsidRPr="0073752A" w:rsidRDefault="00CB0B53">
      <w:pPr>
        <w:numPr>
          <w:ilvl w:val="0"/>
          <w:numId w:val="6"/>
        </w:numPr>
        <w:pBdr>
          <w:top w:val="nil"/>
          <w:left w:val="nil"/>
          <w:bottom w:val="nil"/>
          <w:right w:val="nil"/>
          <w:between w:val="nil"/>
        </w:pBdr>
        <w:spacing w:after="0" w:line="240" w:lineRule="auto"/>
        <w:ind w:left="1134" w:hanging="556"/>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Precisa</w:t>
      </w:r>
    </w:p>
    <w:p w:rsidR="005C447B" w:rsidRPr="0073752A" w:rsidRDefault="00CB0B53">
      <w:pPr>
        <w:numPr>
          <w:ilvl w:val="0"/>
          <w:numId w:val="6"/>
        </w:numPr>
        <w:pBdr>
          <w:top w:val="nil"/>
          <w:left w:val="nil"/>
          <w:bottom w:val="nil"/>
          <w:right w:val="nil"/>
          <w:between w:val="nil"/>
        </w:pBdr>
        <w:spacing w:after="0" w:line="240" w:lineRule="auto"/>
        <w:ind w:left="1134" w:hanging="556"/>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Concreta</w:t>
      </w:r>
    </w:p>
    <w:p w:rsidR="005C447B" w:rsidRPr="0073752A" w:rsidRDefault="00CB0B53">
      <w:pPr>
        <w:numPr>
          <w:ilvl w:val="0"/>
          <w:numId w:val="6"/>
        </w:numPr>
        <w:pBdr>
          <w:top w:val="nil"/>
          <w:left w:val="nil"/>
          <w:bottom w:val="nil"/>
          <w:right w:val="nil"/>
          <w:between w:val="nil"/>
        </w:pBdr>
        <w:spacing w:after="0" w:line="240" w:lineRule="auto"/>
        <w:ind w:left="1134" w:hanging="556"/>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Y no debe implicar que el solicitante realice una búsqueda en toda la información que se encuentre disponible</w:t>
      </w:r>
      <w:r w:rsidRPr="0073752A">
        <w:rPr>
          <w:rFonts w:ascii="Palatino Linotype" w:eastAsia="Palatino Linotype" w:hAnsi="Palatino Linotype" w:cs="Palatino Linotype"/>
          <w:sz w:val="24"/>
          <w:szCs w:val="24"/>
        </w:rPr>
        <w:t>.</w:t>
      </w:r>
    </w:p>
    <w:p w:rsidR="005C447B" w:rsidRPr="0073752A" w:rsidRDefault="005C44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5C447B" w:rsidRPr="0073752A" w:rsidRDefault="00CB0B5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Imperativos legales que establecen el procedimiento que debe seguir 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para que pueda tomarse como válida su orientación sobre la forma en que puede consultar la información requerida, y que, en el caso en concreto, no acontece; ello porque 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se limitó a remitir tres ligas electrónicas, sin que señalara puntualmente el procedimiento que el particular debe seguir para acceder a la información requerida, lo que implica que  la fuente no es precisa, ni concreta, sino por el contrario esta resulta abstracta y genera </w:t>
      </w:r>
      <w:r w:rsidRPr="0073752A">
        <w:rPr>
          <w:rFonts w:ascii="Palatino Linotype" w:eastAsia="Palatino Linotype" w:hAnsi="Palatino Linotype" w:cs="Palatino Linotype"/>
          <w:sz w:val="24"/>
          <w:szCs w:val="24"/>
        </w:rPr>
        <w:lastRenderedPageBreak/>
        <w:t>incertidumbre entre el cúmulo de información que se observa en la página; y por último, su fuente implica que el solicitante realice una búsqueda en toda la información que se encuentra disponible, lo que a todas luces transgrede el numeral citado.</w:t>
      </w:r>
    </w:p>
    <w:p w:rsidR="005C447B" w:rsidRPr="0073752A" w:rsidRDefault="005C44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No sin antes omitir, como se mencionó con anterioridad 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rindió su informe justificado a efecto de reparar el agravio del </w:t>
      </w:r>
      <w:r w:rsidRPr="0073752A">
        <w:rPr>
          <w:rFonts w:ascii="Palatino Linotype" w:eastAsia="Palatino Linotype" w:hAnsi="Palatino Linotype" w:cs="Palatino Linotype"/>
          <w:b/>
          <w:sz w:val="24"/>
          <w:szCs w:val="24"/>
        </w:rPr>
        <w:t>RECURRENTE</w:t>
      </w:r>
      <w:r w:rsidRPr="0073752A">
        <w:rPr>
          <w:rFonts w:ascii="Palatino Linotype" w:eastAsia="Palatino Linotype" w:hAnsi="Palatino Linotype" w:cs="Palatino Linotype"/>
          <w:sz w:val="24"/>
          <w:szCs w:val="24"/>
        </w:rPr>
        <w:t>, en el que adjunta el siguiente cuadro:</w:t>
      </w:r>
    </w:p>
    <w:p w:rsidR="005C447B" w:rsidRPr="0073752A" w:rsidRDefault="005C447B">
      <w:pPr>
        <w:spacing w:after="0" w:line="360" w:lineRule="auto"/>
        <w:jc w:val="both"/>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noProof/>
        </w:rPr>
        <w:drawing>
          <wp:inline distT="0" distB="0" distL="0" distR="0">
            <wp:extent cx="5477286" cy="4438983"/>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l="28681" t="20821" r="29226" b="17019"/>
                    <a:stretch>
                      <a:fillRect/>
                    </a:stretch>
                  </pic:blipFill>
                  <pic:spPr>
                    <a:xfrm>
                      <a:off x="0" y="0"/>
                      <a:ext cx="5477286" cy="4438983"/>
                    </a:xfrm>
                    <a:prstGeom prst="rect">
                      <a:avLst/>
                    </a:prstGeom>
                    <a:ln/>
                  </pic:spPr>
                </pic:pic>
              </a:graphicData>
            </a:graphic>
          </wp:inline>
        </w:drawing>
      </w: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Del cuadro anterior se tiene por satisfecho lo relativo al nombre, puesto y grado académico, de los servidores públicos adscritos a la Tesorería Municipal, la Dirección de Ingresos y de la Dirección de Egresos, sin embargo, no lo es para el caso de las remuneraciones, ya que, a pesar de entregar el salario neto, este no corresponde a las remuneraciones que perciben los servidores públicos, circunstancias que será analizada en párrafos posteriores de esta resolución.</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tabs>
          <w:tab w:val="left" w:pos="709"/>
        </w:tabs>
        <w:spacing w:after="0" w:line="360" w:lineRule="auto"/>
        <w:ind w:right="40"/>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Cabe aclarar que de acuerdo a la información proporcionada,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5C447B" w:rsidRPr="0073752A" w:rsidRDefault="005C447B">
      <w:pPr>
        <w:tabs>
          <w:tab w:val="left" w:pos="709"/>
        </w:tabs>
        <w:spacing w:after="0" w:line="360" w:lineRule="auto"/>
        <w:ind w:right="40"/>
        <w:jc w:val="both"/>
        <w:rPr>
          <w:rFonts w:ascii="Palatino Linotype" w:eastAsia="Palatino Linotype" w:hAnsi="Palatino Linotype" w:cs="Palatino Linotype"/>
          <w:sz w:val="24"/>
          <w:szCs w:val="24"/>
        </w:rPr>
      </w:pPr>
    </w:p>
    <w:p w:rsidR="005C447B" w:rsidRPr="0073752A" w:rsidRDefault="00CB0B5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rsidR="005C447B" w:rsidRPr="0073752A" w:rsidRDefault="005C447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5C447B" w:rsidRPr="0073752A" w:rsidRDefault="00CB0B53">
      <w:pPr>
        <w:spacing w:after="0" w:line="360" w:lineRule="auto"/>
        <w:ind w:left="567"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73752A">
        <w:rPr>
          <w:rFonts w:ascii="Palatino Linotype" w:eastAsia="Palatino Linotype" w:hAnsi="Palatino Linotype" w:cs="Palatino Linotype"/>
          <w:i/>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C447B" w:rsidRPr="0073752A" w:rsidRDefault="005C447B">
      <w:pPr>
        <w:tabs>
          <w:tab w:val="left" w:pos="709"/>
        </w:tabs>
        <w:spacing w:after="0" w:line="360" w:lineRule="auto"/>
        <w:ind w:right="40"/>
        <w:jc w:val="both"/>
        <w:rPr>
          <w:rFonts w:ascii="Verdana" w:eastAsia="Verdana" w:hAnsi="Verdana" w:cs="Verdana"/>
          <w:sz w:val="24"/>
          <w:szCs w:val="24"/>
        </w:rPr>
      </w:pPr>
    </w:p>
    <w:p w:rsidR="005C447B" w:rsidRPr="0073752A" w:rsidRDefault="00CB0B53">
      <w:pPr>
        <w:tabs>
          <w:tab w:val="left" w:pos="709"/>
        </w:tabs>
        <w:spacing w:after="0" w:line="360" w:lineRule="auto"/>
        <w:ind w:right="40"/>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Máxime que el área que se pronunció es el competente, tal como se aprecia a continuación:</w:t>
      </w:r>
    </w:p>
    <w:p w:rsidR="005C447B" w:rsidRPr="0073752A" w:rsidRDefault="005C447B">
      <w:pPr>
        <w:tabs>
          <w:tab w:val="left" w:pos="709"/>
        </w:tabs>
        <w:spacing w:after="0" w:line="360" w:lineRule="auto"/>
        <w:ind w:right="40"/>
        <w:jc w:val="both"/>
        <w:rPr>
          <w:rFonts w:ascii="Verdana" w:eastAsia="Verdana" w:hAnsi="Verdana" w:cs="Verdana"/>
          <w:sz w:val="14"/>
          <w:szCs w:val="14"/>
        </w:rPr>
      </w:pPr>
    </w:p>
    <w:p w:rsidR="005C447B" w:rsidRPr="0073752A" w:rsidRDefault="00CB0B53">
      <w:pPr>
        <w:tabs>
          <w:tab w:val="left" w:pos="709"/>
        </w:tabs>
        <w:spacing w:after="0" w:line="360" w:lineRule="auto"/>
        <w:ind w:left="851" w:right="900"/>
        <w:jc w:val="both"/>
        <w:rPr>
          <w:rFonts w:ascii="Palatino Linotype" w:eastAsia="Palatino Linotype" w:hAnsi="Palatino Linotype" w:cs="Palatino Linotype"/>
          <w:b/>
          <w:i/>
          <w:u w:val="single"/>
        </w:rPr>
      </w:pPr>
      <w:r w:rsidRPr="0073752A">
        <w:rPr>
          <w:rFonts w:ascii="Palatino Linotype" w:eastAsia="Palatino Linotype" w:hAnsi="Palatino Linotype" w:cs="Palatino Linotype"/>
          <w:b/>
          <w:i/>
          <w:u w:val="single"/>
        </w:rPr>
        <w:t>BANDO DE GOBIERNO DEL MUNICIPIO DE TEXCOCO 2022</w:t>
      </w:r>
    </w:p>
    <w:p w:rsidR="005C447B" w:rsidRPr="0073752A" w:rsidRDefault="00CB0B53">
      <w:pPr>
        <w:tabs>
          <w:tab w:val="left" w:pos="709"/>
        </w:tabs>
        <w:spacing w:after="0" w:line="360"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Artículo 82. La Dirección General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 humanos, materiales, tecnológicos y de servicios, para el cumplimiento de los programas y proyectos del Gobierno Municipal. </w:t>
      </w:r>
    </w:p>
    <w:p w:rsidR="005C447B" w:rsidRPr="0073752A" w:rsidRDefault="005C447B">
      <w:pPr>
        <w:tabs>
          <w:tab w:val="left" w:pos="709"/>
        </w:tabs>
        <w:spacing w:after="0" w:line="360" w:lineRule="auto"/>
        <w:ind w:left="851" w:right="900"/>
        <w:jc w:val="both"/>
        <w:rPr>
          <w:rFonts w:ascii="Palatino Linotype" w:eastAsia="Palatino Linotype" w:hAnsi="Palatino Linotype" w:cs="Palatino Linotype"/>
          <w:i/>
        </w:rPr>
      </w:pPr>
    </w:p>
    <w:p w:rsidR="005C447B" w:rsidRPr="0073752A" w:rsidRDefault="00CB0B53">
      <w:pPr>
        <w:tabs>
          <w:tab w:val="left" w:pos="709"/>
        </w:tabs>
        <w:spacing w:after="0" w:line="360"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Así como también deberá brindar el soporte material, técnico, humano, administrativo, organizacional e informático a las dependencias de la Administración Pública Municipal</w:t>
      </w:r>
    </w:p>
    <w:p w:rsidR="005C447B" w:rsidRPr="0073752A" w:rsidRDefault="005C447B">
      <w:pPr>
        <w:tabs>
          <w:tab w:val="left" w:pos="709"/>
        </w:tabs>
        <w:spacing w:after="0" w:line="360" w:lineRule="auto"/>
        <w:ind w:left="851" w:right="900"/>
        <w:jc w:val="both"/>
        <w:rPr>
          <w:rFonts w:ascii="Palatino Linotype" w:eastAsia="Palatino Linotype" w:hAnsi="Palatino Linotype" w:cs="Palatino Linotype"/>
          <w:i/>
        </w:rPr>
      </w:pPr>
    </w:p>
    <w:p w:rsidR="005C447B" w:rsidRPr="0073752A" w:rsidRDefault="00CB0B53">
      <w:pPr>
        <w:tabs>
          <w:tab w:val="left" w:pos="709"/>
        </w:tabs>
        <w:spacing w:after="0" w:line="360" w:lineRule="auto"/>
        <w:ind w:left="851" w:right="900"/>
        <w:jc w:val="both"/>
        <w:rPr>
          <w:rFonts w:ascii="Palatino Linotype" w:eastAsia="Palatino Linotype" w:hAnsi="Palatino Linotype" w:cs="Palatino Linotype"/>
          <w:i/>
          <w:sz w:val="24"/>
          <w:szCs w:val="24"/>
        </w:rPr>
      </w:pPr>
      <w:r w:rsidRPr="0073752A">
        <w:rPr>
          <w:rFonts w:ascii="Palatino Linotype" w:eastAsia="Palatino Linotype" w:hAnsi="Palatino Linotype" w:cs="Palatino Linotype"/>
          <w:i/>
          <w:sz w:val="24"/>
          <w:szCs w:val="24"/>
        </w:rPr>
        <w:lastRenderedPageBreak/>
        <w:t>Artículo 83. Para el eficiente y eficaz ejercicio de sus atribuciones la Dirección General de Administración contará con las siguientes unidades administrativas:</w:t>
      </w:r>
    </w:p>
    <w:p w:rsidR="005C447B" w:rsidRPr="0073752A" w:rsidRDefault="00CB0B53">
      <w:pPr>
        <w:tabs>
          <w:tab w:val="left" w:pos="709"/>
        </w:tabs>
        <w:spacing w:after="0" w:line="360" w:lineRule="auto"/>
        <w:ind w:left="851" w:right="900"/>
        <w:jc w:val="both"/>
        <w:rPr>
          <w:rFonts w:ascii="Palatino Linotype" w:eastAsia="Palatino Linotype" w:hAnsi="Palatino Linotype" w:cs="Palatino Linotype"/>
          <w:i/>
          <w:sz w:val="24"/>
          <w:szCs w:val="24"/>
        </w:rPr>
      </w:pPr>
      <w:r w:rsidRPr="0073752A">
        <w:rPr>
          <w:rFonts w:ascii="Palatino Linotype" w:eastAsia="Palatino Linotype" w:hAnsi="Palatino Linotype" w:cs="Palatino Linotype"/>
          <w:i/>
          <w:sz w:val="24"/>
          <w:szCs w:val="24"/>
        </w:rPr>
        <w:t>I. Subdirección de Recursos Humanos y Nómina;</w:t>
      </w:r>
    </w:p>
    <w:p w:rsidR="005C447B" w:rsidRPr="0073752A" w:rsidRDefault="005C447B">
      <w:pPr>
        <w:tabs>
          <w:tab w:val="left" w:pos="709"/>
        </w:tabs>
        <w:spacing w:after="0" w:line="360" w:lineRule="auto"/>
        <w:ind w:right="40"/>
        <w:jc w:val="both"/>
        <w:rPr>
          <w:rFonts w:ascii="Palatino Linotype" w:eastAsia="Palatino Linotype" w:hAnsi="Palatino Linotype" w:cs="Palatino Linotype"/>
          <w:sz w:val="24"/>
          <w:szCs w:val="24"/>
        </w:rPr>
      </w:pPr>
    </w:p>
    <w:p w:rsidR="005C447B" w:rsidRPr="0073752A" w:rsidRDefault="00CB0B53">
      <w:pPr>
        <w:tabs>
          <w:tab w:val="left" w:pos="709"/>
        </w:tabs>
        <w:spacing w:after="0" w:line="360" w:lineRule="auto"/>
        <w:ind w:right="40"/>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Por lo anterior se determina que 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cuenta con la Dirección General de Administración, misma que se apoya con la Subdirección de Recursos Humanos y Nómina con el propósito de planificar y coordinar un control eficiente de los recursos humanos proyectados por 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siendo el área idónea para emitir respuesta.</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Aclarado lo anterior, también se advierte que omite pronunciarse respecto al tipo de contratación, al total de las remuneraciones y al perfil de puestos de los servidores públicos adscritos a la Tesorería Municipal, a la Dirección de Ingresos y Dirección de Egresos, así como la omisión total de otorgar respuesta respecto a la cantidad, nombre, puesto, el perfil de puestos, grado académico, tipo de contratación y el total de las remuneraciones, de los servidores públicos adscritos a la Tesorería Municipal, a la Dirección de Ingresos, la Dirección de Egresos y las áreas de Contabilidad, Cuenta Pública, la Coordinación Municipal de Notificadores y de la Unidad de Transparencia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r w:rsidRPr="0073752A">
        <w:rPr>
          <w:rFonts w:ascii="Palatino Linotype" w:eastAsia="Palatino Linotype" w:hAnsi="Palatino Linotype" w:cs="Palatino Linotype"/>
          <w:b/>
          <w:sz w:val="24"/>
          <w:szCs w:val="24"/>
        </w:rPr>
        <w:t xml:space="preserve">Con relación a la cantidad del personal, nombres, puesto y </w:t>
      </w:r>
      <w:r w:rsidRPr="0073752A">
        <w:rPr>
          <w:rFonts w:ascii="Palatino Linotype" w:eastAsia="Palatino Linotype" w:hAnsi="Palatino Linotype" w:cs="Palatino Linotype"/>
          <w:b/>
          <w:sz w:val="24"/>
          <w:szCs w:val="24"/>
          <w:u w:val="single"/>
        </w:rPr>
        <w:t>tipo de contratación.</w:t>
      </w:r>
    </w:p>
    <w:p w:rsidR="005C447B" w:rsidRPr="0073752A" w:rsidRDefault="005C447B">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sz w:val="24"/>
          <w:szCs w:val="24"/>
          <w:u w:val="single"/>
        </w:rPr>
      </w:pPr>
    </w:p>
    <w:p w:rsidR="005C447B" w:rsidRPr="0073752A" w:rsidRDefault="00CB0B53">
      <w:pP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Resulta necesario precisar la siguiente legislación aplicable a los puntos en cuestión:</w:t>
      </w:r>
    </w:p>
    <w:p w:rsidR="005C447B" w:rsidRPr="0073752A" w:rsidRDefault="005C447B">
      <w:pPr>
        <w:spacing w:after="0" w:line="276" w:lineRule="auto"/>
        <w:jc w:val="both"/>
        <w:rPr>
          <w:rFonts w:ascii="Palatino Linotype" w:eastAsia="Palatino Linotype" w:hAnsi="Palatino Linotype" w:cs="Palatino Linotype"/>
          <w:sz w:val="24"/>
          <w:szCs w:val="24"/>
        </w:rPr>
      </w:pPr>
    </w:p>
    <w:p w:rsidR="005C447B" w:rsidRPr="0073752A" w:rsidRDefault="00CB0B53">
      <w:pPr>
        <w:spacing w:after="0" w:line="276" w:lineRule="auto"/>
        <w:ind w:left="851" w:right="900"/>
        <w:jc w:val="both"/>
        <w:rPr>
          <w:rFonts w:ascii="Palatino Linotype" w:eastAsia="Palatino Linotype" w:hAnsi="Palatino Linotype" w:cs="Palatino Linotype"/>
          <w:b/>
          <w:i/>
        </w:rPr>
      </w:pPr>
      <w:r w:rsidRPr="0073752A">
        <w:rPr>
          <w:rFonts w:ascii="Palatino Linotype" w:eastAsia="Palatino Linotype" w:hAnsi="Palatino Linotype" w:cs="Palatino Linotype"/>
          <w:b/>
          <w:i/>
        </w:rPr>
        <w:t>LEY DEL TRABAJO DE LOS SERVIDORES PUBLICOS DEL ESTADO Y MUNICIPIOS</w:t>
      </w:r>
    </w:p>
    <w:p w:rsidR="005C447B" w:rsidRPr="0073752A" w:rsidRDefault="005C447B">
      <w:pPr>
        <w:spacing w:after="0" w:line="276" w:lineRule="auto"/>
        <w:ind w:left="851" w:right="900"/>
        <w:jc w:val="both"/>
        <w:rPr>
          <w:rFonts w:ascii="Palatino Linotype" w:eastAsia="Palatino Linotype" w:hAnsi="Palatino Linotype" w:cs="Palatino Linotype"/>
          <w:b/>
          <w:i/>
        </w:rPr>
      </w:pP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ARTÍCULO 5.-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 </w:t>
      </w:r>
    </w:p>
    <w:p w:rsidR="005C447B" w:rsidRPr="0073752A" w:rsidRDefault="005C447B">
      <w:pPr>
        <w:spacing w:after="0" w:line="276" w:lineRule="auto"/>
        <w:ind w:left="851" w:right="900"/>
        <w:jc w:val="both"/>
        <w:rPr>
          <w:rFonts w:ascii="Palatino Linotype" w:eastAsia="Palatino Linotype" w:hAnsi="Palatino Linotype" w:cs="Palatino Linotype"/>
          <w:i/>
        </w:rPr>
      </w:pP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ARTÍCULO 6. Los servidores públicos se clasifican en generales y de confianza, los cuales, de acuerdo con la duración de sus relaciones de trabajo pueden ser: por tiempo u obra determinados o por tiempo indeterminado.</w:t>
      </w:r>
    </w:p>
    <w:p w:rsidR="005C447B" w:rsidRPr="0073752A" w:rsidRDefault="005C447B">
      <w:pPr>
        <w:spacing w:after="0" w:line="276" w:lineRule="auto"/>
        <w:ind w:left="851" w:right="900"/>
        <w:jc w:val="both"/>
        <w:rPr>
          <w:rFonts w:ascii="Palatino Linotype" w:eastAsia="Palatino Linotype" w:hAnsi="Palatino Linotype" w:cs="Palatino Linotype"/>
          <w:i/>
        </w:rPr>
      </w:pP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ARTÍCULO 15. Cuando se trate de una relación de trabajo por obra determinada, ésta durará hasta en tanto subsista la obra motivo del contrato.</w:t>
      </w:r>
    </w:p>
    <w:p w:rsidR="005C447B" w:rsidRPr="0073752A" w:rsidRDefault="005C447B">
      <w:pPr>
        <w:spacing w:after="0" w:line="276" w:lineRule="auto"/>
        <w:ind w:left="851" w:right="900"/>
        <w:jc w:val="both"/>
        <w:rPr>
          <w:rFonts w:ascii="Palatino Linotype" w:eastAsia="Palatino Linotype" w:hAnsi="Palatino Linotype" w:cs="Palatino Linotype"/>
          <w:i/>
        </w:rPr>
      </w:pP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ARTÍCULO 45.-Los servidores públicos prestarán sus servicios mediante nombramiento, contrato o formato único de Movimientos de Personal expedidos por quien estuviere facultado legalmente para extenderlo</w:t>
      </w:r>
    </w:p>
    <w:p w:rsidR="005C447B" w:rsidRPr="0073752A" w:rsidRDefault="005C447B">
      <w:pPr>
        <w:spacing w:after="0" w:line="276" w:lineRule="auto"/>
        <w:ind w:left="851" w:right="900"/>
        <w:jc w:val="both"/>
        <w:rPr>
          <w:rFonts w:ascii="Palatino Linotype" w:eastAsia="Palatino Linotype" w:hAnsi="Palatino Linotype" w:cs="Palatino Linotype"/>
          <w:i/>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En este sentido se entiende que la relación de trabajo entre las instituciones públicas y los servidores públicos se establece mediante nombramiento, formato único de movimiento de personal o contrato, asimismo, los servidores públicos se clasifican en generales y de confianza que de acuerdo a su temporalidad se dividen en tiempo u obra determinado misma que durara hasta en tanto subsista la obra motivo del contrato o por tiempo indeterminado, razones por las cuales lo procedente es </w:t>
      </w:r>
      <w:r w:rsidRPr="0073752A">
        <w:rPr>
          <w:rFonts w:ascii="Palatino Linotype" w:eastAsia="Palatino Linotype" w:hAnsi="Palatino Linotype" w:cs="Palatino Linotype"/>
          <w:sz w:val="24"/>
          <w:szCs w:val="24"/>
        </w:rPr>
        <w:lastRenderedPageBreak/>
        <w:t xml:space="preserve">ordenar la entrega del documento que </w:t>
      </w:r>
      <w:proofErr w:type="spellStart"/>
      <w:r w:rsidRPr="0073752A">
        <w:rPr>
          <w:rFonts w:ascii="Palatino Linotype" w:eastAsia="Palatino Linotype" w:hAnsi="Palatino Linotype" w:cs="Palatino Linotype"/>
          <w:sz w:val="24"/>
          <w:szCs w:val="24"/>
        </w:rPr>
        <w:t>de</w:t>
      </w:r>
      <w:proofErr w:type="spellEnd"/>
      <w:r w:rsidRPr="0073752A">
        <w:rPr>
          <w:rFonts w:ascii="Palatino Linotype" w:eastAsia="Palatino Linotype" w:hAnsi="Palatino Linotype" w:cs="Palatino Linotype"/>
          <w:sz w:val="24"/>
          <w:szCs w:val="24"/>
        </w:rPr>
        <w:t xml:space="preserve"> cuenta del tipo de contratación de</w:t>
      </w:r>
      <w:r w:rsidRPr="0073752A">
        <w:rPr>
          <w:rFonts w:ascii="Palatino Linotype" w:eastAsia="Palatino Linotype" w:hAnsi="Palatino Linotype" w:cs="Palatino Linotype"/>
        </w:rPr>
        <w:t xml:space="preserve"> </w:t>
      </w:r>
      <w:r w:rsidRPr="0073752A">
        <w:rPr>
          <w:rFonts w:ascii="Palatino Linotype" w:eastAsia="Palatino Linotype" w:hAnsi="Palatino Linotype" w:cs="Palatino Linotype"/>
          <w:sz w:val="24"/>
          <w:szCs w:val="24"/>
        </w:rPr>
        <w:t xml:space="preserve">los servidores públicos adscritos  a la Tesorería Municipal, la Dirección de Egresos, la Dirección de Ingresos, el áreas de Contabilidad, Cuenta Pública, la Coordinación Municipal de Notificadores y la Unidad de Transparencia del uno de enero al treinta y uno de diciembre de dos mil veinte y de ser procedente en versión pública conforme al considerando quinto del presente fallo, con el propósito de observar además el puesto, tipo de contratación, los nombre de dichos servidores públicos mismos que harán constar la cantidad de servidores públicos adscritos a dichas áreas en el año dos mil veinte.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73752A">
        <w:rPr>
          <w:rFonts w:ascii="Palatino Linotype" w:eastAsia="Palatino Linotype" w:hAnsi="Palatino Linotype" w:cs="Palatino Linotype"/>
          <w:b/>
          <w:sz w:val="24"/>
          <w:szCs w:val="24"/>
        </w:rPr>
        <w:t xml:space="preserve">Con relación al profesiograma de los servidores públicos. </w:t>
      </w:r>
    </w:p>
    <w:p w:rsidR="005C447B" w:rsidRPr="0073752A" w:rsidRDefault="005C447B">
      <w:pPr>
        <w:spacing w:after="0" w:line="360" w:lineRule="auto"/>
        <w:jc w:val="both"/>
        <w:rPr>
          <w:rFonts w:ascii="Palatino Linotype" w:eastAsia="Palatino Linotype" w:hAnsi="Palatino Linotype" w:cs="Palatino Linotype"/>
          <w:b/>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En este sentido, conviene precisar que el profesiograma consiste en un documento que contenga la identificación del puesto de trabajo, el objetivo, las responsabilidades, las relaciones, las condiciones físicas que se requieren para el trabajo, así como sus riesgos y los requerimientos que se exigen para ocupar el puesto de acuerdo por Manuel Fernández - Ríos en su diccionario de Recursos Humanos Organización y Dirección, por lo que de manera enunciativa más no limitativa colmaría este punto de la solicitud, sería el perfil de los puestos de los servidores públicos.</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rsidR="005C447B" w:rsidRPr="0073752A" w:rsidRDefault="005C447B">
      <w:pPr>
        <w:spacing w:after="0" w:line="360" w:lineRule="auto"/>
        <w:ind w:right="49"/>
        <w:jc w:val="both"/>
        <w:rPr>
          <w:rFonts w:ascii="Palatino Linotype" w:eastAsia="Palatino Linotype" w:hAnsi="Palatino Linotype" w:cs="Palatino Linotype"/>
        </w:rPr>
      </w:pP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XII. El perfil de los puestos de los servidores públicos a su servicio en los casos que aplique;</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el perfil de los puestos de los servidores públicos que en su caso aplique.</w:t>
      </w:r>
    </w:p>
    <w:p w:rsidR="005C447B" w:rsidRPr="0073752A" w:rsidRDefault="005C447B">
      <w:pPr>
        <w:spacing w:after="0" w:line="360" w:lineRule="auto"/>
        <w:jc w:val="both"/>
        <w:rPr>
          <w:rFonts w:ascii="Palatino Linotype" w:eastAsia="Palatino Linotype" w:hAnsi="Palatino Linotype" w:cs="Palatino Linotype"/>
          <w:sz w:val="24"/>
          <w:szCs w:val="24"/>
        </w:rPr>
      </w:pPr>
      <w:bookmarkStart w:id="3" w:name="_heading=h.1fob9te" w:colFirst="0" w:colLast="0"/>
      <w:bookmarkEnd w:id="3"/>
    </w:p>
    <w:p w:rsidR="005C447B" w:rsidRPr="0073752A" w:rsidRDefault="00CB0B53">
      <w:pP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Razones por las cuales lo procedente es ordenar, el perfil de los puestos de los servidores públicos adscritos a la Tesorería Municipal, la Dirección de Egresos, la Dirección de Ingresos, el área de Contabilidad, Cuenta Pública, la Coordinación Municipal de Notificadores y de la Unidad de Transparencia vigente del uno de enero al treinta y uno de diciembre de dos mil veinte.</w:t>
      </w:r>
    </w:p>
    <w:p w:rsidR="005C447B" w:rsidRPr="0073752A" w:rsidRDefault="005C447B">
      <w:pPr>
        <w:spacing w:after="0" w:line="360" w:lineRule="auto"/>
        <w:ind w:right="49"/>
        <w:jc w:val="both"/>
        <w:rPr>
          <w:rFonts w:ascii="Palatino Linotype" w:eastAsia="Palatino Linotype" w:hAnsi="Palatino Linotype" w:cs="Palatino Linotype"/>
          <w:sz w:val="24"/>
          <w:szCs w:val="24"/>
        </w:rPr>
      </w:pPr>
    </w:p>
    <w:p w:rsidR="005C447B" w:rsidRPr="0073752A" w:rsidRDefault="00CB0B5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73752A">
        <w:rPr>
          <w:rFonts w:ascii="Palatino Linotype" w:eastAsia="Palatino Linotype" w:hAnsi="Palatino Linotype" w:cs="Palatino Linotype"/>
          <w:b/>
          <w:sz w:val="24"/>
          <w:szCs w:val="24"/>
        </w:rPr>
        <w:t xml:space="preserve">Con relación al grado académico. </w:t>
      </w:r>
    </w:p>
    <w:p w:rsidR="005C447B" w:rsidRPr="0073752A" w:rsidRDefault="005C447B">
      <w:pPr>
        <w:pBdr>
          <w:top w:val="nil"/>
          <w:left w:val="nil"/>
          <w:bottom w:val="nil"/>
          <w:right w:val="nil"/>
          <w:between w:val="nil"/>
        </w:pBdr>
        <w:spacing w:after="0" w:line="360" w:lineRule="auto"/>
        <w:ind w:left="720"/>
        <w:jc w:val="both"/>
        <w:rPr>
          <w:rFonts w:ascii="Palatino Linotype" w:eastAsia="Palatino Linotype" w:hAnsi="Palatino Linotype" w:cs="Palatino Linotype"/>
          <w:b/>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Ahora bien, con relación al grado académico de los servidores públicos en mención, amerita mencionar que el documento que colmaría de manera enunciativa más no </w:t>
      </w:r>
      <w:r w:rsidRPr="0073752A">
        <w:rPr>
          <w:rFonts w:ascii="Palatino Linotype" w:eastAsia="Palatino Linotype" w:hAnsi="Palatino Linotype" w:cs="Palatino Linotype"/>
          <w:sz w:val="24"/>
          <w:szCs w:val="24"/>
        </w:rPr>
        <w:lastRenderedPageBreak/>
        <w:t>limitativa a lo relacionado al grado académico de los servidores públicos sería el Curriculum Vitae.</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Sobre el tema, es necesario traer a colación la Guía Técnica 9 “La Administración del Personal Municipal” (consultable en </w:t>
      </w:r>
      <w:hyperlink r:id="rId22">
        <w:r w:rsidRPr="0073752A">
          <w:rPr>
            <w:rFonts w:ascii="Palatino Linotype" w:eastAsia="Palatino Linotype" w:hAnsi="Palatino Linotype" w:cs="Palatino Linotype"/>
            <w:sz w:val="24"/>
            <w:szCs w:val="24"/>
            <w:u w:val="single"/>
          </w:rPr>
          <w:t>http://www.inafed.gob.mx/work/models/inafed/Resource/335/1/images/guia09_la_administracion_del_personal_municipal.pdf</w:t>
        </w:r>
      </w:hyperlink>
      <w:r w:rsidRPr="0073752A">
        <w:rPr>
          <w:rFonts w:ascii="Palatino Linotype" w:eastAsia="Palatino Linotype" w:hAnsi="Palatino Linotype" w:cs="Palatino Linotype"/>
          <w:sz w:val="24"/>
          <w:szCs w:val="24"/>
        </w:rPr>
        <w:t xml:space="preserve">), que establece que son servidores públicos, todas aquellas personas que prestan su trabajo al servicio de municipio , conformado por las autoridades, funcionarios.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ind w:right="-28"/>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En ese orden de ideas, respecto al nivel académico, es susceptible señalar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rsidR="005C447B" w:rsidRPr="0073752A" w:rsidRDefault="005C447B">
      <w:pPr>
        <w:spacing w:after="0" w:line="360" w:lineRule="auto"/>
        <w:ind w:right="-28"/>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b/>
          <w:sz w:val="24"/>
          <w:szCs w:val="24"/>
          <w:u w:val="single"/>
        </w:rPr>
      </w:pPr>
      <w:r w:rsidRPr="0073752A">
        <w:rPr>
          <w:rFonts w:ascii="Palatino Linotype" w:eastAsia="Palatino Linotype" w:hAnsi="Palatino Linotype" w:cs="Palatino Linotype"/>
          <w:sz w:val="24"/>
          <w:szCs w:val="24"/>
        </w:rPr>
        <w:t xml:space="preserve">Por su parte, el </w:t>
      </w:r>
      <w:proofErr w:type="spellStart"/>
      <w:r w:rsidRPr="0073752A">
        <w:rPr>
          <w:rFonts w:ascii="Palatino Linotype" w:eastAsia="Palatino Linotype" w:hAnsi="Palatino Linotype" w:cs="Palatino Linotype"/>
          <w:i/>
          <w:sz w:val="24"/>
          <w:szCs w:val="24"/>
        </w:rPr>
        <w:t>curriculum</w:t>
      </w:r>
      <w:proofErr w:type="spellEnd"/>
      <w:r w:rsidRPr="0073752A">
        <w:rPr>
          <w:rFonts w:ascii="Palatino Linotype" w:eastAsia="Palatino Linotype" w:hAnsi="Palatino Linotype" w:cs="Palatino Linotype"/>
          <w:i/>
          <w:sz w:val="24"/>
          <w:szCs w:val="24"/>
        </w:rPr>
        <w:t xml:space="preserve"> vitae</w:t>
      </w:r>
      <w:r w:rsidRPr="0073752A">
        <w:rPr>
          <w:rFonts w:ascii="Palatino Linotype" w:eastAsia="Palatino Linotype" w:hAnsi="Palatino Linotype" w:cs="Palatino Linotype"/>
          <w:sz w:val="24"/>
          <w:szCs w:val="24"/>
        </w:rPr>
        <w:t>, es el documento que las personas elaboran con los datos de identificación y contacto</w:t>
      </w:r>
      <w:r w:rsidRPr="0073752A">
        <w:rPr>
          <w:rFonts w:ascii="Palatino Linotype" w:eastAsia="Palatino Linotype" w:hAnsi="Palatino Linotype" w:cs="Palatino Linotype"/>
          <w:sz w:val="24"/>
          <w:szCs w:val="24"/>
          <w:u w:val="single"/>
        </w:rPr>
        <w:t xml:space="preserve">, </w:t>
      </w:r>
      <w:r w:rsidRPr="0073752A">
        <w:rPr>
          <w:rFonts w:ascii="Palatino Linotype" w:eastAsia="Palatino Linotype" w:hAnsi="Palatino Linotype" w:cs="Palatino Linotype"/>
          <w:b/>
          <w:sz w:val="24"/>
          <w:szCs w:val="24"/>
          <w:u w:val="single"/>
        </w:rPr>
        <w:t>preparación académica y experiencia profesion</w:t>
      </w:r>
      <w:r w:rsidRPr="0073752A">
        <w:rPr>
          <w:rFonts w:ascii="Palatino Linotype" w:eastAsia="Palatino Linotype" w:hAnsi="Palatino Linotype" w:cs="Palatino Linotype"/>
          <w:b/>
          <w:sz w:val="24"/>
          <w:szCs w:val="24"/>
        </w:rPr>
        <w:t>al,</w:t>
      </w:r>
      <w:r w:rsidRPr="0073752A">
        <w:rPr>
          <w:rFonts w:ascii="Palatino Linotype" w:eastAsia="Palatino Linotype" w:hAnsi="Palatino Linotype" w:cs="Palatino Linotype"/>
          <w:sz w:val="24"/>
          <w:szCs w:val="24"/>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73752A">
        <w:rPr>
          <w:rFonts w:ascii="Palatino Linotype" w:eastAsia="Palatino Linotype" w:hAnsi="Palatino Linotype" w:cs="Palatino Linotype"/>
          <w:i/>
          <w:sz w:val="24"/>
          <w:szCs w:val="24"/>
        </w:rPr>
        <w:t>curriculum</w:t>
      </w:r>
      <w:proofErr w:type="spellEnd"/>
      <w:r w:rsidRPr="0073752A">
        <w:rPr>
          <w:rFonts w:ascii="Palatino Linotype" w:eastAsia="Palatino Linotype" w:hAnsi="Palatino Linotype" w:cs="Palatino Linotype"/>
          <w:i/>
          <w:sz w:val="24"/>
          <w:szCs w:val="24"/>
        </w:rPr>
        <w:t xml:space="preserve"> vitae</w:t>
      </w:r>
      <w:r w:rsidRPr="0073752A">
        <w:rPr>
          <w:rFonts w:ascii="Palatino Linotype" w:eastAsia="Palatino Linotype" w:hAnsi="Palatino Linotype" w:cs="Palatino Linotype"/>
          <w:sz w:val="24"/>
          <w:szCs w:val="24"/>
        </w:rPr>
        <w:t xml:space="preserve">, se le suma la experiencia laboral </w:t>
      </w:r>
      <w:r w:rsidRPr="0073752A">
        <w:rPr>
          <w:rFonts w:ascii="Palatino Linotype" w:eastAsia="Palatino Linotype" w:hAnsi="Palatino Linotype" w:cs="Palatino Linotype"/>
          <w:b/>
          <w:sz w:val="24"/>
          <w:szCs w:val="24"/>
          <w:u w:val="single"/>
        </w:rPr>
        <w:t xml:space="preserve">pues permiten identificar el nivel y tipo de preparación de su titular y en su caso su perfil profesional </w:t>
      </w:r>
      <w:r w:rsidRPr="0073752A">
        <w:rPr>
          <w:rFonts w:ascii="Palatino Linotype" w:eastAsia="Palatino Linotype" w:hAnsi="Palatino Linotype" w:cs="Palatino Linotype"/>
          <w:sz w:val="24"/>
          <w:szCs w:val="24"/>
        </w:rPr>
        <w:t>o laboral.</w:t>
      </w:r>
    </w:p>
    <w:p w:rsidR="005C447B" w:rsidRPr="0073752A" w:rsidRDefault="00CB0B53">
      <w:pPr>
        <w:spacing w:after="0" w:line="360" w:lineRule="auto"/>
        <w:jc w:val="both"/>
        <w:rPr>
          <w:rFonts w:ascii="Palatino Linotype" w:eastAsia="Palatino Linotype" w:hAnsi="Palatino Linotype" w:cs="Palatino Linotype"/>
          <w:b/>
          <w:sz w:val="24"/>
          <w:szCs w:val="24"/>
        </w:rPr>
      </w:pPr>
      <w:r w:rsidRPr="0073752A">
        <w:rPr>
          <w:rFonts w:ascii="Palatino Linotype" w:eastAsia="Palatino Linotype" w:hAnsi="Palatino Linotype" w:cs="Palatino Linotype"/>
          <w:sz w:val="24"/>
          <w:szCs w:val="24"/>
        </w:rPr>
        <w:lastRenderedPageBreak/>
        <w:t xml:space="preserve">El </w:t>
      </w:r>
      <w:proofErr w:type="spellStart"/>
      <w:r w:rsidRPr="0073752A">
        <w:rPr>
          <w:rFonts w:ascii="Palatino Linotype" w:eastAsia="Palatino Linotype" w:hAnsi="Palatino Linotype" w:cs="Palatino Linotype"/>
          <w:i/>
          <w:sz w:val="24"/>
          <w:szCs w:val="24"/>
        </w:rPr>
        <w:t>curriculum</w:t>
      </w:r>
      <w:proofErr w:type="spellEnd"/>
      <w:r w:rsidRPr="0073752A">
        <w:rPr>
          <w:rFonts w:ascii="Palatino Linotype" w:eastAsia="Palatino Linotype" w:hAnsi="Palatino Linotype" w:cs="Palatino Linotype"/>
          <w:i/>
          <w:sz w:val="24"/>
          <w:szCs w:val="24"/>
        </w:rPr>
        <w:t xml:space="preserve"> vitae</w:t>
      </w:r>
      <w:r w:rsidRPr="0073752A">
        <w:rPr>
          <w:rFonts w:ascii="Palatino Linotype" w:eastAsia="Palatino Linotype" w:hAnsi="Palatino Linotype" w:cs="Palatino Linotype"/>
          <w:sz w:val="24"/>
          <w:szCs w:val="24"/>
        </w:rPr>
        <w:t>, proporciona información valiosa sobre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su encargo.</w:t>
      </w:r>
      <w:r w:rsidRPr="0073752A">
        <w:rPr>
          <w:rFonts w:ascii="Palatino Linotype" w:eastAsia="Palatino Linotype" w:hAnsi="Palatino Linotype" w:cs="Palatino Linotype"/>
          <w:b/>
          <w:sz w:val="24"/>
          <w:szCs w:val="24"/>
        </w:rPr>
        <w:t xml:space="preserve"> </w:t>
      </w:r>
    </w:p>
    <w:p w:rsidR="005C447B" w:rsidRPr="0073752A" w:rsidRDefault="005C447B">
      <w:pPr>
        <w:spacing w:after="0" w:line="360" w:lineRule="auto"/>
        <w:jc w:val="both"/>
        <w:rPr>
          <w:rFonts w:ascii="Palatino Linotype" w:eastAsia="Palatino Linotype" w:hAnsi="Palatino Linotype" w:cs="Palatino Linotype"/>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El </w:t>
      </w:r>
      <w:proofErr w:type="spellStart"/>
      <w:r w:rsidRPr="0073752A">
        <w:rPr>
          <w:rFonts w:ascii="Palatino Linotype" w:eastAsia="Palatino Linotype" w:hAnsi="Palatino Linotype" w:cs="Palatino Linotype"/>
          <w:i/>
          <w:sz w:val="24"/>
          <w:szCs w:val="24"/>
        </w:rPr>
        <w:t>curriculum</w:t>
      </w:r>
      <w:proofErr w:type="spellEnd"/>
      <w:r w:rsidRPr="0073752A">
        <w:rPr>
          <w:rFonts w:ascii="Palatino Linotype" w:eastAsia="Palatino Linotype" w:hAnsi="Palatino Linotype" w:cs="Palatino Linotype"/>
          <w:i/>
          <w:sz w:val="24"/>
          <w:szCs w:val="24"/>
        </w:rPr>
        <w:t xml:space="preserve"> vitae</w:t>
      </w:r>
      <w:r w:rsidRPr="0073752A">
        <w:rPr>
          <w:rFonts w:ascii="Palatino Linotype" w:eastAsia="Palatino Linotype" w:hAnsi="Palatino Linotype" w:cs="Palatino Linotype"/>
          <w:sz w:val="24"/>
          <w:szCs w:val="24"/>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rsidR="005C447B" w:rsidRPr="0073752A" w:rsidRDefault="005C447B">
      <w:pPr>
        <w:spacing w:after="0" w:line="360" w:lineRule="auto"/>
        <w:jc w:val="both"/>
        <w:rPr>
          <w:rFonts w:ascii="Palatino Linotype" w:eastAsia="Palatino Linotype" w:hAnsi="Palatino Linotype" w:cs="Palatino Linotype"/>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el Ayuntamiento de Texcoco.</w:t>
      </w:r>
    </w:p>
    <w:p w:rsidR="005C447B" w:rsidRPr="0073752A" w:rsidRDefault="005C447B">
      <w:pPr>
        <w:spacing w:after="0" w:line="360" w:lineRule="auto"/>
        <w:jc w:val="both"/>
        <w:rPr>
          <w:rFonts w:ascii="Palatino Linotype" w:eastAsia="Palatino Linotype" w:hAnsi="Palatino Linotype" w:cs="Palatino Linotype"/>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w:t>
      </w:r>
      <w:r w:rsidRPr="0073752A">
        <w:rPr>
          <w:rFonts w:ascii="Palatino Linotype" w:eastAsia="Palatino Linotype" w:hAnsi="Palatino Linotype" w:cs="Palatino Linotype"/>
          <w:sz w:val="24"/>
          <w:szCs w:val="24"/>
        </w:rPr>
        <w:lastRenderedPageBreak/>
        <w:t xml:space="preserve">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w:t>
      </w:r>
      <w:r w:rsidRPr="0073752A">
        <w:rPr>
          <w:rFonts w:ascii="Palatino Linotype" w:eastAsia="Palatino Linotype" w:hAnsi="Palatino Linotype" w:cs="Palatino Linotype"/>
          <w:b/>
          <w:sz w:val="24"/>
          <w:szCs w:val="24"/>
          <w:u w:val="single"/>
        </w:rPr>
        <w:t>el nivel máximo de estudios concluido y comprobable</w:t>
      </w:r>
      <w:r w:rsidRPr="0073752A">
        <w:rPr>
          <w:rFonts w:ascii="Palatino Linotype" w:eastAsia="Palatino Linotype" w:hAnsi="Palatino Linotype" w:cs="Palatino Linotype"/>
          <w:sz w:val="24"/>
          <w:szCs w:val="24"/>
        </w:rPr>
        <w:t>, así como la experiencia laboral, concerniente a los tres últimos empleos, tal como se muestra continuación:</w:t>
      </w:r>
    </w:p>
    <w:p w:rsidR="005C447B" w:rsidRPr="0073752A" w:rsidRDefault="00CB0B53">
      <w:pPr>
        <w:spacing w:after="0" w:line="360" w:lineRule="auto"/>
        <w:jc w:val="center"/>
        <w:rPr>
          <w:rFonts w:ascii="Palatino Linotype" w:eastAsia="Palatino Linotype" w:hAnsi="Palatino Linotype" w:cs="Palatino Linotype"/>
        </w:rPr>
      </w:pPr>
      <w:r w:rsidRPr="0073752A">
        <w:rPr>
          <w:rFonts w:ascii="Palatino Linotype" w:eastAsia="Palatino Linotype" w:hAnsi="Palatino Linotype" w:cs="Palatino Linotype"/>
          <w:noProof/>
        </w:rPr>
        <w:drawing>
          <wp:inline distT="0" distB="0" distL="0" distR="0">
            <wp:extent cx="4280250" cy="1476600"/>
            <wp:effectExtent l="0" t="0" r="0" b="0"/>
            <wp:docPr id="55" name="image1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Tabla&#10;&#10;Descripción generada automáticamente"/>
                    <pic:cNvPicPr preferRelativeResize="0"/>
                  </pic:nvPicPr>
                  <pic:blipFill>
                    <a:blip r:embed="rId23"/>
                    <a:srcRect t="24638"/>
                    <a:stretch>
                      <a:fillRect/>
                    </a:stretch>
                  </pic:blipFill>
                  <pic:spPr>
                    <a:xfrm>
                      <a:off x="0" y="0"/>
                      <a:ext cx="4280250" cy="1476600"/>
                    </a:xfrm>
                    <a:prstGeom prst="rect">
                      <a:avLst/>
                    </a:prstGeom>
                    <a:ln/>
                  </pic:spPr>
                </pic:pic>
              </a:graphicData>
            </a:graphic>
          </wp:inline>
        </w:drawing>
      </w:r>
      <w:r w:rsidRPr="0073752A">
        <w:rPr>
          <w:noProof/>
        </w:rPr>
        <mc:AlternateContent>
          <mc:Choice Requires="wps">
            <w:drawing>
              <wp:anchor distT="0" distB="0" distL="114300" distR="114300" simplePos="0" relativeHeight="251658240" behindDoc="0" locked="0" layoutInCell="1" hidden="0" allowOverlap="1">
                <wp:simplePos x="0" y="0"/>
                <wp:positionH relativeFrom="column">
                  <wp:posOffset>711200</wp:posOffset>
                </wp:positionH>
                <wp:positionV relativeFrom="paragraph">
                  <wp:posOffset>444500</wp:posOffset>
                </wp:positionV>
                <wp:extent cx="4311650" cy="965620"/>
                <wp:effectExtent l="0" t="0" r="0" b="0"/>
                <wp:wrapNone/>
                <wp:docPr id="44" name="Rectángulo 44"/>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rsidR="005C447B" w:rsidRDefault="005C44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44" o:spid="_x0000_s1026" style="position:absolute;left:0;text-align:left;margin-left:56pt;margin-top:35pt;width:339.5pt;height:76.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" filled="f" strokeweight="2.25pt">
                <v:stroke startarrowwidth="narrow" startarrowlength="short" endarrowwidth="narrow" endarrowlength="short"/>
                <v:textbox inset="2.53958mm,2.53958mm,2.53958mm,2.53958mm">
                  <w:txbxContent>
                    <w:p w:rsidR="005C447B" w:rsidRDefault="005C447B">
                      <w:pPr>
                        <w:spacing w:after="0" w:line="240" w:lineRule="auto"/>
                        <w:textDirection w:val="btLr"/>
                      </w:pPr>
                    </w:p>
                  </w:txbxContent>
                </v:textbox>
              </v:rect>
            </w:pict>
          </mc:Fallback>
        </mc:AlternateContent>
      </w:r>
    </w:p>
    <w:p w:rsidR="005C447B" w:rsidRPr="0073752A" w:rsidRDefault="005C447B">
      <w:pPr>
        <w:spacing w:after="0" w:line="360" w:lineRule="auto"/>
        <w:jc w:val="center"/>
        <w:rPr>
          <w:rFonts w:ascii="Palatino Linotype" w:eastAsia="Palatino Linotype" w:hAnsi="Palatino Linotype" w:cs="Palatino Linotype"/>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En ese contexto, según Islas, Jorge (2016), en la “Ley General de Transparencia y Acceso a la Información Pública Comentada” (p. 244), refirió que el </w:t>
      </w:r>
      <w:proofErr w:type="spellStart"/>
      <w:r w:rsidRPr="0073752A">
        <w:rPr>
          <w:rFonts w:ascii="Palatino Linotype" w:eastAsia="Palatino Linotype" w:hAnsi="Palatino Linotype" w:cs="Palatino Linotype"/>
          <w:b/>
          <w:i/>
          <w:sz w:val="24"/>
          <w:szCs w:val="24"/>
        </w:rPr>
        <w:t>curriculum</w:t>
      </w:r>
      <w:proofErr w:type="spellEnd"/>
      <w:r w:rsidRPr="0073752A">
        <w:rPr>
          <w:rFonts w:ascii="Palatino Linotype" w:eastAsia="Palatino Linotype" w:hAnsi="Palatino Linotype" w:cs="Palatino Linotype"/>
          <w:b/>
          <w:i/>
          <w:sz w:val="24"/>
          <w:szCs w:val="24"/>
        </w:rPr>
        <w:t xml:space="preserve"> vitae</w:t>
      </w:r>
      <w:r w:rsidRPr="0073752A">
        <w:rPr>
          <w:rFonts w:ascii="Palatino Linotype" w:eastAsia="Palatino Linotype" w:hAnsi="Palatino Linotype" w:cs="Palatino Linotype"/>
          <w:b/>
          <w:sz w:val="24"/>
          <w:szCs w:val="24"/>
        </w:rPr>
        <w:t xml:space="preserve"> </w:t>
      </w:r>
      <w:r w:rsidRPr="0073752A">
        <w:rPr>
          <w:rFonts w:ascii="Palatino Linotype" w:eastAsia="Palatino Linotype" w:hAnsi="Palatino Linotype" w:cs="Palatino Linotype"/>
          <w:sz w:val="24"/>
          <w:szCs w:val="24"/>
        </w:rPr>
        <w:t>d</w:t>
      </w:r>
      <w:r w:rsidRPr="0073752A">
        <w:rPr>
          <w:rFonts w:ascii="Palatino Linotype" w:eastAsia="Palatino Linotype" w:hAnsi="Palatino Linotype" w:cs="Palatino Linotype"/>
          <w:b/>
          <w:sz w:val="24"/>
          <w:szCs w:val="24"/>
        </w:rPr>
        <w:t>e un servidor público, justifica que su formación académica resulta viable para el desempeño eficiente y correcto de su encargo; lo anterior, con el fin de acreditar que dichos trabajadores sean los más capacitados acordes al área solicitada.</w:t>
      </w:r>
    </w:p>
    <w:p w:rsidR="005C447B" w:rsidRPr="0073752A" w:rsidRDefault="00CB0B53">
      <w:pPr>
        <w:spacing w:after="0" w:line="360" w:lineRule="auto"/>
        <w:ind w:right="-93"/>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Se robustece lo anterior, con el </w:t>
      </w:r>
      <w:r w:rsidRPr="0073752A">
        <w:rPr>
          <w:rFonts w:ascii="Palatino Linotype" w:eastAsia="Palatino Linotype" w:hAnsi="Palatino Linotype" w:cs="Palatino Linotype"/>
          <w:b/>
          <w:sz w:val="24"/>
          <w:szCs w:val="24"/>
        </w:rPr>
        <w:t>Criterio 03/09</w:t>
      </w:r>
      <w:r w:rsidRPr="0073752A">
        <w:rPr>
          <w:rFonts w:ascii="Palatino Linotype" w:eastAsia="Palatino Linotype" w:hAnsi="Palatino Linotype" w:cs="Palatino Linotype"/>
          <w:sz w:val="24"/>
          <w:szCs w:val="24"/>
        </w:rPr>
        <w:t>, emitido por el Pleno del entonces Instituto Federal de Acceso a la Información y Protección de Datos, que prevé lo siguiente:</w:t>
      </w:r>
    </w:p>
    <w:p w:rsidR="005C447B" w:rsidRPr="0073752A" w:rsidRDefault="005C447B">
      <w:pPr>
        <w:spacing w:after="0" w:line="360" w:lineRule="auto"/>
        <w:ind w:right="-93"/>
        <w:jc w:val="both"/>
        <w:rPr>
          <w:rFonts w:ascii="Palatino Linotype" w:eastAsia="Palatino Linotype" w:hAnsi="Palatino Linotype" w:cs="Palatino Linotype"/>
        </w:rPr>
      </w:pPr>
    </w:p>
    <w:p w:rsidR="005C447B" w:rsidRPr="0073752A" w:rsidRDefault="00CB0B53">
      <w:pPr>
        <w:spacing w:after="0" w:line="360" w:lineRule="auto"/>
        <w:ind w:left="567" w:right="567"/>
        <w:jc w:val="both"/>
        <w:rPr>
          <w:rFonts w:ascii="Palatino Linotype" w:eastAsia="Palatino Linotype" w:hAnsi="Palatino Linotype" w:cs="Palatino Linotype"/>
          <w:i/>
        </w:rPr>
      </w:pPr>
      <w:r w:rsidRPr="0073752A">
        <w:rPr>
          <w:rFonts w:ascii="Palatino Linotype" w:eastAsia="Palatino Linotype" w:hAnsi="Palatino Linotype" w:cs="Palatino Linotype"/>
          <w:b/>
          <w:i/>
          <w:sz w:val="20"/>
          <w:szCs w:val="20"/>
        </w:rPr>
        <w:t>“</w:t>
      </w:r>
      <w:r w:rsidRPr="0073752A">
        <w:rPr>
          <w:rFonts w:ascii="Palatino Linotype" w:eastAsia="Palatino Linotype" w:hAnsi="Palatino Linotype" w:cs="Palatino Linotype"/>
          <w:b/>
          <w:i/>
        </w:rPr>
        <w:t>Curriculum Vitae de servidores públicos. Es obligación de los sujetos obligados otorgar acceso a versiones públicas de los mismos ante una solicitud de acceso.</w:t>
      </w:r>
      <w:r w:rsidRPr="0073752A">
        <w:rPr>
          <w:rFonts w:ascii="Palatino Linotype" w:eastAsia="Palatino Linotype" w:hAnsi="Palatino Linotype" w:cs="Palatino Linotype"/>
          <w:i/>
        </w:rPr>
        <w:t xml:space="preserve"> Uno de los objetivos de la Ley Federal de Transparencia y Acceso a la Información </w:t>
      </w:r>
      <w:r w:rsidRPr="0073752A">
        <w:rPr>
          <w:rFonts w:ascii="Palatino Linotype" w:eastAsia="Palatino Linotype" w:hAnsi="Palatino Linotype" w:cs="Palatino Linotype"/>
          <w:i/>
        </w:rPr>
        <w:lastRenderedPageBreak/>
        <w:t xml:space="preserve">Pública Gubernamental, de acuerdo con su artículo 4, fracción IV, es favorecer la rendición de cuentas a las personas, de manera que puedan valorar el desempeño de los sujetos obligados. Si bien en el </w:t>
      </w:r>
      <w:proofErr w:type="spellStart"/>
      <w:r w:rsidRPr="0073752A">
        <w:rPr>
          <w:rFonts w:ascii="Palatino Linotype" w:eastAsia="Palatino Linotype" w:hAnsi="Palatino Linotype" w:cs="Palatino Linotype"/>
          <w:i/>
        </w:rPr>
        <w:t>curriculum</w:t>
      </w:r>
      <w:proofErr w:type="spellEnd"/>
      <w:r w:rsidRPr="0073752A">
        <w:rPr>
          <w:rFonts w:ascii="Palatino Linotype" w:eastAsia="Palatino Linotype" w:hAnsi="Palatino Linotype" w:cs="Palatino Linotype"/>
          <w:i/>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73752A">
        <w:rPr>
          <w:rFonts w:ascii="Palatino Linotype" w:eastAsia="Palatino Linotype" w:hAnsi="Palatino Linotype" w:cs="Palatino Linotype"/>
          <w:i/>
        </w:rPr>
        <w:t>curriculum</w:t>
      </w:r>
      <w:proofErr w:type="spellEnd"/>
      <w:r w:rsidRPr="0073752A">
        <w:rPr>
          <w:rFonts w:ascii="Palatino Linotype" w:eastAsia="Palatino Linotype" w:hAnsi="Palatino Linotype" w:cs="Palatino Linotype"/>
          <w:i/>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73752A">
        <w:rPr>
          <w:rFonts w:ascii="Palatino Linotype" w:eastAsia="Palatino Linotype" w:hAnsi="Palatino Linotype" w:cs="Palatino Linotype"/>
          <w:i/>
        </w:rPr>
        <w:t>curriculum</w:t>
      </w:r>
      <w:proofErr w:type="spellEnd"/>
      <w:r w:rsidRPr="0073752A">
        <w:rPr>
          <w:rFonts w:ascii="Palatino Linotype" w:eastAsia="Palatino Linotype" w:hAnsi="Palatino Linotype" w:cs="Palatino Linotype"/>
          <w:i/>
        </w:rPr>
        <w:t xml:space="preserve"> vitae de un servidor público susceptibles de hacerse del conocimiento público, ante una solicitud de acceso, </w:t>
      </w:r>
      <w:r w:rsidRPr="0073752A">
        <w:rPr>
          <w:rFonts w:ascii="Palatino Linotype" w:eastAsia="Palatino Linotype" w:hAnsi="Palatino Linotype" w:cs="Palatino Linotype"/>
          <w:b/>
          <w:i/>
          <w:u w:val="single"/>
        </w:rPr>
        <w:t>se encuentran los relativos a su trayectoria académic</w:t>
      </w:r>
      <w:r w:rsidRPr="0073752A">
        <w:rPr>
          <w:rFonts w:ascii="Palatino Linotype" w:eastAsia="Palatino Linotype" w:hAnsi="Palatino Linotype" w:cs="Palatino Linotype"/>
          <w:i/>
        </w:rPr>
        <w:t>a, profesional, laboral, así como todos aquellos que acrediten su capacidad, habilidades o pericia para ocupar el cargo público.”</w:t>
      </w:r>
    </w:p>
    <w:p w:rsidR="005C447B" w:rsidRPr="0073752A" w:rsidRDefault="005C447B">
      <w:pPr>
        <w:spacing w:after="0" w:line="360" w:lineRule="auto"/>
        <w:jc w:val="both"/>
        <w:rPr>
          <w:rFonts w:ascii="Palatino Linotype" w:eastAsia="Palatino Linotype" w:hAnsi="Palatino Linotype" w:cs="Palatino Linotype"/>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Del citado criterio, se desprende que una de las formas en que los ciudadanos pueden evaluar las aptitudes para desempeñar un cargo público determinado, es mediante la publicidad de ciertos datos contenidos en el </w:t>
      </w:r>
      <w:proofErr w:type="spellStart"/>
      <w:r w:rsidRPr="0073752A">
        <w:rPr>
          <w:rFonts w:ascii="Palatino Linotype" w:eastAsia="Palatino Linotype" w:hAnsi="Palatino Linotype" w:cs="Palatino Linotype"/>
          <w:i/>
          <w:sz w:val="24"/>
          <w:szCs w:val="24"/>
        </w:rPr>
        <w:t>curriculum</w:t>
      </w:r>
      <w:proofErr w:type="spellEnd"/>
      <w:r w:rsidRPr="0073752A">
        <w:rPr>
          <w:rFonts w:ascii="Palatino Linotype" w:eastAsia="Palatino Linotype" w:hAnsi="Palatino Linotype" w:cs="Palatino Linotype"/>
          <w:i/>
          <w:sz w:val="24"/>
          <w:szCs w:val="24"/>
        </w:rPr>
        <w:t xml:space="preserve"> vitae, </w:t>
      </w:r>
      <w:r w:rsidRPr="0073752A">
        <w:rPr>
          <w:rFonts w:ascii="Palatino Linotype" w:eastAsia="Palatino Linotype" w:hAnsi="Palatino Linotype" w:cs="Palatino Linotype"/>
          <w:sz w:val="24"/>
          <w:szCs w:val="24"/>
        </w:rPr>
        <w:t xml:space="preserve">tales como, </w:t>
      </w:r>
      <w:r w:rsidRPr="0073752A">
        <w:rPr>
          <w:rFonts w:ascii="Palatino Linotype" w:eastAsia="Palatino Linotype" w:hAnsi="Palatino Linotype" w:cs="Palatino Linotype"/>
          <w:b/>
          <w:sz w:val="24"/>
          <w:szCs w:val="24"/>
          <w:u w:val="single"/>
        </w:rPr>
        <w:t>la trayectoria académica</w:t>
      </w:r>
      <w:r w:rsidRPr="0073752A">
        <w:rPr>
          <w:rFonts w:ascii="Palatino Linotype" w:eastAsia="Palatino Linotype" w:hAnsi="Palatino Linotype" w:cs="Palatino Linotype"/>
          <w:sz w:val="24"/>
          <w:szCs w:val="24"/>
        </w:rPr>
        <w:t xml:space="preserve">, profesional, laboral, así como todos aquellos que acrediten su capacidad, habilidades pericia para ocupar el puesto público. Lo anterior, para favorecer la rendición de cuentas, pues la publicidad de lo anterior tiene como fin verificar el correcto desempeño de los sujetos obligados. Asimismo, es importante señalar, tal como ha expuesto en párrafos anteriores, que datos como el nombre y </w:t>
      </w:r>
      <w:r w:rsidRPr="0073752A">
        <w:rPr>
          <w:rFonts w:ascii="Palatino Linotype" w:eastAsia="Palatino Linotype" w:hAnsi="Palatino Linotype" w:cs="Palatino Linotype"/>
          <w:sz w:val="24"/>
          <w:szCs w:val="24"/>
        </w:rPr>
        <w:lastRenderedPageBreak/>
        <w:t xml:space="preserve">cargo de mandos medios y superiores, que se insertan en el </w:t>
      </w:r>
      <w:proofErr w:type="spellStart"/>
      <w:r w:rsidRPr="0073752A">
        <w:rPr>
          <w:rFonts w:ascii="Palatino Linotype" w:eastAsia="Palatino Linotype" w:hAnsi="Palatino Linotype" w:cs="Palatino Linotype"/>
          <w:i/>
          <w:sz w:val="24"/>
          <w:szCs w:val="24"/>
        </w:rPr>
        <w:t>curriculum</w:t>
      </w:r>
      <w:proofErr w:type="spellEnd"/>
      <w:r w:rsidRPr="0073752A">
        <w:rPr>
          <w:rFonts w:ascii="Palatino Linotype" w:eastAsia="Palatino Linotype" w:hAnsi="Palatino Linotype" w:cs="Palatino Linotype"/>
          <w:i/>
          <w:sz w:val="24"/>
          <w:szCs w:val="24"/>
        </w:rPr>
        <w:t xml:space="preserve"> vitae </w:t>
      </w:r>
      <w:r w:rsidRPr="0073752A">
        <w:rPr>
          <w:rFonts w:ascii="Palatino Linotype" w:eastAsia="Palatino Linotype" w:hAnsi="Palatino Linotype" w:cs="Palatino Linotype"/>
          <w:sz w:val="24"/>
          <w:szCs w:val="24"/>
        </w:rPr>
        <w:t xml:space="preserve">de servidores públicos del Sujeto Obligado tiene naturaleza pública, por lo que se observa que en el </w:t>
      </w:r>
      <w:proofErr w:type="spellStart"/>
      <w:r w:rsidRPr="0073752A">
        <w:rPr>
          <w:rFonts w:ascii="Palatino Linotype" w:eastAsia="Palatino Linotype" w:hAnsi="Palatino Linotype" w:cs="Palatino Linotype"/>
          <w:i/>
          <w:sz w:val="24"/>
          <w:szCs w:val="24"/>
        </w:rPr>
        <w:t>curriculum</w:t>
      </w:r>
      <w:proofErr w:type="spellEnd"/>
      <w:r w:rsidRPr="0073752A">
        <w:rPr>
          <w:rFonts w:ascii="Palatino Linotype" w:eastAsia="Palatino Linotype" w:hAnsi="Palatino Linotype" w:cs="Palatino Linotype"/>
          <w:i/>
          <w:sz w:val="24"/>
          <w:szCs w:val="24"/>
        </w:rPr>
        <w:t xml:space="preserve"> vitae </w:t>
      </w:r>
      <w:r w:rsidRPr="0073752A">
        <w:rPr>
          <w:rFonts w:ascii="Palatino Linotype" w:eastAsia="Palatino Linotype" w:hAnsi="Palatino Linotype" w:cs="Palatino Linotype"/>
          <w:sz w:val="24"/>
          <w:szCs w:val="24"/>
        </w:rPr>
        <w:t xml:space="preserve">se advierta el nivel académico no obstante a esto, </w:t>
      </w: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los documentos que también pueden dar cuenta de ello, de conformidad con el artículo 171 de la Ley de Educación del Estado de México, pudiera ser en efecto el certificado, constancias, diplomas.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En términos de lo dispuesto por los artículos 172 y 173 de la citada Ley, el certificado de estudios es el documento oficial mediante el cual la Autoridad Educativa Estatal reconoce que los educandos han concluido un nivel educativo determinado, en los tipos de educación básica, media superior y superior. Para expedir el certificado de estudios, la instancia correspondiente revisará y, en su caso, cotejará con sus archivos, que el educando haya cumplido con todos y cada uno de los requisitos de los planes y programas de estudio del nivel que corresponda.</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Motivo por el que se ordena el documento en el que conste el grado máximo de estudios de los servidores públicos adscritos al área de Contabilidad, Cuenta Pública, la Coordinación Municipal de Notificadores y de la Unidad de Transparencia del uno de enero al treinta y uno de diciembre de dos mil veinte en términos del considerando quinto.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73752A">
        <w:rPr>
          <w:rFonts w:ascii="Palatino Linotype" w:eastAsia="Palatino Linotype" w:hAnsi="Palatino Linotype" w:cs="Palatino Linotype"/>
          <w:b/>
          <w:sz w:val="24"/>
          <w:szCs w:val="24"/>
        </w:rPr>
        <w:t xml:space="preserve">Con relación a la remuneración de los servidores públicos.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De acuerdo a este punto de la solicitud y a lo antes preciado, cobra relevancia mencionar que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5C447B" w:rsidRPr="0073752A" w:rsidRDefault="005C447B">
      <w:pPr>
        <w:spacing w:line="360" w:lineRule="auto"/>
        <w:jc w:val="both"/>
        <w:rPr>
          <w:rFonts w:ascii="Palatino Linotype" w:eastAsia="Palatino Linotype" w:hAnsi="Palatino Linotype" w:cs="Palatino Linotype"/>
          <w:sz w:val="24"/>
          <w:szCs w:val="24"/>
        </w:rPr>
      </w:pPr>
    </w:p>
    <w:p w:rsidR="005C447B" w:rsidRPr="0073752A" w:rsidRDefault="00CB0B53">
      <w:pPr>
        <w:spacing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De igual forma, es necesario traer a colación, el artículo 115 fracción IV, párrafo tercero de la Constitución Política de los Estados Unidos Mexicanos establece que: </w:t>
      </w:r>
    </w:p>
    <w:p w:rsidR="005C447B" w:rsidRPr="0073752A" w:rsidRDefault="00CB0B53">
      <w:pPr>
        <w:spacing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r w:rsidRPr="0073752A">
        <w:rPr>
          <w:rFonts w:ascii="Palatino Linotype" w:eastAsia="Palatino Linotype" w:hAnsi="Palatino Linotype" w:cs="Palatino Linotype"/>
          <w:b/>
          <w:i/>
        </w:rPr>
        <w:t>Artículo 115.</w:t>
      </w:r>
      <w:r w:rsidRPr="0073752A">
        <w:rPr>
          <w:rFonts w:ascii="Palatino Linotype" w:eastAsia="Palatino Linotype" w:hAnsi="Palatino Linotype" w:cs="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5C447B" w:rsidRPr="0073752A" w:rsidRDefault="00CB0B53">
      <w:pPr>
        <w:spacing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 … ]</w:t>
      </w:r>
    </w:p>
    <w:p w:rsidR="005C447B" w:rsidRPr="0073752A" w:rsidRDefault="00CB0B53">
      <w:pPr>
        <w:spacing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b/>
          <w:i/>
        </w:rPr>
        <w:t>IV.</w:t>
      </w:r>
      <w:r w:rsidRPr="0073752A">
        <w:rPr>
          <w:rFonts w:ascii="Palatino Linotype" w:eastAsia="Palatino Linotype" w:hAnsi="Palatino Linotype" w:cs="Palatino Linotype"/>
          <w:i/>
        </w:rPr>
        <w:t xml:space="preserve"> Los municipios administrarán libremente su hacienda, la cual se formará de los rendimientos de los bienes que les pertenezcan, así como de las contribuciones y otros ingresos que las legislaturas establezcan a su favor, y en todo caso:</w:t>
      </w:r>
    </w:p>
    <w:p w:rsidR="005C447B" w:rsidRPr="0073752A" w:rsidRDefault="00CB0B53">
      <w:pPr>
        <w:spacing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spacing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Las legislaturas de los Estados aprobarán las leyes de ingresos de los municipios, revisarán y</w:t>
      </w:r>
    </w:p>
    <w:p w:rsidR="005C447B" w:rsidRPr="0073752A" w:rsidRDefault="00CB0B53">
      <w:pPr>
        <w:spacing w:line="276" w:lineRule="auto"/>
        <w:ind w:left="720" w:right="616"/>
        <w:jc w:val="both"/>
        <w:rPr>
          <w:rFonts w:ascii="Palatino Linotype" w:eastAsia="Palatino Linotype" w:hAnsi="Palatino Linotype" w:cs="Palatino Linotype"/>
          <w:i/>
        </w:rPr>
      </w:pPr>
      <w:proofErr w:type="gramStart"/>
      <w:r w:rsidRPr="0073752A">
        <w:rPr>
          <w:rFonts w:ascii="Palatino Linotype" w:eastAsia="Palatino Linotype" w:hAnsi="Palatino Linotype" w:cs="Palatino Linotype"/>
          <w:i/>
        </w:rPr>
        <w:t>fiscalizarán</w:t>
      </w:r>
      <w:proofErr w:type="gramEnd"/>
      <w:r w:rsidRPr="0073752A">
        <w:rPr>
          <w:rFonts w:ascii="Palatino Linotype" w:eastAsia="Palatino Linotype" w:hAnsi="Palatino Linotype" w:cs="Palatino Linotype"/>
          <w:i/>
        </w:rPr>
        <w:t xml:space="preserve"> sus cuentas públicas. Los presupuestos de egresos serán aprobados por </w:t>
      </w:r>
      <w:proofErr w:type="spellStart"/>
      <w:r w:rsidRPr="0073752A">
        <w:rPr>
          <w:rFonts w:ascii="Palatino Linotype" w:eastAsia="Palatino Linotype" w:hAnsi="Palatino Linotype" w:cs="Palatino Linotype"/>
          <w:i/>
        </w:rPr>
        <w:t>lo</w:t>
      </w:r>
      <w:proofErr w:type="spellEnd"/>
      <w:r w:rsidRPr="0073752A">
        <w:rPr>
          <w:rFonts w:ascii="Palatino Linotype" w:eastAsia="Palatino Linotype" w:hAnsi="Palatino Linotype" w:cs="Palatino Linotype"/>
          <w:i/>
        </w:rPr>
        <w:t xml:space="preserve"> ayuntamientos con base en sus ingresos disponibles, y deberán incluir en los mismos, </w:t>
      </w:r>
      <w:r w:rsidRPr="0073752A">
        <w:rPr>
          <w:rFonts w:ascii="Palatino Linotype" w:eastAsia="Palatino Linotype" w:hAnsi="Palatino Linotype" w:cs="Palatino Linotype"/>
          <w:b/>
          <w:i/>
        </w:rPr>
        <w:t>los tabuladores desglosados de las remuneraciones que perciban los servidores públicos municipales</w:t>
      </w:r>
      <w:r w:rsidRPr="0073752A">
        <w:rPr>
          <w:rFonts w:ascii="Palatino Linotype" w:eastAsia="Palatino Linotype" w:hAnsi="Palatino Linotype" w:cs="Palatino Linotype"/>
          <w:i/>
        </w:rPr>
        <w:t>, sujetándose a lo dispuesto en el artículo 127 de esta Constitución.”</w:t>
      </w:r>
    </w:p>
    <w:p w:rsidR="005C447B" w:rsidRPr="0073752A" w:rsidRDefault="00CB0B53">
      <w:pPr>
        <w:spacing w:before="240" w:after="240" w:line="276" w:lineRule="auto"/>
        <w:ind w:left="720"/>
        <w:jc w:val="both"/>
        <w:rPr>
          <w:rFonts w:ascii="Palatino Linotype" w:eastAsia="Palatino Linotype" w:hAnsi="Palatino Linotype" w:cs="Palatino Linotype"/>
          <w:i/>
        </w:rPr>
      </w:pPr>
      <w:r w:rsidRPr="0073752A">
        <w:rPr>
          <w:rFonts w:ascii="Palatino Linotype" w:eastAsia="Palatino Linotype" w:hAnsi="Palatino Linotype" w:cs="Palatino Linotype"/>
          <w:i/>
        </w:rPr>
        <w:lastRenderedPageBreak/>
        <w:t>…”</w:t>
      </w:r>
    </w:p>
    <w:p w:rsidR="005C447B" w:rsidRPr="0073752A" w:rsidRDefault="00CB0B53">
      <w:pPr>
        <w:spacing w:before="240" w:after="240" w:line="360" w:lineRule="auto"/>
        <w:jc w:val="both"/>
        <w:rPr>
          <w:rFonts w:ascii="Palatino Linotype" w:eastAsia="Palatino Linotype" w:hAnsi="Palatino Linotype" w:cs="Palatino Linotype"/>
          <w:sz w:val="28"/>
          <w:szCs w:val="28"/>
        </w:rPr>
      </w:pPr>
      <w:r w:rsidRPr="0073752A">
        <w:rPr>
          <w:rFonts w:ascii="Palatino Linotype" w:eastAsia="Palatino Linotype" w:hAnsi="Palatino Linotype" w:cs="Palatino Linotype"/>
          <w:sz w:val="24"/>
          <w:szCs w:val="24"/>
        </w:rPr>
        <w:t xml:space="preserve">Asimismo, el artículo 125 antepenúltimo y penúltimo párrafos de la Constitución Política del Estado Libre y Soberano de México, establece: </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r w:rsidRPr="0073752A">
        <w:rPr>
          <w:rFonts w:ascii="Palatino Linotype" w:eastAsia="Palatino Linotype" w:hAnsi="Palatino Linotype" w:cs="Palatino Linotype"/>
          <w:b/>
          <w:i/>
        </w:rPr>
        <w:t>Artículo 125</w:t>
      </w:r>
      <w:r w:rsidRPr="0073752A">
        <w:rPr>
          <w:rFonts w:ascii="Palatino Linotype" w:eastAsia="Palatino Linotype" w:hAnsi="Palatino Linotype" w:cs="Palatino Linotype"/>
          <w:i/>
        </w:rPr>
        <w:t>.- Los municipios administrarán libremente su hacienda, la cual se formará de los rendimientos de los bienes que les pertenezcan, así como de las contribuciones y otros ingresos que la ley establezca, y en todo caso:</w:t>
      </w:r>
    </w:p>
    <w:p w:rsidR="005C447B" w:rsidRPr="0073752A" w:rsidRDefault="00CB0B53">
      <w:pPr>
        <w:spacing w:before="240" w:after="240" w:line="360" w:lineRule="auto"/>
        <w:ind w:left="720"/>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La Presidenta o el Presidente Municipal, promulgará y publicará el Presupuesto de Egresos Municipal, a más tardar el día 25 de febrero de cada año debiendo enviarlo al Órgano Superior de Fiscalización en la misma fecha. </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El Presupuesto deberá incluir los tabuladores desglosados de las remuneraciones que perciban las y los servidores públicos municipales, sujetándose a lo dispuesto en el artículo 147 de esta Constitución.”</w:t>
      </w:r>
    </w:p>
    <w:p w:rsidR="005C447B" w:rsidRPr="0073752A" w:rsidRDefault="00CB0B53">
      <w:pPr>
        <w:spacing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El mismo ordenamiento en su artículo 147 párrafo tercero fracción V, refiere: </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b/>
          <w:i/>
        </w:rPr>
        <w:t>“Artículo 147.-</w:t>
      </w:r>
      <w:r w:rsidRPr="0073752A">
        <w:rPr>
          <w:rFonts w:ascii="Palatino Linotype" w:eastAsia="Palatino Linotype" w:hAnsi="Palatino Linotype" w:cs="Palatino Linotype"/>
          <w:i/>
        </w:rPr>
        <w:t xml:space="preserve"> El Gobernador o Gobernadora, los Diputados o Diputadas, y los Magistrados o Magistradas de los Tribunales Superior de Justicia y de Justicia Administrativa del Estado de México, los miembros del Consejo de la Judicatura, los trabajadores y trabajadoras al servicio del Estado, las y los integrantes, y las y los servidores de los organismos constitucionalmente autónomos, así como los miembros de los ayuntamientos y demás servidores públicos municipales recibirán una retribución adecuada e irrenunciable por el desempeño de su empleo, cargo o comisión, que será determinada en el presupuesto de egresos que corresponda. </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lastRenderedPageBreak/>
        <w:t xml:space="preserve">Las remuneraciones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La remuneración será determinada anual y equitativamente en el Presupuesto de Egresos correspondiente bajo las bases siguientes:</w:t>
      </w:r>
    </w:p>
    <w:p w:rsidR="005C447B" w:rsidRPr="0073752A" w:rsidRDefault="00CB0B53">
      <w:pPr>
        <w:spacing w:before="240" w:after="240" w:line="276" w:lineRule="auto"/>
        <w:ind w:left="720"/>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V. Las remuneraciones y </w:t>
      </w:r>
      <w:r w:rsidRPr="0073752A">
        <w:rPr>
          <w:rFonts w:ascii="Palatino Linotype" w:eastAsia="Palatino Linotype" w:hAnsi="Palatino Linotype" w:cs="Palatino Linotype"/>
          <w:b/>
          <w:i/>
        </w:rPr>
        <w:t>sus tabuladores serán públicos</w:t>
      </w:r>
      <w:r w:rsidRPr="0073752A">
        <w:rPr>
          <w:rFonts w:ascii="Palatino Linotype" w:eastAsia="Palatino Linotype" w:hAnsi="Palatino Linotype" w:cs="Palatino Linotype"/>
          <w:i/>
        </w:rPr>
        <w:t>, y deberán especificar y diferenciar la totalidad de sus elementos fijos y variables tanto en efectivo como en especie.”</w:t>
      </w:r>
    </w:p>
    <w:p w:rsidR="005C447B" w:rsidRPr="0073752A" w:rsidRDefault="00CB0B53">
      <w:pPr>
        <w:spacing w:before="240" w:after="240" w:line="360" w:lineRule="auto"/>
        <w:jc w:val="both"/>
        <w:rPr>
          <w:rFonts w:ascii="Palatino Linotype" w:eastAsia="Palatino Linotype" w:hAnsi="Palatino Linotype" w:cs="Palatino Linotype"/>
          <w:sz w:val="28"/>
          <w:szCs w:val="28"/>
        </w:rPr>
      </w:pPr>
      <w:r w:rsidRPr="0073752A">
        <w:rPr>
          <w:rFonts w:ascii="Palatino Linotype" w:eastAsia="Palatino Linotype" w:hAnsi="Palatino Linotype" w:cs="Palatino Linotype"/>
          <w:sz w:val="24"/>
          <w:szCs w:val="24"/>
        </w:rPr>
        <w:t xml:space="preserve">La Ley de Fiscalización Superior del Estado de México en el artículo 8 fracciones XI, y XXX, confiere al Órgano Superior de Fiscalización las siguientes atribuciones: </w:t>
      </w:r>
    </w:p>
    <w:p w:rsidR="005C447B" w:rsidRPr="0073752A" w:rsidRDefault="00CB0B53">
      <w:pPr>
        <w:spacing w:before="240" w:after="240" w:line="360" w:lineRule="auto"/>
        <w:ind w:firstLine="851"/>
        <w:jc w:val="both"/>
        <w:rPr>
          <w:rFonts w:ascii="Palatino Linotype" w:eastAsia="Palatino Linotype" w:hAnsi="Palatino Linotype" w:cs="Palatino Linotype"/>
        </w:rPr>
      </w:pPr>
      <w:r w:rsidRPr="0073752A">
        <w:rPr>
          <w:rFonts w:ascii="Palatino Linotype" w:eastAsia="Palatino Linotype" w:hAnsi="Palatino Linotype" w:cs="Palatino Linotype"/>
        </w:rPr>
        <w:t>…</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 XI. Establecer los lineamientos, criterios, procedimientos, métodos y sistemas, así como todas aquellas disposiciones de carácter general para las acciones de control y evaluación, necesarios para la fiscalización de las cuentas públicas y los informes trimestrales; </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 […] </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XXX. Vigilar que las Remuneraciones de los servidores públicos del Estado y Municipios, se ajusten a lo establecido en los catálogos generales de puestos y tabuladores de remuneraciones aprobados por la Legislatura del Estado o por los ayuntamientos respectivos;</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spacing w:before="240" w:after="240" w:line="360" w:lineRule="auto"/>
        <w:jc w:val="both"/>
        <w:rPr>
          <w:rFonts w:ascii="Palatino Linotype" w:eastAsia="Palatino Linotype" w:hAnsi="Palatino Linotype" w:cs="Palatino Linotype"/>
          <w:sz w:val="28"/>
          <w:szCs w:val="28"/>
        </w:rPr>
      </w:pPr>
      <w:r w:rsidRPr="0073752A">
        <w:rPr>
          <w:rFonts w:ascii="Palatino Linotype" w:eastAsia="Palatino Linotype" w:hAnsi="Palatino Linotype" w:cs="Palatino Linotype"/>
          <w:sz w:val="24"/>
          <w:szCs w:val="24"/>
        </w:rPr>
        <w:t xml:space="preserve">La referida Ley en su artículo 47 indica que: </w:t>
      </w:r>
    </w:p>
    <w:p w:rsidR="005C447B" w:rsidRPr="0073752A" w:rsidRDefault="00CB0B53">
      <w:pPr>
        <w:spacing w:before="240" w:after="240" w:line="276" w:lineRule="auto"/>
        <w:ind w:left="851" w:right="616"/>
        <w:jc w:val="both"/>
        <w:rPr>
          <w:rFonts w:ascii="Palatino Linotype" w:eastAsia="Palatino Linotype" w:hAnsi="Palatino Linotype" w:cs="Palatino Linotype"/>
        </w:rPr>
      </w:pPr>
      <w:r w:rsidRPr="0073752A">
        <w:rPr>
          <w:rFonts w:ascii="Palatino Linotype" w:eastAsia="Palatino Linotype" w:hAnsi="Palatino Linotype" w:cs="Palatino Linotype"/>
          <w:i/>
        </w:rPr>
        <w:lastRenderedPageBreak/>
        <w:t>“Los Presidentes Municipales y los Síndicos estarán obligados a informar al Órgano Superior, a más tardar el 25 de febrero de cada año, el Presupuesto de Egresos Municipal que haya aprobado el Ayuntamiento correspondiente.”</w:t>
      </w:r>
    </w:p>
    <w:p w:rsidR="005C447B" w:rsidRPr="0073752A" w:rsidRDefault="00CB0B53">
      <w:pPr>
        <w:spacing w:before="240" w:after="240" w:line="360" w:lineRule="auto"/>
        <w:jc w:val="both"/>
        <w:rPr>
          <w:rFonts w:ascii="Palatino Linotype" w:eastAsia="Palatino Linotype" w:hAnsi="Palatino Linotype" w:cs="Palatino Linotype"/>
          <w:sz w:val="28"/>
          <w:szCs w:val="28"/>
        </w:rPr>
      </w:pPr>
      <w:r w:rsidRPr="0073752A">
        <w:rPr>
          <w:rFonts w:ascii="Palatino Linotype" w:eastAsia="Palatino Linotype" w:hAnsi="Palatino Linotype" w:cs="Palatino Linotype"/>
          <w:sz w:val="24"/>
          <w:szCs w:val="24"/>
        </w:rPr>
        <w:t>Así mismo, el artículo 351 segundo párrafo del Código Financiero del Estado de México y Municipios dispone que:</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 “Los Ayuntamientos al aprobar en forma definitiva su presupuesto de egresos, deberán publicar en la "Gaceta Municipal" 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w:t>
      </w:r>
    </w:p>
    <w:p w:rsidR="005C447B" w:rsidRPr="0073752A" w:rsidRDefault="00CB0B53">
      <w:pPr>
        <w:spacing w:before="240" w:after="24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Ahora bien, cabe señalar, que el tabulador de sueldos, es el documento que se confecciona conforme al MANUAL PARA LA PLANEACIÓN, PROGRAMACIÓN Y PRESUPUESTO DE EGRESOS MUNICIPAL PARA EL EJERCICIO FISCAL 2022 y los LINEAMIENTOS PARA LA ENTREGA DEL PRESUPUESTO DE EGRESOS MUNICPAL 2022, los cuales señalan que debe contener los puestos funcionales existentes y programados en la administración pública municipal para el ejercicio fiscal presupuestado; así como de cada puesto funcional, el nivel salarial; el número de plazas, la categoría (confianza, sindicalizado o eventual); las percepciones como pueden ser dietas, sueldo base, compensación  gratificación y otras percepciones, así como aguinaldo y prima vacacional presupuestado para cada puesto.</w:t>
      </w:r>
    </w:p>
    <w:p w:rsidR="005C447B" w:rsidRPr="0073752A" w:rsidRDefault="00CB0B53">
      <w:pPr>
        <w:spacing w:before="240" w:after="24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El referido manual señala en su numeral 3.2.3 lo siguiente:</w:t>
      </w:r>
    </w:p>
    <w:p w:rsidR="005C447B" w:rsidRPr="0073752A" w:rsidRDefault="00CB0B53">
      <w:pPr>
        <w:spacing w:before="240" w:after="240" w:line="360" w:lineRule="auto"/>
        <w:ind w:firstLine="720"/>
        <w:jc w:val="both"/>
        <w:rPr>
          <w:rFonts w:ascii="Palatino Linotype" w:eastAsia="Palatino Linotype" w:hAnsi="Palatino Linotype" w:cs="Palatino Linotype"/>
          <w:b/>
          <w:i/>
        </w:rPr>
      </w:pPr>
      <w:r w:rsidRPr="0073752A">
        <w:rPr>
          <w:rFonts w:ascii="Palatino Linotype" w:eastAsia="Palatino Linotype" w:hAnsi="Palatino Linotype" w:cs="Palatino Linotype"/>
          <w:b/>
          <w:i/>
        </w:rPr>
        <w:t>“3.2.3. Lineamientos para la determinación del Presupuesto de Gasto Corriente.</w:t>
      </w:r>
    </w:p>
    <w:p w:rsidR="005C447B" w:rsidRPr="0073752A" w:rsidRDefault="00CB0B53">
      <w:pPr>
        <w:spacing w:before="240" w:after="240" w:line="276" w:lineRule="auto"/>
        <w:ind w:left="720" w:right="616"/>
        <w:jc w:val="both"/>
        <w:rPr>
          <w:rFonts w:ascii="Palatino Linotype" w:eastAsia="Palatino Linotype" w:hAnsi="Palatino Linotype" w:cs="Palatino Linotype"/>
          <w:i/>
        </w:rPr>
      </w:pPr>
      <w:r w:rsidRPr="0073752A">
        <w:rPr>
          <w:rFonts w:ascii="Palatino Linotype" w:eastAsia="Palatino Linotype" w:hAnsi="Palatino Linotype" w:cs="Palatino Linotype"/>
          <w:i/>
        </w:rPr>
        <w:lastRenderedPageBreak/>
        <w:t>La propuesta de presupuesto deberá integrarse en los formatos PbRM-03 al PbRM-07 en todas sus series, para ello, es necesario tener la plantilla de personal autorizada que incluya el desglose sobre el total de percepciones ordinarias y extraordinarias, un estudio actuarial de las pensiones de sus trabajadores, una propuesta de insumos y requerimientos a nivel de cada una de las Dependencias Generales, Auxiliares y Organismos Municipales, así como los catálogos y anexos que se presentan en este manual. De forma específica, las Dependencias y Organismos Municipales en su Anteproyecto de Presupuesto de Egresos integrarán además de los formatos PbRM-01a al 01e y el formato PbRM04a “Presupuesto de Egresos Detallado”.</w:t>
      </w:r>
    </w:p>
    <w:p w:rsidR="005C447B" w:rsidRPr="0073752A" w:rsidRDefault="00CB0B53">
      <w:pPr>
        <w:spacing w:before="240" w:after="240" w:line="276" w:lineRule="auto"/>
        <w:ind w:left="720" w:right="616"/>
        <w:jc w:val="both"/>
        <w:rPr>
          <w:rFonts w:ascii="Palatino Linotype" w:eastAsia="Palatino Linotype" w:hAnsi="Palatino Linotype" w:cs="Palatino Linotype"/>
          <w:b/>
          <w:i/>
        </w:rPr>
      </w:pPr>
      <w:r w:rsidRPr="0073752A">
        <w:rPr>
          <w:rFonts w:ascii="Palatino Linotype" w:eastAsia="Palatino Linotype" w:hAnsi="Palatino Linotype" w:cs="Palatino Linotype"/>
          <w:i/>
        </w:rPr>
        <w:t xml:space="preserve">Para la asignación de los recursos del Capítulo 1000 “Servicios Personales”, es necesario identificar el costo de la plantilla de personal actual y estimar montos para cumplir con posibles compromisos laborales que respondan a la firma de convenios, así como a los recursos que se comuniquen como asignaciones presupuestarias para este capítulo, </w:t>
      </w:r>
      <w:r w:rsidRPr="0073752A">
        <w:rPr>
          <w:rFonts w:ascii="Palatino Linotype" w:eastAsia="Palatino Linotype" w:hAnsi="Palatino Linotype" w:cs="Palatino Linotype"/>
          <w:b/>
          <w:i/>
        </w:rPr>
        <w:t>por lo que es necesario incluir el tabulador salarial que incluya el total de percepciones ordinarias y extraordinarias.</w:t>
      </w:r>
    </w:p>
    <w:p w:rsidR="005C447B" w:rsidRPr="0073752A" w:rsidRDefault="00CB0B53">
      <w:pPr>
        <w:spacing w:before="240" w:after="240" w:line="360" w:lineRule="auto"/>
        <w:ind w:left="720"/>
        <w:jc w:val="both"/>
        <w:rPr>
          <w:rFonts w:ascii="Palatino Linotype" w:eastAsia="Palatino Linotype" w:hAnsi="Palatino Linotype" w:cs="Palatino Linotype"/>
          <w:b/>
          <w:i/>
          <w:sz w:val="24"/>
          <w:szCs w:val="24"/>
        </w:rPr>
      </w:pPr>
      <w:r w:rsidRPr="0073752A">
        <w:rPr>
          <w:rFonts w:ascii="Palatino Linotype" w:eastAsia="Palatino Linotype" w:hAnsi="Palatino Linotype" w:cs="Palatino Linotype"/>
          <w:i/>
        </w:rPr>
        <w:t>…”</w:t>
      </w:r>
    </w:p>
    <w:p w:rsidR="005C447B" w:rsidRPr="0073752A" w:rsidRDefault="00CB0B53">
      <w:pPr>
        <w:spacing w:before="240" w:after="24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En el mismo ordenamiento se observa que el tabulador de sueldos obra en el </w:t>
      </w:r>
      <w:r w:rsidRPr="0073752A">
        <w:rPr>
          <w:rFonts w:ascii="Palatino Linotype" w:eastAsia="Palatino Linotype" w:hAnsi="Palatino Linotype" w:cs="Palatino Linotype"/>
          <w:b/>
          <w:sz w:val="24"/>
          <w:szCs w:val="24"/>
        </w:rPr>
        <w:t>formato PbRM-05,</w:t>
      </w:r>
      <w:r w:rsidRPr="0073752A">
        <w:rPr>
          <w:rFonts w:ascii="Palatino Linotype" w:eastAsia="Palatino Linotype" w:hAnsi="Palatino Linotype" w:cs="Palatino Linotype"/>
          <w:sz w:val="24"/>
          <w:szCs w:val="24"/>
        </w:rPr>
        <w:t xml:space="preserve"> y se trata de información vinculada al Proyecto de Presupuesto de Egresos, como a continuación se ilustra:</w:t>
      </w:r>
    </w:p>
    <w:p w:rsidR="005C447B" w:rsidRPr="0073752A" w:rsidRDefault="005C447B">
      <w:pPr>
        <w:spacing w:line="360" w:lineRule="auto"/>
        <w:jc w:val="both"/>
        <w:rPr>
          <w:rFonts w:ascii="Palatino Linotype" w:eastAsia="Palatino Linotype" w:hAnsi="Palatino Linotype" w:cs="Palatino Linotype"/>
        </w:rPr>
      </w:pPr>
    </w:p>
    <w:p w:rsidR="005C447B" w:rsidRPr="0073752A" w:rsidRDefault="00CB0B53">
      <w:pPr>
        <w:spacing w:line="360" w:lineRule="auto"/>
        <w:jc w:val="both"/>
        <w:rPr>
          <w:rFonts w:ascii="Palatino Linotype" w:eastAsia="Palatino Linotype" w:hAnsi="Palatino Linotype" w:cs="Palatino Linotype"/>
        </w:rPr>
      </w:pPr>
      <w:r w:rsidRPr="0073752A">
        <w:rPr>
          <w:rFonts w:ascii="Palatino Linotype" w:eastAsia="Palatino Linotype" w:hAnsi="Palatino Linotype" w:cs="Palatino Linotype"/>
          <w:noProof/>
        </w:rPr>
        <w:lastRenderedPageBreak/>
        <w:drawing>
          <wp:inline distT="0" distB="0" distL="0" distR="0">
            <wp:extent cx="5543550" cy="3581400"/>
            <wp:effectExtent l="0" t="0" r="0" b="0"/>
            <wp:docPr id="54" name="image3.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10;&#10;Descripción generada automáticamente"/>
                    <pic:cNvPicPr preferRelativeResize="0"/>
                  </pic:nvPicPr>
                  <pic:blipFill>
                    <a:blip r:embed="rId24"/>
                    <a:srcRect l="55772" t="32590" r="6619" b="24229"/>
                    <a:stretch>
                      <a:fillRect/>
                    </a:stretch>
                  </pic:blipFill>
                  <pic:spPr>
                    <a:xfrm>
                      <a:off x="0" y="0"/>
                      <a:ext cx="5543550" cy="3581400"/>
                    </a:xfrm>
                    <a:prstGeom prst="rect">
                      <a:avLst/>
                    </a:prstGeom>
                    <a:ln/>
                  </pic:spPr>
                </pic:pic>
              </a:graphicData>
            </a:graphic>
          </wp:inline>
        </w:drawing>
      </w:r>
    </w:p>
    <w:p w:rsidR="005C447B" w:rsidRPr="0073752A" w:rsidRDefault="00CB0B53">
      <w:pPr>
        <w:spacing w:before="240" w:after="24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Asimismo, el citado Manual estipula que para la presentación al Órgano Superior de Fiscalización del Estado de México (OSFEM), el Presupuesto de Egresos Municipal deberá contener la información siguiente:</w:t>
      </w:r>
    </w:p>
    <w:p w:rsidR="005C447B" w:rsidRPr="0073752A" w:rsidRDefault="005C447B">
      <w:pPr>
        <w:spacing w:before="240" w:after="240" w:line="360" w:lineRule="auto"/>
        <w:jc w:val="both"/>
        <w:rPr>
          <w:rFonts w:ascii="Palatino Linotype" w:eastAsia="Palatino Linotype" w:hAnsi="Palatino Linotype" w:cs="Palatino Linotype"/>
        </w:rPr>
      </w:pPr>
    </w:p>
    <w:p w:rsidR="005C447B" w:rsidRPr="0073752A" w:rsidRDefault="00CB0B53">
      <w:pPr>
        <w:spacing w:before="240" w:after="240" w:line="360" w:lineRule="auto"/>
        <w:jc w:val="both"/>
        <w:rPr>
          <w:rFonts w:ascii="Palatino Linotype" w:eastAsia="Palatino Linotype" w:hAnsi="Palatino Linotype" w:cs="Palatino Linotype"/>
        </w:rPr>
      </w:pPr>
      <w:r w:rsidRPr="0073752A">
        <w:rPr>
          <w:rFonts w:ascii="Palatino Linotype" w:eastAsia="Palatino Linotype" w:hAnsi="Palatino Linotype" w:cs="Palatino Linotype"/>
        </w:rPr>
        <w:lastRenderedPageBreak/>
        <w:t xml:space="preserve"> </w:t>
      </w:r>
      <w:r w:rsidRPr="0073752A">
        <w:rPr>
          <w:rFonts w:ascii="Palatino Linotype" w:eastAsia="Palatino Linotype" w:hAnsi="Palatino Linotype" w:cs="Palatino Linotype"/>
          <w:noProof/>
        </w:rPr>
        <w:drawing>
          <wp:inline distT="0" distB="0" distL="0" distR="0">
            <wp:extent cx="5505450" cy="6400800"/>
            <wp:effectExtent l="0" t="0" r="0" b="0"/>
            <wp:docPr id="56" name="image2.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Aplicación, Word&#10;&#10;Descripción generada automáticamente"/>
                    <pic:cNvPicPr preferRelativeResize="0"/>
                  </pic:nvPicPr>
                  <pic:blipFill>
                    <a:blip r:embed="rId25"/>
                    <a:srcRect l="55772" t="17827" r="6775" b="4724"/>
                    <a:stretch>
                      <a:fillRect/>
                    </a:stretch>
                  </pic:blipFill>
                  <pic:spPr>
                    <a:xfrm>
                      <a:off x="0" y="0"/>
                      <a:ext cx="5505450" cy="6400800"/>
                    </a:xfrm>
                    <a:prstGeom prst="rect">
                      <a:avLst/>
                    </a:prstGeom>
                    <a:ln/>
                  </pic:spPr>
                </pic:pic>
              </a:graphicData>
            </a:graphic>
          </wp:inline>
        </w:drawing>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Por lo que se observa que el documento que colmaría de manera enunciativa más no limitativa, este punto de la solicitud es el tabulador de sueldos por lo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ind w:left="851" w:right="851"/>
        <w:jc w:val="both"/>
        <w:rPr>
          <w:rFonts w:ascii="Palatino Linotype" w:eastAsia="Palatino Linotype" w:hAnsi="Palatino Linotype" w:cs="Palatino Linotype"/>
          <w:i/>
          <w:u w:val="single"/>
        </w:rPr>
      </w:pPr>
      <w:r w:rsidRPr="0073752A">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73752A">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73752A">
        <w:rPr>
          <w:rFonts w:ascii="Palatino Linotype" w:eastAsia="Palatino Linotype" w:hAnsi="Palatino Linotype" w:cs="Palatino Linotype"/>
          <w:b/>
          <w:i/>
          <w:u w:val="single"/>
        </w:rPr>
        <w:t>que reciba y ejerza recursos públicos</w:t>
      </w:r>
      <w:r w:rsidRPr="0073752A">
        <w:rPr>
          <w:rFonts w:ascii="Palatino Linotype" w:eastAsia="Palatino Linotype" w:hAnsi="Palatino Linotype" w:cs="Palatino Linotype"/>
          <w:i/>
        </w:rPr>
        <w:t xml:space="preserve"> o realice actos de autoridad </w:t>
      </w:r>
      <w:r w:rsidRPr="0073752A">
        <w:rPr>
          <w:rFonts w:ascii="Palatino Linotype" w:eastAsia="Palatino Linotype" w:hAnsi="Palatino Linotype" w:cs="Palatino Linotype"/>
          <w:b/>
          <w:i/>
          <w:u w:val="single"/>
        </w:rPr>
        <w:t>en el ámbito de competencia del Estado de México y sus municipios</w:t>
      </w:r>
      <w:r w:rsidRPr="0073752A">
        <w:rPr>
          <w:rFonts w:ascii="Palatino Linotype" w:eastAsia="Palatino Linotype" w:hAnsi="Palatino Linotype" w:cs="Palatino Linotype"/>
          <w:i/>
          <w:u w:val="single"/>
        </w:rPr>
        <w:t>.</w:t>
      </w:r>
    </w:p>
    <w:p w:rsidR="005C447B" w:rsidRPr="0073752A" w:rsidRDefault="00CB0B53">
      <w:pPr>
        <w:ind w:left="851" w:right="851"/>
        <w:jc w:val="both"/>
        <w:rPr>
          <w:rFonts w:ascii="Palatino Linotype" w:eastAsia="Palatino Linotype" w:hAnsi="Palatino Linotype" w:cs="Palatino Linotype"/>
          <w:i/>
        </w:rPr>
      </w:pPr>
      <w:r w:rsidRPr="0073752A">
        <w:rPr>
          <w:rFonts w:ascii="Palatino Linotype" w:eastAsia="Palatino Linotype" w:hAnsi="Palatino Linotype" w:cs="Palatino Linotype"/>
          <w:i/>
        </w:rPr>
        <w:t>Artículo 23. Son sujetos obligados a transparentar y permitir el acceso a su información y proteger los datos personales que obren en su poder:</w:t>
      </w:r>
    </w:p>
    <w:p w:rsidR="005C447B" w:rsidRPr="0073752A" w:rsidRDefault="00CB0B53">
      <w:pPr>
        <w:ind w:left="851" w:right="851"/>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ind w:left="851" w:right="851"/>
        <w:jc w:val="both"/>
        <w:rPr>
          <w:rFonts w:ascii="Palatino Linotype" w:eastAsia="Palatino Linotype" w:hAnsi="Palatino Linotype" w:cs="Palatino Linotype"/>
          <w:b/>
          <w:i/>
          <w:u w:val="single"/>
        </w:rPr>
      </w:pPr>
      <w:r w:rsidRPr="0073752A">
        <w:rPr>
          <w:rFonts w:ascii="Palatino Linotype" w:eastAsia="Palatino Linotype" w:hAnsi="Palatino Linotype" w:cs="Palatino Linotype"/>
          <w:b/>
          <w:i/>
          <w:u w:val="single"/>
        </w:rPr>
        <w:t>IV. Los ayuntamientos y las dependencias, organismos, órganos y entidades de la administración municipal;</w:t>
      </w:r>
    </w:p>
    <w:p w:rsidR="005C447B" w:rsidRPr="0073752A" w:rsidRDefault="00CB0B53">
      <w:pPr>
        <w:ind w:left="851" w:right="851"/>
        <w:jc w:val="both"/>
        <w:rPr>
          <w:rFonts w:ascii="Palatino Linotype" w:eastAsia="Palatino Linotype" w:hAnsi="Palatino Linotype" w:cs="Palatino Linotype"/>
          <w:i/>
        </w:rPr>
      </w:pPr>
      <w:r w:rsidRPr="0073752A">
        <w:rPr>
          <w:rFonts w:ascii="Palatino Linotype" w:eastAsia="Palatino Linotype" w:hAnsi="Palatino Linotype" w:cs="Palatino Linotype"/>
          <w:i/>
        </w:rPr>
        <w:lastRenderedPageBreak/>
        <w:t>(…)</w:t>
      </w:r>
    </w:p>
    <w:p w:rsidR="005C447B" w:rsidRPr="0073752A" w:rsidRDefault="00CB0B53">
      <w:pPr>
        <w:ind w:left="851" w:right="851"/>
        <w:jc w:val="both"/>
        <w:rPr>
          <w:rFonts w:ascii="Palatino Linotype" w:eastAsia="Palatino Linotype" w:hAnsi="Palatino Linotype" w:cs="Palatino Linotype"/>
          <w:b/>
          <w:i/>
          <w:u w:val="single"/>
        </w:rPr>
      </w:pPr>
      <w:r w:rsidRPr="0073752A">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C447B" w:rsidRPr="0073752A" w:rsidRDefault="00CB0B53">
      <w:pPr>
        <w:ind w:left="851" w:right="851"/>
        <w:jc w:val="both"/>
        <w:rPr>
          <w:rFonts w:ascii="Palatino Linotype" w:eastAsia="Palatino Linotype" w:hAnsi="Palatino Linotype" w:cs="Palatino Linotype"/>
          <w:b/>
          <w:i/>
        </w:rPr>
      </w:pPr>
      <w:r w:rsidRPr="0073752A">
        <w:rPr>
          <w:rFonts w:ascii="Palatino Linotype" w:eastAsia="Palatino Linotype" w:hAnsi="Palatino Linotype" w:cs="Palatino Linotype"/>
          <w:i/>
        </w:rPr>
        <w:t>Los servidores públicos deberán transparentar sus acciones así como garantizar y respetar el derecho de acceso a la información pública.”</w:t>
      </w:r>
      <w:r w:rsidRPr="0073752A">
        <w:rPr>
          <w:rFonts w:ascii="Palatino Linotype" w:eastAsia="Palatino Linotype" w:hAnsi="Palatino Linotype" w:cs="Palatino Linotype"/>
          <w:b/>
          <w:i/>
        </w:rPr>
        <w:t xml:space="preserve"> [Sic]</w:t>
      </w:r>
    </w:p>
    <w:p w:rsidR="005C447B" w:rsidRPr="0073752A" w:rsidRDefault="005C447B">
      <w:pPr>
        <w:spacing w:line="360" w:lineRule="auto"/>
        <w:jc w:val="both"/>
        <w:rPr>
          <w:rFonts w:ascii="Palatino Linotype" w:eastAsia="Palatino Linotype" w:hAnsi="Palatino Linotype" w:cs="Palatino Linotype"/>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73752A">
        <w:rPr>
          <w:rFonts w:ascii="Palatino Linotype" w:eastAsia="Palatino Linotype" w:hAnsi="Palatino Linotype" w:cs="Palatino Linotype"/>
          <w:b/>
          <w:sz w:val="24"/>
          <w:szCs w:val="24"/>
        </w:rPr>
        <w:t>01/2003</w:t>
      </w:r>
      <w:r w:rsidRPr="0073752A">
        <w:rPr>
          <w:rFonts w:ascii="Palatino Linotype" w:eastAsia="Palatino Linotype" w:hAnsi="Palatino Linotype" w:cs="Palatino Linotype"/>
          <w:sz w:val="24"/>
          <w:szCs w:val="24"/>
        </w:rPr>
        <w:t xml:space="preserve"> y </w:t>
      </w:r>
      <w:r w:rsidRPr="0073752A">
        <w:rPr>
          <w:rFonts w:ascii="Palatino Linotype" w:eastAsia="Palatino Linotype" w:hAnsi="Palatino Linotype" w:cs="Palatino Linotype"/>
          <w:b/>
          <w:sz w:val="24"/>
          <w:szCs w:val="24"/>
        </w:rPr>
        <w:t>02/2003</w:t>
      </w:r>
      <w:r w:rsidRPr="0073752A">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ind w:left="851" w:right="851"/>
        <w:rPr>
          <w:rFonts w:ascii="Palatino Linotype" w:eastAsia="Palatino Linotype" w:hAnsi="Palatino Linotype" w:cs="Palatino Linotype"/>
          <w:b/>
          <w:i/>
        </w:rPr>
      </w:pPr>
      <w:r w:rsidRPr="0073752A">
        <w:rPr>
          <w:rFonts w:ascii="Palatino Linotype" w:eastAsia="Palatino Linotype" w:hAnsi="Palatino Linotype" w:cs="Palatino Linotype"/>
          <w:b/>
          <w:i/>
        </w:rPr>
        <w:t>“Criterio 01/2003.</w:t>
      </w:r>
    </w:p>
    <w:p w:rsidR="005C447B" w:rsidRPr="0073752A" w:rsidRDefault="00CB0B53">
      <w:pPr>
        <w:ind w:left="851" w:right="851"/>
        <w:jc w:val="both"/>
        <w:rPr>
          <w:rFonts w:ascii="Palatino Linotype" w:eastAsia="Palatino Linotype" w:hAnsi="Palatino Linotype" w:cs="Palatino Linotype"/>
          <w:i/>
        </w:rPr>
      </w:pPr>
      <w:r w:rsidRPr="0073752A">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73752A">
        <w:rPr>
          <w:rFonts w:ascii="Palatino Linotype" w:eastAsia="Palatino Linotype" w:hAnsi="Palatino Linotype" w:cs="Palatino Linotype"/>
          <w:i/>
        </w:rPr>
        <w:t xml:space="preserve"> </w:t>
      </w:r>
    </w:p>
    <w:p w:rsidR="005C447B" w:rsidRPr="0073752A" w:rsidRDefault="00CB0B53">
      <w:pPr>
        <w:ind w:left="851" w:right="851"/>
        <w:jc w:val="both"/>
        <w:rPr>
          <w:rFonts w:ascii="Palatino Linotype" w:eastAsia="Palatino Linotype" w:hAnsi="Palatino Linotype" w:cs="Palatino Linotype"/>
          <w:i/>
          <w:u w:val="single"/>
        </w:rPr>
      </w:pPr>
      <w:r w:rsidRPr="0073752A">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3752A">
        <w:rPr>
          <w:rFonts w:ascii="Palatino Linotype" w:eastAsia="Palatino Linotype" w:hAnsi="Palatino Linotype" w:cs="Palatino Linotype"/>
          <w:b/>
          <w:i/>
          <w:u w:val="single"/>
        </w:rPr>
        <w:t xml:space="preserve">deben publicarse en medios remotos o locales de comunicación electrónica, lo que se sustenta en el hecho de que el monto de todos los ingresos que recibe un servidor público por desarrollar las </w:t>
      </w:r>
      <w:r w:rsidRPr="0073752A">
        <w:rPr>
          <w:rFonts w:ascii="Palatino Linotype" w:eastAsia="Palatino Linotype" w:hAnsi="Palatino Linotype" w:cs="Palatino Linotype"/>
          <w:b/>
          <w:i/>
          <w:u w:val="single"/>
        </w:rPr>
        <w:lastRenderedPageBreak/>
        <w:t>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3752A">
        <w:rPr>
          <w:rFonts w:ascii="Palatino Linotype" w:eastAsia="Palatino Linotype" w:hAnsi="Palatino Linotype" w:cs="Palatino Linotype"/>
          <w:i/>
          <w:u w:val="single"/>
        </w:rPr>
        <w:t>…”</w:t>
      </w:r>
    </w:p>
    <w:p w:rsidR="005C447B" w:rsidRPr="0073752A" w:rsidRDefault="005C447B">
      <w:pPr>
        <w:ind w:left="851" w:right="851"/>
        <w:jc w:val="both"/>
        <w:rPr>
          <w:rFonts w:ascii="Palatino Linotype" w:eastAsia="Palatino Linotype" w:hAnsi="Palatino Linotype" w:cs="Palatino Linotype"/>
          <w:i/>
        </w:rPr>
      </w:pPr>
    </w:p>
    <w:p w:rsidR="005C447B" w:rsidRPr="0073752A" w:rsidRDefault="00CB0B53">
      <w:pPr>
        <w:ind w:left="851" w:right="851"/>
        <w:rPr>
          <w:rFonts w:ascii="Palatino Linotype" w:eastAsia="Palatino Linotype" w:hAnsi="Palatino Linotype" w:cs="Palatino Linotype"/>
          <w:b/>
          <w:i/>
        </w:rPr>
      </w:pPr>
      <w:r w:rsidRPr="0073752A">
        <w:rPr>
          <w:rFonts w:ascii="Palatino Linotype" w:eastAsia="Palatino Linotype" w:hAnsi="Palatino Linotype" w:cs="Palatino Linotype"/>
          <w:b/>
          <w:i/>
        </w:rPr>
        <w:t>“Criterio 02/2003.</w:t>
      </w:r>
    </w:p>
    <w:p w:rsidR="005C447B" w:rsidRPr="0073752A" w:rsidRDefault="00CB0B53">
      <w:pPr>
        <w:ind w:left="851" w:right="851"/>
        <w:jc w:val="both"/>
        <w:rPr>
          <w:rFonts w:ascii="Palatino Linotype" w:eastAsia="Palatino Linotype" w:hAnsi="Palatino Linotype" w:cs="Palatino Linotype"/>
          <w:i/>
        </w:rPr>
      </w:pPr>
      <w:r w:rsidRPr="0073752A">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73752A">
        <w:rPr>
          <w:rFonts w:ascii="Palatino Linotype" w:eastAsia="Palatino Linotype" w:hAnsi="Palatino Linotype" w:cs="Palatino Linotype"/>
          <w:i/>
        </w:rPr>
        <w:t xml:space="preserve"> </w:t>
      </w:r>
    </w:p>
    <w:p w:rsidR="005C447B" w:rsidRPr="0073752A" w:rsidRDefault="00CB0B53">
      <w:pPr>
        <w:spacing w:after="0" w:line="360" w:lineRule="auto"/>
        <w:ind w:left="851" w:right="851"/>
        <w:jc w:val="both"/>
        <w:rPr>
          <w:rFonts w:ascii="Palatino Linotype" w:eastAsia="Palatino Linotype" w:hAnsi="Palatino Linotype" w:cs="Palatino Linotype"/>
          <w:b/>
          <w:i/>
        </w:rPr>
      </w:pPr>
      <w:r w:rsidRPr="0073752A">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3752A">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3752A">
        <w:rPr>
          <w:rFonts w:ascii="Palatino Linotype" w:eastAsia="Palatino Linotype" w:hAnsi="Palatino Linotype" w:cs="Palatino Linotype"/>
          <w:i/>
        </w:rPr>
        <w:t xml:space="preserve"> el sistema de compensación…” </w:t>
      </w:r>
      <w:r w:rsidRPr="0073752A">
        <w:rPr>
          <w:rFonts w:ascii="Palatino Linotype" w:eastAsia="Palatino Linotype" w:hAnsi="Palatino Linotype" w:cs="Palatino Linotype"/>
          <w:b/>
          <w:i/>
        </w:rPr>
        <w:t>[Sic]</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rsidR="005C447B" w:rsidRPr="0073752A" w:rsidRDefault="005C447B">
      <w:pPr>
        <w:spacing w:after="0" w:line="360" w:lineRule="auto"/>
        <w:jc w:val="both"/>
        <w:rPr>
          <w:rFonts w:ascii="Palatino Linotype" w:eastAsia="Palatino Linotype" w:hAnsi="Palatino Linotype" w:cs="Palatino Linotype"/>
        </w:rPr>
      </w:pP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w:t>
      </w:r>
      <w:r w:rsidRPr="0073752A">
        <w:rPr>
          <w:rFonts w:ascii="Palatino Linotype" w:eastAsia="Palatino Linotype" w:hAnsi="Palatino Linotype" w:cs="Palatino Linotype"/>
          <w:i/>
        </w:rPr>
        <w:lastRenderedPageBreak/>
        <w:t xml:space="preserve">atribuciones, funciones u objeto social, según corresponda, la información, por lo menos, de los temas, documentos y políticas que a continuación se señalan: </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 </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5C447B" w:rsidRPr="0073752A" w:rsidRDefault="005C447B">
      <w:pPr>
        <w:spacing w:after="0" w:line="360" w:lineRule="auto"/>
        <w:jc w:val="both"/>
      </w:pPr>
    </w:p>
    <w:p w:rsidR="005C447B" w:rsidRPr="0073752A" w:rsidRDefault="00CB0B53">
      <w:pP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rsidR="005C447B" w:rsidRPr="0073752A" w:rsidRDefault="005C447B">
      <w:pPr>
        <w:spacing w:after="0" w:line="360" w:lineRule="auto"/>
        <w:ind w:right="49"/>
        <w:jc w:val="both"/>
        <w:rPr>
          <w:rFonts w:ascii="Palatino Linotype" w:eastAsia="Palatino Linotype" w:hAnsi="Palatino Linotype" w:cs="Palatino Linotype"/>
        </w:rPr>
      </w:pP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5C447B" w:rsidRPr="0073752A" w:rsidRDefault="005C447B">
      <w:pPr>
        <w:spacing w:after="0" w:line="276" w:lineRule="auto"/>
        <w:ind w:right="900"/>
        <w:jc w:val="both"/>
        <w:rPr>
          <w:rFonts w:ascii="Palatino Linotype" w:eastAsia="Palatino Linotype" w:hAnsi="Palatino Linotype" w:cs="Palatino Linotype"/>
          <w:i/>
        </w:rPr>
      </w:pPr>
    </w:p>
    <w:p w:rsidR="005C447B" w:rsidRPr="0073752A" w:rsidRDefault="00CB0B53">
      <w:pPr>
        <w:spacing w:after="0" w:line="276" w:lineRule="auto"/>
        <w:ind w:right="900"/>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Asimismo, los siguientes lineamientos establecen lo siguiente:</w:t>
      </w:r>
    </w:p>
    <w:p w:rsidR="005C447B" w:rsidRPr="0073752A" w:rsidRDefault="005C447B">
      <w:pPr>
        <w:spacing w:after="0" w:line="276" w:lineRule="auto"/>
        <w:ind w:right="900"/>
        <w:jc w:val="both"/>
        <w:rPr>
          <w:rFonts w:ascii="Palatino Linotype" w:eastAsia="Palatino Linotype" w:hAnsi="Palatino Linotype" w:cs="Palatino Linotype"/>
          <w:b/>
          <w:i/>
        </w:rPr>
      </w:pP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b/>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3752A">
        <w:rPr>
          <w:rFonts w:ascii="Palatino Linotype" w:eastAsia="Palatino Linotype" w:hAnsi="Palatino Linotype" w:cs="Palatino Linotype"/>
          <w:b/>
          <w:i/>
        </w:rPr>
        <w:br/>
      </w:r>
      <w:r w:rsidRPr="0073752A">
        <w:rPr>
          <w:rFonts w:ascii="Palatino Linotype" w:eastAsia="Palatino Linotype" w:hAnsi="Palatino Linotype" w:cs="Palatino Linotype"/>
          <w:i/>
        </w:rPr>
        <w:t>Conservar en el sitio de Internet: información del ejercicio en curso y la correspondiente al ejercicio anterior.</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lastRenderedPageBreak/>
        <w:t>Aplica a: todos los sujetos obligados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Criterios sustantivos de contenido </w:t>
      </w:r>
      <w:r w:rsidRPr="0073752A">
        <w:rPr>
          <w:rFonts w:ascii="Palatino Linotype" w:eastAsia="Palatino Linotype" w:hAnsi="Palatino Linotype" w:cs="Palatino Linotype"/>
          <w:i/>
        </w:rPr>
        <w:br/>
        <w:t>(…)</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14 Denominación de las percepciones adicionales en dinero</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15 Monto bruto de las percepciones adicionales en dinero</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16 Monto neto de las percepciones adicionales en dinero</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17 Tipo de moneda de las percepciones adicionales en dinero. Por ejemplo: Peso,</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Dólar, Euro, Libra, Yen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18 Periodicidad de las percepciones adicionales en dinero</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19 Descripción de las percepciones adicionales en especie</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20 Periodicidad de las percepciones adicionales en especie</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21 Denominación de los ingresos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22 Monto bruto de los ingresos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23 Monto neto de los ingresos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24 Tipo de moneda de los ingresos. Por ejemplo: Peso, Dólar, Euro, Libra, Yen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25 Periodicidad de los ingresos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26 Denominación de los sistemas de compensación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27 Monto bruto de los sistemas de compensación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28 Monto neto de los sistemas de compensación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29 Tipo de moneda de los sistemas de compensación. Por ejemplo: Peso, Dólar, Euro, Libra, Yen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30 Periodicidad de los sistemas de compensación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31 Denominación de las gratificaciones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32 Monto bruto de las gratificaciones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33 Monto neto de las gratificaciones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34 Tipo de moneda de las gratificaciones. Por ejemplo: Peso, Dólar, Euro, Libra, Yen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35 Periodicidad de las gratificaciones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36 Denominación de las primas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37 Monto bruto de las primas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38 Monto neto de las primas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lastRenderedPageBreak/>
        <w:t>Criterio 39 Tipo de moneda de las primas. Por ejemplo: Peso, Dólar, Euro, Libra, Yen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40 Periodicidad de las primas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41 Denominación de las comisiones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42 Monto bruto de las comisiones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43 Monto neto de las comisiones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44 Tipo de moneda de las comisiones. Por ejemplo: Peso, Dólar, Euro, Libra, Yen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45 Periodicidad de las comisiones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46 Denominación de las dietas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47 Monto bruto de las dietas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48 Monto neto de las dietas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49 Tipo de moneda de las dietas. Por ejemplo: Peso, Dólar, Euro, Libra, Yen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50 Periodicidad de las dietas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51 Denominación de los bonos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52 Monto bruto de los bonos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53 Monto neto de los bonos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54 Tipo de moneda de los bonos. Por ejemplo: Peso, Dólar, Euro, Libra, Yen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55 Periodicidad de los bonos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56 Denominación de los estímulos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57 Monto bruto de los estímulos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58 Monto neto de los estímulos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59 Tipo de moneda de los estímulos. Por ejemplo: Peso, Dólar, Euro, Libra, Yen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60 Periodicidad de los estímulos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61 Denominación de los apoyos económicos. Por ejemplo, la asistencia legislativa que cubre a los CC. Diputados en apoyo para el desempeño de las funciones legislativas15</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62 Monto bruto de los apoyos económicos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63 Monto neto de los apoyos económicos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lastRenderedPageBreak/>
        <w:t>Criterio 64 Tipo de moneda de los apoyos económicos. Por ejemplo: Peso, Dólar, Euro,</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Libra, Yen</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65 Periodicidad de los apoyos económicos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legal16</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67 Monto bruto de las prestaciones económicas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68 Monto neto de las prestaciones económicas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69 Tipo de moneda de las prestaciones económicas. Por ejemplo: Peso, Dólar,</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Euro, Libra, Yen (especificar nombre)</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70 Periodicidad de las prestaciones económicas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71 Descripción de las prestaciones en especie. Éstas podrán ser por ejemplo, todo beneficio que el servidor(a) público(a</w:t>
      </w:r>
      <w:proofErr w:type="gramStart"/>
      <w:r w:rsidRPr="0073752A">
        <w:rPr>
          <w:rFonts w:ascii="Palatino Linotype" w:eastAsia="Palatino Linotype" w:hAnsi="Palatino Linotype" w:cs="Palatino Linotype"/>
          <w:i/>
        </w:rPr>
        <w:t>)reciba</w:t>
      </w:r>
      <w:proofErr w:type="gramEnd"/>
      <w:r w:rsidRPr="0073752A">
        <w:rPr>
          <w:rFonts w:ascii="Palatino Linotype" w:eastAsia="Palatino Linotype" w:hAnsi="Palatino Linotype" w:cs="Palatino Linotype"/>
          <w:i/>
        </w:rPr>
        <w:t xml:space="preserve"> en bienes distintos de la moneda circulante.17</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p w:rsidR="005C447B" w:rsidRPr="0073752A" w:rsidRDefault="00CB0B53">
      <w:pPr>
        <w:spacing w:after="0" w:line="276" w:lineRule="auto"/>
        <w:ind w:left="851" w:right="900"/>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Criterio 73 Hipervínculo al/los tabulador/es de sueldos y salarios del sujeto obligado de conformidad con la normatividad aplicable. El tabulador deberá estar en un formato de datos abiertos. </w:t>
      </w: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En este sentido, la Ley de Transparencia y Acceso a la Información Pública del Estado de México y Municipios y los lineamientos antes mencionados se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5C447B" w:rsidRPr="0073752A" w:rsidRDefault="00CB0B53">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bookmarkStart w:id="4" w:name="_heading=h.3znysh7" w:colFirst="0" w:colLast="0"/>
      <w:bookmarkEnd w:id="4"/>
      <w:r w:rsidRPr="0073752A">
        <w:rPr>
          <w:rFonts w:ascii="Palatino Linotype" w:eastAsia="Palatino Linotype" w:hAnsi="Palatino Linotype" w:cs="Palatino Linotype"/>
          <w:sz w:val="24"/>
          <w:szCs w:val="24"/>
        </w:rPr>
        <w:lastRenderedPageBreak/>
        <w:t xml:space="preserve">Razones por las cuales lo procedente es ordenar, el documento donde consten las remuneraciones correspondientes al ejercicio fiscal 2020, de los servidores públicos adscritos a la Tesorería Municipal, la Dirección de Egresos, la Dirección de Ingresos, las áreas de Contabilidad, Cuenta Pública, la Coordinación Municipal de Notificadores y de la Unidad de Transparencia, en términos de lo señalado por el considerando quinto del presente fallo. </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ind w:right="-9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 xml:space="preserve">Quinto. Versión Pública. </w:t>
      </w:r>
      <w:r w:rsidRPr="0073752A">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73752A">
        <w:rPr>
          <w:rFonts w:ascii="Palatino Linotype" w:eastAsia="Palatino Linotype" w:hAnsi="Palatino Linotype" w:cs="Palatino Linotype"/>
          <w:b/>
          <w:sz w:val="24"/>
          <w:szCs w:val="24"/>
        </w:rPr>
        <w:t xml:space="preserve">SUJETO OBLIGADO </w:t>
      </w:r>
      <w:r w:rsidRPr="0073752A">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rsidR="005C447B" w:rsidRPr="0073752A" w:rsidRDefault="005C447B">
      <w:pPr>
        <w:spacing w:after="0" w:line="360" w:lineRule="auto"/>
        <w:ind w:right="-91"/>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73752A">
        <w:rPr>
          <w:rFonts w:ascii="Palatino Linotype" w:eastAsia="Palatino Linotype" w:hAnsi="Palatino Linotype" w:cs="Palatino Linotype"/>
          <w:sz w:val="24"/>
          <w:szCs w:val="24"/>
        </w:rPr>
        <w:t>fracción</w:t>
      </w:r>
      <w:proofErr w:type="gramEnd"/>
      <w:r w:rsidRPr="0073752A">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rsidR="005C447B" w:rsidRPr="0073752A" w:rsidRDefault="00CB0B53">
      <w:pPr>
        <w:spacing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r w:rsidRPr="0073752A">
        <w:rPr>
          <w:rFonts w:ascii="Palatino Linotype" w:eastAsia="Palatino Linotype" w:hAnsi="Palatino Linotype" w:cs="Palatino Linotype"/>
          <w:b/>
          <w:i/>
        </w:rPr>
        <w:t>Artículo 3</w:t>
      </w:r>
      <w:r w:rsidRPr="0073752A">
        <w:rPr>
          <w:rFonts w:ascii="Palatino Linotype" w:eastAsia="Palatino Linotype" w:hAnsi="Palatino Linotype" w:cs="Palatino Linotype"/>
          <w:i/>
        </w:rPr>
        <w:t>. Para los efectos de la presente Ley se entenderá por:</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IX. Datos personales</w:t>
      </w:r>
      <w:r w:rsidRPr="0073752A">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lastRenderedPageBreak/>
        <w:t>XX. Información clasificada</w:t>
      </w:r>
      <w:r w:rsidRPr="0073752A">
        <w:rPr>
          <w:rFonts w:ascii="Palatino Linotype" w:eastAsia="Palatino Linotype" w:hAnsi="Palatino Linotype" w:cs="Palatino Linotype"/>
          <w:i/>
        </w:rPr>
        <w:t>: Aquella considerada por la presente Ley como reservada o confidencial;</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 xml:space="preserve">XXI. Información confidencial: </w:t>
      </w:r>
      <w:r w:rsidRPr="0073752A">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XLV. Versión pública:</w:t>
      </w:r>
      <w:r w:rsidRPr="0073752A">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spacing w:before="120"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Artículo 91.</w:t>
      </w:r>
      <w:r w:rsidRPr="0073752A">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5C447B" w:rsidRPr="0073752A" w:rsidRDefault="00CB0B53">
      <w:pPr>
        <w:spacing w:before="120"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Artículo 132.</w:t>
      </w:r>
      <w:r w:rsidRPr="0073752A">
        <w:rPr>
          <w:rFonts w:ascii="Palatino Linotype" w:eastAsia="Palatino Linotype" w:hAnsi="Palatino Linotype" w:cs="Palatino Linotype"/>
          <w:i/>
        </w:rPr>
        <w:t xml:space="preserve"> La clasificación de la información se llevará a cabo en el momento en que:</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I</w:t>
      </w:r>
      <w:r w:rsidRPr="0073752A">
        <w:rPr>
          <w:rFonts w:ascii="Palatino Linotype" w:eastAsia="Palatino Linotype" w:hAnsi="Palatino Linotype" w:cs="Palatino Linotype"/>
          <w:i/>
        </w:rPr>
        <w:t>. Se reciba una solicitud de acceso a la información;</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II.</w:t>
      </w:r>
      <w:r w:rsidRPr="0073752A">
        <w:rPr>
          <w:rFonts w:ascii="Palatino Linotype" w:eastAsia="Palatino Linotype" w:hAnsi="Palatino Linotype" w:cs="Palatino Linotype"/>
          <w:i/>
        </w:rPr>
        <w:t xml:space="preserve"> Se determine mediante resolución de autoridad competente; o</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III.</w:t>
      </w:r>
      <w:r w:rsidRPr="0073752A">
        <w:rPr>
          <w:rFonts w:ascii="Palatino Linotype" w:eastAsia="Palatino Linotype" w:hAnsi="Palatino Linotype" w:cs="Palatino Linotype"/>
          <w:i/>
        </w:rPr>
        <w:t xml:space="preserve"> Se generen versiones públicas para dar cumplimiento a las obligaciones de transparencia previstas en esta Ley.</w:t>
      </w:r>
    </w:p>
    <w:p w:rsidR="005C447B" w:rsidRPr="0073752A" w:rsidRDefault="00CB0B53">
      <w:pPr>
        <w:spacing w:before="120"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t>[…]</w:t>
      </w:r>
    </w:p>
    <w:p w:rsidR="005C447B" w:rsidRPr="0073752A" w:rsidRDefault="00CB0B53">
      <w:pPr>
        <w:spacing w:before="120"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Artículo 143</w:t>
      </w:r>
      <w:r w:rsidRPr="0073752A">
        <w:rPr>
          <w:rFonts w:ascii="Palatino Linotype" w:eastAsia="Palatino Linotype" w:hAnsi="Palatino Linotype" w:cs="Palatino Linotype"/>
          <w:i/>
        </w:rPr>
        <w:t>. Para los efectos de esta Ley se considera información confidencial, la clasificada como tal, de manera permanente, por su naturaleza, cuando:</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I.</w:t>
      </w:r>
      <w:r w:rsidRPr="0073752A">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73752A">
        <w:rPr>
          <w:rFonts w:ascii="Palatino Linotype" w:eastAsia="Palatino Linotype" w:hAnsi="Palatino Linotype" w:cs="Palatino Linotype"/>
          <w:i/>
        </w:rPr>
        <w:t>jurídico</w:t>
      </w:r>
      <w:proofErr w:type="gramEnd"/>
      <w:r w:rsidRPr="0073752A">
        <w:rPr>
          <w:rFonts w:ascii="Palatino Linotype" w:eastAsia="Palatino Linotype" w:hAnsi="Palatino Linotype" w:cs="Palatino Linotype"/>
          <w:i/>
        </w:rPr>
        <w:t xml:space="preserve"> colectiva identificada o identificable;</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II.</w:t>
      </w:r>
      <w:r w:rsidRPr="0073752A">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III.</w:t>
      </w:r>
      <w:r w:rsidRPr="0073752A">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5C447B" w:rsidRPr="0073752A" w:rsidRDefault="00CB0B53">
      <w:pPr>
        <w:spacing w:before="120"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lastRenderedPageBreak/>
        <w:t>La información confidencial no estará sujeta a temporalidad alguna y sólo podrán tener acceso a ella los titulares de la misma, sus representantes y los servidores públicos facultados para ello.</w:t>
      </w:r>
    </w:p>
    <w:p w:rsidR="005C447B" w:rsidRPr="0073752A" w:rsidRDefault="00CB0B53">
      <w:pPr>
        <w:spacing w:before="120"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5C447B" w:rsidRPr="0073752A" w:rsidRDefault="005C447B">
      <w:pPr>
        <w:spacing w:before="120" w:after="120"/>
        <w:ind w:left="851" w:right="902"/>
        <w:jc w:val="both"/>
        <w:rPr>
          <w:rFonts w:ascii="Palatino Linotype" w:eastAsia="Palatino Linotype" w:hAnsi="Palatino Linotype" w:cs="Palatino Linotype"/>
          <w:i/>
        </w:rPr>
      </w:pPr>
    </w:p>
    <w:p w:rsidR="005C447B" w:rsidRPr="0073752A" w:rsidRDefault="00CB0B53">
      <w:pPr>
        <w:spacing w:before="120"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“Quincuagésimo sexto</w:t>
      </w:r>
      <w:r w:rsidRPr="0073752A">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5C447B" w:rsidRPr="0073752A" w:rsidRDefault="00CB0B53">
      <w:pPr>
        <w:spacing w:before="120"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Quincuagésimo séptimo</w:t>
      </w:r>
      <w:r w:rsidRPr="0073752A">
        <w:rPr>
          <w:rFonts w:ascii="Palatino Linotype" w:eastAsia="Palatino Linotype" w:hAnsi="Palatino Linotype" w:cs="Palatino Linotype"/>
          <w:i/>
        </w:rPr>
        <w:t xml:space="preserve">. Se considera, en principio, como información pública y no podrá omitirse de las versiones públicas la siguiente: </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lastRenderedPageBreak/>
        <w:t>I.</w:t>
      </w:r>
      <w:r w:rsidRPr="0073752A">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II.</w:t>
      </w:r>
      <w:r w:rsidRPr="0073752A">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5C447B" w:rsidRPr="0073752A" w:rsidRDefault="00CB0B53">
      <w:pPr>
        <w:spacing w:before="120" w:after="120"/>
        <w:ind w:left="1134"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III.</w:t>
      </w:r>
      <w:r w:rsidRPr="0073752A">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5C447B" w:rsidRPr="0073752A" w:rsidRDefault="00CB0B53">
      <w:pPr>
        <w:spacing w:before="120"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5C447B" w:rsidRPr="0073752A" w:rsidRDefault="00CB0B53">
      <w:pPr>
        <w:spacing w:before="120" w:after="120"/>
        <w:ind w:left="851" w:right="902"/>
        <w:jc w:val="both"/>
        <w:rPr>
          <w:rFonts w:ascii="Palatino Linotype" w:eastAsia="Palatino Linotype" w:hAnsi="Palatino Linotype" w:cs="Palatino Linotype"/>
          <w:i/>
        </w:rPr>
      </w:pPr>
      <w:r w:rsidRPr="0073752A">
        <w:rPr>
          <w:rFonts w:ascii="Palatino Linotype" w:eastAsia="Palatino Linotype" w:hAnsi="Palatino Linotype" w:cs="Palatino Linotype"/>
          <w:b/>
          <w:i/>
        </w:rPr>
        <w:t>Quincuagésimo octavo</w:t>
      </w:r>
      <w:r w:rsidRPr="0073752A">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5C447B" w:rsidRPr="0073752A" w:rsidRDefault="00CB0B53">
      <w:pPr>
        <w:spacing w:before="240" w:after="24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5C447B" w:rsidRPr="0073752A" w:rsidRDefault="00CB0B53">
      <w:pPr>
        <w:spacing w:before="240" w:after="24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En relación directa con ello, los Lineamientos en estudio establecen los formatos para la clasificación parcial y total de los documentos, que atienden a lo siguiente:</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73752A" w:rsidRPr="0073752A">
        <w:tc>
          <w:tcPr>
            <w:tcW w:w="4414" w:type="dxa"/>
            <w:gridSpan w:val="2"/>
          </w:tcPr>
          <w:p w:rsidR="005C447B" w:rsidRPr="0073752A" w:rsidRDefault="00CB0B53">
            <w:pPr>
              <w:jc w:val="center"/>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Parcial</w:t>
            </w:r>
          </w:p>
        </w:tc>
        <w:tc>
          <w:tcPr>
            <w:tcW w:w="4414" w:type="dxa"/>
            <w:gridSpan w:val="2"/>
          </w:tcPr>
          <w:p w:rsidR="005C447B" w:rsidRPr="0073752A" w:rsidRDefault="00CB0B53">
            <w:pPr>
              <w:jc w:val="center"/>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Total</w:t>
            </w:r>
          </w:p>
        </w:tc>
      </w:tr>
      <w:tr w:rsidR="0073752A" w:rsidRPr="0073752A">
        <w:tc>
          <w:tcPr>
            <w:tcW w:w="993" w:type="dxa"/>
          </w:tcPr>
          <w:p w:rsidR="005C447B" w:rsidRPr="0073752A" w:rsidRDefault="00CB0B53">
            <w:pPr>
              <w:jc w:val="center"/>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Concepto</w:t>
            </w:r>
          </w:p>
        </w:tc>
        <w:tc>
          <w:tcPr>
            <w:tcW w:w="3421" w:type="dxa"/>
          </w:tcPr>
          <w:p w:rsidR="005C447B" w:rsidRPr="0073752A" w:rsidRDefault="00CB0B53">
            <w:pPr>
              <w:jc w:val="center"/>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Dónde</w:t>
            </w:r>
          </w:p>
        </w:tc>
        <w:tc>
          <w:tcPr>
            <w:tcW w:w="968" w:type="dxa"/>
          </w:tcPr>
          <w:p w:rsidR="005C447B" w:rsidRPr="0073752A" w:rsidRDefault="00CB0B53">
            <w:pPr>
              <w:jc w:val="center"/>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Concepto</w:t>
            </w:r>
          </w:p>
        </w:tc>
        <w:tc>
          <w:tcPr>
            <w:tcW w:w="3446" w:type="dxa"/>
          </w:tcPr>
          <w:p w:rsidR="005C447B" w:rsidRPr="0073752A" w:rsidRDefault="00CB0B53">
            <w:pPr>
              <w:jc w:val="center"/>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Dónde</w:t>
            </w:r>
          </w:p>
        </w:tc>
      </w:tr>
      <w:tr w:rsidR="0073752A" w:rsidRPr="0073752A">
        <w:tc>
          <w:tcPr>
            <w:tcW w:w="8828" w:type="dxa"/>
            <w:gridSpan w:val="4"/>
          </w:tcPr>
          <w:p w:rsidR="005C447B" w:rsidRPr="0073752A" w:rsidRDefault="00CB0B53">
            <w:pPr>
              <w:jc w:val="center"/>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Sello oficial o logotipo del sujeto obligado</w:t>
            </w:r>
          </w:p>
        </w:tc>
      </w:tr>
      <w:tr w:rsidR="0073752A" w:rsidRPr="0073752A">
        <w:tc>
          <w:tcPr>
            <w:tcW w:w="993"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Fecha de clasificación</w:t>
            </w:r>
          </w:p>
        </w:tc>
        <w:tc>
          <w:tcPr>
            <w:tcW w:w="3421"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Fecha de clasificación</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3752A" w:rsidRPr="0073752A">
        <w:tc>
          <w:tcPr>
            <w:tcW w:w="993"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Área</w:t>
            </w:r>
          </w:p>
        </w:tc>
        <w:tc>
          <w:tcPr>
            <w:tcW w:w="3421"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señalará el nombre del área del cual es titular quien clasifica.</w:t>
            </w: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Área</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señalará el nombre del área de la cual es el titular quien clasifica.</w:t>
            </w:r>
          </w:p>
        </w:tc>
      </w:tr>
      <w:tr w:rsidR="0073752A" w:rsidRPr="0073752A">
        <w:tc>
          <w:tcPr>
            <w:tcW w:w="993"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Información reservada</w:t>
            </w:r>
          </w:p>
        </w:tc>
        <w:tc>
          <w:tcPr>
            <w:tcW w:w="3421"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73752A">
              <w:rPr>
                <w:rFonts w:ascii="Palatino Linotype" w:eastAsia="Palatino Linotype" w:hAnsi="Palatino Linotype" w:cs="Palatino Linotype"/>
                <w:sz w:val="12"/>
                <w:szCs w:val="12"/>
              </w:rPr>
              <w:t>anotarán</w:t>
            </w:r>
            <w:proofErr w:type="gramEnd"/>
            <w:r w:rsidRPr="0073752A">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Reservado</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Leyenda de información RESERVADA.</w:t>
            </w:r>
          </w:p>
        </w:tc>
      </w:tr>
      <w:tr w:rsidR="0073752A" w:rsidRPr="0073752A">
        <w:tc>
          <w:tcPr>
            <w:tcW w:w="993"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Fundamento legal</w:t>
            </w:r>
          </w:p>
        </w:tc>
        <w:tc>
          <w:tcPr>
            <w:tcW w:w="3421"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Periodo de reserva</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3752A" w:rsidRPr="0073752A">
        <w:tc>
          <w:tcPr>
            <w:tcW w:w="993"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Ampliación del periodo de reserva</w:t>
            </w:r>
          </w:p>
        </w:tc>
        <w:tc>
          <w:tcPr>
            <w:tcW w:w="3421"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Fundamento legal</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3752A" w:rsidRPr="0073752A">
        <w:tc>
          <w:tcPr>
            <w:tcW w:w="993"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Confidencial</w:t>
            </w:r>
          </w:p>
        </w:tc>
        <w:tc>
          <w:tcPr>
            <w:tcW w:w="3421"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Ampliación del periodo de reserva</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3752A" w:rsidRPr="0073752A">
        <w:tc>
          <w:tcPr>
            <w:tcW w:w="993"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Fundamento legal</w:t>
            </w:r>
          </w:p>
        </w:tc>
        <w:tc>
          <w:tcPr>
            <w:tcW w:w="3421"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Confidencial</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Leyenda de información CONFIDENCIAL.</w:t>
            </w:r>
          </w:p>
        </w:tc>
      </w:tr>
      <w:tr w:rsidR="0073752A" w:rsidRPr="0073752A">
        <w:tc>
          <w:tcPr>
            <w:tcW w:w="993"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Rúbrica del titular del área</w:t>
            </w:r>
          </w:p>
        </w:tc>
        <w:tc>
          <w:tcPr>
            <w:tcW w:w="3421"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Rúbrica autógrafa de quien clasifica.</w:t>
            </w: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Fundamento legal</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3752A" w:rsidRPr="0073752A">
        <w:tc>
          <w:tcPr>
            <w:tcW w:w="993"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Fecha de desclasificación</w:t>
            </w:r>
          </w:p>
        </w:tc>
        <w:tc>
          <w:tcPr>
            <w:tcW w:w="3421"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anotará la fecha en que se desclasifica el documento.</w:t>
            </w: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Rúbrica del titular del área</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Rúbrica autógrafa de quien clasifica.</w:t>
            </w:r>
          </w:p>
        </w:tc>
      </w:tr>
      <w:tr w:rsidR="0073752A" w:rsidRPr="0073752A">
        <w:tc>
          <w:tcPr>
            <w:tcW w:w="993"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Rúbrica y cargo del servidor público</w:t>
            </w:r>
          </w:p>
        </w:tc>
        <w:tc>
          <w:tcPr>
            <w:tcW w:w="3421"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Rúbrica autógrafa de quien desclasifica.</w:t>
            </w: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Fecha de desclasificación</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Se anotará la fecha en que se desclasifica.</w:t>
            </w:r>
          </w:p>
        </w:tc>
      </w:tr>
      <w:tr w:rsidR="0073752A" w:rsidRPr="0073752A">
        <w:tc>
          <w:tcPr>
            <w:tcW w:w="993" w:type="dxa"/>
          </w:tcPr>
          <w:p w:rsidR="005C447B" w:rsidRPr="0073752A" w:rsidRDefault="005C447B">
            <w:pPr>
              <w:jc w:val="both"/>
              <w:rPr>
                <w:rFonts w:ascii="Palatino Linotype" w:eastAsia="Palatino Linotype" w:hAnsi="Palatino Linotype" w:cs="Palatino Linotype"/>
                <w:sz w:val="12"/>
                <w:szCs w:val="12"/>
              </w:rPr>
            </w:pPr>
          </w:p>
        </w:tc>
        <w:tc>
          <w:tcPr>
            <w:tcW w:w="3421" w:type="dxa"/>
          </w:tcPr>
          <w:p w:rsidR="005C447B" w:rsidRPr="0073752A" w:rsidRDefault="005C447B">
            <w:pPr>
              <w:jc w:val="both"/>
              <w:rPr>
                <w:rFonts w:ascii="Palatino Linotype" w:eastAsia="Palatino Linotype" w:hAnsi="Palatino Linotype" w:cs="Palatino Linotype"/>
                <w:sz w:val="12"/>
                <w:szCs w:val="12"/>
              </w:rPr>
            </w:pP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Partes o secciones reservadas o confidenciales</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t xml:space="preserve">En caso que una vez desclasificado el expediente, </w:t>
            </w:r>
            <w:proofErr w:type="spellStart"/>
            <w:r w:rsidRPr="0073752A">
              <w:rPr>
                <w:rFonts w:ascii="Palatino Linotype" w:eastAsia="Palatino Linotype" w:hAnsi="Palatino Linotype" w:cs="Palatino Linotype"/>
                <w:sz w:val="12"/>
                <w:szCs w:val="12"/>
              </w:rPr>
              <w:t>subsistanpartes</w:t>
            </w:r>
            <w:proofErr w:type="spellEnd"/>
            <w:r w:rsidRPr="0073752A">
              <w:rPr>
                <w:rFonts w:ascii="Palatino Linotype" w:eastAsia="Palatino Linotype" w:hAnsi="Palatino Linotype" w:cs="Palatino Linotype"/>
                <w:sz w:val="12"/>
                <w:szCs w:val="12"/>
              </w:rPr>
              <w:t xml:space="preserve"> o secciones del mismo reservadas o confidenciales, se señalará este hecho.</w:t>
            </w:r>
          </w:p>
        </w:tc>
      </w:tr>
      <w:tr w:rsidR="005C447B" w:rsidRPr="0073752A">
        <w:tc>
          <w:tcPr>
            <w:tcW w:w="993" w:type="dxa"/>
          </w:tcPr>
          <w:p w:rsidR="005C447B" w:rsidRPr="0073752A" w:rsidRDefault="005C447B">
            <w:pPr>
              <w:jc w:val="both"/>
              <w:rPr>
                <w:rFonts w:ascii="Palatino Linotype" w:eastAsia="Palatino Linotype" w:hAnsi="Palatino Linotype" w:cs="Palatino Linotype"/>
                <w:sz w:val="12"/>
                <w:szCs w:val="12"/>
              </w:rPr>
            </w:pPr>
          </w:p>
        </w:tc>
        <w:tc>
          <w:tcPr>
            <w:tcW w:w="3421" w:type="dxa"/>
          </w:tcPr>
          <w:p w:rsidR="005C447B" w:rsidRPr="0073752A" w:rsidRDefault="005C447B">
            <w:pPr>
              <w:jc w:val="both"/>
              <w:rPr>
                <w:rFonts w:ascii="Palatino Linotype" w:eastAsia="Palatino Linotype" w:hAnsi="Palatino Linotype" w:cs="Palatino Linotype"/>
                <w:sz w:val="12"/>
                <w:szCs w:val="12"/>
              </w:rPr>
            </w:pPr>
          </w:p>
        </w:tc>
        <w:tc>
          <w:tcPr>
            <w:tcW w:w="968" w:type="dxa"/>
          </w:tcPr>
          <w:p w:rsidR="005C447B" w:rsidRPr="0073752A" w:rsidRDefault="00CB0B53">
            <w:pPr>
              <w:jc w:val="both"/>
              <w:rPr>
                <w:rFonts w:ascii="Palatino Linotype" w:eastAsia="Palatino Linotype" w:hAnsi="Palatino Linotype" w:cs="Palatino Linotype"/>
                <w:b/>
                <w:sz w:val="12"/>
                <w:szCs w:val="12"/>
              </w:rPr>
            </w:pPr>
            <w:r w:rsidRPr="0073752A">
              <w:rPr>
                <w:rFonts w:ascii="Palatino Linotype" w:eastAsia="Palatino Linotype" w:hAnsi="Palatino Linotype" w:cs="Palatino Linotype"/>
                <w:b/>
                <w:sz w:val="12"/>
                <w:szCs w:val="12"/>
              </w:rPr>
              <w:t xml:space="preserve">Rúbrica y cargo del </w:t>
            </w:r>
            <w:r w:rsidRPr="0073752A">
              <w:rPr>
                <w:rFonts w:ascii="Palatino Linotype" w:eastAsia="Palatino Linotype" w:hAnsi="Palatino Linotype" w:cs="Palatino Linotype"/>
                <w:b/>
                <w:sz w:val="12"/>
                <w:szCs w:val="12"/>
              </w:rPr>
              <w:lastRenderedPageBreak/>
              <w:t>servidor público</w:t>
            </w:r>
          </w:p>
        </w:tc>
        <w:tc>
          <w:tcPr>
            <w:tcW w:w="3446" w:type="dxa"/>
          </w:tcPr>
          <w:p w:rsidR="005C447B" w:rsidRPr="0073752A" w:rsidRDefault="00CB0B53">
            <w:pPr>
              <w:jc w:val="both"/>
              <w:rPr>
                <w:rFonts w:ascii="Palatino Linotype" w:eastAsia="Palatino Linotype" w:hAnsi="Palatino Linotype" w:cs="Palatino Linotype"/>
                <w:sz w:val="12"/>
                <w:szCs w:val="12"/>
              </w:rPr>
            </w:pPr>
            <w:r w:rsidRPr="0073752A">
              <w:rPr>
                <w:rFonts w:ascii="Palatino Linotype" w:eastAsia="Palatino Linotype" w:hAnsi="Palatino Linotype" w:cs="Palatino Linotype"/>
                <w:sz w:val="12"/>
                <w:szCs w:val="12"/>
              </w:rPr>
              <w:lastRenderedPageBreak/>
              <w:t>Rúbrica autógrafa de quien desclasifica.</w:t>
            </w:r>
          </w:p>
        </w:tc>
      </w:tr>
    </w:tbl>
    <w:p w:rsidR="005C447B" w:rsidRPr="0073752A" w:rsidRDefault="005C447B">
      <w:pPr>
        <w:spacing w:after="0" w:line="360" w:lineRule="auto"/>
        <w:jc w:val="both"/>
        <w:rPr>
          <w:rFonts w:ascii="Palatino Linotype" w:eastAsia="Palatino Linotype" w:hAnsi="Palatino Linotype" w:cs="Palatino Linotype"/>
          <w:b/>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Así, con fundamento en lo prescrito en los</w:t>
      </w:r>
      <w:r w:rsidRPr="0073752A">
        <w:rPr>
          <w:rFonts w:ascii="Times New Roman" w:eastAsia="Times New Roman" w:hAnsi="Times New Roman" w:cs="Times New Roman"/>
          <w:sz w:val="24"/>
          <w:szCs w:val="24"/>
        </w:rPr>
        <w:t xml:space="preserve"> </w:t>
      </w:r>
      <w:r w:rsidRPr="0073752A">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5C447B" w:rsidRPr="0073752A" w:rsidRDefault="005C447B">
      <w:pPr>
        <w:spacing w:after="0" w:line="360" w:lineRule="auto"/>
        <w:jc w:val="both"/>
        <w:rPr>
          <w:rFonts w:ascii="Palatino Linotype" w:eastAsia="Palatino Linotype" w:hAnsi="Palatino Linotype" w:cs="Palatino Linotype"/>
          <w:sz w:val="24"/>
          <w:szCs w:val="24"/>
        </w:rPr>
      </w:pPr>
    </w:p>
    <w:p w:rsidR="005C447B" w:rsidRPr="0073752A" w:rsidRDefault="00CB0B53">
      <w:pPr>
        <w:spacing w:after="0"/>
        <w:ind w:left="-142" w:right="49"/>
        <w:jc w:val="center"/>
        <w:rPr>
          <w:rFonts w:ascii="Palatino Linotype" w:eastAsia="Palatino Linotype" w:hAnsi="Palatino Linotype" w:cs="Palatino Linotype"/>
          <w:b/>
          <w:sz w:val="28"/>
          <w:szCs w:val="28"/>
        </w:rPr>
      </w:pPr>
      <w:r w:rsidRPr="0073752A">
        <w:rPr>
          <w:rFonts w:ascii="Palatino Linotype" w:eastAsia="Palatino Linotype" w:hAnsi="Palatino Linotype" w:cs="Palatino Linotype"/>
          <w:b/>
          <w:sz w:val="28"/>
          <w:szCs w:val="28"/>
        </w:rPr>
        <w:t>R E S U E L V E:</w:t>
      </w:r>
    </w:p>
    <w:p w:rsidR="005C447B" w:rsidRPr="0073752A" w:rsidRDefault="005C447B">
      <w:pPr>
        <w:spacing w:after="0"/>
        <w:ind w:left="-142" w:right="49"/>
        <w:jc w:val="center"/>
        <w:rPr>
          <w:rFonts w:ascii="Palatino Linotype" w:eastAsia="Palatino Linotype" w:hAnsi="Palatino Linotype" w:cs="Palatino Linotype"/>
          <w:b/>
          <w:sz w:val="24"/>
          <w:szCs w:val="24"/>
        </w:rPr>
      </w:pPr>
    </w:p>
    <w:p w:rsidR="005C447B" w:rsidRPr="0073752A" w:rsidRDefault="00CB0B53">
      <w:pP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PRIMERO.</w:t>
      </w:r>
      <w:r w:rsidRPr="0073752A">
        <w:rPr>
          <w:rFonts w:ascii="Palatino Linotype" w:eastAsia="Palatino Linotype" w:hAnsi="Palatino Linotype" w:cs="Palatino Linotype"/>
          <w:sz w:val="24"/>
          <w:szCs w:val="24"/>
        </w:rPr>
        <w:t xml:space="preserve"> Resultan fundados los motivos de inconformidad hechos valer por </w:t>
      </w:r>
      <w:r w:rsidRPr="0073752A">
        <w:rPr>
          <w:rFonts w:ascii="Palatino Linotype" w:eastAsia="Palatino Linotype" w:hAnsi="Palatino Linotype" w:cs="Palatino Linotype"/>
          <w:b/>
          <w:sz w:val="24"/>
          <w:szCs w:val="24"/>
        </w:rPr>
        <w:t>EL RECURRENTE</w:t>
      </w:r>
      <w:r w:rsidRPr="0073752A">
        <w:rPr>
          <w:rFonts w:ascii="Palatino Linotype" w:eastAsia="Palatino Linotype" w:hAnsi="Palatino Linotype" w:cs="Palatino Linotype"/>
          <w:sz w:val="24"/>
          <w:szCs w:val="24"/>
        </w:rPr>
        <w:t xml:space="preserve"> en el recurso de revisión </w:t>
      </w:r>
      <w:r w:rsidRPr="0073752A">
        <w:rPr>
          <w:rFonts w:ascii="Palatino Linotype" w:eastAsia="Palatino Linotype" w:hAnsi="Palatino Linotype" w:cs="Palatino Linotype"/>
          <w:b/>
          <w:sz w:val="24"/>
          <w:szCs w:val="24"/>
        </w:rPr>
        <w:t>06684/INFOEM/IP/RR/2022</w:t>
      </w:r>
      <w:r w:rsidRPr="0073752A">
        <w:rPr>
          <w:rFonts w:ascii="Palatino Linotype" w:eastAsia="Palatino Linotype" w:hAnsi="Palatino Linotype" w:cs="Palatino Linotype"/>
          <w:sz w:val="24"/>
          <w:szCs w:val="24"/>
        </w:rPr>
        <w:t>, en términos del considerando cuarto.</w:t>
      </w:r>
    </w:p>
    <w:p w:rsidR="005C447B" w:rsidRPr="0073752A" w:rsidRDefault="005C447B">
      <w:pPr>
        <w:spacing w:after="0" w:line="360" w:lineRule="auto"/>
        <w:ind w:right="49"/>
        <w:jc w:val="both"/>
        <w:rPr>
          <w:rFonts w:ascii="Palatino Linotype" w:eastAsia="Palatino Linotype" w:hAnsi="Palatino Linotype" w:cs="Palatino Linotype"/>
          <w:sz w:val="24"/>
          <w:szCs w:val="24"/>
        </w:rPr>
      </w:pPr>
    </w:p>
    <w:p w:rsidR="005C447B" w:rsidRPr="0073752A" w:rsidRDefault="00CB0B53">
      <w:pPr>
        <w:spacing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 xml:space="preserve">SEGUNDO. </w:t>
      </w:r>
      <w:r w:rsidRPr="0073752A">
        <w:rPr>
          <w:rFonts w:ascii="Palatino Linotype" w:eastAsia="Palatino Linotype" w:hAnsi="Palatino Linotype" w:cs="Palatino Linotype"/>
          <w:sz w:val="24"/>
          <w:szCs w:val="24"/>
        </w:rPr>
        <w:t xml:space="preserve">Se </w:t>
      </w:r>
      <w:r w:rsidRPr="0073752A">
        <w:rPr>
          <w:rFonts w:ascii="Palatino Linotype" w:eastAsia="Palatino Linotype" w:hAnsi="Palatino Linotype" w:cs="Palatino Linotype"/>
          <w:b/>
          <w:sz w:val="24"/>
          <w:szCs w:val="24"/>
        </w:rPr>
        <w:t>REVOCA</w:t>
      </w:r>
      <w:r w:rsidRPr="0073752A">
        <w:rPr>
          <w:rFonts w:ascii="Palatino Linotype" w:eastAsia="Palatino Linotype" w:hAnsi="Palatino Linotype" w:cs="Palatino Linotype"/>
          <w:sz w:val="24"/>
          <w:szCs w:val="24"/>
        </w:rPr>
        <w:t xml:space="preserve"> la respuesta del </w:t>
      </w:r>
      <w:r w:rsidRPr="0073752A">
        <w:rPr>
          <w:rFonts w:ascii="Palatino Linotype" w:eastAsia="Palatino Linotype" w:hAnsi="Palatino Linotype" w:cs="Palatino Linotype"/>
          <w:b/>
          <w:sz w:val="24"/>
          <w:szCs w:val="24"/>
        </w:rPr>
        <w:t>SUJETO OBLIGADO</w:t>
      </w:r>
      <w:r w:rsidRPr="0073752A">
        <w:rPr>
          <w:rFonts w:ascii="Palatino Linotype" w:eastAsia="Palatino Linotype" w:hAnsi="Palatino Linotype" w:cs="Palatino Linotype"/>
          <w:sz w:val="24"/>
          <w:szCs w:val="24"/>
        </w:rPr>
        <w:t xml:space="preserve">, se </w:t>
      </w:r>
      <w:r w:rsidRPr="0073752A">
        <w:rPr>
          <w:rFonts w:ascii="Palatino Linotype" w:eastAsia="Palatino Linotype" w:hAnsi="Palatino Linotype" w:cs="Palatino Linotype"/>
          <w:b/>
          <w:sz w:val="24"/>
          <w:szCs w:val="24"/>
        </w:rPr>
        <w:t>ORDENA</w:t>
      </w:r>
      <w:r w:rsidRPr="0073752A">
        <w:rPr>
          <w:rFonts w:ascii="Palatino Linotype" w:eastAsia="Palatino Linotype" w:hAnsi="Palatino Linotype" w:cs="Palatino Linotype"/>
          <w:sz w:val="24"/>
          <w:szCs w:val="24"/>
        </w:rPr>
        <w:t xml:space="preserve"> que en términos del Considerando Cuarto y Quinto de esta resolución haga entrega, vía SAIMEX, de ser el caso en versión pública, la siguiente información: </w:t>
      </w:r>
    </w:p>
    <w:p w:rsidR="005C447B" w:rsidRPr="0073752A" w:rsidRDefault="00CB0B53">
      <w:pPr>
        <w:numPr>
          <w:ilvl w:val="0"/>
          <w:numId w:val="4"/>
        </w:numPr>
        <w:pBdr>
          <w:top w:val="nil"/>
          <w:left w:val="nil"/>
          <w:bottom w:val="nil"/>
          <w:right w:val="nil"/>
          <w:between w:val="nil"/>
        </w:pBdr>
        <w:spacing w:before="120" w:after="0" w:line="360" w:lineRule="auto"/>
        <w:ind w:right="5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De las área de Contabilidad, Cuenta Pública, la Coordinación Municipal de Notificadores </w:t>
      </w:r>
      <w:r w:rsidR="00920DB1" w:rsidRPr="0073752A">
        <w:rPr>
          <w:rFonts w:ascii="Palatino Linotype" w:eastAsia="Palatino Linotype" w:hAnsi="Palatino Linotype" w:cs="Palatino Linotype"/>
          <w:sz w:val="24"/>
          <w:szCs w:val="24"/>
        </w:rPr>
        <w:t xml:space="preserve">y de la Unidad de Transparencia, </w:t>
      </w:r>
      <w:r w:rsidRPr="0073752A">
        <w:rPr>
          <w:rFonts w:ascii="Palatino Linotype" w:eastAsia="Palatino Linotype" w:hAnsi="Palatino Linotype" w:cs="Palatino Linotype"/>
          <w:sz w:val="24"/>
          <w:szCs w:val="24"/>
        </w:rPr>
        <w:t xml:space="preserve">del uno de enero al treinta y uno de diciembre de dos mil veinte, los documentos donde conste: </w:t>
      </w:r>
    </w:p>
    <w:p w:rsidR="005C447B" w:rsidRPr="0073752A" w:rsidRDefault="00CB0B53">
      <w:pPr>
        <w:numPr>
          <w:ilvl w:val="0"/>
          <w:numId w:val="1"/>
        </w:numPr>
        <w:pBdr>
          <w:top w:val="nil"/>
          <w:left w:val="nil"/>
          <w:bottom w:val="nil"/>
          <w:right w:val="nil"/>
          <w:between w:val="nil"/>
        </w:pBdr>
        <w:spacing w:before="120"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Nombre </w:t>
      </w:r>
    </w:p>
    <w:p w:rsidR="005C447B" w:rsidRPr="0073752A" w:rsidRDefault="00CB0B53">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Puesto</w:t>
      </w:r>
    </w:p>
    <w:p w:rsidR="005C447B" w:rsidRPr="0073752A" w:rsidRDefault="00CB0B53">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Tipo de contratación</w:t>
      </w:r>
    </w:p>
    <w:p w:rsidR="005C447B" w:rsidRPr="0073752A" w:rsidRDefault="00CB0B53">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lastRenderedPageBreak/>
        <w:t xml:space="preserve">Remuneraciones </w:t>
      </w:r>
    </w:p>
    <w:p w:rsidR="005C447B" w:rsidRPr="0073752A" w:rsidRDefault="00CB0B53">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Grado académico.</w:t>
      </w:r>
    </w:p>
    <w:p w:rsidR="005C447B" w:rsidRPr="0073752A" w:rsidRDefault="00CB0B53">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Perfil de puestos</w:t>
      </w:r>
    </w:p>
    <w:p w:rsidR="005C447B" w:rsidRPr="0073752A" w:rsidRDefault="005C447B">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rsidR="005C447B" w:rsidRPr="0073752A" w:rsidRDefault="00CB0B53">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De los servidores públicos adscritos a la Tesorería Municipal, a la Dirección de Ingresos, a la Dirección de Egresos</w:t>
      </w:r>
      <w:r w:rsidR="00901F1A" w:rsidRPr="0073752A">
        <w:rPr>
          <w:rFonts w:ascii="Palatino Linotype" w:eastAsia="Palatino Linotype" w:hAnsi="Palatino Linotype" w:cs="Palatino Linotype"/>
          <w:sz w:val="24"/>
          <w:szCs w:val="24"/>
        </w:rPr>
        <w:t xml:space="preserve"> del uno de enero al treinta y uno de diciembre de dos mil veinte, los documentos donde conste</w:t>
      </w:r>
      <w:r w:rsidRPr="0073752A">
        <w:rPr>
          <w:rFonts w:ascii="Palatino Linotype" w:eastAsia="Palatino Linotype" w:hAnsi="Palatino Linotype" w:cs="Palatino Linotype"/>
          <w:sz w:val="24"/>
          <w:szCs w:val="24"/>
        </w:rPr>
        <w:t xml:space="preserve">: </w:t>
      </w:r>
    </w:p>
    <w:p w:rsidR="005C447B" w:rsidRPr="0073752A" w:rsidRDefault="005C447B">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rsidR="005C447B" w:rsidRPr="0073752A" w:rsidRDefault="00CB0B53">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Tipo de contratación</w:t>
      </w:r>
    </w:p>
    <w:p w:rsidR="005C447B" w:rsidRPr="0073752A" w:rsidRDefault="00CB0B53">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 xml:space="preserve">Remuneraciones </w:t>
      </w:r>
    </w:p>
    <w:p w:rsidR="005C447B" w:rsidRPr="0073752A" w:rsidRDefault="00CB0B53">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Perfil de puestos</w:t>
      </w:r>
    </w:p>
    <w:p w:rsidR="005C447B" w:rsidRPr="0073752A" w:rsidRDefault="005C447B">
      <w:pPr>
        <w:pBdr>
          <w:top w:val="nil"/>
          <w:left w:val="nil"/>
          <w:bottom w:val="nil"/>
          <w:right w:val="nil"/>
          <w:between w:val="nil"/>
        </w:pBdr>
        <w:spacing w:after="80" w:line="360" w:lineRule="auto"/>
        <w:ind w:right="51"/>
        <w:jc w:val="both"/>
        <w:rPr>
          <w:rFonts w:ascii="Palatino Linotype" w:eastAsia="Palatino Linotype" w:hAnsi="Palatino Linotype" w:cs="Palatino Linotype"/>
          <w:sz w:val="24"/>
          <w:szCs w:val="24"/>
        </w:rPr>
      </w:pPr>
    </w:p>
    <w:p w:rsidR="005C447B" w:rsidRPr="0073752A" w:rsidRDefault="00CB0B53" w:rsidP="00920DB1">
      <w:pPr>
        <w:spacing w:before="80" w:after="240" w:line="276" w:lineRule="auto"/>
        <w:ind w:left="567" w:right="616"/>
        <w:jc w:val="both"/>
        <w:rPr>
          <w:rFonts w:ascii="Palatino Linotype" w:eastAsia="Palatino Linotype" w:hAnsi="Palatino Linotype" w:cs="Palatino Linotype"/>
          <w:i/>
          <w:sz w:val="20"/>
          <w:szCs w:val="20"/>
        </w:rPr>
      </w:pPr>
      <w:r w:rsidRPr="0073752A">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y se ponga a disposición de la parte Recurrente.</w:t>
      </w:r>
    </w:p>
    <w:p w:rsidR="005C447B" w:rsidRPr="0073752A" w:rsidRDefault="00CB0B53">
      <w:pP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TERCERO.</w:t>
      </w:r>
      <w:r w:rsidRPr="0073752A">
        <w:rPr>
          <w:rFonts w:ascii="Palatino Linotype" w:eastAsia="Palatino Linotype" w:hAnsi="Palatino Linotype" w:cs="Palatino Linotype"/>
          <w:sz w:val="24"/>
          <w:szCs w:val="24"/>
        </w:rPr>
        <w:t> </w:t>
      </w:r>
      <w:r w:rsidRPr="0073752A">
        <w:rPr>
          <w:rFonts w:ascii="Palatino Linotype" w:eastAsia="Palatino Linotype" w:hAnsi="Palatino Linotype" w:cs="Palatino Linotype"/>
          <w:b/>
          <w:sz w:val="24"/>
          <w:szCs w:val="24"/>
        </w:rPr>
        <w:t xml:space="preserve">NOTIFÍQUESE vía SAIMEX </w:t>
      </w:r>
      <w:r w:rsidRPr="0073752A">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C447B" w:rsidRPr="0073752A" w:rsidRDefault="00CB0B53">
      <w:pP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lastRenderedPageBreak/>
        <w:t>CUARTO.</w:t>
      </w:r>
      <w:r w:rsidRPr="0073752A">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C447B" w:rsidRPr="0073752A" w:rsidRDefault="005C447B">
      <w:pPr>
        <w:spacing w:after="0" w:line="360" w:lineRule="auto"/>
        <w:ind w:right="49"/>
        <w:jc w:val="both"/>
        <w:rPr>
          <w:rFonts w:ascii="Palatino Linotype" w:eastAsia="Palatino Linotype" w:hAnsi="Palatino Linotype" w:cs="Palatino Linotype"/>
          <w:sz w:val="24"/>
          <w:szCs w:val="24"/>
        </w:rPr>
      </w:pPr>
    </w:p>
    <w:p w:rsidR="005C447B" w:rsidRPr="0073752A" w:rsidRDefault="00CB0B53">
      <w:pPr>
        <w:spacing w:after="0" w:line="360" w:lineRule="auto"/>
        <w:ind w:right="49"/>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b/>
          <w:sz w:val="24"/>
          <w:szCs w:val="24"/>
        </w:rPr>
        <w:t>QUINTO. NOTIFÍQUESE vía SAIMEX</w:t>
      </w:r>
      <w:r w:rsidRPr="0073752A">
        <w:rPr>
          <w:rFonts w:ascii="Palatino Linotype" w:eastAsia="Palatino Linotype" w:hAnsi="Palatino Linotype" w:cs="Palatino Linotype"/>
          <w:sz w:val="24"/>
          <w:szCs w:val="24"/>
        </w:rPr>
        <w:t xml:space="preserve"> al </w:t>
      </w:r>
      <w:r w:rsidRPr="0073752A">
        <w:rPr>
          <w:rFonts w:ascii="Palatino Linotype" w:eastAsia="Palatino Linotype" w:hAnsi="Palatino Linotype" w:cs="Palatino Linotype"/>
          <w:b/>
          <w:sz w:val="24"/>
          <w:szCs w:val="24"/>
        </w:rPr>
        <w:t>RECURRENTE</w:t>
      </w:r>
      <w:r w:rsidRPr="0073752A">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5C447B" w:rsidRPr="0073752A" w:rsidRDefault="005C447B">
      <w:pPr>
        <w:spacing w:after="0" w:line="360" w:lineRule="auto"/>
        <w:ind w:right="49"/>
        <w:jc w:val="both"/>
        <w:rPr>
          <w:rFonts w:ascii="Palatino Linotype" w:eastAsia="Palatino Linotype" w:hAnsi="Palatino Linotype" w:cs="Palatino Linotype"/>
          <w:sz w:val="24"/>
          <w:szCs w:val="24"/>
        </w:rPr>
      </w:pPr>
    </w:p>
    <w:p w:rsidR="005C447B" w:rsidRPr="0073752A" w:rsidRDefault="00CB0B53">
      <w:pPr>
        <w:spacing w:after="0" w:line="360" w:lineRule="auto"/>
        <w:jc w:val="both"/>
        <w:rPr>
          <w:rFonts w:ascii="Palatino Linotype" w:eastAsia="Palatino Linotype" w:hAnsi="Palatino Linotype" w:cs="Palatino Linotype"/>
          <w:sz w:val="24"/>
          <w:szCs w:val="24"/>
        </w:rPr>
      </w:pPr>
      <w:r w:rsidRPr="0073752A">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VEINTIUNO DE SEPTIEMBRE DE DOS MIL VEINTIDÓS, ANTE EL SECRETARIO TÉCNICO DEL PLENO ALEXIS TAPIA RAMÍREZ.</w:t>
      </w:r>
    </w:p>
    <w:p w:rsidR="005C447B" w:rsidRPr="0073752A" w:rsidRDefault="005C447B">
      <w:pPr>
        <w:spacing w:after="0" w:line="360" w:lineRule="auto"/>
        <w:ind w:right="49"/>
        <w:jc w:val="both"/>
        <w:rPr>
          <w:rFonts w:ascii="Palatino Linotype" w:eastAsia="Palatino Linotype" w:hAnsi="Palatino Linotype" w:cs="Palatino Linotype"/>
          <w:sz w:val="24"/>
          <w:szCs w:val="24"/>
        </w:rPr>
      </w:pPr>
    </w:p>
    <w:p w:rsidR="00901F1A" w:rsidRPr="0073752A" w:rsidRDefault="00901F1A">
      <w:pPr>
        <w:spacing w:after="0" w:line="360" w:lineRule="auto"/>
        <w:ind w:right="49"/>
        <w:jc w:val="both"/>
        <w:rPr>
          <w:rFonts w:ascii="Palatino Linotype" w:eastAsia="Palatino Linotype" w:hAnsi="Palatino Linotype" w:cs="Palatino Linotype"/>
          <w:sz w:val="24"/>
          <w:szCs w:val="24"/>
        </w:rPr>
      </w:pPr>
    </w:p>
    <w:p w:rsidR="00901F1A" w:rsidRPr="0073752A" w:rsidRDefault="00901F1A">
      <w:pPr>
        <w:spacing w:after="0" w:line="360" w:lineRule="auto"/>
        <w:ind w:right="49"/>
        <w:jc w:val="both"/>
        <w:rPr>
          <w:rFonts w:ascii="Palatino Linotype" w:eastAsia="Palatino Linotype" w:hAnsi="Palatino Linotype" w:cs="Palatino Linotype"/>
          <w:sz w:val="24"/>
          <w:szCs w:val="24"/>
        </w:rPr>
      </w:pPr>
    </w:p>
    <w:p w:rsidR="005C447B" w:rsidRPr="0073752A" w:rsidRDefault="005C447B">
      <w:pPr>
        <w:spacing w:after="0" w:line="360" w:lineRule="auto"/>
        <w:jc w:val="both"/>
        <w:rPr>
          <w:rFonts w:ascii="Palatino Linotype" w:eastAsia="Palatino Linotype" w:hAnsi="Palatino Linotype" w:cs="Palatino Linotype"/>
          <w:sz w:val="24"/>
          <w:szCs w:val="24"/>
        </w:rPr>
      </w:pPr>
    </w:p>
    <w:sectPr w:rsidR="005C447B" w:rsidRPr="0073752A">
      <w:headerReference w:type="default" r:id="rId26"/>
      <w:footerReference w:type="default" r:id="rId27"/>
      <w:headerReference w:type="first" r:id="rId28"/>
      <w:footerReference w:type="first" r:id="rId2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43A" w:rsidRDefault="005E643A">
      <w:pPr>
        <w:spacing w:after="0" w:line="240" w:lineRule="auto"/>
      </w:pPr>
      <w:r>
        <w:separator/>
      </w:r>
    </w:p>
  </w:endnote>
  <w:endnote w:type="continuationSeparator" w:id="0">
    <w:p w:rsidR="005E643A" w:rsidRDefault="005E6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47B" w:rsidRDefault="00CB0B53">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14545">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14545">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rsidR="005C447B" w:rsidRDefault="005C447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47B" w:rsidRDefault="00CB0B53">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1454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14545">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rsidR="005C447B" w:rsidRDefault="005C447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43A" w:rsidRDefault="005E643A">
      <w:pPr>
        <w:spacing w:after="0" w:line="240" w:lineRule="auto"/>
      </w:pPr>
      <w:r>
        <w:separator/>
      </w:r>
    </w:p>
  </w:footnote>
  <w:footnote w:type="continuationSeparator" w:id="0">
    <w:p w:rsidR="005E643A" w:rsidRDefault="005E643A">
      <w:pPr>
        <w:spacing w:after="0" w:line="240" w:lineRule="auto"/>
      </w:pPr>
      <w:r>
        <w:continuationSeparator/>
      </w:r>
    </w:p>
  </w:footnote>
  <w:footnote w:id="1">
    <w:p w:rsidR="005C447B" w:rsidRDefault="00CB0B53">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5C447B" w:rsidRDefault="00CB0B5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5C447B" w:rsidRDefault="00CB0B5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47B" w:rsidRDefault="005C447B">
    <w:pPr>
      <w:widowControl w:val="0"/>
      <w:pBdr>
        <w:top w:val="nil"/>
        <w:left w:val="nil"/>
        <w:bottom w:val="nil"/>
        <w:right w:val="nil"/>
        <w:between w:val="nil"/>
      </w:pBdr>
      <w:spacing w:after="0" w:line="276" w:lineRule="auto"/>
      <w:rPr>
        <w:color w:val="000000"/>
      </w:rPr>
    </w:pPr>
  </w:p>
  <w:tbl>
    <w:tblPr>
      <w:tblStyle w:val="a4"/>
      <w:tblW w:w="10346" w:type="dxa"/>
      <w:tblInd w:w="-1303" w:type="dxa"/>
      <w:tblLayout w:type="fixed"/>
      <w:tblLook w:val="0400" w:firstRow="0" w:lastRow="0" w:firstColumn="0" w:lastColumn="0" w:noHBand="0" w:noVBand="1"/>
    </w:tblPr>
    <w:tblGrid>
      <w:gridCol w:w="5684"/>
      <w:gridCol w:w="4662"/>
    </w:tblGrid>
    <w:tr w:rsidR="005C447B">
      <w:trPr>
        <w:trHeight w:val="244"/>
      </w:trPr>
      <w:tc>
        <w:tcPr>
          <w:tcW w:w="5684" w:type="dxa"/>
        </w:tcPr>
        <w:p w:rsidR="005C447B" w:rsidRDefault="00CB0B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5C447B" w:rsidRDefault="00CB0B5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06684/INFOEM/IP/RR/2022. </w:t>
          </w:r>
        </w:p>
      </w:tc>
    </w:tr>
    <w:tr w:rsidR="005C447B">
      <w:trPr>
        <w:trHeight w:val="210"/>
      </w:trPr>
      <w:tc>
        <w:tcPr>
          <w:tcW w:w="5684" w:type="dxa"/>
        </w:tcPr>
        <w:p w:rsidR="005C447B" w:rsidRDefault="00CB0B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5C447B" w:rsidRDefault="005C447B">
          <w:pPr>
            <w:spacing w:after="120"/>
            <w:ind w:left="-486" w:right="214" w:firstLine="567"/>
            <w:jc w:val="right"/>
            <w:rPr>
              <w:rFonts w:ascii="Palatino Linotype" w:eastAsia="Palatino Linotype" w:hAnsi="Palatino Linotype" w:cs="Palatino Linotype"/>
              <w:sz w:val="24"/>
              <w:szCs w:val="24"/>
            </w:rPr>
          </w:pPr>
        </w:p>
      </w:tc>
    </w:tr>
    <w:tr w:rsidR="005C447B">
      <w:trPr>
        <w:trHeight w:val="261"/>
      </w:trPr>
      <w:tc>
        <w:tcPr>
          <w:tcW w:w="5684" w:type="dxa"/>
        </w:tcPr>
        <w:p w:rsidR="005C447B" w:rsidRDefault="00CB0B5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5C447B" w:rsidRDefault="00CB0B5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Texcoco</w:t>
          </w:r>
        </w:p>
      </w:tc>
    </w:tr>
    <w:tr w:rsidR="005C447B">
      <w:trPr>
        <w:trHeight w:val="368"/>
      </w:trPr>
      <w:tc>
        <w:tcPr>
          <w:tcW w:w="5684" w:type="dxa"/>
        </w:tcPr>
        <w:p w:rsidR="005C447B" w:rsidRDefault="00CB0B5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5C447B" w:rsidRDefault="00CB0B5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5C447B" w:rsidRDefault="00CB0B5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-760093</wp:posOffset>
          </wp:positionH>
          <wp:positionV relativeFrom="paragraph">
            <wp:posOffset>-1540508</wp:posOffset>
          </wp:positionV>
          <wp:extent cx="7753350" cy="9942731"/>
          <wp:effectExtent l="0" t="0" r="0" b="0"/>
          <wp:wrapNone/>
          <wp:docPr id="4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47B" w:rsidRDefault="005C447B">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3"/>
      <w:tblW w:w="10346" w:type="dxa"/>
      <w:tblInd w:w="-1303" w:type="dxa"/>
      <w:tblLayout w:type="fixed"/>
      <w:tblLook w:val="0400" w:firstRow="0" w:lastRow="0" w:firstColumn="0" w:lastColumn="0" w:noHBand="0" w:noVBand="1"/>
    </w:tblPr>
    <w:tblGrid>
      <w:gridCol w:w="5684"/>
      <w:gridCol w:w="4662"/>
    </w:tblGrid>
    <w:tr w:rsidR="005C447B">
      <w:trPr>
        <w:trHeight w:val="244"/>
      </w:trPr>
      <w:tc>
        <w:tcPr>
          <w:tcW w:w="5684" w:type="dxa"/>
        </w:tcPr>
        <w:p w:rsidR="005C447B" w:rsidRDefault="00CB0B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5C447B" w:rsidRDefault="00CB0B5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06684/INFOEM/IP/RR/2022. </w:t>
          </w:r>
        </w:p>
      </w:tc>
    </w:tr>
    <w:tr w:rsidR="005C447B">
      <w:trPr>
        <w:trHeight w:val="210"/>
      </w:trPr>
      <w:tc>
        <w:tcPr>
          <w:tcW w:w="5684" w:type="dxa"/>
        </w:tcPr>
        <w:p w:rsidR="005C447B" w:rsidRDefault="00CB0B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5C447B" w:rsidRDefault="00E14545" w:rsidP="00E1454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 XXXXXXXXX XXXXXX XXXXXXX</w:t>
          </w:r>
        </w:p>
      </w:tc>
    </w:tr>
    <w:tr w:rsidR="005C447B">
      <w:trPr>
        <w:trHeight w:val="261"/>
      </w:trPr>
      <w:tc>
        <w:tcPr>
          <w:tcW w:w="5684" w:type="dxa"/>
        </w:tcPr>
        <w:p w:rsidR="005C447B" w:rsidRDefault="00CB0B5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5C447B" w:rsidRDefault="00CB0B5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Texcoco</w:t>
          </w:r>
        </w:p>
      </w:tc>
    </w:tr>
    <w:tr w:rsidR="005C447B">
      <w:trPr>
        <w:trHeight w:val="368"/>
      </w:trPr>
      <w:tc>
        <w:tcPr>
          <w:tcW w:w="5684" w:type="dxa"/>
        </w:tcPr>
        <w:p w:rsidR="005C447B" w:rsidRDefault="00CB0B5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5C447B" w:rsidRDefault="00CB0B5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5C447B" w:rsidRDefault="00CB0B5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-760093</wp:posOffset>
          </wp:positionH>
          <wp:positionV relativeFrom="paragraph">
            <wp:posOffset>-1540508</wp:posOffset>
          </wp:positionV>
          <wp:extent cx="7753350" cy="9942731"/>
          <wp:effectExtent l="0" t="0" r="0" b="0"/>
          <wp:wrapNone/>
          <wp:docPr id="4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51607"/>
    <w:multiLevelType w:val="multilevel"/>
    <w:tmpl w:val="884A096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632007C"/>
    <w:multiLevelType w:val="multilevel"/>
    <w:tmpl w:val="9C96A7A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BD3991"/>
    <w:multiLevelType w:val="multilevel"/>
    <w:tmpl w:val="83D2AC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F52898"/>
    <w:multiLevelType w:val="multilevel"/>
    <w:tmpl w:val="022834FE"/>
    <w:lvl w:ilvl="0">
      <w:start w:val="1"/>
      <w:numFmt w:val="lowerLetter"/>
      <w:lvlText w:val="%1)"/>
      <w:lvlJc w:val="left"/>
      <w:pPr>
        <w:ind w:left="785"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7E8D433C"/>
    <w:multiLevelType w:val="multilevel"/>
    <w:tmpl w:val="0F521874"/>
    <w:lvl w:ilvl="0">
      <w:start w:val="5584"/>
      <w:numFmt w:val="bullet"/>
      <w:lvlText w:val="-"/>
      <w:lvlJc w:val="left"/>
      <w:pPr>
        <w:ind w:left="720" w:hanging="360"/>
      </w:pPr>
      <w:rPr>
        <w:rFonts w:ascii="Verdana" w:eastAsia="Verdana" w:hAnsi="Verdana" w:cs="Verdana"/>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FEE12A5"/>
    <w:multiLevelType w:val="multilevel"/>
    <w:tmpl w:val="0B7629C8"/>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47B"/>
    <w:rsid w:val="005C447B"/>
    <w:rsid w:val="005E643A"/>
    <w:rsid w:val="00702550"/>
    <w:rsid w:val="0073752A"/>
    <w:rsid w:val="00753255"/>
    <w:rsid w:val="00886B23"/>
    <w:rsid w:val="00901F1A"/>
    <w:rsid w:val="00920DB1"/>
    <w:rsid w:val="00CB0B53"/>
    <w:rsid w:val="00E145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FD9910-53D6-467F-82F9-5B512E794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E0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BA4E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4E05"/>
  </w:style>
  <w:style w:type="paragraph" w:styleId="Piedepgina">
    <w:name w:val="footer"/>
    <w:basedOn w:val="Normal"/>
    <w:link w:val="PiedepginaCar"/>
    <w:uiPriority w:val="99"/>
    <w:unhideWhenUsed/>
    <w:rsid w:val="00BA4E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4E0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5445D"/>
    <w:pPr>
      <w:ind w:left="720"/>
      <w:contextualSpacing/>
    </w:pPr>
  </w:style>
  <w:style w:type="character" w:styleId="Hipervnculo">
    <w:name w:val="Hyperlink"/>
    <w:basedOn w:val="Fuentedeprrafopredeter"/>
    <w:uiPriority w:val="99"/>
    <w:unhideWhenUsed/>
    <w:rsid w:val="009530C5"/>
    <w:rPr>
      <w:color w:val="0563C1" w:themeColor="hyperlink"/>
      <w:u w:val="single"/>
    </w:rPr>
  </w:style>
  <w:style w:type="paragraph" w:styleId="Sinespaciado">
    <w:name w:val="No Spacing"/>
    <w:aliases w:val="Francesa,INAI"/>
    <w:link w:val="SinespaciadoCar"/>
    <w:uiPriority w:val="1"/>
    <w:qFormat/>
    <w:rsid w:val="00A628F5"/>
    <w:pPr>
      <w:spacing w:after="0" w:line="240" w:lineRule="auto"/>
    </w:pPr>
    <w:rPr>
      <w:rFonts w:ascii="Times New Roman" w:eastAsia="Times New Roman" w:hAnsi="Times New Roman" w:cs="Times New Roman"/>
      <w:sz w:val="24"/>
      <w:szCs w:val="24"/>
      <w:lang w:val="es-ES"/>
    </w:rPr>
  </w:style>
  <w:style w:type="character" w:customStyle="1" w:styleId="SinespaciadoCar">
    <w:name w:val="Sin espaciado Car"/>
    <w:aliases w:val="Francesa Car,INAI Car"/>
    <w:link w:val="Sinespaciado"/>
    <w:uiPriority w:val="1"/>
    <w:locked/>
    <w:rsid w:val="00A628F5"/>
    <w:rPr>
      <w:rFonts w:ascii="Times New Roman" w:eastAsia="Times New Roman" w:hAnsi="Times New Roman" w:cs="Times New Roman"/>
      <w:sz w:val="24"/>
      <w:szCs w:val="24"/>
      <w:lang w:val="es-ES"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C3A27"/>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styleId="nfasissutil">
    <w:name w:val="Subtle Emphasis"/>
    <w:basedOn w:val="Fuentedeprrafopredeter"/>
    <w:uiPriority w:val="19"/>
    <w:qFormat/>
    <w:rsid w:val="00173A71"/>
    <w:rPr>
      <w:i/>
      <w:iCs/>
      <w:color w:val="404040" w:themeColor="text1" w:themeTint="BF"/>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15617.page" TargetMode="External"/><Relationship Id="rId13" Type="http://schemas.openxmlformats.org/officeDocument/2006/relationships/hyperlink" Target="https://www.ipomex.org.mx/ipo3/lgt/indice/TEXCOCO/organigramas.web"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texcoco.ayuntamientodigital.god.mx/transparencia/texcoco/ayuntamiento_92_llB_210407113127_organigrama-oficial-40-trimeestre.pdf" TargetMode="External"/><Relationship Id="rId17" Type="http://schemas.openxmlformats.org/officeDocument/2006/relationships/hyperlink" Target="https://www.ipomex.org.mx/ipo3/lgt/indice/TEXCOCO/organigramas.web"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texcoco.ayuntamientodigital.god.mx/transparencia/texcoco/ayuntamiento_92_ll-B_210407113127_organigrama-oficial-40-trimeestre.pdf" TargetMode="Externa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texcoco.ayuntamientodigital.gob.mx/transparencia/ayuntamient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excoco.ayuntamientodigital.gob.mx/transparencia/texcoco/ayuntamiento_92_VIIIB_210824132955_tabulador-de-sueldoss.pdf" TargetMode="External"/><Relationship Id="rId22" Type="http://schemas.openxmlformats.org/officeDocument/2006/relationships/hyperlink" Target="http://www.inafed.gob.mx/work/models/inafed/Resource/335/1/images/guia09_la_administracion_del_personal_municipal.pdf"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fJifDI0YP5WHFwl0vAFaUdxIew==">AMUW2mVZEKRgMj6ycmtGUnpMIch/Rv5eGv8pkAnPFiQ7WQC+ionqgfCAZ62MhT14U2Ex3Ez3RBwz/j33kHUWoQ8H2eyGJ5jqiGLZKG6LX/C0d/CR4hCnvpqfPbiqHWCv8xWPawFp0T9fJaa587cWWTrR2T6bWARJM+jGAi034FAk+Dqg4kg7yf0=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12546</Words>
  <Characters>69003</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USUARIO</cp:lastModifiedBy>
  <cp:revision>2</cp:revision>
  <dcterms:created xsi:type="dcterms:W3CDTF">2022-10-04T22:43:00Z</dcterms:created>
  <dcterms:modified xsi:type="dcterms:W3CDTF">2022-10-04T22:43:00Z</dcterms:modified>
</cp:coreProperties>
</file>