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cuatro de mayo de dos mil veintidós.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01054/INFOEM/IP/RR/2022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 XXXXXXX XXXXXXX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Ayuntamiento de Almoloya de Alquisiras,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r w:rsidDel="00000000" w:rsidR="00000000" w:rsidRPr="00000000">
        <w:rPr>
          <w:rtl w:val="0"/>
        </w:rPr>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treinta y uno de enero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color w:val="000000"/>
          <w:rtl w:val="0"/>
        </w:rPr>
        <w:t xml:space="preserve">presentó, a través de la Plataforma Nacional de Transparencia vinculada al Sistema de Acceso a la Información Mexiquense, en lo subsecuente el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00014/ALMOAL/IP/2022,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Del="00000000" w:rsidR="00000000" w:rsidRPr="00000000">
        <w:rPr>
          <w:rFonts w:ascii="Palatino Linotype" w:cs="Palatino Linotype" w:eastAsia="Palatino Linotype" w:hAnsi="Palatino Linotype"/>
          <w:i w:val="1"/>
          <w:sz w:val="22"/>
          <w:szCs w:val="22"/>
          <w:rtl w:val="0"/>
        </w:rPr>
        <w:t xml:space="preserve">.” (sic)</w:t>
      </w:r>
      <w:r w:rsidDel="00000000" w:rsidR="00000000" w:rsidRPr="00000000">
        <w:rPr>
          <w:rtl w:val="0"/>
        </w:rPr>
      </w:r>
    </w:p>
    <w:p w:rsidR="00000000" w:rsidDel="00000000" w:rsidP="00000000" w:rsidRDefault="00000000" w:rsidRPr="00000000" w14:paraId="00000006">
      <w:pPr>
        <w:spacing w:after="240" w:before="240" w:line="360" w:lineRule="auto"/>
        <w:ind w:right="90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Toda vez que la solicitud se presentó 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través de la Plataforma Nacional de Transparencia, se entiende que la información se requiere a través del SAIMEX, correo electrónico y por cualquier otro medio electrónico (USB, SD o CD).</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3240" cy="570865"/>
            <wp:effectExtent b="0" l="0" r="0" t="0"/>
            <wp:docPr id="96"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603240" cy="57086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veintiuno de febrero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tbl>
      <w:tblPr>
        <w:tblStyle w:val="Table1"/>
        <w:tblW w:w="10500.0" w:type="dxa"/>
        <w:jc w:val="center"/>
        <w:tblLayout w:type="fixed"/>
        <w:tblLook w:val="0400"/>
      </w:tblPr>
      <w:tblGrid>
        <w:gridCol w:w="10500"/>
        <w:tblGridChange w:id="0">
          <w:tblGrid>
            <w:gridCol w:w="10500"/>
          </w:tblGrid>
        </w:tblGridChange>
      </w:tblGrid>
      <w:tr>
        <w:trPr>
          <w:cantSplit w:val="0"/>
          <w:trHeight w:val="150" w:hRule="atLeast"/>
          <w:tblHeader w:val="0"/>
        </w:trPr>
        <w:tc>
          <w:tcPr>
            <w:vAlign w:val="center"/>
          </w:tcPr>
          <w:p w:rsidR="00000000" w:rsidDel="00000000" w:rsidP="00000000" w:rsidRDefault="00000000" w:rsidRPr="00000000" w14:paraId="0000000A">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“…RESPUESTA A LA SOLICITUD 00014/ALMOAL/IP/2022...” (sic)</w:t>
            </w:r>
          </w:p>
          <w:p w:rsidR="00000000" w:rsidDel="00000000" w:rsidP="00000000" w:rsidRDefault="00000000" w:rsidRPr="00000000" w14:paraId="0000000B">
            <w:pPr>
              <w:rPr>
                <w:rFonts w:ascii="Palatino Linotype" w:cs="Palatino Linotype" w:eastAsia="Palatino Linotype" w:hAnsi="Palatino Linotype"/>
                <w:i w:val="1"/>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0C">
            <w:pPr>
              <w:rPr/>
            </w:pPr>
            <w:r w:rsidDel="00000000" w:rsidR="00000000" w:rsidRPr="00000000">
              <w:rPr>
                <w:rtl w:val="0"/>
              </w:rPr>
            </w:r>
          </w:p>
        </w:tc>
      </w:tr>
    </w:tbl>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el archivo: </w:t>
      </w:r>
      <w:r w:rsidDel="00000000" w:rsidR="00000000" w:rsidRPr="00000000">
        <w:rPr>
          <w:rFonts w:ascii="Palatino Linotype" w:cs="Palatino Linotype" w:eastAsia="Palatino Linotype" w:hAnsi="Palatino Linotype"/>
          <w:i w:val="1"/>
          <w:rtl w:val="0"/>
        </w:rPr>
        <w:t xml:space="preserve">“</w:t>
      </w:r>
      <w:hyperlink r:id="rId9">
        <w:r w:rsidDel="00000000" w:rsidR="00000000" w:rsidRPr="00000000">
          <w:rPr>
            <w:rFonts w:ascii="Palatino Linotype" w:cs="Palatino Linotype" w:eastAsia="Palatino Linotype" w:hAnsi="Palatino Linotype"/>
            <w:i w:val="1"/>
            <w:color w:val="000000"/>
            <w:sz w:val="22"/>
            <w:szCs w:val="22"/>
            <w:rtl w:val="0"/>
          </w:rPr>
          <w:t xml:space="preserve">RESPUESTA #14.pdf</w:t>
        </w:r>
      </w:hyperlink>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que consiste en el oficio PM/TES/015/2022 de fecha cuatro de febrero de dos mil veintidós, mediante el cual la Tesorera Municipal señala que por motivo de cambio de administración la información se encuentra en proceso de análisis y por el momento no se puede informar, tal como se advierte a continuación: </w:t>
      </w:r>
    </w:p>
    <w:p w:rsidR="00000000" w:rsidDel="00000000" w:rsidP="00000000" w:rsidRDefault="00000000" w:rsidRPr="00000000" w14:paraId="0000000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15199" cy="6709349"/>
            <wp:effectExtent b="0" l="0" r="0" t="0"/>
            <wp:docPr id="98"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315199" cy="6709349"/>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veintiuno de febrero de dos mil veintidós,</w:t>
      </w:r>
      <w:r w:rsidDel="00000000" w:rsidR="00000000" w:rsidRPr="00000000">
        <w:rPr>
          <w:rFonts w:ascii="Palatino Linotype" w:cs="Palatino Linotype" w:eastAsia="Palatino Linotype" w:hAnsi="Palatino Linotype"/>
          <w:rtl w:val="0"/>
        </w:rPr>
        <w:t xml:space="preserve"> la parte recurrente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10">
      <w:pPr>
        <w:tabs>
          <w:tab w:val="left"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1">
      <w:pPr>
        <w:tabs>
          <w:tab w:val="left" w:pos="2745"/>
        </w:tabs>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w:t>
      </w:r>
      <w:r w:rsidDel="00000000" w:rsidR="00000000" w:rsidRPr="00000000">
        <w:rPr>
          <w:rFonts w:ascii="Palatino Linotype" w:cs="Palatino Linotype" w:eastAsia="Palatino Linotype" w:hAnsi="Palatino Linotype"/>
          <w:i w:val="1"/>
          <w:color w:val="000000"/>
          <w:sz w:val="22"/>
          <w:szCs w:val="22"/>
          <w:rtl w:val="0"/>
        </w:rPr>
        <w:t xml:space="preserve">u respuesta oficio PM/TES/015/2022 a mi petición de información publica. el cual me la niegan sin ningún sustento legal ni razón de ser</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1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3">
      <w:pPr>
        <w:ind w:left="851" w:right="902" w:firstLine="0"/>
        <w:jc w:val="both"/>
        <w:rPr>
          <w:rFonts w:ascii="Palatino Linotype" w:cs="Palatino Linotype" w:eastAsia="Palatino Linotype" w:hAnsi="Palatino Linotype"/>
          <w:i w:val="1"/>
          <w:sz w:val="22"/>
          <w:szCs w:val="22"/>
        </w:rPr>
      </w:pPr>
      <w:bookmarkStart w:colFirst="0" w:colLast="0" w:name="_heading=h.30j0zll" w:id="1"/>
      <w:bookmarkEnd w:id="1"/>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color w:val="000000"/>
          <w:sz w:val="22"/>
          <w:szCs w:val="22"/>
          <w:rtl w:val="0"/>
        </w:rPr>
        <w:t xml:space="preserve">Por medio de la presente hoy 21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Almoloya de Alquisiras, ya que su respuesta; oficio: PM/TES/015/2022 diversos que me entrego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si es de su competencia y de que si cuenta con todos los visores de nómina del SAT, ya que los reportes visores de nómina solo puede generarlos el Ente Público Obligado desde su portal del SAT; se reitera es información fácil que ya tiene el Ente Obligado en su portal del SAT, repito directamente en su portal del SAT ya que son simples REPORTES reitero REPORTES que ya hizo y entregó Ayuntamiento de Almoloya de Alquisiras,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vista Horizontal y vertical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 convenios de colaboración con esos entes fiscalizadores está bien la respuesta que no aplica si esto es así, y si si aplica darme las constancias y opiniones de cumplimiento al día y respecto al punto I espero ahora si lo haya entendido que es una herramienta de ayuda del SAT para ellos y son reportes ya entregados y si aún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 eficientar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adjuntó los archivos:</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w:t>
      </w:r>
      <w:hyperlink r:id="rId11">
        <w:r w:rsidDel="00000000" w:rsidR="00000000" w:rsidRPr="00000000">
          <w:rPr>
            <w:rFonts w:ascii="Palatino Linotype" w:cs="Palatino Linotype" w:eastAsia="Palatino Linotype" w:hAnsi="Palatino Linotype"/>
            <w:i w:val="1"/>
            <w:color w:val="000000"/>
            <w:sz w:val="22"/>
            <w:szCs w:val="22"/>
            <w:rtl w:val="0"/>
          </w:rPr>
          <w:t xml:space="preserve">G-13-01-02-2019-01 ejemplo detalle diferencias sueldos y salarios, diferencias mensuales.pdf</w:t>
        </w:r>
      </w:hyperlink>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que contiene lo siguiente:</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601060" cy="1744928"/>
            <wp:effectExtent b="0" l="0" r="0" t="0"/>
            <wp:docPr id="9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601060" cy="1744928"/>
                    </a:xfrm>
                    <a:prstGeom prst="rect"/>
                    <a:ln/>
                  </pic:spPr>
                </pic:pic>
              </a:graphicData>
            </a:graphic>
          </wp:inline>
        </w:drawing>
      </w:r>
      <w:r w:rsidDel="00000000" w:rsidR="00000000" w:rsidRPr="00000000">
        <w:rPr>
          <w:rFonts w:ascii="Palatino Linotype" w:cs="Palatino Linotype" w:eastAsia="Palatino Linotype" w:hAnsi="Palatino Linotype"/>
          <w:i w:val="1"/>
        </w:rPr>
        <w:drawing>
          <wp:inline distB="0" distT="0" distL="0" distR="0">
            <wp:extent cx="2660015" cy="1764030"/>
            <wp:effectExtent b="0" l="0" r="0" t="0"/>
            <wp:docPr id="100"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660015" cy="176403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spacing w:after="280" w:before="280" w:lineRule="auto"/>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rtl w:val="0"/>
        </w:rPr>
        <w:t xml:space="preserve">- “</w:t>
      </w:r>
      <w:hyperlink r:id="rId14">
        <w:r w:rsidDel="00000000" w:rsidR="00000000" w:rsidRPr="00000000">
          <w:rPr>
            <w:rFonts w:ascii="Palatino Linotype" w:cs="Palatino Linotype" w:eastAsia="Palatino Linotype" w:hAnsi="Palatino Linotype"/>
            <w:i w:val="1"/>
            <w:color w:val="000000"/>
            <w:sz w:val="22"/>
            <w:szCs w:val="22"/>
            <w:rtl w:val="0"/>
          </w:rPr>
          <w:t xml:space="preserve">G-35-03-03-2018-01 ejemplo presentación detalle mensual.pdf</w:t>
        </w:r>
      </w:hyperlink>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rtl w:val="0"/>
        </w:rPr>
        <w:t xml:space="preserve"> que contiene lo siguiente:</w:t>
      </w:r>
      <w:r w:rsidDel="00000000" w:rsidR="00000000" w:rsidRPr="00000000">
        <w:rPr>
          <w:rtl w:val="0"/>
        </w:rPr>
      </w:r>
    </w:p>
    <w:tbl>
      <w:tblPr>
        <w:tblStyle w:val="Table2"/>
        <w:tblW w:w="883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19"/>
        <w:gridCol w:w="4419"/>
        <w:tblGridChange w:id="0">
          <w:tblGrid>
            <w:gridCol w:w="4419"/>
            <w:gridCol w:w="4419"/>
          </w:tblGrid>
        </w:tblGridChange>
      </w:tblGrid>
      <w:tr>
        <w:trPr>
          <w:cantSplit w:val="0"/>
          <w:tblHeader w:val="0"/>
        </w:trPr>
        <w:tc>
          <w:tcPr/>
          <w:p w:rsidR="00000000" w:rsidDel="00000000" w:rsidP="00000000" w:rsidRDefault="00000000" w:rsidRPr="00000000" w14:paraId="0000001A">
            <w:pPr>
              <w:spacing w:after="240" w:before="240" w:line="360" w:lineRule="auto"/>
              <w:jc w:val="both"/>
              <w:rPr/>
            </w:pPr>
            <w:r w:rsidDel="00000000" w:rsidR="00000000" w:rsidRPr="00000000">
              <w:rPr/>
              <w:drawing>
                <wp:inline distB="0" distT="0" distL="0" distR="0">
                  <wp:extent cx="2660015" cy="1666240"/>
                  <wp:effectExtent b="0" l="0" r="0" t="0"/>
                  <wp:docPr id="9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660015" cy="16662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B">
            <w:pPr>
              <w:spacing w:after="240" w:before="240" w:line="360" w:lineRule="auto"/>
              <w:jc w:val="both"/>
              <w:rPr/>
            </w:pPr>
            <w:r w:rsidDel="00000000" w:rsidR="00000000" w:rsidRPr="00000000">
              <w:rPr/>
              <w:drawing>
                <wp:inline distB="0" distT="0" distL="0" distR="0">
                  <wp:extent cx="2660015" cy="1686560"/>
                  <wp:effectExtent b="0" l="0" r="0" t="0"/>
                  <wp:docPr id="102"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2660015" cy="16865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C">
      <w:pPr>
        <w:spacing w:after="280" w:before="280" w:lineRule="auto"/>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rtl w:val="0"/>
        </w:rPr>
        <w:t xml:space="preserve">- “</w:t>
      </w:r>
      <w:hyperlink r:id="rId17">
        <w:r w:rsidDel="00000000" w:rsidR="00000000" w:rsidRPr="00000000">
          <w:rPr>
            <w:rFonts w:ascii="Palatino Linotype" w:cs="Palatino Linotype" w:eastAsia="Palatino Linotype" w:hAnsi="Palatino Linotype"/>
            <w:i w:val="1"/>
            <w:color w:val="000000"/>
            <w:sz w:val="22"/>
            <w:szCs w:val="22"/>
            <w:rtl w:val="0"/>
          </w:rPr>
          <w:t xml:space="preserve">G-13-03-01-2019-01 ejemplo vista anual acumulado o global.pdf</w:t>
        </w:r>
      </w:hyperlink>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que contiene lo siguiente:</w:t>
      </w:r>
      <w:r w:rsidDel="00000000" w:rsidR="00000000" w:rsidRPr="00000000">
        <w:rPr>
          <w:rtl w:val="0"/>
        </w:rPr>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296520" cy="2101680"/>
            <wp:effectExtent b="0" l="0" r="0" t="0"/>
            <wp:docPr id="10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296520" cy="2101680"/>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2357698" cy="2935615"/>
            <wp:effectExtent b="0" l="0" r="0" t="0"/>
            <wp:docPr id="105"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357698" cy="293561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veinticuatro de febrero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21">
      <w:pPr>
        <w:spacing w:after="240" w:before="240" w:line="360" w:lineRule="auto"/>
        <w:jc w:val="both"/>
        <w:rPr/>
      </w:pPr>
      <w:bookmarkStart w:colFirst="0" w:colLast="0" w:name="_heading=h.2s8eyo1" w:id="2"/>
      <w:bookmarkEnd w:id="2"/>
      <w:r w:rsidDel="00000000" w:rsidR="00000000" w:rsidRPr="00000000">
        <w:rPr>
          <w:b w:val="1"/>
          <w:rtl w:val="0"/>
        </w:rPr>
        <w:t xml:space="preserve">6. </w:t>
      </w:r>
      <w:r w:rsidDel="00000000" w:rsidR="00000000" w:rsidRPr="00000000">
        <w:rPr>
          <w:rFonts w:ascii="Palatino Linotype" w:cs="Palatino Linotype" w:eastAsia="Palatino Linotype" w:hAnsi="Palatino Linotype"/>
          <w:b w:val="1"/>
          <w:rtl w:val="0"/>
        </w:rPr>
        <w:t xml:space="preserve">Manifestaciones</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fueron omisos en emitir sus alegatos, pruebas e informe justificado en el plazo establecido para tal efecto.</w:t>
      </w:r>
      <w:r w:rsidDel="00000000" w:rsidR="00000000" w:rsidRPr="00000000">
        <w:rPr>
          <w:rtl w:val="0"/>
        </w:rPr>
      </w:r>
    </w:p>
    <w:p w:rsidR="00000000" w:rsidDel="00000000" w:rsidP="00000000" w:rsidRDefault="00000000" w:rsidRPr="00000000" w14:paraId="00000022">
      <w:pPr>
        <w:spacing w:after="240" w:before="240" w:line="360" w:lineRule="auto"/>
        <w:jc w:val="both"/>
        <w:rPr/>
      </w:pPr>
      <w:r w:rsidDel="00000000" w:rsidR="00000000" w:rsidRPr="00000000">
        <w:rPr/>
        <w:drawing>
          <wp:inline distB="0" distT="0" distL="0" distR="0">
            <wp:extent cx="5612130" cy="2319655"/>
            <wp:effectExtent b="0" l="0" r="0" t="0"/>
            <wp:docPr id="103"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612130" cy="231965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veintiséis de abril de dos mil veintidós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4">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veintiséis de abril de dos mil veintidós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6">
      <w:pPr>
        <w:widowControl w:val="0"/>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27">
      <w:pPr>
        <w:widowControl w:val="0"/>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bookmarkStart w:colFirst="0" w:colLast="0" w:name="_heading=h.tyjcwt" w:id="3"/>
      <w:bookmarkEnd w:id="3"/>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veintiuno de febrero de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veintiuno de febrero de dos mil veintidós</w:t>
      </w:r>
      <w:r w:rsidDel="00000000" w:rsidR="00000000" w:rsidRPr="00000000">
        <w:rPr>
          <w:rFonts w:ascii="Palatino Linotype" w:cs="Palatino Linotype" w:eastAsia="Palatino Linotype" w:hAnsi="Palatino Linotype"/>
          <w:rtl w:val="0"/>
        </w:rPr>
        <w:t xml:space="preserve">, esto es, el mismo día en que tuvo conocimiento de la respuesta impugnada.</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bookmarkStart w:colFirst="0" w:colLast="0" w:name="_heading=h.3znysh7" w:id="4"/>
      <w:bookmarkEnd w:id="4"/>
      <w:r w:rsidDel="00000000" w:rsidR="00000000" w:rsidRPr="00000000">
        <w:rPr>
          <w:rFonts w:ascii="Palatino Linotype" w:cs="Palatino Linotype" w:eastAsia="Palatino Linotype" w:hAnsi="Palatino Linotype"/>
          <w:rtl w:val="0"/>
        </w:rPr>
        <w:t xml:space="preserve">En este sentido, al considerar la fecha en que se formuló la solicitud y la fecha en que respondió a ésta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2D">
      <w:pPr>
        <w:spacing w:after="240" w:before="24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sz w:val="22"/>
          <w:szCs w:val="22"/>
          <w:rtl w:val="0"/>
        </w:rPr>
        <w:t xml:space="preserve">RECURSO DE RECLAMACIÓN. SU INTERPOSICIÓN NO ES EXTEMPORÁNEA SI SE REALIZA ANTES DE QUE INICIE EL PLAZO PARA HACERLO.</w:t>
      </w:r>
    </w:p>
    <w:p w:rsidR="00000000" w:rsidDel="00000000" w:rsidP="00000000" w:rsidRDefault="00000000" w:rsidRPr="00000000" w14:paraId="0000002E">
      <w:pPr>
        <w:spacing w:after="240" w:before="24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el recurrente en sus motivos de inconformidad, de acuerdo al artículo 179, fracción V del ordenamiento legal citado, que a la letra dice: </w:t>
      </w:r>
    </w:p>
    <w:p w:rsidR="00000000" w:rsidDel="00000000" w:rsidP="00000000" w:rsidRDefault="00000000" w:rsidRPr="00000000" w14:paraId="0000003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2">
      <w:pPr>
        <w:spacing w:after="120" w:before="120" w:lineRule="auto"/>
        <w:ind w:left="993"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33">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p>
    <w:p w:rsidR="00000000" w:rsidDel="00000000" w:rsidP="00000000" w:rsidRDefault="00000000" w:rsidRPr="00000000" w14:paraId="00000034">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35">
      <w:pPr>
        <w:spacing w:after="240" w:before="240" w:line="360" w:lineRule="auto"/>
        <w:ind w:right="51"/>
        <w:jc w:val="both"/>
        <w:rPr/>
      </w:pPr>
      <w:bookmarkStart w:colFirst="0" w:colLast="0" w:name="_heading=h.2et92p0" w:id="5"/>
      <w:bookmarkEnd w:id="5"/>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r w:rsidDel="00000000" w:rsidR="00000000" w:rsidRPr="00000000">
        <w:rPr>
          <w:rtl w:val="0"/>
        </w:rPr>
        <w:t xml:space="preserve">:</w:t>
      </w:r>
    </w:p>
    <w:p w:rsidR="00000000" w:rsidDel="00000000" w:rsidP="00000000" w:rsidRDefault="00000000" w:rsidRPr="00000000" w14:paraId="00000036">
      <w:pPr>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I.</w:t>
      </w:r>
      <w:r w:rsidDel="00000000" w:rsidR="00000000" w:rsidRPr="00000000">
        <w:rPr>
          <w:rFonts w:ascii="Palatino Linotype" w:cs="Palatino Linotype" w:eastAsia="Palatino Linotype" w:hAnsi="Palatino Linotype"/>
          <w:color w:val="000000"/>
          <w:rtl w:val="0"/>
        </w:rPr>
        <w:t xml:space="preserve"> Reportes del aplicativo “Visor de nómina del SAT” por los años 2018, 2019, 2020, y 2021 en sus tres presentaciones: </w:t>
      </w:r>
    </w:p>
    <w:p w:rsidR="00000000" w:rsidDel="00000000" w:rsidP="00000000" w:rsidRDefault="00000000" w:rsidRPr="00000000" w14:paraId="00000037">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a)</w:t>
      </w:r>
      <w:r w:rsidDel="00000000" w:rsidR="00000000" w:rsidRPr="00000000">
        <w:rPr>
          <w:rFonts w:ascii="Palatino Linotype" w:cs="Palatino Linotype" w:eastAsia="Palatino Linotype" w:hAnsi="Palatino Linotype"/>
          <w:color w:val="000000"/>
          <w:rtl w:val="0"/>
        </w:rPr>
        <w:t xml:space="preserve"> Vista anual acumulada. </w:t>
      </w:r>
    </w:p>
    <w:p w:rsidR="00000000" w:rsidDel="00000000" w:rsidP="00000000" w:rsidRDefault="00000000" w:rsidRPr="00000000" w14:paraId="00000038">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b)</w:t>
      </w:r>
      <w:r w:rsidDel="00000000" w:rsidR="00000000" w:rsidRPr="00000000">
        <w:rPr>
          <w:rFonts w:ascii="Palatino Linotype" w:cs="Palatino Linotype" w:eastAsia="Palatino Linotype" w:hAnsi="Palatino Linotype"/>
          <w:color w:val="000000"/>
          <w:rtl w:val="0"/>
        </w:rPr>
        <w:t xml:space="preserve"> Detalle mensual.</w:t>
      </w:r>
    </w:p>
    <w:p w:rsidR="00000000" w:rsidDel="00000000" w:rsidP="00000000" w:rsidRDefault="00000000" w:rsidRPr="00000000" w14:paraId="00000039">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c)</w:t>
      </w:r>
      <w:r w:rsidDel="00000000" w:rsidR="00000000" w:rsidRPr="00000000">
        <w:rPr>
          <w:rFonts w:ascii="Palatino Linotype" w:cs="Palatino Linotype" w:eastAsia="Palatino Linotype" w:hAnsi="Palatino Linotype"/>
          <w:color w:val="000000"/>
          <w:rtl w:val="0"/>
        </w:rPr>
        <w:t xml:space="preserve"> Detalle diferencias sueldos y salarios. </w:t>
      </w:r>
    </w:p>
    <w:p w:rsidR="00000000" w:rsidDel="00000000" w:rsidP="00000000" w:rsidRDefault="00000000" w:rsidRPr="00000000" w14:paraId="0000003A">
      <w:pP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B">
      <w:pPr>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II.</w:t>
      </w:r>
      <w:r w:rsidDel="00000000" w:rsidR="00000000" w:rsidRPr="00000000">
        <w:rPr>
          <w:rFonts w:ascii="Palatino Linotype" w:cs="Palatino Linotype" w:eastAsia="Palatino Linotype" w:hAnsi="Palatino Linotype"/>
          <w:color w:val="000000"/>
          <w:rtl w:val="0"/>
        </w:rPr>
        <w:t xml:space="preserve"> La constancia de situación fiscal de no adeudo emitida por el INFONAVIT, generada desde el portal empresarial de esa Institución, a través de internet. </w:t>
      </w:r>
    </w:p>
    <w:p w:rsidR="00000000" w:rsidDel="00000000" w:rsidP="00000000" w:rsidRDefault="00000000" w:rsidRPr="00000000" w14:paraId="0000003C">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D">
      <w:pPr>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III.</w:t>
      </w:r>
      <w:r w:rsidDel="00000000" w:rsidR="00000000" w:rsidRPr="00000000">
        <w:rPr>
          <w:rFonts w:ascii="Palatino Linotype" w:cs="Palatino Linotype" w:eastAsia="Palatino Linotype" w:hAnsi="Palatino Linotype"/>
          <w:color w:val="000000"/>
          <w:rtl w:val="0"/>
        </w:rPr>
        <w:t xml:space="preserve"> La opinión de no adeudo en el cumplimiento de obligaciones fiscales en materia de seguridad social emitida x el IMSS, generada desde el portal de esa Institución, a través de internet. </w:t>
      </w:r>
    </w:p>
    <w:p w:rsidR="00000000" w:rsidDel="00000000" w:rsidP="00000000" w:rsidRDefault="00000000" w:rsidRPr="00000000" w14:paraId="0000003E">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F">
      <w:pPr>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IV.</w:t>
      </w:r>
      <w:r w:rsidDel="00000000" w:rsidR="00000000" w:rsidRPr="00000000">
        <w:rPr>
          <w:rFonts w:ascii="Palatino Linotype" w:cs="Palatino Linotype" w:eastAsia="Palatino Linotype" w:hAnsi="Palatino Linotype"/>
          <w:color w:val="000000"/>
          <w:rtl w:val="0"/>
        </w:rPr>
        <w:t xml:space="preserve"> La opinión de no adeudo en el cumplimiento de obligaciones fiscales estatales emitida por el SATEM, generada desde el portal de esa Institución, a través de internet. </w:t>
      </w:r>
    </w:p>
    <w:p w:rsidR="00000000" w:rsidDel="00000000" w:rsidP="00000000" w:rsidRDefault="00000000" w:rsidRPr="00000000" w14:paraId="00000040">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1">
      <w:pPr>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V.</w:t>
      </w:r>
      <w:r w:rsidDel="00000000" w:rsidR="00000000" w:rsidRPr="00000000">
        <w:rPr>
          <w:rFonts w:ascii="Palatino Linotype" w:cs="Palatino Linotype" w:eastAsia="Palatino Linotype" w:hAnsi="Palatino Linotype"/>
          <w:color w:val="000000"/>
          <w:rtl w:val="0"/>
        </w:rPr>
        <w:t xml:space="preserve"> Un papel de trabajo por el municipio, y otro por cada una de sus descentralizadas que contenga los datos para identificar el ISR participable recuperado por cada mes desde Enero de 2019 hasta Octubre de 2021. Propongo un papel de trabajo con los siguientes encabezados:</w:t>
      </w:r>
    </w:p>
    <w:p w:rsidR="00000000" w:rsidDel="00000000" w:rsidP="00000000" w:rsidRDefault="00000000" w:rsidRPr="00000000" w14:paraId="00000042">
      <w:pP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3">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A)</w:t>
      </w:r>
      <w:r w:rsidDel="00000000" w:rsidR="00000000" w:rsidRPr="00000000">
        <w:rPr>
          <w:rFonts w:ascii="Palatino Linotype" w:cs="Palatino Linotype" w:eastAsia="Palatino Linotype" w:hAnsi="Palatino Linotype"/>
          <w:color w:val="000000"/>
          <w:rtl w:val="0"/>
        </w:rPr>
        <w:t xml:space="preserve"> En la columna A “Mes”. </w:t>
      </w:r>
    </w:p>
    <w:p w:rsidR="00000000" w:rsidDel="00000000" w:rsidP="00000000" w:rsidRDefault="00000000" w:rsidRPr="00000000" w14:paraId="00000044">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B)</w:t>
      </w:r>
      <w:r w:rsidDel="00000000" w:rsidR="00000000" w:rsidRPr="00000000">
        <w:rPr>
          <w:rFonts w:ascii="Palatino Linotype" w:cs="Palatino Linotype" w:eastAsia="Palatino Linotype" w:hAnsi="Palatino Linotype"/>
          <w:color w:val="000000"/>
          <w:rtl w:val="0"/>
        </w:rPr>
        <w:t xml:space="preserve"> En la columna B “Año”. </w:t>
      </w:r>
    </w:p>
    <w:p w:rsidR="00000000" w:rsidDel="00000000" w:rsidP="00000000" w:rsidRDefault="00000000" w:rsidRPr="00000000" w14:paraId="00000045">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C)</w:t>
      </w:r>
      <w:r w:rsidDel="00000000" w:rsidR="00000000" w:rsidRPr="00000000">
        <w:rPr>
          <w:rFonts w:ascii="Palatino Linotype" w:cs="Palatino Linotype" w:eastAsia="Palatino Linotype" w:hAnsi="Palatino Linotype"/>
          <w:color w:val="000000"/>
          <w:rtl w:val="0"/>
        </w:rPr>
        <w:t xml:space="preserve"> En la columna C “ISR salarios retenido”. </w:t>
      </w:r>
    </w:p>
    <w:p w:rsidR="00000000" w:rsidDel="00000000" w:rsidP="00000000" w:rsidRDefault="00000000" w:rsidRPr="00000000" w14:paraId="00000046">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D)</w:t>
      </w:r>
      <w:r w:rsidDel="00000000" w:rsidR="00000000" w:rsidRPr="00000000">
        <w:rPr>
          <w:rFonts w:ascii="Palatino Linotype" w:cs="Palatino Linotype" w:eastAsia="Palatino Linotype" w:hAnsi="Palatino Linotype"/>
          <w:color w:val="000000"/>
          <w:rtl w:val="0"/>
        </w:rPr>
        <w:t xml:space="preserve"> En la columna D “ISR salarios enterado”. </w:t>
      </w:r>
    </w:p>
    <w:p w:rsidR="00000000" w:rsidDel="00000000" w:rsidP="00000000" w:rsidRDefault="00000000" w:rsidRPr="00000000" w14:paraId="00000047">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E)</w:t>
      </w:r>
      <w:r w:rsidDel="00000000" w:rsidR="00000000" w:rsidRPr="00000000">
        <w:rPr>
          <w:rFonts w:ascii="Palatino Linotype" w:cs="Palatino Linotype" w:eastAsia="Palatino Linotype" w:hAnsi="Palatino Linotype"/>
          <w:color w:val="000000"/>
          <w:rtl w:val="0"/>
        </w:rPr>
        <w:t xml:space="preserve"> En la columna E “ISR asimilados retenido”. </w:t>
      </w:r>
    </w:p>
    <w:p w:rsidR="00000000" w:rsidDel="00000000" w:rsidP="00000000" w:rsidRDefault="00000000" w:rsidRPr="00000000" w14:paraId="00000048">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F)</w:t>
      </w:r>
      <w:r w:rsidDel="00000000" w:rsidR="00000000" w:rsidRPr="00000000">
        <w:rPr>
          <w:rFonts w:ascii="Palatino Linotype" w:cs="Palatino Linotype" w:eastAsia="Palatino Linotype" w:hAnsi="Palatino Linotype"/>
          <w:color w:val="000000"/>
          <w:rtl w:val="0"/>
        </w:rPr>
        <w:t xml:space="preserve"> En la columna F “ISR asimilados enterado”. </w:t>
      </w:r>
    </w:p>
    <w:p w:rsidR="00000000" w:rsidDel="00000000" w:rsidP="00000000" w:rsidRDefault="00000000" w:rsidRPr="00000000" w14:paraId="00000049">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G)</w:t>
      </w:r>
      <w:r w:rsidDel="00000000" w:rsidR="00000000" w:rsidRPr="00000000">
        <w:rPr>
          <w:rFonts w:ascii="Palatino Linotype" w:cs="Palatino Linotype" w:eastAsia="Palatino Linotype" w:hAnsi="Palatino Linotype"/>
          <w:color w:val="000000"/>
          <w:rtl w:val="0"/>
        </w:rPr>
        <w:t xml:space="preserve"> En la columna G “ISR honorarios y arrendamiento retenido”. </w:t>
      </w:r>
    </w:p>
    <w:p w:rsidR="00000000" w:rsidDel="00000000" w:rsidP="00000000" w:rsidRDefault="00000000" w:rsidRPr="00000000" w14:paraId="0000004A">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H)</w:t>
      </w:r>
      <w:r w:rsidDel="00000000" w:rsidR="00000000" w:rsidRPr="00000000">
        <w:rPr>
          <w:rFonts w:ascii="Palatino Linotype" w:cs="Palatino Linotype" w:eastAsia="Palatino Linotype" w:hAnsi="Palatino Linotype"/>
          <w:color w:val="000000"/>
          <w:rtl w:val="0"/>
        </w:rPr>
        <w:t xml:space="preserve"> En la columna H “ISR honorarios y arrendamiento enterado”. </w:t>
      </w:r>
    </w:p>
    <w:p w:rsidR="00000000" w:rsidDel="00000000" w:rsidP="00000000" w:rsidRDefault="00000000" w:rsidRPr="00000000" w14:paraId="0000004B">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I)</w:t>
      </w:r>
      <w:r w:rsidDel="00000000" w:rsidR="00000000" w:rsidRPr="00000000">
        <w:rPr>
          <w:rFonts w:ascii="Palatino Linotype" w:cs="Palatino Linotype" w:eastAsia="Palatino Linotype" w:hAnsi="Palatino Linotype"/>
          <w:color w:val="000000"/>
          <w:rtl w:val="0"/>
        </w:rPr>
        <w:t xml:space="preserve"> En la columna I “ISR participable recuperado a valor histórico”. </w:t>
      </w:r>
    </w:p>
    <w:p w:rsidR="00000000" w:rsidDel="00000000" w:rsidP="00000000" w:rsidRDefault="00000000" w:rsidRPr="00000000" w14:paraId="0000004C">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J)</w:t>
      </w:r>
      <w:r w:rsidDel="00000000" w:rsidR="00000000" w:rsidRPr="00000000">
        <w:rPr>
          <w:rFonts w:ascii="Palatino Linotype" w:cs="Palatino Linotype" w:eastAsia="Palatino Linotype" w:hAnsi="Palatino Linotype"/>
          <w:color w:val="000000"/>
          <w:rtl w:val="0"/>
        </w:rPr>
        <w:t xml:space="preserve"> En la columna J “Subsidio para el empleo entregado en el mes al trabajador”. </w:t>
      </w:r>
    </w:p>
    <w:p w:rsidR="00000000" w:rsidDel="00000000" w:rsidP="00000000" w:rsidRDefault="00000000" w:rsidRPr="00000000" w14:paraId="0000004D">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K)</w:t>
      </w:r>
      <w:r w:rsidDel="00000000" w:rsidR="00000000" w:rsidRPr="00000000">
        <w:rPr>
          <w:rFonts w:ascii="Palatino Linotype" w:cs="Palatino Linotype" w:eastAsia="Palatino Linotype" w:hAnsi="Palatino Linotype"/>
          <w:color w:val="000000"/>
          <w:rtl w:val="0"/>
        </w:rPr>
        <w:t xml:space="preserve"> En la columna K “Subsidio para el empleo acreditado en el mes contra las contribuciones que proceda”. </w:t>
      </w:r>
    </w:p>
    <w:p w:rsidR="00000000" w:rsidDel="00000000" w:rsidP="00000000" w:rsidRDefault="00000000" w:rsidRPr="00000000" w14:paraId="0000004E">
      <w:pP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F">
      <w:pPr>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rsidR="00000000" w:rsidDel="00000000" w:rsidP="00000000" w:rsidRDefault="00000000" w:rsidRPr="00000000" w14:paraId="00000050">
      <w:pP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1">
      <w:pPr>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VI.</w:t>
      </w:r>
      <w:r w:rsidDel="00000000" w:rsidR="00000000" w:rsidRPr="00000000">
        <w:rPr>
          <w:rFonts w:ascii="Palatino Linotype" w:cs="Palatino Linotype" w:eastAsia="Palatino Linotype" w:hAnsi="Palatino Linotype"/>
          <w:color w:val="000000"/>
          <w:rtl w:val="0"/>
        </w:rPr>
        <w:t xml:space="preserve"> Para comprobar que los trabajadores no están siendo afectados por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w:t>
      </w:r>
    </w:p>
    <w:p w:rsidR="00000000" w:rsidDel="00000000" w:rsidP="00000000" w:rsidRDefault="00000000" w:rsidRPr="00000000" w14:paraId="00000052">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3">
      <w:pPr>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A)</w:t>
      </w:r>
      <w:r w:rsidDel="00000000" w:rsidR="00000000" w:rsidRPr="00000000">
        <w:rPr>
          <w:rFonts w:ascii="Palatino Linotype" w:cs="Palatino Linotype" w:eastAsia="Palatino Linotype" w:hAnsi="Palatino Linotype"/>
          <w:color w:val="000000"/>
          <w:rtl w:val="0"/>
        </w:rPr>
        <w:t xml:space="preserve"> En la columna A “Nombre del trabajador”, pudiendo identificarlos como: trabajador 1, trabajador 2, trabajador 3 </w:t>
      </w:r>
    </w:p>
    <w:p w:rsidR="00000000" w:rsidDel="00000000" w:rsidP="00000000" w:rsidRDefault="00000000" w:rsidRPr="00000000" w14:paraId="00000054">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B)</w:t>
      </w:r>
      <w:r w:rsidDel="00000000" w:rsidR="00000000" w:rsidRPr="00000000">
        <w:rPr>
          <w:rFonts w:ascii="Palatino Linotype" w:cs="Palatino Linotype" w:eastAsia="Palatino Linotype" w:hAnsi="Palatino Linotype"/>
          <w:color w:val="000000"/>
          <w:rtl w:val="0"/>
        </w:rPr>
        <w:t xml:space="preserve"> En la columna B “Año”. </w:t>
      </w:r>
    </w:p>
    <w:p w:rsidR="00000000" w:rsidDel="00000000" w:rsidP="00000000" w:rsidRDefault="00000000" w:rsidRPr="00000000" w14:paraId="00000055">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C)</w:t>
      </w:r>
      <w:r w:rsidDel="00000000" w:rsidR="00000000" w:rsidRPr="00000000">
        <w:rPr>
          <w:rFonts w:ascii="Palatino Linotype" w:cs="Palatino Linotype" w:eastAsia="Palatino Linotype" w:hAnsi="Palatino Linotype"/>
          <w:color w:val="000000"/>
          <w:rtl w:val="0"/>
        </w:rPr>
        <w:t xml:space="preserve"> En la columna C “Saldo a favor de ISR”.</w:t>
      </w:r>
    </w:p>
    <w:p w:rsidR="00000000" w:rsidDel="00000000" w:rsidP="00000000" w:rsidRDefault="00000000" w:rsidRPr="00000000" w14:paraId="00000056">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D)</w:t>
      </w:r>
      <w:r w:rsidDel="00000000" w:rsidR="00000000" w:rsidRPr="00000000">
        <w:rPr>
          <w:rFonts w:ascii="Palatino Linotype" w:cs="Palatino Linotype" w:eastAsia="Palatino Linotype" w:hAnsi="Palatino Linotype"/>
          <w:color w:val="000000"/>
          <w:rtl w:val="0"/>
        </w:rPr>
        <w:t xml:space="preserve"> En la columna D “Saldo a cargo en el ISR”. </w:t>
      </w:r>
    </w:p>
    <w:p w:rsidR="00000000" w:rsidDel="00000000" w:rsidP="00000000" w:rsidRDefault="00000000" w:rsidRPr="00000000" w14:paraId="00000057">
      <w:pPr>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E)</w:t>
      </w:r>
      <w:r w:rsidDel="00000000" w:rsidR="00000000" w:rsidRPr="00000000">
        <w:rPr>
          <w:rFonts w:ascii="Palatino Linotype" w:cs="Palatino Linotype" w:eastAsia="Palatino Linotype" w:hAnsi="Palatino Linotype"/>
          <w:color w:val="000000"/>
          <w:rtl w:val="0"/>
        </w:rPr>
        <w:t xml:space="preserv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p>
    <w:p w:rsidR="00000000" w:rsidDel="00000000" w:rsidP="00000000" w:rsidRDefault="00000000" w:rsidRPr="00000000" w14:paraId="00000058">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 la Unidad de Transparencia, hizo del conocimiento del particular que la información requerida por cambio de administración se encontraba en proceso de análisis y que por el momento no se podía informar.</w:t>
      </w:r>
      <w:r w:rsidDel="00000000" w:rsidR="00000000" w:rsidRPr="00000000">
        <w:rPr>
          <w:rtl w:val="0"/>
        </w:rPr>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Conocida la respuesta por el particular, al no estar conforme con los términos de la misma, presentó el recurso de revisión que nos ocupa, mediante el cual señaló como motivo de inconformidad, en lo medular lo siguiente:</w:t>
      </w:r>
    </w:p>
    <w:p w:rsidR="00000000" w:rsidDel="00000000" w:rsidP="00000000" w:rsidRDefault="00000000" w:rsidRPr="00000000" w14:paraId="0000005B">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Respecto al </w:t>
      </w:r>
      <w:r w:rsidDel="00000000" w:rsidR="00000000" w:rsidRPr="00000000">
        <w:rPr>
          <w:rFonts w:ascii="Palatino Linotype" w:cs="Palatino Linotype" w:eastAsia="Palatino Linotype" w:hAnsi="Palatino Linotype"/>
          <w:i w:val="1"/>
          <w:color w:val="000000"/>
          <w:rtl w:val="0"/>
        </w:rPr>
        <w:t xml:space="preserve">punto I</w:t>
      </w:r>
      <w:r w:rsidDel="00000000" w:rsidR="00000000" w:rsidRPr="00000000">
        <w:rPr>
          <w:rFonts w:ascii="Palatino Linotype" w:cs="Palatino Linotype" w:eastAsia="Palatino Linotype" w:hAnsi="Palatino Linotype"/>
          <w:color w:val="000000"/>
          <w:rtl w:val="0"/>
        </w:rPr>
        <w:t xml:space="preserve"> “Detalle Diferencias de Sueldos y Salarios” por cada año (2018, 2019, 2020 Y 2021) señalando que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vista Horizontal y vertical y detalle mensual) menciona que tiene que descargar los pdf. de su portal del SAT. Dando solo dos clicks y descargando los archivos. Ahora para enviar la información se puede enviar en carpetas comprimidas o por medio de un link de la nube drive es sencillo.</w:t>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Respecto a los </w:t>
      </w:r>
      <w:r w:rsidDel="00000000" w:rsidR="00000000" w:rsidRPr="00000000">
        <w:rPr>
          <w:rFonts w:ascii="Palatino Linotype" w:cs="Palatino Linotype" w:eastAsia="Palatino Linotype" w:hAnsi="Palatino Linotype"/>
          <w:i w:val="1"/>
          <w:color w:val="000000"/>
          <w:rtl w:val="0"/>
        </w:rPr>
        <w:t xml:space="preserve">puntos II, III y IV</w:t>
      </w:r>
      <w:r w:rsidDel="00000000" w:rsidR="00000000" w:rsidRPr="00000000">
        <w:rPr>
          <w:rFonts w:ascii="Palatino Linotype" w:cs="Palatino Linotype" w:eastAsia="Palatino Linotype" w:hAnsi="Palatino Linotype"/>
          <w:color w:val="000000"/>
          <w:rtl w:val="0"/>
        </w:rPr>
        <w:t xml:space="preserve"> si no se tiene convenios de colaboración con esos entes fiscalizadores está  bien la respuesta que no aplica si esto es así, y si si aplica darme las constancias y opiniones de cumplimiento al día, además de que ocupa los visores de nómina en sus tres presentaciones; a) vista anual acumulada, detalle mensual y detalle diferencias sueldos y salarios por los años 2018, 2019, 2020 y 2021.</w:t>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Respecto de los </w:t>
      </w:r>
      <w:r w:rsidDel="00000000" w:rsidR="00000000" w:rsidRPr="00000000">
        <w:rPr>
          <w:rFonts w:ascii="Palatino Linotype" w:cs="Palatino Linotype" w:eastAsia="Palatino Linotype" w:hAnsi="Palatino Linotype"/>
          <w:i w:val="1"/>
          <w:rtl w:val="0"/>
        </w:rPr>
        <w:t xml:space="preserve">puntos V y VI</w:t>
      </w:r>
      <w:r w:rsidDel="00000000" w:rsidR="00000000" w:rsidRPr="00000000">
        <w:rPr>
          <w:rFonts w:ascii="Palatino Linotype" w:cs="Palatino Linotype" w:eastAsia="Palatino Linotype" w:hAnsi="Palatino Linotype"/>
          <w:rtl w:val="0"/>
        </w:rPr>
        <w:t xml:space="preserve"> señala que son una sugerencia para eficientar y mejor su actividades y organizar mejor su información y eficientar sus actividades.</w:t>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omisas ambas partes.</w:t>
      </w:r>
    </w:p>
    <w:p w:rsidR="00000000" w:rsidDel="00000000" w:rsidP="00000000" w:rsidRDefault="00000000" w:rsidRPr="00000000" w14:paraId="0000005F">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000000" w:rsidDel="00000000" w:rsidP="00000000" w:rsidRDefault="00000000" w:rsidRPr="00000000" w14:paraId="00000060">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1">
      <w:pPr>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Del="00000000" w:rsidR="00000000" w:rsidRPr="00000000">
        <w:rPr>
          <w:rtl w:val="0"/>
        </w:rPr>
      </w:r>
    </w:p>
    <w:p w:rsidR="00000000" w:rsidDel="00000000" w:rsidP="00000000" w:rsidRDefault="00000000" w:rsidRPr="00000000" w14:paraId="00000062">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63">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4">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refiere a que el derecho de acceso a la información pública se satisface en aquellos casos en que se entregue el documento en que conste la información pública,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a un grado de detalle; esto es, que no tienen la obligación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el artículo 24 de la Ley de la materia</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rtl w:val="0"/>
        </w:rPr>
        <w:t xml:space="preserve">cualquier otro registro que documente el ejercicio de las facultades, funciones y competencias de los Sujetos Obligados</w:t>
      </w:r>
      <w:r w:rsidDel="00000000" w:rsidR="00000000" w:rsidRPr="00000000">
        <w:rPr>
          <w:rFonts w:ascii="Palatino Linotype" w:cs="Palatino Linotype" w:eastAsia="Palatino Linotype" w:hAnsi="Palatino Linotype"/>
          <w:rtl w:val="0"/>
        </w:rPr>
        <w:t xml:space="preserve">;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9">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A">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B">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D">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6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6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0">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se procede al análisis de los requerimientos planteados por el particular, así como 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con la finalidad de determinar si el derecho de acceso ha quedado satisfecho o en su defecto, establecer el o los documentos que, de manera enunciativa más no limitativa, pudieran colmar el mismo.</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tiene que el Sujeto Obligado en la respuesta a la solicitud de información señaló que:</w:t>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934204" cy="742988"/>
            <wp:effectExtent b="0" l="0" r="0" t="0"/>
            <wp:docPr id="108"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4934204" cy="742988"/>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resulta pertinente mencionar al Sujeto Obligado que en términos de la Ley de Transparencia debe notificar las respuestas a la solicitud de información en un plazo máximo de quince días hábiles posteriores a la presentación de la solicitud, pudiendo ampliar dicho plazo por siete días hábiles adicionales, tal como se advierte a continuación: </w:t>
      </w:r>
    </w:p>
    <w:p w:rsidR="00000000" w:rsidDel="00000000" w:rsidP="00000000" w:rsidRDefault="00000000" w:rsidRPr="00000000" w14:paraId="00000077">
      <w:pPr>
        <w:spacing w:after="240" w:before="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163. La Unidad de Transparencia deberá notificar la respuesta a la solicitud al interesado en el menor tiempo posible, que no podrá exceder de quince días hábiles, contados a partir del día siguiente a la presentación de aquélla. </w:t>
      </w:r>
    </w:p>
    <w:p w:rsidR="00000000" w:rsidDel="00000000" w:rsidP="00000000" w:rsidRDefault="00000000" w:rsidRPr="00000000" w14:paraId="00000078">
      <w:pPr>
        <w:spacing w:after="240" w:before="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w:t>
      </w:r>
    </w:p>
    <w:p w:rsidR="00000000" w:rsidDel="00000000" w:rsidP="00000000" w:rsidRDefault="00000000" w:rsidRPr="00000000" w14:paraId="00000079">
      <w:pPr>
        <w:spacing w:after="240" w:before="240"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podrán invocarse como causales de ampliación del plazo motivos que supongan negligencia o descuido del sujeto obligado en el desahogo de la solicitud.</w:t>
      </w:r>
    </w:p>
    <w:p w:rsidR="00000000" w:rsidDel="00000000" w:rsidP="00000000" w:rsidRDefault="00000000" w:rsidRPr="00000000" w14:paraId="0000007A">
      <w:pPr>
        <w:spacing w:after="240" w:before="240" w:line="360" w:lineRule="auto"/>
        <w:ind w:right="49"/>
        <w:jc w:val="both"/>
        <w:rPr>
          <w:rFonts w:ascii="Palatino Linotype" w:cs="Palatino Linotype" w:eastAsia="Palatino Linotype" w:hAnsi="Palatino Linotype"/>
          <w:sz w:val="22"/>
          <w:szCs w:val="22"/>
        </w:rPr>
      </w:pPr>
      <w:bookmarkStart w:colFirst="0" w:colLast="0" w:name="_heading=h.1t3h5sf" w:id="6"/>
      <w:bookmarkEnd w:id="6"/>
      <w:r w:rsidDel="00000000" w:rsidR="00000000" w:rsidRPr="00000000">
        <w:rPr>
          <w:rFonts w:ascii="Palatino Linotype" w:cs="Palatino Linotype" w:eastAsia="Palatino Linotype" w:hAnsi="Palatino Linotype"/>
          <w:sz w:val="22"/>
          <w:szCs w:val="22"/>
          <w:rtl w:val="0"/>
        </w:rPr>
        <w:t xml:space="preserve">Por lo que no resulta justificable su pronunciamiento respecto a que se encuentra en análisis de la información solicitada  y que por ello no puede ser proporcionada, toda vez que en términos de lo dispuesto por las disposiciones jurídicas antes invocadas, dicho análisis debió realizarse en el plazo establecido por la Ley en la materia, por lo que se le exhorta al Sujeto Obligado para que en posteriores ocasiones se ciña a los plazos establecidos por la normatividad en la materia.  </w:t>
      </w:r>
    </w:p>
    <w:p w:rsidR="00000000" w:rsidDel="00000000" w:rsidP="00000000" w:rsidRDefault="00000000" w:rsidRPr="00000000" w14:paraId="0000007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se procede al análisis del ámbito competencial del sujeto obligado para generar, poseer o administrar la información solicitada. </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Tocante a los puntos I y IV, mediante los cuales se requieren los </w:t>
      </w:r>
      <w:r w:rsidDel="00000000" w:rsidR="00000000" w:rsidRPr="00000000">
        <w:rPr>
          <w:rFonts w:ascii="Palatino Linotype" w:cs="Palatino Linotype" w:eastAsia="Palatino Linotype" w:hAnsi="Palatino Linotype"/>
          <w:i w:val="1"/>
          <w:rtl w:val="0"/>
        </w:rPr>
        <w:t xml:space="preserve">reportes del aplicativo “Visor de nómina del SAT” de los años 2018, 2019, 2020, y 2021 en sus tres presentaciones: </w:t>
      </w:r>
      <w:r w:rsidDel="00000000" w:rsidR="00000000" w:rsidRPr="00000000">
        <w:rPr>
          <w:rFonts w:ascii="Palatino Linotype" w:cs="Palatino Linotype" w:eastAsia="Palatino Linotype" w:hAnsi="Palatino Linotype"/>
          <w:b w:val="1"/>
          <w:i w:val="1"/>
          <w:rtl w:val="0"/>
        </w:rPr>
        <w:t xml:space="preserve">a.</w:t>
      </w:r>
      <w:r w:rsidDel="00000000" w:rsidR="00000000" w:rsidRPr="00000000">
        <w:rPr>
          <w:rFonts w:ascii="Palatino Linotype" w:cs="Palatino Linotype" w:eastAsia="Palatino Linotype" w:hAnsi="Palatino Linotype"/>
          <w:i w:val="1"/>
          <w:rtl w:val="0"/>
        </w:rPr>
        <w:t xml:space="preserve"> Vista anual acumulada, </w:t>
      </w:r>
      <w:r w:rsidDel="00000000" w:rsidR="00000000" w:rsidRPr="00000000">
        <w:rPr>
          <w:rFonts w:ascii="Palatino Linotype" w:cs="Palatino Linotype" w:eastAsia="Palatino Linotype" w:hAnsi="Palatino Linotype"/>
          <w:b w:val="1"/>
          <w:i w:val="1"/>
          <w:rtl w:val="0"/>
        </w:rPr>
        <w:t xml:space="preserve">b.</w:t>
      </w:r>
      <w:r w:rsidDel="00000000" w:rsidR="00000000" w:rsidRPr="00000000">
        <w:rPr>
          <w:rFonts w:ascii="Palatino Linotype" w:cs="Palatino Linotype" w:eastAsia="Palatino Linotype" w:hAnsi="Palatino Linotype"/>
          <w:i w:val="1"/>
          <w:rtl w:val="0"/>
        </w:rPr>
        <w:t xml:space="preserve"> Detalle mensual y </w:t>
      </w:r>
      <w:r w:rsidDel="00000000" w:rsidR="00000000" w:rsidRPr="00000000">
        <w:rPr>
          <w:rFonts w:ascii="Palatino Linotype" w:cs="Palatino Linotype" w:eastAsia="Palatino Linotype" w:hAnsi="Palatino Linotype"/>
          <w:b w:val="1"/>
          <w:i w:val="1"/>
          <w:rtl w:val="0"/>
        </w:rPr>
        <w:t xml:space="preserve">c.</w:t>
      </w:r>
      <w:r w:rsidDel="00000000" w:rsidR="00000000" w:rsidRPr="00000000">
        <w:rPr>
          <w:rFonts w:ascii="Palatino Linotype" w:cs="Palatino Linotype" w:eastAsia="Palatino Linotype" w:hAnsi="Palatino Linotype"/>
          <w:i w:val="1"/>
          <w:rtl w:val="0"/>
        </w:rPr>
        <w:t xml:space="preserve"> Detalle diferencias sueldos y salarios,</w:t>
      </w:r>
      <w:r w:rsidDel="00000000" w:rsidR="00000000" w:rsidRPr="00000000">
        <w:rPr>
          <w:rFonts w:ascii="Palatino Linotype" w:cs="Palatino Linotype" w:eastAsia="Palatino Linotype" w:hAnsi="Palatino Linotype"/>
          <w:rtl w:val="0"/>
        </w:rPr>
        <w:t xml:space="preserve"> y la </w:t>
      </w:r>
      <w:r w:rsidDel="00000000" w:rsidR="00000000" w:rsidRPr="00000000">
        <w:rPr>
          <w:rFonts w:ascii="Palatino Linotype" w:cs="Palatino Linotype" w:eastAsia="Palatino Linotype" w:hAnsi="Palatino Linotype"/>
          <w:i w:val="1"/>
          <w:rtl w:val="0"/>
        </w:rPr>
        <w:t xml:space="preserve">opinión de no adeudo en el cumplimiento de obligaciones fiscales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estatales</w:t>
      </w:r>
      <w:r w:rsidDel="00000000" w:rsidR="00000000" w:rsidRPr="00000000">
        <w:rPr>
          <w:rFonts w:ascii="Palatino Linotype" w:cs="Palatino Linotype" w:eastAsia="Palatino Linotype" w:hAnsi="Palatino Linotype"/>
          <w:rtl w:val="0"/>
        </w:rPr>
        <w:t xml:space="preserve"> emitida por el SAT, es preciso referir, en primer lugar, que las personas físicas y morales están obligadas al pago del impuesto sobre la renta respecto de todos sus ingresos, en los términos establecidos en el artículo 1 de la Ley del Impuesto Sobre la Renta.</w:t>
      </w:r>
    </w:p>
    <w:p w:rsidR="00000000" w:rsidDel="00000000" w:rsidP="00000000" w:rsidRDefault="00000000" w:rsidRPr="00000000" w14:paraId="0000007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encontrándose obligados a efectuar las retenciones y enteros mensuales quienes hagan pagos por dichos conceptos, y expedir y entregar comprobantes fiscales respectivos, de conformidad con los artículos 94 fracción I,  96 párrafo primero y 99 fracciones I y II de la Ley del Impuesto Sobre la Renta, a saber:</w:t>
      </w:r>
    </w:p>
    <w:p w:rsidR="00000000" w:rsidDel="00000000" w:rsidP="00000000" w:rsidRDefault="00000000" w:rsidRPr="00000000" w14:paraId="0000007E">
      <w:pPr>
        <w:tabs>
          <w:tab w:val="left"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94. </w:t>
      </w:r>
      <w:r w:rsidDel="00000000" w:rsidR="00000000" w:rsidRPr="00000000">
        <w:rPr>
          <w:rFonts w:ascii="Palatino Linotype" w:cs="Palatino Linotype" w:eastAsia="Palatino Linotype" w:hAnsi="Palatino Linotype"/>
          <w:b w:val="1"/>
          <w:i w:val="1"/>
          <w:sz w:val="22"/>
          <w:szCs w:val="22"/>
          <w:u w:val="single"/>
          <w:rtl w:val="0"/>
        </w:rPr>
        <w:t xml:space="preserve">Se consideran ingresos por la prestación de un servicio personal subordinado</w:t>
      </w:r>
      <w:r w:rsidDel="00000000" w:rsidR="00000000" w:rsidRPr="00000000">
        <w:rPr>
          <w:rFonts w:ascii="Palatino Linotype" w:cs="Palatino Linotype" w:eastAsia="Palatino Linotype" w:hAnsi="Palatino Linotype"/>
          <w:i w:val="1"/>
          <w:sz w:val="22"/>
          <w:szCs w:val="22"/>
          <w:rtl w:val="0"/>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w:t>
      </w:r>
      <w:r w:rsidDel="00000000" w:rsidR="00000000" w:rsidRPr="00000000">
        <w:rPr>
          <w:rFonts w:ascii="Palatino Linotype" w:cs="Palatino Linotype" w:eastAsia="Palatino Linotype" w:hAnsi="Palatino Linotype"/>
          <w:b w:val="1"/>
          <w:i w:val="1"/>
          <w:sz w:val="22"/>
          <w:szCs w:val="22"/>
          <w:rtl w:val="0"/>
        </w:rPr>
        <w:t xml:space="preserve">se asimilan a estos ingresos </w:t>
      </w:r>
      <w:r w:rsidDel="00000000" w:rsidR="00000000" w:rsidRPr="00000000">
        <w:rPr>
          <w:rFonts w:ascii="Palatino Linotype" w:cs="Palatino Linotype" w:eastAsia="Palatino Linotype" w:hAnsi="Palatino Linotype"/>
          <w:i w:val="1"/>
          <w:sz w:val="22"/>
          <w:szCs w:val="22"/>
          <w:rtl w:val="0"/>
        </w:rPr>
        <w:t xml:space="preserve">los siguientes:</w:t>
      </w:r>
    </w:p>
    <w:p w:rsidR="00000000" w:rsidDel="00000000" w:rsidP="00000000" w:rsidRDefault="00000000" w:rsidRPr="00000000" w14:paraId="0000007F">
      <w:pPr>
        <w:tabs>
          <w:tab w:val="left" w:pos="7938"/>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Las remuneraciones y demás prestaciones, obtenidas por los funcionarios y trabajadores de</w:t>
      </w:r>
      <w:r w:rsidDel="00000000" w:rsidR="00000000" w:rsidRPr="00000000">
        <w:rPr>
          <w:rFonts w:ascii="Palatino Linotype" w:cs="Palatino Linotype" w:eastAsia="Palatino Linotype" w:hAnsi="Palatino Linotype"/>
          <w:i w:val="1"/>
          <w:sz w:val="22"/>
          <w:szCs w:val="22"/>
          <w:rtl w:val="0"/>
        </w:rPr>
        <w:t xml:space="preserve"> la Federación, de las entidades federativas y de </w:t>
      </w:r>
      <w:r w:rsidDel="00000000" w:rsidR="00000000" w:rsidRPr="00000000">
        <w:rPr>
          <w:rFonts w:ascii="Palatino Linotype" w:cs="Palatino Linotype" w:eastAsia="Palatino Linotype" w:hAnsi="Palatino Linotype"/>
          <w:b w:val="1"/>
          <w:i w:val="1"/>
          <w:sz w:val="22"/>
          <w:szCs w:val="22"/>
          <w:rtl w:val="0"/>
        </w:rPr>
        <w:t xml:space="preserve">los municipios</w:t>
      </w:r>
      <w:r w:rsidDel="00000000" w:rsidR="00000000" w:rsidRPr="00000000">
        <w:rPr>
          <w:rFonts w:ascii="Palatino Linotype" w:cs="Palatino Linotype" w:eastAsia="Palatino Linotype" w:hAnsi="Palatino Linotype"/>
          <w:i w:val="1"/>
          <w:sz w:val="22"/>
          <w:szCs w:val="22"/>
          <w:rtl w:val="0"/>
        </w:rPr>
        <w:t xml:space="preserve">, aun cuando sean por concepto de gastos no sujetos a comprobación, así como los obtenidos por los miembros de las fuerzas armadas.</w:t>
      </w:r>
    </w:p>
    <w:p w:rsidR="00000000" w:rsidDel="00000000" w:rsidP="00000000" w:rsidRDefault="00000000" w:rsidRPr="00000000" w14:paraId="00000080">
      <w:pPr>
        <w:tabs>
          <w:tab w:val="left" w:pos="7938"/>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1">
      <w:pPr>
        <w:tabs>
          <w:tab w:val="left"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96. </w:t>
      </w:r>
      <w:r w:rsidDel="00000000" w:rsidR="00000000" w:rsidRPr="00000000">
        <w:rPr>
          <w:rFonts w:ascii="Palatino Linotype" w:cs="Palatino Linotype" w:eastAsia="Palatino Linotype" w:hAnsi="Palatino Linotype"/>
          <w:b w:val="1"/>
          <w:i w:val="1"/>
          <w:sz w:val="22"/>
          <w:szCs w:val="22"/>
          <w:u w:val="single"/>
          <w:rtl w:val="0"/>
        </w:rPr>
        <w:t xml:space="preserve">Quienes hagan pagos por los conceptos a que se refiere este Capítulo están obligados a efectuar retenciones y enteros mensuales</w:t>
      </w:r>
      <w:r w:rsidDel="00000000" w:rsidR="00000000" w:rsidRPr="00000000">
        <w:rPr>
          <w:rFonts w:ascii="Palatino Linotype" w:cs="Palatino Linotype" w:eastAsia="Palatino Linotype" w:hAnsi="Palatino Linotype"/>
          <w:i w:val="1"/>
          <w:sz w:val="22"/>
          <w:szCs w:val="22"/>
          <w:u w:val="single"/>
          <w:rtl w:val="0"/>
        </w:rPr>
        <w:t xml:space="preserve"> </w:t>
      </w:r>
      <w:r w:rsidDel="00000000" w:rsidR="00000000" w:rsidRPr="00000000">
        <w:rPr>
          <w:rFonts w:ascii="Palatino Linotype" w:cs="Palatino Linotype" w:eastAsia="Palatino Linotype" w:hAnsi="Palatino Linotype"/>
          <w:i w:val="1"/>
          <w:sz w:val="22"/>
          <w:szCs w:val="22"/>
          <w:rtl w:val="0"/>
        </w:rPr>
        <w:t xml:space="preserve">que tendrán el carácter de pagos provisionales a cuenta del impuesto anual. No se efectuará retención a las personas que en el mes únicamente perciban un salario mínimo general correspondiente al área geográfica del contribuyente.</w:t>
      </w:r>
    </w:p>
    <w:p w:rsidR="00000000" w:rsidDel="00000000" w:rsidP="00000000" w:rsidRDefault="00000000" w:rsidRPr="00000000" w14:paraId="00000082">
      <w:pPr>
        <w:tabs>
          <w:tab w:val="left"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83">
      <w:pPr>
        <w:tabs>
          <w:tab w:val="left"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99.</w:t>
      </w:r>
      <w:r w:rsidDel="00000000" w:rsidR="00000000" w:rsidRPr="00000000">
        <w:rPr>
          <w:rFonts w:ascii="Palatino Linotype" w:cs="Palatino Linotype" w:eastAsia="Palatino Linotype" w:hAnsi="Palatino Linotype"/>
          <w:i w:val="1"/>
          <w:sz w:val="22"/>
          <w:szCs w:val="22"/>
          <w:rtl w:val="0"/>
        </w:rPr>
        <w:t xml:space="preserve"> Quienes hagan pagos por los conceptos a que se refiere este Capítulo, tendrán las siguientes obligaciones: </w:t>
      </w:r>
    </w:p>
    <w:p w:rsidR="00000000" w:rsidDel="00000000" w:rsidP="00000000" w:rsidRDefault="00000000" w:rsidRPr="00000000" w14:paraId="00000084">
      <w:pPr>
        <w:tabs>
          <w:tab w:val="left" w:pos="7938"/>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Efectuar las retenciones </w:t>
      </w:r>
      <w:r w:rsidDel="00000000" w:rsidR="00000000" w:rsidRPr="00000000">
        <w:rPr>
          <w:rFonts w:ascii="Palatino Linotype" w:cs="Palatino Linotype" w:eastAsia="Palatino Linotype" w:hAnsi="Palatino Linotype"/>
          <w:i w:val="1"/>
          <w:sz w:val="22"/>
          <w:szCs w:val="22"/>
          <w:rtl w:val="0"/>
        </w:rPr>
        <w:t xml:space="preserve">señaladas en el artículo 96 de esta Ley.</w:t>
      </w:r>
    </w:p>
    <w:p w:rsidR="00000000" w:rsidDel="00000000" w:rsidP="00000000" w:rsidRDefault="00000000" w:rsidRPr="00000000" w14:paraId="00000085">
      <w:pPr>
        <w:tabs>
          <w:tab w:val="left" w:pos="7938"/>
        </w:tabs>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6">
      <w:pPr>
        <w:tabs>
          <w:tab w:val="left" w:pos="7938"/>
        </w:tabs>
        <w:spacing w:after="120" w:before="120" w:lineRule="auto"/>
        <w:ind w:left="1134"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Expedir y entregar comprobantes fiscales</w:t>
      </w:r>
      <w:r w:rsidDel="00000000" w:rsidR="00000000" w:rsidRPr="00000000">
        <w:rPr>
          <w:rFonts w:ascii="Palatino Linotype" w:cs="Palatino Linotype" w:eastAsia="Palatino Linotype" w:hAnsi="Palatino Linotype"/>
          <w:i w:val="1"/>
          <w:sz w:val="22"/>
          <w:szCs w:val="22"/>
          <w:rtl w:val="0"/>
        </w:rPr>
        <w:t xml:space="preserve">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r w:rsidDel="00000000" w:rsidR="00000000" w:rsidRPr="00000000">
        <w:rPr>
          <w:rtl w:val="0"/>
        </w:rPr>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se advierte que los municipios, al estar obligados a realizar el pago a los servidores públicos por los servicios prestados, de conformidad con el artículo 71 de la Ley del Trabajo de los Servidores Públicos del Estado de México, deben retener el impuesto sobre la renta y enterarlo al Servicio de Administración Tributaria, SAT, a más tardar el día 17 del mes inmediato posterior a aquel que corresponda el pago, al ser la dependencia que se encarga de la recaudación, impuestos y la vigilancia del cumplimiento de las obligaciones fiscales por parte de los contribuyentes.</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tales efectos, la entidad retenedora, debe entregar un comprobante fiscal que ampare las respectivas retenciones conforme a lo establecido en los artículos 29 párrafo primero y 32-G fracción I del Código Financiero de la Federación:</w:t>
      </w:r>
    </w:p>
    <w:p w:rsidR="00000000" w:rsidDel="00000000" w:rsidP="00000000" w:rsidRDefault="00000000" w:rsidRPr="00000000" w14:paraId="00000089">
      <w:pPr>
        <w:spacing w:after="120" w:before="120" w:lineRule="auto"/>
        <w:ind w:left="709"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las leyes fiscales </w:t>
      </w:r>
      <w:r w:rsidDel="00000000" w:rsidR="00000000" w:rsidRPr="00000000">
        <w:rPr>
          <w:rFonts w:ascii="Palatino Linotype" w:cs="Palatino Linotype" w:eastAsia="Palatino Linotype" w:hAnsi="Palatino Linotype"/>
          <w:b w:val="1"/>
          <w:i w:val="1"/>
          <w:sz w:val="22"/>
          <w:szCs w:val="22"/>
          <w:u w:val="single"/>
          <w:rtl w:val="0"/>
        </w:rPr>
        <w:t xml:space="preserve">establezcan la obligación de expedir comprobantes fiscales</w:t>
      </w:r>
      <w:r w:rsidDel="00000000" w:rsidR="00000000" w:rsidRPr="00000000">
        <w:rPr>
          <w:rFonts w:ascii="Palatino Linotype" w:cs="Palatino Linotype" w:eastAsia="Palatino Linotype" w:hAnsi="Palatino Linotype"/>
          <w:b w:val="1"/>
          <w:i w:val="1"/>
          <w:sz w:val="22"/>
          <w:szCs w:val="22"/>
          <w:rtl w:val="0"/>
        </w:rPr>
        <w:t xml:space="preserve"> por los actos o actividades que realicen, por los ingresos que se perciban o por las retenciones de contribuciones que efectúen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l</w:t>
      </w:r>
      <w:r w:rsidDel="00000000" w:rsidR="00000000" w:rsidRPr="00000000">
        <w:rPr>
          <w:rFonts w:ascii="Palatino Linotype" w:cs="Palatino Linotype" w:eastAsia="Palatino Linotype" w:hAnsi="Palatino Linotype"/>
          <w:b w:val="1"/>
          <w:i w:val="1"/>
          <w:sz w:val="22"/>
          <w:szCs w:val="22"/>
          <w:u w:val="single"/>
          <w:rtl w:val="0"/>
        </w:rPr>
        <w:t xml:space="preserve">os contribuyentes deberán emitirlos mediante documentos digitales a través de la página de Internet del Servicio de Administración Tributaria</w:t>
      </w:r>
      <w:r w:rsidDel="00000000" w:rsidR="00000000" w:rsidRPr="00000000">
        <w:rPr>
          <w:rFonts w:ascii="Palatino Linotype" w:cs="Palatino Linotype" w:eastAsia="Palatino Linotype" w:hAnsi="Palatino Linotype"/>
          <w:i w:val="1"/>
          <w:sz w:val="22"/>
          <w:szCs w:val="22"/>
          <w:rtl w:val="0"/>
        </w:rPr>
        <w:t xml:space="preserve">. Las personas que adquieran bienes, disfruten de su uso o goce temporal, reciban servicios, realicen pagos parciales o diferidos que liquidan saldos de comprobantes fiscales digitales por Internet, o </w:t>
      </w:r>
      <w:r w:rsidDel="00000000" w:rsidR="00000000" w:rsidRPr="00000000">
        <w:rPr>
          <w:rFonts w:ascii="Palatino Linotype" w:cs="Palatino Linotype" w:eastAsia="Palatino Linotype" w:hAnsi="Palatino Linotype"/>
          <w:b w:val="1"/>
          <w:i w:val="1"/>
          <w:sz w:val="22"/>
          <w:szCs w:val="22"/>
          <w:rtl w:val="0"/>
        </w:rPr>
        <w:t xml:space="preserve">aquéllas a las que les hubieren retenido contribuciones deberán solicitar el comprobante fiscal digital por Internet respectivo. </w:t>
      </w:r>
      <w:r w:rsidDel="00000000" w:rsidR="00000000" w:rsidRPr="00000000">
        <w:rPr>
          <w:rFonts w:ascii="Palatino Linotype" w:cs="Palatino Linotype" w:eastAsia="Palatino Linotype" w:hAnsi="Palatino Linotype"/>
          <w:i w:val="1"/>
          <w:sz w:val="22"/>
          <w:szCs w:val="22"/>
          <w:rtl w:val="0"/>
        </w:rPr>
        <w:t xml:space="preserve">Los contribuyentes que exporten mercancías que no sean objeto de enajenación o cuya enajenación sea a título gratuito, deberán expedir el comprobante fiscal digital por Internet que ampare la operación.</w:t>
      </w:r>
    </w:p>
    <w:p w:rsidR="00000000" w:rsidDel="00000000" w:rsidP="00000000" w:rsidRDefault="00000000" w:rsidRPr="00000000" w14:paraId="0000008A">
      <w:pPr>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8B">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32-G.</w:t>
      </w:r>
      <w:r w:rsidDel="00000000" w:rsidR="00000000" w:rsidRPr="00000000">
        <w:rPr>
          <w:rFonts w:ascii="Palatino Linotype" w:cs="Palatino Linotype" w:eastAsia="Palatino Linotype" w:hAnsi="Palatino Linotype"/>
          <w:i w:val="1"/>
          <w:sz w:val="22"/>
          <w:szCs w:val="22"/>
          <w:rtl w:val="0"/>
        </w:rPr>
        <w:t xml:space="preserve"> La Federación, las Entidades Federativas, el Distrito Federal, y sus Organismos Descentralizados, así como los </w:t>
      </w:r>
      <w:r w:rsidDel="00000000" w:rsidR="00000000" w:rsidRPr="00000000">
        <w:rPr>
          <w:rFonts w:ascii="Palatino Linotype" w:cs="Palatino Linotype" w:eastAsia="Palatino Linotype" w:hAnsi="Palatino Linotype"/>
          <w:b w:val="1"/>
          <w:i w:val="1"/>
          <w:sz w:val="22"/>
          <w:szCs w:val="22"/>
          <w:rtl w:val="0"/>
        </w:rPr>
        <w:t xml:space="preserve">Municipios,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tendrán la </w:t>
      </w:r>
      <w:r w:rsidDel="00000000" w:rsidR="00000000" w:rsidRPr="00000000">
        <w:rPr>
          <w:rFonts w:ascii="Palatino Linotype" w:cs="Palatino Linotype" w:eastAsia="Palatino Linotype" w:hAnsi="Palatino Linotype"/>
          <w:b w:val="1"/>
          <w:i w:val="1"/>
          <w:sz w:val="22"/>
          <w:szCs w:val="22"/>
          <w:u w:val="single"/>
          <w:rtl w:val="0"/>
        </w:rPr>
        <w:t xml:space="preserve">obligación de presentar ante las autoridades fiscales, </w:t>
      </w:r>
      <w:r w:rsidDel="00000000" w:rsidR="00000000" w:rsidRPr="00000000">
        <w:rPr>
          <w:rFonts w:ascii="Palatino Linotype" w:cs="Palatino Linotype" w:eastAsia="Palatino Linotype" w:hAnsi="Palatino Linotype"/>
          <w:b w:val="1"/>
          <w:i w:val="1"/>
          <w:sz w:val="22"/>
          <w:szCs w:val="22"/>
          <w:rtl w:val="0"/>
        </w:rPr>
        <w:t xml:space="preserve">a través de los medios y formatos electrónicos que señale el Servicio de Administración, la información relativa a:</w:t>
      </w:r>
    </w:p>
    <w:p w:rsidR="00000000" w:rsidDel="00000000" w:rsidP="00000000" w:rsidRDefault="00000000" w:rsidRPr="00000000" w14:paraId="0000008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personas a las que en el mes inmediato anterior l</w:t>
      </w:r>
      <w:r w:rsidDel="00000000" w:rsidR="00000000" w:rsidRPr="00000000">
        <w:rPr>
          <w:rFonts w:ascii="Palatino Linotype" w:cs="Palatino Linotype" w:eastAsia="Palatino Linotype" w:hAnsi="Palatino Linotype"/>
          <w:b w:val="1"/>
          <w:i w:val="1"/>
          <w:sz w:val="22"/>
          <w:szCs w:val="22"/>
          <w:u w:val="single"/>
          <w:rtl w:val="0"/>
        </w:rPr>
        <w:t xml:space="preserve">es hubieren efectuado retenciones de impuesto sobre la renta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así como de los residentes en el extranjero a los que les hayan efectuado pagos de acuerdo con lo previsto en el Título V de la Ley del Impuesto sobre la Renta.”</w:t>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del “visor de comprobantes nómina” del Servicio de Administración Tributaria, cabe señalar que es una herramienta o aplicación en línea que permite a los </w:t>
      </w:r>
      <w:r w:rsidDel="00000000" w:rsidR="00000000" w:rsidRPr="00000000">
        <w:rPr>
          <w:rFonts w:ascii="Palatino Linotype" w:cs="Palatino Linotype" w:eastAsia="Palatino Linotype" w:hAnsi="Palatino Linotype"/>
          <w:i w:val="1"/>
          <w:rtl w:val="0"/>
        </w:rPr>
        <w:t xml:space="preserve">trabajadores</w:t>
      </w:r>
      <w:r w:rsidDel="00000000" w:rsidR="00000000" w:rsidRPr="00000000">
        <w:rPr>
          <w:rFonts w:ascii="Palatino Linotype" w:cs="Palatino Linotype" w:eastAsia="Palatino Linotype" w:hAnsi="Palatino Linotype"/>
          <w:rtl w:val="0"/>
        </w:rPr>
        <w:t xml:space="preserve"> consultar de manera anticipada el acumulado de ingresos y retenciones provenientes de comprobantes de nómina, y a los </w:t>
      </w:r>
      <w:r w:rsidDel="00000000" w:rsidR="00000000" w:rsidRPr="00000000">
        <w:rPr>
          <w:rFonts w:ascii="Palatino Linotype" w:cs="Palatino Linotype" w:eastAsia="Palatino Linotype" w:hAnsi="Palatino Linotype"/>
          <w:i w:val="1"/>
          <w:rtl w:val="0"/>
        </w:rPr>
        <w:t xml:space="preserve">patrones</w:t>
      </w:r>
      <w:r w:rsidDel="00000000" w:rsidR="00000000" w:rsidRPr="00000000">
        <w:rPr>
          <w:rFonts w:ascii="Palatino Linotype" w:cs="Palatino Linotype" w:eastAsia="Palatino Linotype" w:hAnsi="Palatino Linotype"/>
          <w:rtl w:val="0"/>
        </w:rPr>
        <w:t xml:space="preserve"> consultar los pagos realizados de los trabajadores de forma acumulada, provenientes de los comprobantes de nómina, asimismo, permite verificar la información de forma individual de cada uno de los trabajadores a los que se les haya expedido un comprobante de nómina, permitiendo conciliar el impuesto retenido, contra el enterado en pagos provisionales, la finalidad de dicho aplicativo, es identificar de manera oportuna errores en la información timbrada, y en su caso corregirla.</w:t>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el requerimiento señalado con el romano I, se enfoca en el </w:t>
      </w:r>
      <w:r w:rsidDel="00000000" w:rsidR="00000000" w:rsidRPr="00000000">
        <w:rPr>
          <w:rFonts w:ascii="Palatino Linotype" w:cs="Palatino Linotype" w:eastAsia="Palatino Linotype" w:hAnsi="Palatino Linotype"/>
          <w:i w:val="1"/>
          <w:rtl w:val="0"/>
        </w:rPr>
        <w:t xml:space="preserve">visor de comprobantes de nómina para patrones</w:t>
      </w:r>
      <w:r w:rsidDel="00000000" w:rsidR="00000000" w:rsidRPr="00000000">
        <w:rPr>
          <w:rFonts w:ascii="Palatino Linotype" w:cs="Palatino Linotype" w:eastAsia="Palatino Linotype" w:hAnsi="Palatino Linotype"/>
          <w:rtl w:val="0"/>
        </w:rPr>
        <w:t xml:space="preserve">, que tiene por objetivo consultar la información correspondiente a los pagos realizados por concepto de sueldos y salarios a los trabajadores, así como el prellenado y entero de pagos provisionales del impuesto sobre la renta, retenidos por salarios y asimilados a salarios.</w:t>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dicha herramienta, es un servicio que se localiza en el portal de internet del SAT, concretamente en el apartado de declaraciones</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y, para acceder a la misma, es necesario autenticarse con el RFC y la contraseña o e.firma, asimismo, de conformidad con la Guía de Usuario del visor de comprobantes de nómina del patrón, las modalidades de consulta son las siguientes:</w:t>
      </w:r>
    </w:p>
    <w:p w:rsidR="00000000" w:rsidDel="00000000" w:rsidP="00000000" w:rsidRDefault="00000000" w:rsidRPr="00000000" w14:paraId="00000090">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11008" cy="1314633"/>
            <wp:effectExtent b="0" l="0" r="0" t="0"/>
            <wp:docPr id="106"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5611008" cy="131463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wp:posOffset>
                </wp:positionH>
                <wp:positionV relativeFrom="paragraph">
                  <wp:posOffset>533400</wp:posOffset>
                </wp:positionV>
                <wp:extent cx="223755" cy="641600"/>
                <wp:effectExtent b="0" l="0" r="0" t="0"/>
                <wp:wrapNone/>
                <wp:docPr id="94" name=""/>
                <a:graphic>
                  <a:graphicData uri="http://schemas.microsoft.com/office/word/2010/wordprocessingShape">
                    <wps:wsp>
                      <wps:cNvSpPr/>
                      <wps:cNvPr id="3" name="Shape 3"/>
                      <wps:spPr>
                        <a:xfrm>
                          <a:off x="5259523" y="3484600"/>
                          <a:ext cx="172955" cy="590800"/>
                        </a:xfrm>
                        <a:prstGeom prst="leftBrace">
                          <a:avLst>
                            <a:gd fmla="val 8333" name="adj1"/>
                            <a:gd fmla="val 50000" name="adj2"/>
                          </a:avLst>
                        </a:prstGeom>
                        <a:noFill/>
                        <a:ln cap="flat" cmpd="sng" w="254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wp:posOffset>
                </wp:positionH>
                <wp:positionV relativeFrom="paragraph">
                  <wp:posOffset>533400</wp:posOffset>
                </wp:positionV>
                <wp:extent cx="223755" cy="641600"/>
                <wp:effectExtent b="0" l="0" r="0" t="0"/>
                <wp:wrapNone/>
                <wp:docPr id="94"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223755" cy="641600"/>
                        </a:xfrm>
                        <a:prstGeom prst="rect"/>
                        <a:ln/>
                      </pic:spPr>
                    </pic:pic>
                  </a:graphicData>
                </a:graphic>
              </wp:anchor>
            </w:drawing>
          </mc:Fallback>
        </mc:AlternateContent>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Advirtiéndose que la información a la cual desea acceder el particular corresponde con la generada a partir de una consulta global, misma que permite al retenedor conocer la información global o acumulada que asentó en los comprobantes de todos sus trabajadores, que contempla las modalidades “vista anual acumulada”, “vista anual” y “vista mensual”, información que puede descargarse en archivo pdf, corresponde con los incisos a y b del requerimiento de información.</w:t>
      </w:r>
    </w:p>
    <w:p w:rsidR="00000000" w:rsidDel="00000000" w:rsidP="00000000" w:rsidRDefault="00000000" w:rsidRPr="00000000" w14:paraId="0000009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detalle de diferencias sueldos y salarios, dicha información corresponde a un resumen de los comprobantes de nómina que se expidieron por conceptos de sueldos y salarios, que se desglosa al seleccionar “consultar información Global”, tal y como lo establece la guía:</w:t>
      </w:r>
    </w:p>
    <w:p w:rsidR="00000000" w:rsidDel="00000000" w:rsidP="00000000" w:rsidRDefault="00000000" w:rsidRPr="00000000" w14:paraId="00000093">
      <w:pPr>
        <w:spacing w:after="240" w:before="240" w:line="276"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60000" cy="4153195"/>
            <wp:effectExtent b="0" l="0" r="0" t="0"/>
            <wp:docPr id="107" name="image18.png"/>
            <a:graphic>
              <a:graphicData uri="http://schemas.openxmlformats.org/drawingml/2006/picture">
                <pic:pic>
                  <pic:nvPicPr>
                    <pic:cNvPr id="0" name="image18.png"/>
                    <pic:cNvPicPr preferRelativeResize="0"/>
                  </pic:nvPicPr>
                  <pic:blipFill>
                    <a:blip r:embed="rId24"/>
                    <a:srcRect b="30696" l="0" r="0" t="0"/>
                    <a:stretch>
                      <a:fillRect/>
                    </a:stretch>
                  </pic:blipFill>
                  <pic:spPr>
                    <a:xfrm>
                      <a:off x="0" y="0"/>
                      <a:ext cx="4860000" cy="415319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5">
      <w:pPr>
        <w:spacing w:after="240" w:before="24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60000" cy="1839557"/>
            <wp:effectExtent b="0" l="0" r="0" t="0"/>
            <wp:docPr id="109" name="image18.png"/>
            <a:graphic>
              <a:graphicData uri="http://schemas.openxmlformats.org/drawingml/2006/picture">
                <pic:pic>
                  <pic:nvPicPr>
                    <pic:cNvPr id="0" name="image18.png"/>
                    <pic:cNvPicPr preferRelativeResize="0"/>
                  </pic:nvPicPr>
                  <pic:blipFill>
                    <a:blip r:embed="rId24"/>
                    <a:srcRect b="0" l="0" r="0" t="69304"/>
                    <a:stretch>
                      <a:fillRect/>
                    </a:stretch>
                  </pic:blipFill>
                  <pic:spPr>
                    <a:xfrm>
                      <a:off x="0" y="0"/>
                      <a:ext cx="4860000" cy="1839557"/>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presume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al ser un ente retenedor del impuesto sobre la renta que se genere por ingresos por salarios </w:t>
      </w:r>
      <w:r w:rsidDel="00000000" w:rsidR="00000000" w:rsidRPr="00000000">
        <w:rPr>
          <w:rFonts w:ascii="Palatino Linotype" w:cs="Palatino Linotype" w:eastAsia="Palatino Linotype" w:hAnsi="Palatino Linotype"/>
          <w:sz w:val="22"/>
          <w:szCs w:val="22"/>
          <w:rtl w:val="0"/>
        </w:rPr>
        <w:t xml:space="preserve">y en general por la prestación de un servicio,</w:t>
      </w:r>
      <w:r w:rsidDel="00000000" w:rsidR="00000000" w:rsidRPr="00000000">
        <w:rPr>
          <w:rFonts w:ascii="Palatino Linotype" w:cs="Palatino Linotype" w:eastAsia="Palatino Linotype" w:hAnsi="Palatino Linotype"/>
          <w:rtl w:val="0"/>
        </w:rPr>
        <w:t xml:space="preserve"> y encontrarse constreñido a entregar un comprobante fiscal digital por internet que ampare dichas retenciones, para el cumplimiento de las obligaciones fiscales que le impone la Ley, podría encontrarse en posibilidad de entregar la información que es tema de estudio, toda vez que la información alojada en el referido aplicativo se alimenta con la información que deriva del timbrado de los comprobantes fiscales, una vez que estos se generan, siendo procedente ordenar, en versión pública de ser necesario, la entrega de los reportes generados en el visor de comprobantes de nómina del patrón, que le fueron requeridos de los años 2018, 2019, 2020 y 2021, para el caso de que cuente con ellos.</w:t>
      </w:r>
    </w:p>
    <w:p w:rsidR="00000000" w:rsidDel="00000000" w:rsidP="00000000" w:rsidRDefault="00000000" w:rsidRPr="00000000" w14:paraId="0000009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de lo anterior, no debe perderse de vista que la normatividad aplicable no establece como obligatorio el uso de dicha herramienta, por lo que, si la información a la que se hace referencia no obra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bastará con que así se haga del conocimiento del particular para tener por colmado el derecho de acceso del particular.</w:t>
      </w:r>
    </w:p>
    <w:p w:rsidR="00000000" w:rsidDel="00000000" w:rsidP="00000000" w:rsidRDefault="00000000" w:rsidRPr="00000000" w14:paraId="0000009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en virtud de que los entes públicos únicamente se encuentran obligados a entregar aquella información que les sea requerida y que hubieran generado, administren o posean y obre en sus archivos, en estado en el que se encuentre, más no les constriñe a procesar, generar o resumir información, realizar cálculos o practicar investigaciones para presentarla conforme al interés de los particulares, según lo establece el párrafo segundo de la Ley de Transparencia y Acceso a la Información Pública del Estado de México y Municipios.</w:t>
      </w:r>
    </w:p>
    <w:p w:rsidR="00000000" w:rsidDel="00000000" w:rsidP="00000000" w:rsidRDefault="00000000" w:rsidRPr="00000000" w14:paraId="0000009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romano IV mediante el cual se solicita la opinión de no adeudo en el cumplimiento de obligaciones fiscales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se menciona que es un trámite que se realiza en línea, a través del portal de internet del SAT</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que consiste en un reporte emitido por el SAT que permite consultar de manera instantánea la situación del cumplimiento de las obligaciones fiscales </w:t>
      </w:r>
      <w:r w:rsidDel="00000000" w:rsidR="00000000" w:rsidRPr="00000000">
        <w:rPr>
          <w:rFonts w:ascii="Palatino Linotype" w:cs="Palatino Linotype" w:eastAsia="Palatino Linotype" w:hAnsi="Palatino Linotype"/>
          <w:u w:val="single"/>
          <w:rtl w:val="0"/>
        </w:rPr>
        <w:t xml:space="preserve">al momento de la fecha de la consulta</w:t>
      </w:r>
      <w:r w:rsidDel="00000000" w:rsidR="00000000" w:rsidRPr="00000000">
        <w:rPr>
          <w:rFonts w:ascii="Palatino Linotype" w:cs="Palatino Linotype" w:eastAsia="Palatino Linotype" w:hAnsi="Palatino Linotype"/>
          <w:rtl w:val="0"/>
        </w:rPr>
        <w:t xml:space="preserve">, por lo que, si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 entre otras obligaciones fiscales, se encuentra constreñido a retener el impuesto sobre la renta, así como enterarlo al Servicio de Administración Tributaria, a través de sus declaraciones provisionales y anual, resulta de interés a la sociedad el conocer si se encuentra al corriente en el cumplimiento de las mismas, consecuentemente es procedente ordenar la entrega del referido documento, para tener por atendido el requerimiento de información, para lo cual no está demás señalar que en el portal del SAT, se contemplan las siguientes opciones para su obtención:</w:t>
      </w:r>
    </w:p>
    <w:p w:rsidR="00000000" w:rsidDel="00000000" w:rsidP="00000000" w:rsidRDefault="00000000" w:rsidRPr="00000000" w14:paraId="0000009A">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140000" cy="2969706"/>
            <wp:effectExtent b="0" l="0" r="0" t="0"/>
            <wp:docPr id="110"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4140000" cy="2969706"/>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la Resolución Miscelánea Fiscal para 2022 establece, en la regla 2.1.37 el procedimiento que debe observarse para la obtención de la opinión de cumplimiento de obligaciones fiscales, a saber:</w:t>
      </w:r>
    </w:p>
    <w:p w:rsidR="00000000" w:rsidDel="00000000" w:rsidP="00000000" w:rsidRDefault="00000000" w:rsidRPr="00000000" w14:paraId="0000009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9590" cy="1934210"/>
            <wp:effectExtent b="0" l="0" r="0" t="0"/>
            <wp:docPr id="111"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5609590" cy="193421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multicitada opinión se generará atendiendo a la situación fiscal del contribuyente en los siguientes sentidos:</w:t>
      </w:r>
    </w:p>
    <w:p w:rsidR="00000000" w:rsidDel="00000000" w:rsidP="00000000" w:rsidRDefault="00000000" w:rsidRPr="00000000" w14:paraId="0000009E">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Positiva.</w:t>
      </w:r>
      <w:r w:rsidDel="00000000" w:rsidR="00000000" w:rsidRPr="00000000">
        <w:rPr>
          <w:rFonts w:ascii="Palatino Linotype" w:cs="Palatino Linotype" w:eastAsia="Palatino Linotype" w:hAnsi="Palatino Linotype"/>
          <w:rtl w:val="0"/>
        </w:rPr>
        <w:t xml:space="preserve">- Cuando el contribuyente esté inscrito y al corriente en el cumplimiento de las obligaciones que se consideran en los numerales 1 a 12 de esta regla.</w:t>
      </w:r>
    </w:p>
    <w:p w:rsidR="00000000" w:rsidDel="00000000" w:rsidP="00000000" w:rsidRDefault="00000000" w:rsidRPr="00000000" w14:paraId="0000009F">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Negativa.-</w:t>
      </w:r>
      <w:r w:rsidDel="00000000" w:rsidR="00000000" w:rsidRPr="00000000">
        <w:rPr>
          <w:rFonts w:ascii="Palatino Linotype" w:cs="Palatino Linotype" w:eastAsia="Palatino Linotype" w:hAnsi="Palatino Linotype"/>
          <w:rtl w:val="0"/>
        </w:rPr>
        <w:t xml:space="preserve"> Cuando el contribuyente no esté al corriente en el cumplimiento de las obligaciones que se consideran en los numerales 1 a 12 de esta regla.</w:t>
      </w:r>
    </w:p>
    <w:p w:rsidR="00000000" w:rsidDel="00000000" w:rsidP="00000000" w:rsidRDefault="00000000" w:rsidRPr="00000000" w14:paraId="000000A0">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Inscrito sin obligaciones.</w:t>
      </w:r>
      <w:r w:rsidDel="00000000" w:rsidR="00000000" w:rsidRPr="00000000">
        <w:rPr>
          <w:rFonts w:ascii="Palatino Linotype" w:cs="Palatino Linotype" w:eastAsia="Palatino Linotype" w:hAnsi="Palatino Linotype"/>
          <w:rtl w:val="0"/>
        </w:rPr>
        <w:t xml:space="preserve">- Cuando el contribuyente está inscrito en el RFC pero no tiene obligaciones fiscales.</w:t>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autoridad, a fin de generar la opinión del cumplimiento de obligaciones fiscales, revisará que el contribuyente solicitante:</w:t>
      </w:r>
    </w:p>
    <w:p w:rsidR="00000000" w:rsidDel="00000000" w:rsidP="00000000" w:rsidRDefault="00000000" w:rsidRPr="00000000" w14:paraId="000000A2">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5040000" cy="3657604"/>
            <wp:effectExtent b="0" l="0" r="0" t="0"/>
            <wp:docPr id="112" name="image9.png"/>
            <a:graphic>
              <a:graphicData uri="http://schemas.openxmlformats.org/drawingml/2006/picture">
                <pic:pic>
                  <pic:nvPicPr>
                    <pic:cNvPr id="0" name="image9.png"/>
                    <pic:cNvPicPr preferRelativeResize="0"/>
                  </pic:nvPicPr>
                  <pic:blipFill>
                    <a:blip r:embed="rId27"/>
                    <a:srcRect b="27427" l="0" r="0" t="0"/>
                    <a:stretch>
                      <a:fillRect/>
                    </a:stretch>
                  </pic:blipFill>
                  <pic:spPr>
                    <a:xfrm>
                      <a:off x="0" y="0"/>
                      <a:ext cx="5040000" cy="3657604"/>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Pr>
        <w:drawing>
          <wp:inline distB="0" distT="0" distL="0" distR="0">
            <wp:extent cx="5040000" cy="1391921"/>
            <wp:effectExtent b="0" l="0" r="0" t="0"/>
            <wp:docPr id="113" name="image9.png"/>
            <a:graphic>
              <a:graphicData uri="http://schemas.openxmlformats.org/drawingml/2006/picture">
                <pic:pic>
                  <pic:nvPicPr>
                    <pic:cNvPr id="0" name="image9.png"/>
                    <pic:cNvPicPr preferRelativeResize="0"/>
                  </pic:nvPicPr>
                  <pic:blipFill>
                    <a:blip r:embed="rId27"/>
                    <a:srcRect b="0" l="0" r="0" t="72383"/>
                    <a:stretch>
                      <a:fillRect/>
                    </a:stretch>
                  </pic:blipFill>
                  <pic:spPr>
                    <a:xfrm>
                      <a:off x="0" y="0"/>
                      <a:ext cx="5040000" cy="1391921"/>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Tocante a los romanos II y III, mediante los cuales se requiere la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i w:val="1"/>
          <w:rtl w:val="0"/>
        </w:rPr>
        <w:t xml:space="preserve">constancia de situación fiscal de no adeudo emitida por el INFONAVIT, generada desde el portal empresarial de esa Institución, a través de internet</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i w:val="1"/>
          <w:rtl w:val="0"/>
        </w:rPr>
        <w:t xml:space="preserve">la opinión de no adeudo en el cumplimiento de obligaciones fiscales en materia de seguridad social emitida por el IMSS, generada desde el portal de esa Institución, a través de internet,</w:t>
      </w:r>
      <w:r w:rsidDel="00000000" w:rsidR="00000000" w:rsidRPr="00000000">
        <w:rPr>
          <w:rFonts w:ascii="Palatino Linotype" w:cs="Palatino Linotype" w:eastAsia="Palatino Linotype" w:hAnsi="Palatino Linotype"/>
          <w:rtl w:val="0"/>
        </w:rPr>
        <w:t xml:space="preserve"> con relación a la opinión de cumplimiento emitida por el Instituto del Fondo Nacional de la Vivienda para los Trabajadores, INFONAVIT, resulta alusivo el contenido del artículo 123 apartado A, fracción XII de la Constitución Política de los Estados Unidos Mexicanos, el cual establece las bases que rigen las relaciones laborales entre las empresas y los particulares, se cita a continuación, para mayor referencia:</w:t>
      </w:r>
    </w:p>
    <w:p w:rsidR="00000000" w:rsidDel="00000000" w:rsidP="00000000" w:rsidRDefault="00000000" w:rsidRPr="00000000" w14:paraId="000000A5">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123. </w:t>
      </w:r>
      <w:r w:rsidDel="00000000" w:rsidR="00000000" w:rsidRPr="00000000">
        <w:rPr>
          <w:rFonts w:ascii="Palatino Linotype" w:cs="Palatino Linotype" w:eastAsia="Palatino Linotype" w:hAnsi="Palatino Linotype"/>
          <w:i w:val="1"/>
          <w:sz w:val="22"/>
          <w:szCs w:val="22"/>
          <w:rtl w:val="0"/>
        </w:rPr>
        <w:t xml:space="preserve">Toda persona tiene derecho al trabajo digno y socialmente útil; al efecto, se promoverán la creación de empleos y la organización social de trabajo, conforme a la ley.</w:t>
      </w:r>
    </w:p>
    <w:p w:rsidR="00000000" w:rsidDel="00000000" w:rsidP="00000000" w:rsidRDefault="00000000" w:rsidRPr="00000000" w14:paraId="000000A6">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Congreso de la Unión, sin contravenir a las bases siguientes deberá expedir leyes sobre el trabajo, las cuales regirán:</w:t>
      </w:r>
    </w:p>
    <w:p w:rsidR="00000000" w:rsidDel="00000000" w:rsidP="00000000" w:rsidRDefault="00000000" w:rsidRPr="00000000" w14:paraId="000000A7">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Entre los obreros, jornaleros, empleados domésticos, artesanos y de una manera general, todo contrato de trabajo:</w:t>
      </w:r>
    </w:p>
    <w:p w:rsidR="00000000" w:rsidDel="00000000" w:rsidP="00000000" w:rsidRDefault="00000000" w:rsidRPr="00000000" w14:paraId="000000A8">
      <w:pPr>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9">
      <w:pPr>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w:t>
      </w:r>
      <w:r w:rsidDel="00000000" w:rsidR="00000000" w:rsidRPr="00000000">
        <w:rPr>
          <w:rFonts w:ascii="Palatino Linotype" w:cs="Palatino Linotype" w:eastAsia="Palatino Linotype" w:hAnsi="Palatino Linotype"/>
          <w:i w:val="1"/>
          <w:sz w:val="22"/>
          <w:szCs w:val="22"/>
          <w:rtl w:val="0"/>
        </w:rPr>
        <w:t xml:space="preserve">. Toda empresa agrícola, industrial, minera o de cualquier otra clase de trabajo, estará obligada, según lo determinen las leyes reglamentarias a proporcionar a los trabajadores habitaciones cómodas e higiénicas. </w:t>
      </w:r>
      <w:r w:rsidDel="00000000" w:rsidR="00000000" w:rsidRPr="00000000">
        <w:rPr>
          <w:rFonts w:ascii="Palatino Linotype" w:cs="Palatino Linotype" w:eastAsia="Palatino Linotype" w:hAnsi="Palatino Linotype"/>
          <w:b w:val="1"/>
          <w:i w:val="1"/>
          <w:sz w:val="22"/>
          <w:szCs w:val="22"/>
          <w:rtl w:val="0"/>
        </w:rPr>
        <w:t xml:space="preserve">Esta obligación se cumplirá mediante las aportaciones que las empresas hagan a un fondo nacional de la vivienda a fin de constituir depósitos en favor de sus trabajadores</w:t>
      </w:r>
      <w:r w:rsidDel="00000000" w:rsidR="00000000" w:rsidRPr="00000000">
        <w:rPr>
          <w:rFonts w:ascii="Palatino Linotype" w:cs="Palatino Linotype" w:eastAsia="Palatino Linotype" w:hAnsi="Palatino Linotype"/>
          <w:i w:val="1"/>
          <w:sz w:val="22"/>
          <w:szCs w:val="22"/>
          <w:rtl w:val="0"/>
        </w:rPr>
        <w:t xml:space="preserve"> y establecer un sistema de financiamiento que permita otorgar a éstos crédito barato y suficiente para que adquieran en propiedad tales habitaciones.</w:t>
      </w:r>
    </w:p>
    <w:p w:rsidR="00000000" w:rsidDel="00000000" w:rsidP="00000000" w:rsidRDefault="00000000" w:rsidRPr="00000000" w14:paraId="000000AA">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 considera de utilidad social la expedición de una ley para la creación de un organismo integrado por representantes del Gobierno Federal, de los trabajadores y de los patrones, que administre los recursos del fondo nacional de la vivienda. </w:t>
      </w:r>
      <w:r w:rsidDel="00000000" w:rsidR="00000000" w:rsidRPr="00000000">
        <w:rPr>
          <w:rFonts w:ascii="Palatino Linotype" w:cs="Palatino Linotype" w:eastAsia="Palatino Linotype" w:hAnsi="Palatino Linotype"/>
          <w:i w:val="1"/>
          <w:sz w:val="22"/>
          <w:szCs w:val="22"/>
          <w:rtl w:val="0"/>
        </w:rPr>
        <w:t xml:space="preserve">Dicha ley regulará las formas y procedimientos conforme a los cuales los trabajadores podrán adquirir en propiedad las habitaciones antes mencionadas.”</w:t>
      </w:r>
    </w:p>
    <w:p w:rsidR="00000000" w:rsidDel="00000000" w:rsidP="00000000" w:rsidRDefault="00000000" w:rsidRPr="00000000" w14:paraId="000000A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de conformidad con los artículos 2 y 3 de Ley del Instituto del Fondo Nacional de la Vivienda para los Trabajadores, el Instituto es un organismo de servicio social con personalidad jurídica y patrimonio propio, cuyos objetivos son entre otros, administrar los recursos del Fondo Nacional de Vivienda, se cita para mayor referencia:</w:t>
      </w:r>
    </w:p>
    <w:p w:rsidR="00000000" w:rsidDel="00000000" w:rsidP="00000000" w:rsidRDefault="00000000" w:rsidRPr="00000000" w14:paraId="000000AC">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3o.-</w:t>
      </w:r>
      <w:r w:rsidDel="00000000" w:rsidR="00000000" w:rsidRPr="00000000">
        <w:rPr>
          <w:rFonts w:ascii="Palatino Linotype" w:cs="Palatino Linotype" w:eastAsia="Palatino Linotype" w:hAnsi="Palatino Linotype"/>
          <w:i w:val="1"/>
          <w:sz w:val="22"/>
          <w:szCs w:val="22"/>
          <w:rtl w:val="0"/>
        </w:rPr>
        <w:t xml:space="preserve"> El Instituto tiene por objeto:</w:t>
      </w:r>
    </w:p>
    <w:p w:rsidR="00000000" w:rsidDel="00000000" w:rsidP="00000000" w:rsidRDefault="00000000" w:rsidRPr="00000000" w14:paraId="000000AD">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Administrar los recursos del Fondo Nacional de la Vivienda;</w:t>
      </w:r>
    </w:p>
    <w:p w:rsidR="00000000" w:rsidDel="00000000" w:rsidP="00000000" w:rsidRDefault="00000000" w:rsidRPr="00000000" w14:paraId="000000AE">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Establecer y operar un sistema de financiamiento que permita a los trabajadores obtener crédito barato y suficiente para:</w:t>
      </w:r>
    </w:p>
    <w:p w:rsidR="00000000" w:rsidDel="00000000" w:rsidP="00000000" w:rsidRDefault="00000000" w:rsidRPr="00000000" w14:paraId="000000AF">
      <w:pPr>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La adquisición en propiedad de habitaciones cómodas e higiénicas,</w:t>
      </w:r>
    </w:p>
    <w:p w:rsidR="00000000" w:rsidDel="00000000" w:rsidP="00000000" w:rsidRDefault="00000000" w:rsidRPr="00000000" w14:paraId="000000B0">
      <w:pPr>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La construcción, reparación, ampliación o mejoramiento de sus habitaciones, y</w:t>
      </w:r>
    </w:p>
    <w:p w:rsidR="00000000" w:rsidDel="00000000" w:rsidP="00000000" w:rsidRDefault="00000000" w:rsidRPr="00000000" w14:paraId="000000B1">
      <w:pPr>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El pago de pasivos contraídos por los conceptos anteriores;</w:t>
      </w:r>
    </w:p>
    <w:p w:rsidR="00000000" w:rsidDel="00000000" w:rsidP="00000000" w:rsidRDefault="00000000" w:rsidRPr="00000000" w14:paraId="000000B2">
      <w:pPr>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w:t>
      </w:r>
      <w:r w:rsidDel="00000000" w:rsidR="00000000" w:rsidRPr="00000000">
        <w:rPr>
          <w:rFonts w:ascii="Palatino Linotype" w:cs="Palatino Linotype" w:eastAsia="Palatino Linotype" w:hAnsi="Palatino Linotype"/>
          <w:i w:val="1"/>
          <w:sz w:val="22"/>
          <w:szCs w:val="22"/>
          <w:rtl w:val="0"/>
        </w:rPr>
        <w:t xml:space="preserve"> La adquisición en propiedad de suelo destinado para la construcción de sus habitaciones;</w:t>
      </w:r>
    </w:p>
    <w:p w:rsidR="00000000" w:rsidDel="00000000" w:rsidP="00000000" w:rsidRDefault="00000000" w:rsidRPr="00000000" w14:paraId="000000B3">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Coordinar y financiar programas de construcción de habitaciones destinadas a ser adquiridas en propiedad por los trabajadores; y</w:t>
      </w:r>
    </w:p>
    <w:p w:rsidR="00000000" w:rsidDel="00000000" w:rsidP="00000000" w:rsidRDefault="00000000" w:rsidRPr="00000000" w14:paraId="000000B4">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Lo demás a que se refiere la fracción XII del Apartado A del Artículo 123 Constitucional y el</w:t>
      </w:r>
    </w:p>
    <w:p w:rsidR="00000000" w:rsidDel="00000000" w:rsidP="00000000" w:rsidRDefault="00000000" w:rsidRPr="00000000" w14:paraId="000000B5">
      <w:pPr>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Título Cuarto, Capítulo III de la Ley Federal del Trabajo, así como lo que esta ley establece.”</w:t>
      </w:r>
    </w:p>
    <w:p w:rsidR="00000000" w:rsidDel="00000000" w:rsidP="00000000" w:rsidRDefault="00000000" w:rsidRPr="00000000" w14:paraId="000000B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expuesto se concluye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la entrega de la misma, por parte de entidades gubernamentales no resulta procedente, derivado de no encuadrar en los supuestos de los ordenamientos citados.</w:t>
      </w:r>
    </w:p>
    <w:p w:rsidR="00000000" w:rsidDel="00000000" w:rsidP="00000000" w:rsidRDefault="00000000" w:rsidRPr="00000000" w14:paraId="000000B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de </w:t>
      </w:r>
      <w:r w:rsidDel="00000000" w:rsidR="00000000" w:rsidRPr="00000000">
        <w:rPr>
          <w:rFonts w:ascii="Palatino Linotype" w:cs="Palatino Linotype" w:eastAsia="Palatino Linotype" w:hAnsi="Palatino Linotype"/>
          <w:i w:val="1"/>
          <w:rtl w:val="0"/>
        </w:rPr>
        <w:t xml:space="preserve">la opinión de no adeudo en el cumplimiento de obligaciones fiscales en materia de seguridad social emitida por el IMSS, generada desde el portal de esa Institución, a través de internet, </w:t>
      </w:r>
      <w:r w:rsidDel="00000000" w:rsidR="00000000" w:rsidRPr="00000000">
        <w:rPr>
          <w:rFonts w:ascii="Palatino Linotype" w:cs="Palatino Linotype" w:eastAsia="Palatino Linotype" w:hAnsi="Palatino Linotype"/>
          <w:rtl w:val="0"/>
        </w:rPr>
        <w:t xml:space="preserve">se señala que de conformidad con el artículo 5 de la Ley del Seguro Social</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el Instituto Mexicano del Seguro Social, IMSS,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rsidR="00000000" w:rsidDel="00000000" w:rsidP="00000000" w:rsidRDefault="00000000" w:rsidRPr="00000000" w14:paraId="000000B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en el caso concreto debe precisarse que el Organismo competente para garantizar el derecho a la seguridad social, de los servidores públicos del Estado de México y Municipios, es el Instituto de Seguridad Social del Estado de México y Municipios, ISSEMyM, de conformidad con los artículos 1, 2, 3 y 5 fracciones II y III de la Ley de Seguridad Social para los Servidores Públicos del Estado de México y Municipios, que son del tenor literal siguiente:</w:t>
      </w:r>
    </w:p>
    <w:p w:rsidR="00000000" w:rsidDel="00000000" w:rsidP="00000000" w:rsidRDefault="00000000" w:rsidRPr="00000000" w14:paraId="000000B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ARTICULO 1.- </w:t>
      </w:r>
      <w:r w:rsidDel="00000000" w:rsidR="00000000" w:rsidRPr="00000000">
        <w:rPr>
          <w:rFonts w:ascii="Palatino Linotype" w:cs="Palatino Linotype" w:eastAsia="Palatino Linotype" w:hAnsi="Palatino Linotype"/>
          <w:i w:val="1"/>
          <w:sz w:val="22"/>
          <w:szCs w:val="22"/>
          <w:rtl w:val="0"/>
        </w:rPr>
        <w:t xml:space="preserve">La presente ley es de orden público e interés general y tiene por objeto regular el régimen de seguridad social en favor de los servidores públicos del estado y municipios, así como de sus organismos auxiliares y fideicomisos públicos.</w:t>
      </w:r>
    </w:p>
    <w:p w:rsidR="00000000" w:rsidDel="00000000" w:rsidP="00000000" w:rsidRDefault="00000000" w:rsidRPr="00000000" w14:paraId="000000B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ARTICULO 2.- </w:t>
      </w:r>
      <w:r w:rsidDel="00000000" w:rsidR="00000000" w:rsidRPr="00000000">
        <w:rPr>
          <w:rFonts w:ascii="Palatino Linotype" w:cs="Palatino Linotype" w:eastAsia="Palatino Linotype" w:hAnsi="Palatino Linotype"/>
          <w:i w:val="1"/>
          <w:sz w:val="22"/>
          <w:szCs w:val="22"/>
          <w:rtl w:val="0"/>
        </w:rPr>
        <w:t xml:space="preserve">La aplicación y cumplimiento del régimen de seguridad social que regula esta ley, le corresponde al Instituto de Seguridad Social del Estado de México y Municipios, organismo público descentralizado con personalidad jurídica y patrimonio propios.</w:t>
        <w:br w:type="textWrapping"/>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Son sujetos de esta ley:</w:t>
      </w:r>
    </w:p>
    <w:p w:rsidR="00000000" w:rsidDel="00000000" w:rsidP="00000000" w:rsidRDefault="00000000" w:rsidRPr="00000000" w14:paraId="000000B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rsidR="00000000" w:rsidDel="00000000" w:rsidP="00000000" w:rsidRDefault="00000000" w:rsidRPr="00000000" w14:paraId="000000B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Los servidores públicos de las instituciones públicas mencionadas en la fracción anterior;</w:t>
      </w:r>
    </w:p>
    <w:p w:rsidR="00000000" w:rsidDel="00000000" w:rsidP="00000000" w:rsidRDefault="00000000" w:rsidRPr="00000000" w14:paraId="000000B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Los pensionados y pensionistas;</w:t>
      </w:r>
    </w:p>
    <w:p w:rsidR="00000000" w:rsidDel="00000000" w:rsidP="00000000" w:rsidRDefault="00000000" w:rsidRPr="00000000" w14:paraId="000000B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Los familiares y dependientes económicos de los servidores públicos y de los pensionados.</w:t>
      </w:r>
    </w:p>
    <w:p w:rsidR="00000000" w:rsidDel="00000000" w:rsidP="00000000" w:rsidRDefault="00000000" w:rsidRPr="00000000" w14:paraId="000000B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ARTICULO 5</w:t>
      </w:r>
      <w:r w:rsidDel="00000000" w:rsidR="00000000" w:rsidRPr="00000000">
        <w:rPr>
          <w:rFonts w:ascii="Palatino Linotype" w:cs="Palatino Linotype" w:eastAsia="Palatino Linotype" w:hAnsi="Palatino Linotype"/>
          <w:i w:val="1"/>
          <w:sz w:val="22"/>
          <w:szCs w:val="22"/>
          <w:rtl w:val="0"/>
        </w:rPr>
        <w:t xml:space="preserve">.- Para los efectos de esta ley se entiende por:</w:t>
      </w:r>
    </w:p>
    <w:p w:rsidR="00000000" w:rsidDel="00000000" w:rsidP="00000000" w:rsidRDefault="00000000" w:rsidRPr="00000000" w14:paraId="000000C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Institución pública,</w:t>
      </w:r>
      <w:r w:rsidDel="00000000" w:rsidR="00000000" w:rsidRPr="00000000">
        <w:rPr>
          <w:rFonts w:ascii="Palatino Linotype" w:cs="Palatino Linotype" w:eastAsia="Palatino Linotype" w:hAnsi="Palatino Linotype"/>
          <w:i w:val="1"/>
          <w:sz w:val="22"/>
          <w:szCs w:val="22"/>
          <w:rtl w:val="0"/>
        </w:rPr>
        <w:t xml:space="preserve"> a los poderes públicos del estado, los ayuntamientos de los municipios y los tribunales administrativos, así como los organismos auxiliares y fideicomisos públicos de carácter estatal y municipal;</w:t>
      </w:r>
    </w:p>
    <w:p w:rsidR="00000000" w:rsidDel="00000000" w:rsidP="00000000" w:rsidRDefault="00000000" w:rsidRPr="00000000" w14:paraId="000000C2">
      <w:pPr>
        <w:spacing w:after="120" w:before="120" w:lineRule="auto"/>
        <w:ind w:left="1134"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z w:val="22"/>
          <w:szCs w:val="22"/>
          <w:rtl w:val="0"/>
        </w:rPr>
        <w:t xml:space="preserve">III. Servidor público</w:t>
      </w:r>
      <w:r w:rsidDel="00000000" w:rsidR="00000000" w:rsidRPr="00000000">
        <w:rPr>
          <w:rFonts w:ascii="Palatino Linotype" w:cs="Palatino Linotype" w:eastAsia="Palatino Linotype" w:hAnsi="Palatino Linotype"/>
          <w:i w:val="1"/>
          <w:sz w:val="22"/>
          <w:szCs w:val="22"/>
          <w:rtl w:val="0"/>
        </w:rPr>
        <w:t xml:space="preserve">,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r w:rsidDel="00000000" w:rsidR="00000000" w:rsidRPr="00000000">
        <w:rPr>
          <w:rtl w:val="0"/>
        </w:rPr>
      </w:r>
    </w:p>
    <w:p w:rsidR="00000000" w:rsidDel="00000000" w:rsidP="00000000" w:rsidRDefault="00000000" w:rsidRPr="00000000" w14:paraId="000000C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yellow"/>
          <w:rtl w:val="0"/>
        </w:rPr>
        <w:t xml:space="preserve">De conformidad con los preceptos legales, se acredita que compete Instituto de Seguridad Social del Estado de México y Municipios, ISSEMyM, re</w:t>
      </w:r>
      <w:r w:rsidDel="00000000" w:rsidR="00000000" w:rsidRPr="00000000">
        <w:rPr>
          <w:rFonts w:ascii="Palatino Linotype" w:cs="Palatino Linotype" w:eastAsia="Palatino Linotype" w:hAnsi="Palatino Linotype"/>
          <w:b w:val="1"/>
          <w:highlight w:val="yellow"/>
          <w:rtl w:val="0"/>
        </w:rPr>
        <w:t xml:space="preserve">g</w:t>
      </w:r>
      <w:r w:rsidDel="00000000" w:rsidR="00000000" w:rsidRPr="00000000">
        <w:rPr>
          <w:rFonts w:ascii="Palatino Linotype" w:cs="Palatino Linotype" w:eastAsia="Palatino Linotype" w:hAnsi="Palatino Linotype"/>
          <w:highlight w:val="yellow"/>
          <w:rtl w:val="0"/>
        </w:rPr>
        <w:t xml:space="preserve">ular el régimen de seguridad social en favor de los servidores públicos del estado y municipios</w:t>
      </w:r>
      <w:r w:rsidDel="00000000" w:rsidR="00000000" w:rsidRPr="00000000">
        <w:rPr>
          <w:rFonts w:ascii="Palatino Linotype" w:cs="Palatino Linotype" w:eastAsia="Palatino Linotype" w:hAnsi="Palatino Linotype"/>
          <w:rtl w:val="0"/>
        </w:rPr>
        <w:t xml:space="preserve">, regular el régimen de seguridad social en favor de los servidores públicos del estado y municipios, consecuentemente, el SUJETO OBLIGADO,  resulta incompetente para tener en sus archivos la información relativa a la opinión de cumplimiento de sus obligaciones fiscales en materia de Seguridad Social” emitida por el Instituto Mexicano del Seguro Social, IMSS, teniéndose por acreditada la notoria incompetencia, a cargo del SUJETO OBLIGADO, en términos del artículo 167 de la Ley de Transparencia local, ya referido, lo que se robustece con el padrón de Sujetos Obligados del Ámbito Federal, en términos de la Ley General de Transparencia y Acceso a la Información Pública, de veintiséis de mayo de dos mil veinte, en la liga https://www.fonacot.gob.mx/TransparenciaRendicionCuentas/Documents/Normatividad%20en%20Transparencia/Padron_Sujetos_Obligados%20INAI.pdf), en el que se advierte que el Instituto Mexicano del Seguro Social, es un Sujeto Obligado diverso, como se acredita con la siguiente imagen de dicho padrón que se inserta a continuación de manera ilustrativa:</w:t>
      </w:r>
    </w:p>
    <w:p w:rsidR="00000000" w:rsidDel="00000000" w:rsidP="00000000" w:rsidRDefault="00000000" w:rsidRPr="00000000" w14:paraId="000000C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rPr>
        <w:drawing>
          <wp:inline distB="114300" distT="114300" distL="114300" distR="114300">
            <wp:extent cx="5612130" cy="1943100"/>
            <wp:effectExtent b="0" l="0" r="0" t="0"/>
            <wp:docPr id="114"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561213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expuesto, se advierte una notoria incompetencia por parte del Sujeto Obligado para dar respuesta a los requerimientos marcados con los números romanos II y III, y si bien ante dicha circunstancia, no se observó lo previsto en el párrafo primero del artículo 167 de la Ley de la Materia, que es del tenor literal siguiente:</w:t>
      </w:r>
    </w:p>
    <w:p w:rsidR="00000000" w:rsidDel="00000000" w:rsidP="00000000" w:rsidRDefault="00000000" w:rsidRPr="00000000" w14:paraId="000000C6">
      <w:pPr>
        <w:spacing w:after="120" w:before="120" w:line="276" w:lineRule="auto"/>
        <w:ind w:left="860"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C</w:t>
      </w:r>
      <w:r w:rsidDel="00000000" w:rsidR="00000000" w:rsidRPr="00000000">
        <w:rPr>
          <w:rFonts w:ascii="Palatino Linotype" w:cs="Palatino Linotype" w:eastAsia="Palatino Linotype" w:hAnsi="Palatino Linotype"/>
          <w:b w:val="1"/>
          <w:i w:val="1"/>
          <w:sz w:val="22"/>
          <w:szCs w:val="22"/>
          <w:rtl w:val="0"/>
        </w:rPr>
        <w:t xml:space="preserve">uando las unidades de transparencia determinen la notoria incompetencia por parte de los sujetos obligados,</w:t>
      </w:r>
      <w:r w:rsidDel="00000000" w:rsidR="00000000" w:rsidRPr="00000000">
        <w:rPr>
          <w:rFonts w:ascii="Palatino Linotype" w:cs="Palatino Linotype" w:eastAsia="Palatino Linotype" w:hAnsi="Palatino Linotype"/>
          <w:i w:val="1"/>
          <w:sz w:val="22"/>
          <w:szCs w:val="22"/>
          <w:rtl w:val="0"/>
        </w:rPr>
        <w:t xml:space="preserve">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2"/>
          <w:szCs w:val="22"/>
          <w:rtl w:val="0"/>
        </w:rPr>
        <w:t xml:space="preserve">deberán comunicarlo al solicitante, dentro de los </w:t>
      </w:r>
      <w:r w:rsidDel="00000000" w:rsidR="00000000" w:rsidRPr="00000000">
        <w:rPr>
          <w:rFonts w:ascii="Palatino Linotype" w:cs="Palatino Linotype" w:eastAsia="Palatino Linotype" w:hAnsi="Palatino Linotype"/>
          <w:b w:val="1"/>
          <w:i w:val="1"/>
          <w:sz w:val="22"/>
          <w:szCs w:val="22"/>
          <w:u w:val="single"/>
          <w:rtl w:val="0"/>
        </w:rPr>
        <w:t xml:space="preserve">tres días hábiles posteriores</w:t>
      </w:r>
      <w:r w:rsidDel="00000000" w:rsidR="00000000" w:rsidRPr="00000000">
        <w:rPr>
          <w:rFonts w:ascii="Palatino Linotype" w:cs="Palatino Linotype" w:eastAsia="Palatino Linotype" w:hAnsi="Palatino Linotype"/>
          <w:b w:val="1"/>
          <w:i w:val="1"/>
          <w:sz w:val="22"/>
          <w:szCs w:val="22"/>
          <w:rtl w:val="0"/>
        </w:rPr>
        <w:t xml:space="preserve"> a la recepción de la solicitud</w:t>
      </w:r>
      <w:r w:rsidDel="00000000" w:rsidR="00000000" w:rsidRPr="00000000">
        <w:rPr>
          <w:rFonts w:ascii="Palatino Linotype" w:cs="Palatino Linotype" w:eastAsia="Palatino Linotype" w:hAnsi="Palatino Linotype"/>
          <w:i w:val="1"/>
          <w:sz w:val="22"/>
          <w:szCs w:val="22"/>
          <w:rtl w:val="0"/>
        </w:rPr>
        <w:t xml:space="preserve"> y, en su caso orientar al solicitante, el o los sujetos obligados competentes.”</w:t>
      </w:r>
    </w:p>
    <w:p w:rsidR="00000000" w:rsidDel="00000000" w:rsidP="00000000" w:rsidRDefault="00000000" w:rsidRPr="00000000" w14:paraId="000000C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resulta ocioso y a nada práctico llevaría ordenar la declaratoria formal de incompetencia a través del acuerdo que para tales efectos emita el Comité de Transparencia en términos de lo previsto en el artículo 49 fracción II</w:t>
      </w:r>
      <w:r w:rsidDel="00000000" w:rsidR="00000000" w:rsidRPr="00000000">
        <w:rPr>
          <w:rFonts w:ascii="Palatino Linotype" w:cs="Palatino Linotype" w:eastAsia="Palatino Linotype" w:hAnsi="Palatino Linotype"/>
          <w:sz w:val="40"/>
          <w:szCs w:val="40"/>
          <w:vertAlign w:val="superscript"/>
          <w:rtl w:val="0"/>
        </w:rPr>
        <w:t xml:space="preserve">[1]</w:t>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al acreditarse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está supeditado al cumplimiento de obligaciones fiscales ante el Instituto del Fondo Nacional de la Vivienda para los Trabajadores, INFONAVIT, así como el Instituto Mexicano del Seguro Social, IMSS.</w:t>
      </w:r>
    </w:p>
    <w:p w:rsidR="00000000" w:rsidDel="00000000" w:rsidP="00000000" w:rsidRDefault="00000000" w:rsidRPr="00000000" w14:paraId="000000C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de lo anterior, se insta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en próximas ocasiones observe las formalidades que prevén las leyes de la materia a efecto de no vulnerar el derecho de acceso a la información de los particulares.</w:t>
      </w:r>
    </w:p>
    <w:p w:rsidR="00000000" w:rsidDel="00000000" w:rsidP="00000000" w:rsidRDefault="00000000" w:rsidRPr="00000000" w14:paraId="000000C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hace de su conocimiento que mismo artículo 167 de la Ley de la Materia, en su párrafo segundo concede a los Sujetos Obligados la posibilidad de atender de manera parcial las solicitudes de acceso a la información, dando respuesta únicamente respecto de aquellos requerimientos sobre los cuales se tiene competencia, y, respecto de la información sobre la cual se es incompetente, declarar la incompetencia en el término de tres días hábiles posteriores a la recepción de la solicitud.</w:t>
      </w:r>
    </w:p>
    <w:p w:rsidR="00000000" w:rsidDel="00000000" w:rsidP="00000000" w:rsidRDefault="00000000" w:rsidRPr="00000000" w14:paraId="000000C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romano V, relativo al </w:t>
      </w:r>
      <w:r w:rsidDel="00000000" w:rsidR="00000000" w:rsidRPr="00000000">
        <w:rPr>
          <w:rFonts w:ascii="Palatino Linotype" w:cs="Palatino Linotype" w:eastAsia="Palatino Linotype" w:hAnsi="Palatino Linotype"/>
          <w:i w:val="1"/>
          <w:rtl w:val="0"/>
        </w:rPr>
        <w:t xml:space="preserve">papel de trabajo por Municipio y por sus órganos paramunicipales, que contenga los datos de identificación de ISR, recuperado por mes, del periodo del uno de enero de dos mil diecinueve al treinta y uno de octubre de dos mil veintiuno;</w:t>
      </w:r>
      <w:r w:rsidDel="00000000" w:rsidR="00000000" w:rsidRPr="00000000">
        <w:rPr>
          <w:rFonts w:ascii="Palatino Linotype" w:cs="Palatino Linotype" w:eastAsia="Palatino Linotype" w:hAnsi="Palatino Linotype"/>
          <w:rtl w:val="0"/>
        </w:rPr>
        <w:t xml:space="preserve"> se precisa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requiere un documento de tipo específico que contenga desagregada la información en diversos apartados, por lo que, se hace de su conocimiento que de conformidad con los artículos 12 y 24 de la Ley de Transparencia local, se establece la obligación de los </w:t>
      </w:r>
      <w:r w:rsidDel="00000000" w:rsidR="00000000" w:rsidRPr="00000000">
        <w:rPr>
          <w:rFonts w:ascii="Palatino Linotype" w:cs="Palatino Linotype" w:eastAsia="Palatino Linotype" w:hAnsi="Palatino Linotype"/>
          <w:b w:val="1"/>
          <w:rtl w:val="0"/>
        </w:rPr>
        <w:t xml:space="preserve">Sujetos Obligados</w:t>
      </w:r>
      <w:r w:rsidDel="00000000" w:rsidR="00000000" w:rsidRPr="00000000">
        <w:rPr>
          <w:rFonts w:ascii="Palatino Linotype" w:cs="Palatino Linotype" w:eastAsia="Palatino Linotype" w:hAnsi="Palatino Linotype"/>
          <w:rtl w:val="0"/>
        </w:rPr>
        <w:t xml:space="preserve">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rsidR="00000000" w:rsidDel="00000000" w:rsidP="00000000" w:rsidRDefault="00000000" w:rsidRPr="00000000" w14:paraId="000000C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del contenido del requerimiento, podemos sintetizar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rsidR="00000000" w:rsidDel="00000000" w:rsidP="00000000" w:rsidRDefault="00000000" w:rsidRPr="00000000" w14:paraId="000000CC">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48. Retenciones del Impuesto Sobre la Renta por Salarios, Honorarios y Arrendamiento</w:t>
      </w:r>
    </w:p>
    <w:p w:rsidR="00000000" w:rsidDel="00000000" w:rsidP="00000000" w:rsidRDefault="00000000" w:rsidRPr="00000000" w14:paraId="000000CD">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Formato: el archivo se presentará en .pdf y .xls</w:t>
      </w:r>
    </w:p>
    <w:p w:rsidR="00000000" w:rsidDel="00000000" w:rsidP="00000000" w:rsidRDefault="00000000" w:rsidRPr="00000000" w14:paraId="000000C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Objetivo</w:t>
      </w:r>
      <w:r w:rsidDel="00000000" w:rsidR="00000000" w:rsidRPr="00000000">
        <w:rPr>
          <w:rFonts w:ascii="Palatino Linotype" w:cs="Palatino Linotype" w:eastAsia="Palatino Linotype" w:hAnsi="Palatino Linotype"/>
          <w:i w:val="1"/>
          <w:sz w:val="22"/>
          <w:szCs w:val="22"/>
          <w:rtl w:val="0"/>
        </w:rPr>
        <w:t xml:space="preserve">: Concentrar toda la información de las Retenciones del Impuesto Sobre la Renta por Salarios, Honorarios y Arrendamiento.</w:t>
      </w:r>
    </w:p>
    <w:p w:rsidR="00000000" w:rsidDel="00000000" w:rsidP="00000000" w:rsidRDefault="00000000" w:rsidRPr="00000000" w14:paraId="000000C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Instructivo:</w:t>
      </w:r>
    </w:p>
    <w:p w:rsidR="00000000" w:rsidDel="00000000" w:rsidP="00000000" w:rsidRDefault="00000000" w:rsidRPr="00000000" w14:paraId="000000D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Entidad Municipal:</w:t>
      </w:r>
      <w:r w:rsidDel="00000000" w:rsidR="00000000" w:rsidRPr="00000000">
        <w:rPr>
          <w:rFonts w:ascii="Palatino Linotype" w:cs="Palatino Linotype" w:eastAsia="Palatino Linotype" w:hAnsi="Palatino Linotype"/>
          <w:i w:val="1"/>
          <w:sz w:val="22"/>
          <w:szCs w:val="22"/>
          <w:rtl w:val="0"/>
        </w:rPr>
        <w:t xml:space="preserve"> Anotar el nombre de la entidad, seguido del número que le corresponde, por ejemplo: Toluca, 101.</w:t>
      </w:r>
    </w:p>
    <w:p w:rsidR="00000000" w:rsidDel="00000000" w:rsidP="00000000" w:rsidRDefault="00000000" w:rsidRPr="00000000" w14:paraId="000000D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Periodo de Presentación; </w:t>
      </w:r>
      <w:r w:rsidDel="00000000" w:rsidR="00000000" w:rsidRPr="00000000">
        <w:rPr>
          <w:rFonts w:ascii="Palatino Linotype" w:cs="Palatino Linotype" w:eastAsia="Palatino Linotype" w:hAnsi="Palatino Linotype"/>
          <w:i w:val="1"/>
          <w:sz w:val="22"/>
          <w:szCs w:val="22"/>
          <w:rtl w:val="0"/>
        </w:rPr>
        <w:t xml:space="preserve">Indicar a que fecha se presenta la información requisitada. </w:t>
      </w:r>
    </w:p>
    <w:p w:rsidR="00000000" w:rsidDel="00000000" w:rsidP="00000000" w:rsidRDefault="00000000" w:rsidRPr="00000000" w14:paraId="000000D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ISR Retenido por Salarios:</w:t>
      </w:r>
      <w:r w:rsidDel="00000000" w:rsidR="00000000" w:rsidRPr="00000000">
        <w:rPr>
          <w:rFonts w:ascii="Palatino Linotype" w:cs="Palatino Linotype" w:eastAsia="Palatino Linotype" w:hAnsi="Palatino Linotype"/>
          <w:i w:val="1"/>
          <w:sz w:val="22"/>
          <w:szCs w:val="22"/>
          <w:rtl w:val="0"/>
        </w:rPr>
        <w:t xml:space="preserve"> Anotar en pesos el importe mensual registrado por este concepto durante el ejercicio 2019.</w:t>
      </w:r>
    </w:p>
    <w:p w:rsidR="00000000" w:rsidDel="00000000" w:rsidP="00000000" w:rsidRDefault="00000000" w:rsidRPr="00000000" w14:paraId="000000D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4. ISR Retenido por Honorarios: </w:t>
      </w:r>
      <w:r w:rsidDel="00000000" w:rsidR="00000000" w:rsidRPr="00000000">
        <w:rPr>
          <w:rFonts w:ascii="Palatino Linotype" w:cs="Palatino Linotype" w:eastAsia="Palatino Linotype" w:hAnsi="Palatino Linotype"/>
          <w:i w:val="1"/>
          <w:sz w:val="22"/>
          <w:szCs w:val="22"/>
          <w:rtl w:val="0"/>
        </w:rPr>
        <w:t xml:space="preserve">Colocar en pesos el importe mensual registrado por este concepto durante el ejercicio 2019.</w:t>
      </w:r>
    </w:p>
    <w:p w:rsidR="00000000" w:rsidDel="00000000" w:rsidP="00000000" w:rsidRDefault="00000000" w:rsidRPr="00000000" w14:paraId="000000D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5. ISR por pago a cuenta de Terceros o Retenciones por Arrendamiento de Inmuebles:</w:t>
      </w:r>
      <w:r w:rsidDel="00000000" w:rsidR="00000000" w:rsidRPr="00000000">
        <w:rPr>
          <w:rFonts w:ascii="Palatino Linotype" w:cs="Palatino Linotype" w:eastAsia="Palatino Linotype" w:hAnsi="Palatino Linotype"/>
          <w:i w:val="1"/>
          <w:sz w:val="22"/>
          <w:szCs w:val="22"/>
          <w:rtl w:val="0"/>
        </w:rPr>
        <w:t xml:space="preserve"> En caso de que la entidad presente retenciones por estos conceptos deberá anotar en pesos el importe mensual registrado por este concepto durante el ejercicio 2019.</w:t>
      </w:r>
    </w:p>
    <w:p w:rsidR="00000000" w:rsidDel="00000000" w:rsidP="00000000" w:rsidRDefault="00000000" w:rsidRPr="00000000" w14:paraId="000000D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6.- ISR Retenido por algún otro concepto:</w:t>
      </w:r>
      <w:r w:rsidDel="00000000" w:rsidR="00000000" w:rsidRPr="00000000">
        <w:rPr>
          <w:rFonts w:ascii="Palatino Linotype" w:cs="Palatino Linotype" w:eastAsia="Palatino Linotype" w:hAnsi="Palatino Linotype"/>
          <w:i w:val="1"/>
          <w:sz w:val="22"/>
          <w:szCs w:val="22"/>
          <w:rtl w:val="0"/>
        </w:rPr>
        <w:t xml:space="preserve"> En caso de que la entidad presente retenciones por algún otro concepto no detallado entre los principales, estos deberá anotarse en pesos el importe mensual registrado por este concepto durante el ejercicio 2019.</w:t>
      </w:r>
    </w:p>
    <w:p w:rsidR="00000000" w:rsidDel="00000000" w:rsidP="00000000" w:rsidRDefault="00000000" w:rsidRPr="00000000" w14:paraId="000000D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7.- Actualizaciones y Recargos:</w:t>
      </w:r>
      <w:r w:rsidDel="00000000" w:rsidR="00000000" w:rsidRPr="00000000">
        <w:rPr>
          <w:rFonts w:ascii="Palatino Linotype" w:cs="Palatino Linotype" w:eastAsia="Palatino Linotype" w:hAnsi="Palatino Linotype"/>
          <w:i w:val="1"/>
          <w:sz w:val="22"/>
          <w:szCs w:val="22"/>
          <w:rtl w:val="0"/>
        </w:rPr>
        <w:t xml:space="preserve"> En casos de cumplimiento extemporáneo de obligaciones deberán anotar la suma en pesos de las actualizaciones y los recargos que fueron originados al momento de cumplir con la obligación.</w:t>
      </w:r>
    </w:p>
    <w:p w:rsidR="00000000" w:rsidDel="00000000" w:rsidP="00000000" w:rsidRDefault="00000000" w:rsidRPr="00000000" w14:paraId="000000D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8.- Subsidio al empleo: </w:t>
      </w:r>
      <w:r w:rsidDel="00000000" w:rsidR="00000000" w:rsidRPr="00000000">
        <w:rPr>
          <w:rFonts w:ascii="Palatino Linotype" w:cs="Palatino Linotype" w:eastAsia="Palatino Linotype" w:hAnsi="Palatino Linotype"/>
          <w:i w:val="1"/>
          <w:sz w:val="22"/>
          <w:szCs w:val="22"/>
          <w:rtl w:val="0"/>
        </w:rPr>
        <w:t xml:space="preserve">Anotar en pesos el importe mensual registrado por este concepto de ayuda o apoyo que por ley debe pagarle el patrón al trabajador cuando éste último percibe el salario mínimo durante el ejercicio y que se acredito contra el ISR a cargo.</w:t>
      </w:r>
    </w:p>
    <w:p w:rsidR="00000000" w:rsidDel="00000000" w:rsidP="00000000" w:rsidRDefault="00000000" w:rsidRPr="00000000" w14:paraId="000000D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9.- ISR por pagar; </w:t>
      </w:r>
      <w:r w:rsidDel="00000000" w:rsidR="00000000" w:rsidRPr="00000000">
        <w:rPr>
          <w:rFonts w:ascii="Palatino Linotype" w:cs="Palatino Linotype" w:eastAsia="Palatino Linotype" w:hAnsi="Palatino Linotype"/>
          <w:i w:val="1"/>
          <w:sz w:val="22"/>
          <w:szCs w:val="22"/>
          <w:rtl w:val="0"/>
        </w:rPr>
        <w:t xml:space="preserve">Operación aritmética que consiste en sumar los conceptos de retención de ISR con las actualizaciones y recargos que en su caso se originaron descontando el subsidio.</w:t>
      </w:r>
    </w:p>
    <w:p w:rsidR="00000000" w:rsidDel="00000000" w:rsidP="00000000" w:rsidRDefault="00000000" w:rsidRPr="00000000" w14:paraId="000000D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Refleja el saldo mensual que se debió pagar de las Retenciones del Impuesto Sobre la Renta por Salarios, Honorarios y Arrendamiento del ejercicio 2019.</w:t>
      </w:r>
    </w:p>
    <w:p w:rsidR="00000000" w:rsidDel="00000000" w:rsidP="00000000" w:rsidRDefault="00000000" w:rsidRPr="00000000" w14:paraId="000000D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10.- Pagos realizados de acuerdo a expediente;</w:t>
      </w:r>
      <w:r w:rsidDel="00000000" w:rsidR="00000000" w:rsidRPr="00000000">
        <w:rPr>
          <w:rFonts w:ascii="Palatino Linotype" w:cs="Palatino Linotype" w:eastAsia="Palatino Linotype" w:hAnsi="Palatino Linotype"/>
          <w:i w:val="1"/>
          <w:sz w:val="22"/>
          <w:szCs w:val="22"/>
          <w:rtl w:val="0"/>
        </w:rPr>
        <w:t xml:space="preserve"> Anotar en pesos el importe correspondiente a cada mes de los pagos efectuados por las Retenciones del Impuesto Sobre la Renta por Salarios, Honorarios y Arrendamiento del ejercicio 2019.</w:t>
      </w:r>
    </w:p>
    <w:p w:rsidR="00000000" w:rsidDel="00000000" w:rsidP="00000000" w:rsidRDefault="00000000" w:rsidRPr="00000000" w14:paraId="000000D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11.- Fecha de pago: </w:t>
      </w:r>
      <w:r w:rsidDel="00000000" w:rsidR="00000000" w:rsidRPr="00000000">
        <w:rPr>
          <w:rFonts w:ascii="Palatino Linotype" w:cs="Palatino Linotype" w:eastAsia="Palatino Linotype" w:hAnsi="Palatino Linotype"/>
          <w:i w:val="1"/>
          <w:sz w:val="22"/>
          <w:szCs w:val="22"/>
          <w:rtl w:val="0"/>
        </w:rPr>
        <w:t xml:space="preserve">Especificar la fecha en que se realizó el pago de dicha obligación.</w:t>
      </w:r>
    </w:p>
    <w:p w:rsidR="00000000" w:rsidDel="00000000" w:rsidP="00000000" w:rsidRDefault="00000000" w:rsidRPr="00000000" w14:paraId="000000D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12.- Remanente por pagar:</w:t>
      </w:r>
      <w:r w:rsidDel="00000000" w:rsidR="00000000" w:rsidRPr="00000000">
        <w:rPr>
          <w:rFonts w:ascii="Palatino Linotype" w:cs="Palatino Linotype" w:eastAsia="Palatino Linotype" w:hAnsi="Palatino Linotype"/>
          <w:i w:val="1"/>
          <w:sz w:val="22"/>
          <w:szCs w:val="22"/>
          <w:rtl w:val="0"/>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rsidR="00000000" w:rsidDel="00000000" w:rsidP="00000000" w:rsidRDefault="00000000" w:rsidRPr="00000000" w14:paraId="000000D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13.- Cuenta Contable:</w:t>
      </w:r>
      <w:r w:rsidDel="00000000" w:rsidR="00000000" w:rsidRPr="00000000">
        <w:rPr>
          <w:rFonts w:ascii="Palatino Linotype" w:cs="Palatino Linotype" w:eastAsia="Palatino Linotype" w:hAnsi="Palatino Linotype"/>
          <w:i w:val="1"/>
          <w:sz w:val="22"/>
          <w:szCs w:val="22"/>
          <w:rtl w:val="0"/>
        </w:rPr>
        <w:t xml:space="preserve"> Anotar las subcuentas a nivel registro de la cuenta contable donde se registró la provisión del pasivo para el pago de las Retenciones del Impuesto Sobre la Renta por Salarios, Honorarios y Arrendamiento del ejercicio 2019.</w:t>
      </w:r>
    </w:p>
    <w:p w:rsidR="00000000" w:rsidDel="00000000" w:rsidP="00000000" w:rsidRDefault="00000000" w:rsidRPr="00000000" w14:paraId="000000D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14.- Saldo de la Cuenta de pasivo:</w:t>
      </w:r>
      <w:r w:rsidDel="00000000" w:rsidR="00000000" w:rsidRPr="00000000">
        <w:rPr>
          <w:rFonts w:ascii="Palatino Linotype" w:cs="Palatino Linotype" w:eastAsia="Palatino Linotype" w:hAnsi="Palatino Linotype"/>
          <w:i w:val="1"/>
          <w:sz w:val="22"/>
          <w:szCs w:val="22"/>
          <w:rtl w:val="0"/>
        </w:rPr>
        <w:t xml:space="preserve"> Colocar en pesos el saldo de la cuenta de pasivo que reflejan los reportes contables para cada cuenta que le corresponda.</w:t>
      </w:r>
    </w:p>
    <w:p w:rsidR="00000000" w:rsidDel="00000000" w:rsidP="00000000" w:rsidRDefault="00000000" w:rsidRPr="00000000" w14:paraId="000000D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15. Apartado de Firmas:</w:t>
      </w:r>
      <w:r w:rsidDel="00000000" w:rsidR="00000000" w:rsidRPr="00000000">
        <w:rPr>
          <w:rFonts w:ascii="Palatino Linotype" w:cs="Palatino Linotype" w:eastAsia="Palatino Linotype" w:hAnsi="Palatino Linotype"/>
          <w:i w:val="1"/>
          <w:sz w:val="22"/>
          <w:szCs w:val="22"/>
          <w:rtl w:val="0"/>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rsidR="00000000" w:rsidDel="00000000" w:rsidP="00000000" w:rsidRDefault="00000000" w:rsidRPr="00000000" w14:paraId="000000E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rsidR="00000000" w:rsidDel="00000000" w:rsidP="00000000" w:rsidRDefault="00000000" w:rsidRPr="00000000" w14:paraId="000000E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2">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44000" cy="3131331"/>
            <wp:effectExtent b="0" l="0" r="0" t="0"/>
            <wp:docPr id="115"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5544000" cy="3131331"/>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podemos observar, el documento denominado “Retenciones del Impuesto Sobre la Renta por Salarios, Honorarios y Arrendamiento”, podía satisfacer el requerimiento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al apreciarse en los apartados del documento, que contiene la información peticionada, en consecuencia,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al ser ente fiscalizable por el Órgano Superior de Fiscalización del Estado de México OSFEM, que lo constriñe a remitir la información referida, se encuentra obligado a tenerla en sus archivos, consecuentemente es dable ordenar su entrega.</w:t>
      </w:r>
    </w:p>
    <w:p w:rsidR="00000000" w:rsidDel="00000000" w:rsidP="00000000" w:rsidRDefault="00000000" w:rsidRPr="00000000" w14:paraId="000000E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romano VI, de la lectura del mismo, se acredita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peticiona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realice un procesamiento de información, a efecto de poder comprobarse que los servidores públicos no están siendo afectados por errores en el cálculo de impuestos, por lo que a manera de muestra </w:t>
      </w:r>
      <w:r w:rsidDel="00000000" w:rsidR="00000000" w:rsidRPr="00000000">
        <w:rPr>
          <w:rFonts w:ascii="Palatino Linotype" w:cs="Palatino Linotype" w:eastAsia="Palatino Linotype" w:hAnsi="Palatino Linotype"/>
          <w:b w:val="1"/>
          <w:u w:val="single"/>
          <w:rtl w:val="0"/>
        </w:rPr>
        <w:t xml:space="preserve">calculen los impuestos anuales</w:t>
      </w:r>
      <w:r w:rsidDel="00000000" w:rsidR="00000000" w:rsidRPr="00000000">
        <w:rPr>
          <w:rFonts w:ascii="Palatino Linotype" w:cs="Palatino Linotype" w:eastAsia="Palatino Linotype" w:hAnsi="Palatino Linotype"/>
          <w:rtl w:val="0"/>
        </w:rPr>
        <w:t xml:space="preserve"> de los años 2017, 2018, 2019 y 2020, una vez hecho el procesamiento de la información, deberá realizar un documento de tipo específico que la contenga desagregada conforme a los apartados señalados.</w:t>
      </w:r>
    </w:p>
    <w:p w:rsidR="00000000" w:rsidDel="00000000" w:rsidP="00000000" w:rsidRDefault="00000000" w:rsidRPr="00000000" w14:paraId="000000E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w:t>
      </w:r>
      <w:r w:rsidDel="00000000" w:rsidR="00000000" w:rsidRPr="00000000">
        <w:rPr>
          <w:rFonts w:ascii="Palatino Linotype" w:cs="Palatino Linotype" w:eastAsia="Palatino Linotype" w:hAnsi="Palatino Linotype"/>
          <w:b w:val="1"/>
          <w:u w:val="single"/>
          <w:rtl w:val="0"/>
        </w:rPr>
        <w:t xml:space="preserve">en el estado que se encuentra y no hacer un procesamiento de la misma, ni presentarla conforme al interés del solicitante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como así lo establece el artículo 12 de la Ley de Transparencia y Acceso a la Información Pública del Estado de México y Municipios, que a la letra dice:</w:t>
      </w:r>
    </w:p>
    <w:p w:rsidR="00000000" w:rsidDel="00000000" w:rsidP="00000000" w:rsidRDefault="00000000" w:rsidRPr="00000000" w14:paraId="000000E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E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E8">
      <w:pPr>
        <w:spacing w:after="24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E9">
      <w:pPr>
        <w:spacing w:after="24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p w:rsidR="00000000" w:rsidDel="00000000" w:rsidP="00000000" w:rsidRDefault="00000000" w:rsidRPr="00000000" w14:paraId="000000EA">
      <w:pPr>
        <w:ind w:left="851" w:right="900" w:firstLine="0"/>
        <w:jc w:val="both"/>
        <w:rPr>
          <w:rFonts w:ascii="Palatino Linotype" w:cs="Palatino Linotype" w:eastAsia="Palatino Linotype" w:hAnsi="Palatino Linotype"/>
          <w:i w:val="1"/>
          <w:sz w:val="22"/>
          <w:szCs w:val="22"/>
        </w:rPr>
      </w:pPr>
      <w:bookmarkStart w:colFirst="0" w:colLast="0" w:name="_heading=h.17dp8vu" w:id="7"/>
      <w:bookmarkEnd w:id="7"/>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E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al apreciarse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desea acceder a un soporte documental, sino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realice un procesamiento y cálculo de la información, una vez realizados, genere un documento que contenga desagregada la información, en apartados específicos; lo cual no resulta exigible, consecuentemente, no resulta dable ordenar su entrega.</w:t>
      </w:r>
    </w:p>
    <w:p w:rsidR="00000000" w:rsidDel="00000000" w:rsidP="00000000" w:rsidRDefault="00000000" w:rsidRPr="00000000" w14:paraId="000000E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con relación a las modalidad de entrega de la información </w:t>
      </w:r>
      <w:r w:rsidDel="00000000" w:rsidR="00000000" w:rsidRPr="00000000">
        <w:rPr>
          <w:rFonts w:ascii="Palatino Linotype" w:cs="Palatino Linotype" w:eastAsia="Palatino Linotype" w:hAnsi="Palatino Linotype"/>
          <w:i w:val="1"/>
          <w:rtl w:val="0"/>
        </w:rPr>
        <w:t xml:space="preserve">“…usb, sd y cd-rom.” </w:t>
      </w:r>
      <w:r w:rsidDel="00000000" w:rsidR="00000000" w:rsidRPr="00000000">
        <w:rPr>
          <w:rFonts w:ascii="Palatino Linotype" w:cs="Palatino Linotype" w:eastAsia="Palatino Linotype" w:hAnsi="Palatino Linotype"/>
          <w:rtl w:val="0"/>
        </w:rPr>
        <w:t xml:space="preserve">es de señalar que se encuentran reguladas por el Código Financiero del Estado de México y Municipios en su artículo 148, fracciones III y IV, aplicable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rsidR="00000000" w:rsidDel="00000000" w:rsidP="00000000" w:rsidRDefault="00000000" w:rsidRPr="00000000" w14:paraId="000000ED">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24000" cy="3030348"/>
            <wp:effectExtent b="0" l="0" r="0" t="0"/>
            <wp:docPr id="116"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4824000" cy="303034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1790700</wp:posOffset>
                </wp:positionV>
                <wp:extent cx="4362450" cy="638175"/>
                <wp:effectExtent b="0" l="0" r="0" t="0"/>
                <wp:wrapNone/>
                <wp:docPr id="93" name=""/>
                <a:graphic>
                  <a:graphicData uri="http://schemas.microsoft.com/office/word/2010/wordprocessingShape">
                    <wps:wsp>
                      <wps:cNvSpPr/>
                      <wps:cNvPr id="2" name="Shape 2"/>
                      <wps:spPr>
                        <a:xfrm>
                          <a:off x="3202875" y="3499013"/>
                          <a:ext cx="4286250" cy="561975"/>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1790700</wp:posOffset>
                </wp:positionV>
                <wp:extent cx="4362450" cy="638175"/>
                <wp:effectExtent b="0" l="0" r="0" t="0"/>
                <wp:wrapNone/>
                <wp:docPr id="93" name="image11.png"/>
                <a:graphic>
                  <a:graphicData uri="http://schemas.openxmlformats.org/drawingml/2006/picture">
                    <pic:pic>
                      <pic:nvPicPr>
                        <pic:cNvPr id="0" name="image11.png"/>
                        <pic:cNvPicPr preferRelativeResize="0"/>
                      </pic:nvPicPr>
                      <pic:blipFill>
                        <a:blip r:embed="rId31"/>
                        <a:srcRect/>
                        <a:stretch>
                          <a:fillRect/>
                        </a:stretch>
                      </pic:blipFill>
                      <pic:spPr>
                        <a:xfrm>
                          <a:off x="0" y="0"/>
                          <a:ext cx="4362450" cy="638175"/>
                        </a:xfrm>
                        <a:prstGeom prst="rect"/>
                        <a:ln/>
                      </pic:spPr>
                    </pic:pic>
                  </a:graphicData>
                </a:graphic>
              </wp:anchor>
            </w:drawing>
          </mc:Fallback>
        </mc:AlternateContent>
      </w:r>
    </w:p>
    <w:p w:rsidR="00000000" w:rsidDel="00000000" w:rsidP="00000000" w:rsidRDefault="00000000" w:rsidRPr="00000000" w14:paraId="000000E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la entrega de información en ejercicio del derecho de acceso a la información a través de medios magnéticos o disco compacto, genera derechos a favor de los entes públicos, por lo que el particular deberá cubrir los montos respectivos de manera previa para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la información que es de su interés,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sin embargo, dicho cobró no resultará procedente en el caso de que el solicitante proporcione el medio en el que requiera le sea entregada la información pública.</w:t>
      </w:r>
    </w:p>
    <w:p w:rsidR="00000000" w:rsidDel="00000000" w:rsidP="00000000" w:rsidRDefault="00000000" w:rsidRPr="00000000" w14:paraId="000000E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escapa de la óptica de este Organismo Garante que el particular requirió información del Ayuntamiento y de sus descentralizadas, es decir, del Sistema Municipal para el Desarrollo Integral de la Familia, DIF, el  Sistema de agua, Instituto de la mujer, casa de la cultura, etcétera, siendo imprescindible señalar que, de conformidad con el artículo 42 del  Bando Municipal, la administración pública municipal descentralizada se integra por los siguientes organismos:</w:t>
      </w:r>
    </w:p>
    <w:p w:rsidR="00000000" w:rsidDel="00000000" w:rsidP="00000000" w:rsidRDefault="00000000" w:rsidRPr="00000000" w14:paraId="000000F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42.-</w:t>
      </w:r>
      <w:r w:rsidDel="00000000" w:rsidR="00000000" w:rsidRPr="00000000">
        <w:rPr>
          <w:rFonts w:ascii="Palatino Linotype" w:cs="Palatino Linotype" w:eastAsia="Palatino Linotype" w:hAnsi="Palatino Linotype"/>
          <w:i w:val="1"/>
          <w:sz w:val="22"/>
          <w:szCs w:val="22"/>
          <w:rtl w:val="0"/>
        </w:rPr>
        <w:t xml:space="preserve"> Son funcionarios y/o funcionarias municipales de Almoloya de Alquisiras, los titulares de las siguientes dependencias: </w:t>
      </w:r>
    </w:p>
    <w:p w:rsidR="00000000" w:rsidDel="00000000" w:rsidP="00000000" w:rsidRDefault="00000000" w:rsidRPr="00000000" w14:paraId="000000F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II.ORGANISMOS DESCENTRALIZADOS Sistema Municipal para el Desarrollo Integral de la Familia DIF, Instituto Municipal de Cultura Física y Deporte de Almoloya de Alquisiras, el Instituto Municipal de la Mujer y el Instituto Municipal de la Juventud de Almoloya de Alquisiras.</w:t>
      </w:r>
    </w:p>
    <w:p w:rsidR="00000000" w:rsidDel="00000000" w:rsidP="00000000" w:rsidRDefault="00000000" w:rsidRPr="00000000" w14:paraId="000000F2">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En tal tesitura, de conformidad con el Padrón de Sujetos Obligados en materia de Transparencia y Acceso a la Información Pública del Estado de México y Municipios, aprobado por el Pleno de este Instituto, y sus modificaciones, los organismos descentralizados que establece el citado precepto legal, no son considerados como sujetos obligados independientes, siendo el Ayuntamiento a quien corresponde transparentar las actuaciones de los mismos.</w:t>
      </w:r>
    </w:p>
    <w:p w:rsidR="00000000" w:rsidDel="00000000" w:rsidP="00000000" w:rsidRDefault="00000000" w:rsidRPr="00000000" w14:paraId="000000F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deberá hacer entrega del soporte documental que ha quedado precisado a lo largo del estudio, que corresponda con los organismos que integran la administración pública municipal descentralizada, para satisfacer de la solicitud de información.</w:t>
      </w:r>
    </w:p>
    <w:p w:rsidR="00000000" w:rsidDel="00000000" w:rsidP="00000000" w:rsidRDefault="00000000" w:rsidRPr="00000000" w14:paraId="000000F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sujeto obligado,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0F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F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F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F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F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F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F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F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F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0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0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0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0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0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0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0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0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0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10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10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0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0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10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11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11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11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los Lineamientos en estudio establecen los formatos para la clasificación parcial y total de los documentos, que atienden a lo siguiente:</w:t>
      </w:r>
    </w:p>
    <w:tbl>
      <w:tblPr>
        <w:tblStyle w:val="Table3"/>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93"/>
        <w:gridCol w:w="3421"/>
        <w:gridCol w:w="968"/>
        <w:gridCol w:w="3446"/>
        <w:tblGridChange w:id="0">
          <w:tblGrid>
            <w:gridCol w:w="993"/>
            <w:gridCol w:w="3421"/>
            <w:gridCol w:w="968"/>
            <w:gridCol w:w="3446"/>
          </w:tblGrid>
        </w:tblGridChange>
      </w:tblGrid>
      <w:tr>
        <w:trPr>
          <w:cantSplit w:val="0"/>
          <w:tblHeader w:val="0"/>
        </w:trPr>
        <w:tc>
          <w:tcPr>
            <w:gridSpan w:val="2"/>
          </w:tcPr>
          <w:p w:rsidR="00000000" w:rsidDel="00000000" w:rsidP="00000000" w:rsidRDefault="00000000" w:rsidRPr="00000000" w14:paraId="00000114">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Pr>
          <w:p w:rsidR="00000000" w:rsidDel="00000000" w:rsidP="00000000" w:rsidRDefault="00000000" w:rsidRPr="00000000" w14:paraId="00000116">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118">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119">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11A">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11B">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11C">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12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12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12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12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12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12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12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12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12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12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12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12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12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2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12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12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13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13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13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3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13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13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13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13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13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3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13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3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3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13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3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3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4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14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142">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14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14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14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146">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14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148">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49">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4A">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14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14C">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4D">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4E">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14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53">
      <w:pPr>
        <w:spacing w:after="240" w:before="240" w:line="360" w:lineRule="auto"/>
        <w:jc w:val="both"/>
        <w:rPr>
          <w:rFonts w:ascii="Palatino Linotype" w:cs="Palatino Linotype" w:eastAsia="Palatino Linotype" w:hAnsi="Palatino Linotype"/>
          <w:b w:val="1"/>
        </w:rPr>
      </w:pPr>
      <w:bookmarkStart w:colFirst="0" w:colLast="0" w:name="_heading=h.3dy6vkm" w:id="8"/>
      <w:bookmarkEnd w:id="8"/>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parcialmente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01054/INFOEM/IP/RR/2022,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Revoca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54">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y Quinto </w:t>
      </w:r>
      <w:r w:rsidDel="00000000" w:rsidR="00000000" w:rsidRPr="00000000">
        <w:rPr>
          <w:rFonts w:ascii="Palatino Linotype" w:cs="Palatino Linotype" w:eastAsia="Palatino Linotype" w:hAnsi="Palatino Linotype"/>
          <w:rtl w:val="0"/>
        </w:rPr>
        <w:t xml:space="preserve">de esta resolución, haga entrega, vía SAIMEX, correo electrónico, medios magnéticos (con costo) y CD-ROM (con costo), en versión pública de ser procedente, del soporte documental en el que obre al mayor grado de desagregación posible lo siguiente:</w:t>
      </w:r>
    </w:p>
    <w:p w:rsidR="00000000" w:rsidDel="00000000" w:rsidP="00000000" w:rsidRDefault="00000000" w:rsidRPr="00000000" w14:paraId="0000015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administración pública municipal centralizada, así como de los organismos descentralizados:</w:t>
      </w:r>
    </w:p>
    <w:p w:rsidR="00000000" w:rsidDel="00000000" w:rsidP="00000000" w:rsidRDefault="00000000" w:rsidRPr="00000000" w14:paraId="00000156">
      <w:pPr>
        <w:numPr>
          <w:ilvl w:val="0"/>
          <w:numId w:val="1"/>
        </w:numPr>
        <w:pBdr>
          <w:top w:space="0" w:sz="0" w:val="nil"/>
          <w:left w:space="0" w:sz="0" w:val="nil"/>
          <w:bottom w:space="0" w:sz="0" w:val="nil"/>
          <w:right w:space="0" w:sz="0" w:val="nil"/>
          <w:between w:space="0" w:sz="0" w:val="nil"/>
        </w:pBdr>
        <w:spacing w:before="24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Reportes del aplicativo “Visor de nómina del SAT” por los años 2018, 2019, 2020, y 2021 en sus tres presentaciones: </w:t>
      </w:r>
    </w:p>
    <w:p w:rsidR="00000000" w:rsidDel="00000000" w:rsidP="00000000" w:rsidRDefault="00000000" w:rsidRPr="00000000" w14:paraId="00000157">
      <w:pPr>
        <w:numPr>
          <w:ilvl w:val="0"/>
          <w:numId w:val="3"/>
        </w:numPr>
        <w:pBdr>
          <w:top w:space="0" w:sz="0" w:val="nil"/>
          <w:left w:space="0" w:sz="0" w:val="nil"/>
          <w:bottom w:space="0" w:sz="0" w:val="nil"/>
          <w:right w:space="0" w:sz="0" w:val="nil"/>
          <w:between w:space="0" w:sz="0" w:val="nil"/>
        </w:pBdr>
        <w:spacing w:after="120" w:lineRule="auto"/>
        <w:ind w:left="113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Vista anual acumulada. </w:t>
      </w:r>
    </w:p>
    <w:p w:rsidR="00000000" w:rsidDel="00000000" w:rsidP="00000000" w:rsidRDefault="00000000" w:rsidRPr="00000000" w14:paraId="00000158">
      <w:pPr>
        <w:numPr>
          <w:ilvl w:val="0"/>
          <w:numId w:val="2"/>
        </w:numPr>
        <w:pBdr>
          <w:top w:space="0" w:sz="0" w:val="nil"/>
          <w:left w:space="0" w:sz="0" w:val="nil"/>
          <w:bottom w:space="0" w:sz="0" w:val="nil"/>
          <w:right w:space="0" w:sz="0" w:val="nil"/>
          <w:between w:space="0" w:sz="0" w:val="nil"/>
        </w:pBdr>
        <w:spacing w:after="120" w:before="120" w:lineRule="auto"/>
        <w:ind w:left="113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Detalle mensual. </w:t>
      </w:r>
    </w:p>
    <w:p w:rsidR="00000000" w:rsidDel="00000000" w:rsidP="00000000" w:rsidRDefault="00000000" w:rsidRPr="00000000" w14:paraId="00000159">
      <w:pPr>
        <w:numPr>
          <w:ilvl w:val="0"/>
          <w:numId w:val="2"/>
        </w:numPr>
        <w:pBdr>
          <w:top w:space="0" w:sz="0" w:val="nil"/>
          <w:left w:space="0" w:sz="0" w:val="nil"/>
          <w:bottom w:space="0" w:sz="0" w:val="nil"/>
          <w:right w:space="0" w:sz="0" w:val="nil"/>
          <w:between w:space="0" w:sz="0" w:val="nil"/>
        </w:pBdr>
        <w:spacing w:after="120" w:before="120" w:lineRule="auto"/>
        <w:ind w:left="113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Detalle diferencias sueldos y salarios. </w:t>
      </w:r>
    </w:p>
    <w:p w:rsidR="00000000" w:rsidDel="00000000" w:rsidP="00000000" w:rsidRDefault="00000000" w:rsidRPr="00000000" w14:paraId="0000015A">
      <w:pPr>
        <w:numPr>
          <w:ilvl w:val="0"/>
          <w:numId w:val="1"/>
        </w:numPr>
        <w:pBdr>
          <w:top w:space="0" w:sz="0" w:val="nil"/>
          <w:left w:space="0" w:sz="0" w:val="nil"/>
          <w:bottom w:space="0" w:sz="0" w:val="nil"/>
          <w:right w:space="0" w:sz="0" w:val="nil"/>
          <w:between w:space="0" w:sz="0" w:val="nil"/>
        </w:pBdr>
        <w:spacing w:before="12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Opinión del cumplimiento de obligaciones fiscales emitida por el Servicio de Administración Tributaria, SAT.</w:t>
      </w:r>
    </w:p>
    <w:p w:rsidR="00000000" w:rsidDel="00000000" w:rsidP="00000000" w:rsidRDefault="00000000" w:rsidRPr="00000000" w14:paraId="0000015B">
      <w:pPr>
        <w:numPr>
          <w:ilvl w:val="0"/>
          <w:numId w:val="1"/>
        </w:numPr>
        <w:pBdr>
          <w:top w:space="0" w:sz="0" w:val="nil"/>
          <w:left w:space="0" w:sz="0" w:val="nil"/>
          <w:bottom w:space="0" w:sz="0" w:val="nil"/>
          <w:right w:space="0" w:sz="0" w:val="nil"/>
          <w:between w:space="0" w:sz="0" w:val="nil"/>
        </w:pBdr>
        <w:spacing w:after="240"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Retenciones del Impuesto Sobre la Renta por Salarios, Honorarios y Arrendamiento del periodo del 01 de enero de 2019 al 31 de octubre de 2021.</w:t>
      </w:r>
    </w:p>
    <w:p w:rsidR="00000000" w:rsidDel="00000000" w:rsidP="00000000" w:rsidRDefault="00000000" w:rsidRPr="00000000" w14:paraId="0000015C">
      <w:pPr>
        <w:spacing w:after="240" w:before="240" w:lineRule="auto"/>
        <w:ind w:left="567"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Para la expedición de la información en medios magnéticos (con costo) y CD-ROM (con costo), el </w:t>
      </w:r>
      <w:r w:rsidDel="00000000" w:rsidR="00000000" w:rsidRPr="00000000">
        <w:rPr>
          <w:rFonts w:ascii="Palatino Linotype" w:cs="Palatino Linotype" w:eastAsia="Palatino Linotype" w:hAnsi="Palatino Linotype"/>
          <w:b w:val="1"/>
          <w:i w:val="1"/>
          <w:sz w:val="20"/>
          <w:szCs w:val="20"/>
          <w:rtl w:val="0"/>
        </w:rPr>
        <w:t xml:space="preserve">Sujeto Obligado</w:t>
      </w:r>
      <w:r w:rsidDel="00000000" w:rsidR="00000000" w:rsidRPr="00000000">
        <w:rPr>
          <w:rFonts w:ascii="Palatino Linotype" w:cs="Palatino Linotype" w:eastAsia="Palatino Linotype" w:hAnsi="Palatino Linotype"/>
          <w:i w:val="1"/>
          <w:sz w:val="20"/>
          <w:szCs w:val="20"/>
          <w:rtl w:val="0"/>
        </w:rPr>
        <w:t xml:space="preserve"> deberá informar a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mediante SAIMEX el procedimiento exacto y detallado para su obtención (lugar, días, horas hábiles, etc.), debiendo acreditar El </w:t>
      </w:r>
      <w:r w:rsidDel="00000000" w:rsidR="00000000" w:rsidRPr="00000000">
        <w:rPr>
          <w:rFonts w:ascii="Palatino Linotype" w:cs="Palatino Linotype" w:eastAsia="Palatino Linotype" w:hAnsi="Palatino Linotype"/>
          <w:b w:val="1"/>
          <w:i w:val="1"/>
          <w:sz w:val="20"/>
          <w:szCs w:val="20"/>
          <w:rtl w:val="0"/>
        </w:rPr>
        <w:t xml:space="preserve">Sujeto Obligado</w:t>
      </w:r>
      <w:r w:rsidDel="00000000" w:rsidR="00000000" w:rsidRPr="00000000">
        <w:rPr>
          <w:rFonts w:ascii="Palatino Linotype" w:cs="Palatino Linotype" w:eastAsia="Palatino Linotype" w:hAnsi="Palatino Linotype"/>
          <w:i w:val="1"/>
          <w:sz w:val="20"/>
          <w:szCs w:val="20"/>
          <w:rtl w:val="0"/>
        </w:rPr>
        <w:t xml:space="preserve"> la entrega de la información a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Para el caso de que el particular proporcione a la autoridad municipal el medio magnético o CD-ROM en el que requiera le sea entregada la información pública no habrá costo que cubrir.</w:t>
      </w:r>
    </w:p>
    <w:p w:rsidR="00000000" w:rsidDel="00000000" w:rsidP="00000000" w:rsidRDefault="00000000" w:rsidRPr="00000000" w14:paraId="0000015D">
      <w:pPr>
        <w:spacing w:after="240" w:before="240" w:lineRule="auto"/>
        <w:ind w:left="567"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mismo que igualmente hará de su conocimiento.</w:t>
      </w:r>
    </w:p>
    <w:p w:rsidR="00000000" w:rsidDel="00000000" w:rsidP="00000000" w:rsidRDefault="00000000" w:rsidRPr="00000000" w14:paraId="0000015E">
      <w:pPr>
        <w:spacing w:after="240" w:before="240" w:lineRule="auto"/>
        <w:ind w:left="567"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Respecto del numeral </w:t>
      </w:r>
      <w:r w:rsidDel="00000000" w:rsidR="00000000" w:rsidRPr="00000000">
        <w:rPr>
          <w:rFonts w:ascii="Palatino Linotype" w:cs="Palatino Linotype" w:eastAsia="Palatino Linotype" w:hAnsi="Palatino Linotype"/>
          <w:b w:val="1"/>
          <w:i w:val="1"/>
          <w:sz w:val="20"/>
          <w:szCs w:val="20"/>
          <w:rtl w:val="0"/>
        </w:rPr>
        <w:t xml:space="preserve">1</w:t>
      </w:r>
      <w:r w:rsidDel="00000000" w:rsidR="00000000" w:rsidRPr="00000000">
        <w:rPr>
          <w:rFonts w:ascii="Palatino Linotype" w:cs="Palatino Linotype" w:eastAsia="Palatino Linotype" w:hAnsi="Palatino Linotype"/>
          <w:i w:val="1"/>
          <w:sz w:val="20"/>
          <w:szCs w:val="20"/>
          <w:rtl w:val="0"/>
        </w:rPr>
        <w:t xml:space="preserve">, en el supuesto que una vez agotada la búsqueda de la información, se acredite no contar con la misma, deberá hacerlo del conocimiento de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en términos del artículo 19 de la Ley de Transparencia local.</w:t>
      </w:r>
    </w:p>
    <w:p w:rsidR="00000000" w:rsidDel="00000000" w:rsidP="00000000" w:rsidRDefault="00000000" w:rsidRPr="00000000" w14:paraId="0000015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16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61">
      <w:pPr>
        <w:spacing w:after="240" w:before="240" w:line="360" w:lineRule="auto"/>
        <w:jc w:val="both"/>
        <w:rPr>
          <w:rFonts w:ascii="Palatino Linotype" w:cs="Palatino Linotype" w:eastAsia="Palatino Linotype" w:hAnsi="Palatino Linotype"/>
        </w:rPr>
      </w:pPr>
      <w:bookmarkStart w:colFirst="0" w:colLast="0" w:name="_heading=h.4d34og8" w:id="9"/>
      <w:bookmarkEnd w:id="9"/>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correo electrónico</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6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SEXTA SESIÓN ORDINARIA CELEBRADA EL CUATRO DE MAYO DE DOS MIL VEINTIDÓS, ANTE EL SECRETARIO TÉCNICO DEL PLENO ALEXIS TAPIA RAMÍREZ.</w:t>
      </w:r>
    </w:p>
    <w:p w:rsidR="00000000" w:rsidDel="00000000" w:rsidP="00000000" w:rsidRDefault="00000000" w:rsidRPr="00000000" w14:paraId="0000016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32" w:type="default"/>
      <w:headerReference r:id="rId33" w:type="first"/>
      <w:footerReference r:id="rId34" w:type="default"/>
      <w:footerReference r:id="rId35"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center" w:pos="4252"/>
        <w:tab w:val="right"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79">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17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1">
    <w:p w:rsidR="00000000" w:rsidDel="00000000" w:rsidP="00000000" w:rsidRDefault="00000000" w:rsidRPr="00000000" w14:paraId="0000017B">
      <w:pPr>
        <w:jc w:val="both"/>
        <w:rPr>
          <w:rFonts w:ascii="Palatino Linotype" w:cs="Palatino Linotype" w:eastAsia="Palatino Linotype" w:hAnsi="Palatino Linotype"/>
          <w:i w:val="1"/>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i w:val="1"/>
          <w:sz w:val="16"/>
          <w:szCs w:val="16"/>
          <w:rtl w:val="0"/>
        </w:rPr>
        <w:t xml:space="preserve"> “Artículo 24. Para el cumplimiento de los objetivos de esta Ley, los sujetos obligados deberán cumplir con las siguientes obligaciones, según corresponda, de acuerdo a su naturaleza:</w:t>
      </w:r>
    </w:p>
    <w:p w:rsidR="00000000" w:rsidDel="00000000" w:rsidP="00000000" w:rsidRDefault="00000000" w:rsidRPr="00000000" w14:paraId="0000017C">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i w:val="1"/>
          <w:sz w:val="16"/>
          <w:szCs w:val="16"/>
          <w:rtl w:val="0"/>
        </w:rPr>
        <w:t xml:space="preserve">….</w:t>
      </w:r>
    </w:p>
    <w:p w:rsidR="00000000" w:rsidDel="00000000" w:rsidP="00000000" w:rsidRDefault="00000000" w:rsidRPr="00000000" w14:paraId="0000017D">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i w:val="1"/>
          <w:sz w:val="16"/>
          <w:szCs w:val="16"/>
          <w:rtl w:val="0"/>
        </w:rPr>
        <w:t xml:space="preserve">Los sujetos obligados solo proporcionarán la información pública que generen, administren o posean en el ejercicio de sus atribuciones.”(Sic)</w:t>
      </w:r>
    </w:p>
  </w:footnote>
  <w:footnote w:id="2">
    <w:p w:rsidR="00000000" w:rsidDel="00000000" w:rsidP="00000000" w:rsidRDefault="00000000" w:rsidRPr="00000000" w14:paraId="0000017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hyperlink r:id="rId1">
        <w:r w:rsidDel="00000000" w:rsidR="00000000" w:rsidRPr="00000000">
          <w:rPr>
            <w:rFonts w:ascii="Palatino Linotype" w:cs="Palatino Linotype" w:eastAsia="Palatino Linotype" w:hAnsi="Palatino Linotype"/>
            <w:color w:val="0000ff"/>
            <w:sz w:val="16"/>
            <w:szCs w:val="16"/>
            <w:u w:val="single"/>
            <w:rtl w:val="0"/>
          </w:rPr>
          <w:t xml:space="preserve">https://www.sat.gob.mx/declaracion/90887/consulta-el-visor-de-comprobantes-de-nomina-para-el-patron-</w:t>
        </w:r>
      </w:hyperlink>
      <w:r w:rsidDel="00000000" w:rsidR="00000000" w:rsidRPr="00000000">
        <w:rPr>
          <w:rFonts w:ascii="Palatino Linotype" w:cs="Palatino Linotype" w:eastAsia="Palatino Linotype" w:hAnsi="Palatino Linotype"/>
          <w:color w:val="000000"/>
          <w:sz w:val="16"/>
          <w:szCs w:val="16"/>
          <w:rtl w:val="0"/>
        </w:rPr>
        <w:t xml:space="preserve"> o </w:t>
      </w:r>
      <w:hyperlink r:id="rId2">
        <w:r w:rsidDel="00000000" w:rsidR="00000000" w:rsidRPr="00000000">
          <w:rPr>
            <w:rFonts w:ascii="Palatino Linotype" w:cs="Palatino Linotype" w:eastAsia="Palatino Linotype" w:hAnsi="Palatino Linotype"/>
            <w:color w:val="0000ff"/>
            <w:sz w:val="16"/>
            <w:szCs w:val="16"/>
            <w:u w:val="single"/>
            <w:rtl w:val="0"/>
          </w:rPr>
          <w:t xml:space="preserve">https://www.sat.gob.mx/personas/declaraciones</w:t>
        </w:r>
      </w:hyperlink>
      <w:r w:rsidDel="00000000" w:rsidR="00000000" w:rsidRPr="00000000">
        <w:rPr>
          <w:rFonts w:ascii="Palatino Linotype" w:cs="Palatino Linotype" w:eastAsia="Palatino Linotype" w:hAnsi="Palatino Linotype"/>
          <w:color w:val="000000"/>
          <w:sz w:val="16"/>
          <w:szCs w:val="16"/>
          <w:rtl w:val="0"/>
        </w:rPr>
        <w:t xml:space="preserve"> </w:t>
      </w:r>
    </w:p>
  </w:footnote>
  <w:footnote w:id="3">
    <w:p w:rsidR="00000000" w:rsidDel="00000000" w:rsidP="00000000" w:rsidRDefault="00000000" w:rsidRPr="00000000" w14:paraId="0000017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https://www.sat.gob.mx/consultas/20777/consulta-tu-opinion-de-cumplimiento-de-obligaciones-fiscales#</w:t>
      </w:r>
    </w:p>
  </w:footnote>
  <w:footnote w:id="4">
    <w:p w:rsidR="00000000" w:rsidDel="00000000" w:rsidP="00000000" w:rsidRDefault="00000000" w:rsidRPr="00000000" w14:paraId="0000018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hyperlink r:id="rId3">
        <w:r w:rsidDel="00000000" w:rsidR="00000000" w:rsidRPr="00000000">
          <w:rPr>
            <w:rFonts w:ascii="Palatino Linotype" w:cs="Palatino Linotype" w:eastAsia="Palatino Linotype" w:hAnsi="Palatino Linotype"/>
            <w:color w:val="0000ff"/>
            <w:sz w:val="16"/>
            <w:szCs w:val="16"/>
            <w:u w:val="single"/>
            <w:rtl w:val="0"/>
          </w:rPr>
          <w:t xml:space="preserve">http://www.imss.gob.mx/sites/all/statics/pdf/leyes/LSS.pdf</w:t>
        </w:r>
      </w:hyperlink>
      <w:r w:rsidDel="00000000" w:rsidR="00000000" w:rsidRPr="00000000">
        <w:rPr>
          <w:rFonts w:ascii="Palatino Linotype" w:cs="Palatino Linotype" w:eastAsia="Palatino Linotype" w:hAnsi="Palatino Linotype"/>
          <w:color w:val="000000"/>
          <w:sz w:val="16"/>
          <w:szCs w:val="16"/>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tbl>
    <w:tblPr>
      <w:tblStyle w:val="Table4"/>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18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83">
          <w:pPr>
            <w:tabs>
              <w:tab w:val="left"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01054/INFOEM/IP/RR/2022</w:t>
          </w:r>
        </w:p>
      </w:tc>
    </w:tr>
    <w:tr>
      <w:trPr>
        <w:cantSplit w:val="0"/>
        <w:trHeight w:val="130" w:hRule="atLeast"/>
        <w:tblHeader w:val="0"/>
      </w:trPr>
      <w:tc>
        <w:tcPr>
          <w:shd w:fill="auto" w:val="clear"/>
          <w:vAlign w:val="center"/>
        </w:tcPr>
        <w:p w:rsidR="00000000" w:rsidDel="00000000" w:rsidP="00000000" w:rsidRDefault="00000000" w:rsidRPr="00000000" w14:paraId="0000018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8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 XXXXXXX XXXXXXX</w:t>
          </w:r>
        </w:p>
      </w:tc>
    </w:tr>
    <w:tr>
      <w:trPr>
        <w:cantSplit w:val="0"/>
        <w:trHeight w:val="228" w:hRule="atLeast"/>
        <w:tblHeader w:val="0"/>
      </w:trPr>
      <w:tc>
        <w:tcPr>
          <w:shd w:fill="auto" w:val="clear"/>
          <w:vAlign w:val="center"/>
        </w:tcPr>
        <w:p w:rsidR="00000000" w:rsidDel="00000000" w:rsidP="00000000" w:rsidRDefault="00000000" w:rsidRPr="00000000" w14:paraId="0000018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87">
          <w:pPr>
            <w:ind w:left="-45" w:right="176" w:firstLine="0"/>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Almoloya de Alquisiras</w:t>
          </w:r>
        </w:p>
      </w:tc>
    </w:tr>
    <w:tr>
      <w:trPr>
        <w:cantSplit w:val="0"/>
        <w:tblHeader w:val="0"/>
      </w:trPr>
      <w:tc>
        <w:tcPr>
          <w:shd w:fill="auto" w:val="clear"/>
          <w:vAlign w:val="center"/>
        </w:tcPr>
        <w:p w:rsidR="00000000" w:rsidDel="00000000" w:rsidP="00000000" w:rsidRDefault="00000000" w:rsidRPr="00000000" w14:paraId="0000018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89">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-1089655</wp:posOffset>
          </wp:positionH>
          <wp:positionV relativeFrom="paragraph">
            <wp:posOffset>-1169665</wp:posOffset>
          </wp:positionV>
          <wp:extent cx="7809865" cy="10165715"/>
          <wp:effectExtent b="0" l="0" r="0" t="0"/>
          <wp:wrapNone/>
          <wp:docPr id="9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-1080130</wp:posOffset>
          </wp:positionH>
          <wp:positionV relativeFrom="paragraph">
            <wp:posOffset>-488310</wp:posOffset>
          </wp:positionV>
          <wp:extent cx="7809865" cy="10165715"/>
          <wp:effectExtent b="0" l="0" r="0" t="0"/>
          <wp:wrapNone/>
          <wp:docPr id="10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5"/>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8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8D">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01054/INFOEM/IP/RR/2022</w:t>
          </w:r>
        </w:p>
      </w:tc>
    </w:tr>
    <w:tr>
      <w:trPr>
        <w:cantSplit w:val="0"/>
        <w:trHeight w:val="228" w:hRule="atLeast"/>
        <w:tblHeader w:val="0"/>
      </w:trPr>
      <w:tc>
        <w:tcPr>
          <w:shd w:fill="auto" w:val="clear"/>
          <w:vAlign w:val="center"/>
        </w:tcPr>
        <w:p w:rsidR="00000000" w:rsidDel="00000000" w:rsidP="00000000" w:rsidRDefault="00000000" w:rsidRPr="00000000" w14:paraId="0000018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8F">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Almoloya de Alquisiras</w:t>
          </w:r>
        </w:p>
      </w:tc>
    </w:tr>
    <w:tr>
      <w:trPr>
        <w:cantSplit w:val="0"/>
        <w:tblHeader w:val="0"/>
      </w:trPr>
      <w:tc>
        <w:tcPr>
          <w:shd w:fill="auto" w:val="clear"/>
          <w:vAlign w:val="center"/>
        </w:tcPr>
        <w:p w:rsidR="00000000" w:rsidDel="00000000" w:rsidP="00000000" w:rsidRDefault="00000000" w:rsidRPr="00000000" w14:paraId="00000190">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91">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2"/>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353" w:hanging="359"/>
      </w:pPr>
      <w:rPr/>
    </w:lvl>
    <w:lvl w:ilvl="1">
      <w:start w:val="1"/>
      <w:numFmt w:val="lowerLetter"/>
      <w:lvlText w:val="%2."/>
      <w:lvlJc w:val="left"/>
      <w:pPr>
        <w:ind w:left="2073" w:hanging="360"/>
      </w:pPr>
      <w:rPr/>
    </w:lvl>
    <w:lvl w:ilvl="2">
      <w:start w:val="1"/>
      <w:numFmt w:val="lowerRoman"/>
      <w:lvlText w:val="%3."/>
      <w:lvlJc w:val="right"/>
      <w:pPr>
        <w:ind w:left="2793" w:hanging="180"/>
      </w:pPr>
      <w:rPr/>
    </w:lvl>
    <w:lvl w:ilvl="3">
      <w:start w:val="1"/>
      <w:numFmt w:val="decimal"/>
      <w:lvlText w:val="%4."/>
      <w:lvlJc w:val="left"/>
      <w:pPr>
        <w:ind w:left="3513" w:hanging="360"/>
      </w:pPr>
      <w:rPr/>
    </w:lvl>
    <w:lvl w:ilvl="4">
      <w:start w:val="1"/>
      <w:numFmt w:val="lowerLetter"/>
      <w:lvlText w:val="%5."/>
      <w:lvlJc w:val="left"/>
      <w:pPr>
        <w:ind w:left="4233" w:hanging="360"/>
      </w:pPr>
      <w:rPr/>
    </w:lvl>
    <w:lvl w:ilvl="5">
      <w:start w:val="1"/>
      <w:numFmt w:val="lowerRoman"/>
      <w:lvlText w:val="%6."/>
      <w:lvlJc w:val="right"/>
      <w:pPr>
        <w:ind w:left="4953" w:hanging="180"/>
      </w:pPr>
      <w:rPr/>
    </w:lvl>
    <w:lvl w:ilvl="6">
      <w:start w:val="1"/>
      <w:numFmt w:val="decimal"/>
      <w:lvlText w:val="%7."/>
      <w:lvlJc w:val="left"/>
      <w:pPr>
        <w:ind w:left="5673" w:hanging="360"/>
      </w:pPr>
      <w:rPr/>
    </w:lvl>
    <w:lvl w:ilvl="7">
      <w:start w:val="1"/>
      <w:numFmt w:val="lowerLetter"/>
      <w:lvlText w:val="%8."/>
      <w:lvlJc w:val="left"/>
      <w:pPr>
        <w:ind w:left="6393" w:hanging="360"/>
      </w:pPr>
      <w:rPr/>
    </w:lvl>
    <w:lvl w:ilvl="8">
      <w:start w:val="1"/>
      <w:numFmt w:val="lowerRoman"/>
      <w:lvlText w:val="%9."/>
      <w:lvlJc w:val="right"/>
      <w:pPr>
        <w:ind w:left="7113"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2"/>
    <w:tblPr>
      <w:tblStyleRowBandSize w:val="1"/>
      <w:tblStyleColBandSize w:val="1"/>
      <w:tblCellMar>
        <w:top w:w="0.0" w:type="dxa"/>
        <w:left w:w="115.0" w:type="dxa"/>
        <w:bottom w:w="0.0" w:type="dxa"/>
        <w:right w:w="115.0" w:type="dxa"/>
      </w:tblCellMar>
    </w:tblPr>
  </w:style>
  <w:style w:type="table" w:styleId="a2" w:customStyle="1">
    <w:basedOn w:val="TableNormal2"/>
    <w:tblPr>
      <w:tblStyleRowBandSize w:val="1"/>
      <w:tblStyleColBandSize w:val="1"/>
      <w:tblCellMar>
        <w:top w:w="0.0" w:type="dxa"/>
        <w:left w:w="115.0" w:type="dxa"/>
        <w:bottom w:w="0.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paragraph" w:styleId="Citas" w:customStyle="1">
    <w:name w:val="Citas"/>
    <w:basedOn w:val="Normal"/>
    <w:qFormat w:val="1"/>
    <w:rsid w:val="00933F6B"/>
    <w:pPr>
      <w:spacing w:after="160" w:before="240" w:line="360" w:lineRule="auto"/>
      <w:ind w:left="851" w:right="851"/>
      <w:jc w:val="both"/>
    </w:pPr>
    <w:rPr>
      <w:rFonts w:ascii="Palatino Linotype" w:cs="Arial" w:hAnsi="Palatino Linotype" w:eastAsiaTheme="minorHAnsi"/>
      <w:i w:val="1"/>
      <w:sz w:val="22"/>
      <w:szCs w:val="22"/>
      <w:lang w:eastAsia="en-US"/>
    </w:rPr>
  </w:style>
  <w:style w:type="table" w:styleId="a3" w:customStyle="1">
    <w:basedOn w:val="TableNormal2"/>
    <w:tblPr>
      <w:tblStyleRowBandSize w:val="1"/>
      <w:tblStyleColBandSize w:val="1"/>
      <w:tblCellMar>
        <w:top w:w="0.0" w:type="dxa"/>
        <w:left w:w="115.0" w:type="dxa"/>
        <w:bottom w:w="0.0" w:type="dxa"/>
        <w:right w:w="115.0" w:type="dxa"/>
      </w:tblCellMar>
    </w:tblPr>
  </w:style>
  <w:style w:type="table" w:styleId="a4" w:customStyle="1">
    <w:basedOn w:val="TableNormal2"/>
    <w:tblPr>
      <w:tblStyleRowBandSize w:val="1"/>
      <w:tblStyleColBandSize w:val="1"/>
      <w:tblCellMar>
        <w:top w:w="0.0" w:type="dxa"/>
        <w:left w:w="115.0" w:type="dxa"/>
        <w:bottom w:w="0.0" w:type="dxa"/>
        <w:right w:w="115.0" w:type="dxa"/>
      </w:tblCellMar>
    </w:tblPr>
  </w:style>
  <w:style w:type="table" w:styleId="a5" w:customStyle="1">
    <w:basedOn w:val="TableNormal2"/>
    <w:tblPr>
      <w:tblStyleRowBandSize w:val="1"/>
      <w:tblStyleColBandSize w:val="1"/>
      <w:tblCellMar>
        <w:top w:w="0.0" w:type="dxa"/>
        <w:left w:w="115.0" w:type="dxa"/>
        <w:bottom w:w="0.0" w:type="dxa"/>
        <w:right w:w="115.0" w:type="dxa"/>
      </w:tblCellMar>
    </w:tblPr>
  </w:style>
  <w:style w:type="table" w:styleId="a6" w:customStyle="1">
    <w:basedOn w:val="TableNormal2"/>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2"/>
    <w:tblPr>
      <w:tblStyleRowBandSize w:val="1"/>
      <w:tblStyleColBandSize w:val="1"/>
      <w:tblCellMar>
        <w:top w:w="0.0" w:type="dxa"/>
        <w:left w:w="115.0" w:type="dxa"/>
        <w:bottom w:w="0.0" w:type="dxa"/>
        <w:right w:w="115.0" w:type="dxa"/>
      </w:tblCellMar>
    </w:tblPr>
  </w:style>
  <w:style w:type="table" w:styleId="a8" w:customStyle="1">
    <w:basedOn w:val="TableNormal2"/>
    <w:tblPr>
      <w:tblStyleRowBandSize w:val="1"/>
      <w:tblStyleColBandSize w:val="1"/>
      <w:tblCellMar>
        <w:top w:w="0.0" w:type="dxa"/>
        <w:left w:w="115.0" w:type="dxa"/>
        <w:bottom w:w="0.0" w:type="dxa"/>
        <w:right w:w="115.0" w:type="dxa"/>
      </w:tblCellMar>
    </w:tblPr>
  </w:style>
  <w:style w:type="table" w:styleId="a9" w:customStyle="1">
    <w:basedOn w:val="TableNormal1"/>
    <w:tblPr>
      <w:tblStyleRowBandSize w:val="1"/>
      <w:tblStyleColBandSize w:val="1"/>
      <w:tblCellMar>
        <w:top w:w="0.0" w:type="dxa"/>
        <w:left w:w="115.0" w:type="dxa"/>
        <w:bottom w:w="0.0" w:type="dxa"/>
        <w:right w:w="115.0" w:type="dxa"/>
      </w:tblCellMar>
    </w:tblPr>
  </w:style>
  <w:style w:type="table" w:styleId="aa" w:customStyle="1">
    <w:basedOn w:val="TableNormal1"/>
    <w:tblPr>
      <w:tblStyleRowBandSize w:val="1"/>
      <w:tblStyleColBandSize w:val="1"/>
      <w:tblCellMar>
        <w:top w:w="0.0" w:type="dxa"/>
        <w:left w:w="115.0" w:type="dxa"/>
        <w:bottom w:w="0.0" w:type="dxa"/>
        <w:right w:w="115.0" w:type="dxa"/>
      </w:tblCellMar>
    </w:tblPr>
  </w:style>
  <w:style w:type="table" w:styleId="ab" w:customStyle="1">
    <w:basedOn w:val="TableNormal1"/>
    <w:tblPr>
      <w:tblStyleRowBandSize w:val="1"/>
      <w:tblStyleColBandSize w:val="1"/>
      <w:tblCellMar>
        <w:top w:w="0.0" w:type="dxa"/>
        <w:left w:w="115.0" w:type="dxa"/>
        <w:bottom w:w="0.0" w:type="dxa"/>
        <w:right w:w="115.0" w:type="dxa"/>
      </w:tblCellMar>
    </w:tblPr>
  </w:style>
  <w:style w:type="table" w:styleId="ac" w:customStyle="1">
    <w:basedOn w:val="TableNormal1"/>
    <w:tblPr>
      <w:tblStyleRowBandSize w:val="1"/>
      <w:tblStyleColBandSize w:val="1"/>
      <w:tblCellMar>
        <w:top w:w="0.0" w:type="dxa"/>
        <w:left w:w="115.0" w:type="dxa"/>
        <w:bottom w:w="0.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d" w:customStyle="1">
    <w:basedOn w:val="TableNormal1"/>
    <w:tblPr>
      <w:tblStyleRowBandSize w:val="1"/>
      <w:tblStyleColBandSize w:val="1"/>
      <w:tblCellMar>
        <w:top w:w="0.0" w:type="dxa"/>
        <w:left w:w="115.0" w:type="dxa"/>
        <w:bottom w:w="0.0" w:type="dxa"/>
        <w:right w:w="115.0" w:type="dxa"/>
      </w:tblCellMar>
    </w:tblPr>
  </w:style>
  <w:style w:type="table" w:styleId="ae" w:customStyle="1">
    <w:basedOn w:val="TableNormal1"/>
    <w:tblPr>
      <w:tblStyleRowBandSize w:val="1"/>
      <w:tblStyleColBandSize w:val="1"/>
      <w:tblCellMar>
        <w:top w:w="0.0" w:type="dxa"/>
        <w:left w:w="115.0" w:type="dxa"/>
        <w:bottom w:w="0.0" w:type="dxa"/>
        <w:right w:w="115.0" w:type="dxa"/>
      </w:tblCellMar>
    </w:tblPr>
  </w:style>
  <w:style w:type="table" w:styleId="af" w:customStyle="1">
    <w:basedOn w:val="TableNormal0"/>
    <w:tblPr>
      <w:tblStyleRowBandSize w:val="1"/>
      <w:tblStyleColBandSize w:val="1"/>
      <w:tblCellMar>
        <w:top w:w="0.0" w:type="dxa"/>
        <w:left w:w="0.0" w:type="dxa"/>
        <w:bottom w:w="0.0" w:type="dxa"/>
        <w:right w:w="0.0" w:type="dxa"/>
      </w:tblCellMar>
    </w:tblPr>
  </w:style>
  <w:style w:type="table" w:styleId="af0" w:customStyle="1">
    <w:basedOn w:val="TableNormal0"/>
    <w:tblPr>
      <w:tblStyleRowBandSize w:val="1"/>
      <w:tblStyleColBandSize w:val="1"/>
      <w:tblCellMar>
        <w:top w:w="0.0" w:type="dxa"/>
        <w:left w:w="115.0" w:type="dxa"/>
        <w:bottom w:w="0.0" w:type="dxa"/>
        <w:right w:w="115.0" w:type="dxa"/>
      </w:tblCellMar>
    </w:tblPr>
  </w:style>
  <w:style w:type="table" w:styleId="af1" w:customStyle="1">
    <w:basedOn w:val="TableNormal0"/>
    <w:tblPr>
      <w:tblStyleRowBandSize w:val="1"/>
      <w:tblStyleColBandSize w:val="1"/>
      <w:tblCellMar>
        <w:top w:w="0.0" w:type="dxa"/>
        <w:left w:w="115.0" w:type="dxa"/>
        <w:bottom w:w="0.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2" w:customStyle="1">
    <w:basedOn w:val="TableNormal0"/>
    <w:tblPr>
      <w:tblStyleRowBandSize w:val="1"/>
      <w:tblStyleColBandSize w:val="1"/>
      <w:tblCellMar>
        <w:top w:w="0.0" w:type="dxa"/>
        <w:left w:w="115.0" w:type="dxa"/>
        <w:bottom w:w="0.0" w:type="dxa"/>
        <w:right w:w="115.0" w:type="dxa"/>
      </w:tblCellMar>
    </w:tblPr>
  </w:style>
  <w:style w:type="table" w:styleId="af3"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2.png"/><Relationship Id="rId21" Type="http://schemas.openxmlformats.org/officeDocument/2006/relationships/image" Target="media/image3.png"/><Relationship Id="rId24" Type="http://schemas.openxmlformats.org/officeDocument/2006/relationships/image" Target="media/image18.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aimex.org.mx/saimex/solicitud/downloadAttach/1340692.page" TargetMode="External"/><Relationship Id="rId26" Type="http://schemas.openxmlformats.org/officeDocument/2006/relationships/image" Target="media/image10.png"/><Relationship Id="rId25" Type="http://schemas.openxmlformats.org/officeDocument/2006/relationships/image" Target="media/image1.png"/><Relationship Id="rId28" Type="http://schemas.openxmlformats.org/officeDocument/2006/relationships/image" Target="media/image21.png"/><Relationship Id="rId27" Type="http://schemas.openxmlformats.org/officeDocument/2006/relationships/image" Target="media/image9.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7.png"/><Relationship Id="rId7" Type="http://schemas.openxmlformats.org/officeDocument/2006/relationships/customXml" Target="../customXML/item1.xml"/><Relationship Id="rId8" Type="http://schemas.openxmlformats.org/officeDocument/2006/relationships/image" Target="media/image14.png"/><Relationship Id="rId31" Type="http://schemas.openxmlformats.org/officeDocument/2006/relationships/image" Target="media/image11.png"/><Relationship Id="rId30" Type="http://schemas.openxmlformats.org/officeDocument/2006/relationships/image" Target="media/image20.png"/><Relationship Id="rId11" Type="http://schemas.openxmlformats.org/officeDocument/2006/relationships/hyperlink" Target="https://www.saimex.org.mx/saimex/solicitud/downloadAttach/1340827.page" TargetMode="External"/><Relationship Id="rId33" Type="http://schemas.openxmlformats.org/officeDocument/2006/relationships/header" Target="header1.xml"/><Relationship Id="rId10" Type="http://schemas.openxmlformats.org/officeDocument/2006/relationships/image" Target="media/image8.png"/><Relationship Id="rId32" Type="http://schemas.openxmlformats.org/officeDocument/2006/relationships/header" Target="header2.xml"/><Relationship Id="rId13" Type="http://schemas.openxmlformats.org/officeDocument/2006/relationships/image" Target="media/image13.png"/><Relationship Id="rId35" Type="http://schemas.openxmlformats.org/officeDocument/2006/relationships/footer" Target="footer1.xml"/><Relationship Id="rId12" Type="http://schemas.openxmlformats.org/officeDocument/2006/relationships/image" Target="media/image6.png"/><Relationship Id="rId34" Type="http://schemas.openxmlformats.org/officeDocument/2006/relationships/footer" Target="footer2.xml"/><Relationship Id="rId15" Type="http://schemas.openxmlformats.org/officeDocument/2006/relationships/image" Target="media/image4.png"/><Relationship Id="rId14" Type="http://schemas.openxmlformats.org/officeDocument/2006/relationships/hyperlink" Target="https://www.saimex.org.mx/saimex/solicitud/downloadAttach/1340828.page" TargetMode="External"/><Relationship Id="rId17" Type="http://schemas.openxmlformats.org/officeDocument/2006/relationships/hyperlink" Target="https://www.saimex.org.mx/saimex/solicitud/downloadAttach/1340829.page" TargetMode="External"/><Relationship Id="rId16" Type="http://schemas.openxmlformats.org/officeDocument/2006/relationships/image" Target="media/image19.png"/><Relationship Id="rId19" Type="http://schemas.openxmlformats.org/officeDocument/2006/relationships/image" Target="media/image7.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sat.gob.mx/declaracion/90887/consulta-el-visor-de-comprobantes-de-nomina-para-el-patron-" TargetMode="External"/><Relationship Id="rId2" Type="http://schemas.openxmlformats.org/officeDocument/2006/relationships/hyperlink" Target="https://www.sat.gob.mx/personas/declaraciones" TargetMode="External"/><Relationship Id="rId3" Type="http://schemas.openxmlformats.org/officeDocument/2006/relationships/hyperlink" Target="http://www.imss.gob.mx/sites/all/statics/pdf/leyes/LS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ctfDlH/4jK4RJ7OZCSxfypewzw==">AMUW2mVFaMIuF1vQFiqRE/20IsGSuLOU6zk8ZlW7CoD8hPdC5iH1j6sXsMliq132RERVoN/KWIwGZKKlQIlGQOjy0HRMd+GmGq5YDg7aBVeq5S+XXo8KIt0Nf3HoZDqS496cBFB9YTKH/qu7vMnSwWfvVuW2U7iIgxUOwLC2KlTgu1g0GNY/GUdmSWf2NVZrMZ2stQsv7T8tz5qU1EviI+Ybua+l3YJFx9S4IkkGxryMpO8rXIuF53KTcubMXHZSinSFRT1wvvj/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2022-06-07T00:22:00Z</dcterms:created>
  <dc:creator>iMac</dc:creator>
</cp:coreProperties>
</file>