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631FD41" w:rsidR="00662C69" w:rsidRPr="00657015" w:rsidRDefault="009B11D6" w:rsidP="00466C65">
      <w:pPr>
        <w:tabs>
          <w:tab w:val="left" w:pos="3465"/>
        </w:tabs>
        <w:spacing w:line="360" w:lineRule="auto"/>
        <w:jc w:val="both"/>
        <w:rPr>
          <w:rFonts w:ascii="Palatino Linotype" w:hAnsi="Palatino Linotype"/>
          <w:color w:val="000000" w:themeColor="text1"/>
        </w:rPr>
      </w:pPr>
      <w:r w:rsidRPr="00657015">
        <w:rPr>
          <w:rFonts w:ascii="Palatino Linotype" w:hAnsi="Palatino Linotype"/>
          <w:color w:val="000000" w:themeColor="text1"/>
        </w:rPr>
        <w:t>R</w:t>
      </w:r>
      <w:r w:rsidR="00662C69" w:rsidRPr="0065701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657015">
        <w:rPr>
          <w:rFonts w:ascii="Palatino Linotype" w:hAnsi="Palatino Linotype"/>
          <w:color w:val="000000" w:themeColor="text1"/>
        </w:rPr>
        <w:t>icipios, con</w:t>
      </w:r>
      <w:r w:rsidR="00662C69" w:rsidRPr="00657015">
        <w:rPr>
          <w:rFonts w:ascii="Palatino Linotype" w:hAnsi="Palatino Linotype"/>
          <w:color w:val="000000" w:themeColor="text1"/>
        </w:rPr>
        <w:t xml:space="preserve"> </w:t>
      </w:r>
      <w:r w:rsidR="00485DB6" w:rsidRPr="00657015">
        <w:rPr>
          <w:rFonts w:ascii="Palatino Linotype" w:hAnsi="Palatino Linotype"/>
          <w:color w:val="000000" w:themeColor="text1"/>
        </w:rPr>
        <w:t xml:space="preserve">domicilio </w:t>
      </w:r>
      <w:r w:rsidR="00662C69" w:rsidRPr="00657015">
        <w:rPr>
          <w:rFonts w:ascii="Palatino Linotype" w:hAnsi="Palatino Linotype"/>
          <w:color w:val="000000" w:themeColor="text1"/>
        </w:rPr>
        <w:t xml:space="preserve">en Metepec, Estado de México; de </w:t>
      </w:r>
      <w:r w:rsidR="009953E6" w:rsidRPr="00657015">
        <w:rPr>
          <w:rFonts w:ascii="Palatino Linotype" w:hAnsi="Palatino Linotype"/>
          <w:color w:val="000000" w:themeColor="text1"/>
        </w:rPr>
        <w:t>doce</w:t>
      </w:r>
      <w:r w:rsidR="007076C5" w:rsidRPr="00657015">
        <w:rPr>
          <w:rFonts w:ascii="Palatino Linotype" w:hAnsi="Palatino Linotype"/>
          <w:color w:val="000000" w:themeColor="text1"/>
        </w:rPr>
        <w:t xml:space="preserve"> (</w:t>
      </w:r>
      <w:r w:rsidR="009953E6" w:rsidRPr="00657015">
        <w:rPr>
          <w:rFonts w:ascii="Palatino Linotype" w:hAnsi="Palatino Linotype"/>
          <w:color w:val="000000" w:themeColor="text1"/>
        </w:rPr>
        <w:t>12</w:t>
      </w:r>
      <w:r w:rsidR="007076C5" w:rsidRPr="00657015">
        <w:rPr>
          <w:rFonts w:ascii="Palatino Linotype" w:hAnsi="Palatino Linotype"/>
          <w:color w:val="000000" w:themeColor="text1"/>
        </w:rPr>
        <w:t xml:space="preserve">) de </w:t>
      </w:r>
      <w:r w:rsidR="009953E6" w:rsidRPr="00657015">
        <w:rPr>
          <w:rFonts w:ascii="Palatino Linotype" w:hAnsi="Palatino Linotype"/>
          <w:color w:val="000000" w:themeColor="text1"/>
        </w:rPr>
        <w:t>octubre</w:t>
      </w:r>
      <w:r w:rsidR="002D1AA7" w:rsidRPr="00657015">
        <w:rPr>
          <w:rFonts w:ascii="Palatino Linotype" w:hAnsi="Palatino Linotype"/>
          <w:color w:val="000000" w:themeColor="text1"/>
        </w:rPr>
        <w:t xml:space="preserve"> de dos mil veinti</w:t>
      </w:r>
      <w:r w:rsidR="00384F2B" w:rsidRPr="00657015">
        <w:rPr>
          <w:rFonts w:ascii="Palatino Linotype" w:hAnsi="Palatino Linotype"/>
          <w:color w:val="000000" w:themeColor="text1"/>
        </w:rPr>
        <w:t>dós</w:t>
      </w:r>
      <w:r w:rsidR="00662C69" w:rsidRPr="00657015">
        <w:rPr>
          <w:rFonts w:ascii="Palatino Linotype" w:hAnsi="Palatino Linotype"/>
          <w:color w:val="000000" w:themeColor="text1"/>
        </w:rPr>
        <w:t>.</w:t>
      </w:r>
    </w:p>
    <w:p w14:paraId="1181C59D" w14:textId="77777777" w:rsidR="00B31E90" w:rsidRPr="00657015" w:rsidRDefault="00B31E90" w:rsidP="00466C65">
      <w:pPr>
        <w:tabs>
          <w:tab w:val="left" w:pos="3465"/>
        </w:tabs>
        <w:spacing w:line="360" w:lineRule="auto"/>
        <w:jc w:val="both"/>
        <w:rPr>
          <w:rFonts w:ascii="Palatino Linotype" w:hAnsi="Palatino Linotype"/>
          <w:color w:val="000000" w:themeColor="text1"/>
        </w:rPr>
      </w:pPr>
    </w:p>
    <w:p w14:paraId="04F87235" w14:textId="7A2E8583" w:rsidR="005F0007" w:rsidRPr="00657015" w:rsidRDefault="00662C69" w:rsidP="00466C65">
      <w:pPr>
        <w:spacing w:line="360" w:lineRule="auto"/>
        <w:jc w:val="both"/>
        <w:rPr>
          <w:rFonts w:ascii="Palatino Linotype" w:eastAsia="Times New Roman" w:hAnsi="Palatino Linotype" w:cs="Times New Roman"/>
          <w:color w:val="000000" w:themeColor="text1"/>
        </w:rPr>
      </w:pPr>
      <w:r w:rsidRPr="00657015">
        <w:rPr>
          <w:rFonts w:ascii="Palatino Linotype" w:hAnsi="Palatino Linotype"/>
          <w:b/>
          <w:color w:val="000000" w:themeColor="text1"/>
        </w:rPr>
        <w:t>VISTO</w:t>
      </w:r>
      <w:r w:rsidRPr="00657015">
        <w:rPr>
          <w:rFonts w:ascii="Palatino Linotype" w:hAnsi="Palatino Linotype"/>
          <w:color w:val="000000" w:themeColor="text1"/>
        </w:rPr>
        <w:t xml:space="preserve"> el expediente electrónico for</w:t>
      </w:r>
      <w:r w:rsidR="00D37494" w:rsidRPr="00657015">
        <w:rPr>
          <w:rFonts w:ascii="Palatino Linotype" w:hAnsi="Palatino Linotype"/>
          <w:color w:val="000000" w:themeColor="text1"/>
        </w:rPr>
        <w:t>mado con motivo del</w:t>
      </w:r>
      <w:r w:rsidRPr="00657015">
        <w:rPr>
          <w:rFonts w:ascii="Palatino Linotype" w:hAnsi="Palatino Linotype"/>
          <w:color w:val="000000" w:themeColor="text1"/>
        </w:rPr>
        <w:t xml:space="preserve"> recurso de revisión </w:t>
      </w:r>
      <w:r w:rsidR="009953E6" w:rsidRPr="00657015">
        <w:rPr>
          <w:rFonts w:ascii="Palatino Linotype" w:hAnsi="Palatino Linotype"/>
          <w:b/>
        </w:rPr>
        <w:t>11178/INFOEM/IP/RR/2022</w:t>
      </w:r>
      <w:r w:rsidR="005F1362" w:rsidRPr="00657015">
        <w:rPr>
          <w:rFonts w:ascii="Palatino Linotype" w:eastAsia="Times New Roman" w:hAnsi="Palatino Linotype" w:cs="Arial"/>
          <w:bCs/>
          <w:color w:val="000000" w:themeColor="text1"/>
        </w:rPr>
        <w:t xml:space="preserve">, </w:t>
      </w:r>
      <w:r w:rsidR="006B31E7" w:rsidRPr="00657015">
        <w:rPr>
          <w:rFonts w:ascii="Palatino Linotype" w:eastAsia="Times New Roman" w:hAnsi="Palatino Linotype" w:cs="Times New Roman"/>
          <w:color w:val="000000" w:themeColor="text1"/>
        </w:rPr>
        <w:t>interpuesto por</w:t>
      </w:r>
      <w:r w:rsidR="0078249C" w:rsidRPr="00657015">
        <w:rPr>
          <w:rFonts w:ascii="Palatino Linotype" w:eastAsia="Times New Roman" w:hAnsi="Palatino Linotype" w:cs="Times New Roman"/>
          <w:color w:val="000000" w:themeColor="text1"/>
        </w:rPr>
        <w:t xml:space="preserve"> </w:t>
      </w:r>
      <w:r w:rsidR="00657015" w:rsidRPr="00657015">
        <w:rPr>
          <w:rFonts w:ascii="Palatino Linotype" w:eastAsia="Times New Roman" w:hAnsi="Palatino Linotype" w:cs="Times New Roman"/>
          <w:b/>
          <w:color w:val="000000" w:themeColor="text1"/>
        </w:rPr>
        <w:t>XXXX XXXX XXXXX</w:t>
      </w:r>
      <w:r w:rsidR="007F6232" w:rsidRPr="00657015">
        <w:rPr>
          <w:rFonts w:ascii="Palatino Linotype" w:eastAsia="Times New Roman" w:hAnsi="Palatino Linotype" w:cs="Times New Roman"/>
          <w:b/>
          <w:bCs/>
          <w:color w:val="000000" w:themeColor="text1"/>
        </w:rPr>
        <w:t xml:space="preserve">, </w:t>
      </w:r>
      <w:r w:rsidR="007076C5" w:rsidRPr="00657015">
        <w:rPr>
          <w:rFonts w:ascii="Palatino Linotype" w:eastAsia="Times New Roman" w:hAnsi="Palatino Linotype" w:cs="Times New Roman"/>
          <w:color w:val="000000" w:themeColor="text1"/>
        </w:rPr>
        <w:t>en adelante la</w:t>
      </w:r>
      <w:r w:rsidR="00E92215" w:rsidRPr="00657015">
        <w:rPr>
          <w:rFonts w:ascii="Palatino Linotype" w:eastAsia="Times New Roman" w:hAnsi="Palatino Linotype" w:cs="Times New Roman"/>
          <w:color w:val="000000" w:themeColor="text1"/>
        </w:rPr>
        <w:t xml:space="preserve"> </w:t>
      </w:r>
      <w:r w:rsidR="006B31E7" w:rsidRPr="00657015">
        <w:rPr>
          <w:rFonts w:ascii="Palatino Linotype" w:eastAsia="Times New Roman" w:hAnsi="Palatino Linotype" w:cs="Times New Roman"/>
          <w:b/>
          <w:bCs/>
          <w:color w:val="000000" w:themeColor="text1"/>
        </w:rPr>
        <w:t>RECURRENTE</w:t>
      </w:r>
      <w:r w:rsidR="00E647FF" w:rsidRPr="00657015">
        <w:rPr>
          <w:rFonts w:ascii="Palatino Linotype" w:eastAsia="Times New Roman" w:hAnsi="Palatino Linotype" w:cs="Arial"/>
          <w:color w:val="000000" w:themeColor="text1"/>
        </w:rPr>
        <w:t>;</w:t>
      </w:r>
      <w:r w:rsidR="005F1362" w:rsidRPr="00657015">
        <w:rPr>
          <w:rFonts w:ascii="Palatino Linotype" w:eastAsia="Times New Roman" w:hAnsi="Palatino Linotype" w:cs="Arial"/>
          <w:color w:val="000000" w:themeColor="text1"/>
        </w:rPr>
        <w:t xml:space="preserve"> en contra de la respuesta de</w:t>
      </w:r>
      <w:r w:rsidR="009953E6" w:rsidRPr="00657015">
        <w:rPr>
          <w:rFonts w:ascii="Palatino Linotype" w:eastAsia="Times New Roman" w:hAnsi="Palatino Linotype" w:cs="Arial"/>
          <w:color w:val="000000" w:themeColor="text1"/>
        </w:rPr>
        <w:t xml:space="preserve"> </w:t>
      </w:r>
      <w:r w:rsidR="00BB7E88" w:rsidRPr="00657015">
        <w:rPr>
          <w:rFonts w:ascii="Palatino Linotype" w:eastAsia="Times New Roman" w:hAnsi="Palatino Linotype" w:cs="Arial"/>
          <w:color w:val="000000" w:themeColor="text1"/>
        </w:rPr>
        <w:t>l</w:t>
      </w:r>
      <w:r w:rsidR="009953E6" w:rsidRPr="00657015">
        <w:rPr>
          <w:rFonts w:ascii="Palatino Linotype" w:eastAsia="Times New Roman" w:hAnsi="Palatino Linotype" w:cs="Arial"/>
          <w:color w:val="000000" w:themeColor="text1"/>
        </w:rPr>
        <w:t>a</w:t>
      </w:r>
      <w:r w:rsidR="007F6232" w:rsidRPr="00657015">
        <w:rPr>
          <w:rFonts w:ascii="Palatino Linotype" w:eastAsia="Calibri" w:hAnsi="Palatino Linotype" w:cs="Arial"/>
          <w:b/>
          <w:bCs/>
          <w:lang w:val="es-ES"/>
        </w:rPr>
        <w:t xml:space="preserve"> </w:t>
      </w:r>
      <w:r w:rsidR="009953E6" w:rsidRPr="00657015">
        <w:rPr>
          <w:rFonts w:ascii="Palatino Linotype" w:eastAsia="Calibri" w:hAnsi="Palatino Linotype" w:cs="Arial"/>
          <w:b/>
          <w:bCs/>
          <w:lang w:val="es-ES"/>
        </w:rPr>
        <w:t>Secretaría del Trabajo</w:t>
      </w:r>
      <w:r w:rsidR="009572EE" w:rsidRPr="00657015">
        <w:rPr>
          <w:rFonts w:ascii="Palatino Linotype" w:eastAsia="Calibri" w:hAnsi="Palatino Linotype" w:cs="Arial"/>
          <w:color w:val="000000" w:themeColor="text1"/>
          <w:lang w:val="es-ES"/>
        </w:rPr>
        <w:t>,</w:t>
      </w:r>
      <w:r w:rsidR="005F1362" w:rsidRPr="00657015">
        <w:rPr>
          <w:rFonts w:ascii="Palatino Linotype" w:eastAsia="Calibri" w:hAnsi="Palatino Linotype" w:cs="Arial"/>
          <w:color w:val="000000" w:themeColor="text1"/>
          <w:lang w:val="es-ES"/>
        </w:rPr>
        <w:t xml:space="preserve"> </w:t>
      </w:r>
      <w:r w:rsidR="005F1362" w:rsidRPr="00657015">
        <w:rPr>
          <w:rFonts w:ascii="Palatino Linotype" w:eastAsia="Times New Roman" w:hAnsi="Palatino Linotype" w:cs="Times New Roman"/>
          <w:color w:val="000000" w:themeColor="text1"/>
        </w:rPr>
        <w:t>en lo sucesivo el</w:t>
      </w:r>
      <w:r w:rsidR="005F1362" w:rsidRPr="00657015">
        <w:rPr>
          <w:rFonts w:ascii="Palatino Linotype" w:eastAsia="Times New Roman" w:hAnsi="Palatino Linotype" w:cs="Times New Roman"/>
          <w:b/>
          <w:color w:val="000000" w:themeColor="text1"/>
        </w:rPr>
        <w:t xml:space="preserve"> SUJETO OBLIGADO, </w:t>
      </w:r>
      <w:r w:rsidR="005F1362" w:rsidRPr="00657015">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657015"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657015">
        <w:rPr>
          <w:b/>
          <w:color w:val="000000" w:themeColor="text1"/>
        </w:rPr>
        <w:t>A</w:t>
      </w:r>
      <w:r w:rsidR="00C967DD" w:rsidRPr="00657015">
        <w:rPr>
          <w:b/>
          <w:color w:val="000000" w:themeColor="text1"/>
        </w:rPr>
        <w:t xml:space="preserve"> </w:t>
      </w:r>
      <w:r w:rsidRPr="00657015">
        <w:rPr>
          <w:b/>
          <w:color w:val="000000" w:themeColor="text1"/>
        </w:rPr>
        <w:t>N</w:t>
      </w:r>
      <w:r w:rsidR="00C967DD" w:rsidRPr="00657015">
        <w:rPr>
          <w:b/>
          <w:color w:val="000000" w:themeColor="text1"/>
        </w:rPr>
        <w:t xml:space="preserve"> </w:t>
      </w:r>
      <w:r w:rsidRPr="00657015">
        <w:rPr>
          <w:b/>
          <w:color w:val="000000" w:themeColor="text1"/>
        </w:rPr>
        <w:t>T</w:t>
      </w:r>
      <w:r w:rsidR="00C967DD" w:rsidRPr="00657015">
        <w:rPr>
          <w:b/>
          <w:color w:val="000000" w:themeColor="text1"/>
        </w:rPr>
        <w:t xml:space="preserve"> </w:t>
      </w:r>
      <w:r w:rsidRPr="00657015">
        <w:rPr>
          <w:b/>
          <w:color w:val="000000" w:themeColor="text1"/>
        </w:rPr>
        <w:t>E</w:t>
      </w:r>
      <w:r w:rsidR="00C967DD" w:rsidRPr="00657015">
        <w:rPr>
          <w:b/>
          <w:color w:val="000000" w:themeColor="text1"/>
        </w:rPr>
        <w:t xml:space="preserve"> </w:t>
      </w:r>
      <w:r w:rsidRPr="00657015">
        <w:rPr>
          <w:b/>
          <w:color w:val="000000" w:themeColor="text1"/>
        </w:rPr>
        <w:t>C</w:t>
      </w:r>
      <w:r w:rsidR="00C967DD" w:rsidRPr="00657015">
        <w:rPr>
          <w:b/>
          <w:color w:val="000000" w:themeColor="text1"/>
        </w:rPr>
        <w:t xml:space="preserve"> </w:t>
      </w:r>
      <w:r w:rsidRPr="00657015">
        <w:rPr>
          <w:b/>
          <w:color w:val="000000" w:themeColor="text1"/>
        </w:rPr>
        <w:t>E</w:t>
      </w:r>
      <w:r w:rsidR="00C967DD" w:rsidRPr="00657015">
        <w:rPr>
          <w:b/>
          <w:color w:val="000000" w:themeColor="text1"/>
        </w:rPr>
        <w:t xml:space="preserve"> </w:t>
      </w:r>
      <w:r w:rsidRPr="00657015">
        <w:rPr>
          <w:b/>
          <w:color w:val="000000" w:themeColor="text1"/>
        </w:rPr>
        <w:t>D</w:t>
      </w:r>
      <w:r w:rsidR="00C967DD" w:rsidRPr="00657015">
        <w:rPr>
          <w:b/>
          <w:color w:val="000000" w:themeColor="text1"/>
        </w:rPr>
        <w:t xml:space="preserve"> </w:t>
      </w:r>
      <w:r w:rsidRPr="00657015">
        <w:rPr>
          <w:b/>
          <w:color w:val="000000" w:themeColor="text1"/>
        </w:rPr>
        <w:t>E</w:t>
      </w:r>
      <w:r w:rsidR="00C967DD" w:rsidRPr="00657015">
        <w:rPr>
          <w:b/>
          <w:color w:val="000000" w:themeColor="text1"/>
        </w:rPr>
        <w:t xml:space="preserve"> </w:t>
      </w:r>
      <w:r w:rsidRPr="00657015">
        <w:rPr>
          <w:b/>
          <w:color w:val="000000" w:themeColor="text1"/>
        </w:rPr>
        <w:t>N</w:t>
      </w:r>
      <w:r w:rsidR="00C967DD" w:rsidRPr="00657015">
        <w:rPr>
          <w:b/>
          <w:color w:val="000000" w:themeColor="text1"/>
        </w:rPr>
        <w:t xml:space="preserve"> </w:t>
      </w:r>
      <w:r w:rsidRPr="00657015">
        <w:rPr>
          <w:b/>
          <w:color w:val="000000" w:themeColor="text1"/>
        </w:rPr>
        <w:t>T</w:t>
      </w:r>
      <w:r w:rsidR="00C967DD" w:rsidRPr="00657015">
        <w:rPr>
          <w:b/>
          <w:color w:val="000000" w:themeColor="text1"/>
        </w:rPr>
        <w:t xml:space="preserve"> </w:t>
      </w:r>
      <w:r w:rsidRPr="00657015">
        <w:rPr>
          <w:b/>
          <w:color w:val="000000" w:themeColor="text1"/>
        </w:rPr>
        <w:t>E</w:t>
      </w:r>
      <w:r w:rsidR="00C967DD" w:rsidRPr="00657015">
        <w:rPr>
          <w:b/>
          <w:color w:val="000000" w:themeColor="text1"/>
        </w:rPr>
        <w:t xml:space="preserve"> </w:t>
      </w:r>
      <w:r w:rsidRPr="00657015">
        <w:rPr>
          <w:b/>
          <w:color w:val="000000" w:themeColor="text1"/>
        </w:rPr>
        <w:t>S</w:t>
      </w:r>
      <w:bookmarkEnd w:id="0"/>
      <w:bookmarkEnd w:id="1"/>
      <w:bookmarkEnd w:id="2"/>
    </w:p>
    <w:p w14:paraId="402A4C0A" w14:textId="6D450E5D" w:rsidR="00D9392E" w:rsidRPr="00657015" w:rsidRDefault="005F0007"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57015">
        <w:rPr>
          <w:rFonts w:ascii="Palatino Linotype" w:eastAsia="Calibri" w:hAnsi="Palatino Linotype" w:cs="Arial"/>
          <w:color w:val="000000" w:themeColor="text1"/>
          <w:lang w:val="es-ES"/>
        </w:rPr>
        <w:t>El</w:t>
      </w:r>
      <w:r w:rsidR="00D9392E" w:rsidRPr="00657015">
        <w:rPr>
          <w:rFonts w:ascii="Palatino Linotype" w:eastAsia="Calibri" w:hAnsi="Palatino Linotype" w:cs="Arial"/>
          <w:color w:val="000000" w:themeColor="text1"/>
          <w:lang w:val="es-ES"/>
        </w:rPr>
        <w:t xml:space="preserve"> </w:t>
      </w:r>
      <w:r w:rsidR="00ED4CAA" w:rsidRPr="00657015">
        <w:rPr>
          <w:rFonts w:ascii="Palatino Linotype" w:eastAsia="Calibri" w:hAnsi="Palatino Linotype" w:cs="Arial"/>
          <w:color w:val="000000" w:themeColor="text1"/>
          <w:lang w:val="es-ES"/>
        </w:rPr>
        <w:t>uno</w:t>
      </w:r>
      <w:r w:rsidR="00304056" w:rsidRPr="00657015">
        <w:rPr>
          <w:rFonts w:ascii="Palatino Linotype" w:eastAsia="Calibri" w:hAnsi="Palatino Linotype" w:cs="Arial"/>
          <w:color w:val="000000" w:themeColor="text1"/>
          <w:lang w:val="es-ES"/>
        </w:rPr>
        <w:t xml:space="preserve"> </w:t>
      </w:r>
      <w:r w:rsidR="007076C5" w:rsidRPr="00657015">
        <w:rPr>
          <w:rFonts w:ascii="Palatino Linotype" w:eastAsia="Calibri" w:hAnsi="Palatino Linotype" w:cs="Arial"/>
          <w:color w:val="000000" w:themeColor="text1"/>
          <w:lang w:val="es-ES"/>
        </w:rPr>
        <w:t>(</w:t>
      </w:r>
      <w:r w:rsidR="007F6232" w:rsidRPr="00657015">
        <w:rPr>
          <w:rFonts w:ascii="Palatino Linotype" w:eastAsia="Calibri" w:hAnsi="Palatino Linotype" w:cs="Arial"/>
          <w:color w:val="000000" w:themeColor="text1"/>
          <w:lang w:val="es-ES"/>
        </w:rPr>
        <w:t>1</w:t>
      </w:r>
      <w:r w:rsidR="007076C5" w:rsidRPr="00657015">
        <w:rPr>
          <w:rFonts w:ascii="Palatino Linotype" w:eastAsia="Calibri" w:hAnsi="Palatino Linotype" w:cs="Arial"/>
          <w:color w:val="000000" w:themeColor="text1"/>
          <w:lang w:val="es-ES"/>
        </w:rPr>
        <w:t xml:space="preserve">) de </w:t>
      </w:r>
      <w:r w:rsidR="009953E6" w:rsidRPr="00657015">
        <w:rPr>
          <w:rFonts w:ascii="Palatino Linotype" w:eastAsia="Calibri" w:hAnsi="Palatino Linotype" w:cs="Arial"/>
          <w:color w:val="000000" w:themeColor="text1"/>
          <w:lang w:val="es-ES"/>
        </w:rPr>
        <w:t>junio</w:t>
      </w:r>
      <w:r w:rsidR="00B31E90" w:rsidRPr="00657015">
        <w:rPr>
          <w:rFonts w:ascii="Palatino Linotype" w:eastAsia="Calibri" w:hAnsi="Palatino Linotype" w:cs="Arial"/>
          <w:color w:val="000000" w:themeColor="text1"/>
          <w:lang w:val="es-ES"/>
        </w:rPr>
        <w:t xml:space="preserve"> de dos mil veinti</w:t>
      </w:r>
      <w:r w:rsidR="00DC6944" w:rsidRPr="00657015">
        <w:rPr>
          <w:rFonts w:ascii="Palatino Linotype" w:eastAsia="Calibri" w:hAnsi="Palatino Linotype" w:cs="Arial"/>
          <w:color w:val="000000" w:themeColor="text1"/>
          <w:lang w:val="es-ES"/>
        </w:rPr>
        <w:t>dós</w:t>
      </w:r>
      <w:r w:rsidR="005F1362" w:rsidRPr="00657015">
        <w:rPr>
          <w:rFonts w:ascii="Palatino Linotype" w:eastAsia="Calibri" w:hAnsi="Palatino Linotype" w:cs="Arial"/>
          <w:color w:val="000000" w:themeColor="text1"/>
          <w:lang w:val="es-ES"/>
        </w:rPr>
        <w:t xml:space="preserve">, </w:t>
      </w:r>
      <w:r w:rsidR="004E197E" w:rsidRPr="00657015">
        <w:rPr>
          <w:rFonts w:ascii="Palatino Linotype" w:eastAsia="Calibri" w:hAnsi="Palatino Linotype" w:cs="Arial"/>
          <w:color w:val="000000" w:themeColor="text1"/>
          <w:lang w:val="es-ES"/>
        </w:rPr>
        <w:t>el</w:t>
      </w:r>
      <w:r w:rsidR="00B31E90" w:rsidRPr="00657015">
        <w:rPr>
          <w:rFonts w:ascii="Palatino Linotype" w:hAnsi="Palatino Linotype"/>
          <w:color w:val="000000" w:themeColor="text1"/>
        </w:rPr>
        <w:t xml:space="preserve"> particular</w:t>
      </w:r>
      <w:r w:rsidR="005F1362" w:rsidRPr="00657015">
        <w:rPr>
          <w:rFonts w:ascii="Palatino Linotype" w:hAnsi="Palatino Linotype"/>
          <w:color w:val="000000" w:themeColor="text1"/>
        </w:rPr>
        <w:t xml:space="preserve"> presentó</w:t>
      </w:r>
      <w:r w:rsidR="005F1362" w:rsidRPr="00657015">
        <w:rPr>
          <w:rFonts w:ascii="Palatino Linotype" w:hAnsi="Palatino Linotype"/>
          <w:b/>
          <w:color w:val="000000" w:themeColor="text1"/>
        </w:rPr>
        <w:t xml:space="preserve"> </w:t>
      </w:r>
      <w:r w:rsidR="00127E68" w:rsidRPr="00657015">
        <w:rPr>
          <w:rFonts w:ascii="Palatino Linotype" w:hAnsi="Palatino Linotype"/>
          <w:bCs/>
          <w:color w:val="000000" w:themeColor="text1"/>
        </w:rPr>
        <w:t xml:space="preserve">a través </w:t>
      </w:r>
      <w:r w:rsidR="00DE4F75" w:rsidRPr="00657015">
        <w:rPr>
          <w:rFonts w:ascii="Palatino Linotype" w:hAnsi="Palatino Linotype"/>
          <w:bCs/>
          <w:color w:val="000000" w:themeColor="text1"/>
        </w:rPr>
        <w:t>de</w:t>
      </w:r>
      <w:r w:rsidR="004863BC" w:rsidRPr="00657015">
        <w:rPr>
          <w:rFonts w:ascii="Palatino Linotype" w:hAnsi="Palatino Linotype"/>
          <w:bCs/>
          <w:color w:val="000000" w:themeColor="text1"/>
        </w:rPr>
        <w:t xml:space="preserve">l </w:t>
      </w:r>
      <w:r w:rsidR="005F1362" w:rsidRPr="00657015">
        <w:rPr>
          <w:rFonts w:ascii="Palatino Linotype" w:eastAsia="Calibri" w:hAnsi="Palatino Linotype" w:cs="Arial"/>
          <w:color w:val="000000" w:themeColor="text1"/>
          <w:lang w:val="es-ES"/>
        </w:rPr>
        <w:t xml:space="preserve">Sistema de Acceso a la Información Mexiquense </w:t>
      </w:r>
      <w:r w:rsidR="005F1362" w:rsidRPr="00657015">
        <w:rPr>
          <w:rFonts w:ascii="Palatino Linotype" w:eastAsia="Calibri" w:hAnsi="Palatino Linotype" w:cs="Arial"/>
          <w:bCs/>
          <w:color w:val="000000" w:themeColor="text1"/>
          <w:lang w:val="es-ES"/>
        </w:rPr>
        <w:t>(SAIMEX)</w:t>
      </w:r>
      <w:r w:rsidR="005F1362" w:rsidRPr="00657015">
        <w:rPr>
          <w:rFonts w:ascii="Palatino Linotype" w:eastAsia="Calibri" w:hAnsi="Palatino Linotype" w:cs="Arial"/>
          <w:color w:val="000000" w:themeColor="text1"/>
          <w:lang w:val="es-ES"/>
        </w:rPr>
        <w:t>, la solicitud de información pública registrada con el número</w:t>
      </w:r>
      <w:r w:rsidR="005F1362" w:rsidRPr="00657015">
        <w:rPr>
          <w:rFonts w:ascii="Palatino Linotype" w:hAnsi="Palatino Linotype"/>
          <w:b/>
          <w:bCs/>
          <w:color w:val="000000" w:themeColor="text1"/>
        </w:rPr>
        <w:t xml:space="preserve"> </w:t>
      </w:r>
      <w:r w:rsidR="000544CE" w:rsidRPr="00657015">
        <w:rPr>
          <w:rFonts w:ascii="Palatino Linotype" w:hAnsi="Palatino Linotype"/>
          <w:b/>
          <w:bCs/>
          <w:color w:val="000000" w:themeColor="text1"/>
        </w:rPr>
        <w:t>00</w:t>
      </w:r>
      <w:r w:rsidR="009953E6" w:rsidRPr="00657015">
        <w:rPr>
          <w:rFonts w:ascii="Palatino Linotype" w:hAnsi="Palatino Linotype"/>
          <w:b/>
          <w:bCs/>
          <w:color w:val="000000" w:themeColor="text1"/>
        </w:rPr>
        <w:t>049</w:t>
      </w:r>
      <w:r w:rsidR="00304056" w:rsidRPr="00657015">
        <w:rPr>
          <w:rFonts w:ascii="Palatino Linotype" w:hAnsi="Palatino Linotype"/>
          <w:b/>
          <w:bCs/>
          <w:color w:val="000000" w:themeColor="text1"/>
        </w:rPr>
        <w:t>/</w:t>
      </w:r>
      <w:r w:rsidR="009953E6" w:rsidRPr="00657015">
        <w:rPr>
          <w:rFonts w:ascii="Palatino Linotype" w:hAnsi="Palatino Linotype"/>
          <w:b/>
          <w:bCs/>
          <w:color w:val="000000" w:themeColor="text1"/>
        </w:rPr>
        <w:t>ST</w:t>
      </w:r>
      <w:r w:rsidR="007B50DF" w:rsidRPr="00657015">
        <w:rPr>
          <w:rFonts w:ascii="Palatino Linotype" w:hAnsi="Palatino Linotype"/>
          <w:b/>
          <w:bCs/>
          <w:color w:val="000000" w:themeColor="text1"/>
        </w:rPr>
        <w:t>/IP/202</w:t>
      </w:r>
      <w:r w:rsidR="000544CE" w:rsidRPr="00657015">
        <w:rPr>
          <w:rFonts w:ascii="Palatino Linotype" w:hAnsi="Palatino Linotype"/>
          <w:b/>
          <w:bCs/>
          <w:color w:val="000000" w:themeColor="text1"/>
        </w:rPr>
        <w:t>2</w:t>
      </w:r>
      <w:r w:rsidR="005F1362" w:rsidRPr="00657015">
        <w:rPr>
          <w:rFonts w:ascii="Palatino Linotype" w:hAnsi="Palatino Linotype"/>
          <w:b/>
          <w:bCs/>
          <w:color w:val="000000" w:themeColor="text1"/>
        </w:rPr>
        <w:t>,</w:t>
      </w:r>
      <w:r w:rsidR="005F1362" w:rsidRPr="00657015">
        <w:rPr>
          <w:rFonts w:ascii="Palatino Linotype" w:eastAsia="Calibri" w:hAnsi="Palatino Linotype" w:cs="Arial"/>
          <w:color w:val="000000" w:themeColor="text1"/>
          <w:lang w:val="es-ES"/>
        </w:rPr>
        <w:t xml:space="preserve"> mediante la cual requirió</w:t>
      </w:r>
      <w:r w:rsidR="00022D89" w:rsidRPr="00657015">
        <w:rPr>
          <w:rFonts w:ascii="Palatino Linotype" w:eastAsia="Calibri" w:hAnsi="Palatino Linotype" w:cs="Arial"/>
          <w:color w:val="000000" w:themeColor="text1"/>
          <w:lang w:val="es-ES"/>
        </w:rPr>
        <w:t xml:space="preserve"> lo siguiente</w:t>
      </w:r>
      <w:r w:rsidR="005F1362" w:rsidRPr="00657015">
        <w:rPr>
          <w:rFonts w:ascii="Palatino Linotype" w:eastAsia="Calibri" w:hAnsi="Palatino Linotype" w:cs="Arial"/>
          <w:color w:val="000000" w:themeColor="text1"/>
          <w:lang w:val="es-ES"/>
        </w:rPr>
        <w:t>:</w:t>
      </w:r>
    </w:p>
    <w:p w14:paraId="76EB7490" w14:textId="77777777" w:rsidR="00B31E90" w:rsidRPr="00657015"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6DDC8B25" w:rsidR="0097210F" w:rsidRPr="00657015" w:rsidRDefault="005F1362" w:rsidP="00466C65">
      <w:pPr>
        <w:pStyle w:val="Prrafodelista"/>
        <w:spacing w:line="360" w:lineRule="auto"/>
        <w:ind w:left="567" w:right="567"/>
        <w:jc w:val="both"/>
        <w:rPr>
          <w:rFonts w:ascii="Palatino Linotype" w:hAnsi="Palatino Linotype"/>
          <w:i/>
          <w:color w:val="000000" w:themeColor="text1"/>
          <w:sz w:val="22"/>
          <w:szCs w:val="22"/>
        </w:rPr>
      </w:pPr>
      <w:r w:rsidRPr="00657015">
        <w:rPr>
          <w:rFonts w:ascii="Palatino Linotype" w:hAnsi="Palatino Linotype"/>
          <w:i/>
          <w:color w:val="000000" w:themeColor="text1"/>
          <w:sz w:val="22"/>
          <w:szCs w:val="22"/>
        </w:rPr>
        <w:t>“</w:t>
      </w:r>
      <w:r w:rsidR="009953E6" w:rsidRPr="00657015">
        <w:rPr>
          <w:rFonts w:ascii="Palatino Linotype" w:hAnsi="Palatino Linotype"/>
          <w:bCs/>
          <w:i/>
          <w:color w:val="000000"/>
          <w:sz w:val="22"/>
          <w:szCs w:val="22"/>
        </w:rPr>
        <w:t xml:space="preserve">1. Solicitar al municipio de San Amtonio la Isla, el porque esta pagando a los servidores públicos de manera mensual, lo cual es violatorio al articulo en mención: ARTÍCULO 57. Serán condiciones nulas y no obligarán a los servidores públicos, aún cuando las admitieren expresamente, las que estipulen: I. Jornada mayor a la establecida, excepto cuando ocurrieren situaciones de emergencia o desastre que pusieran en riesgo a la población, en cuyo caso se deberán prestar los servicios necesarios determinados por la institución pública; II. Labores peligrosas o insalubres para mujeres embarazadas y para menores de dieciocho años, o nocturnas para estos últimos; III. Jornada inhumana por lo notoriamente excesiva o peligrosa para el servidor público, o para la salud de la servidora pública embarazada o del producto de la concepción; IV. Sueldo inferior al salario mínimo </w:t>
      </w:r>
      <w:r w:rsidR="009953E6" w:rsidRPr="00657015">
        <w:rPr>
          <w:rFonts w:ascii="Palatino Linotype" w:hAnsi="Palatino Linotype"/>
          <w:bCs/>
          <w:i/>
          <w:color w:val="000000"/>
          <w:sz w:val="22"/>
          <w:szCs w:val="22"/>
        </w:rPr>
        <w:lastRenderedPageBreak/>
        <w:t>general establecido para el área geográfica de que se trate; V. Plazo mayor de quince días para el pago de sueldos y demás prestaciones económicas; o 2. Solicitar estado bancario de que días se hacen los depósitos para constatar que efectivamente se paga de manera mensual. 3. verificar que los dias de quincena efactivamente se page a los servidores públicos</w:t>
      </w:r>
      <w:r w:rsidRPr="00657015">
        <w:rPr>
          <w:rFonts w:ascii="Palatino Linotype" w:hAnsi="Palatino Linotype"/>
          <w:i/>
          <w:color w:val="000000" w:themeColor="text1"/>
          <w:sz w:val="22"/>
          <w:szCs w:val="22"/>
        </w:rPr>
        <w:t>” (Sic).</w:t>
      </w:r>
    </w:p>
    <w:p w14:paraId="010F49EF" w14:textId="4293FA51" w:rsidR="004E197E" w:rsidRPr="00657015" w:rsidRDefault="004E197E" w:rsidP="00466C65">
      <w:pPr>
        <w:pStyle w:val="Prrafodelista"/>
        <w:spacing w:line="360" w:lineRule="auto"/>
        <w:ind w:left="567" w:right="567"/>
        <w:jc w:val="both"/>
        <w:rPr>
          <w:rFonts w:ascii="Palatino Linotype" w:hAnsi="Palatino Linotype"/>
          <w:i/>
          <w:color w:val="000000" w:themeColor="text1"/>
          <w:szCs w:val="22"/>
        </w:rPr>
      </w:pPr>
    </w:p>
    <w:p w14:paraId="49C21E77" w14:textId="0E671A78" w:rsidR="0039142B" w:rsidRPr="00657015" w:rsidRDefault="00836FF4"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657015">
        <w:rPr>
          <w:rFonts w:ascii="Palatino Linotype" w:hAnsi="Palatino Linotype" w:cs="Arial"/>
          <w:color w:val="000000" w:themeColor="text1"/>
        </w:rPr>
        <w:t>Modalidad de entrega: A través d</w:t>
      </w:r>
      <w:r w:rsidR="009C0215" w:rsidRPr="00657015">
        <w:rPr>
          <w:rFonts w:ascii="Palatino Linotype" w:hAnsi="Palatino Linotype" w:cs="Arial"/>
          <w:color w:val="000000" w:themeColor="text1"/>
        </w:rPr>
        <w:t>e</w:t>
      </w:r>
      <w:r w:rsidR="007F6232" w:rsidRPr="00657015">
        <w:rPr>
          <w:rFonts w:ascii="Palatino Linotype" w:hAnsi="Palatino Linotype" w:cs="Arial"/>
          <w:color w:val="000000" w:themeColor="text1"/>
        </w:rPr>
        <w:t>l SAIMEX.</w:t>
      </w:r>
      <w:r w:rsidR="009E6A7E" w:rsidRPr="00657015">
        <w:rPr>
          <w:rFonts w:ascii="Palatino Linotype" w:hAnsi="Palatino Linotype" w:cs="Arial"/>
          <w:color w:val="000000" w:themeColor="text1"/>
        </w:rPr>
        <w:t xml:space="preserve"> </w:t>
      </w:r>
    </w:p>
    <w:p w14:paraId="35BA18A9" w14:textId="77777777" w:rsidR="0039142B" w:rsidRPr="00657015" w:rsidRDefault="0039142B" w:rsidP="00466C65">
      <w:pPr>
        <w:pStyle w:val="Prrafodelista"/>
        <w:spacing w:line="360" w:lineRule="auto"/>
        <w:ind w:left="284"/>
        <w:jc w:val="both"/>
        <w:rPr>
          <w:rFonts w:ascii="Palatino Linotype" w:eastAsia="MS Mincho" w:hAnsi="Palatino Linotype" w:cs="Times New Roman"/>
          <w:color w:val="000000" w:themeColor="text1"/>
        </w:rPr>
      </w:pPr>
    </w:p>
    <w:p w14:paraId="60DCDA4B" w14:textId="73399488" w:rsidR="0022448D" w:rsidRPr="00657015" w:rsidRDefault="00B31E90"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sidRPr="00657015">
        <w:rPr>
          <w:rFonts w:ascii="Palatino Linotype" w:eastAsia="MS Mincho" w:hAnsi="Palatino Linotype" w:cs="Times New Roman"/>
          <w:color w:val="000000" w:themeColor="text1"/>
        </w:rPr>
        <w:t xml:space="preserve">El </w:t>
      </w:r>
      <w:r w:rsidR="006F53A0" w:rsidRPr="00657015">
        <w:rPr>
          <w:rFonts w:ascii="Palatino Linotype" w:eastAsia="MS Mincho" w:hAnsi="Palatino Linotype" w:cs="Times New Roman"/>
          <w:color w:val="000000" w:themeColor="text1"/>
        </w:rPr>
        <w:t>siete</w:t>
      </w:r>
      <w:r w:rsidR="00D0377B" w:rsidRPr="00657015">
        <w:rPr>
          <w:rFonts w:ascii="Palatino Linotype" w:eastAsia="MS Mincho" w:hAnsi="Palatino Linotype" w:cs="Times New Roman"/>
          <w:color w:val="000000" w:themeColor="text1"/>
        </w:rPr>
        <w:t xml:space="preserve"> </w:t>
      </w:r>
      <w:r w:rsidR="007076C5" w:rsidRPr="00657015">
        <w:rPr>
          <w:rFonts w:ascii="Palatino Linotype" w:eastAsia="MS Mincho" w:hAnsi="Palatino Linotype" w:cs="Times New Roman"/>
          <w:color w:val="000000" w:themeColor="text1"/>
        </w:rPr>
        <w:t>(</w:t>
      </w:r>
      <w:r w:rsidR="006F53A0" w:rsidRPr="00657015">
        <w:rPr>
          <w:rFonts w:ascii="Palatino Linotype" w:eastAsia="MS Mincho" w:hAnsi="Palatino Linotype" w:cs="Times New Roman"/>
          <w:color w:val="000000" w:themeColor="text1"/>
        </w:rPr>
        <w:t>7</w:t>
      </w:r>
      <w:r w:rsidR="007076C5" w:rsidRPr="00657015">
        <w:rPr>
          <w:rFonts w:ascii="Palatino Linotype" w:eastAsia="MS Mincho" w:hAnsi="Palatino Linotype" w:cs="Times New Roman"/>
          <w:color w:val="000000" w:themeColor="text1"/>
        </w:rPr>
        <w:t xml:space="preserve">) de </w:t>
      </w:r>
      <w:r w:rsidR="006F53A0" w:rsidRPr="00657015">
        <w:rPr>
          <w:rFonts w:ascii="Palatino Linotype" w:eastAsia="MS Mincho" w:hAnsi="Palatino Linotype" w:cs="Times New Roman"/>
          <w:color w:val="000000" w:themeColor="text1"/>
        </w:rPr>
        <w:t>junio</w:t>
      </w:r>
      <w:r w:rsidR="007F6232" w:rsidRPr="00657015">
        <w:rPr>
          <w:rFonts w:ascii="Palatino Linotype" w:eastAsia="MS Mincho" w:hAnsi="Palatino Linotype" w:cs="Times New Roman"/>
          <w:color w:val="000000" w:themeColor="text1"/>
        </w:rPr>
        <w:t xml:space="preserve"> </w:t>
      </w:r>
      <w:r w:rsidR="00963723" w:rsidRPr="00657015">
        <w:rPr>
          <w:rFonts w:ascii="Palatino Linotype" w:eastAsia="MS Mincho" w:hAnsi="Palatino Linotype" w:cs="Times New Roman"/>
          <w:color w:val="000000" w:themeColor="text1"/>
        </w:rPr>
        <w:t xml:space="preserve">de la misma anualidad, </w:t>
      </w:r>
      <w:r w:rsidR="007A5BFC" w:rsidRPr="00657015">
        <w:rPr>
          <w:rFonts w:ascii="Palatino Linotype" w:hAnsi="Palatino Linotype"/>
          <w:color w:val="000000" w:themeColor="text1"/>
          <w:szCs w:val="14"/>
        </w:rPr>
        <w:t xml:space="preserve">el Sujeto Obligado dio respuesta a la solicitud </w:t>
      </w:r>
      <w:r w:rsidR="007076C5" w:rsidRPr="00657015">
        <w:rPr>
          <w:rFonts w:ascii="Palatino Linotype" w:hAnsi="Palatino Linotype"/>
          <w:color w:val="000000" w:themeColor="text1"/>
          <w:szCs w:val="14"/>
        </w:rPr>
        <w:t xml:space="preserve">de información </w:t>
      </w:r>
      <w:r w:rsidR="009953E6" w:rsidRPr="00657015">
        <w:rPr>
          <w:rFonts w:ascii="Palatino Linotype" w:hAnsi="Palatino Linotype"/>
          <w:b/>
          <w:bCs/>
          <w:color w:val="000000" w:themeColor="text1"/>
        </w:rPr>
        <w:t>00049/ST/IP/2022</w:t>
      </w:r>
      <w:r w:rsidR="007076C5" w:rsidRPr="00657015">
        <w:rPr>
          <w:rFonts w:ascii="Palatino Linotype" w:hAnsi="Palatino Linotype"/>
          <w:color w:val="000000" w:themeColor="text1"/>
          <w:szCs w:val="14"/>
        </w:rPr>
        <w:t xml:space="preserve"> en los siguientes términos</w:t>
      </w:r>
      <w:r w:rsidR="005F1362" w:rsidRPr="00657015">
        <w:rPr>
          <w:rFonts w:ascii="Palatino Linotype" w:hAnsi="Palatino Linotype"/>
          <w:color w:val="000000" w:themeColor="text1"/>
          <w:szCs w:val="14"/>
        </w:rPr>
        <w:t>:</w:t>
      </w:r>
    </w:p>
    <w:p w14:paraId="0E759FD5" w14:textId="77777777" w:rsidR="009A593A" w:rsidRPr="00657015" w:rsidRDefault="009A593A" w:rsidP="00466C65">
      <w:pPr>
        <w:pStyle w:val="Sinespaciado"/>
        <w:spacing w:line="360" w:lineRule="auto"/>
        <w:ind w:left="567" w:right="567"/>
        <w:jc w:val="right"/>
        <w:rPr>
          <w:rFonts w:ascii="Palatino Linotype" w:hAnsi="Palatino Linotype"/>
          <w:i/>
          <w:noProof/>
          <w:color w:val="000000" w:themeColor="text1"/>
          <w:lang w:eastAsia="es-MX"/>
        </w:rPr>
      </w:pPr>
    </w:p>
    <w:p w14:paraId="747B3890" w14:textId="29DA1D15" w:rsidR="009953E6" w:rsidRPr="00657015" w:rsidRDefault="009953E6" w:rsidP="009953E6">
      <w:pPr>
        <w:pStyle w:val="Prrafodelista"/>
        <w:tabs>
          <w:tab w:val="left" w:pos="426"/>
        </w:tabs>
        <w:spacing w:line="360" w:lineRule="auto"/>
        <w:jc w:val="both"/>
        <w:rPr>
          <w:rFonts w:ascii="Palatino Linotype" w:hAnsi="Palatino Linotype"/>
          <w:i/>
          <w:color w:val="000000" w:themeColor="text1"/>
          <w:sz w:val="22"/>
          <w:szCs w:val="14"/>
        </w:rPr>
      </w:pPr>
      <w:r w:rsidRPr="00657015">
        <w:rPr>
          <w:rFonts w:ascii="Palatino Linotype" w:hAnsi="Palatino Linotype"/>
          <w:i/>
          <w:color w:val="000000" w:themeColor="text1"/>
          <w:sz w:val="22"/>
          <w:szCs w:val="1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635F043" w14:textId="77777777" w:rsidR="009953E6" w:rsidRPr="00657015" w:rsidRDefault="009953E6" w:rsidP="009953E6">
      <w:pPr>
        <w:pStyle w:val="Prrafodelista"/>
        <w:tabs>
          <w:tab w:val="left" w:pos="426"/>
        </w:tabs>
        <w:spacing w:line="360" w:lineRule="auto"/>
        <w:jc w:val="both"/>
        <w:rPr>
          <w:rFonts w:ascii="Palatino Linotype" w:hAnsi="Palatino Linotype"/>
          <w:i/>
          <w:color w:val="000000" w:themeColor="text1"/>
          <w:sz w:val="22"/>
          <w:szCs w:val="14"/>
        </w:rPr>
      </w:pPr>
      <w:r w:rsidRPr="00657015">
        <w:rPr>
          <w:rFonts w:ascii="Palatino Linotype" w:hAnsi="Palatino Linotype"/>
          <w:i/>
          <w:color w:val="000000" w:themeColor="text1"/>
          <w:sz w:val="22"/>
          <w:szCs w:val="14"/>
        </w:rPr>
        <w:t>Con base en el Reglamento Interior y el Manual General de Organización ambos de esta Secretaría, correspondió a la Procuraduría de la Defensa del Trabajo atender su solicitud. Por lo que, adjunto al presente en archivo PDF copia del oficio de respuesta con la información proporcionada por el servidor público habilitado de la unidad administrativa antes mencionada.</w:t>
      </w:r>
    </w:p>
    <w:p w14:paraId="4E4F0F3C" w14:textId="77777777" w:rsidR="009953E6" w:rsidRPr="00657015" w:rsidRDefault="009953E6" w:rsidP="009953E6">
      <w:pPr>
        <w:pStyle w:val="Prrafodelista"/>
        <w:tabs>
          <w:tab w:val="left" w:pos="426"/>
        </w:tabs>
        <w:spacing w:line="360" w:lineRule="auto"/>
        <w:jc w:val="both"/>
        <w:rPr>
          <w:rFonts w:ascii="Palatino Linotype" w:hAnsi="Palatino Linotype"/>
          <w:i/>
          <w:color w:val="000000" w:themeColor="text1"/>
          <w:sz w:val="22"/>
          <w:szCs w:val="14"/>
        </w:rPr>
      </w:pPr>
      <w:r w:rsidRPr="00657015">
        <w:rPr>
          <w:rFonts w:ascii="Palatino Linotype" w:hAnsi="Palatino Linotype"/>
          <w:i/>
          <w:color w:val="000000" w:themeColor="text1"/>
          <w:sz w:val="22"/>
          <w:szCs w:val="14"/>
        </w:rPr>
        <w:t>ATENTAMENTE</w:t>
      </w:r>
    </w:p>
    <w:p w14:paraId="4A0842EB" w14:textId="77777777" w:rsidR="009953E6" w:rsidRPr="00657015" w:rsidRDefault="009953E6" w:rsidP="009953E6">
      <w:pPr>
        <w:pStyle w:val="Prrafodelista"/>
        <w:tabs>
          <w:tab w:val="left" w:pos="426"/>
        </w:tabs>
        <w:spacing w:line="360" w:lineRule="auto"/>
        <w:jc w:val="both"/>
        <w:rPr>
          <w:rFonts w:ascii="Palatino Linotype" w:hAnsi="Palatino Linotype"/>
          <w:i/>
          <w:color w:val="000000" w:themeColor="text1"/>
          <w:sz w:val="22"/>
          <w:szCs w:val="14"/>
        </w:rPr>
      </w:pPr>
      <w:r w:rsidRPr="00657015">
        <w:rPr>
          <w:rFonts w:ascii="Palatino Linotype" w:hAnsi="Palatino Linotype"/>
          <w:i/>
          <w:color w:val="000000" w:themeColor="text1"/>
          <w:sz w:val="22"/>
          <w:szCs w:val="14"/>
        </w:rPr>
        <w:t>L.D. Raúl Vargas Herrera” (sic)</w:t>
      </w:r>
    </w:p>
    <w:p w14:paraId="2D68519B" w14:textId="77777777" w:rsidR="0097210F" w:rsidRPr="00657015" w:rsidRDefault="0097210F" w:rsidP="00466C65">
      <w:pPr>
        <w:pStyle w:val="Sinespaciado"/>
        <w:spacing w:line="360" w:lineRule="auto"/>
        <w:ind w:right="567"/>
        <w:jc w:val="both"/>
        <w:rPr>
          <w:rFonts w:ascii="Palatino Linotype" w:hAnsi="Palatino Linotype"/>
          <w:noProof/>
          <w:color w:val="000000" w:themeColor="text1"/>
          <w:lang w:val="es-MX" w:eastAsia="es-MX"/>
        </w:rPr>
      </w:pPr>
    </w:p>
    <w:p w14:paraId="1F8D04AB" w14:textId="17021D8C" w:rsidR="009953E6" w:rsidRPr="00657015" w:rsidRDefault="009953E6" w:rsidP="009953E6">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57015">
        <w:rPr>
          <w:rFonts w:ascii="Palatino Linotype" w:hAnsi="Palatino Linotype"/>
          <w:color w:val="000000" w:themeColor="text1"/>
          <w:szCs w:val="22"/>
        </w:rPr>
        <w:t xml:space="preserve">El Sujeto Obligado acompaño su respuesta de los documentos electrónicos denominados </w:t>
      </w:r>
      <w:r w:rsidRPr="00657015">
        <w:rPr>
          <w:rFonts w:ascii="Palatino Linotype" w:hAnsi="Palatino Linotype"/>
          <w:b/>
          <w:i/>
          <w:color w:val="000000" w:themeColor="text1"/>
          <w:szCs w:val="22"/>
        </w:rPr>
        <w:t xml:space="preserve">Resp.SPH.00049.pdf y Resp.00049.pdf, </w:t>
      </w:r>
      <w:r w:rsidRPr="00657015">
        <w:rPr>
          <w:rFonts w:ascii="Palatino Linotype" w:hAnsi="Palatino Linotype"/>
          <w:color w:val="000000" w:themeColor="text1"/>
          <w:szCs w:val="22"/>
        </w:rPr>
        <w:t>los cuales ya son del conocimiento del particular; sin embargo, se procede a describir su contenido medular.</w:t>
      </w:r>
    </w:p>
    <w:p w14:paraId="52FFBCF8" w14:textId="77777777" w:rsidR="009953E6" w:rsidRPr="00657015" w:rsidRDefault="009953E6" w:rsidP="009953E6">
      <w:pPr>
        <w:pStyle w:val="Prrafodelista"/>
        <w:tabs>
          <w:tab w:val="left" w:pos="284"/>
          <w:tab w:val="left" w:pos="426"/>
        </w:tabs>
        <w:spacing w:line="360" w:lineRule="auto"/>
        <w:ind w:left="0"/>
        <w:jc w:val="both"/>
        <w:rPr>
          <w:rFonts w:ascii="Palatino Linotype" w:hAnsi="Palatino Linotype"/>
          <w:color w:val="000000" w:themeColor="text1"/>
          <w:szCs w:val="22"/>
        </w:rPr>
      </w:pPr>
    </w:p>
    <w:p w14:paraId="3949772A" w14:textId="6882ECA9" w:rsidR="009953E6" w:rsidRPr="00657015" w:rsidRDefault="009953E6" w:rsidP="009953E6">
      <w:pPr>
        <w:pStyle w:val="Prrafodelista"/>
        <w:numPr>
          <w:ilvl w:val="1"/>
          <w:numId w:val="30"/>
        </w:numPr>
        <w:tabs>
          <w:tab w:val="left" w:pos="284"/>
          <w:tab w:val="left" w:pos="426"/>
        </w:tabs>
        <w:spacing w:line="360" w:lineRule="auto"/>
        <w:ind w:left="851"/>
        <w:jc w:val="both"/>
        <w:rPr>
          <w:rFonts w:ascii="Palatino Linotype" w:hAnsi="Palatino Linotype"/>
          <w:b/>
          <w:color w:val="000000" w:themeColor="text1"/>
          <w:szCs w:val="22"/>
        </w:rPr>
      </w:pPr>
      <w:r w:rsidRPr="00657015">
        <w:rPr>
          <w:rFonts w:ascii="Palatino Linotype" w:hAnsi="Palatino Linotype"/>
          <w:b/>
          <w:color w:val="000000" w:themeColor="text1"/>
          <w:szCs w:val="22"/>
        </w:rPr>
        <w:t>Resp.SPH.00049.pdf:</w:t>
      </w:r>
      <w:r w:rsidR="006F53A0" w:rsidRPr="00657015">
        <w:rPr>
          <w:rFonts w:ascii="Palatino Linotype" w:hAnsi="Palatino Linotype"/>
          <w:b/>
          <w:color w:val="000000" w:themeColor="text1"/>
          <w:szCs w:val="22"/>
        </w:rPr>
        <w:t xml:space="preserve"> </w:t>
      </w:r>
      <w:r w:rsidR="006F53A0" w:rsidRPr="00657015">
        <w:rPr>
          <w:rFonts w:ascii="Palatino Linotype" w:hAnsi="Palatino Linotype"/>
          <w:color w:val="000000" w:themeColor="text1"/>
          <w:szCs w:val="22"/>
        </w:rPr>
        <w:t>Oficio 2090000600001S/000443/2022 suscrito por el Servidor Público de la Procuraduría de la Defensa mediante el cual indica que, se sugiere se presente en las oficinas de la Procuraduría de la Defensa del Trabajo para su debida atención.</w:t>
      </w:r>
    </w:p>
    <w:p w14:paraId="01BE0363" w14:textId="77777777" w:rsidR="006F53A0" w:rsidRPr="00657015" w:rsidRDefault="006F53A0" w:rsidP="006F53A0">
      <w:pPr>
        <w:pStyle w:val="Prrafodelista"/>
        <w:tabs>
          <w:tab w:val="left" w:pos="284"/>
          <w:tab w:val="left" w:pos="426"/>
        </w:tabs>
        <w:spacing w:line="360" w:lineRule="auto"/>
        <w:ind w:left="851"/>
        <w:jc w:val="both"/>
        <w:rPr>
          <w:rFonts w:ascii="Palatino Linotype" w:hAnsi="Palatino Linotype"/>
          <w:b/>
          <w:color w:val="000000" w:themeColor="text1"/>
          <w:szCs w:val="22"/>
        </w:rPr>
      </w:pPr>
    </w:p>
    <w:p w14:paraId="1C2C0152" w14:textId="3171F8E4" w:rsidR="009953E6" w:rsidRPr="00657015" w:rsidRDefault="009953E6" w:rsidP="009953E6">
      <w:pPr>
        <w:pStyle w:val="Prrafodelista"/>
        <w:numPr>
          <w:ilvl w:val="0"/>
          <w:numId w:val="30"/>
        </w:numPr>
        <w:tabs>
          <w:tab w:val="left" w:pos="284"/>
          <w:tab w:val="left" w:pos="426"/>
        </w:tabs>
        <w:spacing w:line="360" w:lineRule="auto"/>
        <w:ind w:left="851"/>
        <w:jc w:val="both"/>
        <w:rPr>
          <w:rFonts w:ascii="Palatino Linotype" w:hAnsi="Palatino Linotype"/>
          <w:b/>
          <w:color w:val="000000" w:themeColor="text1"/>
          <w:szCs w:val="22"/>
        </w:rPr>
      </w:pPr>
      <w:r w:rsidRPr="00657015">
        <w:rPr>
          <w:rFonts w:ascii="Palatino Linotype" w:hAnsi="Palatino Linotype"/>
          <w:b/>
          <w:color w:val="000000" w:themeColor="text1"/>
          <w:szCs w:val="22"/>
        </w:rPr>
        <w:t xml:space="preserve">Resp.00049.pdf: </w:t>
      </w:r>
      <w:r w:rsidR="006F53A0" w:rsidRPr="00657015">
        <w:rPr>
          <w:rFonts w:ascii="Palatino Linotype" w:hAnsi="Palatino Linotype"/>
          <w:color w:val="000000" w:themeColor="text1"/>
          <w:szCs w:val="22"/>
        </w:rPr>
        <w:t>Oficio 20900008000000S/417/2022 suscrito por el Titular de la Unidad de Transparencia, mediante el cual indica que turnó la solicitud a la Procuraduría de la Defensa del Trabajo atender la solicitud.</w:t>
      </w:r>
    </w:p>
    <w:p w14:paraId="49B8E8FE" w14:textId="77777777" w:rsidR="009953E6" w:rsidRPr="00657015" w:rsidRDefault="009953E6" w:rsidP="009953E6">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422303A9" w:rsidR="000D5A1D" w:rsidRPr="00657015" w:rsidRDefault="00FD7996" w:rsidP="00466C65">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657015">
        <w:rPr>
          <w:rFonts w:ascii="Palatino Linotype" w:eastAsia="Times New Roman" w:hAnsi="Palatino Linotype" w:cs="Arial"/>
          <w:color w:val="000000" w:themeColor="text1"/>
          <w:lang w:val="es-ES"/>
        </w:rPr>
        <w:t>D</w:t>
      </w:r>
      <w:r w:rsidR="00561ED1" w:rsidRPr="00657015">
        <w:rPr>
          <w:rFonts w:ascii="Palatino Linotype" w:eastAsia="Times New Roman" w:hAnsi="Palatino Linotype" w:cs="Arial"/>
          <w:color w:val="000000" w:themeColor="text1"/>
          <w:lang w:val="es-ES"/>
        </w:rPr>
        <w:t xml:space="preserve">erivado de la respuesta emitida por el </w:t>
      </w:r>
      <w:r w:rsidR="00561ED1" w:rsidRPr="00657015">
        <w:rPr>
          <w:rFonts w:ascii="Palatino Linotype" w:eastAsia="Times New Roman" w:hAnsi="Palatino Linotype" w:cs="Arial"/>
          <w:b/>
          <w:color w:val="000000" w:themeColor="text1"/>
          <w:lang w:val="es-ES"/>
        </w:rPr>
        <w:t>SUJETO OBLIGADO</w:t>
      </w:r>
      <w:r w:rsidR="00561ED1" w:rsidRPr="00657015">
        <w:rPr>
          <w:rFonts w:ascii="Palatino Linotype" w:eastAsia="Times New Roman" w:hAnsi="Palatino Linotype" w:cs="Arial"/>
          <w:color w:val="000000" w:themeColor="text1"/>
          <w:lang w:val="es-ES"/>
        </w:rPr>
        <w:t>, e</w:t>
      </w:r>
      <w:r w:rsidR="00FA1F9B" w:rsidRPr="00657015">
        <w:rPr>
          <w:rFonts w:ascii="Palatino Linotype" w:eastAsia="Times New Roman" w:hAnsi="Palatino Linotype" w:cs="Arial"/>
          <w:color w:val="000000" w:themeColor="text1"/>
          <w:lang w:val="es-ES"/>
        </w:rPr>
        <w:t xml:space="preserve">l </w:t>
      </w:r>
      <w:r w:rsidR="006F53A0" w:rsidRPr="00657015">
        <w:rPr>
          <w:rFonts w:ascii="Palatino Linotype" w:eastAsia="Times New Roman" w:hAnsi="Palatino Linotype" w:cs="Arial"/>
          <w:color w:val="000000" w:themeColor="text1"/>
          <w:lang w:val="es-ES"/>
        </w:rPr>
        <w:t>siete</w:t>
      </w:r>
      <w:r w:rsidR="002D6CF5" w:rsidRPr="00657015">
        <w:rPr>
          <w:rFonts w:ascii="Palatino Linotype" w:eastAsia="Times New Roman" w:hAnsi="Palatino Linotype" w:cs="Arial"/>
          <w:color w:val="000000" w:themeColor="text1"/>
          <w:lang w:val="es-ES"/>
        </w:rPr>
        <w:t xml:space="preserve"> (</w:t>
      </w:r>
      <w:r w:rsidR="006F53A0" w:rsidRPr="00657015">
        <w:rPr>
          <w:rFonts w:ascii="Palatino Linotype" w:eastAsia="Times New Roman" w:hAnsi="Palatino Linotype" w:cs="Arial"/>
          <w:color w:val="000000" w:themeColor="text1"/>
          <w:lang w:val="es-ES"/>
        </w:rPr>
        <w:t>7</w:t>
      </w:r>
      <w:r w:rsidR="007A078A" w:rsidRPr="00657015">
        <w:rPr>
          <w:rFonts w:ascii="Palatino Linotype" w:eastAsia="Times New Roman" w:hAnsi="Palatino Linotype" w:cs="Arial"/>
          <w:color w:val="000000" w:themeColor="text1"/>
          <w:lang w:val="es-ES"/>
        </w:rPr>
        <w:t xml:space="preserve">) de </w:t>
      </w:r>
      <w:r w:rsidR="006F53A0" w:rsidRPr="00657015">
        <w:rPr>
          <w:rFonts w:ascii="Palatino Linotype" w:eastAsia="Times New Roman" w:hAnsi="Palatino Linotype" w:cs="Arial"/>
          <w:color w:val="000000" w:themeColor="text1"/>
          <w:lang w:val="es-ES"/>
        </w:rPr>
        <w:t>junio</w:t>
      </w:r>
      <w:r w:rsidR="008965EF" w:rsidRPr="00657015">
        <w:rPr>
          <w:rFonts w:ascii="Palatino Linotype" w:eastAsia="Times New Roman" w:hAnsi="Palatino Linotype" w:cs="Arial"/>
          <w:color w:val="000000" w:themeColor="text1"/>
          <w:lang w:val="es-ES"/>
        </w:rPr>
        <w:t xml:space="preserve"> </w:t>
      </w:r>
      <w:r w:rsidR="00613655" w:rsidRPr="00657015">
        <w:rPr>
          <w:rFonts w:ascii="Palatino Linotype" w:eastAsia="Times New Roman" w:hAnsi="Palatino Linotype" w:cs="Arial"/>
          <w:color w:val="000000" w:themeColor="text1"/>
          <w:lang w:val="es-ES"/>
        </w:rPr>
        <w:t>de dos mil veinti</w:t>
      </w:r>
      <w:r w:rsidR="00751F6F" w:rsidRPr="00657015">
        <w:rPr>
          <w:rFonts w:ascii="Palatino Linotype" w:eastAsia="Times New Roman" w:hAnsi="Palatino Linotype" w:cs="Arial"/>
          <w:color w:val="000000" w:themeColor="text1"/>
          <w:lang w:val="es-ES"/>
        </w:rPr>
        <w:t>dós</w:t>
      </w:r>
      <w:r w:rsidR="00FE49E3" w:rsidRPr="00657015">
        <w:rPr>
          <w:rFonts w:ascii="Palatino Linotype" w:eastAsia="Times New Roman" w:hAnsi="Palatino Linotype" w:cs="Arial"/>
          <w:color w:val="000000" w:themeColor="text1"/>
          <w:lang w:val="es-ES"/>
        </w:rPr>
        <w:t xml:space="preserve">, </w:t>
      </w:r>
      <w:r w:rsidR="007A078A" w:rsidRPr="00657015">
        <w:rPr>
          <w:rFonts w:ascii="Palatino Linotype" w:eastAsia="Times New Roman" w:hAnsi="Palatino Linotype" w:cs="Arial"/>
          <w:color w:val="000000" w:themeColor="text1"/>
          <w:lang w:val="es-ES"/>
        </w:rPr>
        <w:t>la</w:t>
      </w:r>
      <w:r w:rsidR="005F1362" w:rsidRPr="00657015">
        <w:rPr>
          <w:rFonts w:ascii="Palatino Linotype" w:eastAsia="Times New Roman" w:hAnsi="Palatino Linotype" w:cs="Arial"/>
          <w:color w:val="000000" w:themeColor="text1"/>
          <w:lang w:val="es-ES"/>
        </w:rPr>
        <w:t xml:space="preserve"> particular</w:t>
      </w:r>
      <w:r w:rsidR="00DB4BEF" w:rsidRPr="00657015">
        <w:rPr>
          <w:rFonts w:ascii="Palatino Linotype" w:eastAsia="Times New Roman" w:hAnsi="Palatino Linotype" w:cs="Arial"/>
          <w:color w:val="000000" w:themeColor="text1"/>
          <w:lang w:val="es-ES"/>
        </w:rPr>
        <w:t xml:space="preserve"> interpuso</w:t>
      </w:r>
      <w:r w:rsidR="009316E9" w:rsidRPr="00657015">
        <w:rPr>
          <w:rFonts w:ascii="Palatino Linotype" w:eastAsia="Times New Roman" w:hAnsi="Palatino Linotype" w:cs="Arial"/>
          <w:color w:val="000000" w:themeColor="text1"/>
          <w:lang w:val="es-ES"/>
        </w:rPr>
        <w:t xml:space="preserve"> </w:t>
      </w:r>
      <w:r w:rsidR="00102D65" w:rsidRPr="00657015">
        <w:rPr>
          <w:rFonts w:ascii="Palatino Linotype" w:eastAsia="Times New Roman" w:hAnsi="Palatino Linotype" w:cs="Arial"/>
          <w:color w:val="000000" w:themeColor="text1"/>
          <w:lang w:val="es-ES"/>
        </w:rPr>
        <w:t>el</w:t>
      </w:r>
      <w:r w:rsidR="004D68F8" w:rsidRPr="00657015">
        <w:rPr>
          <w:rFonts w:ascii="Palatino Linotype" w:eastAsia="Times New Roman" w:hAnsi="Palatino Linotype" w:cs="Arial"/>
          <w:color w:val="000000" w:themeColor="text1"/>
          <w:lang w:val="es-ES"/>
        </w:rPr>
        <w:t xml:space="preserve"> recurso de revisión </w:t>
      </w:r>
      <w:r w:rsidR="009953E6" w:rsidRPr="00657015">
        <w:rPr>
          <w:rFonts w:ascii="Palatino Linotype" w:hAnsi="Palatino Linotype"/>
          <w:b/>
        </w:rPr>
        <w:t>11178/INFOEM/IP/RR/2022</w:t>
      </w:r>
      <w:r w:rsidR="009A0461" w:rsidRPr="00657015">
        <w:rPr>
          <w:rFonts w:ascii="Palatino Linotype" w:eastAsia="Calibri" w:hAnsi="Palatino Linotype" w:cs="Arial"/>
          <w:b/>
          <w:color w:val="000000" w:themeColor="text1"/>
          <w:lang w:val="es-ES"/>
        </w:rPr>
        <w:t>;</w:t>
      </w:r>
      <w:r w:rsidR="00102D65" w:rsidRPr="00657015">
        <w:rPr>
          <w:rFonts w:ascii="Palatino Linotype" w:eastAsia="Times New Roman" w:hAnsi="Palatino Linotype" w:cs="Arial"/>
          <w:color w:val="000000" w:themeColor="text1"/>
          <w:lang w:val="es-ES"/>
        </w:rPr>
        <w:t xml:space="preserve"> impugnación</w:t>
      </w:r>
      <w:r w:rsidR="004D68F8" w:rsidRPr="00657015">
        <w:rPr>
          <w:rFonts w:ascii="Palatino Linotype" w:eastAsia="Times New Roman" w:hAnsi="Palatino Linotype" w:cs="Arial"/>
          <w:color w:val="000000" w:themeColor="text1"/>
          <w:lang w:val="es-ES"/>
        </w:rPr>
        <w:t xml:space="preserve"> </w:t>
      </w:r>
      <w:r w:rsidR="00A45546" w:rsidRPr="00657015">
        <w:rPr>
          <w:rFonts w:ascii="Palatino Linotype" w:eastAsia="Times New Roman" w:hAnsi="Palatino Linotype" w:cs="Arial"/>
          <w:color w:val="000000" w:themeColor="text1"/>
          <w:lang w:val="es-ES"/>
        </w:rPr>
        <w:t xml:space="preserve">en </w:t>
      </w:r>
      <w:r w:rsidR="00977D37" w:rsidRPr="00657015">
        <w:rPr>
          <w:rFonts w:ascii="Palatino Linotype" w:eastAsia="Times New Roman" w:hAnsi="Palatino Linotype" w:cs="Arial"/>
          <w:color w:val="000000" w:themeColor="text1"/>
          <w:lang w:val="es-ES"/>
        </w:rPr>
        <w:t>la</w:t>
      </w:r>
      <w:r w:rsidR="00A45546" w:rsidRPr="00657015">
        <w:rPr>
          <w:rFonts w:ascii="Palatino Linotype" w:eastAsia="Times New Roman" w:hAnsi="Palatino Linotype" w:cs="Arial"/>
          <w:color w:val="000000" w:themeColor="text1"/>
          <w:lang w:val="es-ES"/>
        </w:rPr>
        <w:t xml:space="preserve"> que refirió </w:t>
      </w:r>
      <w:r w:rsidR="004D68F8" w:rsidRPr="00657015">
        <w:rPr>
          <w:rFonts w:ascii="Palatino Linotype" w:eastAsia="Times New Roman" w:hAnsi="Palatino Linotype" w:cs="Arial"/>
          <w:color w:val="000000" w:themeColor="text1"/>
          <w:lang w:val="es-ES"/>
        </w:rPr>
        <w:t>lo siguiente:</w:t>
      </w:r>
    </w:p>
    <w:p w14:paraId="054906C6" w14:textId="77777777" w:rsidR="00E34622" w:rsidRPr="00657015" w:rsidRDefault="00E34622" w:rsidP="00466C65">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05C2CD4C" w:rsidR="00E34622" w:rsidRPr="00657015" w:rsidRDefault="00E34622" w:rsidP="006F53A0">
      <w:pPr>
        <w:pStyle w:val="Prrafodelista"/>
        <w:numPr>
          <w:ilvl w:val="0"/>
          <w:numId w:val="25"/>
        </w:numPr>
        <w:spacing w:line="360" w:lineRule="auto"/>
        <w:ind w:left="709"/>
        <w:jc w:val="both"/>
        <w:rPr>
          <w:rFonts w:ascii="Palatino Linotype" w:eastAsia="Times New Roman" w:hAnsi="Palatino Linotype" w:cs="Times New Roman"/>
          <w:lang w:eastAsia="es-MX"/>
        </w:rPr>
      </w:pPr>
      <w:r w:rsidRPr="00657015">
        <w:rPr>
          <w:rFonts w:ascii="Palatino Linotype" w:eastAsia="Times New Roman" w:hAnsi="Palatino Linotype" w:cs="Arial"/>
          <w:b/>
          <w:color w:val="000000" w:themeColor="text1"/>
          <w:lang w:val="es-ES"/>
        </w:rPr>
        <w:t>Acto impugnado:</w:t>
      </w:r>
      <w:r w:rsidRPr="00657015">
        <w:rPr>
          <w:rFonts w:ascii="Palatino Linotype" w:eastAsia="Times New Roman" w:hAnsi="Palatino Linotype" w:cs="Arial"/>
          <w:color w:val="000000" w:themeColor="text1"/>
          <w:lang w:val="es-ES"/>
        </w:rPr>
        <w:t xml:space="preserve"> “</w:t>
      </w:r>
      <w:r w:rsidR="006F53A0" w:rsidRPr="00657015">
        <w:rPr>
          <w:rFonts w:ascii="Palatino Linotype" w:eastAsia="Times New Roman" w:hAnsi="Palatino Linotype" w:cs="Times New Roman"/>
          <w:i/>
          <w:sz w:val="22"/>
          <w:szCs w:val="14"/>
          <w:lang w:eastAsia="es-MX"/>
        </w:rPr>
        <w:t>EVADEN RESPUESTA CONCRETA Y CLAR</w:t>
      </w:r>
      <w:r w:rsidRPr="00657015">
        <w:rPr>
          <w:rFonts w:ascii="Palatino Linotype" w:eastAsia="Times New Roman" w:hAnsi="Palatino Linotype" w:cs="Arial"/>
          <w:i/>
          <w:color w:val="000000" w:themeColor="text1"/>
          <w:lang w:val="es-ES"/>
        </w:rPr>
        <w:t>”</w:t>
      </w:r>
      <w:r w:rsidRPr="00657015">
        <w:rPr>
          <w:rFonts w:ascii="Palatino Linotype" w:eastAsia="Times New Roman" w:hAnsi="Palatino Linotype" w:cs="Arial"/>
          <w:color w:val="000000" w:themeColor="text1"/>
          <w:lang w:val="es-ES"/>
        </w:rPr>
        <w:t xml:space="preserve"> (Sic).</w:t>
      </w:r>
    </w:p>
    <w:p w14:paraId="4D3F2F9A" w14:textId="77777777" w:rsidR="00517A26" w:rsidRPr="00657015" w:rsidRDefault="00517A26" w:rsidP="006F53A0">
      <w:pPr>
        <w:pStyle w:val="Prrafodelista"/>
        <w:tabs>
          <w:tab w:val="left" w:pos="426"/>
        </w:tabs>
        <w:spacing w:line="360" w:lineRule="auto"/>
        <w:ind w:left="709"/>
        <w:jc w:val="both"/>
        <w:rPr>
          <w:rFonts w:ascii="Palatino Linotype" w:eastAsia="Times New Roman" w:hAnsi="Palatino Linotype" w:cs="Arial"/>
          <w:color w:val="000000" w:themeColor="text1"/>
          <w:lang w:val="es-ES"/>
        </w:rPr>
      </w:pPr>
    </w:p>
    <w:p w14:paraId="17F94CC8" w14:textId="566B7E3C" w:rsidR="00991FD9" w:rsidRPr="00657015" w:rsidRDefault="00901BB1" w:rsidP="006F53A0">
      <w:pPr>
        <w:pStyle w:val="Prrafodelista"/>
        <w:numPr>
          <w:ilvl w:val="0"/>
          <w:numId w:val="2"/>
        </w:numPr>
        <w:tabs>
          <w:tab w:val="left" w:pos="426"/>
        </w:tabs>
        <w:spacing w:line="360" w:lineRule="auto"/>
        <w:ind w:left="709"/>
        <w:jc w:val="both"/>
        <w:rPr>
          <w:rFonts w:ascii="Palatino Linotype" w:eastAsia="Times New Roman" w:hAnsi="Palatino Linotype" w:cs="Arial"/>
          <w:i/>
          <w:color w:val="000000" w:themeColor="text1"/>
          <w:sz w:val="22"/>
          <w:lang w:val="es-ES"/>
        </w:rPr>
      </w:pPr>
      <w:r w:rsidRPr="00657015">
        <w:rPr>
          <w:rFonts w:ascii="Palatino Linotype" w:eastAsia="Times New Roman" w:hAnsi="Palatino Linotype" w:cs="Arial"/>
          <w:b/>
          <w:color w:val="000000" w:themeColor="text1"/>
          <w:lang w:val="es-ES"/>
        </w:rPr>
        <w:t>Motivos o razones de inconformidad:</w:t>
      </w:r>
      <w:r w:rsidRPr="00657015">
        <w:rPr>
          <w:rFonts w:ascii="Palatino Linotype" w:eastAsia="Times New Roman" w:hAnsi="Palatino Linotype" w:cs="Arial"/>
          <w:color w:val="000000" w:themeColor="text1"/>
          <w:lang w:val="es-ES"/>
        </w:rPr>
        <w:t xml:space="preserve"> </w:t>
      </w:r>
      <w:r w:rsidR="00991FD9" w:rsidRPr="00657015">
        <w:rPr>
          <w:rFonts w:ascii="Palatino Linotype" w:eastAsia="Times New Roman" w:hAnsi="Palatino Linotype" w:cs="Arial"/>
          <w:i/>
          <w:color w:val="000000" w:themeColor="text1"/>
          <w:sz w:val="22"/>
          <w:lang w:val="es-ES"/>
        </w:rPr>
        <w:t>“</w:t>
      </w:r>
      <w:r w:rsidR="006F53A0" w:rsidRPr="00657015">
        <w:rPr>
          <w:rFonts w:ascii="Palatino Linotype" w:eastAsia="Times New Roman" w:hAnsi="Palatino Linotype" w:cs="Arial"/>
          <w:i/>
          <w:color w:val="000000" w:themeColor="text1"/>
          <w:sz w:val="22"/>
          <w:lang w:val="es-ES"/>
        </w:rPr>
        <w:t>EVANDEN RESPUESTA</w:t>
      </w:r>
      <w:r w:rsidR="00991FD9" w:rsidRPr="00657015">
        <w:rPr>
          <w:rFonts w:ascii="Palatino Linotype" w:eastAsia="Times New Roman" w:hAnsi="Palatino Linotype" w:cs="Arial"/>
          <w:i/>
          <w:color w:val="000000" w:themeColor="text1"/>
          <w:sz w:val="22"/>
          <w:lang w:val="es-ES"/>
        </w:rPr>
        <w:t>”</w:t>
      </w:r>
    </w:p>
    <w:p w14:paraId="3875A9E7" w14:textId="77777777" w:rsidR="00AD2900" w:rsidRPr="00657015" w:rsidRDefault="00AD2900"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657015"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57015">
        <w:rPr>
          <w:rFonts w:ascii="Palatino Linotype" w:eastAsia="Times New Roman" w:hAnsi="Palatino Linotype" w:cs="Arial"/>
          <w:color w:val="000000" w:themeColor="text1"/>
          <w:lang w:val="es-ES"/>
        </w:rPr>
        <w:t xml:space="preserve">Se registró el recurso de revisión bajo el número de expediente </w:t>
      </w:r>
      <w:r w:rsidR="004F785F" w:rsidRPr="00657015">
        <w:rPr>
          <w:rFonts w:ascii="Palatino Linotype" w:hAnsi="Palatino Linotype" w:cs="Arial"/>
          <w:bCs/>
          <w:color w:val="000000" w:themeColor="text1"/>
        </w:rPr>
        <w:t>al rubro indicado, asi</w:t>
      </w:r>
      <w:r w:rsidRPr="00657015">
        <w:rPr>
          <w:rFonts w:ascii="Palatino Linotype" w:hAnsi="Palatino Linotype" w:cs="Arial"/>
          <w:bCs/>
          <w:color w:val="000000" w:themeColor="text1"/>
        </w:rPr>
        <w:t xml:space="preserve">mismo, con fundamento en lo dispuesto por el </w:t>
      </w:r>
      <w:r w:rsidRPr="0065701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657015">
        <w:rPr>
          <w:rFonts w:ascii="Palatino Linotype" w:eastAsia="Times New Roman" w:hAnsi="Palatino Linotype" w:cs="Arial"/>
          <w:bCs/>
          <w:color w:val="000000" w:themeColor="text1"/>
          <w:lang w:val="es-ES"/>
        </w:rPr>
        <w:t xml:space="preserve">se turnó </w:t>
      </w:r>
      <w:r w:rsidR="0096234B" w:rsidRPr="00657015">
        <w:rPr>
          <w:rFonts w:ascii="Palatino Linotype" w:eastAsia="Times New Roman" w:hAnsi="Palatino Linotype" w:cs="Arial"/>
          <w:bCs/>
          <w:color w:val="000000" w:themeColor="text1"/>
          <w:lang w:val="es-ES"/>
        </w:rPr>
        <w:t xml:space="preserve">a la </w:t>
      </w:r>
      <w:r w:rsidR="0096234B" w:rsidRPr="00657015">
        <w:rPr>
          <w:rFonts w:ascii="Palatino Linotype" w:eastAsia="Times New Roman" w:hAnsi="Palatino Linotype" w:cs="Arial"/>
          <w:b/>
          <w:bCs/>
          <w:color w:val="000000" w:themeColor="text1"/>
          <w:lang w:val="es-ES"/>
        </w:rPr>
        <w:t xml:space="preserve">Comisionada </w:t>
      </w:r>
      <w:r w:rsidR="00D12402" w:rsidRPr="00657015">
        <w:rPr>
          <w:rFonts w:ascii="Palatino Linotype" w:eastAsia="Times New Roman" w:hAnsi="Palatino Linotype" w:cs="Arial"/>
          <w:b/>
          <w:bCs/>
          <w:color w:val="000000" w:themeColor="text1"/>
          <w:lang w:val="es-ES"/>
        </w:rPr>
        <w:t>María del Rosario Mejía Ayala</w:t>
      </w:r>
      <w:r w:rsidRPr="00657015">
        <w:rPr>
          <w:rFonts w:ascii="Palatino Linotype" w:eastAsia="Times New Roman" w:hAnsi="Palatino Linotype" w:cs="Arial"/>
          <w:bCs/>
          <w:color w:val="000000" w:themeColor="text1"/>
          <w:lang w:val="es-ES"/>
        </w:rPr>
        <w:t xml:space="preserve">, con el objeto de </w:t>
      </w:r>
      <w:r w:rsidRPr="00657015">
        <w:rPr>
          <w:rFonts w:ascii="Palatino Linotype" w:eastAsia="Times New Roman" w:hAnsi="Palatino Linotype" w:cs="Arial"/>
          <w:bCs/>
          <w:color w:val="000000" w:themeColor="text1"/>
        </w:rPr>
        <w:t>su análisis.</w:t>
      </w:r>
    </w:p>
    <w:p w14:paraId="2BDE682E" w14:textId="77777777" w:rsidR="005F1362" w:rsidRPr="00657015"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4EBFD71" w:rsidR="007446C2" w:rsidRPr="00657015" w:rsidRDefault="0096234B"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657015">
        <w:rPr>
          <w:rFonts w:ascii="Palatino Linotype" w:eastAsia="Times New Roman" w:hAnsi="Palatino Linotype" w:cs="Arial"/>
          <w:color w:val="000000" w:themeColor="text1"/>
          <w:lang w:val="es-ES"/>
        </w:rPr>
        <w:lastRenderedPageBreak/>
        <w:t>La</w:t>
      </w:r>
      <w:r w:rsidR="00E647FF" w:rsidRPr="00657015">
        <w:rPr>
          <w:rFonts w:ascii="Palatino Linotype" w:eastAsia="Times New Roman" w:hAnsi="Palatino Linotype" w:cs="Arial"/>
          <w:color w:val="000000" w:themeColor="text1"/>
          <w:lang w:val="es-ES"/>
        </w:rPr>
        <w:t xml:space="preserve"> </w:t>
      </w:r>
      <w:r w:rsidR="0004686A" w:rsidRPr="00657015">
        <w:rPr>
          <w:rFonts w:ascii="Palatino Linotype" w:eastAsia="Calibri" w:hAnsi="Palatino Linotype" w:cs="Arial"/>
          <w:color w:val="000000" w:themeColor="text1"/>
          <w:lang w:val="es-ES"/>
        </w:rPr>
        <w:t>Comisionad</w:t>
      </w:r>
      <w:r w:rsidRPr="00657015">
        <w:rPr>
          <w:rFonts w:ascii="Palatino Linotype" w:eastAsia="Calibri" w:hAnsi="Palatino Linotype" w:cs="Arial"/>
          <w:color w:val="000000" w:themeColor="text1"/>
          <w:lang w:val="es-ES"/>
        </w:rPr>
        <w:t>a</w:t>
      </w:r>
      <w:r w:rsidR="0004686A" w:rsidRPr="00657015">
        <w:rPr>
          <w:rFonts w:ascii="Palatino Linotype" w:eastAsia="Calibri" w:hAnsi="Palatino Linotype" w:cs="Arial"/>
          <w:color w:val="000000" w:themeColor="text1"/>
          <w:lang w:val="es-ES"/>
        </w:rPr>
        <w:t xml:space="preserve"> Ponente</w:t>
      </w:r>
      <w:r w:rsidR="006B31E7" w:rsidRPr="00657015">
        <w:rPr>
          <w:rFonts w:ascii="Palatino Linotype" w:eastAsia="Calibri" w:hAnsi="Palatino Linotype" w:cs="Arial"/>
          <w:color w:val="000000" w:themeColor="text1"/>
          <w:lang w:val="es-ES"/>
        </w:rPr>
        <w:t>,</w:t>
      </w:r>
      <w:r w:rsidR="0004686A" w:rsidRPr="00657015">
        <w:rPr>
          <w:rFonts w:ascii="Palatino Linotype" w:eastAsia="Calibri" w:hAnsi="Palatino Linotype" w:cs="Arial"/>
          <w:color w:val="000000" w:themeColor="text1"/>
          <w:lang w:val="es-ES"/>
        </w:rPr>
        <w:t xml:space="preserve"> con fundamento en lo dispuesto por el artículo 185 fracción II de la </w:t>
      </w:r>
      <w:r w:rsidR="00613655" w:rsidRPr="00657015">
        <w:rPr>
          <w:rFonts w:ascii="Palatino Linotype" w:eastAsia="Calibri" w:hAnsi="Palatino Linotype" w:cs="Arial"/>
          <w:color w:val="000000" w:themeColor="text1"/>
          <w:lang w:val="es-ES"/>
        </w:rPr>
        <w:t>Ley de Transparencia y Acceso a la Información Pública del Estado de México y Municipios</w:t>
      </w:r>
      <w:r w:rsidR="0004686A" w:rsidRPr="00657015">
        <w:rPr>
          <w:rFonts w:ascii="Palatino Linotype" w:eastAsia="Calibri" w:hAnsi="Palatino Linotype" w:cs="Arial"/>
          <w:color w:val="000000" w:themeColor="text1"/>
          <w:lang w:val="es-ES"/>
        </w:rPr>
        <w:t xml:space="preserve">, a través </w:t>
      </w:r>
      <w:r w:rsidR="006E4E2A" w:rsidRPr="00657015">
        <w:rPr>
          <w:rFonts w:ascii="Palatino Linotype" w:eastAsia="Calibri" w:hAnsi="Palatino Linotype" w:cs="Arial"/>
          <w:color w:val="000000" w:themeColor="text1"/>
          <w:lang w:val="es-ES"/>
        </w:rPr>
        <w:t>del</w:t>
      </w:r>
      <w:r w:rsidR="0004686A" w:rsidRPr="00657015">
        <w:rPr>
          <w:rFonts w:ascii="Palatino Linotype" w:eastAsia="Calibri" w:hAnsi="Palatino Linotype" w:cs="Arial"/>
          <w:color w:val="000000" w:themeColor="text1"/>
          <w:lang w:val="es-ES"/>
        </w:rPr>
        <w:t xml:space="preserve"> </w:t>
      </w:r>
      <w:r w:rsidR="00B81371" w:rsidRPr="00657015">
        <w:rPr>
          <w:rFonts w:ascii="Palatino Linotype" w:eastAsia="Calibri" w:hAnsi="Palatino Linotype" w:cs="Arial"/>
          <w:color w:val="000000" w:themeColor="text1"/>
          <w:lang w:val="es-ES"/>
        </w:rPr>
        <w:t xml:space="preserve">acuerdo </w:t>
      </w:r>
      <w:r w:rsidR="00F147C6" w:rsidRPr="00657015">
        <w:rPr>
          <w:rFonts w:ascii="Palatino Linotype" w:eastAsia="Calibri" w:hAnsi="Palatino Linotype" w:cs="Arial"/>
          <w:color w:val="000000" w:themeColor="text1"/>
          <w:lang w:val="es-ES"/>
        </w:rPr>
        <w:t xml:space="preserve">de admisión </w:t>
      </w:r>
      <w:r w:rsidR="00091F3E" w:rsidRPr="00657015">
        <w:rPr>
          <w:rFonts w:ascii="Palatino Linotype" w:eastAsia="Calibri" w:hAnsi="Palatino Linotype" w:cs="Arial"/>
          <w:color w:val="000000" w:themeColor="text1"/>
          <w:lang w:val="es-ES"/>
        </w:rPr>
        <w:t xml:space="preserve">de fecha </w:t>
      </w:r>
      <w:r w:rsidR="006F53A0" w:rsidRPr="00657015">
        <w:rPr>
          <w:rFonts w:ascii="Palatino Linotype" w:eastAsia="Calibri" w:hAnsi="Palatino Linotype" w:cs="Arial"/>
          <w:color w:val="000000" w:themeColor="text1"/>
          <w:lang w:val="es-ES"/>
        </w:rPr>
        <w:t>trece</w:t>
      </w:r>
      <w:r w:rsidR="00BD6C40" w:rsidRPr="00657015">
        <w:rPr>
          <w:rFonts w:ascii="Palatino Linotype" w:eastAsia="Calibri" w:hAnsi="Palatino Linotype" w:cs="Arial"/>
          <w:color w:val="000000" w:themeColor="text1"/>
          <w:lang w:val="es-ES"/>
        </w:rPr>
        <w:t xml:space="preserve"> (</w:t>
      </w:r>
      <w:r w:rsidR="006F53A0" w:rsidRPr="00657015">
        <w:rPr>
          <w:rFonts w:ascii="Palatino Linotype" w:eastAsia="Calibri" w:hAnsi="Palatino Linotype" w:cs="Arial"/>
          <w:color w:val="000000" w:themeColor="text1"/>
          <w:lang w:val="es-ES"/>
        </w:rPr>
        <w:t>13</w:t>
      </w:r>
      <w:r w:rsidR="00BD6C40" w:rsidRPr="00657015">
        <w:rPr>
          <w:rFonts w:ascii="Palatino Linotype" w:eastAsia="Calibri" w:hAnsi="Palatino Linotype" w:cs="Arial"/>
          <w:color w:val="000000" w:themeColor="text1"/>
          <w:lang w:val="es-ES"/>
        </w:rPr>
        <w:t xml:space="preserve">) de </w:t>
      </w:r>
      <w:r w:rsidR="006F53A0" w:rsidRPr="00657015">
        <w:rPr>
          <w:rFonts w:ascii="Palatino Linotype" w:eastAsia="Calibri" w:hAnsi="Palatino Linotype" w:cs="Arial"/>
          <w:color w:val="000000" w:themeColor="text1"/>
          <w:lang w:val="es-ES"/>
        </w:rPr>
        <w:t>junio</w:t>
      </w:r>
      <w:r w:rsidR="00613655" w:rsidRPr="00657015">
        <w:rPr>
          <w:rFonts w:ascii="Palatino Linotype" w:eastAsia="Calibri" w:hAnsi="Palatino Linotype" w:cs="Arial"/>
          <w:color w:val="000000" w:themeColor="text1"/>
          <w:lang w:val="es-ES"/>
        </w:rPr>
        <w:t xml:space="preserve"> de dos mil veinti</w:t>
      </w:r>
      <w:r w:rsidR="00751F6F" w:rsidRPr="00657015">
        <w:rPr>
          <w:rFonts w:ascii="Palatino Linotype" w:eastAsia="Calibri" w:hAnsi="Palatino Linotype" w:cs="Arial"/>
          <w:color w:val="000000" w:themeColor="text1"/>
          <w:lang w:val="es-ES"/>
        </w:rPr>
        <w:t>dós</w:t>
      </w:r>
      <w:r w:rsidR="006A1047" w:rsidRPr="00657015">
        <w:rPr>
          <w:rFonts w:ascii="Palatino Linotype" w:eastAsia="Calibri" w:hAnsi="Palatino Linotype" w:cs="Arial"/>
          <w:color w:val="000000" w:themeColor="text1"/>
          <w:lang w:val="es-ES"/>
        </w:rPr>
        <w:t xml:space="preserve">, </w:t>
      </w:r>
      <w:r w:rsidR="00B81371" w:rsidRPr="00657015">
        <w:rPr>
          <w:rFonts w:ascii="Palatino Linotype" w:eastAsia="Calibri" w:hAnsi="Palatino Linotype" w:cs="Arial"/>
          <w:color w:val="000000" w:themeColor="text1"/>
          <w:lang w:val="es-ES"/>
        </w:rPr>
        <w:t xml:space="preserve">puso a </w:t>
      </w:r>
      <w:r w:rsidR="00875167" w:rsidRPr="00657015">
        <w:rPr>
          <w:rFonts w:ascii="Palatino Linotype" w:eastAsia="Calibri" w:hAnsi="Palatino Linotype" w:cs="Arial"/>
          <w:color w:val="000000" w:themeColor="text1"/>
          <w:lang w:val="es-ES"/>
        </w:rPr>
        <w:t>disposición</w:t>
      </w:r>
      <w:r w:rsidR="00B81371" w:rsidRPr="00657015">
        <w:rPr>
          <w:rFonts w:ascii="Palatino Linotype" w:eastAsia="Calibri" w:hAnsi="Palatino Linotype" w:cs="Arial"/>
          <w:color w:val="000000" w:themeColor="text1"/>
          <w:lang w:val="es-ES"/>
        </w:rPr>
        <w:t xml:space="preserve"> de las partes el expediente electrónico </w:t>
      </w:r>
      <w:r w:rsidR="00B81371" w:rsidRPr="00657015">
        <w:rPr>
          <w:rFonts w:ascii="Palatino Linotype" w:eastAsia="Calibri" w:hAnsi="Palatino Linotype" w:cs="Arial"/>
          <w:color w:val="000000" w:themeColor="text1"/>
        </w:rPr>
        <w:t xml:space="preserve">vía </w:t>
      </w:r>
      <w:r w:rsidR="00B81371" w:rsidRPr="00657015">
        <w:rPr>
          <w:rFonts w:ascii="Palatino Linotype" w:eastAsia="Calibri" w:hAnsi="Palatino Linotype" w:cs="Arial"/>
          <w:color w:val="000000" w:themeColor="text1"/>
          <w:lang w:val="es-ES"/>
        </w:rPr>
        <w:t xml:space="preserve">Sistema de Acceso a la Información Mexiquense </w:t>
      </w:r>
      <w:r w:rsidR="001468E9" w:rsidRPr="00657015">
        <w:rPr>
          <w:rFonts w:ascii="Palatino Linotype" w:eastAsia="Calibri" w:hAnsi="Palatino Linotype" w:cs="Arial"/>
          <w:color w:val="000000" w:themeColor="text1"/>
          <w:lang w:val="es-ES"/>
        </w:rPr>
        <w:t>(</w:t>
      </w:r>
      <w:r w:rsidR="00B81371" w:rsidRPr="00657015">
        <w:rPr>
          <w:rFonts w:ascii="Palatino Linotype" w:eastAsia="Calibri" w:hAnsi="Palatino Linotype" w:cs="Arial"/>
          <w:b/>
          <w:i/>
          <w:color w:val="000000" w:themeColor="text1"/>
          <w:lang w:val="es-ES"/>
        </w:rPr>
        <w:t>SAIMEX</w:t>
      </w:r>
      <w:r w:rsidR="001468E9" w:rsidRPr="00657015">
        <w:rPr>
          <w:rFonts w:ascii="Palatino Linotype" w:eastAsia="Calibri" w:hAnsi="Palatino Linotype" w:cs="Arial"/>
          <w:b/>
          <w:i/>
          <w:color w:val="000000" w:themeColor="text1"/>
          <w:lang w:val="es-ES"/>
        </w:rPr>
        <w:t>)</w:t>
      </w:r>
      <w:r w:rsidR="00B81371" w:rsidRPr="00657015">
        <w:rPr>
          <w:rFonts w:ascii="Palatino Linotype" w:eastAsia="Calibri" w:hAnsi="Palatino Linotype" w:cs="Arial"/>
          <w:b/>
          <w:color w:val="000000" w:themeColor="text1"/>
          <w:lang w:val="es-ES"/>
        </w:rPr>
        <w:t xml:space="preserve"> </w:t>
      </w:r>
      <w:r w:rsidR="00B81371" w:rsidRPr="00657015">
        <w:rPr>
          <w:rFonts w:ascii="Palatino Linotype" w:eastAsia="Calibri" w:hAnsi="Palatino Linotype" w:cs="Arial"/>
          <w:color w:val="000000" w:themeColor="text1"/>
          <w:lang w:val="es-ES"/>
        </w:rPr>
        <w:t xml:space="preserve">a efecto de que en un plazo máximo de siete días </w:t>
      </w:r>
      <w:r w:rsidR="00875167" w:rsidRPr="00657015">
        <w:rPr>
          <w:rFonts w:ascii="Palatino Linotype" w:eastAsia="Calibri" w:hAnsi="Palatino Linotype" w:cs="Arial"/>
          <w:color w:val="000000" w:themeColor="text1"/>
          <w:lang w:val="es-ES"/>
        </w:rPr>
        <w:t>manifestaran</w:t>
      </w:r>
      <w:r w:rsidR="00B81371" w:rsidRPr="00657015">
        <w:rPr>
          <w:rFonts w:ascii="Palatino Linotype" w:eastAsia="Calibri" w:hAnsi="Palatino Linotype" w:cs="Arial"/>
          <w:color w:val="000000" w:themeColor="text1"/>
          <w:lang w:val="es-ES"/>
        </w:rPr>
        <w:t xml:space="preserve"> lo que a</w:t>
      </w:r>
      <w:r w:rsidR="003A2029" w:rsidRPr="00657015">
        <w:rPr>
          <w:rFonts w:ascii="Palatino Linotype" w:eastAsia="Calibri" w:hAnsi="Palatino Linotype" w:cs="Arial"/>
          <w:color w:val="000000" w:themeColor="text1"/>
          <w:lang w:val="es-ES"/>
        </w:rPr>
        <w:t xml:space="preserve"> su</w:t>
      </w:r>
      <w:r w:rsidR="00B81371" w:rsidRPr="00657015">
        <w:rPr>
          <w:rFonts w:ascii="Palatino Linotype" w:eastAsia="Calibri" w:hAnsi="Palatino Linotype" w:cs="Arial"/>
          <w:color w:val="000000" w:themeColor="text1"/>
          <w:lang w:val="es-ES"/>
        </w:rPr>
        <w:t xml:space="preserve"> derecho conviniera</w:t>
      </w:r>
      <w:r w:rsidR="00875167" w:rsidRPr="00657015">
        <w:rPr>
          <w:rFonts w:ascii="Palatino Linotype" w:eastAsia="Calibri" w:hAnsi="Palatino Linotype" w:cs="Arial"/>
          <w:color w:val="000000" w:themeColor="text1"/>
          <w:lang w:val="es-ES"/>
        </w:rPr>
        <w:t>n</w:t>
      </w:r>
      <w:r w:rsidR="00032493" w:rsidRPr="00657015">
        <w:rPr>
          <w:rFonts w:ascii="Palatino Linotype" w:eastAsia="Calibri" w:hAnsi="Palatino Linotype" w:cs="Arial"/>
          <w:color w:val="000000" w:themeColor="text1"/>
          <w:lang w:val="es-ES"/>
        </w:rPr>
        <w:t>,</w:t>
      </w:r>
      <w:r w:rsidR="00B81371" w:rsidRPr="00657015">
        <w:rPr>
          <w:rFonts w:ascii="Palatino Linotype" w:eastAsia="Calibri" w:hAnsi="Palatino Linotype" w:cs="Arial"/>
          <w:color w:val="000000" w:themeColor="text1"/>
          <w:lang w:val="es-ES"/>
        </w:rPr>
        <w:t xml:space="preserve"> </w:t>
      </w:r>
      <w:r w:rsidR="00875167" w:rsidRPr="00657015">
        <w:rPr>
          <w:rFonts w:ascii="Palatino Linotype" w:eastAsia="Calibri" w:hAnsi="Palatino Linotype" w:cs="Arial"/>
          <w:color w:val="000000" w:themeColor="text1"/>
          <w:lang w:val="es-ES"/>
        </w:rPr>
        <w:t>ofrecieran pruebas y</w:t>
      </w:r>
      <w:r w:rsidR="00132C06" w:rsidRPr="00657015">
        <w:rPr>
          <w:rFonts w:ascii="Palatino Linotype" w:eastAsia="Calibri" w:hAnsi="Palatino Linotype" w:cs="Arial"/>
          <w:color w:val="000000" w:themeColor="text1"/>
          <w:lang w:val="es-ES"/>
        </w:rPr>
        <w:t xml:space="preserve"> </w:t>
      </w:r>
      <w:r w:rsidR="00875167" w:rsidRPr="00657015">
        <w:rPr>
          <w:rFonts w:ascii="Palatino Linotype" w:eastAsia="Calibri" w:hAnsi="Palatino Linotype" w:cs="Arial"/>
          <w:color w:val="000000" w:themeColor="text1"/>
          <w:lang w:val="es-ES"/>
        </w:rPr>
        <w:t>alegatos según corresponda a</w:t>
      </w:r>
      <w:r w:rsidR="004C20F2" w:rsidRPr="00657015">
        <w:rPr>
          <w:rFonts w:ascii="Palatino Linotype" w:eastAsia="Calibri" w:hAnsi="Palatino Linotype" w:cs="Arial"/>
          <w:color w:val="000000" w:themeColor="text1"/>
          <w:lang w:val="es-ES"/>
        </w:rPr>
        <w:t xml:space="preserve"> </w:t>
      </w:r>
      <w:r w:rsidR="00875167" w:rsidRPr="00657015">
        <w:rPr>
          <w:rFonts w:ascii="Palatino Linotype" w:eastAsia="Calibri" w:hAnsi="Palatino Linotype" w:cs="Arial"/>
          <w:color w:val="000000" w:themeColor="text1"/>
          <w:lang w:val="es-ES"/>
        </w:rPr>
        <w:t>l</w:t>
      </w:r>
      <w:r w:rsidR="004C20F2" w:rsidRPr="00657015">
        <w:rPr>
          <w:rFonts w:ascii="Palatino Linotype" w:eastAsia="Calibri" w:hAnsi="Palatino Linotype" w:cs="Arial"/>
          <w:color w:val="000000" w:themeColor="text1"/>
          <w:lang w:val="es-ES"/>
        </w:rPr>
        <w:t>os</w:t>
      </w:r>
      <w:r w:rsidR="00875167" w:rsidRPr="00657015">
        <w:rPr>
          <w:rFonts w:ascii="Palatino Linotype" w:eastAsia="Calibri" w:hAnsi="Palatino Linotype" w:cs="Arial"/>
          <w:color w:val="000000" w:themeColor="text1"/>
          <w:lang w:val="es-ES"/>
        </w:rPr>
        <w:t xml:space="preserve"> caso</w:t>
      </w:r>
      <w:r w:rsidR="004C20F2" w:rsidRPr="00657015">
        <w:rPr>
          <w:rFonts w:ascii="Palatino Linotype" w:eastAsia="Calibri" w:hAnsi="Palatino Linotype" w:cs="Arial"/>
          <w:color w:val="000000" w:themeColor="text1"/>
          <w:lang w:val="es-ES"/>
        </w:rPr>
        <w:t>s</w:t>
      </w:r>
      <w:r w:rsidR="00875167" w:rsidRPr="00657015">
        <w:rPr>
          <w:rFonts w:ascii="Palatino Linotype" w:eastAsia="Calibri" w:hAnsi="Palatino Linotype" w:cs="Arial"/>
          <w:color w:val="000000" w:themeColor="text1"/>
          <w:lang w:val="es-ES"/>
        </w:rPr>
        <w:t xml:space="preserve"> concreto</w:t>
      </w:r>
      <w:r w:rsidR="004C20F2" w:rsidRPr="00657015">
        <w:rPr>
          <w:rFonts w:ascii="Palatino Linotype" w:eastAsia="Calibri" w:hAnsi="Palatino Linotype" w:cs="Arial"/>
          <w:color w:val="000000" w:themeColor="text1"/>
          <w:lang w:val="es-ES"/>
        </w:rPr>
        <w:t>s</w:t>
      </w:r>
      <w:r w:rsidR="00875167" w:rsidRPr="00657015">
        <w:rPr>
          <w:rFonts w:ascii="Palatino Linotype" w:eastAsia="Calibri" w:hAnsi="Palatino Linotype" w:cs="Arial"/>
          <w:color w:val="000000" w:themeColor="text1"/>
          <w:lang w:val="es-ES"/>
        </w:rPr>
        <w:t xml:space="preserve">, </w:t>
      </w:r>
      <w:r w:rsidR="00F147C6" w:rsidRPr="00657015">
        <w:rPr>
          <w:rFonts w:ascii="Palatino Linotype" w:eastAsia="Calibri" w:hAnsi="Palatino Linotype" w:cs="Arial"/>
          <w:color w:val="000000" w:themeColor="text1"/>
          <w:lang w:val="es-ES"/>
        </w:rPr>
        <w:t>de esta forma</w:t>
      </w:r>
      <w:r w:rsidR="00875167" w:rsidRPr="00657015">
        <w:rPr>
          <w:rFonts w:ascii="Palatino Linotype" w:eastAsia="Calibri" w:hAnsi="Palatino Linotype" w:cs="Arial"/>
          <w:color w:val="000000" w:themeColor="text1"/>
          <w:lang w:val="es-ES"/>
        </w:rPr>
        <w:t xml:space="preserve"> para que el </w:t>
      </w:r>
      <w:r w:rsidR="00875167" w:rsidRPr="00657015">
        <w:rPr>
          <w:rFonts w:ascii="Palatino Linotype" w:eastAsia="Calibri" w:hAnsi="Palatino Linotype" w:cs="Arial"/>
          <w:b/>
          <w:color w:val="000000" w:themeColor="text1"/>
          <w:lang w:val="es-ES"/>
        </w:rPr>
        <w:t>SUJETO OBLIGADO</w:t>
      </w:r>
      <w:r w:rsidR="00875167" w:rsidRPr="00657015">
        <w:rPr>
          <w:rFonts w:ascii="Palatino Linotype" w:eastAsia="Calibri" w:hAnsi="Palatino Linotype" w:cs="Arial"/>
          <w:color w:val="000000" w:themeColor="text1"/>
          <w:lang w:val="es-ES"/>
        </w:rPr>
        <w:t xml:space="preserve"> </w:t>
      </w:r>
      <w:r w:rsidR="00B81371" w:rsidRPr="00657015">
        <w:rPr>
          <w:rFonts w:ascii="Palatino Linotype" w:eastAsia="Calibri" w:hAnsi="Palatino Linotype" w:cs="Arial"/>
          <w:color w:val="000000" w:themeColor="text1"/>
          <w:lang w:val="es-ES"/>
        </w:rPr>
        <w:t>presentar</w:t>
      </w:r>
      <w:r w:rsidR="003A03D0" w:rsidRPr="00657015">
        <w:rPr>
          <w:rFonts w:ascii="Palatino Linotype" w:eastAsia="Calibri" w:hAnsi="Palatino Linotype" w:cs="Arial"/>
          <w:color w:val="000000" w:themeColor="text1"/>
          <w:lang w:val="es-ES"/>
        </w:rPr>
        <w:t>a</w:t>
      </w:r>
      <w:r w:rsidR="00B81371" w:rsidRPr="00657015">
        <w:rPr>
          <w:rFonts w:ascii="Palatino Linotype" w:eastAsia="Calibri" w:hAnsi="Palatino Linotype" w:cs="Arial"/>
          <w:color w:val="000000" w:themeColor="text1"/>
          <w:lang w:val="es-ES"/>
        </w:rPr>
        <w:t xml:space="preserve"> el </w:t>
      </w:r>
      <w:r w:rsidR="00556F72" w:rsidRPr="00657015">
        <w:rPr>
          <w:rFonts w:ascii="Palatino Linotype" w:eastAsia="Calibri" w:hAnsi="Palatino Linotype" w:cs="Arial"/>
          <w:color w:val="000000" w:themeColor="text1"/>
          <w:lang w:val="es-ES"/>
        </w:rPr>
        <w:t xml:space="preserve">informe justificado </w:t>
      </w:r>
      <w:r w:rsidR="00875167" w:rsidRPr="00657015">
        <w:rPr>
          <w:rFonts w:ascii="Palatino Linotype" w:eastAsia="Calibri" w:hAnsi="Palatino Linotype" w:cs="Arial"/>
          <w:color w:val="000000" w:themeColor="text1"/>
          <w:lang w:val="es-ES"/>
        </w:rPr>
        <w:t>procedente</w:t>
      </w:r>
      <w:r w:rsidR="00787184" w:rsidRPr="00657015">
        <w:rPr>
          <w:rFonts w:ascii="Palatino Linotype" w:eastAsia="Calibri" w:hAnsi="Palatino Linotype" w:cs="Arial"/>
          <w:color w:val="000000" w:themeColor="text1"/>
          <w:lang w:val="es-ES"/>
        </w:rPr>
        <w:t>.</w:t>
      </w:r>
    </w:p>
    <w:p w14:paraId="67D7209A" w14:textId="77777777" w:rsidR="001B32B2" w:rsidRPr="00657015" w:rsidRDefault="001B32B2" w:rsidP="00466C65">
      <w:pPr>
        <w:pStyle w:val="Prrafodelista"/>
        <w:spacing w:line="360" w:lineRule="auto"/>
        <w:rPr>
          <w:rFonts w:ascii="Palatino Linotype" w:eastAsia="Calibri" w:hAnsi="Palatino Linotype" w:cs="Arial"/>
          <w:color w:val="000000" w:themeColor="text1"/>
          <w:lang w:val="es-ES"/>
        </w:rPr>
      </w:pPr>
    </w:p>
    <w:p w14:paraId="70DAB37E" w14:textId="6FDF6C17" w:rsidR="00963723" w:rsidRPr="00657015" w:rsidRDefault="00963723"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sidRPr="00657015">
        <w:rPr>
          <w:rFonts w:ascii="Palatino Linotype" w:eastAsia="Calibri" w:hAnsi="Palatino Linotype" w:cs="Arial"/>
          <w:color w:val="000000" w:themeColor="text1"/>
          <w:lang w:val="es-ES"/>
        </w:rPr>
        <w:t xml:space="preserve">De las constancias que obran en el expediente electrónico del SAIMEX, se aprecia que, </w:t>
      </w:r>
      <w:r w:rsidR="006F53A0" w:rsidRPr="00657015">
        <w:rPr>
          <w:rFonts w:ascii="Palatino Linotype" w:eastAsia="Calibri" w:hAnsi="Palatino Linotype" w:cs="Arial"/>
          <w:color w:val="000000" w:themeColor="text1"/>
          <w:lang w:val="es-ES"/>
        </w:rPr>
        <w:t xml:space="preserve">el Sujeto Obligado rindió su informe justificado el siete (7) de junio de dos mil veintidós, a través del documento electrónico denominado </w:t>
      </w:r>
      <w:r w:rsidR="006F53A0" w:rsidRPr="00657015">
        <w:rPr>
          <w:rFonts w:ascii="Palatino Linotype" w:eastAsia="Calibri" w:hAnsi="Palatino Linotype" w:cs="Arial"/>
          <w:b/>
          <w:i/>
          <w:color w:val="000000" w:themeColor="text1"/>
          <w:lang w:val="es-ES"/>
        </w:rPr>
        <w:t>IJ.11178-00049.pdf</w:t>
      </w:r>
      <w:r w:rsidR="006F53A0" w:rsidRPr="00657015">
        <w:rPr>
          <w:rFonts w:ascii="Palatino Linotype" w:eastAsia="Calibri" w:hAnsi="Palatino Linotype" w:cs="Arial"/>
          <w:color w:val="000000" w:themeColor="text1"/>
          <w:lang w:val="es-ES"/>
        </w:rPr>
        <w:t>, mismo que se puso a la vista del particular el cinco (5) de octubre de la misma anualidad; sin embargo, describe su contenido medular, siendo el siguiente:</w:t>
      </w:r>
    </w:p>
    <w:p w14:paraId="3A5861ED" w14:textId="77777777" w:rsidR="006F53A0" w:rsidRPr="00657015" w:rsidRDefault="006F53A0" w:rsidP="006F53A0">
      <w:pPr>
        <w:pStyle w:val="Prrafodelista"/>
        <w:rPr>
          <w:rFonts w:ascii="Palatino Linotype" w:eastAsia="Calibri" w:hAnsi="Palatino Linotype" w:cs="Arial"/>
          <w:color w:val="000000" w:themeColor="text1"/>
          <w:sz w:val="22"/>
          <w:lang w:val="es-ES"/>
        </w:rPr>
      </w:pPr>
    </w:p>
    <w:p w14:paraId="694294EE" w14:textId="77777777" w:rsidR="006F53A0" w:rsidRPr="00657015" w:rsidRDefault="006F53A0" w:rsidP="006F53A0">
      <w:pPr>
        <w:pStyle w:val="Prrafodelista"/>
        <w:tabs>
          <w:tab w:val="left" w:pos="426"/>
        </w:tabs>
        <w:spacing w:line="360" w:lineRule="auto"/>
        <w:ind w:left="0"/>
        <w:jc w:val="both"/>
        <w:rPr>
          <w:rFonts w:ascii="Palatino Linotype" w:eastAsia="Calibri" w:hAnsi="Palatino Linotype" w:cs="Arial"/>
          <w:color w:val="000000" w:themeColor="text1"/>
          <w:sz w:val="22"/>
          <w:lang w:val="es-ES"/>
        </w:rPr>
      </w:pPr>
    </w:p>
    <w:p w14:paraId="5B2E3C69" w14:textId="31077EBE" w:rsidR="00963723" w:rsidRPr="00657015" w:rsidRDefault="006F53A0" w:rsidP="00052EA4">
      <w:pPr>
        <w:pStyle w:val="Prrafodelista"/>
        <w:numPr>
          <w:ilvl w:val="0"/>
          <w:numId w:val="31"/>
        </w:numPr>
        <w:spacing w:line="360" w:lineRule="auto"/>
        <w:ind w:left="567"/>
        <w:jc w:val="both"/>
        <w:rPr>
          <w:rFonts w:ascii="Palatino Linotype" w:eastAsia="Calibri" w:hAnsi="Palatino Linotype" w:cs="Arial"/>
          <w:color w:val="000000" w:themeColor="text1"/>
          <w:sz w:val="22"/>
          <w:lang w:val="es-ES"/>
        </w:rPr>
      </w:pPr>
      <w:r w:rsidRPr="00657015">
        <w:rPr>
          <w:rFonts w:ascii="Palatino Linotype" w:eastAsia="Calibri" w:hAnsi="Palatino Linotype" w:cs="Arial"/>
          <w:b/>
          <w:i/>
          <w:color w:val="000000" w:themeColor="text1"/>
          <w:lang w:val="es-ES"/>
        </w:rPr>
        <w:t>IJ.11178-00049.pdf</w:t>
      </w:r>
      <w:r w:rsidR="00052EA4" w:rsidRPr="00657015">
        <w:rPr>
          <w:rFonts w:ascii="Palatino Linotype" w:eastAsia="Calibri" w:hAnsi="Palatino Linotype" w:cs="Arial"/>
          <w:color w:val="000000" w:themeColor="text1"/>
          <w:lang w:val="es-ES"/>
        </w:rPr>
        <w:t>: Documento mediante el cual mencionan las funciones de la Procuraduría de la Defensa del Trabajo, puesto que le corresponde asesorar y representar de manera gratuita a las y los trabajadores ante cualquier autoridad, en relación con la aplicación de normas de trabajo.</w:t>
      </w:r>
    </w:p>
    <w:p w14:paraId="4C531B4C" w14:textId="77777777" w:rsidR="00963723" w:rsidRPr="00657015" w:rsidRDefault="00963723" w:rsidP="00466C65">
      <w:pPr>
        <w:pStyle w:val="Prrafodelista"/>
        <w:spacing w:line="360" w:lineRule="auto"/>
        <w:rPr>
          <w:rFonts w:ascii="Palatino Linotype" w:eastAsia="Calibri" w:hAnsi="Palatino Linotype" w:cs="Arial"/>
          <w:color w:val="000000" w:themeColor="text1"/>
          <w:lang w:val="es-ES"/>
        </w:rPr>
      </w:pPr>
    </w:p>
    <w:p w14:paraId="3001AA57" w14:textId="0E48E5CD" w:rsidR="008965EF" w:rsidRPr="00657015" w:rsidRDefault="00963723" w:rsidP="00466C65">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657015">
        <w:rPr>
          <w:rFonts w:ascii="Palatino Linotype" w:eastAsia="Calibri" w:hAnsi="Palatino Linotype" w:cs="Arial"/>
          <w:color w:val="000000" w:themeColor="text1"/>
          <w:lang w:val="es-ES"/>
        </w:rPr>
        <w:t xml:space="preserve">El </w:t>
      </w:r>
      <w:r w:rsidR="00052EA4" w:rsidRPr="00657015">
        <w:rPr>
          <w:rFonts w:ascii="Palatino Linotype" w:eastAsia="Calibri" w:hAnsi="Palatino Linotype" w:cs="Arial"/>
          <w:color w:val="000000" w:themeColor="text1"/>
          <w:lang w:val="es-ES"/>
        </w:rPr>
        <w:t>once</w:t>
      </w:r>
      <w:r w:rsidR="00316B09" w:rsidRPr="00657015">
        <w:rPr>
          <w:rFonts w:ascii="Palatino Linotype" w:eastAsia="Calibri" w:hAnsi="Palatino Linotype" w:cs="Arial"/>
          <w:color w:val="000000" w:themeColor="text1"/>
          <w:lang w:val="es-ES"/>
        </w:rPr>
        <w:t xml:space="preserve"> (</w:t>
      </w:r>
      <w:r w:rsidR="00052EA4" w:rsidRPr="00657015">
        <w:rPr>
          <w:rFonts w:ascii="Palatino Linotype" w:eastAsia="Calibri" w:hAnsi="Palatino Linotype" w:cs="Arial"/>
          <w:color w:val="000000" w:themeColor="text1"/>
          <w:lang w:val="es-ES"/>
        </w:rPr>
        <w:t>11</w:t>
      </w:r>
      <w:r w:rsidR="00316B09" w:rsidRPr="00657015">
        <w:rPr>
          <w:rFonts w:ascii="Palatino Linotype" w:eastAsia="Calibri" w:hAnsi="Palatino Linotype" w:cs="Arial"/>
          <w:color w:val="000000" w:themeColor="text1"/>
          <w:lang w:val="es-ES"/>
        </w:rPr>
        <w:t xml:space="preserve">) de </w:t>
      </w:r>
      <w:r w:rsidR="00052EA4" w:rsidRPr="00657015">
        <w:rPr>
          <w:rFonts w:ascii="Palatino Linotype" w:eastAsia="Calibri" w:hAnsi="Palatino Linotype" w:cs="Arial"/>
          <w:color w:val="000000" w:themeColor="text1"/>
          <w:lang w:val="es-ES"/>
        </w:rPr>
        <w:t>octubre de dos mil veintidós,</w:t>
      </w:r>
      <w:r w:rsidR="00316B09" w:rsidRPr="00657015">
        <w:rPr>
          <w:rFonts w:ascii="Palatino Linotype" w:eastAsia="Calibri" w:hAnsi="Palatino Linotype" w:cs="Arial"/>
          <w:color w:val="000000" w:themeColor="text1"/>
          <w:lang w:val="es-ES"/>
        </w:rPr>
        <w:t xml:space="preserve"> se notificó el acuerdo mediante el cual se amplió el plazo para emitir resolución por un</w:t>
      </w:r>
      <w:r w:rsidRPr="00657015">
        <w:rPr>
          <w:rFonts w:ascii="Palatino Linotype" w:eastAsia="Calibri" w:hAnsi="Palatino Linotype" w:cs="Arial"/>
          <w:color w:val="000000" w:themeColor="text1"/>
          <w:lang w:val="es-ES"/>
        </w:rPr>
        <w:t xml:space="preserve"> periodo de quince días hábiles, asimismo, </w:t>
      </w:r>
      <w:r w:rsidR="00C7137A" w:rsidRPr="00657015">
        <w:rPr>
          <w:rFonts w:ascii="Palatino Linotype" w:eastAsia="Calibri" w:hAnsi="Palatino Linotype" w:cs="Arial"/>
          <w:color w:val="000000" w:themeColor="text1"/>
          <w:lang w:val="es-ES"/>
        </w:rPr>
        <w:t xml:space="preserve">la Comisionada Ponente </w:t>
      </w:r>
      <w:r w:rsidR="003718A1" w:rsidRPr="00657015">
        <w:rPr>
          <w:rFonts w:ascii="Palatino Linotype" w:eastAsia="Calibri" w:hAnsi="Palatino Linotype" w:cs="Arial"/>
          <w:color w:val="000000" w:themeColor="text1"/>
          <w:lang w:val="es-ES"/>
        </w:rPr>
        <w:t>decretó</w:t>
      </w:r>
      <w:r w:rsidR="00AD6AC5" w:rsidRPr="00657015">
        <w:rPr>
          <w:rFonts w:ascii="Palatino Linotype" w:hAnsi="Palatino Linotype" w:cs="Arial"/>
          <w:color w:val="000000" w:themeColor="text1"/>
        </w:rPr>
        <w:t xml:space="preserve"> el cierre del periodo de instrucción, por </w:t>
      </w:r>
      <w:r w:rsidR="00AD6AC5" w:rsidRPr="00657015">
        <w:rPr>
          <w:rFonts w:ascii="Palatino Linotype" w:hAnsi="Palatino Linotype" w:cs="Arial"/>
          <w:color w:val="000000" w:themeColor="text1"/>
        </w:rPr>
        <w:lastRenderedPageBreak/>
        <w:t>lo que ordenó turnar el expediente para su resolución, misma que ahora se pronuncia</w:t>
      </w:r>
      <w:r w:rsidR="00F84865" w:rsidRPr="00657015">
        <w:rPr>
          <w:rFonts w:ascii="Palatino Linotype" w:hAnsi="Palatino Linotype" w:cs="Arial"/>
          <w:color w:val="000000" w:themeColor="text1"/>
        </w:rPr>
        <w:t xml:space="preserve">; </w:t>
      </w:r>
    </w:p>
    <w:p w14:paraId="5CB47E4D" w14:textId="272D7EDF" w:rsidR="00C33279" w:rsidRPr="00657015" w:rsidRDefault="007C0013" w:rsidP="00466C65">
      <w:pPr>
        <w:pStyle w:val="Ttulo1"/>
        <w:spacing w:before="0" w:line="360" w:lineRule="auto"/>
        <w:jc w:val="center"/>
        <w:rPr>
          <w:b/>
          <w:color w:val="000000" w:themeColor="text1"/>
        </w:rPr>
      </w:pPr>
      <w:bookmarkStart w:id="5" w:name="_Toc87456485"/>
      <w:r w:rsidRPr="00657015">
        <w:rPr>
          <w:b/>
          <w:color w:val="000000" w:themeColor="text1"/>
        </w:rPr>
        <w:t>CONSIDERANDO</w:t>
      </w:r>
      <w:bookmarkEnd w:id="3"/>
      <w:bookmarkEnd w:id="4"/>
      <w:bookmarkEnd w:id="5"/>
    </w:p>
    <w:p w14:paraId="435CF9A4" w14:textId="77777777" w:rsidR="00FC1DA7" w:rsidRPr="00657015" w:rsidRDefault="00FC1DA7" w:rsidP="00466C65">
      <w:pPr>
        <w:spacing w:line="360" w:lineRule="auto"/>
        <w:rPr>
          <w:rFonts w:ascii="Palatino Linotype" w:hAnsi="Palatino Linotype"/>
          <w:color w:val="000000" w:themeColor="text1"/>
          <w:lang w:eastAsia="en-US"/>
        </w:rPr>
      </w:pPr>
    </w:p>
    <w:p w14:paraId="629A5BE2" w14:textId="56C3E7D5" w:rsidR="007C0013" w:rsidRPr="00657015" w:rsidRDefault="007C0013" w:rsidP="00466C65">
      <w:pPr>
        <w:pStyle w:val="Ttulo2"/>
        <w:spacing w:before="0" w:line="360" w:lineRule="auto"/>
        <w:rPr>
          <w:rFonts w:ascii="Palatino Linotype" w:hAnsi="Palatino Linotype"/>
          <w:b/>
          <w:color w:val="000000" w:themeColor="text1"/>
          <w:sz w:val="24"/>
        </w:rPr>
      </w:pPr>
      <w:bookmarkStart w:id="6" w:name="_Toc461555890"/>
      <w:bookmarkStart w:id="7" w:name="_Toc466371859"/>
      <w:bookmarkStart w:id="8" w:name="_Toc87456486"/>
      <w:r w:rsidRPr="00657015">
        <w:rPr>
          <w:rFonts w:ascii="Palatino Linotype" w:hAnsi="Palatino Linotype"/>
          <w:b/>
          <w:color w:val="000000" w:themeColor="text1"/>
          <w:sz w:val="24"/>
        </w:rPr>
        <w:t>PRIMERO. De la competencia</w:t>
      </w:r>
      <w:bookmarkEnd w:id="6"/>
      <w:bookmarkEnd w:id="7"/>
      <w:bookmarkEnd w:id="8"/>
    </w:p>
    <w:p w14:paraId="60FBD8C7" w14:textId="77777777" w:rsidR="00FC1DA7" w:rsidRPr="00657015" w:rsidRDefault="00FC1DA7" w:rsidP="00466C65">
      <w:pPr>
        <w:spacing w:line="360" w:lineRule="auto"/>
        <w:rPr>
          <w:rFonts w:ascii="Palatino Linotype" w:hAnsi="Palatino Linotype"/>
          <w:color w:val="000000" w:themeColor="text1"/>
          <w:lang w:eastAsia="en-US"/>
        </w:rPr>
      </w:pPr>
    </w:p>
    <w:p w14:paraId="0BF52B18" w14:textId="515C3AEB" w:rsidR="005A228F" w:rsidRPr="00657015" w:rsidRDefault="00A45546" w:rsidP="00466C65">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657015">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657015">
        <w:rPr>
          <w:rFonts w:ascii="Palatino Linotype" w:eastAsia="Calibri" w:hAnsi="Palatino Linotype" w:cs="Times New Roman"/>
          <w:color w:val="000000" w:themeColor="text1"/>
          <w:lang w:val="es-ES"/>
        </w:rPr>
        <w:t xml:space="preserve">etente para conocer y resolver </w:t>
      </w:r>
      <w:r w:rsidRPr="00657015">
        <w:rPr>
          <w:rFonts w:ascii="Palatino Linotype" w:eastAsia="Calibri" w:hAnsi="Palatino Linotype" w:cs="Times New Roman"/>
          <w:color w:val="000000" w:themeColor="text1"/>
          <w:lang w:val="es-ES"/>
        </w:rPr>
        <w:t xml:space="preserve">el presente recurso de conformidad con el artículo: 6, apartado A, fracción IV de la </w:t>
      </w:r>
      <w:r w:rsidRPr="00657015">
        <w:rPr>
          <w:rFonts w:ascii="Palatino Linotype" w:eastAsia="Calibri" w:hAnsi="Palatino Linotype" w:cs="Times New Roman"/>
          <w:b/>
          <w:color w:val="000000" w:themeColor="text1"/>
          <w:lang w:val="es-ES"/>
        </w:rPr>
        <w:t>Constitución Política de los Estados Unidos Mexicanos</w:t>
      </w:r>
      <w:r w:rsidRPr="00657015">
        <w:rPr>
          <w:rFonts w:ascii="Palatino Linotype" w:eastAsia="Calibri" w:hAnsi="Palatino Linotype" w:cs="Times New Roman"/>
          <w:color w:val="000000" w:themeColor="text1"/>
          <w:lang w:val="es-ES"/>
        </w:rPr>
        <w:t xml:space="preserve">; 5, párrafos </w:t>
      </w:r>
      <w:r w:rsidR="000B7C4F" w:rsidRPr="00657015">
        <w:rPr>
          <w:rFonts w:ascii="Palatino Linotype" w:eastAsia="Calibri" w:hAnsi="Palatino Linotype" w:cs="Times New Roman"/>
          <w:color w:val="000000" w:themeColor="text1"/>
          <w:lang w:val="es-ES"/>
        </w:rPr>
        <w:t>trigésimo, trigésimo primero y trigésimo segundo</w:t>
      </w:r>
      <w:r w:rsidR="004F785F" w:rsidRPr="00657015">
        <w:rPr>
          <w:rFonts w:ascii="Palatino Linotype" w:eastAsia="Calibri" w:hAnsi="Palatino Linotype" w:cs="Times New Roman"/>
          <w:color w:val="000000" w:themeColor="text1"/>
          <w:lang w:val="es-ES"/>
        </w:rPr>
        <w:t>,</w:t>
      </w:r>
      <w:r w:rsidRPr="00657015">
        <w:rPr>
          <w:rFonts w:ascii="Palatino Linotype" w:eastAsia="Calibri" w:hAnsi="Palatino Linotype" w:cs="Times New Roman"/>
          <w:color w:val="000000" w:themeColor="text1"/>
          <w:lang w:val="es-ES"/>
        </w:rPr>
        <w:t xml:space="preserve"> fracciones IV y V</w:t>
      </w:r>
      <w:r w:rsidR="004F785F" w:rsidRPr="00657015">
        <w:rPr>
          <w:rFonts w:ascii="Palatino Linotype" w:eastAsia="Calibri" w:hAnsi="Palatino Linotype" w:cs="Times New Roman"/>
          <w:color w:val="000000" w:themeColor="text1"/>
          <w:lang w:val="es-ES"/>
        </w:rPr>
        <w:t>,</w:t>
      </w:r>
      <w:r w:rsidRPr="00657015">
        <w:rPr>
          <w:rFonts w:ascii="Palatino Linotype" w:eastAsia="Calibri" w:hAnsi="Palatino Linotype" w:cs="Times New Roman"/>
          <w:color w:val="000000" w:themeColor="text1"/>
          <w:lang w:val="es-ES"/>
        </w:rPr>
        <w:t xml:space="preserve"> de la </w:t>
      </w:r>
      <w:r w:rsidRPr="00657015">
        <w:rPr>
          <w:rFonts w:ascii="Palatino Linotype" w:eastAsia="Calibri" w:hAnsi="Palatino Linotype" w:cs="Times New Roman"/>
          <w:b/>
          <w:color w:val="000000" w:themeColor="text1"/>
          <w:lang w:val="es-ES"/>
        </w:rPr>
        <w:t>Constitución Política del Estado Libre y Soberano de México</w:t>
      </w:r>
      <w:r w:rsidRPr="00657015">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657015">
        <w:rPr>
          <w:rFonts w:ascii="Palatino Linotype" w:eastAsia="Calibri" w:hAnsi="Palatino Linotype" w:cs="Arial"/>
          <w:color w:val="000000" w:themeColor="text1"/>
          <w:lang w:val="es-ES"/>
        </w:rPr>
        <w:t xml:space="preserve">de la </w:t>
      </w:r>
      <w:r w:rsidRPr="00657015">
        <w:rPr>
          <w:rFonts w:ascii="Palatino Linotype" w:eastAsia="Calibri" w:hAnsi="Palatino Linotype" w:cs="Arial"/>
          <w:b/>
          <w:color w:val="000000" w:themeColor="text1"/>
          <w:lang w:val="es-ES"/>
        </w:rPr>
        <w:t>Ley de Transparencia y Acceso a la Información Pública del Estado de México y Municipios</w:t>
      </w:r>
      <w:r w:rsidRPr="00657015">
        <w:rPr>
          <w:rFonts w:ascii="Palatino Linotype" w:eastAsia="Calibri" w:hAnsi="Palatino Linotype" w:cs="Arial"/>
          <w:color w:val="000000" w:themeColor="text1"/>
          <w:lang w:val="es-ES"/>
        </w:rPr>
        <w:t xml:space="preserve">; y 10, 7, 9 fracciones I y XXIV, y 11 del </w:t>
      </w:r>
      <w:r w:rsidRPr="00657015">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657015" w:rsidRDefault="002630E4" w:rsidP="00466C65">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657015" w:rsidRDefault="007C0013" w:rsidP="00466C65">
      <w:pPr>
        <w:pStyle w:val="Ttulo2"/>
        <w:tabs>
          <w:tab w:val="left" w:pos="426"/>
        </w:tabs>
        <w:spacing w:before="0" w:line="360" w:lineRule="auto"/>
        <w:rPr>
          <w:rFonts w:ascii="Palatino Linotype" w:hAnsi="Palatino Linotype"/>
          <w:b/>
          <w:color w:val="000000" w:themeColor="text1"/>
          <w:sz w:val="24"/>
        </w:rPr>
      </w:pPr>
      <w:bookmarkStart w:id="9" w:name="_Toc461555891"/>
      <w:bookmarkStart w:id="10" w:name="_Toc466371860"/>
      <w:bookmarkStart w:id="11" w:name="_Toc87456487"/>
      <w:r w:rsidRPr="00657015">
        <w:rPr>
          <w:rFonts w:ascii="Palatino Linotype" w:hAnsi="Palatino Linotype"/>
          <w:b/>
          <w:color w:val="000000" w:themeColor="text1"/>
          <w:sz w:val="24"/>
        </w:rPr>
        <w:t>SEGUNDO. De la oportunidad y proced</w:t>
      </w:r>
      <w:r w:rsidR="00F35C44" w:rsidRPr="00657015">
        <w:rPr>
          <w:rFonts w:ascii="Palatino Linotype" w:hAnsi="Palatino Linotype"/>
          <w:b/>
          <w:color w:val="000000" w:themeColor="text1"/>
          <w:sz w:val="24"/>
        </w:rPr>
        <w:t>encia</w:t>
      </w:r>
      <w:r w:rsidRPr="00657015">
        <w:rPr>
          <w:rFonts w:ascii="Palatino Linotype" w:hAnsi="Palatino Linotype"/>
          <w:b/>
          <w:color w:val="000000" w:themeColor="text1"/>
          <w:sz w:val="24"/>
        </w:rPr>
        <w:t>.</w:t>
      </w:r>
      <w:bookmarkEnd w:id="9"/>
      <w:bookmarkEnd w:id="10"/>
      <w:bookmarkEnd w:id="11"/>
    </w:p>
    <w:p w14:paraId="18E22450" w14:textId="77777777" w:rsidR="00C6440A" w:rsidRPr="00657015" w:rsidRDefault="00C6440A" w:rsidP="00466C65">
      <w:pPr>
        <w:spacing w:line="360" w:lineRule="auto"/>
        <w:rPr>
          <w:rFonts w:ascii="Palatino Linotype" w:hAnsi="Palatino Linotype"/>
          <w:color w:val="000000" w:themeColor="text1"/>
          <w:lang w:eastAsia="en-US"/>
        </w:rPr>
      </w:pPr>
    </w:p>
    <w:p w14:paraId="7D631690" w14:textId="0000406E" w:rsidR="00B34758" w:rsidRPr="00657015" w:rsidRDefault="003E6D0F" w:rsidP="00466C65">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57015">
        <w:rPr>
          <w:rFonts w:ascii="Palatino Linotype" w:eastAsia="Calibri" w:hAnsi="Palatino Linotype" w:cs="Arial"/>
          <w:color w:val="000000" w:themeColor="text1"/>
        </w:rPr>
        <w:t xml:space="preserve">El </w:t>
      </w:r>
      <w:r w:rsidR="00740BA4" w:rsidRPr="00657015">
        <w:rPr>
          <w:rFonts w:ascii="Palatino Linotype" w:eastAsia="Calibri" w:hAnsi="Palatino Linotype" w:cs="Arial"/>
          <w:color w:val="000000" w:themeColor="text1"/>
        </w:rPr>
        <w:t xml:space="preserve">medio de impugnación fue presentado a través del </w:t>
      </w:r>
      <w:r w:rsidR="00740BA4" w:rsidRPr="00657015">
        <w:rPr>
          <w:rFonts w:ascii="Palatino Linotype" w:eastAsia="Calibri" w:hAnsi="Palatino Linotype" w:cs="Arial"/>
          <w:bCs/>
          <w:iCs/>
          <w:color w:val="000000" w:themeColor="text1"/>
        </w:rPr>
        <w:t>SAIMEX</w:t>
      </w:r>
      <w:r w:rsidR="00740BA4" w:rsidRPr="00657015">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657015">
        <w:rPr>
          <w:rFonts w:ascii="Palatino Linotype" w:eastAsia="Calibri" w:hAnsi="Palatino Linotype" w:cs="Arial"/>
          <w:b/>
          <w:color w:val="000000" w:themeColor="text1"/>
        </w:rPr>
        <w:t>SUJETO OBLIGADO</w:t>
      </w:r>
      <w:r w:rsidR="00740BA4" w:rsidRPr="00657015">
        <w:rPr>
          <w:rFonts w:ascii="Palatino Linotype" w:eastAsia="Calibri" w:hAnsi="Palatino Linotype" w:cs="Arial"/>
          <w:color w:val="000000" w:themeColor="text1"/>
        </w:rPr>
        <w:t xml:space="preserve"> entregó respuesta el </w:t>
      </w:r>
      <w:r w:rsidR="00052EA4" w:rsidRPr="00657015">
        <w:rPr>
          <w:rFonts w:ascii="Palatino Linotype" w:eastAsia="Calibri" w:hAnsi="Palatino Linotype" w:cs="Arial"/>
          <w:color w:val="000000" w:themeColor="text1"/>
        </w:rPr>
        <w:t>siete</w:t>
      </w:r>
      <w:r w:rsidR="00921375" w:rsidRPr="00657015">
        <w:rPr>
          <w:rFonts w:ascii="Palatino Linotype" w:eastAsia="Calibri" w:hAnsi="Palatino Linotype" w:cs="Arial"/>
          <w:color w:val="000000" w:themeColor="text1"/>
        </w:rPr>
        <w:t xml:space="preserve"> (</w:t>
      </w:r>
      <w:r w:rsidR="00052EA4" w:rsidRPr="00657015">
        <w:rPr>
          <w:rFonts w:ascii="Palatino Linotype" w:eastAsia="Calibri" w:hAnsi="Palatino Linotype" w:cs="Arial"/>
          <w:color w:val="000000" w:themeColor="text1"/>
        </w:rPr>
        <w:t>7</w:t>
      </w:r>
      <w:r w:rsidR="00921375" w:rsidRPr="00657015">
        <w:rPr>
          <w:rFonts w:ascii="Palatino Linotype" w:eastAsia="Calibri" w:hAnsi="Palatino Linotype" w:cs="Arial"/>
          <w:color w:val="000000" w:themeColor="text1"/>
        </w:rPr>
        <w:t xml:space="preserve">) de </w:t>
      </w:r>
      <w:r w:rsidR="00052EA4" w:rsidRPr="00657015">
        <w:rPr>
          <w:rFonts w:ascii="Palatino Linotype" w:eastAsia="Calibri" w:hAnsi="Palatino Linotype" w:cs="Arial"/>
          <w:color w:val="000000" w:themeColor="text1"/>
        </w:rPr>
        <w:t>junio</w:t>
      </w:r>
      <w:r w:rsidR="007F372C" w:rsidRPr="00657015">
        <w:rPr>
          <w:rFonts w:ascii="Palatino Linotype" w:eastAsia="Calibri" w:hAnsi="Palatino Linotype" w:cs="Arial"/>
          <w:color w:val="000000" w:themeColor="text1"/>
        </w:rPr>
        <w:t xml:space="preserve"> </w:t>
      </w:r>
      <w:r w:rsidR="00740BA4" w:rsidRPr="00657015">
        <w:rPr>
          <w:rFonts w:ascii="Palatino Linotype" w:eastAsia="Calibri" w:hAnsi="Palatino Linotype" w:cs="Arial"/>
          <w:color w:val="000000" w:themeColor="text1"/>
        </w:rPr>
        <w:t>de dos mil veinti</w:t>
      </w:r>
      <w:r w:rsidR="001B32B2" w:rsidRPr="00657015">
        <w:rPr>
          <w:rFonts w:ascii="Palatino Linotype" w:eastAsia="Calibri" w:hAnsi="Palatino Linotype" w:cs="Arial"/>
          <w:color w:val="000000" w:themeColor="text1"/>
        </w:rPr>
        <w:t>dós</w:t>
      </w:r>
      <w:r w:rsidR="00740BA4" w:rsidRPr="00657015">
        <w:rPr>
          <w:rFonts w:ascii="Palatino Linotype" w:eastAsia="Calibri" w:hAnsi="Palatino Linotype" w:cs="Arial"/>
          <w:color w:val="000000" w:themeColor="text1"/>
        </w:rPr>
        <w:t>, de tal forma que el plazo para interponer el recurso de revisión transcurrió del</w:t>
      </w:r>
      <w:r w:rsidR="005A3F61" w:rsidRPr="00657015">
        <w:rPr>
          <w:rFonts w:ascii="Palatino Linotype" w:eastAsia="Calibri" w:hAnsi="Palatino Linotype" w:cs="Arial"/>
          <w:color w:val="000000" w:themeColor="text1"/>
        </w:rPr>
        <w:t xml:space="preserve"> </w:t>
      </w:r>
      <w:r w:rsidR="00052EA4" w:rsidRPr="00657015">
        <w:rPr>
          <w:rFonts w:ascii="Palatino Linotype" w:eastAsia="Calibri" w:hAnsi="Palatino Linotype" w:cs="Arial"/>
          <w:color w:val="000000" w:themeColor="text1"/>
        </w:rPr>
        <w:t>ocho</w:t>
      </w:r>
      <w:r w:rsidR="00CE035D" w:rsidRPr="00657015">
        <w:rPr>
          <w:rFonts w:ascii="Palatino Linotype" w:eastAsia="Calibri" w:hAnsi="Palatino Linotype" w:cs="Arial"/>
          <w:color w:val="000000" w:themeColor="text1"/>
        </w:rPr>
        <w:t xml:space="preserve"> </w:t>
      </w:r>
      <w:r w:rsidR="00921375" w:rsidRPr="00657015">
        <w:rPr>
          <w:rFonts w:ascii="Palatino Linotype" w:eastAsia="Calibri" w:hAnsi="Palatino Linotype" w:cs="Arial"/>
          <w:color w:val="000000" w:themeColor="text1"/>
        </w:rPr>
        <w:t>(</w:t>
      </w:r>
      <w:r w:rsidR="00052EA4" w:rsidRPr="00657015">
        <w:rPr>
          <w:rFonts w:ascii="Palatino Linotype" w:eastAsia="Calibri" w:hAnsi="Palatino Linotype" w:cs="Arial"/>
          <w:color w:val="000000" w:themeColor="text1"/>
        </w:rPr>
        <w:t>8</w:t>
      </w:r>
      <w:r w:rsidR="00921375" w:rsidRPr="00657015">
        <w:rPr>
          <w:rFonts w:ascii="Palatino Linotype" w:eastAsia="Calibri" w:hAnsi="Palatino Linotype" w:cs="Arial"/>
          <w:color w:val="000000" w:themeColor="text1"/>
        </w:rPr>
        <w:t xml:space="preserve">) </w:t>
      </w:r>
      <w:r w:rsidR="00052EA4" w:rsidRPr="00657015">
        <w:rPr>
          <w:rFonts w:ascii="Palatino Linotype" w:eastAsia="Calibri" w:hAnsi="Palatino Linotype" w:cs="Arial"/>
          <w:color w:val="000000" w:themeColor="text1"/>
        </w:rPr>
        <w:t>al veintiocho (28) de junio</w:t>
      </w:r>
      <w:r w:rsidR="00AA37A7" w:rsidRPr="00657015">
        <w:rPr>
          <w:rFonts w:ascii="Palatino Linotype" w:eastAsia="Calibri" w:hAnsi="Palatino Linotype" w:cs="Arial"/>
          <w:color w:val="000000" w:themeColor="text1"/>
        </w:rPr>
        <w:t xml:space="preserve"> </w:t>
      </w:r>
      <w:r w:rsidR="00921375" w:rsidRPr="00657015">
        <w:rPr>
          <w:rFonts w:ascii="Palatino Linotype" w:eastAsia="Calibri" w:hAnsi="Palatino Linotype" w:cs="Arial"/>
          <w:color w:val="000000" w:themeColor="text1"/>
        </w:rPr>
        <w:t xml:space="preserve">de dos mil </w:t>
      </w:r>
      <w:r w:rsidR="00AA37A7" w:rsidRPr="00657015">
        <w:rPr>
          <w:rFonts w:ascii="Palatino Linotype" w:eastAsia="Calibri" w:hAnsi="Palatino Linotype" w:cs="Arial"/>
          <w:color w:val="000000" w:themeColor="text1"/>
        </w:rPr>
        <w:t>veintidós</w:t>
      </w:r>
      <w:r w:rsidR="00CE035D" w:rsidRPr="00657015">
        <w:rPr>
          <w:rFonts w:ascii="Palatino Linotype" w:eastAsia="Calibri" w:hAnsi="Palatino Linotype" w:cs="Arial"/>
          <w:color w:val="000000" w:themeColor="text1"/>
        </w:rPr>
        <w:t xml:space="preserve">, el </w:t>
      </w:r>
      <w:r w:rsidR="00CE035D" w:rsidRPr="00657015">
        <w:rPr>
          <w:rFonts w:ascii="Palatino Linotype" w:eastAsia="Calibri" w:hAnsi="Palatino Linotype" w:cs="Arial"/>
          <w:color w:val="000000" w:themeColor="text1"/>
        </w:rPr>
        <w:lastRenderedPageBreak/>
        <w:t xml:space="preserve">recurso de revisión </w:t>
      </w:r>
      <w:r w:rsidR="00E95534" w:rsidRPr="00657015">
        <w:rPr>
          <w:rFonts w:ascii="Palatino Linotype" w:hAnsi="Palatino Linotype"/>
          <w:color w:val="000000" w:themeColor="text1"/>
        </w:rPr>
        <w:t xml:space="preserve">fue interpuesto el </w:t>
      </w:r>
      <w:r w:rsidR="00052EA4" w:rsidRPr="00657015">
        <w:rPr>
          <w:rFonts w:ascii="Palatino Linotype" w:hAnsi="Palatino Linotype"/>
          <w:color w:val="000000" w:themeColor="text1"/>
        </w:rPr>
        <w:t>ocho</w:t>
      </w:r>
      <w:r w:rsidR="00CE035D" w:rsidRPr="00657015">
        <w:rPr>
          <w:rFonts w:ascii="Palatino Linotype" w:hAnsi="Palatino Linotype"/>
          <w:color w:val="000000" w:themeColor="text1"/>
        </w:rPr>
        <w:t xml:space="preserve"> </w:t>
      </w:r>
      <w:r w:rsidR="00921375" w:rsidRPr="00657015">
        <w:rPr>
          <w:rFonts w:ascii="Palatino Linotype" w:hAnsi="Palatino Linotype"/>
          <w:color w:val="000000" w:themeColor="text1"/>
        </w:rPr>
        <w:t>(</w:t>
      </w:r>
      <w:r w:rsidR="00052EA4" w:rsidRPr="00657015">
        <w:rPr>
          <w:rFonts w:ascii="Palatino Linotype" w:hAnsi="Palatino Linotype"/>
          <w:color w:val="000000" w:themeColor="text1"/>
        </w:rPr>
        <w:t>8</w:t>
      </w:r>
      <w:r w:rsidR="00921375" w:rsidRPr="00657015">
        <w:rPr>
          <w:rFonts w:ascii="Palatino Linotype" w:hAnsi="Palatino Linotype"/>
          <w:color w:val="000000" w:themeColor="text1"/>
        </w:rPr>
        <w:t xml:space="preserve">) de </w:t>
      </w:r>
      <w:r w:rsidR="00052EA4" w:rsidRPr="00657015">
        <w:rPr>
          <w:rFonts w:ascii="Palatino Linotype" w:hAnsi="Palatino Linotype"/>
          <w:color w:val="000000" w:themeColor="text1"/>
        </w:rPr>
        <w:t>junio</w:t>
      </w:r>
      <w:r w:rsidR="00061A86" w:rsidRPr="00657015">
        <w:rPr>
          <w:rFonts w:ascii="Palatino Linotype" w:hAnsi="Palatino Linotype"/>
          <w:color w:val="000000" w:themeColor="text1"/>
        </w:rPr>
        <w:t xml:space="preserve"> de dos mil veintidós</w:t>
      </w:r>
      <w:r w:rsidR="00E95534" w:rsidRPr="00657015">
        <w:rPr>
          <w:rFonts w:ascii="Palatino Linotype" w:hAnsi="Palatino Linotype"/>
          <w:color w:val="000000" w:themeColor="text1"/>
        </w:rPr>
        <w:t>, éste</w:t>
      </w:r>
      <w:r w:rsidR="00E95534" w:rsidRPr="00657015">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657015">
        <w:rPr>
          <w:rFonts w:ascii="Palatino Linotype" w:hAnsi="Palatino Linotype" w:cs="Arial"/>
          <w:b/>
          <w:color w:val="000000" w:themeColor="text1"/>
        </w:rPr>
        <w:t xml:space="preserve"> </w:t>
      </w:r>
      <w:r w:rsidR="00E95534" w:rsidRPr="00657015">
        <w:rPr>
          <w:rFonts w:ascii="Palatino Linotype" w:hAnsi="Palatino Linotype" w:cs="Arial"/>
          <w:color w:val="000000" w:themeColor="text1"/>
        </w:rPr>
        <w:t>vigente.</w:t>
      </w:r>
    </w:p>
    <w:p w14:paraId="78579FB8" w14:textId="77777777" w:rsidR="00052EA4" w:rsidRPr="00657015" w:rsidRDefault="00052EA4" w:rsidP="00052E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352E13A" w14:textId="77777777" w:rsidR="00052EA4" w:rsidRPr="00657015" w:rsidRDefault="00052EA4" w:rsidP="00052EA4">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657015">
        <w:rPr>
          <w:rFonts w:ascii="Palatino Linotype" w:eastAsia="Calibri" w:hAnsi="Palatino Linotype" w:cs="Arial"/>
          <w:color w:val="000000" w:themeColor="text1"/>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4C9983E0" w14:textId="77777777" w:rsidR="00052EA4" w:rsidRPr="00657015" w:rsidRDefault="00052EA4" w:rsidP="00052E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DC64FF3" w14:textId="77777777" w:rsidR="009A64E9" w:rsidRPr="00657015" w:rsidRDefault="009A64E9" w:rsidP="00466C65">
      <w:pPr>
        <w:pStyle w:val="Ttulo1"/>
        <w:spacing w:line="360" w:lineRule="auto"/>
        <w:rPr>
          <w:b/>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657015">
        <w:rPr>
          <w:b/>
        </w:rPr>
        <w:t>TERCERO. De las causales del sobreseimiento.</w:t>
      </w:r>
      <w:bookmarkEnd w:id="12"/>
    </w:p>
    <w:p w14:paraId="5B460FE5" w14:textId="77777777" w:rsidR="009A64E9" w:rsidRPr="00657015" w:rsidRDefault="009A64E9" w:rsidP="00466C65">
      <w:pPr>
        <w:spacing w:line="360" w:lineRule="auto"/>
        <w:rPr>
          <w:rFonts w:ascii="Palatino Linotype" w:hAnsi="Palatino Linotype"/>
        </w:rPr>
      </w:pPr>
    </w:p>
    <w:p w14:paraId="29DCB2DD" w14:textId="77777777" w:rsidR="009A64E9" w:rsidRPr="00657015" w:rsidRDefault="009A64E9" w:rsidP="00466C65">
      <w:pPr>
        <w:pStyle w:val="Ttulo2"/>
        <w:numPr>
          <w:ilvl w:val="0"/>
          <w:numId w:val="23"/>
        </w:numPr>
        <w:spacing w:line="360" w:lineRule="auto"/>
        <w:rPr>
          <w:rFonts w:ascii="Palatino Linotype" w:hAnsi="Palatino Linotype"/>
          <w:b/>
          <w:color w:val="auto"/>
          <w:sz w:val="24"/>
          <w:szCs w:val="24"/>
        </w:rPr>
      </w:pPr>
      <w:bookmarkStart w:id="19" w:name="_Toc26960595"/>
      <w:bookmarkStart w:id="20" w:name="_Toc82017150"/>
      <w:r w:rsidRPr="00657015">
        <w:rPr>
          <w:rFonts w:ascii="Palatino Linotype" w:hAnsi="Palatino Linotype"/>
          <w:b/>
          <w:color w:val="auto"/>
          <w:sz w:val="24"/>
          <w:szCs w:val="24"/>
        </w:rPr>
        <w:t>De las actuaciones de las partes.</w:t>
      </w:r>
      <w:bookmarkEnd w:id="19"/>
      <w:bookmarkEnd w:id="20"/>
    </w:p>
    <w:p w14:paraId="652786C2" w14:textId="3BFFEBBD" w:rsidR="009A64E9" w:rsidRPr="00657015" w:rsidRDefault="009A64E9" w:rsidP="005D7801">
      <w:pPr>
        <w:pStyle w:val="Prrafodelista"/>
        <w:numPr>
          <w:ilvl w:val="0"/>
          <w:numId w:val="1"/>
        </w:numPr>
        <w:spacing w:before="240" w:after="240" w:line="360" w:lineRule="auto"/>
        <w:ind w:right="49"/>
        <w:jc w:val="both"/>
        <w:rPr>
          <w:rFonts w:ascii="Palatino Linotype" w:hAnsi="Palatino Linotype"/>
          <w:bCs/>
        </w:rPr>
      </w:pPr>
      <w:r w:rsidRPr="00657015">
        <w:rPr>
          <w:rFonts w:ascii="Palatino Linotype" w:hAnsi="Palatino Linotype"/>
          <w:bCs/>
        </w:rPr>
        <w:t>El recurrente solicitó la siguiente información:</w:t>
      </w:r>
    </w:p>
    <w:p w14:paraId="1FDDD3DD" w14:textId="77777777" w:rsidR="00797949" w:rsidRPr="00657015" w:rsidRDefault="00797949" w:rsidP="00797949">
      <w:pPr>
        <w:pStyle w:val="Prrafodelista"/>
        <w:spacing w:before="240" w:after="240" w:line="360" w:lineRule="auto"/>
        <w:ind w:left="0" w:right="49"/>
        <w:jc w:val="both"/>
        <w:rPr>
          <w:rFonts w:ascii="Palatino Linotype" w:hAnsi="Palatino Linotype"/>
          <w:bCs/>
        </w:rPr>
      </w:pPr>
    </w:p>
    <w:p w14:paraId="1C1592C3" w14:textId="5BD89FED" w:rsidR="00797949" w:rsidRPr="00657015" w:rsidRDefault="00797949" w:rsidP="00797949">
      <w:pPr>
        <w:pStyle w:val="Prrafodelista"/>
        <w:numPr>
          <w:ilvl w:val="0"/>
          <w:numId w:val="24"/>
        </w:numPr>
        <w:spacing w:before="240" w:after="240" w:line="360" w:lineRule="auto"/>
        <w:ind w:left="284" w:right="49"/>
        <w:jc w:val="both"/>
        <w:rPr>
          <w:rFonts w:ascii="Palatino Linotype" w:hAnsi="Palatino Linotype"/>
          <w:bCs/>
        </w:rPr>
      </w:pPr>
      <w:r w:rsidRPr="00657015">
        <w:rPr>
          <w:rFonts w:ascii="Palatino Linotype" w:hAnsi="Palatino Linotype"/>
          <w:bCs/>
        </w:rPr>
        <w:t>1. Solicitar al municipio de San Antonio la Isla, por qué está pagando a los servidores públicos de manera mensual</w:t>
      </w:r>
    </w:p>
    <w:p w14:paraId="5F851E5D" w14:textId="77777777" w:rsidR="00797949" w:rsidRPr="00657015" w:rsidRDefault="00797949" w:rsidP="00797949">
      <w:pPr>
        <w:pStyle w:val="Prrafodelista"/>
        <w:numPr>
          <w:ilvl w:val="0"/>
          <w:numId w:val="24"/>
        </w:numPr>
        <w:spacing w:before="240" w:after="240" w:line="360" w:lineRule="auto"/>
        <w:ind w:left="284" w:right="49"/>
        <w:jc w:val="both"/>
        <w:rPr>
          <w:rFonts w:ascii="Palatino Linotype" w:hAnsi="Palatino Linotype"/>
          <w:bCs/>
        </w:rPr>
      </w:pPr>
      <w:r w:rsidRPr="00657015">
        <w:rPr>
          <w:rFonts w:ascii="Palatino Linotype" w:hAnsi="Palatino Linotype"/>
          <w:bCs/>
        </w:rPr>
        <w:t xml:space="preserve">2. Solicitar estado bancario de que días se hacen los depósitos para constatar que efectivamente se paga de manera mensual. </w:t>
      </w:r>
    </w:p>
    <w:p w14:paraId="3EDDE3D4" w14:textId="15387300" w:rsidR="009A64E9" w:rsidRPr="00657015" w:rsidRDefault="00797949" w:rsidP="00797949">
      <w:pPr>
        <w:pStyle w:val="Prrafodelista"/>
        <w:numPr>
          <w:ilvl w:val="0"/>
          <w:numId w:val="24"/>
        </w:numPr>
        <w:spacing w:before="240" w:after="240" w:line="360" w:lineRule="auto"/>
        <w:ind w:left="284" w:right="49"/>
        <w:jc w:val="both"/>
        <w:rPr>
          <w:rFonts w:ascii="Palatino Linotype" w:hAnsi="Palatino Linotype"/>
          <w:bCs/>
        </w:rPr>
      </w:pPr>
      <w:r w:rsidRPr="00657015">
        <w:rPr>
          <w:rFonts w:ascii="Palatino Linotype" w:hAnsi="Palatino Linotype"/>
          <w:bCs/>
        </w:rPr>
        <w:t>3. verificar que los días de quincena efectivamente se page a los servidores públicos.</w:t>
      </w:r>
    </w:p>
    <w:p w14:paraId="47DC9ED4" w14:textId="77777777" w:rsidR="0032449F" w:rsidRPr="00657015" w:rsidRDefault="0032449F" w:rsidP="00466C65">
      <w:pPr>
        <w:pStyle w:val="Prrafodelista"/>
        <w:spacing w:before="240" w:after="240" w:line="360" w:lineRule="auto"/>
        <w:ind w:left="0" w:right="49"/>
        <w:jc w:val="both"/>
        <w:rPr>
          <w:rFonts w:ascii="Palatino Linotype" w:hAnsi="Palatino Linotype"/>
        </w:rPr>
      </w:pPr>
    </w:p>
    <w:p w14:paraId="2575A1F8" w14:textId="56B096E8" w:rsidR="009A64E9" w:rsidRPr="00657015" w:rsidRDefault="009A64E9" w:rsidP="00466C65">
      <w:pPr>
        <w:pStyle w:val="Prrafodelista"/>
        <w:numPr>
          <w:ilvl w:val="0"/>
          <w:numId w:val="20"/>
        </w:numPr>
        <w:spacing w:before="240" w:after="240" w:line="360" w:lineRule="auto"/>
        <w:ind w:right="49"/>
        <w:jc w:val="both"/>
        <w:rPr>
          <w:rFonts w:ascii="Palatino Linotype" w:hAnsi="Palatino Linotype"/>
        </w:rPr>
      </w:pPr>
      <w:r w:rsidRPr="00657015">
        <w:rPr>
          <w:rFonts w:ascii="Palatino Linotype" w:hAnsi="Palatino Linotype"/>
        </w:rPr>
        <w:t xml:space="preserve">El Sujeto Obligado </w:t>
      </w:r>
      <w:r w:rsidR="0032449F" w:rsidRPr="00657015">
        <w:rPr>
          <w:rFonts w:ascii="Palatino Linotype" w:hAnsi="Palatino Linotype"/>
        </w:rPr>
        <w:t xml:space="preserve">manifestó que </w:t>
      </w:r>
      <w:r w:rsidR="004D2CAC" w:rsidRPr="00657015">
        <w:rPr>
          <w:rFonts w:ascii="Palatino Linotype" w:hAnsi="Palatino Linotype"/>
          <w:color w:val="000000" w:themeColor="text1"/>
          <w:szCs w:val="22"/>
        </w:rPr>
        <w:t>se sugiere se presente en las oficinas de la Procuraduría de la Defensa del Trabajo para su debida atención</w:t>
      </w:r>
      <w:r w:rsidR="0032449F" w:rsidRPr="00657015">
        <w:rPr>
          <w:rFonts w:ascii="Palatino Linotype" w:hAnsi="Palatino Linotype"/>
        </w:rPr>
        <w:t>.</w:t>
      </w:r>
    </w:p>
    <w:p w14:paraId="2CD364B0" w14:textId="77777777" w:rsidR="009A64E9" w:rsidRPr="00657015" w:rsidRDefault="009A64E9" w:rsidP="00466C65">
      <w:pPr>
        <w:pStyle w:val="Prrafodelista"/>
        <w:spacing w:before="240" w:after="240" w:line="360" w:lineRule="auto"/>
        <w:ind w:left="0" w:right="49"/>
        <w:jc w:val="both"/>
        <w:rPr>
          <w:rFonts w:ascii="Palatino Linotype" w:hAnsi="Palatino Linotype"/>
        </w:rPr>
      </w:pPr>
    </w:p>
    <w:p w14:paraId="44CA7340" w14:textId="1481BE27" w:rsidR="009A64E9" w:rsidRPr="00657015" w:rsidRDefault="009A64E9" w:rsidP="00466C65">
      <w:pPr>
        <w:pStyle w:val="Prrafodelista"/>
        <w:numPr>
          <w:ilvl w:val="0"/>
          <w:numId w:val="20"/>
        </w:numPr>
        <w:spacing w:before="240" w:after="240" w:line="360" w:lineRule="auto"/>
        <w:ind w:right="49"/>
        <w:jc w:val="both"/>
        <w:rPr>
          <w:rFonts w:ascii="Palatino Linotype" w:hAnsi="Palatino Linotype"/>
        </w:rPr>
      </w:pPr>
      <w:r w:rsidRPr="00657015">
        <w:rPr>
          <w:rFonts w:ascii="Palatino Linotype" w:hAnsi="Palatino Linotype"/>
        </w:rPr>
        <w:t xml:space="preserve">El Recurrente se inconformó porque </w:t>
      </w:r>
      <w:r w:rsidR="007C547F" w:rsidRPr="00657015">
        <w:rPr>
          <w:rFonts w:ascii="Palatino Linotype" w:hAnsi="Palatino Linotype"/>
        </w:rPr>
        <w:t>evaden respuesta.</w:t>
      </w:r>
    </w:p>
    <w:p w14:paraId="25B44AC0" w14:textId="77777777" w:rsidR="009A64E9" w:rsidRPr="00657015" w:rsidRDefault="009A64E9" w:rsidP="00466C65">
      <w:pPr>
        <w:pStyle w:val="Prrafodelista"/>
        <w:spacing w:line="360" w:lineRule="auto"/>
        <w:rPr>
          <w:rFonts w:ascii="Palatino Linotype" w:hAnsi="Palatino Linotype"/>
        </w:rPr>
      </w:pPr>
    </w:p>
    <w:p w14:paraId="62B34E89" w14:textId="573AD204" w:rsidR="009A64E9" w:rsidRPr="00657015" w:rsidRDefault="009A64E9" w:rsidP="00466C65">
      <w:pPr>
        <w:pStyle w:val="Prrafodelista"/>
        <w:numPr>
          <w:ilvl w:val="0"/>
          <w:numId w:val="20"/>
        </w:numPr>
        <w:spacing w:before="240" w:after="240" w:line="360" w:lineRule="auto"/>
        <w:ind w:right="49"/>
        <w:jc w:val="both"/>
        <w:rPr>
          <w:rFonts w:ascii="Palatino Linotype" w:hAnsi="Palatino Linotype"/>
        </w:rPr>
      </w:pPr>
      <w:r w:rsidRPr="00657015">
        <w:rPr>
          <w:rFonts w:ascii="Palatino Linotype" w:hAnsi="Palatino Linotype"/>
        </w:rPr>
        <w:t xml:space="preserve">Lo anterior actualiza la causal de procedencia contenida en la fracción </w:t>
      </w:r>
      <w:r w:rsidR="007C547F" w:rsidRPr="00657015">
        <w:rPr>
          <w:rFonts w:ascii="Palatino Linotype" w:hAnsi="Palatino Linotype"/>
        </w:rPr>
        <w:t xml:space="preserve">I y </w:t>
      </w:r>
      <w:r w:rsidR="0032449F" w:rsidRPr="00657015">
        <w:rPr>
          <w:rFonts w:ascii="Palatino Linotype" w:hAnsi="Palatino Linotype"/>
        </w:rPr>
        <w:t>XI</w:t>
      </w:r>
      <w:r w:rsidRPr="00657015">
        <w:rPr>
          <w:rFonts w:ascii="Palatino Linotype" w:hAnsi="Palatino Linotype"/>
        </w:rPr>
        <w:t xml:space="preserve"> relativa a la </w:t>
      </w:r>
      <w:r w:rsidR="0032449F" w:rsidRPr="00657015">
        <w:rPr>
          <w:rFonts w:ascii="Palatino Linotype" w:hAnsi="Palatino Linotype"/>
        </w:rPr>
        <w:t>falta de trámite a la solicitud</w:t>
      </w:r>
      <w:r w:rsidRPr="00657015">
        <w:rPr>
          <w:rFonts w:ascii="Palatino Linotype" w:hAnsi="Palatino Linotype"/>
        </w:rPr>
        <w:t>, del artículo 179 de la Ley de Transparencia, Acceso a la Información Pública del Estado de México y Municipios</w:t>
      </w:r>
    </w:p>
    <w:p w14:paraId="13D8D55C" w14:textId="77777777" w:rsidR="009A64E9" w:rsidRPr="00657015" w:rsidRDefault="009A64E9" w:rsidP="00466C65">
      <w:pPr>
        <w:pStyle w:val="Prrafodelista"/>
        <w:spacing w:line="360" w:lineRule="auto"/>
        <w:rPr>
          <w:rFonts w:ascii="Palatino Linotype" w:hAnsi="Palatino Linotype"/>
        </w:rPr>
      </w:pPr>
    </w:p>
    <w:p w14:paraId="772118F3" w14:textId="6F376E6E" w:rsidR="009A64E9" w:rsidRPr="00657015" w:rsidRDefault="0032449F" w:rsidP="00466C65">
      <w:pPr>
        <w:pStyle w:val="Ttulo2"/>
        <w:numPr>
          <w:ilvl w:val="0"/>
          <w:numId w:val="23"/>
        </w:numPr>
        <w:spacing w:line="360" w:lineRule="auto"/>
        <w:rPr>
          <w:rFonts w:ascii="Palatino Linotype" w:eastAsia="MS Mincho" w:hAnsi="Palatino Linotype"/>
          <w:b/>
          <w:bCs/>
          <w:color w:val="auto"/>
          <w:sz w:val="24"/>
          <w:szCs w:val="24"/>
        </w:rPr>
      </w:pPr>
      <w:r w:rsidRPr="00657015">
        <w:rPr>
          <w:rFonts w:ascii="Palatino Linotype" w:eastAsia="MS Mincho" w:hAnsi="Palatino Linotype"/>
          <w:b/>
          <w:bCs/>
          <w:color w:val="auto"/>
          <w:sz w:val="24"/>
          <w:szCs w:val="24"/>
        </w:rPr>
        <w:t>Del Derecho de Acceso a la Información Pública.</w:t>
      </w:r>
    </w:p>
    <w:p w14:paraId="4597E4F5" w14:textId="77777777" w:rsidR="0032449F" w:rsidRPr="00657015" w:rsidRDefault="0032449F" w:rsidP="00466C65">
      <w:pPr>
        <w:pStyle w:val="Prrafodelista"/>
        <w:spacing w:line="360" w:lineRule="auto"/>
        <w:rPr>
          <w:rFonts w:ascii="Palatino Linotype" w:hAnsi="Palatino Linotype"/>
          <w:lang w:eastAsia="en-US"/>
        </w:rPr>
      </w:pPr>
    </w:p>
    <w:p w14:paraId="5D8FFFB1" w14:textId="3A70B897" w:rsidR="0032449F" w:rsidRPr="00657015" w:rsidRDefault="0032449F" w:rsidP="00466C65">
      <w:pPr>
        <w:pStyle w:val="Prrafodelista"/>
        <w:numPr>
          <w:ilvl w:val="0"/>
          <w:numId w:val="1"/>
        </w:numPr>
        <w:spacing w:line="360" w:lineRule="auto"/>
        <w:jc w:val="both"/>
        <w:rPr>
          <w:rFonts w:ascii="Palatino Linotype" w:eastAsia="MS Mincho" w:hAnsi="Palatino Linotype"/>
        </w:rPr>
      </w:pPr>
      <w:r w:rsidRPr="00657015">
        <w:rPr>
          <w:rFonts w:ascii="Palatino Linotype" w:hAnsi="Palatino Linotype"/>
          <w:bCs/>
        </w:rPr>
        <w:t xml:space="preserve">Precisado lo anterior, </w:t>
      </w:r>
      <w:r w:rsidRPr="00657015">
        <w:rPr>
          <w:rFonts w:ascii="Palatino Linotype" w:hAnsi="Palatino Linotype" w:cs="Arial"/>
        </w:rPr>
        <w:t>este Órgano Garante observó que la información solicitada (“</w:t>
      </w:r>
      <w:r w:rsidR="00466C65" w:rsidRPr="00657015">
        <w:rPr>
          <w:rFonts w:ascii="Palatino Linotype" w:hAnsi="Palatino Linotype"/>
          <w:bCs/>
          <w:i/>
          <w:color w:val="000000"/>
          <w:sz w:val="22"/>
          <w:szCs w:val="22"/>
        </w:rPr>
        <w:t>Solicito saber si Eduardo Arzate Colin es quien está recomendando las malas prácticas de transparencia debido a que ya tiene antecedentes en el institudo de salud del estado de méxico negando información</w:t>
      </w:r>
      <w:r w:rsidRPr="00657015">
        <w:rPr>
          <w:rFonts w:ascii="Palatino Linotype" w:hAnsi="Palatino Linotype" w:cs="Arial"/>
          <w:i/>
        </w:rPr>
        <w:t>”)</w:t>
      </w:r>
      <w:r w:rsidRPr="00657015">
        <w:rPr>
          <w:rFonts w:ascii="Palatino Linotype" w:hAnsi="Palatino Linotype" w:cs="Arial"/>
        </w:rPr>
        <w:t xml:space="preserve">, no constituye un derecho de acceso a la información pública, debido a que solicita </w:t>
      </w:r>
      <w:r w:rsidR="00466C65" w:rsidRPr="00657015">
        <w:rPr>
          <w:rFonts w:ascii="Palatino Linotype" w:hAnsi="Palatino Linotype" w:cs="Arial"/>
        </w:rPr>
        <w:t>saber si determinado servidor público recomienda malas prácticas en temas de transparencia</w:t>
      </w:r>
      <w:r w:rsidRPr="00657015">
        <w:rPr>
          <w:rFonts w:ascii="Palatino Linotype" w:hAnsi="Palatino Linotype" w:cs="Arial"/>
          <w:szCs w:val="20"/>
        </w:rPr>
        <w:t xml:space="preserve">, es decir, dicha información no consta en documento alguno derivado del ejercicio de facultades, atribuciones o competencias del </w:t>
      </w:r>
      <w:r w:rsidRPr="00657015">
        <w:rPr>
          <w:rFonts w:ascii="Palatino Linotype" w:hAnsi="Palatino Linotype" w:cs="Arial"/>
          <w:b/>
          <w:szCs w:val="20"/>
        </w:rPr>
        <w:t>SUJETO OBLIGADO</w:t>
      </w:r>
      <w:r w:rsidRPr="00657015">
        <w:rPr>
          <w:rFonts w:ascii="Palatino Linotype" w:hAnsi="Palatino Linotype" w:cs="Arial"/>
          <w:szCs w:val="20"/>
        </w:rPr>
        <w:t>, o bien, dentro de una base de datos o medio electrónico, que éste tenga obligación de generar, poseer y administrar.</w:t>
      </w:r>
    </w:p>
    <w:p w14:paraId="3F106B20" w14:textId="77777777" w:rsidR="0032449F" w:rsidRPr="00657015" w:rsidRDefault="0032449F" w:rsidP="00466C65">
      <w:pPr>
        <w:pStyle w:val="Prrafodelista"/>
        <w:spacing w:line="360" w:lineRule="auto"/>
        <w:ind w:left="0"/>
        <w:jc w:val="both"/>
        <w:rPr>
          <w:rFonts w:ascii="Palatino Linotype" w:eastAsia="MS Mincho" w:hAnsi="Palatino Linotype"/>
        </w:rPr>
      </w:pPr>
    </w:p>
    <w:p w14:paraId="78510DC7" w14:textId="77777777" w:rsidR="0032449F" w:rsidRPr="00657015" w:rsidRDefault="0032449F" w:rsidP="00466C65">
      <w:pPr>
        <w:pStyle w:val="Prrafodelista"/>
        <w:numPr>
          <w:ilvl w:val="0"/>
          <w:numId w:val="1"/>
        </w:numPr>
        <w:spacing w:line="360" w:lineRule="auto"/>
        <w:jc w:val="both"/>
        <w:rPr>
          <w:rFonts w:ascii="Palatino Linotype" w:eastAsia="MS Mincho" w:hAnsi="Palatino Linotype"/>
        </w:rPr>
      </w:pPr>
      <w:r w:rsidRPr="00657015">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14:paraId="1ADEA69A" w14:textId="77777777" w:rsidR="00466C65" w:rsidRPr="00657015" w:rsidRDefault="00466C65" w:rsidP="00466C65">
      <w:pPr>
        <w:pStyle w:val="Prrafodelista"/>
        <w:spacing w:line="360" w:lineRule="auto"/>
        <w:rPr>
          <w:rFonts w:ascii="Palatino Linotype" w:eastAsia="MS Mincho" w:hAnsi="Palatino Linotype"/>
        </w:rPr>
      </w:pPr>
    </w:p>
    <w:p w14:paraId="588A7B62" w14:textId="77777777" w:rsidR="0032449F" w:rsidRPr="00657015" w:rsidRDefault="0032449F" w:rsidP="00466C65">
      <w:pPr>
        <w:pStyle w:val="Prrafodelista"/>
        <w:numPr>
          <w:ilvl w:val="0"/>
          <w:numId w:val="1"/>
        </w:numPr>
        <w:spacing w:line="360" w:lineRule="auto"/>
        <w:jc w:val="both"/>
        <w:rPr>
          <w:rFonts w:ascii="Palatino Linotype" w:eastAsia="MS Mincho" w:hAnsi="Palatino Linotype"/>
        </w:rPr>
      </w:pPr>
      <w:r w:rsidRPr="00657015">
        <w:rPr>
          <w:rFonts w:ascii="Palatino Linotype" w:hAnsi="Palatino Linotype" w:cs="Arial"/>
        </w:rPr>
        <w:t xml:space="preserve">Por lo que respecta a la definición de Derecho de Petición, el Maestro Ignacio Burgoa Orihuela refiere: </w:t>
      </w:r>
    </w:p>
    <w:p w14:paraId="53AC549D" w14:textId="77777777" w:rsidR="0032449F" w:rsidRPr="00657015" w:rsidRDefault="0032449F" w:rsidP="00466C65">
      <w:pPr>
        <w:tabs>
          <w:tab w:val="left" w:pos="9214"/>
        </w:tabs>
        <w:spacing w:line="360" w:lineRule="auto"/>
        <w:ind w:left="709" w:right="709"/>
        <w:jc w:val="both"/>
        <w:rPr>
          <w:rFonts w:ascii="Palatino Linotype" w:hAnsi="Palatino Linotype"/>
          <w:sz w:val="22"/>
          <w:szCs w:val="22"/>
          <w:lang w:eastAsia="es-MX"/>
        </w:rPr>
      </w:pPr>
      <w:r w:rsidRPr="00657015">
        <w:rPr>
          <w:rFonts w:ascii="Palatino Linotype" w:hAnsi="Palatino Linotype"/>
          <w:i/>
          <w:sz w:val="22"/>
          <w:szCs w:val="22"/>
          <w:lang w:eastAsia="es-MX"/>
        </w:rPr>
        <w:t xml:space="preserve">“…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 …“ </w:t>
      </w:r>
      <w:r w:rsidRPr="00657015">
        <w:rPr>
          <w:rFonts w:ascii="Palatino Linotype" w:hAnsi="Palatino Linotype"/>
          <w:sz w:val="22"/>
          <w:szCs w:val="22"/>
          <w:lang w:eastAsia="es-MX"/>
        </w:rPr>
        <w:t>(Sic)</w:t>
      </w:r>
    </w:p>
    <w:p w14:paraId="47B1D887" w14:textId="77777777" w:rsidR="00466C65" w:rsidRPr="00657015" w:rsidRDefault="00466C65" w:rsidP="00466C65">
      <w:pPr>
        <w:tabs>
          <w:tab w:val="left" w:pos="9214"/>
        </w:tabs>
        <w:spacing w:line="360" w:lineRule="auto"/>
        <w:ind w:right="709"/>
        <w:jc w:val="both"/>
        <w:rPr>
          <w:rFonts w:ascii="Palatino Linotype" w:hAnsi="Palatino Linotype"/>
          <w:i/>
          <w:sz w:val="22"/>
          <w:szCs w:val="22"/>
          <w:lang w:eastAsia="es-MX"/>
        </w:rPr>
      </w:pPr>
    </w:p>
    <w:p w14:paraId="1536E819" w14:textId="054AAD87" w:rsidR="0032449F" w:rsidRPr="00657015"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657015">
        <w:rPr>
          <w:rFonts w:ascii="Palatino Linotype" w:hAnsi="Palatino Linotype" w:cs="Arial"/>
        </w:rPr>
        <w:t xml:space="preserve">Por su parte, David Cienfuegos Salgado, concibe al derecho de petición como: </w:t>
      </w:r>
    </w:p>
    <w:p w14:paraId="7672D17C" w14:textId="77777777" w:rsidR="0032449F" w:rsidRPr="00657015" w:rsidRDefault="0032449F" w:rsidP="00466C65">
      <w:pPr>
        <w:tabs>
          <w:tab w:val="left" w:pos="9214"/>
        </w:tabs>
        <w:spacing w:line="360" w:lineRule="auto"/>
        <w:ind w:left="709" w:right="709"/>
        <w:jc w:val="both"/>
        <w:rPr>
          <w:rFonts w:ascii="Palatino Linotype" w:hAnsi="Palatino Linotype"/>
          <w:sz w:val="22"/>
          <w:szCs w:val="22"/>
          <w:lang w:eastAsia="es-MX"/>
        </w:rPr>
      </w:pPr>
      <w:r w:rsidRPr="00657015">
        <w:rPr>
          <w:rFonts w:ascii="Palatino Linotype" w:hAnsi="Palatino Linotype"/>
          <w:i/>
          <w:sz w:val="22"/>
          <w:szCs w:val="22"/>
          <w:lang w:eastAsia="es-MX"/>
        </w:rPr>
        <w:t xml:space="preserve">“… el derecho de toda persona a ser escuchado por quienes ejercen el poder público...” </w:t>
      </w:r>
      <w:r w:rsidRPr="00657015">
        <w:rPr>
          <w:rFonts w:ascii="Palatino Linotype" w:hAnsi="Palatino Linotype"/>
          <w:sz w:val="22"/>
          <w:szCs w:val="22"/>
          <w:lang w:eastAsia="es-MX"/>
        </w:rPr>
        <w:t xml:space="preserve">(Sic) </w:t>
      </w:r>
    </w:p>
    <w:p w14:paraId="0CCC8445" w14:textId="77777777" w:rsidR="00466C65" w:rsidRPr="00657015" w:rsidRDefault="00466C65" w:rsidP="00466C65">
      <w:pPr>
        <w:tabs>
          <w:tab w:val="left" w:pos="9214"/>
        </w:tabs>
        <w:spacing w:line="360" w:lineRule="auto"/>
        <w:ind w:left="709" w:right="709"/>
        <w:jc w:val="both"/>
        <w:rPr>
          <w:rFonts w:ascii="Palatino Linotype" w:hAnsi="Palatino Linotype"/>
          <w:i/>
          <w:sz w:val="22"/>
          <w:szCs w:val="22"/>
          <w:lang w:eastAsia="es-MX"/>
        </w:rPr>
      </w:pPr>
    </w:p>
    <w:p w14:paraId="2DDB6A0C" w14:textId="6C96988E" w:rsidR="0032449F" w:rsidRPr="00657015" w:rsidRDefault="0032449F" w:rsidP="00466C65">
      <w:pPr>
        <w:pStyle w:val="Prrafodelista"/>
        <w:numPr>
          <w:ilvl w:val="0"/>
          <w:numId w:val="1"/>
        </w:numPr>
        <w:autoSpaceDE w:val="0"/>
        <w:autoSpaceDN w:val="0"/>
        <w:adjustRightInd w:val="0"/>
        <w:spacing w:before="120" w:line="360" w:lineRule="auto"/>
        <w:jc w:val="both"/>
        <w:rPr>
          <w:rFonts w:ascii="Palatino Linotype" w:hAnsi="Palatino Linotype" w:cs="Arial"/>
        </w:rPr>
      </w:pPr>
      <w:r w:rsidRPr="00657015">
        <w:rPr>
          <w:rFonts w:ascii="Palatino Linotype" w:hAnsi="Palatino Linotype" w:cs="Arial"/>
        </w:rPr>
        <w:t xml:space="preserve">A este respecto, para diferenciar el derecho de petición del derecho de acceso a la información, resulta conducente señalar que José Guadalupe Robles, conceptualiza al derecho a la información como: </w:t>
      </w:r>
    </w:p>
    <w:p w14:paraId="1CFAFAA6" w14:textId="77777777" w:rsidR="00466C65" w:rsidRPr="00657015" w:rsidRDefault="00466C65" w:rsidP="00466C65">
      <w:pPr>
        <w:pStyle w:val="Prrafodelista"/>
        <w:autoSpaceDE w:val="0"/>
        <w:autoSpaceDN w:val="0"/>
        <w:adjustRightInd w:val="0"/>
        <w:spacing w:before="120" w:line="360" w:lineRule="auto"/>
        <w:ind w:left="0"/>
        <w:jc w:val="both"/>
        <w:rPr>
          <w:rFonts w:ascii="Palatino Linotype" w:hAnsi="Palatino Linotype" w:cs="Arial"/>
        </w:rPr>
      </w:pPr>
    </w:p>
    <w:p w14:paraId="55802CB1" w14:textId="77777777" w:rsidR="0032449F" w:rsidRPr="00657015" w:rsidRDefault="0032449F" w:rsidP="00466C65">
      <w:pPr>
        <w:tabs>
          <w:tab w:val="left" w:pos="9214"/>
        </w:tabs>
        <w:spacing w:line="360" w:lineRule="auto"/>
        <w:ind w:left="709" w:right="709"/>
        <w:jc w:val="both"/>
        <w:rPr>
          <w:rFonts w:ascii="Palatino Linotype" w:hAnsi="Palatino Linotype"/>
          <w:i/>
          <w:sz w:val="22"/>
          <w:szCs w:val="22"/>
          <w:lang w:eastAsia="es-MX"/>
        </w:rPr>
      </w:pPr>
      <w:r w:rsidRPr="00657015">
        <w:rPr>
          <w:rFonts w:ascii="Palatino Linotype" w:hAnsi="Palatino Linotype"/>
          <w:i/>
          <w:sz w:val="22"/>
          <w:szCs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 </w:t>
      </w:r>
      <w:r w:rsidRPr="00657015">
        <w:rPr>
          <w:rFonts w:ascii="Palatino Linotype" w:hAnsi="Palatino Linotype"/>
          <w:sz w:val="22"/>
          <w:szCs w:val="22"/>
          <w:lang w:eastAsia="es-MX"/>
        </w:rPr>
        <w:t>(Sic)</w:t>
      </w:r>
      <w:r w:rsidRPr="00657015">
        <w:rPr>
          <w:rFonts w:ascii="Palatino Linotype" w:hAnsi="Palatino Linotype"/>
          <w:i/>
          <w:sz w:val="22"/>
          <w:szCs w:val="22"/>
          <w:lang w:eastAsia="es-MX"/>
        </w:rPr>
        <w:t xml:space="preserve"> </w:t>
      </w:r>
    </w:p>
    <w:p w14:paraId="313F7671" w14:textId="72ACBD83"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rPr>
      </w:pPr>
      <w:r w:rsidRPr="00657015">
        <w:rPr>
          <w:rFonts w:ascii="Palatino Linotype" w:hAnsi="Palatino Linotype" w:cs="Arial"/>
        </w:rPr>
        <w:t xml:space="preserve">Ahora bien, el derecho </w:t>
      </w:r>
      <w:r w:rsidRPr="00657015">
        <w:rPr>
          <w:rFonts w:ascii="Palatino Linotype" w:hAnsi="Palatino Linotype"/>
        </w:rPr>
        <w:t xml:space="preserve">de acceso a la información pública por disposición del artículo 4 de la Ley de Transparencia y Acceso a la Información Pública del Estado </w:t>
      </w:r>
      <w:r w:rsidRPr="00657015">
        <w:rPr>
          <w:rFonts w:ascii="Palatino Linotype" w:hAnsi="Palatino Linotype"/>
        </w:rPr>
        <w:lastRenderedPageBreak/>
        <w:t xml:space="preserve">de México y Municipios es la prerrogativa de las personas para buscar, difundir, investigar, recabar, recibir y solicitar información pública. </w:t>
      </w:r>
    </w:p>
    <w:p w14:paraId="6AAF955B" w14:textId="77777777" w:rsidR="0032449F" w:rsidRPr="00657015" w:rsidRDefault="0032449F" w:rsidP="00466C65">
      <w:pPr>
        <w:spacing w:before="120" w:after="120" w:line="360" w:lineRule="auto"/>
        <w:ind w:left="709" w:right="709"/>
        <w:jc w:val="both"/>
        <w:rPr>
          <w:rFonts w:ascii="Palatino Linotype" w:hAnsi="Palatino Linotype"/>
          <w:i/>
          <w:sz w:val="22"/>
        </w:rPr>
      </w:pPr>
      <w:r w:rsidRPr="00657015">
        <w:rPr>
          <w:rFonts w:ascii="Palatino Linotype" w:hAnsi="Palatino Linotype"/>
          <w:sz w:val="22"/>
        </w:rPr>
        <w:t>“</w:t>
      </w:r>
      <w:r w:rsidRPr="00657015">
        <w:rPr>
          <w:rFonts w:ascii="Palatino Linotype" w:hAnsi="Palatino Linotype"/>
          <w:b/>
          <w:i/>
          <w:sz w:val="22"/>
        </w:rPr>
        <w:t>Artículo 4.</w:t>
      </w:r>
      <w:r w:rsidRPr="00657015">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6D01A8C3" w14:textId="77777777" w:rsidR="0032449F" w:rsidRPr="00657015" w:rsidRDefault="0032449F" w:rsidP="00466C65">
      <w:pPr>
        <w:spacing w:before="120" w:after="120" w:line="360" w:lineRule="auto"/>
        <w:ind w:left="709" w:right="709"/>
        <w:jc w:val="both"/>
        <w:rPr>
          <w:rFonts w:ascii="Palatino Linotype" w:hAnsi="Palatino Linotype"/>
          <w:i/>
          <w:sz w:val="22"/>
        </w:rPr>
      </w:pPr>
      <w:r w:rsidRPr="00657015">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657015">
        <w:rPr>
          <w:rFonts w:ascii="Palatino Linotype" w:hAnsi="Palatino Linotype" w:cs="Arial"/>
          <w:i/>
          <w:color w:val="000000"/>
          <w:sz w:val="22"/>
          <w:szCs w:val="22"/>
        </w:rPr>
        <w:t>mexicano</w:t>
      </w:r>
      <w:r w:rsidRPr="00657015">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3B41F79" w14:textId="77777777" w:rsidR="0032449F" w:rsidRPr="00657015" w:rsidRDefault="0032449F" w:rsidP="00466C65">
      <w:pPr>
        <w:spacing w:before="120" w:after="120" w:line="360" w:lineRule="auto"/>
        <w:ind w:left="709" w:right="709"/>
        <w:jc w:val="both"/>
        <w:rPr>
          <w:rFonts w:ascii="Palatino Linotype" w:hAnsi="Palatino Linotype"/>
          <w:i/>
          <w:sz w:val="22"/>
        </w:rPr>
      </w:pPr>
      <w:r w:rsidRPr="00657015">
        <w:rPr>
          <w:rFonts w:ascii="Palatino Linotype" w:hAnsi="Palatino Linotype"/>
          <w:i/>
          <w:sz w:val="22"/>
        </w:rPr>
        <w:t>Los sujetos obligados deben poner en práctica, políticas y programas de acceso a la información</w:t>
      </w:r>
      <w:r w:rsidRPr="00657015">
        <w:rPr>
          <w:rFonts w:ascii="Palatino Linotype" w:hAnsi="Palatino Linotype"/>
        </w:rPr>
        <w:t xml:space="preserve"> </w:t>
      </w:r>
      <w:r w:rsidRPr="00657015">
        <w:rPr>
          <w:rFonts w:ascii="Palatino Linotype" w:hAnsi="Palatino Linotype"/>
          <w:i/>
          <w:sz w:val="22"/>
        </w:rPr>
        <w:t>que se apeguen a criterios de publicidad, veracidad, oportunidad, precisión y suficiencia en beneficio de los solicitantes.”</w:t>
      </w:r>
    </w:p>
    <w:p w14:paraId="60284EAE" w14:textId="1CAA7D3D"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5DF79723" w14:textId="77777777" w:rsidR="0032449F" w:rsidRPr="00657015" w:rsidRDefault="0032449F"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5ABF9366" w14:textId="77777777"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w:t>
      </w:r>
      <w:r w:rsidRPr="00657015">
        <w:rPr>
          <w:rFonts w:ascii="Palatino Linotype" w:hAnsi="Palatino Linotype" w:cs="Arial"/>
        </w:rPr>
        <w:lastRenderedPageBreak/>
        <w:t xml:space="preserve">administrada o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7E1A2B39" w14:textId="77777777" w:rsidR="0032449F" w:rsidRPr="00657015" w:rsidRDefault="0032449F" w:rsidP="00466C65">
      <w:pPr>
        <w:pStyle w:val="Prrafodelista"/>
        <w:spacing w:line="360" w:lineRule="auto"/>
        <w:rPr>
          <w:rFonts w:ascii="Palatino Linotype" w:hAnsi="Palatino Linotype" w:cs="Arial"/>
        </w:rPr>
      </w:pPr>
    </w:p>
    <w:p w14:paraId="0DA122F9" w14:textId="77777777" w:rsidR="00466C65"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6F2C59D9" w14:textId="77777777" w:rsidR="00466C65" w:rsidRPr="00657015" w:rsidRDefault="00466C65" w:rsidP="00466C65">
      <w:pPr>
        <w:pStyle w:val="Prrafodelista"/>
        <w:rPr>
          <w:rFonts w:ascii="Palatino Linotype" w:hAnsi="Palatino Linotype" w:cs="Arial"/>
        </w:rPr>
      </w:pPr>
    </w:p>
    <w:p w14:paraId="23A2AA77" w14:textId="79C7559D"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Lo anterior tiene sustento en los artículos 3 fracciones XI y XXII; 4; 11 y 41 de la Ley de Transparencia y Acceso a la Información Pública del Estado de México y Municipios:</w:t>
      </w:r>
    </w:p>
    <w:p w14:paraId="327251AD"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
          <w:bCs/>
          <w:i/>
          <w:noProof/>
          <w:sz w:val="22"/>
        </w:rPr>
        <w:t xml:space="preserve">“Artículo 3. </w:t>
      </w:r>
      <w:r w:rsidRPr="00657015">
        <w:rPr>
          <w:rFonts w:ascii="Palatino Linotype" w:hAnsi="Palatino Linotype" w:cs="Arial"/>
          <w:b/>
          <w:bCs/>
          <w:i/>
          <w:noProof/>
          <w:sz w:val="22"/>
          <w:u w:val="single"/>
        </w:rPr>
        <w:t xml:space="preserve">Para los efectos </w:t>
      </w:r>
      <w:r w:rsidRPr="00657015">
        <w:rPr>
          <w:rFonts w:ascii="Palatino Linotype" w:hAnsi="Palatino Linotype" w:cs="Arial"/>
          <w:b/>
          <w:i/>
          <w:sz w:val="22"/>
          <w:szCs w:val="22"/>
          <w:u w:val="single"/>
        </w:rPr>
        <w:t>de</w:t>
      </w:r>
      <w:r w:rsidRPr="00657015">
        <w:rPr>
          <w:rFonts w:ascii="Palatino Linotype" w:hAnsi="Palatino Linotype" w:cs="Arial"/>
          <w:b/>
          <w:bCs/>
          <w:i/>
          <w:noProof/>
          <w:sz w:val="22"/>
          <w:u w:val="single"/>
        </w:rPr>
        <w:t xml:space="preserve"> la presente Ley se entenderá por</w:t>
      </w:r>
      <w:r w:rsidRPr="00657015">
        <w:rPr>
          <w:rFonts w:ascii="Palatino Linotype" w:hAnsi="Palatino Linotype" w:cs="Arial"/>
          <w:b/>
          <w:bCs/>
          <w:i/>
          <w:noProof/>
          <w:sz w:val="22"/>
        </w:rPr>
        <w:t xml:space="preserve">: </w:t>
      </w:r>
      <w:r w:rsidRPr="00657015">
        <w:rPr>
          <w:rFonts w:ascii="Palatino Linotype" w:hAnsi="Palatino Linotype" w:cs="Arial"/>
          <w:bCs/>
          <w:i/>
          <w:noProof/>
          <w:sz w:val="22"/>
        </w:rPr>
        <w:t>…</w:t>
      </w:r>
    </w:p>
    <w:p w14:paraId="66B42765"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Cs/>
          <w:i/>
          <w:noProof/>
          <w:sz w:val="22"/>
        </w:rPr>
        <w:t>…</w:t>
      </w:r>
    </w:p>
    <w:p w14:paraId="28584DD2"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
          <w:bCs/>
          <w:i/>
          <w:noProof/>
          <w:sz w:val="22"/>
        </w:rPr>
        <w:t>XI. Documento:</w:t>
      </w:r>
      <w:r w:rsidRPr="0065701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657015">
        <w:rPr>
          <w:rFonts w:ascii="Palatino Linotype" w:hAnsi="Palatino Linotype" w:cs="Arial"/>
          <w:i/>
          <w:color w:val="000000"/>
          <w:sz w:val="22"/>
          <w:szCs w:val="22"/>
        </w:rPr>
        <w:t>servidores</w:t>
      </w:r>
      <w:r w:rsidRPr="00657015">
        <w:rPr>
          <w:rFonts w:ascii="Palatino Linotype" w:hAnsi="Palatino Linotype" w:cs="Arial"/>
          <w:bCs/>
          <w:i/>
          <w:noProof/>
          <w:sz w:val="22"/>
        </w:rPr>
        <w:t xml:space="preserve"> públicos e integrantes, sin importar su fuente o fecha de elaboración. Los documentos podrán estar en cualquier medio, sea escrito, impreso, sonoro, visual, electrónico, informático u holográfico; </w:t>
      </w:r>
    </w:p>
    <w:p w14:paraId="5EAE3BFE"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
          <w:bCs/>
          <w:i/>
          <w:noProof/>
          <w:sz w:val="22"/>
        </w:rPr>
        <w:t>Artículo 4.</w:t>
      </w:r>
      <w:r w:rsidRPr="00657015">
        <w:rPr>
          <w:rFonts w:ascii="Palatino Linotype" w:hAnsi="Palatino Linotype" w:cs="Arial"/>
          <w:bCs/>
          <w:i/>
          <w:noProof/>
          <w:sz w:val="22"/>
        </w:rPr>
        <w:t xml:space="preserve"> </w:t>
      </w:r>
      <w:r w:rsidRPr="00657015">
        <w:rPr>
          <w:rFonts w:ascii="Palatino Linotype" w:hAnsi="Palatino Linotype" w:cs="Arial"/>
          <w:b/>
          <w:bCs/>
          <w:i/>
          <w:noProof/>
          <w:sz w:val="22"/>
          <w:u w:val="single"/>
        </w:rPr>
        <w:t xml:space="preserve">El derecho humano de acceso a la información pública es la prerrogativa de las personas para buscar, difundir, investigar, recabar, </w:t>
      </w:r>
      <w:r w:rsidRPr="00657015">
        <w:rPr>
          <w:rFonts w:ascii="Palatino Linotype" w:hAnsi="Palatino Linotype" w:cs="Arial"/>
          <w:b/>
          <w:bCs/>
          <w:i/>
          <w:noProof/>
          <w:sz w:val="22"/>
          <w:u w:val="single"/>
        </w:rPr>
        <w:lastRenderedPageBreak/>
        <w:t>recibir y solicitar información pública</w:t>
      </w:r>
      <w:r w:rsidRPr="00657015">
        <w:rPr>
          <w:rFonts w:ascii="Palatino Linotype" w:hAnsi="Palatino Linotype" w:cs="Arial"/>
          <w:bCs/>
          <w:i/>
          <w:noProof/>
          <w:sz w:val="22"/>
        </w:rPr>
        <w:t xml:space="preserve">, sin necesidad de acreditar personalidad ni interés jurídico. </w:t>
      </w:r>
    </w:p>
    <w:p w14:paraId="5D405CC8"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657015">
        <w:rPr>
          <w:rFonts w:ascii="Palatino Linotype" w:hAnsi="Palatino Linotype" w:cs="Arial"/>
          <w:i/>
          <w:color w:val="000000"/>
          <w:sz w:val="22"/>
          <w:szCs w:val="22"/>
        </w:rPr>
        <w:t>información</w:t>
      </w:r>
      <w:r w:rsidRPr="00657015">
        <w:rPr>
          <w:rFonts w:ascii="Palatino Linotype" w:hAnsi="Palatino Linotype" w:cs="Arial"/>
          <w:bCs/>
          <w:i/>
          <w:noProof/>
          <w:sz w:val="22"/>
        </w:rPr>
        <w:t xml:space="preserve">. Solo podrá ser clasificada excepcionalmente como reservada temporalmente por razones de interés público, en los términos de las causas legítimas y estrictamente necesarias previstas por esta Ley. </w:t>
      </w:r>
    </w:p>
    <w:p w14:paraId="093458E0"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38423249"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
          <w:bCs/>
          <w:i/>
          <w:noProof/>
          <w:sz w:val="22"/>
        </w:rPr>
        <w:t>Artículo 11.-</w:t>
      </w:r>
      <w:r w:rsidRPr="00657015">
        <w:rPr>
          <w:rFonts w:ascii="Palatino Linotype" w:hAnsi="Palatino Linotype" w:cs="Arial"/>
          <w:bCs/>
          <w:i/>
          <w:noProof/>
          <w:sz w:val="22"/>
        </w:rPr>
        <w:t xml:space="preserve"> </w:t>
      </w:r>
      <w:r w:rsidRPr="00657015">
        <w:rPr>
          <w:rFonts w:ascii="Palatino Linotype" w:hAnsi="Palatino Linotype" w:cs="Arial"/>
          <w:b/>
          <w:bCs/>
          <w:i/>
          <w:noProof/>
          <w:sz w:val="22"/>
          <w:u w:val="single"/>
        </w:rPr>
        <w:t>Los Sujetos Obligados sólo proporcionarán la información que generen en el ejercicio de sus atribuciones</w:t>
      </w:r>
      <w:r w:rsidRPr="00657015">
        <w:rPr>
          <w:rFonts w:ascii="Palatino Linotype" w:hAnsi="Palatino Linotype" w:cs="Arial"/>
          <w:bCs/>
          <w:i/>
          <w:noProof/>
          <w:sz w:val="22"/>
        </w:rPr>
        <w:t>.</w:t>
      </w:r>
    </w:p>
    <w:p w14:paraId="5E8FFB1A"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
          <w:bCs/>
          <w:i/>
          <w:noProof/>
          <w:sz w:val="22"/>
        </w:rPr>
        <w:t>Artículo 12.</w:t>
      </w:r>
      <w:r w:rsidRPr="00657015">
        <w:rPr>
          <w:rFonts w:ascii="Palatino Linotype" w:hAnsi="Palatino Linotype" w:cs="Arial"/>
          <w:bCs/>
          <w:i/>
          <w:noProof/>
          <w:sz w:val="22"/>
        </w:rPr>
        <w:t xml:space="preserve"> Quienes generen, recopilen, administren, manejen, procesen, archiven o conserven información pública</w:t>
      </w:r>
      <w:r w:rsidRPr="00657015">
        <w:rPr>
          <w:rFonts w:ascii="Palatino Linotype" w:hAnsi="Palatino Linotype" w:cs="Arial"/>
          <w:b/>
          <w:bCs/>
          <w:i/>
          <w:noProof/>
          <w:sz w:val="22"/>
        </w:rPr>
        <w:t xml:space="preserve"> </w:t>
      </w:r>
      <w:r w:rsidRPr="00657015">
        <w:rPr>
          <w:rFonts w:ascii="Palatino Linotype" w:hAnsi="Palatino Linotype" w:cs="Arial"/>
          <w:bCs/>
          <w:i/>
          <w:noProof/>
          <w:sz w:val="22"/>
        </w:rPr>
        <w:t xml:space="preserve">serán responsables de la misma en los términos de las disposiciones jurídicas </w:t>
      </w:r>
      <w:r w:rsidRPr="00657015">
        <w:rPr>
          <w:rFonts w:ascii="Palatino Linotype" w:hAnsi="Palatino Linotype" w:cs="Arial"/>
          <w:i/>
          <w:color w:val="000000"/>
          <w:sz w:val="22"/>
          <w:szCs w:val="22"/>
        </w:rPr>
        <w:t>aplicables</w:t>
      </w:r>
      <w:r w:rsidRPr="00657015">
        <w:rPr>
          <w:rFonts w:ascii="Palatino Linotype" w:hAnsi="Palatino Linotype" w:cs="Arial"/>
          <w:bCs/>
          <w:i/>
          <w:noProof/>
          <w:sz w:val="22"/>
        </w:rPr>
        <w:t xml:space="preserve">. </w:t>
      </w:r>
    </w:p>
    <w:p w14:paraId="54A0F374" w14:textId="77777777" w:rsidR="0032449F" w:rsidRPr="00657015" w:rsidRDefault="0032449F" w:rsidP="00466C65">
      <w:pPr>
        <w:spacing w:before="120" w:after="120" w:line="360" w:lineRule="auto"/>
        <w:ind w:left="709" w:right="709"/>
        <w:jc w:val="both"/>
        <w:rPr>
          <w:rFonts w:ascii="Palatino Linotype" w:hAnsi="Palatino Linotype" w:cs="Arial"/>
          <w:bCs/>
          <w:i/>
          <w:noProof/>
          <w:sz w:val="22"/>
        </w:rPr>
      </w:pPr>
      <w:r w:rsidRPr="00657015">
        <w:rPr>
          <w:rFonts w:ascii="Palatino Linotype" w:hAnsi="Palatino Linotype" w:cs="Arial"/>
          <w:b/>
          <w:bCs/>
          <w:i/>
          <w:noProof/>
          <w:sz w:val="22"/>
          <w:u w:val="single"/>
        </w:rPr>
        <w:t>Los sujetos obligados sólo proporcionarán la información pública que se les requiera y que obre en sus archivos</w:t>
      </w:r>
      <w:r w:rsidRPr="00657015">
        <w:rPr>
          <w:rFonts w:ascii="Palatino Linotype" w:hAnsi="Palatino Linotype" w:cs="Arial"/>
          <w:bCs/>
          <w:i/>
          <w:noProof/>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DA88F45" w14:textId="77777777" w:rsidR="0032449F" w:rsidRPr="00657015" w:rsidRDefault="0032449F" w:rsidP="00466C65">
      <w:pPr>
        <w:spacing w:before="120" w:after="120" w:line="360" w:lineRule="auto"/>
        <w:ind w:left="709" w:right="709"/>
        <w:jc w:val="both"/>
        <w:rPr>
          <w:rFonts w:ascii="Palatino Linotype" w:hAnsi="Palatino Linotype" w:cs="Arial"/>
          <w:color w:val="000000"/>
          <w:sz w:val="22"/>
          <w:szCs w:val="22"/>
        </w:rPr>
      </w:pPr>
      <w:r w:rsidRPr="00657015">
        <w:rPr>
          <w:rFonts w:ascii="Palatino Linotype" w:hAnsi="Palatino Linotype" w:cs="Arial"/>
          <w:color w:val="000000"/>
          <w:sz w:val="22"/>
          <w:szCs w:val="22"/>
        </w:rPr>
        <w:t>(Énfasis añadido)</w:t>
      </w:r>
    </w:p>
    <w:p w14:paraId="71D287EA" w14:textId="77777777" w:rsidR="00466C65"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lastRenderedPageBreak/>
        <w:t>De una interpretación sistemática de los artículos anteriores se puede deducir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21BD842A" w14:textId="77777777" w:rsidR="00466C65" w:rsidRPr="0065701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5B984822" w14:textId="34B51398"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8FAF157" w14:textId="77777777" w:rsidR="00466C65" w:rsidRPr="00657015" w:rsidRDefault="00466C65" w:rsidP="00466C65">
      <w:pPr>
        <w:pStyle w:val="Prrafodelista"/>
        <w:rPr>
          <w:rFonts w:ascii="Palatino Linotype" w:hAnsi="Palatino Linotype" w:cs="Arial"/>
        </w:rPr>
      </w:pPr>
    </w:p>
    <w:p w14:paraId="3BD0B4CC" w14:textId="77777777"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DC6E370" w14:textId="77777777" w:rsidR="00466C65" w:rsidRPr="00657015" w:rsidRDefault="00466C65" w:rsidP="00466C65">
      <w:pPr>
        <w:pStyle w:val="Prrafodelista"/>
        <w:rPr>
          <w:rFonts w:ascii="Palatino Linotype" w:hAnsi="Palatino Linotype" w:cs="Arial"/>
        </w:rPr>
      </w:pPr>
    </w:p>
    <w:p w14:paraId="24031A1A" w14:textId="77777777"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657015">
        <w:rPr>
          <w:rFonts w:ascii="Palatino Linotype" w:hAnsi="Palatino Linotype" w:cs="Arial"/>
          <w:b/>
        </w:rPr>
        <w:t xml:space="preserve"> </w:t>
      </w:r>
      <w:r w:rsidRPr="00657015">
        <w:rPr>
          <w:rFonts w:ascii="Palatino Linotype" w:hAnsi="Palatino Linotype" w:cs="Arial"/>
        </w:rPr>
        <w:t xml:space="preserve">no tienen el deber de </w:t>
      </w:r>
      <w:r w:rsidRPr="00657015">
        <w:rPr>
          <w:rFonts w:ascii="Palatino Linotype" w:hAnsi="Palatino Linotype" w:cs="Arial"/>
        </w:rPr>
        <w:lastRenderedPageBreak/>
        <w:t xml:space="preserve">generar, poseer o administrar la información pública con el grado de detalle que se señala en la solicitud de información pública; esto es, que no tienen el deber de generar un documento </w:t>
      </w:r>
      <w:r w:rsidRPr="00657015">
        <w:rPr>
          <w:rFonts w:ascii="Palatino Linotype" w:hAnsi="Palatino Linotype" w:cs="Arial"/>
          <w:b/>
          <w:i/>
        </w:rPr>
        <w:t>ad hoc</w:t>
      </w:r>
      <w:r w:rsidRPr="00657015">
        <w:rPr>
          <w:rFonts w:ascii="Palatino Linotype" w:hAnsi="Palatino Linotype" w:cs="Arial"/>
        </w:rPr>
        <w:t>, para satisfacer el derecho de acceso a la información pública.</w:t>
      </w:r>
    </w:p>
    <w:p w14:paraId="4474F572" w14:textId="77777777" w:rsidR="00466C65" w:rsidRPr="00657015" w:rsidRDefault="00466C65" w:rsidP="00466C65">
      <w:pPr>
        <w:pStyle w:val="Prrafodelista"/>
        <w:rPr>
          <w:rFonts w:ascii="Palatino Linotype" w:hAnsi="Palatino Linotype" w:cs="Arial"/>
        </w:rPr>
      </w:pPr>
    </w:p>
    <w:p w14:paraId="21CD2B46" w14:textId="77777777"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 xml:space="preserve">Lo anterior se traduce en que el documento o documentos a que se hizo referencia, podrán ser entregados al </w:t>
      </w:r>
      <w:r w:rsidRPr="00657015">
        <w:rPr>
          <w:rFonts w:ascii="Palatino Linotype" w:hAnsi="Palatino Linotype" w:cs="Arial"/>
          <w:b/>
        </w:rPr>
        <w:t>RECURRENTE</w:t>
      </w:r>
      <w:r w:rsidRPr="00657015">
        <w:rPr>
          <w:rFonts w:ascii="Palatino Linotype" w:hAnsi="Palatino Linotype" w:cs="Arial"/>
        </w:rPr>
        <w:t xml:space="preserve">, tal y como hayan sido generados por </w:t>
      </w:r>
      <w:r w:rsidRPr="00657015">
        <w:rPr>
          <w:rFonts w:ascii="Palatino Linotype" w:hAnsi="Palatino Linotype" w:cs="Arial"/>
          <w:b/>
        </w:rPr>
        <w:t>EL SUJETO OBLIGADO</w:t>
      </w:r>
      <w:r w:rsidRPr="00657015">
        <w:rPr>
          <w:rFonts w:ascii="Palatino Linotype" w:hAnsi="Palatino Linotype" w:cs="Arial"/>
        </w:rPr>
        <w:t xml:space="preserve">, sin que subsista la obligación para éste último de generar un documento </w:t>
      </w:r>
      <w:r w:rsidRPr="00657015">
        <w:rPr>
          <w:rFonts w:ascii="Palatino Linotype" w:hAnsi="Palatino Linotype" w:cs="Arial"/>
          <w:b/>
          <w:i/>
        </w:rPr>
        <w:t>ad hoc</w:t>
      </w:r>
      <w:r w:rsidRPr="00657015">
        <w:rPr>
          <w:rFonts w:ascii="Palatino Linotype" w:hAnsi="Palatino Linotype" w:cs="Arial"/>
        </w:rPr>
        <w:t xml:space="preserve">, para satisfacer el derecho de acceso a la información pública del </w:t>
      </w:r>
      <w:r w:rsidRPr="00657015">
        <w:rPr>
          <w:rFonts w:ascii="Palatino Linotype" w:hAnsi="Palatino Linotype" w:cs="Arial"/>
          <w:b/>
        </w:rPr>
        <w:t>RECURRENTE</w:t>
      </w:r>
      <w:r w:rsidRPr="00657015">
        <w:rPr>
          <w:rFonts w:ascii="Palatino Linotype" w:hAnsi="Palatino Linotype" w:cs="Arial"/>
        </w:rPr>
        <w:t>.</w:t>
      </w:r>
    </w:p>
    <w:p w14:paraId="0A153578" w14:textId="77777777" w:rsidR="00466C65" w:rsidRPr="00657015" w:rsidRDefault="00466C65" w:rsidP="00466C65">
      <w:pPr>
        <w:pStyle w:val="Prrafodelista"/>
        <w:rPr>
          <w:rFonts w:ascii="Palatino Linotype" w:hAnsi="Palatino Linotype" w:cs="Arial"/>
        </w:rPr>
      </w:pPr>
    </w:p>
    <w:p w14:paraId="0565DC18" w14:textId="5701D453"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 xml:space="preserve">Como apoyo a lo anterior, es aplicable el Criterio 09-10, emitido por </w:t>
      </w:r>
      <w:r w:rsidRPr="00657015">
        <w:rPr>
          <w:rFonts w:ascii="Palatino Linotype" w:eastAsia="Arial Unicode MS" w:hAnsi="Palatino Linotype" w:cs="Arial"/>
        </w:rPr>
        <w:t xml:space="preserve">el Pleno del entonces </w:t>
      </w:r>
      <w:r w:rsidRPr="00657015">
        <w:rPr>
          <w:rFonts w:ascii="Palatino Linotype" w:eastAsia="Arial Unicode MS" w:hAnsi="Palatino Linotype" w:cs="Arial"/>
          <w:bCs/>
        </w:rPr>
        <w:t xml:space="preserve">Instituto Federal </w:t>
      </w:r>
      <w:r w:rsidRPr="00657015">
        <w:rPr>
          <w:rFonts w:ascii="Palatino Linotype" w:hAnsi="Palatino Linotype" w:cs="Arial"/>
        </w:rPr>
        <w:t>de</w:t>
      </w:r>
      <w:r w:rsidRPr="00657015">
        <w:rPr>
          <w:rFonts w:ascii="Palatino Linotype" w:eastAsia="Arial Unicode MS" w:hAnsi="Palatino Linotype" w:cs="Arial"/>
          <w:bCs/>
        </w:rPr>
        <w:t xml:space="preserve"> Acceso a la Información y Protección de Datos (IFAI), </w:t>
      </w:r>
      <w:r w:rsidRPr="00657015">
        <w:rPr>
          <w:rFonts w:ascii="Palatino Linotype" w:eastAsia="Arial Unicode MS" w:hAnsi="Palatino Linotype" w:cs="Arial"/>
        </w:rPr>
        <w:t>ahora Instituto Nacional de Transparencia, Acceso a la Información y Protección de Datos Personales (INAI),</w:t>
      </w:r>
      <w:r w:rsidRPr="00657015">
        <w:rPr>
          <w:rFonts w:ascii="Palatino Linotype" w:hAnsi="Palatino Linotype"/>
          <w:bCs/>
        </w:rPr>
        <w:t xml:space="preserve"> que dice:</w:t>
      </w:r>
      <w:r w:rsidRPr="00657015">
        <w:rPr>
          <w:rFonts w:ascii="Palatino Linotype" w:hAnsi="Palatino Linotype"/>
          <w:b/>
          <w:bCs/>
        </w:rPr>
        <w:t xml:space="preserve"> </w:t>
      </w:r>
    </w:p>
    <w:p w14:paraId="70C5D579" w14:textId="77777777" w:rsidR="00466C65" w:rsidRPr="00657015" w:rsidRDefault="00466C65" w:rsidP="00466C65">
      <w:pPr>
        <w:pStyle w:val="Prrafodelista"/>
        <w:autoSpaceDE w:val="0"/>
        <w:autoSpaceDN w:val="0"/>
        <w:adjustRightInd w:val="0"/>
        <w:spacing w:before="120" w:after="120" w:line="360" w:lineRule="auto"/>
        <w:ind w:left="0"/>
        <w:jc w:val="both"/>
        <w:rPr>
          <w:rFonts w:ascii="Palatino Linotype" w:hAnsi="Palatino Linotype" w:cs="Arial"/>
        </w:rPr>
      </w:pPr>
    </w:p>
    <w:p w14:paraId="2FB92863" w14:textId="77777777" w:rsidR="0032449F" w:rsidRPr="00657015" w:rsidRDefault="0032449F" w:rsidP="00466C65">
      <w:pPr>
        <w:spacing w:line="360" w:lineRule="auto"/>
        <w:ind w:left="709" w:right="709"/>
        <w:jc w:val="both"/>
        <w:rPr>
          <w:rFonts w:ascii="Palatino Linotype" w:hAnsi="Palatino Linotype" w:cs="Arial"/>
          <w:i/>
          <w:sz w:val="22"/>
          <w:szCs w:val="22"/>
        </w:rPr>
      </w:pPr>
      <w:r w:rsidRPr="00657015">
        <w:rPr>
          <w:rFonts w:ascii="Palatino Linotype" w:hAnsi="Palatino Linotype" w:cs="Arial"/>
          <w:i/>
          <w:sz w:val="22"/>
          <w:szCs w:val="22"/>
        </w:rPr>
        <w:t>“</w:t>
      </w:r>
      <w:r w:rsidRPr="00657015">
        <w:rPr>
          <w:rFonts w:ascii="Palatino Linotype" w:hAnsi="Palatino Linotype" w:cs="Arial"/>
          <w:b/>
          <w:i/>
          <w:sz w:val="22"/>
          <w:szCs w:val="22"/>
          <w:u w:val="single"/>
        </w:rPr>
        <w:t>Las dependencias y entidades no están obligadas a generar documentos ad hoc para responder una solicitud de acceso a la información.</w:t>
      </w:r>
      <w:r w:rsidRPr="00657015">
        <w:rPr>
          <w:rFonts w:ascii="Palatino Linotype" w:hAnsi="Palatino Linotype" w:cs="Arial"/>
          <w:i/>
          <w:sz w:val="22"/>
          <w:szCs w:val="22"/>
        </w:rPr>
        <w:t xml:space="preserve">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D4F231F" w14:textId="77777777" w:rsidR="0032449F" w:rsidRPr="00657015" w:rsidRDefault="0032449F" w:rsidP="00466C65">
      <w:pPr>
        <w:spacing w:line="360" w:lineRule="auto"/>
        <w:ind w:left="709" w:right="709"/>
        <w:jc w:val="both"/>
        <w:rPr>
          <w:rFonts w:ascii="Palatino Linotype" w:hAnsi="Palatino Linotype" w:cs="Arial"/>
          <w:i/>
          <w:sz w:val="22"/>
          <w:szCs w:val="22"/>
        </w:rPr>
      </w:pPr>
      <w:r w:rsidRPr="00657015">
        <w:rPr>
          <w:rFonts w:ascii="Palatino Linotype" w:hAnsi="Palatino Linotype" w:cs="Arial"/>
          <w:i/>
          <w:sz w:val="22"/>
          <w:szCs w:val="22"/>
        </w:rPr>
        <w:t>Expedientes:</w:t>
      </w:r>
    </w:p>
    <w:p w14:paraId="10034F34" w14:textId="77777777" w:rsidR="0032449F" w:rsidRPr="00657015" w:rsidRDefault="0032449F" w:rsidP="00466C65">
      <w:pPr>
        <w:spacing w:line="360" w:lineRule="auto"/>
        <w:ind w:left="709" w:right="709"/>
        <w:jc w:val="both"/>
        <w:rPr>
          <w:rFonts w:ascii="Palatino Linotype" w:hAnsi="Palatino Linotype" w:cs="Arial"/>
          <w:i/>
          <w:sz w:val="22"/>
          <w:szCs w:val="22"/>
        </w:rPr>
      </w:pPr>
      <w:r w:rsidRPr="00657015">
        <w:rPr>
          <w:rFonts w:ascii="Palatino Linotype" w:hAnsi="Palatino Linotype" w:cs="Arial"/>
          <w:i/>
          <w:sz w:val="22"/>
          <w:szCs w:val="22"/>
        </w:rPr>
        <w:lastRenderedPageBreak/>
        <w:t>0438/08 Pemex Exploración y Producción – Alonso Lujambio Irazábal</w:t>
      </w:r>
    </w:p>
    <w:p w14:paraId="6A0249F1" w14:textId="77777777" w:rsidR="0032449F" w:rsidRPr="00657015" w:rsidRDefault="0032449F" w:rsidP="00466C65">
      <w:pPr>
        <w:spacing w:line="360" w:lineRule="auto"/>
        <w:ind w:left="709" w:right="709"/>
        <w:jc w:val="both"/>
        <w:rPr>
          <w:rFonts w:ascii="Palatino Linotype" w:hAnsi="Palatino Linotype" w:cs="Arial"/>
          <w:i/>
          <w:sz w:val="22"/>
          <w:szCs w:val="22"/>
        </w:rPr>
      </w:pPr>
      <w:r w:rsidRPr="00657015">
        <w:rPr>
          <w:rFonts w:ascii="Palatino Linotype" w:hAnsi="Palatino Linotype" w:cs="Arial"/>
          <w:i/>
          <w:sz w:val="22"/>
          <w:szCs w:val="22"/>
        </w:rPr>
        <w:t>1751/09 Laboratorios de Biológicos y Reactivos de México S.A. de C.V. – María Marván Laborde</w:t>
      </w:r>
    </w:p>
    <w:p w14:paraId="74DB8A66" w14:textId="77777777" w:rsidR="0032449F" w:rsidRPr="00657015" w:rsidRDefault="0032449F" w:rsidP="00466C65">
      <w:pPr>
        <w:spacing w:line="360" w:lineRule="auto"/>
        <w:ind w:left="709" w:right="709"/>
        <w:jc w:val="both"/>
        <w:rPr>
          <w:rFonts w:ascii="Palatino Linotype" w:hAnsi="Palatino Linotype" w:cs="Arial"/>
          <w:i/>
          <w:sz w:val="22"/>
          <w:szCs w:val="22"/>
        </w:rPr>
      </w:pPr>
      <w:r w:rsidRPr="00657015">
        <w:rPr>
          <w:rFonts w:ascii="Palatino Linotype" w:hAnsi="Palatino Linotype" w:cs="Arial"/>
          <w:i/>
          <w:sz w:val="22"/>
          <w:szCs w:val="22"/>
        </w:rPr>
        <w:t>2868/09 Consejo Nacional de Ciencia y Tecnología – Jacqueline Peschard Mariscal</w:t>
      </w:r>
    </w:p>
    <w:p w14:paraId="255961D1" w14:textId="77777777" w:rsidR="0032449F" w:rsidRPr="00657015" w:rsidRDefault="0032449F" w:rsidP="00466C65">
      <w:pPr>
        <w:spacing w:line="360" w:lineRule="auto"/>
        <w:ind w:left="709" w:right="709"/>
        <w:jc w:val="both"/>
        <w:rPr>
          <w:rFonts w:ascii="Palatino Linotype" w:hAnsi="Palatino Linotype" w:cs="Arial"/>
          <w:i/>
          <w:sz w:val="22"/>
          <w:szCs w:val="22"/>
        </w:rPr>
      </w:pPr>
      <w:r w:rsidRPr="00657015">
        <w:rPr>
          <w:rFonts w:ascii="Palatino Linotype" w:hAnsi="Palatino Linotype" w:cs="Arial"/>
          <w:i/>
          <w:sz w:val="22"/>
          <w:szCs w:val="22"/>
        </w:rPr>
        <w:t>5160/09 Secretaría de Hacienda y Crédito Público – Ángel Trinidad Zaldívar</w:t>
      </w:r>
    </w:p>
    <w:p w14:paraId="710A6504" w14:textId="77777777" w:rsidR="0032449F" w:rsidRPr="00657015" w:rsidRDefault="0032449F" w:rsidP="00466C65">
      <w:pPr>
        <w:spacing w:line="360" w:lineRule="auto"/>
        <w:ind w:left="709" w:right="709"/>
        <w:jc w:val="both"/>
        <w:rPr>
          <w:rFonts w:ascii="Palatino Linotype" w:hAnsi="Palatino Linotype" w:cs="Arial"/>
          <w:i/>
          <w:sz w:val="22"/>
          <w:szCs w:val="22"/>
        </w:rPr>
      </w:pPr>
      <w:r w:rsidRPr="00657015">
        <w:rPr>
          <w:rFonts w:ascii="Palatino Linotype" w:hAnsi="Palatino Linotype" w:cs="Arial"/>
          <w:i/>
          <w:sz w:val="22"/>
          <w:szCs w:val="22"/>
        </w:rPr>
        <w:t>0304/10 Instituto Nacional de Cancerología – Jacqueline Peschard Mariscal”</w:t>
      </w:r>
    </w:p>
    <w:p w14:paraId="36D23F58" w14:textId="77777777" w:rsidR="0032449F" w:rsidRPr="00657015" w:rsidRDefault="0032449F" w:rsidP="00466C65">
      <w:pPr>
        <w:spacing w:line="360" w:lineRule="auto"/>
        <w:ind w:left="709" w:right="709"/>
        <w:jc w:val="both"/>
        <w:rPr>
          <w:rFonts w:ascii="Palatino Linotype" w:hAnsi="Palatino Linotype" w:cs="Arial"/>
          <w:sz w:val="22"/>
          <w:szCs w:val="22"/>
        </w:rPr>
      </w:pPr>
      <w:r w:rsidRPr="00657015">
        <w:rPr>
          <w:rFonts w:ascii="Palatino Linotype" w:hAnsi="Palatino Linotype" w:cs="Arial"/>
          <w:sz w:val="22"/>
          <w:szCs w:val="22"/>
        </w:rPr>
        <w:t>(Énfasis añadido)</w:t>
      </w:r>
    </w:p>
    <w:p w14:paraId="5693381F" w14:textId="77777777" w:rsidR="0032449F" w:rsidRPr="00657015" w:rsidRDefault="0032449F" w:rsidP="00466C65">
      <w:pPr>
        <w:pStyle w:val="Prrafodelista"/>
        <w:numPr>
          <w:ilvl w:val="0"/>
          <w:numId w:val="1"/>
        </w:numPr>
        <w:spacing w:before="120" w:after="120" w:line="360" w:lineRule="auto"/>
        <w:jc w:val="both"/>
        <w:rPr>
          <w:rFonts w:ascii="Palatino Linotype" w:hAnsi="Palatino Linotype"/>
        </w:rPr>
      </w:pPr>
      <w:r w:rsidRPr="00657015">
        <w:rPr>
          <w:rFonts w:ascii="Palatino Linotype" w:hAnsi="Palatino Linotype"/>
        </w:rPr>
        <w:t xml:space="preserve">Al respecto, es conveniente señalar que los Sujetos Obligados, no están constreñidos a generar documentos </w:t>
      </w:r>
      <w:r w:rsidRPr="00657015">
        <w:rPr>
          <w:rFonts w:ascii="Palatino Linotype" w:hAnsi="Palatino Linotype"/>
          <w:b/>
          <w:i/>
        </w:rPr>
        <w:t>ad hoc</w:t>
      </w:r>
      <w:r w:rsidRPr="00657015">
        <w:rPr>
          <w:rFonts w:ascii="Palatino Linotype" w:hAnsi="Palatino Linotype"/>
        </w:rPr>
        <w:t>, para responder a las solicitud de información que les sean formuladas.</w:t>
      </w:r>
    </w:p>
    <w:p w14:paraId="709B7898" w14:textId="77777777" w:rsidR="00466C65" w:rsidRPr="00657015" w:rsidRDefault="00466C65" w:rsidP="00466C65">
      <w:pPr>
        <w:pStyle w:val="Prrafodelista"/>
        <w:spacing w:before="120" w:after="120" w:line="360" w:lineRule="auto"/>
        <w:ind w:left="0"/>
        <w:jc w:val="both"/>
        <w:rPr>
          <w:rFonts w:ascii="Palatino Linotype" w:hAnsi="Palatino Linotype"/>
        </w:rPr>
      </w:pPr>
    </w:p>
    <w:p w14:paraId="11DEBD4B" w14:textId="68DCDA3F" w:rsidR="0032449F" w:rsidRPr="00657015" w:rsidRDefault="0032449F" w:rsidP="00466C65">
      <w:pPr>
        <w:pStyle w:val="Prrafodelista"/>
        <w:numPr>
          <w:ilvl w:val="0"/>
          <w:numId w:val="1"/>
        </w:numPr>
        <w:spacing w:before="120" w:after="120" w:line="360" w:lineRule="auto"/>
        <w:jc w:val="both"/>
        <w:rPr>
          <w:rFonts w:ascii="Palatino Linotype" w:hAnsi="Palatino Linotype"/>
        </w:rPr>
      </w:pPr>
      <w:r w:rsidRPr="00657015">
        <w:rPr>
          <w:rFonts w:ascii="Palatino Linotype" w:hAnsi="Palatino Linotype" w:cs="Arial"/>
          <w:lang w:eastAsia="es-MX"/>
        </w:rPr>
        <w:t xml:space="preserve">Corolario a lo anterior, el doctrinario Ernesto Villanueva Villanueva define al derecho de acceso a la información como: </w:t>
      </w:r>
    </w:p>
    <w:p w14:paraId="2910A244" w14:textId="77777777" w:rsidR="0032449F" w:rsidRPr="00657015" w:rsidRDefault="0032449F" w:rsidP="00466C65">
      <w:pPr>
        <w:spacing w:before="120" w:after="120" w:line="360" w:lineRule="auto"/>
        <w:ind w:left="709" w:right="709"/>
        <w:jc w:val="both"/>
        <w:rPr>
          <w:rFonts w:ascii="Palatino Linotype" w:hAnsi="Palatino Linotype" w:cs="Arial"/>
          <w:bCs/>
          <w:noProof/>
          <w:sz w:val="22"/>
        </w:rPr>
      </w:pPr>
      <w:r w:rsidRPr="00657015">
        <w:rPr>
          <w:rFonts w:ascii="Palatino Linotype" w:hAnsi="Palatino Linotype" w:cs="Arial"/>
          <w:bCs/>
          <w:i/>
          <w:noProof/>
          <w:sz w:val="22"/>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w:t>
      </w:r>
      <w:r w:rsidRPr="00657015">
        <w:rPr>
          <w:rFonts w:ascii="Palatino Linotype" w:hAnsi="Palatino Linotype" w:cs="Arial"/>
          <w:bCs/>
          <w:noProof/>
          <w:sz w:val="22"/>
        </w:rPr>
        <w:t xml:space="preserve">(Sic) </w:t>
      </w:r>
    </w:p>
    <w:p w14:paraId="176E3FF4" w14:textId="77777777" w:rsidR="00466C65" w:rsidRPr="00657015" w:rsidRDefault="00466C65" w:rsidP="00466C65">
      <w:pPr>
        <w:spacing w:before="120" w:after="120" w:line="360" w:lineRule="auto"/>
        <w:ind w:left="709" w:right="709"/>
        <w:jc w:val="both"/>
        <w:rPr>
          <w:rFonts w:ascii="Palatino Linotype" w:hAnsi="Palatino Linotype" w:cs="Arial"/>
          <w:bCs/>
          <w:noProof/>
          <w:sz w:val="22"/>
        </w:rPr>
      </w:pPr>
    </w:p>
    <w:p w14:paraId="6FB751F3" w14:textId="77777777"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hAnsi="Palatino Linotype" w:cs="Arial"/>
          <w:b/>
          <w:u w:val="single"/>
        </w:rPr>
      </w:pPr>
      <w:r w:rsidRPr="00657015">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657015">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657015">
        <w:rPr>
          <w:rFonts w:ascii="Palatino Linotype" w:hAnsi="Palatino Linotype" w:cs="Arial"/>
          <w:bCs/>
          <w:lang w:eastAsia="es-CO"/>
        </w:rPr>
        <w:t xml:space="preserve">segundo supuesto </w:t>
      </w:r>
      <w:r w:rsidRPr="00657015">
        <w:rPr>
          <w:rFonts w:ascii="Palatino Linotype" w:hAnsi="Palatino Linotype" w:cs="Arial"/>
          <w:b/>
          <w:bCs/>
          <w:u w:val="single"/>
          <w:lang w:eastAsia="es-CO"/>
        </w:rPr>
        <w:t>la solicitud de acceso a la información pública se encamina primordialmente a</w:t>
      </w:r>
      <w:r w:rsidRPr="00657015">
        <w:rPr>
          <w:rFonts w:ascii="Palatino Linotype" w:hAnsi="Palatino Linotype" w:cs="Arial"/>
          <w:b/>
          <w:u w:val="single"/>
        </w:rPr>
        <w:t xml:space="preserve"> permitir el </w:t>
      </w:r>
      <w:r w:rsidRPr="00657015">
        <w:rPr>
          <w:rFonts w:ascii="Palatino Linotype" w:hAnsi="Palatino Linotype" w:cs="Arial"/>
          <w:b/>
          <w:u w:val="single"/>
          <w:lang w:eastAsia="es-CO"/>
        </w:rPr>
        <w:t xml:space="preserve">acceso a datos, registros y todo tipo de </w:t>
      </w:r>
      <w:r w:rsidRPr="00657015">
        <w:rPr>
          <w:rFonts w:ascii="Palatino Linotype" w:hAnsi="Palatino Linotype" w:cs="Arial"/>
          <w:b/>
          <w:u w:val="single"/>
          <w:lang w:eastAsia="es-CO"/>
        </w:rPr>
        <w:lastRenderedPageBreak/>
        <w:t xml:space="preserve">información pública que conste en documentos, sea generada o se encuentre en posesión de </w:t>
      </w:r>
      <w:r w:rsidRPr="00657015">
        <w:rPr>
          <w:rFonts w:ascii="Palatino Linotype" w:hAnsi="Palatino Linotype" w:cs="Arial"/>
          <w:b/>
          <w:u w:val="single"/>
        </w:rPr>
        <w:t xml:space="preserve">la autoridad. </w:t>
      </w:r>
    </w:p>
    <w:p w14:paraId="7B983A4B" w14:textId="77777777" w:rsidR="00466C65" w:rsidRPr="00657015" w:rsidRDefault="00466C65" w:rsidP="00466C65">
      <w:pPr>
        <w:pStyle w:val="Prrafodelista"/>
        <w:autoSpaceDE w:val="0"/>
        <w:autoSpaceDN w:val="0"/>
        <w:adjustRightInd w:val="0"/>
        <w:spacing w:before="120" w:after="120" w:line="360" w:lineRule="auto"/>
        <w:ind w:left="0"/>
        <w:jc w:val="both"/>
        <w:rPr>
          <w:rFonts w:ascii="Palatino Linotype" w:hAnsi="Palatino Linotype" w:cs="Arial"/>
          <w:b/>
          <w:u w:val="single"/>
        </w:rPr>
      </w:pPr>
    </w:p>
    <w:p w14:paraId="084398F6" w14:textId="4BED5399" w:rsidR="0032449F" w:rsidRPr="00657015" w:rsidRDefault="0032449F" w:rsidP="00466C65">
      <w:pPr>
        <w:pStyle w:val="Prrafodelista"/>
        <w:numPr>
          <w:ilvl w:val="0"/>
          <w:numId w:val="1"/>
        </w:numPr>
        <w:autoSpaceDE w:val="0"/>
        <w:autoSpaceDN w:val="0"/>
        <w:adjustRightInd w:val="0"/>
        <w:spacing w:before="120" w:after="120" w:line="360" w:lineRule="auto"/>
        <w:jc w:val="both"/>
        <w:rPr>
          <w:rFonts w:ascii="Palatino Linotype" w:eastAsia="Arial Unicode MS" w:hAnsi="Palatino Linotype" w:cs="Arial"/>
          <w:sz w:val="22"/>
          <w:szCs w:val="22"/>
          <w:lang w:eastAsia="es-MX"/>
        </w:rPr>
      </w:pPr>
      <w:r w:rsidRPr="00657015">
        <w:rPr>
          <w:rFonts w:ascii="Palatino Linotype" w:hAnsi="Palatino Linotype" w:cs="Arial"/>
        </w:rPr>
        <w:t xml:space="preserve">Así las cosas, debe señalarse que en la solicitud de información presentada </w:t>
      </w:r>
      <w:r w:rsidR="007C547F" w:rsidRPr="00657015">
        <w:rPr>
          <w:rFonts w:ascii="Palatino Linotype" w:hAnsi="Palatino Linotype" w:cs="Arial"/>
        </w:rPr>
        <w:t>va encaminada a que el Sujeto Obligado realice una acción, que es solicitar información al Ayuntamiento de San Antonio la Isla, es decir, no se está solicitando información que ya posea en sus archivos el Sujeto Obligado.</w:t>
      </w:r>
      <w:r w:rsidRPr="00657015">
        <w:rPr>
          <w:rFonts w:ascii="Palatino Linotype" w:hAnsi="Palatino Linotype" w:cs="Arial"/>
        </w:rPr>
        <w:t xml:space="preserve"> </w:t>
      </w:r>
    </w:p>
    <w:p w14:paraId="0B127D2F" w14:textId="77777777" w:rsidR="00466C65" w:rsidRPr="00657015" w:rsidRDefault="00466C65" w:rsidP="00466C65">
      <w:pPr>
        <w:pStyle w:val="Prrafodelista"/>
        <w:rPr>
          <w:rFonts w:ascii="Palatino Linotype" w:eastAsia="Arial Unicode MS" w:hAnsi="Palatino Linotype" w:cs="Arial"/>
          <w:sz w:val="22"/>
          <w:szCs w:val="22"/>
          <w:lang w:eastAsia="es-MX"/>
        </w:rPr>
      </w:pPr>
    </w:p>
    <w:p w14:paraId="367B5564" w14:textId="66C638CD" w:rsidR="009A64E9" w:rsidRPr="00657015" w:rsidRDefault="0032449F" w:rsidP="000F7AAD">
      <w:pPr>
        <w:pStyle w:val="Prrafodelista"/>
        <w:numPr>
          <w:ilvl w:val="0"/>
          <w:numId w:val="1"/>
        </w:numPr>
        <w:autoSpaceDE w:val="0"/>
        <w:autoSpaceDN w:val="0"/>
        <w:adjustRightInd w:val="0"/>
        <w:spacing w:before="120" w:after="120" w:line="360" w:lineRule="auto"/>
        <w:jc w:val="both"/>
        <w:rPr>
          <w:rFonts w:ascii="Palatino Linotype" w:hAnsi="Palatino Linotype" w:cs="Arial"/>
        </w:rPr>
      </w:pPr>
      <w:r w:rsidRPr="00657015">
        <w:rPr>
          <w:rFonts w:ascii="Palatino Linotype" w:hAnsi="Palatino Linotype" w:cs="Arial"/>
        </w:rPr>
        <w:t>Por lo</w:t>
      </w:r>
      <w:r w:rsidR="007C547F" w:rsidRPr="00657015">
        <w:rPr>
          <w:rFonts w:ascii="Palatino Linotype" w:hAnsi="Palatino Linotype" w:cs="Arial"/>
        </w:rPr>
        <w:t xml:space="preserve"> que, la entrega de una razón, </w:t>
      </w:r>
      <w:r w:rsidRPr="00657015">
        <w:rPr>
          <w:rFonts w:ascii="Palatino Linotype" w:hAnsi="Palatino Linotype" w:cs="Arial"/>
        </w:rPr>
        <w:t xml:space="preserve">razonamiento </w:t>
      </w:r>
      <w:r w:rsidR="007C547F" w:rsidRPr="00657015">
        <w:rPr>
          <w:rFonts w:ascii="Palatino Linotype" w:hAnsi="Palatino Linotype" w:cs="Arial"/>
        </w:rPr>
        <w:t xml:space="preserve">o realización de acciones </w:t>
      </w:r>
      <w:r w:rsidRPr="00657015">
        <w:rPr>
          <w:rFonts w:ascii="Palatino Linotype" w:hAnsi="Palatino Linotype" w:cs="Arial"/>
        </w:rPr>
        <w:t>por parte del</w:t>
      </w:r>
      <w:r w:rsidRPr="00657015">
        <w:rPr>
          <w:rFonts w:ascii="Palatino Linotype" w:hAnsi="Palatino Linotype" w:cs="Arial"/>
          <w:b/>
          <w:lang w:eastAsia="es-MX"/>
        </w:rPr>
        <w:t xml:space="preserve"> SUJETO OBLIGADO</w:t>
      </w:r>
      <w:r w:rsidRPr="00657015">
        <w:rPr>
          <w:rFonts w:ascii="Palatino Linotype" w:hAnsi="Palatino Linotype" w:cs="Arial"/>
        </w:rPr>
        <w:t xml:space="preserve"> no es algo que la ley establezca como atribución, derecho, o facultad</w:t>
      </w:r>
      <w:r w:rsidR="000F5C9E" w:rsidRPr="00657015">
        <w:rPr>
          <w:rFonts w:ascii="Palatino Linotype" w:hAnsi="Palatino Linotype" w:cs="Arial"/>
        </w:rPr>
        <w:t>.</w:t>
      </w:r>
    </w:p>
    <w:p w14:paraId="1B383C9C" w14:textId="77777777" w:rsidR="00BA7326" w:rsidRPr="00657015" w:rsidRDefault="00BA7326" w:rsidP="00BA7326">
      <w:pPr>
        <w:pStyle w:val="Prrafodelista"/>
        <w:rPr>
          <w:rFonts w:ascii="Palatino Linotype" w:hAnsi="Palatino Linotype" w:cs="Arial"/>
        </w:rPr>
      </w:pPr>
    </w:p>
    <w:p w14:paraId="43572DC8" w14:textId="5B2EDB15" w:rsidR="00BA7326" w:rsidRPr="00657015" w:rsidRDefault="00BA7326" w:rsidP="00BA7326">
      <w:pPr>
        <w:pStyle w:val="Prrafodelista"/>
        <w:numPr>
          <w:ilvl w:val="0"/>
          <w:numId w:val="1"/>
        </w:numPr>
        <w:spacing w:line="360" w:lineRule="auto"/>
        <w:ind w:right="49"/>
        <w:jc w:val="both"/>
        <w:rPr>
          <w:rFonts w:ascii="Palatino Linotype" w:hAnsi="Palatino Linotype" w:cs="Arial"/>
          <w:color w:val="000000"/>
        </w:rPr>
      </w:pPr>
      <w:r w:rsidRPr="00657015">
        <w:rPr>
          <w:rFonts w:ascii="Palatino Linotype" w:hAnsi="Palatino Linotype" w:cs="Arial"/>
          <w:color w:val="000000"/>
        </w:rPr>
        <w:t xml:space="preserve">Entonces, al tratarse de un derecho de petición estamos en presencia de una </w:t>
      </w:r>
      <w:r w:rsidR="000F5C9E" w:rsidRPr="00657015">
        <w:rPr>
          <w:rFonts w:ascii="Palatino Linotype" w:hAnsi="Palatino Linotype" w:cs="Arial"/>
          <w:color w:val="000000"/>
        </w:rPr>
        <w:t>petición que amerita poner en funcionamiento al Sujeto Obligado para ejercer atribuciones que no le corresponden para atender la solicitud. Dicho acto corresponde a una consulta o trámite</w:t>
      </w:r>
      <w:r w:rsidRPr="00657015">
        <w:rPr>
          <w:rFonts w:ascii="Palatino Linotype" w:hAnsi="Palatino Linotype" w:cs="Arial"/>
          <w:color w:val="000000"/>
        </w:rPr>
        <w:t xml:space="preserve">, actualizando lo dispuesto en el artículo 191 fracción VI </w:t>
      </w:r>
      <w:r w:rsidRPr="00657015">
        <w:rPr>
          <w:rFonts w:ascii="Palatino Linotype" w:eastAsia="Calibri" w:hAnsi="Palatino Linotype" w:cs="Arial"/>
        </w:rPr>
        <w:t>de la Ley de Transparencia y Acceso a la Información Pública del Estado de México y Municipios, el cual dispone lo siguiente:</w:t>
      </w:r>
    </w:p>
    <w:p w14:paraId="028438B0" w14:textId="77777777" w:rsidR="00BA7326" w:rsidRPr="00657015" w:rsidRDefault="00BA7326" w:rsidP="00BA7326">
      <w:pPr>
        <w:pStyle w:val="Prrafodelista"/>
        <w:tabs>
          <w:tab w:val="left" w:pos="567"/>
        </w:tabs>
        <w:spacing w:line="360" w:lineRule="auto"/>
        <w:ind w:left="0"/>
        <w:jc w:val="both"/>
        <w:rPr>
          <w:rFonts w:ascii="Palatino Linotype" w:eastAsia="Calibri" w:hAnsi="Palatino Linotype" w:cs="Arial"/>
        </w:rPr>
      </w:pPr>
    </w:p>
    <w:p w14:paraId="257F620D"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Artículo 191. El recurso será desechado por improcedente cuando:</w:t>
      </w:r>
    </w:p>
    <w:p w14:paraId="22E1435A"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 xml:space="preserve">I. Sea extemporáneo por haber transcurrido el plazo establecido en la presente Ley, a partir de la respuesta; </w:t>
      </w:r>
    </w:p>
    <w:p w14:paraId="36E187C5"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 xml:space="preserve">II. Se esté tramitando ante el Poder Judicial de la Federación algún recurso o medio de defensa interpuesto por el recurrente; </w:t>
      </w:r>
    </w:p>
    <w:p w14:paraId="052273A0"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 xml:space="preserve">III. No actualice alguno de los supuestos previstos en la presente Ley; </w:t>
      </w:r>
    </w:p>
    <w:p w14:paraId="15BA798D"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lastRenderedPageBreak/>
        <w:t xml:space="preserve">IV. No se haya desahogado la prevención en los términos establecidos en la presente Ley; </w:t>
      </w:r>
    </w:p>
    <w:p w14:paraId="2DD5C115"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 xml:space="preserve">V. Se impugne la veracidad de la información proporcionada; </w:t>
      </w:r>
    </w:p>
    <w:p w14:paraId="7C5D1891"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b/>
          <w:i/>
        </w:rPr>
      </w:pPr>
      <w:r w:rsidRPr="00657015">
        <w:rPr>
          <w:rFonts w:ascii="Palatino Linotype" w:hAnsi="Palatino Linotype"/>
          <w:b/>
          <w:i/>
        </w:rPr>
        <w:t xml:space="preserve">VI. Se trate de una consulta, o trámite en específico; y </w:t>
      </w:r>
    </w:p>
    <w:p w14:paraId="1A847FFE"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VII. El recurrente amplíe su solicitud en el recurso de revisión, únicamente respecto de los nuevos contenidos.</w:t>
      </w:r>
    </w:p>
    <w:p w14:paraId="682EFCED" w14:textId="77777777" w:rsidR="00BA7326" w:rsidRPr="00657015" w:rsidRDefault="00BA7326" w:rsidP="00BA7326">
      <w:pPr>
        <w:pStyle w:val="Prrafodelista"/>
        <w:tabs>
          <w:tab w:val="left" w:pos="567"/>
        </w:tabs>
        <w:spacing w:line="360" w:lineRule="auto"/>
        <w:ind w:left="0"/>
        <w:jc w:val="both"/>
      </w:pPr>
    </w:p>
    <w:p w14:paraId="6DA9FF24" w14:textId="2AE1A7F5" w:rsidR="00BA7326" w:rsidRPr="00657015"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657015">
        <w:rPr>
          <w:rFonts w:ascii="Palatino Linotype" w:eastAsia="Calibri" w:hAnsi="Palatino Linotype" w:cs="Arial"/>
        </w:rPr>
        <w:t>La fracción VI del citado precepto legal, contempla la improcedencia del recurso de revisión cuando se trate de una consulta, lo cual se relaciona con la solicitud de acceso a la información pública.</w:t>
      </w:r>
    </w:p>
    <w:p w14:paraId="2DADE943" w14:textId="77777777" w:rsidR="00BA7326" w:rsidRPr="00657015" w:rsidRDefault="00BA7326" w:rsidP="00BA7326">
      <w:pPr>
        <w:pStyle w:val="Prrafodelista"/>
        <w:tabs>
          <w:tab w:val="left" w:pos="567"/>
        </w:tabs>
        <w:spacing w:line="360" w:lineRule="auto"/>
        <w:ind w:left="0"/>
        <w:jc w:val="both"/>
        <w:rPr>
          <w:rFonts w:ascii="Palatino Linotype" w:eastAsia="Calibri" w:hAnsi="Palatino Linotype" w:cs="Arial"/>
        </w:rPr>
      </w:pPr>
    </w:p>
    <w:p w14:paraId="03DA7973" w14:textId="77777777" w:rsidR="00BA7326" w:rsidRPr="00657015"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657015">
        <w:rPr>
          <w:rFonts w:ascii="Palatino Linotype" w:eastAsia="Calibri" w:hAnsi="Palatino Linotype" w:cs="Arial"/>
        </w:rPr>
        <w:t>Sin embargo, al haber sido admitido el recurso de revisión, aún y cuando actualiza una causal de improcedencia, es necesario traer a contexto el artículo 192 fracción IV, de la multicitada Ley de Transparencia:</w:t>
      </w:r>
    </w:p>
    <w:p w14:paraId="6F71D68A" w14:textId="77777777" w:rsidR="00BA7326" w:rsidRPr="00657015" w:rsidRDefault="00BA7326" w:rsidP="00BA7326">
      <w:pPr>
        <w:pStyle w:val="Prrafodelista"/>
        <w:tabs>
          <w:tab w:val="left" w:pos="567"/>
        </w:tabs>
        <w:spacing w:line="360" w:lineRule="auto"/>
        <w:ind w:left="0"/>
        <w:jc w:val="both"/>
        <w:rPr>
          <w:rFonts w:ascii="Palatino Linotype" w:eastAsia="Calibri" w:hAnsi="Palatino Linotype" w:cs="Arial"/>
        </w:rPr>
      </w:pPr>
    </w:p>
    <w:p w14:paraId="7D405AF3" w14:textId="77777777" w:rsidR="00BA7326" w:rsidRPr="00657015" w:rsidRDefault="00BA7326" w:rsidP="00BA7326">
      <w:pPr>
        <w:pStyle w:val="Prrafodelista"/>
        <w:tabs>
          <w:tab w:val="left" w:pos="567"/>
        </w:tabs>
        <w:spacing w:line="360" w:lineRule="auto"/>
        <w:ind w:left="567" w:right="822"/>
        <w:jc w:val="both"/>
        <w:rPr>
          <w:rFonts w:ascii="Palatino Linotype" w:eastAsia="Calibri" w:hAnsi="Palatino Linotype" w:cs="Arial"/>
          <w:i/>
        </w:rPr>
      </w:pPr>
      <w:r w:rsidRPr="00657015">
        <w:rPr>
          <w:rFonts w:ascii="Palatino Linotype" w:hAnsi="Palatino Linotype"/>
          <w:i/>
        </w:rPr>
        <w:t>Artículo 192. El recurso será sobreseído, en todo o en parte, cuando una vez admitido, se actualicen alguno de los siguientes supuestos:</w:t>
      </w:r>
    </w:p>
    <w:p w14:paraId="28EE0EFF"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 xml:space="preserve">I. El recurrente se desista expresamente del recurso; </w:t>
      </w:r>
    </w:p>
    <w:p w14:paraId="4FC203B5"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 xml:space="preserve">II. El recurrente fallezca o, tratándose de personas jurídicas colectivas, se disuelva; </w:t>
      </w:r>
    </w:p>
    <w:p w14:paraId="611523FF"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i/>
        </w:rPr>
      </w:pPr>
      <w:r w:rsidRPr="00657015">
        <w:rPr>
          <w:rFonts w:ascii="Palatino Linotype" w:hAnsi="Palatino Linotype"/>
          <w:i/>
        </w:rPr>
        <w:t xml:space="preserve">III. El sujeto obligado responsable del acto lo modifique o revoque de tal manera que el recurso de revisión quede sin materia; </w:t>
      </w:r>
    </w:p>
    <w:p w14:paraId="0312E766" w14:textId="77777777" w:rsidR="00BA7326" w:rsidRPr="00657015" w:rsidRDefault="00BA7326" w:rsidP="00BA7326">
      <w:pPr>
        <w:pStyle w:val="Prrafodelista"/>
        <w:tabs>
          <w:tab w:val="left" w:pos="567"/>
        </w:tabs>
        <w:spacing w:line="360" w:lineRule="auto"/>
        <w:ind w:left="567" w:right="822"/>
        <w:jc w:val="both"/>
        <w:rPr>
          <w:rFonts w:ascii="Palatino Linotype" w:hAnsi="Palatino Linotype"/>
          <w:b/>
          <w:i/>
        </w:rPr>
      </w:pPr>
      <w:r w:rsidRPr="00657015">
        <w:rPr>
          <w:rFonts w:ascii="Palatino Linotype" w:hAnsi="Palatino Linotype"/>
          <w:b/>
          <w:i/>
        </w:rPr>
        <w:t xml:space="preserve">IV. Admitido el recurso de revisión, aparezca alguna causal de improcedencia en los términos de la presente Ley; y </w:t>
      </w:r>
    </w:p>
    <w:p w14:paraId="0743EDE7" w14:textId="77777777" w:rsidR="00BA7326" w:rsidRPr="00657015" w:rsidRDefault="00BA7326" w:rsidP="00BA7326">
      <w:pPr>
        <w:pStyle w:val="Prrafodelista"/>
        <w:tabs>
          <w:tab w:val="left" w:pos="567"/>
        </w:tabs>
        <w:spacing w:line="360" w:lineRule="auto"/>
        <w:ind w:left="567" w:right="822"/>
        <w:jc w:val="both"/>
        <w:rPr>
          <w:rFonts w:ascii="Palatino Linotype" w:eastAsia="Calibri" w:hAnsi="Palatino Linotype" w:cs="Arial"/>
          <w:i/>
        </w:rPr>
      </w:pPr>
      <w:r w:rsidRPr="00657015">
        <w:rPr>
          <w:rFonts w:ascii="Palatino Linotype" w:hAnsi="Palatino Linotype"/>
          <w:i/>
        </w:rPr>
        <w:t>V. Cuando por cualquier motivo quede sin materia el recurso.</w:t>
      </w:r>
    </w:p>
    <w:p w14:paraId="540A7316" w14:textId="77777777" w:rsidR="00BA7326" w:rsidRPr="00657015" w:rsidRDefault="00BA7326" w:rsidP="00BA7326">
      <w:pPr>
        <w:pStyle w:val="Prrafodelista"/>
        <w:tabs>
          <w:tab w:val="left" w:pos="567"/>
        </w:tabs>
        <w:spacing w:line="360" w:lineRule="auto"/>
        <w:ind w:left="0"/>
        <w:jc w:val="both"/>
        <w:rPr>
          <w:rFonts w:ascii="Palatino Linotype" w:eastAsia="Calibri" w:hAnsi="Palatino Linotype" w:cs="Arial"/>
        </w:rPr>
      </w:pPr>
    </w:p>
    <w:p w14:paraId="2FEDFE5B" w14:textId="63192EA6" w:rsidR="00BA7326" w:rsidRPr="00657015"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657015">
        <w:rPr>
          <w:rFonts w:ascii="Palatino Linotype" w:eastAsia="Calibri" w:hAnsi="Palatino Linotype" w:cs="Arial"/>
        </w:rPr>
        <w:t xml:space="preserve">Es así que, el recurso de revisión actualiza la causal de sobreseimiento establecida en la fracción IV del artículo 192, en relación a la fracción </w:t>
      </w:r>
      <w:r w:rsidR="00FD38D8" w:rsidRPr="00657015">
        <w:rPr>
          <w:rFonts w:ascii="Palatino Linotype" w:eastAsia="Calibri" w:hAnsi="Palatino Linotype" w:cs="Arial"/>
        </w:rPr>
        <w:t>V</w:t>
      </w:r>
      <w:r w:rsidRPr="00657015">
        <w:rPr>
          <w:rFonts w:ascii="Palatino Linotype" w:eastAsia="Calibri" w:hAnsi="Palatino Linotype" w:cs="Arial"/>
        </w:rPr>
        <w:t>I del artículo 191, ambos de la Ley de Transparencia y Acceso a la Información Pública del Estado de México y Municipios.</w:t>
      </w:r>
    </w:p>
    <w:p w14:paraId="5843BEC7" w14:textId="77777777" w:rsidR="00BA7326" w:rsidRPr="00657015" w:rsidRDefault="00BA7326" w:rsidP="00BA7326">
      <w:pPr>
        <w:pStyle w:val="Prrafodelista"/>
        <w:spacing w:before="240" w:after="240" w:line="360" w:lineRule="auto"/>
        <w:ind w:left="0"/>
        <w:jc w:val="both"/>
        <w:rPr>
          <w:rFonts w:ascii="Palatino Linotype" w:hAnsi="Palatino Linotype"/>
        </w:rPr>
      </w:pPr>
    </w:p>
    <w:p w14:paraId="39FAAA57" w14:textId="77777777" w:rsidR="00BA7326" w:rsidRPr="00657015" w:rsidRDefault="00BA7326" w:rsidP="00BA7326">
      <w:pPr>
        <w:pStyle w:val="Prrafodelista"/>
        <w:numPr>
          <w:ilvl w:val="0"/>
          <w:numId w:val="1"/>
        </w:numPr>
        <w:spacing w:before="240" w:after="240" w:line="360" w:lineRule="auto"/>
        <w:jc w:val="both"/>
        <w:rPr>
          <w:rFonts w:ascii="Palatino Linotype" w:hAnsi="Palatino Linotype"/>
        </w:rPr>
      </w:pPr>
      <w:r w:rsidRPr="00657015">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6065A179" w14:textId="77777777" w:rsidR="00BA7326" w:rsidRPr="00657015" w:rsidRDefault="00BA7326" w:rsidP="00BA7326">
      <w:pPr>
        <w:spacing w:line="360" w:lineRule="auto"/>
        <w:ind w:left="567" w:right="567"/>
        <w:jc w:val="both"/>
        <w:rPr>
          <w:rFonts w:ascii="Palatino Linotype" w:hAnsi="Palatino Linotype" w:cs="Arial"/>
          <w:i/>
          <w:sz w:val="22"/>
          <w:szCs w:val="22"/>
        </w:rPr>
      </w:pPr>
      <w:r w:rsidRPr="00657015">
        <w:rPr>
          <w:rFonts w:ascii="Palatino Linotype" w:hAnsi="Palatino Linotype" w:cs="Arial"/>
          <w:i/>
          <w:sz w:val="22"/>
          <w:szCs w:val="22"/>
        </w:rPr>
        <w:t>“</w:t>
      </w:r>
      <w:r w:rsidRPr="00657015">
        <w:rPr>
          <w:rFonts w:ascii="Palatino Linotype" w:hAnsi="Palatino Linotype" w:cs="Arial"/>
          <w:b/>
          <w:i/>
          <w:sz w:val="22"/>
          <w:szCs w:val="22"/>
        </w:rPr>
        <w:t>SOBRESEIMIENTO EN EL JUICIO DE AMPARO DIRECTO. IMPIDE EL ESTUDIO DE LAS VIOLACIONES PROCESALES PLANTEADAS EN LOS CONCEPTOS DE VIOLACIÓN.</w:t>
      </w:r>
      <w:r w:rsidRPr="00657015">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5F07EF1" w14:textId="77777777" w:rsidR="00BA7326" w:rsidRPr="00657015" w:rsidRDefault="00BA7326" w:rsidP="00BA7326">
      <w:pPr>
        <w:spacing w:line="360" w:lineRule="auto"/>
        <w:ind w:left="567" w:right="567"/>
        <w:jc w:val="both"/>
        <w:rPr>
          <w:rFonts w:ascii="Palatino Linotype" w:hAnsi="Palatino Linotype" w:cs="Arial"/>
          <w:i/>
          <w:sz w:val="22"/>
          <w:szCs w:val="22"/>
        </w:rPr>
      </w:pPr>
      <w:r w:rsidRPr="00657015">
        <w:rPr>
          <w:rFonts w:ascii="Palatino Linotype" w:hAnsi="Palatino Linotype" w:cs="Arial"/>
          <w:i/>
          <w:sz w:val="22"/>
          <w:szCs w:val="22"/>
        </w:rPr>
        <w:t>SEPTIMO TRIBUNAL COLEGIADO EN MATERIA CIVIL DEL PRIMER CIRCUITO</w:t>
      </w:r>
    </w:p>
    <w:p w14:paraId="6642B12D" w14:textId="77777777" w:rsidR="00BA7326" w:rsidRPr="00657015" w:rsidRDefault="00BA7326" w:rsidP="00BA7326">
      <w:pPr>
        <w:spacing w:line="360" w:lineRule="auto"/>
        <w:ind w:left="567" w:right="567"/>
        <w:jc w:val="both"/>
        <w:rPr>
          <w:rFonts w:ascii="Palatino Linotype" w:hAnsi="Palatino Linotype" w:cs="Arial"/>
          <w:i/>
          <w:sz w:val="22"/>
          <w:szCs w:val="22"/>
        </w:rPr>
      </w:pPr>
      <w:r w:rsidRPr="00657015">
        <w:rPr>
          <w:rFonts w:ascii="Palatino Linotype" w:hAnsi="Palatino Linotype" w:cs="Arial"/>
          <w:i/>
          <w:sz w:val="22"/>
          <w:szCs w:val="22"/>
        </w:rPr>
        <w:t>Amparo directo 699/2008. Mariana Leticia González Steele. 13 de noviembre de 2008. Unanimidad de votos. Ponente: Sara Judith Montalvo Trejo. Secretario: Arnulfo Mateos García.”</w:t>
      </w:r>
    </w:p>
    <w:p w14:paraId="2793EC15" w14:textId="77777777" w:rsidR="00BA7326" w:rsidRPr="00657015" w:rsidRDefault="00BA7326" w:rsidP="00BA7326">
      <w:pPr>
        <w:pStyle w:val="Prrafodelista"/>
        <w:tabs>
          <w:tab w:val="left" w:pos="567"/>
        </w:tabs>
        <w:spacing w:line="360" w:lineRule="auto"/>
        <w:ind w:left="0"/>
        <w:jc w:val="both"/>
        <w:rPr>
          <w:rFonts w:ascii="Palatino Linotype" w:eastAsia="Calibri" w:hAnsi="Palatino Linotype" w:cs="Arial"/>
        </w:rPr>
      </w:pPr>
    </w:p>
    <w:p w14:paraId="70D4A835" w14:textId="77777777" w:rsidR="00BA7326" w:rsidRPr="00657015" w:rsidRDefault="00BA7326" w:rsidP="00BA7326">
      <w:pPr>
        <w:pStyle w:val="Prrafodelista"/>
        <w:numPr>
          <w:ilvl w:val="0"/>
          <w:numId w:val="1"/>
        </w:numPr>
        <w:tabs>
          <w:tab w:val="left" w:pos="567"/>
        </w:tabs>
        <w:spacing w:line="360" w:lineRule="auto"/>
        <w:jc w:val="both"/>
        <w:rPr>
          <w:rFonts w:ascii="Palatino Linotype" w:eastAsia="Calibri" w:hAnsi="Palatino Linotype" w:cs="Arial"/>
        </w:rPr>
      </w:pPr>
      <w:r w:rsidRPr="00657015">
        <w:rPr>
          <w:rFonts w:ascii="Palatino Linotype" w:eastAsia="Calibri" w:hAnsi="Palatino Linotype" w:cs="Arial"/>
        </w:rPr>
        <w:t>No obstante, a efecto de no vulnerar los derechos del particular, este Órgano Garante deja a salvo sus derechos para que, si así lo desea, presente una nueva solicitud de acceso a la información requiriendo información que sea de su interés.</w:t>
      </w:r>
    </w:p>
    <w:p w14:paraId="491B9CB2" w14:textId="77777777" w:rsidR="00BA7326" w:rsidRPr="00657015" w:rsidRDefault="00BA7326" w:rsidP="00BA7326">
      <w:pPr>
        <w:pStyle w:val="Prrafodelista"/>
        <w:autoSpaceDE w:val="0"/>
        <w:autoSpaceDN w:val="0"/>
        <w:adjustRightInd w:val="0"/>
        <w:spacing w:before="120" w:after="120" w:line="360" w:lineRule="auto"/>
        <w:ind w:left="0"/>
        <w:jc w:val="both"/>
        <w:rPr>
          <w:rFonts w:ascii="Palatino Linotype" w:hAnsi="Palatino Linotype" w:cs="Arial"/>
        </w:rPr>
      </w:pPr>
    </w:p>
    <w:p w14:paraId="2709DC59" w14:textId="06A107D8" w:rsidR="000F7AAD" w:rsidRPr="00657015" w:rsidRDefault="009A64E9" w:rsidP="00466C65">
      <w:pPr>
        <w:pStyle w:val="Prrafodelista"/>
        <w:numPr>
          <w:ilvl w:val="0"/>
          <w:numId w:val="1"/>
        </w:numPr>
        <w:spacing w:line="360" w:lineRule="auto"/>
        <w:jc w:val="both"/>
        <w:rPr>
          <w:rFonts w:ascii="Palatino Linotype" w:hAnsi="Palatino Linotype" w:cs="Palatino Linotype"/>
        </w:rPr>
      </w:pPr>
      <w:r w:rsidRPr="00657015">
        <w:rPr>
          <w:rFonts w:ascii="Palatino Linotype" w:hAnsi="Palatino Linotype" w:cs="Arial"/>
        </w:rPr>
        <w:t xml:space="preserve">Bajo esas consideraciones, se afirma que en el recurso de revisión sujeto a estudio se actualiza la hipótesis jurídica citada, toda vez que quedó probado </w:t>
      </w:r>
      <w:r w:rsidR="000F7AAD" w:rsidRPr="00657015">
        <w:rPr>
          <w:rFonts w:ascii="Palatino Linotype" w:hAnsi="Palatino Linotype" w:cs="Arial"/>
        </w:rPr>
        <w:t xml:space="preserve">la solicitud de acceso a la información que promovió el particular corresponde al ejercicio de un derecho de petición y no al derecho de acceso a la información pública, existiendo una imposibilidad del Sujeto Obligado de atender el cuestionamiento realizado. </w:t>
      </w:r>
    </w:p>
    <w:p w14:paraId="0EA931F9" w14:textId="77777777" w:rsidR="009A64E9" w:rsidRPr="00657015" w:rsidRDefault="009A64E9" w:rsidP="000F5C9E">
      <w:pPr>
        <w:pStyle w:val="Prrafodelista"/>
        <w:spacing w:line="360" w:lineRule="auto"/>
        <w:ind w:left="1416" w:hanging="696"/>
        <w:rPr>
          <w:rFonts w:ascii="Palatino Linotype" w:hAnsi="Palatino Linotype" w:cs="Arial"/>
        </w:rPr>
      </w:pPr>
    </w:p>
    <w:p w14:paraId="0BEEE491" w14:textId="77777777" w:rsidR="009A64E9" w:rsidRPr="00657015" w:rsidRDefault="009A64E9" w:rsidP="00466C65">
      <w:pPr>
        <w:pStyle w:val="Prrafodelista"/>
        <w:numPr>
          <w:ilvl w:val="0"/>
          <w:numId w:val="1"/>
        </w:numPr>
        <w:spacing w:before="240" w:after="240" w:line="360" w:lineRule="auto"/>
        <w:ind w:right="49"/>
        <w:jc w:val="both"/>
        <w:rPr>
          <w:rFonts w:ascii="Palatino Linotype" w:hAnsi="Palatino Linotype" w:cs="Palatino Linotype"/>
        </w:rPr>
      </w:pPr>
      <w:r w:rsidRPr="00657015">
        <w:rPr>
          <w:rFonts w:ascii="Palatino Linotype" w:hAnsi="Palatino Linotype"/>
          <w:color w:val="000000"/>
          <w:lang w:val="es-ES" w:eastAsia="es-MX"/>
        </w:rPr>
        <w:t xml:space="preserve">Por lo anteriormente expuesto y fundado, este </w:t>
      </w:r>
      <w:r w:rsidRPr="00657015">
        <w:rPr>
          <w:rFonts w:ascii="Palatino Linotype" w:hAnsi="Palatino Linotype"/>
          <w:b/>
          <w:bCs/>
          <w:color w:val="000000"/>
          <w:lang w:val="es-ES" w:eastAsia="es-MX"/>
        </w:rPr>
        <w:t>ÓRGANO GARANTE</w:t>
      </w:r>
      <w:r w:rsidRPr="00657015">
        <w:rPr>
          <w:rFonts w:ascii="Palatino Linotype" w:hAnsi="Palatino Linotype"/>
          <w:color w:val="000000"/>
          <w:lang w:val="es-ES" w:eastAsia="es-MX"/>
        </w:rPr>
        <w:t xml:space="preserve"> emite los siguientes:   </w:t>
      </w:r>
    </w:p>
    <w:p w14:paraId="66C3509C" w14:textId="77777777" w:rsidR="009A64E9" w:rsidRPr="00657015" w:rsidRDefault="009A64E9" w:rsidP="00466C65">
      <w:pPr>
        <w:pStyle w:val="Prrafodelista"/>
        <w:spacing w:line="360" w:lineRule="auto"/>
        <w:rPr>
          <w:rFonts w:ascii="Palatino Linotype" w:hAnsi="Palatino Linotype" w:cs="Palatino Linotype"/>
        </w:rPr>
      </w:pPr>
    </w:p>
    <w:p w14:paraId="6DF86AE1" w14:textId="77777777" w:rsidR="009A64E9" w:rsidRPr="00657015" w:rsidRDefault="009A64E9" w:rsidP="00466C65">
      <w:pPr>
        <w:keepNext/>
        <w:keepLines/>
        <w:spacing w:line="360" w:lineRule="auto"/>
        <w:jc w:val="center"/>
        <w:outlineLvl w:val="0"/>
        <w:rPr>
          <w:rFonts w:ascii="Palatino Linotype" w:hAnsi="Palatino Linotype" w:cstheme="majorBidi"/>
          <w:b/>
          <w:bCs/>
        </w:rPr>
      </w:pPr>
      <w:bookmarkStart w:id="21" w:name="_Toc26960598"/>
      <w:bookmarkStart w:id="22" w:name="_Toc82017154"/>
      <w:r w:rsidRPr="00657015">
        <w:rPr>
          <w:rFonts w:ascii="Palatino Linotype" w:hAnsi="Palatino Linotype" w:cstheme="majorBidi"/>
          <w:b/>
          <w:bCs/>
        </w:rPr>
        <w:t>R E S O L U T I V O S</w:t>
      </w:r>
      <w:bookmarkEnd w:id="21"/>
      <w:bookmarkEnd w:id="22"/>
    </w:p>
    <w:p w14:paraId="6E291D64" w14:textId="77777777" w:rsidR="009A64E9" w:rsidRPr="00657015" w:rsidRDefault="009A64E9" w:rsidP="00466C65">
      <w:pPr>
        <w:pStyle w:val="Prrafodelista"/>
        <w:spacing w:line="360" w:lineRule="auto"/>
        <w:rPr>
          <w:rFonts w:ascii="Palatino Linotype" w:hAnsi="Palatino Linotype" w:cs="Palatino Linotype"/>
        </w:rPr>
      </w:pPr>
    </w:p>
    <w:p w14:paraId="3A5975A5" w14:textId="6782ECD7" w:rsidR="009A64E9" w:rsidRPr="00657015"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3" w:name="_Toc450120669"/>
      <w:bookmarkStart w:id="24" w:name="_Toc460947011"/>
      <w:r w:rsidRPr="00657015">
        <w:rPr>
          <w:rFonts w:ascii="Palatino Linotype" w:hAnsi="Palatino Linotype" w:cs="Arial"/>
          <w:b/>
        </w:rPr>
        <w:t xml:space="preserve">PRIMERO. </w:t>
      </w:r>
      <w:r w:rsidRPr="00657015">
        <w:rPr>
          <w:rFonts w:ascii="Palatino Linotype" w:hAnsi="Palatino Linotype"/>
        </w:rPr>
        <w:t xml:space="preserve">Se </w:t>
      </w:r>
      <w:r w:rsidRPr="00657015">
        <w:rPr>
          <w:rFonts w:ascii="Palatino Linotype" w:hAnsi="Palatino Linotype"/>
          <w:b/>
        </w:rPr>
        <w:t>SOBRESEE</w:t>
      </w:r>
      <w:r w:rsidRPr="00657015">
        <w:rPr>
          <w:rFonts w:ascii="Palatino Linotype" w:hAnsi="Palatino Linotype"/>
        </w:rPr>
        <w:t xml:space="preserve"> el recurso de revisión número </w:t>
      </w:r>
      <w:r w:rsidR="009953E6" w:rsidRPr="00657015">
        <w:rPr>
          <w:rFonts w:ascii="Palatino Linotype" w:hAnsi="Palatino Linotype"/>
          <w:b/>
        </w:rPr>
        <w:t>11178/INFOEM/IP/RR/2022</w:t>
      </w:r>
      <w:r w:rsidR="00CE351A" w:rsidRPr="00657015">
        <w:rPr>
          <w:rFonts w:ascii="Palatino Linotype" w:hAnsi="Palatino Linotype"/>
          <w:b/>
        </w:rPr>
        <w:t xml:space="preserve">, </w:t>
      </w:r>
      <w:r w:rsidR="00CE351A" w:rsidRPr="00657015">
        <w:rPr>
          <w:rFonts w:ascii="Palatino Linotype" w:hAnsi="Palatino Linotype"/>
        </w:rPr>
        <w:t xml:space="preserve">conforme al artículo 192 fracción IV, en relación con el artículo 191 fracción </w:t>
      </w:r>
      <w:r w:rsidR="00FD38D8" w:rsidRPr="00657015">
        <w:rPr>
          <w:rFonts w:ascii="Palatino Linotype" w:hAnsi="Palatino Linotype"/>
        </w:rPr>
        <w:t>V</w:t>
      </w:r>
      <w:r w:rsidR="00CE351A" w:rsidRPr="00657015">
        <w:rPr>
          <w:rFonts w:ascii="Palatino Linotype" w:hAnsi="Palatino Linotype"/>
        </w:rPr>
        <w:t xml:space="preserve">I de la Ley de Transparencia y Acceso a la Información Pública del Estado de México y Municipios, en términos del Considerando </w:t>
      </w:r>
      <w:r w:rsidR="00CE351A" w:rsidRPr="00657015">
        <w:rPr>
          <w:rFonts w:ascii="Palatino Linotype" w:hAnsi="Palatino Linotype"/>
          <w:b/>
        </w:rPr>
        <w:t>TERCERO</w:t>
      </w:r>
      <w:r w:rsidR="00CE351A" w:rsidRPr="00657015">
        <w:rPr>
          <w:rFonts w:ascii="Palatino Linotype" w:hAnsi="Palatino Linotype"/>
        </w:rPr>
        <w:t xml:space="preserve"> </w:t>
      </w:r>
      <w:r w:rsidRPr="00657015">
        <w:rPr>
          <w:rFonts w:ascii="Palatino Linotype" w:hAnsi="Palatino Linotype"/>
        </w:rPr>
        <w:t>de la presente resolución.</w:t>
      </w:r>
    </w:p>
    <w:p w14:paraId="15031F93" w14:textId="77777777" w:rsidR="009A64E9" w:rsidRPr="00657015" w:rsidRDefault="009A64E9" w:rsidP="00466C65">
      <w:pPr>
        <w:spacing w:before="240" w:after="360" w:line="360" w:lineRule="auto"/>
        <w:jc w:val="both"/>
        <w:rPr>
          <w:rStyle w:val="Ttulo2Car"/>
          <w:rFonts w:ascii="Palatino Linotype" w:hAnsi="Palatino Linotype"/>
          <w:b/>
          <w:color w:val="000000" w:themeColor="text1"/>
        </w:rPr>
      </w:pPr>
      <w:bookmarkStart w:id="25" w:name="_Toc461648590"/>
      <w:bookmarkStart w:id="26" w:name="_Toc461648682"/>
      <w:bookmarkStart w:id="27" w:name="_Toc462228049"/>
      <w:bookmarkStart w:id="28" w:name="_Toc462228129"/>
      <w:bookmarkStart w:id="29" w:name="_Toc496099789"/>
      <w:bookmarkStart w:id="30" w:name="_Toc496100166"/>
      <w:bookmarkStart w:id="31" w:name="_Toc499756977"/>
      <w:bookmarkStart w:id="32" w:name="_Toc499757020"/>
      <w:bookmarkStart w:id="33" w:name="_Toc504377974"/>
      <w:r w:rsidRPr="00657015">
        <w:rPr>
          <w:rFonts w:ascii="Palatino Linotype" w:hAnsi="Palatino Linotype" w:cs="Arial"/>
          <w:b/>
        </w:rPr>
        <w:lastRenderedPageBreak/>
        <w:t>SEGUNDO.</w:t>
      </w:r>
      <w:bookmarkEnd w:id="25"/>
      <w:bookmarkEnd w:id="26"/>
      <w:bookmarkEnd w:id="27"/>
      <w:bookmarkEnd w:id="28"/>
      <w:bookmarkEnd w:id="29"/>
      <w:bookmarkEnd w:id="30"/>
      <w:bookmarkEnd w:id="31"/>
      <w:bookmarkEnd w:id="32"/>
      <w:bookmarkEnd w:id="33"/>
      <w:r w:rsidRPr="00657015">
        <w:rPr>
          <w:rStyle w:val="Ttulo2Car"/>
          <w:rFonts w:ascii="Palatino Linotype" w:hAnsi="Palatino Linotype"/>
          <w:b/>
          <w:color w:val="000000" w:themeColor="text1"/>
        </w:rPr>
        <w:t xml:space="preserve"> </w:t>
      </w:r>
      <w:r w:rsidRPr="00657015">
        <w:rPr>
          <w:rFonts w:ascii="Palatino Linotype" w:eastAsia="MS Mincho" w:hAnsi="Palatino Linotype" w:cs="Arial"/>
          <w:b/>
          <w:bCs/>
          <w:color w:val="000000" w:themeColor="text1"/>
          <w:shd w:val="clear" w:color="auto" w:fill="FFFFFF"/>
        </w:rPr>
        <w:t xml:space="preserve">Remítase </w:t>
      </w:r>
      <w:r w:rsidRPr="00657015">
        <w:rPr>
          <w:rFonts w:ascii="Palatino Linotype" w:eastAsia="MS Mincho" w:hAnsi="Palatino Linotype"/>
          <w:color w:val="000000" w:themeColor="text1"/>
          <w:shd w:val="clear" w:color="auto" w:fill="FFFFFF"/>
        </w:rPr>
        <w:t>al Titular de la Unidad de Transparencia del</w:t>
      </w:r>
      <w:r w:rsidRPr="00657015">
        <w:rPr>
          <w:rFonts w:ascii="Palatino Linotype" w:eastAsia="MS Mincho" w:hAnsi="Palatino Linotype"/>
          <w:b/>
          <w:bCs/>
          <w:color w:val="000000" w:themeColor="text1"/>
          <w:shd w:val="clear" w:color="auto" w:fill="FFFFFF"/>
        </w:rPr>
        <w:t xml:space="preserve"> SUJETO OBLIGADO</w:t>
      </w:r>
      <w:r w:rsidRPr="00657015">
        <w:rPr>
          <w:rFonts w:ascii="Palatino Linotype" w:eastAsia="MS Mincho" w:hAnsi="Palatino Linotype"/>
          <w:color w:val="000000" w:themeColor="text1"/>
          <w:shd w:val="clear" w:color="auto" w:fill="FFFFFF"/>
        </w:rPr>
        <w:t xml:space="preserve"> vía Sistema de Acceso a Información Mexiquense, SAIMEX, la presente resolución. </w:t>
      </w:r>
    </w:p>
    <w:p w14:paraId="33DEFBB5" w14:textId="77777777" w:rsidR="009A64E9" w:rsidRPr="00657015" w:rsidRDefault="009A64E9" w:rsidP="00466C65">
      <w:pPr>
        <w:spacing w:line="360" w:lineRule="auto"/>
        <w:jc w:val="both"/>
        <w:rPr>
          <w:rFonts w:ascii="Palatino Linotype" w:hAnsi="Palatino Linotype"/>
        </w:rPr>
      </w:pPr>
      <w:bookmarkStart w:id="34" w:name="_Toc460947013"/>
      <w:bookmarkEnd w:id="23"/>
      <w:bookmarkEnd w:id="24"/>
      <w:r w:rsidRPr="00657015">
        <w:rPr>
          <w:rFonts w:ascii="Palatino Linotype" w:hAnsi="Palatino Linotype" w:cs="Arial"/>
          <w:b/>
        </w:rPr>
        <w:t xml:space="preserve">TERCERO. </w:t>
      </w:r>
      <w:r w:rsidRPr="00657015">
        <w:rPr>
          <w:rFonts w:ascii="Palatino Linotype" w:hAnsi="Palatino Linotype"/>
          <w:b/>
          <w:bCs/>
          <w:color w:val="222222"/>
          <w:lang w:val="es-ES"/>
        </w:rPr>
        <w:t>Notifíquese a</w:t>
      </w:r>
      <w:r w:rsidRPr="00657015">
        <w:rPr>
          <w:rFonts w:ascii="Palatino Linotype" w:hAnsi="Palatino Linotype"/>
          <w:b/>
        </w:rPr>
        <w:t xml:space="preserve">l RECURRENTE </w:t>
      </w:r>
      <w:r w:rsidRPr="00657015">
        <w:rPr>
          <w:rFonts w:ascii="Palatino Linotype" w:hAnsi="Palatino Linotype"/>
        </w:rPr>
        <w:t>la presente resolución.</w:t>
      </w:r>
    </w:p>
    <w:p w14:paraId="0C6B162A" w14:textId="77777777" w:rsidR="009A64E9" w:rsidRPr="00657015" w:rsidRDefault="009A64E9" w:rsidP="00466C65">
      <w:pPr>
        <w:spacing w:line="360" w:lineRule="auto"/>
        <w:jc w:val="both"/>
        <w:rPr>
          <w:rFonts w:ascii="Palatino Linotype" w:hAnsi="Palatino Linotype"/>
        </w:rPr>
      </w:pPr>
    </w:p>
    <w:bookmarkEnd w:id="34"/>
    <w:p w14:paraId="1334B8F9" w14:textId="77777777" w:rsidR="00B37301" w:rsidRPr="00657015" w:rsidRDefault="009A64E9" w:rsidP="00466C65">
      <w:pPr>
        <w:spacing w:line="360" w:lineRule="auto"/>
        <w:jc w:val="both"/>
        <w:rPr>
          <w:rFonts w:ascii="Palatino Linotype" w:eastAsia="MS Mincho" w:hAnsi="Palatino Linotype"/>
          <w:lang w:val="es-ES"/>
        </w:rPr>
      </w:pPr>
      <w:r w:rsidRPr="00657015">
        <w:rPr>
          <w:rFonts w:ascii="Palatino Linotype" w:eastAsia="MS Mincho" w:hAnsi="Palatino Linotype"/>
          <w:b/>
        </w:rPr>
        <w:t>CUARTO.</w:t>
      </w:r>
      <w:r w:rsidRPr="00657015">
        <w:rPr>
          <w:rFonts w:ascii="Palatino Linotype" w:eastAsia="MS Mincho" w:hAnsi="Palatino Linotype"/>
        </w:rPr>
        <w:t xml:space="preserve"> </w:t>
      </w:r>
      <w:r w:rsidRPr="00657015">
        <w:rPr>
          <w:rFonts w:ascii="Palatino Linotype" w:eastAsia="MS Mincho" w:hAnsi="Palatino Linotype"/>
          <w:lang w:val="es-ES"/>
        </w:rPr>
        <w:t xml:space="preserve">Se hace del conocimiento de </w:t>
      </w:r>
      <w:r w:rsidRPr="00657015">
        <w:rPr>
          <w:rFonts w:ascii="Palatino Linotype" w:eastAsia="Calibri" w:hAnsi="Palatino Linotype" w:cs="Tahoma"/>
          <w:b/>
          <w:lang w:eastAsia="en-US"/>
        </w:rPr>
        <w:t>RECURRENTE</w:t>
      </w:r>
      <w:r w:rsidRPr="00657015">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657015">
        <w:rPr>
          <w:rFonts w:ascii="Palatino Linotype" w:eastAsia="MS Mincho" w:hAnsi="Palatino Linotype"/>
          <w:bCs/>
          <w:lang w:val="es-ES"/>
        </w:rPr>
        <w:t>vía juicio de amparo</w:t>
      </w:r>
      <w:r w:rsidRPr="00657015">
        <w:rPr>
          <w:rFonts w:ascii="Palatino Linotype" w:eastAsia="MS Mincho" w:hAnsi="Palatino Linotype"/>
          <w:lang w:val="es-ES"/>
        </w:rPr>
        <w:t> en los términos de las leyes aplicables.</w:t>
      </w:r>
      <w:bookmarkStart w:id="35" w:name="_Toc466371865"/>
      <w:bookmarkStart w:id="36" w:name="_Toc466377653"/>
      <w:bookmarkEnd w:id="13"/>
      <w:bookmarkEnd w:id="14"/>
      <w:bookmarkEnd w:id="15"/>
      <w:bookmarkEnd w:id="16"/>
      <w:bookmarkEnd w:id="17"/>
      <w:bookmarkEnd w:id="18"/>
    </w:p>
    <w:bookmarkEnd w:id="35"/>
    <w:bookmarkEnd w:id="36"/>
    <w:p w14:paraId="67DB811D" w14:textId="77777777" w:rsidR="00C0377E" w:rsidRDefault="00C0377E" w:rsidP="00C0377E">
      <w:pPr>
        <w:spacing w:before="240" w:after="240" w:line="360" w:lineRule="auto"/>
        <w:jc w:val="both"/>
        <w:rPr>
          <w:rFonts w:ascii="Palatino Linotype" w:hAnsi="Palatino Linotype"/>
        </w:rPr>
      </w:pPr>
      <w:r w:rsidRPr="00657015">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DOCE (12) DE OCTUBRE DE DOS MIL VEINTIDÓS, ANTE EL SECRETARIO TÉCNICO DEL PLENO ALEXIS TAPIA RAMÍREZ.</w:t>
      </w:r>
      <w:bookmarkStart w:id="37" w:name="_GoBack"/>
      <w:bookmarkEnd w:id="37"/>
      <w:r w:rsidRPr="00624AAD">
        <w:rPr>
          <w:rFonts w:ascii="Palatino Linotype" w:hAnsi="Palatino Linotype"/>
        </w:rPr>
        <w:t xml:space="preserve"> </w:t>
      </w:r>
    </w:p>
    <w:p w14:paraId="7EFA4F21" w14:textId="77777777" w:rsidR="00895335" w:rsidRPr="00466C65" w:rsidRDefault="00895335" w:rsidP="00466C65">
      <w:pPr>
        <w:spacing w:line="360" w:lineRule="auto"/>
        <w:rPr>
          <w:rFonts w:ascii="Palatino Linotype" w:hAnsi="Palatino Linotype" w:cs="Arial"/>
          <w:color w:val="000000" w:themeColor="text1"/>
        </w:rPr>
      </w:pPr>
      <w:r w:rsidRPr="00466C65">
        <w:rPr>
          <w:rFonts w:ascii="Palatino Linotype" w:hAnsi="Palatino Linotype" w:cs="Arial"/>
          <w:color w:val="000000" w:themeColor="text1"/>
        </w:rPr>
        <w:br w:type="page"/>
      </w:r>
    </w:p>
    <w:sectPr w:rsidR="00895335" w:rsidRPr="00466C65" w:rsidSect="008E4483">
      <w:headerReference w:type="default" r:id="rId8"/>
      <w:footerReference w:type="default" r:id="rId9"/>
      <w:headerReference w:type="first" r:id="rId10"/>
      <w:footerReference w:type="first" r:id="rId11"/>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E08B84" w14:textId="77777777" w:rsidR="00DF4860" w:rsidRDefault="00DF4860" w:rsidP="00587366">
      <w:r>
        <w:separator/>
      </w:r>
    </w:p>
  </w:endnote>
  <w:endnote w:type="continuationSeparator" w:id="0">
    <w:p w14:paraId="03A57BD5" w14:textId="77777777" w:rsidR="00DF4860" w:rsidRDefault="00DF486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B416E0" w:rsidRPr="00883450" w:rsidRDefault="00B416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57015">
              <w:rPr>
                <w:rFonts w:ascii="Palatino Linotype" w:hAnsi="Palatino Linotype"/>
                <w:b/>
                <w:bCs/>
                <w:noProof/>
                <w:sz w:val="22"/>
                <w:szCs w:val="20"/>
              </w:rPr>
              <w:t>19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57015">
              <w:rPr>
                <w:rFonts w:ascii="Palatino Linotype" w:hAnsi="Palatino Linotype"/>
                <w:b/>
                <w:bCs/>
                <w:noProof/>
                <w:sz w:val="22"/>
                <w:szCs w:val="20"/>
              </w:rPr>
              <w:t>20</w:t>
            </w:r>
            <w:r w:rsidRPr="00883450">
              <w:rPr>
                <w:rFonts w:ascii="Palatino Linotype" w:hAnsi="Palatino Linotype"/>
                <w:b/>
                <w:bCs/>
                <w:sz w:val="22"/>
                <w:szCs w:val="20"/>
              </w:rPr>
              <w:fldChar w:fldCharType="end"/>
            </w:r>
          </w:p>
        </w:sdtContent>
      </w:sdt>
    </w:sdtContent>
  </w:sdt>
  <w:p w14:paraId="6243EC1B" w14:textId="47B193F0" w:rsidR="00B416E0" w:rsidRDefault="00B416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B416E0" w:rsidRPr="00883450" w:rsidRDefault="00B416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57015" w:rsidRPr="00657015">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57015" w:rsidRPr="00657015">
      <w:rPr>
        <w:rFonts w:ascii="Palatino Linotype" w:hAnsi="Palatino Linotype"/>
        <w:noProof/>
        <w:sz w:val="22"/>
        <w:szCs w:val="22"/>
        <w:lang w:val="es-ES"/>
      </w:rPr>
      <w:t>20</w:t>
    </w:r>
    <w:r w:rsidRPr="00883450">
      <w:rPr>
        <w:rFonts w:ascii="Palatino Linotype" w:hAnsi="Palatino Linotype"/>
        <w:sz w:val="22"/>
        <w:szCs w:val="22"/>
      </w:rPr>
      <w:fldChar w:fldCharType="end"/>
    </w:r>
  </w:p>
  <w:p w14:paraId="5F5C4865" w14:textId="0A9A2B26" w:rsidR="00B416E0" w:rsidRPr="00883450" w:rsidRDefault="00B416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F4BD14" w14:textId="77777777" w:rsidR="00DF4860" w:rsidRDefault="00DF4860" w:rsidP="00587366">
      <w:r>
        <w:separator/>
      </w:r>
    </w:p>
  </w:footnote>
  <w:footnote w:type="continuationSeparator" w:id="0">
    <w:p w14:paraId="6A77CEF1" w14:textId="77777777" w:rsidR="00DF4860" w:rsidRDefault="00DF4860"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B416E0" w:rsidRPr="00025127" w14:paraId="07F2896E" w14:textId="77777777" w:rsidTr="00FA0F09">
      <w:trPr>
        <w:trHeight w:val="138"/>
        <w:jc w:val="right"/>
      </w:trPr>
      <w:tc>
        <w:tcPr>
          <w:tcW w:w="3260" w:type="dxa"/>
          <w:vAlign w:val="center"/>
        </w:tcPr>
        <w:p w14:paraId="4A5B1974" w14:textId="44CA9AFE" w:rsidR="00B416E0" w:rsidRPr="00025127" w:rsidRDefault="00B416E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44E01098" w:rsidR="00B416E0" w:rsidRPr="00025127" w:rsidRDefault="009953E6" w:rsidP="00BB7E88">
          <w:pPr>
            <w:pStyle w:val="Encabezado"/>
            <w:jc w:val="both"/>
            <w:rPr>
              <w:rFonts w:ascii="Palatino Linotype" w:hAnsi="Palatino Linotype"/>
              <w:b/>
              <w:sz w:val="22"/>
              <w:szCs w:val="22"/>
            </w:rPr>
          </w:pPr>
          <w:r>
            <w:rPr>
              <w:rFonts w:ascii="Palatino Linotype" w:hAnsi="Palatino Linotype"/>
              <w:b/>
              <w:sz w:val="22"/>
            </w:rPr>
            <w:t>11178</w:t>
          </w:r>
          <w:r w:rsidRPr="001C1229">
            <w:rPr>
              <w:rFonts w:ascii="Palatino Linotype" w:hAnsi="Palatino Linotype"/>
              <w:b/>
              <w:sz w:val="22"/>
            </w:rPr>
            <w:t>/INFOEM/IP/RR/2022</w:t>
          </w:r>
        </w:p>
      </w:tc>
    </w:tr>
    <w:tr w:rsidR="00B416E0" w:rsidRPr="00025127" w14:paraId="1B5D8690" w14:textId="77777777" w:rsidTr="00FA0F09">
      <w:trPr>
        <w:trHeight w:val="233"/>
        <w:jc w:val="right"/>
      </w:trPr>
      <w:tc>
        <w:tcPr>
          <w:tcW w:w="3260" w:type="dxa"/>
          <w:vAlign w:val="center"/>
        </w:tcPr>
        <w:p w14:paraId="3903F2C6" w14:textId="22D569F8" w:rsidR="00B416E0" w:rsidRPr="00025127" w:rsidRDefault="00B416E0"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6E948745" w:rsidR="00B416E0" w:rsidRPr="00025127" w:rsidRDefault="009953E6" w:rsidP="0035066B">
          <w:pPr>
            <w:pStyle w:val="Encabezado"/>
            <w:rPr>
              <w:rFonts w:ascii="Palatino Linotype" w:hAnsi="Palatino Linotype"/>
              <w:b/>
              <w:sz w:val="22"/>
              <w:szCs w:val="22"/>
            </w:rPr>
          </w:pPr>
          <w:r>
            <w:rPr>
              <w:rFonts w:ascii="Palatino Linotype" w:eastAsia="Calibri" w:hAnsi="Palatino Linotype" w:cs="Arial"/>
              <w:b/>
              <w:bCs/>
              <w:lang w:val="es-ES"/>
            </w:rPr>
            <w:t>Secretaría del Trabajo</w:t>
          </w:r>
        </w:p>
      </w:tc>
    </w:tr>
    <w:tr w:rsidR="00B416E0" w:rsidRPr="00025127" w14:paraId="095EB01B" w14:textId="77777777" w:rsidTr="00FA0F09">
      <w:trPr>
        <w:trHeight w:val="321"/>
        <w:jc w:val="right"/>
      </w:trPr>
      <w:tc>
        <w:tcPr>
          <w:tcW w:w="3260" w:type="dxa"/>
          <w:vAlign w:val="center"/>
        </w:tcPr>
        <w:p w14:paraId="6E000A51" w14:textId="05E1861A" w:rsidR="00B416E0" w:rsidRPr="00025127" w:rsidRDefault="00B416E0"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B416E0" w:rsidRPr="00025127" w:rsidRDefault="00B416E0"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B416E0" w:rsidRDefault="00B416E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B416E0" w:rsidRDefault="00DF486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B416E0">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B416E0" w:rsidRPr="00025127" w14:paraId="0A3256F2" w14:textId="77777777" w:rsidTr="006E6B65">
      <w:trPr>
        <w:trHeight w:val="138"/>
        <w:jc w:val="right"/>
      </w:trPr>
      <w:tc>
        <w:tcPr>
          <w:tcW w:w="3261" w:type="dxa"/>
          <w:vAlign w:val="center"/>
        </w:tcPr>
        <w:p w14:paraId="3D80769D" w14:textId="316F11F8"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735ED2F1" w:rsidR="00B416E0" w:rsidRPr="00025127" w:rsidRDefault="009953E6" w:rsidP="009953E6">
          <w:pPr>
            <w:pStyle w:val="Encabezado"/>
            <w:rPr>
              <w:rFonts w:ascii="Palatino Linotype" w:hAnsi="Palatino Linotype"/>
              <w:b/>
              <w:sz w:val="22"/>
              <w:szCs w:val="22"/>
            </w:rPr>
          </w:pPr>
          <w:r>
            <w:rPr>
              <w:rFonts w:ascii="Palatino Linotype" w:hAnsi="Palatino Linotype"/>
              <w:b/>
              <w:sz w:val="22"/>
            </w:rPr>
            <w:t>11178</w:t>
          </w:r>
          <w:r w:rsidR="00B416E0" w:rsidRPr="001C1229">
            <w:rPr>
              <w:rFonts w:ascii="Palatino Linotype" w:hAnsi="Palatino Linotype"/>
              <w:b/>
              <w:sz w:val="22"/>
            </w:rPr>
            <w:t>/INFOEM/IP/RR/2022</w:t>
          </w:r>
        </w:p>
      </w:tc>
    </w:tr>
    <w:tr w:rsidR="00B416E0" w:rsidRPr="00025127" w14:paraId="128C8B3C" w14:textId="77777777" w:rsidTr="006E6B65">
      <w:trPr>
        <w:trHeight w:val="233"/>
        <w:jc w:val="right"/>
      </w:trPr>
      <w:tc>
        <w:tcPr>
          <w:tcW w:w="3261" w:type="dxa"/>
          <w:vAlign w:val="center"/>
        </w:tcPr>
        <w:p w14:paraId="483E3371" w14:textId="66B1BC74"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FC3E201" w:rsidR="00B416E0" w:rsidRPr="0035066B" w:rsidRDefault="00657015" w:rsidP="007B50DF">
          <w:pPr>
            <w:pStyle w:val="Encabezado"/>
            <w:rPr>
              <w:rFonts w:ascii="Palatino Linotype" w:hAnsi="Palatino Linotype"/>
              <w:b/>
              <w:sz w:val="22"/>
              <w:szCs w:val="22"/>
            </w:rPr>
          </w:pPr>
          <w:r>
            <w:rPr>
              <w:rFonts w:ascii="Palatino Linotype" w:hAnsi="Palatino Linotype"/>
              <w:b/>
              <w:sz w:val="22"/>
              <w:szCs w:val="22"/>
            </w:rPr>
            <w:t>XXX XXX XXXX</w:t>
          </w:r>
        </w:p>
      </w:tc>
    </w:tr>
    <w:tr w:rsidR="00B416E0" w:rsidRPr="00025127" w14:paraId="41BE0704" w14:textId="77777777" w:rsidTr="006E6B65">
      <w:trPr>
        <w:trHeight w:val="321"/>
        <w:jc w:val="right"/>
      </w:trPr>
      <w:tc>
        <w:tcPr>
          <w:tcW w:w="3261" w:type="dxa"/>
          <w:vAlign w:val="center"/>
        </w:tcPr>
        <w:p w14:paraId="34C64148" w14:textId="10C6C8A9" w:rsidR="00B416E0" w:rsidRPr="00025127" w:rsidRDefault="00B416E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18A8B226" w:rsidR="00B416E0" w:rsidRPr="00025127" w:rsidRDefault="009953E6" w:rsidP="00BB7E88">
          <w:pPr>
            <w:pStyle w:val="Encabezado"/>
            <w:rPr>
              <w:rFonts w:ascii="Palatino Linotype" w:hAnsi="Palatino Linotype"/>
              <w:b/>
              <w:sz w:val="22"/>
              <w:szCs w:val="22"/>
            </w:rPr>
          </w:pPr>
          <w:r>
            <w:rPr>
              <w:rFonts w:ascii="Palatino Linotype" w:eastAsia="Calibri" w:hAnsi="Palatino Linotype" w:cs="Arial"/>
              <w:b/>
              <w:bCs/>
              <w:lang w:val="es-ES"/>
            </w:rPr>
            <w:t>Secretaría del Trabajo</w:t>
          </w:r>
        </w:p>
      </w:tc>
    </w:tr>
    <w:tr w:rsidR="00B416E0" w:rsidRPr="00025127" w14:paraId="0C8B6193" w14:textId="77777777" w:rsidTr="006E6B65">
      <w:trPr>
        <w:trHeight w:val="321"/>
        <w:jc w:val="right"/>
      </w:trPr>
      <w:tc>
        <w:tcPr>
          <w:tcW w:w="3261" w:type="dxa"/>
          <w:vAlign w:val="center"/>
        </w:tcPr>
        <w:p w14:paraId="321FFAFF" w14:textId="0E8C2CE7" w:rsidR="00B416E0" w:rsidRPr="00025127" w:rsidRDefault="00B416E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B416E0" w:rsidRPr="00025127" w:rsidRDefault="00B416E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B416E0" w:rsidRDefault="00B416E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0B6458"/>
    <w:multiLevelType w:val="hybridMultilevel"/>
    <w:tmpl w:val="BF2EEAB8"/>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5">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nsid w:val="55CE0BE1"/>
    <w:multiLevelType w:val="hybridMultilevel"/>
    <w:tmpl w:val="C53642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6D672F0"/>
    <w:multiLevelType w:val="hybridMultilevel"/>
    <w:tmpl w:val="50402C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F183C40"/>
    <w:multiLevelType w:val="hybridMultilevel"/>
    <w:tmpl w:val="4814AE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0"/>
  </w:num>
  <w:num w:numId="4">
    <w:abstractNumId w:val="9"/>
  </w:num>
  <w:num w:numId="5">
    <w:abstractNumId w:val="23"/>
  </w:num>
  <w:num w:numId="6">
    <w:abstractNumId w:val="26"/>
  </w:num>
  <w:num w:numId="7">
    <w:abstractNumId w:val="11"/>
  </w:num>
  <w:num w:numId="8">
    <w:abstractNumId w:val="9"/>
  </w:num>
  <w:num w:numId="9">
    <w:abstractNumId w:val="12"/>
  </w:num>
  <w:num w:numId="10">
    <w:abstractNumId w:val="5"/>
  </w:num>
  <w:num w:numId="11">
    <w:abstractNumId w:val="16"/>
  </w:num>
  <w:num w:numId="12">
    <w:abstractNumId w:val="3"/>
  </w:num>
  <w:num w:numId="13">
    <w:abstractNumId w:val="10"/>
  </w:num>
  <w:num w:numId="14">
    <w:abstractNumId w:val="1"/>
  </w:num>
  <w:num w:numId="15">
    <w:abstractNumId w:val="6"/>
  </w:num>
  <w:num w:numId="16">
    <w:abstractNumId w:val="7"/>
  </w:num>
  <w:num w:numId="17">
    <w:abstractNumId w:val="22"/>
  </w:num>
  <w:num w:numId="18">
    <w:abstractNumId w:val="21"/>
  </w:num>
  <w:num w:numId="19">
    <w:abstractNumId w:val="8"/>
  </w:num>
  <w:num w:numId="20">
    <w:abstractNumId w:val="9"/>
  </w:num>
  <w:num w:numId="21">
    <w:abstractNumId w:val="2"/>
  </w:num>
  <w:num w:numId="22">
    <w:abstractNumId w:val="25"/>
  </w:num>
  <w:num w:numId="23">
    <w:abstractNumId w:val="18"/>
  </w:num>
  <w:num w:numId="24">
    <w:abstractNumId w:val="4"/>
  </w:num>
  <w:num w:numId="25">
    <w:abstractNumId w:val="15"/>
  </w:num>
  <w:num w:numId="26">
    <w:abstractNumId w:val="27"/>
  </w:num>
  <w:num w:numId="27">
    <w:abstractNumId w:val="24"/>
  </w:num>
  <w:num w:numId="28">
    <w:abstractNumId w:val="20"/>
  </w:num>
  <w:num w:numId="29">
    <w:abstractNumId w:val="14"/>
  </w:num>
  <w:num w:numId="30">
    <w:abstractNumId w:val="19"/>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022"/>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2EA4"/>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5C9E"/>
    <w:rsid w:val="000F6BFE"/>
    <w:rsid w:val="000F6D7E"/>
    <w:rsid w:val="000F7AAD"/>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71EB"/>
    <w:rsid w:val="002948C4"/>
    <w:rsid w:val="00297E45"/>
    <w:rsid w:val="002A1055"/>
    <w:rsid w:val="002A2099"/>
    <w:rsid w:val="002A229B"/>
    <w:rsid w:val="002A2822"/>
    <w:rsid w:val="002A35B6"/>
    <w:rsid w:val="002A4172"/>
    <w:rsid w:val="002A4516"/>
    <w:rsid w:val="002A54DE"/>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437A"/>
    <w:rsid w:val="00424992"/>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2CAC"/>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D7801"/>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487C"/>
    <w:rsid w:val="005F53A4"/>
    <w:rsid w:val="005F5FE1"/>
    <w:rsid w:val="005F62B2"/>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5146"/>
    <w:rsid w:val="00657015"/>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53A0"/>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995"/>
    <w:rsid w:val="00760BAE"/>
    <w:rsid w:val="00762511"/>
    <w:rsid w:val="00762642"/>
    <w:rsid w:val="00762697"/>
    <w:rsid w:val="00762E0A"/>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3B7B"/>
    <w:rsid w:val="00794C2B"/>
    <w:rsid w:val="00797949"/>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547F"/>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723"/>
    <w:rsid w:val="00963968"/>
    <w:rsid w:val="009670E9"/>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1B0"/>
    <w:rsid w:val="0099229C"/>
    <w:rsid w:val="00994E5F"/>
    <w:rsid w:val="009953E6"/>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43B"/>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307E"/>
    <w:rsid w:val="009F37D5"/>
    <w:rsid w:val="009F50DE"/>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A82"/>
    <w:rsid w:val="00A610E7"/>
    <w:rsid w:val="00A61DCD"/>
    <w:rsid w:val="00A62B7B"/>
    <w:rsid w:val="00A64F7B"/>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377E"/>
    <w:rsid w:val="00C04666"/>
    <w:rsid w:val="00C04D22"/>
    <w:rsid w:val="00C06C02"/>
    <w:rsid w:val="00C11482"/>
    <w:rsid w:val="00C119C0"/>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A0640"/>
    <w:rsid w:val="00CA2022"/>
    <w:rsid w:val="00CA4741"/>
    <w:rsid w:val="00CA64E9"/>
    <w:rsid w:val="00CA7A78"/>
    <w:rsid w:val="00CA7F49"/>
    <w:rsid w:val="00CB2089"/>
    <w:rsid w:val="00CB2FC0"/>
    <w:rsid w:val="00CB3B9E"/>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EB2"/>
    <w:rsid w:val="00D00269"/>
    <w:rsid w:val="00D007D1"/>
    <w:rsid w:val="00D02F72"/>
    <w:rsid w:val="00D0377B"/>
    <w:rsid w:val="00D07CFB"/>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4D7"/>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C0B"/>
    <w:rsid w:val="00DB156F"/>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4860"/>
    <w:rsid w:val="00DF51C5"/>
    <w:rsid w:val="00DF5E58"/>
    <w:rsid w:val="00DF65E6"/>
    <w:rsid w:val="00DF72C7"/>
    <w:rsid w:val="00E00CF8"/>
    <w:rsid w:val="00E00D6F"/>
    <w:rsid w:val="00E03246"/>
    <w:rsid w:val="00E03508"/>
    <w:rsid w:val="00E03C0E"/>
    <w:rsid w:val="00E04397"/>
    <w:rsid w:val="00E047DA"/>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728"/>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6D58"/>
    <w:rsid w:val="00F07353"/>
    <w:rsid w:val="00F104AB"/>
    <w:rsid w:val="00F10D6B"/>
    <w:rsid w:val="00F12C08"/>
    <w:rsid w:val="00F12CDC"/>
    <w:rsid w:val="00F13E45"/>
    <w:rsid w:val="00F1437E"/>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6F9"/>
    <w:rsid w:val="00F739E9"/>
    <w:rsid w:val="00F7672F"/>
    <w:rsid w:val="00F77B5E"/>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16721176">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47894466">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7215081">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34441939">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8212828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7848996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0323445">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12E1F-9ACA-4468-B261-23FB3CFA2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4269</Words>
  <Characters>23480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2022-10-05T15:40:00Z</dcterms:created>
  <dcterms:modified xsi:type="dcterms:W3CDTF">2022-11-11T18:05:00Z</dcterms:modified>
</cp:coreProperties>
</file>