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78BAC" w14:textId="014FEEFA" w:rsidR="007F7B11" w:rsidRPr="00CA6269" w:rsidRDefault="007F7B11" w:rsidP="00CA6269">
      <w:pPr>
        <w:tabs>
          <w:tab w:val="left" w:pos="3465"/>
        </w:tabs>
        <w:spacing w:before="240" w:after="360" w:line="360" w:lineRule="auto"/>
        <w:jc w:val="both"/>
        <w:rPr>
          <w:rFonts w:ascii="Palatino Linotype" w:eastAsiaTheme="minorEastAsia" w:hAnsi="Palatino Linotype" w:cstheme="minorBidi"/>
          <w:lang w:val="es-ES_tradnl"/>
        </w:rPr>
      </w:pPr>
      <w:r w:rsidRPr="00CA6269">
        <w:rPr>
          <w:rFonts w:ascii="Palatino Linotype" w:eastAsiaTheme="minorEastAsia" w:hAnsi="Palatino Linotype" w:cstheme="minorBidi"/>
          <w:lang w:val="es-ES_tradnl"/>
        </w:rPr>
        <w:t xml:space="preserve">Resolución del Pleno del Instituto de Transparencia, Acceso a la Información Pública y Protección de Datos Personales del Estado de México y Municipios, con domicilio en Metepec, Estado de México; de </w:t>
      </w:r>
      <w:r w:rsidR="007925FB">
        <w:rPr>
          <w:rFonts w:ascii="Palatino Linotype" w:eastAsiaTheme="minorEastAsia" w:hAnsi="Palatino Linotype" w:cstheme="minorBidi"/>
          <w:lang w:val="es-ES_tradnl"/>
        </w:rPr>
        <w:t>nueve</w:t>
      </w:r>
      <w:r w:rsidR="00E176F9" w:rsidRPr="00CA6269">
        <w:rPr>
          <w:rFonts w:ascii="Palatino Linotype" w:eastAsiaTheme="minorEastAsia" w:hAnsi="Palatino Linotype" w:cstheme="minorBidi"/>
          <w:lang w:val="es-ES_tradnl"/>
        </w:rPr>
        <w:t xml:space="preserve"> (0</w:t>
      </w:r>
      <w:r w:rsidR="007925FB">
        <w:rPr>
          <w:rFonts w:ascii="Palatino Linotype" w:eastAsiaTheme="minorEastAsia" w:hAnsi="Palatino Linotype" w:cstheme="minorBidi"/>
          <w:lang w:val="es-ES_tradnl"/>
        </w:rPr>
        <w:t>9</w:t>
      </w:r>
      <w:r w:rsidRPr="00CA6269">
        <w:rPr>
          <w:rFonts w:ascii="Palatino Linotype" w:eastAsiaTheme="minorEastAsia" w:hAnsi="Palatino Linotype" w:cstheme="minorBidi"/>
          <w:lang w:val="es-ES_tradnl"/>
        </w:rPr>
        <w:t>) de</w:t>
      </w:r>
      <w:r w:rsidR="00E176F9" w:rsidRPr="00CA6269">
        <w:rPr>
          <w:rFonts w:ascii="Palatino Linotype" w:eastAsiaTheme="minorEastAsia" w:hAnsi="Palatino Linotype" w:cstheme="minorBidi"/>
          <w:lang w:val="es-ES_tradnl"/>
        </w:rPr>
        <w:t xml:space="preserve"> marzo </w:t>
      </w:r>
      <w:r w:rsidRPr="00CA6269">
        <w:rPr>
          <w:rFonts w:ascii="Palatino Linotype" w:eastAsiaTheme="minorEastAsia" w:hAnsi="Palatino Linotype" w:cstheme="minorBidi"/>
          <w:lang w:val="es-ES_tradnl"/>
        </w:rPr>
        <w:t>de dos mil veintidós.</w:t>
      </w:r>
    </w:p>
    <w:p w14:paraId="18F60015" w14:textId="4DDE6CD2" w:rsidR="007F7B11" w:rsidRPr="00EB0CEE" w:rsidRDefault="000167BD" w:rsidP="000167BD">
      <w:pPr>
        <w:tabs>
          <w:tab w:val="left" w:pos="3465"/>
        </w:tabs>
        <w:spacing w:before="240" w:after="360" w:line="360" w:lineRule="auto"/>
        <w:jc w:val="both"/>
      </w:pPr>
      <w:r w:rsidRPr="002C1E75">
        <w:rPr>
          <w:rFonts w:ascii="Palatino Linotype" w:eastAsiaTheme="minorEastAsia" w:hAnsi="Palatino Linotype" w:cstheme="minorBidi"/>
          <w:b/>
          <w:color w:val="000000" w:themeColor="text1"/>
          <w:lang w:val="es-ES_tradnl"/>
        </w:rPr>
        <w:t>VISTO</w:t>
      </w:r>
      <w:r>
        <w:rPr>
          <w:rFonts w:ascii="Palatino Linotype" w:eastAsiaTheme="minorEastAsia" w:hAnsi="Palatino Linotype" w:cstheme="minorBidi"/>
          <w:color w:val="000000" w:themeColor="text1"/>
          <w:lang w:val="es-ES_tradnl"/>
        </w:rPr>
        <w:t xml:space="preserve"> el</w:t>
      </w:r>
      <w:r w:rsidRPr="002C1E75">
        <w:rPr>
          <w:rFonts w:ascii="Palatino Linotype" w:eastAsiaTheme="minorEastAsia" w:hAnsi="Palatino Linotype" w:cstheme="minorBidi"/>
          <w:color w:val="000000" w:themeColor="text1"/>
          <w:lang w:val="es-ES_tradnl"/>
        </w:rPr>
        <w:t xml:space="preserve"> expediente electrónico formado con motivo del recurso de revisión</w:t>
      </w:r>
      <w:r w:rsidR="00EB0CEE" w:rsidRPr="00EB0CEE">
        <w:t xml:space="preserve"> </w:t>
      </w:r>
      <w:r w:rsidR="00EB0CEE" w:rsidRPr="00EB0CEE">
        <w:rPr>
          <w:rFonts w:ascii="Palatino Linotype" w:eastAsiaTheme="minorEastAsia" w:hAnsi="Palatino Linotype" w:cstheme="minorBidi"/>
          <w:b/>
          <w:color w:val="000000" w:themeColor="text1"/>
          <w:lang w:val="es-ES_tradnl"/>
        </w:rPr>
        <w:t>00503/INFOEM/IP/RR/2022</w:t>
      </w:r>
      <w:r w:rsidRPr="002C1E75">
        <w:rPr>
          <w:rFonts w:ascii="Palatino Linotype" w:eastAsiaTheme="minorEastAsia" w:hAnsi="Palatino Linotype" w:cstheme="minorBidi"/>
          <w:b/>
          <w:bCs/>
          <w:color w:val="000000" w:themeColor="text1"/>
          <w:lang w:val="es-ES_tradnl"/>
        </w:rPr>
        <w:t xml:space="preserve">, </w:t>
      </w:r>
      <w:r w:rsidRPr="002C1E75">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2C1E75">
        <w:rPr>
          <w:rFonts w:ascii="Palatino Linotype" w:eastAsiaTheme="minorEastAsia" w:hAnsi="Palatino Linotype" w:cstheme="minorBidi"/>
          <w:b/>
          <w:color w:val="000000" w:themeColor="text1"/>
          <w:lang w:val="es-ES_tradnl"/>
        </w:rPr>
        <w:t xml:space="preserve">(SAIMEX), </w:t>
      </w:r>
      <w:r w:rsidRPr="002C1E75">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2C1E75">
        <w:rPr>
          <w:rFonts w:ascii="Palatino Linotype" w:eastAsiaTheme="minorEastAsia" w:hAnsi="Palatino Linotype" w:cstheme="minorBidi"/>
          <w:b/>
          <w:color w:val="000000" w:themeColor="text1"/>
          <w:lang w:val="es-ES_tradnl"/>
        </w:rPr>
        <w:t>RECURRENTE</w:t>
      </w:r>
      <w:r w:rsidRPr="002C1E75">
        <w:rPr>
          <w:rFonts w:ascii="Palatino Linotype" w:eastAsiaTheme="minorEastAsia" w:hAnsi="Palatino Linotype" w:cstheme="minorBidi"/>
          <w:color w:val="000000" w:themeColor="text1"/>
          <w:lang w:val="es-ES_tradnl"/>
        </w:rPr>
        <w:t>, en contra de las respuestas de</w:t>
      </w:r>
      <w:r w:rsidRPr="006A6C88">
        <w:t xml:space="preserve"> </w:t>
      </w:r>
      <w:r w:rsidR="00EB0CEE" w:rsidRPr="00EB0CEE">
        <w:rPr>
          <w:rFonts w:ascii="Palatino Linotype" w:hAnsi="Palatino Linotype"/>
          <w:b/>
        </w:rPr>
        <w:t>Tribunal Estatal de Conciliación y Arbitraje</w:t>
      </w:r>
      <w:r>
        <w:rPr>
          <w:rFonts w:ascii="Palatino Linotype" w:eastAsiaTheme="minorEastAsia" w:hAnsi="Palatino Linotype" w:cstheme="minorBidi"/>
          <w:color w:val="000000" w:themeColor="text1"/>
          <w:lang w:val="es-ES_tradnl"/>
        </w:rPr>
        <w:t xml:space="preserve"> </w:t>
      </w:r>
      <w:r w:rsidRPr="002C1E75">
        <w:rPr>
          <w:rFonts w:ascii="Palatino Linotype" w:eastAsiaTheme="minorEastAsia" w:hAnsi="Palatino Linotype" w:cstheme="minorBidi"/>
          <w:color w:val="000000" w:themeColor="text1"/>
          <w:lang w:val="es-ES_tradnl"/>
        </w:rPr>
        <w:t>en lo sucesivo el</w:t>
      </w:r>
      <w:r w:rsidRPr="002C1E75">
        <w:rPr>
          <w:rFonts w:ascii="Palatino Linotype" w:eastAsiaTheme="minorEastAsia" w:hAnsi="Palatino Linotype" w:cstheme="minorBidi"/>
          <w:b/>
          <w:color w:val="000000" w:themeColor="text1"/>
          <w:lang w:val="es-ES_tradnl"/>
        </w:rPr>
        <w:t xml:space="preserve"> SUJETO OBLIGADO, </w:t>
      </w:r>
      <w:r w:rsidRPr="002C1E75">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2E6CFD9" w14:textId="6A7D8E82" w:rsidR="000C53E4" w:rsidRPr="00CA6269" w:rsidRDefault="007F7B11" w:rsidP="00CA6269">
      <w:pPr>
        <w:keepNext/>
        <w:keepLines/>
        <w:spacing w:before="240" w:line="360" w:lineRule="auto"/>
        <w:jc w:val="center"/>
        <w:outlineLvl w:val="0"/>
        <w:rPr>
          <w:rFonts w:ascii="Palatino Linotype" w:eastAsiaTheme="majorEastAsia" w:hAnsi="Palatino Linotype" w:cstheme="majorBidi"/>
          <w:b/>
          <w:lang w:val="es-MX" w:eastAsia="en-US"/>
        </w:rPr>
      </w:pPr>
      <w:bookmarkStart w:id="0" w:name="_Toc461555884"/>
      <w:bookmarkStart w:id="1" w:name="_Toc466371847"/>
      <w:bookmarkStart w:id="2" w:name="_Toc96549898"/>
      <w:r w:rsidRPr="00CA6269">
        <w:rPr>
          <w:rFonts w:ascii="Palatino Linotype" w:eastAsiaTheme="majorEastAsia" w:hAnsi="Palatino Linotype" w:cstheme="majorBidi"/>
          <w:b/>
          <w:lang w:val="es-MX" w:eastAsia="en-US"/>
        </w:rPr>
        <w:t>ANTECEDENTES</w:t>
      </w:r>
      <w:bookmarkEnd w:id="0"/>
      <w:bookmarkEnd w:id="1"/>
      <w:bookmarkEnd w:id="2"/>
    </w:p>
    <w:p w14:paraId="6DD0F7E0" w14:textId="77777777" w:rsidR="00D13A6B" w:rsidRPr="00CA6269" w:rsidRDefault="00D13A6B" w:rsidP="00CA6269">
      <w:pPr>
        <w:keepNext/>
        <w:keepLines/>
        <w:spacing w:before="240" w:line="360" w:lineRule="auto"/>
        <w:jc w:val="center"/>
        <w:outlineLvl w:val="0"/>
        <w:rPr>
          <w:rFonts w:ascii="Palatino Linotype" w:eastAsiaTheme="majorEastAsia" w:hAnsi="Palatino Linotype" w:cstheme="majorBidi"/>
          <w:b/>
          <w:lang w:val="es-MX" w:eastAsia="en-US"/>
        </w:rPr>
      </w:pPr>
    </w:p>
    <w:p w14:paraId="016DEFA4" w14:textId="5A39E45F" w:rsidR="007F7B11" w:rsidRPr="00CA6269" w:rsidRDefault="007F7B11" w:rsidP="00EB0CEE">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CA6269">
        <w:rPr>
          <w:rFonts w:ascii="Palatino Linotype" w:eastAsia="Calibri" w:hAnsi="Palatino Linotype" w:cs="Arial"/>
        </w:rPr>
        <w:t xml:space="preserve">El </w:t>
      </w:r>
      <w:r w:rsidR="00EB0CEE">
        <w:rPr>
          <w:rFonts w:ascii="Palatino Linotype" w:eastAsia="Calibri" w:hAnsi="Palatino Linotype" w:cs="Arial"/>
        </w:rPr>
        <w:t>veintiuno (21</w:t>
      </w:r>
      <w:r w:rsidR="000C53E4" w:rsidRPr="00CA6269">
        <w:rPr>
          <w:rFonts w:ascii="Palatino Linotype" w:eastAsia="Calibri" w:hAnsi="Palatino Linotype" w:cs="Arial"/>
        </w:rPr>
        <w:t>) de</w:t>
      </w:r>
      <w:r w:rsidR="00EB0CEE">
        <w:rPr>
          <w:rFonts w:ascii="Palatino Linotype" w:eastAsia="Calibri" w:hAnsi="Palatino Linotype" w:cs="Arial"/>
        </w:rPr>
        <w:t xml:space="preserve"> enero</w:t>
      </w:r>
      <w:r w:rsidR="00E176F9" w:rsidRPr="00CA6269">
        <w:rPr>
          <w:rFonts w:ascii="Palatino Linotype" w:eastAsia="Calibri" w:hAnsi="Palatino Linotype" w:cs="Arial"/>
        </w:rPr>
        <w:t xml:space="preserve"> </w:t>
      </w:r>
      <w:r w:rsidRPr="00CA6269">
        <w:rPr>
          <w:rFonts w:ascii="Palatino Linotype" w:eastAsia="Calibri" w:hAnsi="Palatino Linotype" w:cs="Arial"/>
        </w:rPr>
        <w:t xml:space="preserve">de dos mil </w:t>
      </w:r>
      <w:r w:rsidR="00EB0CEE" w:rsidRPr="00CA6269">
        <w:rPr>
          <w:rFonts w:ascii="Palatino Linotype" w:eastAsia="Calibri" w:hAnsi="Palatino Linotype" w:cs="Arial"/>
        </w:rPr>
        <w:t>veinti</w:t>
      </w:r>
      <w:r w:rsidR="00EB0CEE">
        <w:rPr>
          <w:rFonts w:ascii="Palatino Linotype" w:eastAsia="Calibri" w:hAnsi="Palatino Linotype" w:cs="Arial"/>
        </w:rPr>
        <w:t>dós</w:t>
      </w:r>
      <w:r w:rsidRPr="00CA6269">
        <w:rPr>
          <w:rFonts w:ascii="Palatino Linotype" w:eastAsiaTheme="minorEastAsia" w:hAnsi="Palatino Linotype" w:cstheme="minorBidi"/>
          <w:b/>
          <w:lang w:val="es-ES_tradnl"/>
        </w:rPr>
        <w:t xml:space="preserve">, </w:t>
      </w:r>
      <w:r w:rsidRPr="00CA6269">
        <w:rPr>
          <w:rFonts w:ascii="Palatino Linotype" w:eastAsia="Calibri" w:hAnsi="Palatino Linotype" w:cs="Arial"/>
        </w:rPr>
        <w:t xml:space="preserve">se presentó ante el </w:t>
      </w:r>
      <w:r w:rsidRPr="00CA6269">
        <w:rPr>
          <w:rFonts w:ascii="Palatino Linotype" w:eastAsia="Calibri" w:hAnsi="Palatino Linotype" w:cs="Arial"/>
          <w:b/>
        </w:rPr>
        <w:t>SUJETO OBLIGADO</w:t>
      </w:r>
      <w:r w:rsidRPr="00CA6269">
        <w:rPr>
          <w:rFonts w:ascii="Palatino Linotype" w:eastAsia="Calibri" w:hAnsi="Palatino Linotype" w:cs="Arial"/>
          <w:lang w:val="es-ES_tradnl"/>
        </w:rPr>
        <w:t xml:space="preserve"> vía </w:t>
      </w:r>
      <w:r w:rsidRPr="00CA6269">
        <w:rPr>
          <w:rFonts w:ascii="Palatino Linotype" w:eastAsia="Calibri" w:hAnsi="Palatino Linotype" w:cs="Arial"/>
        </w:rPr>
        <w:t xml:space="preserve">Sistema de Acceso a la Información Mexiquense </w:t>
      </w:r>
      <w:r w:rsidRPr="00CA6269">
        <w:rPr>
          <w:rFonts w:ascii="Palatino Linotype" w:eastAsia="Calibri" w:hAnsi="Palatino Linotype" w:cs="Arial"/>
          <w:b/>
        </w:rPr>
        <w:t>SAIMEX</w:t>
      </w:r>
      <w:r w:rsidRPr="00CA6269">
        <w:rPr>
          <w:rFonts w:ascii="Palatino Linotype" w:eastAsia="Calibri" w:hAnsi="Palatino Linotype" w:cs="Arial"/>
        </w:rPr>
        <w:t xml:space="preserve">, la solicitud de información pública registrada con el número </w:t>
      </w:r>
      <w:r w:rsidR="00EB0CEE" w:rsidRPr="00EB0CEE">
        <w:rPr>
          <w:rFonts w:ascii="Palatino Linotype" w:eastAsia="Calibri" w:hAnsi="Palatino Linotype" w:cs="Arial"/>
          <w:b/>
        </w:rPr>
        <w:t>00007/TRIECA/IP/2022</w:t>
      </w:r>
      <w:r w:rsidR="00E176F9" w:rsidRPr="00CA6269">
        <w:rPr>
          <w:rFonts w:ascii="Palatino Linotype" w:eastAsia="Calibri" w:hAnsi="Palatino Linotype" w:cs="Arial"/>
          <w:b/>
          <w:bCs/>
        </w:rPr>
        <w:t xml:space="preserve"> </w:t>
      </w:r>
      <w:r w:rsidRPr="00CA6269">
        <w:rPr>
          <w:rFonts w:ascii="Palatino Linotype" w:eastAsia="Calibri" w:hAnsi="Palatino Linotype" w:cs="Arial"/>
        </w:rPr>
        <w:t>mediante la cual solicitó:</w:t>
      </w:r>
    </w:p>
    <w:p w14:paraId="718F0BAA" w14:textId="77777777" w:rsidR="007F7B11" w:rsidRPr="00CA6269" w:rsidRDefault="007F7B11" w:rsidP="00CA6269">
      <w:pPr>
        <w:spacing w:line="360" w:lineRule="auto"/>
        <w:ind w:left="360"/>
        <w:contextualSpacing/>
        <w:jc w:val="both"/>
        <w:rPr>
          <w:rFonts w:ascii="Palatino Linotype" w:eastAsiaTheme="minorEastAsia" w:hAnsi="Palatino Linotype" w:cstheme="minorBidi"/>
          <w:i/>
          <w:color w:val="000000"/>
          <w:lang w:val="es-ES_tradnl"/>
        </w:rPr>
      </w:pPr>
    </w:p>
    <w:p w14:paraId="17BF7598" w14:textId="0ACE1418" w:rsidR="007F7B11" w:rsidRPr="00CA6269" w:rsidRDefault="007F7B11" w:rsidP="00CA6269">
      <w:pPr>
        <w:spacing w:line="360" w:lineRule="auto"/>
        <w:ind w:left="567" w:right="567"/>
        <w:contextualSpacing/>
        <w:jc w:val="both"/>
        <w:rPr>
          <w:rFonts w:ascii="Palatino Linotype" w:eastAsiaTheme="minorEastAsia" w:hAnsi="Palatino Linotype" w:cstheme="minorBidi"/>
          <w:color w:val="000000"/>
          <w:lang w:val="es-ES_tradnl"/>
        </w:rPr>
      </w:pPr>
      <w:r w:rsidRPr="00CA6269">
        <w:rPr>
          <w:rFonts w:ascii="Palatino Linotype" w:eastAsiaTheme="minorEastAsia" w:hAnsi="Palatino Linotype" w:cstheme="minorBidi"/>
          <w:i/>
          <w:color w:val="000000"/>
          <w:lang w:val="es-ES_tradnl"/>
        </w:rPr>
        <w:t>“</w:t>
      </w:r>
      <w:r w:rsidR="00EB0CEE" w:rsidRPr="00EB0CEE">
        <w:rPr>
          <w:rFonts w:ascii="Palatino Linotype" w:eastAsiaTheme="minorEastAsia" w:hAnsi="Palatino Linotype" w:cstheme="minorBidi"/>
          <w:i/>
          <w:color w:val="000000"/>
          <w:lang w:val="es-ES_tradnl"/>
        </w:rPr>
        <w:t>Solicito el manual de procedimientos vigentes y aplicable para el Tribunal Estatal de Conciliación y Arbitraje</w:t>
      </w:r>
      <w:r w:rsidR="00EB0CEE">
        <w:rPr>
          <w:rFonts w:ascii="Palatino Linotype" w:eastAsiaTheme="minorEastAsia" w:hAnsi="Palatino Linotype" w:cstheme="minorBidi"/>
          <w:i/>
          <w:color w:val="000000"/>
          <w:lang w:val="es-ES_tradnl"/>
        </w:rPr>
        <w:t>.</w:t>
      </w:r>
      <w:r w:rsidR="00E176F9" w:rsidRPr="00CA6269">
        <w:rPr>
          <w:rFonts w:ascii="Palatino Linotype" w:eastAsiaTheme="minorEastAsia" w:hAnsi="Palatino Linotype" w:cstheme="minorBidi"/>
          <w:i/>
          <w:color w:val="000000"/>
          <w:lang w:val="es-ES_tradnl"/>
        </w:rPr>
        <w:t>.</w:t>
      </w:r>
      <w:r w:rsidR="000C53E4" w:rsidRPr="00CA6269">
        <w:rPr>
          <w:rFonts w:ascii="Palatino Linotype" w:eastAsiaTheme="minorEastAsia" w:hAnsi="Palatino Linotype" w:cstheme="minorBidi"/>
          <w:i/>
          <w:color w:val="000000"/>
          <w:lang w:val="es-ES_tradnl"/>
        </w:rPr>
        <w:t>.</w:t>
      </w:r>
      <w:r w:rsidRPr="00CA6269">
        <w:rPr>
          <w:rFonts w:ascii="Palatino Linotype" w:eastAsiaTheme="minorEastAsia" w:hAnsi="Palatino Linotype" w:cstheme="minorBidi"/>
          <w:i/>
          <w:color w:val="000000"/>
          <w:lang w:val="es-ES_tradnl"/>
        </w:rPr>
        <w:t>”</w:t>
      </w:r>
      <w:r w:rsidRPr="00CA6269">
        <w:rPr>
          <w:rFonts w:ascii="Palatino Linotype" w:eastAsiaTheme="minorEastAsia" w:hAnsi="Palatino Linotype" w:cstheme="minorBidi"/>
          <w:color w:val="000000"/>
          <w:lang w:val="es-ES_tradnl"/>
        </w:rPr>
        <w:t xml:space="preserve"> (Sic)</w:t>
      </w:r>
    </w:p>
    <w:p w14:paraId="270EF866" w14:textId="77777777" w:rsidR="007F7B11" w:rsidRPr="00CA6269" w:rsidRDefault="007F7B11" w:rsidP="00CA6269">
      <w:pPr>
        <w:spacing w:line="360" w:lineRule="auto"/>
        <w:jc w:val="both"/>
        <w:rPr>
          <w:rFonts w:ascii="Palatino Linotype" w:hAnsi="Palatino Linotype" w:cs="Arial"/>
        </w:rPr>
      </w:pPr>
    </w:p>
    <w:p w14:paraId="7A8253AD" w14:textId="400D92F6" w:rsidR="00E176F9" w:rsidRPr="00CA6269" w:rsidRDefault="007F7B11"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CA6269">
        <w:rPr>
          <w:rFonts w:ascii="Palatino Linotype" w:eastAsia="Calibri" w:hAnsi="Palatino Linotype" w:cs="Arial"/>
          <w:lang w:val="es-AR"/>
        </w:rPr>
        <w:lastRenderedPageBreak/>
        <w:t xml:space="preserve">De las constancias </w:t>
      </w:r>
      <w:r w:rsidRPr="00CA6269">
        <w:rPr>
          <w:rFonts w:ascii="Palatino Linotype" w:hAnsi="Palatino Linotype" w:cs="Arial"/>
        </w:rPr>
        <w:t xml:space="preserve">que obran en el expediente, se aprecia que el entonces </w:t>
      </w:r>
      <w:r w:rsidRPr="00CA6269">
        <w:rPr>
          <w:rFonts w:ascii="Palatino Linotype" w:hAnsi="Palatino Linotype" w:cs="Arial"/>
          <w:b/>
        </w:rPr>
        <w:t>SOLICITANTE</w:t>
      </w:r>
      <w:r w:rsidRPr="00CA6269">
        <w:rPr>
          <w:rFonts w:ascii="Palatino Linotype" w:hAnsi="Palatino Linotype" w:cs="Arial"/>
        </w:rPr>
        <w:t xml:space="preserve"> señaló como modalidad de entrega de la información:</w:t>
      </w:r>
      <w:r w:rsidRPr="00CA6269">
        <w:rPr>
          <w:rFonts w:ascii="Palatino Linotype" w:hAnsi="Palatino Linotype" w:cs="Arial"/>
          <w:b/>
        </w:rPr>
        <w:t xml:space="preserve"> </w:t>
      </w:r>
      <w:r w:rsidRPr="00CA6269">
        <w:rPr>
          <w:rFonts w:ascii="Palatino Linotype" w:eastAsiaTheme="minorEastAsia" w:hAnsi="Palatino Linotype" w:cstheme="minorBidi"/>
          <w:b/>
          <w:lang w:val="es-ES_tradnl"/>
        </w:rPr>
        <w:t xml:space="preserve">A través del </w:t>
      </w:r>
      <w:r w:rsidR="0060001F" w:rsidRPr="00CA6269">
        <w:rPr>
          <w:rFonts w:ascii="Palatino Linotype" w:eastAsiaTheme="minorEastAsia" w:hAnsi="Palatino Linotype" w:cstheme="minorBidi"/>
          <w:b/>
          <w:lang w:val="es-ES_tradnl"/>
        </w:rPr>
        <w:t>SAIMEX</w:t>
      </w:r>
      <w:r w:rsidRPr="00CA6269">
        <w:rPr>
          <w:rFonts w:ascii="Palatino Linotype" w:eastAsiaTheme="minorEastAsia" w:hAnsi="Palatino Linotype" w:cstheme="minorBidi"/>
          <w:b/>
          <w:lang w:val="es-ES_tradnl"/>
        </w:rPr>
        <w:t>.</w:t>
      </w:r>
    </w:p>
    <w:p w14:paraId="63CBCB65" w14:textId="77777777" w:rsidR="00E176F9" w:rsidRPr="00CA6269" w:rsidRDefault="00E176F9" w:rsidP="00CA6269">
      <w:pPr>
        <w:tabs>
          <w:tab w:val="left" w:pos="284"/>
        </w:tabs>
        <w:spacing w:before="240" w:after="240" w:line="360" w:lineRule="auto"/>
        <w:contextualSpacing/>
        <w:jc w:val="both"/>
        <w:rPr>
          <w:rFonts w:ascii="Palatino Linotype" w:eastAsia="MS Mincho" w:hAnsi="Palatino Linotype"/>
          <w:lang w:val="es-ES_tradnl"/>
        </w:rPr>
      </w:pPr>
    </w:p>
    <w:p w14:paraId="25B833D0" w14:textId="7533A5DB" w:rsidR="00E176F9" w:rsidRPr="00E176F9" w:rsidRDefault="00E176F9"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E176F9">
        <w:rPr>
          <w:rFonts w:ascii="Palatino Linotype" w:eastAsiaTheme="minorEastAsia" w:hAnsi="Palatino Linotype" w:cstheme="minorBidi"/>
          <w:color w:val="000000" w:themeColor="text1"/>
          <w:lang w:val="es-ES_tradnl"/>
        </w:rPr>
        <w:t xml:space="preserve">El </w:t>
      </w:r>
      <w:r w:rsidR="00EB0CEE">
        <w:rPr>
          <w:rFonts w:ascii="Palatino Linotype" w:eastAsiaTheme="minorEastAsia" w:hAnsi="Palatino Linotype" w:cstheme="minorBidi"/>
          <w:color w:val="000000" w:themeColor="text1"/>
          <w:lang w:val="es-ES_tradnl"/>
        </w:rPr>
        <w:t>uno (01</w:t>
      </w:r>
      <w:r w:rsidRPr="00E176F9">
        <w:rPr>
          <w:rFonts w:ascii="Palatino Linotype" w:eastAsiaTheme="minorEastAsia" w:hAnsi="Palatino Linotype" w:cstheme="minorBidi"/>
          <w:color w:val="000000" w:themeColor="text1"/>
          <w:lang w:val="es-ES_tradnl"/>
        </w:rPr>
        <w:t>) de</w:t>
      </w:r>
      <w:r w:rsidR="00EB0CEE">
        <w:rPr>
          <w:rFonts w:ascii="Palatino Linotype" w:eastAsiaTheme="minorEastAsia" w:hAnsi="Palatino Linotype" w:cstheme="minorBidi"/>
          <w:color w:val="000000" w:themeColor="text1"/>
          <w:lang w:val="es-ES_tradnl"/>
        </w:rPr>
        <w:t xml:space="preserve"> febrero </w:t>
      </w:r>
      <w:r w:rsidRPr="00E176F9">
        <w:rPr>
          <w:rFonts w:ascii="Palatino Linotype" w:eastAsiaTheme="minorEastAsia" w:hAnsi="Palatino Linotype" w:cstheme="minorBidi"/>
          <w:color w:val="000000" w:themeColor="text1"/>
          <w:lang w:val="es-ES_tradnl"/>
        </w:rPr>
        <w:t>de dos mil</w:t>
      </w:r>
      <w:r w:rsidR="00EB0CEE">
        <w:rPr>
          <w:rFonts w:ascii="Palatino Linotype" w:eastAsiaTheme="minorEastAsia" w:hAnsi="Palatino Linotype" w:cstheme="minorBidi"/>
          <w:color w:val="000000" w:themeColor="text1"/>
          <w:lang w:val="es-ES_tradnl"/>
        </w:rPr>
        <w:t xml:space="preserve"> veintidós</w:t>
      </w:r>
      <w:r w:rsidRPr="00E176F9">
        <w:rPr>
          <w:rFonts w:ascii="Palatino Linotype" w:eastAsiaTheme="minorEastAsia" w:hAnsi="Palatino Linotype" w:cstheme="minorBidi"/>
          <w:color w:val="000000" w:themeColor="text1"/>
          <w:lang w:val="es-ES_tradnl"/>
        </w:rPr>
        <w:t xml:space="preserve">, el </w:t>
      </w:r>
      <w:r w:rsidRPr="00E176F9">
        <w:rPr>
          <w:rFonts w:ascii="Palatino Linotype" w:eastAsiaTheme="minorEastAsia" w:hAnsi="Palatino Linotype" w:cstheme="minorBidi"/>
          <w:b/>
          <w:color w:val="000000" w:themeColor="text1"/>
          <w:lang w:val="es-ES_tradnl"/>
        </w:rPr>
        <w:t>SUJETO OBLIGADO</w:t>
      </w:r>
      <w:r w:rsidRPr="00E176F9">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6A87C72" w14:textId="77777777" w:rsidR="00E176F9" w:rsidRPr="00E176F9" w:rsidRDefault="00E176F9" w:rsidP="00CA6269">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201548E9" w14:textId="249D5992" w:rsidR="00EB0CEE" w:rsidRPr="00EB0CEE" w:rsidRDefault="00E176F9" w:rsidP="00EB0CEE">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176F9">
        <w:rPr>
          <w:rFonts w:ascii="Palatino Linotype" w:eastAsiaTheme="minorEastAsia" w:hAnsi="Palatino Linotype" w:cstheme="minorBidi"/>
          <w:i/>
          <w:noProof/>
          <w:color w:val="000000" w:themeColor="text1"/>
          <w:lang w:val="es-MX" w:eastAsia="es-MX"/>
        </w:rPr>
        <w:t>“</w:t>
      </w:r>
      <w:r w:rsidR="00EB0CEE" w:rsidRPr="00EB0CEE">
        <w:rPr>
          <w:rFonts w:ascii="Palatino Linotype" w:eastAsiaTheme="minorEastAsia" w:hAnsi="Palatino Linotype" w:cstheme="minorBidi"/>
          <w:i/>
          <w:noProof/>
          <w:color w:val="000000" w:themeColor="text1"/>
          <w:lang w:val="es-MX" w:eastAsia="es-MX"/>
        </w:rPr>
        <w:t>Metepec, México a 01 de Febrero de 2022</w:t>
      </w:r>
    </w:p>
    <w:p w14:paraId="6B9AC3F2" w14:textId="77777777" w:rsidR="00EB0CEE" w:rsidRPr="00EB0CEE" w:rsidRDefault="00EB0CEE" w:rsidP="00EB0CEE">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B0CEE">
        <w:rPr>
          <w:rFonts w:ascii="Palatino Linotype" w:eastAsiaTheme="minorEastAsia" w:hAnsi="Palatino Linotype" w:cstheme="minorBidi"/>
          <w:i/>
          <w:noProof/>
          <w:color w:val="000000" w:themeColor="text1"/>
          <w:lang w:val="es-MX" w:eastAsia="es-MX"/>
        </w:rPr>
        <w:t>Nombre del solicitante:</w:t>
      </w:r>
    </w:p>
    <w:p w14:paraId="2B5C08B0" w14:textId="68CBF209" w:rsidR="00EB0CEE" w:rsidRDefault="00EB0CEE" w:rsidP="00EB0CEE">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B0CEE">
        <w:rPr>
          <w:rFonts w:ascii="Palatino Linotype" w:eastAsiaTheme="minorEastAsia" w:hAnsi="Palatino Linotype" w:cstheme="minorBidi"/>
          <w:i/>
          <w:noProof/>
          <w:color w:val="000000" w:themeColor="text1"/>
          <w:lang w:val="es-MX" w:eastAsia="es-MX"/>
        </w:rPr>
        <w:t>Folio de la solicitud: 00007/TRIECA/IP/2022</w:t>
      </w:r>
    </w:p>
    <w:p w14:paraId="73114425" w14:textId="77777777" w:rsidR="00EB0CEE" w:rsidRPr="00EB0CEE" w:rsidRDefault="00EB0CEE" w:rsidP="00EB0CEE">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04C5FF77" w14:textId="29D65BF3" w:rsidR="00EB0CEE" w:rsidRDefault="00EB0CEE" w:rsidP="00EB0CEE">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EB0CEE">
        <w:rPr>
          <w:rFonts w:ascii="Palatino Linotype" w:eastAsiaTheme="minorEastAsia" w:hAnsi="Palatino Linotype" w:cstheme="minorBidi"/>
          <w:i/>
          <w:noProof/>
          <w:color w:val="000000" w:themeColor="text1"/>
          <w:lang w:val="es-MX" w:eastAsia="es-MX"/>
        </w:rPr>
        <w:t>Estimado Solicitante: En respuesta a su solicitud 00007/TRIECA/IP/2022 donde usted "Solicito el manual de procedimientos vigentes y aplicable para el Tribunal Estatal de Conciliación y Arbitraje" Le comento que puede encontrar este documento el la pagina de esta institución http://teca.edomex.gob.mx/marco_juridico sin mas por momento reciba usted un cordial saludo.</w:t>
      </w:r>
      <w:bookmarkStart w:id="3" w:name="_GoBack"/>
      <w:bookmarkEnd w:id="3"/>
    </w:p>
    <w:p w14:paraId="1F92378C" w14:textId="77777777" w:rsidR="00EB0CEE" w:rsidRPr="00EB0CEE" w:rsidRDefault="00EB0CEE" w:rsidP="00EB0CEE">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3AE61C32" w14:textId="77777777" w:rsidR="00EB0CEE" w:rsidRPr="00EB0CEE" w:rsidRDefault="00EB0CEE" w:rsidP="00EB0CEE">
      <w:pPr>
        <w:spacing w:line="360" w:lineRule="auto"/>
        <w:ind w:left="567" w:right="567"/>
        <w:rPr>
          <w:rFonts w:ascii="Palatino Linotype" w:eastAsiaTheme="minorEastAsia" w:hAnsi="Palatino Linotype" w:cstheme="minorBidi"/>
          <w:i/>
          <w:noProof/>
          <w:color w:val="000000" w:themeColor="text1"/>
          <w:lang w:val="es-MX" w:eastAsia="es-MX"/>
        </w:rPr>
      </w:pPr>
      <w:r w:rsidRPr="00EB0CEE">
        <w:rPr>
          <w:rFonts w:ascii="Palatino Linotype" w:eastAsiaTheme="minorEastAsia" w:hAnsi="Palatino Linotype" w:cstheme="minorBidi"/>
          <w:i/>
          <w:noProof/>
          <w:color w:val="000000" w:themeColor="text1"/>
          <w:lang w:val="es-MX" w:eastAsia="es-MX"/>
        </w:rPr>
        <w:t>ATENTAMENTE</w:t>
      </w:r>
    </w:p>
    <w:p w14:paraId="1093F52C" w14:textId="499C8ECC" w:rsidR="00E176F9" w:rsidRPr="00E176F9" w:rsidRDefault="00EB0CEE" w:rsidP="00EB0CEE">
      <w:pPr>
        <w:spacing w:line="360" w:lineRule="auto"/>
        <w:ind w:left="567" w:right="567"/>
        <w:rPr>
          <w:rFonts w:ascii="Palatino Linotype" w:eastAsiaTheme="minorEastAsia" w:hAnsi="Palatino Linotype" w:cstheme="minorBidi"/>
          <w:i/>
          <w:noProof/>
          <w:color w:val="000000" w:themeColor="text1"/>
          <w:lang w:val="es-MX" w:eastAsia="es-MX"/>
        </w:rPr>
      </w:pPr>
      <w:r w:rsidRPr="00EB0CEE">
        <w:rPr>
          <w:rFonts w:ascii="Palatino Linotype" w:eastAsiaTheme="minorEastAsia" w:hAnsi="Palatino Linotype" w:cstheme="minorBidi"/>
          <w:i/>
          <w:noProof/>
          <w:color w:val="000000" w:themeColor="text1"/>
          <w:lang w:val="es-MX" w:eastAsia="es-MX"/>
        </w:rPr>
        <w:t>I.S.C. ANGÉLICA GARCÍA HERRERA</w:t>
      </w:r>
      <w:r w:rsidR="00E176F9" w:rsidRPr="00E176F9">
        <w:rPr>
          <w:rFonts w:ascii="Palatino Linotype" w:eastAsiaTheme="minorEastAsia" w:hAnsi="Palatino Linotype" w:cstheme="minorBidi"/>
          <w:i/>
          <w:noProof/>
          <w:color w:val="000000" w:themeColor="text1"/>
          <w:lang w:val="es-MX" w:eastAsia="es-MX"/>
        </w:rPr>
        <w:t>.” (Sic)</w:t>
      </w:r>
    </w:p>
    <w:p w14:paraId="17316424" w14:textId="77777777" w:rsidR="00E176F9" w:rsidRPr="00E176F9" w:rsidRDefault="00E176F9" w:rsidP="00CA6269">
      <w:pPr>
        <w:spacing w:line="360" w:lineRule="auto"/>
        <w:ind w:left="567" w:right="567"/>
        <w:rPr>
          <w:rFonts w:ascii="Palatino Linotype" w:eastAsiaTheme="minorEastAsia" w:hAnsi="Palatino Linotype" w:cstheme="minorBidi"/>
          <w:i/>
          <w:noProof/>
          <w:color w:val="000000" w:themeColor="text1"/>
          <w:lang w:val="es-MX" w:eastAsia="es-MX"/>
        </w:rPr>
      </w:pPr>
    </w:p>
    <w:p w14:paraId="1D2FBD05" w14:textId="0C672349" w:rsidR="007F7B11" w:rsidRPr="00EB0CEE" w:rsidRDefault="007F7B11" w:rsidP="00CA6269">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MX"/>
        </w:rPr>
      </w:pPr>
    </w:p>
    <w:p w14:paraId="5FCB9BAC" w14:textId="2E1BCBE2" w:rsidR="0060001F" w:rsidRPr="00CA6269" w:rsidRDefault="007F7B11" w:rsidP="00CA6269">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CA6269">
        <w:rPr>
          <w:rFonts w:ascii="Palatino Linotype" w:hAnsi="Palatino Linotype" w:cs="Arial"/>
          <w:lang w:val="es-ES_tradnl"/>
        </w:rPr>
        <w:lastRenderedPageBreak/>
        <w:t>Derivado de la</w:t>
      </w:r>
      <w:r w:rsidR="0060001F" w:rsidRPr="00CA6269">
        <w:rPr>
          <w:rFonts w:ascii="Palatino Linotype" w:hAnsi="Palatino Linotype" w:cs="Arial"/>
          <w:lang w:val="es-ES_tradnl"/>
        </w:rPr>
        <w:t xml:space="preserve"> falta de</w:t>
      </w:r>
      <w:r w:rsidRPr="00CA6269">
        <w:rPr>
          <w:rFonts w:ascii="Palatino Linotype" w:hAnsi="Palatino Linotype" w:cs="Arial"/>
          <w:lang w:val="es-ES_tradnl"/>
        </w:rPr>
        <w:t xml:space="preserve"> respuesta, el</w:t>
      </w:r>
      <w:r w:rsidRPr="00CA6269">
        <w:rPr>
          <w:rFonts w:ascii="Palatino Linotype" w:hAnsi="Palatino Linotype" w:cs="Arial"/>
        </w:rPr>
        <w:t xml:space="preserve"> </w:t>
      </w:r>
      <w:r w:rsidR="00EB0CEE">
        <w:rPr>
          <w:rFonts w:ascii="Palatino Linotype" w:hAnsi="Palatino Linotype" w:cs="Arial"/>
        </w:rPr>
        <w:t>uno (01</w:t>
      </w:r>
      <w:r w:rsidRPr="00CA6269">
        <w:rPr>
          <w:rFonts w:ascii="Palatino Linotype" w:hAnsi="Palatino Linotype" w:cs="Arial"/>
        </w:rPr>
        <w:t>) de</w:t>
      </w:r>
      <w:r w:rsidR="00EB0CEE">
        <w:rPr>
          <w:rFonts w:ascii="Palatino Linotype" w:hAnsi="Palatino Linotype" w:cs="Arial"/>
        </w:rPr>
        <w:t xml:space="preserve"> febrero</w:t>
      </w:r>
      <w:r w:rsidR="00B537D4" w:rsidRPr="00CA6269">
        <w:rPr>
          <w:rFonts w:ascii="Palatino Linotype" w:hAnsi="Palatino Linotype" w:cs="Arial"/>
        </w:rPr>
        <w:t xml:space="preserve"> </w:t>
      </w:r>
      <w:r w:rsidR="0060001F" w:rsidRPr="00CA6269">
        <w:rPr>
          <w:rFonts w:ascii="Palatino Linotype" w:hAnsi="Palatino Linotype" w:cs="Arial"/>
        </w:rPr>
        <w:t xml:space="preserve">de dos </w:t>
      </w:r>
      <w:r w:rsidR="0083296F">
        <w:rPr>
          <w:rFonts w:ascii="Palatino Linotype" w:hAnsi="Palatino Linotype" w:cs="Arial"/>
        </w:rPr>
        <w:t>mil veintidós</w:t>
      </w:r>
      <w:r w:rsidRPr="00CA6269">
        <w:rPr>
          <w:rFonts w:ascii="Palatino Linotype" w:hAnsi="Palatino Linotype" w:cs="Arial"/>
        </w:rPr>
        <w:t>, el particular interpuso el recurso de revisión con número indicado al rubro y señalando como:</w:t>
      </w:r>
    </w:p>
    <w:p w14:paraId="2D1E09E7" w14:textId="77777777" w:rsidR="0060001F" w:rsidRPr="00CA6269" w:rsidRDefault="0060001F" w:rsidP="00CA6269">
      <w:pPr>
        <w:pStyle w:val="Prrafodelista"/>
        <w:spacing w:line="360" w:lineRule="auto"/>
        <w:rPr>
          <w:rFonts w:ascii="Palatino Linotype" w:hAnsi="Palatino Linotype" w:cs="Arial"/>
          <w:b/>
        </w:rPr>
      </w:pPr>
    </w:p>
    <w:p w14:paraId="46AD8467" w14:textId="77C0A8BD" w:rsidR="007F7B11" w:rsidRPr="00CA6269" w:rsidRDefault="007F7B11" w:rsidP="00EB0CEE">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lang w:val="es-ES_tradnl"/>
        </w:rPr>
      </w:pPr>
      <w:r w:rsidRPr="00CA6269">
        <w:rPr>
          <w:rFonts w:ascii="Palatino Linotype" w:hAnsi="Palatino Linotype" w:cs="Arial"/>
          <w:b/>
        </w:rPr>
        <w:t>Acto impugnado:</w:t>
      </w:r>
      <w:r w:rsidRPr="00CA6269">
        <w:rPr>
          <w:rFonts w:ascii="Palatino Linotype" w:hAnsi="Palatino Linotype" w:cs="Arial"/>
        </w:rPr>
        <w:t xml:space="preserve"> </w:t>
      </w:r>
      <w:r w:rsidRPr="00CA6269">
        <w:rPr>
          <w:rFonts w:ascii="Palatino Linotype" w:hAnsi="Palatino Linotype" w:cs="Arial"/>
          <w:i/>
        </w:rPr>
        <w:t>“</w:t>
      </w:r>
      <w:r w:rsidR="00EB0CEE" w:rsidRPr="00EB0CEE">
        <w:rPr>
          <w:rFonts w:ascii="Palatino Linotype" w:hAnsi="Palatino Linotype" w:cs="Arial"/>
          <w:i/>
        </w:rPr>
        <w:t>No se entrega la información en la modalidad solicitada.</w:t>
      </w:r>
      <w:r w:rsidRPr="00CA6269">
        <w:rPr>
          <w:rFonts w:ascii="Palatino Linotype" w:hAnsi="Palatino Linotype" w:cs="Arial"/>
          <w:i/>
        </w:rPr>
        <w:t>” (Sic).</w:t>
      </w:r>
    </w:p>
    <w:p w14:paraId="09BD370B" w14:textId="77777777" w:rsidR="007F7B11" w:rsidRPr="00CA6269" w:rsidRDefault="007F7B11" w:rsidP="00CA6269">
      <w:pPr>
        <w:tabs>
          <w:tab w:val="left" w:pos="426"/>
          <w:tab w:val="left" w:pos="993"/>
        </w:tabs>
        <w:spacing w:line="360" w:lineRule="auto"/>
        <w:ind w:left="567" w:right="738"/>
        <w:contextualSpacing/>
        <w:jc w:val="both"/>
        <w:rPr>
          <w:rFonts w:ascii="Palatino Linotype" w:hAnsi="Palatino Linotype" w:cs="Arial"/>
        </w:rPr>
      </w:pPr>
    </w:p>
    <w:p w14:paraId="3AF54962" w14:textId="7A959CD1" w:rsidR="007F7B11" w:rsidRPr="00CA6269" w:rsidRDefault="007F7B11" w:rsidP="00EB0CEE">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CA6269">
        <w:rPr>
          <w:rFonts w:ascii="Palatino Linotype" w:hAnsi="Palatino Linotype" w:cs="Arial"/>
          <w:b/>
        </w:rPr>
        <w:t>Razones o motivos de inconformidad:</w:t>
      </w:r>
      <w:r w:rsidRPr="00CA6269">
        <w:rPr>
          <w:rFonts w:ascii="Palatino Linotype" w:hAnsi="Palatino Linotype" w:cs="Arial"/>
        </w:rPr>
        <w:t xml:space="preserve"> </w:t>
      </w:r>
      <w:r w:rsidRPr="00CA6269">
        <w:rPr>
          <w:rFonts w:ascii="Palatino Linotype" w:hAnsi="Palatino Linotype" w:cs="Arial"/>
          <w:i/>
        </w:rPr>
        <w:t>“</w:t>
      </w:r>
      <w:r w:rsidR="00EB0CEE" w:rsidRPr="00EB0CEE">
        <w:rPr>
          <w:rFonts w:ascii="Palatino Linotype" w:hAnsi="Palatino Linotype" w:cs="Arial"/>
          <w:i/>
        </w:rPr>
        <w:t>Solicite el manual y me envíen una liga en la cual al ingresar hay muchas leyes, asimismo y con fundamento en lo que dispone la ley de Transparencia del Estado de México en el caso de que la información ya se encuentre disponible en libros o páginas electrónicas el sujeto obligado deberá hacerlo de conocimiento al solicitante en un término de 5 días, lo cual no ocurrió y aunado a ello se debe anexar un instructivo para encontrar la información pues no se trata de que como solicitante la busque entre toda la información qué hay. Por tanto el sujeto obligado no cumple con entregarme lo solicitado.</w:t>
      </w:r>
      <w:r w:rsidR="00EB0CEE">
        <w:rPr>
          <w:rFonts w:ascii="Palatino Linotype" w:hAnsi="Palatino Linotype" w:cs="Arial"/>
          <w:i/>
        </w:rPr>
        <w:t>.</w:t>
      </w:r>
      <w:r w:rsidR="00B537D4" w:rsidRPr="00CA6269">
        <w:rPr>
          <w:rFonts w:ascii="Palatino Linotype" w:hAnsi="Palatino Linotype" w:cs="Arial"/>
          <w:i/>
        </w:rPr>
        <w:t>.</w:t>
      </w:r>
      <w:r w:rsidRPr="00CA6269">
        <w:rPr>
          <w:rFonts w:ascii="Palatino Linotype" w:hAnsi="Palatino Linotype" w:cs="Arial"/>
          <w:i/>
        </w:rPr>
        <w:t>” (Sic).</w:t>
      </w:r>
    </w:p>
    <w:p w14:paraId="6F0D0AC4" w14:textId="77777777" w:rsidR="007F7B11" w:rsidRPr="00CA6269" w:rsidRDefault="007F7B11" w:rsidP="00CA6269">
      <w:pPr>
        <w:spacing w:line="360" w:lineRule="auto"/>
        <w:ind w:left="360" w:right="34"/>
        <w:jc w:val="both"/>
        <w:rPr>
          <w:rFonts w:ascii="Palatino Linotype" w:eastAsiaTheme="majorEastAsia" w:hAnsi="Palatino Linotype" w:cstheme="majorBidi"/>
          <w:b/>
          <w:lang w:eastAsia="en-US"/>
        </w:rPr>
      </w:pPr>
    </w:p>
    <w:p w14:paraId="6262FD0F" w14:textId="77777777" w:rsidR="007F7B11" w:rsidRPr="00CA6269"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CA6269">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CA6269">
        <w:rPr>
          <w:rFonts w:ascii="Palatino Linotype" w:eastAsia="Calibri" w:hAnsi="Palatino Linotype" w:cs="Arial"/>
          <w:b/>
        </w:rPr>
        <w:t>Ley de Transparencia y Acceso a la Información Pública del Estado de México y Municipios</w:t>
      </w:r>
      <w:r w:rsidRPr="00CA6269">
        <w:rPr>
          <w:rFonts w:ascii="Palatino Linotype" w:eastAsia="Calibri" w:hAnsi="Palatino Linotype" w:cs="Arial"/>
        </w:rPr>
        <w:t xml:space="preserve">, se turnó a la </w:t>
      </w:r>
      <w:r w:rsidRPr="00CA6269">
        <w:rPr>
          <w:rFonts w:ascii="Palatino Linotype" w:eastAsia="Calibri" w:hAnsi="Palatino Linotype" w:cs="Arial"/>
          <w:b/>
        </w:rPr>
        <w:t>Comisionada María del Rosario Mejía Ayala</w:t>
      </w:r>
      <w:r w:rsidRPr="00CA6269">
        <w:rPr>
          <w:rFonts w:ascii="Palatino Linotype" w:eastAsia="Calibri" w:hAnsi="Palatino Linotype" w:cs="Arial"/>
        </w:rPr>
        <w:t>, con el objeto de su análisis.</w:t>
      </w:r>
    </w:p>
    <w:p w14:paraId="0A930C08" w14:textId="77777777" w:rsidR="007F7B11" w:rsidRPr="00CA6269"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464151BE" w14:textId="208BE8F5" w:rsidR="007F7B11" w:rsidRPr="00CA6269"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CA6269">
        <w:rPr>
          <w:rFonts w:ascii="Palatino Linotype" w:eastAsia="Calibri" w:hAnsi="Palatino Linotype" w:cs="Arial"/>
        </w:rPr>
        <w:lastRenderedPageBreak/>
        <w:t>La Comisionada Ponente, con fundamento en lo dispuesto por el artículo 185 fracción II de la ley de la materia, a tr</w:t>
      </w:r>
      <w:r w:rsidR="00B537D4" w:rsidRPr="00CA6269">
        <w:rPr>
          <w:rFonts w:ascii="Palatino Linotype" w:eastAsia="Calibri" w:hAnsi="Palatino Linotype" w:cs="Arial"/>
        </w:rPr>
        <w:t>avés d</w:t>
      </w:r>
      <w:r w:rsidR="00925779">
        <w:rPr>
          <w:rFonts w:ascii="Palatino Linotype" w:eastAsia="Calibri" w:hAnsi="Palatino Linotype" w:cs="Arial"/>
        </w:rPr>
        <w:t>el acuerdo de admisión de nueve</w:t>
      </w:r>
      <w:r w:rsidR="0060001F" w:rsidRPr="00CA6269">
        <w:rPr>
          <w:rFonts w:ascii="Palatino Linotype" w:eastAsia="Calibri" w:hAnsi="Palatino Linotype" w:cs="Arial"/>
        </w:rPr>
        <w:t xml:space="preserve"> </w:t>
      </w:r>
      <w:r w:rsidR="00925779">
        <w:rPr>
          <w:rFonts w:ascii="Palatino Linotype" w:eastAsia="Calibri" w:hAnsi="Palatino Linotype" w:cs="Arial"/>
        </w:rPr>
        <w:t xml:space="preserve"> (09</w:t>
      </w:r>
      <w:r w:rsidR="00AD0232" w:rsidRPr="00CA6269">
        <w:rPr>
          <w:rFonts w:ascii="Palatino Linotype" w:eastAsia="Calibri" w:hAnsi="Palatino Linotype" w:cs="Arial"/>
        </w:rPr>
        <w:t>) de</w:t>
      </w:r>
      <w:r w:rsidR="00925779">
        <w:rPr>
          <w:rFonts w:ascii="Palatino Linotype" w:eastAsia="Calibri" w:hAnsi="Palatino Linotype" w:cs="Arial"/>
        </w:rPr>
        <w:t xml:space="preserve"> febrero </w:t>
      </w:r>
      <w:r w:rsidRPr="00CA6269">
        <w:rPr>
          <w:rFonts w:ascii="Palatino Linotype" w:eastAsia="Calibri" w:hAnsi="Palatino Linotype" w:cs="Arial"/>
        </w:rPr>
        <w:t xml:space="preserve">de dos mil </w:t>
      </w:r>
      <w:r w:rsidR="00925779" w:rsidRPr="00CA6269">
        <w:rPr>
          <w:rFonts w:ascii="Palatino Linotype" w:eastAsia="Calibri" w:hAnsi="Palatino Linotype" w:cs="Arial"/>
        </w:rPr>
        <w:t>veinti</w:t>
      </w:r>
      <w:r w:rsidR="00925779">
        <w:rPr>
          <w:rFonts w:ascii="Palatino Linotype" w:eastAsia="Calibri" w:hAnsi="Palatino Linotype" w:cs="Arial"/>
        </w:rPr>
        <w:t>dós,</w:t>
      </w:r>
      <w:r w:rsidRPr="00CA6269">
        <w:rPr>
          <w:rFonts w:ascii="Palatino Linotype" w:eastAsia="Calibri" w:hAnsi="Palatino Linotype" w:cs="Arial"/>
        </w:rPr>
        <w:t xml:space="preserve"> puso a disposición de las partes el expediente electrónico </w:t>
      </w:r>
      <w:r w:rsidRPr="00CA6269">
        <w:rPr>
          <w:rFonts w:ascii="Palatino Linotype" w:eastAsia="Calibri" w:hAnsi="Palatino Linotype" w:cs="Arial"/>
          <w:lang w:val="es-ES_tradnl"/>
        </w:rPr>
        <w:t xml:space="preserve">vía </w:t>
      </w:r>
      <w:r w:rsidRPr="00CA6269">
        <w:rPr>
          <w:rFonts w:ascii="Palatino Linotype" w:eastAsia="Calibri" w:hAnsi="Palatino Linotype" w:cs="Arial"/>
        </w:rPr>
        <w:t xml:space="preserve">Sistema de Acceso a la Información Mexiquense </w:t>
      </w:r>
      <w:r w:rsidRPr="00CA6269">
        <w:rPr>
          <w:rFonts w:ascii="Palatino Linotype" w:eastAsia="Calibri" w:hAnsi="Palatino Linotype" w:cs="Arial"/>
          <w:b/>
        </w:rPr>
        <w:t xml:space="preserve">SAIMEX </w:t>
      </w:r>
      <w:r w:rsidRPr="00CA6269">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forma para que el </w:t>
      </w:r>
      <w:r w:rsidRPr="00CA6269">
        <w:rPr>
          <w:rFonts w:ascii="Palatino Linotype" w:eastAsia="Calibri" w:hAnsi="Palatino Linotype" w:cs="Arial"/>
          <w:b/>
        </w:rPr>
        <w:t>SUJETO OBLIGADO</w:t>
      </w:r>
      <w:r w:rsidRPr="00CA6269">
        <w:rPr>
          <w:rFonts w:ascii="Palatino Linotype" w:eastAsia="Calibri" w:hAnsi="Palatino Linotype" w:cs="Arial"/>
        </w:rPr>
        <w:t xml:space="preserve"> presentara el Informe Justificado procedente.</w:t>
      </w:r>
    </w:p>
    <w:p w14:paraId="52E9C0C3" w14:textId="77777777" w:rsidR="007F7B11" w:rsidRPr="00CA6269"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2743644C" w14:textId="3C0CD883" w:rsidR="00AD0232" w:rsidRPr="00925779" w:rsidRDefault="007F7B11" w:rsidP="00CC21A5">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925779">
        <w:rPr>
          <w:rFonts w:ascii="Palatino Linotype" w:eastAsia="Calibri" w:hAnsi="Palatino Linotype" w:cs="Arial"/>
          <w:color w:val="000000" w:themeColor="text1"/>
        </w:rPr>
        <w:t xml:space="preserve">De </w:t>
      </w:r>
      <w:r w:rsidRPr="00925779">
        <w:rPr>
          <w:rFonts w:ascii="Palatino Linotype" w:eastAsiaTheme="minorEastAsia" w:hAnsi="Palatino Linotype" w:cstheme="minorBidi"/>
          <w:color w:val="000000"/>
        </w:rPr>
        <w:t xml:space="preserve">las </w:t>
      </w:r>
      <w:r w:rsidRPr="00925779">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925779">
        <w:rPr>
          <w:rFonts w:ascii="Palatino Linotype" w:eastAsiaTheme="minorEastAsia" w:hAnsi="Palatino Linotype" w:cstheme="minorBidi"/>
          <w:b/>
          <w:color w:val="000000"/>
          <w:lang w:val="es-ES_tradnl"/>
        </w:rPr>
        <w:t xml:space="preserve">SUJETO OBLIGADO </w:t>
      </w:r>
      <w:r w:rsidRPr="00925779">
        <w:rPr>
          <w:rFonts w:ascii="Palatino Linotype" w:eastAsiaTheme="minorEastAsia" w:hAnsi="Palatino Linotype" w:cstheme="minorBidi"/>
          <w:color w:val="000000"/>
          <w:lang w:val="es-ES_tradnl"/>
        </w:rPr>
        <w:t>rindió informe justificado</w:t>
      </w:r>
      <w:r w:rsidR="00925779" w:rsidRPr="00925779">
        <w:rPr>
          <w:rFonts w:ascii="Palatino Linotype" w:eastAsiaTheme="minorEastAsia" w:hAnsi="Palatino Linotype" w:cstheme="minorBidi"/>
          <w:color w:val="000000"/>
          <w:lang w:val="es-ES_tradnl"/>
        </w:rPr>
        <w:t xml:space="preserve"> en fecha veintidós (22</w:t>
      </w:r>
      <w:r w:rsidR="00324F98" w:rsidRPr="00925779">
        <w:rPr>
          <w:rFonts w:ascii="Palatino Linotype" w:eastAsiaTheme="minorEastAsia" w:hAnsi="Palatino Linotype" w:cstheme="minorBidi"/>
          <w:color w:val="000000"/>
          <w:lang w:val="es-ES_tradnl"/>
        </w:rPr>
        <w:t xml:space="preserve">) de </w:t>
      </w:r>
      <w:r w:rsidR="00925779" w:rsidRPr="00925779">
        <w:rPr>
          <w:rFonts w:ascii="Palatino Linotype" w:eastAsiaTheme="minorEastAsia" w:hAnsi="Palatino Linotype" w:cstheme="minorBidi"/>
          <w:color w:val="000000"/>
          <w:lang w:val="es-ES_tradnl"/>
        </w:rPr>
        <w:t>febrero de dos mil veintidós</w:t>
      </w:r>
      <w:r w:rsidRPr="00925779">
        <w:rPr>
          <w:rFonts w:ascii="Palatino Linotype" w:eastAsiaTheme="minorEastAsia" w:hAnsi="Palatino Linotype" w:cstheme="minorBidi"/>
          <w:color w:val="000000"/>
          <w:lang w:val="es-ES_tradnl"/>
        </w:rPr>
        <w:t>;</w:t>
      </w:r>
      <w:r w:rsidR="00925779" w:rsidRPr="00925779">
        <w:rPr>
          <w:rFonts w:ascii="Palatino Linotype" w:eastAsiaTheme="minorEastAsia" w:hAnsi="Palatino Linotype" w:cstheme="minorBidi"/>
          <w:color w:val="000000"/>
          <w:lang w:val="es-ES_tradnl"/>
        </w:rPr>
        <w:t xml:space="preserve"> mismo que se puso</w:t>
      </w:r>
      <w:r w:rsidR="001C1B7A" w:rsidRPr="00925779">
        <w:rPr>
          <w:rFonts w:ascii="Palatino Linotype" w:eastAsiaTheme="minorEastAsia" w:hAnsi="Palatino Linotype" w:cstheme="minorBidi"/>
          <w:color w:val="000000"/>
          <w:lang w:val="es-ES_tradnl"/>
        </w:rPr>
        <w:t xml:space="preserve"> la vista del particular</w:t>
      </w:r>
      <w:r w:rsidR="00324F98" w:rsidRPr="00925779">
        <w:rPr>
          <w:rFonts w:ascii="Palatino Linotype" w:eastAsiaTheme="minorEastAsia" w:hAnsi="Palatino Linotype" w:cstheme="minorBidi"/>
          <w:color w:val="000000"/>
          <w:lang w:val="es-ES_tradnl"/>
        </w:rPr>
        <w:t xml:space="preserve"> </w:t>
      </w:r>
      <w:r w:rsidR="00925779" w:rsidRPr="00925779">
        <w:rPr>
          <w:rFonts w:ascii="Palatino Linotype" w:eastAsiaTheme="minorEastAsia" w:hAnsi="Palatino Linotype" w:cstheme="minorBidi"/>
          <w:color w:val="000000"/>
          <w:lang w:val="es-ES_tradnl"/>
        </w:rPr>
        <w:t>mediante acuerdo de fecha tres (03) de marzo de dos mil veintidós</w:t>
      </w:r>
      <w:r w:rsidR="00925779">
        <w:rPr>
          <w:rFonts w:ascii="Palatino Linotype" w:eastAsiaTheme="minorEastAsia" w:hAnsi="Palatino Linotype" w:cstheme="minorBidi"/>
          <w:color w:val="000000"/>
          <w:lang w:val="es-ES_tradnl"/>
        </w:rPr>
        <w:t>, como a continuación se observa:</w:t>
      </w:r>
    </w:p>
    <w:p w14:paraId="5116889E" w14:textId="68436A64" w:rsidR="00925779" w:rsidRPr="00925779" w:rsidRDefault="00925779" w:rsidP="00925779">
      <w:pPr>
        <w:tabs>
          <w:tab w:val="left" w:pos="284"/>
        </w:tabs>
        <w:spacing w:before="240" w:after="240" w:line="360" w:lineRule="auto"/>
        <w:contextualSpacing/>
        <w:jc w:val="both"/>
        <w:rPr>
          <w:rFonts w:ascii="Palatino Linotype" w:eastAsia="Calibri" w:hAnsi="Palatino Linotype" w:cs="Arial"/>
          <w:color w:val="000000" w:themeColor="text1"/>
        </w:rPr>
      </w:pPr>
    </w:p>
    <w:p w14:paraId="395D656D" w14:textId="4D768200" w:rsidR="007F7B11" w:rsidRPr="00CA6269" w:rsidRDefault="007F7B11" w:rsidP="00CA6269">
      <w:pPr>
        <w:tabs>
          <w:tab w:val="left" w:pos="284"/>
        </w:tabs>
        <w:spacing w:before="240" w:after="240" w:line="360" w:lineRule="auto"/>
        <w:contextualSpacing/>
        <w:jc w:val="center"/>
        <w:rPr>
          <w:rFonts w:ascii="Palatino Linotype" w:eastAsia="Calibri" w:hAnsi="Palatino Linotype" w:cs="Arial"/>
          <w:color w:val="000000" w:themeColor="text1"/>
        </w:rPr>
      </w:pPr>
    </w:p>
    <w:p w14:paraId="337817A1" w14:textId="63145FE0" w:rsidR="004F4E3A" w:rsidRPr="00CA6269" w:rsidRDefault="00925779" w:rsidP="00925779">
      <w:pPr>
        <w:tabs>
          <w:tab w:val="left" w:pos="284"/>
        </w:tabs>
        <w:spacing w:before="240" w:after="240" w:line="360" w:lineRule="auto"/>
        <w:contextualSpacing/>
        <w:jc w:val="center"/>
        <w:rPr>
          <w:rFonts w:ascii="Palatino Linotype" w:eastAsia="Calibri" w:hAnsi="Palatino Linotype" w:cs="Arial"/>
          <w:color w:val="000000" w:themeColor="text1"/>
        </w:rPr>
      </w:pPr>
      <w:r>
        <w:rPr>
          <w:noProof/>
          <w:lang w:val="en-US" w:eastAsia="en-US"/>
        </w:rPr>
        <w:drawing>
          <wp:inline distT="0" distB="0" distL="0" distR="0" wp14:anchorId="1FAF0AD7" wp14:editId="60D9AA15">
            <wp:extent cx="5388528" cy="17907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743" t="26253" r="21588" b="40857"/>
                    <a:stretch/>
                  </pic:blipFill>
                  <pic:spPr bwMode="auto">
                    <a:xfrm>
                      <a:off x="0" y="0"/>
                      <a:ext cx="5412286" cy="1798595"/>
                    </a:xfrm>
                    <a:prstGeom prst="rect">
                      <a:avLst/>
                    </a:prstGeom>
                    <a:ln>
                      <a:noFill/>
                    </a:ln>
                    <a:extLst>
                      <a:ext uri="{53640926-AAD7-44D8-BBD7-CCE9431645EC}">
                        <a14:shadowObscured xmlns:a14="http://schemas.microsoft.com/office/drawing/2010/main"/>
                      </a:ext>
                    </a:extLst>
                  </pic:spPr>
                </pic:pic>
              </a:graphicData>
            </a:graphic>
          </wp:inline>
        </w:drawing>
      </w:r>
    </w:p>
    <w:p w14:paraId="02EAE5E0" w14:textId="7AC577E1" w:rsidR="00324F98" w:rsidRPr="00CA6269" w:rsidRDefault="00F47241" w:rsidP="00CA6269">
      <w:pPr>
        <w:pStyle w:val="Prrafodelista"/>
        <w:tabs>
          <w:tab w:val="left" w:pos="284"/>
        </w:tabs>
        <w:spacing w:before="240" w:after="240" w:line="360" w:lineRule="auto"/>
        <w:ind w:left="540" w:right="738"/>
        <w:contextualSpacing/>
        <w:jc w:val="both"/>
        <w:rPr>
          <w:rFonts w:ascii="Palatino Linotype" w:eastAsia="Calibri" w:hAnsi="Palatino Linotype" w:cs="Arial"/>
          <w:color w:val="000000" w:themeColor="text1"/>
        </w:rPr>
      </w:pPr>
      <w:hyperlink r:id="rId9" w:history="1">
        <w:r w:rsidR="00925779" w:rsidRPr="00925779">
          <w:rPr>
            <w:rStyle w:val="Hipervnculo"/>
            <w:rFonts w:ascii="Palatino Linotype" w:eastAsia="Calibri" w:hAnsi="Palatino Linotype" w:cs="Arial"/>
            <w:b/>
            <w:bCs/>
            <w:color w:val="000000" w:themeColor="text1"/>
            <w:u w:val="none"/>
          </w:rPr>
          <w:t>strabajo_pdf_manual_02.pd</w:t>
        </w:r>
      </w:hyperlink>
      <w:r w:rsidR="00324F98" w:rsidRPr="00925779">
        <w:rPr>
          <w:rFonts w:ascii="Palatino Linotype" w:eastAsia="Calibri" w:hAnsi="Palatino Linotype" w:cs="Arial"/>
          <w:b/>
          <w:color w:val="000000" w:themeColor="text1"/>
        </w:rPr>
        <w:t>f</w:t>
      </w:r>
      <w:r w:rsidR="00D13A6B" w:rsidRPr="00CA6269">
        <w:rPr>
          <w:rFonts w:ascii="Palatino Linotype" w:eastAsia="Calibri" w:hAnsi="Palatino Linotype" w:cs="Arial"/>
          <w:color w:val="000000" w:themeColor="text1"/>
        </w:rPr>
        <w:t xml:space="preserve">: Documento </w:t>
      </w:r>
      <w:r w:rsidR="009057A0" w:rsidRPr="00CA6269">
        <w:rPr>
          <w:rFonts w:ascii="Palatino Linotype" w:eastAsia="Calibri" w:hAnsi="Palatino Linotype" w:cs="Arial"/>
          <w:color w:val="000000" w:themeColor="text1"/>
        </w:rPr>
        <w:t xml:space="preserve">electrónico que </w:t>
      </w:r>
      <w:r w:rsidR="00324F98" w:rsidRPr="00CA6269">
        <w:rPr>
          <w:rFonts w:ascii="Palatino Linotype" w:eastAsia="Calibri" w:hAnsi="Palatino Linotype" w:cs="Arial"/>
          <w:color w:val="000000" w:themeColor="text1"/>
        </w:rPr>
        <w:t xml:space="preserve">en </w:t>
      </w:r>
      <w:r w:rsidR="00925779">
        <w:rPr>
          <w:rFonts w:ascii="Palatino Linotype" w:eastAsia="Calibri" w:hAnsi="Palatino Linotype" w:cs="Arial"/>
          <w:color w:val="000000" w:themeColor="text1"/>
        </w:rPr>
        <w:t xml:space="preserve">setenta y seis (76) contiene el Manual de Procedimientos del Tribunal Estatal de conciliación y Arbitraje. </w:t>
      </w:r>
    </w:p>
    <w:p w14:paraId="42A0A6E2" w14:textId="5F6EBAD6" w:rsidR="007F7B11" w:rsidRPr="00CA6269"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29B5CD6F" w14:textId="7235DF9E" w:rsidR="00F71F04" w:rsidRPr="00CA6269" w:rsidRDefault="007F7B11" w:rsidP="00CA6269">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bookmarkStart w:id="4" w:name="_Toc461555889"/>
      <w:bookmarkStart w:id="5" w:name="_Toc466371858"/>
      <w:r w:rsidRPr="00CA6269">
        <w:rPr>
          <w:rFonts w:ascii="Palatino Linotype" w:eastAsia="Calibri" w:hAnsi="Palatino Linotype" w:cs="Arial"/>
          <w:lang w:val="es-ES_tradnl"/>
        </w:rPr>
        <w:t>La</w:t>
      </w:r>
      <w:r w:rsidRPr="00CA6269">
        <w:rPr>
          <w:rFonts w:ascii="Palatino Linotype" w:eastAsiaTheme="minorEastAsia" w:hAnsi="Palatino Linotype" w:cstheme="minorBidi"/>
          <w:lang w:val="es-ES_tradnl"/>
        </w:rPr>
        <w:t xml:space="preserve"> Comisionada Ponente decretó el cierre del periodo de instrucción</w:t>
      </w:r>
      <w:r w:rsidRPr="00CA6269">
        <w:rPr>
          <w:rFonts w:ascii="Palatino Linotype" w:eastAsiaTheme="minorEastAsia" w:hAnsi="Palatino Linotype" w:cs="Arial"/>
          <w:lang w:val="es-ES_tradnl"/>
        </w:rPr>
        <w:t xml:space="preserve"> </w:t>
      </w:r>
      <w:r w:rsidRPr="00CA6269">
        <w:rPr>
          <w:rFonts w:ascii="Palatino Linotype" w:eastAsiaTheme="minorEastAsia" w:hAnsi="Palatino Linotype" w:cstheme="minorBidi"/>
          <w:lang w:val="es-ES_tradnl"/>
        </w:rPr>
        <w:t xml:space="preserve">mediante acuerdo de </w:t>
      </w:r>
      <w:r w:rsidR="00925779">
        <w:rPr>
          <w:rFonts w:ascii="Palatino Linotype" w:eastAsiaTheme="minorEastAsia" w:hAnsi="Palatino Linotype" w:cstheme="minorBidi"/>
          <w:lang w:val="es-ES_tradnl"/>
        </w:rPr>
        <w:t>nueve (09</w:t>
      </w:r>
      <w:r w:rsidRPr="00CA6269">
        <w:rPr>
          <w:rFonts w:ascii="Palatino Linotype" w:eastAsiaTheme="minorEastAsia" w:hAnsi="Palatino Linotype" w:cstheme="minorBidi"/>
          <w:lang w:val="es-ES_tradnl"/>
        </w:rPr>
        <w:t>) de</w:t>
      </w:r>
      <w:r w:rsidR="00925779">
        <w:rPr>
          <w:rFonts w:ascii="Palatino Linotype" w:eastAsiaTheme="minorEastAsia" w:hAnsi="Palatino Linotype" w:cstheme="minorBidi"/>
          <w:lang w:val="es-ES_tradnl"/>
        </w:rPr>
        <w:t xml:space="preserve"> marzo </w:t>
      </w:r>
      <w:r w:rsidR="00F71F04" w:rsidRPr="00CA6269">
        <w:rPr>
          <w:rFonts w:ascii="Palatino Linotype" w:eastAsiaTheme="minorEastAsia" w:hAnsi="Palatino Linotype" w:cstheme="minorBidi"/>
          <w:lang w:val="es-ES_tradnl"/>
        </w:rPr>
        <w:t xml:space="preserve">de dos mil veintidós. </w:t>
      </w:r>
    </w:p>
    <w:p w14:paraId="3084EEE5" w14:textId="77777777" w:rsidR="007F7B11" w:rsidRPr="00CA6269" w:rsidRDefault="007F7B11" w:rsidP="00CA6269">
      <w:pPr>
        <w:spacing w:before="240" w:line="360" w:lineRule="auto"/>
        <w:jc w:val="both"/>
        <w:rPr>
          <w:rFonts w:ascii="Palatino Linotype" w:eastAsiaTheme="minorEastAsia" w:hAnsi="Palatino Linotype" w:cstheme="minorBidi"/>
          <w:lang w:val="es-ES_tradnl"/>
        </w:rPr>
      </w:pPr>
    </w:p>
    <w:p w14:paraId="76CD9171" w14:textId="77777777" w:rsidR="007F7B11" w:rsidRPr="00CA6269" w:rsidRDefault="007F7B11" w:rsidP="00CA6269">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6" w:name="_Toc96549899"/>
      <w:r w:rsidRPr="00CA6269">
        <w:rPr>
          <w:rFonts w:ascii="Palatino Linotype" w:eastAsiaTheme="majorEastAsia" w:hAnsi="Palatino Linotype" w:cstheme="majorBidi"/>
          <w:b/>
          <w:color w:val="000000" w:themeColor="text1"/>
          <w:lang w:val="es-MX" w:eastAsia="en-US"/>
        </w:rPr>
        <w:t>CONSIDERANDO</w:t>
      </w:r>
      <w:bookmarkEnd w:id="4"/>
      <w:bookmarkEnd w:id="5"/>
      <w:bookmarkEnd w:id="6"/>
    </w:p>
    <w:p w14:paraId="47519C7A" w14:textId="77777777" w:rsidR="007F7B11" w:rsidRPr="00CA6269" w:rsidRDefault="007F7B11" w:rsidP="00CA6269">
      <w:pPr>
        <w:spacing w:line="360" w:lineRule="auto"/>
        <w:rPr>
          <w:rFonts w:ascii="Palatino Linotype" w:eastAsiaTheme="minorEastAsia" w:hAnsi="Palatino Linotype" w:cstheme="minorBidi"/>
          <w:lang w:val="es-MX" w:eastAsia="en-US"/>
        </w:rPr>
      </w:pPr>
    </w:p>
    <w:p w14:paraId="20ECDB0D" w14:textId="77777777" w:rsidR="007F7B11" w:rsidRPr="00CA6269" w:rsidRDefault="007F7B11" w:rsidP="00CA6269">
      <w:pPr>
        <w:keepNext/>
        <w:keepLines/>
        <w:spacing w:before="40" w:line="360" w:lineRule="auto"/>
        <w:outlineLvl w:val="1"/>
        <w:rPr>
          <w:rFonts w:ascii="Palatino Linotype" w:eastAsiaTheme="majorEastAsia" w:hAnsi="Palatino Linotype" w:cstheme="majorBidi"/>
          <w:b/>
          <w:lang w:val="es-MX" w:eastAsia="en-US"/>
        </w:rPr>
      </w:pPr>
      <w:bookmarkStart w:id="7" w:name="_Toc461555890"/>
      <w:bookmarkStart w:id="8" w:name="_Toc466371859"/>
      <w:bookmarkStart w:id="9" w:name="_Toc96549900"/>
      <w:r w:rsidRPr="00CA6269">
        <w:rPr>
          <w:rFonts w:ascii="Palatino Linotype" w:eastAsiaTheme="majorEastAsia" w:hAnsi="Palatino Linotype" w:cstheme="majorBidi"/>
          <w:b/>
          <w:lang w:val="es-MX" w:eastAsia="en-US"/>
        </w:rPr>
        <w:t>PRIMERO. De la competencia</w:t>
      </w:r>
      <w:bookmarkEnd w:id="7"/>
      <w:bookmarkEnd w:id="8"/>
      <w:bookmarkEnd w:id="9"/>
    </w:p>
    <w:p w14:paraId="399C3653" w14:textId="77777777" w:rsidR="007F7B11" w:rsidRPr="00CA6269" w:rsidRDefault="007F7B11" w:rsidP="00CA6269">
      <w:pPr>
        <w:spacing w:line="360" w:lineRule="auto"/>
        <w:rPr>
          <w:rFonts w:ascii="Palatino Linotype" w:eastAsiaTheme="minorEastAsia" w:hAnsi="Palatino Linotype" w:cstheme="minorBidi"/>
          <w:lang w:val="es-MX" w:eastAsia="en-US"/>
        </w:rPr>
      </w:pPr>
    </w:p>
    <w:p w14:paraId="5385D441" w14:textId="1A5D41AE" w:rsidR="00EB08EE" w:rsidRPr="00CA6269" w:rsidRDefault="00EB08EE" w:rsidP="00CA6269">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CA6269">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A6269">
        <w:rPr>
          <w:rFonts w:ascii="Palatino Linotype" w:eastAsia="Calibri" w:hAnsi="Palatino Linotype"/>
          <w:b/>
        </w:rPr>
        <w:t>Constitución Política de los Estados Unidos Mexicanos</w:t>
      </w:r>
      <w:r w:rsidRPr="00CA6269">
        <w:rPr>
          <w:rFonts w:ascii="Palatino Linotype" w:eastAsia="Calibri" w:hAnsi="Palatino Linotype"/>
        </w:rPr>
        <w:t xml:space="preserve">; </w:t>
      </w:r>
      <w:r w:rsidRPr="00CA6269">
        <w:rPr>
          <w:rFonts w:ascii="Palatino Linotype" w:eastAsia="Calibri" w:hAnsi="Palatino Linotype" w:cs="Arial"/>
          <w:bCs/>
          <w:color w:val="222222"/>
          <w:shd w:val="clear" w:color="auto" w:fill="FFFFFF"/>
          <w:lang w:eastAsia="en-US"/>
        </w:rPr>
        <w:t>5, párrafo</w:t>
      </w:r>
      <w:r w:rsidRPr="00CA6269">
        <w:rPr>
          <w:rFonts w:ascii="Palatino Linotype" w:eastAsia="Calibri" w:hAnsi="Palatino Linotype"/>
          <w:lang w:val="es-MX" w:eastAsia="en-US"/>
        </w:rPr>
        <w:t xml:space="preserve"> trigésimo, trigésimo primero y trigésimo segundo, fracciones I, II, III, IV y V</w:t>
      </w:r>
      <w:r w:rsidRPr="00CA6269">
        <w:rPr>
          <w:rFonts w:ascii="Palatino Linotype" w:eastAsia="MS Mincho" w:hAnsi="Palatino Linotype"/>
          <w:lang w:val="es-ES_tradnl"/>
        </w:rPr>
        <w:t xml:space="preserve"> </w:t>
      </w:r>
      <w:r w:rsidRPr="00CA6269">
        <w:rPr>
          <w:rFonts w:ascii="Palatino Linotype" w:eastAsia="Calibri" w:hAnsi="Palatino Linotype"/>
        </w:rPr>
        <w:t xml:space="preserve">de la </w:t>
      </w:r>
      <w:r w:rsidRPr="00CA6269">
        <w:rPr>
          <w:rFonts w:ascii="Palatino Linotype" w:eastAsia="Calibri" w:hAnsi="Palatino Linotype"/>
          <w:b/>
        </w:rPr>
        <w:t>Constitución Política del Estado Libre y Soberano de México</w:t>
      </w:r>
      <w:r w:rsidRPr="00CA6269">
        <w:rPr>
          <w:rFonts w:ascii="Palatino Linotype" w:eastAsia="Calibri" w:hAnsi="Palatino Linotype"/>
        </w:rPr>
        <w:t xml:space="preserve">; artículos 1, 2 fracción II, 13, 29, 36 fracciones I y II, 176, 178, 179, 181 párrafo tercero y 185 </w:t>
      </w:r>
      <w:r w:rsidRPr="00CA6269">
        <w:rPr>
          <w:rFonts w:ascii="Palatino Linotype" w:eastAsia="Calibri" w:hAnsi="Palatino Linotype" w:cs="Arial"/>
        </w:rPr>
        <w:t xml:space="preserve">de la </w:t>
      </w:r>
      <w:r w:rsidRPr="00CA6269">
        <w:rPr>
          <w:rFonts w:ascii="Palatino Linotype" w:eastAsia="Calibri" w:hAnsi="Palatino Linotype" w:cs="Arial"/>
          <w:b/>
        </w:rPr>
        <w:t>Ley de Transparencia y Acceso a la Información Pública del Estado de México y Municipios</w:t>
      </w:r>
      <w:r w:rsidRPr="00CA6269">
        <w:rPr>
          <w:rFonts w:ascii="Palatino Linotype" w:eastAsia="Calibri" w:hAnsi="Palatino Linotype" w:cs="Arial"/>
        </w:rPr>
        <w:t xml:space="preserve">; </w:t>
      </w:r>
      <w:r w:rsidRPr="00CA6269">
        <w:rPr>
          <w:rFonts w:ascii="Palatino Linotype" w:eastAsia="Calibri" w:hAnsi="Palatino Linotype" w:cs="Arial"/>
          <w:b/>
        </w:rPr>
        <w:t>7, 9 fracciones I y XXIV, y 11</w:t>
      </w:r>
      <w:r w:rsidRPr="00CA6269">
        <w:rPr>
          <w:rFonts w:ascii="Palatino Linotype" w:eastAsia="Calibri" w:hAnsi="Palatino Linotype" w:cs="Arial"/>
        </w:rPr>
        <w:t xml:space="preserve"> del </w:t>
      </w:r>
      <w:r w:rsidRPr="00CA6269">
        <w:rPr>
          <w:rFonts w:ascii="Palatino Linotype" w:eastAsia="Calibri" w:hAnsi="Palatino Linotype" w:cs="Arial"/>
          <w:b/>
        </w:rPr>
        <w:t>Reglamento Interior del Instituto de Transparencia, Acceso a la Información Pública y Protección de Datos Personales del Estado de México y Municipios.</w:t>
      </w:r>
    </w:p>
    <w:p w14:paraId="0AEE2D48" w14:textId="77777777" w:rsidR="007F7B11" w:rsidRPr="00CA6269" w:rsidRDefault="007F7B11" w:rsidP="00CA6269">
      <w:pPr>
        <w:tabs>
          <w:tab w:val="left" w:pos="284"/>
          <w:tab w:val="left" w:pos="426"/>
        </w:tabs>
        <w:spacing w:line="360" w:lineRule="auto"/>
        <w:contextualSpacing/>
        <w:jc w:val="both"/>
        <w:rPr>
          <w:rFonts w:ascii="Palatino Linotype" w:eastAsia="Calibri" w:hAnsi="Palatino Linotype"/>
          <w:b/>
          <w:lang w:val="es-ES_tradnl"/>
        </w:rPr>
      </w:pPr>
    </w:p>
    <w:p w14:paraId="6105D78F" w14:textId="66720F82" w:rsidR="00EB08EE" w:rsidRPr="00CA6269" w:rsidRDefault="007F7B11" w:rsidP="00CA6269">
      <w:pPr>
        <w:keepNext/>
        <w:keepLines/>
        <w:tabs>
          <w:tab w:val="left" w:pos="284"/>
          <w:tab w:val="left" w:pos="426"/>
        </w:tabs>
        <w:spacing w:before="40" w:line="360" w:lineRule="auto"/>
        <w:outlineLvl w:val="1"/>
        <w:rPr>
          <w:rFonts w:ascii="Palatino Linotype" w:eastAsiaTheme="majorEastAsia" w:hAnsi="Palatino Linotype" w:cstheme="majorBidi"/>
          <w:b/>
          <w:lang w:val="es-MX" w:eastAsia="en-US"/>
        </w:rPr>
      </w:pPr>
      <w:bookmarkStart w:id="10" w:name="_Toc461555891"/>
      <w:bookmarkStart w:id="11" w:name="_Toc466371860"/>
      <w:bookmarkStart w:id="12" w:name="_Toc96549901"/>
      <w:r w:rsidRPr="00CA6269">
        <w:rPr>
          <w:rFonts w:ascii="Palatino Linotype" w:eastAsiaTheme="majorEastAsia" w:hAnsi="Palatino Linotype" w:cstheme="majorBidi"/>
          <w:b/>
          <w:lang w:val="es-MX" w:eastAsia="en-US"/>
        </w:rPr>
        <w:t>SEGUNDO. De la oportunidad y procedencia.</w:t>
      </w:r>
      <w:bookmarkEnd w:id="10"/>
      <w:bookmarkEnd w:id="11"/>
      <w:bookmarkEnd w:id="12"/>
    </w:p>
    <w:p w14:paraId="2A79819C" w14:textId="0477C28C" w:rsidR="0099083D" w:rsidRPr="0083296F" w:rsidRDefault="003A0689" w:rsidP="00CA6269">
      <w:pPr>
        <w:pStyle w:val="Prrafodelista"/>
        <w:keepNext/>
        <w:keepLines/>
        <w:numPr>
          <w:ilvl w:val="0"/>
          <w:numId w:val="30"/>
        </w:numPr>
        <w:tabs>
          <w:tab w:val="left" w:pos="0"/>
        </w:tabs>
        <w:spacing w:before="240" w:line="360" w:lineRule="auto"/>
        <w:ind w:left="0" w:firstLine="0"/>
        <w:outlineLvl w:val="0"/>
        <w:rPr>
          <w:rFonts w:ascii="Palatino Linotype" w:eastAsiaTheme="majorEastAsia" w:hAnsi="Palatino Linotype" w:cstheme="majorBidi"/>
          <w:b/>
          <w:color w:val="000000" w:themeColor="text1"/>
          <w:lang w:val="es-MX" w:eastAsia="en-US"/>
        </w:rPr>
      </w:pPr>
      <w:bookmarkStart w:id="13" w:name="_Toc96549902"/>
      <w:r w:rsidRPr="00CA6269">
        <w:rPr>
          <w:rFonts w:ascii="Palatino Linotype" w:eastAsiaTheme="majorEastAsia" w:hAnsi="Palatino Linotype" w:cstheme="majorBidi"/>
          <w:b/>
          <w:color w:val="000000" w:themeColor="text1"/>
          <w:lang w:val="es-MX" w:eastAsia="en-US"/>
        </w:rPr>
        <w:t>D</w:t>
      </w:r>
      <w:r w:rsidR="0099083D" w:rsidRPr="00CA6269">
        <w:rPr>
          <w:rFonts w:ascii="Palatino Linotype" w:eastAsiaTheme="majorEastAsia" w:hAnsi="Palatino Linotype" w:cstheme="majorBidi"/>
          <w:b/>
          <w:color w:val="000000" w:themeColor="text1"/>
          <w:lang w:val="es-MX" w:eastAsia="en-US"/>
        </w:rPr>
        <w:t>e la interposición del recurso.</w:t>
      </w:r>
      <w:bookmarkEnd w:id="13"/>
    </w:p>
    <w:p w14:paraId="6090EE82" w14:textId="74DD352F" w:rsidR="005A0AF9" w:rsidRDefault="003A0689" w:rsidP="00CA6269">
      <w:pPr>
        <w:pStyle w:val="Prrafodelista"/>
        <w:numPr>
          <w:ilvl w:val="0"/>
          <w:numId w:val="17"/>
        </w:numPr>
        <w:spacing w:after="160" w:line="360" w:lineRule="auto"/>
        <w:ind w:left="0" w:right="49" w:firstLine="0"/>
        <w:contextualSpacing/>
        <w:jc w:val="both"/>
        <w:rPr>
          <w:rFonts w:ascii="Palatino Linotype" w:hAnsi="Palatino Linotype"/>
          <w:lang w:val="es-ES_tradnl"/>
        </w:rPr>
      </w:pPr>
      <w:r w:rsidRPr="00CA6269">
        <w:rPr>
          <w:rFonts w:ascii="Palatino Linotype" w:eastAsia="Calibri" w:hAnsi="Palatino Linotype" w:cs="Arial"/>
          <w:lang w:val="es-ES_tradnl"/>
        </w:rPr>
        <w:t xml:space="preserve">El medio de impugnación fue presentado a través del </w:t>
      </w:r>
      <w:r w:rsidRPr="00CA6269">
        <w:rPr>
          <w:rFonts w:ascii="Palatino Linotype" w:eastAsia="Calibri" w:hAnsi="Palatino Linotype" w:cs="Arial"/>
          <w:b/>
          <w:lang w:val="es-ES_tradnl"/>
        </w:rPr>
        <w:t>SAIMEX,</w:t>
      </w:r>
      <w:r w:rsidRPr="00CA6269">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CA6269">
        <w:rPr>
          <w:rFonts w:ascii="Palatino Linotype" w:eastAsia="Calibri" w:hAnsi="Palatino Linotype" w:cs="Arial"/>
          <w:b/>
          <w:lang w:val="es-ES_tradnl"/>
        </w:rPr>
        <w:t>SUJETO OBLIGADO</w:t>
      </w:r>
      <w:r w:rsidR="008D36D2" w:rsidRPr="00CA6269">
        <w:rPr>
          <w:rFonts w:ascii="Palatino Linotype" w:eastAsia="Calibri" w:hAnsi="Palatino Linotype" w:cs="Arial"/>
          <w:lang w:val="es-ES_tradnl"/>
        </w:rPr>
        <w:t xml:space="preserve"> entregó </w:t>
      </w:r>
      <w:r w:rsidRPr="00CA6269">
        <w:rPr>
          <w:rFonts w:ascii="Palatino Linotype" w:eastAsia="Calibri" w:hAnsi="Palatino Linotype" w:cs="Arial"/>
          <w:lang w:val="es-ES_tradnl"/>
        </w:rPr>
        <w:t>respuesta el d</w:t>
      </w:r>
      <w:r w:rsidR="008B5A59">
        <w:rPr>
          <w:rFonts w:ascii="Palatino Linotype" w:eastAsia="Calibri" w:hAnsi="Palatino Linotype" w:cs="Arial"/>
          <w:lang w:val="es-ES_tradnl"/>
        </w:rPr>
        <w:t>ía uno</w:t>
      </w:r>
      <w:r w:rsidR="008D36D2" w:rsidRPr="00CA6269">
        <w:rPr>
          <w:rFonts w:ascii="Palatino Linotype" w:eastAsia="Calibri" w:hAnsi="Palatino Linotype" w:cs="Arial"/>
          <w:lang w:val="es-ES_tradnl"/>
        </w:rPr>
        <w:t xml:space="preserve"> </w:t>
      </w:r>
      <w:r w:rsidR="008B5A59">
        <w:rPr>
          <w:rFonts w:ascii="Palatino Linotype" w:eastAsia="Calibri" w:hAnsi="Palatino Linotype" w:cs="Arial"/>
          <w:lang w:val="es-ES_tradnl"/>
        </w:rPr>
        <w:t>(01</w:t>
      </w:r>
      <w:r w:rsidRPr="00CA6269">
        <w:rPr>
          <w:rFonts w:ascii="Palatino Linotype" w:eastAsia="Calibri" w:hAnsi="Palatino Linotype" w:cs="Arial"/>
          <w:lang w:val="es-ES_tradnl"/>
        </w:rPr>
        <w:t>) de</w:t>
      </w:r>
      <w:r w:rsidR="008B5A59">
        <w:rPr>
          <w:rFonts w:ascii="Palatino Linotype" w:eastAsia="Calibri" w:hAnsi="Palatino Linotype" w:cs="Arial"/>
          <w:lang w:val="es-ES_tradnl"/>
        </w:rPr>
        <w:t xml:space="preserve"> febrero</w:t>
      </w:r>
      <w:r w:rsidR="00627B60" w:rsidRPr="00CA6269">
        <w:rPr>
          <w:rFonts w:ascii="Palatino Linotype" w:eastAsia="Calibri" w:hAnsi="Palatino Linotype" w:cs="Arial"/>
          <w:lang w:val="es-ES_tradnl"/>
        </w:rPr>
        <w:t xml:space="preserve"> </w:t>
      </w:r>
      <w:r w:rsidR="008B5A59">
        <w:rPr>
          <w:rFonts w:ascii="Palatino Linotype" w:eastAsia="Calibri" w:hAnsi="Palatino Linotype" w:cs="Arial"/>
          <w:lang w:val="es-ES_tradnl"/>
        </w:rPr>
        <w:t>de dos mil veintidós</w:t>
      </w:r>
      <w:r w:rsidRPr="00CA6269">
        <w:rPr>
          <w:rFonts w:ascii="Palatino Linotype" w:eastAsia="Calibri" w:hAnsi="Palatino Linotype" w:cs="Arial"/>
          <w:lang w:val="es-MX" w:eastAsia="en-US"/>
        </w:rPr>
        <w:t xml:space="preserve">, el plazo para interponer el recurso de revisión </w:t>
      </w:r>
      <w:r w:rsidR="008B5A59">
        <w:rPr>
          <w:rFonts w:ascii="Palatino Linotype" w:eastAsia="Calibri" w:hAnsi="Palatino Linotype" w:cs="Arial"/>
          <w:lang w:val="es-MX" w:eastAsia="en-US"/>
        </w:rPr>
        <w:t>trascurrió del dos (02</w:t>
      </w:r>
      <w:r w:rsidRPr="00CA6269">
        <w:rPr>
          <w:rFonts w:ascii="Palatino Linotype" w:eastAsia="Calibri" w:hAnsi="Palatino Linotype" w:cs="Arial"/>
          <w:lang w:val="es-MX" w:eastAsia="en-US"/>
        </w:rPr>
        <w:t xml:space="preserve">) </w:t>
      </w:r>
      <w:r w:rsidR="008B5A59">
        <w:rPr>
          <w:rFonts w:ascii="Palatino Linotype" w:eastAsia="Calibri" w:hAnsi="Palatino Linotype" w:cs="Arial"/>
          <w:lang w:val="es-MX" w:eastAsia="en-US"/>
        </w:rPr>
        <w:t xml:space="preserve">al veintitrés (23) </w:t>
      </w:r>
      <w:r w:rsidRPr="00CA6269">
        <w:rPr>
          <w:rFonts w:ascii="Palatino Linotype" w:eastAsia="Calibri" w:hAnsi="Palatino Linotype" w:cs="Arial"/>
          <w:lang w:val="es-MX" w:eastAsia="en-US"/>
        </w:rPr>
        <w:t>de</w:t>
      </w:r>
      <w:r w:rsidR="008B5A59">
        <w:rPr>
          <w:rFonts w:ascii="Palatino Linotype" w:eastAsia="Calibri" w:hAnsi="Palatino Linotype" w:cs="Arial"/>
          <w:lang w:val="es-MX" w:eastAsia="en-US"/>
        </w:rPr>
        <w:t xml:space="preserve"> febrero </w:t>
      </w:r>
      <w:r w:rsidR="00963342" w:rsidRPr="00CA6269">
        <w:rPr>
          <w:rFonts w:ascii="Palatino Linotype" w:eastAsia="Calibri" w:hAnsi="Palatino Linotype" w:cs="Arial"/>
          <w:lang w:val="es-MX" w:eastAsia="en-US"/>
        </w:rPr>
        <w:t>de</w:t>
      </w:r>
      <w:r w:rsidR="008B5A59">
        <w:rPr>
          <w:rFonts w:ascii="Palatino Linotype" w:eastAsia="Calibri" w:hAnsi="Palatino Linotype" w:cs="Arial"/>
          <w:lang w:val="es-MX" w:eastAsia="en-US"/>
        </w:rPr>
        <w:t xml:space="preserve"> dos mil veintidós</w:t>
      </w:r>
      <w:r w:rsidRPr="00CA6269">
        <w:rPr>
          <w:rFonts w:ascii="Palatino Linotype" w:eastAsia="Calibri" w:hAnsi="Palatino Linotype" w:cs="Arial"/>
          <w:lang w:val="es-MX" w:eastAsia="en-US"/>
        </w:rPr>
        <w:t>,</w:t>
      </w:r>
      <w:r w:rsidR="008D36D2" w:rsidRPr="00CA6269">
        <w:rPr>
          <w:rFonts w:ascii="Palatino Linotype" w:eastAsia="Calibri" w:hAnsi="Palatino Linotype" w:cs="Arial"/>
          <w:lang w:val="es-MX" w:eastAsia="en-US"/>
        </w:rPr>
        <w:t xml:space="preserve"> </w:t>
      </w:r>
      <w:r w:rsidRPr="00CA6269">
        <w:rPr>
          <w:rFonts w:ascii="Palatino Linotype" w:eastAsia="Calibri" w:hAnsi="Palatino Linotype" w:cs="Arial"/>
          <w:lang w:val="es-MX" w:eastAsia="en-US"/>
        </w:rPr>
        <w:t xml:space="preserve">por lo que si el particular interpuso recurso de revisión el </w:t>
      </w:r>
      <w:r w:rsidR="008B5A59">
        <w:rPr>
          <w:rFonts w:ascii="Palatino Linotype" w:eastAsia="Calibri" w:hAnsi="Palatino Linotype" w:cs="Arial"/>
          <w:lang w:val="es-MX" w:eastAsia="en-US"/>
        </w:rPr>
        <w:t>uno (01</w:t>
      </w:r>
      <w:r w:rsidRPr="00CA6269">
        <w:rPr>
          <w:rFonts w:ascii="Palatino Linotype" w:eastAsia="Calibri" w:hAnsi="Palatino Linotype" w:cs="Arial"/>
          <w:lang w:val="es-MX" w:eastAsia="en-US"/>
        </w:rPr>
        <w:t>) de</w:t>
      </w:r>
      <w:r w:rsidR="008B5A59">
        <w:rPr>
          <w:rFonts w:ascii="Palatino Linotype" w:eastAsia="Calibri" w:hAnsi="Palatino Linotype" w:cs="Arial"/>
          <w:lang w:val="es-MX" w:eastAsia="en-US"/>
        </w:rPr>
        <w:t xml:space="preserve"> febrero</w:t>
      </w:r>
      <w:r w:rsidRPr="00CA6269">
        <w:rPr>
          <w:rFonts w:ascii="Palatino Linotype" w:eastAsia="Calibri" w:hAnsi="Palatino Linotype" w:cs="Arial"/>
          <w:lang w:val="es-MX" w:eastAsia="en-US"/>
        </w:rPr>
        <w:t xml:space="preserve">, </w:t>
      </w:r>
      <w:r w:rsidRPr="00CA6269">
        <w:rPr>
          <w:rFonts w:ascii="Palatino Linotype" w:hAnsi="Palatino Linotype"/>
          <w:lang w:val="es-ES_tradnl"/>
        </w:rPr>
        <w:t xml:space="preserve">se encuentra dentro del periodo establecido por la Ley. </w:t>
      </w:r>
    </w:p>
    <w:p w14:paraId="7FD38778" w14:textId="1B3815C4" w:rsidR="00583AE7" w:rsidRDefault="00583AE7" w:rsidP="00583AE7">
      <w:pPr>
        <w:pStyle w:val="Ttulo1"/>
        <w:numPr>
          <w:ilvl w:val="0"/>
          <w:numId w:val="30"/>
        </w:numPr>
        <w:spacing w:line="360" w:lineRule="auto"/>
        <w:ind w:left="0" w:firstLine="0"/>
        <w:jc w:val="both"/>
        <w:rPr>
          <w:rFonts w:ascii="Palatino Linotype" w:hAnsi="Palatino Linotype"/>
          <w:b/>
          <w:color w:val="auto"/>
          <w:sz w:val="24"/>
        </w:rPr>
      </w:pPr>
      <w:r w:rsidRPr="00D53E41">
        <w:rPr>
          <w:rFonts w:ascii="Palatino Linotype" w:hAnsi="Palatino Linotype"/>
          <w:b/>
          <w:color w:val="auto"/>
          <w:sz w:val="24"/>
        </w:rPr>
        <w:t xml:space="preserve">La interposición del recurso de revisión el mismo día que se tiene conocimiento de la respuesta otorgada, no es determinante para su improcedencia. </w:t>
      </w:r>
    </w:p>
    <w:p w14:paraId="51A7C0B7" w14:textId="77777777" w:rsidR="00583AE7" w:rsidRPr="00583AE7" w:rsidRDefault="00583AE7" w:rsidP="00583AE7">
      <w:pPr>
        <w:rPr>
          <w:rFonts w:eastAsia="Calibri"/>
        </w:rPr>
      </w:pPr>
    </w:p>
    <w:p w14:paraId="7100F257" w14:textId="19EE3742" w:rsidR="00583AE7" w:rsidRPr="00481B31" w:rsidRDefault="00583AE7" w:rsidP="00583AE7">
      <w:pPr>
        <w:pStyle w:val="Prrafodelista"/>
        <w:numPr>
          <w:ilvl w:val="0"/>
          <w:numId w:val="17"/>
        </w:numPr>
        <w:spacing w:line="360" w:lineRule="auto"/>
        <w:ind w:left="0" w:right="49" w:firstLine="0"/>
        <w:contextualSpacing/>
        <w:jc w:val="both"/>
        <w:rPr>
          <w:rFonts w:ascii="Palatino Linotype" w:hAnsi="Palatino Linotype"/>
          <w:lang w:val="es-ES_tradnl"/>
        </w:rPr>
      </w:pPr>
      <w:r w:rsidRPr="00481B31">
        <w:rPr>
          <w:rFonts w:ascii="Palatino Linotype" w:eastAsia="Calibri" w:hAnsi="Palatino Linotype" w:cs="Arial"/>
          <w:lang w:val="es-ES_tradnl"/>
        </w:rPr>
        <w:t>Como se observa, el particular presentó su inconformidad el mismo día en que tuvo conocimiento de la respuesta, y un día antes de que iniciara el plazo de quince (15) días par</w:t>
      </w:r>
      <w:r>
        <w:rPr>
          <w:rFonts w:ascii="Palatino Linotype" w:eastAsia="Calibri" w:hAnsi="Palatino Linotype" w:cs="Arial"/>
          <w:lang w:val="es-ES_tradnl"/>
        </w:rPr>
        <w:t xml:space="preserve">a la interposición del recurso, así es de señalar que </w:t>
      </w:r>
      <w:r w:rsidRPr="00481B31">
        <w:rPr>
          <w:rFonts w:ascii="Palatino Linotype" w:eastAsia="Calibri" w:hAnsi="Palatino Linotype" w:cs="Arial"/>
          <w:lang w:val="es-ES_tradnl"/>
        </w:rPr>
        <w:t>dicha situación no es determinante para declarar el recurso interpuesto extemporáneo, toda vez que el tiempo concedido es para delimitar el término en que pueden impugnarse las</w:t>
      </w:r>
      <w:r>
        <w:rPr>
          <w:rFonts w:ascii="Palatino Linotype" w:eastAsia="Calibri" w:hAnsi="Palatino Linotype" w:cs="Arial"/>
          <w:lang w:val="es-ES_tradnl"/>
        </w:rPr>
        <w:t xml:space="preserve"> respuestas, lo cual no impide </w:t>
      </w:r>
      <w:r w:rsidRPr="00481B31">
        <w:rPr>
          <w:rFonts w:ascii="Palatino Linotype" w:eastAsia="Calibri" w:hAnsi="Palatino Linotype" w:cs="Arial"/>
          <w:lang w:val="es-ES_tradnl"/>
        </w:rPr>
        <w:t>que se presenten antes de iniciado el plazo previsto.</w:t>
      </w:r>
    </w:p>
    <w:p w14:paraId="4C5DD53D" w14:textId="77777777" w:rsidR="00583AE7" w:rsidRPr="00481B31" w:rsidRDefault="00583AE7" w:rsidP="00583AE7">
      <w:pPr>
        <w:spacing w:line="360" w:lineRule="auto"/>
        <w:ind w:right="49"/>
        <w:contextualSpacing/>
        <w:jc w:val="both"/>
        <w:rPr>
          <w:rFonts w:ascii="Palatino Linotype" w:hAnsi="Palatino Linotype"/>
          <w:lang w:val="es-ES_tradnl"/>
        </w:rPr>
      </w:pPr>
    </w:p>
    <w:p w14:paraId="46CA52B6" w14:textId="77777777" w:rsidR="00583AE7" w:rsidRPr="00481B31" w:rsidRDefault="00583AE7" w:rsidP="00583AE7">
      <w:pPr>
        <w:numPr>
          <w:ilvl w:val="0"/>
          <w:numId w:val="17"/>
        </w:numPr>
        <w:spacing w:before="240" w:after="240" w:line="360" w:lineRule="auto"/>
        <w:ind w:left="0" w:right="49" w:firstLine="0"/>
        <w:contextualSpacing/>
        <w:jc w:val="both"/>
        <w:rPr>
          <w:rFonts w:ascii="Palatino Linotype" w:eastAsiaTheme="minorEastAsia" w:hAnsi="Palatino Linotype"/>
          <w:lang w:val="es-ES_tradnl"/>
        </w:rPr>
      </w:pPr>
      <w:r w:rsidRPr="00481B31">
        <w:rPr>
          <w:rFonts w:ascii="Palatino Linotype" w:eastAsia="Calibri" w:hAnsi="Palatino Linotype" w:cs="Arial"/>
        </w:rPr>
        <w:t xml:space="preserve">Discernimiento </w:t>
      </w:r>
      <w:r w:rsidRPr="00481B31">
        <w:rPr>
          <w:rFonts w:ascii="Palatino Linotype" w:eastAsia="Calibri" w:hAnsi="Palatino Linotype" w:cs="Arial"/>
          <w:lang w:val="es-ES_tradnl"/>
        </w:rPr>
        <w:t xml:space="preserve">de este Órgano Garante que se robustece con la jurisprudencia número 1a./J. 41/2015 (10a.), Décima Época, sustentada por la </w:t>
      </w:r>
      <w:r w:rsidRPr="00481B31">
        <w:rPr>
          <w:rFonts w:ascii="Palatino Linotype" w:eastAsia="Calibri" w:hAnsi="Palatino Linotype" w:cs="Arial"/>
          <w:lang w:val="es-ES_tradnl"/>
        </w:rPr>
        <w:lastRenderedPageBreak/>
        <w:t>Primera Sala de la Suprema Corte de Justicia de la Nación, visible en la página 569, libro 19, tomo I, de la Gaceta del Semanario Judicial de la Federación, del mes de junio de 2015, cuyo rubro y texto disponen:</w:t>
      </w:r>
    </w:p>
    <w:p w14:paraId="5AD3E9E1" w14:textId="77777777" w:rsidR="00583AE7" w:rsidRPr="00481B31" w:rsidRDefault="00583AE7" w:rsidP="00583AE7">
      <w:pPr>
        <w:contextualSpacing/>
        <w:rPr>
          <w:rFonts w:ascii="Palatino Linotype" w:eastAsia="Calibri" w:hAnsi="Palatino Linotype" w:cs="Arial"/>
          <w:i/>
        </w:rPr>
      </w:pPr>
    </w:p>
    <w:p w14:paraId="0EC04DCF" w14:textId="77777777" w:rsidR="00583AE7" w:rsidRPr="00481B31" w:rsidRDefault="00583AE7" w:rsidP="00583AE7">
      <w:pPr>
        <w:spacing w:line="360" w:lineRule="auto"/>
        <w:ind w:left="567" w:right="616"/>
        <w:contextualSpacing/>
        <w:jc w:val="both"/>
        <w:rPr>
          <w:rFonts w:ascii="Palatino Linotype" w:eastAsia="Calibri" w:hAnsi="Palatino Linotype" w:cs="Arial"/>
        </w:rPr>
      </w:pPr>
      <w:r w:rsidRPr="00481B31">
        <w:rPr>
          <w:rFonts w:ascii="Palatino Linotype" w:eastAsia="Calibri" w:hAnsi="Palatino Linotype" w:cs="Arial"/>
          <w:b/>
          <w:i/>
        </w:rPr>
        <w:t>RECURSO DE RECLAMACIÓN. SU INTERPOSICIÓN NO ES EXTEMPORÁNEA SI SE REALIZA ANTES DE QUE INICIE EL PLAZO PARA HACERLO.</w:t>
      </w:r>
      <w:r w:rsidRPr="00481B31">
        <w:rPr>
          <w:rFonts w:ascii="Palatino Linotype" w:eastAsia="Calibri"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CA18D6F" w14:textId="2B9BD3F4" w:rsidR="00583AE7" w:rsidRDefault="00583AE7" w:rsidP="00583AE7">
      <w:pPr>
        <w:pStyle w:val="Prrafodelista"/>
        <w:spacing w:after="160" w:line="360" w:lineRule="auto"/>
        <w:ind w:left="0" w:right="49"/>
        <w:contextualSpacing/>
        <w:jc w:val="both"/>
        <w:rPr>
          <w:rFonts w:ascii="Palatino Linotype" w:hAnsi="Palatino Linotype"/>
          <w:lang w:val="es-ES_tradnl"/>
        </w:rPr>
      </w:pPr>
    </w:p>
    <w:p w14:paraId="5899928D" w14:textId="753165BF" w:rsidR="000167BD" w:rsidRPr="003B0035" w:rsidRDefault="000167BD" w:rsidP="000167BD">
      <w:pPr>
        <w:pStyle w:val="Ttulo1"/>
        <w:spacing w:line="360" w:lineRule="auto"/>
        <w:jc w:val="both"/>
        <w:rPr>
          <w:rFonts w:ascii="Palatino Linotype" w:eastAsia="Calibri" w:hAnsi="Palatino Linotype" w:cs="Arial"/>
          <w:sz w:val="24"/>
          <w:szCs w:val="24"/>
        </w:rPr>
      </w:pPr>
      <w:bookmarkStart w:id="14" w:name="_Toc86941038"/>
      <w:bookmarkStart w:id="15" w:name="_Toc97170672"/>
      <w:r w:rsidRPr="003B0035">
        <w:rPr>
          <w:rFonts w:ascii="Palatino Linotype" w:hAnsi="Palatino Linotype"/>
          <w:b/>
          <w:color w:val="auto"/>
          <w:sz w:val="24"/>
          <w:szCs w:val="24"/>
        </w:rPr>
        <w:t>II</w:t>
      </w:r>
      <w:r w:rsidR="00583AE7">
        <w:rPr>
          <w:rFonts w:ascii="Palatino Linotype" w:hAnsi="Palatino Linotype"/>
          <w:b/>
          <w:color w:val="auto"/>
          <w:sz w:val="24"/>
          <w:szCs w:val="24"/>
        </w:rPr>
        <w:t>I</w:t>
      </w:r>
      <w:r w:rsidRPr="003B0035">
        <w:rPr>
          <w:rFonts w:ascii="Palatino Linotype" w:hAnsi="Palatino Linotype"/>
          <w:b/>
          <w:color w:val="auto"/>
          <w:sz w:val="24"/>
          <w:szCs w:val="24"/>
        </w:rPr>
        <w:t>. Del nombre como requisito innecesario para la tramitación del recurso.</w:t>
      </w:r>
      <w:bookmarkEnd w:id="14"/>
      <w:bookmarkEnd w:id="15"/>
      <w:r w:rsidRPr="003B0035">
        <w:rPr>
          <w:rFonts w:ascii="Palatino Linotype" w:hAnsi="Palatino Linotype"/>
          <w:b/>
          <w:color w:val="auto"/>
          <w:sz w:val="24"/>
          <w:szCs w:val="24"/>
        </w:rPr>
        <w:t xml:space="preserve"> </w:t>
      </w:r>
    </w:p>
    <w:p w14:paraId="16980151" w14:textId="77777777" w:rsidR="000167BD" w:rsidRPr="003B0035" w:rsidRDefault="000167BD" w:rsidP="000167BD">
      <w:pPr>
        <w:tabs>
          <w:tab w:val="left" w:pos="426"/>
        </w:tabs>
        <w:spacing w:line="360" w:lineRule="auto"/>
        <w:ind w:right="49"/>
        <w:contextualSpacing/>
        <w:jc w:val="both"/>
        <w:rPr>
          <w:rFonts w:ascii="Palatino Linotype" w:hAnsi="Palatino Linotype" w:cs="Arial"/>
          <w:b/>
        </w:rPr>
      </w:pPr>
    </w:p>
    <w:p w14:paraId="60774EF3" w14:textId="6E2A5207" w:rsidR="000167BD" w:rsidRPr="003B0035" w:rsidRDefault="000167BD" w:rsidP="000167BD">
      <w:pPr>
        <w:pStyle w:val="Prrafodelista"/>
        <w:numPr>
          <w:ilvl w:val="0"/>
          <w:numId w:val="17"/>
        </w:numPr>
        <w:tabs>
          <w:tab w:val="left" w:pos="0"/>
        </w:tabs>
        <w:spacing w:after="160" w:line="360" w:lineRule="auto"/>
        <w:ind w:left="0" w:right="49" w:firstLine="0"/>
        <w:contextualSpacing/>
        <w:jc w:val="both"/>
        <w:rPr>
          <w:rFonts w:ascii="Palatino Linotype" w:hAnsi="Palatino Linotype" w:cs="Arial"/>
          <w:b/>
          <w:lang w:val="es-ES_tradnl"/>
        </w:rPr>
      </w:pPr>
      <w:r w:rsidRPr="003B0035">
        <w:rPr>
          <w:rFonts w:ascii="Palatino Linotype" w:hAnsi="Palatino Linotype" w:cs="Arial"/>
          <w:bCs/>
          <w:lang w:val="es-ES_tradnl"/>
        </w:rPr>
        <w:t xml:space="preserve">Por </w:t>
      </w:r>
      <w:r w:rsidRPr="003B0035">
        <w:rPr>
          <w:rFonts w:ascii="Palatino Linotype" w:hAnsi="Palatino Linotype" w:cs="Arial"/>
          <w:bCs/>
        </w:rPr>
        <w:t xml:space="preserve">otro lado, de la revisión a los expedientes electrónicos contenidos en el sistema </w:t>
      </w:r>
      <w:r w:rsidRPr="003B0035">
        <w:rPr>
          <w:rFonts w:ascii="Palatino Linotype" w:hAnsi="Palatino Linotype" w:cs="Arial"/>
          <w:b/>
          <w:bCs/>
        </w:rPr>
        <w:t>SAIMEX,</w:t>
      </w:r>
      <w:r w:rsidRPr="003B0035">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3B0035">
        <w:rPr>
          <w:rFonts w:ascii="Palatino Linotype" w:hAnsi="Palatino Linotype" w:cs="Arial"/>
          <w:b/>
          <w:bCs/>
        </w:rPr>
        <w:t>no señaló su nombre completo, ni se tiene certeza sobre su identidad</w:t>
      </w:r>
      <w:r w:rsidRPr="003B0035">
        <w:rPr>
          <w:rFonts w:ascii="Palatino Linotype" w:hAnsi="Palatino Linotype" w:cs="Arial"/>
          <w:bCs/>
        </w:rPr>
        <w:t xml:space="preserve">; sin embargo, es importante señalar que el nombre de los Solicitantes y Recurrentes no es un requisito indispensable para la tramitación del acto procesal específico en materia </w:t>
      </w:r>
      <w:r w:rsidRPr="003B0035">
        <w:rPr>
          <w:rFonts w:ascii="Palatino Linotype" w:hAnsi="Palatino Linotype" w:cs="Arial"/>
          <w:bCs/>
        </w:rPr>
        <w:lastRenderedPageBreak/>
        <w:t>de acceso a la información, ello en estricto apego al numeral 155 párrafo tercero de la Ley de la materia, en concatenación con el 180 del mismo ordenamiento.</w:t>
      </w:r>
    </w:p>
    <w:p w14:paraId="5C1CA7E7" w14:textId="77777777" w:rsidR="000167BD" w:rsidRPr="003B0035" w:rsidRDefault="000167BD" w:rsidP="000167BD">
      <w:pPr>
        <w:tabs>
          <w:tab w:val="left" w:pos="426"/>
        </w:tabs>
        <w:spacing w:line="360" w:lineRule="auto"/>
        <w:ind w:right="49"/>
        <w:contextualSpacing/>
        <w:jc w:val="both"/>
        <w:rPr>
          <w:rFonts w:ascii="Palatino Linotype" w:hAnsi="Palatino Linotype" w:cs="Arial"/>
          <w:b/>
        </w:rPr>
      </w:pPr>
    </w:p>
    <w:p w14:paraId="52622AC6" w14:textId="77777777" w:rsidR="000167BD" w:rsidRPr="003B0035" w:rsidRDefault="000167BD" w:rsidP="000167BD">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t xml:space="preserve">Esto es así, ya que de conformidad con los artículos 6, apartado A, fracciones III y IV de la </w:t>
      </w:r>
      <w:r w:rsidRPr="003B0035">
        <w:rPr>
          <w:rFonts w:ascii="Palatino Linotype" w:hAnsi="Palatino Linotype" w:cs="Arial"/>
          <w:b/>
          <w:bCs/>
        </w:rPr>
        <w:t>Constitución Política de los Estados Unidos Mexicanos</w:t>
      </w:r>
      <w:r w:rsidRPr="003B0035">
        <w:rPr>
          <w:rFonts w:ascii="Palatino Linotype" w:hAnsi="Palatino Linotype" w:cs="Arial"/>
          <w:bCs/>
        </w:rPr>
        <w:t xml:space="preserve">; 5, párrafos trigésimo, trigésimo primero y trigésimo segundo, fracciones III, IV y V, de la </w:t>
      </w:r>
      <w:r w:rsidRPr="003B0035">
        <w:rPr>
          <w:rFonts w:ascii="Palatino Linotype" w:hAnsi="Palatino Linotype" w:cs="Arial"/>
          <w:b/>
          <w:bCs/>
        </w:rPr>
        <w:t>Constitución Política del Estado Libre y Soberano de México</w:t>
      </w:r>
      <w:r w:rsidRPr="003B0035">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B0FD050" w14:textId="77777777" w:rsidR="000167BD" w:rsidRPr="003B0035" w:rsidRDefault="000167BD" w:rsidP="000167BD">
      <w:pPr>
        <w:tabs>
          <w:tab w:val="left" w:pos="426"/>
        </w:tabs>
        <w:spacing w:line="360" w:lineRule="auto"/>
        <w:ind w:right="49"/>
        <w:contextualSpacing/>
        <w:jc w:val="both"/>
        <w:rPr>
          <w:rFonts w:ascii="Palatino Linotype" w:hAnsi="Palatino Linotype" w:cs="Arial"/>
          <w:b/>
        </w:rPr>
      </w:pPr>
    </w:p>
    <w:p w14:paraId="48B7537F" w14:textId="77777777" w:rsidR="000167BD" w:rsidRPr="003B0035" w:rsidRDefault="000167BD" w:rsidP="000167BD">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0AFF16" w14:textId="77777777" w:rsidR="000167BD" w:rsidRPr="003B0035" w:rsidRDefault="000167BD" w:rsidP="000167BD">
      <w:pPr>
        <w:tabs>
          <w:tab w:val="left" w:pos="426"/>
        </w:tabs>
        <w:spacing w:line="360" w:lineRule="auto"/>
        <w:ind w:right="49"/>
        <w:contextualSpacing/>
        <w:jc w:val="both"/>
        <w:rPr>
          <w:rFonts w:ascii="Palatino Linotype" w:hAnsi="Palatino Linotype" w:cs="Arial"/>
          <w:b/>
        </w:rPr>
      </w:pPr>
    </w:p>
    <w:p w14:paraId="0CE8C191" w14:textId="77777777" w:rsidR="000167BD" w:rsidRPr="003B0035" w:rsidRDefault="000167BD" w:rsidP="000167BD">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58569198" w14:textId="77777777" w:rsidR="000167BD" w:rsidRPr="003B0035" w:rsidRDefault="000167BD" w:rsidP="000167BD">
      <w:pPr>
        <w:tabs>
          <w:tab w:val="left" w:pos="426"/>
        </w:tabs>
        <w:spacing w:line="360" w:lineRule="auto"/>
        <w:ind w:right="49"/>
        <w:contextualSpacing/>
        <w:jc w:val="both"/>
        <w:rPr>
          <w:rFonts w:ascii="Palatino Linotype" w:hAnsi="Palatino Linotype" w:cs="Arial"/>
          <w:b/>
        </w:rPr>
      </w:pPr>
    </w:p>
    <w:p w14:paraId="0C1C5DB9" w14:textId="77777777" w:rsidR="000167BD" w:rsidRPr="003B0035" w:rsidRDefault="000167BD" w:rsidP="000167BD">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7442C18" w14:textId="77777777" w:rsidR="000167BD" w:rsidRPr="003B0035" w:rsidRDefault="000167BD" w:rsidP="000167BD">
      <w:pPr>
        <w:tabs>
          <w:tab w:val="left" w:pos="426"/>
        </w:tabs>
        <w:spacing w:line="360" w:lineRule="auto"/>
        <w:ind w:right="49"/>
        <w:contextualSpacing/>
        <w:jc w:val="both"/>
        <w:rPr>
          <w:rFonts w:ascii="Palatino Linotype" w:hAnsi="Palatino Linotype" w:cs="Arial"/>
          <w:b/>
        </w:rPr>
      </w:pPr>
    </w:p>
    <w:p w14:paraId="283DA2BE" w14:textId="21DF4142" w:rsidR="000167BD" w:rsidRDefault="000167BD" w:rsidP="000167BD">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3B0035">
        <w:rPr>
          <w:rFonts w:ascii="Palatino Linotype" w:hAnsi="Palatino Linotype" w:cs="Arial"/>
          <w:bCs/>
        </w:rPr>
        <w:t xml:space="preserve">Por lo tanto, el nombre de la </w:t>
      </w:r>
      <w:r w:rsidRPr="003B0035">
        <w:rPr>
          <w:rFonts w:ascii="Palatino Linotype" w:hAnsi="Palatino Linotype" w:cs="Arial"/>
          <w:b/>
          <w:bCs/>
        </w:rPr>
        <w:t>SOLICITANTE</w:t>
      </w:r>
      <w:r w:rsidRPr="003B0035">
        <w:rPr>
          <w:rFonts w:ascii="Palatino Linotype" w:hAnsi="Palatino Linotype" w:cs="Arial"/>
          <w:bCs/>
        </w:rPr>
        <w:t xml:space="preserve"> y subsecuente </w:t>
      </w:r>
      <w:r w:rsidRPr="003B0035">
        <w:rPr>
          <w:rFonts w:ascii="Palatino Linotype" w:hAnsi="Palatino Linotype" w:cs="Arial"/>
          <w:b/>
          <w:bCs/>
        </w:rPr>
        <w:t>RECURRENTE</w:t>
      </w:r>
      <w:r w:rsidRPr="003B0035">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r w:rsidR="005C1AA4">
        <w:rPr>
          <w:rFonts w:ascii="Palatino Linotype" w:hAnsi="Palatino Linotype" w:cs="Arial"/>
          <w:bCs/>
        </w:rPr>
        <w:t xml:space="preserve">Garante. </w:t>
      </w:r>
    </w:p>
    <w:p w14:paraId="589C0EE6" w14:textId="225A6B91" w:rsidR="000167BD" w:rsidRPr="000167BD" w:rsidRDefault="000167BD" w:rsidP="000167BD">
      <w:pPr>
        <w:tabs>
          <w:tab w:val="left" w:pos="426"/>
        </w:tabs>
        <w:spacing w:after="160" w:line="360" w:lineRule="auto"/>
        <w:ind w:right="49"/>
        <w:contextualSpacing/>
        <w:jc w:val="both"/>
        <w:rPr>
          <w:rFonts w:ascii="Palatino Linotype" w:hAnsi="Palatino Linotype" w:cs="Arial"/>
          <w:b/>
        </w:rPr>
      </w:pPr>
    </w:p>
    <w:p w14:paraId="4D628ED6" w14:textId="76AC1912" w:rsidR="003A0689" w:rsidRPr="003A0689" w:rsidRDefault="003A0689" w:rsidP="00CA6269">
      <w:pPr>
        <w:keepNext/>
        <w:keepLines/>
        <w:spacing w:before="240" w:line="360" w:lineRule="auto"/>
        <w:jc w:val="both"/>
        <w:outlineLvl w:val="0"/>
        <w:rPr>
          <w:rFonts w:ascii="Palatino Linotype" w:hAnsi="Palatino Linotype" w:cs="Arial"/>
          <w:b/>
        </w:rPr>
      </w:pPr>
      <w:bookmarkStart w:id="16" w:name="_Toc85137160"/>
      <w:bookmarkStart w:id="17" w:name="_Toc96526730"/>
      <w:bookmarkStart w:id="18" w:name="_Toc96549903"/>
      <w:r w:rsidRPr="003A0689">
        <w:rPr>
          <w:rFonts w:ascii="Palatino Linotype" w:eastAsiaTheme="majorEastAsia" w:hAnsi="Palatino Linotype" w:cstheme="majorBidi"/>
          <w:b/>
        </w:rPr>
        <w:t>I</w:t>
      </w:r>
      <w:bookmarkStart w:id="19" w:name="_Toc67587987"/>
      <w:bookmarkStart w:id="20" w:name="_Toc68804763"/>
      <w:bookmarkStart w:id="21" w:name="_Toc96526731"/>
      <w:bookmarkEnd w:id="16"/>
      <w:bookmarkEnd w:id="17"/>
      <w:r w:rsidR="00583AE7">
        <w:rPr>
          <w:rFonts w:ascii="Palatino Linotype" w:eastAsiaTheme="majorEastAsia" w:hAnsi="Palatino Linotype" w:cstheme="majorBidi"/>
          <w:b/>
        </w:rPr>
        <w:t>V</w:t>
      </w:r>
      <w:r w:rsidRPr="003A0689">
        <w:rPr>
          <w:rFonts w:ascii="Palatino Linotype" w:eastAsiaTheme="majorEastAsia" w:hAnsi="Palatino Linotype" w:cstheme="majorBidi"/>
          <w:b/>
          <w:color w:val="000000" w:themeColor="text1"/>
          <w:lang w:val="es-MX" w:eastAsia="en-US"/>
        </w:rPr>
        <w:t>. De la determinación sobre la procedibilidad del recurso.</w:t>
      </w:r>
      <w:bookmarkEnd w:id="18"/>
      <w:bookmarkEnd w:id="19"/>
      <w:bookmarkEnd w:id="20"/>
      <w:bookmarkEnd w:id="21"/>
      <w:r w:rsidRPr="003A0689">
        <w:rPr>
          <w:rFonts w:ascii="Palatino Linotype" w:eastAsiaTheme="majorEastAsia" w:hAnsi="Palatino Linotype" w:cstheme="majorBidi"/>
          <w:b/>
          <w:color w:val="000000" w:themeColor="text1"/>
          <w:lang w:val="es-MX" w:eastAsia="en-US"/>
        </w:rPr>
        <w:t xml:space="preserve"> </w:t>
      </w:r>
    </w:p>
    <w:p w14:paraId="590E79CA" w14:textId="77777777" w:rsidR="003A0689" w:rsidRPr="003A0689" w:rsidRDefault="003A0689" w:rsidP="00CA6269">
      <w:pPr>
        <w:spacing w:line="360" w:lineRule="auto"/>
        <w:rPr>
          <w:rFonts w:ascii="Palatino Linotype" w:hAnsi="Palatino Linotype"/>
          <w:lang w:val="es-MX" w:eastAsia="en-US"/>
        </w:rPr>
      </w:pPr>
    </w:p>
    <w:p w14:paraId="63B996C5" w14:textId="35CBC272" w:rsidR="007F7B11" w:rsidRPr="00113C54" w:rsidRDefault="003A0689" w:rsidP="00CA6269">
      <w:pPr>
        <w:numPr>
          <w:ilvl w:val="0"/>
          <w:numId w:val="29"/>
        </w:numPr>
        <w:spacing w:after="160" w:line="360" w:lineRule="auto"/>
        <w:ind w:left="0" w:right="49" w:firstLine="0"/>
        <w:contextualSpacing/>
        <w:jc w:val="both"/>
        <w:rPr>
          <w:rFonts w:ascii="Palatino Linotype" w:hAnsi="Palatino Linotype"/>
          <w:lang w:val="es-ES_tradnl"/>
        </w:rPr>
      </w:pPr>
      <w:r w:rsidRPr="003A0689">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551078" w14:textId="669571AC" w:rsidR="00771BF2" w:rsidRDefault="007F7B11" w:rsidP="00CA6269">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22" w:name="_Toc500360400"/>
      <w:bookmarkStart w:id="23" w:name="_Toc96549904"/>
      <w:bookmarkStart w:id="24" w:name="_Toc459174366"/>
      <w:bookmarkStart w:id="25" w:name="_Toc459659884"/>
      <w:bookmarkStart w:id="26" w:name="_Toc461687280"/>
      <w:bookmarkStart w:id="27" w:name="_Toc462771051"/>
      <w:bookmarkStart w:id="28" w:name="_Toc464139201"/>
      <w:bookmarkStart w:id="29" w:name="_Toc495427545"/>
      <w:bookmarkStart w:id="30" w:name="_Toc499296549"/>
      <w:r w:rsidRPr="00CA6269">
        <w:rPr>
          <w:rFonts w:ascii="Palatino Linotype" w:eastAsiaTheme="majorEastAsia" w:hAnsi="Palatino Linotype" w:cstheme="majorBidi"/>
          <w:b/>
          <w:color w:val="000000" w:themeColor="text1"/>
          <w:lang w:val="es-MX" w:eastAsia="en-US"/>
        </w:rPr>
        <w:lastRenderedPageBreak/>
        <w:t xml:space="preserve">TERCERO. </w:t>
      </w:r>
      <w:r w:rsidRPr="00CA6269">
        <w:rPr>
          <w:rFonts w:ascii="Palatino Linotype" w:eastAsiaTheme="majorEastAsia" w:hAnsi="Palatino Linotype" w:cstheme="majorBidi"/>
          <w:b/>
          <w:lang w:val="es-MX" w:eastAsia="en-US"/>
        </w:rPr>
        <w:t>De las causales del sobreseimiento.</w:t>
      </w:r>
      <w:bookmarkEnd w:id="22"/>
      <w:bookmarkEnd w:id="23"/>
    </w:p>
    <w:p w14:paraId="0E36C468" w14:textId="77777777" w:rsidR="00113C54" w:rsidRPr="00CA6269" w:rsidRDefault="00113C54" w:rsidP="00CA6269">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p>
    <w:p w14:paraId="77101540" w14:textId="77777777" w:rsidR="00113C54" w:rsidRPr="00113C54" w:rsidRDefault="00113C54" w:rsidP="00113C54">
      <w:pPr>
        <w:numPr>
          <w:ilvl w:val="0"/>
          <w:numId w:val="17"/>
        </w:numPr>
        <w:spacing w:line="360" w:lineRule="auto"/>
        <w:ind w:left="0" w:right="49" w:firstLine="0"/>
        <w:contextualSpacing/>
        <w:jc w:val="both"/>
        <w:rPr>
          <w:rFonts w:ascii="Palatino Linotype" w:eastAsiaTheme="minorEastAsia" w:hAnsi="Palatino Linotype" w:cs="Arial"/>
          <w:lang w:val="es-ES_tradnl"/>
        </w:rPr>
      </w:pPr>
      <w:bookmarkStart w:id="31" w:name="_Toc466371865"/>
      <w:bookmarkStart w:id="32" w:name="_Toc466377653"/>
      <w:bookmarkStart w:id="33" w:name="_Toc495427547"/>
      <w:bookmarkStart w:id="34" w:name="_Toc497905366"/>
      <w:bookmarkEnd w:id="24"/>
      <w:bookmarkEnd w:id="25"/>
      <w:bookmarkEnd w:id="26"/>
      <w:bookmarkEnd w:id="27"/>
      <w:bookmarkEnd w:id="28"/>
      <w:bookmarkEnd w:id="29"/>
      <w:bookmarkEnd w:id="30"/>
      <w:r w:rsidRPr="00113C54">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113C54">
        <w:rPr>
          <w:rFonts w:ascii="Palatino Linotype" w:eastAsia="Calibri" w:hAnsi="Palatino Linotype" w:cs="Arial"/>
          <w:lang w:val="es-ES_tradnl"/>
        </w:rPr>
        <w:t>Transparencia, Acceso a la Información Pública del Estado de México y Municipios</w:t>
      </w:r>
      <w:r w:rsidRPr="00113C54">
        <w:rPr>
          <w:rFonts w:ascii="Palatino Linotype" w:eastAsiaTheme="minorEastAsia" w:hAnsi="Palatino Linotype" w:cs="Arial"/>
          <w:lang w:val="es-ES_tradnl"/>
        </w:rPr>
        <w:t xml:space="preserve">, y determinar la confirmación; revocación o modificación; desechamiento o </w:t>
      </w:r>
      <w:r w:rsidRPr="00113C54">
        <w:rPr>
          <w:rFonts w:ascii="Palatino Linotype" w:eastAsiaTheme="minorEastAsia" w:hAnsi="Palatino Linotype" w:cs="Arial"/>
          <w:b/>
          <w:u w:val="single"/>
          <w:lang w:val="es-ES_tradnl"/>
        </w:rPr>
        <w:t>sobreseimiento</w:t>
      </w:r>
      <w:r w:rsidRPr="00113C54">
        <w:rPr>
          <w:rFonts w:ascii="Palatino Linotype" w:eastAsiaTheme="minorEastAsia" w:hAnsi="Palatino Linotype" w:cs="Arial"/>
          <w:lang w:val="es-ES_tradnl"/>
        </w:rPr>
        <w:t xml:space="preserve">; y en su caso ordenar la entrega de la información con respecto a la respuesta emitida por el </w:t>
      </w:r>
      <w:r w:rsidRPr="00113C54">
        <w:rPr>
          <w:rFonts w:ascii="Palatino Linotype" w:eastAsiaTheme="minorEastAsia" w:hAnsi="Palatino Linotype" w:cs="Arial"/>
          <w:b/>
          <w:lang w:val="es-ES_tradnl"/>
        </w:rPr>
        <w:t>SUJETO</w:t>
      </w:r>
      <w:r w:rsidRPr="00113C54">
        <w:rPr>
          <w:rFonts w:ascii="Palatino Linotype" w:eastAsiaTheme="minorEastAsia" w:hAnsi="Palatino Linotype" w:cs="Arial"/>
          <w:lang w:val="es-ES_tradnl"/>
        </w:rPr>
        <w:t xml:space="preserve"> </w:t>
      </w:r>
      <w:r w:rsidRPr="00113C54">
        <w:rPr>
          <w:rFonts w:ascii="Palatino Linotype" w:eastAsiaTheme="minorEastAsia" w:hAnsi="Palatino Linotype" w:cs="Arial"/>
          <w:b/>
          <w:lang w:val="es-ES_tradnl"/>
        </w:rPr>
        <w:t>OBLIGADO</w:t>
      </w:r>
      <w:r w:rsidRPr="00113C54">
        <w:rPr>
          <w:rFonts w:ascii="Palatino Linotype" w:eastAsiaTheme="minorEastAsia" w:hAnsi="Palatino Linotype" w:cs="Arial"/>
          <w:lang w:val="es-ES_tradnl"/>
        </w:rPr>
        <w:t>.</w:t>
      </w:r>
    </w:p>
    <w:p w14:paraId="3F0C30A9" w14:textId="77777777" w:rsidR="00113C54" w:rsidRPr="00113C54" w:rsidRDefault="00113C54" w:rsidP="00113C54">
      <w:pPr>
        <w:spacing w:line="360" w:lineRule="auto"/>
        <w:ind w:right="49"/>
        <w:contextualSpacing/>
        <w:jc w:val="both"/>
        <w:rPr>
          <w:rFonts w:ascii="Palatino Linotype" w:eastAsiaTheme="minorEastAsia" w:hAnsi="Palatino Linotype" w:cs="Arial"/>
          <w:lang w:val="es-ES_tradnl"/>
        </w:rPr>
      </w:pPr>
    </w:p>
    <w:p w14:paraId="3CB403B9" w14:textId="7F43E7E2" w:rsidR="00EE72FB" w:rsidRPr="00EE72FB" w:rsidRDefault="00113C54" w:rsidP="00EE72FB">
      <w:pPr>
        <w:numPr>
          <w:ilvl w:val="0"/>
          <w:numId w:val="17"/>
        </w:numPr>
        <w:spacing w:line="360" w:lineRule="auto"/>
        <w:ind w:left="0" w:right="49" w:firstLine="0"/>
        <w:contextualSpacing/>
        <w:jc w:val="both"/>
        <w:rPr>
          <w:rFonts w:ascii="Palatino Linotype" w:eastAsiaTheme="minorEastAsia" w:hAnsi="Palatino Linotype" w:cs="Arial"/>
          <w:lang w:val="es-ES_tradnl"/>
        </w:rPr>
      </w:pPr>
      <w:r w:rsidRPr="00113C54">
        <w:rPr>
          <w:rFonts w:ascii="Palatino Linotype" w:eastAsia="Calibri" w:hAnsi="Palatino Linotype" w:cs="Arial"/>
          <w:color w:val="000000" w:themeColor="text1"/>
          <w:lang w:val="es-MX" w:eastAsia="en-US"/>
        </w:rPr>
        <w:t xml:space="preserve">Ahora bien, en el caso concreto y derivado del razonamiento lógico-jurídico de las constancias que obran en el expediente electrónico al rubro indicado, es de señalar que el </w:t>
      </w:r>
      <w:r w:rsidRPr="00113C54">
        <w:rPr>
          <w:rFonts w:ascii="Palatino Linotype" w:eastAsiaTheme="minorEastAsia" w:hAnsi="Palatino Linotype" w:cs="Arial"/>
          <w:color w:val="000000" w:themeColor="text1"/>
          <w:lang w:val="es-ES_tradnl"/>
        </w:rPr>
        <w:t xml:space="preserve">ahora recurrente, solicitó </w:t>
      </w:r>
      <w:r w:rsidR="00EE72FB">
        <w:rPr>
          <w:rFonts w:ascii="Palatino Linotype" w:eastAsiaTheme="minorEastAsia" w:hAnsi="Palatino Linotype" w:cs="Arial"/>
          <w:color w:val="000000" w:themeColor="text1"/>
          <w:lang w:val="es-ES_tradnl"/>
        </w:rPr>
        <w:t xml:space="preserve">acceso al </w:t>
      </w:r>
      <w:r w:rsidR="00EE72FB" w:rsidRPr="00EE72FB">
        <w:rPr>
          <w:rFonts w:ascii="Palatino Linotype" w:eastAsiaTheme="minorEastAsia" w:hAnsi="Palatino Linotype" w:cs="Arial"/>
          <w:i/>
          <w:color w:val="000000" w:themeColor="text1"/>
          <w:lang w:val="es-ES_tradnl"/>
        </w:rPr>
        <w:t>“</w:t>
      </w:r>
      <w:r w:rsidR="00EE72FB">
        <w:rPr>
          <w:rFonts w:ascii="Palatino Linotype" w:eastAsiaTheme="minorEastAsia" w:hAnsi="Palatino Linotype" w:cs="Arial"/>
          <w:i/>
          <w:color w:val="000000" w:themeColor="text1"/>
          <w:lang w:val="es-ES_tradnl"/>
        </w:rPr>
        <w:t>m</w:t>
      </w:r>
      <w:r w:rsidR="00EE72FB" w:rsidRPr="00EE72FB">
        <w:rPr>
          <w:rFonts w:ascii="Palatino Linotype" w:eastAsiaTheme="minorEastAsia" w:hAnsi="Palatino Linotype" w:cs="Arial"/>
          <w:i/>
          <w:color w:val="000000" w:themeColor="text1"/>
          <w:lang w:val="es-ES_tradnl"/>
        </w:rPr>
        <w:t>anual de procedimientos vigentes y aplicable para el Tribunal Estatal de Conciliación y Arbitraje”</w:t>
      </w:r>
      <w:r w:rsidR="00EE72FB">
        <w:rPr>
          <w:rFonts w:ascii="Palatino Linotype" w:eastAsiaTheme="minorEastAsia" w:hAnsi="Palatino Linotype" w:cs="Arial"/>
          <w:color w:val="000000" w:themeColor="text1"/>
          <w:lang w:val="es-ES_tradnl"/>
        </w:rPr>
        <w:t xml:space="preserve"> </w:t>
      </w:r>
    </w:p>
    <w:p w14:paraId="720E5F31" w14:textId="1592EF2E" w:rsidR="00113C54" w:rsidRPr="00113C54" w:rsidRDefault="00113C54" w:rsidP="00113C54">
      <w:pPr>
        <w:spacing w:line="360" w:lineRule="auto"/>
        <w:ind w:right="49"/>
        <w:contextualSpacing/>
        <w:jc w:val="both"/>
        <w:rPr>
          <w:rFonts w:ascii="Palatino Linotype" w:eastAsiaTheme="minorEastAsia" w:hAnsi="Palatino Linotype" w:cs="Arial"/>
          <w:lang w:val="es-ES_tradnl"/>
        </w:rPr>
      </w:pPr>
    </w:p>
    <w:p w14:paraId="2C66CAAC" w14:textId="1F811D1E" w:rsidR="00113C54" w:rsidRPr="00113C54" w:rsidRDefault="00113C54" w:rsidP="00C57C10">
      <w:pPr>
        <w:numPr>
          <w:ilvl w:val="0"/>
          <w:numId w:val="17"/>
        </w:numPr>
        <w:spacing w:line="360" w:lineRule="auto"/>
        <w:ind w:left="0" w:right="49" w:firstLine="0"/>
        <w:contextualSpacing/>
        <w:jc w:val="both"/>
        <w:rPr>
          <w:rFonts w:ascii="Palatino Linotype" w:eastAsiaTheme="minorEastAsia" w:hAnsi="Palatino Linotype" w:cstheme="minorBidi"/>
          <w:b/>
          <w:lang w:val="es-ES_tradnl"/>
        </w:rPr>
      </w:pPr>
      <w:r w:rsidRPr="00113C54">
        <w:rPr>
          <w:rFonts w:ascii="Palatino Linotype" w:eastAsiaTheme="minorEastAsia" w:hAnsi="Palatino Linotype" w:cstheme="minorBidi"/>
          <w:lang w:val="es-ES_tradnl"/>
        </w:rPr>
        <w:t xml:space="preserve">En ese sentido, el </w:t>
      </w:r>
      <w:r w:rsidRPr="00113C54">
        <w:rPr>
          <w:rFonts w:ascii="Palatino Linotype" w:eastAsiaTheme="minorEastAsia" w:hAnsi="Palatino Linotype" w:cstheme="minorBidi"/>
          <w:b/>
          <w:lang w:val="es-ES_tradnl"/>
        </w:rPr>
        <w:t xml:space="preserve">SUJETO OBLIGADO, </w:t>
      </w:r>
      <w:r w:rsidRPr="00113C54">
        <w:rPr>
          <w:rFonts w:ascii="Palatino Linotype" w:eastAsiaTheme="minorEastAsia" w:hAnsi="Palatino Linotype" w:cstheme="minorBidi"/>
          <w:lang w:val="es-ES_tradnl"/>
        </w:rPr>
        <w:t>mediante su respuesta refirió el procedimiento para acced</w:t>
      </w:r>
      <w:r w:rsidR="00C57C10">
        <w:rPr>
          <w:rFonts w:ascii="Palatino Linotype" w:eastAsiaTheme="minorEastAsia" w:hAnsi="Palatino Linotype" w:cstheme="minorBidi"/>
          <w:lang w:val="es-ES_tradnl"/>
        </w:rPr>
        <w:t>er a la información a través de la dirección electrónica:</w:t>
      </w:r>
      <w:r w:rsidR="00C57C10">
        <w:rPr>
          <w:rFonts w:ascii="Palatino Linotype" w:eastAsiaTheme="minorEastAsia" w:hAnsi="Palatino Linotype" w:cstheme="minorBidi"/>
          <w:b/>
          <w:lang w:val="es-ES_tradnl"/>
        </w:rPr>
        <w:t xml:space="preserve"> </w:t>
      </w:r>
      <w:hyperlink r:id="rId10" w:history="1">
        <w:r w:rsidR="00C57C10" w:rsidRPr="00C57C10">
          <w:rPr>
            <w:rStyle w:val="Hipervnculo"/>
            <w:rFonts w:ascii="Palatino Linotype" w:hAnsi="Palatino Linotype"/>
          </w:rPr>
          <w:t>http://teca.edomex.gob.mx/marco_juridico</w:t>
        </w:r>
      </w:hyperlink>
      <w:r w:rsidRPr="00113C54">
        <w:rPr>
          <w:rFonts w:ascii="Palatino Linotype" w:eastAsiaTheme="minorEastAsia" w:hAnsi="Palatino Linotype" w:cstheme="minorBidi"/>
          <w:lang w:val="es-ES_tradnl"/>
        </w:rPr>
        <w:t xml:space="preserve">, </w:t>
      </w:r>
      <w:r w:rsidRPr="00113C54">
        <w:rPr>
          <w:rFonts w:ascii="Palatino Linotype" w:eastAsiaTheme="minorEastAsia" w:hAnsi="Palatino Linotype"/>
          <w:lang w:val="es-ES_tradnl" w:eastAsia="es-ES_tradnl"/>
        </w:rPr>
        <w:t xml:space="preserve">de conformidad con lo que establece el artículo 161 de la Ley de Transparencia y Acceso a la Información del Estado de México y Municipios, mismo que establece que cuando la información solicita se encuentre disponible en algún formato electrónico se podrá señalar la fuente, el lugar y la forma en que se puede consultar, reproducir o adquirir la información, así como de respetar los plazos que señala la Ley, como a continuación se observa: </w:t>
      </w:r>
    </w:p>
    <w:p w14:paraId="7E79E34D" w14:textId="77777777" w:rsidR="00113C54" w:rsidRPr="00113C54" w:rsidRDefault="00113C54" w:rsidP="00113C54">
      <w:pPr>
        <w:widowControl w:val="0"/>
        <w:autoSpaceDE w:val="0"/>
        <w:autoSpaceDN w:val="0"/>
        <w:adjustRightInd w:val="0"/>
        <w:spacing w:before="240" w:after="240" w:line="360" w:lineRule="auto"/>
        <w:ind w:left="567" w:right="567"/>
        <w:jc w:val="both"/>
        <w:rPr>
          <w:rFonts w:ascii="Palatino Linotype" w:eastAsiaTheme="minorEastAsia" w:hAnsi="Palatino Linotype"/>
          <w:b/>
          <w:i/>
          <w:sz w:val="22"/>
          <w:lang w:val="es-ES_tradnl" w:eastAsia="es-ES_tradnl"/>
        </w:rPr>
      </w:pPr>
      <w:r w:rsidRPr="00113C54">
        <w:rPr>
          <w:rFonts w:ascii="Palatino Linotype" w:eastAsiaTheme="minorEastAsia" w:hAnsi="Palatino Linotype" w:cstheme="minorBidi"/>
          <w:i/>
          <w:sz w:val="22"/>
          <w:lang w:val="es-ES_tradnl"/>
        </w:rPr>
        <w:t>“</w:t>
      </w:r>
      <w:r w:rsidRPr="00113C54">
        <w:rPr>
          <w:rFonts w:ascii="Palatino Linotype" w:eastAsiaTheme="minorEastAsia" w:hAnsi="Palatino Linotype" w:cstheme="minorBidi"/>
          <w:b/>
          <w:i/>
          <w:sz w:val="22"/>
          <w:lang w:val="es-ES_tradnl"/>
        </w:rPr>
        <w:t>Artículo 161.</w:t>
      </w:r>
      <w:r w:rsidRPr="00113C54">
        <w:rPr>
          <w:rFonts w:ascii="Palatino Linotype" w:eastAsiaTheme="minorEastAsia" w:hAnsi="Palatino Linotype" w:cstheme="minorBidi"/>
          <w:i/>
          <w:sz w:val="22"/>
          <w:lang w:val="es-ES_tradnl"/>
        </w:rPr>
        <w:t xml:space="preserve"> Cuando la información requerida por el solicitante ya esté disponible al </w:t>
      </w:r>
      <w:r w:rsidRPr="00113C54">
        <w:rPr>
          <w:rFonts w:ascii="Palatino Linotype" w:eastAsiaTheme="minorEastAsia" w:hAnsi="Palatino Linotype" w:cstheme="minorBidi"/>
          <w:i/>
          <w:sz w:val="22"/>
          <w:lang w:val="es-ES_tradnl"/>
        </w:rPr>
        <w:lastRenderedPageBreak/>
        <w:t xml:space="preserve">público en medios impresos, tales como libros, compendios, trípticos, registros públicos, en formatos electrónicos disponibles en Internet o en cualquier otro medio, </w:t>
      </w:r>
      <w:r w:rsidRPr="00113C54">
        <w:rPr>
          <w:rFonts w:ascii="Palatino Linotype" w:eastAsiaTheme="minorEastAsia" w:hAnsi="Palatino Linotype" w:cstheme="minorBidi"/>
          <w:b/>
          <w:i/>
          <w:sz w:val="22"/>
          <w:lang w:val="es-ES_tradnl"/>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511F15E" w14:textId="0ABB049C" w:rsidR="00113C54" w:rsidRPr="00113C54" w:rsidRDefault="0083296F" w:rsidP="00113C54">
      <w:pPr>
        <w:widowControl w:val="0"/>
        <w:numPr>
          <w:ilvl w:val="0"/>
          <w:numId w:val="17"/>
        </w:numPr>
        <w:autoSpaceDE w:val="0"/>
        <w:autoSpaceDN w:val="0"/>
        <w:adjustRightInd w:val="0"/>
        <w:spacing w:before="240" w:after="240" w:line="360" w:lineRule="auto"/>
        <w:ind w:left="0" w:firstLine="0"/>
        <w:jc w:val="both"/>
        <w:rPr>
          <w:rFonts w:ascii="Palatino Linotype" w:eastAsiaTheme="minorEastAsia" w:hAnsi="Palatino Linotype"/>
          <w:lang w:val="es-ES_tradnl" w:eastAsia="es-ES_tradnl"/>
        </w:rPr>
      </w:pPr>
      <w:r>
        <w:rPr>
          <w:rFonts w:ascii="Palatino Linotype" w:eastAsiaTheme="minorEastAsia" w:hAnsi="Palatino Linotype"/>
          <w:noProof/>
          <w:lang w:val="en-US" w:eastAsia="en-US"/>
        </w:rPr>
        <mc:AlternateContent>
          <mc:Choice Requires="wps">
            <w:drawing>
              <wp:anchor distT="0" distB="0" distL="114300" distR="114300" simplePos="0" relativeHeight="251660288" behindDoc="0" locked="0" layoutInCell="1" allowOverlap="1" wp14:anchorId="43AC8500" wp14:editId="7442420D">
                <wp:simplePos x="0" y="0"/>
                <wp:positionH relativeFrom="column">
                  <wp:posOffset>-3811</wp:posOffset>
                </wp:positionH>
                <wp:positionV relativeFrom="paragraph">
                  <wp:posOffset>2249169</wp:posOffset>
                </wp:positionV>
                <wp:extent cx="5591175" cy="288607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5591175" cy="2886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D8EDE0"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177.1pt" to="439.95pt,4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" strokecolor="black [3040]"/>
            </w:pict>
          </mc:Fallback>
        </mc:AlternateContent>
      </w:r>
      <w:r w:rsidR="00113C54" w:rsidRPr="00113C54">
        <w:rPr>
          <w:rFonts w:ascii="Palatino Linotype" w:eastAsiaTheme="minorEastAsia" w:hAnsi="Palatino Linotype"/>
          <w:lang w:val="es-ES_tradnl" w:eastAsia="es-ES_tradnl"/>
        </w:rPr>
        <w:t xml:space="preserve">No obstante lo anterior, el recurrente se inconformó expresando que no pudo acceder a la información solicita, por lo que es posible determinar </w:t>
      </w:r>
      <w:r w:rsidRPr="00113C54">
        <w:rPr>
          <w:rFonts w:ascii="Palatino Linotype" w:eastAsiaTheme="minorEastAsia" w:hAnsi="Palatino Linotype"/>
          <w:lang w:val="es-ES_tradnl" w:eastAsia="es-ES_tradnl"/>
        </w:rPr>
        <w:t>que la</w:t>
      </w:r>
      <w:r w:rsidR="00113C54" w:rsidRPr="00113C54">
        <w:rPr>
          <w:rFonts w:ascii="Palatino Linotype" w:eastAsiaTheme="minorEastAsia" w:hAnsi="Palatino Linotype"/>
          <w:lang w:val="es-ES_tradnl" w:eastAsia="es-ES_tradnl"/>
        </w:rPr>
        <w:t xml:space="preserve"> orientación realizada por el </w:t>
      </w:r>
      <w:r w:rsidR="00113C54" w:rsidRPr="00113C54">
        <w:rPr>
          <w:rFonts w:ascii="Palatino Linotype" w:eastAsiaTheme="minorEastAsia" w:hAnsi="Palatino Linotype"/>
          <w:b/>
          <w:lang w:val="es-ES_tradnl" w:eastAsia="es-ES_tradnl"/>
        </w:rPr>
        <w:t>SUJETO OBLIGADO</w:t>
      </w:r>
      <w:r w:rsidR="00113C54" w:rsidRPr="00113C54">
        <w:rPr>
          <w:rFonts w:ascii="Palatino Linotype" w:eastAsiaTheme="minorEastAsia" w:hAnsi="Palatino Linotype"/>
          <w:lang w:val="es-ES_tradnl" w:eastAsia="es-ES_tradnl"/>
        </w:rPr>
        <w:t xml:space="preserve"> no fue satisfactoria, </w:t>
      </w:r>
      <w:r w:rsidR="00113C54" w:rsidRPr="00113C54">
        <w:rPr>
          <w:rFonts w:ascii="Palatino Linotype" w:eastAsiaTheme="minorEastAsia" w:hAnsi="Palatino Linotype" w:cstheme="minorBidi"/>
          <w:lang w:val="es-ES_tradnl"/>
        </w:rPr>
        <w:t xml:space="preserve">así las cosas, en un hecho posterior como lo es el informe justificado, el </w:t>
      </w:r>
      <w:r w:rsidR="00113C54" w:rsidRPr="00113C54">
        <w:rPr>
          <w:rFonts w:ascii="Palatino Linotype" w:eastAsiaTheme="minorEastAsia" w:hAnsi="Palatino Linotype" w:cstheme="minorBidi"/>
          <w:b/>
          <w:lang w:val="es-ES_tradnl"/>
        </w:rPr>
        <w:t xml:space="preserve">SUJETO OBLIGADO </w:t>
      </w:r>
      <w:r w:rsidR="00113C54" w:rsidRPr="00113C54">
        <w:rPr>
          <w:rFonts w:ascii="Palatino Linotype" w:eastAsiaTheme="minorEastAsia" w:hAnsi="Palatino Linotype" w:cstheme="minorBidi"/>
          <w:lang w:val="es-ES_tradnl"/>
        </w:rPr>
        <w:t xml:space="preserve">tiene a bien subsanar su contestación primigenia al realizar entrega del </w:t>
      </w:r>
      <w:r w:rsidR="00C57C10">
        <w:rPr>
          <w:rFonts w:ascii="Palatino Linotype" w:eastAsiaTheme="minorEastAsia" w:hAnsi="Palatino Linotype" w:cstheme="minorBidi"/>
          <w:lang w:val="es-ES_tradnl"/>
        </w:rPr>
        <w:t xml:space="preserve">Manual de Procedimientos del Tribunal Estatal de Conciliación y Arbitraje, </w:t>
      </w:r>
      <w:r w:rsidR="00113C54" w:rsidRPr="00113C54">
        <w:rPr>
          <w:rFonts w:ascii="Palatino Linotype" w:eastAsiaTheme="minorEastAsia" w:hAnsi="Palatino Linotype"/>
          <w:lang w:val="es-ES_tradnl" w:eastAsia="es-ES_tradnl"/>
        </w:rPr>
        <w:t xml:space="preserve">como a continuación se observa: </w:t>
      </w:r>
    </w:p>
    <w:p w14:paraId="3C65684F" w14:textId="65161C5D" w:rsidR="00113C54" w:rsidRPr="00113C54" w:rsidRDefault="00113C54" w:rsidP="00113C54">
      <w:pPr>
        <w:spacing w:line="360" w:lineRule="auto"/>
        <w:ind w:right="49"/>
        <w:rPr>
          <w:rFonts w:ascii="Palatino Linotype" w:eastAsiaTheme="minorEastAsia" w:hAnsi="Palatino Linotype" w:cs="Arial"/>
          <w:lang w:val="es-ES_tradnl"/>
        </w:rPr>
      </w:pPr>
    </w:p>
    <w:p w14:paraId="195F6B47" w14:textId="5EC97A97" w:rsidR="00113C54" w:rsidRPr="00113C54" w:rsidRDefault="00C57C10" w:rsidP="00113C54">
      <w:pPr>
        <w:spacing w:line="360" w:lineRule="auto"/>
        <w:ind w:right="49"/>
        <w:contextualSpacing/>
        <w:jc w:val="center"/>
        <w:rPr>
          <w:rFonts w:ascii="Palatino Linotype" w:eastAsiaTheme="minorEastAsia" w:hAnsi="Palatino Linotype" w:cs="Arial"/>
          <w:highlight w:val="cyan"/>
          <w:lang w:val="es-ES_tradnl"/>
        </w:rPr>
      </w:pPr>
      <w:r>
        <w:rPr>
          <w:noProof/>
          <w:lang w:val="en-US" w:eastAsia="en-US"/>
        </w:rPr>
        <mc:AlternateContent>
          <mc:Choice Requires="wps">
            <w:drawing>
              <wp:anchor distT="0" distB="0" distL="114300" distR="114300" simplePos="0" relativeHeight="251659264" behindDoc="0" locked="0" layoutInCell="1" allowOverlap="1" wp14:anchorId="7270E9EA" wp14:editId="55C7F3F0">
                <wp:simplePos x="0" y="0"/>
                <wp:positionH relativeFrom="column">
                  <wp:posOffset>1367790</wp:posOffset>
                </wp:positionH>
                <wp:positionV relativeFrom="paragraph">
                  <wp:posOffset>2608579</wp:posOffset>
                </wp:positionV>
                <wp:extent cx="2809875" cy="695325"/>
                <wp:effectExtent l="57150" t="19050" r="85725" b="104775"/>
                <wp:wrapNone/>
                <wp:docPr id="4" name="Rectángulo 4"/>
                <wp:cNvGraphicFramePr/>
                <a:graphic xmlns:a="http://schemas.openxmlformats.org/drawingml/2006/main">
                  <a:graphicData uri="http://schemas.microsoft.com/office/word/2010/wordprocessingShape">
                    <wps:wsp>
                      <wps:cNvSpPr/>
                      <wps:spPr>
                        <a:xfrm>
                          <a:off x="0" y="0"/>
                          <a:ext cx="2809875" cy="6953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BAD525" id="Rectángulo 4" o:spid="_x0000_s1026" style="position:absolute;margin-left:107.7pt;margin-top:205.4pt;width:221.2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" filled="f" strokecolor="red">
                <v:shadow on="t" color="black" opacity="22937f" origin=",.5" offset="0,.63889mm"/>
              </v:rect>
            </w:pict>
          </mc:Fallback>
        </mc:AlternateContent>
      </w:r>
      <w:r>
        <w:rPr>
          <w:noProof/>
          <w:lang w:val="en-US" w:eastAsia="en-US"/>
        </w:rPr>
        <w:drawing>
          <wp:inline distT="0" distB="0" distL="0" distR="0" wp14:anchorId="387D2FDC" wp14:editId="46841C1F">
            <wp:extent cx="5272029" cy="65436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536" t="15389" r="8690" b="10078"/>
                    <a:stretch/>
                  </pic:blipFill>
                  <pic:spPr bwMode="auto">
                    <a:xfrm>
                      <a:off x="0" y="0"/>
                      <a:ext cx="5278719" cy="6551979"/>
                    </a:xfrm>
                    <a:prstGeom prst="rect">
                      <a:avLst/>
                    </a:prstGeom>
                    <a:ln>
                      <a:noFill/>
                    </a:ln>
                    <a:extLst>
                      <a:ext uri="{53640926-AAD7-44D8-BBD7-CCE9431645EC}">
                        <a14:shadowObscured xmlns:a14="http://schemas.microsoft.com/office/drawing/2010/main"/>
                      </a:ext>
                    </a:extLst>
                  </pic:spPr>
                </pic:pic>
              </a:graphicData>
            </a:graphic>
          </wp:inline>
        </w:drawing>
      </w:r>
    </w:p>
    <w:p w14:paraId="7CA34EB1" w14:textId="77777777" w:rsidR="00113C54" w:rsidRPr="00113C54" w:rsidRDefault="00113C54" w:rsidP="00113C54">
      <w:pPr>
        <w:spacing w:line="360" w:lineRule="auto"/>
        <w:ind w:right="49"/>
        <w:contextualSpacing/>
        <w:jc w:val="center"/>
        <w:rPr>
          <w:rFonts w:ascii="Palatino Linotype" w:eastAsiaTheme="minorEastAsia" w:hAnsi="Palatino Linotype" w:cs="Arial"/>
          <w:highlight w:val="cyan"/>
          <w:lang w:val="es-ES_tradnl"/>
        </w:rPr>
      </w:pPr>
    </w:p>
    <w:p w14:paraId="200EDC95" w14:textId="1B3787BB" w:rsidR="00113C54" w:rsidRPr="00113C54" w:rsidRDefault="00113C54" w:rsidP="00113C54">
      <w:pPr>
        <w:numPr>
          <w:ilvl w:val="0"/>
          <w:numId w:val="17"/>
        </w:numPr>
        <w:spacing w:line="360" w:lineRule="auto"/>
        <w:ind w:left="0" w:right="49" w:firstLine="0"/>
        <w:contextualSpacing/>
        <w:jc w:val="both"/>
        <w:rPr>
          <w:rFonts w:ascii="Palatino Linotype" w:eastAsiaTheme="minorEastAsia" w:hAnsi="Palatino Linotype" w:cs="Arial"/>
          <w:lang w:val="es-ES_tradnl"/>
        </w:rPr>
      </w:pPr>
      <w:r w:rsidRPr="00113C54">
        <w:rPr>
          <w:rFonts w:ascii="Palatino Linotype" w:eastAsiaTheme="minorEastAsia" w:hAnsi="Palatino Linotype" w:cstheme="minorBidi"/>
          <w:lang w:val="es-ES_tradnl"/>
        </w:rPr>
        <w:t xml:space="preserve">Al respecto, el Pleno de este Instituto advierte que la información remitida mediante informe justificado, subsanó la respuesta otorgada en un primer momento, ello, debido a que si bien la respuesta inicial del </w:t>
      </w:r>
      <w:r w:rsidRPr="00113C54">
        <w:rPr>
          <w:rFonts w:ascii="Palatino Linotype" w:eastAsiaTheme="minorEastAsia" w:hAnsi="Palatino Linotype" w:cstheme="minorBidi"/>
          <w:b/>
          <w:lang w:val="es-ES_tradnl"/>
        </w:rPr>
        <w:t>SUJETO OBLIGADO</w:t>
      </w:r>
      <w:r w:rsidRPr="00113C54">
        <w:rPr>
          <w:rFonts w:ascii="Palatino Linotype" w:eastAsiaTheme="minorEastAsia" w:hAnsi="Palatino Linotype" w:cstheme="minorBidi"/>
          <w:lang w:val="es-ES_tradnl"/>
        </w:rPr>
        <w:t xml:space="preserve"> resultó </w:t>
      </w:r>
      <w:r w:rsidR="00C57C10" w:rsidRPr="00113C54">
        <w:rPr>
          <w:rFonts w:ascii="Palatino Linotype" w:eastAsiaTheme="minorEastAsia" w:hAnsi="Palatino Linotype" w:cstheme="minorBidi"/>
          <w:lang w:val="es-ES_tradnl"/>
        </w:rPr>
        <w:t>desfavorable en</w:t>
      </w:r>
      <w:r w:rsidRPr="00113C54">
        <w:rPr>
          <w:rFonts w:ascii="Palatino Linotype" w:eastAsiaTheme="minorEastAsia" w:hAnsi="Palatino Linotype" w:cstheme="minorBidi"/>
          <w:lang w:val="es-ES_tradnl"/>
        </w:rPr>
        <w:t xml:space="preserve"> razón de que no se precisó de manera concreta y precisa la fuente donde obraba la información solicitada, a posteriori el documento que remite la autoridad responsable contiene la información solicitada por el recurrente. </w:t>
      </w:r>
    </w:p>
    <w:p w14:paraId="7530F267" w14:textId="77777777" w:rsidR="00113C54" w:rsidRPr="00113C54" w:rsidRDefault="00113C54" w:rsidP="00113C54">
      <w:pPr>
        <w:spacing w:line="360" w:lineRule="auto"/>
        <w:ind w:right="49"/>
        <w:jc w:val="both"/>
        <w:rPr>
          <w:rFonts w:ascii="Palatino Linotype" w:eastAsiaTheme="minorEastAsia" w:hAnsi="Palatino Linotype" w:cs="Arial"/>
          <w:lang w:val="es-ES_tradnl"/>
        </w:rPr>
      </w:pPr>
    </w:p>
    <w:p w14:paraId="71D0550C" w14:textId="170A702F" w:rsidR="00113C54" w:rsidRPr="00113C54" w:rsidRDefault="00113C54" w:rsidP="00113C54">
      <w:pPr>
        <w:numPr>
          <w:ilvl w:val="0"/>
          <w:numId w:val="17"/>
        </w:numPr>
        <w:spacing w:line="360" w:lineRule="auto"/>
        <w:ind w:left="0" w:right="49" w:firstLine="0"/>
        <w:contextualSpacing/>
        <w:jc w:val="both"/>
        <w:rPr>
          <w:rFonts w:ascii="Palatino Linotype" w:eastAsiaTheme="minorEastAsia" w:hAnsi="Palatino Linotype" w:cs="Arial"/>
          <w:lang w:val="es-ES_tradnl"/>
        </w:rPr>
      </w:pPr>
      <w:r w:rsidRPr="00113C54">
        <w:rPr>
          <w:rFonts w:ascii="Palatino Linotype" w:eastAsia="Calibri" w:hAnsi="Palatino Linotype"/>
          <w:lang w:val="es-MX"/>
        </w:rPr>
        <w:t xml:space="preserve">Precisado lo anterior, es necesario referir que </w:t>
      </w:r>
      <w:r w:rsidRPr="00113C54">
        <w:rPr>
          <w:rFonts w:ascii="Palatino Linotype" w:eastAsia="MS Mincho" w:hAnsi="Palatino Linotype"/>
          <w:lang w:val="es-ES_tradnl" w:eastAsia="es-ES_tradnl"/>
        </w:rPr>
        <w:t xml:space="preserve">este </w:t>
      </w:r>
      <w:r w:rsidR="00C57C10">
        <w:rPr>
          <w:rFonts w:ascii="Palatino Linotype" w:eastAsia="MS Mincho" w:hAnsi="Palatino Linotype"/>
          <w:lang w:val="es-ES_tradnl" w:eastAsia="es-ES_tradnl"/>
        </w:rPr>
        <w:t xml:space="preserve">Órgano Garante </w:t>
      </w:r>
      <w:r w:rsidRPr="00113C54">
        <w:rPr>
          <w:rFonts w:ascii="Palatino Linotype" w:eastAsia="MS Mincho" w:hAnsi="Palatino Linotype"/>
          <w:lang w:val="es-ES_tradnl" w:eastAsia="es-ES_tradnl"/>
        </w:rPr>
        <w:t xml:space="preserve">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113C54">
        <w:rPr>
          <w:rFonts w:ascii="Palatino Linotype" w:eastAsia="MS Mincho" w:hAnsi="Palatino Linotype"/>
          <w:b/>
          <w:lang w:val="es-ES_tradnl" w:eastAsia="es-ES_tradnl"/>
        </w:rPr>
        <w:t>(SAIMEX).</w:t>
      </w:r>
    </w:p>
    <w:p w14:paraId="605BA278" w14:textId="77777777" w:rsidR="00113C54" w:rsidRPr="00113C54" w:rsidRDefault="00113C54" w:rsidP="00113C54">
      <w:pPr>
        <w:spacing w:line="360" w:lineRule="auto"/>
        <w:ind w:right="49"/>
        <w:contextualSpacing/>
        <w:jc w:val="both"/>
        <w:rPr>
          <w:rFonts w:ascii="Palatino Linotype" w:eastAsiaTheme="minorEastAsia" w:hAnsi="Palatino Linotype" w:cs="Arial"/>
          <w:lang w:val="es-ES_tradnl"/>
        </w:rPr>
      </w:pPr>
    </w:p>
    <w:p w14:paraId="3674D233" w14:textId="77777777" w:rsidR="00113C54" w:rsidRPr="00113C54" w:rsidRDefault="00113C54" w:rsidP="00113C54">
      <w:pPr>
        <w:numPr>
          <w:ilvl w:val="0"/>
          <w:numId w:val="17"/>
        </w:numPr>
        <w:spacing w:line="360" w:lineRule="auto"/>
        <w:ind w:left="0" w:right="49" w:firstLine="0"/>
        <w:contextualSpacing/>
        <w:jc w:val="both"/>
        <w:rPr>
          <w:rFonts w:ascii="Palatino Linotype" w:eastAsiaTheme="minorEastAsia" w:hAnsi="Palatino Linotype" w:cs="Arial"/>
          <w:lang w:val="es-ES_tradnl"/>
        </w:rPr>
      </w:pPr>
      <w:r w:rsidRPr="00113C54">
        <w:rPr>
          <w:rFonts w:ascii="Palatino Linotype" w:eastAsia="MS Mincho" w:hAnsi="Palatino Linotype"/>
          <w:lang w:val="es-ES_tradnl" w:eastAsia="es-ES_tradnl"/>
        </w:rPr>
        <w:t>Sirviendo de apoyo a lo anterior por analogía, el criterio 31-10 emitido por el ahora Instituto Nacional de Transparencia, Acceso a la Información y Protección de Datos Personales, que a la letra dice:</w:t>
      </w:r>
    </w:p>
    <w:p w14:paraId="3AB0CAFD" w14:textId="77777777" w:rsidR="00113C54" w:rsidRPr="00113C54" w:rsidRDefault="00113C54" w:rsidP="00113C54">
      <w:pPr>
        <w:spacing w:line="360" w:lineRule="auto"/>
        <w:ind w:right="49"/>
        <w:contextualSpacing/>
        <w:jc w:val="both"/>
        <w:rPr>
          <w:rFonts w:ascii="Palatino Linotype" w:eastAsiaTheme="minorEastAsia" w:hAnsi="Palatino Linotype" w:cs="Arial"/>
          <w:lang w:val="es-ES_tradnl"/>
        </w:rPr>
      </w:pPr>
    </w:p>
    <w:p w14:paraId="2B682B4C" w14:textId="77777777" w:rsidR="00113C54" w:rsidRPr="00113C54" w:rsidRDefault="00113C54" w:rsidP="00113C54">
      <w:pPr>
        <w:widowControl w:val="0"/>
        <w:autoSpaceDE w:val="0"/>
        <w:autoSpaceDN w:val="0"/>
        <w:adjustRightInd w:val="0"/>
        <w:spacing w:before="240" w:after="240" w:line="360" w:lineRule="auto"/>
        <w:ind w:left="567" w:right="567"/>
        <w:jc w:val="both"/>
        <w:rPr>
          <w:rFonts w:ascii="Palatino Linotype" w:eastAsia="MS Mincho" w:hAnsi="Palatino Linotype"/>
          <w:i/>
          <w:sz w:val="22"/>
          <w:lang w:val="es-ES_tradnl" w:eastAsia="es-ES_tradnl"/>
        </w:rPr>
      </w:pPr>
      <w:r w:rsidRPr="00113C54">
        <w:rPr>
          <w:rFonts w:ascii="Palatino Linotype" w:eastAsia="MS Mincho" w:hAnsi="Palatino Linotype"/>
          <w:b/>
          <w:i/>
          <w:sz w:val="22"/>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113C54">
        <w:rPr>
          <w:rFonts w:ascii="Palatino Linotype" w:eastAsia="MS Mincho" w:hAnsi="Palatino Linotype"/>
          <w:i/>
          <w:sz w:val="22"/>
          <w:lang w:val="es-ES_tradnl"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651BEDA" w14:textId="12A81618" w:rsidR="00113C54" w:rsidRDefault="00113C54" w:rsidP="00113C54">
      <w:pPr>
        <w:widowControl w:val="0"/>
        <w:numPr>
          <w:ilvl w:val="0"/>
          <w:numId w:val="17"/>
        </w:numPr>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113C54">
        <w:rPr>
          <w:rFonts w:ascii="Palatino Linotype" w:eastAsia="MS Mincho" w:hAnsi="Palatino Linotype"/>
          <w:lang w:val="es-ES_tradnl" w:eastAsia="es-ES_tradnl"/>
        </w:rPr>
        <w:t xml:space="preserve">Numerales que compelen al </w:t>
      </w:r>
      <w:r w:rsidRPr="00113C54">
        <w:rPr>
          <w:rFonts w:ascii="Palatino Linotype" w:eastAsia="MS Mincho" w:hAnsi="Palatino Linotype"/>
          <w:b/>
          <w:lang w:val="es-ES_tradnl" w:eastAsia="es-ES_tradnl"/>
        </w:rPr>
        <w:t>SUJETO OBLIGADO</w:t>
      </w:r>
      <w:r w:rsidRPr="00113C54">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556445EC" w14:textId="77777777" w:rsidR="00C57C10" w:rsidRPr="00113C54" w:rsidRDefault="00C57C10" w:rsidP="00C57C10">
      <w:pPr>
        <w:widowControl w:val="0"/>
        <w:autoSpaceDE w:val="0"/>
        <w:autoSpaceDN w:val="0"/>
        <w:adjustRightInd w:val="0"/>
        <w:spacing w:before="240" w:after="240" w:line="360" w:lineRule="auto"/>
        <w:contextualSpacing/>
        <w:jc w:val="both"/>
        <w:rPr>
          <w:rFonts w:ascii="Palatino Linotype" w:eastAsia="MS Mincho" w:hAnsi="Palatino Linotype"/>
          <w:lang w:val="es-ES_tradnl" w:eastAsia="es-ES_tradnl"/>
        </w:rPr>
      </w:pPr>
    </w:p>
    <w:p w14:paraId="19138C89" w14:textId="77777777" w:rsidR="00113C54" w:rsidRPr="00113C54" w:rsidRDefault="00113C54" w:rsidP="00113C54">
      <w:pPr>
        <w:numPr>
          <w:ilvl w:val="0"/>
          <w:numId w:val="17"/>
        </w:numPr>
        <w:spacing w:line="360" w:lineRule="auto"/>
        <w:ind w:left="0" w:firstLine="0"/>
        <w:contextualSpacing/>
        <w:jc w:val="both"/>
        <w:rPr>
          <w:rFonts w:ascii="Palatino Linotype" w:eastAsia="Calibri" w:hAnsi="Palatino Linotype"/>
        </w:rPr>
      </w:pPr>
      <w:r w:rsidRPr="00113C54">
        <w:rPr>
          <w:rFonts w:ascii="Palatino Linotype" w:eastAsia="Calibri" w:hAnsi="Palatino Linotype"/>
          <w:lang w:val="es-MX"/>
        </w:rPr>
        <w:t xml:space="preserve">Así, </w:t>
      </w:r>
      <w:r w:rsidRPr="00113C54">
        <w:rPr>
          <w:rFonts w:ascii="Palatino Linotype" w:eastAsia="Calibri" w:hAnsi="Palatino Linotype"/>
          <w:lang w:val="es-ES_tradnl"/>
        </w:rPr>
        <w:t xml:space="preserve">por cuanto hace a las causas de sobreseimiento contenidas en la fracción III del artículo 192 de la </w:t>
      </w:r>
      <w:r w:rsidRPr="00113C54">
        <w:rPr>
          <w:rFonts w:ascii="Palatino Linotype" w:eastAsia="Calibri" w:hAnsi="Palatino Linotype"/>
          <w:b/>
          <w:lang w:val="es-ES_tradnl"/>
        </w:rPr>
        <w:t>Ley de Transparencia y Acceso a la Información Pública del Estado de México y Municipios</w:t>
      </w:r>
      <w:r w:rsidRPr="00113C54">
        <w:rPr>
          <w:rFonts w:ascii="Palatino Linotype" w:eastAsia="Calibri" w:hAnsi="Palatino Linotype"/>
          <w:lang w:val="es-ES_tradnl"/>
        </w:rPr>
        <w:t xml:space="preserve">, es oportuno señalar que estos requisitos privilegian la existencia de elementos de fondo, tales como el desistimiento o fallecimiento del </w:t>
      </w:r>
      <w:r w:rsidRPr="00113C54">
        <w:rPr>
          <w:rFonts w:ascii="Palatino Linotype" w:eastAsia="Calibri" w:hAnsi="Palatino Linotype"/>
          <w:b/>
          <w:lang w:val="es-ES_tradnl"/>
        </w:rPr>
        <w:t>RECURRENTE</w:t>
      </w:r>
      <w:r w:rsidRPr="00113C54">
        <w:rPr>
          <w:rFonts w:ascii="Palatino Linotype" w:eastAsia="Calibri" w:hAnsi="Palatino Linotype"/>
          <w:lang w:val="es-ES_tradnl"/>
        </w:rPr>
        <w:t xml:space="preserve"> o que el </w:t>
      </w:r>
      <w:r w:rsidRPr="00113C54">
        <w:rPr>
          <w:rFonts w:ascii="Palatino Linotype" w:eastAsia="Calibri" w:hAnsi="Palatino Linotype"/>
          <w:b/>
          <w:lang w:val="es-ES_tradnl"/>
        </w:rPr>
        <w:t>SUJETO OBLIGADO</w:t>
      </w:r>
      <w:r w:rsidRPr="00113C54">
        <w:rPr>
          <w:rFonts w:ascii="Palatino Linotype" w:eastAsia="Calibri" w:hAnsi="Palatino Linotype"/>
          <w:lang w:val="es-ES_tradnl"/>
        </w:rPr>
        <w:t xml:space="preserve"> </w:t>
      </w:r>
      <w:r w:rsidRPr="00113C54">
        <w:rPr>
          <w:rFonts w:ascii="Palatino Linotype" w:eastAsia="Calibri" w:hAnsi="Palatino Linotype"/>
          <w:b/>
          <w:u w:val="single"/>
          <w:lang w:val="es-ES_tradnl"/>
        </w:rPr>
        <w:t>modifique o revoque el acto</w:t>
      </w:r>
      <w:r w:rsidRPr="00113C54">
        <w:rPr>
          <w:rFonts w:ascii="Palatino Linotype" w:eastAsia="Calibri" w:hAnsi="Palatino Linotype"/>
          <w:lang w:val="es-ES_tradnl"/>
        </w:rPr>
        <w:t>; de ahí que la actualización de alguno de éstos trae como consecuencia que el medio de impugnación se concluya sin que se analice el objeto de estudio planteado, es decir se sobresea.</w:t>
      </w:r>
    </w:p>
    <w:p w14:paraId="1E03275B" w14:textId="77777777" w:rsidR="00113C54" w:rsidRPr="00113C54" w:rsidRDefault="00113C54" w:rsidP="00113C54">
      <w:pPr>
        <w:spacing w:line="360" w:lineRule="auto"/>
        <w:contextualSpacing/>
        <w:jc w:val="both"/>
        <w:rPr>
          <w:rFonts w:ascii="Palatino Linotype" w:eastAsia="Calibri" w:hAnsi="Palatino Linotype"/>
        </w:rPr>
      </w:pPr>
    </w:p>
    <w:p w14:paraId="7A09A1C0" w14:textId="77777777" w:rsidR="00113C54" w:rsidRPr="00113C54" w:rsidRDefault="00113C54" w:rsidP="00113C54">
      <w:pPr>
        <w:numPr>
          <w:ilvl w:val="0"/>
          <w:numId w:val="17"/>
        </w:numPr>
        <w:spacing w:line="360" w:lineRule="auto"/>
        <w:ind w:left="0" w:firstLine="0"/>
        <w:contextualSpacing/>
        <w:jc w:val="both"/>
        <w:rPr>
          <w:rFonts w:ascii="Palatino Linotype" w:eastAsia="Calibri" w:hAnsi="Palatino Linotype"/>
        </w:rPr>
      </w:pPr>
      <w:r w:rsidRPr="00113C54">
        <w:rPr>
          <w:rFonts w:ascii="Palatino Linotype" w:eastAsia="Calibri" w:hAnsi="Palatino Linotype"/>
          <w:lang w:val="es-ES_tradnl"/>
        </w:rPr>
        <w:t xml:space="preserve">Para los efectos de esta resolución, es oportuno precisar los alcances jurídicos de la fracción III de la disposición legal transcrita. Así, procede el sobreseimiento del recurso de revisión cuando el </w:t>
      </w:r>
      <w:r w:rsidRPr="00113C54">
        <w:rPr>
          <w:rFonts w:ascii="Palatino Linotype" w:eastAsia="Calibri" w:hAnsi="Palatino Linotype"/>
          <w:b/>
          <w:lang w:val="es-ES_tradnl"/>
        </w:rPr>
        <w:t>SUJETO OBLIGADO</w:t>
      </w:r>
      <w:r w:rsidRPr="00113C54">
        <w:rPr>
          <w:rFonts w:ascii="Palatino Linotype" w:eastAsia="Calibri" w:hAnsi="Palatino Linotype"/>
          <w:lang w:val="es-ES_tradnl"/>
        </w:rPr>
        <w:t>:</w:t>
      </w:r>
    </w:p>
    <w:p w14:paraId="5E8F3ED4" w14:textId="77777777" w:rsidR="00113C54" w:rsidRPr="00113C54" w:rsidRDefault="00113C54" w:rsidP="00113C54">
      <w:pPr>
        <w:spacing w:line="360" w:lineRule="auto"/>
        <w:contextualSpacing/>
        <w:jc w:val="both"/>
        <w:rPr>
          <w:rFonts w:ascii="Palatino Linotype" w:eastAsia="Calibri" w:hAnsi="Palatino Linotype"/>
        </w:rPr>
      </w:pPr>
    </w:p>
    <w:p w14:paraId="386A436D" w14:textId="77777777" w:rsidR="00113C54" w:rsidRPr="00113C54" w:rsidRDefault="00113C54" w:rsidP="00113C54">
      <w:pPr>
        <w:numPr>
          <w:ilvl w:val="0"/>
          <w:numId w:val="31"/>
        </w:numPr>
        <w:spacing w:line="360" w:lineRule="auto"/>
        <w:ind w:left="567" w:right="616"/>
        <w:contextualSpacing/>
        <w:jc w:val="both"/>
        <w:rPr>
          <w:rFonts w:ascii="Palatino Linotype" w:eastAsiaTheme="minorEastAsia" w:hAnsi="Palatino Linotype" w:cs="Arial"/>
          <w:lang w:val="es-ES_tradnl"/>
        </w:rPr>
      </w:pPr>
      <w:r w:rsidRPr="00113C54">
        <w:rPr>
          <w:rFonts w:ascii="Palatino Linotype" w:eastAsiaTheme="minorEastAsia" w:hAnsi="Palatino Linotype" w:cs="Arial"/>
          <w:b/>
          <w:lang w:val="es-ES_tradnl"/>
        </w:rPr>
        <w:t>Modifique el acto impugnado:</w:t>
      </w:r>
      <w:r w:rsidRPr="00113C54">
        <w:rPr>
          <w:rFonts w:ascii="Palatino Linotype" w:eastAsiaTheme="minorEastAsia" w:hAnsi="Palatino Linotype" w:cs="Arial"/>
          <w:lang w:val="es-ES_tradnl"/>
        </w:rPr>
        <w:t xml:space="preserve"> Se actualiza cuando el </w:t>
      </w:r>
      <w:r w:rsidRPr="00113C54">
        <w:rPr>
          <w:rFonts w:ascii="Palatino Linotype" w:eastAsiaTheme="minorEastAsia" w:hAnsi="Palatino Linotype" w:cs="Arial"/>
          <w:b/>
          <w:lang w:val="es-ES_tradnl"/>
        </w:rPr>
        <w:t>SUJETO OBLIGADO</w:t>
      </w:r>
      <w:r w:rsidRPr="00113C54">
        <w:rPr>
          <w:rFonts w:ascii="Palatino Linotype" w:eastAsiaTheme="minorEastAsia" w:hAnsi="Palatino Linotype" w:cs="Arial"/>
          <w:lang w:val="es-ES_tradnl"/>
        </w:rPr>
        <w:t xml:space="preserve"> después de haber otorgado una respuesta y hasta antes de dictada la resolución del recurso de revisión, emite una diversa en la que subsane las deficiencias que hubiera tenido.</w:t>
      </w:r>
    </w:p>
    <w:p w14:paraId="5FA98277" w14:textId="77777777" w:rsidR="00113C54" w:rsidRPr="00113C54" w:rsidRDefault="00113C54" w:rsidP="00113C54">
      <w:pPr>
        <w:spacing w:line="360" w:lineRule="auto"/>
        <w:ind w:left="1068" w:right="567"/>
        <w:contextualSpacing/>
        <w:jc w:val="both"/>
        <w:rPr>
          <w:rFonts w:ascii="Palatino Linotype" w:eastAsiaTheme="minorEastAsia" w:hAnsi="Palatino Linotype" w:cs="Arial"/>
          <w:lang w:val="es-ES_tradnl"/>
        </w:rPr>
      </w:pPr>
    </w:p>
    <w:p w14:paraId="04FEEF38" w14:textId="77777777" w:rsidR="00113C54" w:rsidRPr="00113C54" w:rsidRDefault="00113C54" w:rsidP="00113C54">
      <w:pPr>
        <w:numPr>
          <w:ilvl w:val="0"/>
          <w:numId w:val="31"/>
        </w:numPr>
        <w:spacing w:line="360" w:lineRule="auto"/>
        <w:ind w:left="567" w:right="616"/>
        <w:contextualSpacing/>
        <w:jc w:val="both"/>
        <w:rPr>
          <w:rFonts w:ascii="Palatino Linotype" w:eastAsiaTheme="minorEastAsia" w:hAnsi="Palatino Linotype" w:cs="Arial"/>
          <w:lang w:val="es-ES_tradnl"/>
        </w:rPr>
      </w:pPr>
      <w:r w:rsidRPr="00113C54">
        <w:rPr>
          <w:rFonts w:ascii="Palatino Linotype" w:eastAsiaTheme="minorEastAsia" w:hAnsi="Palatino Linotype" w:cs="Arial"/>
          <w:b/>
          <w:lang w:val="es-ES_tradnl"/>
        </w:rPr>
        <w:t>Revoque el acto impugnado:</w:t>
      </w:r>
      <w:r w:rsidRPr="00113C54">
        <w:rPr>
          <w:rFonts w:ascii="Palatino Linotype" w:eastAsiaTheme="minorEastAsia" w:hAnsi="Palatino Linotype" w:cs="Arial"/>
          <w:lang w:val="es-ES_tradnl"/>
        </w:rPr>
        <w:t xml:space="preserve"> En este supuesto, el </w:t>
      </w:r>
      <w:r w:rsidRPr="00113C54">
        <w:rPr>
          <w:rFonts w:ascii="Palatino Linotype" w:eastAsiaTheme="minorEastAsia" w:hAnsi="Palatino Linotype" w:cs="Arial"/>
          <w:b/>
          <w:lang w:val="es-ES_tradnl"/>
        </w:rPr>
        <w:t>SUJETO OBLIGADO</w:t>
      </w:r>
      <w:r w:rsidRPr="00113C54">
        <w:rPr>
          <w:rFonts w:ascii="Palatino Linotype" w:eastAsiaTheme="minorEastAsia" w:hAnsi="Palatino Linotype" w:cs="Arial"/>
          <w:lang w:val="es-ES_tradnl"/>
        </w:rPr>
        <w:t xml:space="preserve"> deja sin efectos la primera respuesta y en su lugar emite otra que satisfaga lo solicitado por el particular en un primer momento.</w:t>
      </w:r>
    </w:p>
    <w:p w14:paraId="432BDE9B" w14:textId="77777777" w:rsidR="00113C54" w:rsidRPr="00113C54" w:rsidRDefault="00113C54" w:rsidP="00113C54">
      <w:pPr>
        <w:spacing w:line="360" w:lineRule="auto"/>
        <w:ind w:right="616"/>
        <w:contextualSpacing/>
        <w:jc w:val="both"/>
        <w:rPr>
          <w:rFonts w:ascii="Palatino Linotype" w:eastAsiaTheme="minorEastAsia" w:hAnsi="Palatino Linotype" w:cs="Arial"/>
          <w:lang w:val="es-ES_tradnl"/>
        </w:rPr>
      </w:pPr>
    </w:p>
    <w:p w14:paraId="0507C10C" w14:textId="77777777" w:rsidR="00113C54" w:rsidRPr="00113C54" w:rsidRDefault="00113C54" w:rsidP="00113C54">
      <w:pPr>
        <w:numPr>
          <w:ilvl w:val="0"/>
          <w:numId w:val="33"/>
        </w:numPr>
        <w:spacing w:line="360" w:lineRule="auto"/>
        <w:ind w:left="0" w:firstLine="0"/>
        <w:contextualSpacing/>
        <w:jc w:val="both"/>
        <w:rPr>
          <w:rFonts w:ascii="Palatino Linotype" w:eastAsia="Calibri" w:hAnsi="Palatino Linotype"/>
          <w:lang w:val="es-ES_tradnl"/>
        </w:rPr>
      </w:pPr>
      <w:r w:rsidRPr="00113C54">
        <w:rPr>
          <w:rFonts w:ascii="Palatino Linotype" w:eastAsia="Calibri" w:hAnsi="Palatino Linotype"/>
          <w:lang w:val="es-ES_tradn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15858995" w14:textId="77777777" w:rsidR="00113C54" w:rsidRPr="00113C54" w:rsidRDefault="00113C54" w:rsidP="00113C54">
      <w:pPr>
        <w:spacing w:line="360" w:lineRule="auto"/>
        <w:contextualSpacing/>
        <w:jc w:val="both"/>
        <w:rPr>
          <w:rFonts w:ascii="Palatino Linotype" w:eastAsia="Calibri" w:hAnsi="Palatino Linotype"/>
          <w:lang w:val="es-ES_tradnl"/>
        </w:rPr>
      </w:pPr>
    </w:p>
    <w:p w14:paraId="3EFBD0A7" w14:textId="77777777" w:rsidR="00113C54" w:rsidRPr="00113C54" w:rsidRDefault="00113C54" w:rsidP="00113C54">
      <w:pPr>
        <w:numPr>
          <w:ilvl w:val="0"/>
          <w:numId w:val="33"/>
        </w:numPr>
        <w:spacing w:line="360" w:lineRule="auto"/>
        <w:ind w:left="0" w:firstLine="0"/>
        <w:contextualSpacing/>
        <w:jc w:val="both"/>
        <w:rPr>
          <w:rFonts w:ascii="Palatino Linotype" w:eastAsia="Calibri" w:hAnsi="Palatino Linotype"/>
          <w:lang w:val="es-ES_tradnl"/>
        </w:rPr>
      </w:pPr>
      <w:r w:rsidRPr="00113C54">
        <w:rPr>
          <w:rFonts w:ascii="Palatino Linotype" w:eastAsia="Calibri" w:hAnsi="Palatino Linotype"/>
          <w:lang w:val="es-ES_tradnl"/>
        </w:rPr>
        <w:t xml:space="preserve">En el presente asunto, este Pleno advierte que el </w:t>
      </w:r>
      <w:r w:rsidRPr="00113C54">
        <w:rPr>
          <w:rFonts w:ascii="Palatino Linotype" w:eastAsia="Calibri" w:hAnsi="Palatino Linotype"/>
          <w:b/>
          <w:lang w:val="es-ES_tradnl"/>
        </w:rPr>
        <w:t>SUJETO OBLIGADO</w:t>
      </w:r>
      <w:r w:rsidRPr="00113C54">
        <w:rPr>
          <w:rFonts w:ascii="Palatino Linotype" w:eastAsia="Calibri" w:hAnsi="Palatino Linotype"/>
          <w:lang w:val="es-ES_tradnl"/>
        </w:rPr>
        <w:t xml:space="preserve"> con la información enviada a través del informe de justificación, </w:t>
      </w:r>
      <w:r w:rsidRPr="00113C54">
        <w:rPr>
          <w:rFonts w:ascii="Palatino Linotype" w:eastAsia="Calibri" w:hAnsi="Palatino Linotype"/>
          <w:b/>
          <w:lang w:val="es-ES_tradnl"/>
        </w:rPr>
        <w:t>modifica</w:t>
      </w:r>
      <w:r w:rsidRPr="00113C54">
        <w:rPr>
          <w:rFonts w:ascii="Palatino Linotype" w:eastAsia="Calibri" w:hAnsi="Palatino Linotype"/>
          <w:lang w:val="es-ES_tradnl"/>
        </w:rPr>
        <w:t xml:space="preserve"> el acto que le dio origen al recurso de revisión, lo que trae como consecuencia que el mismo quede sin materia, actualizándose de este modo, la hipótesis jurídica contenida en la fracción III del citado artículo.</w:t>
      </w:r>
    </w:p>
    <w:p w14:paraId="5D8060FF" w14:textId="77777777" w:rsidR="00113C54" w:rsidRPr="00113C54" w:rsidRDefault="00113C54" w:rsidP="00113C54">
      <w:pPr>
        <w:ind w:left="720"/>
        <w:contextualSpacing/>
        <w:rPr>
          <w:rFonts w:ascii="Palatino Linotype" w:eastAsia="Calibri" w:hAnsi="Palatino Linotype"/>
          <w:lang w:val="es-ES_tradnl"/>
        </w:rPr>
      </w:pPr>
    </w:p>
    <w:p w14:paraId="2115F7AC" w14:textId="77777777" w:rsidR="00113C54" w:rsidRPr="00113C54" w:rsidRDefault="00113C54" w:rsidP="00113C54">
      <w:pPr>
        <w:numPr>
          <w:ilvl w:val="0"/>
          <w:numId w:val="33"/>
        </w:numPr>
        <w:spacing w:line="360" w:lineRule="auto"/>
        <w:ind w:left="0" w:firstLine="0"/>
        <w:contextualSpacing/>
        <w:jc w:val="both"/>
        <w:rPr>
          <w:rFonts w:ascii="Palatino Linotype" w:eastAsia="Calibri" w:hAnsi="Palatino Linotype"/>
          <w:lang w:val="es-ES_tradnl"/>
        </w:rPr>
      </w:pPr>
      <w:r w:rsidRPr="00113C54">
        <w:rPr>
          <w:rFonts w:ascii="Palatino Linotype" w:eastAsia="Calibri" w:hAnsi="Palatino Linotype"/>
          <w:lang w:val="es-ES_tradn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113C54">
        <w:rPr>
          <w:rFonts w:ascii="Palatino Linotype" w:eastAsia="Calibri" w:hAnsi="Palatino Linotype"/>
          <w:b/>
          <w:lang w:val="es-ES_tradnl"/>
        </w:rPr>
        <w:t>SUJETOS OBLIGADOS</w:t>
      </w:r>
      <w:r w:rsidRPr="00113C54">
        <w:rPr>
          <w:rFonts w:ascii="Palatino Linotype" w:eastAsia="Calibri" w:hAnsi="Palatino Linotype"/>
          <w:lang w:val="es-ES_tradnl"/>
        </w:rPr>
        <w:t xml:space="preserve"> o la negativa de entrega de la misma, derivada de la solicitud de información pública.</w:t>
      </w:r>
    </w:p>
    <w:p w14:paraId="62CB3D93" w14:textId="77777777" w:rsidR="00113C54" w:rsidRPr="00113C54" w:rsidRDefault="00113C54" w:rsidP="00113C54">
      <w:pPr>
        <w:contextualSpacing/>
        <w:rPr>
          <w:rFonts w:ascii="Palatino Linotype" w:eastAsia="Calibri" w:hAnsi="Palatino Linotype"/>
          <w:lang w:val="es-ES_tradnl"/>
        </w:rPr>
      </w:pPr>
    </w:p>
    <w:p w14:paraId="2A06242B" w14:textId="77777777" w:rsidR="00113C54" w:rsidRPr="00113C54" w:rsidRDefault="00113C54" w:rsidP="00113C54">
      <w:pPr>
        <w:numPr>
          <w:ilvl w:val="0"/>
          <w:numId w:val="33"/>
        </w:numPr>
        <w:spacing w:line="360" w:lineRule="auto"/>
        <w:ind w:left="0" w:firstLine="0"/>
        <w:contextualSpacing/>
        <w:jc w:val="both"/>
        <w:rPr>
          <w:rFonts w:ascii="Palatino Linotype" w:eastAsia="Calibri" w:hAnsi="Palatino Linotype"/>
          <w:lang w:val="es-ES_tradnl"/>
        </w:rPr>
      </w:pPr>
      <w:r w:rsidRPr="00113C54">
        <w:rPr>
          <w:rFonts w:ascii="Palatino Linotype" w:eastAsia="Calibri" w:hAnsi="Palatino Linotype"/>
          <w:lang w:val="es-ES_tradnl"/>
        </w:rPr>
        <w:t xml:space="preserve">De este modo, cuando el </w:t>
      </w:r>
      <w:r w:rsidRPr="00113C54">
        <w:rPr>
          <w:rFonts w:ascii="Palatino Linotype" w:eastAsia="Calibri" w:hAnsi="Palatino Linotype"/>
          <w:b/>
          <w:lang w:val="es-ES_tradnl"/>
        </w:rPr>
        <w:t xml:space="preserve">SUJETO OBLIGADO, </w:t>
      </w:r>
      <w:r w:rsidRPr="00113C54">
        <w:rPr>
          <w:rFonts w:ascii="Palatino Linotype" w:eastAsia="Calibri" w:hAnsi="Palatino Linotype"/>
          <w:lang w:val="es-ES_tradn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113C54">
        <w:rPr>
          <w:rFonts w:ascii="Palatino Linotype" w:eastAsia="Calibri" w:hAnsi="Palatino Linotype"/>
          <w:i/>
          <w:lang w:val="es-ES_tradnl"/>
        </w:rPr>
        <w:t>litis</w:t>
      </w:r>
      <w:r w:rsidRPr="00113C54">
        <w:rPr>
          <w:rFonts w:ascii="Palatino Linotype" w:eastAsia="Calibri" w:hAnsi="Palatino Linotype"/>
          <w:lang w:val="es-ES_tradnl"/>
        </w:rPr>
        <w:t xml:space="preserve"> planteada, debido a que la afectación en su esfera de derechos fue restituida por la propia autoridad que emitió el acto motivo de impugnación.</w:t>
      </w:r>
    </w:p>
    <w:p w14:paraId="48A65173" w14:textId="77777777" w:rsidR="00113C54" w:rsidRPr="00113C54" w:rsidRDefault="00113C54" w:rsidP="00113C54">
      <w:pPr>
        <w:contextualSpacing/>
        <w:rPr>
          <w:rFonts w:ascii="Palatino Linotype" w:eastAsia="Calibri" w:hAnsi="Palatino Linotype"/>
          <w:lang w:val="es-ES_tradnl"/>
        </w:rPr>
      </w:pPr>
    </w:p>
    <w:p w14:paraId="2F8F7BB9" w14:textId="77777777" w:rsidR="00113C54" w:rsidRPr="00113C54" w:rsidRDefault="00113C54" w:rsidP="00113C54">
      <w:pPr>
        <w:numPr>
          <w:ilvl w:val="0"/>
          <w:numId w:val="33"/>
        </w:numPr>
        <w:spacing w:line="360" w:lineRule="auto"/>
        <w:ind w:left="0" w:firstLine="0"/>
        <w:contextualSpacing/>
        <w:jc w:val="both"/>
        <w:rPr>
          <w:rFonts w:ascii="Palatino Linotype" w:eastAsia="Calibri" w:hAnsi="Palatino Linotype"/>
          <w:lang w:val="es-ES_tradnl"/>
        </w:rPr>
      </w:pPr>
      <w:r w:rsidRPr="00113C54">
        <w:rPr>
          <w:rFonts w:ascii="Palatino Linotype" w:eastAsia="Calibri" w:hAnsi="Palatino Linotype"/>
          <w:lang w:val="es-ES_tradnl"/>
        </w:rPr>
        <w:t>Sirve de sustento a lo anterior la siguiente jurisprudencia por contradicción, cuyo rubro, texto y datos de identificación son los siguientes:</w:t>
      </w:r>
    </w:p>
    <w:p w14:paraId="2E8A44F8" w14:textId="77777777" w:rsidR="00113C54" w:rsidRPr="00113C54" w:rsidRDefault="00113C54" w:rsidP="00113C54">
      <w:pPr>
        <w:spacing w:line="360" w:lineRule="auto"/>
        <w:ind w:left="567" w:right="616"/>
        <w:contextualSpacing/>
        <w:jc w:val="both"/>
        <w:rPr>
          <w:rFonts w:ascii="Palatino Linotype" w:eastAsia="Calibri" w:hAnsi="Palatino Linotype"/>
          <w:lang w:val="es-ES_tradnl"/>
        </w:rPr>
      </w:pPr>
    </w:p>
    <w:p w14:paraId="0984B2FE" w14:textId="77777777" w:rsidR="00113C54" w:rsidRPr="00113C54" w:rsidRDefault="00113C54" w:rsidP="00113C54">
      <w:pPr>
        <w:spacing w:line="360" w:lineRule="auto"/>
        <w:ind w:left="567" w:right="616"/>
        <w:contextualSpacing/>
        <w:jc w:val="both"/>
        <w:rPr>
          <w:rFonts w:ascii="Palatino Linotype" w:eastAsia="Calibri" w:hAnsi="Palatino Linotype"/>
          <w:i/>
          <w:sz w:val="22"/>
          <w:lang w:val="es-ES_tradnl"/>
        </w:rPr>
      </w:pPr>
      <w:r w:rsidRPr="00113C54">
        <w:rPr>
          <w:rFonts w:ascii="Palatino Linotype" w:eastAsia="Calibri" w:hAnsi="Palatino Linotype"/>
          <w:b/>
          <w:i/>
          <w:sz w:val="22"/>
          <w:lang w:val="es-ES_tradnl"/>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113C54">
        <w:rPr>
          <w:rFonts w:ascii="Palatino Linotype" w:eastAsia="Calibri" w:hAnsi="Palatino Linotype"/>
          <w:i/>
          <w:sz w:val="22"/>
          <w:lang w:val="es-ES_tradnl"/>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42D36608" w14:textId="77777777" w:rsidR="00113C54" w:rsidRPr="00113C54" w:rsidRDefault="00113C54" w:rsidP="00113C54">
      <w:pPr>
        <w:spacing w:line="360" w:lineRule="auto"/>
        <w:ind w:left="708"/>
        <w:contextualSpacing/>
        <w:jc w:val="both"/>
        <w:rPr>
          <w:rFonts w:ascii="Palatino Linotype" w:eastAsia="Calibri" w:hAnsi="Palatino Linotype"/>
          <w:i/>
          <w:lang w:val="es-ES_tradnl"/>
        </w:rPr>
      </w:pPr>
    </w:p>
    <w:p w14:paraId="42FE1DBE" w14:textId="77777777" w:rsidR="00113C54" w:rsidRPr="00113C54" w:rsidRDefault="00113C54" w:rsidP="00113C54">
      <w:pPr>
        <w:numPr>
          <w:ilvl w:val="0"/>
          <w:numId w:val="33"/>
        </w:numPr>
        <w:spacing w:line="360" w:lineRule="auto"/>
        <w:ind w:left="0" w:firstLine="0"/>
        <w:contextualSpacing/>
        <w:jc w:val="both"/>
        <w:rPr>
          <w:rFonts w:ascii="Palatino Linotype" w:eastAsia="Calibri" w:hAnsi="Palatino Linotype"/>
          <w:lang w:val="es-ES_tradnl"/>
        </w:rPr>
      </w:pPr>
      <w:r w:rsidRPr="00113C54">
        <w:rPr>
          <w:rFonts w:ascii="Palatino Linotype" w:eastAsia="Calibri" w:hAnsi="Palatino Linotype"/>
          <w:lang w:val="es-ES_tradnl"/>
        </w:rPr>
        <w:t>La anterior jurisprudencia resulta aplicable al presente asunto, en dos aspectos:</w:t>
      </w:r>
    </w:p>
    <w:p w14:paraId="29C7DDE3" w14:textId="77777777" w:rsidR="00113C54" w:rsidRPr="00113C54" w:rsidRDefault="00113C54" w:rsidP="00113C54">
      <w:pPr>
        <w:spacing w:line="360" w:lineRule="auto"/>
        <w:ind w:left="426"/>
        <w:contextualSpacing/>
        <w:jc w:val="both"/>
        <w:rPr>
          <w:rFonts w:ascii="Palatino Linotype" w:eastAsia="Calibri" w:hAnsi="Palatino Linotype"/>
          <w:sz w:val="28"/>
          <w:lang w:val="es-ES_tradnl"/>
        </w:rPr>
      </w:pPr>
    </w:p>
    <w:p w14:paraId="73981B76" w14:textId="77777777" w:rsidR="00113C54" w:rsidRPr="00113C54" w:rsidRDefault="00113C54" w:rsidP="00113C54">
      <w:pPr>
        <w:numPr>
          <w:ilvl w:val="0"/>
          <w:numId w:val="32"/>
        </w:numPr>
        <w:spacing w:line="360" w:lineRule="auto"/>
        <w:ind w:left="567" w:right="616"/>
        <w:contextualSpacing/>
        <w:jc w:val="both"/>
        <w:rPr>
          <w:rFonts w:ascii="Palatino Linotype" w:eastAsia="Calibri" w:hAnsi="Palatino Linotype"/>
          <w:lang w:val="es-ES_tradnl"/>
        </w:rPr>
      </w:pPr>
      <w:r w:rsidRPr="00113C54">
        <w:rPr>
          <w:rFonts w:ascii="Palatino Linotype" w:eastAsia="Calibri" w:hAnsi="Palatino Linotype"/>
          <w:b/>
          <w:lang w:val="es-ES_tradnl"/>
        </w:rPr>
        <w:t>La cesación de los efectos perniciosos del acto de autoridad:</w:t>
      </w:r>
      <w:r w:rsidRPr="00113C54">
        <w:rPr>
          <w:rFonts w:ascii="Palatino Linotype" w:eastAsia="Calibri" w:hAnsi="Palatino Linotype"/>
          <w:lang w:val="es-ES_tradnl"/>
        </w:rPr>
        <w:t xml:space="preserve"> Al respecto, la Ley de Transparencia contempla la figura jurídica del sobreseimiento cuando el </w:t>
      </w:r>
      <w:r w:rsidRPr="00113C54">
        <w:rPr>
          <w:rFonts w:ascii="Palatino Linotype" w:eastAsia="Calibri" w:hAnsi="Palatino Linotype"/>
          <w:b/>
          <w:lang w:val="es-ES_tradnl"/>
        </w:rPr>
        <w:t>SUJETO OBLIGADO</w:t>
      </w:r>
      <w:r w:rsidRPr="00113C54">
        <w:rPr>
          <w:rFonts w:ascii="Palatino Linotype" w:eastAsia="Calibri" w:hAnsi="Palatino Linotype"/>
          <w:lang w:val="es-ES_tradnl"/>
        </w:rPr>
        <w:t xml:space="preserve"> de </w:t>
      </w:r>
      <w:r w:rsidRPr="00113C54">
        <w:rPr>
          <w:rFonts w:ascii="Palatino Linotype" w:eastAsia="Calibri" w:hAnsi="Palatino Linotype"/>
          <w:i/>
          <w:lang w:val="es-ES_tradnl"/>
        </w:rPr>
        <w:t>motu proprio</w:t>
      </w:r>
      <w:r w:rsidRPr="00113C54">
        <w:rPr>
          <w:rFonts w:ascii="Palatino Linotype" w:eastAsia="Calibri" w:hAnsi="Palatino Linotype"/>
          <w:lang w:val="es-ES_tradnl"/>
        </w:rPr>
        <w:t xml:space="preserve"> modifica o revoca de tal manera el acto motivo de la impugnación que lo deja sin materia; es decir, cesan los efectos de éste y el derecho de acceso a la información pública se encuentra satisfecho.</w:t>
      </w:r>
    </w:p>
    <w:p w14:paraId="2D628171" w14:textId="77777777" w:rsidR="00113C54" w:rsidRPr="00113C54" w:rsidRDefault="00113C54" w:rsidP="00113C54">
      <w:pPr>
        <w:ind w:left="567" w:right="616"/>
        <w:contextualSpacing/>
        <w:rPr>
          <w:rFonts w:ascii="Palatino Linotype" w:eastAsia="Calibri" w:hAnsi="Palatino Linotype"/>
          <w:lang w:val="es-ES_tradnl"/>
        </w:rPr>
      </w:pPr>
    </w:p>
    <w:p w14:paraId="370CA464" w14:textId="77777777" w:rsidR="00113C54" w:rsidRPr="00113C54" w:rsidRDefault="00113C54" w:rsidP="00113C54">
      <w:pPr>
        <w:numPr>
          <w:ilvl w:val="0"/>
          <w:numId w:val="32"/>
        </w:numPr>
        <w:spacing w:line="360" w:lineRule="auto"/>
        <w:ind w:left="567" w:right="616"/>
        <w:contextualSpacing/>
        <w:jc w:val="both"/>
        <w:rPr>
          <w:rFonts w:ascii="Palatino Linotype" w:eastAsia="Calibri" w:hAnsi="Palatino Linotype"/>
          <w:lang w:val="es-ES_tradnl"/>
        </w:rPr>
      </w:pPr>
      <w:r w:rsidRPr="00113C54">
        <w:rPr>
          <w:rFonts w:ascii="Palatino Linotype" w:eastAsia="Calibri" w:hAnsi="Palatino Linotype"/>
          <w:b/>
          <w:lang w:val="es-ES_tradnl"/>
        </w:rPr>
        <w:t>El momento procesal para modificar el acto impugnado:</w:t>
      </w:r>
      <w:r w:rsidRPr="00113C54">
        <w:rPr>
          <w:rFonts w:ascii="Palatino Linotype" w:eastAsia="Calibri" w:hAnsi="Palatino Linotype"/>
          <w:lang w:val="es-ES_tradnl"/>
        </w:rPr>
        <w:t xml:space="preserve"> Para que se actualice el sobreseimiento de un recurso de revisión, el </w:t>
      </w:r>
      <w:r w:rsidRPr="00113C54">
        <w:rPr>
          <w:rFonts w:ascii="Palatino Linotype" w:eastAsia="Calibri" w:hAnsi="Palatino Linotype"/>
          <w:b/>
          <w:lang w:val="es-ES_tradnl"/>
        </w:rPr>
        <w:t>SUJETO OBLIGADO</w:t>
      </w:r>
      <w:r w:rsidRPr="00113C54">
        <w:rPr>
          <w:rFonts w:ascii="Palatino Linotype" w:eastAsia="Calibri" w:hAnsi="Palatino Linotype"/>
          <w:lang w:val="es-ES_tradnl"/>
        </w:rPr>
        <w:t xml:space="preserve"> puede entregar o completar la información al momento de rendir su informe de justificación o </w:t>
      </w:r>
      <w:r w:rsidRPr="00113C54">
        <w:rPr>
          <w:rFonts w:ascii="Palatino Linotype" w:eastAsia="Calibri" w:hAnsi="Palatino Linotype"/>
          <w:b/>
          <w:u w:val="single"/>
          <w:lang w:val="es-ES_tradnl"/>
        </w:rPr>
        <w:t>posteriormente</w:t>
      </w:r>
      <w:r w:rsidRPr="00113C54">
        <w:rPr>
          <w:rFonts w:ascii="Palatino Linotype" w:eastAsia="Calibri" w:hAnsi="Palatino Linotype"/>
          <w:lang w:val="es-ES_tradnl"/>
        </w:rPr>
        <w:t xml:space="preserve"> a éste, siempre y cuando el Pleno del Instituto no haya dictado resolución definitiva.</w:t>
      </w:r>
    </w:p>
    <w:p w14:paraId="7B0B7015" w14:textId="77777777" w:rsidR="00113C54" w:rsidRPr="00113C54" w:rsidRDefault="00113C54" w:rsidP="00113C54">
      <w:pPr>
        <w:spacing w:line="360" w:lineRule="auto"/>
        <w:jc w:val="both"/>
        <w:rPr>
          <w:rFonts w:ascii="Palatino Linotype" w:eastAsia="Calibri" w:hAnsi="Palatino Linotype"/>
          <w:lang w:val="es-ES_tradnl"/>
        </w:rPr>
      </w:pPr>
    </w:p>
    <w:p w14:paraId="00D7DB15" w14:textId="77777777" w:rsidR="00113C54" w:rsidRPr="00113C54" w:rsidRDefault="00113C54" w:rsidP="00113C54">
      <w:pPr>
        <w:numPr>
          <w:ilvl w:val="0"/>
          <w:numId w:val="33"/>
        </w:numPr>
        <w:spacing w:line="360" w:lineRule="auto"/>
        <w:ind w:left="0" w:firstLine="0"/>
        <w:contextualSpacing/>
        <w:jc w:val="both"/>
        <w:rPr>
          <w:rFonts w:ascii="Palatino Linotype" w:eastAsia="Calibri" w:hAnsi="Palatino Linotype"/>
          <w:lang w:val="es-ES_tradnl"/>
        </w:rPr>
      </w:pPr>
      <w:r w:rsidRPr="00113C54">
        <w:rPr>
          <w:rFonts w:ascii="Palatino Linotype" w:eastAsia="Calibri" w:hAnsi="Palatino Linotype"/>
          <w:lang w:val="es-ES_tradnl"/>
        </w:rPr>
        <w:t xml:space="preserve">Además, de acuerdo con el procesalista Niceto Alcalá-Zamora y Castillo en su obra </w:t>
      </w:r>
      <w:r w:rsidRPr="00113C54">
        <w:rPr>
          <w:rFonts w:ascii="Palatino Linotype" w:eastAsia="Calibri" w:hAnsi="Palatino Linotype"/>
          <w:i/>
          <w:lang w:val="es-ES_tradnl"/>
        </w:rPr>
        <w:t>“Cuestiones de Terminología Procesal”</w:t>
      </w:r>
      <w:r w:rsidRPr="00113C54">
        <w:rPr>
          <w:rFonts w:ascii="Palatino Linotype" w:eastAsia="Calibri" w:hAnsi="Palatino Linotype"/>
          <w:lang w:val="es-ES_tradnl"/>
        </w:rPr>
        <w:t xml:space="preserve">, el sobreseimiento es </w:t>
      </w:r>
      <w:r w:rsidRPr="00113C54">
        <w:rPr>
          <w:rFonts w:ascii="Palatino Linotype" w:eastAsia="Calibri" w:hAnsi="Palatino Linotype"/>
          <w:i/>
          <w:lang w:val="es-ES_tradnl"/>
        </w:rPr>
        <w:t>“... una resolución en forma de auto, que produce la suspensión indefinida del procedimiento penal, o que pone fin al proceso, impidiendo en ambos casos, mientras subsista, la apertura del plenario o que en él se pronuncie sentencia...”.</w:t>
      </w:r>
    </w:p>
    <w:p w14:paraId="73FC5512" w14:textId="77777777" w:rsidR="00113C54" w:rsidRPr="00113C54" w:rsidRDefault="00113C54" w:rsidP="00113C54">
      <w:pPr>
        <w:spacing w:line="360" w:lineRule="auto"/>
        <w:contextualSpacing/>
        <w:jc w:val="both"/>
        <w:rPr>
          <w:rFonts w:ascii="Palatino Linotype" w:eastAsia="Calibri" w:hAnsi="Palatino Linotype"/>
          <w:lang w:val="es-ES_tradnl"/>
        </w:rPr>
      </w:pPr>
    </w:p>
    <w:p w14:paraId="32588655" w14:textId="77777777" w:rsidR="00113C54" w:rsidRPr="00113C54" w:rsidRDefault="00113C54" w:rsidP="00113C54">
      <w:pPr>
        <w:numPr>
          <w:ilvl w:val="0"/>
          <w:numId w:val="33"/>
        </w:numPr>
        <w:spacing w:line="360" w:lineRule="auto"/>
        <w:ind w:left="0" w:firstLine="0"/>
        <w:contextualSpacing/>
        <w:jc w:val="both"/>
        <w:rPr>
          <w:rFonts w:ascii="Palatino Linotype" w:eastAsia="Calibri" w:hAnsi="Palatino Linotype"/>
          <w:lang w:val="es-ES_tradnl"/>
        </w:rPr>
      </w:pPr>
      <w:r w:rsidRPr="00113C54">
        <w:rPr>
          <w:rFonts w:ascii="Palatino Linotype" w:eastAsia="Calibri" w:hAnsi="Palatino Linotype"/>
          <w:lang w:val="es-ES_tradnl"/>
        </w:rPr>
        <w:t xml:space="preserve">Eduardo Pallares, en su artículo </w:t>
      </w:r>
      <w:r w:rsidRPr="00113C54">
        <w:rPr>
          <w:rFonts w:ascii="Palatino Linotype" w:eastAsia="Calibri" w:hAnsi="Palatino Linotype"/>
          <w:i/>
          <w:lang w:val="es-ES_tradnl"/>
        </w:rPr>
        <w:t>“La caducidad y el sobreseimiento en el amparo”</w:t>
      </w:r>
      <w:r w:rsidRPr="00113C54">
        <w:rPr>
          <w:rFonts w:ascii="Palatino Linotype" w:eastAsia="Calibri" w:hAnsi="Palatino Linotype"/>
          <w:lang w:val="es-ES_tradnl"/>
        </w:rPr>
        <w:t xml:space="preserve">, cita la definición de Aguilera Paz, aduciendo que se </w:t>
      </w:r>
      <w:r w:rsidRPr="00113C54">
        <w:rPr>
          <w:rFonts w:ascii="Palatino Linotype" w:eastAsia="Calibri" w:hAnsi="Palatino Linotype"/>
          <w:i/>
          <w:lang w:val="es-ES_tradnl"/>
        </w:rPr>
        <w:t>“...entiende por sobreseimiento en el tecnicismo forense, el hecho de cesar en el procedimiento o curso de la causa, por no existir méritos bastantes para entrar en un juicio o para entablar la contienda judicial que debe ser objeto del mismo...”</w:t>
      </w:r>
      <w:r w:rsidRPr="00113C54">
        <w:rPr>
          <w:rFonts w:ascii="Palatino Linotype" w:eastAsia="Calibri" w:hAnsi="Palatino Linotype"/>
          <w:lang w:val="es-ES_tradnl"/>
        </w:rPr>
        <w:t>. Asimismo señala que existe el sobreseimiento provisional y el definitivo</w:t>
      </w:r>
      <w:r w:rsidRPr="00113C54">
        <w:rPr>
          <w:rFonts w:ascii="Palatino Linotype" w:eastAsia="Calibri" w:hAnsi="Palatino Linotype"/>
          <w:i/>
          <w:lang w:val="es-ES_tradnl"/>
        </w:rPr>
        <w:t>: “...el definitivo es una verdadera sentencia que pone fin al juicio, y que una vez dictada, produce cosa juzgada, mientras que el provisorio tiene por efectos suspender la prosecución de la causa...”</w:t>
      </w:r>
    </w:p>
    <w:p w14:paraId="09263463" w14:textId="77777777" w:rsidR="00113C54" w:rsidRPr="00113C54" w:rsidRDefault="00113C54" w:rsidP="00113C54">
      <w:pPr>
        <w:spacing w:line="360" w:lineRule="auto"/>
        <w:contextualSpacing/>
        <w:jc w:val="both"/>
        <w:rPr>
          <w:rFonts w:ascii="Palatino Linotype" w:eastAsia="Calibri" w:hAnsi="Palatino Linotype"/>
          <w:lang w:val="es-ES_tradnl"/>
        </w:rPr>
      </w:pPr>
    </w:p>
    <w:p w14:paraId="19B474B6" w14:textId="77777777" w:rsidR="00113C54" w:rsidRPr="00113C54" w:rsidRDefault="00113C54" w:rsidP="00113C54">
      <w:pPr>
        <w:numPr>
          <w:ilvl w:val="0"/>
          <w:numId w:val="33"/>
        </w:numPr>
        <w:spacing w:line="360" w:lineRule="auto"/>
        <w:ind w:left="0" w:firstLine="0"/>
        <w:contextualSpacing/>
        <w:jc w:val="both"/>
        <w:rPr>
          <w:rFonts w:ascii="Palatino Linotype" w:eastAsia="Calibri" w:hAnsi="Palatino Linotype"/>
          <w:lang w:val="es-ES_tradnl"/>
        </w:rPr>
      </w:pPr>
      <w:r w:rsidRPr="00113C54">
        <w:rPr>
          <w:rFonts w:ascii="Palatino Linotype" w:eastAsia="Calibri" w:hAnsi="Palatino Linotype"/>
          <w:lang w:val="es-ES_tradnl"/>
        </w:rPr>
        <w:t xml:space="preserve">Así, para la doctrina el sobreseimiento provoca que un procedimiento se suspenda o se resuelva en definitiva </w:t>
      </w:r>
      <w:r w:rsidRPr="00113C54">
        <w:rPr>
          <w:rFonts w:ascii="Palatino Linotype" w:eastAsia="Calibri" w:hAnsi="Palatino Linotype"/>
          <w:b/>
          <w:u w:val="single"/>
          <w:lang w:val="es-ES_tradnl"/>
        </w:rPr>
        <w:t xml:space="preserve">sin que se entre al estudio de los agravios o motivos de inconformidad. </w:t>
      </w:r>
      <w:r w:rsidRPr="00113C54">
        <w:rPr>
          <w:rFonts w:ascii="Palatino Linotype" w:eastAsia="Calibri" w:hAnsi="Palatino Linotype"/>
          <w:lang w:val="es-ES_tradnl"/>
        </w:rPr>
        <w:t>Este mismo criterio es compartido por el más alto tribunal del país en múltiples jurisprudencias, por lo que a continuación se agrega una de ellas que sirve como orientador en esta resolución:</w:t>
      </w:r>
    </w:p>
    <w:p w14:paraId="3AEE2D2E" w14:textId="77777777" w:rsidR="00113C54" w:rsidRPr="00113C54" w:rsidRDefault="00113C54" w:rsidP="00113C54">
      <w:pPr>
        <w:spacing w:line="360" w:lineRule="auto"/>
        <w:ind w:left="426"/>
        <w:contextualSpacing/>
        <w:jc w:val="both"/>
        <w:rPr>
          <w:rFonts w:ascii="Palatino Linotype" w:eastAsia="Calibri" w:hAnsi="Palatino Linotype"/>
          <w:sz w:val="22"/>
          <w:lang w:val="es-ES_tradnl"/>
        </w:rPr>
      </w:pPr>
    </w:p>
    <w:p w14:paraId="5E4806FD" w14:textId="77777777" w:rsidR="00113C54" w:rsidRPr="00113C54" w:rsidRDefault="00113C54" w:rsidP="00113C54">
      <w:pPr>
        <w:spacing w:line="360" w:lineRule="auto"/>
        <w:ind w:left="567" w:right="616"/>
        <w:contextualSpacing/>
        <w:jc w:val="both"/>
        <w:rPr>
          <w:rFonts w:ascii="Palatino Linotype" w:eastAsia="Calibri" w:hAnsi="Palatino Linotype"/>
          <w:i/>
          <w:sz w:val="22"/>
          <w:lang w:val="es-AR"/>
        </w:rPr>
      </w:pPr>
      <w:r w:rsidRPr="00113C54">
        <w:rPr>
          <w:rFonts w:ascii="Palatino Linotype" w:eastAsia="Calibri" w:hAnsi="Palatino Linotype"/>
          <w:b/>
          <w:i/>
          <w:sz w:val="22"/>
          <w:lang w:val="es-AR"/>
        </w:rPr>
        <w:t>SOBRESEIMIENTO EN EL JUICIO DE AMPARO DIRECTO. IMPIDE EL ESTUDIO DE LAS VIOLACIONES PROCESALES PLANTEADAS EN LOS CONCEPTOS DE VIOLACIÓN. El sobreseimiento</w:t>
      </w:r>
      <w:r w:rsidRPr="00113C54">
        <w:rPr>
          <w:rFonts w:ascii="Palatino Linotype" w:eastAsia="Calibri" w:hAnsi="Palatino Linotype"/>
          <w:i/>
          <w:sz w:val="22"/>
          <w:lang w:val="es-AR"/>
        </w:rPr>
        <w:t xml:space="preserve"> en el juicio de amparo directo </w:t>
      </w:r>
      <w:r w:rsidRPr="00113C54">
        <w:rPr>
          <w:rFonts w:ascii="Palatino Linotype" w:eastAsia="Calibri" w:hAnsi="Palatino Linotype"/>
          <w:b/>
          <w:i/>
          <w:sz w:val="22"/>
          <w:lang w:val="es-AR"/>
        </w:rPr>
        <w:t>provoca la terminación de la controversia planteada</w:t>
      </w:r>
      <w:r w:rsidRPr="00113C54">
        <w:rPr>
          <w:rFonts w:ascii="Palatino Linotype" w:eastAsia="Calibri" w:hAnsi="Palatino Linotype"/>
          <w:i/>
          <w:sz w:val="22"/>
          <w:lang w:val="es-AR"/>
        </w:rPr>
        <w:t xml:space="preserve"> por el quejoso en la demanda de amparo</w:t>
      </w:r>
      <w:r w:rsidRPr="00113C54">
        <w:rPr>
          <w:rFonts w:ascii="Palatino Linotype" w:eastAsia="Calibri" w:hAnsi="Palatino Linotype"/>
          <w:b/>
          <w:i/>
          <w:sz w:val="22"/>
          <w:lang w:val="es-AR"/>
        </w:rPr>
        <w:t>, sin hacer un pronunciamiento de fondo sobre la legalidad o ilegalidad de la sentencia reclamada</w:t>
      </w:r>
      <w:r w:rsidRPr="00113C54">
        <w:rPr>
          <w:rFonts w:ascii="Palatino Linotype" w:eastAsia="Calibri" w:hAnsi="Palatino Linotype"/>
          <w:i/>
          <w:sz w:val="22"/>
          <w:lang w:val="es-AR"/>
        </w:rPr>
        <w:t xml:space="preserve">. </w:t>
      </w:r>
      <w:r w:rsidRPr="00113C54">
        <w:rPr>
          <w:rFonts w:ascii="Palatino Linotype" w:eastAsia="Calibri" w:hAnsi="Palatino Linotype"/>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113C54">
        <w:rPr>
          <w:rFonts w:ascii="Palatino Linotype" w:eastAsia="Calibri" w:hAnsi="Palatino Linotype"/>
          <w:i/>
          <w:sz w:val="22"/>
          <w:lang w:val="es-AR"/>
        </w:rPr>
        <w:t>.</w:t>
      </w:r>
    </w:p>
    <w:p w14:paraId="0C410A7B" w14:textId="77777777" w:rsidR="00113C54" w:rsidRPr="00113C54" w:rsidRDefault="00113C54" w:rsidP="00113C54">
      <w:pPr>
        <w:spacing w:line="360" w:lineRule="auto"/>
        <w:ind w:left="567" w:right="616"/>
        <w:contextualSpacing/>
        <w:jc w:val="both"/>
        <w:rPr>
          <w:rFonts w:ascii="Palatino Linotype" w:eastAsia="Calibri" w:hAnsi="Palatino Linotype"/>
          <w:i/>
          <w:sz w:val="22"/>
          <w:lang w:val="es-AR"/>
        </w:rPr>
      </w:pPr>
      <w:r w:rsidRPr="00113C54">
        <w:rPr>
          <w:rFonts w:ascii="Palatino Linotype" w:eastAsia="Calibri" w:hAnsi="Palatino Linotype"/>
          <w:i/>
          <w:sz w:val="22"/>
          <w:lang w:val="es-AR"/>
        </w:rPr>
        <w:t>SÉPTIMO TRIBUNAL COLEGIADO EN MATERIA CIVIL DEL PRIMER CIRCUITO.</w:t>
      </w:r>
    </w:p>
    <w:p w14:paraId="363BB9BF" w14:textId="77777777" w:rsidR="00113C54" w:rsidRPr="00113C54" w:rsidRDefault="00113C54" w:rsidP="00113C54">
      <w:pPr>
        <w:spacing w:line="360" w:lineRule="auto"/>
        <w:ind w:left="567" w:right="616"/>
        <w:contextualSpacing/>
        <w:jc w:val="both"/>
        <w:rPr>
          <w:rFonts w:ascii="Palatino Linotype" w:eastAsia="Calibri" w:hAnsi="Palatino Linotype"/>
          <w:b/>
          <w:i/>
          <w:sz w:val="22"/>
          <w:lang w:val="es-AR"/>
        </w:rPr>
      </w:pPr>
      <w:r w:rsidRPr="00113C54">
        <w:rPr>
          <w:rFonts w:ascii="Palatino Linotype" w:eastAsia="Calibri" w:hAnsi="Palatino Linotype"/>
          <w:i/>
          <w:sz w:val="22"/>
          <w:lang w:val="es-AR"/>
        </w:rPr>
        <w:t>Amparo directo 699/2008. Mariana Leticia González Steele. 13 de noviembre de 2008. Unanimidad de votos. Ponente: Sara Judith Montalvo Trejo. Secretario: Arnulfo Mateos García.</w:t>
      </w:r>
    </w:p>
    <w:p w14:paraId="2C519C8B" w14:textId="77777777" w:rsidR="00113C54" w:rsidRPr="00113C54" w:rsidRDefault="00113C54" w:rsidP="00113C54">
      <w:pPr>
        <w:spacing w:line="360" w:lineRule="auto"/>
        <w:ind w:left="567" w:right="616"/>
        <w:contextualSpacing/>
        <w:jc w:val="both"/>
        <w:rPr>
          <w:rFonts w:ascii="Palatino Linotype" w:eastAsia="Calibri" w:hAnsi="Palatino Linotype"/>
          <w:i/>
          <w:sz w:val="22"/>
          <w:lang w:val="es-AR"/>
        </w:rPr>
      </w:pPr>
    </w:p>
    <w:p w14:paraId="51EF5743" w14:textId="77777777" w:rsidR="00113C54" w:rsidRPr="00113C54" w:rsidRDefault="00113C54" w:rsidP="00113C54">
      <w:pPr>
        <w:spacing w:line="360" w:lineRule="auto"/>
        <w:ind w:left="567" w:right="616"/>
        <w:contextualSpacing/>
        <w:jc w:val="both"/>
        <w:rPr>
          <w:rFonts w:ascii="Palatino Linotype" w:eastAsia="Calibri" w:hAnsi="Palatino Linotype"/>
          <w:sz w:val="22"/>
          <w:lang w:val="es-AR"/>
        </w:rPr>
      </w:pPr>
      <w:r w:rsidRPr="00113C54">
        <w:rPr>
          <w:rFonts w:ascii="Palatino Linotype" w:eastAsia="Calibri" w:hAnsi="Palatino Linotype"/>
          <w:sz w:val="22"/>
          <w:lang w:val="es-AR"/>
        </w:rPr>
        <w:t>(Énfasis añadido)</w:t>
      </w:r>
    </w:p>
    <w:p w14:paraId="65F38C37" w14:textId="77777777" w:rsidR="00113C54" w:rsidRPr="00113C54" w:rsidRDefault="00113C54" w:rsidP="00113C54">
      <w:pPr>
        <w:spacing w:line="360" w:lineRule="auto"/>
        <w:ind w:left="426"/>
        <w:contextualSpacing/>
        <w:jc w:val="both"/>
        <w:rPr>
          <w:rFonts w:ascii="Palatino Linotype" w:eastAsia="Calibri" w:hAnsi="Palatino Linotype"/>
          <w:lang w:val="es-ES_tradnl"/>
        </w:rPr>
      </w:pPr>
    </w:p>
    <w:p w14:paraId="4B5702E1" w14:textId="77777777" w:rsidR="00113C54" w:rsidRPr="00113C54" w:rsidRDefault="00113C54" w:rsidP="00113C54">
      <w:pPr>
        <w:numPr>
          <w:ilvl w:val="0"/>
          <w:numId w:val="33"/>
        </w:numPr>
        <w:spacing w:line="360" w:lineRule="auto"/>
        <w:ind w:left="0" w:firstLine="0"/>
        <w:contextualSpacing/>
        <w:jc w:val="both"/>
        <w:rPr>
          <w:rFonts w:ascii="Palatino Linotype" w:eastAsia="Calibri" w:hAnsi="Palatino Linotype"/>
          <w:lang w:val="es-ES_tradnl"/>
        </w:rPr>
      </w:pPr>
      <w:r w:rsidRPr="00113C54">
        <w:rPr>
          <w:rFonts w:ascii="Palatino Linotype" w:eastAsia="Calibri" w:hAnsi="Palatino Linotype"/>
          <w:lang w:val="es-ES_tradnl"/>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641656F7" w14:textId="77777777" w:rsidR="00113C54" w:rsidRPr="00113C54" w:rsidRDefault="00113C54" w:rsidP="00113C54">
      <w:pPr>
        <w:spacing w:line="360" w:lineRule="auto"/>
        <w:contextualSpacing/>
        <w:jc w:val="both"/>
        <w:rPr>
          <w:rFonts w:ascii="Palatino Linotype" w:eastAsia="Calibri" w:hAnsi="Palatino Linotype"/>
          <w:lang w:val="es-ES_tradnl"/>
        </w:rPr>
      </w:pPr>
    </w:p>
    <w:p w14:paraId="48132AC8" w14:textId="77777777" w:rsidR="00113C54" w:rsidRPr="00113C54" w:rsidRDefault="00113C54" w:rsidP="00113C54">
      <w:pPr>
        <w:numPr>
          <w:ilvl w:val="0"/>
          <w:numId w:val="33"/>
        </w:numPr>
        <w:spacing w:line="360" w:lineRule="auto"/>
        <w:ind w:left="0" w:firstLine="0"/>
        <w:contextualSpacing/>
        <w:jc w:val="both"/>
        <w:rPr>
          <w:rFonts w:ascii="Palatino Linotype" w:eastAsia="Calibri" w:hAnsi="Palatino Linotype"/>
          <w:lang w:val="es-ES_tradnl"/>
        </w:rPr>
      </w:pPr>
      <w:r w:rsidRPr="00113C54">
        <w:rPr>
          <w:rFonts w:ascii="Palatino Linotype" w:eastAsia="Calibri" w:hAnsi="Palatino Linotype"/>
          <w:lang w:val="es-ES_tradnl"/>
        </w:rPr>
        <w:t xml:space="preserve">Por lo que para que se actualice el sobreseimiento de un recurso de revisión, el </w:t>
      </w:r>
      <w:r w:rsidRPr="00113C54">
        <w:rPr>
          <w:rFonts w:ascii="Palatino Linotype" w:eastAsia="Calibri" w:hAnsi="Palatino Linotype"/>
          <w:b/>
          <w:lang w:val="es-ES_tradnl"/>
        </w:rPr>
        <w:t>SUJETO OBLIGADO</w:t>
      </w:r>
      <w:r w:rsidRPr="00113C54">
        <w:rPr>
          <w:rFonts w:ascii="Palatino Linotype" w:eastAsia="Calibri" w:hAnsi="Palatino Linotype"/>
          <w:lang w:val="es-ES_tradnl"/>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225D0776" w14:textId="77777777" w:rsidR="00113C54" w:rsidRPr="00113C54" w:rsidRDefault="00113C54" w:rsidP="00113C54">
      <w:pPr>
        <w:spacing w:line="360" w:lineRule="auto"/>
        <w:jc w:val="both"/>
        <w:rPr>
          <w:rFonts w:ascii="Palatino Linotype" w:eastAsia="Calibri" w:hAnsi="Palatino Linotype"/>
          <w:lang w:val="es-ES_tradnl"/>
        </w:rPr>
      </w:pPr>
    </w:p>
    <w:p w14:paraId="65F3F44F" w14:textId="77777777" w:rsidR="00113C54" w:rsidRPr="00113C54" w:rsidRDefault="00113C54" w:rsidP="00113C54">
      <w:pPr>
        <w:numPr>
          <w:ilvl w:val="0"/>
          <w:numId w:val="33"/>
        </w:numPr>
        <w:spacing w:line="360" w:lineRule="auto"/>
        <w:ind w:left="0" w:firstLine="0"/>
        <w:contextualSpacing/>
        <w:jc w:val="both"/>
        <w:rPr>
          <w:rFonts w:ascii="Palatino Linotype" w:eastAsia="Calibri" w:hAnsi="Palatino Linotype"/>
          <w:lang w:val="es-ES_tradnl"/>
        </w:rPr>
      </w:pPr>
      <w:r w:rsidRPr="00113C54">
        <w:rPr>
          <w:rFonts w:ascii="Palatino Linotype" w:eastAsia="Calibri" w:hAnsi="Palatino Linotype"/>
          <w:lang w:val="es-CO"/>
        </w:rPr>
        <w:t xml:space="preserve">Bajo ese tenor y en términos del artículo 186 fracción I este Pleno determina el </w:t>
      </w:r>
      <w:r w:rsidRPr="00113C54">
        <w:rPr>
          <w:rFonts w:ascii="Palatino Linotype" w:eastAsia="Calibri" w:hAnsi="Palatino Linotype"/>
          <w:b/>
          <w:lang w:val="es-CO"/>
        </w:rPr>
        <w:t xml:space="preserve">SOBRESEIMIENTO </w:t>
      </w:r>
      <w:r w:rsidRPr="00113C54">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5AF06E9D" w14:textId="77777777" w:rsidR="00113C54" w:rsidRPr="00113C54" w:rsidRDefault="00113C54" w:rsidP="00113C54">
      <w:pPr>
        <w:spacing w:line="360" w:lineRule="auto"/>
        <w:contextualSpacing/>
        <w:jc w:val="both"/>
        <w:rPr>
          <w:rFonts w:ascii="Palatino Linotype" w:eastAsia="Calibri" w:hAnsi="Palatino Linotype"/>
          <w:lang w:val="es-ES_tradnl"/>
        </w:rPr>
      </w:pPr>
    </w:p>
    <w:p w14:paraId="54D056CC" w14:textId="77777777" w:rsidR="00113C54" w:rsidRPr="00113C54" w:rsidRDefault="00113C54" w:rsidP="00113C54">
      <w:pPr>
        <w:numPr>
          <w:ilvl w:val="0"/>
          <w:numId w:val="33"/>
        </w:numPr>
        <w:spacing w:line="360" w:lineRule="auto"/>
        <w:ind w:left="0" w:firstLine="0"/>
        <w:contextualSpacing/>
        <w:jc w:val="both"/>
        <w:rPr>
          <w:rFonts w:ascii="Palatino Linotype" w:eastAsia="Calibri" w:hAnsi="Palatino Linotype"/>
          <w:lang w:val="es-ES_tradnl"/>
        </w:rPr>
      </w:pPr>
      <w:r w:rsidRPr="00113C54">
        <w:rPr>
          <w:rFonts w:ascii="Palatino Linotype" w:eastAsia="Calibri" w:hAnsi="Palatino Linotype"/>
          <w:lang w:val="es-ES_tradnl"/>
        </w:rPr>
        <w:t xml:space="preserve">Por lo anteriormente expuesto y fundado, este </w:t>
      </w:r>
      <w:r w:rsidRPr="00113C54">
        <w:rPr>
          <w:rFonts w:ascii="Palatino Linotype" w:eastAsia="Calibri" w:hAnsi="Palatino Linotype"/>
          <w:b/>
          <w:bCs/>
          <w:lang w:val="es-ES_tradnl"/>
        </w:rPr>
        <w:t>ÓRGANO GARANTE</w:t>
      </w:r>
      <w:r w:rsidRPr="00113C54">
        <w:rPr>
          <w:rFonts w:ascii="Palatino Linotype" w:eastAsia="Calibri" w:hAnsi="Palatino Linotype"/>
          <w:lang w:val="es-ES_tradnl"/>
        </w:rPr>
        <w:t xml:space="preserve"> emite los siguientes:</w:t>
      </w:r>
    </w:p>
    <w:p w14:paraId="11888AB2" w14:textId="67DF1189" w:rsidR="007F7B11" w:rsidRPr="00CA6269" w:rsidRDefault="007F7B11"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73A7F6DD" w14:textId="2FA14FE8" w:rsidR="00AC3F44" w:rsidRPr="00CA6269" w:rsidRDefault="00AC3F44" w:rsidP="00CA6269">
      <w:pPr>
        <w:keepNext/>
        <w:keepLines/>
        <w:suppressAutoHyphens/>
        <w:spacing w:before="240" w:line="360" w:lineRule="auto"/>
        <w:outlineLvl w:val="0"/>
        <w:rPr>
          <w:rFonts w:ascii="Palatino Linotype" w:hAnsi="Palatino Linotype"/>
          <w:b/>
          <w:color w:val="000000"/>
        </w:rPr>
      </w:pPr>
      <w:bookmarkStart w:id="35" w:name="_Toc96549905"/>
      <w:r w:rsidRPr="00CA6269">
        <w:rPr>
          <w:rFonts w:ascii="Palatino Linotype" w:hAnsi="Palatino Linotype"/>
          <w:b/>
          <w:color w:val="000000"/>
        </w:rPr>
        <w:t>CUARTO. De la decisión.</w:t>
      </w:r>
      <w:bookmarkEnd w:id="35"/>
      <w:r w:rsidRPr="00CA6269">
        <w:rPr>
          <w:rFonts w:ascii="Palatino Linotype" w:hAnsi="Palatino Linotype"/>
          <w:b/>
          <w:color w:val="000000"/>
        </w:rPr>
        <w:t xml:space="preserve"> </w:t>
      </w:r>
    </w:p>
    <w:p w14:paraId="2E062B65" w14:textId="36314A70" w:rsidR="00AC3F44" w:rsidRPr="00CA6269" w:rsidRDefault="00AC3F44" w:rsidP="00CA6269">
      <w:pPr>
        <w:pStyle w:val="Prrafodelista"/>
        <w:numPr>
          <w:ilvl w:val="0"/>
          <w:numId w:val="22"/>
        </w:numPr>
        <w:suppressAutoHyphens/>
        <w:spacing w:before="240" w:after="240" w:line="360" w:lineRule="auto"/>
        <w:ind w:left="0" w:right="49" w:firstLine="0"/>
        <w:contextualSpacing/>
        <w:jc w:val="both"/>
        <w:rPr>
          <w:rFonts w:ascii="Palatino Linotype" w:hAnsi="Palatino Linotype" w:cs="Arial"/>
          <w:lang w:val="es-MX" w:eastAsia="es-ES_tradnl"/>
        </w:rPr>
      </w:pPr>
      <w:r w:rsidRPr="00CA6269">
        <w:rPr>
          <w:rFonts w:ascii="Palatino Linotype" w:hAnsi="Palatino Linotype" w:cs="Tahoma"/>
          <w:lang w:val="es-MX"/>
        </w:rPr>
        <w:t>Con base en todo lo expuesto, y toda vez que no se atendió la solicitud de información, con fundamento en el artículo 186, fracción I, en relación con la fracción I</w:t>
      </w:r>
      <w:r w:rsidR="005C1AA4">
        <w:rPr>
          <w:rFonts w:ascii="Palatino Linotype" w:hAnsi="Palatino Linotype" w:cs="Tahoma"/>
          <w:lang w:val="es-MX"/>
        </w:rPr>
        <w:t>II</w:t>
      </w:r>
      <w:r w:rsidRPr="00CA6269">
        <w:rPr>
          <w:rFonts w:ascii="Palatino Linotype" w:hAnsi="Palatino Linotype" w:cs="Tahoma"/>
          <w:lang w:val="es-MX"/>
        </w:rPr>
        <w:t xml:space="preserve"> del artículo 192 de la Ley de Transparencia y Acceso a la Información Pública del Estado de México y Municipios, este Instituto considera procedente </w:t>
      </w:r>
      <w:r w:rsidRPr="00CA6269">
        <w:rPr>
          <w:rFonts w:ascii="Palatino Linotype" w:hAnsi="Palatino Linotype" w:cs="Tahoma"/>
          <w:b/>
          <w:lang w:val="es-MX"/>
        </w:rPr>
        <w:t xml:space="preserve">SOBRESEER </w:t>
      </w:r>
      <w:r w:rsidRPr="00CA6269">
        <w:rPr>
          <w:rFonts w:ascii="Palatino Linotype" w:hAnsi="Palatino Linotype" w:cs="Tahoma"/>
          <w:lang w:val="es-MX"/>
        </w:rPr>
        <w:t>el presente recurso de revisión.</w:t>
      </w:r>
      <w:r w:rsidRPr="00CA6269">
        <w:rPr>
          <w:rFonts w:ascii="Palatino Linotype" w:hAnsi="Palatino Linotype" w:cs="Tahoma"/>
          <w:b/>
          <w:lang w:val="es-MX"/>
        </w:rPr>
        <w:t xml:space="preserve"> </w:t>
      </w:r>
    </w:p>
    <w:p w14:paraId="4B94FF77" w14:textId="48317E76" w:rsidR="00AC3F44" w:rsidRPr="00CA6269" w:rsidRDefault="00AC3F44" w:rsidP="00CA6269">
      <w:pPr>
        <w:numPr>
          <w:ilvl w:val="0"/>
          <w:numId w:val="22"/>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CA6269">
        <w:rPr>
          <w:rFonts w:ascii="Palatino Linotype" w:hAnsi="Palatino Linotype" w:cs="Arial"/>
          <w:color w:val="000000"/>
          <w:lang w:val="es-ES_tradnl"/>
        </w:rPr>
        <w:t xml:space="preserve">Por lo anteriormente expuesto y fundado, este </w:t>
      </w:r>
      <w:r w:rsidRPr="00CA6269">
        <w:rPr>
          <w:rFonts w:ascii="Palatino Linotype" w:hAnsi="Palatino Linotype" w:cs="Arial"/>
          <w:b/>
          <w:color w:val="000000"/>
          <w:lang w:val="es-ES_tradnl"/>
        </w:rPr>
        <w:t>ÓRGANO GARANTE</w:t>
      </w:r>
      <w:r w:rsidRPr="00CA6269">
        <w:rPr>
          <w:rFonts w:ascii="Palatino Linotype" w:hAnsi="Palatino Linotype" w:cs="Arial"/>
          <w:color w:val="000000"/>
          <w:lang w:val="es-ES_tradnl"/>
        </w:rPr>
        <w:t xml:space="preserve"> emite los siguientes: -----------------------------------------------------------------------------------------------</w:t>
      </w:r>
    </w:p>
    <w:p w14:paraId="45E9BD5D" w14:textId="578B6B80" w:rsidR="00AC3F44" w:rsidRPr="00CA6269" w:rsidRDefault="007F7B11" w:rsidP="00CA6269">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36" w:name="_Toc96549906"/>
      <w:r w:rsidRPr="00CA6269">
        <w:rPr>
          <w:rFonts w:ascii="Palatino Linotype" w:eastAsiaTheme="majorEastAsia" w:hAnsi="Palatino Linotype" w:cstheme="majorBidi"/>
          <w:b/>
          <w:color w:val="000000" w:themeColor="text1"/>
          <w:lang w:val="es-MX" w:eastAsia="en-US"/>
        </w:rPr>
        <w:t>R E S O L U T I V O S</w:t>
      </w:r>
      <w:bookmarkEnd w:id="31"/>
      <w:bookmarkEnd w:id="32"/>
      <w:bookmarkEnd w:id="33"/>
      <w:bookmarkEnd w:id="34"/>
      <w:bookmarkEnd w:id="36"/>
    </w:p>
    <w:p w14:paraId="0B9A4D83" w14:textId="77777777" w:rsidR="00C57C10" w:rsidRPr="00C57C10" w:rsidRDefault="00C57C10" w:rsidP="00C57C10">
      <w:pPr>
        <w:rPr>
          <w:rFonts w:asciiTheme="minorHAnsi" w:eastAsiaTheme="minorEastAsia" w:hAnsiTheme="minorHAnsi" w:cstheme="minorBidi"/>
          <w:lang w:val="es-MX" w:eastAsia="en-US"/>
        </w:rPr>
      </w:pPr>
    </w:p>
    <w:p w14:paraId="399C435A" w14:textId="74742202" w:rsidR="00C57C10" w:rsidRPr="00C57C10" w:rsidRDefault="00C57C10" w:rsidP="00C57C10">
      <w:pPr>
        <w:spacing w:line="360" w:lineRule="auto"/>
        <w:jc w:val="both"/>
        <w:rPr>
          <w:rFonts w:ascii="Palatino Linotype" w:eastAsiaTheme="majorEastAsia" w:hAnsi="Palatino Linotype" w:cstheme="majorBidi"/>
          <w:lang w:val="es-MX" w:eastAsia="en-US"/>
        </w:rPr>
      </w:pPr>
      <w:bookmarkStart w:id="37" w:name="_Toc461648588"/>
      <w:bookmarkStart w:id="38" w:name="_Toc461648680"/>
      <w:bookmarkStart w:id="39" w:name="_Toc462228047"/>
      <w:bookmarkStart w:id="40" w:name="_Toc462228127"/>
      <w:bookmarkStart w:id="41" w:name="_Toc496099787"/>
      <w:bookmarkStart w:id="42" w:name="_Toc496100164"/>
      <w:bookmarkStart w:id="43" w:name="_Toc499756976"/>
      <w:bookmarkStart w:id="44" w:name="_Toc499757019"/>
      <w:bookmarkStart w:id="45" w:name="_Toc500245736"/>
      <w:bookmarkStart w:id="46" w:name="_Toc500264545"/>
      <w:bookmarkStart w:id="47" w:name="_Toc503290282"/>
      <w:bookmarkStart w:id="48" w:name="_Toc512329343"/>
      <w:bookmarkStart w:id="49" w:name="_Toc514231051"/>
      <w:bookmarkStart w:id="50" w:name="_Toc528153793"/>
      <w:r w:rsidRPr="00C57C10">
        <w:rPr>
          <w:rFonts w:ascii="Palatino Linotype" w:eastAsiaTheme="majorEastAsia" w:hAnsi="Palatino Linotype" w:cstheme="majorBidi"/>
          <w:b/>
          <w:lang w:val="es-MX" w:eastAsia="en-US"/>
        </w:rPr>
        <w:t xml:space="preserve">PRIMERO. </w:t>
      </w:r>
      <w:r w:rsidRPr="00C57C10">
        <w:rPr>
          <w:rFonts w:ascii="Palatino Linotype" w:eastAsiaTheme="majorEastAsia" w:hAnsi="Palatino Linotype" w:cstheme="majorBidi"/>
          <w:lang w:val="es-MX" w:eastAsia="en-US"/>
        </w:rPr>
        <w:t>Se</w:t>
      </w:r>
      <w:r w:rsidRPr="00C57C10">
        <w:rPr>
          <w:rFonts w:ascii="Palatino Linotype" w:eastAsiaTheme="majorEastAsia" w:hAnsi="Palatino Linotype" w:cstheme="majorBidi"/>
          <w:b/>
          <w:lang w:val="es-MX" w:eastAsia="en-US"/>
        </w:rPr>
        <w:t xml:space="preserve"> SOBRESEE </w:t>
      </w:r>
      <w:r w:rsidRPr="00C57C10">
        <w:rPr>
          <w:rFonts w:ascii="Palatino Linotype" w:eastAsiaTheme="majorEastAsia" w:hAnsi="Palatino Linotype" w:cstheme="majorBidi"/>
          <w:lang w:val="es-MX" w:eastAsia="en-US"/>
        </w:rPr>
        <w:t xml:space="preserve">el recurso de revisión número </w:t>
      </w:r>
      <w:r w:rsidR="002F1ABA" w:rsidRPr="002F1ABA">
        <w:rPr>
          <w:rFonts w:ascii="Palatino Linotype" w:eastAsiaTheme="majorEastAsia" w:hAnsi="Palatino Linotype" w:cstheme="majorBidi"/>
          <w:b/>
          <w:lang w:val="es-MX" w:eastAsia="en-US"/>
        </w:rPr>
        <w:t>00503/INFOEM/IP/RR/2022</w:t>
      </w:r>
      <w:r w:rsidR="002F1ABA">
        <w:rPr>
          <w:rFonts w:ascii="Palatino Linotype" w:eastAsiaTheme="majorEastAsia" w:hAnsi="Palatino Linotype" w:cstheme="majorBidi"/>
          <w:lang w:val="es-MX" w:eastAsia="en-US"/>
        </w:rPr>
        <w:t xml:space="preserve"> </w:t>
      </w:r>
      <w:r w:rsidRPr="00C57C10">
        <w:rPr>
          <w:rFonts w:ascii="Palatino Linotype" w:eastAsiaTheme="majorEastAsia" w:hAnsi="Palatino Linotype" w:cstheme="majorBidi"/>
          <w:lang w:val="es-MX" w:eastAsia="en-US"/>
        </w:rPr>
        <w:t xml:space="preserve">en razón de </w:t>
      </w:r>
      <w:r w:rsidR="002F1ABA" w:rsidRPr="00C57C10">
        <w:rPr>
          <w:rFonts w:ascii="Palatino Linotype" w:eastAsiaTheme="majorEastAsia" w:hAnsi="Palatino Linotype" w:cstheme="majorBidi"/>
          <w:lang w:val="es-MX" w:eastAsia="en-US"/>
        </w:rPr>
        <w:t>que,</w:t>
      </w:r>
      <w:r w:rsidRPr="00C57C10">
        <w:rPr>
          <w:rFonts w:ascii="Palatino Linotype" w:eastAsiaTheme="majorEastAsia" w:hAnsi="Palatino Linotype" w:cstheme="majorBidi"/>
          <w:lang w:val="es-MX" w:eastAsia="en-US"/>
        </w:rPr>
        <w:t xml:space="preserve"> al </w:t>
      </w:r>
      <w:r w:rsidRPr="00C57C10">
        <w:rPr>
          <w:rFonts w:ascii="Palatino Linotype" w:eastAsiaTheme="majorEastAsia" w:hAnsi="Palatino Linotype" w:cstheme="majorBidi"/>
          <w:b/>
          <w:lang w:val="es-MX" w:eastAsia="en-US"/>
        </w:rPr>
        <w:t>MODIFICAR</w:t>
      </w:r>
      <w:r w:rsidRPr="00C57C10">
        <w:rPr>
          <w:rFonts w:ascii="Palatino Linotype" w:eastAsiaTheme="majorEastAsia" w:hAnsi="Palatino Linotype" w:cstheme="majorBidi"/>
          <w:lang w:val="es-MX" w:eastAsia="en-US"/>
        </w:rPr>
        <w:t xml:space="preserve"> la respuesta inicial, el recurso de revisión quedó sin materia en términos del Considerando </w:t>
      </w:r>
      <w:r w:rsidRPr="00C57C10">
        <w:rPr>
          <w:rFonts w:ascii="Palatino Linotype" w:eastAsiaTheme="majorEastAsia" w:hAnsi="Palatino Linotype" w:cstheme="majorBidi"/>
          <w:b/>
          <w:lang w:val="es-MX" w:eastAsia="en-US"/>
        </w:rPr>
        <w:t>TERCERO</w:t>
      </w:r>
      <w:r w:rsidRPr="00C57C10">
        <w:rPr>
          <w:rFonts w:ascii="Palatino Linotype" w:eastAsiaTheme="majorEastAsia" w:hAnsi="Palatino Linotype" w:cstheme="majorBidi"/>
          <w:lang w:val="es-MX" w:eastAsia="en-US"/>
        </w:rPr>
        <w:t xml:space="preserve"> de la presente resolución.    </w:t>
      </w:r>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4AB56B89" w14:textId="4D7197E6" w:rsidR="007F7B11" w:rsidRPr="00CA6269" w:rsidRDefault="007F7B11" w:rsidP="00CA6269">
      <w:pPr>
        <w:spacing w:line="360" w:lineRule="auto"/>
        <w:jc w:val="both"/>
        <w:rPr>
          <w:rFonts w:ascii="Palatino Linotype" w:eastAsiaTheme="minorEastAsia" w:hAnsi="Palatino Linotype" w:cstheme="minorBidi"/>
          <w:lang w:val="es-ES_tradnl"/>
        </w:rPr>
      </w:pPr>
    </w:p>
    <w:p w14:paraId="2CEB416F" w14:textId="77777777" w:rsidR="007F7B11" w:rsidRPr="00CA6269" w:rsidRDefault="007F7B11" w:rsidP="00CA6269">
      <w:pPr>
        <w:spacing w:line="360" w:lineRule="auto"/>
        <w:jc w:val="both"/>
        <w:rPr>
          <w:rFonts w:ascii="Palatino Linotype" w:eastAsia="Calibri" w:hAnsi="Palatino Linotype" w:cs="Arial"/>
          <w:b/>
          <w:bCs/>
        </w:rPr>
      </w:pPr>
      <w:r w:rsidRPr="00CA6269">
        <w:rPr>
          <w:rFonts w:ascii="Palatino Linotype" w:eastAsia="Calibri" w:hAnsi="Palatino Linotype" w:cs="Arial"/>
          <w:b/>
          <w:bCs/>
        </w:rPr>
        <w:t xml:space="preserve">SEGUNDO. Notifíquese </w:t>
      </w:r>
      <w:r w:rsidRPr="00CA6269">
        <w:rPr>
          <w:rFonts w:ascii="Palatino Linotype" w:eastAsia="Calibri" w:hAnsi="Palatino Linotype" w:cs="Arial"/>
          <w:bCs/>
        </w:rPr>
        <w:t xml:space="preserve">a través del Sistema de Acceso a la Información Mexiquense </w:t>
      </w:r>
      <w:r w:rsidRPr="00CA6269">
        <w:rPr>
          <w:rFonts w:ascii="Palatino Linotype" w:eastAsia="Calibri" w:hAnsi="Palatino Linotype" w:cs="Arial"/>
          <w:b/>
          <w:bCs/>
        </w:rPr>
        <w:t xml:space="preserve">(SAIMEX) </w:t>
      </w:r>
      <w:r w:rsidRPr="00CA6269">
        <w:rPr>
          <w:rFonts w:ascii="Palatino Linotype" w:eastAsia="Calibri" w:hAnsi="Palatino Linotype" w:cs="Arial"/>
          <w:bCs/>
        </w:rPr>
        <w:t>la presente resolución a la Titular de la Unidad de Transparencia del</w:t>
      </w:r>
      <w:r w:rsidRPr="00CA6269">
        <w:rPr>
          <w:rFonts w:ascii="Palatino Linotype" w:eastAsia="Calibri" w:hAnsi="Palatino Linotype" w:cs="Arial"/>
          <w:b/>
          <w:bCs/>
        </w:rPr>
        <w:t xml:space="preserve"> SUJETO OBLIGADO. </w:t>
      </w:r>
    </w:p>
    <w:p w14:paraId="583A10EC" w14:textId="77777777" w:rsidR="007F7B11" w:rsidRPr="00CA6269" w:rsidRDefault="007F7B11" w:rsidP="00CA6269">
      <w:pPr>
        <w:spacing w:line="360" w:lineRule="auto"/>
        <w:jc w:val="both"/>
        <w:rPr>
          <w:rFonts w:ascii="Palatino Linotype" w:eastAsia="Calibri" w:hAnsi="Palatino Linotype" w:cs="Arial"/>
          <w:b/>
          <w:bCs/>
        </w:rPr>
      </w:pPr>
    </w:p>
    <w:p w14:paraId="46A80028" w14:textId="77777777" w:rsidR="007F7B11" w:rsidRPr="00CA6269" w:rsidRDefault="007F7B11" w:rsidP="00CA6269">
      <w:pPr>
        <w:spacing w:line="360" w:lineRule="auto"/>
        <w:jc w:val="both"/>
        <w:rPr>
          <w:rFonts w:ascii="Palatino Linotype" w:hAnsi="Palatino Linotype"/>
          <w:color w:val="222222"/>
          <w:lang w:eastAsia="es-MX"/>
        </w:rPr>
      </w:pPr>
      <w:r w:rsidRPr="00CA6269">
        <w:rPr>
          <w:rFonts w:ascii="Palatino Linotype" w:hAnsi="Palatino Linotype" w:cs="Arial"/>
          <w:b/>
          <w:lang w:val="es-ES_tradnl"/>
        </w:rPr>
        <w:t xml:space="preserve">TERCERO. </w:t>
      </w:r>
      <w:r w:rsidRPr="00CA6269">
        <w:rPr>
          <w:rFonts w:ascii="Palatino Linotype" w:hAnsi="Palatino Linotype"/>
          <w:b/>
          <w:bCs/>
          <w:color w:val="222222"/>
        </w:rPr>
        <w:t xml:space="preserve">Notifíquese </w:t>
      </w:r>
      <w:r w:rsidRPr="00CA6269">
        <w:rPr>
          <w:rFonts w:ascii="Palatino Linotype" w:hAnsi="Palatino Linotype"/>
          <w:bCs/>
          <w:color w:val="222222"/>
        </w:rPr>
        <w:t xml:space="preserve">al </w:t>
      </w:r>
      <w:r w:rsidRPr="00CA6269">
        <w:rPr>
          <w:rFonts w:ascii="Palatino Linotype" w:eastAsiaTheme="minorEastAsia" w:hAnsi="Palatino Linotype" w:cstheme="minorBidi"/>
          <w:b/>
          <w:lang w:val="es-ES_tradnl"/>
        </w:rPr>
        <w:t xml:space="preserve">RECURRENTE </w:t>
      </w:r>
      <w:r w:rsidRPr="00CA6269">
        <w:rPr>
          <w:rFonts w:ascii="Palatino Linotype" w:eastAsia="Calibri" w:hAnsi="Palatino Linotype" w:cs="Arial"/>
          <w:bCs/>
        </w:rPr>
        <w:t xml:space="preserve">a través del Sistema de Acceso a la Información Mexiquense </w:t>
      </w:r>
      <w:r w:rsidRPr="00CA6269">
        <w:rPr>
          <w:rFonts w:ascii="Palatino Linotype" w:eastAsia="Calibri" w:hAnsi="Palatino Linotype" w:cs="Arial"/>
          <w:b/>
          <w:bCs/>
        </w:rPr>
        <w:t xml:space="preserve">(SAIMEX) </w:t>
      </w:r>
      <w:r w:rsidRPr="00CA6269">
        <w:rPr>
          <w:rFonts w:ascii="Palatino Linotype" w:hAnsi="Palatino Linotype"/>
          <w:color w:val="222222"/>
          <w:lang w:eastAsia="es-MX"/>
        </w:rPr>
        <w:t>la presente resolución.</w:t>
      </w:r>
    </w:p>
    <w:p w14:paraId="361AD0E1" w14:textId="77777777" w:rsidR="007F7B11" w:rsidRPr="00CA6269" w:rsidRDefault="007F7B11" w:rsidP="00CA6269">
      <w:pPr>
        <w:spacing w:line="360" w:lineRule="auto"/>
        <w:jc w:val="both"/>
        <w:rPr>
          <w:rFonts w:ascii="Palatino Linotype" w:hAnsi="Palatino Linotype"/>
          <w:color w:val="222222"/>
          <w:lang w:eastAsia="es-MX"/>
        </w:rPr>
      </w:pPr>
    </w:p>
    <w:p w14:paraId="02D48F14" w14:textId="77777777" w:rsidR="00AC3F44" w:rsidRPr="00CA6269" w:rsidRDefault="007F7B11" w:rsidP="00CA6269">
      <w:pPr>
        <w:spacing w:line="360" w:lineRule="auto"/>
        <w:contextualSpacing/>
        <w:jc w:val="both"/>
        <w:rPr>
          <w:rFonts w:ascii="Palatino Linotype" w:eastAsiaTheme="minorEastAsia" w:hAnsi="Palatino Linotype" w:cstheme="minorBidi"/>
        </w:rPr>
      </w:pPr>
      <w:r w:rsidRPr="00CA6269">
        <w:rPr>
          <w:rFonts w:ascii="Palatino Linotype" w:eastAsia="MS Mincho" w:hAnsi="Palatino Linotype"/>
          <w:b/>
          <w:lang w:val="es-MX"/>
        </w:rPr>
        <w:t>CUARTO.</w:t>
      </w:r>
      <w:r w:rsidRPr="00CA6269">
        <w:rPr>
          <w:rFonts w:ascii="Palatino Linotype" w:eastAsia="MS Mincho" w:hAnsi="Palatino Linotype"/>
          <w:lang w:val="es-MX"/>
        </w:rPr>
        <w:t xml:space="preserve"> </w:t>
      </w:r>
      <w:r w:rsidRPr="00CA6269">
        <w:rPr>
          <w:rFonts w:ascii="Palatino Linotype" w:eastAsia="MS Mincho" w:hAnsi="Palatino Linotype"/>
        </w:rPr>
        <w:t xml:space="preserve">Se hace del conocimiento del </w:t>
      </w:r>
      <w:r w:rsidRPr="00CA6269">
        <w:rPr>
          <w:rFonts w:ascii="Palatino Linotype" w:eastAsiaTheme="minorEastAsia" w:hAnsi="Palatino Linotype" w:cstheme="minorBidi"/>
          <w:b/>
          <w:lang w:val="es-ES_tradnl"/>
        </w:rPr>
        <w:t xml:space="preserve">RECURRENTE </w:t>
      </w:r>
      <w:r w:rsidRPr="00CA6269">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CA6269">
        <w:rPr>
          <w:rFonts w:ascii="Palatino Linotype" w:eastAsia="MS Mincho" w:hAnsi="Palatino Linotype"/>
          <w:bCs/>
        </w:rPr>
        <w:t xml:space="preserve">vía juicio de amparo </w:t>
      </w:r>
      <w:r w:rsidRPr="00CA6269">
        <w:rPr>
          <w:rFonts w:ascii="Palatino Linotype" w:eastAsia="MS Mincho" w:hAnsi="Palatino Linotype"/>
        </w:rPr>
        <w:t>en los términos de las leyes aplicables.</w:t>
      </w:r>
    </w:p>
    <w:p w14:paraId="7F69DB28" w14:textId="77777777" w:rsidR="00AC3F44" w:rsidRPr="00CA6269" w:rsidRDefault="00AC3F44" w:rsidP="00CA6269">
      <w:pPr>
        <w:spacing w:line="360" w:lineRule="auto"/>
        <w:contextualSpacing/>
        <w:jc w:val="both"/>
        <w:rPr>
          <w:rFonts w:ascii="Palatino Linotype" w:eastAsiaTheme="minorEastAsia" w:hAnsi="Palatino Linotype" w:cstheme="minorBidi"/>
        </w:rPr>
      </w:pPr>
    </w:p>
    <w:p w14:paraId="656CE4B3" w14:textId="77777777" w:rsidR="00C25443" w:rsidRPr="00624AAD" w:rsidRDefault="00C25443" w:rsidP="00C25443">
      <w:pPr>
        <w:spacing w:before="240" w:after="240" w:line="360" w:lineRule="auto"/>
        <w:ind w:firstLine="1"/>
        <w:jc w:val="both"/>
        <w:rPr>
          <w:rFonts w:ascii="Palatino Linotype" w:hAnsi="Palatino Linotype"/>
        </w:rPr>
      </w:pPr>
      <w:bookmarkStart w:id="51" w:name="_Hlk96506827"/>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NOVENA</w:t>
      </w:r>
      <w:r w:rsidRPr="00A0054B">
        <w:rPr>
          <w:rFonts w:ascii="Palatino Linotype" w:hAnsi="Palatino Linotype"/>
        </w:rPr>
        <w:t xml:space="preserve"> SESIÓN ORDINARIA CELEBRADA EL </w:t>
      </w:r>
      <w:r>
        <w:rPr>
          <w:rFonts w:ascii="Palatino Linotype" w:hAnsi="Palatino Linotype"/>
        </w:rPr>
        <w:t>NUEVE</w:t>
      </w:r>
      <w:r w:rsidRPr="00A0054B">
        <w:rPr>
          <w:rFonts w:ascii="Palatino Linotype" w:hAnsi="Palatino Linotype"/>
        </w:rPr>
        <w:t xml:space="preserve"> DE </w:t>
      </w:r>
      <w:r>
        <w:rPr>
          <w:rFonts w:ascii="Palatino Linotype" w:hAnsi="Palatino Linotype"/>
        </w:rPr>
        <w:t>MARZO</w:t>
      </w:r>
      <w:r w:rsidRPr="00A0054B">
        <w:rPr>
          <w:rFonts w:ascii="Palatino Linotype" w:hAnsi="Palatino Linotype"/>
        </w:rPr>
        <w:t xml:space="preserve"> DE DOS MIL VEINTIDÓS, ANTE EL SECRETARIO TÉCNICO DEL PLENO ALEXIS TAPIA RAMÍREZ</w:t>
      </w:r>
      <w:r w:rsidRPr="00624AAD">
        <w:rPr>
          <w:rFonts w:ascii="Palatino Linotype" w:hAnsi="Palatino Linotype"/>
        </w:rPr>
        <w:t xml:space="preserve"> </w:t>
      </w:r>
    </w:p>
    <w:bookmarkEnd w:id="51"/>
    <w:p w14:paraId="25D90C5C" w14:textId="2EE09907" w:rsidR="007F7B11" w:rsidRPr="00C57C10" w:rsidRDefault="007F7B11" w:rsidP="00CA6269">
      <w:pPr>
        <w:spacing w:line="360" w:lineRule="auto"/>
        <w:rPr>
          <w:rFonts w:ascii="Palatino Linotype" w:eastAsiaTheme="minorEastAsia" w:hAnsi="Palatino Linotype" w:cstheme="minorBidi"/>
        </w:rPr>
      </w:pPr>
    </w:p>
    <w:p w14:paraId="12BBE650" w14:textId="77777777" w:rsidR="007F7B11" w:rsidRPr="00CA6269" w:rsidRDefault="007F7B11" w:rsidP="00CA6269">
      <w:pPr>
        <w:spacing w:before="240" w:after="240" w:line="360" w:lineRule="auto"/>
        <w:ind w:right="49"/>
        <w:jc w:val="both"/>
        <w:rPr>
          <w:rFonts w:ascii="Palatino Linotype" w:eastAsiaTheme="minorEastAsia" w:hAnsi="Palatino Linotype" w:cstheme="minorBidi"/>
          <w:lang w:val="es-ES_tradnl"/>
        </w:rPr>
      </w:pPr>
    </w:p>
    <w:p w14:paraId="4453F8E6" w14:textId="4987DE0A" w:rsidR="00090DE6" w:rsidRPr="00CA6269" w:rsidRDefault="00090DE6" w:rsidP="00CA6269">
      <w:pPr>
        <w:spacing w:line="360" w:lineRule="auto"/>
        <w:rPr>
          <w:rFonts w:ascii="Palatino Linotype" w:hAnsi="Palatino Linotype"/>
        </w:rPr>
      </w:pPr>
    </w:p>
    <w:sectPr w:rsidR="00090DE6" w:rsidRPr="00CA6269"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C2CCD" w14:textId="77777777" w:rsidR="00F47241" w:rsidRDefault="00F47241" w:rsidP="00C80F8C">
      <w:r>
        <w:separator/>
      </w:r>
    </w:p>
  </w:endnote>
  <w:endnote w:type="continuationSeparator" w:id="0">
    <w:p w14:paraId="788349C6" w14:textId="77777777" w:rsidR="00F47241" w:rsidRDefault="00F4724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21A36BDA" w:rsidR="00A74B28" w:rsidRPr="00817AAB" w:rsidRDefault="00A74B2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576CBC">
      <w:rPr>
        <w:rFonts w:ascii="Palatino Linotype" w:hAnsi="Palatino Linotype" w:cs="Arial"/>
        <w:b/>
        <w:bCs/>
        <w:noProof/>
      </w:rPr>
      <w:t>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576CBC">
      <w:rPr>
        <w:rFonts w:ascii="Palatino Linotype" w:hAnsi="Palatino Linotype" w:cs="Arial"/>
        <w:b/>
        <w:bCs/>
        <w:noProof/>
      </w:rPr>
      <w:t>11</w:t>
    </w:r>
    <w:r w:rsidRPr="00817AAB">
      <w:rPr>
        <w:rFonts w:ascii="Palatino Linotype" w:hAnsi="Palatino Linotype" w:cs="Arial"/>
        <w:b/>
        <w:bCs/>
      </w:rPr>
      <w:fldChar w:fldCharType="end"/>
    </w:r>
  </w:p>
  <w:p w14:paraId="1192A578" w14:textId="77777777" w:rsidR="00A74B28" w:rsidRDefault="00A74B28" w:rsidP="00935A0D">
    <w:pPr>
      <w:pStyle w:val="Piedepgina"/>
      <w:rPr>
        <w:rFonts w:ascii="Times New Roman" w:hAnsi="Times New Roman" w:cs="Times New Roman"/>
      </w:rPr>
    </w:pPr>
  </w:p>
  <w:p w14:paraId="14A770F8" w14:textId="77777777" w:rsidR="00A74B28" w:rsidRDefault="00A74B28"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7F8867FD" w:rsidR="00A74B28" w:rsidRDefault="00A74B2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76CB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76CBC">
      <w:rPr>
        <w:rFonts w:ascii="Arial" w:hAnsi="Arial" w:cs="Arial"/>
        <w:b/>
        <w:bCs/>
        <w:noProof/>
        <w:sz w:val="20"/>
        <w:szCs w:val="20"/>
      </w:rPr>
      <w:t>10</w:t>
    </w:r>
    <w:r>
      <w:rPr>
        <w:rFonts w:ascii="Arial" w:hAnsi="Arial" w:cs="Arial"/>
        <w:b/>
        <w:bCs/>
        <w:sz w:val="20"/>
        <w:szCs w:val="20"/>
      </w:rPr>
      <w:fldChar w:fldCharType="end"/>
    </w:r>
  </w:p>
  <w:p w14:paraId="5D98ABD5" w14:textId="77777777" w:rsidR="00A74B28" w:rsidRDefault="00A74B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5BE31" w14:textId="77777777" w:rsidR="00F47241" w:rsidRDefault="00F47241" w:rsidP="00C80F8C">
      <w:r>
        <w:separator/>
      </w:r>
    </w:p>
  </w:footnote>
  <w:footnote w:type="continuationSeparator" w:id="0">
    <w:p w14:paraId="3E372C98" w14:textId="77777777" w:rsidR="00F47241" w:rsidRDefault="00F47241"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A74B28" w14:paraId="6B4E3B81" w14:textId="77777777" w:rsidTr="00B4299A">
      <w:tc>
        <w:tcPr>
          <w:tcW w:w="2701" w:type="dxa"/>
          <w:vAlign w:val="center"/>
          <w:hideMark/>
        </w:tcPr>
        <w:p w14:paraId="0ABBC6C0" w14:textId="1226DAAF"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A2C505D" w:rsidR="00A74B28" w:rsidRPr="00B4299A" w:rsidRDefault="007925FB" w:rsidP="006E011A">
          <w:pPr>
            <w:rPr>
              <w:rFonts w:ascii="Palatino Linotype" w:hAnsi="Palatino Linotype"/>
              <w:b/>
              <w:szCs w:val="22"/>
              <w:lang w:val="es-ES_tradnl"/>
            </w:rPr>
          </w:pPr>
          <w:r w:rsidRPr="007925FB">
            <w:rPr>
              <w:rFonts w:ascii="Palatino Linotype" w:hAnsi="Palatino Linotype"/>
              <w:b/>
              <w:szCs w:val="22"/>
              <w:lang w:val="es-ES_tradnl"/>
            </w:rPr>
            <w:t>00503/INFOEM/IP/RR/2022</w:t>
          </w:r>
        </w:p>
      </w:tc>
    </w:tr>
    <w:tr w:rsidR="00A74B28" w14:paraId="31CB780F" w14:textId="77777777" w:rsidTr="00B4299A">
      <w:trPr>
        <w:trHeight w:val="228"/>
      </w:trPr>
      <w:tc>
        <w:tcPr>
          <w:tcW w:w="2701" w:type="dxa"/>
          <w:vAlign w:val="center"/>
          <w:hideMark/>
        </w:tcPr>
        <w:p w14:paraId="4F49CB4A" w14:textId="6966D32E"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307BCF5" w:rsidR="00A74B28" w:rsidRPr="00B4299A" w:rsidRDefault="007925FB" w:rsidP="00E176F9">
          <w:pPr>
            <w:jc w:val="both"/>
            <w:rPr>
              <w:rFonts w:ascii="Palatino Linotype" w:hAnsi="Palatino Linotype"/>
              <w:b/>
              <w:szCs w:val="22"/>
              <w:lang w:val="es-ES_tradnl"/>
            </w:rPr>
          </w:pPr>
          <w:r>
            <w:rPr>
              <w:rFonts w:ascii="Palatino Linotype" w:hAnsi="Palatino Linotype"/>
              <w:b/>
              <w:szCs w:val="22"/>
              <w:lang w:val="es-ES_tradnl"/>
            </w:rPr>
            <w:t xml:space="preserve">Tribunal Estatal de Conciliación y Arbitraje </w:t>
          </w:r>
        </w:p>
      </w:tc>
    </w:tr>
    <w:tr w:rsidR="00A74B28" w14:paraId="69050F56" w14:textId="77777777" w:rsidTr="00B4299A">
      <w:tc>
        <w:tcPr>
          <w:tcW w:w="2701" w:type="dxa"/>
          <w:vAlign w:val="center"/>
          <w:hideMark/>
        </w:tcPr>
        <w:p w14:paraId="65C9B735" w14:textId="75C78F81" w:rsidR="00A74B28" w:rsidRPr="00B4299A" w:rsidRDefault="00A74B28"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A74B28" w:rsidRPr="00B4299A" w:rsidRDefault="00A74B28"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A74B28" w:rsidRDefault="00A74B28"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A74B28" w:rsidRDefault="00A74B28"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A74B28" w:rsidRDefault="00A74B28"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A74B28" w14:paraId="477E149B" w14:textId="77777777" w:rsidTr="00CB57FD">
      <w:trPr>
        <w:trHeight w:val="277"/>
      </w:trPr>
      <w:tc>
        <w:tcPr>
          <w:tcW w:w="2693" w:type="dxa"/>
          <w:vAlign w:val="center"/>
          <w:hideMark/>
        </w:tcPr>
        <w:p w14:paraId="5C0586E4" w14:textId="77777777"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CC9B596" w:rsidR="00A74B28" w:rsidRPr="009B3353" w:rsidRDefault="000167BD" w:rsidP="00761460">
          <w:pPr>
            <w:rPr>
              <w:rFonts w:ascii="Palatino Linotype" w:hAnsi="Palatino Linotype"/>
              <w:b/>
              <w:szCs w:val="22"/>
              <w:lang w:val="es-ES_tradnl"/>
            </w:rPr>
          </w:pPr>
          <w:r w:rsidRPr="000167BD">
            <w:rPr>
              <w:rFonts w:ascii="Palatino Linotype" w:hAnsi="Palatino Linotype"/>
              <w:b/>
              <w:bCs/>
              <w:szCs w:val="22"/>
            </w:rPr>
            <w:t>00503/INFOEM/IP/RR/2022</w:t>
          </w:r>
        </w:p>
      </w:tc>
    </w:tr>
    <w:tr w:rsidR="00A74B28" w14:paraId="5B5BE21C" w14:textId="77777777" w:rsidTr="00CB57FD">
      <w:tc>
        <w:tcPr>
          <w:tcW w:w="2693" w:type="dxa"/>
          <w:vAlign w:val="center"/>
          <w:hideMark/>
        </w:tcPr>
        <w:p w14:paraId="4AE96902" w14:textId="4E063913"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0E0A3AB" w:rsidR="00A74B28" w:rsidRPr="009B3353" w:rsidRDefault="000167BD"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A74B28" w14:paraId="22601A11" w14:textId="77777777" w:rsidTr="00CB57FD">
      <w:trPr>
        <w:trHeight w:val="228"/>
      </w:trPr>
      <w:tc>
        <w:tcPr>
          <w:tcW w:w="2693" w:type="dxa"/>
          <w:vAlign w:val="center"/>
          <w:hideMark/>
        </w:tcPr>
        <w:p w14:paraId="6EFE221D" w14:textId="49C5F800"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122EF90" w:rsidR="00A74B28" w:rsidRPr="009B3353" w:rsidRDefault="007925FB" w:rsidP="007F7B11">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Tribunal Estatal de Conciliación y Arbitraje</w:t>
          </w:r>
        </w:p>
      </w:tc>
    </w:tr>
    <w:tr w:rsidR="00A74B28" w14:paraId="2D6C630E" w14:textId="77777777" w:rsidTr="00CB57FD">
      <w:tc>
        <w:tcPr>
          <w:tcW w:w="2693" w:type="dxa"/>
          <w:vAlign w:val="center"/>
          <w:hideMark/>
        </w:tcPr>
        <w:p w14:paraId="5BD4C6DB" w14:textId="7CF21504" w:rsidR="00A74B28" w:rsidRPr="009B3353" w:rsidRDefault="00A74B2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A74B28" w:rsidRPr="009B3353" w:rsidRDefault="00A74B2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A74B28" w:rsidRDefault="00A74B28"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7D1AA0"/>
    <w:multiLevelType w:val="hybridMultilevel"/>
    <w:tmpl w:val="18EC76D2"/>
    <w:lvl w:ilvl="0" w:tplc="B0AC5F36">
      <w:start w:val="4"/>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8" w15:restartNumberingAfterBreak="0">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9"/>
  </w:num>
  <w:num w:numId="2">
    <w:abstractNumId w:val="7"/>
  </w:num>
  <w:num w:numId="3">
    <w:abstractNumId w:val="29"/>
  </w:num>
  <w:num w:numId="4">
    <w:abstractNumId w:val="28"/>
  </w:num>
  <w:num w:numId="5">
    <w:abstractNumId w:val="26"/>
  </w:num>
  <w:num w:numId="6">
    <w:abstractNumId w:val="6"/>
  </w:num>
  <w:num w:numId="7">
    <w:abstractNumId w:val="10"/>
  </w:num>
  <w:num w:numId="8">
    <w:abstractNumId w:val="21"/>
  </w:num>
  <w:num w:numId="9">
    <w:abstractNumId w:val="19"/>
  </w:num>
  <w:num w:numId="10">
    <w:abstractNumId w:val="4"/>
  </w:num>
  <w:num w:numId="11">
    <w:abstractNumId w:val="2"/>
  </w:num>
  <w:num w:numId="12">
    <w:abstractNumId w:val="12"/>
  </w:num>
  <w:num w:numId="13">
    <w:abstractNumId w:val="17"/>
  </w:num>
  <w:num w:numId="14">
    <w:abstractNumId w:val="0"/>
  </w:num>
  <w:num w:numId="15">
    <w:abstractNumId w:val="8"/>
  </w:num>
  <w:num w:numId="16">
    <w:abstractNumId w:val="5"/>
  </w:num>
  <w:num w:numId="17">
    <w:abstractNumId w:val="14"/>
  </w:num>
  <w:num w:numId="18">
    <w:abstractNumId w:val="3"/>
  </w:num>
  <w:num w:numId="19">
    <w:abstractNumId w:val="31"/>
  </w:num>
  <w:num w:numId="20">
    <w:abstractNumId w:val="23"/>
  </w:num>
  <w:num w:numId="21">
    <w:abstractNumId w:val="27"/>
  </w:num>
  <w:num w:numId="22">
    <w:abstractNumId w:val="15"/>
  </w:num>
  <w:num w:numId="23">
    <w:abstractNumId w:val="20"/>
  </w:num>
  <w:num w:numId="24">
    <w:abstractNumId w:val="18"/>
  </w:num>
  <w:num w:numId="25">
    <w:abstractNumId w:val="22"/>
  </w:num>
  <w:num w:numId="26">
    <w:abstractNumId w:val="24"/>
  </w:num>
  <w:num w:numId="27">
    <w:abstractNumId w:val="11"/>
  </w:num>
  <w:num w:numId="28">
    <w:abstractNumId w:val="25"/>
  </w:num>
  <w:num w:numId="29">
    <w:abstractNumId w:val="30"/>
  </w:num>
  <w:num w:numId="30">
    <w:abstractNumId w:val="1"/>
  </w:num>
  <w:num w:numId="31">
    <w:abstractNumId w:val="32"/>
  </w:num>
  <w:num w:numId="32">
    <w:abstractNumId w:val="13"/>
  </w:num>
  <w:num w:numId="3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CO" w:vendorID="64" w:dllVersion="6"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67BD"/>
    <w:rsid w:val="00017BE1"/>
    <w:rsid w:val="00020869"/>
    <w:rsid w:val="00020A18"/>
    <w:rsid w:val="00021E8D"/>
    <w:rsid w:val="000220A1"/>
    <w:rsid w:val="000239D7"/>
    <w:rsid w:val="00023C79"/>
    <w:rsid w:val="00024227"/>
    <w:rsid w:val="0002433F"/>
    <w:rsid w:val="0002434A"/>
    <w:rsid w:val="000243F1"/>
    <w:rsid w:val="00024AE6"/>
    <w:rsid w:val="00024BA6"/>
    <w:rsid w:val="000252E9"/>
    <w:rsid w:val="00025532"/>
    <w:rsid w:val="000260E9"/>
    <w:rsid w:val="00026705"/>
    <w:rsid w:val="00026D94"/>
    <w:rsid w:val="00026F9C"/>
    <w:rsid w:val="0002747D"/>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648"/>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15C"/>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C65"/>
    <w:rsid w:val="00111D7F"/>
    <w:rsid w:val="00112892"/>
    <w:rsid w:val="00112B9F"/>
    <w:rsid w:val="00113C54"/>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5800"/>
    <w:rsid w:val="00135D98"/>
    <w:rsid w:val="00136083"/>
    <w:rsid w:val="001362C2"/>
    <w:rsid w:val="0013781E"/>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DA6"/>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2E55"/>
    <w:rsid w:val="00183275"/>
    <w:rsid w:val="00184443"/>
    <w:rsid w:val="00184BC3"/>
    <w:rsid w:val="00184FBA"/>
    <w:rsid w:val="001852E0"/>
    <w:rsid w:val="0018689B"/>
    <w:rsid w:val="00186B63"/>
    <w:rsid w:val="00186C88"/>
    <w:rsid w:val="001871B2"/>
    <w:rsid w:val="00190A74"/>
    <w:rsid w:val="00190BB9"/>
    <w:rsid w:val="001911CC"/>
    <w:rsid w:val="00191ACE"/>
    <w:rsid w:val="00191DDF"/>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2379"/>
    <w:rsid w:val="001B3256"/>
    <w:rsid w:val="001B3C02"/>
    <w:rsid w:val="001B5099"/>
    <w:rsid w:val="001B6BDC"/>
    <w:rsid w:val="001B6E23"/>
    <w:rsid w:val="001B6EF0"/>
    <w:rsid w:val="001B7B33"/>
    <w:rsid w:val="001C085B"/>
    <w:rsid w:val="001C0C3F"/>
    <w:rsid w:val="001C1B7A"/>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1217"/>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97ABF"/>
    <w:rsid w:val="00297C62"/>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ABA"/>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F98"/>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30ED"/>
    <w:rsid w:val="003A0689"/>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548E"/>
    <w:rsid w:val="003D61B0"/>
    <w:rsid w:val="003E0A67"/>
    <w:rsid w:val="003E0BFB"/>
    <w:rsid w:val="003E132A"/>
    <w:rsid w:val="003E1576"/>
    <w:rsid w:val="003E5DB7"/>
    <w:rsid w:val="003E5F18"/>
    <w:rsid w:val="003E6A2E"/>
    <w:rsid w:val="003E6D0E"/>
    <w:rsid w:val="003F09F0"/>
    <w:rsid w:val="003F0CD4"/>
    <w:rsid w:val="003F13CB"/>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6F5F"/>
    <w:rsid w:val="0047775E"/>
    <w:rsid w:val="00481ABD"/>
    <w:rsid w:val="00482683"/>
    <w:rsid w:val="00482731"/>
    <w:rsid w:val="0048286C"/>
    <w:rsid w:val="00483A0F"/>
    <w:rsid w:val="00484625"/>
    <w:rsid w:val="00484B7E"/>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4E3A"/>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7098B"/>
    <w:rsid w:val="00571391"/>
    <w:rsid w:val="005726F4"/>
    <w:rsid w:val="00572DA9"/>
    <w:rsid w:val="00573949"/>
    <w:rsid w:val="00573ECF"/>
    <w:rsid w:val="00574A4F"/>
    <w:rsid w:val="00576A50"/>
    <w:rsid w:val="00576CBC"/>
    <w:rsid w:val="005771B8"/>
    <w:rsid w:val="00577287"/>
    <w:rsid w:val="00577553"/>
    <w:rsid w:val="005777E0"/>
    <w:rsid w:val="00581562"/>
    <w:rsid w:val="0058269D"/>
    <w:rsid w:val="00583795"/>
    <w:rsid w:val="00583AE7"/>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0AF9"/>
    <w:rsid w:val="005A119B"/>
    <w:rsid w:val="005A1564"/>
    <w:rsid w:val="005A2252"/>
    <w:rsid w:val="005A232E"/>
    <w:rsid w:val="005A2689"/>
    <w:rsid w:val="005A3328"/>
    <w:rsid w:val="005A52D3"/>
    <w:rsid w:val="005A6845"/>
    <w:rsid w:val="005A7138"/>
    <w:rsid w:val="005A7C3F"/>
    <w:rsid w:val="005B00B6"/>
    <w:rsid w:val="005B087C"/>
    <w:rsid w:val="005B089A"/>
    <w:rsid w:val="005B112F"/>
    <w:rsid w:val="005B1FED"/>
    <w:rsid w:val="005B2F33"/>
    <w:rsid w:val="005B334D"/>
    <w:rsid w:val="005B3671"/>
    <w:rsid w:val="005B3B62"/>
    <w:rsid w:val="005B3D93"/>
    <w:rsid w:val="005B52FE"/>
    <w:rsid w:val="005B6938"/>
    <w:rsid w:val="005B6F32"/>
    <w:rsid w:val="005B7350"/>
    <w:rsid w:val="005C0E6F"/>
    <w:rsid w:val="005C1AA4"/>
    <w:rsid w:val="005C222C"/>
    <w:rsid w:val="005C299A"/>
    <w:rsid w:val="005C3943"/>
    <w:rsid w:val="005C3D2C"/>
    <w:rsid w:val="005C404B"/>
    <w:rsid w:val="005C4DFA"/>
    <w:rsid w:val="005C50CB"/>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1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073"/>
    <w:rsid w:val="00622C25"/>
    <w:rsid w:val="00623DDC"/>
    <w:rsid w:val="00623EA3"/>
    <w:rsid w:val="00624BDB"/>
    <w:rsid w:val="00625AFD"/>
    <w:rsid w:val="00625E1B"/>
    <w:rsid w:val="006274A1"/>
    <w:rsid w:val="00627B5D"/>
    <w:rsid w:val="00627B60"/>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28EE"/>
    <w:rsid w:val="006A3AA6"/>
    <w:rsid w:val="006A3BCF"/>
    <w:rsid w:val="006A42D4"/>
    <w:rsid w:val="006A48CE"/>
    <w:rsid w:val="006A4E98"/>
    <w:rsid w:val="006A737B"/>
    <w:rsid w:val="006A77F3"/>
    <w:rsid w:val="006A7829"/>
    <w:rsid w:val="006A7D53"/>
    <w:rsid w:val="006B0405"/>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C"/>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DD6"/>
    <w:rsid w:val="00711E97"/>
    <w:rsid w:val="00712516"/>
    <w:rsid w:val="00713A6B"/>
    <w:rsid w:val="0071427E"/>
    <w:rsid w:val="0071646D"/>
    <w:rsid w:val="00716CE1"/>
    <w:rsid w:val="0072562F"/>
    <w:rsid w:val="00725913"/>
    <w:rsid w:val="0072655F"/>
    <w:rsid w:val="00726DD1"/>
    <w:rsid w:val="00726FA5"/>
    <w:rsid w:val="00727F24"/>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3D5"/>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2E51"/>
    <w:rsid w:val="00764B6A"/>
    <w:rsid w:val="00766B6B"/>
    <w:rsid w:val="00766D4A"/>
    <w:rsid w:val="00766D7A"/>
    <w:rsid w:val="00767857"/>
    <w:rsid w:val="00767912"/>
    <w:rsid w:val="00770E29"/>
    <w:rsid w:val="0077107A"/>
    <w:rsid w:val="007710A6"/>
    <w:rsid w:val="007714A8"/>
    <w:rsid w:val="00771B98"/>
    <w:rsid w:val="00771BF2"/>
    <w:rsid w:val="00771F5E"/>
    <w:rsid w:val="0077203A"/>
    <w:rsid w:val="0077266E"/>
    <w:rsid w:val="00773601"/>
    <w:rsid w:val="007738D8"/>
    <w:rsid w:val="007738EC"/>
    <w:rsid w:val="00773EA1"/>
    <w:rsid w:val="007753ED"/>
    <w:rsid w:val="00775CB2"/>
    <w:rsid w:val="0077600B"/>
    <w:rsid w:val="0077689F"/>
    <w:rsid w:val="0078030F"/>
    <w:rsid w:val="00780906"/>
    <w:rsid w:val="00780D17"/>
    <w:rsid w:val="00782370"/>
    <w:rsid w:val="00782DD9"/>
    <w:rsid w:val="007830E3"/>
    <w:rsid w:val="00787DB5"/>
    <w:rsid w:val="007925FB"/>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0AA4"/>
    <w:rsid w:val="007B15EA"/>
    <w:rsid w:val="007B33CC"/>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739"/>
    <w:rsid w:val="0080791A"/>
    <w:rsid w:val="008100C2"/>
    <w:rsid w:val="00810A48"/>
    <w:rsid w:val="00811637"/>
    <w:rsid w:val="00813533"/>
    <w:rsid w:val="00814930"/>
    <w:rsid w:val="008150C8"/>
    <w:rsid w:val="00815752"/>
    <w:rsid w:val="00816985"/>
    <w:rsid w:val="00816C3B"/>
    <w:rsid w:val="00817AAB"/>
    <w:rsid w:val="008207CA"/>
    <w:rsid w:val="008223A5"/>
    <w:rsid w:val="008228A2"/>
    <w:rsid w:val="008235DE"/>
    <w:rsid w:val="008246C9"/>
    <w:rsid w:val="008254D3"/>
    <w:rsid w:val="00825CA4"/>
    <w:rsid w:val="00826018"/>
    <w:rsid w:val="008266BC"/>
    <w:rsid w:val="008308C3"/>
    <w:rsid w:val="0083296F"/>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1B32"/>
    <w:rsid w:val="00861DD8"/>
    <w:rsid w:val="008665F8"/>
    <w:rsid w:val="00867111"/>
    <w:rsid w:val="00867C9A"/>
    <w:rsid w:val="00867F1E"/>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965"/>
    <w:rsid w:val="0089164B"/>
    <w:rsid w:val="00891989"/>
    <w:rsid w:val="00891BF9"/>
    <w:rsid w:val="0089236D"/>
    <w:rsid w:val="00892AFC"/>
    <w:rsid w:val="00892B4E"/>
    <w:rsid w:val="00892BC4"/>
    <w:rsid w:val="008936CC"/>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A59"/>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6D2"/>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779"/>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3342"/>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3D"/>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5D42"/>
    <w:rsid w:val="00A55E21"/>
    <w:rsid w:val="00A56EC5"/>
    <w:rsid w:val="00A57AFC"/>
    <w:rsid w:val="00A6004F"/>
    <w:rsid w:val="00A6220A"/>
    <w:rsid w:val="00A64A07"/>
    <w:rsid w:val="00A650DC"/>
    <w:rsid w:val="00A654F7"/>
    <w:rsid w:val="00A67754"/>
    <w:rsid w:val="00A67ED9"/>
    <w:rsid w:val="00A717E4"/>
    <w:rsid w:val="00A744CF"/>
    <w:rsid w:val="00A74B28"/>
    <w:rsid w:val="00A757D4"/>
    <w:rsid w:val="00A7641B"/>
    <w:rsid w:val="00A767EF"/>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BD5"/>
    <w:rsid w:val="00AB3F5E"/>
    <w:rsid w:val="00AB4396"/>
    <w:rsid w:val="00AB6036"/>
    <w:rsid w:val="00AB61CC"/>
    <w:rsid w:val="00AB66F0"/>
    <w:rsid w:val="00AB7491"/>
    <w:rsid w:val="00AC161D"/>
    <w:rsid w:val="00AC17F2"/>
    <w:rsid w:val="00AC20D8"/>
    <w:rsid w:val="00AC2374"/>
    <w:rsid w:val="00AC2D4B"/>
    <w:rsid w:val="00AC3EA4"/>
    <w:rsid w:val="00AC3EC5"/>
    <w:rsid w:val="00AC3F44"/>
    <w:rsid w:val="00AC46E5"/>
    <w:rsid w:val="00AC5B93"/>
    <w:rsid w:val="00AC6E31"/>
    <w:rsid w:val="00AC74AC"/>
    <w:rsid w:val="00AC7ABC"/>
    <w:rsid w:val="00AD0232"/>
    <w:rsid w:val="00AD1880"/>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927"/>
    <w:rsid w:val="00AF16F8"/>
    <w:rsid w:val="00AF197C"/>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802"/>
    <w:rsid w:val="00B11C77"/>
    <w:rsid w:val="00B11E6A"/>
    <w:rsid w:val="00B125CC"/>
    <w:rsid w:val="00B13EF8"/>
    <w:rsid w:val="00B13F95"/>
    <w:rsid w:val="00B14E6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7862"/>
    <w:rsid w:val="00B5061D"/>
    <w:rsid w:val="00B5114C"/>
    <w:rsid w:val="00B518F7"/>
    <w:rsid w:val="00B51A2C"/>
    <w:rsid w:val="00B52026"/>
    <w:rsid w:val="00B5328A"/>
    <w:rsid w:val="00B537D4"/>
    <w:rsid w:val="00B5510F"/>
    <w:rsid w:val="00B57587"/>
    <w:rsid w:val="00B61DD1"/>
    <w:rsid w:val="00B623CE"/>
    <w:rsid w:val="00B626C6"/>
    <w:rsid w:val="00B62CE7"/>
    <w:rsid w:val="00B63124"/>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D36"/>
    <w:rsid w:val="00B86A4A"/>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6825"/>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E42"/>
    <w:rsid w:val="00C22635"/>
    <w:rsid w:val="00C22842"/>
    <w:rsid w:val="00C23048"/>
    <w:rsid w:val="00C23621"/>
    <w:rsid w:val="00C23792"/>
    <w:rsid w:val="00C24F5E"/>
    <w:rsid w:val="00C25443"/>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58B"/>
    <w:rsid w:val="00C56625"/>
    <w:rsid w:val="00C56912"/>
    <w:rsid w:val="00C56A45"/>
    <w:rsid w:val="00C57553"/>
    <w:rsid w:val="00C57670"/>
    <w:rsid w:val="00C57C1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775A"/>
    <w:rsid w:val="00C97E22"/>
    <w:rsid w:val="00CA07FF"/>
    <w:rsid w:val="00CA0F7D"/>
    <w:rsid w:val="00CA30DF"/>
    <w:rsid w:val="00CA456C"/>
    <w:rsid w:val="00CA460D"/>
    <w:rsid w:val="00CA6269"/>
    <w:rsid w:val="00CA666E"/>
    <w:rsid w:val="00CA66DF"/>
    <w:rsid w:val="00CA7476"/>
    <w:rsid w:val="00CA7C1E"/>
    <w:rsid w:val="00CA7FE3"/>
    <w:rsid w:val="00CB0565"/>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5868"/>
    <w:rsid w:val="00DA63C9"/>
    <w:rsid w:val="00DA6B83"/>
    <w:rsid w:val="00DA6E68"/>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0A"/>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176F9"/>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0FAF"/>
    <w:rsid w:val="00E523BC"/>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560"/>
    <w:rsid w:val="00E94E45"/>
    <w:rsid w:val="00E954B7"/>
    <w:rsid w:val="00E95D22"/>
    <w:rsid w:val="00E96435"/>
    <w:rsid w:val="00EA0165"/>
    <w:rsid w:val="00EA392E"/>
    <w:rsid w:val="00EA4173"/>
    <w:rsid w:val="00EA4CD3"/>
    <w:rsid w:val="00EA56D6"/>
    <w:rsid w:val="00EA5B36"/>
    <w:rsid w:val="00EA5FD5"/>
    <w:rsid w:val="00EA6925"/>
    <w:rsid w:val="00EA6D71"/>
    <w:rsid w:val="00EA713A"/>
    <w:rsid w:val="00EB08EE"/>
    <w:rsid w:val="00EB0CEE"/>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E72FB"/>
    <w:rsid w:val="00EF00D9"/>
    <w:rsid w:val="00EF079E"/>
    <w:rsid w:val="00EF07E6"/>
    <w:rsid w:val="00EF0E89"/>
    <w:rsid w:val="00EF35FA"/>
    <w:rsid w:val="00EF3FA7"/>
    <w:rsid w:val="00EF4435"/>
    <w:rsid w:val="00EF507D"/>
    <w:rsid w:val="00EF5E29"/>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1C27"/>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241"/>
    <w:rsid w:val="00F47385"/>
    <w:rsid w:val="00F47EF8"/>
    <w:rsid w:val="00F5164C"/>
    <w:rsid w:val="00F533A1"/>
    <w:rsid w:val="00F552FA"/>
    <w:rsid w:val="00F567A8"/>
    <w:rsid w:val="00F572C0"/>
    <w:rsid w:val="00F574F8"/>
    <w:rsid w:val="00F576E4"/>
    <w:rsid w:val="00F600F2"/>
    <w:rsid w:val="00F6065B"/>
    <w:rsid w:val="00F62E09"/>
    <w:rsid w:val="00F635F7"/>
    <w:rsid w:val="00F63C1F"/>
    <w:rsid w:val="00F6662F"/>
    <w:rsid w:val="00F675BD"/>
    <w:rsid w:val="00F70118"/>
    <w:rsid w:val="00F702B4"/>
    <w:rsid w:val="00F706F1"/>
    <w:rsid w:val="00F70E4A"/>
    <w:rsid w:val="00F71F04"/>
    <w:rsid w:val="00F743AF"/>
    <w:rsid w:val="00F75810"/>
    <w:rsid w:val="00F76A55"/>
    <w:rsid w:val="00F80496"/>
    <w:rsid w:val="00F80729"/>
    <w:rsid w:val="00F80996"/>
    <w:rsid w:val="00F81DCD"/>
    <w:rsid w:val="00F82380"/>
    <w:rsid w:val="00F84B1E"/>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21B4"/>
    <w:rsid w:val="00FC2A80"/>
    <w:rsid w:val="00FC3122"/>
    <w:rsid w:val="00FC3695"/>
    <w:rsid w:val="00FC3A1C"/>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FB1"/>
    <w:rsid w:val="00FF2436"/>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TDC">
    <w:name w:val="TOC Heading"/>
    <w:basedOn w:val="Ttulo1"/>
    <w:next w:val="Normal"/>
    <w:uiPriority w:val="39"/>
    <w:semiHidden/>
    <w:unhideWhenUsed/>
    <w:qFormat/>
    <w:rsid w:val="007F7B1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5629949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88556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teca.edomex.gob.mx/marco_juridico" TargetMode="External"/><Relationship Id="rId4" Type="http://schemas.openxmlformats.org/officeDocument/2006/relationships/settings" Target="settings.xml"/><Relationship Id="rId9" Type="http://schemas.openxmlformats.org/officeDocument/2006/relationships/hyperlink" Target="https://www.saimex.org.mx/saimex/solicitud/downloadAttach/1343078.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6E724-9F22-438A-A787-6A01FD411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4037</Words>
  <Characters>23015</Characters>
  <Application>Microsoft Office Word</Application>
  <DocSecurity>0</DocSecurity>
  <Lines>191</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2021-10-06T19:46:00Z</cp:lastPrinted>
  <dcterms:created xsi:type="dcterms:W3CDTF">2022-04-06T06:30:00Z</dcterms:created>
  <dcterms:modified xsi:type="dcterms:W3CDTF">2022-04-06T06:30:00Z</dcterms:modified>
</cp:coreProperties>
</file>