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46A8F" w14:textId="77777777" w:rsidR="00D45159" w:rsidRDefault="00D45159">
      <w:pPr>
        <w:widowControl w:val="0"/>
        <w:pBdr>
          <w:top w:val="nil"/>
          <w:left w:val="nil"/>
          <w:bottom w:val="nil"/>
          <w:right w:val="nil"/>
          <w:between w:val="nil"/>
        </w:pBdr>
        <w:spacing w:line="276" w:lineRule="auto"/>
      </w:pPr>
    </w:p>
    <w:p w14:paraId="69F8CD15" w14:textId="77777777" w:rsidR="00D45159" w:rsidRDefault="004C2F5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cuatro de mayo de dos mil veintidós. </w:t>
      </w:r>
    </w:p>
    <w:p w14:paraId="08E0965E" w14:textId="77777777" w:rsidR="00D45159" w:rsidRDefault="00D45159">
      <w:pPr>
        <w:spacing w:line="360" w:lineRule="auto"/>
        <w:jc w:val="both"/>
        <w:rPr>
          <w:rFonts w:ascii="Palatino Linotype" w:eastAsia="Palatino Linotype" w:hAnsi="Palatino Linotype" w:cs="Palatino Linotype"/>
        </w:rPr>
      </w:pPr>
    </w:p>
    <w:p w14:paraId="2AF551AB" w14:textId="14521511" w:rsidR="00D45159" w:rsidRDefault="004C2F5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 xml:space="preserve">01047/INFOEM/IP/RR/2022, </w:t>
      </w:r>
      <w:r>
        <w:rPr>
          <w:rFonts w:ascii="Palatino Linotype" w:eastAsia="Palatino Linotype" w:hAnsi="Palatino Linotype" w:cs="Palatino Linotype"/>
        </w:rPr>
        <w:t>promovido por el C.</w:t>
      </w:r>
      <w:r>
        <w:t xml:space="preserve"> </w:t>
      </w:r>
      <w:bookmarkStart w:id="0" w:name="_GoBack"/>
      <w:r w:rsidR="00192793">
        <w:rPr>
          <w:rFonts w:ascii="Palatino Linotype" w:eastAsia="Palatino Linotype" w:hAnsi="Palatino Linotype" w:cs="Palatino Linotype"/>
          <w:b/>
        </w:rPr>
        <w:t xml:space="preserve">XXXXX XXXXXXX </w:t>
      </w:r>
      <w:proofErr w:type="spellStart"/>
      <w:r w:rsidR="00192793">
        <w:rPr>
          <w:rFonts w:ascii="Palatino Linotype" w:eastAsia="Palatino Linotype" w:hAnsi="Palatino Linotype" w:cs="Palatino Linotype"/>
          <w:b/>
        </w:rPr>
        <w:t>XXXXXXX</w:t>
      </w:r>
      <w:bookmarkEnd w:id="0"/>
      <w:proofErr w:type="spellEnd"/>
      <w:r>
        <w:rPr>
          <w:rFonts w:ascii="Palatino Linotype" w:eastAsia="Palatino Linotype" w:hAnsi="Palatino Linotype" w:cs="Palatino Linotype"/>
        </w:rPr>
        <w:t xml:space="preserve">, a 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Toluca, </w:t>
      </w:r>
      <w:r>
        <w:rPr>
          <w:rFonts w:ascii="Palatino Linotype" w:eastAsia="Palatino Linotype" w:hAnsi="Palatino Linotype" w:cs="Palatino Linotype"/>
        </w:rPr>
        <w:t xml:space="preserve">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204AC578" w14:textId="77777777" w:rsidR="00D45159" w:rsidRDefault="00D45159">
      <w:pPr>
        <w:spacing w:line="360" w:lineRule="auto"/>
        <w:jc w:val="both"/>
        <w:rPr>
          <w:rFonts w:ascii="Palatino Linotype" w:eastAsia="Palatino Linotype" w:hAnsi="Palatino Linotype" w:cs="Palatino Linotype"/>
          <w:b/>
        </w:rPr>
      </w:pPr>
    </w:p>
    <w:p w14:paraId="6F8656D8" w14:textId="77777777" w:rsidR="00D45159" w:rsidRDefault="008622EE">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14:paraId="0FBE9CE6" w14:textId="77777777" w:rsidR="00D45159" w:rsidRDefault="00D45159">
      <w:pPr>
        <w:rPr>
          <w:rFonts w:ascii="Palatino Linotype" w:eastAsia="Palatino Linotype" w:hAnsi="Palatino Linotype" w:cs="Palatino Linotype"/>
          <w:b/>
        </w:rPr>
      </w:pPr>
    </w:p>
    <w:p w14:paraId="1E95E3EC" w14:textId="77777777" w:rsidR="00D45159" w:rsidRDefault="004C2F5C">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14:paraId="77558955" w14:textId="77777777" w:rsidR="00D45159" w:rsidRDefault="004C2F5C">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Pr>
          <w:rFonts w:ascii="Palatino Linotype" w:eastAsia="Palatino Linotype" w:hAnsi="Palatino Linotype" w:cs="Palatino Linotype"/>
        </w:rPr>
        <w:t xml:space="preserve"> En fecha veintisiete de enero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de expediente </w:t>
      </w:r>
      <w:r>
        <w:rPr>
          <w:rFonts w:ascii="Palatino Linotype" w:eastAsia="Palatino Linotype" w:hAnsi="Palatino Linotype" w:cs="Palatino Linotype"/>
          <w:b/>
        </w:rPr>
        <w:t xml:space="preserve">00388/TOLUCA/IP/2022, </w:t>
      </w:r>
      <w:r>
        <w:rPr>
          <w:rFonts w:ascii="Palatino Linotype" w:eastAsia="Palatino Linotype" w:hAnsi="Palatino Linotype" w:cs="Palatino Linotype"/>
        </w:rPr>
        <w:t>donde el particular solicitó lo siguiente:</w:t>
      </w:r>
    </w:p>
    <w:p w14:paraId="27826F5A" w14:textId="77777777" w:rsidR="00D45159" w:rsidRDefault="004C2F5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qué va consistir la colaboración con la </w:t>
      </w:r>
      <w:proofErr w:type="spellStart"/>
      <w:r>
        <w:rPr>
          <w:rFonts w:ascii="Palatino Linotype" w:eastAsia="Palatino Linotype" w:hAnsi="Palatino Linotype" w:cs="Palatino Linotype"/>
          <w:i/>
          <w:sz w:val="22"/>
          <w:szCs w:val="22"/>
        </w:rPr>
        <w:t>Uaem</w:t>
      </w:r>
      <w:proofErr w:type="spellEnd"/>
      <w:proofErr w:type="gramStart"/>
      <w:r>
        <w:rPr>
          <w:rFonts w:ascii="Palatino Linotype" w:eastAsia="Palatino Linotype" w:hAnsi="Palatino Linotype" w:cs="Palatino Linotype"/>
          <w:i/>
          <w:sz w:val="22"/>
          <w:szCs w:val="22"/>
        </w:rPr>
        <w:t>? ,</w:t>
      </w:r>
      <w:proofErr w:type="gramEnd"/>
      <w:r>
        <w:rPr>
          <w:rFonts w:ascii="Palatino Linotype" w:eastAsia="Palatino Linotype" w:hAnsi="Palatino Linotype" w:cs="Palatino Linotype"/>
          <w:i/>
          <w:sz w:val="22"/>
          <w:szCs w:val="22"/>
        </w:rPr>
        <w:t xml:space="preserve"> ya que el Presidente municipal subió en sus Redes lo siguiente; “Sostuve una productiva reunión con el Rector de la </w:t>
      </w:r>
      <w:proofErr w:type="spellStart"/>
      <w:r>
        <w:rPr>
          <w:rFonts w:ascii="Palatino Linotype" w:eastAsia="Palatino Linotype" w:hAnsi="Palatino Linotype" w:cs="Palatino Linotype"/>
          <w:i/>
          <w:sz w:val="22"/>
          <w:szCs w:val="22"/>
        </w:rPr>
        <w:t>UAEMéx</w:t>
      </w:r>
      <w:proofErr w:type="spellEnd"/>
      <w:r>
        <w:rPr>
          <w:rFonts w:ascii="Palatino Linotype" w:eastAsia="Palatino Linotype" w:hAnsi="Palatino Linotype" w:cs="Palatino Linotype"/>
          <w:i/>
          <w:sz w:val="22"/>
          <w:szCs w:val="22"/>
        </w:rPr>
        <w:t xml:space="preserve">, Carlos Eduardo Barrera Díaz, reafirmamos nuestra disposición para </w:t>
      </w:r>
      <w:r>
        <w:rPr>
          <w:rFonts w:ascii="Palatino Linotype" w:eastAsia="Palatino Linotype" w:hAnsi="Palatino Linotype" w:cs="Palatino Linotype"/>
          <w:i/>
          <w:sz w:val="22"/>
          <w:szCs w:val="22"/>
        </w:rPr>
        <w:lastRenderedPageBreak/>
        <w:t>trabajar juntos y encontrar esquemas de colaboración. A cuanto debe la UAEM por concepto de predial de todos sus edificios administrativos. Cuanto se recaudó de predial del mes de enero del año 2022. (sic)</w:t>
      </w:r>
    </w:p>
    <w:p w14:paraId="51F691B5" w14:textId="77777777" w:rsidR="00D45159" w:rsidRDefault="00D45159">
      <w:pPr>
        <w:tabs>
          <w:tab w:val="left" w:pos="851"/>
        </w:tabs>
        <w:ind w:right="901"/>
        <w:jc w:val="both"/>
        <w:rPr>
          <w:rFonts w:ascii="Palatino Linotype" w:eastAsia="Palatino Linotype" w:hAnsi="Palatino Linotype" w:cs="Palatino Linotype"/>
          <w:sz w:val="22"/>
          <w:szCs w:val="22"/>
        </w:rPr>
      </w:pPr>
    </w:p>
    <w:p w14:paraId="7B40A790" w14:textId="77777777" w:rsidR="00D45159" w:rsidRDefault="004C2F5C">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14:paraId="7A694535" w14:textId="77777777" w:rsidR="00D45159" w:rsidRDefault="00D45159">
      <w:pPr>
        <w:widowControl w:val="0"/>
        <w:spacing w:line="360" w:lineRule="auto"/>
        <w:jc w:val="both"/>
        <w:rPr>
          <w:rFonts w:ascii="Palatino Linotype" w:eastAsia="Palatino Linotype" w:hAnsi="Palatino Linotype" w:cs="Palatino Linotype"/>
          <w:b/>
        </w:rPr>
      </w:pPr>
    </w:p>
    <w:p w14:paraId="3390F2DF" w14:textId="77777777" w:rsidR="00D45159" w:rsidRDefault="004C2F5C">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 Turno de requerimiento del Sujeto Obligado</w:t>
      </w:r>
    </w:p>
    <w:p w14:paraId="5AC22F26" w14:textId="77777777" w:rsidR="00D45159" w:rsidRDefault="004C2F5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 SAIMEX en fecha veintiocho de enero de dos mil veintidós la Titular de la Unidad de Transparencia turnó el contenido de la solicitud de información pública a los  servidores públicos habilitados que consideró competentes en términos de lo establecido por el artículo 162 de la Ley de Transparencia y Acceso a la Información Pública del Estado de México y Municipios.</w:t>
      </w:r>
    </w:p>
    <w:p w14:paraId="6697B259" w14:textId="77777777" w:rsidR="00D45159" w:rsidRDefault="00D45159">
      <w:pPr>
        <w:widowControl w:val="0"/>
        <w:spacing w:line="360" w:lineRule="auto"/>
        <w:jc w:val="both"/>
        <w:rPr>
          <w:rFonts w:ascii="Palatino Linotype" w:eastAsia="Palatino Linotype" w:hAnsi="Palatino Linotype" w:cs="Palatino Linotype"/>
          <w:b/>
          <w:sz w:val="28"/>
          <w:szCs w:val="28"/>
        </w:rPr>
      </w:pPr>
    </w:p>
    <w:p w14:paraId="64A1EF99" w14:textId="77777777" w:rsidR="00D45159" w:rsidRDefault="004C2F5C">
      <w:pPr>
        <w:widowControl w:val="0"/>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Respuesta del Sujeto Obligado</w:t>
      </w:r>
    </w:p>
    <w:p w14:paraId="3371B6AC" w14:textId="77777777" w:rsidR="00D45159" w:rsidRDefault="004C2F5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dieciocho de febrero de dos mil veintidós, el servidor público habilitado dio respuesta la cual fue notificada al particular en la misma fecha  y versa sobre lo siguiente: </w:t>
      </w:r>
    </w:p>
    <w:p w14:paraId="2C79A227" w14:textId="77777777" w:rsidR="00D45159" w:rsidRDefault="004C2F5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“Toluca, México a 18 de Febrero de 2022</w:t>
      </w:r>
    </w:p>
    <w:p w14:paraId="514E7873" w14:textId="77777777" w:rsidR="00D45159" w:rsidRDefault="004C2F5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Folio de la solicitud: 00388/TOLUCA/IP/2022</w:t>
      </w:r>
    </w:p>
    <w:p w14:paraId="4A6FBC27" w14:textId="77777777" w:rsidR="00D45159" w:rsidRDefault="004C2F5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91FEFB" w14:textId="77777777" w:rsidR="00D45159" w:rsidRDefault="004C2F5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atención a la solicitud de información número 00388/TOLUCA/IP/2022, me permito adjuntar al presente la respuesta correspondiente. Sin más por el momento, le envío un cordial saludo.</w:t>
      </w:r>
    </w:p>
    <w:p w14:paraId="6AEFC2B7" w14:textId="77777777" w:rsidR="00D45159" w:rsidRDefault="004C2F5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14:paraId="0B0DD707" w14:textId="77777777" w:rsidR="00D45159" w:rsidRDefault="004C2F5C">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Lic. Norma Sofía Pérez Martínez”(Sic)</w:t>
      </w:r>
    </w:p>
    <w:p w14:paraId="2CFED46D" w14:textId="77777777" w:rsidR="00D45159" w:rsidRDefault="004C2F5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dicha respuesta adjuntó el archivo de nominado </w:t>
      </w:r>
      <w:r>
        <w:rPr>
          <w:rFonts w:ascii="Palatino Linotype" w:eastAsia="Palatino Linotype" w:hAnsi="Palatino Linotype" w:cs="Palatino Linotype"/>
          <w:i/>
        </w:rPr>
        <w:t xml:space="preserve">“Saimex 00388.pdf” </w:t>
      </w:r>
      <w:r>
        <w:rPr>
          <w:rFonts w:ascii="Palatino Linotype" w:eastAsia="Palatino Linotype" w:hAnsi="Palatino Linotype" w:cs="Palatino Linotype"/>
        </w:rPr>
        <w:t xml:space="preserve">del cual se puede apreciar el oficio número 00388/TOLUCA/IP/2022 de fecha dieciocho de enero de dos mil veintidós firmado por la Titular de la Unidad de Transparencia, mediante el cual manifiesta que el Tesorero Municipal informó que el adeudo de todos los edificios que corresponden a la UAEM asciende a $104,606,895.43 al treinta y uno de enero del dos mil veintidós, debido a que la actualización de los créditos se actualiza de forma mensual. También señala que la cantidad recaudada por concepto de impuesto predial es de $226,431,432.00 del mes de enero del año en curso. </w:t>
      </w:r>
    </w:p>
    <w:p w14:paraId="47282BDE" w14:textId="77777777" w:rsidR="00D45159" w:rsidRDefault="00D45159">
      <w:pPr>
        <w:widowControl w:val="0"/>
        <w:spacing w:line="360" w:lineRule="auto"/>
        <w:jc w:val="both"/>
        <w:rPr>
          <w:rFonts w:ascii="Palatino Linotype" w:eastAsia="Palatino Linotype" w:hAnsi="Palatino Linotype" w:cs="Palatino Linotype"/>
        </w:rPr>
      </w:pPr>
    </w:p>
    <w:p w14:paraId="6B27CE6B" w14:textId="77777777" w:rsidR="00D45159" w:rsidRDefault="004C2F5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lo que se refiere al convenio de colaboración entre la Universidad Autónoma del Estado de México y el ente recurrido, la Titular señaló que la Secretaria Particular de Presidencia no localizó la información en sus archivos. </w:t>
      </w:r>
    </w:p>
    <w:p w14:paraId="7126D8DA" w14:textId="77777777" w:rsidR="00D45159" w:rsidRDefault="00D45159">
      <w:pPr>
        <w:widowControl w:val="0"/>
        <w:spacing w:line="360" w:lineRule="auto"/>
        <w:jc w:val="both"/>
        <w:rPr>
          <w:rFonts w:ascii="Palatino Linotype" w:eastAsia="Palatino Linotype" w:hAnsi="Palatino Linotype" w:cs="Palatino Linotype"/>
        </w:rPr>
      </w:pPr>
    </w:p>
    <w:p w14:paraId="7A5A184E" w14:textId="77777777" w:rsidR="00D45159" w:rsidRDefault="004C2F5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Mediante su respuesta señala además que la solicitud de acceso a la información realizada por el particular no corresponde al ejercicio del derecho de acceso a la información sino que se tratan de manifestaciones subjetivas que no se satisfacen con la entrega de un soporte documental. </w:t>
      </w:r>
    </w:p>
    <w:p w14:paraId="6D6364F0" w14:textId="77777777" w:rsidR="00D45159" w:rsidRDefault="00D45159">
      <w:pPr>
        <w:widowControl w:val="0"/>
        <w:spacing w:line="360" w:lineRule="auto"/>
        <w:jc w:val="both"/>
        <w:rPr>
          <w:rFonts w:ascii="Palatino Linotype" w:eastAsia="Palatino Linotype" w:hAnsi="Palatino Linotype" w:cs="Palatino Linotype"/>
        </w:rPr>
      </w:pPr>
    </w:p>
    <w:p w14:paraId="19244E17" w14:textId="77777777" w:rsidR="00D45159" w:rsidRDefault="004C2F5C">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IV. Del Recurso de Revisión</w:t>
      </w:r>
      <w:r>
        <w:rPr>
          <w:rFonts w:ascii="Palatino Linotype" w:eastAsia="Palatino Linotype" w:hAnsi="Palatino Linotype" w:cs="Palatino Linotype"/>
          <w:b/>
        </w:rPr>
        <w:t>.</w:t>
      </w:r>
    </w:p>
    <w:p w14:paraId="20D4886C" w14:textId="77777777" w:rsidR="00D45159" w:rsidRDefault="004C2F5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por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el veintiuno de febrero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El cual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w:t>
      </w:r>
      <w:r>
        <w:rPr>
          <w:rFonts w:ascii="Palatino Linotype" w:eastAsia="Palatino Linotype" w:hAnsi="Palatino Linotype" w:cs="Palatino Linotype"/>
          <w:b/>
        </w:rPr>
        <w:t xml:space="preserve">01047/INFOEM/IP/RR/2022, </w:t>
      </w:r>
      <w:r>
        <w:rPr>
          <w:rFonts w:ascii="Palatino Linotype" w:eastAsia="Palatino Linotype" w:hAnsi="Palatino Linotype" w:cs="Palatino Linotype"/>
        </w:rPr>
        <w:t xml:space="preserve">donde los motivos de agravio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fueron </w:t>
      </w:r>
      <w:r>
        <w:rPr>
          <w:rFonts w:ascii="Palatino Linotype" w:eastAsia="Palatino Linotype" w:hAnsi="Palatino Linotype" w:cs="Palatino Linotype"/>
        </w:rPr>
        <w:lastRenderedPageBreak/>
        <w:t>los siguientes:</w:t>
      </w:r>
    </w:p>
    <w:p w14:paraId="14825654" w14:textId="77777777" w:rsidR="00D45159" w:rsidRDefault="004C2F5C">
      <w:pPr>
        <w:spacing w:line="360" w:lineRule="auto"/>
        <w:ind w:left="-57" w:right="-57"/>
        <w:jc w:val="both"/>
        <w:rPr>
          <w:rFonts w:ascii="Palatino Linotype" w:eastAsia="Palatino Linotype" w:hAnsi="Palatino Linotype" w:cs="Palatino Linotype"/>
        </w:rPr>
      </w:pPr>
      <w:r>
        <w:rPr>
          <w:rFonts w:ascii="Palatino Linotype" w:eastAsia="Palatino Linotype" w:hAnsi="Palatino Linotype" w:cs="Palatino Linotype"/>
        </w:rPr>
        <w:t>Acto Impugnado:</w:t>
      </w:r>
      <w:r>
        <w:t xml:space="preserve"> </w:t>
      </w:r>
    </w:p>
    <w:p w14:paraId="673685BE" w14:textId="77777777" w:rsidR="00D45159" w:rsidRDefault="004C2F5C">
      <w:pPr>
        <w:tabs>
          <w:tab w:val="left" w:pos="709"/>
        </w:tabs>
        <w:spacing w:before="66"/>
        <w:ind w:left="850" w:right="899"/>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PROPORCIONADA.”(sic)</w:t>
      </w:r>
    </w:p>
    <w:p w14:paraId="31B5B0D4" w14:textId="77777777" w:rsidR="00D45159" w:rsidRDefault="00D45159">
      <w:pPr>
        <w:tabs>
          <w:tab w:val="left" w:pos="709"/>
        </w:tabs>
        <w:spacing w:before="66"/>
        <w:ind w:left="850" w:right="899"/>
        <w:rPr>
          <w:rFonts w:ascii="Palatino Linotype" w:eastAsia="Palatino Linotype" w:hAnsi="Palatino Linotype" w:cs="Palatino Linotype"/>
          <w:i/>
          <w:sz w:val="20"/>
          <w:szCs w:val="20"/>
        </w:rPr>
      </w:pPr>
    </w:p>
    <w:p w14:paraId="224D7096" w14:textId="77777777" w:rsidR="00D45159" w:rsidRDefault="004C2F5C">
      <w:pPr>
        <w:tabs>
          <w:tab w:val="left" w:pos="709"/>
        </w:tabs>
        <w:spacing w:before="66"/>
        <w:rPr>
          <w:rFonts w:ascii="Palatino Linotype" w:eastAsia="Palatino Linotype" w:hAnsi="Palatino Linotype" w:cs="Palatino Linotype"/>
        </w:rPr>
      </w:pPr>
      <w:r>
        <w:rPr>
          <w:rFonts w:ascii="Palatino Linotype" w:eastAsia="Palatino Linotype" w:hAnsi="Palatino Linotype" w:cs="Palatino Linotype"/>
        </w:rPr>
        <w:t>Razones o motivos de la inconformidad:</w:t>
      </w:r>
    </w:p>
    <w:p w14:paraId="0FE4ED7B" w14:textId="77777777" w:rsidR="00D45159" w:rsidRDefault="00D45159">
      <w:pPr>
        <w:tabs>
          <w:tab w:val="left" w:pos="709"/>
        </w:tabs>
        <w:spacing w:before="66"/>
        <w:rPr>
          <w:rFonts w:ascii="Palatino Linotype" w:eastAsia="Palatino Linotype" w:hAnsi="Palatino Linotype" w:cs="Palatino Linotype"/>
        </w:rPr>
      </w:pPr>
    </w:p>
    <w:p w14:paraId="5C7749FE" w14:textId="77777777" w:rsidR="00D45159" w:rsidRDefault="004C2F5C">
      <w:pPr>
        <w:ind w:left="85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“No me entregaron los oficios de las </w:t>
      </w:r>
      <w:proofErr w:type="spellStart"/>
      <w:r>
        <w:rPr>
          <w:rFonts w:ascii="Palatino Linotype" w:eastAsia="Palatino Linotype" w:hAnsi="Palatino Linotype" w:cs="Palatino Linotype"/>
          <w:i/>
          <w:sz w:val="22"/>
          <w:szCs w:val="22"/>
        </w:rPr>
        <w:t>areas</w:t>
      </w:r>
      <w:proofErr w:type="spellEnd"/>
      <w:r>
        <w:rPr>
          <w:rFonts w:ascii="Palatino Linotype" w:eastAsia="Palatino Linotype" w:hAnsi="Palatino Linotype" w:cs="Palatino Linotype"/>
          <w:i/>
          <w:sz w:val="22"/>
          <w:szCs w:val="22"/>
        </w:rPr>
        <w:t xml:space="preserve"> que atendieron la solicitud.” (sic)</w:t>
      </w:r>
    </w:p>
    <w:p w14:paraId="675E8BF5" w14:textId="77777777" w:rsidR="00D45159" w:rsidRDefault="00D45159">
      <w:pPr>
        <w:spacing w:line="360" w:lineRule="auto"/>
        <w:jc w:val="both"/>
        <w:rPr>
          <w:rFonts w:ascii="Palatino Linotype" w:eastAsia="Palatino Linotype" w:hAnsi="Palatino Linotype" w:cs="Palatino Linotype"/>
          <w:sz w:val="22"/>
          <w:szCs w:val="22"/>
        </w:rPr>
      </w:pPr>
    </w:p>
    <w:p w14:paraId="312C2B6B" w14:textId="77777777" w:rsidR="00D45159" w:rsidRDefault="004C2F5C">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 Del turno del Recurso de Revisión. </w:t>
      </w:r>
    </w:p>
    <w:p w14:paraId="068A738D" w14:textId="77777777" w:rsidR="00D45159" w:rsidRDefault="004C2F5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veintiuno de febrero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Pr>
          <w:rFonts w:ascii="Palatino Linotype" w:eastAsia="Palatino Linotype" w:hAnsi="Palatino Linotype" w:cs="Palatino Linotype"/>
          <w:b/>
        </w:rPr>
        <w:t>Comisionada María del Rosario Mejía Ayala</w:t>
      </w:r>
      <w:r>
        <w:rPr>
          <w:rFonts w:ascii="Palatino Linotype" w:eastAsia="Palatino Linotype" w:hAnsi="Palatino Linotype" w:cs="Palatino Linotype"/>
        </w:rPr>
        <w:t xml:space="preserve">; a efecto de decretar su admisión o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087FAD3C" w14:textId="77777777" w:rsidR="00D45159" w:rsidRDefault="00D45159">
      <w:pPr>
        <w:spacing w:line="360" w:lineRule="auto"/>
        <w:jc w:val="both"/>
        <w:rPr>
          <w:rFonts w:ascii="Palatino Linotype" w:eastAsia="Palatino Linotype" w:hAnsi="Palatino Linotype" w:cs="Palatino Linotype"/>
        </w:rPr>
      </w:pPr>
    </w:p>
    <w:p w14:paraId="25259570" w14:textId="77777777" w:rsidR="00D45159" w:rsidRDefault="004C2F5C">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p>
    <w:p w14:paraId="2DE2BDD5" w14:textId="77777777" w:rsidR="00D45159" w:rsidRDefault="004C2F5C">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 veintidós de febrero de dos mil veintidós, se acordó la admisión a trámite del recurso de revisión que nos ocupa; así como la integración del expediente respectivo, mismo que se puso a disposición de las partes, para que en un plazo máximo de siete días hábiles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el correspondiente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Informe Justificado; lo anterior, conforme a lo dispuesto por el artículo </w:t>
      </w:r>
      <w:r>
        <w:rPr>
          <w:rFonts w:ascii="Palatino Linotype" w:eastAsia="Palatino Linotype" w:hAnsi="Palatino Linotype" w:cs="Palatino Linotype"/>
        </w:rPr>
        <w:lastRenderedPageBreak/>
        <w:t>185 de la Ley de Transparencia y Acceso a la Información Pública del Estado de México y Municipios.</w:t>
      </w:r>
    </w:p>
    <w:p w14:paraId="6E996D8B" w14:textId="77777777" w:rsidR="00D45159" w:rsidRDefault="00D45159">
      <w:pPr>
        <w:tabs>
          <w:tab w:val="center" w:pos="4252"/>
          <w:tab w:val="right" w:pos="8504"/>
        </w:tabs>
        <w:spacing w:line="360" w:lineRule="auto"/>
        <w:jc w:val="both"/>
        <w:rPr>
          <w:rFonts w:ascii="Palatino Linotype" w:eastAsia="Palatino Linotype" w:hAnsi="Palatino Linotype" w:cs="Palatino Linotype"/>
        </w:rPr>
      </w:pPr>
    </w:p>
    <w:p w14:paraId="0F0C4D2F" w14:textId="77777777" w:rsidR="00D45159" w:rsidRDefault="004C2F5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14:paraId="65F9B5E6" w14:textId="77777777" w:rsidR="00D45159" w:rsidRDefault="004C2F5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realizó las manifestaciones que conforme a derecho le corresponden. </w:t>
      </w:r>
    </w:p>
    <w:p w14:paraId="37C430BE" w14:textId="77777777" w:rsidR="00D45159" w:rsidRDefault="00D45159">
      <w:pPr>
        <w:widowControl w:val="0"/>
        <w:tabs>
          <w:tab w:val="left" w:pos="0"/>
        </w:tabs>
        <w:spacing w:line="360" w:lineRule="auto"/>
        <w:jc w:val="both"/>
        <w:rPr>
          <w:rFonts w:ascii="Palatino Linotype" w:eastAsia="Palatino Linotype" w:hAnsi="Palatino Linotype" w:cs="Palatino Linotype"/>
        </w:rPr>
      </w:pPr>
    </w:p>
    <w:p w14:paraId="7C8EA9FC" w14:textId="77777777" w:rsidR="00D45159" w:rsidRDefault="004C2F5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presentó su Informe Justificado en fecha siete de marzo de dos mil veintidós y el cual fue puesto a disposición del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el siete de abril del dos mil veintidós y el de forma medular ratifica la respuesta primigenia emitida por el ente recurrido. </w:t>
      </w:r>
    </w:p>
    <w:p w14:paraId="081C14E6" w14:textId="77777777" w:rsidR="00D45159" w:rsidRDefault="00D45159">
      <w:pPr>
        <w:widowControl w:val="0"/>
        <w:tabs>
          <w:tab w:val="left" w:pos="0"/>
        </w:tabs>
        <w:spacing w:line="360" w:lineRule="auto"/>
        <w:jc w:val="both"/>
        <w:rPr>
          <w:rFonts w:ascii="Palatino Linotype" w:eastAsia="Palatino Linotype" w:hAnsi="Palatino Linotype" w:cs="Palatino Linotype"/>
        </w:rPr>
      </w:pPr>
    </w:p>
    <w:p w14:paraId="385A61D8" w14:textId="77777777" w:rsidR="00D45159" w:rsidRDefault="004C2F5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Del </w:t>
      </w:r>
      <w:proofErr w:type="spellStart"/>
      <w:r>
        <w:rPr>
          <w:rFonts w:ascii="Palatino Linotype" w:eastAsia="Palatino Linotype" w:hAnsi="Palatino Linotype" w:cs="Palatino Linotype"/>
          <w:b/>
        </w:rPr>
        <w:t>returno</w:t>
      </w:r>
      <w:proofErr w:type="spellEnd"/>
      <w:r>
        <w:rPr>
          <w:rFonts w:ascii="Palatino Linotype" w:eastAsia="Palatino Linotype" w:hAnsi="Palatino Linotype" w:cs="Palatino Linotype"/>
          <w:b/>
        </w:rPr>
        <w:t xml:space="preserve"> del Recurso de Revisión</w:t>
      </w:r>
    </w:p>
    <w:p w14:paraId="7E686E56" w14:textId="77777777" w:rsidR="00D45159" w:rsidRDefault="004C2F5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la Novena Sesión Ordinaria de fecha nueve de marzo de dos mil veintidós, por acuerdo del Pleno de este Órgano Garante, fue </w:t>
      </w:r>
      <w:proofErr w:type="spellStart"/>
      <w:r>
        <w:rPr>
          <w:rFonts w:ascii="Palatino Linotype" w:eastAsia="Palatino Linotype" w:hAnsi="Palatino Linotype" w:cs="Palatino Linotype"/>
        </w:rPr>
        <w:t>returnado</w:t>
      </w:r>
      <w:proofErr w:type="spellEnd"/>
      <w:r>
        <w:rPr>
          <w:rFonts w:ascii="Palatino Linotype" w:eastAsia="Palatino Linotype" w:hAnsi="Palatino Linotype" w:cs="Palatino Linotype"/>
        </w:rPr>
        <w:t xml:space="preserve"> el Recurso de Revisión número</w:t>
      </w:r>
      <w:r>
        <w:rPr>
          <w:rFonts w:ascii="Palatino Linotype" w:eastAsia="Palatino Linotype" w:hAnsi="Palatino Linotype" w:cs="Palatino Linotype"/>
          <w:b/>
        </w:rPr>
        <w:t xml:space="preserve"> 01047/INFOEM/IP/RR/2022 </w:t>
      </w:r>
      <w:r>
        <w:rPr>
          <w:rFonts w:ascii="Palatino Linotype" w:eastAsia="Palatino Linotype" w:hAnsi="Palatino Linotype" w:cs="Palatino Linotype"/>
        </w:rPr>
        <w:t xml:space="preserve">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xml:space="preserve"> para su resolución y presentación al Pleno. </w:t>
      </w:r>
    </w:p>
    <w:p w14:paraId="075DD567" w14:textId="77777777" w:rsidR="00D45159" w:rsidRDefault="00D45159">
      <w:pPr>
        <w:spacing w:line="360" w:lineRule="auto"/>
        <w:jc w:val="both"/>
        <w:rPr>
          <w:rFonts w:ascii="Palatino Linotype" w:eastAsia="Palatino Linotype" w:hAnsi="Palatino Linotype" w:cs="Palatino Linotype"/>
        </w:rPr>
      </w:pPr>
    </w:p>
    <w:p w14:paraId="35D08325" w14:textId="77777777" w:rsidR="008622EE" w:rsidRDefault="008622EE">
      <w:pPr>
        <w:spacing w:line="360" w:lineRule="auto"/>
        <w:jc w:val="both"/>
        <w:rPr>
          <w:rFonts w:ascii="Palatino Linotype" w:eastAsia="Palatino Linotype" w:hAnsi="Palatino Linotype" w:cs="Palatino Linotype"/>
        </w:rPr>
      </w:pPr>
    </w:p>
    <w:p w14:paraId="1B43FB29" w14:textId="77777777" w:rsidR="008622EE" w:rsidRDefault="008622EE">
      <w:pPr>
        <w:spacing w:line="360" w:lineRule="auto"/>
        <w:jc w:val="both"/>
        <w:rPr>
          <w:rFonts w:ascii="Palatino Linotype" w:eastAsia="Palatino Linotype" w:hAnsi="Palatino Linotype" w:cs="Palatino Linotype"/>
        </w:rPr>
      </w:pPr>
    </w:p>
    <w:p w14:paraId="1A0709C5" w14:textId="77777777" w:rsidR="00D45159" w:rsidRDefault="004C2F5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d) De la ampliación </w:t>
      </w:r>
    </w:p>
    <w:p w14:paraId="1B0E950C" w14:textId="77777777" w:rsidR="00D45159" w:rsidRDefault="004C2F5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fecha ocho de abril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1978B5F8" w14:textId="77777777" w:rsidR="00D45159" w:rsidRDefault="004C2F5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46E99EF2" w14:textId="77777777" w:rsidR="00D45159" w:rsidRDefault="004C2F5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e) Cierre de Instrucción</w:t>
      </w:r>
    </w:p>
    <w:p w14:paraId="0B837811" w14:textId="77777777" w:rsidR="00D45159" w:rsidRDefault="004C2F5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guardaba el expediente, en fecha </w:t>
      </w:r>
      <w:r w:rsidR="008622EE">
        <w:rPr>
          <w:rFonts w:ascii="Palatino Linotype" w:eastAsia="Palatino Linotype" w:hAnsi="Palatino Linotype" w:cs="Palatino Linotype"/>
        </w:rPr>
        <w:t>tres de mayo</w:t>
      </w:r>
      <w:r>
        <w:rPr>
          <w:rFonts w:ascii="Palatino Linotype" w:eastAsia="Palatino Linotype" w:hAnsi="Palatino Linotype" w:cs="Palatino Linotype"/>
        </w:rPr>
        <w:t xml:space="preserve"> de dos mil veintidós, 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w:t>
      </w:r>
      <w:r w:rsidR="008622EE">
        <w:rPr>
          <w:rFonts w:ascii="Palatino Linotype" w:eastAsia="Palatino Linotype" w:hAnsi="Palatino Linotype" w:cs="Palatino Linotype"/>
        </w:rPr>
        <w:t xml:space="preserve"> Estado de México y Municipios.</w:t>
      </w:r>
    </w:p>
    <w:p w14:paraId="4DA1E8F6" w14:textId="77777777" w:rsidR="00D45159" w:rsidRDefault="00D45159">
      <w:pPr>
        <w:spacing w:line="360" w:lineRule="auto"/>
        <w:jc w:val="both"/>
        <w:rPr>
          <w:rFonts w:ascii="Palatino Linotype" w:eastAsia="Palatino Linotype" w:hAnsi="Palatino Linotype" w:cs="Palatino Linotype"/>
        </w:rPr>
      </w:pPr>
    </w:p>
    <w:p w14:paraId="5772F577" w14:textId="77777777" w:rsidR="00D45159" w:rsidRDefault="004C2F5C">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14:paraId="703FB6BC" w14:textId="77777777" w:rsidR="00D45159" w:rsidRDefault="00D45159">
      <w:pPr>
        <w:jc w:val="center"/>
        <w:rPr>
          <w:rFonts w:ascii="Palatino Linotype" w:eastAsia="Palatino Linotype" w:hAnsi="Palatino Linotype" w:cs="Palatino Linotype"/>
          <w:b/>
          <w:sz w:val="28"/>
          <w:szCs w:val="28"/>
        </w:rPr>
      </w:pPr>
    </w:p>
    <w:p w14:paraId="575248B3" w14:textId="77777777" w:rsidR="00D45159" w:rsidRDefault="004C2F5C">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14:paraId="0ABBE55B" w14:textId="77777777" w:rsidR="00D45159" w:rsidRDefault="004C2F5C">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w:t>
      </w:r>
      <w:r>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655A7DDE" w14:textId="77777777" w:rsidR="00D45159" w:rsidRDefault="00D45159">
      <w:pPr>
        <w:widowControl w:val="0"/>
        <w:tabs>
          <w:tab w:val="left" w:pos="1701"/>
          <w:tab w:val="left" w:pos="2977"/>
        </w:tabs>
        <w:spacing w:line="360" w:lineRule="auto"/>
        <w:jc w:val="both"/>
        <w:rPr>
          <w:rFonts w:ascii="Palatino Linotype" w:eastAsia="Palatino Linotype" w:hAnsi="Palatino Linotype" w:cs="Palatino Linotype"/>
        </w:rPr>
      </w:pPr>
    </w:p>
    <w:p w14:paraId="5B9B9520" w14:textId="77777777" w:rsidR="00D45159" w:rsidRDefault="004C2F5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14:paraId="7AB4C08B" w14:textId="77777777" w:rsidR="00D45159" w:rsidRDefault="004C2F5C">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El</w:t>
      </w:r>
      <w:r>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14:paraId="034B7F20" w14:textId="77777777" w:rsidR="00D45159" w:rsidRDefault="00D45159">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2588E06" w14:textId="77777777" w:rsidR="00D45159" w:rsidRDefault="004C2F5C">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14:paraId="1A4D33C8" w14:textId="77777777" w:rsidR="00D45159" w:rsidRDefault="004C2F5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1EC84197" w14:textId="77777777" w:rsidR="00D45159" w:rsidRDefault="00D45159">
      <w:pPr>
        <w:ind w:left="720" w:right="709"/>
        <w:jc w:val="both"/>
        <w:rPr>
          <w:rFonts w:ascii="Palatino Linotype" w:eastAsia="Palatino Linotype" w:hAnsi="Palatino Linotype" w:cs="Palatino Linotype"/>
          <w:i/>
          <w:sz w:val="22"/>
          <w:szCs w:val="22"/>
        </w:rPr>
      </w:pPr>
    </w:p>
    <w:p w14:paraId="03890A15" w14:textId="77777777" w:rsidR="00D45159" w:rsidRDefault="004C2F5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B5468D3" w14:textId="77777777" w:rsidR="00D45159" w:rsidRDefault="00D45159">
      <w:pPr>
        <w:ind w:left="851" w:right="899"/>
        <w:jc w:val="both"/>
        <w:rPr>
          <w:rFonts w:ascii="Palatino Linotype" w:eastAsia="Palatino Linotype" w:hAnsi="Palatino Linotype" w:cs="Palatino Linotype"/>
          <w:i/>
          <w:sz w:val="22"/>
          <w:szCs w:val="22"/>
        </w:rPr>
      </w:pPr>
    </w:p>
    <w:p w14:paraId="30462C0A" w14:textId="77777777" w:rsidR="00D45159" w:rsidRDefault="004C2F5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F1436C1" w14:textId="77777777" w:rsidR="00D45159" w:rsidRDefault="00D45159">
      <w:pPr>
        <w:ind w:left="851" w:right="899"/>
        <w:jc w:val="both"/>
        <w:rPr>
          <w:rFonts w:ascii="Palatino Linotype" w:eastAsia="Palatino Linotype" w:hAnsi="Palatino Linotype" w:cs="Palatino Linotype"/>
          <w:i/>
          <w:sz w:val="22"/>
          <w:szCs w:val="22"/>
        </w:rPr>
      </w:pPr>
    </w:p>
    <w:p w14:paraId="158549A8" w14:textId="77777777" w:rsidR="00D45159" w:rsidRDefault="004C2F5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el caso de que se interponga ante la Unidad de Transparencia, ésta deberá remitir el recurso de revisión al Instituto a más tardar al día siguiente de haberlo recibido.”</w:t>
      </w:r>
    </w:p>
    <w:p w14:paraId="356766B5" w14:textId="77777777" w:rsidR="00D45159" w:rsidRDefault="00D45159">
      <w:pPr>
        <w:ind w:left="720" w:right="709"/>
        <w:jc w:val="both"/>
        <w:rPr>
          <w:rFonts w:ascii="Palatino Linotype" w:eastAsia="Palatino Linotype" w:hAnsi="Palatino Linotype" w:cs="Palatino Linotype"/>
          <w:i/>
          <w:sz w:val="22"/>
          <w:szCs w:val="22"/>
        </w:rPr>
      </w:pPr>
    </w:p>
    <w:p w14:paraId="5ADBFBD4" w14:textId="77777777" w:rsidR="00D45159" w:rsidRDefault="004C2F5C">
      <w:pPr>
        <w:spacing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dieciocho de febrero de dos mil veintidós</w:t>
      </w:r>
      <w:r>
        <w:rPr>
          <w:rFonts w:ascii="Palatino Linotype" w:eastAsia="Palatino Linotype" w:hAnsi="Palatino Linotype" w:cs="Palatino Linotype"/>
        </w:rPr>
        <w:t>; así, el plazo de quince días hábiles que el artículo 178 de la Ley de la materia otorga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transcurrió del</w:t>
      </w:r>
      <w:r>
        <w:rPr>
          <w:rFonts w:ascii="Palatino Linotype" w:eastAsia="Palatino Linotype" w:hAnsi="Palatino Linotype" w:cs="Palatino Linotype"/>
          <w:b/>
        </w:rPr>
        <w:t xml:space="preserve"> veintiuno de febrero al once de marzo de dos mil veintidós, </w:t>
      </w:r>
      <w:r>
        <w:rPr>
          <w:rFonts w:ascii="Palatino Linotype" w:eastAsia="Palatino Linotype" w:hAnsi="Palatino Linotype" w:cs="Palatino Linotype"/>
        </w:rPr>
        <w:t>sin contemplar en el cómputo los días diecinueve, veinte, veintiséis y veintisiete de febrero así como cinco y seis de marzo de dos mil veintidós por corresponder a sábados y domingos, considerados como días inhábiles, en términos del artículo 3, fracción X de la Ley de Transparencia y Acceso a la Información Pública del Estado de México y Municipios. Excluyendo del cómputo también, el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w:t>
      </w:r>
    </w:p>
    <w:p w14:paraId="4458D832" w14:textId="77777777" w:rsidR="00D45159" w:rsidRDefault="00D45159">
      <w:pPr>
        <w:spacing w:line="360" w:lineRule="auto"/>
        <w:jc w:val="both"/>
        <w:rPr>
          <w:rFonts w:ascii="Palatino Linotype" w:eastAsia="Palatino Linotype" w:hAnsi="Palatino Linotype" w:cs="Palatino Linotype"/>
        </w:rPr>
      </w:pPr>
      <w:bookmarkStart w:id="5" w:name="_heading=h.v4j9422lv9tn" w:colFirst="0" w:colLast="0"/>
      <w:bookmarkEnd w:id="5"/>
    </w:p>
    <w:p w14:paraId="1F6ACA63" w14:textId="77777777" w:rsidR="00D45159" w:rsidRDefault="004C2F5C">
      <w:pPr>
        <w:spacing w:line="360" w:lineRule="auto"/>
        <w:ind w:left="-5" w:hanging="10"/>
        <w:jc w:val="both"/>
        <w:rPr>
          <w:rFonts w:ascii="Palatino Linotype" w:eastAsia="Palatino Linotype" w:hAnsi="Palatino Linotype" w:cs="Palatino Linotype"/>
        </w:rPr>
      </w:pPr>
      <w:r>
        <w:rPr>
          <w:rFonts w:ascii="Palatino Linotype" w:eastAsia="Palatino Linotype" w:hAnsi="Palatino Linotype" w:cs="Palatino Linotype"/>
        </w:rPr>
        <w:t>En ese tenor, si el recurso de revisión que nos ocupa, se interpuso el</w:t>
      </w:r>
      <w:r>
        <w:rPr>
          <w:rFonts w:ascii="Palatino Linotype" w:eastAsia="Palatino Linotype" w:hAnsi="Palatino Linotype" w:cs="Palatino Linotype"/>
          <w:b/>
        </w:rPr>
        <w:t xml:space="preserve"> veintiuno de febrero de dos mil veintidós,</w:t>
      </w:r>
      <w:r>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5EE2F1BC" w14:textId="77777777" w:rsidR="00D45159" w:rsidRDefault="00D45159">
      <w:pPr>
        <w:spacing w:line="360" w:lineRule="auto"/>
        <w:ind w:right="49"/>
        <w:jc w:val="both"/>
        <w:rPr>
          <w:rFonts w:ascii="Palatino Linotype" w:eastAsia="Palatino Linotype" w:hAnsi="Palatino Linotype" w:cs="Palatino Linotype"/>
          <w:b/>
          <w:sz w:val="28"/>
          <w:szCs w:val="28"/>
        </w:rPr>
      </w:pPr>
    </w:p>
    <w:p w14:paraId="436094DC" w14:textId="77777777" w:rsidR="00D45159" w:rsidRDefault="004C2F5C">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lastRenderedPageBreak/>
        <w:t>CUARTO</w:t>
      </w:r>
      <w:r>
        <w:rPr>
          <w:rFonts w:ascii="Palatino Linotype" w:eastAsia="Palatino Linotype" w:hAnsi="Palatino Linotype" w:cs="Palatino Linotype"/>
          <w:b/>
        </w:rPr>
        <w:t xml:space="preserve">. Procedibilidad. </w:t>
      </w:r>
    </w:p>
    <w:p w14:paraId="6B3B9469" w14:textId="77777777" w:rsidR="00D45159" w:rsidRDefault="004C2F5C">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color w:val="000000"/>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Pr>
          <w:rFonts w:ascii="Palatino Linotype" w:eastAsia="Palatino Linotype" w:hAnsi="Palatino Linotype" w:cs="Palatino Linotype"/>
          <w:b/>
          <w:color w:val="000000"/>
        </w:rPr>
        <w:t>EL SAIMEX</w:t>
      </w:r>
    </w:p>
    <w:p w14:paraId="67B96DD6" w14:textId="77777777" w:rsidR="00D45159" w:rsidRDefault="00D45159">
      <w:pPr>
        <w:spacing w:line="360" w:lineRule="auto"/>
        <w:jc w:val="both"/>
        <w:rPr>
          <w:rFonts w:ascii="Palatino Linotype" w:eastAsia="Palatino Linotype" w:hAnsi="Palatino Linotype" w:cs="Palatino Linotype"/>
          <w:b/>
          <w:sz w:val="28"/>
          <w:szCs w:val="28"/>
        </w:rPr>
      </w:pPr>
    </w:p>
    <w:p w14:paraId="4FB7A7F2" w14:textId="77777777" w:rsidR="00D45159" w:rsidRDefault="004C2F5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De la causal de Sobreseimiento. </w:t>
      </w:r>
    </w:p>
    <w:p w14:paraId="53B2DCC2" w14:textId="77777777" w:rsidR="00D45159" w:rsidRDefault="004C2F5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para un mejor estudio y comprensión del asunto que se resuelve, es preciso recordar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siguiente: </w:t>
      </w:r>
    </w:p>
    <w:p w14:paraId="0FCBE342" w14:textId="77777777" w:rsidR="00D45159" w:rsidRDefault="004C2F5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qué va consistir la colaboración con la </w:t>
      </w:r>
      <w:proofErr w:type="spellStart"/>
      <w:r>
        <w:rPr>
          <w:rFonts w:ascii="Palatino Linotype" w:eastAsia="Palatino Linotype" w:hAnsi="Palatino Linotype" w:cs="Palatino Linotype"/>
          <w:i/>
          <w:sz w:val="22"/>
          <w:szCs w:val="22"/>
        </w:rPr>
        <w:t>Uaem</w:t>
      </w:r>
      <w:proofErr w:type="spellEnd"/>
      <w:proofErr w:type="gramStart"/>
      <w:r>
        <w:rPr>
          <w:rFonts w:ascii="Palatino Linotype" w:eastAsia="Palatino Linotype" w:hAnsi="Palatino Linotype" w:cs="Palatino Linotype"/>
          <w:i/>
          <w:sz w:val="22"/>
          <w:szCs w:val="22"/>
        </w:rPr>
        <w:t>? ,</w:t>
      </w:r>
      <w:proofErr w:type="gramEnd"/>
      <w:r>
        <w:rPr>
          <w:rFonts w:ascii="Palatino Linotype" w:eastAsia="Palatino Linotype" w:hAnsi="Palatino Linotype" w:cs="Palatino Linotype"/>
          <w:i/>
          <w:sz w:val="22"/>
          <w:szCs w:val="22"/>
        </w:rPr>
        <w:t xml:space="preserve"> ya que el Presidente municipal subió en sus Redes lo siguiente; “Sostuve una productiva reunión con el Rector de la </w:t>
      </w:r>
      <w:proofErr w:type="spellStart"/>
      <w:r>
        <w:rPr>
          <w:rFonts w:ascii="Palatino Linotype" w:eastAsia="Palatino Linotype" w:hAnsi="Palatino Linotype" w:cs="Palatino Linotype"/>
          <w:i/>
          <w:sz w:val="22"/>
          <w:szCs w:val="22"/>
        </w:rPr>
        <w:t>UAEMéx</w:t>
      </w:r>
      <w:proofErr w:type="spellEnd"/>
      <w:r>
        <w:rPr>
          <w:rFonts w:ascii="Palatino Linotype" w:eastAsia="Palatino Linotype" w:hAnsi="Palatino Linotype" w:cs="Palatino Linotype"/>
          <w:i/>
          <w:sz w:val="22"/>
          <w:szCs w:val="22"/>
        </w:rPr>
        <w:t>, Carlos Eduardo Barrera Díaz, reafirmamos nuestra disposición para trabajar juntos y encontrar esquemas de colaboración. A cuanto debe la UAEM por concepto de predial de todos sus edificios administrativos. Cuanto se recaudó de predial del mes de enero del año 2022.” (Sic)</w:t>
      </w:r>
    </w:p>
    <w:p w14:paraId="1BDA1A38" w14:textId="77777777" w:rsidR="00D45159" w:rsidRDefault="00D45159">
      <w:pPr>
        <w:spacing w:line="360" w:lineRule="auto"/>
        <w:ind w:right="49"/>
        <w:jc w:val="both"/>
        <w:rPr>
          <w:rFonts w:ascii="Palatino Linotype" w:eastAsia="Palatino Linotype" w:hAnsi="Palatino Linotype" w:cs="Palatino Linotype"/>
        </w:rPr>
      </w:pPr>
    </w:p>
    <w:p w14:paraId="192C9583" w14:textId="77777777" w:rsidR="00D45159" w:rsidRDefault="004C2F5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quedó precisado en el considerando respectivo, en respuesta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remitió el archivo de nominado </w:t>
      </w:r>
      <w:r>
        <w:rPr>
          <w:rFonts w:ascii="Palatino Linotype" w:eastAsia="Palatino Linotype" w:hAnsi="Palatino Linotype" w:cs="Palatino Linotype"/>
          <w:i/>
        </w:rPr>
        <w:t xml:space="preserve">“Saimex 00388.pdf” </w:t>
      </w:r>
      <w:r>
        <w:rPr>
          <w:rFonts w:ascii="Palatino Linotype" w:eastAsia="Palatino Linotype" w:hAnsi="Palatino Linotype" w:cs="Palatino Linotype"/>
        </w:rPr>
        <w:t xml:space="preserve">del cual se puede apreciar el oficio número 00388/TOLUCA/IP/2022 de fecha dieciocho de enero de dos mil veintidós firmado por la Titular de la Unidad de Transparencia, mediante el cual manifiesta que el Tesorero Municipal informó que el adeudo de todos los edificios que corresponden a la UAEM asciende a $104,606,895.43 al treinta y uno de enero del dos mil veintidós, debido a que la actualización de los créditos se actualiza de forma mensual. También señala que la cantidad recaudada por concepto de impuesto predial </w:t>
      </w:r>
      <w:r>
        <w:rPr>
          <w:rFonts w:ascii="Palatino Linotype" w:eastAsia="Palatino Linotype" w:hAnsi="Palatino Linotype" w:cs="Palatino Linotype"/>
        </w:rPr>
        <w:lastRenderedPageBreak/>
        <w:t xml:space="preserve">es de $226,431,432.00 del mes de enero del año en curso. </w:t>
      </w:r>
    </w:p>
    <w:p w14:paraId="5E707AC9" w14:textId="77777777" w:rsidR="00D45159" w:rsidRDefault="00D45159">
      <w:pPr>
        <w:widowControl w:val="0"/>
        <w:spacing w:line="360" w:lineRule="auto"/>
        <w:jc w:val="both"/>
        <w:rPr>
          <w:rFonts w:ascii="Palatino Linotype" w:eastAsia="Palatino Linotype" w:hAnsi="Palatino Linotype" w:cs="Palatino Linotype"/>
        </w:rPr>
      </w:pPr>
    </w:p>
    <w:p w14:paraId="1C2353B4" w14:textId="77777777" w:rsidR="00D45159" w:rsidRDefault="004C2F5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lo que se refiere al convenio de colaboración entre la Universidad Autónoma del Estado de México y el ente recurrido, la Titular señaló que la Secretaria Particular de Presidencia no localizó la información en sus archivos. </w:t>
      </w:r>
    </w:p>
    <w:p w14:paraId="124EDC56" w14:textId="77777777" w:rsidR="00D45159" w:rsidRDefault="00D45159">
      <w:pPr>
        <w:widowControl w:val="0"/>
        <w:spacing w:line="360" w:lineRule="auto"/>
        <w:jc w:val="both"/>
        <w:rPr>
          <w:rFonts w:ascii="Palatino Linotype" w:eastAsia="Palatino Linotype" w:hAnsi="Palatino Linotype" w:cs="Palatino Linotype"/>
        </w:rPr>
      </w:pPr>
    </w:p>
    <w:p w14:paraId="76678EB4" w14:textId="77777777" w:rsidR="00D45159" w:rsidRDefault="004C2F5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Mediante su respuesta señala además que la solicitud de acceso a la información realizada por el particular no corresponde al ejercicio del derecho de acceso a la información sino que se tratan de manifestaciones subjetivas que no se satisfacen con la entrega de un soporte documental. </w:t>
      </w:r>
    </w:p>
    <w:p w14:paraId="7DDA89D2" w14:textId="77777777" w:rsidR="00D45159" w:rsidRDefault="00D45159">
      <w:pPr>
        <w:spacing w:line="360" w:lineRule="auto"/>
        <w:ind w:right="49"/>
        <w:jc w:val="both"/>
        <w:rPr>
          <w:rFonts w:ascii="Palatino Linotype" w:eastAsia="Palatino Linotype" w:hAnsi="Palatino Linotype" w:cs="Palatino Linotype"/>
        </w:rPr>
      </w:pPr>
    </w:p>
    <w:p w14:paraId="43E63600" w14:textId="77777777" w:rsidR="00D45159" w:rsidRDefault="004C2F5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respuesta, el particular presentó el medio de impugnación en estudio, en el que se duele de que no le fuesen entregados los oficios de respuesta de las áreas turnadas. </w:t>
      </w:r>
    </w:p>
    <w:p w14:paraId="71B26973" w14:textId="77777777" w:rsidR="00D45159" w:rsidRDefault="00D45159">
      <w:pPr>
        <w:spacing w:line="360" w:lineRule="auto"/>
        <w:ind w:right="49"/>
        <w:jc w:val="both"/>
        <w:rPr>
          <w:rFonts w:ascii="Palatino Linotype" w:eastAsia="Palatino Linotype" w:hAnsi="Palatino Linotype" w:cs="Palatino Linotype"/>
        </w:rPr>
      </w:pPr>
    </w:p>
    <w:p w14:paraId="64845D9B" w14:textId="77777777" w:rsidR="00D45159" w:rsidRDefault="004C2F5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resulta procedente analizar el total de las constancias que obran en el expediente electrónico del SAIMEX para determinar si con estas se puede tener por atendido el derecho de Acceso a la Información Pública del particular. </w:t>
      </w:r>
    </w:p>
    <w:p w14:paraId="4507F4D3" w14:textId="77777777" w:rsidR="00D45159" w:rsidRDefault="00D45159">
      <w:pPr>
        <w:spacing w:line="360" w:lineRule="auto"/>
        <w:ind w:right="49"/>
        <w:jc w:val="both"/>
        <w:rPr>
          <w:rFonts w:ascii="Palatino Linotype" w:eastAsia="Palatino Linotype" w:hAnsi="Palatino Linotype" w:cs="Palatino Linotype"/>
        </w:rPr>
      </w:pPr>
    </w:p>
    <w:p w14:paraId="5D48239C" w14:textId="77777777" w:rsidR="00D45159" w:rsidRDefault="004C2F5C">
      <w:pPr>
        <w:spacing w:line="360" w:lineRule="auto"/>
        <w:ind w:right="49"/>
        <w:jc w:val="both"/>
        <w:rPr>
          <w:rFonts w:ascii="Palatino Linotype" w:eastAsia="Palatino Linotype" w:hAnsi="Palatino Linotype" w:cs="Palatino Linotype"/>
        </w:rPr>
      </w:pPr>
      <w:bookmarkStart w:id="6" w:name="_heading=h.30j0zll" w:colFirst="0" w:colLast="0"/>
      <w:bookmarkEnd w:id="6"/>
      <w:r>
        <w:rPr>
          <w:rFonts w:ascii="Palatino Linotype" w:eastAsia="Palatino Linotype" w:hAnsi="Palatino Linotype" w:cs="Palatino Linotype"/>
        </w:rPr>
        <w:t xml:space="preserve">En primer lugar es importante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w:t>
      </w:r>
      <w:r>
        <w:rPr>
          <w:rFonts w:ascii="Palatino Linotype" w:eastAsia="Palatino Linotype" w:hAnsi="Palatino Linotype" w:cs="Palatino Linotype"/>
        </w:rPr>
        <w:lastRenderedPageBreak/>
        <w:t>de los Sujetos Obligados, será accesible de manera permanente a cualquier persona, privilegiando el principio de máxima publicidad de la información.</w:t>
      </w:r>
    </w:p>
    <w:p w14:paraId="338AF329" w14:textId="77777777" w:rsidR="00D45159" w:rsidRDefault="00D45159">
      <w:pPr>
        <w:spacing w:line="360" w:lineRule="auto"/>
        <w:ind w:right="49"/>
        <w:jc w:val="both"/>
        <w:rPr>
          <w:rFonts w:ascii="Palatino Linotype" w:eastAsia="Palatino Linotype" w:hAnsi="Palatino Linotype" w:cs="Palatino Linotype"/>
        </w:rPr>
      </w:pPr>
    </w:p>
    <w:p w14:paraId="749F3D6A" w14:textId="77777777" w:rsidR="00D45159" w:rsidRDefault="004C2F5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1C03FD54" w14:textId="77777777" w:rsidR="00D45159" w:rsidRDefault="00D45159">
      <w:pPr>
        <w:spacing w:line="360" w:lineRule="auto"/>
        <w:ind w:right="49"/>
        <w:jc w:val="both"/>
        <w:rPr>
          <w:rFonts w:ascii="Palatino Linotype" w:eastAsia="Palatino Linotype" w:hAnsi="Palatino Linotype" w:cs="Palatino Linotype"/>
        </w:rPr>
      </w:pPr>
    </w:p>
    <w:p w14:paraId="601A2FB1" w14:textId="77777777" w:rsidR="00D45159" w:rsidRDefault="004C2F5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7A491A2" w14:textId="77777777" w:rsidR="00D45159" w:rsidRDefault="004C2F5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2F73E91E" w14:textId="77777777" w:rsidR="00D45159" w:rsidRDefault="004C2F5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CC2E1A5" w14:textId="77777777" w:rsidR="00D45159" w:rsidRDefault="00D45159">
      <w:pPr>
        <w:spacing w:line="360" w:lineRule="auto"/>
        <w:ind w:right="49"/>
        <w:jc w:val="both"/>
        <w:rPr>
          <w:rFonts w:ascii="Palatino Linotype" w:eastAsia="Palatino Linotype" w:hAnsi="Palatino Linotype" w:cs="Palatino Linotype"/>
        </w:rPr>
      </w:pPr>
    </w:p>
    <w:p w14:paraId="2B571DD5" w14:textId="77777777" w:rsidR="00D45159" w:rsidRDefault="004C2F5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Pr>
          <w:rFonts w:ascii="Palatino Linotype" w:eastAsia="Palatino Linotype" w:hAnsi="Palatino Linotype" w:cs="Palatino Linotype"/>
        </w:rPr>
        <w:lastRenderedPageBreak/>
        <w:t xml:space="preserve">visual, electrónico, informático u holográfico, de conformidad con el artículo 3, fracción XI de la Ley de la materia, el cual dispone lo siguiente: </w:t>
      </w:r>
    </w:p>
    <w:p w14:paraId="48203245" w14:textId="77777777" w:rsidR="00D45159" w:rsidRDefault="00D45159">
      <w:pPr>
        <w:tabs>
          <w:tab w:val="left" w:pos="851"/>
        </w:tabs>
        <w:ind w:left="851" w:right="901"/>
        <w:jc w:val="both"/>
        <w:rPr>
          <w:rFonts w:ascii="Palatino Linotype" w:eastAsia="Palatino Linotype" w:hAnsi="Palatino Linotype" w:cs="Palatino Linotype"/>
          <w:i/>
          <w:sz w:val="22"/>
          <w:szCs w:val="22"/>
        </w:rPr>
      </w:pPr>
    </w:p>
    <w:p w14:paraId="16355C42" w14:textId="77777777" w:rsidR="00D45159" w:rsidRDefault="004C2F5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14:paraId="182105A1" w14:textId="77777777" w:rsidR="00D45159" w:rsidRDefault="004C2F5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5E1A710" w14:textId="77777777" w:rsidR="00D45159" w:rsidRDefault="004C2F5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CD2E5C7" w14:textId="77777777" w:rsidR="00D45159" w:rsidRDefault="004C2F5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1C602BF" w14:textId="77777777" w:rsidR="00D45159" w:rsidRDefault="00D45159">
      <w:pPr>
        <w:tabs>
          <w:tab w:val="left" w:pos="851"/>
        </w:tabs>
        <w:spacing w:line="360" w:lineRule="auto"/>
        <w:ind w:left="851" w:right="901"/>
        <w:jc w:val="both"/>
        <w:rPr>
          <w:rFonts w:ascii="Palatino Linotype" w:eastAsia="Palatino Linotype" w:hAnsi="Palatino Linotype" w:cs="Palatino Linotype"/>
          <w:i/>
          <w:sz w:val="22"/>
          <w:szCs w:val="22"/>
        </w:rPr>
      </w:pPr>
    </w:p>
    <w:p w14:paraId="6464322D" w14:textId="77777777" w:rsidR="00D45159" w:rsidRDefault="004C2F5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2E5CB8D" w14:textId="77777777" w:rsidR="00D45159" w:rsidRDefault="004C2F5C">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rPr>
        <w:t>“</w:t>
      </w:r>
      <w:r>
        <w:rPr>
          <w:rFonts w:ascii="Palatino Linotype" w:eastAsia="Palatino Linotype" w:hAnsi="Palatino Linotype" w:cs="Palatino Linotype"/>
          <w:b/>
          <w:i/>
          <w:sz w:val="22"/>
          <w:szCs w:val="22"/>
        </w:rPr>
        <w:t>CRITERIO 0002-11</w:t>
      </w:r>
    </w:p>
    <w:p w14:paraId="74BECCF1" w14:textId="77777777" w:rsidR="00D45159" w:rsidRDefault="004C2F5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6C928F8" w14:textId="77777777" w:rsidR="00D45159" w:rsidRDefault="004C2F5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E358FD3" w14:textId="77777777" w:rsidR="00D45159" w:rsidRDefault="004C2F5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7DB9AC5" w14:textId="77777777" w:rsidR="00D45159" w:rsidRDefault="004C2F5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2) Que se trate de información registrada en cualquier soporte documental, que en ejercicio de las atribuciones conferidas, sea administrada por los Sujetos Obligados, y</w:t>
      </w:r>
    </w:p>
    <w:p w14:paraId="6ECD60FD" w14:textId="77777777" w:rsidR="00D45159" w:rsidRDefault="004C2F5C">
      <w:pPr>
        <w:tabs>
          <w:tab w:val="left" w:pos="851"/>
        </w:tabs>
        <w:ind w:left="851" w:right="901"/>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580EB98D" w14:textId="77777777" w:rsidR="00D45159" w:rsidRDefault="00D45159">
      <w:pPr>
        <w:spacing w:line="360" w:lineRule="auto"/>
        <w:ind w:right="49"/>
        <w:jc w:val="both"/>
        <w:rPr>
          <w:rFonts w:ascii="Palatino Linotype" w:eastAsia="Palatino Linotype" w:hAnsi="Palatino Linotype" w:cs="Palatino Linotype"/>
        </w:rPr>
      </w:pPr>
    </w:p>
    <w:p w14:paraId="47F148F0" w14:textId="77777777" w:rsidR="00D45159" w:rsidRDefault="004C2F5C">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se advierte de las constancias que integran el expediente electrónico que la petición principal hecha por el solicitante es concreta, aunado a ello, ésta fue atendida en tiempo y forma por la parte solicitada, no obstante nos encontramos ante un requerimiento extraordinario por parte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toda vez que al momento de interponer el medio de impugnación en estudio, se observa que en las razones o motivos de inconformidad se piden documentales diversas a lo instado en primer lugar, es decir al tiempo en que tuvo verificativo la solicitud de Acceso a la Información.</w:t>
      </w:r>
    </w:p>
    <w:p w14:paraId="0E87FC8D" w14:textId="77777777" w:rsidR="00D45159" w:rsidRDefault="00D45159">
      <w:pPr>
        <w:widowControl w:val="0"/>
        <w:tabs>
          <w:tab w:val="left" w:pos="1701"/>
          <w:tab w:val="left" w:pos="1843"/>
        </w:tabs>
        <w:spacing w:line="360" w:lineRule="auto"/>
        <w:jc w:val="both"/>
        <w:rPr>
          <w:rFonts w:ascii="Palatino Linotype" w:eastAsia="Palatino Linotype" w:hAnsi="Palatino Linotype" w:cs="Palatino Linotype"/>
        </w:rPr>
      </w:pPr>
    </w:p>
    <w:p w14:paraId="11F06D24" w14:textId="77777777" w:rsidR="00D45159" w:rsidRPr="005D2822" w:rsidRDefault="004C2F5C" w:rsidP="005D2822">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consecuencia de lo señalado en el párrafo que antecede, se aduce que los argumentos hechos en la inconformidad del particular, son considerados </w:t>
      </w:r>
      <w:r>
        <w:rPr>
          <w:rFonts w:ascii="Palatino Linotype" w:eastAsia="Palatino Linotype" w:hAnsi="Palatino Linotype" w:cs="Palatino Linotype"/>
          <w:b/>
          <w:i/>
        </w:rPr>
        <w:t xml:space="preserve">plus </w:t>
      </w:r>
      <w:proofErr w:type="spellStart"/>
      <w:r>
        <w:rPr>
          <w:rFonts w:ascii="Palatino Linotype" w:eastAsia="Palatino Linotype" w:hAnsi="Palatino Linotype" w:cs="Palatino Linotype"/>
          <w:b/>
          <w:i/>
        </w:rPr>
        <w:t>petitio</w:t>
      </w:r>
      <w:proofErr w:type="spellEnd"/>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es decir, actos relativos a nuevos requerimientos, empero que no se encuentran relacionados con la pretensión inicial al momento de confrontar la ampliación de la solicitud, operando de esta manera el principio de preclusión, es decir, la pérdida de una oportunidad procesal por no haber observado el orden o tiempo establecido en algún precepto normativo para la consumación de un acto determinado; sirva de apoyo el artículo 155, fracción III de la Ley de Transparencia Local y criterio 01/2017 de la segunda época, establecido por el Instituto Nacional de Transparencia, Acceso a la Información y Protección de Datos Personales: </w:t>
      </w:r>
    </w:p>
    <w:p w14:paraId="4F97AF3B" w14:textId="77777777" w:rsidR="00D45159" w:rsidRDefault="004C2F5C">
      <w:pPr>
        <w:widowControl w:val="0"/>
        <w:tabs>
          <w:tab w:val="left" w:pos="1701"/>
          <w:tab w:val="left" w:pos="1843"/>
        </w:tabs>
        <w:spacing w:after="240"/>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155</w:t>
      </w:r>
      <w:r>
        <w:rPr>
          <w:rFonts w:ascii="Palatino Linotype" w:eastAsia="Palatino Linotype" w:hAnsi="Palatino Linotype" w:cs="Palatino Linotype"/>
          <w:i/>
          <w:sz w:val="22"/>
          <w:szCs w:val="22"/>
        </w:rPr>
        <w:t xml:space="preserve">. Para presentar una solicitud por escrito, no se podrán exigir mayores requisitos que los siguientes: </w:t>
      </w:r>
    </w:p>
    <w:p w14:paraId="092A4A45" w14:textId="77777777" w:rsidR="00D45159" w:rsidRDefault="004C2F5C">
      <w:pPr>
        <w:widowControl w:val="0"/>
        <w:tabs>
          <w:tab w:val="left" w:pos="1701"/>
          <w:tab w:val="left" w:pos="1843"/>
        </w:tabs>
        <w:ind w:left="1571" w:right="899" w:hanging="72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Nombre del solicitante, o en su caso, los datos generales de su representante; </w:t>
      </w:r>
    </w:p>
    <w:p w14:paraId="366FF8C2" w14:textId="77777777" w:rsidR="00D45159" w:rsidRDefault="004C2F5C">
      <w:pPr>
        <w:widowControl w:val="0"/>
        <w:tabs>
          <w:tab w:val="left" w:pos="1701"/>
          <w:tab w:val="left" w:pos="1843"/>
        </w:tabs>
        <w:ind w:left="1571" w:right="899" w:hanging="72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Domicilio o en su caso correo electrónico para recibir notificaciones; </w:t>
      </w:r>
    </w:p>
    <w:p w14:paraId="00A6ED18" w14:textId="77777777" w:rsidR="00D45159" w:rsidRDefault="004C2F5C">
      <w:pPr>
        <w:widowControl w:val="0"/>
        <w:tabs>
          <w:tab w:val="left" w:pos="1701"/>
          <w:tab w:val="left" w:pos="1843"/>
        </w:tabs>
        <w:ind w:left="1571" w:right="899" w:hanging="72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III. La descripción de la información solicitada; </w:t>
      </w:r>
    </w:p>
    <w:p w14:paraId="1EE25131" w14:textId="77777777" w:rsidR="00D45159" w:rsidRDefault="004C2F5C">
      <w:pPr>
        <w:widowControl w:val="0"/>
        <w:tabs>
          <w:tab w:val="left" w:pos="1701"/>
          <w:tab w:val="left" w:pos="1843"/>
        </w:tabs>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Cualquier otro dato que facilite la búsqueda y eventual localización de la información; y </w:t>
      </w:r>
    </w:p>
    <w:p w14:paraId="6B51835D" w14:textId="77777777" w:rsidR="00D45159" w:rsidRDefault="004C2F5C">
      <w:pPr>
        <w:widowControl w:val="0"/>
        <w:tabs>
          <w:tab w:val="left" w:pos="993"/>
          <w:tab w:val="left" w:pos="1843"/>
        </w:tabs>
        <w:ind w:left="851" w:right="899" w:hanging="1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312985D4" w14:textId="77777777" w:rsidR="00D45159" w:rsidRDefault="004C2F5C">
      <w:pPr>
        <w:widowControl w:val="0"/>
        <w:tabs>
          <w:tab w:val="left" w:pos="993"/>
          <w:tab w:val="left" w:pos="1843"/>
        </w:tabs>
        <w:ind w:left="851" w:right="899" w:hanging="1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Queda prohibido para los sujetos obligados recabar datos que den lugar a indagatorias sobre las motivaciones de la solicitud de información y su uso posterior. </w:t>
      </w:r>
    </w:p>
    <w:p w14:paraId="20FFDBA0" w14:textId="77777777" w:rsidR="00D45159" w:rsidRDefault="004C2F5C">
      <w:pPr>
        <w:widowControl w:val="0"/>
        <w:tabs>
          <w:tab w:val="left" w:pos="993"/>
          <w:tab w:val="left" w:pos="1843"/>
        </w:tabs>
        <w:ind w:left="851" w:right="899" w:hanging="1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12995927" w14:textId="77777777" w:rsidR="00D45159" w:rsidRDefault="004C2F5C">
      <w:pPr>
        <w:widowControl w:val="0"/>
        <w:tabs>
          <w:tab w:val="left" w:pos="993"/>
          <w:tab w:val="left" w:pos="1843"/>
        </w:tabs>
        <w:ind w:left="851" w:right="899" w:hanging="1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de las fracciones I y IV será proporcionada por el solicitante de manera opcional y, en ningún caso, podrá ser un requisito indispensable para la procedencia de la solicitud.</w:t>
      </w:r>
    </w:p>
    <w:p w14:paraId="1FFDE059" w14:textId="77777777" w:rsidR="00D45159" w:rsidRDefault="00D45159">
      <w:pPr>
        <w:widowControl w:val="0"/>
        <w:tabs>
          <w:tab w:val="left" w:pos="993"/>
          <w:tab w:val="left" w:pos="1843"/>
        </w:tabs>
        <w:spacing w:line="360" w:lineRule="auto"/>
        <w:ind w:left="851" w:right="899" w:hanging="10"/>
        <w:jc w:val="both"/>
        <w:rPr>
          <w:rFonts w:ascii="Palatino Linotype" w:eastAsia="Palatino Linotype" w:hAnsi="Palatino Linotype" w:cs="Palatino Linotype"/>
          <w:i/>
        </w:rPr>
      </w:pPr>
    </w:p>
    <w:p w14:paraId="69946C21" w14:textId="77777777" w:rsidR="00D45159" w:rsidRDefault="004C2F5C">
      <w:pPr>
        <w:widowControl w:val="0"/>
        <w:tabs>
          <w:tab w:val="left" w:pos="1701"/>
          <w:tab w:val="left" w:pos="1843"/>
        </w:tabs>
        <w:spacing w:after="240"/>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“Criterio 01/2017 Es improcedente ampliar las solicitudes de acceso a información</w:t>
      </w:r>
      <w:r>
        <w:rPr>
          <w:rFonts w:ascii="Palatino Linotype" w:eastAsia="Palatino Linotype" w:hAnsi="Palatino Linotype" w:cs="Palatino Linotype"/>
          <w:i/>
          <w:sz w:val="22"/>
          <w:szCs w:val="22"/>
        </w:rPr>
        <w:t xml:space="preserve">, a través de la interposición del recurso de revisión.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w:t>
      </w:r>
      <w:r>
        <w:rPr>
          <w:rFonts w:ascii="Palatino Linotype" w:eastAsia="Palatino Linotype" w:hAnsi="Palatino Linotype" w:cs="Palatino Linotype"/>
          <w:b/>
          <w:i/>
          <w:sz w:val="22"/>
          <w:szCs w:val="22"/>
        </w:rPr>
        <w:t>amplíen los alcances de la solicitud de información inicial</w:t>
      </w:r>
      <w:r>
        <w:rPr>
          <w:rFonts w:ascii="Palatino Linotype" w:eastAsia="Palatino Linotype" w:hAnsi="Palatino Linotype" w:cs="Palatino Linotype"/>
          <w:i/>
          <w:sz w:val="22"/>
          <w:szCs w:val="22"/>
        </w:rPr>
        <w:t>, los nuevos contenidos no podrán constituir materia del procedimiento a sustanciarse por el Instituto Nacional de Transparencia, Acceso a la Información y Protección de Datos Personales; actualizándose la hipótesis de improcedencia respectiva.”</w:t>
      </w:r>
    </w:p>
    <w:p w14:paraId="7E0517DC" w14:textId="77777777" w:rsidR="00D45159" w:rsidRDefault="00D45159">
      <w:pPr>
        <w:widowControl w:val="0"/>
        <w:tabs>
          <w:tab w:val="left" w:pos="1701"/>
          <w:tab w:val="left" w:pos="1843"/>
        </w:tabs>
        <w:spacing w:line="360" w:lineRule="auto"/>
        <w:ind w:left="851" w:right="899"/>
        <w:jc w:val="both"/>
        <w:rPr>
          <w:rFonts w:ascii="Palatino Linotype" w:eastAsia="Palatino Linotype" w:hAnsi="Palatino Linotype" w:cs="Palatino Linotype"/>
          <w:i/>
        </w:rPr>
      </w:pPr>
    </w:p>
    <w:p w14:paraId="24714604" w14:textId="77777777" w:rsidR="00D45159" w:rsidRDefault="004C2F5C">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tales consideraciones, resulta pertinente declarar </w:t>
      </w:r>
      <w:r>
        <w:rPr>
          <w:rFonts w:ascii="Palatino Linotype" w:eastAsia="Palatino Linotype" w:hAnsi="Palatino Linotype" w:cs="Palatino Linotype"/>
          <w:b/>
        </w:rPr>
        <w:t>improcedente</w:t>
      </w:r>
      <w:r>
        <w:rPr>
          <w:rFonts w:ascii="Palatino Linotype" w:eastAsia="Palatino Linotype" w:hAnsi="Palatino Linotype" w:cs="Palatino Linotype"/>
        </w:rPr>
        <w:t xml:space="preserve"> la ampliación de la solicitud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actualizándose lo previsto en los numerales 191, </w:t>
      </w:r>
      <w:r>
        <w:rPr>
          <w:rFonts w:ascii="Palatino Linotype" w:eastAsia="Palatino Linotype" w:hAnsi="Palatino Linotype" w:cs="Palatino Linotype"/>
        </w:rPr>
        <w:lastRenderedPageBreak/>
        <w:t>fracción VII con relación al 192, fracción IV de la Ley de Transparencia Local que a la letra menciona:</w:t>
      </w:r>
    </w:p>
    <w:p w14:paraId="2897BAEE" w14:textId="77777777" w:rsidR="00D45159" w:rsidRDefault="00D45159">
      <w:pPr>
        <w:widowControl w:val="0"/>
        <w:tabs>
          <w:tab w:val="left" w:pos="1701"/>
          <w:tab w:val="left" w:pos="1843"/>
        </w:tabs>
        <w:spacing w:line="360" w:lineRule="auto"/>
        <w:ind w:right="899"/>
        <w:jc w:val="both"/>
        <w:rPr>
          <w:rFonts w:ascii="Palatino Linotype" w:eastAsia="Palatino Linotype" w:hAnsi="Palatino Linotype" w:cs="Palatino Linotype"/>
        </w:rPr>
      </w:pPr>
    </w:p>
    <w:p w14:paraId="5FEB0E22" w14:textId="77777777" w:rsidR="00D45159" w:rsidRDefault="004C2F5C">
      <w:pPr>
        <w:ind w:left="851" w:right="899"/>
        <w:jc w:val="both"/>
        <w:rPr>
          <w:rFonts w:ascii="Palatino Linotype" w:eastAsia="Palatino Linotype" w:hAnsi="Palatino Linotype" w:cs="Palatino Linotype"/>
          <w:i/>
        </w:rPr>
      </w:pPr>
      <w:r>
        <w:rPr>
          <w:rFonts w:ascii="Palatino Linotype" w:eastAsia="Palatino Linotype" w:hAnsi="Palatino Linotype" w:cs="Palatino Linotype"/>
          <w:b/>
          <w:i/>
        </w:rPr>
        <w:t>“Artículo 191</w:t>
      </w:r>
      <w:r>
        <w:rPr>
          <w:rFonts w:ascii="Palatino Linotype" w:eastAsia="Palatino Linotype" w:hAnsi="Palatino Linotype" w:cs="Palatino Linotype"/>
          <w:i/>
        </w:rPr>
        <w:t xml:space="preserve">. El recurso será desechado por </w:t>
      </w:r>
      <w:r>
        <w:rPr>
          <w:rFonts w:ascii="Palatino Linotype" w:eastAsia="Palatino Linotype" w:hAnsi="Palatino Linotype" w:cs="Palatino Linotype"/>
          <w:b/>
          <w:i/>
        </w:rPr>
        <w:t>improcedente</w:t>
      </w:r>
      <w:r>
        <w:rPr>
          <w:rFonts w:ascii="Palatino Linotype" w:eastAsia="Palatino Linotype" w:hAnsi="Palatino Linotype" w:cs="Palatino Linotype"/>
          <w:i/>
        </w:rPr>
        <w:t xml:space="preserve"> cuando:</w:t>
      </w:r>
    </w:p>
    <w:p w14:paraId="578A07BD" w14:textId="77777777" w:rsidR="00D45159" w:rsidRDefault="00D45159">
      <w:pPr>
        <w:ind w:right="899"/>
        <w:jc w:val="both"/>
        <w:rPr>
          <w:rFonts w:ascii="Palatino Linotype" w:eastAsia="Palatino Linotype" w:hAnsi="Palatino Linotype" w:cs="Palatino Linotype"/>
          <w:i/>
        </w:rPr>
      </w:pPr>
    </w:p>
    <w:p w14:paraId="6557D23F" w14:textId="77777777" w:rsidR="00D45159" w:rsidRDefault="004C2F5C">
      <w:pPr>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I. Sea extemporáneo por haber transcurrido el plazo establecido en la presente Ley, a partir de la respuesta;</w:t>
      </w:r>
    </w:p>
    <w:p w14:paraId="7529AD00" w14:textId="77777777" w:rsidR="00D45159" w:rsidRDefault="004C2F5C">
      <w:pPr>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II. Se esté tramitando ante el Poder Judicial de la Federación algún recurso o medio de defensa interpuesto por el recurrente;</w:t>
      </w:r>
    </w:p>
    <w:p w14:paraId="5ADECB57" w14:textId="77777777" w:rsidR="00D45159" w:rsidRDefault="004C2F5C">
      <w:pPr>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III. No actualice alguno de los supuestos previstos en la presente Ley;</w:t>
      </w:r>
    </w:p>
    <w:p w14:paraId="302BA9A4" w14:textId="77777777" w:rsidR="00D45159" w:rsidRDefault="004C2F5C">
      <w:pPr>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IV. No se haya desahogado la prevención en los términos establecidos en la presente Ley;</w:t>
      </w:r>
    </w:p>
    <w:p w14:paraId="1617B4AC" w14:textId="77777777" w:rsidR="00D45159" w:rsidRDefault="004C2F5C">
      <w:pPr>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V. Se impugne la veracidad de la información proporcionada;</w:t>
      </w:r>
    </w:p>
    <w:p w14:paraId="267AF7E3" w14:textId="77777777" w:rsidR="00D45159" w:rsidRDefault="004C2F5C">
      <w:pPr>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VI. Se trate de una consulta, o trámite en específico; y</w:t>
      </w:r>
    </w:p>
    <w:p w14:paraId="56848B4B" w14:textId="77777777" w:rsidR="00D45159" w:rsidRDefault="004C2F5C">
      <w:pPr>
        <w:ind w:left="851" w:right="899"/>
        <w:jc w:val="both"/>
        <w:rPr>
          <w:rFonts w:ascii="Palatino Linotype" w:eastAsia="Palatino Linotype" w:hAnsi="Palatino Linotype" w:cs="Palatino Linotype"/>
          <w:b/>
          <w:i/>
        </w:rPr>
      </w:pPr>
      <w:r>
        <w:rPr>
          <w:rFonts w:ascii="Palatino Linotype" w:eastAsia="Palatino Linotype" w:hAnsi="Palatino Linotype" w:cs="Palatino Linotype"/>
          <w:b/>
          <w:i/>
        </w:rPr>
        <w:t>VII. El recurrente amplíe su solicitud en el recurso de revisión, únicamente respecto de los nuevos contenidos.”</w:t>
      </w:r>
    </w:p>
    <w:p w14:paraId="35E08F31" w14:textId="77777777" w:rsidR="00D45159" w:rsidRDefault="00D45159">
      <w:pPr>
        <w:ind w:left="851" w:right="899"/>
        <w:jc w:val="both"/>
        <w:rPr>
          <w:rFonts w:ascii="Palatino Linotype" w:eastAsia="Palatino Linotype" w:hAnsi="Palatino Linotype" w:cs="Palatino Linotype"/>
          <w:b/>
          <w:i/>
        </w:rPr>
      </w:pPr>
    </w:p>
    <w:p w14:paraId="02E22791" w14:textId="77777777" w:rsidR="00D45159" w:rsidRDefault="004C2F5C">
      <w:pPr>
        <w:ind w:left="851" w:right="899"/>
        <w:jc w:val="both"/>
        <w:rPr>
          <w:rFonts w:ascii="Palatino Linotype" w:eastAsia="Palatino Linotype" w:hAnsi="Palatino Linotype" w:cs="Palatino Linotype"/>
          <w:i/>
        </w:rPr>
      </w:pPr>
      <w:r>
        <w:rPr>
          <w:rFonts w:ascii="Palatino Linotype" w:eastAsia="Palatino Linotype" w:hAnsi="Palatino Linotype" w:cs="Palatino Linotype"/>
          <w:b/>
          <w:i/>
        </w:rPr>
        <w:t>Artículo 192</w:t>
      </w:r>
      <w:r>
        <w:rPr>
          <w:rFonts w:ascii="Palatino Linotype" w:eastAsia="Palatino Linotype" w:hAnsi="Palatino Linotype" w:cs="Palatino Linotype"/>
          <w:i/>
        </w:rPr>
        <w:t xml:space="preserve">. El recurso será </w:t>
      </w:r>
      <w:r>
        <w:rPr>
          <w:rFonts w:ascii="Palatino Linotype" w:eastAsia="Palatino Linotype" w:hAnsi="Palatino Linotype" w:cs="Palatino Linotype"/>
          <w:b/>
          <w:i/>
        </w:rPr>
        <w:t>sobreseído</w:t>
      </w:r>
      <w:r>
        <w:rPr>
          <w:rFonts w:ascii="Palatino Linotype" w:eastAsia="Palatino Linotype" w:hAnsi="Palatino Linotype" w:cs="Palatino Linotype"/>
          <w:i/>
        </w:rPr>
        <w:t>, en todo o en parte, cuando una vez admitido, se actualicen alguno de los siguientes supuestos:</w:t>
      </w:r>
    </w:p>
    <w:p w14:paraId="39149435" w14:textId="77777777" w:rsidR="00D45159" w:rsidRDefault="00D45159">
      <w:pPr>
        <w:ind w:left="851" w:right="899"/>
        <w:jc w:val="both"/>
        <w:rPr>
          <w:rFonts w:ascii="Palatino Linotype" w:eastAsia="Palatino Linotype" w:hAnsi="Palatino Linotype" w:cs="Palatino Linotype"/>
          <w:i/>
        </w:rPr>
      </w:pPr>
    </w:p>
    <w:p w14:paraId="65868760" w14:textId="77777777" w:rsidR="00D45159" w:rsidRDefault="004C2F5C">
      <w:pPr>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I. El recurrente se desista expresamente del recurso;</w:t>
      </w:r>
    </w:p>
    <w:p w14:paraId="750461B6" w14:textId="77777777" w:rsidR="00D45159" w:rsidRDefault="004C2F5C">
      <w:pPr>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II. El recurrente fallezca o, tratándose de personas jurídicas colectivas, se disuelva;</w:t>
      </w:r>
    </w:p>
    <w:p w14:paraId="44257C47" w14:textId="77777777" w:rsidR="00D45159" w:rsidRDefault="004C2F5C">
      <w:pPr>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III. El sujeto obligado responsable del acto lo modifique o revoque de tal manera que el recurso de</w:t>
      </w:r>
    </w:p>
    <w:p w14:paraId="6D1D7EB1" w14:textId="77777777" w:rsidR="00D45159" w:rsidRDefault="004C2F5C">
      <w:pPr>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revisión quede sin materia;</w:t>
      </w:r>
    </w:p>
    <w:p w14:paraId="1F923068" w14:textId="77777777" w:rsidR="00D45159" w:rsidRDefault="004C2F5C">
      <w:pPr>
        <w:ind w:left="851" w:right="899"/>
        <w:jc w:val="both"/>
        <w:rPr>
          <w:rFonts w:ascii="Palatino Linotype" w:eastAsia="Palatino Linotype" w:hAnsi="Palatino Linotype" w:cs="Palatino Linotype"/>
          <w:b/>
          <w:i/>
        </w:rPr>
      </w:pPr>
      <w:r>
        <w:rPr>
          <w:rFonts w:ascii="Palatino Linotype" w:eastAsia="Palatino Linotype" w:hAnsi="Palatino Linotype" w:cs="Palatino Linotype"/>
          <w:b/>
          <w:i/>
        </w:rPr>
        <w:t>IV. Admitido el recurso de revisión, aparezca alguna causal de improcedencia en los términos de la presente Ley; y</w:t>
      </w:r>
    </w:p>
    <w:p w14:paraId="4657D308" w14:textId="77777777" w:rsidR="00D45159" w:rsidRDefault="004C2F5C">
      <w:pPr>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V. Cuando por cualquier motivo quede sin materia el recurso.”</w:t>
      </w:r>
    </w:p>
    <w:p w14:paraId="3247BE29" w14:textId="77777777" w:rsidR="00D45159" w:rsidRDefault="00D45159">
      <w:pPr>
        <w:spacing w:line="360" w:lineRule="auto"/>
        <w:jc w:val="both"/>
        <w:rPr>
          <w:rFonts w:ascii="Palatino Linotype" w:eastAsia="Palatino Linotype" w:hAnsi="Palatino Linotype" w:cs="Palatino Linotype"/>
        </w:rPr>
      </w:pPr>
    </w:p>
    <w:p w14:paraId="05570616" w14:textId="77777777" w:rsidR="00D45159" w:rsidRDefault="004C2F5C">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lo anteriormente expuesto, este Instituto estima que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devienen </w:t>
      </w:r>
      <w:r>
        <w:rPr>
          <w:rFonts w:ascii="Palatino Linotype" w:eastAsia="Palatino Linotype" w:hAnsi="Palatino Linotype" w:cs="Palatino Linotype"/>
          <w:b/>
        </w:rPr>
        <w:t>infundadas</w:t>
      </w:r>
      <w:r>
        <w:rPr>
          <w:rFonts w:ascii="Palatino Linotype" w:eastAsia="Palatino Linotype" w:hAnsi="Palatino Linotype" w:cs="Palatino Linotype"/>
        </w:rPr>
        <w:t xml:space="preserve">; motivo </w:t>
      </w:r>
      <w:r>
        <w:rPr>
          <w:rFonts w:ascii="Palatino Linotype" w:eastAsia="Palatino Linotype" w:hAnsi="Palatino Linotype" w:cs="Palatino Linotype"/>
        </w:rPr>
        <w:lastRenderedPageBreak/>
        <w:t xml:space="preserve">por el cual, este Órgano Garante determina </w:t>
      </w:r>
      <w:r>
        <w:rPr>
          <w:rFonts w:ascii="Palatino Linotype" w:eastAsia="Palatino Linotype" w:hAnsi="Palatino Linotype" w:cs="Palatino Linotype"/>
          <w:b/>
        </w:rPr>
        <w:t xml:space="preserve">Sobreseer </w:t>
      </w:r>
      <w:r>
        <w:rPr>
          <w:rFonts w:ascii="Palatino Linotype" w:eastAsia="Palatino Linotype" w:hAnsi="Palatino Linotype" w:cs="Palatino Linotype"/>
        </w:rPr>
        <w:t>el Recurso de Revisión en que se actúa en términos del artículo 186, fracción I de la Ley de Transparencia y Acceso a la Información Pública del Estado de México y Municipios por las razones expuestas en el presente considerando.</w:t>
      </w:r>
    </w:p>
    <w:p w14:paraId="76912FA3" w14:textId="77777777" w:rsidR="00D45159" w:rsidRDefault="00D45159">
      <w:pPr>
        <w:spacing w:line="360" w:lineRule="auto"/>
        <w:jc w:val="both"/>
        <w:rPr>
          <w:rFonts w:ascii="Palatino Linotype" w:eastAsia="Palatino Linotype" w:hAnsi="Palatino Linotype" w:cs="Palatino Linotype"/>
        </w:rPr>
      </w:pPr>
    </w:p>
    <w:p w14:paraId="3ADD8284" w14:textId="77777777" w:rsidR="00D45159" w:rsidRDefault="004C2F5C">
      <w:pPr>
        <w:spacing w:line="360" w:lineRule="auto"/>
        <w:jc w:val="both"/>
        <w:rPr>
          <w:rFonts w:ascii="Palatino Linotype" w:eastAsia="Palatino Linotype" w:hAnsi="Palatino Linotype" w:cs="Palatino Linotype"/>
          <w:b/>
          <w:sz w:val="26"/>
          <w:szCs w:val="26"/>
        </w:rPr>
      </w:pPr>
      <w:r>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5EE4D6FF" w14:textId="77777777" w:rsidR="00D45159" w:rsidRDefault="00D45159">
      <w:pPr>
        <w:spacing w:line="360" w:lineRule="auto"/>
        <w:jc w:val="center"/>
        <w:rPr>
          <w:rFonts w:ascii="Palatino Linotype" w:eastAsia="Palatino Linotype" w:hAnsi="Palatino Linotype" w:cs="Palatino Linotype"/>
          <w:b/>
          <w:sz w:val="26"/>
          <w:szCs w:val="26"/>
        </w:rPr>
      </w:pPr>
    </w:p>
    <w:p w14:paraId="0C18D4B3" w14:textId="77777777" w:rsidR="00D45159" w:rsidRDefault="004C2F5C">
      <w:pPr>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14:paraId="2FA48542" w14:textId="77777777" w:rsidR="00D45159" w:rsidRDefault="00D45159">
      <w:pPr>
        <w:jc w:val="center"/>
        <w:rPr>
          <w:rFonts w:ascii="Palatino Linotype" w:eastAsia="Palatino Linotype" w:hAnsi="Palatino Linotype" w:cs="Palatino Linotype"/>
          <w:b/>
          <w:sz w:val="28"/>
          <w:szCs w:val="28"/>
        </w:rPr>
      </w:pPr>
    </w:p>
    <w:p w14:paraId="55991196" w14:textId="77777777" w:rsidR="00D45159" w:rsidRDefault="004C2F5C">
      <w:pPr>
        <w:spacing w:after="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6"/>
          <w:szCs w:val="26"/>
        </w:rPr>
        <w:t>PRIMERO</w:t>
      </w:r>
      <w:r>
        <w:rPr>
          <w:rFonts w:ascii="Palatino Linotype" w:eastAsia="Palatino Linotype" w:hAnsi="Palatino Linotype" w:cs="Palatino Linotype"/>
          <w:sz w:val="28"/>
          <w:szCs w:val="28"/>
        </w:rPr>
        <w:t>.</w:t>
      </w:r>
      <w:r>
        <w:rPr>
          <w:rFonts w:ascii="Palatino Linotype" w:eastAsia="Palatino Linotype" w:hAnsi="Palatino Linotype" w:cs="Palatino Linotype"/>
        </w:rPr>
        <w:t xml:space="preserve"> Se </w:t>
      </w:r>
      <w:r>
        <w:rPr>
          <w:rFonts w:ascii="Palatino Linotype" w:eastAsia="Palatino Linotype" w:hAnsi="Palatino Linotype" w:cs="Palatino Linotype"/>
          <w:b/>
        </w:rPr>
        <w:t>SOBRESEE</w:t>
      </w:r>
      <w:r>
        <w:rPr>
          <w:rFonts w:ascii="Palatino Linotype" w:eastAsia="Palatino Linotype" w:hAnsi="Palatino Linotype" w:cs="Palatino Linotype"/>
        </w:rPr>
        <w:t xml:space="preserve"> el recurso de revisión </w:t>
      </w:r>
      <w:r>
        <w:rPr>
          <w:rFonts w:ascii="Palatino Linotype" w:eastAsia="Palatino Linotype" w:hAnsi="Palatino Linotype" w:cs="Palatino Linotype"/>
          <w:b/>
        </w:rPr>
        <w:t>01047/INFOEM/IP/RR/2022</w:t>
      </w:r>
      <w:r>
        <w:rPr>
          <w:rFonts w:ascii="Palatino Linotype" w:eastAsia="Palatino Linotype" w:hAnsi="Palatino Linotype" w:cs="Palatino Linotype"/>
        </w:rPr>
        <w:t xml:space="preserve">, porque una vez admitido apareció una causal de improcedencia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 </w:t>
      </w:r>
    </w:p>
    <w:p w14:paraId="6C4494CF" w14:textId="77777777" w:rsidR="00D45159" w:rsidRDefault="00D45159">
      <w:pPr>
        <w:spacing w:before="40" w:line="360" w:lineRule="auto"/>
        <w:jc w:val="both"/>
        <w:rPr>
          <w:rFonts w:ascii="Palatino Linotype" w:eastAsia="Palatino Linotype" w:hAnsi="Palatino Linotype" w:cs="Palatino Linotype"/>
        </w:rPr>
      </w:pPr>
    </w:p>
    <w:p w14:paraId="1E0DC9EE" w14:textId="77777777" w:rsidR="00D45159" w:rsidRDefault="004C2F5C">
      <w:pPr>
        <w:widowControl w:val="0"/>
        <w:tabs>
          <w:tab w:val="left" w:pos="1701"/>
        </w:tabs>
        <w:spacing w:line="360" w:lineRule="auto"/>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b/>
        </w:rPr>
        <w:t>SEGUNDO</w:t>
      </w:r>
      <w:r>
        <w:rPr>
          <w:rFonts w:ascii="Palatino Linotype" w:eastAsia="Palatino Linotype" w:hAnsi="Palatino Linotype" w:cs="Palatino Linotype"/>
          <w:b/>
          <w:color w:val="222222"/>
          <w:highlight w:val="white"/>
        </w:rPr>
        <w:t xml:space="preserve">. Notifíquese </w:t>
      </w:r>
      <w:r>
        <w:rPr>
          <w:rFonts w:ascii="Palatino Linotype" w:eastAsia="Palatino Linotype" w:hAnsi="Palatino Linotype" w:cs="Palatino Linotype"/>
          <w:color w:val="222222"/>
          <w:highlight w:val="white"/>
        </w:rPr>
        <w:t xml:space="preserve">a la </w:t>
      </w:r>
      <w:r>
        <w:rPr>
          <w:rFonts w:ascii="Palatino Linotype" w:eastAsia="Palatino Linotype" w:hAnsi="Palatino Linotype" w:cs="Palatino Linotype"/>
        </w:rPr>
        <w:t>Titular</w:t>
      </w:r>
      <w:r>
        <w:rPr>
          <w:rFonts w:ascii="Palatino Linotype" w:eastAsia="Palatino Linotype" w:hAnsi="Palatino Linotype" w:cs="Palatino Linotype"/>
          <w:color w:val="222222"/>
          <w:highlight w:val="white"/>
        </w:rPr>
        <w:t xml:space="preserve"> de la Unidad de Transparencia del </w:t>
      </w:r>
      <w:r>
        <w:rPr>
          <w:rFonts w:ascii="Palatino Linotype" w:eastAsia="Palatino Linotype" w:hAnsi="Palatino Linotype" w:cs="Palatino Linotype"/>
          <w:b/>
          <w:color w:val="222222"/>
          <w:highlight w:val="white"/>
        </w:rPr>
        <w:t>SUJETO OBLIGADO</w:t>
      </w:r>
      <w:r>
        <w:rPr>
          <w:rFonts w:ascii="Palatino Linotype" w:eastAsia="Palatino Linotype" w:hAnsi="Palatino Linotype" w:cs="Palatino Linotype"/>
          <w:color w:val="222222"/>
          <w:highlight w:val="white"/>
        </w:rPr>
        <w:t xml:space="preserve"> para su conocimiento. </w:t>
      </w:r>
    </w:p>
    <w:p w14:paraId="12086556" w14:textId="77777777" w:rsidR="00D45159" w:rsidRDefault="00D45159">
      <w:pPr>
        <w:widowControl w:val="0"/>
        <w:tabs>
          <w:tab w:val="left" w:pos="1701"/>
        </w:tabs>
        <w:spacing w:line="360" w:lineRule="auto"/>
        <w:jc w:val="both"/>
        <w:rPr>
          <w:rFonts w:ascii="Palatino Linotype" w:eastAsia="Palatino Linotype" w:hAnsi="Palatino Linotype" w:cs="Palatino Linotype"/>
        </w:rPr>
      </w:pPr>
    </w:p>
    <w:p w14:paraId="67245EB8" w14:textId="77777777" w:rsidR="00D45159" w:rsidRDefault="004C2F5C">
      <w:pPr>
        <w:widowControl w:val="0"/>
        <w:tabs>
          <w:tab w:val="left" w:pos="1701"/>
        </w:tabs>
        <w:spacing w:line="360" w:lineRule="auto"/>
        <w:jc w:val="both"/>
        <w:rPr>
          <w:rFonts w:ascii="Palatino Linotype" w:eastAsia="Palatino Linotype" w:hAnsi="Palatino Linotype" w:cs="Palatino Linotype"/>
          <w:b/>
          <w:color w:val="222222"/>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b/>
          <w:color w:val="222222"/>
        </w:rPr>
        <w:t>Notifíquese</w:t>
      </w:r>
      <w:r>
        <w:rPr>
          <w:rFonts w:ascii="Palatino Linotype" w:eastAsia="Palatino Linotype" w:hAnsi="Palatino Linotype" w:cs="Palatino Linotype"/>
          <w:color w:val="222222"/>
        </w:rPr>
        <w:t xml:space="preserve"> al </w:t>
      </w:r>
      <w:r>
        <w:rPr>
          <w:rFonts w:ascii="Palatino Linotype" w:eastAsia="Palatino Linotype" w:hAnsi="Palatino Linotype" w:cs="Palatino Linotype"/>
          <w:b/>
        </w:rPr>
        <w:t>RECURRENTE</w:t>
      </w:r>
      <w:r>
        <w:rPr>
          <w:rFonts w:ascii="Palatino Linotype" w:eastAsia="Palatino Linotype" w:hAnsi="Palatino Linotype" w:cs="Palatino Linotype"/>
          <w:color w:val="222222"/>
        </w:rPr>
        <w:t xml:space="preserve"> la </w:t>
      </w:r>
      <w:r>
        <w:rPr>
          <w:rFonts w:ascii="Palatino Linotype" w:eastAsia="Palatino Linotype" w:hAnsi="Palatino Linotype" w:cs="Palatino Linotype"/>
        </w:rPr>
        <w:t>presente</w:t>
      </w:r>
      <w:r>
        <w:rPr>
          <w:rFonts w:ascii="Palatino Linotype" w:eastAsia="Palatino Linotype" w:hAnsi="Palatino Linotype" w:cs="Palatino Linotype"/>
          <w:color w:val="222222"/>
        </w:rPr>
        <w:t xml:space="preserve"> resolución vía Sistema de Acceso a la Información Mexiquense </w:t>
      </w:r>
      <w:r>
        <w:rPr>
          <w:rFonts w:ascii="Palatino Linotype" w:eastAsia="Palatino Linotype" w:hAnsi="Palatino Linotype" w:cs="Palatino Linotype"/>
          <w:b/>
          <w:color w:val="222222"/>
        </w:rPr>
        <w:t>SAIMEX.</w:t>
      </w:r>
    </w:p>
    <w:p w14:paraId="7952A7CF" w14:textId="77777777" w:rsidR="00D45159" w:rsidRDefault="00D45159">
      <w:pPr>
        <w:widowControl w:val="0"/>
        <w:tabs>
          <w:tab w:val="left" w:pos="1701"/>
        </w:tabs>
        <w:spacing w:line="360" w:lineRule="auto"/>
        <w:jc w:val="both"/>
        <w:rPr>
          <w:rFonts w:ascii="Palatino Linotype" w:eastAsia="Palatino Linotype" w:hAnsi="Palatino Linotype" w:cs="Palatino Linotype"/>
          <w:color w:val="222222"/>
        </w:rPr>
      </w:pPr>
    </w:p>
    <w:p w14:paraId="72FCB0C6" w14:textId="77777777" w:rsidR="00D45159" w:rsidRDefault="004C2F5C">
      <w:pPr>
        <w:widowControl w:val="0"/>
        <w:tabs>
          <w:tab w:val="left" w:pos="1701"/>
        </w:tabs>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sz w:val="26"/>
          <w:szCs w:val="26"/>
        </w:rPr>
        <w:lastRenderedPageBreak/>
        <w:t>CUARTO</w:t>
      </w:r>
      <w:r>
        <w:rPr>
          <w:rFonts w:ascii="Palatino Linotype" w:eastAsia="Palatino Linotype" w:hAnsi="Palatino Linotype" w:cs="Palatino Linotype"/>
          <w:b/>
          <w:color w:val="222222"/>
          <w:sz w:val="26"/>
          <w:szCs w:val="26"/>
        </w:rPr>
        <w:t>.</w:t>
      </w:r>
      <w:r>
        <w:rPr>
          <w:rFonts w:ascii="Palatino Linotype" w:eastAsia="Palatino Linotype" w:hAnsi="Palatino Linotype" w:cs="Palatino Linotype"/>
          <w:b/>
          <w:color w:val="222222"/>
        </w:rPr>
        <w:t xml:space="preserve"> Hágase del conocimiento</w:t>
      </w:r>
      <w:r>
        <w:rPr>
          <w:rFonts w:ascii="Palatino Linotype" w:eastAsia="Palatino Linotype" w:hAnsi="Palatino Linotype" w:cs="Palatino Linotype"/>
          <w:color w:val="222222"/>
        </w:rPr>
        <w:t xml:space="preserve"> al </w:t>
      </w:r>
      <w:r>
        <w:rPr>
          <w:rFonts w:ascii="Palatino Linotype" w:eastAsia="Palatino Linotype" w:hAnsi="Palatino Linotype" w:cs="Palatino Linotype"/>
          <w:b/>
        </w:rPr>
        <w:t>RECURRENTE</w:t>
      </w:r>
      <w:r>
        <w:rPr>
          <w:rFonts w:ascii="Palatino Linotype" w:eastAsia="Palatino Linotype" w:hAnsi="Palatino Linotype" w:cs="Palatino Linotype"/>
          <w:color w:val="222222"/>
        </w:rPr>
        <w:t xml:space="preserve"> que de </w:t>
      </w:r>
      <w:r>
        <w:rPr>
          <w:rFonts w:ascii="Palatino Linotype" w:eastAsia="Palatino Linotype" w:hAnsi="Palatino Linotype" w:cs="Palatino Linotype"/>
        </w:rPr>
        <w:t>conformidad</w:t>
      </w:r>
      <w:r>
        <w:rPr>
          <w:rFonts w:ascii="Palatino Linotype" w:eastAsia="Palatino Linotype" w:hAnsi="Palatino Linotype" w:cs="Palatino Linotype"/>
          <w:color w:val="222222"/>
        </w:rPr>
        <w:t xml:space="preserve"> con lo establecido en el artículo 196 de la Ley de Transparencia y Acceso a la Información Pública del Estado de México y Municipios, podrá impugnarla vía Juicio de Amparo en los términos de las leyes aplicables.</w:t>
      </w:r>
    </w:p>
    <w:p w14:paraId="63169071" w14:textId="77777777" w:rsidR="00D45159" w:rsidRDefault="00D45159">
      <w:pPr>
        <w:spacing w:line="360" w:lineRule="auto"/>
        <w:jc w:val="both"/>
        <w:rPr>
          <w:rFonts w:ascii="Palatino Linotype" w:eastAsia="Palatino Linotype" w:hAnsi="Palatino Linotype" w:cs="Palatino Linotype"/>
          <w:b/>
        </w:rPr>
      </w:pPr>
    </w:p>
    <w:p w14:paraId="73B02A45" w14:textId="77777777" w:rsidR="00D45159" w:rsidRDefault="004C2F5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8622EE">
        <w:rPr>
          <w:rFonts w:ascii="Palatino Linotype" w:eastAsia="Palatino Linotype" w:hAnsi="Palatino Linotype" w:cs="Palatino Linotype"/>
        </w:rPr>
        <w:t>ALUPE RAMÍREZ PEÑA; EN LA DÉCIMA</w:t>
      </w:r>
      <w:r>
        <w:rPr>
          <w:rFonts w:ascii="Palatino Linotype" w:eastAsia="Palatino Linotype" w:hAnsi="Palatino Linotype" w:cs="Palatino Linotype"/>
        </w:rPr>
        <w:t xml:space="preserve"> SEXTA SESIÓN ORDINARIA CELEBRADA EL CUATRO DE MAYO DE DOS MIL VEINTIDÓS, ANTE EL SECRETARIO TÉCNICO DEL PLENO, ALEXIS TAPIA RAMÍREZ.</w:t>
      </w:r>
    </w:p>
    <w:p w14:paraId="4852967F" w14:textId="77777777" w:rsidR="00D45159" w:rsidRDefault="004C2F5C">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14:paraId="236462AD" w14:textId="77777777" w:rsidR="00D45159" w:rsidRDefault="004C2F5C">
      <w:pPr>
        <w:rPr>
          <w:rFonts w:ascii="Palatino Linotype" w:eastAsia="Palatino Linotype" w:hAnsi="Palatino Linotype" w:cs="Palatino Linotype"/>
        </w:rPr>
      </w:pPr>
      <w:r>
        <w:br w:type="page"/>
      </w:r>
    </w:p>
    <w:p w14:paraId="5D2A46D6" w14:textId="77777777" w:rsidR="00D45159" w:rsidRDefault="00D45159">
      <w:pPr>
        <w:spacing w:line="360" w:lineRule="auto"/>
        <w:jc w:val="both"/>
        <w:rPr>
          <w:rFonts w:ascii="Palatino Linotype" w:eastAsia="Palatino Linotype" w:hAnsi="Palatino Linotype" w:cs="Palatino Linotype"/>
        </w:rPr>
      </w:pPr>
    </w:p>
    <w:p w14:paraId="39EC5E3A" w14:textId="77777777" w:rsidR="00D45159" w:rsidRDefault="00D45159">
      <w:pPr>
        <w:spacing w:line="360" w:lineRule="auto"/>
        <w:jc w:val="both"/>
        <w:rPr>
          <w:rFonts w:ascii="Palatino Linotype" w:eastAsia="Palatino Linotype" w:hAnsi="Palatino Linotype" w:cs="Palatino Linotype"/>
        </w:rPr>
      </w:pPr>
    </w:p>
    <w:p w14:paraId="3BE7B2C8" w14:textId="77777777" w:rsidR="00D45159" w:rsidRDefault="00D45159">
      <w:pPr>
        <w:spacing w:line="360" w:lineRule="auto"/>
        <w:jc w:val="both"/>
        <w:rPr>
          <w:rFonts w:ascii="Palatino Linotype" w:eastAsia="Palatino Linotype" w:hAnsi="Palatino Linotype" w:cs="Palatino Linotype"/>
        </w:rPr>
      </w:pPr>
    </w:p>
    <w:p w14:paraId="42C28915" w14:textId="77777777" w:rsidR="00D45159" w:rsidRDefault="00D45159">
      <w:pPr>
        <w:spacing w:line="360" w:lineRule="auto"/>
        <w:jc w:val="both"/>
        <w:rPr>
          <w:rFonts w:ascii="Palatino Linotype" w:eastAsia="Palatino Linotype" w:hAnsi="Palatino Linotype" w:cs="Palatino Linotype"/>
        </w:rPr>
      </w:pPr>
    </w:p>
    <w:p w14:paraId="3C11D015" w14:textId="77777777" w:rsidR="00D45159" w:rsidRDefault="00D45159">
      <w:pPr>
        <w:spacing w:line="360" w:lineRule="auto"/>
        <w:jc w:val="both"/>
        <w:rPr>
          <w:rFonts w:ascii="Palatino Linotype" w:eastAsia="Palatino Linotype" w:hAnsi="Palatino Linotype" w:cs="Palatino Linotype"/>
        </w:rPr>
      </w:pPr>
    </w:p>
    <w:p w14:paraId="12688D39" w14:textId="77777777" w:rsidR="00D45159" w:rsidRDefault="00D45159">
      <w:pPr>
        <w:spacing w:line="360" w:lineRule="auto"/>
        <w:jc w:val="both"/>
        <w:rPr>
          <w:rFonts w:ascii="Palatino Linotype" w:eastAsia="Palatino Linotype" w:hAnsi="Palatino Linotype" w:cs="Palatino Linotype"/>
        </w:rPr>
      </w:pPr>
    </w:p>
    <w:p w14:paraId="4FFE8425" w14:textId="77777777" w:rsidR="00D45159" w:rsidRDefault="00D45159">
      <w:pPr>
        <w:spacing w:line="360" w:lineRule="auto"/>
        <w:jc w:val="both"/>
        <w:rPr>
          <w:rFonts w:ascii="Palatino Linotype" w:eastAsia="Palatino Linotype" w:hAnsi="Palatino Linotype" w:cs="Palatino Linotype"/>
        </w:rPr>
      </w:pPr>
    </w:p>
    <w:p w14:paraId="7220615F" w14:textId="77777777" w:rsidR="00D45159" w:rsidRDefault="00D45159">
      <w:pPr>
        <w:spacing w:line="360" w:lineRule="auto"/>
        <w:jc w:val="both"/>
        <w:rPr>
          <w:rFonts w:ascii="Palatino Linotype" w:eastAsia="Palatino Linotype" w:hAnsi="Palatino Linotype" w:cs="Palatino Linotype"/>
        </w:rPr>
      </w:pPr>
    </w:p>
    <w:p w14:paraId="5F4462DC" w14:textId="77777777" w:rsidR="00D45159" w:rsidRDefault="00D45159">
      <w:pPr>
        <w:spacing w:line="360" w:lineRule="auto"/>
        <w:jc w:val="both"/>
        <w:rPr>
          <w:rFonts w:ascii="Palatino Linotype" w:eastAsia="Palatino Linotype" w:hAnsi="Palatino Linotype" w:cs="Palatino Linotype"/>
        </w:rPr>
      </w:pPr>
    </w:p>
    <w:p w14:paraId="5D917ABF" w14:textId="77777777" w:rsidR="00D45159" w:rsidRDefault="00D45159">
      <w:pPr>
        <w:spacing w:line="360" w:lineRule="auto"/>
        <w:jc w:val="both"/>
        <w:rPr>
          <w:rFonts w:ascii="Palatino Linotype" w:eastAsia="Palatino Linotype" w:hAnsi="Palatino Linotype" w:cs="Palatino Linotype"/>
        </w:rPr>
      </w:pPr>
    </w:p>
    <w:p w14:paraId="311ECFA6" w14:textId="77777777" w:rsidR="00D45159" w:rsidRDefault="00D45159">
      <w:pPr>
        <w:spacing w:line="360" w:lineRule="auto"/>
        <w:jc w:val="both"/>
        <w:rPr>
          <w:rFonts w:ascii="Palatino Linotype" w:eastAsia="Palatino Linotype" w:hAnsi="Palatino Linotype" w:cs="Palatino Linotype"/>
        </w:rPr>
      </w:pPr>
    </w:p>
    <w:p w14:paraId="0610DA1E" w14:textId="77777777" w:rsidR="00D45159" w:rsidRDefault="00D45159">
      <w:pPr>
        <w:spacing w:line="360" w:lineRule="auto"/>
        <w:jc w:val="both"/>
        <w:rPr>
          <w:rFonts w:ascii="Palatino Linotype" w:eastAsia="Palatino Linotype" w:hAnsi="Palatino Linotype" w:cs="Palatino Linotype"/>
        </w:rPr>
      </w:pPr>
    </w:p>
    <w:p w14:paraId="4F8C56F6" w14:textId="77777777" w:rsidR="00D45159" w:rsidRDefault="00D45159">
      <w:pPr>
        <w:spacing w:line="360" w:lineRule="auto"/>
        <w:jc w:val="both"/>
        <w:rPr>
          <w:rFonts w:ascii="Palatino Linotype" w:eastAsia="Palatino Linotype" w:hAnsi="Palatino Linotype" w:cs="Palatino Linotype"/>
        </w:rPr>
      </w:pPr>
    </w:p>
    <w:p w14:paraId="55F0FFB2" w14:textId="77777777" w:rsidR="00D45159" w:rsidRDefault="00D45159">
      <w:pPr>
        <w:spacing w:line="360" w:lineRule="auto"/>
        <w:jc w:val="both"/>
        <w:rPr>
          <w:rFonts w:ascii="Palatino Linotype" w:eastAsia="Palatino Linotype" w:hAnsi="Palatino Linotype" w:cs="Palatino Linotype"/>
        </w:rPr>
      </w:pPr>
    </w:p>
    <w:p w14:paraId="198E31D3" w14:textId="77777777" w:rsidR="00D45159" w:rsidRDefault="00D45159">
      <w:pPr>
        <w:spacing w:line="360" w:lineRule="auto"/>
        <w:jc w:val="both"/>
        <w:rPr>
          <w:rFonts w:ascii="Palatino Linotype" w:eastAsia="Palatino Linotype" w:hAnsi="Palatino Linotype" w:cs="Palatino Linotype"/>
        </w:rPr>
      </w:pPr>
    </w:p>
    <w:p w14:paraId="7F1A1D2D" w14:textId="77777777" w:rsidR="00D45159" w:rsidRDefault="00D45159">
      <w:pPr>
        <w:spacing w:line="360" w:lineRule="auto"/>
        <w:jc w:val="both"/>
        <w:rPr>
          <w:rFonts w:ascii="Palatino Linotype" w:eastAsia="Palatino Linotype" w:hAnsi="Palatino Linotype" w:cs="Palatino Linotype"/>
        </w:rPr>
      </w:pPr>
    </w:p>
    <w:p w14:paraId="27DE4A06" w14:textId="77777777" w:rsidR="00D45159" w:rsidRDefault="00D45159">
      <w:pPr>
        <w:spacing w:line="360" w:lineRule="auto"/>
        <w:jc w:val="both"/>
        <w:rPr>
          <w:rFonts w:ascii="Palatino Linotype" w:eastAsia="Palatino Linotype" w:hAnsi="Palatino Linotype" w:cs="Palatino Linotype"/>
        </w:rPr>
      </w:pPr>
    </w:p>
    <w:p w14:paraId="15CA99A1" w14:textId="77777777" w:rsidR="00D45159" w:rsidRDefault="00D45159">
      <w:pPr>
        <w:spacing w:line="360" w:lineRule="auto"/>
        <w:jc w:val="both"/>
        <w:rPr>
          <w:rFonts w:ascii="Palatino Linotype" w:eastAsia="Palatino Linotype" w:hAnsi="Palatino Linotype" w:cs="Palatino Linotype"/>
        </w:rPr>
      </w:pPr>
    </w:p>
    <w:sectPr w:rsidR="00D45159">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1903D" w14:textId="77777777" w:rsidR="00CB64BC" w:rsidRDefault="00CB64BC">
      <w:r>
        <w:separator/>
      </w:r>
    </w:p>
  </w:endnote>
  <w:endnote w:type="continuationSeparator" w:id="0">
    <w:p w14:paraId="1E0C5312" w14:textId="77777777" w:rsidR="00CB64BC" w:rsidRDefault="00CB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2AC6C" w14:textId="77777777" w:rsidR="00D45159" w:rsidRDefault="004C2F5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92793">
      <w:rPr>
        <w:rFonts w:ascii="Palatino Linotype" w:eastAsia="Palatino Linotype" w:hAnsi="Palatino Linotype" w:cs="Palatino Linotype"/>
        <w:noProof/>
        <w:color w:val="000000"/>
        <w:sz w:val="22"/>
        <w:szCs w:val="22"/>
      </w:rPr>
      <w:t>14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92793">
      <w:rPr>
        <w:rFonts w:ascii="Palatino Linotype" w:eastAsia="Palatino Linotype" w:hAnsi="Palatino Linotype" w:cs="Palatino Linotype"/>
        <w:noProof/>
        <w:color w:val="000000"/>
        <w:sz w:val="22"/>
        <w:szCs w:val="22"/>
      </w:rPr>
      <w:t>18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95197" w14:textId="77777777" w:rsidR="00D45159" w:rsidRDefault="004C2F5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9279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92793">
      <w:rPr>
        <w:rFonts w:ascii="Palatino Linotype" w:eastAsia="Palatino Linotype" w:hAnsi="Palatino Linotype" w:cs="Palatino Linotype"/>
        <w:noProof/>
        <w:color w:val="000000"/>
        <w:sz w:val="22"/>
        <w:szCs w:val="22"/>
      </w:rPr>
      <w:t>18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AA14C" w14:textId="77777777" w:rsidR="00CB64BC" w:rsidRDefault="00CB64BC">
      <w:r>
        <w:separator/>
      </w:r>
    </w:p>
  </w:footnote>
  <w:footnote w:type="continuationSeparator" w:id="0">
    <w:p w14:paraId="1FB1D148" w14:textId="77777777" w:rsidR="00CB64BC" w:rsidRDefault="00CB64BC">
      <w:r>
        <w:continuationSeparator/>
      </w:r>
    </w:p>
  </w:footnote>
  <w:footnote w:id="1">
    <w:p w14:paraId="51DB51B9" w14:textId="77777777" w:rsidR="00D45159" w:rsidRDefault="004C2F5C">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FF3E0" w14:textId="77777777" w:rsidR="00D45159" w:rsidRDefault="00CB64BC">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CC427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4B98B" w14:textId="77777777" w:rsidR="00D45159" w:rsidRDefault="00CB64B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3C38B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2"/>
      <w:tblW w:w="9534" w:type="dxa"/>
      <w:tblInd w:w="-142" w:type="dxa"/>
      <w:tblLayout w:type="fixed"/>
      <w:tblLook w:val="0400" w:firstRow="0" w:lastRow="0" w:firstColumn="0" w:lastColumn="0" w:noHBand="0" w:noVBand="1"/>
    </w:tblPr>
    <w:tblGrid>
      <w:gridCol w:w="3261"/>
      <w:gridCol w:w="2551"/>
      <w:gridCol w:w="3722"/>
    </w:tblGrid>
    <w:tr w:rsidR="00D45159" w14:paraId="561D3A24" w14:textId="77777777">
      <w:tc>
        <w:tcPr>
          <w:tcW w:w="3261" w:type="dxa"/>
          <w:vMerge w:val="restart"/>
        </w:tcPr>
        <w:p w14:paraId="23BEBF12" w14:textId="77777777" w:rsidR="00D45159" w:rsidRDefault="004C2F5C">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75482F2" wp14:editId="30306338">
                <wp:extent cx="1692162" cy="852673"/>
                <wp:effectExtent l="0" t="0" r="0" b="0"/>
                <wp:docPr id="8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7B4EA81" w14:textId="77777777" w:rsidR="00D45159" w:rsidRDefault="004C2F5C">
          <w:pPr>
            <w:rPr>
              <w:rFonts w:ascii="Palatino Linotype" w:eastAsia="Palatino Linotype" w:hAnsi="Palatino Linotype" w:cs="Palatino Linotype"/>
              <w:b/>
            </w:rPr>
          </w:pPr>
          <w:r>
            <w:rPr>
              <w:rFonts w:ascii="Palatino Linotype" w:eastAsia="Palatino Linotype" w:hAnsi="Palatino Linotype" w:cs="Palatino Linotype"/>
              <w:b/>
            </w:rPr>
            <w:t xml:space="preserve">Recurso de </w:t>
          </w:r>
          <w:r w:rsidR="00592069">
            <w:rPr>
              <w:rFonts w:ascii="Palatino Linotype" w:eastAsia="Palatino Linotype" w:hAnsi="Palatino Linotype" w:cs="Palatino Linotype"/>
              <w:b/>
            </w:rPr>
            <w:t>R</w:t>
          </w:r>
          <w:r>
            <w:rPr>
              <w:rFonts w:ascii="Palatino Linotype" w:eastAsia="Palatino Linotype" w:hAnsi="Palatino Linotype" w:cs="Palatino Linotype"/>
              <w:b/>
            </w:rPr>
            <w:t>evisión:</w:t>
          </w:r>
        </w:p>
      </w:tc>
      <w:tc>
        <w:tcPr>
          <w:tcW w:w="3722" w:type="dxa"/>
          <w:shd w:val="clear" w:color="auto" w:fill="auto"/>
          <w:vAlign w:val="center"/>
        </w:tcPr>
        <w:p w14:paraId="22955652" w14:textId="77777777" w:rsidR="00D45159" w:rsidRDefault="004C2F5C">
          <w:pPr>
            <w:jc w:val="both"/>
            <w:rPr>
              <w:rFonts w:ascii="Palatino Linotype" w:eastAsia="Palatino Linotype" w:hAnsi="Palatino Linotype" w:cs="Palatino Linotype"/>
              <w:b/>
            </w:rPr>
          </w:pPr>
          <w:r>
            <w:rPr>
              <w:rFonts w:ascii="Palatino Linotype" w:eastAsia="Palatino Linotype" w:hAnsi="Palatino Linotype" w:cs="Palatino Linotype"/>
              <w:b/>
            </w:rPr>
            <w:t>01047/INFOEM/IP/RR/2022</w:t>
          </w:r>
        </w:p>
      </w:tc>
    </w:tr>
    <w:tr w:rsidR="00D45159" w14:paraId="381D6EAE" w14:textId="77777777">
      <w:tc>
        <w:tcPr>
          <w:tcW w:w="3261" w:type="dxa"/>
          <w:vMerge/>
        </w:tcPr>
        <w:p w14:paraId="3A4C5351" w14:textId="77777777" w:rsidR="00D45159" w:rsidRDefault="00D4515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D2514E8" w14:textId="77777777" w:rsidR="00D45159" w:rsidRDefault="004C2F5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329FD0E3" w14:textId="77777777" w:rsidR="00D45159" w:rsidRDefault="004C2F5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Toluca </w:t>
          </w:r>
        </w:p>
      </w:tc>
    </w:tr>
    <w:tr w:rsidR="00D45159" w14:paraId="29A0F339" w14:textId="77777777">
      <w:trPr>
        <w:trHeight w:val="228"/>
      </w:trPr>
      <w:tc>
        <w:tcPr>
          <w:tcW w:w="3261" w:type="dxa"/>
          <w:vMerge/>
        </w:tcPr>
        <w:p w14:paraId="5C2BD75C" w14:textId="77777777" w:rsidR="00D45159" w:rsidRDefault="00D4515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8F1CF92" w14:textId="77777777" w:rsidR="00D45159" w:rsidRDefault="004C2F5C">
          <w:pPr>
            <w:rPr>
              <w:rFonts w:ascii="Palatino Linotype" w:eastAsia="Palatino Linotype" w:hAnsi="Palatino Linotype" w:cs="Palatino Linotype"/>
              <w:b/>
            </w:rPr>
          </w:pPr>
          <w:r>
            <w:rPr>
              <w:rFonts w:ascii="Palatino Linotype" w:eastAsia="Palatino Linotype" w:hAnsi="Palatino Linotype" w:cs="Palatino Linotype"/>
              <w:b/>
            </w:rPr>
            <w:t>Comisionad</w:t>
          </w:r>
          <w:r w:rsidR="00592069">
            <w:rPr>
              <w:rFonts w:ascii="Palatino Linotype" w:eastAsia="Palatino Linotype" w:hAnsi="Palatino Linotype" w:cs="Palatino Linotype"/>
              <w:b/>
            </w:rPr>
            <w:t>a</w:t>
          </w:r>
          <w:r>
            <w:rPr>
              <w:rFonts w:ascii="Palatino Linotype" w:eastAsia="Palatino Linotype" w:hAnsi="Palatino Linotype" w:cs="Palatino Linotype"/>
              <w:b/>
            </w:rPr>
            <w:t xml:space="preserve"> Ponente:</w:t>
          </w:r>
        </w:p>
      </w:tc>
      <w:tc>
        <w:tcPr>
          <w:tcW w:w="3722" w:type="dxa"/>
          <w:shd w:val="clear" w:color="auto" w:fill="auto"/>
        </w:tcPr>
        <w:p w14:paraId="0FB4E424" w14:textId="77777777" w:rsidR="00D45159" w:rsidRDefault="004C2F5C">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1E9FA9C0" w14:textId="77777777" w:rsidR="00D45159" w:rsidRDefault="00D4515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35F03" w14:textId="77777777" w:rsidR="00D45159" w:rsidRDefault="00CB64BC">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B5B24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3"/>
      <w:tblW w:w="9900" w:type="dxa"/>
      <w:tblInd w:w="-833" w:type="dxa"/>
      <w:tblLayout w:type="fixed"/>
      <w:tblLook w:val="0400" w:firstRow="0" w:lastRow="0" w:firstColumn="0" w:lastColumn="0" w:noHBand="0" w:noVBand="1"/>
    </w:tblPr>
    <w:tblGrid>
      <w:gridCol w:w="3805"/>
      <w:gridCol w:w="3000"/>
      <w:gridCol w:w="3095"/>
    </w:tblGrid>
    <w:tr w:rsidR="00D45159" w14:paraId="00907F3C" w14:textId="77777777">
      <w:tc>
        <w:tcPr>
          <w:tcW w:w="3805" w:type="dxa"/>
          <w:vMerge w:val="restart"/>
          <w:shd w:val="clear" w:color="auto" w:fill="auto"/>
        </w:tcPr>
        <w:p w14:paraId="4300B9C0" w14:textId="77777777" w:rsidR="00D45159" w:rsidRDefault="004C2F5C">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2A739AF" wp14:editId="645CA964">
                <wp:extent cx="1692162" cy="852673"/>
                <wp:effectExtent l="0" t="0" r="0" b="0"/>
                <wp:docPr id="8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0DE2D56B" w14:textId="77777777" w:rsidR="00D45159" w:rsidRDefault="008622EE">
          <w:pPr>
            <w:rPr>
              <w:rFonts w:ascii="Palatino Linotype" w:eastAsia="Palatino Linotype" w:hAnsi="Palatino Linotype" w:cs="Palatino Linotype"/>
              <w:b/>
            </w:rPr>
          </w:pPr>
          <w:r>
            <w:rPr>
              <w:rFonts w:ascii="Palatino Linotype" w:eastAsia="Palatino Linotype" w:hAnsi="Palatino Linotype" w:cs="Palatino Linotype"/>
              <w:b/>
            </w:rPr>
            <w:t>Recurso de R</w:t>
          </w:r>
          <w:r w:rsidR="004C2F5C">
            <w:rPr>
              <w:rFonts w:ascii="Palatino Linotype" w:eastAsia="Palatino Linotype" w:hAnsi="Palatino Linotype" w:cs="Palatino Linotype"/>
              <w:b/>
            </w:rPr>
            <w:t>evisión:</w:t>
          </w:r>
        </w:p>
      </w:tc>
      <w:tc>
        <w:tcPr>
          <w:tcW w:w="3095" w:type="dxa"/>
          <w:shd w:val="clear" w:color="auto" w:fill="auto"/>
          <w:vAlign w:val="center"/>
        </w:tcPr>
        <w:p w14:paraId="5222151B" w14:textId="77777777" w:rsidR="00D45159" w:rsidRDefault="004C2F5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01047/INFOEM/IP/RR/2022 </w:t>
          </w:r>
        </w:p>
      </w:tc>
    </w:tr>
    <w:tr w:rsidR="00D45159" w14:paraId="65C388E7" w14:textId="77777777">
      <w:tc>
        <w:tcPr>
          <w:tcW w:w="3805" w:type="dxa"/>
          <w:vMerge/>
          <w:shd w:val="clear" w:color="auto" w:fill="auto"/>
        </w:tcPr>
        <w:p w14:paraId="426DCCC8" w14:textId="77777777" w:rsidR="00D45159" w:rsidRDefault="00D4515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955E00A" w14:textId="77777777" w:rsidR="00D45159" w:rsidRDefault="004C2F5C">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3E80943C" w14:textId="21EB0C49" w:rsidR="00D45159" w:rsidRDefault="0019279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XXXXX XXXXXXX </w:t>
          </w:r>
          <w:proofErr w:type="spellStart"/>
          <w:r>
            <w:rPr>
              <w:rFonts w:ascii="Palatino Linotype" w:eastAsia="Palatino Linotype" w:hAnsi="Palatino Linotype" w:cs="Palatino Linotype"/>
              <w:b/>
            </w:rPr>
            <w:t>XXXXXXX</w:t>
          </w:r>
          <w:proofErr w:type="spellEnd"/>
        </w:p>
      </w:tc>
    </w:tr>
    <w:tr w:rsidR="00D45159" w14:paraId="7D72A185" w14:textId="77777777">
      <w:trPr>
        <w:trHeight w:val="228"/>
      </w:trPr>
      <w:tc>
        <w:tcPr>
          <w:tcW w:w="3805" w:type="dxa"/>
          <w:vMerge/>
          <w:shd w:val="clear" w:color="auto" w:fill="auto"/>
        </w:tcPr>
        <w:p w14:paraId="1967EE39" w14:textId="77777777" w:rsidR="00D45159" w:rsidRDefault="00D4515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32AAE30" w14:textId="77777777" w:rsidR="00D45159" w:rsidRDefault="004C2F5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694B17" w14:textId="77777777" w:rsidR="00D45159" w:rsidRDefault="004C2F5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Toluca </w:t>
          </w:r>
        </w:p>
      </w:tc>
    </w:tr>
    <w:tr w:rsidR="00D45159" w14:paraId="0753C47C" w14:textId="77777777">
      <w:tc>
        <w:tcPr>
          <w:tcW w:w="3805" w:type="dxa"/>
          <w:vMerge/>
          <w:shd w:val="clear" w:color="auto" w:fill="auto"/>
        </w:tcPr>
        <w:p w14:paraId="31AB684C" w14:textId="77777777" w:rsidR="00D45159" w:rsidRDefault="00D4515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7CD048D" w14:textId="77777777" w:rsidR="00D45159" w:rsidRDefault="004C2F5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2F346001" w14:textId="77777777" w:rsidR="00D45159" w:rsidRDefault="004C2F5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33A56C6A" w14:textId="77777777" w:rsidR="00D45159" w:rsidRDefault="00D45159">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159"/>
    <w:rsid w:val="00192793"/>
    <w:rsid w:val="004C2F5C"/>
    <w:rsid w:val="00592069"/>
    <w:rsid w:val="005C63A8"/>
    <w:rsid w:val="005D2822"/>
    <w:rsid w:val="00721EC5"/>
    <w:rsid w:val="008622EE"/>
    <w:rsid w:val="0096069E"/>
    <w:rsid w:val="00A1352C"/>
    <w:rsid w:val="00A57024"/>
    <w:rsid w:val="00C963F6"/>
    <w:rsid w:val="00CB64BC"/>
    <w:rsid w:val="00D45159"/>
    <w:rsid w:val="00EE36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4B44E9"/>
  <w15:docId w15:val="{824A98E4-A883-49E8-8E79-666DE856C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top w:w="100" w:type="dxa"/>
        <w:left w:w="100" w:type="dxa"/>
        <w:bottom w:w="100" w:type="dxa"/>
        <w:right w:w="100" w:type="dxa"/>
      </w:tblCellMar>
    </w:tblPr>
  </w:style>
  <w:style w:type="table" w:customStyle="1" w:styleId="a0">
    <w:basedOn w:val="TableNormalb"/>
    <w:tblPr>
      <w:tblStyleRowBandSize w:val="1"/>
      <w:tblStyleColBandSize w:val="1"/>
      <w:tblCellMar>
        <w:left w:w="115" w:type="dxa"/>
        <w:right w:w="115" w:type="dxa"/>
      </w:tblCellMar>
    </w:tblPr>
  </w:style>
  <w:style w:type="table" w:customStyle="1" w:styleId="a1">
    <w:basedOn w:val="TableNormalb"/>
    <w:tblPr>
      <w:tblStyleRowBandSize w:val="1"/>
      <w:tblStyleColBandSize w:val="1"/>
      <w:tblCellMar>
        <w:left w:w="115" w:type="dxa"/>
        <w:right w:w="115" w:type="dxa"/>
      </w:tblCellMar>
    </w:tblPr>
  </w:style>
  <w:style w:type="table" w:customStyle="1" w:styleId="a2">
    <w:basedOn w:val="TableNormalb"/>
    <w:tblPr>
      <w:tblStyleRowBandSize w:val="1"/>
      <w:tblStyleColBandSize w:val="1"/>
      <w:tblCellMar>
        <w:left w:w="115" w:type="dxa"/>
        <w:right w:w="115" w:type="dxa"/>
      </w:tblCellMar>
    </w:tblPr>
  </w:style>
  <w:style w:type="table" w:customStyle="1" w:styleId="a3">
    <w:basedOn w:val="TableNormalb"/>
    <w:tblPr>
      <w:tblStyleRowBandSize w:val="1"/>
      <w:tblStyleColBandSize w:val="1"/>
      <w:tblCellMar>
        <w:left w:w="115" w:type="dxa"/>
        <w:right w:w="115" w:type="dxa"/>
      </w:tblCellMar>
    </w:tblPr>
  </w:style>
  <w:style w:type="table" w:customStyle="1" w:styleId="a4">
    <w:basedOn w:val="TableNormalb"/>
    <w:tblPr>
      <w:tblStyleRowBandSize w:val="1"/>
      <w:tblStyleColBandSize w:val="1"/>
      <w:tblCellMar>
        <w:left w:w="115" w:type="dxa"/>
        <w:right w:w="115" w:type="dxa"/>
      </w:tblCellMar>
    </w:tblPr>
  </w:style>
  <w:style w:type="table" w:customStyle="1" w:styleId="a5">
    <w:basedOn w:val="TableNormalb"/>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b"/>
    <w:tblPr>
      <w:tblStyleRowBandSize w:val="1"/>
      <w:tblStyleColBandSize w:val="1"/>
      <w:tblCellMar>
        <w:left w:w="115" w:type="dxa"/>
        <w:right w:w="115" w:type="dxa"/>
      </w:tblCellMar>
    </w:tblPr>
  </w:style>
  <w:style w:type="table" w:customStyle="1" w:styleId="a7">
    <w:basedOn w:val="TableNormalb"/>
    <w:tblPr>
      <w:tblStyleRowBandSize w:val="1"/>
      <w:tblStyleColBandSize w:val="1"/>
      <w:tblCellMar>
        <w:left w:w="115" w:type="dxa"/>
        <w:right w:w="115" w:type="dxa"/>
      </w:tblCellMar>
    </w:tblPr>
  </w:style>
  <w:style w:type="table" w:customStyle="1" w:styleId="a8">
    <w:basedOn w:val="TableNormalb"/>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b"/>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yDDNtHwC6dAVv2mhktMzdkWMbw==">AMUW2mWpzbSZzuOJWdYQYQUXl1ohNC90lbnVYf7RBL1R/MKs5HhWmQepiKjop2yf0rLf9ATEb9dXB4WDtl5SIgVoxcSQ1M4tv/Dnra+u7cQxgBNkrOSkpzPoA4dEk/MCpbVQbUKfYnL8QsvVn0ZffJ+6yJ3PZPSH7I8yn6aOM9miSs4Mr4Gpe3DywZ+r4WQhySw7kzHbKPy04hbxJF2PjsjyMrKck1Si8Q==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3930</Words>
  <Characters>21618</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6</cp:revision>
  <cp:lastPrinted>2022-05-09T05:39:00Z</cp:lastPrinted>
  <dcterms:created xsi:type="dcterms:W3CDTF">2022-04-29T01:51:00Z</dcterms:created>
  <dcterms:modified xsi:type="dcterms:W3CDTF">2022-05-23T13:46:00Z</dcterms:modified>
</cp:coreProperties>
</file>