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3006" w:rsidRDefault="00F5337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w:t>
      </w:r>
      <w:r>
        <w:rPr>
          <w:rFonts w:ascii="Palatino Linotype" w:eastAsia="Palatino Linotype" w:hAnsi="Palatino Linotype" w:cs="Palatino Linotype"/>
          <w:b/>
        </w:rPr>
        <w:t>tres de agosto del dos mil veintidós</w:t>
      </w:r>
      <w:r>
        <w:rPr>
          <w:rFonts w:ascii="Palatino Linotype" w:eastAsia="Palatino Linotype" w:hAnsi="Palatino Linotype" w:cs="Palatino Linotype"/>
        </w:rPr>
        <w:t>.</w:t>
      </w:r>
    </w:p>
    <w:p w:rsidR="00E43006" w:rsidRDefault="00F5337A">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sz w:val="22"/>
          <w:szCs w:val="22"/>
        </w:rPr>
        <w:t>03954/INFOEM/IP/RR/2022</w:t>
      </w:r>
      <w:r>
        <w:rPr>
          <w:rFonts w:ascii="Palatino Linotype" w:eastAsia="Palatino Linotype" w:hAnsi="Palatino Linotype" w:cs="Palatino Linotype"/>
        </w:rPr>
        <w:t xml:space="preserve">, interpuesto por </w:t>
      </w:r>
      <w:r>
        <w:rPr>
          <w:rFonts w:ascii="Palatino Linotype" w:eastAsia="Palatino Linotype" w:hAnsi="Palatino Linotype" w:cs="Palatino Linotype"/>
          <w:b/>
        </w:rPr>
        <w:t>un particular de manera anónima,</w:t>
      </w:r>
      <w:r>
        <w:rPr>
          <w:rFonts w:ascii="Palatino Linotype" w:eastAsia="Palatino Linotype" w:hAnsi="Palatino Linotype" w:cs="Palatino Linotype"/>
        </w:rPr>
        <w:t xml:space="preserve"> a quien en lo sucesivo se le denominará </w:t>
      </w:r>
      <w:r>
        <w:rPr>
          <w:rFonts w:ascii="Palatino Linotype" w:eastAsia="Palatino Linotype" w:hAnsi="Palatino Linotype" w:cs="Palatino Linotype"/>
          <w:b/>
        </w:rPr>
        <w:t>la parte Recurrente</w:t>
      </w:r>
      <w:r>
        <w:rPr>
          <w:rFonts w:ascii="Palatino Linotype" w:eastAsia="Palatino Linotype" w:hAnsi="Palatino Linotype" w:cs="Palatino Linotype"/>
          <w:b/>
          <w:i/>
        </w:rPr>
        <w:t xml:space="preserve"> </w:t>
      </w:r>
      <w:r>
        <w:rPr>
          <w:rFonts w:ascii="Palatino Linotype" w:eastAsia="Palatino Linotype" w:hAnsi="Palatino Linotype" w:cs="Palatino Linotype"/>
        </w:rPr>
        <w:t>en contra de la respuesta a su solicitud de información con número de folio</w:t>
      </w:r>
      <w:r>
        <w:rPr>
          <w:rFonts w:ascii="Verdana" w:eastAsia="Verdana" w:hAnsi="Verdana" w:cs="Verdana"/>
          <w:b/>
          <w:color w:val="FF0000"/>
        </w:rPr>
        <w:t> </w:t>
      </w:r>
      <w:r>
        <w:rPr>
          <w:rFonts w:ascii="Palatino Linotype" w:eastAsia="Palatino Linotype" w:hAnsi="Palatino Linotype" w:cs="Palatino Linotype"/>
          <w:b/>
          <w:sz w:val="22"/>
          <w:szCs w:val="22"/>
        </w:rPr>
        <w:t>00107/CHICOLOA/IP/2022</w:t>
      </w:r>
      <w:r>
        <w:rPr>
          <w:rFonts w:ascii="Palatino Linotype" w:eastAsia="Palatino Linotype" w:hAnsi="Palatino Linotype" w:cs="Palatino Linotype"/>
          <w:b/>
        </w:rPr>
        <w:t>,</w:t>
      </w:r>
      <w:r>
        <w:rPr>
          <w:rFonts w:ascii="Palatino Linotype" w:eastAsia="Palatino Linotype" w:hAnsi="Palatino Linotype" w:cs="Palatino Linotype"/>
        </w:rPr>
        <w:t xml:space="preserve"> otorgada por el </w:t>
      </w:r>
      <w:r>
        <w:rPr>
          <w:rFonts w:ascii="Palatino Linotype" w:eastAsia="Palatino Linotype" w:hAnsi="Palatino Linotype" w:cs="Palatino Linotype"/>
          <w:b/>
        </w:rPr>
        <w:t>Ayuntamiento de Chicoloapan</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Sujeto Obligado</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 procede a dictar la presente resolución, con base en lo siguiente. </w:t>
      </w:r>
    </w:p>
    <w:p w:rsidR="00E43006" w:rsidRDefault="00F5337A">
      <w:pPr>
        <w:pStyle w:val="Ttulo2"/>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I. A N T E C E D E N T E S:</w:t>
      </w:r>
    </w:p>
    <w:p w:rsidR="00E43006" w:rsidRDefault="00F5337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quince de marzo del dos mil veintidós,</w:t>
      </w:r>
      <w:r>
        <w:rPr>
          <w:rFonts w:ascii="Palatino Linotype" w:eastAsia="Palatino Linotype" w:hAnsi="Palatino Linotype" w:cs="Palatino Linotype"/>
        </w:rPr>
        <w:t xml:space="preserve"> la ahora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la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requiriendo lo siguiente:</w:t>
      </w:r>
    </w:p>
    <w:p w:rsidR="00E43006" w:rsidRDefault="00F5337A">
      <w:pPr>
        <w:spacing w:before="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anexa solicitud de información pública (Solicitud Chicoloapan.pdf) y tres anexos para pronta referencia de lo requerido en la solicitud de información..” (Sic)</w:t>
      </w:r>
    </w:p>
    <w:p w:rsidR="00E43006" w:rsidRDefault="00E43006">
      <w:pPr>
        <w:ind w:left="851" w:right="902"/>
        <w:jc w:val="both"/>
        <w:rPr>
          <w:rFonts w:ascii="Palatino Linotype" w:eastAsia="Palatino Linotype" w:hAnsi="Palatino Linotype" w:cs="Palatino Linotype"/>
        </w:rPr>
      </w:pPr>
    </w:p>
    <w:p w:rsidR="00E43006" w:rsidRDefault="00F5337A">
      <w:pPr>
        <w:spacing w:after="240"/>
        <w:ind w:right="902"/>
        <w:jc w:val="both"/>
        <w:rPr>
          <w:rFonts w:ascii="Palatino Linotype" w:eastAsia="Palatino Linotype" w:hAnsi="Palatino Linotype" w:cs="Palatino Linotype"/>
        </w:rPr>
      </w:pPr>
      <w:r>
        <w:rPr>
          <w:rFonts w:ascii="Palatino Linotype" w:eastAsia="Palatino Linotype" w:hAnsi="Palatino Linotype" w:cs="Palatino Linotype"/>
        </w:rPr>
        <w:t xml:space="preserve">Adjunto a su respuesta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proporcionó los archivos digitales siguientes: </w:t>
      </w:r>
    </w:p>
    <w:p w:rsidR="00E43006" w:rsidRDefault="00F5337A">
      <w:pPr>
        <w:numPr>
          <w:ilvl w:val="0"/>
          <w:numId w:val="10"/>
        </w:numPr>
        <w:pBdr>
          <w:top w:val="nil"/>
          <w:left w:val="nil"/>
          <w:bottom w:val="nil"/>
          <w:right w:val="nil"/>
          <w:between w:val="nil"/>
        </w:pBdr>
        <w:spacing w:before="240" w:line="360" w:lineRule="auto"/>
        <w:ind w:left="567" w:right="902"/>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Anexo 2.pdf:  </w:t>
      </w:r>
      <w:r>
        <w:rPr>
          <w:rFonts w:ascii="Palatino Linotype" w:eastAsia="Palatino Linotype" w:hAnsi="Palatino Linotype" w:cs="Palatino Linotype"/>
          <w:color w:val="000000"/>
        </w:rPr>
        <w:t xml:space="preserve"> documental en la que se incluye el escrito de respuesta proporcionada a la solicitud 00040/TEXCOCO/IP/2022 emitida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diverso como lo es el Ayuntamiento  de Texcoco;</w:t>
      </w:r>
    </w:p>
    <w:p w:rsidR="00E43006" w:rsidRDefault="00E43006">
      <w:pPr>
        <w:pBdr>
          <w:top w:val="nil"/>
          <w:left w:val="nil"/>
          <w:bottom w:val="nil"/>
          <w:right w:val="nil"/>
          <w:between w:val="nil"/>
        </w:pBdr>
        <w:spacing w:line="360" w:lineRule="auto"/>
        <w:ind w:left="567" w:right="902"/>
        <w:jc w:val="both"/>
        <w:rPr>
          <w:rFonts w:ascii="Palatino Linotype" w:eastAsia="Palatino Linotype" w:hAnsi="Palatino Linotype" w:cs="Palatino Linotype"/>
          <w:color w:val="000000"/>
        </w:rPr>
      </w:pPr>
    </w:p>
    <w:p w:rsidR="00E43006" w:rsidRDefault="00F5337A">
      <w:pPr>
        <w:numPr>
          <w:ilvl w:val="0"/>
          <w:numId w:val="10"/>
        </w:numPr>
        <w:pBdr>
          <w:top w:val="nil"/>
          <w:left w:val="nil"/>
          <w:bottom w:val="nil"/>
          <w:right w:val="nil"/>
          <w:between w:val="nil"/>
        </w:pBdr>
        <w:spacing w:after="240" w:line="360" w:lineRule="auto"/>
        <w:ind w:left="567" w:right="902"/>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lastRenderedPageBreak/>
        <w:t xml:space="preserve">Anexo 3.png:  </w:t>
      </w:r>
      <w:r>
        <w:rPr>
          <w:rFonts w:ascii="Palatino Linotype" w:eastAsia="Palatino Linotype" w:hAnsi="Palatino Linotype" w:cs="Palatino Linotype"/>
          <w:color w:val="000000"/>
        </w:rPr>
        <w:t xml:space="preserve"> documental en la que se incluye el siguiente gráfico.</w:t>
      </w:r>
    </w:p>
    <w:p w:rsidR="00E43006" w:rsidRDefault="00F5337A">
      <w:pPr>
        <w:spacing w:before="240"/>
        <w:ind w:left="2832" w:right="902"/>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2600511" cy="1647868"/>
            <wp:effectExtent l="0" t="0" r="0" b="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600511" cy="1647868"/>
                    </a:xfrm>
                    <a:prstGeom prst="rect">
                      <a:avLst/>
                    </a:prstGeom>
                    <a:ln/>
                  </pic:spPr>
                </pic:pic>
              </a:graphicData>
            </a:graphic>
          </wp:inline>
        </w:drawing>
      </w:r>
    </w:p>
    <w:p w:rsidR="00E43006" w:rsidRDefault="00E43006">
      <w:pPr>
        <w:ind w:right="902"/>
        <w:jc w:val="both"/>
        <w:rPr>
          <w:rFonts w:ascii="Palatino Linotype" w:eastAsia="Palatino Linotype" w:hAnsi="Palatino Linotype" w:cs="Palatino Linotype"/>
        </w:rPr>
      </w:pPr>
    </w:p>
    <w:p w:rsidR="00E43006" w:rsidRDefault="00E43006">
      <w:pPr>
        <w:ind w:right="902"/>
        <w:jc w:val="both"/>
        <w:rPr>
          <w:rFonts w:ascii="Palatino Linotype" w:eastAsia="Palatino Linotype" w:hAnsi="Palatino Linotype" w:cs="Palatino Linotype"/>
        </w:rPr>
      </w:pPr>
    </w:p>
    <w:p w:rsidR="00E43006" w:rsidRDefault="00F5337A">
      <w:pPr>
        <w:spacing w:after="240"/>
        <w:ind w:right="902"/>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rsidR="00E43006" w:rsidRDefault="00F5337A">
      <w:pPr>
        <w:numPr>
          <w:ilvl w:val="0"/>
          <w:numId w:val="10"/>
        </w:numPr>
        <w:pBdr>
          <w:top w:val="nil"/>
          <w:left w:val="nil"/>
          <w:bottom w:val="nil"/>
          <w:right w:val="nil"/>
          <w:between w:val="nil"/>
        </w:pBdr>
        <w:spacing w:before="240" w:after="240" w:line="360" w:lineRule="auto"/>
        <w:ind w:left="567" w:right="902" w:hanging="283"/>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Solicitud Chicoloapan.pdf:  </w:t>
      </w:r>
      <w:r>
        <w:rPr>
          <w:rFonts w:ascii="Palatino Linotype" w:eastAsia="Palatino Linotype" w:hAnsi="Palatino Linotype" w:cs="Palatino Linotype"/>
          <w:color w:val="000000"/>
        </w:rPr>
        <w:t xml:space="preserve"> documental en la que se incluye el escrito de  solicitud, en los términos siguientes: </w:t>
      </w:r>
    </w:p>
    <w:p w:rsidR="00E43006" w:rsidRDefault="00E43006">
      <w:pPr>
        <w:spacing w:before="240"/>
        <w:ind w:right="902"/>
        <w:jc w:val="both"/>
        <w:rPr>
          <w:rFonts w:ascii="Palatino Linotype" w:eastAsia="Palatino Linotype" w:hAnsi="Palatino Linotype" w:cs="Palatino Linotype"/>
        </w:rPr>
      </w:pPr>
    </w:p>
    <w:p w:rsidR="00E43006" w:rsidRDefault="00E43006">
      <w:pPr>
        <w:ind w:right="902"/>
        <w:jc w:val="both"/>
        <w:rPr>
          <w:rFonts w:ascii="Palatino Linotype" w:eastAsia="Palatino Linotype" w:hAnsi="Palatino Linotype" w:cs="Palatino Linotype"/>
        </w:rPr>
      </w:pPr>
    </w:p>
    <w:p w:rsidR="00E43006" w:rsidRDefault="00F5337A">
      <w:pPr>
        <w:ind w:right="902"/>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4739005" cy="6623685"/>
            <wp:effectExtent l="0" t="0" r="0" b="0"/>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739005" cy="6623685"/>
                    </a:xfrm>
                    <a:prstGeom prst="rect">
                      <a:avLst/>
                    </a:prstGeom>
                    <a:ln/>
                  </pic:spPr>
                </pic:pic>
              </a:graphicData>
            </a:graphic>
          </wp:inline>
        </w:drawing>
      </w:r>
    </w:p>
    <w:p w:rsidR="00E43006" w:rsidRDefault="00E43006">
      <w:pPr>
        <w:ind w:right="902"/>
        <w:jc w:val="both"/>
        <w:rPr>
          <w:rFonts w:ascii="Palatino Linotype" w:eastAsia="Palatino Linotype" w:hAnsi="Palatino Linotype" w:cs="Palatino Linotype"/>
        </w:rPr>
      </w:pPr>
    </w:p>
    <w:p w:rsidR="00E43006" w:rsidRDefault="00E43006">
      <w:pPr>
        <w:ind w:right="902"/>
        <w:jc w:val="both"/>
        <w:rPr>
          <w:rFonts w:ascii="Palatino Linotype" w:eastAsia="Palatino Linotype" w:hAnsi="Palatino Linotype" w:cs="Palatino Linotype"/>
        </w:rPr>
      </w:pPr>
    </w:p>
    <w:p w:rsidR="00E43006" w:rsidRDefault="00E43006">
      <w:pPr>
        <w:ind w:right="902"/>
        <w:jc w:val="both"/>
        <w:rPr>
          <w:rFonts w:ascii="Palatino Linotype" w:eastAsia="Palatino Linotype" w:hAnsi="Palatino Linotype" w:cs="Palatino Linotype"/>
        </w:rPr>
      </w:pPr>
    </w:p>
    <w:p w:rsidR="00E43006" w:rsidRDefault="00E43006">
      <w:pPr>
        <w:ind w:right="902"/>
        <w:jc w:val="both"/>
        <w:rPr>
          <w:rFonts w:ascii="Palatino Linotype" w:eastAsia="Palatino Linotype" w:hAnsi="Palatino Linotype" w:cs="Palatino Linotype"/>
        </w:rPr>
      </w:pPr>
    </w:p>
    <w:p w:rsidR="00E43006" w:rsidRDefault="00E43006">
      <w:pPr>
        <w:ind w:right="902"/>
        <w:jc w:val="both"/>
        <w:rPr>
          <w:rFonts w:ascii="Palatino Linotype" w:eastAsia="Palatino Linotype" w:hAnsi="Palatino Linotype" w:cs="Palatino Linotype"/>
        </w:rPr>
      </w:pPr>
    </w:p>
    <w:p w:rsidR="00E43006" w:rsidRDefault="00E43006">
      <w:pPr>
        <w:ind w:right="902"/>
        <w:jc w:val="both"/>
        <w:rPr>
          <w:rFonts w:ascii="Palatino Linotype" w:eastAsia="Palatino Linotype" w:hAnsi="Palatino Linotype" w:cs="Palatino Linotype"/>
        </w:rPr>
      </w:pPr>
    </w:p>
    <w:p w:rsidR="00E43006" w:rsidRDefault="00F5337A">
      <w:pPr>
        <w:ind w:right="902"/>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4391025" cy="6429375"/>
            <wp:effectExtent l="0" t="0" r="0" b="0"/>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4391025" cy="6429375"/>
                    </a:xfrm>
                    <a:prstGeom prst="rect">
                      <a:avLst/>
                    </a:prstGeom>
                    <a:ln/>
                  </pic:spPr>
                </pic:pic>
              </a:graphicData>
            </a:graphic>
          </wp:inline>
        </w:drawing>
      </w:r>
    </w:p>
    <w:p w:rsidR="00E43006" w:rsidRDefault="00E43006">
      <w:pPr>
        <w:ind w:right="902"/>
        <w:jc w:val="both"/>
        <w:rPr>
          <w:rFonts w:ascii="Palatino Linotype" w:eastAsia="Palatino Linotype" w:hAnsi="Palatino Linotype" w:cs="Palatino Linotype"/>
        </w:rPr>
      </w:pPr>
    </w:p>
    <w:p w:rsidR="00E43006" w:rsidRDefault="00E43006">
      <w:pPr>
        <w:ind w:right="902"/>
        <w:jc w:val="both"/>
        <w:rPr>
          <w:rFonts w:ascii="Palatino Linotype" w:eastAsia="Palatino Linotype" w:hAnsi="Palatino Linotype" w:cs="Palatino Linotype"/>
        </w:rPr>
      </w:pPr>
    </w:p>
    <w:p w:rsidR="00E43006" w:rsidRDefault="00E43006">
      <w:pPr>
        <w:spacing w:after="240"/>
        <w:ind w:right="902"/>
        <w:jc w:val="both"/>
        <w:rPr>
          <w:rFonts w:ascii="Palatino Linotype" w:eastAsia="Palatino Linotype" w:hAnsi="Palatino Linotype" w:cs="Palatino Linotype"/>
        </w:rPr>
      </w:pPr>
    </w:p>
    <w:p w:rsidR="00E43006" w:rsidRDefault="00F5337A">
      <w:pPr>
        <w:numPr>
          <w:ilvl w:val="0"/>
          <w:numId w:val="10"/>
        </w:numPr>
        <w:pBdr>
          <w:top w:val="nil"/>
          <w:left w:val="nil"/>
          <w:bottom w:val="nil"/>
          <w:right w:val="nil"/>
          <w:between w:val="nil"/>
        </w:pBdr>
        <w:spacing w:before="240"/>
        <w:ind w:right="902"/>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lastRenderedPageBreak/>
        <w:t xml:space="preserve">Anexo 1.pdf:  </w:t>
      </w:r>
      <w:r>
        <w:rPr>
          <w:rFonts w:ascii="Palatino Linotype" w:eastAsia="Palatino Linotype" w:hAnsi="Palatino Linotype" w:cs="Palatino Linotype"/>
          <w:color w:val="000000"/>
        </w:rPr>
        <w:t xml:space="preserve"> documental en la que se incluye el escrito de respuesta emitido por el Director de Catastro Municipal del Ayuntamiento de Texcoco;</w:t>
      </w:r>
    </w:p>
    <w:p w:rsidR="00E43006" w:rsidRDefault="00E43006">
      <w:pPr>
        <w:pBdr>
          <w:top w:val="nil"/>
          <w:left w:val="nil"/>
          <w:bottom w:val="nil"/>
          <w:right w:val="nil"/>
          <w:between w:val="nil"/>
        </w:pBdr>
        <w:ind w:left="1571" w:right="902"/>
        <w:jc w:val="both"/>
        <w:rPr>
          <w:rFonts w:ascii="Palatino Linotype" w:eastAsia="Palatino Linotype" w:hAnsi="Palatino Linotype" w:cs="Palatino Linotype"/>
          <w:color w:val="000000"/>
        </w:rPr>
      </w:pPr>
    </w:p>
    <w:p w:rsidR="00E43006" w:rsidRDefault="00F5337A">
      <w:pPr>
        <w:numPr>
          <w:ilvl w:val="0"/>
          <w:numId w:val="10"/>
        </w:numPr>
        <w:pBdr>
          <w:top w:val="nil"/>
          <w:left w:val="nil"/>
          <w:bottom w:val="nil"/>
          <w:right w:val="nil"/>
          <w:between w:val="nil"/>
        </w:pBdr>
        <w:ind w:right="902"/>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Tesis-Fundamentacion de actos.pdf:  </w:t>
      </w:r>
      <w:r>
        <w:rPr>
          <w:rFonts w:ascii="Palatino Linotype" w:eastAsia="Palatino Linotype" w:hAnsi="Palatino Linotype" w:cs="Palatino Linotype"/>
          <w:color w:val="000000"/>
        </w:rPr>
        <w:t xml:space="preserve"> documental en la que se incluye la tesis de la Suprema Corte de Justicia de la Nación con número de registro </w:t>
      </w:r>
      <w:r>
        <w:rPr>
          <w:color w:val="000000"/>
        </w:rPr>
        <w:t>216534.</w:t>
      </w:r>
    </w:p>
    <w:p w:rsidR="00E43006" w:rsidRDefault="00E43006">
      <w:pPr>
        <w:pBdr>
          <w:top w:val="nil"/>
          <w:left w:val="nil"/>
          <w:bottom w:val="nil"/>
          <w:right w:val="nil"/>
          <w:between w:val="nil"/>
        </w:pBdr>
        <w:spacing w:after="240"/>
        <w:ind w:left="1571" w:right="902"/>
        <w:jc w:val="both"/>
        <w:rPr>
          <w:rFonts w:ascii="Palatino Linotype" w:eastAsia="Palatino Linotype" w:hAnsi="Palatino Linotype" w:cs="Palatino Linotype"/>
          <w:color w:val="000000"/>
        </w:rPr>
      </w:pPr>
    </w:p>
    <w:p w:rsidR="00E43006" w:rsidRDefault="00F5337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Modalidad de entrega de la información</w:t>
      </w:r>
      <w:r>
        <w:rPr>
          <w:rFonts w:ascii="Palatino Linotype" w:eastAsia="Palatino Linotype" w:hAnsi="Palatino Linotype" w:cs="Palatino Linotype"/>
        </w:rPr>
        <w:t xml:space="preserve">: vía </w:t>
      </w:r>
      <w:r>
        <w:rPr>
          <w:rFonts w:ascii="Palatino Linotype" w:eastAsia="Palatino Linotype" w:hAnsi="Palatino Linotype" w:cs="Palatino Linotype"/>
          <w:b/>
        </w:rPr>
        <w:t>SAIMEX.</w:t>
      </w:r>
    </w:p>
    <w:p w:rsidR="00E43006" w:rsidRDefault="00F5337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catorce de marzo del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otorgó, a través del </w:t>
      </w:r>
      <w:r>
        <w:rPr>
          <w:rFonts w:ascii="Palatino Linotype" w:eastAsia="Palatino Linotype" w:hAnsi="Palatino Linotype" w:cs="Palatino Linotype"/>
          <w:b/>
        </w:rPr>
        <w:t>SAIMEX</w:t>
      </w:r>
      <w:r>
        <w:rPr>
          <w:rFonts w:ascii="Palatino Linotype" w:eastAsia="Palatino Linotype" w:hAnsi="Palatino Linotype" w:cs="Palatino Linotype"/>
        </w:rPr>
        <w:t>, respuesta a la solicitud de acceso a la información de la siguiente manera:</w:t>
      </w:r>
    </w:p>
    <w:p w:rsidR="00E43006" w:rsidRDefault="00F5337A">
      <w:pPr>
        <w:spacing w:before="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“Por medio de la presente reciba un cordial saludo, al tiempo que en respuesta a su Solicitud de Información con número de folio 00107/CHICOLOA/IP/2022 y con fundamento en el artículo 53 fracción I y 163 de la Ley de Transparencia y Acceso a la Información Pública del Estado de México y Municipios, me permito hacer de su conocimiento la siguiente normatividad: CÓDIGO FINANCIERO DEL ESTADO DE MÉXICO Y MUNICIPIOS Artículo 171.- Los Ayuntamientos y las autoridades catastrales municipales, además de las atribuciones que este Código y otros ordenamientos les confieran en materia catastral, tendrán las facultades y obligaciones siguientes: II. Identificar en forma precisa los inmuebles ubicados dentro del territorio municipal, mediante la localización geográfica y asignación de la clave catastral que le corresponda. Artículo 173.- El IGECEM y la autoridad catastral municipal, a costa del interesado, previa solicitud por escrito o por vía electrónica en los términos que precisa la Ley de Gobierno Digital del Estado de México y Municipios y su Reglamento, en la que acredite su interés jurídico o legítimo, podrán expedir certificaciones o constancias de los documentos y datos que obren en sus archivos o en el padrón catastral, en la materia de su competencia. Artículo 175.- Los propietarios o poseedores de inmuebles, independientemente del régimen jurídico de propiedad, ubicados en territorio del Estado, incluyendo las Dependencias y Entidades Públicas, están obligados a inscribirlos ante la unidad de catastro municipal correspondiente, mediante manifestación catastral que presenten de acuerdo con lo dispuesto en el Reglamento de este Título y al procedimiento establecido en el Manual Catastral, en los formatos y modalidades autorizados </w:t>
      </w:r>
      <w:r>
        <w:rPr>
          <w:rFonts w:ascii="Palatino Linotype" w:eastAsia="Palatino Linotype" w:hAnsi="Palatino Linotype" w:cs="Palatino Linotype"/>
          <w:i/>
          <w:sz w:val="22"/>
          <w:szCs w:val="22"/>
        </w:rPr>
        <w:lastRenderedPageBreak/>
        <w:t xml:space="preserve">por el IGECEM, precisando las superficies del terreno y de la construcción, su ubicación y uso de suelo, si es a título de propietario o poseedor y demás datos solicitados, exhibiendo la documentación requerida para estos efectos. Artículo 179.- En términos de este capítulo, en lo sucesivo, salvo mención expresa, se entenderá por: I. Clave catastral.- El código alfanumérico único e irrepetible y está compuesto de dieciséis caracteres, que se asigna para efectos de localización geográfica, identificación, inscripción, control y registro de los inmuebles; los diez primeros deben ser caracteres numéricos y los seis últimos pueden ser alfanuméricos; su integración corresponde invariablemente y en estricto orden, a esta estructura: los tres primeros identifican al código del municipio, las dos siguientes a la zona catastral, los tres que siguen a la manzana y los dos siguientes al número de lote o predio; cuando se trate de condominios, las siguientes dos posiciones identifican el edificio y las cuatro últimas el número de departamento, en los casos de propiedades individuales estos seis últimos caracteres se codifican con ceros. REGLAMENTO DEL TÍTULO QUINTO DEL CÓDIGO FINANCIERO DEL ESTADO DE MÉXICO Y MUNICIPIOS, DENOMINADO “DEL CATASTRO” Artículo 24.- El Catastro Municipal, está facultado para inscribir a todos los inmuebles ubicados dentro de su respectiva jurisdicción territorial, para tal efecto, los propietarios o poseedores deberán presentar su manifestación catastral en los términos que establece el artículo 175 del Código y el apartado I del Manual Catastral, para su registro e integración en el padrón catastral municipal. Artículo 26.- Para la inscripción inicial de un inmueble en el padrón catastral municipal, el Catastro Municipal asignará la clave catastral conforme a la estructura determinada en la fracción I del artículo 179 del Código y en todo caso atenderá a los lineamientos y procedimientos establecidos en el Manual Catastral. Artículo 27.- La clave catastral invariablemente se inscribirá tanto en el registro gráfico como en el alfanumérico y en su asignación no se permitirán duplicidades. Artículo 34.- Procede la actualización de los registros alfanumérico y gráfico del padrón catastral municipal, cuando se presenten los siguientes supuestos: I. El propietario o poseedor de un inmueble detecte errores en los datos técnicos o administrativos capturados en los registros catastrales. Artículo 35. En el supuesto previsto en la fracción I del artículo anterior, el propietario o poseedor solicitará al Catastro Municipal por escrito, mediante manifestación catastral o bien por vía electrónica en los términos que precisa la Ley de Gobierno Digital del Estado de México y Municipios, la corrección de sus datos en los registros gráfico y alfanumérico del padrón catastral municipal, debiendo acreditar la procedencia de la actualización, mediante la presentación de los documentos o estudios técnicos requeridos o un avalúo catastral practicado por el IGECEM o por especialista en valuación inmobiliaria con registro vigente expedido por el propio </w:t>
      </w:r>
      <w:r>
        <w:rPr>
          <w:rFonts w:ascii="Palatino Linotype" w:eastAsia="Palatino Linotype" w:hAnsi="Palatino Linotype" w:cs="Palatino Linotype"/>
          <w:i/>
          <w:sz w:val="22"/>
          <w:szCs w:val="22"/>
        </w:rPr>
        <w:lastRenderedPageBreak/>
        <w:t xml:space="preserve">Instituto. MANUAL CATASTRAL DEL ESTADO DE MÉXICO I. ATENCIÓN AL PÚBLICO Y CONTROL DE GESTIÓN PARA LA PRESTACIÓN DE SERVICIOS Y GENERACIÓN DE PRODUCTOS CATASTRALES 1.3. POLÍTICAS GENERALES ACGC001.-Para otorgar la prestación de servicios catastrales, el usuario deberá presentar solicitud por escrito o en el formato establecido o bien por vía electrónica en los términos que precisa la Ley para el Uso de Medios Electrónicos del Estado de México y su Reglamento, acreditar su interés jurídico o legítimo y cumplir con los requisitos establecidos, en el presente manual, en términos de lo que establece el artículo 173 del Código Financiero del Estado de México y Municipios. Las áreas responsables de la atención al público usuario, deberán registrar y controlar en el formato correspondiente, cada una de las orientaciones o trámites que realicen, en el ámbito de sus respectivas competencias. ACGC004.- Para la solicitud de servicios y productos catastrales, invariablemente, los usuarios deberán cubrir los siguientes requisitos: • Solicitud por escrito o en el formato establecido o bien por vía electrónica en los términos que precisa la Ley para el Uso de Medios Electrónicos del Estado de México y su Reglamento. • En caso de copropiedad, deberá presentar el acuerdo o documento en el que conste la autorización de la gestión del servicio por los copropietarios. • Copia de la identificación oficial vigente del propietario, poseedor o copropietarios del inmueble y de la persona autorizada mediante carta poder o representación legal. • Pago correspondiente por el servicio solicitado. ACGC005.- Solamente se expedirán certificaciones, y constancias de la información catastral, que obre en los archivos documentales o en el Padrón Catastral. Tratándose de las certificaciones de clave y valor catastral, se deberán emitir con un único código de barras de alta densidad en formato Code 128, mismo que estrictamente represente la clave catastral del inmueble de que se trate, para su precisa identificación y captura electrónica. ACGC006.-Para la solicitud de productos catastrales, invariablemente, los usuarios deberán cubrir los siguientes requisitos: • Solicitud por escrito o en el formato establecido. • Pago correspondiente por el producto solicitado. ACGC007.- Para hacer constar el interés jurídico o legítimo, el solicitante deberá presentar ante la autoridad catastral, los siguientes documentos: • Documento que acredite la propiedad o posesión del inmueble, el cual puede ser cualesquiera de entre los siguientes: o Escritura Pública. o Contrato privado de compra-venta, cesión o donación. o Sentencia de la autoridad judicial que haya causado ejecutoria. o Manifestación de adquisición de inmuebles u otras operaciones traslativas de dominio de inmuebles, autorizada por la autoridad fiscal respectiva y el recibo de pago correspondiente. o Acta de entrega cuando se trate de inmuebles de interés social o Cédula de contratación que emita la dependencia oficial autorizada para la regularización de la tenencia de la tierra. o Título, certificado o cesión de derechos </w:t>
      </w:r>
      <w:r>
        <w:rPr>
          <w:rFonts w:ascii="Palatino Linotype" w:eastAsia="Palatino Linotype" w:hAnsi="Palatino Linotype" w:cs="Palatino Linotype"/>
          <w:i/>
          <w:sz w:val="22"/>
          <w:szCs w:val="22"/>
        </w:rPr>
        <w:lastRenderedPageBreak/>
        <w:t>agrarios, parcelarios o comunes, así como sentencia emitida por el tribunal agrario. o In matriculación administrativa o judicial. • Carta poder en la que el propietario o poseedor del inmueble de que se trate, autoriza a otra persona para realizar en su nombre, el trámite de solicitud del producto o servicio requerido, en su caso. • Documento notarial mediante el que el propietario o poseedor del inmueble, otorga la representación legal a otra persona para la realización del trámite de solicitud del producto o servicio requerido, en su caso. ACGC014. Los servicios catastrales que presta el ayuntamiento son: • Asignación, baja y reasignación de clave catastral. En virtud de la normatividad anteriormente referida, es importante manifestar que este Sujeto Obligado se encuentra excluido de proporcionar la información requerida mediante su Solicitud de Información de manera oficiosa, con fundamento en el artículo 172 de la Ley de Transparencia y Acceso a la Información Pública del Estado de México y Municipios que a la letra establece: Artículo 172. Cuando lo solicitado corresponda a información que sea posible obtener mediante un trámite previamente establecido y previsto en una norma, el sujeto obligado orientará al solicitante sobre el procedimiento que corresponda. En esos casos, la solicitud de información podrá desecharse por improcedente, dejando a salvo el derecho del particular de interponer el recurso previsto en la presente Ley, si no estuviere conforme. Los argumentos para justificar cualquier negativa de acceso a la información deben recaer en el sujeto obligado al cual la información fue solicitada. Por lo anteriormente descrito, debidamente fundado y motivado, le hago entrega de la información solicitada para realizar el trámite previamente establecido, asimismo le informo que deberá presentarse a la Jefatura de Catastro, ubicada al interior del Palacio Municipal de Chicoloapan, México, con domicilio en Plaza de la Constitución S/N, código postal 56370, Chicoloapan, México., para obtener la información solicitada, cumpliendo los requisitos antes descritos. Por último, le informo que nos ponemos a sus órdenes para cualquier solicitud, duda, aclaración, sugerencia o asesoría; en nuestras oficinas que se encuentran ubicadas en Calle Mina No. 5 Cabecera Municipal, Chicoloapan México, así como en número telefónico 5589201851 extensión 1080 en un horario de 09:00 a 18:00 horas en días hábiles o en el correo electrónico unidaddeinformacionytransparencia@chicoloapan.gob.mx” (Sic)</w:t>
      </w:r>
    </w:p>
    <w:p w:rsidR="00E43006" w:rsidRDefault="00E43006">
      <w:pPr>
        <w:ind w:left="851" w:right="902"/>
        <w:jc w:val="both"/>
        <w:rPr>
          <w:rFonts w:ascii="Palatino Linotype" w:eastAsia="Palatino Linotype" w:hAnsi="Palatino Linotype" w:cs="Palatino Linotype"/>
          <w:i/>
          <w:sz w:val="22"/>
          <w:szCs w:val="22"/>
        </w:rPr>
      </w:pPr>
    </w:p>
    <w:p w:rsidR="00E43006" w:rsidRDefault="00F5337A">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rsidR="00E43006" w:rsidRDefault="00E43006">
      <w:pPr>
        <w:ind w:left="851" w:right="902"/>
        <w:jc w:val="both"/>
        <w:rPr>
          <w:rFonts w:ascii="Palatino Linotype" w:eastAsia="Palatino Linotype" w:hAnsi="Palatino Linotype" w:cs="Palatino Linotype"/>
          <w:sz w:val="22"/>
          <w:szCs w:val="22"/>
        </w:rPr>
      </w:pPr>
    </w:p>
    <w:p w:rsidR="00E43006" w:rsidRDefault="00F5337A">
      <w:pPr>
        <w:spacing w:after="240"/>
        <w:ind w:left="851" w:right="902"/>
        <w:jc w:val="both"/>
        <w:rPr>
          <w:rFonts w:ascii="Palatino Linotype" w:eastAsia="Palatino Linotype" w:hAnsi="Palatino Linotype" w:cs="Palatino Linotype"/>
        </w:rPr>
      </w:pP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rPr>
        <w:t xml:space="preserve">Adjunto a su respuesta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proporcionó los archivos digitales siguientes: </w:t>
      </w:r>
    </w:p>
    <w:p w:rsidR="00E43006" w:rsidRDefault="00F5337A">
      <w:pPr>
        <w:numPr>
          <w:ilvl w:val="0"/>
          <w:numId w:val="10"/>
        </w:numPr>
        <w:pBdr>
          <w:top w:val="nil"/>
          <w:left w:val="nil"/>
          <w:bottom w:val="nil"/>
          <w:right w:val="nil"/>
          <w:between w:val="nil"/>
        </w:pBdr>
        <w:spacing w:before="240"/>
        <w:ind w:right="902"/>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BRWFC017C85EDA8_042781.pdf:  </w:t>
      </w:r>
      <w:r>
        <w:rPr>
          <w:rFonts w:ascii="Palatino Linotype" w:eastAsia="Palatino Linotype" w:hAnsi="Palatino Linotype" w:cs="Palatino Linotype"/>
          <w:color w:val="000000"/>
        </w:rPr>
        <w:t xml:space="preserve"> documental en la que se incluye el oficio CHIC/PM/UT/0191/2022 de fecha catorce de </w:t>
      </w:r>
      <w:r>
        <w:rPr>
          <w:rFonts w:ascii="Palatino Linotype" w:eastAsia="Palatino Linotype" w:hAnsi="Palatino Linotype" w:cs="Palatino Linotype"/>
          <w:color w:val="000000"/>
        </w:rPr>
        <w:lastRenderedPageBreak/>
        <w:t>marzo de la presente anualidad, suscrito por el Titular de la Unidad de Transparencia  por medio del cual se incluye o siguiente:</w:t>
      </w:r>
    </w:p>
    <w:p w:rsidR="00E43006" w:rsidRDefault="00E43006">
      <w:pPr>
        <w:pBdr>
          <w:top w:val="nil"/>
          <w:left w:val="nil"/>
          <w:bottom w:val="nil"/>
          <w:right w:val="nil"/>
          <w:between w:val="nil"/>
        </w:pBdr>
        <w:ind w:left="1571" w:right="902"/>
        <w:jc w:val="both"/>
        <w:rPr>
          <w:rFonts w:ascii="Palatino Linotype" w:eastAsia="Palatino Linotype" w:hAnsi="Palatino Linotype" w:cs="Palatino Linotype"/>
          <w:b/>
          <w:color w:val="000000"/>
        </w:rPr>
      </w:pPr>
    </w:p>
    <w:p w:rsidR="00E43006" w:rsidRDefault="00F5337A">
      <w:pPr>
        <w:pBdr>
          <w:top w:val="nil"/>
          <w:left w:val="nil"/>
          <w:bottom w:val="nil"/>
          <w:right w:val="nil"/>
          <w:between w:val="nil"/>
        </w:pBdr>
        <w:ind w:left="1571" w:right="902"/>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Se transcriben los artículos 171, fracción II, 173, 175, 179 del Código Financiero del Estado de México y Municipios;</w:t>
      </w:r>
    </w:p>
    <w:p w:rsidR="00E43006" w:rsidRDefault="00E43006">
      <w:pPr>
        <w:pBdr>
          <w:top w:val="nil"/>
          <w:left w:val="nil"/>
          <w:bottom w:val="nil"/>
          <w:right w:val="nil"/>
          <w:between w:val="nil"/>
        </w:pBdr>
        <w:ind w:left="1571" w:right="902"/>
        <w:jc w:val="both"/>
        <w:rPr>
          <w:rFonts w:ascii="Palatino Linotype" w:eastAsia="Palatino Linotype" w:hAnsi="Palatino Linotype" w:cs="Palatino Linotype"/>
          <w:b/>
          <w:color w:val="000000"/>
        </w:rPr>
      </w:pPr>
    </w:p>
    <w:p w:rsidR="00E43006" w:rsidRDefault="00F5337A">
      <w:pPr>
        <w:pBdr>
          <w:top w:val="nil"/>
          <w:left w:val="nil"/>
          <w:bottom w:val="nil"/>
          <w:right w:val="nil"/>
          <w:between w:val="nil"/>
        </w:pBdr>
        <w:spacing w:after="240"/>
        <w:ind w:left="1571" w:right="902"/>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Se transcriben los numerales 24, 25, 27, 34, 35 del Reglamento del Título Quinto del Código Financiero del Estado de México y Municipios denominado “DEL CATASTRO”  </w:t>
      </w:r>
    </w:p>
    <w:p w:rsidR="00E43006" w:rsidRDefault="00F5337A">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3. Recurso de revisión.</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rPr>
        <w:t xml:space="preserve">Inconforme con la respuesta recibida,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en fecha quince  de marzo de la presente anualidad, el presente medio de impugnación expresando las siguientes manifestaciones:</w:t>
      </w:r>
    </w:p>
    <w:p w:rsidR="00E43006" w:rsidRDefault="00E43006">
      <w:pPr>
        <w:spacing w:line="360" w:lineRule="auto"/>
        <w:jc w:val="both"/>
        <w:rPr>
          <w:rFonts w:ascii="Palatino Linotype" w:eastAsia="Palatino Linotype" w:hAnsi="Palatino Linotype" w:cs="Palatino Linotype"/>
        </w:rPr>
      </w:pPr>
    </w:p>
    <w:p w:rsidR="00E43006" w:rsidRDefault="00F5337A">
      <w:pPr>
        <w:spacing w:line="360" w:lineRule="auto"/>
        <w:ind w:left="567"/>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E43006" w:rsidRDefault="00F5337A">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anexa escrito mediante el cual se impugna la respuesta emitida por el sujeto obligado.. “(Sic)</w:t>
      </w:r>
    </w:p>
    <w:p w:rsidR="00E43006" w:rsidRDefault="00F5337A">
      <w:pPr>
        <w:spacing w:after="240" w:line="360" w:lineRule="auto"/>
        <w:ind w:left="567"/>
        <w:jc w:val="both"/>
        <w:rPr>
          <w:rFonts w:ascii="Palatino Linotype" w:eastAsia="Palatino Linotype" w:hAnsi="Palatino Linotype" w:cs="Palatino Linotype"/>
          <w:b/>
        </w:rPr>
      </w:pPr>
      <w:r>
        <w:rPr>
          <w:rFonts w:ascii="Palatino Linotype" w:eastAsia="Palatino Linotype" w:hAnsi="Palatino Linotype" w:cs="Palatino Linotype"/>
          <w:b/>
        </w:rPr>
        <w:t>b) Razones o motivos de inconformidad.</w:t>
      </w:r>
    </w:p>
    <w:p w:rsidR="00E43006" w:rsidRDefault="00F5337A">
      <w:pPr>
        <w:spacing w:before="240" w:after="240"/>
        <w:ind w:left="851"/>
        <w:jc w:val="both"/>
        <w:rPr>
          <w:rFonts w:ascii="Palatino Linotype" w:eastAsia="Palatino Linotype" w:hAnsi="Palatino Linotype" w:cs="Palatino Linotype"/>
          <w:b/>
        </w:rPr>
      </w:pPr>
      <w:r>
        <w:rPr>
          <w:rFonts w:ascii="Palatino Linotype" w:eastAsia="Palatino Linotype" w:hAnsi="Palatino Linotype" w:cs="Palatino Linotype"/>
          <w:i/>
          <w:sz w:val="22"/>
          <w:szCs w:val="22"/>
        </w:rPr>
        <w:t>“Se anexa escrito mediante el cual se impugna la respuesta emitida por el sujeto obligado. “(Sic)</w:t>
      </w:r>
    </w:p>
    <w:p w:rsidR="00E43006" w:rsidRDefault="00F5337A">
      <w:pPr>
        <w:spacing w:before="240"/>
        <w:ind w:right="902"/>
        <w:jc w:val="both"/>
        <w:rPr>
          <w:rFonts w:ascii="Palatino Linotype" w:eastAsia="Palatino Linotype" w:hAnsi="Palatino Linotype" w:cs="Palatino Linotype"/>
        </w:rPr>
      </w:pPr>
      <w:r>
        <w:rPr>
          <w:rFonts w:ascii="Palatino Linotype" w:eastAsia="Palatino Linotype" w:hAnsi="Palatino Linotype" w:cs="Palatino Linotype"/>
        </w:rPr>
        <w:t xml:space="preserve">Adjunto al formato del recurso de revisión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proporcionó el archivo digital “</w:t>
      </w:r>
      <w:r>
        <w:rPr>
          <w:rFonts w:ascii="Palatino Linotype" w:eastAsia="Palatino Linotype" w:hAnsi="Palatino Linotype" w:cs="Palatino Linotype"/>
          <w:b/>
        </w:rPr>
        <w:t xml:space="preserve">recurso de revision.pdf”  </w:t>
      </w:r>
      <w:r>
        <w:rPr>
          <w:rFonts w:ascii="Palatino Linotype" w:eastAsia="Palatino Linotype" w:hAnsi="Palatino Linotype" w:cs="Palatino Linotype"/>
        </w:rPr>
        <w:t xml:space="preserve"> documental en la que se incluye:</w:t>
      </w:r>
    </w:p>
    <w:p w:rsidR="00E43006" w:rsidRDefault="00E43006">
      <w:pPr>
        <w:ind w:right="902"/>
        <w:jc w:val="both"/>
        <w:rPr>
          <w:rFonts w:ascii="Palatino Linotype" w:eastAsia="Palatino Linotype" w:hAnsi="Palatino Linotype" w:cs="Palatino Linotype"/>
        </w:rPr>
      </w:pPr>
    </w:p>
    <w:p w:rsidR="00E43006" w:rsidRDefault="00F5337A">
      <w:pPr>
        <w:spacing w:after="240"/>
        <w:ind w:right="902"/>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4772025" cy="6324600"/>
            <wp:effectExtent l="0" t="0" r="0" b="0"/>
            <wp:docPr id="3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4772025" cy="6324600"/>
                    </a:xfrm>
                    <a:prstGeom prst="rect">
                      <a:avLst/>
                    </a:prstGeom>
                    <a:ln/>
                  </pic:spPr>
                </pic:pic>
              </a:graphicData>
            </a:graphic>
          </wp:inline>
        </w:drawing>
      </w:r>
    </w:p>
    <w:p w:rsidR="00E43006" w:rsidRDefault="00E43006">
      <w:pPr>
        <w:pBdr>
          <w:top w:val="nil"/>
          <w:left w:val="nil"/>
          <w:bottom w:val="nil"/>
          <w:right w:val="nil"/>
          <w:between w:val="nil"/>
        </w:pBdr>
        <w:spacing w:before="240" w:after="240"/>
        <w:ind w:left="1571" w:right="902"/>
        <w:jc w:val="both"/>
        <w:rPr>
          <w:rFonts w:ascii="Palatino Linotype" w:eastAsia="Palatino Linotype" w:hAnsi="Palatino Linotype" w:cs="Palatino Linotype"/>
          <w:b/>
          <w:color w:val="000000"/>
        </w:rPr>
      </w:pPr>
    </w:p>
    <w:p w:rsidR="00E43006" w:rsidRDefault="00E43006">
      <w:pPr>
        <w:spacing w:before="240" w:after="240" w:line="360" w:lineRule="auto"/>
        <w:jc w:val="both"/>
        <w:rPr>
          <w:rFonts w:ascii="Palatino Linotype" w:eastAsia="Palatino Linotype" w:hAnsi="Palatino Linotype" w:cs="Palatino Linotype"/>
          <w:b/>
        </w:rPr>
      </w:pPr>
    </w:p>
    <w:p w:rsidR="00E43006" w:rsidRDefault="00F5337A">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noProof/>
          <w:lang w:val="es-MX"/>
        </w:rPr>
        <w:lastRenderedPageBreak/>
        <w:drawing>
          <wp:inline distT="0" distB="0" distL="0" distR="0">
            <wp:extent cx="4683125" cy="7044690"/>
            <wp:effectExtent l="0" t="0" r="0" b="0"/>
            <wp:docPr id="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4683125" cy="7044690"/>
                    </a:xfrm>
                    <a:prstGeom prst="rect">
                      <a:avLst/>
                    </a:prstGeom>
                    <a:ln/>
                  </pic:spPr>
                </pic:pic>
              </a:graphicData>
            </a:graphic>
          </wp:inline>
        </w:drawing>
      </w:r>
    </w:p>
    <w:p w:rsidR="00E43006" w:rsidRDefault="00E43006">
      <w:pPr>
        <w:spacing w:before="240" w:after="240" w:line="360" w:lineRule="auto"/>
        <w:jc w:val="both"/>
        <w:rPr>
          <w:rFonts w:ascii="Palatino Linotype" w:eastAsia="Palatino Linotype" w:hAnsi="Palatino Linotype" w:cs="Palatino Linotype"/>
          <w:b/>
        </w:rPr>
      </w:pPr>
    </w:p>
    <w:p w:rsidR="00E43006" w:rsidRDefault="00F5337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por razón de turno fue asignado  a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a su análisis, estudio, elaboración del proyecto y presentación ante el Pleno de este Instituto.</w:t>
      </w:r>
    </w:p>
    <w:p w:rsidR="00E43006" w:rsidRDefault="00F5337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Admisión. </w:t>
      </w:r>
      <w:r>
        <w:rPr>
          <w:rFonts w:ascii="Palatino Linotype" w:eastAsia="Palatino Linotype" w:hAnsi="Palatino Linotype" w:cs="Palatino Linotype"/>
        </w:rPr>
        <w:t>Mediante auto de fecha dieciocho</w:t>
      </w:r>
      <w:r>
        <w:rPr>
          <w:rFonts w:ascii="Palatino Linotype" w:eastAsia="Palatino Linotype" w:hAnsi="Palatino Linotype" w:cs="Palatino Linotype"/>
          <w:b/>
        </w:rPr>
        <w:t xml:space="preserve"> de marzo de este año</w:t>
      </w:r>
      <w:r>
        <w:rPr>
          <w:rFonts w:ascii="Palatino Linotype" w:eastAsia="Palatino Linotype" w:hAnsi="Palatino Linotype" w:cs="Palatino Linotype"/>
        </w:rPr>
        <w:t xml:space="preserve">, este Organismo Garante, admitió a trámite el recurso de revisión respectivo, poniéndose a disposición de las partes, para que un plazo no mayor a siete días hábiles manifestase lo que a su derecho corresponda, a efecto de ofrecer pruebas, informe justificado y alegatos, lo anterior con fundamento en el artículo 185 fracciones I, II y IV de la Ley de Transparencia y Acceso a la Información Pública del Estado de México y Municipios. </w:t>
      </w:r>
    </w:p>
    <w:p w:rsidR="00E43006" w:rsidRDefault="00F5337A">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6. Manifestaciones.</w:t>
      </w:r>
      <w:r>
        <w:rPr>
          <w:rFonts w:ascii="Palatino Linotype" w:eastAsia="Palatino Linotype" w:hAnsi="Palatino Linotype" w:cs="Palatino Linotype"/>
          <w:b/>
          <w:color w:val="000000"/>
          <w:sz w:val="28"/>
          <w:szCs w:val="28"/>
        </w:rPr>
        <w:t xml:space="preserve"> </w:t>
      </w:r>
      <w:r>
        <w:rPr>
          <w:rFonts w:ascii="Palatino Linotype" w:eastAsia="Palatino Linotype" w:hAnsi="Palatino Linotype" w:cs="Palatino Linotype"/>
          <w:color w:val="000000"/>
        </w:rPr>
        <w:t xml:space="preserve">De las constancias que integran el expediente en que se actúan se advierte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emitió pronunciamiento en fechas veinticuatro  de marzo de la presente anualidad, adjuntando los archivos siguientes: </w:t>
      </w:r>
    </w:p>
    <w:p w:rsidR="00E43006" w:rsidRDefault="00E43006">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p>
    <w:p w:rsidR="00E43006" w:rsidRDefault="00F5337A">
      <w:pPr>
        <w:widowControl w:val="0"/>
        <w:numPr>
          <w:ilvl w:val="0"/>
          <w:numId w:val="10"/>
        </w:numPr>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ab/>
        <w:t>informe justificado.pdf:</w:t>
      </w:r>
      <w:r>
        <w:rPr>
          <w:rFonts w:ascii="Palatino Linotype" w:eastAsia="Palatino Linotype" w:hAnsi="Palatino Linotype" w:cs="Palatino Linotype"/>
          <w:color w:val="000000"/>
        </w:rPr>
        <w:t xml:space="preserve"> archivo en cuyo contenido se advierte que el SUJETO OBLIGADO ratifica la  respuesta inicial, señalando que  derivado de que la información requerida corresponde a trámite administrativo y a fin de no dilatar el ejercicio del derecho del particular, se orientó al ahora recurrente  para que realizara la </w:t>
      </w:r>
      <w:r>
        <w:rPr>
          <w:rFonts w:ascii="Palatino Linotype" w:eastAsia="Palatino Linotype" w:hAnsi="Palatino Linotype" w:cs="Palatino Linotype"/>
          <w:color w:val="000000"/>
        </w:rPr>
        <w:lastRenderedPageBreak/>
        <w:t xml:space="preserve">solicitud de información ante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correspondiente. </w:t>
      </w:r>
    </w:p>
    <w:p w:rsidR="00E43006" w:rsidRDefault="00F5337A">
      <w:pPr>
        <w:widowControl w:val="0"/>
        <w:tabs>
          <w:tab w:val="left" w:pos="709"/>
        </w:tabs>
        <w:spacing w:before="12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ahora recurrente adjunto el archivo electrónico “MANIFESTACIONES_03954.pdf” en cuyo contenido se determina que éste manifiesta: </w:t>
      </w:r>
    </w:p>
    <w:p w:rsidR="00E43006" w:rsidRDefault="00F5337A">
      <w:pPr>
        <w:widowControl w:val="0"/>
        <w:tabs>
          <w:tab w:val="left" w:pos="709"/>
        </w:tabs>
        <w:spacing w:before="120" w:after="240"/>
        <w:ind w:left="70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1.- Ante la aparente imposibilidad del responsable de la jefatura de catastro para dar atención a los asuntos de su propia unidad administrativa, el titular de la unidad de transparencia señaló que el “… Sujeto Obligado se encuentra excluido de proporcionar la información requerida mediante su Solicitud de Información de manera oficiosa, con fundamento en el artículo 172 de la Ley de Transparencia …” (Sic.), al respecto, impugno la respuesta pues no corresponde con lo solicitado, en el entendido de que, una pregunta concreta merece una respuesta concreta1 pues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rsidR="00E43006" w:rsidRDefault="00F5337A">
      <w:pPr>
        <w:widowControl w:val="0"/>
        <w:tabs>
          <w:tab w:val="left" w:pos="709"/>
        </w:tabs>
        <w:spacing w:before="120" w:after="240"/>
        <w:ind w:left="70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2.- Por otra parte, de la respuesta emitida se transcribe un párrafo el cual indica que “…Los argumentos para justificar cualquier negativa de acceso a la información deben recaer en el sujeto obligado al cual la información fue solicitada.” (Sic.),para el caso concreto, dicho párrafo carece de sentido invocarlo en el entendido de que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w:t>
      </w:r>
    </w:p>
    <w:p w:rsidR="00E43006" w:rsidRDefault="00F5337A">
      <w:pPr>
        <w:widowControl w:val="0"/>
        <w:tabs>
          <w:tab w:val="left" w:pos="709"/>
        </w:tabs>
        <w:spacing w:before="120" w:after="240"/>
        <w:ind w:left="70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3.- No pasa desapercibido que en la respuesta del sujeto obligado indica que se hace “… entrega de la información solicitada para realizar el trámite previamente establecido, asimismo le informo que deberá presentarse a la Jefatura de Catastro … para obtener la información solicitada …” (Sic.), en ese sentido, independientemente de que el sujeto obligado haya entregado supuesta información para realizar el trámite al que refiere, no pasa desapercibido que lo restante de la respuesta consiste en transcripciones de normatividad sin que se haya precisado la razón por la cual fue reproducida por parte del sujeto obligado, es decir, no existe congruencia entre </w:t>
      </w:r>
      <w:r>
        <w:rPr>
          <w:rFonts w:ascii="Palatino Linotype" w:eastAsia="Palatino Linotype" w:hAnsi="Palatino Linotype" w:cs="Palatino Linotype"/>
          <w:sz w:val="22"/>
          <w:szCs w:val="22"/>
        </w:rPr>
        <w:lastRenderedPageBreak/>
        <w:t>la respuesta y lo requerido en la solicitud4 ; por otra parte, para obtener la información solicitada me obligan a presentarme a la jefatura de catastro, lo cual es considerado un cambio de modalidad de la entrega de la información sin causa justificada, luego entonces, se convalida la negativa por parte del sujeto obligado responsable de entregar la información requerida a través de la vía SAIMEX, en consecuencia, la entrega de la información no corresponde con lo solicitado, motivo por el cual se impugna la respuesta emitida;</w:t>
      </w:r>
    </w:p>
    <w:p w:rsidR="00E43006" w:rsidRDefault="00F5337A">
      <w:pPr>
        <w:widowControl w:val="0"/>
        <w:tabs>
          <w:tab w:val="left" w:pos="709"/>
        </w:tabs>
        <w:spacing w:before="120" w:after="240"/>
        <w:ind w:left="70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4.- Finalmente, la respuesta emitida transgrede el principio de máxima publicidad, la información no corresponde con lo solicitado, no se atienden concretamente los incisos A) fracciones I y II, B) fracciones I, II, III, IV, V y VI5 y C), no fueron valorados los documentos anexos al momento de presentar la solicitud de información que nos ocupa, no existe congruencia en la respuesta y para la entrega de la información realizan un cambio de modalidad sin causa justificada.</w:t>
      </w:r>
    </w:p>
    <w:p w:rsidR="00E43006" w:rsidRDefault="00E43006">
      <w:pPr>
        <w:widowControl w:val="0"/>
        <w:tabs>
          <w:tab w:val="left" w:pos="709"/>
        </w:tabs>
        <w:spacing w:before="120" w:after="240" w:line="360" w:lineRule="auto"/>
        <w:rPr>
          <w:rFonts w:ascii="Palatino Linotype" w:eastAsia="Palatino Linotype" w:hAnsi="Palatino Linotype" w:cs="Palatino Linotype"/>
        </w:rPr>
      </w:pPr>
    </w:p>
    <w:p w:rsidR="00E43006" w:rsidRDefault="00F5337A">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b/>
          <w:color w:val="000000"/>
          <w:sz w:val="28"/>
          <w:szCs w:val="28"/>
        </w:rPr>
      </w:pPr>
      <w:r>
        <w:rPr>
          <w:rFonts w:ascii="Palatino Linotype" w:eastAsia="Palatino Linotype" w:hAnsi="Palatino Linotype" w:cs="Palatino Linotype"/>
          <w:b/>
          <w:color w:val="000000"/>
        </w:rPr>
        <w:t xml:space="preserve">7. Cierre de Instrucción. </w:t>
      </w:r>
      <w:r>
        <w:rPr>
          <w:rFonts w:ascii="Palatino Linotype" w:eastAsia="Palatino Linotype" w:hAnsi="Palatino Linotype" w:cs="Palatino Linotype"/>
          <w:color w:val="000000"/>
        </w:rPr>
        <w:t xml:space="preserve">En fecha trece de junio del año dos mil veintidós, se emitió el acuerdo por medio del cual se declaró cerrada la instrucción, pasando el expediente a resolución, debido a que fue debidamente substanciado el expediente y no existiendo diligencia pendiente de desahogo, en términos del artículo 185 fracciones VI y VIII de la Ley de Transparencia y Acceso a la Información Pública del Estado de México y Municipios, el cual fue notificado a las partes en la misma fecha. </w:t>
      </w:r>
      <w:r>
        <w:rPr>
          <w:rFonts w:ascii="Palatino Linotype" w:eastAsia="Palatino Linotype" w:hAnsi="Palatino Linotype" w:cs="Palatino Linotype"/>
          <w:b/>
          <w:color w:val="000000"/>
          <w:sz w:val="28"/>
          <w:szCs w:val="28"/>
        </w:rPr>
        <w:t xml:space="preserve"> </w:t>
      </w:r>
    </w:p>
    <w:p w:rsidR="00E43006" w:rsidRDefault="00F5337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8.- Ampliación del plazo para emitir resolución.</w:t>
      </w:r>
      <w:r>
        <w:rPr>
          <w:rFonts w:ascii="Palatino Linotype" w:eastAsia="Palatino Linotype" w:hAnsi="Palatino Linotype" w:cs="Palatino Linotype"/>
        </w:rPr>
        <w:t xml:space="preserve"> El </w:t>
      </w:r>
      <w:r>
        <w:rPr>
          <w:rFonts w:ascii="Palatino Linotype" w:eastAsia="Palatino Linotype" w:hAnsi="Palatino Linotype" w:cs="Palatino Linotype"/>
          <w:b/>
        </w:rPr>
        <w:t>trece de julio de dos mil veintidós</w:t>
      </w:r>
      <w:r>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E43006" w:rsidRDefault="00F5337A">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lastRenderedPageBreak/>
        <w:t xml:space="preserve">Este organismo garante no pasa por alto justificar, que el plazo </w:t>
      </w:r>
      <w:r>
        <w:rPr>
          <w:rFonts w:ascii="Palatino Linotype" w:eastAsia="Palatino Linotype" w:hAnsi="Palatino Linotype" w:cs="Palatino Linotype"/>
        </w:rPr>
        <w:t>para</w:t>
      </w:r>
      <w:r>
        <w:rPr>
          <w:rFonts w:ascii="Palatino Linotype" w:eastAsia="Palatino Linotype" w:hAnsi="Palatino Linotype" w:cs="Palatino Linotype"/>
          <w:color w:val="000000"/>
        </w:rPr>
        <w:t xml:space="preserve">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E43006" w:rsidRDefault="00E43006">
      <w:pPr>
        <w:spacing w:line="360" w:lineRule="auto"/>
      </w:pPr>
    </w:p>
    <w:p w:rsidR="00E43006" w:rsidRDefault="00F5337A">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E43006" w:rsidRDefault="00E43006">
      <w:pPr>
        <w:spacing w:line="360" w:lineRule="auto"/>
      </w:pPr>
    </w:p>
    <w:p w:rsidR="00E43006" w:rsidRDefault="00F5337A">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E43006" w:rsidRDefault="00E43006">
      <w:pPr>
        <w:spacing w:line="360" w:lineRule="auto"/>
      </w:pPr>
    </w:p>
    <w:p w:rsidR="00E43006" w:rsidRDefault="00F5337A">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E43006" w:rsidRDefault="00E43006">
      <w:pPr>
        <w:spacing w:line="360" w:lineRule="auto"/>
      </w:pPr>
    </w:p>
    <w:p w:rsidR="00E43006" w:rsidRDefault="00F5337A">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lastRenderedPageBreak/>
        <w:t>Por ello, excepcionalmente, si un asunto es resuelto con posterioridad a los plazos señalados por la norma debe analizarse la razonabilidad del tiempo necesario para su resolución atentos a los siguientes criterios: </w:t>
      </w:r>
    </w:p>
    <w:p w:rsidR="00E43006" w:rsidRDefault="00E43006">
      <w:pPr>
        <w:spacing w:line="360" w:lineRule="auto"/>
      </w:pPr>
    </w:p>
    <w:p w:rsidR="00E43006" w:rsidRDefault="00F5337A">
      <w:pPr>
        <w:numPr>
          <w:ilvl w:val="0"/>
          <w:numId w:val="2"/>
        </w:numPr>
        <w:pBdr>
          <w:top w:val="nil"/>
          <w:left w:val="nil"/>
          <w:bottom w:val="nil"/>
          <w:right w:val="nil"/>
          <w:between w:val="nil"/>
        </w:pBdr>
        <w:spacing w:line="360" w:lineRule="auto"/>
        <w:ind w:left="567" w:right="567" w:hanging="28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Complejidad del Asunto: La complejidad de la prueba, la pluralidad de sujetos procesales, el tiempo transcurrido, las características y contexto del recurso.</w:t>
      </w:r>
    </w:p>
    <w:p w:rsidR="00E43006" w:rsidRDefault="00F5337A">
      <w:pPr>
        <w:numPr>
          <w:ilvl w:val="0"/>
          <w:numId w:val="2"/>
        </w:numPr>
        <w:pBdr>
          <w:top w:val="nil"/>
          <w:left w:val="nil"/>
          <w:bottom w:val="nil"/>
          <w:right w:val="nil"/>
          <w:between w:val="nil"/>
        </w:pBdr>
        <w:spacing w:line="360" w:lineRule="auto"/>
        <w:ind w:left="567" w:right="567" w:hanging="28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Actividad Procesal del interesado. Acciones u omisiones del interesado.</w:t>
      </w:r>
      <w:r>
        <w:br/>
      </w:r>
    </w:p>
    <w:p w:rsidR="00E43006" w:rsidRDefault="00F5337A">
      <w:pPr>
        <w:numPr>
          <w:ilvl w:val="0"/>
          <w:numId w:val="1"/>
        </w:numPr>
        <w:pBdr>
          <w:top w:val="nil"/>
          <w:left w:val="nil"/>
          <w:bottom w:val="nil"/>
          <w:right w:val="nil"/>
          <w:between w:val="nil"/>
        </w:pBdr>
        <w:spacing w:line="360" w:lineRule="auto"/>
        <w:ind w:left="567" w:right="567" w:hanging="28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Conducta de la Autoridad: Las Acciones u omisiones realizadas en el procedimiento. Así como si la autoridad actuó con la debida diligencia.</w:t>
      </w:r>
    </w:p>
    <w:p w:rsidR="00E43006" w:rsidRDefault="00E43006">
      <w:pPr>
        <w:spacing w:line="360" w:lineRule="auto"/>
        <w:ind w:left="567" w:right="567" w:hanging="283"/>
      </w:pPr>
    </w:p>
    <w:p w:rsidR="00E43006" w:rsidRDefault="00F5337A">
      <w:pPr>
        <w:numPr>
          <w:ilvl w:val="0"/>
          <w:numId w:val="1"/>
        </w:numPr>
        <w:pBdr>
          <w:top w:val="nil"/>
          <w:left w:val="nil"/>
          <w:bottom w:val="nil"/>
          <w:right w:val="nil"/>
          <w:between w:val="nil"/>
        </w:pBdr>
        <w:spacing w:line="360" w:lineRule="auto"/>
        <w:ind w:left="567" w:right="567" w:hanging="283"/>
        <w:jc w:val="both"/>
        <w:rPr>
          <w:color w:val="000000"/>
        </w:rPr>
      </w:pPr>
      <w:r>
        <w:rPr>
          <w:rFonts w:ascii="Palatino Linotype" w:eastAsia="Palatino Linotype" w:hAnsi="Palatino Linotype" w:cs="Palatino Linotype"/>
          <w:color w:val="000000"/>
        </w:rPr>
        <w:t>La afectación generada en la situación jurídica de la persona involucrada en el proceso: Violación a sus derechos humanos.</w:t>
      </w:r>
    </w:p>
    <w:p w:rsidR="00E43006" w:rsidRDefault="00E43006">
      <w:pPr>
        <w:spacing w:line="360" w:lineRule="auto"/>
      </w:pPr>
    </w:p>
    <w:p w:rsidR="00E43006" w:rsidRDefault="00F5337A">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E43006" w:rsidRDefault="00E43006">
      <w:pPr>
        <w:spacing w:line="360" w:lineRule="auto"/>
      </w:pPr>
    </w:p>
    <w:p w:rsidR="00E43006" w:rsidRDefault="00F5337A">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color w:val="000000"/>
        </w:rPr>
        <w:t xml:space="preserve">“TÉRMINOS PROCESALES. PARA DETERMINAR SI UN FUNCIONARIO JUDICIAL ACTUÓ </w:t>
      </w:r>
      <w:r>
        <w:rPr>
          <w:rFonts w:ascii="Palatino Linotype" w:eastAsia="Palatino Linotype" w:hAnsi="Palatino Linotype" w:cs="Palatino Linotype"/>
          <w:i/>
          <w:color w:val="000000"/>
        </w:rPr>
        <w:lastRenderedPageBreak/>
        <w:t>INDEBIDAMENTE POR NO RESPETARLOS SE DEBE ATENDER AL PRESUPUESTO QUE CONSIDERÓ EL LEGISLADOR AL FIJARLOS Y LAS CARACTERÍSTICAS DEL CASO.”</w:t>
      </w:r>
      <w:r>
        <w:rPr>
          <w:rFonts w:ascii="Palatino Linotype" w:eastAsia="Palatino Linotype" w:hAnsi="Palatino Linotype" w:cs="Palatino Linotype"/>
          <w:color w:val="000000"/>
        </w:rPr>
        <w:t>, visible en la Gaceta del Seminario Judicial de la Federación con el registro digital 205635.</w:t>
      </w:r>
    </w:p>
    <w:p w:rsidR="00E43006" w:rsidRDefault="00E43006">
      <w:pPr>
        <w:spacing w:line="360" w:lineRule="auto"/>
      </w:pPr>
    </w:p>
    <w:p w:rsidR="00E43006" w:rsidRDefault="00F5337A">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E43006" w:rsidRDefault="00E43006">
      <w:pPr>
        <w:spacing w:line="360" w:lineRule="auto"/>
      </w:pPr>
    </w:p>
    <w:p w:rsidR="00E43006" w:rsidRDefault="00F5337A">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rsidR="00E43006" w:rsidRDefault="00E43006">
      <w:pPr>
        <w:spacing w:line="360" w:lineRule="auto"/>
      </w:pPr>
    </w:p>
    <w:p w:rsidR="00E43006" w:rsidRDefault="00F5337A">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w:t>
      </w:r>
      <w:r>
        <w:rPr>
          <w:rFonts w:ascii="Palatino Linotype" w:eastAsia="Palatino Linotype" w:hAnsi="Palatino Linotype" w:cs="Palatino Linotype"/>
          <w:i/>
          <w:color w:val="000000"/>
        </w:rPr>
        <w:t>“PLAZO RAZONABLE PARA RESOLVER. DIMENSIÓN Y EFECTOS DE ESTE CONCEPTO CUANDO SE ADUCE EXCESIVA CARGA DE TRABAJO.”</w:t>
      </w:r>
      <w:r>
        <w:rPr>
          <w:rFonts w:ascii="Palatino Linotype" w:eastAsia="Palatino Linotype" w:hAnsi="Palatino Linotype" w:cs="Palatino Linotype"/>
          <w:color w:val="000000"/>
        </w:rPr>
        <w:t xml:space="preserve"> consultable en el Seminario Judicial de la Federación y su gaceta, con el registro digital 2002351.</w:t>
      </w:r>
    </w:p>
    <w:p w:rsidR="00E43006" w:rsidRDefault="00E43006">
      <w:pPr>
        <w:spacing w:line="360" w:lineRule="auto"/>
      </w:pPr>
    </w:p>
    <w:p w:rsidR="00E43006" w:rsidRDefault="00F5337A">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i/>
          <w:color w:val="000000"/>
        </w:rPr>
        <w:lastRenderedPageBreak/>
        <w:t>“PLAZO RAZONABLE PARA RESOLVER. CONCEPTO Y ELEMENTOS QUE LO INTEGRAN A LA LUZ DEL DERECHO INTERNACIONAL DE LOS DERECHOS HUMANOS.”</w:t>
      </w:r>
      <w:r>
        <w:rPr>
          <w:rFonts w:ascii="Palatino Linotype" w:eastAsia="Palatino Linotype" w:hAnsi="Palatino Linotype" w:cs="Palatino Linotype"/>
          <w:color w:val="000000"/>
        </w:rPr>
        <w:t>, visible en el Seminario Judicial de la Federación y su gaceta, con el registro digital 2002350.</w:t>
      </w:r>
    </w:p>
    <w:p w:rsidR="00E43006" w:rsidRDefault="00E43006">
      <w:pPr>
        <w:spacing w:line="360" w:lineRule="auto"/>
      </w:pPr>
    </w:p>
    <w:p w:rsidR="00E43006" w:rsidRDefault="00F5337A">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Por ello, este organismo garante comprometido con la tutela de los derechos humanos confiados, señala que este exceso del plazo legal para resolver el presente asunto, resulta de carácter excepcional.</w:t>
      </w:r>
    </w:p>
    <w:p w:rsidR="00E43006" w:rsidRDefault="00F5337A">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En razón de que fue debidamente sustanciado el expediente electrónico y no existe diligencia pendiente de desahogo, se emite la Resolución que conforme a Derecho proceda, de acuerdo con los siguientes: </w:t>
      </w:r>
    </w:p>
    <w:p w:rsidR="00E43006" w:rsidRDefault="00F5337A">
      <w:pPr>
        <w:pStyle w:val="Ttulo2"/>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II. C O N S I D E R A N D O S:</w:t>
      </w:r>
    </w:p>
    <w:p w:rsidR="00E43006" w:rsidRDefault="00F5337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Primero. Competencia</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la parte </w:t>
      </w:r>
      <w:r>
        <w:rPr>
          <w:rFonts w:ascii="Palatino Linotype" w:eastAsia="Palatino Linotype" w:hAnsi="Palatino Linotype" w:cs="Palatino Linotype"/>
          <w:b/>
          <w:highlight w:val="white"/>
        </w:rPr>
        <w:t>recurrente</w:t>
      </w:r>
      <w:r>
        <w:rPr>
          <w:rFonts w:ascii="Palatino Linotype" w:eastAsia="Palatino Linotype" w:hAnsi="Palatino Linotype" w:cs="Palatino Linotype"/>
          <w:highlight w:val="white"/>
        </w:rPr>
        <w:t xml:space="preserve">, conforme a lo dispuesto en los artículos 6, apartado A de la Constitución Política de los Estados Unidos Mexicanos; 5, párrafos trigésimo,  trigésimo primero, y trigésimo segundo fracción IV y V de la Constitución Política del Estado Libre y Soberano de México; 1, 2, fracción II; 13,  29, 36, fracciones I y II; 176, 178, 179, 181 párrafo 3 y 185 de la Ley Transparencia y Acceso a la Información Pública del Estado de México y Municipios; </w:t>
      </w:r>
      <w:r>
        <w:rPr>
          <w:rFonts w:ascii="Palatino Linotype" w:eastAsia="Palatino Linotype" w:hAnsi="Palatino Linotype" w:cs="Palatino Linotype"/>
        </w:rPr>
        <w:t xml:space="preserve">9 fracciones I,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rsidR="00E43006" w:rsidRDefault="00F5337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Segundo. Oportunidad y Procedibilidad del Recurso de Revisión.</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rPr>
        <w:t xml:space="preserve">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catorce de marzo del año dos mil veintidós</w:t>
      </w:r>
      <w:r>
        <w:rPr>
          <w:rFonts w:ascii="Palatino Linotype" w:eastAsia="Palatino Linotype" w:hAnsi="Palatino Linotype" w:cs="Palatino Linotype"/>
        </w:rPr>
        <w:t xml:space="preserve"> y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presentó su recurso de revisión el día </w:t>
      </w:r>
      <w:r>
        <w:rPr>
          <w:rFonts w:ascii="Palatino Linotype" w:eastAsia="Palatino Linotype" w:hAnsi="Palatino Linotype" w:cs="Palatino Linotype"/>
          <w:b/>
        </w:rPr>
        <w:t>quince de marzo de la misma anualidad</w:t>
      </w:r>
      <w:r>
        <w:rPr>
          <w:rFonts w:ascii="Palatino Linotype" w:eastAsia="Palatino Linotype" w:hAnsi="Palatino Linotype" w:cs="Palatino Linotype"/>
        </w:rPr>
        <w:t>, esto es, al siguiente</w:t>
      </w:r>
      <w:r>
        <w:rPr>
          <w:rFonts w:ascii="Palatino Linotype" w:eastAsia="Palatino Linotype" w:hAnsi="Palatino Linotype" w:cs="Palatino Linotype"/>
          <w:b/>
        </w:rPr>
        <w:t xml:space="preserve"> día hábil</w:t>
      </w:r>
      <w:r>
        <w:rPr>
          <w:rFonts w:ascii="Palatino Linotype" w:eastAsia="Palatino Linotype" w:hAnsi="Palatino Linotype" w:cs="Palatino Linotype"/>
        </w:rPr>
        <w:t xml:space="preserve"> en el que tuvo conocimiento de la respuesta; evidenciándose que la interposición del recurso se encuentra dentro de los márgenes temporales previstos en el citado precepto legal.</w:t>
      </w:r>
    </w:p>
    <w:p w:rsidR="00E43006" w:rsidRDefault="00F5337A">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Asimismo, por cuanto hace a la procedibilidad de</w:t>
      </w:r>
      <w:r>
        <w:rPr>
          <w:rFonts w:ascii="Palatino Linotype" w:eastAsia="Palatino Linotype" w:hAnsi="Palatino Linotype" w:cs="Palatino Linotype"/>
        </w:rPr>
        <w:t xml:space="preserve">l </w:t>
      </w:r>
      <w:r>
        <w:rPr>
          <w:rFonts w:ascii="Palatino Linotype" w:eastAsia="Palatino Linotype" w:hAnsi="Palatino Linotype" w:cs="Palatino Linotype"/>
          <w:color w:val="000000"/>
        </w:rPr>
        <w:t xml:space="preserve"> recurso de </w:t>
      </w:r>
      <w:r>
        <w:rPr>
          <w:rFonts w:ascii="Palatino Linotype" w:eastAsia="Palatino Linotype" w:hAnsi="Palatino Linotype" w:cs="Palatino Linotype"/>
        </w:rPr>
        <w:t>revisión</w:t>
      </w:r>
      <w:r>
        <w:rPr>
          <w:rFonts w:ascii="Palatino Linotype" w:eastAsia="Palatino Linotype" w:hAnsi="Palatino Linotype" w:cs="Palatino Linotype"/>
          <w:color w:val="000000"/>
        </w:rPr>
        <w:t xml:space="preserve">, es de suma importancia señalar que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no señaló nombre  completo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E43006" w:rsidRDefault="00F5337A">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E43006" w:rsidRDefault="00E43006">
      <w:pPr>
        <w:pBdr>
          <w:top w:val="nil"/>
          <w:left w:val="nil"/>
          <w:bottom w:val="nil"/>
          <w:right w:val="nil"/>
          <w:between w:val="nil"/>
        </w:pBdr>
        <w:spacing w:line="360" w:lineRule="auto"/>
        <w:ind w:right="-147"/>
        <w:jc w:val="both"/>
        <w:rPr>
          <w:rFonts w:ascii="Palatino Linotype" w:eastAsia="Palatino Linotype" w:hAnsi="Palatino Linotype" w:cs="Palatino Linotype"/>
        </w:rPr>
      </w:pPr>
    </w:p>
    <w:p w:rsidR="00E43006" w:rsidRDefault="00F5337A">
      <w:pPr>
        <w:spacing w:after="240"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Así las cosas,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E43006" w:rsidRDefault="00E43006">
      <w:pPr>
        <w:pBdr>
          <w:top w:val="nil"/>
          <w:left w:val="nil"/>
          <w:bottom w:val="nil"/>
          <w:right w:val="nil"/>
          <w:between w:val="nil"/>
        </w:pBdr>
        <w:spacing w:line="360" w:lineRule="auto"/>
        <w:ind w:right="-147"/>
        <w:jc w:val="both"/>
        <w:rPr>
          <w:rFonts w:ascii="Palatino Linotype" w:eastAsia="Palatino Linotype" w:hAnsi="Palatino Linotype" w:cs="Palatino Linotype"/>
        </w:rPr>
      </w:pPr>
    </w:p>
    <w:p w:rsidR="00E43006" w:rsidRDefault="00F5337A">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Ahora bien, resulta procedente la interposición del recurso, según lo aducido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sus razones o </w:t>
      </w:r>
      <w:r>
        <w:rPr>
          <w:rFonts w:ascii="Palatino Linotype" w:eastAsia="Palatino Linotype" w:hAnsi="Palatino Linotype" w:cs="Palatino Linotype"/>
          <w:color w:val="000000"/>
        </w:rPr>
        <w:t>motivos de inconformidad, de acuerdo a los artículos 176 y  179, fracciones V y VI de la Ley de Transparencia y Acceso a la Información Pública del Estado de México y Municipios; que a la letra dice:</w:t>
      </w:r>
    </w:p>
    <w:p w:rsidR="00E43006" w:rsidRDefault="00E43006">
      <w:pPr>
        <w:spacing w:after="120"/>
        <w:ind w:left="851" w:right="902"/>
        <w:jc w:val="both"/>
        <w:rPr>
          <w:rFonts w:ascii="Palatino Linotype" w:eastAsia="Palatino Linotype" w:hAnsi="Palatino Linotype" w:cs="Palatino Linotype"/>
          <w:b/>
          <w:i/>
          <w:sz w:val="20"/>
          <w:szCs w:val="20"/>
        </w:rPr>
      </w:pPr>
    </w:p>
    <w:p w:rsidR="00E43006" w:rsidRDefault="00F5337A">
      <w:pPr>
        <w:spacing w:after="120"/>
        <w:ind w:left="426"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 “Artículo 176. </w:t>
      </w:r>
      <w:r>
        <w:rPr>
          <w:rFonts w:ascii="Palatino Linotype" w:eastAsia="Palatino Linotype" w:hAnsi="Palatino Linotype" w:cs="Palatino Linotype"/>
          <w:i/>
          <w:sz w:val="22"/>
          <w:szCs w:val="22"/>
        </w:rPr>
        <w:t>El recurso de revisión es la garantía secundaria mediante la cual se pretende reparar cualquier posible afectación al derecho de acceso a la información pública en términos del presente y siguiente Capítulo.</w:t>
      </w:r>
    </w:p>
    <w:p w:rsidR="00E43006" w:rsidRDefault="00F5337A">
      <w:pPr>
        <w:spacing w:after="120"/>
        <w:ind w:left="426"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b/>
          <w:sz w:val="22"/>
          <w:szCs w:val="22"/>
        </w:rPr>
        <w:t>.-</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rsidR="00E43006" w:rsidRDefault="00F5337A">
      <w:pPr>
        <w:spacing w:after="120"/>
        <w:ind w:left="426"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p>
    <w:p w:rsidR="00E43006" w:rsidRDefault="00F5337A">
      <w:pPr>
        <w:pBdr>
          <w:top w:val="nil"/>
          <w:left w:val="nil"/>
          <w:bottom w:val="nil"/>
          <w:right w:val="nil"/>
          <w:between w:val="nil"/>
        </w:pBdr>
        <w:spacing w:after="120"/>
        <w:ind w:left="426" w:right="90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V. La entrega de información incompleta;</w:t>
      </w:r>
    </w:p>
    <w:p w:rsidR="00E43006" w:rsidRDefault="00F5337A">
      <w:pPr>
        <w:pBdr>
          <w:top w:val="nil"/>
          <w:left w:val="nil"/>
          <w:bottom w:val="nil"/>
          <w:right w:val="nil"/>
          <w:between w:val="nil"/>
        </w:pBdr>
        <w:spacing w:after="120"/>
        <w:ind w:left="426" w:right="90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VI. La entrega de información que no corresponda con lo solicitado;</w:t>
      </w:r>
    </w:p>
    <w:p w:rsidR="00E43006" w:rsidRDefault="00F5337A">
      <w:pPr>
        <w:spacing w:after="120"/>
        <w:ind w:left="426"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 (Sic)</w:t>
      </w:r>
      <w:r>
        <w:rPr>
          <w:rFonts w:ascii="Palatino Linotype" w:eastAsia="Palatino Linotype" w:hAnsi="Palatino Linotype" w:cs="Palatino Linotype"/>
          <w:b/>
          <w:i/>
          <w:sz w:val="22"/>
          <w:szCs w:val="22"/>
        </w:rPr>
        <w:t xml:space="preserve">              </w:t>
      </w:r>
    </w:p>
    <w:p w:rsidR="00E43006" w:rsidRDefault="00F5337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tras la revisión del escrito de interposición, se concluye la acreditación plena de todos y cada uno de los elementos formales exigidos por el artículo 180 de la Ley de Transparencia y Acceso a la Información Pública del Estado de México y Municipios, y en consecuencia resulta conforme a derecho entrar al estudio de fondo y resolver el presente medio de impugnación.</w:t>
      </w:r>
    </w:p>
    <w:p w:rsidR="00E43006" w:rsidRDefault="00F5337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de la parte Recurrente, o en su defecto, en caso de ser procedente, ordenar la entrega de información oportuna.</w:t>
      </w:r>
    </w:p>
    <w:p w:rsidR="00E43006" w:rsidRDefault="00F5337A">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b/>
          <w:color w:val="000000"/>
        </w:rPr>
        <w:t xml:space="preserve">Cuarto. Estudio del asunto. </w:t>
      </w:r>
      <w:r>
        <w:rPr>
          <w:rFonts w:ascii="Palatino Linotype" w:eastAsia="Palatino Linotype" w:hAnsi="Palatino Linotype" w:cs="Palatino Linotype"/>
          <w:color w:val="000000"/>
        </w:rPr>
        <w:t xml:space="preserve">Antes de entrar al análisis de los pronunciamientos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E43006" w:rsidRDefault="00F5337A">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b/>
          <w:i/>
          <w:color w:val="000000"/>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color w:val="000000"/>
          <w:sz w:val="22"/>
          <w:szCs w:val="22"/>
        </w:rPr>
        <w:t>, así como de las garantías para su protección, cuyo ejercicio no podrá restringirse ni suspenderse, salvo en los casos y bajo las condiciones que esta Constitución establece.</w:t>
      </w:r>
    </w:p>
    <w:p w:rsidR="00E43006" w:rsidRDefault="00F5337A">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b/>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rsidR="00E43006" w:rsidRDefault="00F5337A">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b/>
          <w:i/>
          <w:color w:val="000000"/>
          <w:sz w:val="22"/>
          <w:szCs w:val="22"/>
          <w:u w:val="single"/>
        </w:rPr>
        <w:t xml:space="preserve">Todas las autoridades, en el ámbito de sus competencias, tienen la obligación de promover, respetar, proteger y garantizar los derechos humanos de conformidad con los principios de universalidad, </w:t>
      </w:r>
      <w:r>
        <w:rPr>
          <w:rFonts w:ascii="Palatino Linotype" w:eastAsia="Palatino Linotype" w:hAnsi="Palatino Linotype" w:cs="Palatino Linotype"/>
          <w:b/>
          <w:i/>
          <w:color w:val="000000"/>
          <w:sz w:val="22"/>
          <w:szCs w:val="22"/>
          <w:u w:val="single"/>
        </w:rPr>
        <w:lastRenderedPageBreak/>
        <w:t>interdependencia, indivisibilidad y progresividad.</w:t>
      </w:r>
      <w:r>
        <w:rPr>
          <w:rFonts w:ascii="Palatino Linotype" w:eastAsia="Palatino Linotype" w:hAnsi="Palatino Linotype" w:cs="Palatino Linotype"/>
          <w:i/>
          <w:color w:val="000000"/>
          <w:sz w:val="22"/>
          <w:szCs w:val="22"/>
        </w:rPr>
        <w:t xml:space="preserve"> En consecuencia, el Estado deberá prevenir, investigar, sancionar y reparar las violaciones a los derechos humanos, en los términos que establezca la ley</w:t>
      </w:r>
    </w:p>
    <w:p w:rsidR="00E43006" w:rsidRDefault="00F5337A">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i/>
          <w:color w:val="000000"/>
          <w:sz w:val="22"/>
          <w:szCs w:val="22"/>
        </w:rPr>
        <w:t>[…]</w:t>
      </w:r>
    </w:p>
    <w:p w:rsidR="00E43006" w:rsidRDefault="00F5337A">
      <w:pPr>
        <w:pBdr>
          <w:top w:val="nil"/>
          <w:left w:val="nil"/>
          <w:bottom w:val="nil"/>
          <w:right w:val="nil"/>
          <w:between w:val="nil"/>
        </w:pBdr>
        <w:spacing w:before="240" w:after="240"/>
        <w:ind w:left="851" w:right="901"/>
        <w:jc w:val="both"/>
        <w:rPr>
          <w:color w:val="000000"/>
        </w:rPr>
      </w:pPr>
      <w:r>
        <w:rPr>
          <w:rFonts w:ascii="Palatino Linotype" w:eastAsia="Palatino Linotype" w:hAnsi="Palatino Linotype" w:cs="Palatino Linotype"/>
          <w:b/>
          <w:i/>
          <w:color w:val="000000"/>
          <w:sz w:val="22"/>
          <w:szCs w:val="22"/>
        </w:rPr>
        <w:t>“Artículo 6o.</w:t>
      </w:r>
    </w:p>
    <w:p w:rsidR="00E43006" w:rsidRDefault="00F5337A">
      <w:pPr>
        <w:pBdr>
          <w:top w:val="nil"/>
          <w:left w:val="nil"/>
          <w:bottom w:val="nil"/>
          <w:right w:val="nil"/>
          <w:between w:val="nil"/>
        </w:pBdr>
        <w:spacing w:before="240" w:after="240"/>
        <w:ind w:left="851" w:right="901"/>
        <w:jc w:val="both"/>
        <w:rPr>
          <w:color w:val="000000"/>
        </w:rPr>
      </w:pPr>
      <w:r>
        <w:rPr>
          <w:rFonts w:ascii="Palatino Linotype" w:eastAsia="Palatino Linotype" w:hAnsi="Palatino Linotype" w:cs="Palatino Linotype"/>
          <w:i/>
          <w:color w:val="000000"/>
          <w:sz w:val="22"/>
          <w:szCs w:val="22"/>
        </w:rPr>
        <w:t>[...]</w:t>
      </w:r>
    </w:p>
    <w:p w:rsidR="00E43006" w:rsidRDefault="00F5337A">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b/>
          <w:i/>
          <w:color w:val="000000"/>
          <w:sz w:val="22"/>
          <w:szCs w:val="22"/>
        </w:rPr>
        <w:t xml:space="preserve">A. Para el ejercicio del derecho de acceso a la información, la Federación y </w:t>
      </w:r>
      <w:r>
        <w:rPr>
          <w:rFonts w:ascii="Palatino Linotype" w:eastAsia="Palatino Linotype" w:hAnsi="Palatino Linotype" w:cs="Palatino Linotype"/>
          <w:b/>
          <w:i/>
          <w:color w:val="000000"/>
          <w:sz w:val="22"/>
          <w:szCs w:val="22"/>
          <w:u w:val="single"/>
        </w:rPr>
        <w:t>las entidades federativas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en el ámbito de sus respectivas competencias, se regirán por los siguientes principios y bases:</w:t>
      </w:r>
    </w:p>
    <w:p w:rsidR="00E43006" w:rsidRDefault="00F5337A">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 </w:t>
      </w:r>
      <w:r>
        <w:rPr>
          <w:rFonts w:ascii="Palatino Linotype" w:eastAsia="Palatino Linotype" w:hAnsi="Palatino Linotype" w:cs="Palatino Linotype"/>
          <w:b/>
          <w:i/>
          <w:color w:val="000000"/>
          <w:sz w:val="22"/>
          <w:szCs w:val="22"/>
          <w:u w:val="single"/>
        </w:rPr>
        <w:t>Toda la información en posesión de cualquier autoridad, entidad, órgano y organismo de los Poderes</w:t>
      </w:r>
      <w:r>
        <w:rPr>
          <w:rFonts w:ascii="Palatino Linotype" w:eastAsia="Palatino Linotype" w:hAnsi="Palatino Linotype" w:cs="Palatino Linotype"/>
          <w:i/>
          <w:color w:val="000000"/>
          <w:sz w:val="22"/>
          <w:szCs w:val="22"/>
        </w:rPr>
        <w:t xml:space="preserve"> Ejecutivo, Legislativo </w:t>
      </w:r>
      <w:r>
        <w:rPr>
          <w:rFonts w:ascii="Palatino Linotype" w:eastAsia="Palatino Linotype" w:hAnsi="Palatino Linotype" w:cs="Palatino Linotype"/>
          <w:b/>
          <w:i/>
          <w:color w:val="000000"/>
          <w:sz w:val="22"/>
          <w:szCs w:val="22"/>
          <w:u w:val="single"/>
        </w:rPr>
        <w:t>y Judicial</w:t>
      </w:r>
      <w:r>
        <w:rPr>
          <w:rFonts w:ascii="Palatino Linotype" w:eastAsia="Palatino Linotype" w:hAnsi="Palatino Linotype" w:cs="Palatino Linotype"/>
          <w:i/>
          <w:color w:val="000000"/>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color w:val="000000"/>
          <w:sz w:val="22"/>
          <w:szCs w:val="22"/>
        </w:rPr>
        <w:t>es pública y sólo podrá ser reservada temporalmente por razones de interés público y seguridad nacional,</w:t>
      </w:r>
      <w:r>
        <w:rPr>
          <w:rFonts w:ascii="Palatino Linotype" w:eastAsia="Palatino Linotype" w:hAnsi="Palatino Linotype" w:cs="Palatino Linotype"/>
          <w:i/>
          <w:color w:val="000000"/>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43006" w:rsidRDefault="00F5337A">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II. La información que se refiere a la vida privada y los datos personales será protegida en los términos y con las excepciones que fijen las leyes.</w:t>
      </w:r>
    </w:p>
    <w:p w:rsidR="00E43006" w:rsidRDefault="00F5337A">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III. </w:t>
      </w:r>
      <w:r>
        <w:rPr>
          <w:rFonts w:ascii="Palatino Linotype" w:eastAsia="Palatino Linotype" w:hAnsi="Palatino Linotype" w:cs="Palatino Linotype"/>
          <w:b/>
          <w:i/>
          <w:color w:val="000000"/>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color w:val="000000"/>
          <w:sz w:val="22"/>
          <w:szCs w:val="22"/>
        </w:rPr>
        <w:t xml:space="preserve"> a sus datos personales o a la rectificación de éstos.</w:t>
      </w:r>
    </w:p>
    <w:p w:rsidR="00E43006" w:rsidRDefault="00F5337A">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IV. </w:t>
      </w:r>
      <w:r>
        <w:rPr>
          <w:rFonts w:ascii="Palatino Linotype" w:eastAsia="Palatino Linotype" w:hAnsi="Palatino Linotype" w:cs="Palatino Linotype"/>
          <w:i/>
          <w:color w:val="000000"/>
          <w:sz w:val="22"/>
          <w:szCs w:val="22"/>
        </w:rPr>
        <w:t>Se establecerán mecanismos de acceso a la información y procedimientos de revisión expeditos que se sustanciarán ante los organismos autónomos especializados e imparciales que establece esta Constitución.</w:t>
      </w:r>
    </w:p>
    <w:p w:rsidR="00E43006" w:rsidRDefault="00F5337A">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b/>
          <w:i/>
          <w:color w:val="000000"/>
          <w:sz w:val="22"/>
          <w:szCs w:val="22"/>
        </w:rPr>
        <w:t xml:space="preserve">V. </w:t>
      </w:r>
      <w:r>
        <w:rPr>
          <w:rFonts w:ascii="Palatino Linotype" w:eastAsia="Palatino Linotype" w:hAnsi="Palatino Linotype" w:cs="Palatino Linotype"/>
          <w:i/>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E43006" w:rsidRDefault="00F5337A">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lastRenderedPageBreak/>
        <w:t> </w:t>
      </w:r>
      <w:r>
        <w:rPr>
          <w:rFonts w:ascii="Palatino Linotype" w:eastAsia="Palatino Linotype" w:hAnsi="Palatino Linotype" w:cs="Palatino Linotype"/>
          <w:b/>
          <w:i/>
          <w:color w:val="000000"/>
          <w:sz w:val="22"/>
          <w:szCs w:val="22"/>
        </w:rPr>
        <w:t xml:space="preserve">VI. </w:t>
      </w:r>
      <w:r>
        <w:rPr>
          <w:rFonts w:ascii="Palatino Linotype" w:eastAsia="Palatino Linotype" w:hAnsi="Palatino Linotype" w:cs="Palatino Linotype"/>
          <w:i/>
          <w:color w:val="000000"/>
          <w:sz w:val="22"/>
          <w:szCs w:val="22"/>
        </w:rPr>
        <w:t>Las leyes determinarán la manera en que los sujetos obligados deberán hacer pública la información relativa a los recursos públicos que entreguen a personas físicas o morales.</w:t>
      </w:r>
    </w:p>
    <w:p w:rsidR="00E43006" w:rsidRDefault="00F5337A">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VII. </w:t>
      </w:r>
      <w:r>
        <w:rPr>
          <w:rFonts w:ascii="Palatino Linotype" w:eastAsia="Palatino Linotype" w:hAnsi="Palatino Linotype" w:cs="Palatino Linotype"/>
          <w:i/>
          <w:color w:val="000000"/>
          <w:sz w:val="22"/>
          <w:szCs w:val="22"/>
        </w:rPr>
        <w:t>La inobservancia a las disposiciones en materia de acceso a la información pública será sancionada en los términos que dispongan las leyes. [...]</w:t>
      </w:r>
    </w:p>
    <w:p w:rsidR="00E43006" w:rsidRDefault="00F5337A">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E43006" w:rsidRDefault="00F5337A">
      <w:pPr>
        <w:pBdr>
          <w:top w:val="nil"/>
          <w:left w:val="nil"/>
          <w:bottom w:val="nil"/>
          <w:right w:val="nil"/>
          <w:between w:val="nil"/>
        </w:pBdr>
        <w:spacing w:before="240" w:after="240"/>
        <w:ind w:left="709" w:right="760"/>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4</w:t>
      </w:r>
      <w:r>
        <w:rPr>
          <w:rFonts w:ascii="Palatino Linotype" w:eastAsia="Palatino Linotype" w:hAnsi="Palatino Linotype" w:cs="Palatino Linotype"/>
          <w:i/>
          <w:color w:val="000000"/>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rsidR="00E43006" w:rsidRDefault="00F5337A">
      <w:pPr>
        <w:pBdr>
          <w:top w:val="nil"/>
          <w:left w:val="nil"/>
          <w:bottom w:val="nil"/>
          <w:right w:val="nil"/>
          <w:between w:val="nil"/>
        </w:pBdr>
        <w:spacing w:before="240" w:after="240"/>
        <w:ind w:left="709" w:right="760"/>
        <w:jc w:val="both"/>
        <w:rPr>
          <w:color w:val="000000"/>
        </w:rPr>
      </w:pPr>
      <w:r>
        <w:rPr>
          <w:rFonts w:ascii="Palatino Linotype" w:eastAsia="Palatino Linotype" w:hAnsi="Palatino Linotype" w:cs="Palatino Linotype"/>
          <w:b/>
          <w:i/>
          <w:color w:val="000000"/>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E43006" w:rsidRDefault="00F5337A">
      <w:pPr>
        <w:pBdr>
          <w:top w:val="nil"/>
          <w:left w:val="nil"/>
          <w:bottom w:val="nil"/>
          <w:right w:val="nil"/>
          <w:between w:val="nil"/>
        </w:pBdr>
        <w:spacing w:before="240" w:after="240"/>
        <w:ind w:left="709" w:right="760"/>
        <w:jc w:val="both"/>
        <w:rPr>
          <w:color w:val="000000"/>
        </w:rPr>
      </w:pPr>
      <w:r>
        <w:rPr>
          <w:rFonts w:ascii="Palatino Linotype" w:eastAsia="Palatino Linotype" w:hAnsi="Palatino Linotype" w:cs="Palatino Linotype"/>
          <w:i/>
          <w:color w:val="000000"/>
          <w:sz w:val="22"/>
          <w:szCs w:val="22"/>
        </w:rPr>
        <w:t>Los sujetos obligados deben poner en práctica, políticas y programas de acceso a la información que se apeguen a criterios de publicidad, veracidad, oportunidad, precisión y suficiencia en beneficio de los solicitantes.”(Sic)</w:t>
      </w:r>
    </w:p>
    <w:p w:rsidR="00E43006" w:rsidRDefault="00F5337A">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lastRenderedPageBreak/>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E43006" w:rsidRDefault="00F5337A">
      <w:pPr>
        <w:pBdr>
          <w:top w:val="nil"/>
          <w:left w:val="nil"/>
          <w:bottom w:val="nil"/>
          <w:right w:val="nil"/>
          <w:between w:val="nil"/>
        </w:pBdr>
        <w:spacing w:before="240" w:after="240"/>
        <w:ind w:left="567" w:right="758"/>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12</w:t>
      </w:r>
      <w:r>
        <w:rPr>
          <w:rFonts w:ascii="Palatino Linotype" w:eastAsia="Palatino Linotype" w:hAnsi="Palatino Linotype" w:cs="Palatino Linotype"/>
          <w:i/>
          <w:color w:val="000000"/>
          <w:sz w:val="22"/>
          <w:szCs w:val="22"/>
        </w:rPr>
        <w:t>. Quienes generen, recopilen, administren, manejen, procesen, archiven o conserven información pública serán responsables de la misma en los términos de las disposiciones jurídicas aplicables. </w:t>
      </w:r>
    </w:p>
    <w:p w:rsidR="00E43006" w:rsidRDefault="00F5337A">
      <w:pPr>
        <w:pBdr>
          <w:top w:val="nil"/>
          <w:left w:val="nil"/>
          <w:bottom w:val="nil"/>
          <w:right w:val="nil"/>
          <w:between w:val="nil"/>
        </w:pBdr>
        <w:spacing w:before="240" w:after="240"/>
        <w:ind w:left="567" w:right="758"/>
        <w:jc w:val="both"/>
        <w:rPr>
          <w:color w:val="000000"/>
        </w:rPr>
      </w:pPr>
      <w:r>
        <w:rPr>
          <w:rFonts w:ascii="Palatino Linotype" w:eastAsia="Palatino Linotype" w:hAnsi="Palatino Linotype" w:cs="Palatino Linotype"/>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E43006" w:rsidRDefault="00F5337A">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para satisfacer el derecho de acceso a la información pública, como así lo establece el criterio 03/17 emitido por el Instituto Nacional de Transparencia, Acceso a la Información Pública y Protección de Datos Personales, el cual señala lo siguiente:</w:t>
      </w:r>
    </w:p>
    <w:p w:rsidR="00E43006" w:rsidRDefault="00F5337A">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03/17</w:t>
      </w:r>
    </w:p>
    <w:p w:rsidR="00E43006" w:rsidRDefault="00F5337A">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p>
    <w:p w:rsidR="00E43006" w:rsidRDefault="00F5337A">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w:t>
      </w:r>
      <w:r>
        <w:rPr>
          <w:rFonts w:ascii="Palatino Linotype" w:eastAsia="Palatino Linotype" w:hAnsi="Palatino Linotype" w:cs="Palatino Linotype"/>
          <w:i/>
          <w:color w:val="000000"/>
          <w:sz w:val="22"/>
          <w:szCs w:val="22"/>
        </w:rPr>
        <w:lastRenderedPageBreak/>
        <w:t>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E43006" w:rsidRDefault="00F5337A">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E43006" w:rsidRDefault="00F5337A">
      <w:pPr>
        <w:pBdr>
          <w:top w:val="nil"/>
          <w:left w:val="nil"/>
          <w:bottom w:val="nil"/>
          <w:right w:val="nil"/>
          <w:between w:val="nil"/>
        </w:pBdr>
        <w:spacing w:before="240" w:after="240" w:line="360" w:lineRule="auto"/>
        <w:ind w:right="49"/>
        <w:jc w:val="both"/>
        <w:rPr>
          <w:color w:val="000000"/>
        </w:rPr>
      </w:pPr>
      <w:r>
        <w:rPr>
          <w:rFonts w:ascii="Palatino Linotype" w:eastAsia="Palatino Linotype" w:hAnsi="Palatino Linotype" w:cs="Palatino Linotype"/>
          <w:color w:val="000000"/>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E43006" w:rsidRDefault="00F5337A">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w:t>
      </w:r>
      <w:r>
        <w:rPr>
          <w:rFonts w:ascii="Palatino Linotype" w:eastAsia="Palatino Linotype" w:hAnsi="Palatino Linotype" w:cs="Palatino Linotype"/>
          <w:color w:val="000000"/>
        </w:rPr>
        <w:lastRenderedPageBreak/>
        <w:t>podrán estar en cualquier medio, sea escrito, impreso, sonoro, visual, electrónico, informático u holográfico de conformidad con el artículo 3, fracción XI de la Ley de la materia, el cual señala lo siguiente: </w:t>
      </w:r>
    </w:p>
    <w:p w:rsidR="00E43006" w:rsidRDefault="00F5337A">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Artículo 3. </w:t>
      </w:r>
      <w:r>
        <w:rPr>
          <w:rFonts w:ascii="Palatino Linotype" w:eastAsia="Palatino Linotype" w:hAnsi="Palatino Linotype" w:cs="Palatino Linotype"/>
          <w:i/>
          <w:color w:val="000000"/>
          <w:sz w:val="22"/>
          <w:szCs w:val="22"/>
        </w:rPr>
        <w:t>Para los efectos de la presente Ley se entenderá por:</w:t>
      </w:r>
    </w:p>
    <w:p w:rsidR="00E43006" w:rsidRDefault="00F5337A">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w:t>
      </w:r>
    </w:p>
    <w:p w:rsidR="00E43006" w:rsidRDefault="00F5337A">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rsidR="00E43006" w:rsidRDefault="00F5337A">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E43006" w:rsidRDefault="00F5337A">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color w:val="000000"/>
          <w:sz w:val="22"/>
          <w:szCs w:val="22"/>
        </w:rPr>
        <w:t>“</w:t>
      </w:r>
      <w:r>
        <w:rPr>
          <w:rFonts w:ascii="Palatino Linotype" w:eastAsia="Palatino Linotype" w:hAnsi="Palatino Linotype" w:cs="Palatino Linotype"/>
          <w:b/>
          <w:i/>
          <w:color w:val="000000"/>
          <w:sz w:val="22"/>
          <w:szCs w:val="22"/>
        </w:rPr>
        <w:t>CRITERIO 0002-11</w:t>
      </w:r>
    </w:p>
    <w:p w:rsidR="00E43006" w:rsidRDefault="00F5337A">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color w:val="000000"/>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43006" w:rsidRDefault="00F5337A">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En consecuencia el acceso a la información se refiere a que se cumplan cualquiera de los siguientes tres supuestos:</w:t>
      </w:r>
    </w:p>
    <w:p w:rsidR="00E43006" w:rsidRDefault="00F5337A">
      <w:pPr>
        <w:numPr>
          <w:ilvl w:val="0"/>
          <w:numId w:val="3"/>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Que se trate de información registrada en cualquier soporte documental, que en ejercicio de las atribuciones conferidas, sea generada por los Sujetos Obligados;</w:t>
      </w:r>
    </w:p>
    <w:p w:rsidR="00E43006" w:rsidRDefault="00F5337A">
      <w:pPr>
        <w:numPr>
          <w:ilvl w:val="0"/>
          <w:numId w:val="3"/>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rsidR="00E43006" w:rsidRDefault="00F5337A">
      <w:pPr>
        <w:pBdr>
          <w:top w:val="nil"/>
          <w:left w:val="nil"/>
          <w:bottom w:val="nil"/>
          <w:right w:val="nil"/>
          <w:between w:val="nil"/>
        </w:pBdr>
        <w:spacing w:before="240" w:after="240"/>
        <w:ind w:left="567" w:right="567" w:hanging="284"/>
        <w:jc w:val="both"/>
        <w:rPr>
          <w:color w:val="000000"/>
        </w:rPr>
      </w:pPr>
      <w:r>
        <w:rPr>
          <w:rFonts w:ascii="Palatino Linotype" w:eastAsia="Palatino Linotype" w:hAnsi="Palatino Linotype" w:cs="Palatino Linotype"/>
          <w:i/>
          <w:color w:val="000000"/>
          <w:sz w:val="22"/>
          <w:szCs w:val="22"/>
        </w:rPr>
        <w:t xml:space="preserve">3. </w:t>
      </w:r>
      <w:r>
        <w:rPr>
          <w:rFonts w:ascii="Palatino Linotype" w:eastAsia="Palatino Linotype" w:hAnsi="Palatino Linotype" w:cs="Palatino Linotype"/>
          <w:b/>
          <w:i/>
          <w:color w:val="000000"/>
          <w:sz w:val="22"/>
          <w:szCs w:val="22"/>
        </w:rPr>
        <w:t>Que se trate de información registrada en cualquier soporte documental, que en ejercicio de las atribuciones conferidas, se encuentre en posesión de los Sujetos Obligados.” (Sic)</w:t>
      </w:r>
    </w:p>
    <w:p w:rsidR="00E43006" w:rsidRDefault="00F5337A">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De ahí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E43006" w:rsidRDefault="00F5337A">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Ahora bien, para profundizar en el estudio del presente asunto, es conveniente recordar que la parte solicitante requirió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le proporcionara lo siguiente:</w:t>
      </w:r>
    </w:p>
    <w:p w:rsidR="00E43006" w:rsidRDefault="00E43006">
      <w:pPr>
        <w:spacing w:before="240"/>
        <w:ind w:right="902"/>
        <w:jc w:val="both"/>
        <w:rPr>
          <w:rFonts w:ascii="Palatino Linotype" w:eastAsia="Palatino Linotype" w:hAnsi="Palatino Linotype" w:cs="Palatino Linotype"/>
        </w:rPr>
      </w:pPr>
    </w:p>
    <w:p w:rsidR="00E43006" w:rsidRDefault="00E43006">
      <w:pPr>
        <w:ind w:right="902"/>
        <w:jc w:val="both"/>
        <w:rPr>
          <w:rFonts w:ascii="Palatino Linotype" w:eastAsia="Palatino Linotype" w:hAnsi="Palatino Linotype" w:cs="Palatino Linotype"/>
        </w:rPr>
      </w:pPr>
    </w:p>
    <w:p w:rsidR="00E43006" w:rsidRDefault="00F5337A">
      <w:pPr>
        <w:ind w:right="902"/>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4739005" cy="6623685"/>
            <wp:effectExtent l="0" t="0" r="0" b="0"/>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739005" cy="6623685"/>
                    </a:xfrm>
                    <a:prstGeom prst="rect">
                      <a:avLst/>
                    </a:prstGeom>
                    <a:ln/>
                  </pic:spPr>
                </pic:pic>
              </a:graphicData>
            </a:graphic>
          </wp:inline>
        </w:drawing>
      </w:r>
    </w:p>
    <w:p w:rsidR="00E43006" w:rsidRDefault="00E43006">
      <w:pPr>
        <w:ind w:right="902"/>
        <w:jc w:val="both"/>
        <w:rPr>
          <w:rFonts w:ascii="Palatino Linotype" w:eastAsia="Palatino Linotype" w:hAnsi="Palatino Linotype" w:cs="Palatino Linotype"/>
        </w:rPr>
      </w:pPr>
    </w:p>
    <w:p w:rsidR="00E43006" w:rsidRDefault="00E43006">
      <w:pPr>
        <w:ind w:right="902"/>
        <w:jc w:val="both"/>
        <w:rPr>
          <w:rFonts w:ascii="Palatino Linotype" w:eastAsia="Palatino Linotype" w:hAnsi="Palatino Linotype" w:cs="Palatino Linotype"/>
        </w:rPr>
      </w:pPr>
    </w:p>
    <w:p w:rsidR="00E43006" w:rsidRDefault="00E43006">
      <w:pPr>
        <w:ind w:right="902"/>
        <w:jc w:val="both"/>
        <w:rPr>
          <w:rFonts w:ascii="Palatino Linotype" w:eastAsia="Palatino Linotype" w:hAnsi="Palatino Linotype" w:cs="Palatino Linotype"/>
        </w:rPr>
      </w:pPr>
    </w:p>
    <w:p w:rsidR="00E43006" w:rsidRDefault="00E43006">
      <w:pPr>
        <w:ind w:right="902"/>
        <w:jc w:val="both"/>
        <w:rPr>
          <w:rFonts w:ascii="Palatino Linotype" w:eastAsia="Palatino Linotype" w:hAnsi="Palatino Linotype" w:cs="Palatino Linotype"/>
        </w:rPr>
      </w:pPr>
    </w:p>
    <w:p w:rsidR="00E43006" w:rsidRDefault="00E43006">
      <w:pPr>
        <w:ind w:right="902"/>
        <w:jc w:val="both"/>
        <w:rPr>
          <w:rFonts w:ascii="Palatino Linotype" w:eastAsia="Palatino Linotype" w:hAnsi="Palatino Linotype" w:cs="Palatino Linotype"/>
        </w:rPr>
      </w:pPr>
    </w:p>
    <w:p w:rsidR="00E43006" w:rsidRDefault="00E43006">
      <w:pPr>
        <w:ind w:right="902"/>
        <w:jc w:val="both"/>
        <w:rPr>
          <w:rFonts w:ascii="Palatino Linotype" w:eastAsia="Palatino Linotype" w:hAnsi="Palatino Linotype" w:cs="Palatino Linotype"/>
        </w:rPr>
      </w:pPr>
    </w:p>
    <w:p w:rsidR="00E43006" w:rsidRDefault="00F5337A">
      <w:pPr>
        <w:ind w:right="902"/>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4391025" cy="6429375"/>
            <wp:effectExtent l="0" t="0" r="0" b="0"/>
            <wp:docPr id="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4391025" cy="6429375"/>
                    </a:xfrm>
                    <a:prstGeom prst="rect">
                      <a:avLst/>
                    </a:prstGeom>
                    <a:ln/>
                  </pic:spPr>
                </pic:pic>
              </a:graphicData>
            </a:graphic>
          </wp:inline>
        </w:drawing>
      </w:r>
    </w:p>
    <w:p w:rsidR="00E43006" w:rsidRDefault="00E43006">
      <w:pPr>
        <w:ind w:right="902"/>
        <w:jc w:val="both"/>
        <w:rPr>
          <w:rFonts w:ascii="Palatino Linotype" w:eastAsia="Palatino Linotype" w:hAnsi="Palatino Linotype" w:cs="Palatino Linotype"/>
        </w:rPr>
      </w:pPr>
    </w:p>
    <w:p w:rsidR="00E43006" w:rsidRDefault="00E43006">
      <w:pPr>
        <w:ind w:right="902"/>
        <w:jc w:val="both"/>
        <w:rPr>
          <w:rFonts w:ascii="Palatino Linotype" w:eastAsia="Palatino Linotype" w:hAnsi="Palatino Linotype" w:cs="Palatino Linotype"/>
        </w:rPr>
      </w:pPr>
    </w:p>
    <w:p w:rsidR="00E43006" w:rsidRDefault="00F5337A">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Posteriormente, en respuesta,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manifestó </w:t>
      </w:r>
      <w:r>
        <w:rPr>
          <w:rFonts w:ascii="Palatino Linotype" w:eastAsia="Palatino Linotype" w:hAnsi="Palatino Linotype" w:cs="Palatino Linotype"/>
          <w:b/>
        </w:rPr>
        <w:t xml:space="preserve">que: </w:t>
      </w:r>
    </w:p>
    <w:tbl>
      <w:tblPr>
        <w:tblStyle w:val="a"/>
        <w:tblW w:w="8647"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647"/>
      </w:tblGrid>
      <w:tr w:rsidR="00E43006">
        <w:trPr>
          <w:trHeight w:val="4250"/>
        </w:trPr>
        <w:tc>
          <w:tcPr>
            <w:tcW w:w="8647" w:type="dxa"/>
            <w:tcBorders>
              <w:top w:val="nil"/>
              <w:left w:val="nil"/>
              <w:bottom w:val="nil"/>
              <w:right w:val="nil"/>
            </w:tcBorders>
            <w:tcMar>
              <w:top w:w="100" w:type="dxa"/>
              <w:left w:w="100" w:type="dxa"/>
              <w:bottom w:w="100" w:type="dxa"/>
              <w:right w:w="100" w:type="dxa"/>
            </w:tcMar>
          </w:tcPr>
          <w:p w:rsidR="00E43006" w:rsidRDefault="00F5337A">
            <w:pPr>
              <w:spacing w:before="240" w:after="240" w:line="276" w:lineRule="auto"/>
              <w:jc w:val="both"/>
              <w:rPr>
                <w:rFonts w:ascii="Palatino Linotype" w:eastAsia="Palatino Linotype" w:hAnsi="Palatino Linotype" w:cs="Palatino Linotype"/>
                <w:b/>
              </w:rPr>
            </w:pPr>
            <w:r>
              <w:rPr>
                <w:rFonts w:ascii="Palatino Linotype" w:eastAsia="Palatino Linotype" w:hAnsi="Palatino Linotype" w:cs="Palatino Linotype"/>
                <w:i/>
                <w:sz w:val="22"/>
                <w:szCs w:val="22"/>
              </w:rPr>
              <w:lastRenderedPageBreak/>
              <w:t xml:space="preserve">“Por medio de la presente reciba un cordial saludo, al tiempo que en respuesta a su Solicitud de Información con número de folio 00107/CHICOLOA/IP/2022 y con fundamento en el artículo 53 fracción I y 163 de la Ley de Transparencia y Acceso a la Información Pública del Estado de México y Municipios, me permito hacer de su conocimiento la siguiente normatividad: CÓDIGO FINANCIERO DEL ESTADO DE MÉXICO Y MUNICIPIOS Artículo 171.- Los Ayuntamientos y las autoridades catastrales municipales, además de las atribuciones que este Código y otros ordenamientos les confieran en materia catastral, tendrán las facultades y obligaciones siguientes: II. Identificar en forma precisa los inmuebles ubicados dentro del territorio municipal, mediante la localización geográfica y asignación de la clave catastral que le corresponda. Artículo 173.- El IGECEM y la autoridad catastral municipal, a costa del interesado, previa solicitud por escrito o por vía electrónica en los términos que precisa la Ley de Gobierno Digital del Estado de México y Municipios y su Reglamento, en la que acredite su interés jurídico o legítimo, podrán expedir certificaciones o constancias de los documentos y datos que obren en sus archivos o en el padrón catastral, en la materia de su competencia. Artículo 175.- Los propietarios o poseedores de inmuebles, independientemente del régimen jurídico de propiedad, ubicados en territorio del Estado, incluyendo las Dependencias y Entidades Públicas, están obligados a inscribirlos ante la unidad de catastro municipal correspondiente, mediante manifestación catastral que presenten de acuerdo con lo dispuesto en el Reglamento de este Título y al procedimiento establecido en el Manual Catastral, en los formatos y modalidades autorizados por el IGECEM, precisando las superficies del terreno y de la construcción, su ubicación y uso de suelo, si es a título de propietario o poseedor y demás datos solicitados, exhibiendo la documentación requerida para estos efectos. Artículo 179.- En términos de este capítulo, en lo sucesivo, salvo mención expresa, se entenderá por: I. Clave catastral.- El código alfanumérico único e irrepetible y está compuesto de dieciséis caracteres, que se asigna para efectos de localización geográfica, identificación, inscripción, control y registro de los inmuebles; los diez primeros deben ser caracteres numéricos y los seis últimos pueden ser alfanuméricos; su integración corresponde invariablemente y en estricto orden, a esta estructura: los tres primeros identifican al código del municipio, las dos siguientes a la zona catastral, los tres que siguen a la manzana y los dos siguientes al número de lote o predio; cuando se trate de condominios, las siguientes dos posiciones identifican el edificio y las cuatro últimas el número de departamento, en los casos de propiedades individuales estos seis últimos caracteres se codifican con ceros. REGLAMENTO DEL TÍTULO QUINTO DEL CÓDIGO FINANCIERO DEL ESTADO DE MÉXICO Y MUNICIPIOS, DENOMINADO “DEL CATASTRO” Artículo 24.- El Catastro Municipal, está facultado para inscribir a todos los inmuebles ubicados dentro de su respectiva </w:t>
            </w:r>
            <w:r>
              <w:rPr>
                <w:rFonts w:ascii="Palatino Linotype" w:eastAsia="Palatino Linotype" w:hAnsi="Palatino Linotype" w:cs="Palatino Linotype"/>
                <w:i/>
                <w:sz w:val="22"/>
                <w:szCs w:val="22"/>
              </w:rPr>
              <w:lastRenderedPageBreak/>
              <w:t xml:space="preserve">jurisdicción territorial, para tal efecto, los propietarios o poseedores deberán presentar su manifestación catastral en los términos que establece el artículo 175 del Código y el apartado I del Manual Catastral, para su registro e integración en el padrón catastral municipal. Artículo 26.- Para la inscripción inicial de un inmueble en el padrón catastral municipal, el Catastro Municipal asignará la clave catastral conforme a la estructura determinada en la fracción I del artículo 179 del Código y en todo caso atenderá a los lineamientos y procedimientos establecidos en el Manual Catastral. Artículo 27.- La clave catastral invariablemente se inscribirá tanto en el registro gráfico como en el alfanumérico y en su asignación no se permitirán duplicidades. Artículo 34.- Procede la actualización de los registros alfanumérico y gráfico del padrón catastral municipal, cuando se presenten los siguientes supuestos: I. El propietario o poseedor de un inmueble detecte errores en los datos técnicos o administrativos capturados en los registros catastrales. Artículo 35. En el supuesto previsto en la fracción I del artículo anterior, el propietario o poseedor solicitará al Catastro Municipal por escrito, mediante manifestación catastral o bien por vía electrónica en los términos que precisa la Ley de Gobierno Digital del Estado de México y Municipios, la corrección de sus datos en los registros gráfico y alfanumérico del padrón catastral municipal, debiendo acreditar la procedencia de la actualización, mediante la presentación de los documentos o estudios técnicos requeridos o un avalúo catastral practicado por el IGECEM o por especialista en valuación inmobiliaria con registro vigente expedido por el propio Instituto. MANUAL CATASTRAL DEL ESTADO DE MÉXICO I. ATENCIÓN AL PÚBLICO Y CONTROL DE GESTIÓN PARA LA PRESTACIÓN DE SERVICIOS Y GENERACIÓN DE PRODUCTOS CATASTRALES 1.3. POLÍTICAS GENERALES ACGC001.-Para otorgar la prestación de servicios catastrales, el usuario deberá presentar solicitud por escrito o en el formato establecido o bien por vía electrónica en los términos que precisa la Ley para el Uso de Medios Electrónicos del Estado de México y su Reglamento, acreditar su interés jurídico o legítimo y cumplir con los requisitos establecidos, en el presente manual, en términos de lo que establece el artículo 173 del Código Financiero del Estado de México y Municipios. Las áreas responsables de la atención al público usuario, deberán registrar y controlar en el formato correspondiente, cada una de las orientaciones o trámites que realicen, en el ámbito de sus respectivas competencias. ACGC004.- Para la solicitud de servicios y productos catastrales, invariablemente, los usuarios deberán cubrir los siguientes requisitos: • Solicitud por escrito o en el formato establecido o bien por vía electrónica en los términos que precisa la Ley para el Uso de Medios Electrónicos del Estado de México y su Reglamento. • En caso de copropiedad, deberá presentar el acuerdo o documento en el que conste la autorización de la gestión del servicio por los copropietarios. • Copia de la identificación oficial vigente del </w:t>
            </w:r>
            <w:r>
              <w:rPr>
                <w:rFonts w:ascii="Palatino Linotype" w:eastAsia="Palatino Linotype" w:hAnsi="Palatino Linotype" w:cs="Palatino Linotype"/>
                <w:i/>
                <w:sz w:val="22"/>
                <w:szCs w:val="22"/>
              </w:rPr>
              <w:lastRenderedPageBreak/>
              <w:t xml:space="preserve">propietario, poseedor o copropietarios del inmueble y de la persona autorizada mediante carta poder o representación legal. • Pago correspondiente por el servicio solicitado. ACGC005.- Solamente se expedirán certificaciones, y constancias de la información catastral, que obre en los archivos documentales o en el Padrón Catastral. Tratándose de las certificaciones de clave y valor catastral, se deberán emitir con un único código de barras de alta densidad en formato Code 128, mismo que estrictamente represente la clave catastral del inmueble de que se trate, para su precisa identificación y captura electrónica. ACGC006.-Para la solicitud de productos catastrales, invariablemente, los usuarios deberán cubrir los siguientes requisitos: • Solicitud por escrito o en el formato establecido. • Pago correspondiente por el producto solicitado. ACGC007.- Para hacer constar el interés jurídico o legítimo, el solicitante deberá presentar ante la autoridad catastral, los siguientes documentos: • Documento que acredite la propiedad o posesión del inmueble, el cual puede ser cualesquiera de entre los siguientes: o Escritura Pública. o Contrato privado de compra-venta, cesión o donación. o Sentencia de la autoridad judicial que haya causado ejecutoria. o Manifestación de adquisición de inmuebles u otras operaciones traslativas de dominio de inmuebles, autorizada por la autoridad fiscal respectiva y el recibo de pago correspondiente. o Acta de entrega cuando se trate de inmuebles de interés social o Cédula de contratación que emita la dependencia oficial autorizada para la regularización de la tenencia de la tierra. o Título, certificado o cesión de derechos agrarios, parcelarios o comunes, así como sentencia emitida por el tribunal agrario. o In matriculación administrativa o judicial. • Carta poder en la que el propietario o poseedor del inmueble de que se trate, autoriza a otra persona para realizar en su nombre, el trámite de solicitud del producto o servicio requerido, en su caso. • Documento notarial mediante el que el propietario o poseedor del inmueble, otorga la representación legal a otra persona para la realización del trámite de solicitud del producto o servicio requerido, en su caso. ACGC014. Los servicios catastrales que presta el ayuntamiento son: • Asignación, baja y reasignación de clave catastral. En virtud de la normatividad anteriormente referida, es importante manifestar que este Sujeto Obligado se encuentra excluido de proporcionar la información requerida mediante su Solicitud de Información de manera oficiosa, con fundamento en el artículo 172 de la Ley de Transparencia y Acceso a la Información Pública del Estado de México y Municipios que a la letra establece: Artículo 172. Cuando lo solicitado corresponda a información que sea posible obtener mediante un trámite previamente establecido y previsto en una norma, el sujeto obligado orientará al solicitante sobre el procedimiento que corresponda. En esos casos, la solicitud de información podrá desecharse por improcedente, dejando a salvo el derecho del particular de interponer el recurso previsto en la presente Ley, si no estuviere conforme. Los argumentos para justificar cualquier negativa de </w:t>
            </w:r>
            <w:r>
              <w:rPr>
                <w:rFonts w:ascii="Palatino Linotype" w:eastAsia="Palatino Linotype" w:hAnsi="Palatino Linotype" w:cs="Palatino Linotype"/>
                <w:i/>
                <w:sz w:val="22"/>
                <w:szCs w:val="22"/>
              </w:rPr>
              <w:lastRenderedPageBreak/>
              <w:t xml:space="preserve">acceso a la información deben recaer en el sujeto obligado al cual la información fue solicitada. Por lo anteriormente descrito, debidamente fundado y motivado, le hago entrega de la información solicitada para realizar el trámite previamente establecido, asimismo le informo que deberá presentarse a la Jefatura de Catastro, ubicada al interior del Palacio Municipal de Chicoloapan, México, con domicilio en Plaza de la Constitución S/N, código postal 56370, Chicoloapan, México., </w:t>
            </w:r>
            <w:r>
              <w:rPr>
                <w:rFonts w:ascii="Palatino Linotype" w:eastAsia="Palatino Linotype" w:hAnsi="Palatino Linotype" w:cs="Palatino Linotype"/>
                <w:b/>
                <w:i/>
                <w:sz w:val="22"/>
                <w:szCs w:val="22"/>
              </w:rPr>
              <w:t xml:space="preserve">para obtener la información solicitada, cumpliendo los requisitos antes descritos. Por último, le informo que nos ponemos a sus órdenes para cualquier solicitud, duda, aclaración, sugerencia o asesoría; en nuestras oficinas que se encuentran ubicadas en Calle Mina No. 5 Cabecera Municipal, Chicoloapan México, así como en número telefónico 5589201851 extensión 1080 en un horario de 09:00 a 18:00 horas en días hábiles o en el correo electrónico </w:t>
            </w:r>
            <w:hyperlink r:id="rId14">
              <w:r>
                <w:rPr>
                  <w:rFonts w:ascii="Palatino Linotype" w:eastAsia="Palatino Linotype" w:hAnsi="Palatino Linotype" w:cs="Palatino Linotype"/>
                  <w:b/>
                  <w:i/>
                  <w:color w:val="0000FF"/>
                  <w:sz w:val="22"/>
                  <w:szCs w:val="22"/>
                  <w:u w:val="single"/>
                </w:rPr>
                <w:t>unidaddeinformacionytransparencia@chicoloapan.gob.mx</w:t>
              </w:r>
            </w:hyperlink>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 xml:space="preserve">(Sic) </w:t>
            </w:r>
          </w:p>
        </w:tc>
      </w:tr>
    </w:tbl>
    <w:p w:rsidR="00E43006" w:rsidRDefault="00F5337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esta tesitura, una vez conocida 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particular, al no estar conforme con los términos de la misma, interpuso el recurso de revisión que nos ocupa, donde señaló como motivos de inconformidad: </w:t>
      </w:r>
      <w:r>
        <w:rPr>
          <w:rFonts w:ascii="Palatino Linotype" w:eastAsia="Palatino Linotype" w:hAnsi="Palatino Linotype" w:cs="Palatino Linotype"/>
          <w:b/>
          <w:i/>
        </w:rPr>
        <w:t xml:space="preserve">“…4.- Finalmente, la respuesta emitida transgrede el principio de máxima publicidad, la información no corresponde con lo solicitado, no se atienden concretamente los incisos A) fracciones I y II, B) fracciones I, II, III, IV, V y VI5 y C), no fueron valorados los documentos anexos al momento de presentar la solicitud de información que nos ocupa, no existe congruencia en la respuesta y para la entrega de la información realizan un cambio de modalidad sin causa justificada” </w:t>
      </w:r>
      <w:r>
        <w:rPr>
          <w:rFonts w:ascii="Palatino Linotype" w:eastAsia="Palatino Linotype" w:hAnsi="Palatino Linotype" w:cs="Palatino Linotype"/>
          <w:i/>
        </w:rPr>
        <w:t xml:space="preserve">(Sic) (Énfasis añadido), </w:t>
      </w:r>
      <w:r>
        <w:rPr>
          <w:rFonts w:ascii="Palatino Linotype" w:eastAsia="Palatino Linotype" w:hAnsi="Palatino Linotype" w:cs="Palatino Linotype"/>
        </w:rPr>
        <w:t xml:space="preserve">es decir, la  entrega de la información no corresponde con lo solicitado. </w:t>
      </w:r>
    </w:p>
    <w:p w:rsidR="00E43006" w:rsidRDefault="00F5337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las cosas, durante la etapa de manifestaciones,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consistente en el archivo electrónico denominado</w:t>
      </w:r>
      <w:r>
        <w:rPr>
          <w:rFonts w:ascii="Palatino Linotype" w:eastAsia="Palatino Linotype" w:hAnsi="Palatino Linotype" w:cs="Palatino Linotype"/>
          <w:b/>
          <w:i/>
        </w:rPr>
        <w:t xml:space="preserve"> “informe justificado.pdf”,</w:t>
      </w:r>
      <w:r>
        <w:rPr>
          <w:rFonts w:ascii="Palatino Linotype" w:eastAsia="Palatino Linotype" w:hAnsi="Palatino Linotype" w:cs="Palatino Linotype"/>
        </w:rPr>
        <w:t xml:space="preserve"> en los siguientes términos: </w:t>
      </w:r>
    </w:p>
    <w:p w:rsidR="00E43006" w:rsidRDefault="00E43006">
      <w:pPr>
        <w:spacing w:before="240" w:after="240" w:line="360" w:lineRule="auto"/>
        <w:ind w:right="49"/>
        <w:jc w:val="center"/>
        <w:rPr>
          <w:rFonts w:ascii="Palatino Linotype" w:eastAsia="Palatino Linotype" w:hAnsi="Palatino Linotype" w:cs="Palatino Linotype"/>
        </w:rPr>
      </w:pPr>
    </w:p>
    <w:p w:rsidR="00E43006" w:rsidRDefault="00F5337A">
      <w:pPr>
        <w:spacing w:before="240" w:after="240" w:line="360" w:lineRule="auto"/>
        <w:ind w:right="49"/>
        <w:jc w:val="both"/>
      </w:pPr>
      <w:r>
        <w:rPr>
          <w:noProof/>
          <w:lang w:val="es-MX"/>
        </w:rPr>
        <w:drawing>
          <wp:inline distT="0" distB="0" distL="0" distR="0">
            <wp:extent cx="5610225" cy="5076825"/>
            <wp:effectExtent l="0" t="0" r="0" b="0"/>
            <wp:docPr id="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5610225" cy="5076825"/>
                    </a:xfrm>
                    <a:prstGeom prst="rect">
                      <a:avLst/>
                    </a:prstGeom>
                    <a:ln/>
                  </pic:spPr>
                </pic:pic>
              </a:graphicData>
            </a:graphic>
          </wp:inline>
        </w:drawing>
      </w:r>
    </w:p>
    <w:p w:rsidR="00E43006" w:rsidRDefault="00F5337A">
      <w:pPr>
        <w:spacing w:before="240" w:after="240" w:line="360" w:lineRule="auto"/>
        <w:ind w:right="49"/>
        <w:jc w:val="both"/>
      </w:pPr>
      <w:r>
        <w:rPr>
          <w:noProof/>
          <w:lang w:val="es-MX"/>
        </w:rPr>
        <w:lastRenderedPageBreak/>
        <w:drawing>
          <wp:inline distT="0" distB="0" distL="0" distR="0">
            <wp:extent cx="5600700" cy="5476875"/>
            <wp:effectExtent l="0" t="0" r="0" b="0"/>
            <wp:docPr id="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600700" cy="5476875"/>
                    </a:xfrm>
                    <a:prstGeom prst="rect">
                      <a:avLst/>
                    </a:prstGeom>
                    <a:ln/>
                  </pic:spPr>
                </pic:pic>
              </a:graphicData>
            </a:graphic>
          </wp:inline>
        </w:drawing>
      </w:r>
    </w:p>
    <w:p w:rsidR="00E43006" w:rsidRDefault="00F5337A">
      <w:pPr>
        <w:spacing w:before="240" w:after="240" w:line="360" w:lineRule="auto"/>
        <w:ind w:right="49"/>
        <w:jc w:val="both"/>
      </w:pPr>
      <w:r>
        <w:rPr>
          <w:noProof/>
          <w:lang w:val="es-MX"/>
        </w:rPr>
        <w:lastRenderedPageBreak/>
        <w:drawing>
          <wp:inline distT="0" distB="0" distL="0" distR="0">
            <wp:extent cx="5610225" cy="5314950"/>
            <wp:effectExtent l="0" t="0" r="0" b="0"/>
            <wp:docPr id="3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5610225" cy="5314950"/>
                    </a:xfrm>
                    <a:prstGeom prst="rect">
                      <a:avLst/>
                    </a:prstGeom>
                    <a:ln/>
                  </pic:spPr>
                </pic:pic>
              </a:graphicData>
            </a:graphic>
          </wp:inline>
        </w:drawing>
      </w:r>
    </w:p>
    <w:p w:rsidR="00E43006" w:rsidRDefault="00F5337A">
      <w:pPr>
        <w:spacing w:before="240" w:after="240" w:line="360" w:lineRule="auto"/>
        <w:ind w:right="49"/>
        <w:jc w:val="both"/>
      </w:pPr>
      <w:r>
        <w:rPr>
          <w:noProof/>
          <w:lang w:val="es-MX"/>
        </w:rPr>
        <w:lastRenderedPageBreak/>
        <w:drawing>
          <wp:inline distT="0" distB="0" distL="0" distR="0">
            <wp:extent cx="5610225" cy="5581650"/>
            <wp:effectExtent l="0" t="0" r="0" b="0"/>
            <wp:docPr id="3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5610225" cy="5581650"/>
                    </a:xfrm>
                    <a:prstGeom prst="rect">
                      <a:avLst/>
                    </a:prstGeom>
                    <a:ln/>
                  </pic:spPr>
                </pic:pic>
              </a:graphicData>
            </a:graphic>
          </wp:inline>
        </w:drawing>
      </w:r>
    </w:p>
    <w:p w:rsidR="00E43006" w:rsidRDefault="00F5337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precisado lo anterior, en alusión a los requerimientos formulados por el particular, resulta oportuno hacer alusión a la definición de predio señalada en el artículo 179  fracción V del Código Financiero del Estado de México, el cual establece: </w:t>
      </w:r>
    </w:p>
    <w:p w:rsidR="00E43006" w:rsidRDefault="00E43006">
      <w:pPr>
        <w:spacing w:line="360" w:lineRule="auto"/>
        <w:jc w:val="both"/>
        <w:rPr>
          <w:rFonts w:ascii="Palatino Linotype" w:eastAsia="Palatino Linotype" w:hAnsi="Palatino Linotype" w:cs="Palatino Linotype"/>
        </w:rPr>
      </w:pPr>
    </w:p>
    <w:p w:rsidR="00E43006" w:rsidRDefault="00E43006">
      <w:pPr>
        <w:spacing w:line="360" w:lineRule="auto"/>
        <w:jc w:val="both"/>
        <w:rPr>
          <w:rFonts w:ascii="Palatino Linotype" w:eastAsia="Palatino Linotype" w:hAnsi="Palatino Linotype" w:cs="Palatino Linotype"/>
        </w:rPr>
      </w:pPr>
    </w:p>
    <w:p w:rsidR="00E43006" w:rsidRDefault="00F5337A">
      <w:pPr>
        <w:spacing w:line="276" w:lineRule="auto"/>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179.-</w:t>
      </w:r>
      <w:r>
        <w:rPr>
          <w:rFonts w:ascii="Palatino Linotype" w:eastAsia="Palatino Linotype" w:hAnsi="Palatino Linotype" w:cs="Palatino Linotype"/>
          <w:i/>
          <w:sz w:val="22"/>
          <w:szCs w:val="22"/>
        </w:rPr>
        <w:t xml:space="preserve"> En términos de este capítulo, en lo sucesivo, salvo mención expresa, se entenderá por:</w:t>
      </w:r>
    </w:p>
    <w:p w:rsidR="00E43006" w:rsidRDefault="00F5337A">
      <w:pPr>
        <w:spacing w:line="276" w:lineRule="auto"/>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Predio.</w:t>
      </w:r>
      <w:r>
        <w:rPr>
          <w:rFonts w:ascii="Palatino Linotype" w:eastAsia="Palatino Linotype" w:hAnsi="Palatino Linotype" w:cs="Palatino Linotype"/>
          <w:i/>
          <w:sz w:val="22"/>
          <w:szCs w:val="22"/>
        </w:rPr>
        <w:t>- El inmueble urbano o rústico con o sin construcciones, integrante de una manzana catastral, cuyos linderos forman un polígono cerrado; está representado por los dígitos noveno y décimo de la clave catastral.”</w:t>
      </w:r>
    </w:p>
    <w:p w:rsidR="00E43006" w:rsidRDefault="00F5337A">
      <w:pPr>
        <w:spacing w:line="276" w:lineRule="auto"/>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rsidR="00E43006" w:rsidRDefault="00F5337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 lo anterior en mente conviene señalar que, los predios son susceptibles de sujetarse a diversos trámites tales como: </w:t>
      </w:r>
    </w:p>
    <w:p w:rsidR="00E43006" w:rsidRDefault="00E43006">
      <w:pPr>
        <w:spacing w:line="360" w:lineRule="auto"/>
        <w:jc w:val="both"/>
        <w:rPr>
          <w:rFonts w:ascii="Palatino Linotype" w:eastAsia="Palatino Linotype" w:hAnsi="Palatino Linotype" w:cs="Palatino Linotype"/>
        </w:rPr>
      </w:pPr>
    </w:p>
    <w:p w:rsidR="00E43006" w:rsidRDefault="00F5337A">
      <w:pPr>
        <w:numPr>
          <w:ilvl w:val="0"/>
          <w:numId w:val="8"/>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Fusión de predios:</w:t>
      </w:r>
      <w:r>
        <w:rPr>
          <w:rFonts w:ascii="Palatino Linotype" w:eastAsia="Palatino Linotype" w:hAnsi="Palatino Linotype" w:cs="Palatino Linotype"/>
        </w:rPr>
        <w:t xml:space="preserve"> Autorización que consiste en la unión de dos o más predios o lotes contiguos, con usos compatibles, con el fin de constituir una unidad de propiedad. </w:t>
      </w:r>
    </w:p>
    <w:p w:rsidR="00E43006" w:rsidRDefault="00F5337A">
      <w:pPr>
        <w:numPr>
          <w:ilvl w:val="0"/>
          <w:numId w:val="8"/>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Relotificación de predios:</w:t>
      </w:r>
      <w:r>
        <w:rPr>
          <w:rFonts w:ascii="Palatino Linotype" w:eastAsia="Palatino Linotype" w:hAnsi="Palatino Linotype" w:cs="Palatino Linotype"/>
        </w:rPr>
        <w:t xml:space="preserve"> Acto por el cual a dos o más lotes o áreas privativas, según corresponda, se le modifican las dimensiones o las ubicaciones originalmente establecidas en la autorización del conjunto urbano, subdivisión o condominio, sin que incremente el área vendible ni el número de viviendas o lotes. </w:t>
      </w:r>
    </w:p>
    <w:p w:rsidR="00E43006" w:rsidRDefault="00F5337A">
      <w:pPr>
        <w:numPr>
          <w:ilvl w:val="0"/>
          <w:numId w:val="8"/>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Lotificación en condominio:</w:t>
      </w:r>
      <w:r>
        <w:rPr>
          <w:rFonts w:ascii="Palatino Linotype" w:eastAsia="Palatino Linotype" w:hAnsi="Palatino Linotype" w:cs="Palatino Linotype"/>
        </w:rPr>
        <w:t xml:space="preserve"> Modalidad en la ejecución del desarrollo urbano, que tiene por objeto estructurar u ordenar, como una unidad espacial integral, las áreas privativas y comunes, la zonificación y normas de uso y aprovechamiento del suelo, la ubicación de edificios, las obras de urbanización, las obras de infraestructura primaria en su caso, así como la imagen urbana de un predio o lote. </w:t>
      </w:r>
    </w:p>
    <w:p w:rsidR="00E43006" w:rsidRDefault="00F5337A">
      <w:pPr>
        <w:numPr>
          <w:ilvl w:val="0"/>
          <w:numId w:val="8"/>
        </w:numPr>
        <w:spacing w:line="360" w:lineRule="auto"/>
        <w:jc w:val="both"/>
        <w:rPr>
          <w:rFonts w:ascii="Palatino Linotype" w:eastAsia="Palatino Linotype" w:hAnsi="Palatino Linotype" w:cs="Palatino Linotype"/>
          <w:b/>
          <w:u w:val="single"/>
        </w:rPr>
      </w:pPr>
      <w:r>
        <w:rPr>
          <w:rFonts w:ascii="Palatino Linotype" w:eastAsia="Palatino Linotype" w:hAnsi="Palatino Linotype" w:cs="Palatino Linotype"/>
          <w:b/>
          <w:u w:val="single"/>
        </w:rPr>
        <w:t xml:space="preserve">Subdivisión de predios: Consiste en el acto por el que se fracciona un predio en lotes, con el fin de que estos constituyan unidades de propiedad independientes. Su procedencia se sujeta a que los lotes resultantes tengan </w:t>
      </w:r>
      <w:r>
        <w:rPr>
          <w:rFonts w:ascii="Palatino Linotype" w:eastAsia="Palatino Linotype" w:hAnsi="Palatino Linotype" w:cs="Palatino Linotype"/>
          <w:b/>
          <w:u w:val="single"/>
        </w:rPr>
        <w:lastRenderedPageBreak/>
        <w:t xml:space="preserve">frente a vía pública los servicios públicos municipales de suministro de agua potable y drenaje. </w:t>
      </w:r>
    </w:p>
    <w:p w:rsidR="00E43006" w:rsidRDefault="00E43006">
      <w:pPr>
        <w:tabs>
          <w:tab w:val="left" w:pos="709"/>
        </w:tabs>
        <w:spacing w:line="360" w:lineRule="auto"/>
        <w:ind w:right="49"/>
        <w:jc w:val="both"/>
        <w:rPr>
          <w:rFonts w:ascii="Palatino Linotype" w:eastAsia="Palatino Linotype" w:hAnsi="Palatino Linotype" w:cs="Palatino Linotype"/>
        </w:rPr>
      </w:pPr>
    </w:p>
    <w:p w:rsidR="00E43006" w:rsidRDefault="00F5337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pues, por lo que hace a la clave catastral,  el mismo Código financiero en sus numerales 171, 175 Bis, 177 y 179, fracción I del Código Financiero del Estado de México y Municipios, dispone lo siguiente: </w:t>
      </w:r>
    </w:p>
    <w:p w:rsidR="00E43006" w:rsidRDefault="00F5337A">
      <w:pPr>
        <w:spacing w:before="240" w:after="16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171.- </w:t>
      </w:r>
      <w:r>
        <w:rPr>
          <w:rFonts w:ascii="Palatino Linotype" w:eastAsia="Palatino Linotype" w:hAnsi="Palatino Linotype" w:cs="Palatino Linotype"/>
          <w:b/>
          <w:i/>
          <w:sz w:val="22"/>
          <w:szCs w:val="22"/>
          <w:u w:val="single"/>
        </w:rPr>
        <w:t>Los Ayuntamientos</w:t>
      </w:r>
      <w:r>
        <w:rPr>
          <w:rFonts w:ascii="Palatino Linotype" w:eastAsia="Palatino Linotype" w:hAnsi="Palatino Linotype" w:cs="Palatino Linotype"/>
          <w:i/>
          <w:sz w:val="22"/>
          <w:szCs w:val="22"/>
          <w:u w:val="single"/>
        </w:rPr>
        <w:t>,</w:t>
      </w:r>
      <w:r>
        <w:rPr>
          <w:rFonts w:ascii="Palatino Linotype" w:eastAsia="Palatino Linotype" w:hAnsi="Palatino Linotype" w:cs="Palatino Linotype"/>
          <w:i/>
          <w:sz w:val="22"/>
          <w:szCs w:val="22"/>
        </w:rPr>
        <w:t xml:space="preserve"> además de las atribuciones que este Código y otros ordenamientos les confieran en materia catastral, tendrán las facultades y obligaciones siguientes:</w:t>
      </w:r>
    </w:p>
    <w:p w:rsidR="00E43006" w:rsidRDefault="00F5337A">
      <w:pPr>
        <w:spacing w:before="240" w:after="16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rsidR="00E43006" w:rsidRDefault="00F5337A">
      <w:pPr>
        <w:spacing w:before="240" w:after="16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Recibir las manifestaciones catastrales de los propietarios o poseedores de inmuebles, para efectos de su inscripción o actualización en el padrón catastral municipal.</w:t>
      </w:r>
    </w:p>
    <w:p w:rsidR="00E43006" w:rsidRDefault="00F5337A">
      <w:pPr>
        <w:spacing w:before="240" w:after="16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175 Bis.- Cuando se modifique la superficie de terreno o de construcción, cualquiera que sea la causa, los propietarios o poseedores de esos inmuebles deberán declarar ante la autoridad catastral municipal dichas modificaciones, mediante manifestación catastral que presenten en los formatos autorizados. </w:t>
      </w:r>
    </w:p>
    <w:p w:rsidR="00E43006" w:rsidRDefault="00F5337A">
      <w:pPr>
        <w:spacing w:before="240" w:after="160" w:line="276" w:lineRule="auto"/>
        <w:ind w:left="851" w:right="85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Cuando se fusione, subdivida, lotifique, relotifique, o se produzca una lotificación en condominio o conjunto urbano de un inmueble, mediante autorización que emita la autoridad competente, es necesario actualizar los datos técnicos, administrativos y el valor en el padrón catastral municipal y en su caso, asignar claves e inscribirlos; para tal efecto, los propietarios deberán declarar ante el Ayuntamiento, las modificaciones generadas, mediante manifestación catastral que presenten dentro de los treinta días siguientes a la fecha en que se haya otorgado la autorización correspondiente. </w:t>
      </w:r>
    </w:p>
    <w:p w:rsidR="00E43006" w:rsidRDefault="00F5337A">
      <w:pPr>
        <w:spacing w:before="240" w:after="16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el caso de lotificaciones en condominio y conjuntos urbanos, previamente a la autorización correspondiente, se requiere un avalúo catastral del inmueble o </w:t>
      </w:r>
      <w:r>
        <w:rPr>
          <w:rFonts w:ascii="Palatino Linotype" w:eastAsia="Palatino Linotype" w:hAnsi="Palatino Linotype" w:cs="Palatino Linotype"/>
          <w:i/>
          <w:sz w:val="22"/>
          <w:szCs w:val="22"/>
        </w:rPr>
        <w:lastRenderedPageBreak/>
        <w:t>inmuebles que conforman el proyecto que será practicado y emitido por el IGECEM o por especialista en valuación inmobiliaria con registro vigente expedido por el propio Instituto, como soporte técnico a los requerimientos señalados en el Manual Catastral.</w:t>
      </w:r>
    </w:p>
    <w:p w:rsidR="00E43006" w:rsidRDefault="00F5337A">
      <w:pPr>
        <w:spacing w:before="240" w:after="16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177.-</w:t>
      </w:r>
      <w:r>
        <w:rPr>
          <w:rFonts w:ascii="Palatino Linotype" w:eastAsia="Palatino Linotype" w:hAnsi="Palatino Linotype" w:cs="Palatino Linotype"/>
          <w:i/>
          <w:sz w:val="22"/>
          <w:szCs w:val="22"/>
        </w:rPr>
        <w:t xml:space="preserve"> La autoridad catastral municipal está facultada para constatar la veracidad de los datos declarados en la manifestación catastral por los propietarios o poseedores de inmuebles, mediante la realización de los estudios técnicos catastrales que sean necesarios. Cuando no fuese presentada la manifestación, y hayan sido detectadas modificaciones en los inmuebles, la autoridad catastral municipal podrá requerir a los propietarios o poseedores que proporcionen los datos, documentos e informes de los inmuebles; y realizar levantamientos topográficos, investigaciones en campo y demás actividades catastrales.</w:t>
      </w:r>
    </w:p>
    <w:p w:rsidR="00E43006" w:rsidRDefault="00F5337A">
      <w:pPr>
        <w:spacing w:before="240" w:after="16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En términos de este capítulo, en lo sucesivo, salvo mención expresa, se entenderá por: </w:t>
      </w:r>
    </w:p>
    <w:p w:rsidR="00E43006" w:rsidRDefault="00F5337A">
      <w:pPr>
        <w:spacing w:before="240" w:after="16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 Clave catastral.-</w:t>
      </w:r>
      <w:r>
        <w:rPr>
          <w:rFonts w:ascii="Palatino Linotype" w:eastAsia="Palatino Linotype" w:hAnsi="Palatino Linotype" w:cs="Palatino Linotype"/>
          <w:i/>
          <w:sz w:val="22"/>
          <w:szCs w:val="22"/>
        </w:rPr>
        <w:t xml:space="preserve"> El código alfanumérico único e irrepetible y está compuesto de dieciséis caracteres, que se asigna para efectos de localización geográfica, identificación, inscripción, control y registro de los inmuebles; los diez primeros deben ser caracteres numéricos y los seis últimos pueden ser alfanuméricos; su integración corresponde invariablemente y en estricto orden, a esta estructura: los tres primeros identifican al código del municipio, las dos siguientes a la zona catastral, los tres que siguen a la manzana y los dos siguientes al número de lote o predio; cuando se trate de condominios, las siguientes dos posiciones identifican el edificio y las cuatro últimas el número de departamento, en los casos de propiedades individuales estos seis últimos caracteres se codifican con ceros.</w:t>
      </w:r>
    </w:p>
    <w:p w:rsidR="00E43006" w:rsidRDefault="00F5337A">
      <w:pPr>
        <w:spacing w:before="240" w:after="160" w:line="276" w:lineRule="auto"/>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(Sic) </w:t>
      </w:r>
    </w:p>
    <w:p w:rsidR="00E43006" w:rsidRDefault="00E43006">
      <w:pPr>
        <w:spacing w:line="360" w:lineRule="auto"/>
        <w:jc w:val="both"/>
        <w:rPr>
          <w:rFonts w:ascii="Palatino Linotype" w:eastAsia="Palatino Linotype" w:hAnsi="Palatino Linotype" w:cs="Palatino Linotype"/>
        </w:rPr>
      </w:pPr>
    </w:p>
    <w:p w:rsidR="00E43006" w:rsidRDefault="00F5337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anteriores se desprende que la clave catastral es el código alfanumérico único e irrepetible que se asigna con el propósito de localización geográfica, identificación, inscripción, control y registro de los inmuebles, por lo que cuando se modifique la superficie de terreno o de construcción, cualquiera que sea </w:t>
      </w:r>
      <w:r>
        <w:rPr>
          <w:rFonts w:ascii="Palatino Linotype" w:eastAsia="Palatino Linotype" w:hAnsi="Palatino Linotype" w:cs="Palatino Linotype"/>
        </w:rPr>
        <w:lastRenderedPageBreak/>
        <w:t xml:space="preserve">la causa, los propietarios o poseedores de esos inmuebles deberán declarar ante la autoridad catastral municipal dichas modificaciones, como es en el caso particular de la subdivisión, lotificación, relotificación mismo que da origen a la actualización del padrón catastral, por lo que dicho servicio catastral lo presta el Ayuntamiento de Chicoloapan. </w:t>
      </w:r>
    </w:p>
    <w:p w:rsidR="00E43006" w:rsidRDefault="00F5337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es pertinente señalar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turnó la solicitud de información al área competente, toda vez que quien se pronunció durante la formulación de la solicitud así como en la substanciación del Medio de Impugnación, es la Unidad de Transparencia, por lo que no se tienen elementos de certeza para determinar que lo haya emitido la unidad administrativa competente; sobre el tema, el artículo 162 de la Ley de Transparencia y Acceso a la Información Pública del Estado de México y Municipios, establece que las Unidades de Transparencia deben de garantizar que se turne la solicitud a todas las áreas competentes, a efecto de que realicen una búsqueda exhaustiva y razonable, por ello se insiste que no se dio cumplimiento a lo estipulado en el artículo 162 de la Ley de Transparencia local que a la letra dice: </w:t>
      </w:r>
    </w:p>
    <w:p w:rsidR="00E43006" w:rsidRDefault="00F5337A">
      <w:pPr>
        <w:spacing w:before="240" w:after="240" w:line="276"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162. </w:t>
      </w:r>
      <w:r>
        <w:rPr>
          <w:rFonts w:ascii="Palatino Linotype" w:eastAsia="Palatino Linotype" w:hAnsi="Palatino Linotype" w:cs="Palatino Linotype"/>
          <w:i/>
          <w:sz w:val="22"/>
          <w:szCs w:val="22"/>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Pr>
          <w:rFonts w:ascii="Palatino Linotype" w:eastAsia="Palatino Linotype" w:hAnsi="Palatino Linotype" w:cs="Palatino Linotype"/>
          <w:i/>
          <w:sz w:val="22"/>
          <w:szCs w:val="22"/>
        </w:rPr>
        <w:t>”</w:t>
      </w:r>
    </w:p>
    <w:p w:rsidR="00E43006" w:rsidRDefault="00F5337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Bajo este orden de ideas, resulta pertinente precisar que la instancia competente es la Unidad de Catastro adscrita a la Tesorería Municipal, la cual cuenta con las siguientes atribuciones, de conformidad con los artículos 87, 88, 89 y 90 del Bando Municipal vigente: </w:t>
      </w:r>
    </w:p>
    <w:p w:rsidR="00E43006" w:rsidRDefault="00F5337A">
      <w:pPr>
        <w:spacing w:before="240" w:after="240" w:line="276" w:lineRule="auto"/>
        <w:ind w:left="567"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lastRenderedPageBreak/>
        <w:t xml:space="preserve">“Artículo 87. </w:t>
      </w:r>
      <w:r>
        <w:rPr>
          <w:rFonts w:ascii="Palatino Linotype" w:eastAsia="Palatino Linotype" w:hAnsi="Palatino Linotype" w:cs="Palatino Linotype"/>
          <w:b/>
          <w:i/>
          <w:sz w:val="22"/>
          <w:szCs w:val="22"/>
        </w:rPr>
        <w:t>El Ayuntamiento, a través del área de catastro adscrita a la Tesorería Municipal, tendrá las siguientes facultades y obligaciones en materia catastral:</w:t>
      </w:r>
    </w:p>
    <w:p w:rsidR="00E43006" w:rsidRDefault="00F5337A">
      <w:pPr>
        <w:numPr>
          <w:ilvl w:val="0"/>
          <w:numId w:val="5"/>
        </w:numPr>
        <w:pBdr>
          <w:top w:val="nil"/>
          <w:left w:val="nil"/>
          <w:bottom w:val="nil"/>
          <w:right w:val="nil"/>
          <w:between w:val="nil"/>
        </w:pBdr>
        <w:spacing w:before="240" w:line="276" w:lineRule="auto"/>
        <w:ind w:left="567" w:right="709" w:hanging="14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Llevar a cabo la inscripción, control, actualización e identificación en el padrón catastral de forma precisa de los inmuebles localizados dentro del territorio municipal; </w:t>
      </w:r>
    </w:p>
    <w:p w:rsidR="00E43006" w:rsidRDefault="00F5337A">
      <w:pPr>
        <w:numPr>
          <w:ilvl w:val="0"/>
          <w:numId w:val="5"/>
        </w:numPr>
        <w:pBdr>
          <w:top w:val="nil"/>
          <w:left w:val="nil"/>
          <w:bottom w:val="nil"/>
          <w:right w:val="nil"/>
          <w:between w:val="nil"/>
        </w:pBdr>
        <w:tabs>
          <w:tab w:val="left" w:pos="8080"/>
        </w:tabs>
        <w:spacing w:line="276" w:lineRule="auto"/>
        <w:ind w:left="567" w:right="709"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Integrar, conservar y mantener actualizados los registros gráfico y alfanumérico de los inmuebles ubicados en el territorio del municipio; </w:t>
      </w:r>
    </w:p>
    <w:p w:rsidR="00E43006" w:rsidRDefault="00F5337A">
      <w:pPr>
        <w:numPr>
          <w:ilvl w:val="0"/>
          <w:numId w:val="5"/>
        </w:numPr>
        <w:pBdr>
          <w:top w:val="nil"/>
          <w:left w:val="nil"/>
          <w:bottom w:val="nil"/>
          <w:right w:val="nil"/>
          <w:between w:val="nil"/>
        </w:pBdr>
        <w:tabs>
          <w:tab w:val="left" w:pos="8080"/>
        </w:tabs>
        <w:spacing w:line="276" w:lineRule="auto"/>
        <w:ind w:left="567" w:right="709"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Realizar acciones en coordinación con el IGECEM para la consolidación, conservación y buen funcionamiento del catastro municipal; </w:t>
      </w:r>
    </w:p>
    <w:p w:rsidR="00E43006" w:rsidRDefault="00F5337A">
      <w:pPr>
        <w:numPr>
          <w:ilvl w:val="0"/>
          <w:numId w:val="5"/>
        </w:numPr>
        <w:pBdr>
          <w:top w:val="nil"/>
          <w:left w:val="nil"/>
          <w:bottom w:val="nil"/>
          <w:right w:val="nil"/>
          <w:between w:val="nil"/>
        </w:pBdr>
        <w:tabs>
          <w:tab w:val="left" w:pos="8080"/>
        </w:tabs>
        <w:spacing w:line="276" w:lineRule="auto"/>
        <w:ind w:left="567" w:right="709"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Cumplir con la normatividad y los procedimientos técnicos y administrativos; y proporcionar al IGECEM las propuestas, reportes, informes y documentos, para integrar, conservar y mantener actualizada la información catastral del municipio, así como solicitar su opinión técnica sobre el proyecto de Tablas de Valores Unitarios de Suelo y Construcciones, que se propongan a la Legislatura para su aprobación, dentro de los plazos que señale el IGECEM, este Título, su reglamento, el Manual Catastral y demás disposiciones aplicables en la materia; </w:t>
      </w:r>
    </w:p>
    <w:p w:rsidR="00E43006" w:rsidRDefault="00F5337A">
      <w:pPr>
        <w:numPr>
          <w:ilvl w:val="0"/>
          <w:numId w:val="5"/>
        </w:numPr>
        <w:pBdr>
          <w:top w:val="nil"/>
          <w:left w:val="nil"/>
          <w:bottom w:val="nil"/>
          <w:right w:val="nil"/>
          <w:between w:val="nil"/>
        </w:pBdr>
        <w:tabs>
          <w:tab w:val="left" w:pos="8080"/>
        </w:tabs>
        <w:spacing w:line="276" w:lineRule="auto"/>
        <w:ind w:left="567" w:right="709"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Aplicar las Tablas de Valores Unitarios de Suelo y Construcciones aprobadas por la Legislatura, en la determinación del valor catastral de los inmuebles; </w:t>
      </w:r>
    </w:p>
    <w:p w:rsidR="00E43006" w:rsidRDefault="00F5337A">
      <w:pPr>
        <w:numPr>
          <w:ilvl w:val="0"/>
          <w:numId w:val="5"/>
        </w:numPr>
        <w:pBdr>
          <w:top w:val="nil"/>
          <w:left w:val="nil"/>
          <w:bottom w:val="nil"/>
          <w:right w:val="nil"/>
          <w:between w:val="nil"/>
        </w:pBdr>
        <w:tabs>
          <w:tab w:val="left" w:pos="8080"/>
        </w:tabs>
        <w:spacing w:line="276" w:lineRule="auto"/>
        <w:ind w:left="567" w:right="709"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Verificar y registrar oportunamente los cambios que se operen en los inmuebles que por cualquier concepto alteren los datos contenidos en el Padrón Catastral Municipal; </w:t>
      </w:r>
    </w:p>
    <w:p w:rsidR="00E43006" w:rsidRDefault="00F5337A">
      <w:pPr>
        <w:numPr>
          <w:ilvl w:val="0"/>
          <w:numId w:val="5"/>
        </w:numPr>
        <w:pBdr>
          <w:top w:val="nil"/>
          <w:left w:val="nil"/>
          <w:bottom w:val="nil"/>
          <w:right w:val="nil"/>
          <w:between w:val="nil"/>
        </w:pBdr>
        <w:tabs>
          <w:tab w:val="left" w:pos="8080"/>
        </w:tabs>
        <w:spacing w:line="276" w:lineRule="auto"/>
        <w:ind w:left="567" w:right="709" w:hanging="425"/>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Mantener actualizada la vinculación de los registros alfanuméricos y grafico del Padrón Catastral Municipal; </w:t>
      </w:r>
    </w:p>
    <w:p w:rsidR="00E43006" w:rsidRDefault="00F5337A">
      <w:pPr>
        <w:numPr>
          <w:ilvl w:val="0"/>
          <w:numId w:val="5"/>
        </w:numPr>
        <w:pBdr>
          <w:top w:val="nil"/>
          <w:left w:val="nil"/>
          <w:bottom w:val="nil"/>
          <w:right w:val="nil"/>
          <w:between w:val="nil"/>
        </w:pBdr>
        <w:tabs>
          <w:tab w:val="left" w:pos="8080"/>
        </w:tabs>
        <w:spacing w:line="276" w:lineRule="auto"/>
        <w:ind w:left="567" w:right="709" w:hanging="425"/>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Practicar levantamientos topográficos catastrales y verificación de linderos, en los términos de los ordenamientos correspondientes; y </w:t>
      </w:r>
    </w:p>
    <w:p w:rsidR="00E43006" w:rsidRDefault="00F5337A">
      <w:pPr>
        <w:numPr>
          <w:ilvl w:val="0"/>
          <w:numId w:val="5"/>
        </w:numPr>
        <w:pBdr>
          <w:top w:val="nil"/>
          <w:left w:val="nil"/>
          <w:bottom w:val="nil"/>
          <w:right w:val="nil"/>
          <w:between w:val="nil"/>
        </w:pBdr>
        <w:tabs>
          <w:tab w:val="left" w:pos="8080"/>
        </w:tabs>
        <w:spacing w:line="276" w:lineRule="auto"/>
        <w:ind w:left="567" w:right="709" w:hanging="425"/>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u w:val="single"/>
        </w:rPr>
        <w:t xml:space="preserve">Expedir las constancias o certificaciones catastrales en el ámbito de su competencia. </w:t>
      </w:r>
    </w:p>
    <w:p w:rsidR="00E43006" w:rsidRDefault="00E43006">
      <w:pPr>
        <w:pBdr>
          <w:top w:val="nil"/>
          <w:left w:val="nil"/>
          <w:bottom w:val="nil"/>
          <w:right w:val="nil"/>
          <w:between w:val="nil"/>
        </w:pBdr>
        <w:tabs>
          <w:tab w:val="left" w:pos="8080"/>
        </w:tabs>
        <w:spacing w:line="276" w:lineRule="auto"/>
        <w:ind w:left="567" w:right="709" w:hanging="283"/>
        <w:jc w:val="both"/>
        <w:rPr>
          <w:rFonts w:ascii="Palatino Linotype" w:eastAsia="Palatino Linotype" w:hAnsi="Palatino Linotype" w:cs="Palatino Linotype"/>
          <w:b/>
          <w:i/>
          <w:sz w:val="22"/>
          <w:szCs w:val="22"/>
          <w:u w:val="single"/>
        </w:rPr>
      </w:pPr>
    </w:p>
    <w:p w:rsidR="00E43006" w:rsidRDefault="00F5337A">
      <w:pPr>
        <w:pBdr>
          <w:top w:val="nil"/>
          <w:left w:val="nil"/>
          <w:bottom w:val="nil"/>
          <w:right w:val="nil"/>
          <w:between w:val="nil"/>
        </w:pBdr>
        <w:tabs>
          <w:tab w:val="left" w:pos="8080"/>
        </w:tabs>
        <w:spacing w:line="276" w:lineRule="auto"/>
        <w:ind w:left="567" w:right="709"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88. </w:t>
      </w:r>
      <w:r>
        <w:rPr>
          <w:rFonts w:ascii="Palatino Linotype" w:eastAsia="Palatino Linotype" w:hAnsi="Palatino Linotype" w:cs="Palatino Linotype"/>
          <w:b/>
          <w:i/>
          <w:color w:val="000000"/>
          <w:sz w:val="22"/>
          <w:szCs w:val="22"/>
        </w:rPr>
        <w:t>Las acciones que conforman la actividad catastral municipal, son las siguientes:</w:t>
      </w:r>
      <w:r>
        <w:rPr>
          <w:rFonts w:ascii="Palatino Linotype" w:eastAsia="Palatino Linotype" w:hAnsi="Palatino Linotype" w:cs="Palatino Linotype"/>
          <w:i/>
          <w:color w:val="000000"/>
          <w:sz w:val="22"/>
          <w:szCs w:val="22"/>
        </w:rPr>
        <w:t xml:space="preserve"> </w:t>
      </w:r>
    </w:p>
    <w:p w:rsidR="00E43006" w:rsidRDefault="00F5337A">
      <w:pPr>
        <w:numPr>
          <w:ilvl w:val="0"/>
          <w:numId w:val="4"/>
        </w:numPr>
        <w:pBdr>
          <w:top w:val="nil"/>
          <w:left w:val="nil"/>
          <w:bottom w:val="nil"/>
          <w:right w:val="nil"/>
          <w:between w:val="nil"/>
        </w:pBdr>
        <w:tabs>
          <w:tab w:val="left" w:pos="8080"/>
        </w:tabs>
        <w:spacing w:line="276" w:lineRule="auto"/>
        <w:ind w:left="567" w:right="709" w:hanging="283"/>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u w:val="single"/>
        </w:rPr>
        <w:t xml:space="preserve">Atención al público y control de gestión para la prestación de servicios y expedición de certificaciones y constancias en la materia; </w:t>
      </w:r>
    </w:p>
    <w:p w:rsidR="00E43006" w:rsidRDefault="00F5337A">
      <w:pPr>
        <w:numPr>
          <w:ilvl w:val="0"/>
          <w:numId w:val="4"/>
        </w:numPr>
        <w:pBdr>
          <w:top w:val="nil"/>
          <w:left w:val="nil"/>
          <w:bottom w:val="nil"/>
          <w:right w:val="nil"/>
          <w:between w:val="nil"/>
        </w:pBdr>
        <w:tabs>
          <w:tab w:val="left" w:pos="8080"/>
        </w:tabs>
        <w:spacing w:line="276" w:lineRule="auto"/>
        <w:ind w:left="567" w:right="709"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Asignación, baja y reasignación de la clave catastral; </w:t>
      </w:r>
    </w:p>
    <w:p w:rsidR="00E43006" w:rsidRDefault="00F5337A">
      <w:pPr>
        <w:numPr>
          <w:ilvl w:val="0"/>
          <w:numId w:val="4"/>
        </w:numPr>
        <w:pBdr>
          <w:top w:val="nil"/>
          <w:left w:val="nil"/>
          <w:bottom w:val="nil"/>
          <w:right w:val="nil"/>
          <w:between w:val="nil"/>
        </w:pBdr>
        <w:tabs>
          <w:tab w:val="left" w:pos="8080"/>
        </w:tabs>
        <w:spacing w:line="276" w:lineRule="auto"/>
        <w:ind w:left="567" w:right="709" w:hanging="425"/>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Levantamientos topográficos catastrales y verificación de linderos; </w:t>
      </w:r>
    </w:p>
    <w:p w:rsidR="00E43006" w:rsidRDefault="00F5337A">
      <w:pPr>
        <w:numPr>
          <w:ilvl w:val="0"/>
          <w:numId w:val="4"/>
        </w:numPr>
        <w:pBdr>
          <w:top w:val="nil"/>
          <w:left w:val="nil"/>
          <w:bottom w:val="nil"/>
          <w:right w:val="nil"/>
          <w:between w:val="nil"/>
        </w:pBdr>
        <w:tabs>
          <w:tab w:val="left" w:pos="8080"/>
        </w:tabs>
        <w:spacing w:line="276" w:lineRule="auto"/>
        <w:ind w:left="567" w:right="709" w:hanging="425"/>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Valuación catastral y actualización de áreas homogéneas, bandas de valor, manzanas, códigos de clave de calle, nomenclatura y valores unitarios de suelo y construcciones. </w:t>
      </w:r>
    </w:p>
    <w:p w:rsidR="00E43006" w:rsidRDefault="00F5337A">
      <w:pPr>
        <w:numPr>
          <w:ilvl w:val="0"/>
          <w:numId w:val="4"/>
        </w:numPr>
        <w:pBdr>
          <w:top w:val="nil"/>
          <w:left w:val="nil"/>
          <w:bottom w:val="nil"/>
          <w:right w:val="nil"/>
          <w:between w:val="nil"/>
        </w:pBdr>
        <w:tabs>
          <w:tab w:val="left" w:pos="8080"/>
        </w:tabs>
        <w:spacing w:line="276" w:lineRule="auto"/>
        <w:ind w:left="567" w:right="709"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Actualización del registro grafico en medio digital; </w:t>
      </w:r>
    </w:p>
    <w:p w:rsidR="00E43006" w:rsidRDefault="00F5337A">
      <w:pPr>
        <w:numPr>
          <w:ilvl w:val="0"/>
          <w:numId w:val="4"/>
        </w:numPr>
        <w:pBdr>
          <w:top w:val="nil"/>
          <w:left w:val="nil"/>
          <w:bottom w:val="nil"/>
          <w:right w:val="nil"/>
          <w:between w:val="nil"/>
        </w:pBdr>
        <w:spacing w:line="276" w:lineRule="auto"/>
        <w:ind w:left="567"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Actualización y depuración del registro alfanumérico de los bienes inmuebles; y </w:t>
      </w:r>
    </w:p>
    <w:p w:rsidR="00E43006" w:rsidRDefault="00F5337A">
      <w:pPr>
        <w:numPr>
          <w:ilvl w:val="0"/>
          <w:numId w:val="4"/>
        </w:numPr>
        <w:pBdr>
          <w:top w:val="nil"/>
          <w:left w:val="nil"/>
          <w:bottom w:val="nil"/>
          <w:right w:val="nil"/>
          <w:between w:val="nil"/>
        </w:pBdr>
        <w:spacing w:line="276" w:lineRule="auto"/>
        <w:ind w:left="567"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u w:val="single"/>
        </w:rPr>
        <w:t>Operación del Sistema de Información Catastral</w:t>
      </w:r>
      <w:r>
        <w:rPr>
          <w:rFonts w:ascii="Palatino Linotype" w:eastAsia="Palatino Linotype" w:hAnsi="Palatino Linotype" w:cs="Palatino Linotype"/>
          <w:i/>
          <w:color w:val="000000"/>
          <w:sz w:val="22"/>
          <w:szCs w:val="22"/>
          <w:u w:val="single"/>
        </w:rPr>
        <w:t>.</w:t>
      </w:r>
      <w:r>
        <w:rPr>
          <w:rFonts w:ascii="Palatino Linotype" w:eastAsia="Palatino Linotype" w:hAnsi="Palatino Linotype" w:cs="Palatino Linotype"/>
          <w:i/>
          <w:color w:val="000000"/>
          <w:sz w:val="22"/>
          <w:szCs w:val="22"/>
        </w:rPr>
        <w:t xml:space="preserve"> </w:t>
      </w:r>
    </w:p>
    <w:p w:rsidR="00E43006" w:rsidRDefault="00E43006">
      <w:pPr>
        <w:pBdr>
          <w:top w:val="nil"/>
          <w:left w:val="nil"/>
          <w:bottom w:val="nil"/>
          <w:right w:val="nil"/>
          <w:between w:val="nil"/>
        </w:pBdr>
        <w:spacing w:line="276" w:lineRule="auto"/>
        <w:ind w:left="284"/>
        <w:jc w:val="both"/>
        <w:rPr>
          <w:rFonts w:ascii="Palatino Linotype" w:eastAsia="Palatino Linotype" w:hAnsi="Palatino Linotype" w:cs="Palatino Linotype"/>
          <w:b/>
          <w:i/>
          <w:color w:val="000000"/>
          <w:sz w:val="22"/>
          <w:szCs w:val="22"/>
          <w:u w:val="single"/>
        </w:rPr>
      </w:pPr>
    </w:p>
    <w:p w:rsidR="00E43006" w:rsidRDefault="00F5337A">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89. </w:t>
      </w:r>
      <w:r>
        <w:rPr>
          <w:rFonts w:ascii="Palatino Linotype" w:eastAsia="Palatino Linotype" w:hAnsi="Palatino Linotype" w:cs="Palatino Linotype"/>
          <w:b/>
          <w:i/>
          <w:color w:val="000000"/>
          <w:sz w:val="22"/>
          <w:szCs w:val="22"/>
        </w:rPr>
        <w:t>Los propietarios o poseedores de inmuebles, independientemente del régimen jurídico de propiedad, ubicados en el territorio municipal, incluyendo las Dependencias y Entidades Públicas, están obligados a inscribirlos ante el catastro municipal, mediante la manifestación catastral.</w:t>
      </w:r>
      <w:r>
        <w:rPr>
          <w:rFonts w:ascii="Palatino Linotype" w:eastAsia="Palatino Linotype" w:hAnsi="Palatino Linotype" w:cs="Palatino Linotype"/>
          <w:i/>
          <w:color w:val="000000"/>
          <w:sz w:val="22"/>
          <w:szCs w:val="22"/>
        </w:rPr>
        <w:t xml:space="preserve"> </w:t>
      </w:r>
    </w:p>
    <w:p w:rsidR="00E43006" w:rsidRDefault="00E43006">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p>
    <w:p w:rsidR="00E43006" w:rsidRDefault="00F5337A">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Artículo 90. Los servicios y productos catastrales que presta el área de catastro adscrita a la Tesorería Municipal son los siguientes: </w:t>
      </w:r>
    </w:p>
    <w:p w:rsidR="00E43006" w:rsidRDefault="00F5337A">
      <w:pPr>
        <w:numPr>
          <w:ilvl w:val="0"/>
          <w:numId w:val="7"/>
        </w:numPr>
        <w:pBdr>
          <w:top w:val="nil"/>
          <w:left w:val="nil"/>
          <w:bottom w:val="nil"/>
          <w:right w:val="nil"/>
          <w:between w:val="nil"/>
        </w:pBdr>
        <w:spacing w:line="276" w:lineRule="auto"/>
        <w:ind w:left="567" w:right="900" w:hanging="14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Inscripción de inmuebles en el padrón catastral municipal; </w:t>
      </w:r>
    </w:p>
    <w:p w:rsidR="00E43006" w:rsidRDefault="00F5337A">
      <w:pPr>
        <w:numPr>
          <w:ilvl w:val="0"/>
          <w:numId w:val="7"/>
        </w:numPr>
        <w:pBdr>
          <w:top w:val="nil"/>
          <w:left w:val="nil"/>
          <w:bottom w:val="nil"/>
          <w:right w:val="nil"/>
          <w:between w:val="nil"/>
        </w:pBdr>
        <w:spacing w:line="276" w:lineRule="auto"/>
        <w:ind w:left="567" w:right="900"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Registro de altas, bajas y modificaciones de construcciones; </w:t>
      </w:r>
    </w:p>
    <w:p w:rsidR="00E43006" w:rsidRDefault="00F5337A">
      <w:pPr>
        <w:numPr>
          <w:ilvl w:val="0"/>
          <w:numId w:val="7"/>
        </w:numPr>
        <w:pBdr>
          <w:top w:val="nil"/>
          <w:left w:val="nil"/>
          <w:bottom w:val="nil"/>
          <w:right w:val="nil"/>
          <w:between w:val="nil"/>
        </w:pBdr>
        <w:spacing w:line="276" w:lineRule="auto"/>
        <w:ind w:left="567" w:right="900" w:hanging="283"/>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Actualización del padrón catastral derivada de subdivisión, fusión, lotificación, relotificación, conjuntos urbanos, afectaciones y modificación de linderos, previa autorización emitida por la autoridad competente; </w:t>
      </w:r>
    </w:p>
    <w:p w:rsidR="00E43006" w:rsidRDefault="00F5337A">
      <w:pPr>
        <w:numPr>
          <w:ilvl w:val="0"/>
          <w:numId w:val="7"/>
        </w:numPr>
        <w:pBdr>
          <w:top w:val="nil"/>
          <w:left w:val="nil"/>
          <w:bottom w:val="nil"/>
          <w:right w:val="nil"/>
          <w:between w:val="nil"/>
        </w:pBdr>
        <w:spacing w:line="276" w:lineRule="auto"/>
        <w:ind w:left="567" w:right="900"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Actualización al padrón catastral derivada de cambios técnicos y administrativos; </w:t>
      </w:r>
    </w:p>
    <w:p w:rsidR="00E43006" w:rsidRDefault="00F5337A">
      <w:pPr>
        <w:numPr>
          <w:ilvl w:val="0"/>
          <w:numId w:val="7"/>
        </w:numPr>
        <w:pBdr>
          <w:top w:val="nil"/>
          <w:left w:val="nil"/>
          <w:bottom w:val="nil"/>
          <w:right w:val="nil"/>
          <w:between w:val="nil"/>
        </w:pBdr>
        <w:spacing w:line="276" w:lineRule="auto"/>
        <w:ind w:left="567" w:right="900" w:hanging="283"/>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Asignación, baja y reasignación de clave catastral; </w:t>
      </w:r>
    </w:p>
    <w:p w:rsidR="00E43006" w:rsidRDefault="00F5337A">
      <w:pPr>
        <w:numPr>
          <w:ilvl w:val="0"/>
          <w:numId w:val="7"/>
        </w:numPr>
        <w:pBdr>
          <w:top w:val="nil"/>
          <w:left w:val="nil"/>
          <w:bottom w:val="nil"/>
          <w:right w:val="nil"/>
          <w:between w:val="nil"/>
        </w:pBdr>
        <w:spacing w:line="276" w:lineRule="auto"/>
        <w:ind w:left="567" w:right="900"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Certificaciones de clave y valor catastral y plano manzanero y no adeudo predial. </w:t>
      </w:r>
    </w:p>
    <w:p w:rsidR="00E43006" w:rsidRDefault="00F5337A">
      <w:pPr>
        <w:numPr>
          <w:ilvl w:val="0"/>
          <w:numId w:val="7"/>
        </w:numPr>
        <w:pBdr>
          <w:top w:val="nil"/>
          <w:left w:val="nil"/>
          <w:bottom w:val="nil"/>
          <w:right w:val="nil"/>
          <w:between w:val="nil"/>
        </w:pBdr>
        <w:spacing w:line="276" w:lineRule="auto"/>
        <w:ind w:left="567" w:right="900"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Constancia de identificación catastral; </w:t>
      </w:r>
    </w:p>
    <w:p w:rsidR="00E43006" w:rsidRDefault="00F5337A">
      <w:pPr>
        <w:numPr>
          <w:ilvl w:val="0"/>
          <w:numId w:val="7"/>
        </w:numPr>
        <w:pBdr>
          <w:top w:val="nil"/>
          <w:left w:val="nil"/>
          <w:bottom w:val="nil"/>
          <w:right w:val="nil"/>
          <w:between w:val="nil"/>
        </w:pBdr>
        <w:spacing w:line="276" w:lineRule="auto"/>
        <w:ind w:left="567" w:right="900"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Levantamiento topográfico catastral en los casos previstos por las disposiciones jurídicas aplicables; y </w:t>
      </w:r>
    </w:p>
    <w:p w:rsidR="00E43006" w:rsidRDefault="00F5337A">
      <w:pPr>
        <w:numPr>
          <w:ilvl w:val="0"/>
          <w:numId w:val="7"/>
        </w:numPr>
        <w:pBdr>
          <w:top w:val="nil"/>
          <w:left w:val="nil"/>
          <w:bottom w:val="nil"/>
          <w:right w:val="nil"/>
          <w:between w:val="nil"/>
        </w:pBdr>
        <w:spacing w:line="276" w:lineRule="auto"/>
        <w:ind w:left="567" w:right="900"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Verificación de linderos. </w:t>
      </w:r>
    </w:p>
    <w:p w:rsidR="00E43006" w:rsidRDefault="00F5337A">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El importe de los derechos a pagar por los servicios y productos será de conformidad con lo establecido en el Código.”</w:t>
      </w:r>
    </w:p>
    <w:p w:rsidR="00E43006" w:rsidRDefault="00E43006">
      <w:pPr>
        <w:pBdr>
          <w:top w:val="nil"/>
          <w:left w:val="nil"/>
          <w:bottom w:val="nil"/>
          <w:right w:val="nil"/>
          <w:between w:val="nil"/>
        </w:pBdr>
        <w:spacing w:after="240" w:line="276" w:lineRule="auto"/>
        <w:ind w:right="850"/>
        <w:jc w:val="both"/>
        <w:rPr>
          <w:rFonts w:ascii="Palatino Linotype" w:eastAsia="Palatino Linotype" w:hAnsi="Palatino Linotype" w:cs="Palatino Linotype"/>
        </w:rPr>
      </w:pPr>
    </w:p>
    <w:p w:rsidR="00E43006" w:rsidRDefault="00F5337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Bajo este contexto, a toda luz se desprende que la información es susceptible de ser generada, poseída y administrada por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Así las cosas, es óbice mencionar que la información requerida estriba parcialmente</w:t>
      </w:r>
      <w:r>
        <w:t xml:space="preserve"> </w:t>
      </w:r>
      <w:r>
        <w:rPr>
          <w:rFonts w:ascii="Palatino Linotype" w:eastAsia="Palatino Linotype" w:hAnsi="Palatino Linotype" w:cs="Palatino Linotype"/>
        </w:rPr>
        <w:t>dentro de las fronteras conceptuales del interés general y el alcance público, robustece lo anterior los artículos 24, fracción XII y 92, fracción</w:t>
      </w:r>
      <w:r>
        <w:t xml:space="preserve"> XXIV de la </w:t>
      </w:r>
      <w:r>
        <w:rPr>
          <w:rFonts w:ascii="Palatino Linotype" w:eastAsia="Palatino Linotype" w:hAnsi="Palatino Linotype" w:cs="Palatino Linotype"/>
        </w:rPr>
        <w:t xml:space="preserve">Ley de Transparencia y Acceso a </w:t>
      </w:r>
      <w:r>
        <w:rPr>
          <w:rFonts w:ascii="Palatino Linotype" w:eastAsia="Palatino Linotype" w:hAnsi="Palatino Linotype" w:cs="Palatino Linotype"/>
        </w:rPr>
        <w:lastRenderedPageBreak/>
        <w:t xml:space="preserve">la Información Pública del Estado de México y Municipios, normatividad invocada cuyo contenido literal es el siguiente: </w:t>
      </w:r>
    </w:p>
    <w:p w:rsidR="00E43006" w:rsidRDefault="00F5337A">
      <w:pPr>
        <w:spacing w:before="240" w:after="16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“Artículo 24. Para el cumplimiento de los objetivos de esta Ley, los sujetos obligados deberán cumplir con las siguientes obligaciones, según corresponda, de acuerdo a su naturaleza:</w:t>
      </w:r>
    </w:p>
    <w:p w:rsidR="00E43006" w:rsidRDefault="00F5337A">
      <w:pPr>
        <w:spacing w:before="240" w:after="16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XII. Publicar y mantener actualizada la información relativa a las obligaciones generales de transparencia previstas en la presente Ley o determinadas así por el Instituto, y en general aquella que sea de interés público;</w:t>
      </w:r>
    </w:p>
    <w:p w:rsidR="00E43006" w:rsidRDefault="00F5337A">
      <w:pPr>
        <w:spacing w:before="240" w:after="16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E43006" w:rsidRDefault="00F5337A">
      <w:pPr>
        <w:spacing w:before="240" w:after="16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E43006" w:rsidRDefault="00F5337A">
      <w:pPr>
        <w:spacing w:before="240" w:after="16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E43006" w:rsidRDefault="00F5337A">
      <w:pPr>
        <w:spacing w:before="240" w:after="160" w:line="276" w:lineRule="auto"/>
        <w:ind w:left="851" w:right="85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XXIV. Los trámites, requisitos y formatos que ofrecen, así como los tiempos de respuesta; </w:t>
      </w:r>
    </w:p>
    <w:p w:rsidR="00E43006" w:rsidRDefault="00F5337A">
      <w:pPr>
        <w:spacing w:before="240" w:after="160" w:line="276" w:lineRule="auto"/>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(Sic)</w:t>
      </w:r>
    </w:p>
    <w:p w:rsidR="00E43006" w:rsidRDefault="00F5337A">
      <w:pPr>
        <w:tabs>
          <w:tab w:val="left" w:pos="7655"/>
        </w:tabs>
        <w:spacing w:before="240" w:after="16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En atención a ello, las siguientes imágenes dan cuenta de la tabla de aplicabilidad del </w:t>
      </w:r>
      <w:r>
        <w:rPr>
          <w:rFonts w:ascii="Palatino Linotype" w:eastAsia="Palatino Linotype" w:hAnsi="Palatino Linotype" w:cs="Palatino Linotype"/>
          <w:b/>
        </w:rPr>
        <w:t>Sujeto Obligado, las cuales se insertan a continuación:</w:t>
      </w:r>
    </w:p>
    <w:p w:rsidR="00E43006" w:rsidRDefault="00F5337A">
      <w:pPr>
        <w:tabs>
          <w:tab w:val="left" w:pos="7655"/>
        </w:tabs>
        <w:spacing w:before="240" w:after="160" w:line="360" w:lineRule="auto"/>
        <w:jc w:val="both"/>
        <w:rPr>
          <w:rFonts w:ascii="Palatino Linotype" w:eastAsia="Palatino Linotype" w:hAnsi="Palatino Linotype" w:cs="Palatino Linotype"/>
          <w:b/>
        </w:rPr>
      </w:pPr>
      <w:r>
        <w:rPr>
          <w:rFonts w:ascii="Palatino Linotype" w:eastAsia="Palatino Linotype" w:hAnsi="Palatino Linotype" w:cs="Palatino Linotype"/>
          <w:b/>
          <w:noProof/>
          <w:lang w:val="es-MX"/>
        </w:rPr>
        <w:drawing>
          <wp:inline distT="0" distB="0" distL="0" distR="0">
            <wp:extent cx="5276850" cy="1000125"/>
            <wp:effectExtent l="0" t="0" r="0" b="0"/>
            <wp:docPr id="3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5276850" cy="1000125"/>
                    </a:xfrm>
                    <a:prstGeom prst="rect">
                      <a:avLst/>
                    </a:prstGeom>
                    <a:ln/>
                  </pic:spPr>
                </pic:pic>
              </a:graphicData>
            </a:graphic>
          </wp:inline>
        </w:drawing>
      </w:r>
    </w:p>
    <w:p w:rsidR="00E43006" w:rsidRDefault="00F5337A">
      <w:pPr>
        <w:spacing w:before="240" w:after="160" w:line="360" w:lineRule="auto"/>
        <w:jc w:val="both"/>
        <w:rPr>
          <w:rFonts w:ascii="Palatino Linotype" w:eastAsia="Palatino Linotype" w:hAnsi="Palatino Linotype" w:cs="Palatino Linotype"/>
          <w:color w:val="0563C1"/>
          <w:u w:val="single"/>
        </w:rPr>
      </w:pPr>
      <w:r>
        <w:rPr>
          <w:rFonts w:ascii="Palatino Linotype" w:eastAsia="Palatino Linotype" w:hAnsi="Palatino Linotype" w:cs="Palatino Linotype"/>
          <w:noProof/>
          <w:color w:val="0563C1"/>
          <w:u w:val="single"/>
          <w:lang w:val="es-MX"/>
        </w:rPr>
        <w:lastRenderedPageBreak/>
        <w:drawing>
          <wp:inline distT="0" distB="0" distL="0" distR="0">
            <wp:extent cx="5314950" cy="1838325"/>
            <wp:effectExtent l="0" t="0" r="0" b="0"/>
            <wp:docPr id="3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5314950" cy="1838325"/>
                    </a:xfrm>
                    <a:prstGeom prst="rect">
                      <a:avLst/>
                    </a:prstGeom>
                    <a:ln/>
                  </pic:spPr>
                </pic:pic>
              </a:graphicData>
            </a:graphic>
          </wp:inline>
        </w:drawing>
      </w:r>
      <w:r>
        <w:rPr>
          <w:noProof/>
          <w:lang w:val="es-MX"/>
        </w:rPr>
        <mc:AlternateContent>
          <mc:Choice Requires="wpg">
            <w:drawing>
              <wp:anchor distT="0" distB="0" distL="114300" distR="114300" simplePos="0" relativeHeight="251658240" behindDoc="0" locked="0" layoutInCell="1" hidden="0" allowOverlap="1">
                <wp:simplePos x="0" y="0"/>
                <wp:positionH relativeFrom="column">
                  <wp:posOffset>-12699</wp:posOffset>
                </wp:positionH>
                <wp:positionV relativeFrom="paragraph">
                  <wp:posOffset>1460500</wp:posOffset>
                </wp:positionV>
                <wp:extent cx="5343525" cy="180975"/>
                <wp:effectExtent l="0" t="0" r="0" b="0"/>
                <wp:wrapNone/>
                <wp:docPr id="24" name="Rectángulo 24"/>
                <wp:cNvGraphicFramePr/>
                <a:graphic xmlns:a="http://schemas.openxmlformats.org/drawingml/2006/main">
                  <a:graphicData uri="http://schemas.microsoft.com/office/word/2010/wordprocessingShape">
                    <wps:wsp>
                      <wps:cNvSpPr/>
                      <wps:spPr>
                        <a:xfrm>
                          <a:off x="2688525" y="3703800"/>
                          <a:ext cx="5314950" cy="152400"/>
                        </a:xfrm>
                        <a:prstGeom prst="rect">
                          <a:avLst/>
                        </a:prstGeom>
                        <a:noFill/>
                        <a:ln w="28575" cap="flat" cmpd="sng">
                          <a:solidFill>
                            <a:srgbClr val="002060"/>
                          </a:solidFill>
                          <a:prstDash val="solid"/>
                          <a:round/>
                          <a:headEnd type="none" w="sm" len="sm"/>
                          <a:tailEnd type="none" w="sm" len="sm"/>
                        </a:ln>
                      </wps:spPr>
                      <wps:txbx>
                        <w:txbxContent>
                          <w:p w:rsidR="00E43006" w:rsidRDefault="00E43006">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-12699</wp:posOffset>
                </wp:positionH>
                <wp:positionV relativeFrom="paragraph">
                  <wp:posOffset>1460500</wp:posOffset>
                </wp:positionV>
                <wp:extent cx="5343525" cy="180975"/>
                <wp:effectExtent b="0" l="0" r="0" t="0"/>
                <wp:wrapNone/>
                <wp:docPr id="24" name="image6.png"/>
                <a:graphic>
                  <a:graphicData uri="http://schemas.openxmlformats.org/drawingml/2006/picture">
                    <pic:pic>
                      <pic:nvPicPr>
                        <pic:cNvPr id="0" name="image6.png"/>
                        <pic:cNvPicPr preferRelativeResize="0"/>
                      </pic:nvPicPr>
                      <pic:blipFill>
                        <a:blip r:embed="rId21"/>
                        <a:srcRect/>
                        <a:stretch>
                          <a:fillRect/>
                        </a:stretch>
                      </pic:blipFill>
                      <pic:spPr>
                        <a:xfrm>
                          <a:off x="0" y="0"/>
                          <a:ext cx="5343525" cy="180975"/>
                        </a:xfrm>
                        <a:prstGeom prst="rect"/>
                        <a:ln/>
                      </pic:spPr>
                    </pic:pic>
                  </a:graphicData>
                </a:graphic>
              </wp:anchor>
            </w:drawing>
          </mc:Fallback>
        </mc:AlternateContent>
      </w:r>
    </w:p>
    <w:p w:rsidR="00E43006" w:rsidRDefault="00F5337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virtud de lo anterior, si bien es cierto refirió la existencia de un trámite no se turnó al servidor público habilitado competente para efecto de que se pronunciara sobre el requerimiento hecho por el particular de manera concreta, es decir, sobre los requisitos necesarios para materializar dicho trámite, asimismo en la etapa procesal correspondiente a manifestaciones,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no subsanó la violación al derecho de acceso a la información pública </w:t>
      </w:r>
    </w:p>
    <w:p w:rsidR="00E43006" w:rsidRDefault="00F5337A">
      <w:pPr>
        <w:spacing w:before="240"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 base en lo anteriormente expuesto, resulta procedente ordenar una búsqueda exhaustiva y razonable, a efecto de hacer entrega del o los documentos donde conste el procedimiento para el trámite de la asignación de clave catastral respecto de una fracción de predio adquirido mediante compraventa, al quince de marzo de dos mil veintidós. </w:t>
      </w:r>
    </w:p>
    <w:p w:rsidR="00E43006" w:rsidRDefault="00F5337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las cosas, resulta importante enfatizar sobre los requerimientos de información con inciso A) fracción II, inciso b fracciones III y IV, así como el inciso c) que las pretensiones del Particular, no constituyen un derecho de acceso a la información pública y por lo tanto no es atendible mediante una solicitud de Acceso a la Información, porque se tratan de manifestaciones subjetivas vertidas por el particular, </w:t>
      </w:r>
      <w:r>
        <w:rPr>
          <w:rFonts w:ascii="Palatino Linotype" w:eastAsia="Palatino Linotype" w:hAnsi="Palatino Linotype" w:cs="Palatino Linotype"/>
          <w:b/>
        </w:rPr>
        <w:t>interrogantes</w:t>
      </w:r>
      <w:r>
        <w:rPr>
          <w:rFonts w:ascii="Palatino Linotype" w:eastAsia="Palatino Linotype" w:hAnsi="Palatino Linotype" w:cs="Palatino Linotype"/>
        </w:rPr>
        <w:t xml:space="preserve"> y declaraciones que no se colman con la entrega de </w:t>
      </w:r>
      <w:r>
        <w:rPr>
          <w:rFonts w:ascii="Palatino Linotype" w:eastAsia="Palatino Linotype" w:hAnsi="Palatino Linotype" w:cs="Palatino Linotype"/>
        </w:rPr>
        <w:lastRenderedPageBreak/>
        <w:t>documentos, situación que conlleva a afirmar que se está en presencia del ejercicio del derecho de petición, al requerir un pronunciamiento en sentido afirmativo y/o negativo, cuando además resulta ser un trámite en específico el cual se encuentra establecido en la normatividad aplicable.</w:t>
      </w:r>
    </w:p>
    <w:p w:rsidR="00E43006" w:rsidRDefault="00E43006">
      <w:pPr>
        <w:spacing w:line="360" w:lineRule="auto"/>
        <w:jc w:val="both"/>
        <w:rPr>
          <w:rFonts w:ascii="Palatino Linotype" w:eastAsia="Palatino Linotype" w:hAnsi="Palatino Linotype" w:cs="Palatino Linotype"/>
        </w:rPr>
      </w:pPr>
    </w:p>
    <w:p w:rsidR="00E43006" w:rsidRDefault="00F5337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que la entrega de una razón o un razonamiento por parte del Sujeto Obligado no es algo que la ley establezca como atribución, derecho, o facultad; pues ello implicaría un juicio de valor referente a un cuestionamiento realizado, los cuales, al constituir interrogantes, inquietudes y manifestaciones se satisfacen vía derecho de petición, ya que de la respuesta proporcionada no satisface la interrogante del Particular ya que incluso se encuentra comparando respuestas.</w:t>
      </w:r>
    </w:p>
    <w:p w:rsidR="00E43006" w:rsidRDefault="00E43006">
      <w:pPr>
        <w:spacing w:line="360" w:lineRule="auto"/>
        <w:jc w:val="both"/>
        <w:rPr>
          <w:rFonts w:ascii="Palatino Linotype" w:eastAsia="Palatino Linotype" w:hAnsi="Palatino Linotype" w:cs="Palatino Linotype"/>
        </w:rPr>
      </w:pPr>
    </w:p>
    <w:p w:rsidR="00E43006" w:rsidRDefault="00F5337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se puede advertir 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rsidR="00E43006" w:rsidRDefault="00E43006">
      <w:pPr>
        <w:spacing w:line="360" w:lineRule="auto"/>
        <w:jc w:val="both"/>
        <w:rPr>
          <w:rFonts w:ascii="Palatino Linotype" w:eastAsia="Palatino Linotype" w:hAnsi="Palatino Linotype" w:cs="Palatino Linotype"/>
        </w:rPr>
      </w:pPr>
    </w:p>
    <w:p w:rsidR="00E43006" w:rsidRDefault="00F5337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E43006" w:rsidRDefault="00E43006">
      <w:pPr>
        <w:spacing w:line="360" w:lineRule="auto"/>
        <w:jc w:val="both"/>
        <w:rPr>
          <w:rFonts w:ascii="Palatino Linotype" w:eastAsia="Palatino Linotype" w:hAnsi="Palatino Linotype" w:cs="Palatino Linotype"/>
        </w:rPr>
      </w:pPr>
    </w:p>
    <w:p w:rsidR="00E43006" w:rsidRDefault="00F5337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puede concluir que la distinción entre el derecho de petición y el derecho de acceso a la información pública estriba principalmente en que en el primero de ellos, la pretensión del peticionario consiste generalmente en obligar a la autoridad responsable a que actúe en el sentido de contestar lo solicitado, mientras que en el segundo supuesto la solicitud de acceso a la información pública se encamina primordialmente a permitir el acceso a datos, registros y todo tipo de información pública que conste en documentos, sea generada o se encuentre en posesión de la autoridad. </w:t>
      </w:r>
    </w:p>
    <w:p w:rsidR="00E43006" w:rsidRDefault="00E43006">
      <w:pPr>
        <w:spacing w:line="360" w:lineRule="auto"/>
        <w:jc w:val="both"/>
        <w:rPr>
          <w:rFonts w:ascii="Palatino Linotype" w:eastAsia="Palatino Linotype" w:hAnsi="Palatino Linotype" w:cs="Palatino Linotype"/>
          <w:sz w:val="22"/>
          <w:szCs w:val="22"/>
        </w:rPr>
      </w:pPr>
    </w:p>
    <w:p w:rsidR="00E43006" w:rsidRDefault="00F5337A">
      <w:pPr>
        <w:tabs>
          <w:tab w:val="left" w:pos="4962"/>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esta manera, el derecho de acceso a la información pública se satisface en aquellos casos en que se entregue el soporte documental en el que conste la información solicitada, sin necesidad de elaborar documentos </w:t>
      </w:r>
      <w:r>
        <w:rPr>
          <w:rFonts w:ascii="Palatino Linotype" w:eastAsia="Palatino Linotype" w:hAnsi="Palatino Linotype" w:cs="Palatino Linotype"/>
          <w:i/>
        </w:rPr>
        <w:t>ad hoc</w:t>
      </w:r>
      <w:r>
        <w:rPr>
          <w:rFonts w:ascii="Palatino Linotype" w:eastAsia="Palatino Linotype" w:hAnsi="Palatino Linotype" w:cs="Palatino Linotype"/>
        </w:rPr>
        <w:t>; lo cual, toma sustento en el artículo 160 de la Ley de Transparencia y Acceso a la Información Pública del Estado de México y Municipios, el cual refiere que los sujetos obligados deberán entregar la información que obre en sus archivos. Además, resulta aplicable el Criterio 03/17 del Instituto Nacional de Transparencia, Acceso a la Información y Protección de Datos Personales que a continuación se cita:</w:t>
      </w:r>
    </w:p>
    <w:p w:rsidR="00E43006" w:rsidRDefault="00E43006">
      <w:pPr>
        <w:spacing w:before="73" w:line="360" w:lineRule="auto"/>
        <w:ind w:left="567" w:right="567"/>
        <w:jc w:val="both"/>
        <w:rPr>
          <w:rFonts w:ascii="Palatino Linotype" w:eastAsia="Palatino Linotype" w:hAnsi="Palatino Linotype" w:cs="Palatino Linotype"/>
          <w:b/>
          <w:sz w:val="22"/>
          <w:szCs w:val="22"/>
        </w:rPr>
      </w:pPr>
    </w:p>
    <w:p w:rsidR="00E43006" w:rsidRDefault="00F5337A">
      <w:pPr>
        <w:spacing w:before="73"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“No existe obligación de elaborar documentos ad hoc para atender las solicitudes de acceso a la información. </w:t>
      </w:r>
      <w:r>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w:t>
      </w:r>
      <w:r>
        <w:rPr>
          <w:rFonts w:ascii="Palatino Linotype" w:eastAsia="Palatino Linotype" w:hAnsi="Palatino Linotype" w:cs="Palatino Linotype"/>
          <w:i/>
          <w:sz w:val="22"/>
          <w:szCs w:val="22"/>
        </w:rPr>
        <w:lastRenderedPageBreak/>
        <w:t>información del particular, proporcionando la información con la que cuentan en el formato en que la misma obre en sus archivos; sin necesidad de elaborar documentos ad hoc para atender las solicitudes de información.”</w:t>
      </w:r>
    </w:p>
    <w:p w:rsidR="00E43006" w:rsidRDefault="00E43006">
      <w:pPr>
        <w:spacing w:line="276" w:lineRule="auto"/>
        <w:jc w:val="both"/>
        <w:rPr>
          <w:rFonts w:ascii="Palatino Linotype" w:eastAsia="Palatino Linotype" w:hAnsi="Palatino Linotype" w:cs="Palatino Linotype"/>
        </w:rPr>
      </w:pPr>
    </w:p>
    <w:p w:rsidR="00E43006" w:rsidRDefault="00F5337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tales circunstancias, se concluye que los sujetos obligados únicamente se encuentran constreñidos a proporcionar los documentos que den cuenta de la información solicitada, como obren en sus archivos, sin tener que elaborarlos a las necesidades del Recurrente.</w:t>
      </w:r>
    </w:p>
    <w:p w:rsidR="00E43006" w:rsidRDefault="00E43006">
      <w:pPr>
        <w:spacing w:line="360" w:lineRule="auto"/>
        <w:jc w:val="both"/>
        <w:rPr>
          <w:rFonts w:ascii="Palatino Linotype" w:eastAsia="Palatino Linotype" w:hAnsi="Palatino Linotype" w:cs="Palatino Linotype"/>
        </w:rPr>
      </w:pPr>
    </w:p>
    <w:p w:rsidR="00E43006" w:rsidRDefault="00F5337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conclusión, el Ayuntamiento, no se encuentra obligado a atender interrogantes del Particular que no encuadren en el derecho de acceso a la información.</w:t>
      </w:r>
    </w:p>
    <w:p w:rsidR="00E43006" w:rsidRDefault="00F5337A">
      <w:pPr>
        <w:spacing w:before="240" w:after="240" w:line="360" w:lineRule="auto"/>
        <w:jc w:val="both"/>
        <w:rPr>
          <w:rFonts w:ascii="Palatino Linotype" w:eastAsia="Palatino Linotype" w:hAnsi="Palatino Linotype" w:cs="Palatino Linotype"/>
        </w:rPr>
      </w:pPr>
      <w:bookmarkStart w:id="0" w:name="_heading=h.gjdgxs" w:colFirst="0" w:colLast="0"/>
      <w:bookmarkEnd w:id="0"/>
      <w:r>
        <w:rPr>
          <w:rFonts w:ascii="Palatino Linotype" w:eastAsia="Palatino Linotype" w:hAnsi="Palatino Linotype" w:cs="Palatino Linotype"/>
        </w:rPr>
        <w:t>Así, con fundamento en lo prescrito en los artículos 5 párrafos trigésimo, trigésimo primero y trigésimo segundo</w:t>
      </w:r>
      <w:r>
        <w:rPr>
          <w:rFonts w:ascii="Palatino Linotype" w:eastAsia="Palatino Linotype" w:hAnsi="Palatino Linotype" w:cs="Palatino Linotype"/>
          <w:highlight w:val="white"/>
        </w:rPr>
        <w:t xml:space="preserve"> fracciones IV y V de la </w:t>
      </w:r>
      <w:r>
        <w:rPr>
          <w:rFonts w:ascii="Palatino Linotype" w:eastAsia="Palatino Linotype" w:hAnsi="Palatino Linotype" w:cs="Palatino Linotype"/>
        </w:rPr>
        <w:t>Constitución Política del Estado Libre y Soberano de México; 2, fracción II; 29, 36 fracciones I y II; 176, 178, 181, 185, fracción I, 186 y 188 de la Ley de Transparencia y Acceso a la Información Pública del Estado de México y Municipios, este Pleno:</w:t>
      </w:r>
    </w:p>
    <w:p w:rsidR="00E43006" w:rsidRDefault="00F5337A">
      <w:pPr>
        <w:numPr>
          <w:ilvl w:val="0"/>
          <w:numId w:val="9"/>
        </w:numPr>
        <w:pBdr>
          <w:top w:val="nil"/>
          <w:left w:val="nil"/>
          <w:bottom w:val="nil"/>
          <w:right w:val="nil"/>
          <w:between w:val="nil"/>
        </w:pBdr>
        <w:spacing w:before="240" w:after="240" w:line="360" w:lineRule="auto"/>
        <w:ind w:left="426"/>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rsidR="00E43006" w:rsidRDefault="00F5337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Resultan </w:t>
      </w:r>
      <w:r>
        <w:rPr>
          <w:rFonts w:ascii="Palatino Linotype" w:eastAsia="Palatino Linotype" w:hAnsi="Palatino Linotype" w:cs="Palatino Linotype"/>
          <w:b/>
        </w:rPr>
        <w:t>parcialmente fundados</w:t>
      </w:r>
      <w:r>
        <w:rPr>
          <w:rFonts w:ascii="Palatino Linotype" w:eastAsia="Palatino Linotype" w:hAnsi="Palatino Linotype" w:cs="Palatino Linotype"/>
        </w:rPr>
        <w:t xml:space="preserve"> los motivos de inconformidad planteados por la parte </w:t>
      </w:r>
      <w:r>
        <w:rPr>
          <w:rFonts w:ascii="Palatino Linotype" w:eastAsia="Palatino Linotype" w:hAnsi="Palatino Linotype" w:cs="Palatino Linotype"/>
          <w:b/>
        </w:rPr>
        <w:t>recurrente</w:t>
      </w:r>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sz w:val="22"/>
          <w:szCs w:val="22"/>
        </w:rPr>
        <w:t>03954/INFOEM/IP/RR/2022</w:t>
      </w:r>
      <w:r>
        <w:rPr>
          <w:rFonts w:ascii="Palatino Linotype" w:eastAsia="Palatino Linotype" w:hAnsi="Palatino Linotype" w:cs="Palatino Linotype"/>
        </w:rPr>
        <w:t xml:space="preserve">, por lo que, en términos del </w:t>
      </w:r>
      <w:r>
        <w:rPr>
          <w:rFonts w:ascii="Palatino Linotype" w:eastAsia="Palatino Linotype" w:hAnsi="Palatino Linotype" w:cs="Palatino Linotype"/>
          <w:b/>
        </w:rPr>
        <w:t>Considerando Cuarto</w:t>
      </w:r>
      <w:r>
        <w:rPr>
          <w:rFonts w:ascii="Palatino Linotype" w:eastAsia="Palatino Linotype" w:hAnsi="Palatino Linotype" w:cs="Palatino Linotype"/>
        </w:rPr>
        <w:t xml:space="preserve"> de la presente resolución, 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sz w:val="22"/>
          <w:szCs w:val="22"/>
        </w:rPr>
        <w:t xml:space="preserve">Sujeto Obligado. </w:t>
      </w:r>
    </w:p>
    <w:p w:rsidR="00E43006" w:rsidRDefault="00F5337A">
      <w:pPr>
        <w:spacing w:before="240" w:after="240" w:line="360" w:lineRule="auto"/>
        <w:jc w:val="both"/>
        <w:rPr>
          <w:rFonts w:ascii="Palatino Linotype" w:eastAsia="Palatino Linotype" w:hAnsi="Palatino Linotype" w:cs="Palatino Linotype"/>
        </w:rPr>
      </w:pPr>
      <w:bookmarkStart w:id="1" w:name="_heading=h.30j0zll" w:colFirst="0" w:colLast="0"/>
      <w:bookmarkEnd w:id="1"/>
      <w:r>
        <w:rPr>
          <w:rFonts w:ascii="Palatino Linotype" w:eastAsia="Palatino Linotype" w:hAnsi="Palatino Linotype" w:cs="Palatino Linotype"/>
          <w:b/>
        </w:rPr>
        <w:t>Segundo.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en términos de los </w:t>
      </w:r>
      <w:r>
        <w:rPr>
          <w:rFonts w:ascii="Palatino Linotype" w:eastAsia="Palatino Linotype" w:hAnsi="Palatino Linotype" w:cs="Palatino Linotype"/>
          <w:b/>
        </w:rPr>
        <w:t xml:space="preserve">Considerandos </w:t>
      </w:r>
      <w:bookmarkStart w:id="2" w:name="_GoBack"/>
      <w:bookmarkEnd w:id="2"/>
      <w:r>
        <w:rPr>
          <w:rFonts w:ascii="Palatino Linotype" w:eastAsia="Palatino Linotype" w:hAnsi="Palatino Linotype" w:cs="Palatino Linotype"/>
          <w:b/>
        </w:rPr>
        <w:t>Cuarto</w:t>
      </w:r>
      <w:r>
        <w:rPr>
          <w:rFonts w:ascii="Palatino Linotype" w:eastAsia="Palatino Linotype" w:hAnsi="Palatino Linotype" w:cs="Palatino Linotype"/>
        </w:rPr>
        <w:t xml:space="preserve"> </w:t>
      </w:r>
      <w:r>
        <w:rPr>
          <w:rFonts w:ascii="Palatino Linotype" w:eastAsia="Palatino Linotype" w:hAnsi="Palatino Linotype" w:cs="Palatino Linotype"/>
          <w:b/>
        </w:rPr>
        <w:t>y Quinto</w:t>
      </w:r>
      <w:r>
        <w:rPr>
          <w:rFonts w:ascii="Palatino Linotype" w:eastAsia="Palatino Linotype" w:hAnsi="Palatino Linotype" w:cs="Palatino Linotype"/>
        </w:rPr>
        <w:t xml:space="preserve"> de esta resolución haga entrega a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 través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w:t>
      </w:r>
      <w:r w:rsidR="00EE4584">
        <w:rPr>
          <w:rFonts w:ascii="Palatino Linotype" w:eastAsia="Palatino Linotype" w:hAnsi="Palatino Linotype" w:cs="Palatino Linotype"/>
        </w:rPr>
        <w:t xml:space="preserve">de </w:t>
      </w:r>
      <w:r>
        <w:rPr>
          <w:rFonts w:ascii="Palatino Linotype" w:eastAsia="Palatino Linotype" w:hAnsi="Palatino Linotype" w:cs="Palatino Linotype"/>
        </w:rPr>
        <w:t xml:space="preserve">lo siguiente: </w:t>
      </w:r>
    </w:p>
    <w:p w:rsidR="00E43006" w:rsidRDefault="00F5337A">
      <w:pPr>
        <w:numPr>
          <w:ilvl w:val="0"/>
          <w:numId w:val="6"/>
        </w:numPr>
        <w:spacing w:before="240" w:after="240" w:line="276" w:lineRule="auto"/>
        <w:ind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 xml:space="preserve">El o los documentos donde conste el trámite para la asignación de clave catastral respecto de un predio adquirido mediante compraventa, vigente al quince de marzo de dos mil veintidós.   </w:t>
      </w:r>
    </w:p>
    <w:p w:rsidR="00E43006" w:rsidRDefault="00F5337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Notifíquese,</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al Responsable de la Unidad de Transparencia del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vía SAIMEX,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E43006" w:rsidRDefault="00F5337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rsidR="00E43006" w:rsidRDefault="00F5337A">
      <w:pPr>
        <w:spacing w:before="240" w:after="240"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b/>
        </w:rPr>
        <w:t xml:space="preserve">Quinto. Notifíquese, </w:t>
      </w:r>
      <w:r>
        <w:rPr>
          <w:rFonts w:ascii="Palatino Linotype" w:eastAsia="Palatino Linotype" w:hAnsi="Palatino Linotype" w:cs="Palatino Linotype"/>
        </w:rPr>
        <w:t xml:space="preserve">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vía SAIMEX, así como que</w:t>
      </w:r>
      <w:r>
        <w:rPr>
          <w:rFonts w:ascii="Palatino Linotype" w:eastAsia="Palatino Linotype" w:hAnsi="Palatino Linotype" w:cs="Palatino Linotype"/>
          <w:color w:val="222222"/>
        </w:rPr>
        <w:t xml:space="preserve"> </w:t>
      </w:r>
      <w:r>
        <w:rPr>
          <w:rFonts w:ascii="Palatino Linotype" w:eastAsia="Palatino Linotype" w:hAnsi="Palatino Linotype" w:cs="Palatino Linotype"/>
        </w:rPr>
        <w:t>de conformidad con lo establecido en el artículo 196 de la Ley de Transparencia y Acceso a la Información Pública del Estado de México y Municipios podrá impugnarla vía Juicio de Amparo en los términos de las leyes aplicables</w:t>
      </w:r>
      <w:r>
        <w:rPr>
          <w:rFonts w:ascii="Palatino Linotype" w:eastAsia="Palatino Linotype" w:hAnsi="Palatino Linotype" w:cs="Palatino Linotype"/>
          <w:color w:val="222222"/>
        </w:rPr>
        <w:t>.</w:t>
      </w:r>
    </w:p>
    <w:p w:rsidR="00E43006" w:rsidRDefault="00F5337A">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SÉPTIMA SESIÓN ORDINARIA </w:t>
      </w:r>
      <w:r>
        <w:rPr>
          <w:rFonts w:ascii="Palatino Linotype" w:eastAsia="Palatino Linotype" w:hAnsi="Palatino Linotype" w:cs="Palatino Linotype"/>
        </w:rPr>
        <w:lastRenderedPageBreak/>
        <w:t xml:space="preserve">CELEBRADA EL TRES DE AGOSTO DE DOS MIL VEINTIDÓS, ANTE EL </w:t>
      </w:r>
      <w:r w:rsidR="000E45B2">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simplePos x="0" y="0"/>
                <wp:positionH relativeFrom="column">
                  <wp:posOffset>81914</wp:posOffset>
                </wp:positionH>
                <wp:positionV relativeFrom="paragraph">
                  <wp:posOffset>648335</wp:posOffset>
                </wp:positionV>
                <wp:extent cx="5267325" cy="6953250"/>
                <wp:effectExtent l="0" t="0" r="28575" b="19050"/>
                <wp:wrapNone/>
                <wp:docPr id="7" name="Conector recto 7"/>
                <wp:cNvGraphicFramePr/>
                <a:graphic xmlns:a="http://schemas.openxmlformats.org/drawingml/2006/main">
                  <a:graphicData uri="http://schemas.microsoft.com/office/word/2010/wordprocessingShape">
                    <wps:wsp>
                      <wps:cNvCnPr/>
                      <wps:spPr>
                        <a:xfrm>
                          <a:off x="0" y="0"/>
                          <a:ext cx="5267325" cy="6953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C64FC7" id="Conector recto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45pt,51.05pt" to="421.2pt,5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" strokecolor="black [3040]"/>
            </w:pict>
          </mc:Fallback>
        </mc:AlternateContent>
      </w:r>
      <w:r>
        <w:rPr>
          <w:rFonts w:ascii="Palatino Linotype" w:eastAsia="Palatino Linotype" w:hAnsi="Palatino Linotype" w:cs="Palatino Linotype"/>
        </w:rPr>
        <w:t>SECRETARIO TÉCNICO DEL PLENO ALEXIS TAPIA RAMÍREZ.</w:t>
      </w:r>
    </w:p>
    <w:p w:rsidR="00F5337A" w:rsidRDefault="00F5337A">
      <w:pPr>
        <w:spacing w:line="360" w:lineRule="auto"/>
        <w:ind w:right="49"/>
        <w:jc w:val="both"/>
        <w:rPr>
          <w:rFonts w:ascii="Palatino Linotype" w:eastAsia="Palatino Linotype" w:hAnsi="Palatino Linotype" w:cs="Palatino Linotype"/>
        </w:rPr>
        <w:sectPr w:rsidR="00F5337A">
          <w:headerReference w:type="default" r:id="rId22"/>
          <w:footerReference w:type="default" r:id="rId23"/>
          <w:headerReference w:type="first" r:id="rId24"/>
          <w:footerReference w:type="first" r:id="rId25"/>
          <w:pgSz w:w="12240" w:h="15840"/>
          <w:pgMar w:top="1417" w:right="1701" w:bottom="1417" w:left="1701" w:header="709" w:footer="709" w:gutter="0"/>
          <w:pgNumType w:start="1"/>
          <w:cols w:space="720"/>
          <w:titlePg/>
        </w:sectPr>
      </w:pPr>
    </w:p>
    <w:p w:rsidR="00F5337A" w:rsidRDefault="00F5337A">
      <w:pPr>
        <w:spacing w:line="360" w:lineRule="auto"/>
        <w:ind w:right="49"/>
        <w:jc w:val="both"/>
        <w:rPr>
          <w:rFonts w:ascii="Palatino Linotype" w:eastAsia="Palatino Linotype" w:hAnsi="Palatino Linotype" w:cs="Palatino Linotype"/>
        </w:rPr>
      </w:pPr>
    </w:p>
    <w:p w:rsidR="00F5337A" w:rsidRDefault="00F5337A">
      <w:pPr>
        <w:spacing w:line="360" w:lineRule="auto"/>
        <w:ind w:right="49"/>
        <w:jc w:val="both"/>
        <w:rPr>
          <w:rFonts w:ascii="Palatino Linotype" w:eastAsia="Palatino Linotype" w:hAnsi="Palatino Linotype" w:cs="Palatino Linotype"/>
        </w:rPr>
      </w:pPr>
    </w:p>
    <w:p w:rsidR="00F5337A" w:rsidRDefault="00F5337A">
      <w:pPr>
        <w:spacing w:line="360" w:lineRule="auto"/>
        <w:ind w:right="49"/>
        <w:jc w:val="both"/>
        <w:rPr>
          <w:rFonts w:ascii="Palatino Linotype" w:eastAsia="Palatino Linotype" w:hAnsi="Palatino Linotype" w:cs="Palatino Linotype"/>
        </w:rPr>
      </w:pPr>
    </w:p>
    <w:p w:rsidR="00F5337A" w:rsidRDefault="00F5337A">
      <w:pPr>
        <w:spacing w:line="360" w:lineRule="auto"/>
        <w:ind w:right="49"/>
        <w:jc w:val="both"/>
        <w:rPr>
          <w:rFonts w:ascii="Palatino Linotype" w:eastAsia="Palatino Linotype" w:hAnsi="Palatino Linotype" w:cs="Palatino Linotype"/>
        </w:rPr>
      </w:pPr>
    </w:p>
    <w:p w:rsidR="00F5337A" w:rsidRDefault="00F5337A">
      <w:pPr>
        <w:spacing w:line="360" w:lineRule="auto"/>
        <w:ind w:right="49"/>
        <w:jc w:val="both"/>
        <w:rPr>
          <w:rFonts w:ascii="Palatino Linotype" w:eastAsia="Palatino Linotype" w:hAnsi="Palatino Linotype" w:cs="Palatino Linotype"/>
        </w:rPr>
      </w:pPr>
    </w:p>
    <w:p w:rsidR="00F5337A" w:rsidRDefault="00F5337A">
      <w:pPr>
        <w:spacing w:line="360" w:lineRule="auto"/>
        <w:ind w:right="49"/>
        <w:jc w:val="both"/>
        <w:rPr>
          <w:rFonts w:ascii="Palatino Linotype" w:eastAsia="Palatino Linotype" w:hAnsi="Palatino Linotype" w:cs="Palatino Linotype"/>
        </w:rPr>
      </w:pPr>
    </w:p>
    <w:p w:rsidR="00E43006" w:rsidRDefault="00E43006">
      <w:pPr>
        <w:spacing w:line="360" w:lineRule="auto"/>
        <w:ind w:right="49"/>
        <w:jc w:val="both"/>
        <w:rPr>
          <w:rFonts w:ascii="Palatino Linotype" w:eastAsia="Palatino Linotype" w:hAnsi="Palatino Linotype" w:cs="Palatino Linotype"/>
        </w:rPr>
      </w:pPr>
    </w:p>
    <w:p w:rsidR="00E43006" w:rsidRDefault="00E43006">
      <w:pPr>
        <w:spacing w:line="360" w:lineRule="auto"/>
        <w:ind w:right="49"/>
        <w:jc w:val="both"/>
        <w:rPr>
          <w:rFonts w:ascii="Palatino Linotype" w:eastAsia="Palatino Linotype" w:hAnsi="Palatino Linotype" w:cs="Palatino Linotype"/>
        </w:rPr>
      </w:pPr>
    </w:p>
    <w:p w:rsidR="00E43006" w:rsidRDefault="00E43006">
      <w:pPr>
        <w:spacing w:line="360" w:lineRule="auto"/>
        <w:ind w:right="49"/>
        <w:jc w:val="both"/>
        <w:rPr>
          <w:rFonts w:ascii="Palatino Linotype" w:eastAsia="Palatino Linotype" w:hAnsi="Palatino Linotype" w:cs="Palatino Linotype"/>
        </w:rPr>
      </w:pPr>
    </w:p>
    <w:p w:rsidR="00E43006" w:rsidRDefault="00E43006">
      <w:pPr>
        <w:spacing w:line="360" w:lineRule="auto"/>
        <w:ind w:right="49"/>
        <w:jc w:val="both"/>
        <w:rPr>
          <w:rFonts w:ascii="Palatino Linotype" w:eastAsia="Palatino Linotype" w:hAnsi="Palatino Linotype" w:cs="Palatino Linotype"/>
        </w:rPr>
      </w:pPr>
    </w:p>
    <w:p w:rsidR="00E43006" w:rsidRDefault="00E43006">
      <w:pPr>
        <w:spacing w:line="360" w:lineRule="auto"/>
        <w:ind w:right="49"/>
        <w:jc w:val="both"/>
        <w:rPr>
          <w:rFonts w:ascii="Palatino Linotype" w:eastAsia="Palatino Linotype" w:hAnsi="Palatino Linotype" w:cs="Palatino Linotype"/>
        </w:rPr>
      </w:pPr>
    </w:p>
    <w:p w:rsidR="00E43006" w:rsidRDefault="00E43006">
      <w:pPr>
        <w:spacing w:line="360" w:lineRule="auto"/>
        <w:ind w:right="49"/>
        <w:jc w:val="both"/>
        <w:rPr>
          <w:rFonts w:ascii="Palatino Linotype" w:eastAsia="Palatino Linotype" w:hAnsi="Palatino Linotype" w:cs="Palatino Linotype"/>
        </w:rPr>
      </w:pPr>
    </w:p>
    <w:p w:rsidR="00E43006" w:rsidRDefault="00E43006">
      <w:pPr>
        <w:spacing w:line="360" w:lineRule="auto"/>
        <w:ind w:right="49"/>
        <w:jc w:val="both"/>
        <w:rPr>
          <w:rFonts w:ascii="Palatino Linotype" w:eastAsia="Palatino Linotype" w:hAnsi="Palatino Linotype" w:cs="Palatino Linotype"/>
        </w:rPr>
      </w:pPr>
    </w:p>
    <w:p w:rsidR="00E43006" w:rsidRDefault="00E43006">
      <w:pPr>
        <w:spacing w:line="360" w:lineRule="auto"/>
        <w:ind w:right="49"/>
        <w:jc w:val="both"/>
        <w:rPr>
          <w:rFonts w:ascii="Palatino Linotype" w:eastAsia="Palatino Linotype" w:hAnsi="Palatino Linotype" w:cs="Palatino Linotype"/>
        </w:rPr>
      </w:pPr>
    </w:p>
    <w:p w:rsidR="00E43006" w:rsidRDefault="00E43006">
      <w:pPr>
        <w:spacing w:line="360" w:lineRule="auto"/>
        <w:ind w:right="49"/>
        <w:jc w:val="both"/>
        <w:rPr>
          <w:rFonts w:ascii="Palatino Linotype" w:eastAsia="Palatino Linotype" w:hAnsi="Palatino Linotype" w:cs="Palatino Linotype"/>
        </w:rPr>
      </w:pPr>
    </w:p>
    <w:sectPr w:rsidR="00E43006">
      <w:headerReference w:type="first" r:id="rId26"/>
      <w:pgSz w:w="12240" w:h="15840"/>
      <w:pgMar w:top="1417" w:right="1701" w:bottom="1417"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13C3" w:rsidRDefault="009B13C3">
      <w:r>
        <w:separator/>
      </w:r>
    </w:p>
  </w:endnote>
  <w:endnote w:type="continuationSeparator" w:id="0">
    <w:p w:rsidR="009B13C3" w:rsidRDefault="009B1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Myriad Pro">
    <w:altName w:val="Myriad Pro"/>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006" w:rsidRDefault="00F5337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62F37">
      <w:rPr>
        <w:rFonts w:ascii="Arial" w:eastAsia="Arial" w:hAnsi="Arial" w:cs="Arial"/>
        <w:b/>
        <w:noProof/>
        <w:color w:val="000000"/>
        <w:sz w:val="20"/>
        <w:szCs w:val="20"/>
      </w:rPr>
      <w:t>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62F37">
      <w:rPr>
        <w:rFonts w:ascii="Arial" w:eastAsia="Arial" w:hAnsi="Arial" w:cs="Arial"/>
        <w:b/>
        <w:noProof/>
        <w:color w:val="000000"/>
        <w:sz w:val="20"/>
        <w:szCs w:val="20"/>
      </w:rPr>
      <w:t>51</w:t>
    </w:r>
    <w:r>
      <w:rPr>
        <w:rFonts w:ascii="Arial" w:eastAsia="Arial" w:hAnsi="Arial" w:cs="Arial"/>
        <w:b/>
        <w:color w:val="000000"/>
        <w:sz w:val="20"/>
        <w:szCs w:val="20"/>
      </w:rPr>
      <w:fldChar w:fldCharType="end"/>
    </w:r>
  </w:p>
  <w:p w:rsidR="00E43006" w:rsidRDefault="00E43006">
    <w:pPr>
      <w:pBdr>
        <w:top w:val="nil"/>
        <w:left w:val="nil"/>
        <w:bottom w:val="nil"/>
        <w:right w:val="nil"/>
        <w:between w:val="nil"/>
      </w:pBdr>
      <w:tabs>
        <w:tab w:val="center" w:pos="4252"/>
        <w:tab w:val="right" w:pos="8504"/>
      </w:tabs>
      <w:rPr>
        <w:color w:val="000000"/>
      </w:rPr>
    </w:pPr>
  </w:p>
  <w:p w:rsidR="00E43006" w:rsidRDefault="00E4300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006" w:rsidRDefault="00F5337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62F37">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62F37">
      <w:rPr>
        <w:rFonts w:ascii="Arial" w:eastAsia="Arial" w:hAnsi="Arial" w:cs="Arial"/>
        <w:b/>
        <w:noProof/>
        <w:color w:val="000000"/>
        <w:sz w:val="20"/>
        <w:szCs w:val="20"/>
      </w:rPr>
      <w:t>51</w:t>
    </w:r>
    <w:r>
      <w:rPr>
        <w:rFonts w:ascii="Arial" w:eastAsia="Arial" w:hAnsi="Arial" w:cs="Arial"/>
        <w:b/>
        <w:color w:val="000000"/>
        <w:sz w:val="20"/>
        <w:szCs w:val="20"/>
      </w:rPr>
      <w:fldChar w:fldCharType="end"/>
    </w:r>
  </w:p>
  <w:p w:rsidR="00E43006" w:rsidRDefault="00E4300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13C3" w:rsidRDefault="009B13C3">
      <w:r>
        <w:separator/>
      </w:r>
    </w:p>
  </w:footnote>
  <w:footnote w:type="continuationSeparator" w:id="0">
    <w:p w:rsidR="009B13C3" w:rsidRDefault="009B13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006" w:rsidRDefault="00E43006">
    <w:pPr>
      <w:widowControl w:val="0"/>
      <w:pBdr>
        <w:top w:val="nil"/>
        <w:left w:val="nil"/>
        <w:bottom w:val="nil"/>
        <w:right w:val="nil"/>
        <w:between w:val="nil"/>
      </w:pBdr>
      <w:spacing w:line="276" w:lineRule="auto"/>
      <w:rPr>
        <w:rFonts w:ascii="Cambria" w:eastAsia="Cambria" w:hAnsi="Cambria" w:cs="Cambria"/>
        <w:color w:val="000000"/>
      </w:rPr>
    </w:pPr>
  </w:p>
  <w:tbl>
    <w:tblPr>
      <w:tblStyle w:val="a2"/>
      <w:tblW w:w="6240" w:type="dxa"/>
      <w:tblInd w:w="3746" w:type="dxa"/>
      <w:tblLayout w:type="fixed"/>
      <w:tblLook w:val="0400" w:firstRow="0" w:lastRow="0" w:firstColumn="0" w:lastColumn="0" w:noHBand="0" w:noVBand="1"/>
    </w:tblPr>
    <w:tblGrid>
      <w:gridCol w:w="2553"/>
      <w:gridCol w:w="3687"/>
    </w:tblGrid>
    <w:tr w:rsidR="00E43006">
      <w:tc>
        <w:tcPr>
          <w:tcW w:w="2553" w:type="dxa"/>
          <w:vAlign w:val="center"/>
        </w:tcPr>
        <w:p w:rsidR="00E43006" w:rsidRDefault="00F533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E43006" w:rsidRDefault="00F5337A">
          <w:pPr>
            <w:ind w:right="66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03954/INFOEM/IP/RR/2022</w:t>
          </w:r>
        </w:p>
      </w:tc>
    </w:tr>
    <w:tr w:rsidR="00E43006">
      <w:trPr>
        <w:trHeight w:val="228"/>
      </w:trPr>
      <w:tc>
        <w:tcPr>
          <w:tcW w:w="2553" w:type="dxa"/>
          <w:vAlign w:val="center"/>
        </w:tcPr>
        <w:p w:rsidR="00E43006" w:rsidRDefault="00F533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E43006" w:rsidRDefault="00F5337A">
          <w:pPr>
            <w:ind w:right="-32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Chicoloapan</w:t>
          </w:r>
        </w:p>
      </w:tc>
    </w:tr>
    <w:tr w:rsidR="00E43006">
      <w:tc>
        <w:tcPr>
          <w:tcW w:w="2553" w:type="dxa"/>
          <w:vAlign w:val="center"/>
        </w:tcPr>
        <w:p w:rsidR="00E43006" w:rsidRDefault="00F533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E43006" w:rsidRDefault="00F5337A">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E43006" w:rsidRDefault="00F5337A">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r>
      <w:rPr>
        <w:noProof/>
        <w:lang w:val="es-MX"/>
      </w:rPr>
      <w:drawing>
        <wp:anchor distT="0" distB="0" distL="0" distR="0" simplePos="0" relativeHeight="251658240" behindDoc="1" locked="0" layoutInCell="1" hidden="0" allowOverlap="1">
          <wp:simplePos x="0" y="0"/>
          <wp:positionH relativeFrom="column">
            <wp:posOffset>-982344</wp:posOffset>
          </wp:positionH>
          <wp:positionV relativeFrom="paragraph">
            <wp:posOffset>-1108074</wp:posOffset>
          </wp:positionV>
          <wp:extent cx="7635600" cy="9943200"/>
          <wp:effectExtent l="0" t="0" r="0" b="0"/>
          <wp:wrapNone/>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006" w:rsidRDefault="00F5337A">
    <w:pPr>
      <w:pBdr>
        <w:top w:val="nil"/>
        <w:left w:val="nil"/>
        <w:bottom w:val="nil"/>
        <w:right w:val="nil"/>
        <w:between w:val="nil"/>
      </w:pBdr>
      <w:tabs>
        <w:tab w:val="center" w:pos="4252"/>
        <w:tab w:val="right" w:pos="8504"/>
      </w:tabs>
      <w:ind w:right="333"/>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simplePos x="0" y="0"/>
          <wp:positionH relativeFrom="column">
            <wp:posOffset>-916304</wp:posOffset>
          </wp:positionH>
          <wp:positionV relativeFrom="paragraph">
            <wp:posOffset>-354865</wp:posOffset>
          </wp:positionV>
          <wp:extent cx="7635600" cy="9943200"/>
          <wp:effectExtent l="0" t="0" r="0" b="0"/>
          <wp:wrapNone/>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0"/>
      <w:tblW w:w="6240" w:type="dxa"/>
      <w:tblInd w:w="3685" w:type="dxa"/>
      <w:tblLayout w:type="fixed"/>
      <w:tblLook w:val="0400" w:firstRow="0" w:lastRow="0" w:firstColumn="0" w:lastColumn="0" w:noHBand="0" w:noVBand="1"/>
    </w:tblPr>
    <w:tblGrid>
      <w:gridCol w:w="2553"/>
      <w:gridCol w:w="3687"/>
    </w:tblGrid>
    <w:tr w:rsidR="00E43006">
      <w:tc>
        <w:tcPr>
          <w:tcW w:w="2553" w:type="dxa"/>
          <w:vAlign w:val="center"/>
        </w:tcPr>
        <w:p w:rsidR="00E43006" w:rsidRDefault="00F533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E43006" w:rsidRDefault="00F533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03954/INFOEM/IP/RR/2022</w:t>
          </w:r>
        </w:p>
      </w:tc>
    </w:tr>
    <w:tr w:rsidR="00E43006">
      <w:tc>
        <w:tcPr>
          <w:tcW w:w="2553" w:type="dxa"/>
          <w:vAlign w:val="center"/>
        </w:tcPr>
        <w:p w:rsidR="00E43006" w:rsidRDefault="00F533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rsidR="00E43006" w:rsidRDefault="00E43006">
          <w:pPr>
            <w:rPr>
              <w:rFonts w:ascii="Palatino Linotype" w:eastAsia="Palatino Linotype" w:hAnsi="Palatino Linotype" w:cs="Palatino Linotype"/>
              <w:b/>
              <w:sz w:val="22"/>
              <w:szCs w:val="22"/>
            </w:rPr>
          </w:pPr>
        </w:p>
      </w:tc>
    </w:tr>
    <w:tr w:rsidR="00E43006">
      <w:trPr>
        <w:trHeight w:val="228"/>
      </w:trPr>
      <w:tc>
        <w:tcPr>
          <w:tcW w:w="2553" w:type="dxa"/>
          <w:vAlign w:val="center"/>
        </w:tcPr>
        <w:p w:rsidR="00E43006" w:rsidRDefault="00F533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E43006" w:rsidRDefault="00F5337A">
          <w:pPr>
            <w:ind w:right="-10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Chicoloapan</w:t>
          </w:r>
        </w:p>
      </w:tc>
    </w:tr>
    <w:tr w:rsidR="00E43006">
      <w:tc>
        <w:tcPr>
          <w:tcW w:w="2553" w:type="dxa"/>
          <w:vAlign w:val="center"/>
        </w:tcPr>
        <w:p w:rsidR="00E43006" w:rsidRDefault="00F533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E43006" w:rsidRDefault="00F5337A">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E43006" w:rsidRDefault="00E43006">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37A" w:rsidRDefault="00F5337A">
    <w:pPr>
      <w:pBdr>
        <w:top w:val="nil"/>
        <w:left w:val="nil"/>
        <w:bottom w:val="nil"/>
        <w:right w:val="nil"/>
        <w:between w:val="nil"/>
      </w:pBdr>
      <w:tabs>
        <w:tab w:val="center" w:pos="4252"/>
        <w:tab w:val="right" w:pos="8504"/>
      </w:tabs>
      <w:ind w:right="333"/>
      <w:jc w:val="both"/>
      <w:rPr>
        <w:rFonts w:ascii="Cambria" w:eastAsia="Cambria" w:hAnsi="Cambria" w:cs="Cambria"/>
        <w:color w:val="000000"/>
      </w:rPr>
    </w:pPr>
    <w:r>
      <w:rPr>
        <w:rFonts w:ascii="Cambria" w:eastAsia="Cambria" w:hAnsi="Cambria" w:cs="Cambria"/>
        <w:color w:val="000000"/>
      </w:rPr>
      <w:t xml:space="preserve">                                  </w:t>
    </w:r>
  </w:p>
  <w:p w:rsidR="00F5337A" w:rsidRDefault="00F5337A">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56E20"/>
    <w:multiLevelType w:val="multilevel"/>
    <w:tmpl w:val="1F9279D6"/>
    <w:lvl w:ilvl="0">
      <w:start w:val="1"/>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D3F6662"/>
    <w:multiLevelType w:val="multilevel"/>
    <w:tmpl w:val="12F48972"/>
    <w:lvl w:ilvl="0">
      <w:start w:val="1"/>
      <w:numFmt w:val="upperRoman"/>
      <w:lvlText w:val="%1."/>
      <w:lvlJc w:val="left"/>
      <w:pPr>
        <w:ind w:left="1004" w:hanging="72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15:restartNumberingAfterBreak="0">
    <w:nsid w:val="1D904624"/>
    <w:multiLevelType w:val="multilevel"/>
    <w:tmpl w:val="0F545310"/>
    <w:lvl w:ilvl="0">
      <w:start w:val="3"/>
      <w:numFmt w:val="lowerLetter"/>
      <w:lvlText w:val="%1."/>
      <w:lvlJc w:val="left"/>
      <w:pPr>
        <w:ind w:left="720" w:hanging="360"/>
      </w:pPr>
      <w:rPr>
        <w:rFonts w:ascii="Palatino Linotype" w:eastAsia="Palatino Linotype" w:hAnsi="Palatino Linotype" w:cs="Palatino Linotyp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F49436F"/>
    <w:multiLevelType w:val="multilevel"/>
    <w:tmpl w:val="725CBEFE"/>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4" w15:restartNumberingAfterBreak="0">
    <w:nsid w:val="3A796A08"/>
    <w:multiLevelType w:val="multilevel"/>
    <w:tmpl w:val="113CAD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D800EA8"/>
    <w:multiLevelType w:val="multilevel"/>
    <w:tmpl w:val="10389F0A"/>
    <w:lvl w:ilvl="0">
      <w:start w:val="1"/>
      <w:numFmt w:val="upperRoman"/>
      <w:lvlText w:val="%1."/>
      <w:lvlJc w:val="left"/>
      <w:pPr>
        <w:ind w:left="1800" w:hanging="72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4743116B"/>
    <w:multiLevelType w:val="multilevel"/>
    <w:tmpl w:val="BE929422"/>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75955A4"/>
    <w:multiLevelType w:val="multilevel"/>
    <w:tmpl w:val="73867F9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485C2CDB"/>
    <w:multiLevelType w:val="multilevel"/>
    <w:tmpl w:val="25EA01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63B56A8"/>
    <w:multiLevelType w:val="multilevel"/>
    <w:tmpl w:val="4FEA2358"/>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8A07059"/>
    <w:multiLevelType w:val="multilevel"/>
    <w:tmpl w:val="A392ABB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7"/>
  </w:num>
  <w:num w:numId="4">
    <w:abstractNumId w:val="5"/>
  </w:num>
  <w:num w:numId="5">
    <w:abstractNumId w:val="10"/>
  </w:num>
  <w:num w:numId="6">
    <w:abstractNumId w:val="8"/>
  </w:num>
  <w:num w:numId="7">
    <w:abstractNumId w:val="1"/>
  </w:num>
  <w:num w:numId="8">
    <w:abstractNumId w:val="4"/>
  </w:num>
  <w:num w:numId="9">
    <w:abstractNumId w:val="9"/>
  </w:num>
  <w:num w:numId="10">
    <w:abstractNumId w:val="3"/>
  </w:num>
  <w:num w:numId="11">
    <w:abstractNumId w:val="6"/>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006"/>
    <w:rsid w:val="000E45B2"/>
    <w:rsid w:val="00162F37"/>
    <w:rsid w:val="003C5F67"/>
    <w:rsid w:val="009B13C3"/>
    <w:rsid w:val="00B8533E"/>
    <w:rsid w:val="00E43006"/>
    <w:rsid w:val="00EE4584"/>
    <w:rsid w:val="00F533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28FEA0-C2A7-46A7-B503-1374724A6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D006F2"/>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006F2"/>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7E51DC"/>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nhideWhenUsed/>
    <w:qFormat/>
    <w:rsid w:val="007E51DC"/>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7E51DC"/>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rPr>
  </w:style>
  <w:style w:type="paragraph" w:styleId="Ttulo8">
    <w:name w:val="heading 8"/>
    <w:basedOn w:val="Normal"/>
    <w:next w:val="Normal"/>
    <w:link w:val="Ttulo8Car"/>
    <w:uiPriority w:val="9"/>
    <w:semiHidden/>
    <w:unhideWhenUsed/>
    <w:qFormat/>
    <w:rsid w:val="007E51DC"/>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rPr>
  </w:style>
  <w:style w:type="paragraph" w:styleId="Ttulo9">
    <w:name w:val="heading 9"/>
    <w:basedOn w:val="Normal"/>
    <w:next w:val="Normal"/>
    <w:link w:val="Ttulo9Car"/>
    <w:uiPriority w:val="9"/>
    <w:semiHidden/>
    <w:unhideWhenUsed/>
    <w:qFormat/>
    <w:rsid w:val="007E51DC"/>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rsid w:val="007E51DC"/>
    <w:pPr>
      <w:contextualSpacing/>
    </w:pPr>
    <w:rPr>
      <w:rFonts w:asciiTheme="majorHAnsi" w:eastAsiaTheme="majorEastAsia" w:hAnsiTheme="majorHAnsi" w:cstheme="majorBidi"/>
      <w:color w:val="4F81BD" w:themeColor="accent1"/>
      <w:spacing w:val="-10"/>
      <w:sz w:val="56"/>
      <w:szCs w:val="56"/>
      <w:lang w:val="es-ES_tradnl"/>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3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uiPriority w:val="99"/>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paragraph" w:styleId="Textoindependiente">
    <w:name w:val="Body Text"/>
    <w:basedOn w:val="Normal"/>
    <w:link w:val="TextoindependienteCar"/>
    <w:uiPriority w:val="99"/>
    <w:qFormat/>
    <w:rsid w:val="00446C36"/>
    <w:pPr>
      <w:widowControl w:val="0"/>
      <w:autoSpaceDE w:val="0"/>
      <w:autoSpaceDN w:val="0"/>
      <w:adjustRightInd w:val="0"/>
      <w:ind w:left="112"/>
    </w:pPr>
    <w:rPr>
      <w:rFonts w:eastAsiaTheme="minorEastAsia"/>
      <w:sz w:val="25"/>
      <w:szCs w:val="25"/>
      <w:lang w:val="es-MX"/>
    </w:rPr>
  </w:style>
  <w:style w:type="character" w:customStyle="1" w:styleId="TextoindependienteCar">
    <w:name w:val="Texto independiente Car"/>
    <w:basedOn w:val="Fuentedeprrafopredeter"/>
    <w:link w:val="Textoindependiente"/>
    <w:uiPriority w:val="99"/>
    <w:rsid w:val="00446C36"/>
    <w:rPr>
      <w:rFonts w:ascii="Times New Roman" w:hAnsi="Times New Roman" w:cs="Times New Roman"/>
      <w:sz w:val="25"/>
      <w:szCs w:val="25"/>
      <w:lang w:val="es-MX" w:eastAsia="es-MX"/>
    </w:rPr>
  </w:style>
  <w:style w:type="paragraph" w:styleId="Textosinformato">
    <w:name w:val="Plain Text"/>
    <w:basedOn w:val="Normal"/>
    <w:link w:val="TextosinformatoCar"/>
    <w:uiPriority w:val="99"/>
    <w:unhideWhenUsed/>
    <w:rsid w:val="006F1806"/>
    <w:rPr>
      <w:rFonts w:ascii="Courier New" w:hAnsi="Courier New"/>
      <w:sz w:val="20"/>
      <w:szCs w:val="20"/>
    </w:rPr>
  </w:style>
  <w:style w:type="character" w:customStyle="1" w:styleId="TextosinformatoCar">
    <w:name w:val="Texto sin formato Car"/>
    <w:basedOn w:val="Fuentedeprrafopredeter"/>
    <w:link w:val="Textosinformato"/>
    <w:uiPriority w:val="99"/>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CA08C0"/>
    <w:rPr>
      <w:color w:val="605E5C"/>
      <w:shd w:val="clear" w:color="auto" w:fill="E1DFDD"/>
    </w:rPr>
  </w:style>
  <w:style w:type="table" w:styleId="Tabladecuadrcula4-nfasis5">
    <w:name w:val="Grid Table 4 Accent 5"/>
    <w:basedOn w:val="Tablanormal"/>
    <w:uiPriority w:val="49"/>
    <w:rsid w:val="006E38D5"/>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Ttulo3Car">
    <w:name w:val="Título 3 Car"/>
    <w:basedOn w:val="Fuentedeprrafopredeter"/>
    <w:link w:val="Ttulo3"/>
    <w:uiPriority w:val="9"/>
    <w:rsid w:val="00D006F2"/>
    <w:rPr>
      <w:rFonts w:asciiTheme="majorHAnsi" w:eastAsiaTheme="majorEastAsia" w:hAnsiTheme="majorHAnsi" w:cstheme="majorBidi"/>
      <w:color w:val="243F60" w:themeColor="accent1" w:themeShade="7F"/>
      <w:lang w:val="es-ES"/>
    </w:rPr>
  </w:style>
  <w:style w:type="character" w:customStyle="1" w:styleId="Ttulo4Car">
    <w:name w:val="Título 4 Car"/>
    <w:basedOn w:val="Fuentedeprrafopredeter"/>
    <w:link w:val="Ttulo4"/>
    <w:uiPriority w:val="9"/>
    <w:rsid w:val="00D006F2"/>
    <w:rPr>
      <w:rFonts w:asciiTheme="majorHAnsi" w:eastAsiaTheme="majorEastAsia" w:hAnsiTheme="majorHAnsi" w:cstheme="majorBidi"/>
      <w:i/>
      <w:iCs/>
      <w:color w:val="365F91" w:themeColor="accent1" w:themeShade="BF"/>
      <w:lang w:val="es-ES"/>
    </w:rPr>
  </w:style>
  <w:style w:type="paragraph" w:customStyle="1" w:styleId="m-698976158124685028gmail-default">
    <w:name w:val="m_-698976158124685028gmail-default"/>
    <w:basedOn w:val="Normal"/>
    <w:rsid w:val="006B1B2B"/>
    <w:pPr>
      <w:spacing w:before="100" w:beforeAutospacing="1" w:after="100" w:afterAutospacing="1"/>
    </w:pPr>
    <w:rPr>
      <w:lang w:val="es-MX"/>
    </w:rPr>
  </w:style>
  <w:style w:type="paragraph" w:customStyle="1" w:styleId="m-698976158124685028gmail-msolistparagraph">
    <w:name w:val="m_-698976158124685028gmail-msolistparagraph"/>
    <w:basedOn w:val="Normal"/>
    <w:rsid w:val="006B1B2B"/>
    <w:pPr>
      <w:spacing w:before="100" w:beforeAutospacing="1" w:after="100" w:afterAutospacing="1"/>
    </w:pPr>
    <w:rPr>
      <w:lang w:val="es-MX"/>
    </w:rPr>
  </w:style>
  <w:style w:type="paragraph" w:customStyle="1" w:styleId="m-698976158124685028gmail-m483811427706604298gmail-msolistparagraph">
    <w:name w:val="m_-698976158124685028gmail-m483811427706604298gmail-msolistparagraph"/>
    <w:basedOn w:val="Normal"/>
    <w:rsid w:val="00D41810"/>
    <w:pPr>
      <w:spacing w:before="100" w:beforeAutospacing="1" w:after="100" w:afterAutospacing="1"/>
    </w:pPr>
    <w:rPr>
      <w:lang w:val="es-MX"/>
    </w:rPr>
  </w:style>
  <w:style w:type="paragraph" w:customStyle="1" w:styleId="m-698976158124685028gmail-msonormal">
    <w:name w:val="m_-698976158124685028gmail-msonormal"/>
    <w:basedOn w:val="Normal"/>
    <w:rsid w:val="00D41810"/>
    <w:pPr>
      <w:spacing w:before="100" w:beforeAutospacing="1" w:after="100" w:afterAutospacing="1"/>
    </w:pPr>
    <w:rPr>
      <w:lang w:val="es-MX"/>
    </w:rPr>
  </w:style>
  <w:style w:type="character" w:customStyle="1" w:styleId="m-698976158124685028gmail-apple-converted-space">
    <w:name w:val="m_-698976158124685028gmail-apple-converted-space"/>
    <w:basedOn w:val="Fuentedeprrafopredeter"/>
    <w:rsid w:val="00D41810"/>
  </w:style>
  <w:style w:type="character" w:customStyle="1" w:styleId="il">
    <w:name w:val="il"/>
    <w:basedOn w:val="Fuentedeprrafopredeter"/>
    <w:rsid w:val="00BE068C"/>
  </w:style>
  <w:style w:type="character" w:customStyle="1" w:styleId="Ttulo5Car">
    <w:name w:val="Título 5 Car"/>
    <w:basedOn w:val="Fuentedeprrafopredeter"/>
    <w:link w:val="Ttulo5"/>
    <w:uiPriority w:val="9"/>
    <w:rsid w:val="007E51DC"/>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rsid w:val="007E51DC"/>
    <w:rPr>
      <w:rFonts w:asciiTheme="majorHAnsi" w:eastAsiaTheme="majorEastAsia" w:hAnsiTheme="majorHAnsi" w:cstheme="majorBidi"/>
      <w:color w:val="243F60" w:themeColor="accent1" w:themeShade="7F"/>
      <w:lang w:val="es-ES"/>
    </w:rPr>
  </w:style>
  <w:style w:type="character" w:customStyle="1" w:styleId="Ttulo7Car">
    <w:name w:val="Título 7 Car"/>
    <w:basedOn w:val="Fuentedeprrafopredeter"/>
    <w:link w:val="Ttulo7"/>
    <w:uiPriority w:val="9"/>
    <w:semiHidden/>
    <w:rsid w:val="007E51DC"/>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7E51DC"/>
    <w:rPr>
      <w:rFonts w:asciiTheme="majorHAnsi" w:eastAsiaTheme="majorEastAsia" w:hAnsiTheme="majorHAnsi" w:cstheme="majorBidi"/>
      <w:b/>
      <w:bCs/>
      <w:color w:val="1F497D" w:themeColor="text2"/>
      <w:sz w:val="20"/>
      <w:szCs w:val="20"/>
    </w:rPr>
  </w:style>
  <w:style w:type="character" w:customStyle="1" w:styleId="Ttulo9Car">
    <w:name w:val="Título 9 Car"/>
    <w:basedOn w:val="Fuentedeprrafopredeter"/>
    <w:link w:val="Ttulo9"/>
    <w:uiPriority w:val="9"/>
    <w:semiHidden/>
    <w:rsid w:val="007E51DC"/>
    <w:rPr>
      <w:rFonts w:asciiTheme="majorHAnsi" w:eastAsiaTheme="majorEastAsia" w:hAnsiTheme="majorHAnsi" w:cstheme="majorBidi"/>
      <w:b/>
      <w:bCs/>
      <w:i/>
      <w:iCs/>
      <w:color w:val="1F497D" w:themeColor="text2"/>
      <w:sz w:val="20"/>
      <w:szCs w:val="20"/>
    </w:rPr>
  </w:style>
  <w:style w:type="character" w:styleId="Hipervnculovisitado">
    <w:name w:val="FollowedHyperlink"/>
    <w:basedOn w:val="Fuentedeprrafopredeter"/>
    <w:uiPriority w:val="99"/>
    <w:semiHidden/>
    <w:unhideWhenUsed/>
    <w:rsid w:val="007E51DC"/>
    <w:rPr>
      <w:color w:val="800080" w:themeColor="followedHyperlink"/>
      <w:u w:val="single"/>
    </w:rPr>
  </w:style>
  <w:style w:type="paragraph" w:styleId="Textoindependiente2">
    <w:name w:val="Body Text 2"/>
    <w:basedOn w:val="Normal"/>
    <w:link w:val="Textoindependiente2Car"/>
    <w:uiPriority w:val="99"/>
    <w:unhideWhenUsed/>
    <w:rsid w:val="007E51DC"/>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7E51DC"/>
    <w:rPr>
      <w:rFonts w:ascii="Times New Roman" w:eastAsia="Times New Roman" w:hAnsi="Times New Roman" w:cs="Times New Roman"/>
      <w:lang w:val="es-MX"/>
    </w:rPr>
  </w:style>
  <w:style w:type="character" w:styleId="Refdecomentario">
    <w:name w:val="annotation reference"/>
    <w:basedOn w:val="Fuentedeprrafopredeter"/>
    <w:uiPriority w:val="99"/>
    <w:semiHidden/>
    <w:unhideWhenUsed/>
    <w:rsid w:val="007E51DC"/>
    <w:rPr>
      <w:sz w:val="16"/>
      <w:szCs w:val="16"/>
    </w:rPr>
  </w:style>
  <w:style w:type="paragraph" w:customStyle="1" w:styleId="Listavistosa-nfasis11">
    <w:name w:val="Lista vistosa - Énfasis 11"/>
    <w:basedOn w:val="Normal"/>
    <w:link w:val="Listavistosa-nfasis1Car"/>
    <w:uiPriority w:val="34"/>
    <w:qFormat/>
    <w:rsid w:val="007E51DC"/>
    <w:pPr>
      <w:ind w:left="708"/>
    </w:pPr>
    <w:rPr>
      <w:lang w:val="es-MX"/>
    </w:rPr>
  </w:style>
  <w:style w:type="character" w:customStyle="1" w:styleId="Listavistosa-nfasis1Car">
    <w:name w:val="Lista vistosa - Énfasis 1 Car"/>
    <w:link w:val="Listavistosa-nfasis11"/>
    <w:uiPriority w:val="34"/>
    <w:locked/>
    <w:rsid w:val="007E51DC"/>
    <w:rPr>
      <w:rFonts w:ascii="Times New Roman" w:eastAsia="Times New Roman" w:hAnsi="Times New Roman" w:cs="Times New Roman"/>
      <w:lang w:val="es-MX"/>
    </w:rPr>
  </w:style>
  <w:style w:type="character" w:customStyle="1" w:styleId="apple-style-span">
    <w:name w:val="apple-style-span"/>
    <w:rsid w:val="007E51DC"/>
  </w:style>
  <w:style w:type="paragraph" w:customStyle="1" w:styleId="Standard">
    <w:name w:val="Standard"/>
    <w:uiPriority w:val="99"/>
    <w:rsid w:val="007E51DC"/>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7E51DC"/>
    <w:rPr>
      <w:rFonts w:ascii="Arial" w:hAnsi="Arial" w:cs="Arial" w:hint="default"/>
      <w:b/>
      <w:bCs/>
      <w:sz w:val="18"/>
      <w:szCs w:val="18"/>
    </w:rPr>
  </w:style>
  <w:style w:type="paragraph" w:customStyle="1" w:styleId="Pa2">
    <w:name w:val="Pa2"/>
    <w:basedOn w:val="Normal"/>
    <w:next w:val="Normal"/>
    <w:uiPriority w:val="99"/>
    <w:rsid w:val="007E51DC"/>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uiPriority w:val="99"/>
    <w:rsid w:val="007E51DC"/>
    <w:pPr>
      <w:spacing w:before="100" w:beforeAutospacing="1" w:after="100" w:afterAutospacing="1"/>
    </w:pPr>
    <w:rPr>
      <w:lang w:val="es-MX"/>
    </w:rPr>
  </w:style>
  <w:style w:type="character" w:customStyle="1" w:styleId="d">
    <w:name w:val="d"/>
    <w:basedOn w:val="Fuentedeprrafopredeter"/>
    <w:rsid w:val="007E51DC"/>
  </w:style>
  <w:style w:type="character" w:customStyle="1" w:styleId="b">
    <w:name w:val="b"/>
    <w:basedOn w:val="Fuentedeprrafopredeter"/>
    <w:rsid w:val="007E51DC"/>
  </w:style>
  <w:style w:type="character" w:customStyle="1" w:styleId="k">
    <w:name w:val="k"/>
    <w:basedOn w:val="Fuentedeprrafopredeter"/>
    <w:rsid w:val="007E51DC"/>
  </w:style>
  <w:style w:type="character" w:customStyle="1" w:styleId="h">
    <w:name w:val="h"/>
    <w:basedOn w:val="Fuentedeprrafopredeter"/>
    <w:rsid w:val="007E51DC"/>
  </w:style>
  <w:style w:type="character" w:styleId="CitaHTML">
    <w:name w:val="HTML Cite"/>
    <w:uiPriority w:val="99"/>
    <w:semiHidden/>
    <w:unhideWhenUsed/>
    <w:rsid w:val="007E51DC"/>
    <w:rPr>
      <w:i/>
      <w:iCs/>
    </w:rPr>
  </w:style>
  <w:style w:type="paragraph" w:customStyle="1" w:styleId="RSCGnotaalpie">
    <w:name w:val="RSCG nota al pie"/>
    <w:basedOn w:val="Normal"/>
    <w:uiPriority w:val="99"/>
    <w:qFormat/>
    <w:rsid w:val="007E51DC"/>
    <w:pPr>
      <w:spacing w:after="120"/>
      <w:jc w:val="both"/>
    </w:pPr>
    <w:rPr>
      <w:rFonts w:ascii="Palatino" w:hAnsi="Palatino" w:cstheme="minorBidi"/>
      <w:sz w:val="22"/>
      <w:szCs w:val="22"/>
      <w:lang w:val="es-MX" w:eastAsia="en-US"/>
    </w:rPr>
  </w:style>
  <w:style w:type="character" w:customStyle="1" w:styleId="lbl-encabezado-blanco2">
    <w:name w:val="lbl-encabezado-blanco2"/>
    <w:rsid w:val="007E51DC"/>
    <w:rPr>
      <w:color w:val="FFFFFF"/>
    </w:rPr>
  </w:style>
  <w:style w:type="paragraph" w:customStyle="1" w:styleId="ANOTACION">
    <w:name w:val="ANOTACION"/>
    <w:basedOn w:val="Normal"/>
    <w:link w:val="ANOTACIONCar"/>
    <w:rsid w:val="007E51DC"/>
    <w:pPr>
      <w:spacing w:before="101" w:after="101"/>
      <w:jc w:val="center"/>
    </w:pPr>
    <w:rPr>
      <w:b/>
      <w:sz w:val="18"/>
      <w:szCs w:val="18"/>
      <w:lang w:val="es-MX"/>
    </w:rPr>
  </w:style>
  <w:style w:type="character" w:customStyle="1" w:styleId="ANOTACIONCar">
    <w:name w:val="ANOTACION Car"/>
    <w:link w:val="ANOTACION"/>
    <w:locked/>
    <w:rsid w:val="007E51DC"/>
    <w:rPr>
      <w:rFonts w:ascii="Times New Roman" w:eastAsia="Times New Roman" w:hAnsi="Times New Roman" w:cs="Times New Roman"/>
      <w:b/>
      <w:sz w:val="18"/>
      <w:szCs w:val="18"/>
      <w:lang w:val="es-MX"/>
    </w:rPr>
  </w:style>
  <w:style w:type="character" w:styleId="nfasis">
    <w:name w:val="Emphasis"/>
    <w:basedOn w:val="Fuentedeprrafopredeter"/>
    <w:uiPriority w:val="20"/>
    <w:qFormat/>
    <w:rsid w:val="007E51DC"/>
    <w:rPr>
      <w:i/>
      <w:iCs/>
    </w:rPr>
  </w:style>
  <w:style w:type="paragraph" w:styleId="Bibliografa">
    <w:name w:val="Bibliography"/>
    <w:basedOn w:val="Normal"/>
    <w:next w:val="Normal"/>
    <w:uiPriority w:val="37"/>
    <w:semiHidden/>
    <w:unhideWhenUsed/>
    <w:rsid w:val="007E51DC"/>
    <w:rPr>
      <w:lang w:val="es-MX"/>
    </w:rPr>
  </w:style>
  <w:style w:type="paragraph" w:styleId="Textocomentario">
    <w:name w:val="annotation text"/>
    <w:basedOn w:val="Normal"/>
    <w:link w:val="TextocomentarioCar"/>
    <w:uiPriority w:val="99"/>
    <w:semiHidden/>
    <w:unhideWhenUsed/>
    <w:rsid w:val="007E51DC"/>
    <w:rPr>
      <w:sz w:val="20"/>
      <w:szCs w:val="20"/>
      <w:lang w:val="es-MX"/>
    </w:rPr>
  </w:style>
  <w:style w:type="character" w:customStyle="1" w:styleId="TextocomentarioCar">
    <w:name w:val="Texto comentario Car"/>
    <w:basedOn w:val="Fuentedeprrafopredeter"/>
    <w:link w:val="Textocomentario"/>
    <w:uiPriority w:val="99"/>
    <w:semiHidden/>
    <w:rsid w:val="007E51DC"/>
    <w:rPr>
      <w:rFonts w:ascii="Times New Roman" w:eastAsia="Times New Roman" w:hAnsi="Times New Roman"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7E51DC"/>
    <w:rPr>
      <w:b/>
      <w:bCs/>
    </w:rPr>
  </w:style>
  <w:style w:type="character" w:customStyle="1" w:styleId="AsuntodelcomentarioCar">
    <w:name w:val="Asunto del comentario Car"/>
    <w:basedOn w:val="TextocomentarioCar"/>
    <w:link w:val="Asuntodelcomentario"/>
    <w:uiPriority w:val="99"/>
    <w:semiHidden/>
    <w:rsid w:val="007E51DC"/>
    <w:rPr>
      <w:rFonts w:ascii="Times New Roman" w:eastAsia="Times New Roman" w:hAnsi="Times New Roman" w:cs="Times New Roman"/>
      <w:b/>
      <w:bCs/>
      <w:sz w:val="20"/>
      <w:szCs w:val="20"/>
      <w:lang w:val="es-MX"/>
    </w:rPr>
  </w:style>
  <w:style w:type="paragraph" w:customStyle="1" w:styleId="ROMANOS">
    <w:name w:val="ROMANOS"/>
    <w:basedOn w:val="Normal"/>
    <w:link w:val="ROMANOSCar"/>
    <w:rsid w:val="007E51DC"/>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7E51DC"/>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7E51DC"/>
  </w:style>
  <w:style w:type="character" w:customStyle="1" w:styleId="Ninguno">
    <w:name w:val="Ninguno"/>
    <w:rsid w:val="007E51DC"/>
    <w:rPr>
      <w:lang w:val="es-ES_tradnl"/>
    </w:rPr>
  </w:style>
  <w:style w:type="paragraph" w:customStyle="1" w:styleId="Cuerpo">
    <w:name w:val="Cuerpo"/>
    <w:rsid w:val="007E51DC"/>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7E51DC"/>
  </w:style>
  <w:style w:type="numbering" w:customStyle="1" w:styleId="Estiloimportado1">
    <w:name w:val="Estilo importado 1"/>
    <w:rsid w:val="007E51DC"/>
  </w:style>
  <w:style w:type="paragraph" w:customStyle="1" w:styleId="INCISO">
    <w:name w:val="INCISO"/>
    <w:basedOn w:val="Normal"/>
    <w:rsid w:val="007E51DC"/>
    <w:pPr>
      <w:spacing w:after="101" w:line="216" w:lineRule="exact"/>
      <w:ind w:left="1080" w:hanging="360"/>
      <w:jc w:val="both"/>
    </w:pPr>
    <w:rPr>
      <w:rFonts w:ascii="Arial" w:hAnsi="Arial" w:cs="Arial"/>
      <w:sz w:val="18"/>
      <w:szCs w:val="18"/>
    </w:rPr>
  </w:style>
  <w:style w:type="paragraph" w:customStyle="1" w:styleId="n2">
    <w:name w:val="n2"/>
    <w:basedOn w:val="Normal"/>
    <w:rsid w:val="007E51DC"/>
    <w:pPr>
      <w:spacing w:before="100" w:beforeAutospacing="1" w:after="100" w:afterAutospacing="1"/>
    </w:pPr>
    <w:rPr>
      <w:lang w:val="es-MX"/>
    </w:rPr>
  </w:style>
  <w:style w:type="paragraph" w:customStyle="1" w:styleId="j">
    <w:name w:val="j"/>
    <w:basedOn w:val="Normal"/>
    <w:rsid w:val="007E51DC"/>
    <w:pPr>
      <w:spacing w:before="100" w:beforeAutospacing="1" w:after="100" w:afterAutospacing="1"/>
    </w:pPr>
    <w:rPr>
      <w:lang w:val="es-MX"/>
    </w:rPr>
  </w:style>
  <w:style w:type="paragraph" w:customStyle="1" w:styleId="m5212863947045306324gmail-msonormal">
    <w:name w:val="m_5212863947045306324gmail-msonormal"/>
    <w:basedOn w:val="Normal"/>
    <w:rsid w:val="007E51DC"/>
    <w:pPr>
      <w:spacing w:before="100" w:beforeAutospacing="1" w:after="100" w:afterAutospacing="1"/>
    </w:pPr>
    <w:rPr>
      <w:lang w:val="es-MX"/>
    </w:rPr>
  </w:style>
  <w:style w:type="character" w:customStyle="1" w:styleId="user-highlighted-active">
    <w:name w:val="user-highlighted-active"/>
    <w:basedOn w:val="Fuentedeprrafopredeter"/>
    <w:rsid w:val="007E51DC"/>
  </w:style>
  <w:style w:type="paragraph" w:styleId="Lista">
    <w:name w:val="List"/>
    <w:basedOn w:val="Normal"/>
    <w:uiPriority w:val="99"/>
    <w:unhideWhenUsed/>
    <w:rsid w:val="007E51DC"/>
    <w:pPr>
      <w:ind w:left="283" w:hanging="283"/>
      <w:contextualSpacing/>
    </w:pPr>
  </w:style>
  <w:style w:type="paragraph" w:styleId="Lista2">
    <w:name w:val="List 2"/>
    <w:basedOn w:val="Normal"/>
    <w:uiPriority w:val="99"/>
    <w:unhideWhenUsed/>
    <w:rsid w:val="007E51DC"/>
    <w:pPr>
      <w:ind w:left="566" w:hanging="283"/>
      <w:contextualSpacing/>
    </w:pPr>
  </w:style>
  <w:style w:type="paragraph" w:styleId="Lista3">
    <w:name w:val="List 3"/>
    <w:basedOn w:val="Normal"/>
    <w:uiPriority w:val="99"/>
    <w:unhideWhenUsed/>
    <w:rsid w:val="007E51DC"/>
    <w:pPr>
      <w:ind w:left="849" w:hanging="283"/>
      <w:contextualSpacing/>
    </w:pPr>
  </w:style>
  <w:style w:type="paragraph" w:styleId="Sangradetextonormal">
    <w:name w:val="Body Text Indent"/>
    <w:basedOn w:val="Normal"/>
    <w:link w:val="SangradetextonormalCar"/>
    <w:uiPriority w:val="99"/>
    <w:unhideWhenUsed/>
    <w:rsid w:val="007E51DC"/>
    <w:pPr>
      <w:spacing w:after="120"/>
      <w:ind w:left="283"/>
    </w:pPr>
  </w:style>
  <w:style w:type="character" w:customStyle="1" w:styleId="SangradetextonormalCar">
    <w:name w:val="Sangría de texto normal Car"/>
    <w:basedOn w:val="Fuentedeprrafopredeter"/>
    <w:link w:val="Sangradetextonormal"/>
    <w:uiPriority w:val="99"/>
    <w:rsid w:val="007E51DC"/>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7E51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E51DC"/>
    <w:rPr>
      <w:rFonts w:ascii="Times New Roman" w:eastAsia="Times New Roman" w:hAnsi="Times New Roman" w:cs="Times New Roman"/>
      <w:lang w:val="es-ES"/>
    </w:rPr>
  </w:style>
  <w:style w:type="character" w:customStyle="1" w:styleId="numberfracccentro">
    <w:name w:val="numberfracccentro"/>
    <w:basedOn w:val="Fuentedeprrafopredeter"/>
    <w:rsid w:val="007E51DC"/>
  </w:style>
  <w:style w:type="character" w:customStyle="1" w:styleId="titulorubrolgt">
    <w:name w:val="titulorubrolgt"/>
    <w:basedOn w:val="Fuentedeprrafopredeter"/>
    <w:rsid w:val="007E51DC"/>
  </w:style>
  <w:style w:type="paragraph" w:customStyle="1" w:styleId="Text">
    <w:name w:val="Text"/>
    <w:basedOn w:val="Normal"/>
    <w:link w:val="TextChar"/>
    <w:rsid w:val="007E51DC"/>
    <w:pPr>
      <w:spacing w:after="240"/>
    </w:pPr>
    <w:rPr>
      <w:szCs w:val="20"/>
      <w:lang w:val="en-US" w:eastAsia="en-US"/>
    </w:rPr>
  </w:style>
  <w:style w:type="character" w:customStyle="1" w:styleId="TextChar">
    <w:name w:val="Text Char"/>
    <w:link w:val="Text"/>
    <w:locked/>
    <w:rsid w:val="007E51DC"/>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7E51DC"/>
    <w:pPr>
      <w:spacing w:line="360" w:lineRule="auto"/>
      <w:ind w:left="709" w:right="709"/>
      <w:jc w:val="both"/>
    </w:pPr>
    <w:rPr>
      <w:rFonts w:ascii="Arial" w:hAnsi="Arial" w:cs="Arial"/>
      <w:b/>
      <w:bCs/>
      <w:i/>
      <w:iCs/>
      <w:sz w:val="30"/>
      <w:szCs w:val="30"/>
      <w:lang w:val="es-MX"/>
    </w:rPr>
  </w:style>
  <w:style w:type="paragraph" w:customStyle="1" w:styleId="xgmail-msolistparagraph">
    <w:name w:val="x_gmail-msolistparagraph"/>
    <w:basedOn w:val="Normal"/>
    <w:rsid w:val="007E51DC"/>
    <w:pPr>
      <w:spacing w:before="100" w:beforeAutospacing="1" w:after="100" w:afterAutospacing="1"/>
    </w:pPr>
    <w:rPr>
      <w:lang w:val="es-MX"/>
    </w:rPr>
  </w:style>
  <w:style w:type="numbering" w:customStyle="1" w:styleId="Sinlista1">
    <w:name w:val="Sin lista1"/>
    <w:next w:val="Sinlista"/>
    <w:uiPriority w:val="99"/>
    <w:semiHidden/>
    <w:unhideWhenUsed/>
    <w:rsid w:val="007E51DC"/>
  </w:style>
  <w:style w:type="table" w:customStyle="1" w:styleId="Tablaconcuadrcula1">
    <w:name w:val="Tabla con cuadrícula1"/>
    <w:basedOn w:val="Tablanormal"/>
    <w:next w:val="Tablaconcuadrcula"/>
    <w:uiPriority w:val="39"/>
    <w:rsid w:val="007E51D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E51DC"/>
    <w:pPr>
      <w:spacing w:after="120"/>
    </w:pPr>
    <w:rPr>
      <w:sz w:val="16"/>
      <w:szCs w:val="16"/>
      <w:lang w:val="es-MX"/>
    </w:rPr>
  </w:style>
  <w:style w:type="character" w:customStyle="1" w:styleId="Textoindependiente3Car">
    <w:name w:val="Texto independiente 3 Car"/>
    <w:basedOn w:val="Fuentedeprrafopredeter"/>
    <w:link w:val="Textoindependiente3"/>
    <w:uiPriority w:val="99"/>
    <w:semiHidden/>
    <w:rsid w:val="007E51DC"/>
    <w:rPr>
      <w:rFonts w:ascii="Times New Roman" w:eastAsia="Times New Roman" w:hAnsi="Times New Roman" w:cs="Times New Roman"/>
      <w:sz w:val="16"/>
      <w:szCs w:val="16"/>
      <w:lang w:val="es-MX"/>
    </w:rPr>
  </w:style>
  <w:style w:type="paragraph" w:customStyle="1" w:styleId="xmsonormal">
    <w:name w:val="x_msonormal"/>
    <w:basedOn w:val="Normal"/>
    <w:rsid w:val="007E51DC"/>
    <w:pPr>
      <w:spacing w:before="100" w:beforeAutospacing="1" w:after="100" w:afterAutospacing="1"/>
    </w:pPr>
    <w:rPr>
      <w:lang w:val="es-MX"/>
    </w:rPr>
  </w:style>
  <w:style w:type="numbering" w:customStyle="1" w:styleId="Sinlista2">
    <w:name w:val="Sin lista2"/>
    <w:next w:val="Sinlista"/>
    <w:uiPriority w:val="99"/>
    <w:semiHidden/>
    <w:unhideWhenUsed/>
    <w:rsid w:val="007E51DC"/>
  </w:style>
  <w:style w:type="table" w:customStyle="1" w:styleId="Tablaconcuadrcula2">
    <w:name w:val="Tabla con cuadrícula2"/>
    <w:basedOn w:val="Tablanormal"/>
    <w:next w:val="Tablaconcuadrcula"/>
    <w:uiPriority w:val="39"/>
    <w:rsid w:val="007E51D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7E51DC"/>
  </w:style>
  <w:style w:type="table" w:customStyle="1" w:styleId="Tablaconcuadrcula3">
    <w:name w:val="Tabla con cuadrícula3"/>
    <w:basedOn w:val="Tablanormal"/>
    <w:next w:val="Tablaconcuadrcula"/>
    <w:uiPriority w:val="39"/>
    <w:rsid w:val="007E51D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7E51DC"/>
  </w:style>
  <w:style w:type="table" w:customStyle="1" w:styleId="Tablaconcuadrcula4">
    <w:name w:val="Tabla con cuadrícula4"/>
    <w:basedOn w:val="Tablanormal"/>
    <w:next w:val="Tablaconcuadrcula"/>
    <w:uiPriority w:val="39"/>
    <w:rsid w:val="007E51D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7E51DC"/>
  </w:style>
  <w:style w:type="table" w:customStyle="1" w:styleId="Tablaconcuadrcula5">
    <w:name w:val="Tabla con cuadrícula5"/>
    <w:basedOn w:val="Tablanormal"/>
    <w:next w:val="Tablaconcuadrcula"/>
    <w:uiPriority w:val="39"/>
    <w:rsid w:val="007E51DC"/>
    <w:pPr>
      <w:spacing w:after="120" w:line="264" w:lineRule="auto"/>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7E51DC"/>
    <w:pPr>
      <w:widowControl w:val="0"/>
      <w:autoSpaceDE w:val="0"/>
      <w:autoSpaceDN w:val="0"/>
      <w:adjustRightInd w:val="0"/>
      <w:spacing w:after="120" w:line="264" w:lineRule="auto"/>
    </w:pPr>
    <w:rPr>
      <w:sz w:val="20"/>
      <w:szCs w:val="20"/>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uiPriority w:val="99"/>
    <w:rsid w:val="007E51DC"/>
    <w:rPr>
      <w:rFonts w:ascii="Times New Roman" w:eastAsia="Times New Roman" w:hAnsi="Times New Roman"/>
      <w:lang w:val="es-ES" w:eastAsia="es-ES"/>
    </w:rPr>
  </w:style>
  <w:style w:type="paragraph" w:styleId="Descripcin">
    <w:name w:val="caption"/>
    <w:basedOn w:val="Normal"/>
    <w:next w:val="Normal"/>
    <w:uiPriority w:val="35"/>
    <w:semiHidden/>
    <w:unhideWhenUsed/>
    <w:qFormat/>
    <w:rsid w:val="007E51DC"/>
    <w:pPr>
      <w:spacing w:after="120"/>
    </w:pPr>
    <w:rPr>
      <w:rFonts w:asciiTheme="minorHAnsi" w:eastAsiaTheme="minorEastAsia" w:hAnsiTheme="minorHAnsi" w:cstheme="minorBidi"/>
      <w:b/>
      <w:bCs/>
      <w:smallCaps/>
      <w:color w:val="595959" w:themeColor="text1" w:themeTint="A6"/>
      <w:spacing w:val="6"/>
      <w:sz w:val="20"/>
      <w:szCs w:val="20"/>
      <w:lang w:val="es-ES_tradnl"/>
    </w:rPr>
  </w:style>
  <w:style w:type="character" w:customStyle="1" w:styleId="PuestoCar">
    <w:name w:val="Puesto Car"/>
    <w:basedOn w:val="Fuentedeprrafopredeter"/>
    <w:link w:val="Puesto"/>
    <w:uiPriority w:val="10"/>
    <w:rsid w:val="007E51DC"/>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pPr>
      <w:spacing w:after="120"/>
    </w:pPr>
    <w:rPr>
      <w:rFonts w:ascii="Calibri" w:eastAsia="Calibri" w:hAnsi="Calibri" w:cs="Calibri"/>
    </w:rPr>
  </w:style>
  <w:style w:type="character" w:customStyle="1" w:styleId="SubttuloCar">
    <w:name w:val="Subtítulo Car"/>
    <w:basedOn w:val="Fuentedeprrafopredeter"/>
    <w:link w:val="Subttulo"/>
    <w:uiPriority w:val="11"/>
    <w:rsid w:val="007E51DC"/>
    <w:rPr>
      <w:rFonts w:asciiTheme="majorHAnsi" w:eastAsiaTheme="majorEastAsia" w:hAnsiTheme="majorHAnsi" w:cstheme="majorBidi"/>
    </w:rPr>
  </w:style>
  <w:style w:type="paragraph" w:styleId="Cita">
    <w:name w:val="Quote"/>
    <w:basedOn w:val="Normal"/>
    <w:next w:val="Normal"/>
    <w:link w:val="CitaCar"/>
    <w:uiPriority w:val="29"/>
    <w:qFormat/>
    <w:rsid w:val="007E51DC"/>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rPr>
  </w:style>
  <w:style w:type="character" w:customStyle="1" w:styleId="CitaCar">
    <w:name w:val="Cita Car"/>
    <w:basedOn w:val="Fuentedeprrafopredeter"/>
    <w:link w:val="Cita"/>
    <w:uiPriority w:val="29"/>
    <w:rsid w:val="007E51DC"/>
    <w:rPr>
      <w:i/>
      <w:iCs/>
      <w:color w:val="404040" w:themeColor="text1" w:themeTint="BF"/>
      <w:sz w:val="20"/>
      <w:szCs w:val="20"/>
    </w:rPr>
  </w:style>
  <w:style w:type="paragraph" w:styleId="Citadestacada">
    <w:name w:val="Intense Quote"/>
    <w:basedOn w:val="Normal"/>
    <w:next w:val="Normal"/>
    <w:link w:val="CitadestacadaCar"/>
    <w:uiPriority w:val="30"/>
    <w:qFormat/>
    <w:rsid w:val="007E51DC"/>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rPr>
  </w:style>
  <w:style w:type="character" w:customStyle="1" w:styleId="CitadestacadaCar">
    <w:name w:val="Cita destacada Car"/>
    <w:basedOn w:val="Fuentedeprrafopredeter"/>
    <w:link w:val="Citadestacada"/>
    <w:uiPriority w:val="30"/>
    <w:rsid w:val="007E51DC"/>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7E51DC"/>
    <w:rPr>
      <w:i/>
      <w:iCs/>
      <w:color w:val="404040" w:themeColor="text1" w:themeTint="BF"/>
    </w:rPr>
  </w:style>
  <w:style w:type="character" w:styleId="nfasisintenso">
    <w:name w:val="Intense Emphasis"/>
    <w:basedOn w:val="Fuentedeprrafopredeter"/>
    <w:uiPriority w:val="21"/>
    <w:qFormat/>
    <w:rsid w:val="007E51DC"/>
    <w:rPr>
      <w:b/>
      <w:bCs/>
      <w:i/>
      <w:iCs/>
    </w:rPr>
  </w:style>
  <w:style w:type="character" w:styleId="Referenciasutil">
    <w:name w:val="Subtle Reference"/>
    <w:basedOn w:val="Fuentedeprrafopredeter"/>
    <w:uiPriority w:val="31"/>
    <w:qFormat/>
    <w:rsid w:val="007E51DC"/>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E51DC"/>
    <w:rPr>
      <w:b/>
      <w:bCs/>
      <w:smallCaps/>
      <w:spacing w:val="5"/>
      <w:u w:val="single"/>
    </w:rPr>
  </w:style>
  <w:style w:type="character" w:styleId="Ttulodellibro">
    <w:name w:val="Book Title"/>
    <w:basedOn w:val="Fuentedeprrafopredeter"/>
    <w:uiPriority w:val="33"/>
    <w:qFormat/>
    <w:rsid w:val="007E51DC"/>
    <w:rPr>
      <w:b/>
      <w:bCs/>
      <w:smallCaps/>
    </w:rPr>
  </w:style>
  <w:style w:type="paragraph" w:styleId="TtulodeTDC">
    <w:name w:val="TOC Heading"/>
    <w:basedOn w:val="Ttulo1"/>
    <w:next w:val="Normal"/>
    <w:uiPriority w:val="39"/>
    <w:semiHidden/>
    <w:unhideWhenUsed/>
    <w:qFormat/>
    <w:rsid w:val="007E51DC"/>
    <w:pPr>
      <w:spacing w:before="320"/>
      <w:outlineLvl w:val="9"/>
    </w:pPr>
    <w:rPr>
      <w:lang w:val="es-ES_tradnl"/>
    </w:rPr>
  </w:style>
  <w:style w:type="character" w:customStyle="1" w:styleId="ctr">
    <w:name w:val="ctr"/>
    <w:basedOn w:val="Fuentedeprrafopredeter"/>
    <w:rsid w:val="007E51DC"/>
  </w:style>
  <w:style w:type="character" w:customStyle="1" w:styleId="date-display-single">
    <w:name w:val="date-display-single"/>
    <w:basedOn w:val="Fuentedeprrafopredeter"/>
    <w:rsid w:val="007E51DC"/>
  </w:style>
  <w:style w:type="paragraph" w:customStyle="1" w:styleId="rtecenter">
    <w:name w:val="rtecenter"/>
    <w:basedOn w:val="Normal"/>
    <w:rsid w:val="007E51DC"/>
    <w:pPr>
      <w:spacing w:before="100" w:beforeAutospacing="1" w:after="100" w:afterAutospacing="1"/>
    </w:pPr>
    <w:rPr>
      <w:lang w:val="es-MX"/>
    </w:rPr>
  </w:style>
  <w:style w:type="paragraph" w:styleId="Textonotaalfinal">
    <w:name w:val="endnote text"/>
    <w:basedOn w:val="Normal"/>
    <w:link w:val="TextonotaalfinalCar"/>
    <w:uiPriority w:val="99"/>
    <w:semiHidden/>
    <w:unhideWhenUsed/>
    <w:rsid w:val="007E51DC"/>
    <w:rPr>
      <w:rFonts w:asciiTheme="minorHAnsi" w:eastAsiaTheme="minorEastAsia" w:hAnsiTheme="minorHAnsi" w:cstheme="minorBidi"/>
      <w:sz w:val="20"/>
      <w:szCs w:val="20"/>
      <w:lang w:val="es-ES_tradnl"/>
    </w:rPr>
  </w:style>
  <w:style w:type="character" w:customStyle="1" w:styleId="TextonotaalfinalCar">
    <w:name w:val="Texto nota al final Car"/>
    <w:basedOn w:val="Fuentedeprrafopredeter"/>
    <w:link w:val="Textonotaalfinal"/>
    <w:uiPriority w:val="99"/>
    <w:semiHidden/>
    <w:rsid w:val="007E51DC"/>
    <w:rPr>
      <w:sz w:val="20"/>
      <w:szCs w:val="20"/>
    </w:rPr>
  </w:style>
  <w:style w:type="character" w:styleId="Refdenotaalfinal">
    <w:name w:val="endnote reference"/>
    <w:basedOn w:val="Fuentedeprrafopredeter"/>
    <w:uiPriority w:val="99"/>
    <w:semiHidden/>
    <w:unhideWhenUsed/>
    <w:rsid w:val="007E51DC"/>
    <w:rPr>
      <w:vertAlign w:val="superscript"/>
    </w:rPr>
  </w:style>
  <w:style w:type="numbering" w:customStyle="1" w:styleId="Sinlista11">
    <w:name w:val="Sin lista11"/>
    <w:next w:val="Sinlista"/>
    <w:uiPriority w:val="99"/>
    <w:semiHidden/>
    <w:unhideWhenUsed/>
    <w:rsid w:val="007E51DC"/>
  </w:style>
  <w:style w:type="table" w:customStyle="1" w:styleId="Tablaconcuadrcula11">
    <w:name w:val="Tabla con cuadrícula11"/>
    <w:basedOn w:val="Tablanormal"/>
    <w:next w:val="Tablaconcuadrcula"/>
    <w:uiPriority w:val="59"/>
    <w:rsid w:val="007E51D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7E51DC"/>
  </w:style>
  <w:style w:type="numbering" w:customStyle="1" w:styleId="Estiloimportado11">
    <w:name w:val="Estilo importado 11"/>
    <w:rsid w:val="007E51DC"/>
  </w:style>
  <w:style w:type="paragraph" w:customStyle="1" w:styleId="FAFunotente1">
    <w:name w:val="FA Fu?notente1"/>
    <w:basedOn w:val="Normal"/>
    <w:next w:val="Textonotapie"/>
    <w:uiPriority w:val="99"/>
    <w:rsid w:val="007E51DC"/>
    <w:rPr>
      <w:rFonts w:asciiTheme="minorHAnsi" w:eastAsia="Cambria" w:hAnsiTheme="minorHAnsi" w:cstheme="minorBidi"/>
      <w:sz w:val="20"/>
      <w:szCs w:val="20"/>
      <w:lang w:val="es-MX" w:eastAsia="en-US"/>
    </w:rPr>
  </w:style>
  <w:style w:type="table" w:customStyle="1" w:styleId="Tablaconcuadrcula111">
    <w:name w:val="Tabla con cuadrícula111"/>
    <w:basedOn w:val="Tablanormal"/>
    <w:next w:val="Tablaconcuadrcula"/>
    <w:uiPriority w:val="59"/>
    <w:rsid w:val="007E51D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9">
    <w:name w:val="Pa9"/>
    <w:basedOn w:val="Normal"/>
    <w:next w:val="Normal"/>
    <w:uiPriority w:val="99"/>
    <w:rsid w:val="007E51DC"/>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7E51DC"/>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uiPriority w:val="99"/>
    <w:rsid w:val="007E51DC"/>
    <w:pPr>
      <w:spacing w:before="100" w:beforeAutospacing="1" w:after="100" w:afterAutospacing="1"/>
    </w:pPr>
    <w:rPr>
      <w:lang w:val="es-MX"/>
    </w:rPr>
  </w:style>
  <w:style w:type="paragraph" w:customStyle="1" w:styleId="m-60081275284358516gmail-msolistparagraph">
    <w:name w:val="m_-60081275284358516gmail-msolistparagraph"/>
    <w:basedOn w:val="Normal"/>
    <w:uiPriority w:val="99"/>
    <w:rsid w:val="007E51DC"/>
    <w:pPr>
      <w:spacing w:before="100" w:beforeAutospacing="1" w:after="100" w:afterAutospacing="1"/>
    </w:pPr>
    <w:rPr>
      <w:lang w:val="es-MX"/>
    </w:rPr>
  </w:style>
  <w:style w:type="character" w:customStyle="1" w:styleId="medium">
    <w:name w:val="medium"/>
    <w:basedOn w:val="Fuentedeprrafopredeter"/>
    <w:rsid w:val="007E51DC"/>
  </w:style>
  <w:style w:type="character" w:customStyle="1" w:styleId="numeroconsecutivo">
    <w:name w:val="numeroconsecutivo"/>
    <w:basedOn w:val="Fuentedeprrafopredeter"/>
    <w:rsid w:val="007E51DC"/>
  </w:style>
  <w:style w:type="character" w:customStyle="1" w:styleId="A1">
    <w:name w:val="A1"/>
    <w:uiPriority w:val="99"/>
    <w:rsid w:val="007E51DC"/>
    <w:rPr>
      <w:rFonts w:ascii="Myriad Pro" w:hAnsi="Myriad Pro" w:cs="Myriad Pro" w:hint="default"/>
      <w:color w:val="000000"/>
      <w:sz w:val="22"/>
      <w:szCs w:val="22"/>
    </w:rPr>
  </w:style>
  <w:style w:type="character" w:customStyle="1" w:styleId="nombrefraccder">
    <w:name w:val="nombrefraccder"/>
    <w:basedOn w:val="Fuentedeprrafopredeter"/>
    <w:rsid w:val="007E51DC"/>
  </w:style>
  <w:style w:type="character" w:customStyle="1" w:styleId="numberfraccder">
    <w:name w:val="numberfraccder"/>
    <w:basedOn w:val="Fuentedeprrafopredeter"/>
    <w:rsid w:val="007E51DC"/>
  </w:style>
  <w:style w:type="character" w:customStyle="1" w:styleId="m5127500252372250437gmail-normaltextrun">
    <w:name w:val="m_5127500252372250437gmail-normaltextrun"/>
    <w:basedOn w:val="Fuentedeprrafopredeter"/>
    <w:rsid w:val="007E51DC"/>
  </w:style>
  <w:style w:type="numbering" w:customStyle="1" w:styleId="Sinlista21">
    <w:name w:val="Sin lista21"/>
    <w:next w:val="Sinlista"/>
    <w:uiPriority w:val="99"/>
    <w:semiHidden/>
    <w:unhideWhenUsed/>
    <w:rsid w:val="007E51DC"/>
  </w:style>
  <w:style w:type="table" w:customStyle="1" w:styleId="Tablaconcuadrcula21">
    <w:name w:val="Tabla con cuadrícula21"/>
    <w:basedOn w:val="Tablanormal"/>
    <w:next w:val="Tablaconcuadrcula"/>
    <w:uiPriority w:val="59"/>
    <w:rsid w:val="007E51D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7E51DC"/>
  </w:style>
  <w:style w:type="numbering" w:customStyle="1" w:styleId="Estiloimportado111">
    <w:name w:val="Estilo importado 111"/>
    <w:rsid w:val="007E51DC"/>
  </w:style>
  <w:style w:type="table" w:customStyle="1" w:styleId="Tablaconcuadrcula12">
    <w:name w:val="Tabla con cuadrícula12"/>
    <w:basedOn w:val="Tablanormal"/>
    <w:next w:val="Tablaconcuadrcula"/>
    <w:uiPriority w:val="59"/>
    <w:rsid w:val="007E51D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1">
    <w:name w:val="Sin lista31"/>
    <w:next w:val="Sinlista"/>
    <w:uiPriority w:val="99"/>
    <w:semiHidden/>
    <w:unhideWhenUsed/>
    <w:rsid w:val="007E51DC"/>
  </w:style>
  <w:style w:type="table" w:customStyle="1" w:styleId="Tablaconcuadrcula31">
    <w:name w:val="Tabla con cuadrícula31"/>
    <w:basedOn w:val="Tablanormal"/>
    <w:next w:val="Tablaconcuadrcula"/>
    <w:uiPriority w:val="39"/>
    <w:rsid w:val="007E51DC"/>
    <w:pPr>
      <w:spacing w:after="120" w:line="264" w:lineRule="auto"/>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1">
    <w:name w:val="Sin lista111"/>
    <w:next w:val="Sinlista"/>
    <w:uiPriority w:val="99"/>
    <w:semiHidden/>
    <w:unhideWhenUsed/>
    <w:rsid w:val="007E51DC"/>
  </w:style>
  <w:style w:type="table" w:customStyle="1" w:styleId="Tablaconcuadrcula13">
    <w:name w:val="Tabla con cuadrícula13"/>
    <w:basedOn w:val="Tablanormal"/>
    <w:next w:val="Tablaconcuadrcula"/>
    <w:uiPriority w:val="59"/>
    <w:rsid w:val="007E51D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7E51DC"/>
  </w:style>
  <w:style w:type="numbering" w:customStyle="1" w:styleId="Estiloimportado2111">
    <w:name w:val="Estilo importado 2111"/>
    <w:rsid w:val="007E51DC"/>
  </w:style>
  <w:style w:type="numbering" w:customStyle="1" w:styleId="Estiloimportado1111">
    <w:name w:val="Estilo importado 1111"/>
    <w:rsid w:val="007E51DC"/>
  </w:style>
  <w:style w:type="table" w:customStyle="1" w:styleId="Tablaconcuadrcula121">
    <w:name w:val="Tabla con cuadrícula121"/>
    <w:basedOn w:val="Tablanormal"/>
    <w:next w:val="Tablaconcuadrcula"/>
    <w:uiPriority w:val="59"/>
    <w:rsid w:val="007E51D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aconvietas3">
    <w:name w:val="List Bullet 3"/>
    <w:basedOn w:val="Normal"/>
    <w:uiPriority w:val="99"/>
    <w:unhideWhenUsed/>
    <w:rsid w:val="00E33A28"/>
    <w:pPr>
      <w:numPr>
        <w:numId w:val="13"/>
      </w:numPr>
      <w:contextualSpacing/>
    </w:p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6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unidaddeinformacionytransparencia@chicoloapan.gob.mx" TargetMode="External"/><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lsxQ5Ka16yghLFfbud6qFs4OIw==">AMUW2mXaeYlMCQ6x2MNAdpiOYbsNLn80xBXgbnmlbeQskXZlcjqW+1N7geeEOcLpV1HciVJb0jJWYpOCfX/nwmyOfQzmT4yTv4pvGo9RBIbl4U8KSTuaBkcoB8DilZueviN68qMmPg2+</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5BF8192-AB9C-41A3-87AC-D6694E2C0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11618</Words>
  <Characters>63903</Characters>
  <Application>Microsoft Office Word</Application>
  <DocSecurity>0</DocSecurity>
  <Lines>532</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Infoem-User</cp:lastModifiedBy>
  <cp:revision>4</cp:revision>
  <cp:lastPrinted>2022-08-05T14:27:00Z</cp:lastPrinted>
  <dcterms:created xsi:type="dcterms:W3CDTF">2022-08-04T02:37:00Z</dcterms:created>
  <dcterms:modified xsi:type="dcterms:W3CDTF">2022-08-05T14:27:00Z</dcterms:modified>
</cp:coreProperties>
</file>