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5160A"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540AB5" w:rsidRPr="00BB2D2F">
        <w:rPr>
          <w:rFonts w:ascii="Palatino Linotype" w:eastAsia="Palatino Linotype" w:hAnsi="Palatino Linotype" w:cs="Palatino Linotype"/>
          <w:b/>
        </w:rPr>
        <w:t>catorce de dic</w:t>
      </w:r>
      <w:r w:rsidRPr="00BB2D2F">
        <w:rPr>
          <w:rFonts w:ascii="Palatino Linotype" w:eastAsia="Palatino Linotype" w:hAnsi="Palatino Linotype" w:cs="Palatino Linotype"/>
          <w:b/>
        </w:rPr>
        <w:t>iembre de dos mil veintidós</w:t>
      </w:r>
      <w:r w:rsidRPr="00BB2D2F">
        <w:rPr>
          <w:rFonts w:ascii="Palatino Linotype" w:eastAsia="Palatino Linotype" w:hAnsi="Palatino Linotype" w:cs="Palatino Linotype"/>
        </w:rPr>
        <w:t xml:space="preserve">. </w:t>
      </w:r>
    </w:p>
    <w:p w14:paraId="089B4D96" w14:textId="0F032F1A"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Visto</w:t>
      </w:r>
      <w:r w:rsidRPr="00BB2D2F">
        <w:rPr>
          <w:rFonts w:ascii="Palatino Linotype" w:eastAsia="Palatino Linotype" w:hAnsi="Palatino Linotype" w:cs="Palatino Linotype"/>
        </w:rPr>
        <w:t xml:space="preserve"> el expediente formado con motivo del recurso de revisión </w:t>
      </w:r>
      <w:r w:rsidR="00540AB5" w:rsidRPr="00BB2D2F">
        <w:rPr>
          <w:rFonts w:ascii="Palatino Linotype" w:eastAsia="Palatino Linotype" w:hAnsi="Palatino Linotype" w:cs="Palatino Linotype"/>
          <w:b/>
        </w:rPr>
        <w:t>1242</w:t>
      </w:r>
      <w:r w:rsidRPr="00BB2D2F">
        <w:rPr>
          <w:rFonts w:ascii="Palatino Linotype" w:eastAsia="Palatino Linotype" w:hAnsi="Palatino Linotype" w:cs="Palatino Linotype"/>
          <w:b/>
        </w:rPr>
        <w:t>4/INFOEM/IP/RR/2022</w:t>
      </w:r>
      <w:r w:rsidRPr="00BB2D2F">
        <w:rPr>
          <w:rFonts w:ascii="Palatino Linotype" w:eastAsia="Palatino Linotype" w:hAnsi="Palatino Linotype" w:cs="Palatino Linotype"/>
        </w:rPr>
        <w:t>, interpuesto por</w:t>
      </w:r>
      <w:r w:rsidRPr="00BB2D2F">
        <w:rPr>
          <w:rFonts w:ascii="Palatino Linotype" w:eastAsia="Palatino Linotype" w:hAnsi="Palatino Linotype" w:cs="Palatino Linotype"/>
          <w:b/>
        </w:rPr>
        <w:t xml:space="preserve"> </w:t>
      </w:r>
      <w:r w:rsidR="00AD6BDE">
        <w:rPr>
          <w:rFonts w:ascii="Palatino Linotype" w:eastAsia="Palatino Linotype" w:hAnsi="Palatino Linotype" w:cs="Palatino Linotype"/>
          <w:b/>
        </w:rPr>
        <w:t xml:space="preserve">XXXX </w:t>
      </w:r>
      <w:proofErr w:type="spellStart"/>
      <w:r w:rsidR="00AD6BDE">
        <w:rPr>
          <w:rFonts w:ascii="Palatino Linotype" w:eastAsia="Palatino Linotype" w:hAnsi="Palatino Linotype" w:cs="Palatino Linotype"/>
          <w:b/>
        </w:rPr>
        <w:t>XXXX</w:t>
      </w:r>
      <w:proofErr w:type="spellEnd"/>
      <w:r w:rsidR="00AD6BDE">
        <w:rPr>
          <w:rFonts w:ascii="Palatino Linotype" w:eastAsia="Palatino Linotype" w:hAnsi="Palatino Linotype" w:cs="Palatino Linotype"/>
          <w:b/>
        </w:rPr>
        <w:t xml:space="preserve"> XXXXXX</w:t>
      </w:r>
      <w:r w:rsidRPr="00BB2D2F">
        <w:rPr>
          <w:rFonts w:ascii="Palatino Linotype" w:eastAsia="Palatino Linotype" w:hAnsi="Palatino Linotype" w:cs="Palatino Linotype"/>
          <w:b/>
        </w:rPr>
        <w:t xml:space="preserve">, </w:t>
      </w:r>
      <w:r w:rsidRPr="00BB2D2F">
        <w:rPr>
          <w:rFonts w:ascii="Palatino Linotype" w:eastAsia="Palatino Linotype" w:hAnsi="Palatino Linotype" w:cs="Palatino Linotype"/>
        </w:rPr>
        <w:t>quien en lo sucesivo</w:t>
      </w:r>
      <w:r w:rsidRPr="00BB2D2F">
        <w:rPr>
          <w:rFonts w:ascii="Palatino Linotype" w:eastAsia="Palatino Linotype" w:hAnsi="Palatino Linotype" w:cs="Palatino Linotype"/>
          <w:b/>
        </w:rPr>
        <w:t xml:space="preserve"> </w:t>
      </w:r>
      <w:r w:rsidRPr="00BB2D2F">
        <w:rPr>
          <w:rFonts w:ascii="Palatino Linotype" w:eastAsia="Palatino Linotype" w:hAnsi="Palatino Linotype" w:cs="Palatino Linotype"/>
        </w:rPr>
        <w:t xml:space="preserve">será identificado como </w:t>
      </w:r>
      <w:r w:rsidRPr="00BB2D2F">
        <w:rPr>
          <w:rFonts w:ascii="Palatino Linotype" w:eastAsia="Palatino Linotype" w:hAnsi="Palatino Linotype" w:cs="Palatino Linotype"/>
          <w:b/>
        </w:rPr>
        <w:t>el Recurrente,</w:t>
      </w:r>
      <w:r w:rsidRPr="00BB2D2F">
        <w:rPr>
          <w:rFonts w:ascii="Palatino Linotype" w:eastAsia="Palatino Linotype" w:hAnsi="Palatino Linotype" w:cs="Palatino Linotype"/>
        </w:rPr>
        <w:t xml:space="preserve"> en contra de la respuesta del </w:t>
      </w:r>
      <w:r w:rsidR="00540AB5" w:rsidRPr="00BB2D2F">
        <w:rPr>
          <w:rFonts w:ascii="Palatino Linotype" w:eastAsia="Palatino Linotype" w:hAnsi="Palatino Linotype" w:cs="Palatino Linotype"/>
          <w:b/>
        </w:rPr>
        <w:t>Ayuntamiento de Xalatlaco</w:t>
      </w:r>
      <w:r w:rsidRPr="00BB2D2F">
        <w:rPr>
          <w:rFonts w:ascii="Palatino Linotype" w:eastAsia="Palatino Linotype" w:hAnsi="Palatino Linotype" w:cs="Palatino Linotype"/>
          <w:b/>
        </w:rPr>
        <w:t xml:space="preserve">, </w:t>
      </w:r>
      <w:r w:rsidRPr="00BB2D2F">
        <w:rPr>
          <w:rFonts w:ascii="Palatino Linotype" w:eastAsia="Palatino Linotype" w:hAnsi="Palatino Linotype" w:cs="Palatino Linotype"/>
        </w:rPr>
        <w:t xml:space="preserve">en lo sucesivo el </w:t>
      </w:r>
      <w:r w:rsidRPr="00BB2D2F">
        <w:rPr>
          <w:rFonts w:ascii="Palatino Linotype" w:eastAsia="Palatino Linotype" w:hAnsi="Palatino Linotype" w:cs="Palatino Linotype"/>
          <w:b/>
        </w:rPr>
        <w:t xml:space="preserve">Sujeto Obligado, </w:t>
      </w:r>
      <w:r w:rsidRPr="00BB2D2F">
        <w:rPr>
          <w:rFonts w:ascii="Palatino Linotype" w:eastAsia="Palatino Linotype" w:hAnsi="Palatino Linotype" w:cs="Palatino Linotype"/>
        </w:rPr>
        <w:t xml:space="preserve">se procede a dictar la presente resolución con base en los siguientes: </w:t>
      </w:r>
    </w:p>
    <w:p w14:paraId="48FC1FB3" w14:textId="77777777" w:rsidR="00B13DC9" w:rsidRPr="00BB2D2F" w:rsidRDefault="00804EE6">
      <w:pPr>
        <w:spacing w:before="240" w:after="240" w:line="360" w:lineRule="auto"/>
        <w:jc w:val="center"/>
        <w:rPr>
          <w:rFonts w:ascii="Palatino Linotype" w:eastAsia="Palatino Linotype" w:hAnsi="Palatino Linotype" w:cs="Palatino Linotype"/>
          <w:b/>
          <w:sz w:val="28"/>
          <w:szCs w:val="28"/>
        </w:rPr>
      </w:pPr>
      <w:r w:rsidRPr="00BB2D2F">
        <w:rPr>
          <w:rFonts w:ascii="Palatino Linotype" w:eastAsia="Palatino Linotype" w:hAnsi="Palatino Linotype" w:cs="Palatino Linotype"/>
          <w:b/>
        </w:rPr>
        <w:t>I. A N T E C E D E N T E S</w:t>
      </w:r>
    </w:p>
    <w:p w14:paraId="0B58F650"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1. Solicitud de acceso a la información.</w:t>
      </w:r>
      <w:r w:rsidRPr="00BB2D2F">
        <w:rPr>
          <w:rFonts w:ascii="Palatino Linotype" w:eastAsia="Palatino Linotype" w:hAnsi="Palatino Linotype" w:cs="Palatino Linotype"/>
        </w:rPr>
        <w:t xml:space="preserve"> El </w:t>
      </w:r>
      <w:r w:rsidR="00540AB5" w:rsidRPr="00BB2D2F">
        <w:rPr>
          <w:rFonts w:ascii="Palatino Linotype" w:eastAsia="Palatino Linotype" w:hAnsi="Palatino Linotype" w:cs="Palatino Linotype"/>
          <w:b/>
        </w:rPr>
        <w:t>veintisiete</w:t>
      </w:r>
      <w:r w:rsidRPr="00BB2D2F">
        <w:rPr>
          <w:rFonts w:ascii="Palatino Linotype" w:eastAsia="Palatino Linotype" w:hAnsi="Palatino Linotype" w:cs="Palatino Linotype"/>
          <w:b/>
        </w:rPr>
        <w:t xml:space="preserve"> de mayo de dos mil veintidós,</w:t>
      </w:r>
      <w:r w:rsidRPr="00BB2D2F">
        <w:rPr>
          <w:rFonts w:ascii="Palatino Linotype" w:eastAsia="Palatino Linotype" w:hAnsi="Palatino Linotype" w:cs="Palatino Linotype"/>
        </w:rPr>
        <w:t xml:space="preserve"> </w:t>
      </w:r>
      <w:r w:rsidRPr="00BB2D2F">
        <w:rPr>
          <w:rFonts w:ascii="Palatino Linotype" w:eastAsia="Palatino Linotype" w:hAnsi="Palatino Linotype" w:cs="Palatino Linotype"/>
          <w:b/>
        </w:rPr>
        <w:t>el</w:t>
      </w:r>
      <w:r w:rsidRPr="00BB2D2F">
        <w:rPr>
          <w:rFonts w:ascii="Palatino Linotype" w:eastAsia="Palatino Linotype" w:hAnsi="Palatino Linotype" w:cs="Palatino Linotype"/>
        </w:rPr>
        <w:t xml:space="preserve"> </w:t>
      </w:r>
      <w:r w:rsidRPr="00BB2D2F">
        <w:rPr>
          <w:rFonts w:ascii="Palatino Linotype" w:eastAsia="Palatino Linotype" w:hAnsi="Palatino Linotype" w:cs="Palatino Linotype"/>
          <w:b/>
        </w:rPr>
        <w:t xml:space="preserve">Recurrente </w:t>
      </w:r>
      <w:r w:rsidRPr="00BB2D2F">
        <w:rPr>
          <w:rFonts w:ascii="Palatino Linotype" w:eastAsia="Palatino Linotype" w:hAnsi="Palatino Linotype" w:cs="Palatino Linotype"/>
        </w:rPr>
        <w:t>presentó a través del Sistema de Acceso a la Información Mexiquense (</w:t>
      </w:r>
      <w:r w:rsidRPr="00BB2D2F">
        <w:rPr>
          <w:rFonts w:ascii="Palatino Linotype" w:eastAsia="Palatino Linotype" w:hAnsi="Palatino Linotype" w:cs="Palatino Linotype"/>
          <w:b/>
        </w:rPr>
        <w:t>SAIMEX),</w:t>
      </w:r>
      <w:r w:rsidRPr="00BB2D2F">
        <w:rPr>
          <w:rFonts w:ascii="Palatino Linotype" w:eastAsia="Palatino Linotype" w:hAnsi="Palatino Linotype" w:cs="Palatino Linotype"/>
        </w:rPr>
        <w:t xml:space="preserve"> la solicitud de acceso a la información pública registrada con el número </w:t>
      </w:r>
      <w:r w:rsidR="00540AB5" w:rsidRPr="00BB2D2F">
        <w:rPr>
          <w:rFonts w:ascii="Palatino Linotype" w:eastAsia="Palatino Linotype" w:hAnsi="Palatino Linotype" w:cs="Palatino Linotype"/>
          <w:b/>
        </w:rPr>
        <w:t>00079/XALATLA/IP/2022</w:t>
      </w:r>
      <w:r w:rsidRPr="00BB2D2F">
        <w:rPr>
          <w:rFonts w:ascii="Palatino Linotype" w:eastAsia="Palatino Linotype" w:hAnsi="Palatino Linotype" w:cs="Palatino Linotype"/>
          <w:b/>
        </w:rPr>
        <w:t xml:space="preserve">, </w:t>
      </w:r>
      <w:r w:rsidRPr="00BB2D2F">
        <w:rPr>
          <w:rFonts w:ascii="Palatino Linotype" w:eastAsia="Palatino Linotype" w:hAnsi="Palatino Linotype" w:cs="Palatino Linotype"/>
        </w:rPr>
        <w:t xml:space="preserve">mediante la cual requirió la información siguiente: </w:t>
      </w:r>
    </w:p>
    <w:p w14:paraId="6EEE1E32" w14:textId="77777777" w:rsidR="00B13DC9" w:rsidRPr="00BB2D2F" w:rsidRDefault="00804EE6">
      <w:pPr>
        <w:spacing w:before="240" w:after="240" w:line="276" w:lineRule="auto"/>
        <w:ind w:left="567" w:right="900"/>
        <w:jc w:val="both"/>
        <w:rPr>
          <w:rFonts w:ascii="Palatino Linotype" w:eastAsia="Palatino Linotype" w:hAnsi="Palatino Linotype" w:cs="Palatino Linotype"/>
          <w:i/>
          <w:sz w:val="22"/>
          <w:szCs w:val="22"/>
        </w:rPr>
      </w:pPr>
      <w:bookmarkStart w:id="0" w:name="_heading=h.gjdgxs" w:colFirst="0" w:colLast="0"/>
      <w:bookmarkEnd w:id="0"/>
      <w:r w:rsidRPr="00BB2D2F">
        <w:rPr>
          <w:rFonts w:ascii="Palatino Linotype" w:eastAsia="Palatino Linotype" w:hAnsi="Palatino Linotype" w:cs="Palatino Linotype"/>
          <w:i/>
          <w:sz w:val="22"/>
          <w:szCs w:val="22"/>
        </w:rPr>
        <w:t>“</w:t>
      </w:r>
      <w:r w:rsidR="00540AB5" w:rsidRPr="00BB2D2F">
        <w:rPr>
          <w:rFonts w:ascii="Palatino Linotype" w:eastAsia="Palatino Linotype" w:hAnsi="Palatino Linotype" w:cs="Palatino Linotype"/>
          <w:i/>
          <w:sz w:val="22"/>
          <w:szCs w:val="22"/>
        </w:rPr>
        <w:t>Se adjunta la solicitud en PDF</w:t>
      </w:r>
      <w:r w:rsidRPr="00BB2D2F">
        <w:rPr>
          <w:rFonts w:ascii="Palatino Linotype" w:eastAsia="Palatino Linotype" w:hAnsi="Palatino Linotype" w:cs="Palatino Linotype"/>
          <w:i/>
          <w:sz w:val="22"/>
          <w:szCs w:val="22"/>
        </w:rPr>
        <w:t xml:space="preserve">” (Sic) </w:t>
      </w:r>
    </w:p>
    <w:p w14:paraId="40095AC7" w14:textId="77777777" w:rsidR="00B13DC9" w:rsidRPr="00BB2D2F" w:rsidRDefault="00804EE6">
      <w:pPr>
        <w:spacing w:before="240" w:after="240" w:line="276" w:lineRule="auto"/>
        <w:ind w:left="567" w:right="900"/>
        <w:jc w:val="both"/>
        <w:rPr>
          <w:rFonts w:ascii="Palatino Linotype" w:eastAsia="Palatino Linotype" w:hAnsi="Palatino Linotype" w:cs="Palatino Linotype"/>
          <w:b/>
          <w:sz w:val="22"/>
          <w:szCs w:val="22"/>
        </w:rPr>
      </w:pPr>
      <w:r w:rsidRPr="00BB2D2F">
        <w:rPr>
          <w:rFonts w:ascii="Palatino Linotype" w:eastAsia="Palatino Linotype" w:hAnsi="Palatino Linotype" w:cs="Palatino Linotype"/>
          <w:b/>
          <w:sz w:val="22"/>
          <w:szCs w:val="22"/>
        </w:rPr>
        <w:t xml:space="preserve">  Archivos adjuntos: </w:t>
      </w:r>
    </w:p>
    <w:p w14:paraId="41EC4C73" w14:textId="77777777" w:rsidR="00B13DC9" w:rsidRPr="00BB2D2F" w:rsidRDefault="00804EE6">
      <w:pPr>
        <w:spacing w:before="240" w:after="240" w:line="276" w:lineRule="auto"/>
        <w:ind w:left="567" w:right="900"/>
        <w:jc w:val="both"/>
        <w:rPr>
          <w:rFonts w:ascii="Palatino Linotype" w:eastAsia="Palatino Linotype" w:hAnsi="Palatino Linotype" w:cs="Palatino Linotype"/>
          <w:sz w:val="22"/>
          <w:szCs w:val="22"/>
        </w:rPr>
      </w:pPr>
      <w:r w:rsidRPr="00BB2D2F">
        <w:rPr>
          <w:rFonts w:ascii="Palatino Linotype" w:eastAsia="Palatino Linotype" w:hAnsi="Palatino Linotype" w:cs="Palatino Linotype"/>
          <w:b/>
          <w:i/>
          <w:sz w:val="22"/>
          <w:szCs w:val="22"/>
        </w:rPr>
        <w:t xml:space="preserve">   “</w:t>
      </w:r>
      <w:r w:rsidR="008F1C29" w:rsidRPr="00BB2D2F">
        <w:rPr>
          <w:rFonts w:ascii="Palatino Linotype" w:eastAsia="Palatino Linotype" w:hAnsi="Palatino Linotype" w:cs="Palatino Linotype"/>
          <w:b/>
          <w:i/>
          <w:sz w:val="22"/>
          <w:szCs w:val="22"/>
        </w:rPr>
        <w:t>SAI Xalatlaco.pdf</w:t>
      </w:r>
      <w:r w:rsidRPr="00BB2D2F">
        <w:rPr>
          <w:rFonts w:ascii="Palatino Linotype" w:eastAsia="Palatino Linotype" w:hAnsi="Palatino Linotype" w:cs="Palatino Linotype"/>
          <w:b/>
          <w:i/>
          <w:sz w:val="22"/>
          <w:szCs w:val="22"/>
        </w:rPr>
        <w:t xml:space="preserve">”: </w:t>
      </w:r>
      <w:r w:rsidRPr="00BB2D2F">
        <w:rPr>
          <w:rFonts w:ascii="Palatino Linotype" w:eastAsia="Palatino Linotype" w:hAnsi="Palatino Linotype" w:cs="Palatino Linotype"/>
          <w:sz w:val="22"/>
          <w:szCs w:val="22"/>
        </w:rPr>
        <w:t xml:space="preserve">Archivo de dos fojas que contiene lo siguiente: </w:t>
      </w:r>
    </w:p>
    <w:p w14:paraId="213DAE8C" w14:textId="77777777" w:rsidR="00B13DC9" w:rsidRPr="00BB2D2F" w:rsidRDefault="00804EE6">
      <w:pPr>
        <w:spacing w:before="240" w:after="240" w:line="276" w:lineRule="auto"/>
        <w:ind w:left="567" w:right="900"/>
        <w:jc w:val="both"/>
        <w:rPr>
          <w:rFonts w:ascii="Palatino Linotype" w:eastAsia="Palatino Linotype" w:hAnsi="Palatino Linotype" w:cs="Palatino Linotype"/>
          <w:sz w:val="22"/>
          <w:szCs w:val="22"/>
        </w:rPr>
      </w:pPr>
      <w:r w:rsidRPr="00BB2D2F">
        <w:rPr>
          <w:rFonts w:ascii="Palatino Linotype" w:eastAsia="Palatino Linotype" w:hAnsi="Palatino Linotype" w:cs="Palatino Linotype"/>
          <w:sz w:val="22"/>
          <w:szCs w:val="22"/>
        </w:rPr>
        <w:t xml:space="preserve">  </w:t>
      </w:r>
    </w:p>
    <w:p w14:paraId="565DF15F" w14:textId="77777777" w:rsidR="00B13DC9" w:rsidRPr="00BB2D2F" w:rsidRDefault="00B13DC9">
      <w:pPr>
        <w:spacing w:before="240" w:after="240" w:line="276" w:lineRule="auto"/>
        <w:ind w:left="567" w:right="900"/>
        <w:jc w:val="both"/>
        <w:rPr>
          <w:rFonts w:ascii="Palatino Linotype" w:eastAsia="Palatino Linotype" w:hAnsi="Palatino Linotype" w:cs="Palatino Linotype"/>
          <w:sz w:val="22"/>
          <w:szCs w:val="22"/>
        </w:rPr>
      </w:pPr>
    </w:p>
    <w:p w14:paraId="6D01B269" w14:textId="77777777" w:rsidR="00B13DC9" w:rsidRPr="00BB2D2F" w:rsidRDefault="00B13DC9">
      <w:pPr>
        <w:spacing w:before="240" w:after="240" w:line="360" w:lineRule="auto"/>
        <w:jc w:val="both"/>
        <w:rPr>
          <w:rFonts w:ascii="Palatino Linotype" w:eastAsia="Palatino Linotype" w:hAnsi="Palatino Linotype" w:cs="Palatino Linotype"/>
          <w:b/>
        </w:rPr>
      </w:pPr>
    </w:p>
    <w:p w14:paraId="75264B5F" w14:textId="77777777" w:rsidR="008F1C29" w:rsidRPr="00BB2D2F" w:rsidRDefault="008F1C29" w:rsidP="008F1C29">
      <w:pPr>
        <w:spacing w:before="240" w:after="240" w:line="360" w:lineRule="auto"/>
        <w:jc w:val="center"/>
        <w:rPr>
          <w:rFonts w:ascii="Palatino Linotype" w:eastAsia="Palatino Linotype" w:hAnsi="Palatino Linotype" w:cs="Palatino Linotype"/>
          <w:b/>
        </w:rPr>
      </w:pPr>
      <w:r w:rsidRPr="00BB2D2F">
        <w:rPr>
          <w:rFonts w:ascii="Palatino Linotype" w:eastAsia="Palatino Linotype" w:hAnsi="Palatino Linotype" w:cs="Palatino Linotype"/>
          <w:b/>
          <w:noProof/>
          <w:lang w:val="es-MX"/>
        </w:rPr>
        <w:lastRenderedPageBreak/>
        <w:drawing>
          <wp:inline distT="0" distB="0" distL="0" distR="0" wp14:anchorId="3F9B97DF" wp14:editId="4F1E0BFF">
            <wp:extent cx="5653663" cy="7410450"/>
            <wp:effectExtent l="19050" t="19050" r="2349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1576" cy="7420822"/>
                    </a:xfrm>
                    <a:prstGeom prst="rect">
                      <a:avLst/>
                    </a:prstGeom>
                    <a:ln>
                      <a:solidFill>
                        <a:schemeClr val="tx1"/>
                      </a:solidFill>
                    </a:ln>
                  </pic:spPr>
                </pic:pic>
              </a:graphicData>
            </a:graphic>
          </wp:inline>
        </w:drawing>
      </w:r>
    </w:p>
    <w:p w14:paraId="592664A3" w14:textId="77777777" w:rsidR="008F1C29" w:rsidRPr="00BB2D2F" w:rsidRDefault="008F1C29">
      <w:pPr>
        <w:spacing w:before="240" w:after="240" w:line="360" w:lineRule="auto"/>
        <w:jc w:val="both"/>
        <w:rPr>
          <w:rFonts w:ascii="Palatino Linotype" w:eastAsia="Palatino Linotype" w:hAnsi="Palatino Linotype" w:cs="Palatino Linotype"/>
          <w:b/>
        </w:rPr>
      </w:pPr>
      <w:r w:rsidRPr="00BB2D2F">
        <w:rPr>
          <w:rFonts w:ascii="Palatino Linotype" w:eastAsia="Palatino Linotype" w:hAnsi="Palatino Linotype" w:cs="Palatino Linotype"/>
          <w:b/>
          <w:noProof/>
          <w:lang w:val="es-MX"/>
        </w:rPr>
        <w:lastRenderedPageBreak/>
        <w:drawing>
          <wp:inline distT="0" distB="0" distL="0" distR="0" wp14:anchorId="4EBF0223" wp14:editId="10C1E404">
            <wp:extent cx="5077534" cy="4315427"/>
            <wp:effectExtent l="19050" t="19050" r="2794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7534" cy="4315427"/>
                    </a:xfrm>
                    <a:prstGeom prst="rect">
                      <a:avLst/>
                    </a:prstGeom>
                    <a:ln>
                      <a:solidFill>
                        <a:schemeClr val="tx1"/>
                      </a:solidFill>
                    </a:ln>
                  </pic:spPr>
                </pic:pic>
              </a:graphicData>
            </a:graphic>
          </wp:inline>
        </w:drawing>
      </w:r>
    </w:p>
    <w:p w14:paraId="30EF9510"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Modalidad de Entrega:</w:t>
      </w:r>
      <w:r w:rsidRPr="00BB2D2F">
        <w:rPr>
          <w:rFonts w:ascii="Palatino Linotype" w:eastAsia="Palatino Linotype" w:hAnsi="Palatino Linotype" w:cs="Palatino Linotype"/>
        </w:rPr>
        <w:t xml:space="preserve"> A través del </w:t>
      </w:r>
      <w:r w:rsidRPr="00BB2D2F">
        <w:rPr>
          <w:rFonts w:ascii="Palatino Linotype" w:eastAsia="Palatino Linotype" w:hAnsi="Palatino Linotype" w:cs="Palatino Linotype"/>
          <w:b/>
        </w:rPr>
        <w:t xml:space="preserve">Sistema de Acceso a la Información Mexiquense (SAIMEX), correo electrónico, mecanismo de almacenamiento y sincronización de archivos. </w:t>
      </w:r>
    </w:p>
    <w:p w14:paraId="7236441A"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 xml:space="preserve">2. Respuesta. </w:t>
      </w:r>
      <w:r w:rsidRPr="00BB2D2F">
        <w:rPr>
          <w:rFonts w:ascii="Palatino Linotype" w:eastAsia="Palatino Linotype" w:hAnsi="Palatino Linotype" w:cs="Palatino Linotype"/>
        </w:rPr>
        <w:t xml:space="preserve"> El </w:t>
      </w:r>
      <w:r w:rsidR="008F1C29" w:rsidRPr="00BB2D2F">
        <w:rPr>
          <w:rFonts w:ascii="Palatino Linotype" w:eastAsia="Palatino Linotype" w:hAnsi="Palatino Linotype" w:cs="Palatino Linotype"/>
          <w:b/>
        </w:rPr>
        <w:t>veintiuno</w:t>
      </w:r>
      <w:r w:rsidRPr="00BB2D2F">
        <w:rPr>
          <w:rFonts w:ascii="Palatino Linotype" w:eastAsia="Palatino Linotype" w:hAnsi="Palatino Linotype" w:cs="Palatino Linotype"/>
          <w:b/>
        </w:rPr>
        <w:t xml:space="preserve"> de junio de dos mil veintidós</w:t>
      </w:r>
      <w:r w:rsidRPr="00BB2D2F">
        <w:rPr>
          <w:rFonts w:ascii="Palatino Linotype" w:eastAsia="Palatino Linotype" w:hAnsi="Palatino Linotype" w:cs="Palatino Linotype"/>
        </w:rPr>
        <w:t xml:space="preserve">, 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respondió a la solicitud de acceso a la información en los términos siguientes:   </w:t>
      </w:r>
    </w:p>
    <w:p w14:paraId="26DF899D" w14:textId="77777777" w:rsidR="008F1C29" w:rsidRPr="00BB2D2F" w:rsidRDefault="00804EE6" w:rsidP="008F1C29">
      <w:pPr>
        <w:spacing w:before="240" w:after="240" w:line="276" w:lineRule="auto"/>
        <w:ind w:left="567"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w:t>
      </w:r>
      <w:r w:rsidR="008F1C29" w:rsidRPr="00BB2D2F">
        <w:rPr>
          <w:rFonts w:ascii="Palatino Linotype" w:eastAsia="Palatino Linotype" w:hAnsi="Palatino Linotype" w:cs="Palatino Linotype"/>
          <w:i/>
          <w:sz w:val="22"/>
          <w:szCs w:val="22"/>
        </w:rPr>
        <w:t xml:space="preserve">Se entrega la respuesta a lo solicitado en formato Excel y en PDF, sin </w:t>
      </w:r>
      <w:proofErr w:type="spellStart"/>
      <w:r w:rsidR="008F1C29" w:rsidRPr="00BB2D2F">
        <w:rPr>
          <w:rFonts w:ascii="Palatino Linotype" w:eastAsia="Palatino Linotype" w:hAnsi="Palatino Linotype" w:cs="Palatino Linotype"/>
          <w:i/>
          <w:sz w:val="22"/>
          <w:szCs w:val="22"/>
        </w:rPr>
        <w:t>mas</w:t>
      </w:r>
      <w:proofErr w:type="spellEnd"/>
      <w:r w:rsidR="008F1C29" w:rsidRPr="00BB2D2F">
        <w:rPr>
          <w:rFonts w:ascii="Palatino Linotype" w:eastAsia="Palatino Linotype" w:hAnsi="Palatino Linotype" w:cs="Palatino Linotype"/>
          <w:i/>
          <w:sz w:val="22"/>
          <w:szCs w:val="22"/>
        </w:rPr>
        <w:t xml:space="preserve"> por el momento me despido de usted y quedo a sus ordenes</w:t>
      </w:r>
    </w:p>
    <w:p w14:paraId="68AF22BA" w14:textId="77777777" w:rsidR="008F1C29" w:rsidRPr="00BB2D2F" w:rsidRDefault="008F1C29" w:rsidP="008F1C29">
      <w:pPr>
        <w:spacing w:before="240" w:after="240" w:line="276" w:lineRule="auto"/>
        <w:ind w:left="567"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ATENTAMENTE</w:t>
      </w:r>
    </w:p>
    <w:p w14:paraId="21D4197B" w14:textId="77777777" w:rsidR="00B13DC9" w:rsidRPr="00BB2D2F" w:rsidRDefault="008F1C29" w:rsidP="008F1C29">
      <w:pPr>
        <w:spacing w:before="240" w:after="240" w:line="276" w:lineRule="auto"/>
        <w:ind w:left="567"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lastRenderedPageBreak/>
        <w:t>JAFET HOMERO ZETINA NUÑEZ</w:t>
      </w:r>
      <w:r w:rsidR="00804EE6" w:rsidRPr="00BB2D2F">
        <w:rPr>
          <w:rFonts w:ascii="Palatino Linotype" w:eastAsia="Palatino Linotype" w:hAnsi="Palatino Linotype" w:cs="Palatino Linotype"/>
          <w:i/>
          <w:sz w:val="22"/>
          <w:szCs w:val="22"/>
        </w:rPr>
        <w:t xml:space="preserve">” (Sic) </w:t>
      </w:r>
    </w:p>
    <w:p w14:paraId="60E24A57" w14:textId="77777777" w:rsidR="00B13DC9" w:rsidRPr="00BB2D2F" w:rsidRDefault="00804EE6" w:rsidP="008F1C29">
      <w:pPr>
        <w:spacing w:before="240" w:after="240" w:line="276" w:lineRule="auto"/>
        <w:ind w:left="567" w:right="900"/>
        <w:jc w:val="both"/>
        <w:rPr>
          <w:rFonts w:ascii="Palatino Linotype" w:eastAsia="Palatino Linotype" w:hAnsi="Palatino Linotype" w:cs="Palatino Linotype"/>
          <w:b/>
          <w:sz w:val="22"/>
          <w:szCs w:val="22"/>
        </w:rPr>
      </w:pPr>
      <w:r w:rsidRPr="00BB2D2F">
        <w:rPr>
          <w:rFonts w:ascii="Palatino Linotype" w:eastAsia="Palatino Linotype" w:hAnsi="Palatino Linotype" w:cs="Palatino Linotype"/>
          <w:b/>
          <w:sz w:val="22"/>
          <w:szCs w:val="22"/>
        </w:rPr>
        <w:t xml:space="preserve">Archivos adjuntos: </w:t>
      </w:r>
    </w:p>
    <w:p w14:paraId="644AD075" w14:textId="77777777" w:rsidR="00855EDC" w:rsidRPr="00BB2D2F" w:rsidRDefault="008F1C29" w:rsidP="00855EDC">
      <w:pPr>
        <w:spacing w:before="240" w:after="240" w:line="276" w:lineRule="auto"/>
        <w:ind w:left="567" w:right="900"/>
        <w:jc w:val="both"/>
        <w:rPr>
          <w:rFonts w:ascii="Palatino Linotype" w:eastAsia="Palatino Linotype" w:hAnsi="Palatino Linotype" w:cs="Palatino Linotype"/>
          <w:szCs w:val="22"/>
        </w:rPr>
      </w:pPr>
      <w:r w:rsidRPr="00BB2D2F">
        <w:rPr>
          <w:rFonts w:ascii="Palatino Linotype" w:eastAsia="Palatino Linotype" w:hAnsi="Palatino Linotype" w:cs="Palatino Linotype"/>
          <w:b/>
          <w:i/>
          <w:sz w:val="22"/>
          <w:szCs w:val="22"/>
        </w:rPr>
        <w:t>“INCIDENCIA DELICTIVA MUNICIPAL .xlsx”</w:t>
      </w:r>
      <w:r w:rsidR="00855EDC" w:rsidRPr="00BB2D2F">
        <w:rPr>
          <w:rFonts w:ascii="Palatino Linotype" w:eastAsia="Palatino Linotype" w:hAnsi="Palatino Linotype" w:cs="Palatino Linotype"/>
          <w:b/>
          <w:i/>
          <w:sz w:val="22"/>
          <w:szCs w:val="22"/>
        </w:rPr>
        <w:t xml:space="preserve">: </w:t>
      </w:r>
      <w:r w:rsidR="00855EDC" w:rsidRPr="00BB2D2F">
        <w:rPr>
          <w:rFonts w:ascii="Palatino Linotype" w:eastAsia="Palatino Linotype" w:hAnsi="Palatino Linotype" w:cs="Palatino Linotype"/>
          <w:szCs w:val="22"/>
        </w:rPr>
        <w:t>Hoja de cálculo en formato Excel, mediante la cual se da cuenta de los hechos delictuosos suscitados en el Municipio por mes durante los años 2015-2022.</w:t>
      </w:r>
    </w:p>
    <w:p w14:paraId="252C0514" w14:textId="77777777" w:rsidR="00855EDC" w:rsidRPr="00BB2D2F" w:rsidRDefault="00855EDC" w:rsidP="008F1C29">
      <w:pPr>
        <w:spacing w:before="240" w:after="240" w:line="276" w:lineRule="auto"/>
        <w:ind w:left="567" w:right="900"/>
        <w:jc w:val="both"/>
        <w:rPr>
          <w:rFonts w:ascii="Palatino Linotype" w:eastAsia="Palatino Linotype" w:hAnsi="Palatino Linotype" w:cs="Palatino Linotype"/>
          <w:szCs w:val="22"/>
        </w:rPr>
      </w:pPr>
      <w:r w:rsidRPr="00BB2D2F">
        <w:rPr>
          <w:rFonts w:ascii="Palatino Linotype" w:eastAsia="Palatino Linotype" w:hAnsi="Palatino Linotype" w:cs="Palatino Linotype"/>
          <w:noProof/>
          <w:szCs w:val="22"/>
          <w:lang w:val="es-MX"/>
        </w:rPr>
        <w:drawing>
          <wp:inline distT="0" distB="0" distL="0" distR="0" wp14:anchorId="7955251F" wp14:editId="527E14E4">
            <wp:extent cx="5612130" cy="1438910"/>
            <wp:effectExtent l="19050" t="19050" r="26670" b="279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438910"/>
                    </a:xfrm>
                    <a:prstGeom prst="rect">
                      <a:avLst/>
                    </a:prstGeom>
                    <a:ln>
                      <a:solidFill>
                        <a:schemeClr val="tx1"/>
                      </a:solidFill>
                    </a:ln>
                  </pic:spPr>
                </pic:pic>
              </a:graphicData>
            </a:graphic>
          </wp:inline>
        </w:drawing>
      </w:r>
    </w:p>
    <w:p w14:paraId="24CB8B50" w14:textId="77777777" w:rsidR="008F1C29" w:rsidRPr="00BB2D2F" w:rsidRDefault="008F1C29" w:rsidP="008F1C29">
      <w:pPr>
        <w:spacing w:before="240" w:after="240" w:line="276" w:lineRule="auto"/>
        <w:ind w:left="567" w:right="900"/>
        <w:jc w:val="both"/>
        <w:rPr>
          <w:rFonts w:ascii="Palatino Linotype" w:eastAsia="Palatino Linotype" w:hAnsi="Palatino Linotype" w:cs="Palatino Linotype"/>
          <w:sz w:val="22"/>
          <w:szCs w:val="22"/>
        </w:rPr>
      </w:pPr>
      <w:r w:rsidRPr="00BB2D2F">
        <w:rPr>
          <w:rFonts w:ascii="Palatino Linotype" w:eastAsia="Palatino Linotype" w:hAnsi="Palatino Linotype" w:cs="Palatino Linotype"/>
          <w:b/>
          <w:i/>
          <w:sz w:val="22"/>
          <w:szCs w:val="22"/>
        </w:rPr>
        <w:t xml:space="preserve">“Respuesta079.pdf”: </w:t>
      </w:r>
      <w:r w:rsidR="00855EDC" w:rsidRPr="00BB2D2F">
        <w:rPr>
          <w:rFonts w:ascii="Palatino Linotype" w:eastAsia="Palatino Linotype" w:hAnsi="Palatino Linotype" w:cs="Palatino Linotype"/>
          <w:szCs w:val="22"/>
        </w:rPr>
        <w:t xml:space="preserve">Oficio PM/XAL/ST/086/06/2022, mediante el cual, el Secretario Técnico del Consejo Municipal de Seguridad Pública hace del conocimiento de la Titular de la Unidad de Transparencia que remite la información en medio magnético, asimismo remite la liga electrónica </w:t>
      </w:r>
      <w:hyperlink r:id="rId11" w:history="1">
        <w:r w:rsidR="00855EDC" w:rsidRPr="00BB2D2F">
          <w:rPr>
            <w:rStyle w:val="Hipervnculo"/>
            <w:rFonts w:ascii="Palatino Linotype" w:eastAsia="Palatino Linotype" w:hAnsi="Palatino Linotype" w:cs="Palatino Linotype"/>
            <w:color w:val="auto"/>
            <w:szCs w:val="22"/>
          </w:rPr>
          <w:t>https://www.gob.mx/sesnsp/acciones-y-programas/incidencia-delictiva-299891?state=published</w:t>
        </w:r>
      </w:hyperlink>
      <w:r w:rsidR="00855EDC" w:rsidRPr="00BB2D2F">
        <w:rPr>
          <w:rFonts w:ascii="Palatino Linotype" w:eastAsia="Palatino Linotype" w:hAnsi="Palatino Linotype" w:cs="Palatino Linotype"/>
          <w:szCs w:val="22"/>
        </w:rPr>
        <w:t xml:space="preserve"> en la que puede visualizar la información requerida. </w:t>
      </w:r>
    </w:p>
    <w:p w14:paraId="2FAC34A2" w14:textId="77777777" w:rsidR="00855EDC" w:rsidRPr="00BB2D2F" w:rsidRDefault="00855EDC" w:rsidP="008F1C29">
      <w:pPr>
        <w:spacing w:before="240" w:after="240" w:line="276" w:lineRule="auto"/>
        <w:ind w:left="567" w:right="900"/>
        <w:jc w:val="both"/>
        <w:rPr>
          <w:rFonts w:ascii="Palatino Linotype" w:eastAsia="Palatino Linotype" w:hAnsi="Palatino Linotype" w:cs="Palatino Linotype"/>
          <w:sz w:val="22"/>
          <w:szCs w:val="22"/>
        </w:rPr>
      </w:pPr>
      <w:r w:rsidRPr="00BB2D2F">
        <w:rPr>
          <w:rFonts w:ascii="Palatino Linotype" w:eastAsia="Palatino Linotype" w:hAnsi="Palatino Linotype" w:cs="Palatino Linotype"/>
          <w:noProof/>
          <w:sz w:val="22"/>
          <w:szCs w:val="22"/>
          <w:lang w:val="es-MX"/>
        </w:rPr>
        <w:lastRenderedPageBreak/>
        <w:drawing>
          <wp:inline distT="0" distB="0" distL="0" distR="0" wp14:anchorId="49F447C5" wp14:editId="3B721B58">
            <wp:extent cx="4530056" cy="6400800"/>
            <wp:effectExtent l="19050" t="19050" r="2349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1712" cy="6403140"/>
                    </a:xfrm>
                    <a:prstGeom prst="rect">
                      <a:avLst/>
                    </a:prstGeom>
                    <a:ln>
                      <a:solidFill>
                        <a:schemeClr val="tx1"/>
                      </a:solidFill>
                    </a:ln>
                  </pic:spPr>
                </pic:pic>
              </a:graphicData>
            </a:graphic>
          </wp:inline>
        </w:drawing>
      </w:r>
    </w:p>
    <w:p w14:paraId="7C6C0A02" w14:textId="77777777" w:rsidR="00B13DC9" w:rsidRPr="00BB2D2F" w:rsidRDefault="00804EE6">
      <w:pPr>
        <w:spacing w:before="240" w:after="240" w:line="360" w:lineRule="auto"/>
        <w:ind w:right="49"/>
        <w:jc w:val="both"/>
        <w:rPr>
          <w:rFonts w:ascii="Palatino Linotype" w:eastAsia="Palatino Linotype" w:hAnsi="Palatino Linotype" w:cs="Palatino Linotype"/>
        </w:rPr>
      </w:pPr>
      <w:r w:rsidRPr="00BB2D2F">
        <w:rPr>
          <w:rFonts w:ascii="Palatino Linotype" w:eastAsia="Palatino Linotype" w:hAnsi="Palatino Linotype" w:cs="Palatino Linotype"/>
          <w:b/>
        </w:rPr>
        <w:t xml:space="preserve">3. Interposición del recurso de revisión. </w:t>
      </w:r>
      <w:r w:rsidRPr="00BB2D2F">
        <w:rPr>
          <w:rFonts w:ascii="Palatino Linotype" w:eastAsia="Palatino Linotype" w:hAnsi="Palatino Linotype" w:cs="Palatino Linotype"/>
        </w:rPr>
        <w:t xml:space="preserve">El </w:t>
      </w:r>
      <w:r w:rsidR="00855EDC" w:rsidRPr="00BB2D2F">
        <w:rPr>
          <w:rFonts w:ascii="Palatino Linotype" w:eastAsia="Palatino Linotype" w:hAnsi="Palatino Linotype" w:cs="Palatino Linotype"/>
          <w:b/>
        </w:rPr>
        <w:t xml:space="preserve">cinco </w:t>
      </w:r>
      <w:r w:rsidRPr="00BB2D2F">
        <w:rPr>
          <w:rFonts w:ascii="Palatino Linotype" w:eastAsia="Palatino Linotype" w:hAnsi="Palatino Linotype" w:cs="Palatino Linotype"/>
          <w:b/>
        </w:rPr>
        <w:t>de</w:t>
      </w:r>
      <w:r w:rsidR="00855EDC" w:rsidRPr="00BB2D2F">
        <w:rPr>
          <w:rFonts w:ascii="Palatino Linotype" w:eastAsia="Palatino Linotype" w:hAnsi="Palatino Linotype" w:cs="Palatino Linotype"/>
          <w:b/>
        </w:rPr>
        <w:t xml:space="preserve"> jul</w:t>
      </w:r>
      <w:r w:rsidRPr="00BB2D2F">
        <w:rPr>
          <w:rFonts w:ascii="Palatino Linotype" w:eastAsia="Palatino Linotype" w:hAnsi="Palatino Linotype" w:cs="Palatino Linotype"/>
          <w:b/>
        </w:rPr>
        <w:t xml:space="preserve">io de dos mil veintidós, el Recurrente, </w:t>
      </w:r>
      <w:r w:rsidRPr="00BB2D2F">
        <w:rPr>
          <w:rFonts w:ascii="Palatino Linotype" w:eastAsia="Palatino Linotype" w:hAnsi="Palatino Linotype" w:cs="Palatino Linotype"/>
        </w:rPr>
        <w:t>inconforme con la respuesta, presentó el recurso de revisión a través del cual expresó lo siguiente:</w:t>
      </w:r>
    </w:p>
    <w:p w14:paraId="57C8E2CA" w14:textId="77777777" w:rsidR="00B13DC9" w:rsidRPr="00BB2D2F" w:rsidRDefault="00804EE6">
      <w:pPr>
        <w:spacing w:before="240" w:after="240" w:line="360" w:lineRule="auto"/>
        <w:ind w:left="567"/>
        <w:rPr>
          <w:rFonts w:ascii="Palatino Linotype" w:eastAsia="Palatino Linotype" w:hAnsi="Palatino Linotype" w:cs="Palatino Linotype"/>
          <w:b/>
        </w:rPr>
      </w:pPr>
      <w:r w:rsidRPr="00BB2D2F">
        <w:rPr>
          <w:rFonts w:ascii="Palatino Linotype" w:eastAsia="Palatino Linotype" w:hAnsi="Palatino Linotype" w:cs="Palatino Linotype"/>
          <w:b/>
        </w:rPr>
        <w:lastRenderedPageBreak/>
        <w:t>a) Acto impugnado.</w:t>
      </w:r>
    </w:p>
    <w:p w14:paraId="50B14728" w14:textId="77777777" w:rsidR="00B13DC9" w:rsidRPr="00BB2D2F" w:rsidRDefault="00804EE6">
      <w:pPr>
        <w:spacing w:before="240" w:after="240" w:line="276" w:lineRule="auto"/>
        <w:ind w:left="851"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w:t>
      </w:r>
      <w:r w:rsidR="00855EDC" w:rsidRPr="00BB2D2F">
        <w:rPr>
          <w:rFonts w:ascii="Palatino Linotype" w:eastAsia="Palatino Linotype" w:hAnsi="Palatino Linotype" w:cs="Palatino Linotype"/>
          <w:b/>
          <w:i/>
          <w:sz w:val="22"/>
          <w:szCs w:val="22"/>
          <w:u w:val="single"/>
        </w:rPr>
        <w:t>Entrega de información incompleta</w:t>
      </w:r>
      <w:r w:rsidRPr="00BB2D2F">
        <w:rPr>
          <w:rFonts w:ascii="Palatino Linotype" w:eastAsia="Palatino Linotype" w:hAnsi="Palatino Linotype" w:cs="Palatino Linotype"/>
          <w:i/>
          <w:sz w:val="22"/>
          <w:szCs w:val="22"/>
        </w:rPr>
        <w:t>” (Sic) (Énfasis añadido)</w:t>
      </w:r>
    </w:p>
    <w:p w14:paraId="3C03B953" w14:textId="77777777" w:rsidR="00B13DC9" w:rsidRPr="00BB2D2F" w:rsidRDefault="00804EE6">
      <w:pPr>
        <w:spacing w:before="240" w:after="240" w:line="360" w:lineRule="auto"/>
        <w:ind w:left="567"/>
        <w:jc w:val="both"/>
        <w:rPr>
          <w:rFonts w:ascii="Palatino Linotype" w:eastAsia="Palatino Linotype" w:hAnsi="Palatino Linotype" w:cs="Palatino Linotype"/>
          <w:b/>
        </w:rPr>
      </w:pPr>
      <w:r w:rsidRPr="00BB2D2F">
        <w:rPr>
          <w:rFonts w:ascii="Palatino Linotype" w:eastAsia="Palatino Linotype" w:hAnsi="Palatino Linotype" w:cs="Palatino Linotype"/>
          <w:b/>
        </w:rPr>
        <w:t>b) Motivos de inconformidad.</w:t>
      </w:r>
    </w:p>
    <w:p w14:paraId="75E97F4A" w14:textId="77777777" w:rsidR="00B13DC9" w:rsidRPr="00BB2D2F" w:rsidRDefault="00804EE6">
      <w:pPr>
        <w:spacing w:before="240" w:after="240" w:line="276" w:lineRule="auto"/>
        <w:ind w:left="851"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w:t>
      </w:r>
      <w:r w:rsidR="00855EDC" w:rsidRPr="00BB2D2F">
        <w:rPr>
          <w:rFonts w:ascii="Palatino Linotype" w:eastAsia="Palatino Linotype" w:hAnsi="Palatino Linotype" w:cs="Palatino Linotype"/>
          <w:i/>
          <w:sz w:val="22"/>
          <w:szCs w:val="22"/>
        </w:rPr>
        <w:t xml:space="preserve">En la respuesta recibida vía Plataforma Nacional de Transparencia (PNT), </w:t>
      </w:r>
      <w:r w:rsidR="00855EDC" w:rsidRPr="00BB2D2F">
        <w:rPr>
          <w:rFonts w:ascii="Palatino Linotype" w:eastAsia="Palatino Linotype" w:hAnsi="Palatino Linotype" w:cs="Palatino Linotype"/>
          <w:b/>
          <w:i/>
          <w:sz w:val="22"/>
          <w:szCs w:val="22"/>
          <w:u w:val="single"/>
        </w:rPr>
        <w:t>el Sujeto Obligado entrega la información de manera incompleta. Lo anterior, debido a que solo entrega un estadístico del número de delitos sucedidos en la entidad por mes, sin las características de desglose que solicité, es decir; no contiene 1) faltas administrativas, solo delitos, 2) no contiene hora de los incidentes, 3) no contiene fecha de los incidentes ni tampoco contiene 4) coordenadas y ubicación de los incidentes.</w:t>
      </w:r>
      <w:r w:rsidR="00855EDC" w:rsidRPr="00BB2D2F">
        <w:rPr>
          <w:rFonts w:ascii="Palatino Linotype" w:eastAsia="Palatino Linotype" w:hAnsi="Palatino Linotype" w:cs="Palatino Linotype"/>
          <w:i/>
          <w:sz w:val="22"/>
          <w:szCs w:val="22"/>
        </w:rPr>
        <w:t xml:space="preserve"> Por lo anterior, es mi deseo recurrir la respuesta del sujeto obligado, ya que omitió el envío de la información mencionada en el párrafo anterior. </w:t>
      </w:r>
      <w:r w:rsidR="00855EDC" w:rsidRPr="00BB2D2F">
        <w:rPr>
          <w:rFonts w:ascii="Palatino Linotype" w:eastAsia="Palatino Linotype" w:hAnsi="Palatino Linotype" w:cs="Palatino Linotype"/>
          <w:b/>
          <w:i/>
          <w:sz w:val="22"/>
          <w:szCs w:val="22"/>
          <w:u w:val="single"/>
        </w:rPr>
        <w:t xml:space="preserve">Adicionalmente, me señala que tengo la página del Secretariado Ejecutivo del Sistema Nacional de Seguridad Pública para hacer mi </w:t>
      </w:r>
      <w:proofErr w:type="gramStart"/>
      <w:r w:rsidR="00855EDC" w:rsidRPr="00BB2D2F">
        <w:rPr>
          <w:rFonts w:ascii="Palatino Linotype" w:eastAsia="Palatino Linotype" w:hAnsi="Palatino Linotype" w:cs="Palatino Linotype"/>
          <w:b/>
          <w:i/>
          <w:sz w:val="22"/>
          <w:szCs w:val="22"/>
          <w:u w:val="single"/>
        </w:rPr>
        <w:t>consulta</w:t>
      </w:r>
      <w:proofErr w:type="gramEnd"/>
      <w:r w:rsidR="00855EDC" w:rsidRPr="00BB2D2F">
        <w:rPr>
          <w:rFonts w:ascii="Palatino Linotype" w:eastAsia="Palatino Linotype" w:hAnsi="Palatino Linotype" w:cs="Palatino Linotype"/>
          <w:b/>
          <w:i/>
          <w:sz w:val="22"/>
          <w:szCs w:val="22"/>
          <w:u w:val="single"/>
        </w:rPr>
        <w:t xml:space="preserve"> pero, expresamente le establecí que dicha página no contiene el desglose que requiero, identifico que no se dio correcto trámite a mi solicitud.</w:t>
      </w:r>
      <w:r w:rsidR="00855EDC" w:rsidRPr="00BB2D2F">
        <w:rPr>
          <w:rFonts w:ascii="Palatino Linotype" w:eastAsia="Palatino Linotype" w:hAnsi="Palatino Linotype" w:cs="Palatino Linotype"/>
          <w:i/>
          <w:sz w:val="22"/>
          <w:szCs w:val="22"/>
        </w:rPr>
        <w:t xml:space="preserve"> </w:t>
      </w:r>
      <w:r w:rsidR="00855EDC" w:rsidRPr="00BB2D2F">
        <w:rPr>
          <w:rFonts w:ascii="Palatino Linotype" w:eastAsia="Palatino Linotype" w:hAnsi="Palatino Linotype" w:cs="Palatino Linotype"/>
          <w:b/>
          <w:i/>
          <w:sz w:val="22"/>
          <w:szCs w:val="22"/>
          <w:u w:val="single"/>
        </w:rPr>
        <w:t>Debo señalar que me doy por conforme con que solo me sea enviada la información del presente año 2022 pero con el desglose que solicité.</w:t>
      </w:r>
      <w:r w:rsidR="00855EDC" w:rsidRPr="00BB2D2F">
        <w:rPr>
          <w:rFonts w:ascii="Palatino Linotype" w:eastAsia="Palatino Linotype" w:hAnsi="Palatino Linotype" w:cs="Palatino Linotype"/>
          <w:i/>
          <w:sz w:val="22"/>
          <w:szCs w:val="22"/>
        </w:rPr>
        <w:t xml:space="preserve"> Considero que el sujeto obligado debe contar con los elementos y bases de datos habilitados para proporcionarme la información que solicito en virtud de los siguientes razonamientos: En primer lugar, entre las obligaciones de las entidades de seguridad pública municipales, se encuentra la de </w:t>
      </w:r>
      <w:proofErr w:type="spellStart"/>
      <w:r w:rsidR="00855EDC" w:rsidRPr="00BB2D2F">
        <w:rPr>
          <w:rFonts w:ascii="Palatino Linotype" w:eastAsia="Palatino Linotype" w:hAnsi="Palatino Linotype" w:cs="Palatino Linotype"/>
          <w:i/>
          <w:sz w:val="22"/>
          <w:szCs w:val="22"/>
        </w:rPr>
        <w:t>requisitar</w:t>
      </w:r>
      <w:proofErr w:type="spellEnd"/>
      <w:r w:rsidR="00855EDC" w:rsidRPr="00BB2D2F">
        <w:rPr>
          <w:rFonts w:ascii="Palatino Linotype" w:eastAsia="Palatino Linotype" w:hAnsi="Palatino Linotype" w:cs="Palatino Linotype"/>
          <w:i/>
          <w:sz w:val="22"/>
          <w:szCs w:val="22"/>
        </w:rPr>
        <w:t xml:space="preserve"> el Informe Policial Homologado (IPH), mismo que detalla los datos de los incidentes tanto de probables delitos como de infracciones administrativas, posteriormente, esta información debe registrarse en las bases de datos correspondientes al interior del sujeto obligado para que sea compartida entre las instancias de seguridad pública de todos los órdenes de gobierno. Lo anterior, con fundamento en la Ley General del Sistema Nacional de Seguridad Pública en sus artículos 5, fracción X y 41 fracciones I y II y en los Lineamientos para el Llenado, Entrega, Recepción, Registro, Resguardo y Consulta del Informe Policial Homologado (LIPH) publicados en el DOF el 21/02/2020. Ya establecida la obligación de </w:t>
      </w:r>
      <w:proofErr w:type="spellStart"/>
      <w:r w:rsidR="00855EDC" w:rsidRPr="00BB2D2F">
        <w:rPr>
          <w:rFonts w:ascii="Palatino Linotype" w:eastAsia="Palatino Linotype" w:hAnsi="Palatino Linotype" w:cs="Palatino Linotype"/>
          <w:i/>
          <w:sz w:val="22"/>
          <w:szCs w:val="22"/>
        </w:rPr>
        <w:t>requisitar</w:t>
      </w:r>
      <w:proofErr w:type="spellEnd"/>
      <w:r w:rsidR="00855EDC" w:rsidRPr="00BB2D2F">
        <w:rPr>
          <w:rFonts w:ascii="Palatino Linotype" w:eastAsia="Palatino Linotype" w:hAnsi="Palatino Linotype" w:cs="Palatino Linotype"/>
          <w:i/>
          <w:sz w:val="22"/>
          <w:szCs w:val="22"/>
        </w:rPr>
        <w:t xml:space="preserve"> el IPH, los LIPH establecen que este; es “el medio a través del cual los integrantes </w:t>
      </w:r>
      <w:r w:rsidR="00855EDC" w:rsidRPr="00BB2D2F">
        <w:rPr>
          <w:rFonts w:ascii="Palatino Linotype" w:eastAsia="Palatino Linotype" w:hAnsi="Palatino Linotype" w:cs="Palatino Linotype"/>
          <w:i/>
          <w:sz w:val="22"/>
          <w:szCs w:val="22"/>
        </w:rPr>
        <w:lastRenderedPageBreak/>
        <w:t xml:space="preserve">de las instituciones policiales documentan la información relacionada con las puestas a disposición de personas y/o de objetos derivados de su intervención, a las autoridades competentes.” Dentro de los mismos lineamientos, en el Lineamiento Segundo. Glosario de Términos en su fracción IX se define a las instituciones policiales, las cuales encuadran dentro de las áreas encargadas de la seguridad pública del sujeto obligado. En consonancia con lo anterior, la obligación de entregar y registrar la información del IPH por parte de los responsables en el sujeto obligado, se expresa en los Lineamientos Décimo Tercero. Entrega y Recepción del IPH y Décimo Cuarto. Registro de la Información en la Base de Datos del IPH de los LIPH. Ahora bien, dentro del IPH y las bases de datos generadas, se encuentra la información la cual el Sujeto Obligado ha omitido entregar, ya que el Lineamiento Décimo Primero. Llenado del IPH, detalla el contenido del IPH tanto para los formatos sobre hechos probablemente delictivos como para las infracciones administrativas, donde se ubica la información de mi interés. </w:t>
      </w:r>
      <w:r w:rsidR="00855EDC" w:rsidRPr="00BB2D2F">
        <w:rPr>
          <w:rFonts w:ascii="Palatino Linotype" w:eastAsia="Palatino Linotype" w:hAnsi="Palatino Linotype" w:cs="Palatino Linotype"/>
          <w:b/>
          <w:i/>
          <w:sz w:val="22"/>
          <w:szCs w:val="22"/>
          <w:u w:val="single"/>
        </w:rPr>
        <w:t xml:space="preserve">Es importante mencionar que no identifiqué en la respuesta el acta o mención a sesión de Comité de Transparencia que confirmara la inexistencia de la información que se omitió, por lo que no tengo certeza jurídica de que se haya realizado la búsqueda exhaustiva de la información solicitada. </w:t>
      </w:r>
      <w:r w:rsidR="00855EDC" w:rsidRPr="00BB2D2F">
        <w:rPr>
          <w:rFonts w:ascii="Palatino Linotype" w:eastAsia="Palatino Linotype" w:hAnsi="Palatino Linotype" w:cs="Palatino Linotype"/>
          <w:i/>
          <w:sz w:val="22"/>
          <w:szCs w:val="22"/>
        </w:rPr>
        <w:t>De igual manera, considero que el sujeto obligado no agota el principio de exhaustividad al no pronunciarse sobre todos los puntos de mi solicitud ni tampoco el principio de congruencia al no existir concordancia entre lo solicitado y la respuesta del sujeto obligado de acuerdo al Criterio 02/171, emitido por el Peno del Instituto Nacional de Transparencia, Acceso a la Información Pública y Protección de Datos Personales.</w:t>
      </w:r>
      <w:r w:rsidRPr="00BB2D2F">
        <w:rPr>
          <w:rFonts w:ascii="Palatino Linotype" w:eastAsia="Palatino Linotype" w:hAnsi="Palatino Linotype" w:cs="Palatino Linotype"/>
          <w:i/>
          <w:sz w:val="22"/>
          <w:szCs w:val="22"/>
        </w:rPr>
        <w:t>” (Sic) (Énfasis añadido)</w:t>
      </w:r>
    </w:p>
    <w:p w14:paraId="19C5276E"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4. Turno.</w:t>
      </w:r>
      <w:r w:rsidRPr="00BB2D2F">
        <w:rPr>
          <w:rFonts w:ascii="Palatino Linotype" w:eastAsia="Palatino Linotype" w:hAnsi="Palatino Linotype" w:cs="Palatino Linotype"/>
          <w:b/>
          <w:sz w:val="28"/>
          <w:szCs w:val="28"/>
        </w:rPr>
        <w:t xml:space="preserve"> </w:t>
      </w:r>
      <w:r w:rsidRPr="00BB2D2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BB2D2F">
        <w:rPr>
          <w:rFonts w:ascii="Palatino Linotype" w:eastAsia="Palatino Linotype" w:hAnsi="Palatino Linotype" w:cs="Palatino Linotype"/>
          <w:b/>
        </w:rPr>
        <w:t xml:space="preserve">Comisionada Guadalupe Ramírez Peña, </w:t>
      </w:r>
      <w:r w:rsidRPr="00BB2D2F">
        <w:rPr>
          <w:rFonts w:ascii="Palatino Linotype" w:eastAsia="Palatino Linotype" w:hAnsi="Palatino Linotype" w:cs="Palatino Linotype"/>
        </w:rPr>
        <w:t xml:space="preserve">a efecto de que analizara sobre su admisión o su </w:t>
      </w:r>
      <w:proofErr w:type="spellStart"/>
      <w:r w:rsidRPr="00BB2D2F">
        <w:rPr>
          <w:rFonts w:ascii="Palatino Linotype" w:eastAsia="Palatino Linotype" w:hAnsi="Palatino Linotype" w:cs="Palatino Linotype"/>
        </w:rPr>
        <w:t>desechamiento</w:t>
      </w:r>
      <w:proofErr w:type="spellEnd"/>
      <w:r w:rsidRPr="00BB2D2F">
        <w:rPr>
          <w:rFonts w:ascii="Palatino Linotype" w:eastAsia="Palatino Linotype" w:hAnsi="Palatino Linotype" w:cs="Palatino Linotype"/>
        </w:rPr>
        <w:t>.</w:t>
      </w:r>
    </w:p>
    <w:p w14:paraId="3B867004" w14:textId="77777777" w:rsidR="00B13DC9" w:rsidRPr="00BB2D2F" w:rsidRDefault="00804EE6">
      <w:pPr>
        <w:spacing w:before="240" w:after="240" w:line="360" w:lineRule="auto"/>
        <w:jc w:val="both"/>
        <w:rPr>
          <w:rFonts w:ascii="Palatino Linotype" w:eastAsia="Palatino Linotype" w:hAnsi="Palatino Linotype" w:cs="Palatino Linotype"/>
          <w:b/>
        </w:rPr>
      </w:pPr>
      <w:r w:rsidRPr="00BB2D2F">
        <w:rPr>
          <w:rFonts w:ascii="Palatino Linotype" w:eastAsia="Palatino Linotype" w:hAnsi="Palatino Linotype" w:cs="Palatino Linotype"/>
          <w:b/>
        </w:rPr>
        <w:lastRenderedPageBreak/>
        <w:t>5.</w:t>
      </w:r>
      <w:r w:rsidRPr="00BB2D2F">
        <w:rPr>
          <w:rFonts w:ascii="Palatino Linotype" w:eastAsia="Palatino Linotype" w:hAnsi="Palatino Linotype" w:cs="Palatino Linotype"/>
          <w:b/>
          <w:i/>
        </w:rPr>
        <w:t xml:space="preserve"> </w:t>
      </w:r>
      <w:r w:rsidRPr="00BB2D2F">
        <w:rPr>
          <w:rFonts w:ascii="Palatino Linotype" w:eastAsia="Palatino Linotype" w:hAnsi="Palatino Linotype" w:cs="Palatino Linotype"/>
          <w:b/>
        </w:rPr>
        <w:t>Admisión del Recurso de revisión.</w:t>
      </w:r>
      <w:r w:rsidRPr="00BB2D2F">
        <w:rPr>
          <w:rFonts w:ascii="Palatino Linotype" w:eastAsia="Palatino Linotype" w:hAnsi="Palatino Linotype" w:cs="Palatino Linotype"/>
          <w:sz w:val="28"/>
          <w:szCs w:val="28"/>
        </w:rPr>
        <w:t xml:space="preserve"> El</w:t>
      </w:r>
      <w:r w:rsidR="00855EDC" w:rsidRPr="00BB2D2F">
        <w:rPr>
          <w:rFonts w:ascii="Palatino Linotype" w:eastAsia="Palatino Linotype" w:hAnsi="Palatino Linotype" w:cs="Palatino Linotype"/>
          <w:b/>
        </w:rPr>
        <w:t xml:space="preserve"> ocho de jul</w:t>
      </w:r>
      <w:r w:rsidRPr="00BB2D2F">
        <w:rPr>
          <w:rFonts w:ascii="Palatino Linotype" w:eastAsia="Palatino Linotype" w:hAnsi="Palatino Linotype" w:cs="Palatino Linotype"/>
          <w:b/>
        </w:rPr>
        <w:t xml:space="preserve">io de dos mil veintidós, </w:t>
      </w:r>
      <w:r w:rsidRPr="00BB2D2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presentara su informe justificado.</w:t>
      </w:r>
    </w:p>
    <w:p w14:paraId="2F84271D" w14:textId="77777777" w:rsidR="00B13DC9" w:rsidRPr="00BB2D2F" w:rsidRDefault="00804EE6" w:rsidP="00992521">
      <w:pPr>
        <w:widowControl w:val="0"/>
        <w:spacing w:before="240" w:after="240" w:line="360" w:lineRule="auto"/>
        <w:jc w:val="both"/>
        <w:rPr>
          <w:rFonts w:ascii="Palatino Linotype" w:eastAsia="Palatino Linotype" w:hAnsi="Palatino Linotype" w:cs="Palatino Linotype"/>
          <w:sz w:val="22"/>
          <w:szCs w:val="22"/>
        </w:rPr>
      </w:pPr>
      <w:r w:rsidRPr="00BB2D2F">
        <w:rPr>
          <w:rFonts w:ascii="Palatino Linotype" w:eastAsia="Palatino Linotype" w:hAnsi="Palatino Linotype" w:cs="Palatino Linotype"/>
          <w:b/>
        </w:rPr>
        <w:t>6. Manifestaciones</w:t>
      </w:r>
      <w:r w:rsidRPr="00BB2D2F">
        <w:rPr>
          <w:rFonts w:ascii="Palatino Linotype" w:eastAsia="Palatino Linotype" w:hAnsi="Palatino Linotype" w:cs="Palatino Linotype"/>
        </w:rPr>
        <w:t>.</w:t>
      </w:r>
      <w:r w:rsidRPr="00BB2D2F">
        <w:rPr>
          <w:rFonts w:ascii="Palatino Linotype" w:eastAsia="Palatino Linotype" w:hAnsi="Palatino Linotype" w:cs="Palatino Linotype"/>
          <w:sz w:val="28"/>
          <w:szCs w:val="28"/>
        </w:rPr>
        <w:t xml:space="preserve"> </w:t>
      </w:r>
      <w:r w:rsidRPr="00BB2D2F">
        <w:rPr>
          <w:rFonts w:ascii="Palatino Linotype" w:eastAsia="Palatino Linotype" w:hAnsi="Palatino Linotype" w:cs="Palatino Linotype"/>
        </w:rPr>
        <w:t xml:space="preserve">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w:t>
      </w:r>
      <w:r w:rsidR="00992521" w:rsidRPr="00BB2D2F">
        <w:rPr>
          <w:rFonts w:ascii="Palatino Linotype" w:eastAsia="Palatino Linotype" w:hAnsi="Palatino Linotype" w:cs="Palatino Linotype"/>
        </w:rPr>
        <w:t>fue omiso en rendir</w:t>
      </w:r>
      <w:r w:rsidRPr="00BB2D2F">
        <w:rPr>
          <w:rFonts w:ascii="Palatino Linotype" w:eastAsia="Palatino Linotype" w:hAnsi="Palatino Linotype" w:cs="Palatino Linotype"/>
        </w:rPr>
        <w:t xml:space="preserve"> su informe justificado, asimismo por cuanto hace al particular, se advierte que no emitió manifestaciones o alegatos que a su derecho convinieran, por lo tanto, se tiene por precluido su derecho para tal efecto.</w:t>
      </w:r>
    </w:p>
    <w:p w14:paraId="7BDD5F52" w14:textId="77777777" w:rsidR="00B13DC9" w:rsidRPr="00BB2D2F" w:rsidRDefault="00992521">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noProof/>
          <w:lang w:val="es-MX"/>
        </w:rPr>
        <w:drawing>
          <wp:inline distT="0" distB="0" distL="0" distR="0" wp14:anchorId="238FE373" wp14:editId="62157C81">
            <wp:extent cx="5612130" cy="1451610"/>
            <wp:effectExtent l="19050" t="19050" r="2667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451610"/>
                    </a:xfrm>
                    <a:prstGeom prst="rect">
                      <a:avLst/>
                    </a:prstGeom>
                    <a:ln>
                      <a:solidFill>
                        <a:schemeClr val="tx1"/>
                      </a:solidFill>
                    </a:ln>
                  </pic:spPr>
                </pic:pic>
              </a:graphicData>
            </a:graphic>
          </wp:inline>
        </w:drawing>
      </w:r>
    </w:p>
    <w:p w14:paraId="769EBA2E"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 xml:space="preserve">7. Ampliación de plazo. </w:t>
      </w:r>
      <w:r w:rsidRPr="00BB2D2F">
        <w:rPr>
          <w:rFonts w:ascii="Palatino Linotype" w:eastAsia="Palatino Linotype" w:hAnsi="Palatino Linotype" w:cs="Palatino Linotype"/>
        </w:rPr>
        <w:t xml:space="preserve">El </w:t>
      </w:r>
      <w:r w:rsidR="00992521" w:rsidRPr="00BB2D2F">
        <w:rPr>
          <w:rFonts w:ascii="Palatino Linotype" w:eastAsia="Palatino Linotype" w:hAnsi="Palatino Linotype" w:cs="Palatino Linotype"/>
          <w:b/>
        </w:rPr>
        <w:t>primero</w:t>
      </w:r>
      <w:r w:rsidRPr="00BB2D2F">
        <w:rPr>
          <w:rFonts w:ascii="Palatino Linotype" w:eastAsia="Palatino Linotype" w:hAnsi="Palatino Linotype" w:cs="Palatino Linotype"/>
          <w:b/>
        </w:rPr>
        <w:t xml:space="preserve"> </w:t>
      </w:r>
      <w:r w:rsidR="00992521" w:rsidRPr="00BB2D2F">
        <w:rPr>
          <w:rFonts w:ascii="Palatino Linotype" w:eastAsia="Palatino Linotype" w:hAnsi="Palatino Linotype" w:cs="Palatino Linotype"/>
          <w:b/>
        </w:rPr>
        <w:t>de dic</w:t>
      </w:r>
      <w:r w:rsidRPr="00BB2D2F">
        <w:rPr>
          <w:rFonts w:ascii="Palatino Linotype" w:eastAsia="Palatino Linotype" w:hAnsi="Palatino Linotype" w:cs="Palatino Linotype"/>
          <w:b/>
        </w:rPr>
        <w:t>iembre de dos mil veintidós</w:t>
      </w:r>
      <w:r w:rsidRPr="00BB2D2F">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42597E68"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BB2D2F">
        <w:rPr>
          <w:rFonts w:ascii="Palatino Linotype" w:eastAsia="Palatino Linotype" w:hAnsi="Palatino Linotype" w:cs="Palatino Linotype"/>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E5333D2"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Por ello, es menester precisar </w:t>
      </w:r>
      <w:proofErr w:type="gramStart"/>
      <w:r w:rsidRPr="00BB2D2F">
        <w:rPr>
          <w:rFonts w:ascii="Palatino Linotype" w:eastAsia="Palatino Linotype" w:hAnsi="Palatino Linotype" w:cs="Palatino Linotype"/>
        </w:rPr>
        <w:t>que</w:t>
      </w:r>
      <w:proofErr w:type="gramEnd"/>
      <w:r w:rsidRPr="00BB2D2F">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8F7E989"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9C71C7D"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69CBA95"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65AEB16E" w14:textId="77777777" w:rsidR="00B13DC9" w:rsidRPr="00BB2D2F" w:rsidRDefault="00804EE6" w:rsidP="004D300F">
      <w:pPr>
        <w:numPr>
          <w:ilvl w:val="0"/>
          <w:numId w:val="4"/>
        </w:numPr>
        <w:pBdr>
          <w:top w:val="nil"/>
          <w:left w:val="nil"/>
          <w:bottom w:val="nil"/>
          <w:right w:val="nil"/>
          <w:between w:val="nil"/>
        </w:pBdr>
        <w:spacing w:before="240" w:after="240" w:line="360" w:lineRule="auto"/>
        <w:ind w:left="567" w:right="1183" w:hanging="283"/>
        <w:jc w:val="both"/>
        <w:rPr>
          <w:rFonts w:ascii="Palatino Linotype" w:eastAsia="Palatino Linotype" w:hAnsi="Palatino Linotype" w:cs="Palatino Linotype"/>
        </w:rPr>
      </w:pPr>
      <w:r w:rsidRPr="00BB2D2F">
        <w:rPr>
          <w:rFonts w:ascii="Palatino Linotype" w:eastAsia="Palatino Linotype" w:hAnsi="Palatino Linotype" w:cs="Palatino Linotype"/>
          <w:b/>
        </w:rPr>
        <w:lastRenderedPageBreak/>
        <w:t>Complejidad del Asunto:</w:t>
      </w:r>
      <w:r w:rsidRPr="00BB2D2F">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9D9B7DA" w14:textId="77777777" w:rsidR="00B13DC9" w:rsidRPr="00BB2D2F" w:rsidRDefault="00804EE6" w:rsidP="004D300F">
      <w:pPr>
        <w:numPr>
          <w:ilvl w:val="0"/>
          <w:numId w:val="4"/>
        </w:numPr>
        <w:spacing w:before="240" w:after="240" w:line="360" w:lineRule="auto"/>
        <w:ind w:left="567" w:right="1183" w:hanging="283"/>
        <w:jc w:val="both"/>
        <w:rPr>
          <w:rFonts w:ascii="Palatino Linotype" w:eastAsia="Palatino Linotype" w:hAnsi="Palatino Linotype" w:cs="Palatino Linotype"/>
        </w:rPr>
      </w:pPr>
      <w:r w:rsidRPr="00BB2D2F">
        <w:rPr>
          <w:rFonts w:ascii="Palatino Linotype" w:eastAsia="Palatino Linotype" w:hAnsi="Palatino Linotype" w:cs="Palatino Linotype"/>
          <w:b/>
        </w:rPr>
        <w:t>Actividad Procesal del interesado:</w:t>
      </w:r>
      <w:r w:rsidRPr="00BB2D2F">
        <w:rPr>
          <w:rFonts w:ascii="Palatino Linotype" w:eastAsia="Palatino Linotype" w:hAnsi="Palatino Linotype" w:cs="Palatino Linotype"/>
        </w:rPr>
        <w:t xml:space="preserve"> Acciones u omisiones del interesado.</w:t>
      </w:r>
    </w:p>
    <w:p w14:paraId="306F1FCE" w14:textId="77777777" w:rsidR="00B13DC9" w:rsidRPr="00BB2D2F" w:rsidRDefault="00804EE6" w:rsidP="004D300F">
      <w:pPr>
        <w:numPr>
          <w:ilvl w:val="0"/>
          <w:numId w:val="4"/>
        </w:numPr>
        <w:pBdr>
          <w:top w:val="nil"/>
          <w:left w:val="nil"/>
          <w:bottom w:val="nil"/>
          <w:right w:val="nil"/>
          <w:between w:val="nil"/>
        </w:pBdr>
        <w:spacing w:before="240" w:after="240" w:line="360" w:lineRule="auto"/>
        <w:ind w:left="284" w:right="1183"/>
        <w:jc w:val="both"/>
        <w:rPr>
          <w:rFonts w:ascii="Palatino Linotype" w:eastAsia="Palatino Linotype" w:hAnsi="Palatino Linotype" w:cs="Palatino Linotype"/>
        </w:rPr>
      </w:pPr>
      <w:r w:rsidRPr="00BB2D2F">
        <w:rPr>
          <w:rFonts w:ascii="Palatino Linotype" w:eastAsia="Palatino Linotype" w:hAnsi="Palatino Linotype" w:cs="Palatino Linotype"/>
          <w:b/>
        </w:rPr>
        <w:t>Conducta de la Autoridad:</w:t>
      </w:r>
      <w:r w:rsidRPr="00BB2D2F">
        <w:rPr>
          <w:rFonts w:ascii="Palatino Linotype" w:eastAsia="Palatino Linotype" w:hAnsi="Palatino Linotype" w:cs="Palatino Linotype"/>
        </w:rPr>
        <w:t xml:space="preserve"> Las Acciones u omisiones realizadas en el procedimiento. Así como si la autoridad actuó con la debida diligencia.</w:t>
      </w:r>
    </w:p>
    <w:p w14:paraId="3223F42F" w14:textId="77777777" w:rsidR="00B13DC9" w:rsidRPr="00BB2D2F" w:rsidRDefault="00804EE6">
      <w:pPr>
        <w:spacing w:before="240" w:after="240" w:line="360" w:lineRule="auto"/>
        <w:ind w:left="567" w:right="1183" w:hanging="283"/>
        <w:jc w:val="both"/>
        <w:rPr>
          <w:rFonts w:ascii="Palatino Linotype" w:eastAsia="Palatino Linotype" w:hAnsi="Palatino Linotype" w:cs="Palatino Linotype"/>
        </w:rPr>
      </w:pPr>
      <w:r w:rsidRPr="00BB2D2F">
        <w:rPr>
          <w:rFonts w:ascii="Palatino Linotype" w:eastAsia="Palatino Linotype" w:hAnsi="Palatino Linotype" w:cs="Palatino Linotype"/>
          <w:b/>
        </w:rPr>
        <w:t>d) La afectación generada en la situación jurídica de la persona involucrada en el proceso:</w:t>
      </w:r>
      <w:r w:rsidRPr="00BB2D2F">
        <w:rPr>
          <w:rFonts w:ascii="Palatino Linotype" w:eastAsia="Palatino Linotype" w:hAnsi="Palatino Linotype" w:cs="Palatino Linotype"/>
        </w:rPr>
        <w:t xml:space="preserve"> Violación a sus derechos humanos.</w:t>
      </w:r>
    </w:p>
    <w:p w14:paraId="285B7A74"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87583A3"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B2D2F">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BB2D2F">
        <w:rPr>
          <w:rFonts w:ascii="Palatino Linotype" w:eastAsia="Palatino Linotype" w:hAnsi="Palatino Linotype" w:cs="Palatino Linotype"/>
          <w:i/>
        </w:rPr>
        <w:lastRenderedPageBreak/>
        <w:t>CARACTERÍSTICAS DEL CASO.”</w:t>
      </w:r>
      <w:r w:rsidRPr="00BB2D2F">
        <w:rPr>
          <w:rFonts w:ascii="Palatino Linotype" w:eastAsia="Palatino Linotype" w:hAnsi="Palatino Linotype" w:cs="Palatino Linotype"/>
        </w:rPr>
        <w:t>, visible en la Gaceta del Seminario Judicial de la Federación con el registro digital 205635.</w:t>
      </w:r>
    </w:p>
    <w:p w14:paraId="2F47F9B4"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434109"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A22DD85"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w:t>
      </w:r>
      <w:r w:rsidRPr="00BB2D2F">
        <w:rPr>
          <w:rFonts w:ascii="Palatino Linotype" w:eastAsia="Palatino Linotype" w:hAnsi="Palatino Linotype" w:cs="Palatino Linotype"/>
          <w:i/>
        </w:rPr>
        <w:t>“PLAZO RAZONABLE PARA RESOLVER. DIMENSIÓN Y EFECTOS DE ESTE CONCEPTO CUANDO SE ADUCE EXCESIVA CARGA DE TRABAJO.”</w:t>
      </w:r>
      <w:r w:rsidRPr="00BB2D2F">
        <w:rPr>
          <w:rFonts w:ascii="Palatino Linotype" w:eastAsia="Palatino Linotype" w:hAnsi="Palatino Linotype" w:cs="Palatino Linotype"/>
        </w:rPr>
        <w:t xml:space="preserve"> consultable en el Seminario Judicial de la Federación y su gaceta, con el registro digital 2002351.</w:t>
      </w:r>
    </w:p>
    <w:p w14:paraId="56991CD8"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i/>
        </w:rPr>
        <w:t>“PLAZO RAZONABLE PARA RESOLVER. CONCEPTO Y ELEMENTOS QUE LO INTEGRAN A LA LUZ DEL DERECHO INTERNACIONAL DE LOS DERECHOS HUMANOS.”</w:t>
      </w:r>
      <w:r w:rsidRPr="00BB2D2F">
        <w:rPr>
          <w:rFonts w:ascii="Palatino Linotype" w:eastAsia="Palatino Linotype" w:hAnsi="Palatino Linotype" w:cs="Palatino Linotype"/>
        </w:rPr>
        <w:t>, visible en el Seminario Judicial de la Federación y su gaceta, con el registro digital 2002350.</w:t>
      </w:r>
    </w:p>
    <w:p w14:paraId="4AF46907"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1D6E143A"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 xml:space="preserve">8. Cierre de instrucción. </w:t>
      </w:r>
      <w:r w:rsidRPr="00BB2D2F">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D61613" w:rsidRPr="00BB2D2F">
        <w:rPr>
          <w:rFonts w:ascii="Palatino Linotype" w:eastAsia="Palatino Linotype" w:hAnsi="Palatino Linotype" w:cs="Palatino Linotype"/>
          <w:b/>
        </w:rPr>
        <w:t>siete</w:t>
      </w:r>
      <w:r w:rsidR="00992521" w:rsidRPr="00BB2D2F">
        <w:rPr>
          <w:rFonts w:ascii="Palatino Linotype" w:eastAsia="Palatino Linotype" w:hAnsi="Palatino Linotype" w:cs="Palatino Linotype"/>
          <w:b/>
        </w:rPr>
        <w:t xml:space="preserve"> de dic</w:t>
      </w:r>
      <w:r w:rsidRPr="00BB2D2F">
        <w:rPr>
          <w:rFonts w:ascii="Palatino Linotype" w:eastAsia="Palatino Linotype" w:hAnsi="Palatino Linotype" w:cs="Palatino Linotype"/>
          <w:b/>
        </w:rPr>
        <w:t>iembre de dos mil veintidós</w:t>
      </w:r>
      <w:r w:rsidRPr="00BB2D2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30AB104"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6C35A5EA" w14:textId="77777777" w:rsidR="00B13DC9" w:rsidRPr="00BB2D2F" w:rsidRDefault="00804EE6">
      <w:pPr>
        <w:widowControl w:val="0"/>
        <w:spacing w:before="240" w:after="240" w:line="360" w:lineRule="auto"/>
        <w:jc w:val="center"/>
        <w:rPr>
          <w:rFonts w:ascii="Palatino Linotype" w:eastAsia="Palatino Linotype" w:hAnsi="Palatino Linotype" w:cs="Palatino Linotype"/>
          <w:b/>
        </w:rPr>
      </w:pPr>
      <w:r w:rsidRPr="00BB2D2F">
        <w:rPr>
          <w:rFonts w:ascii="Palatino Linotype" w:eastAsia="Palatino Linotype" w:hAnsi="Palatino Linotype" w:cs="Palatino Linotype"/>
          <w:b/>
        </w:rPr>
        <w:t>II. C O N S I D E R A N D O</w:t>
      </w:r>
    </w:p>
    <w:p w14:paraId="612AFC70"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Primero. Competencia.</w:t>
      </w:r>
      <w:r w:rsidRPr="00BB2D2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BB2D2F">
        <w:rPr>
          <w:rFonts w:ascii="Palatino Linotype" w:eastAsia="Palatino Linotype" w:hAnsi="Palatino Linotype" w:cs="Palatino Linotype"/>
          <w:b/>
        </w:rPr>
        <w:t>el Recurrente</w:t>
      </w:r>
      <w:r w:rsidRPr="00BB2D2F">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9234D66" w14:textId="77777777" w:rsidR="00B13DC9" w:rsidRPr="00BB2D2F" w:rsidRDefault="00804EE6">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BB2D2F">
        <w:rPr>
          <w:rFonts w:ascii="Palatino Linotype" w:eastAsia="Palatino Linotype" w:hAnsi="Palatino Linotype" w:cs="Palatino Linotype"/>
          <w:b/>
        </w:rPr>
        <w:lastRenderedPageBreak/>
        <w:t>Segundo. Oportunidad y Procedibilidad del Recurso de Revisión</w:t>
      </w:r>
      <w:r w:rsidRPr="00BB2D2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A5D0D6E"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respondió a la solicitud de información el </w:t>
      </w:r>
      <w:r w:rsidR="00992521" w:rsidRPr="00BB2D2F">
        <w:rPr>
          <w:rFonts w:ascii="Palatino Linotype" w:eastAsia="Palatino Linotype" w:hAnsi="Palatino Linotype" w:cs="Palatino Linotype"/>
          <w:b/>
        </w:rPr>
        <w:t>veintiuno</w:t>
      </w:r>
      <w:r w:rsidRPr="00BB2D2F">
        <w:rPr>
          <w:rFonts w:ascii="Palatino Linotype" w:eastAsia="Palatino Linotype" w:hAnsi="Palatino Linotype" w:cs="Palatino Linotype"/>
          <w:b/>
        </w:rPr>
        <w:t xml:space="preserve"> de junio de dos mil veintidós, </w:t>
      </w:r>
      <w:r w:rsidRPr="00BB2D2F">
        <w:rPr>
          <w:rFonts w:ascii="Palatino Linotype" w:eastAsia="Palatino Linotype" w:hAnsi="Palatino Linotype" w:cs="Palatino Linotype"/>
        </w:rPr>
        <w:t xml:space="preserve">mientras que el recurso de revisión se interpuso el </w:t>
      </w:r>
      <w:r w:rsidR="00992521" w:rsidRPr="00BB2D2F">
        <w:rPr>
          <w:rFonts w:ascii="Palatino Linotype" w:eastAsia="Palatino Linotype" w:hAnsi="Palatino Linotype" w:cs="Palatino Linotype"/>
          <w:b/>
        </w:rPr>
        <w:t>cinco de jul</w:t>
      </w:r>
      <w:r w:rsidRPr="00BB2D2F">
        <w:rPr>
          <w:rFonts w:ascii="Palatino Linotype" w:eastAsia="Palatino Linotype" w:hAnsi="Palatino Linotype" w:cs="Palatino Linotype"/>
          <w:b/>
        </w:rPr>
        <w:t>io de dos mil veintidós</w:t>
      </w:r>
      <w:r w:rsidRPr="00BB2D2F">
        <w:rPr>
          <w:rFonts w:ascii="Palatino Linotype" w:eastAsia="Palatino Linotype" w:hAnsi="Palatino Linotype" w:cs="Palatino Linotype"/>
        </w:rPr>
        <w:t xml:space="preserve">, esto es, el </w:t>
      </w:r>
      <w:r w:rsidR="00992521" w:rsidRPr="00BB2D2F">
        <w:rPr>
          <w:rFonts w:ascii="Palatino Linotype" w:eastAsia="Palatino Linotype" w:hAnsi="Palatino Linotype" w:cs="Palatino Linotype"/>
          <w:b/>
        </w:rPr>
        <w:t>décim</w:t>
      </w:r>
      <w:r w:rsidRPr="00BB2D2F">
        <w:rPr>
          <w:rFonts w:ascii="Palatino Linotype" w:eastAsia="Palatino Linotype" w:hAnsi="Palatino Linotype" w:cs="Palatino Linotype"/>
          <w:b/>
        </w:rPr>
        <w:t>o día hábil</w:t>
      </w:r>
      <w:r w:rsidRPr="00BB2D2F">
        <w:rPr>
          <w:rFonts w:ascii="Palatino Linotype" w:eastAsia="Palatino Linotype" w:hAnsi="Palatino Linotype" w:cs="Palatino Linotype"/>
        </w:rPr>
        <w:t xml:space="preserve"> posterior en que tuvo conocimiento de la respuesta impugnada.</w:t>
      </w:r>
    </w:p>
    <w:p w14:paraId="0ED92AD4"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C4CAFC7"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Finalmente, se advierte que resulta procedente la interposición del recurso, según lo manifestado por el recurrente en sus motivos de inconformidad, de acu</w:t>
      </w:r>
      <w:r w:rsidR="00992521" w:rsidRPr="00BB2D2F">
        <w:rPr>
          <w:rFonts w:ascii="Palatino Linotype" w:eastAsia="Palatino Linotype" w:hAnsi="Palatino Linotype" w:cs="Palatino Linotype"/>
        </w:rPr>
        <w:t>erdo al artículo 179, fracción V</w:t>
      </w:r>
      <w:r w:rsidRPr="00BB2D2F">
        <w:rPr>
          <w:rFonts w:ascii="Palatino Linotype" w:eastAsia="Palatino Linotype" w:hAnsi="Palatino Linotype" w:cs="Palatino Linotype"/>
        </w:rPr>
        <w:t xml:space="preserve"> del ordenamiento legal citado, que a la letra dice: </w:t>
      </w:r>
    </w:p>
    <w:p w14:paraId="650037F0" w14:textId="77777777" w:rsidR="00B13DC9" w:rsidRPr="00BB2D2F" w:rsidRDefault="00804EE6">
      <w:pPr>
        <w:tabs>
          <w:tab w:val="left" w:pos="7088"/>
        </w:tabs>
        <w:spacing w:before="240" w:after="240" w:line="276" w:lineRule="auto"/>
        <w:ind w:left="851"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w:t>
      </w:r>
      <w:r w:rsidRPr="00BB2D2F">
        <w:rPr>
          <w:rFonts w:ascii="Palatino Linotype" w:eastAsia="Palatino Linotype" w:hAnsi="Palatino Linotype" w:cs="Palatino Linotype"/>
          <w:b/>
          <w:i/>
          <w:sz w:val="22"/>
          <w:szCs w:val="22"/>
        </w:rPr>
        <w:t>Artículo 179.</w:t>
      </w:r>
      <w:r w:rsidRPr="00BB2D2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46ED970" w14:textId="77777777" w:rsidR="00B13DC9" w:rsidRPr="00BB2D2F" w:rsidRDefault="00804EE6">
      <w:pPr>
        <w:tabs>
          <w:tab w:val="left" w:pos="7088"/>
        </w:tabs>
        <w:spacing w:before="240" w:after="240" w:line="276" w:lineRule="auto"/>
        <w:ind w:left="851"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w:t>
      </w:r>
    </w:p>
    <w:p w14:paraId="3B988311" w14:textId="77777777" w:rsidR="00992521" w:rsidRPr="00BB2D2F" w:rsidRDefault="00804EE6" w:rsidP="00992521">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BB2D2F">
        <w:rPr>
          <w:rFonts w:ascii="Palatino Linotype" w:eastAsia="Palatino Linotype" w:hAnsi="Palatino Linotype" w:cs="Palatino Linotype"/>
          <w:b/>
          <w:i/>
          <w:sz w:val="22"/>
          <w:szCs w:val="22"/>
        </w:rPr>
        <w:lastRenderedPageBreak/>
        <w:t>V. La entrega de información incompleta;</w:t>
      </w:r>
    </w:p>
    <w:p w14:paraId="64E8F3CC" w14:textId="77777777" w:rsidR="00B13DC9" w:rsidRPr="00BB2D2F" w:rsidRDefault="00992521" w:rsidP="00992521">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BB2D2F">
        <w:rPr>
          <w:rFonts w:ascii="Palatino Linotype" w:eastAsia="Palatino Linotype" w:hAnsi="Palatino Linotype" w:cs="Palatino Linotype"/>
          <w:b/>
          <w:i/>
          <w:sz w:val="22"/>
          <w:szCs w:val="22"/>
        </w:rPr>
        <w:t>…</w:t>
      </w:r>
      <w:r w:rsidR="00804EE6" w:rsidRPr="00BB2D2F">
        <w:rPr>
          <w:rFonts w:ascii="Palatino Linotype" w:eastAsia="Palatino Linotype" w:hAnsi="Palatino Linotype" w:cs="Palatino Linotype"/>
          <w:i/>
          <w:sz w:val="22"/>
          <w:szCs w:val="22"/>
        </w:rPr>
        <w:t>”</w:t>
      </w:r>
    </w:p>
    <w:p w14:paraId="57DDC408" w14:textId="77777777" w:rsidR="00B13DC9" w:rsidRPr="00BB2D2F" w:rsidRDefault="00804EE6">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(Énfasis añadido)</w:t>
      </w:r>
    </w:p>
    <w:p w14:paraId="71B64876"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 xml:space="preserve">Tercero. Materia de la revisión. </w:t>
      </w:r>
      <w:r w:rsidRPr="00BB2D2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B2D2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B2D2F">
        <w:rPr>
          <w:rFonts w:ascii="Palatino Linotype" w:eastAsia="Palatino Linotype" w:hAnsi="Palatino Linotype" w:cs="Palatino Linotype"/>
        </w:rPr>
        <w:t xml:space="preserve">del </w:t>
      </w:r>
      <w:r w:rsidRPr="00BB2D2F">
        <w:rPr>
          <w:rFonts w:ascii="Palatino Linotype" w:eastAsia="Palatino Linotype" w:hAnsi="Palatino Linotype" w:cs="Palatino Linotype"/>
          <w:b/>
        </w:rPr>
        <w:t>Recurrente,</w:t>
      </w:r>
      <w:r w:rsidRPr="00BB2D2F">
        <w:rPr>
          <w:rFonts w:ascii="Palatino Linotype" w:eastAsia="Palatino Linotype" w:hAnsi="Palatino Linotype" w:cs="Palatino Linotype"/>
        </w:rPr>
        <w:t xml:space="preserve"> o en su defecto, en caso de ser procedente, ordenar la entrega de información oportuna.</w:t>
      </w:r>
    </w:p>
    <w:p w14:paraId="7906C3BC" w14:textId="77777777" w:rsidR="00B13DC9" w:rsidRPr="00BB2D2F" w:rsidRDefault="00804EE6">
      <w:pPr>
        <w:pBdr>
          <w:top w:val="nil"/>
          <w:left w:val="nil"/>
          <w:bottom w:val="nil"/>
          <w:right w:val="nil"/>
          <w:between w:val="nil"/>
        </w:pBdr>
        <w:spacing w:before="240" w:after="240" w:line="360" w:lineRule="auto"/>
        <w:jc w:val="both"/>
      </w:pPr>
      <w:r w:rsidRPr="00BB2D2F">
        <w:rPr>
          <w:rFonts w:ascii="Palatino Linotype" w:eastAsia="Palatino Linotype" w:hAnsi="Palatino Linotype" w:cs="Palatino Linotype"/>
          <w:b/>
        </w:rPr>
        <w:t xml:space="preserve">Cuarto. Estudio del asunto. </w:t>
      </w:r>
      <w:r w:rsidRPr="00BB2D2F">
        <w:rPr>
          <w:rFonts w:ascii="Palatino Linotype" w:eastAsia="Palatino Linotype" w:hAnsi="Palatino Linotype" w:cs="Palatino Linotype"/>
        </w:rPr>
        <w:t xml:space="preserve">Antes de entrar al análisis de los pronunciamientos del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39000A8" w14:textId="77777777" w:rsidR="00B13DC9" w:rsidRPr="00BB2D2F" w:rsidRDefault="00804EE6">
      <w:pPr>
        <w:pBdr>
          <w:top w:val="nil"/>
          <w:left w:val="nil"/>
          <w:bottom w:val="nil"/>
          <w:right w:val="nil"/>
          <w:between w:val="nil"/>
        </w:pBdr>
        <w:spacing w:before="240" w:after="240"/>
        <w:ind w:left="851" w:right="850"/>
        <w:jc w:val="both"/>
      </w:pPr>
      <w:r w:rsidRPr="00BB2D2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B2D2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675DC2A" w14:textId="77777777" w:rsidR="00B13DC9" w:rsidRPr="00BB2D2F" w:rsidRDefault="00804EE6">
      <w:pPr>
        <w:pBdr>
          <w:top w:val="nil"/>
          <w:left w:val="nil"/>
          <w:bottom w:val="nil"/>
          <w:right w:val="nil"/>
          <w:between w:val="nil"/>
        </w:pBdr>
        <w:spacing w:before="240" w:after="240"/>
        <w:ind w:left="851" w:right="850"/>
        <w:jc w:val="both"/>
      </w:pPr>
      <w:r w:rsidRPr="00BB2D2F">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sidRPr="00BB2D2F">
        <w:rPr>
          <w:rFonts w:ascii="Palatino Linotype" w:eastAsia="Palatino Linotype" w:hAnsi="Palatino Linotype" w:cs="Palatino Linotype"/>
          <w:b/>
          <w:i/>
          <w:sz w:val="22"/>
          <w:szCs w:val="22"/>
        </w:rPr>
        <w:lastRenderedPageBreak/>
        <w:t>la materia favoreciendo en todo tiempo a las personas la protección más amplia.</w:t>
      </w:r>
    </w:p>
    <w:p w14:paraId="428BF466" w14:textId="77777777" w:rsidR="00B13DC9" w:rsidRPr="00BB2D2F" w:rsidRDefault="00804EE6">
      <w:pPr>
        <w:pBdr>
          <w:top w:val="nil"/>
          <w:left w:val="nil"/>
          <w:bottom w:val="nil"/>
          <w:right w:val="nil"/>
          <w:between w:val="nil"/>
        </w:pBdr>
        <w:spacing w:before="240" w:after="240"/>
        <w:ind w:left="851" w:right="850"/>
        <w:jc w:val="both"/>
      </w:pPr>
      <w:r w:rsidRPr="00BB2D2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B2D2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E2BCF4A" w14:textId="77777777" w:rsidR="00B13DC9" w:rsidRPr="00BB2D2F" w:rsidRDefault="00804EE6">
      <w:pPr>
        <w:pBdr>
          <w:top w:val="nil"/>
          <w:left w:val="nil"/>
          <w:bottom w:val="nil"/>
          <w:right w:val="nil"/>
          <w:between w:val="nil"/>
        </w:pBdr>
        <w:spacing w:before="240" w:after="240"/>
        <w:ind w:left="851" w:right="850"/>
        <w:jc w:val="both"/>
      </w:pPr>
      <w:r w:rsidRPr="00BB2D2F">
        <w:rPr>
          <w:rFonts w:ascii="Palatino Linotype" w:eastAsia="Palatino Linotype" w:hAnsi="Palatino Linotype" w:cs="Palatino Linotype"/>
          <w:i/>
          <w:sz w:val="22"/>
          <w:szCs w:val="22"/>
        </w:rPr>
        <w:t>[…]</w:t>
      </w:r>
    </w:p>
    <w:p w14:paraId="41BC0261" w14:textId="77777777" w:rsidR="00B13DC9" w:rsidRPr="00BB2D2F" w:rsidRDefault="00804EE6">
      <w:pPr>
        <w:pBdr>
          <w:top w:val="nil"/>
          <w:left w:val="nil"/>
          <w:bottom w:val="nil"/>
          <w:right w:val="nil"/>
          <w:between w:val="nil"/>
        </w:pBdr>
        <w:spacing w:before="240" w:after="240"/>
        <w:ind w:left="851" w:right="901"/>
        <w:jc w:val="both"/>
      </w:pPr>
      <w:r w:rsidRPr="00BB2D2F">
        <w:rPr>
          <w:rFonts w:ascii="Palatino Linotype" w:eastAsia="Palatino Linotype" w:hAnsi="Palatino Linotype" w:cs="Palatino Linotype"/>
          <w:b/>
          <w:i/>
          <w:sz w:val="22"/>
          <w:szCs w:val="22"/>
        </w:rPr>
        <w:t>“Artículo 6o.</w:t>
      </w:r>
    </w:p>
    <w:p w14:paraId="64B41B6D" w14:textId="77777777" w:rsidR="00B13DC9" w:rsidRPr="00BB2D2F" w:rsidRDefault="00804EE6">
      <w:pPr>
        <w:pBdr>
          <w:top w:val="nil"/>
          <w:left w:val="nil"/>
          <w:bottom w:val="nil"/>
          <w:right w:val="nil"/>
          <w:between w:val="nil"/>
        </w:pBdr>
        <w:spacing w:before="240" w:after="240"/>
        <w:ind w:left="851" w:right="901"/>
        <w:jc w:val="both"/>
      </w:pPr>
      <w:r w:rsidRPr="00BB2D2F">
        <w:rPr>
          <w:rFonts w:ascii="Palatino Linotype" w:eastAsia="Palatino Linotype" w:hAnsi="Palatino Linotype" w:cs="Palatino Linotype"/>
          <w:i/>
          <w:sz w:val="22"/>
          <w:szCs w:val="22"/>
        </w:rPr>
        <w:t>[...]</w:t>
      </w:r>
    </w:p>
    <w:p w14:paraId="6C8D1CC8" w14:textId="77777777" w:rsidR="00B13DC9" w:rsidRPr="00BB2D2F" w:rsidRDefault="00804EE6">
      <w:pPr>
        <w:pBdr>
          <w:top w:val="nil"/>
          <w:left w:val="nil"/>
          <w:bottom w:val="nil"/>
          <w:right w:val="nil"/>
          <w:between w:val="nil"/>
        </w:pBdr>
        <w:spacing w:before="240" w:after="240"/>
        <w:ind w:left="851" w:right="851"/>
        <w:jc w:val="both"/>
      </w:pPr>
      <w:r w:rsidRPr="00BB2D2F">
        <w:rPr>
          <w:rFonts w:ascii="Palatino Linotype" w:eastAsia="Palatino Linotype" w:hAnsi="Palatino Linotype" w:cs="Palatino Linotype"/>
          <w:b/>
          <w:i/>
          <w:sz w:val="22"/>
          <w:szCs w:val="22"/>
        </w:rPr>
        <w:t xml:space="preserve">A. Para el ejercicio del derecho de acceso a la información, la Federación y </w:t>
      </w:r>
      <w:r w:rsidRPr="00BB2D2F">
        <w:rPr>
          <w:rFonts w:ascii="Palatino Linotype" w:eastAsia="Palatino Linotype" w:hAnsi="Palatino Linotype" w:cs="Palatino Linotype"/>
          <w:b/>
          <w:i/>
          <w:sz w:val="22"/>
          <w:szCs w:val="22"/>
          <w:u w:val="single"/>
        </w:rPr>
        <w:t>las entidades federativas</w:t>
      </w:r>
      <w:r w:rsidRPr="00BB2D2F">
        <w:rPr>
          <w:rFonts w:ascii="Palatino Linotype" w:eastAsia="Palatino Linotype" w:hAnsi="Palatino Linotype" w:cs="Palatino Linotype"/>
          <w:b/>
          <w:i/>
          <w:sz w:val="22"/>
          <w:szCs w:val="22"/>
        </w:rPr>
        <w:t>,</w:t>
      </w:r>
      <w:r w:rsidRPr="00BB2D2F">
        <w:rPr>
          <w:rFonts w:ascii="Palatino Linotype" w:eastAsia="Palatino Linotype" w:hAnsi="Palatino Linotype" w:cs="Palatino Linotype"/>
          <w:i/>
          <w:sz w:val="22"/>
          <w:szCs w:val="22"/>
        </w:rPr>
        <w:t xml:space="preserve"> en el ámbito de sus respectivas competencias, se regirán por los siguientes principios y bases:</w:t>
      </w:r>
    </w:p>
    <w:p w14:paraId="7C960BFB" w14:textId="77777777" w:rsidR="00B13DC9" w:rsidRPr="00BB2D2F" w:rsidRDefault="00804EE6">
      <w:pPr>
        <w:pBdr>
          <w:top w:val="nil"/>
          <w:left w:val="nil"/>
          <w:bottom w:val="nil"/>
          <w:right w:val="nil"/>
          <w:between w:val="nil"/>
        </w:pBdr>
        <w:spacing w:before="240" w:after="240"/>
        <w:ind w:left="851" w:right="851"/>
        <w:jc w:val="both"/>
      </w:pPr>
      <w:r w:rsidRPr="00BB2D2F">
        <w:rPr>
          <w:rFonts w:ascii="Palatino Linotype" w:eastAsia="Palatino Linotype" w:hAnsi="Palatino Linotype" w:cs="Palatino Linotype"/>
          <w:i/>
          <w:sz w:val="22"/>
          <w:szCs w:val="22"/>
        </w:rPr>
        <w:t> </w:t>
      </w:r>
      <w:r w:rsidRPr="00BB2D2F">
        <w:rPr>
          <w:rFonts w:ascii="Palatino Linotype" w:eastAsia="Palatino Linotype" w:hAnsi="Palatino Linotype" w:cs="Palatino Linotype"/>
          <w:b/>
          <w:i/>
          <w:sz w:val="22"/>
          <w:szCs w:val="22"/>
        </w:rPr>
        <w:t xml:space="preserve">I. </w:t>
      </w:r>
      <w:r w:rsidRPr="00BB2D2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B2D2F">
        <w:rPr>
          <w:rFonts w:ascii="Palatino Linotype" w:eastAsia="Palatino Linotype" w:hAnsi="Palatino Linotype" w:cs="Palatino Linotype"/>
          <w:i/>
          <w:sz w:val="22"/>
          <w:szCs w:val="22"/>
        </w:rPr>
        <w:t xml:space="preserve"> Ejecutivo, Legislativo </w:t>
      </w:r>
      <w:r w:rsidRPr="00BB2D2F">
        <w:rPr>
          <w:rFonts w:ascii="Palatino Linotype" w:eastAsia="Palatino Linotype" w:hAnsi="Palatino Linotype" w:cs="Palatino Linotype"/>
          <w:b/>
          <w:i/>
          <w:sz w:val="22"/>
          <w:szCs w:val="22"/>
          <w:u w:val="single"/>
        </w:rPr>
        <w:t>y Judicial</w:t>
      </w:r>
      <w:r w:rsidRPr="00BB2D2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B2D2F">
        <w:rPr>
          <w:rFonts w:ascii="Palatino Linotype" w:eastAsia="Palatino Linotype" w:hAnsi="Palatino Linotype" w:cs="Palatino Linotype"/>
          <w:b/>
          <w:i/>
          <w:sz w:val="22"/>
          <w:szCs w:val="22"/>
        </w:rPr>
        <w:t>es pública y sólo podrá ser reservada temporalmente por razones de interés público y seguridad nacional,</w:t>
      </w:r>
      <w:r w:rsidRPr="00BB2D2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56889B" w14:textId="77777777" w:rsidR="00B13DC9" w:rsidRPr="00BB2D2F" w:rsidRDefault="00804EE6">
      <w:pPr>
        <w:pBdr>
          <w:top w:val="nil"/>
          <w:left w:val="nil"/>
          <w:bottom w:val="nil"/>
          <w:right w:val="nil"/>
          <w:between w:val="nil"/>
        </w:pBdr>
        <w:spacing w:before="240" w:after="240"/>
        <w:ind w:left="851" w:right="851"/>
        <w:jc w:val="both"/>
      </w:pPr>
      <w:r w:rsidRPr="00BB2D2F">
        <w:rPr>
          <w:rFonts w:ascii="Palatino Linotype" w:eastAsia="Palatino Linotype" w:hAnsi="Palatino Linotype" w:cs="Palatino Linotype"/>
          <w:i/>
          <w:sz w:val="22"/>
          <w:szCs w:val="22"/>
        </w:rPr>
        <w:t> </w:t>
      </w:r>
      <w:r w:rsidRPr="00BB2D2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9C375DA" w14:textId="77777777" w:rsidR="00B13DC9" w:rsidRPr="00BB2D2F" w:rsidRDefault="00804EE6">
      <w:pPr>
        <w:pBdr>
          <w:top w:val="nil"/>
          <w:left w:val="nil"/>
          <w:bottom w:val="nil"/>
          <w:right w:val="nil"/>
          <w:between w:val="nil"/>
        </w:pBdr>
        <w:spacing w:before="240" w:after="240"/>
        <w:ind w:left="851" w:right="851"/>
        <w:jc w:val="both"/>
      </w:pPr>
      <w:r w:rsidRPr="00BB2D2F">
        <w:rPr>
          <w:rFonts w:ascii="Palatino Linotype" w:eastAsia="Palatino Linotype" w:hAnsi="Palatino Linotype" w:cs="Palatino Linotype"/>
          <w:i/>
          <w:sz w:val="22"/>
          <w:szCs w:val="22"/>
        </w:rPr>
        <w:t> </w:t>
      </w:r>
      <w:r w:rsidRPr="00BB2D2F">
        <w:rPr>
          <w:rFonts w:ascii="Palatino Linotype" w:eastAsia="Palatino Linotype" w:hAnsi="Palatino Linotype" w:cs="Palatino Linotype"/>
          <w:b/>
          <w:i/>
          <w:sz w:val="22"/>
          <w:szCs w:val="22"/>
        </w:rPr>
        <w:t xml:space="preserve">III. </w:t>
      </w:r>
      <w:r w:rsidRPr="00BB2D2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B2D2F">
        <w:rPr>
          <w:rFonts w:ascii="Palatino Linotype" w:eastAsia="Palatino Linotype" w:hAnsi="Palatino Linotype" w:cs="Palatino Linotype"/>
          <w:i/>
          <w:sz w:val="22"/>
          <w:szCs w:val="22"/>
        </w:rPr>
        <w:t xml:space="preserve"> a sus datos personales o a la rectificación de éstos.</w:t>
      </w:r>
    </w:p>
    <w:p w14:paraId="6A8D1A56" w14:textId="77777777" w:rsidR="00B13DC9" w:rsidRPr="00BB2D2F" w:rsidRDefault="00804EE6">
      <w:pPr>
        <w:pBdr>
          <w:top w:val="nil"/>
          <w:left w:val="nil"/>
          <w:bottom w:val="nil"/>
          <w:right w:val="nil"/>
          <w:between w:val="nil"/>
        </w:pBdr>
        <w:spacing w:before="240" w:after="240"/>
        <w:ind w:left="851" w:right="851"/>
        <w:jc w:val="both"/>
      </w:pPr>
      <w:r w:rsidRPr="00BB2D2F">
        <w:rPr>
          <w:rFonts w:ascii="Palatino Linotype" w:eastAsia="Palatino Linotype" w:hAnsi="Palatino Linotype" w:cs="Palatino Linotype"/>
          <w:i/>
          <w:sz w:val="22"/>
          <w:szCs w:val="22"/>
        </w:rPr>
        <w:t> </w:t>
      </w:r>
      <w:r w:rsidRPr="00BB2D2F">
        <w:rPr>
          <w:rFonts w:ascii="Palatino Linotype" w:eastAsia="Palatino Linotype" w:hAnsi="Palatino Linotype" w:cs="Palatino Linotype"/>
          <w:b/>
          <w:i/>
          <w:sz w:val="22"/>
          <w:szCs w:val="22"/>
        </w:rPr>
        <w:t xml:space="preserve">IV. </w:t>
      </w:r>
      <w:r w:rsidRPr="00BB2D2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23855E5" w14:textId="77777777" w:rsidR="00B13DC9" w:rsidRPr="00BB2D2F" w:rsidRDefault="00804EE6">
      <w:pPr>
        <w:pBdr>
          <w:top w:val="nil"/>
          <w:left w:val="nil"/>
          <w:bottom w:val="nil"/>
          <w:right w:val="nil"/>
          <w:between w:val="nil"/>
        </w:pBdr>
        <w:spacing w:before="240" w:after="240"/>
        <w:ind w:left="851" w:right="851"/>
        <w:jc w:val="both"/>
      </w:pPr>
      <w:r w:rsidRPr="00BB2D2F">
        <w:rPr>
          <w:rFonts w:ascii="Palatino Linotype" w:eastAsia="Palatino Linotype" w:hAnsi="Palatino Linotype" w:cs="Palatino Linotype"/>
          <w:b/>
          <w:i/>
          <w:sz w:val="22"/>
          <w:szCs w:val="22"/>
        </w:rPr>
        <w:lastRenderedPageBreak/>
        <w:t xml:space="preserve">V. </w:t>
      </w:r>
      <w:r w:rsidRPr="00BB2D2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6440750" w14:textId="77777777" w:rsidR="00B13DC9" w:rsidRPr="00BB2D2F" w:rsidRDefault="00804EE6">
      <w:pPr>
        <w:pBdr>
          <w:top w:val="nil"/>
          <w:left w:val="nil"/>
          <w:bottom w:val="nil"/>
          <w:right w:val="nil"/>
          <w:between w:val="nil"/>
        </w:pBdr>
        <w:spacing w:before="240" w:after="240"/>
        <w:ind w:left="851" w:right="851"/>
        <w:jc w:val="both"/>
      </w:pPr>
      <w:r w:rsidRPr="00BB2D2F">
        <w:rPr>
          <w:rFonts w:ascii="Palatino Linotype" w:eastAsia="Palatino Linotype" w:hAnsi="Palatino Linotype" w:cs="Palatino Linotype"/>
          <w:i/>
          <w:sz w:val="22"/>
          <w:szCs w:val="22"/>
        </w:rPr>
        <w:t> </w:t>
      </w:r>
      <w:r w:rsidRPr="00BB2D2F">
        <w:rPr>
          <w:rFonts w:ascii="Palatino Linotype" w:eastAsia="Palatino Linotype" w:hAnsi="Palatino Linotype" w:cs="Palatino Linotype"/>
          <w:b/>
          <w:i/>
          <w:sz w:val="22"/>
          <w:szCs w:val="22"/>
        </w:rPr>
        <w:t xml:space="preserve">VI. </w:t>
      </w:r>
      <w:r w:rsidRPr="00BB2D2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AD948B9" w14:textId="77777777" w:rsidR="00B13DC9" w:rsidRPr="00BB2D2F" w:rsidRDefault="00804EE6">
      <w:pPr>
        <w:pBdr>
          <w:top w:val="nil"/>
          <w:left w:val="nil"/>
          <w:bottom w:val="nil"/>
          <w:right w:val="nil"/>
          <w:between w:val="nil"/>
        </w:pBdr>
        <w:spacing w:before="240" w:after="240"/>
        <w:ind w:left="851" w:right="851"/>
        <w:jc w:val="both"/>
      </w:pPr>
      <w:r w:rsidRPr="00BB2D2F">
        <w:rPr>
          <w:rFonts w:ascii="Palatino Linotype" w:eastAsia="Palatino Linotype" w:hAnsi="Palatino Linotype" w:cs="Palatino Linotype"/>
          <w:i/>
          <w:sz w:val="22"/>
          <w:szCs w:val="22"/>
        </w:rPr>
        <w:t> </w:t>
      </w:r>
      <w:r w:rsidRPr="00BB2D2F">
        <w:rPr>
          <w:rFonts w:ascii="Palatino Linotype" w:eastAsia="Palatino Linotype" w:hAnsi="Palatino Linotype" w:cs="Palatino Linotype"/>
          <w:b/>
          <w:i/>
          <w:sz w:val="22"/>
          <w:szCs w:val="22"/>
        </w:rPr>
        <w:t xml:space="preserve">VII. </w:t>
      </w:r>
      <w:r w:rsidRPr="00BB2D2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CC7D80A" w14:textId="77777777" w:rsidR="00B13DC9" w:rsidRPr="00BB2D2F" w:rsidRDefault="00804EE6">
      <w:pPr>
        <w:pBdr>
          <w:top w:val="nil"/>
          <w:left w:val="nil"/>
          <w:bottom w:val="nil"/>
          <w:right w:val="nil"/>
          <w:between w:val="nil"/>
        </w:pBdr>
        <w:spacing w:before="240" w:after="240" w:line="360" w:lineRule="auto"/>
        <w:jc w:val="both"/>
      </w:pPr>
      <w:r w:rsidRPr="00BB2D2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9B7FB22" w14:textId="77777777" w:rsidR="00B13DC9" w:rsidRPr="00BB2D2F" w:rsidRDefault="00804EE6">
      <w:pPr>
        <w:pBdr>
          <w:top w:val="nil"/>
          <w:left w:val="nil"/>
          <w:bottom w:val="nil"/>
          <w:right w:val="nil"/>
          <w:between w:val="nil"/>
        </w:pBdr>
        <w:spacing w:before="240" w:after="240"/>
        <w:ind w:left="709" w:right="760"/>
        <w:jc w:val="both"/>
      </w:pPr>
      <w:r w:rsidRPr="00BB2D2F">
        <w:rPr>
          <w:rFonts w:ascii="Palatino Linotype" w:eastAsia="Palatino Linotype" w:hAnsi="Palatino Linotype" w:cs="Palatino Linotype"/>
          <w:i/>
          <w:sz w:val="22"/>
          <w:szCs w:val="22"/>
        </w:rPr>
        <w:t>“</w:t>
      </w:r>
      <w:r w:rsidRPr="00BB2D2F">
        <w:rPr>
          <w:rFonts w:ascii="Palatino Linotype" w:eastAsia="Palatino Linotype" w:hAnsi="Palatino Linotype" w:cs="Palatino Linotype"/>
          <w:b/>
          <w:i/>
          <w:sz w:val="22"/>
          <w:szCs w:val="22"/>
        </w:rPr>
        <w:t>Artículo 4</w:t>
      </w:r>
      <w:r w:rsidRPr="00BB2D2F">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22A18CC" w14:textId="77777777" w:rsidR="00B13DC9" w:rsidRPr="00BB2D2F" w:rsidRDefault="00804EE6">
      <w:pPr>
        <w:pBdr>
          <w:top w:val="nil"/>
          <w:left w:val="nil"/>
          <w:bottom w:val="nil"/>
          <w:right w:val="nil"/>
          <w:between w:val="nil"/>
        </w:pBdr>
        <w:spacing w:before="240" w:after="240"/>
        <w:ind w:left="709" w:right="760"/>
        <w:jc w:val="both"/>
      </w:pPr>
      <w:r w:rsidRPr="00BB2D2F">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w:t>
      </w:r>
      <w:r w:rsidRPr="00BB2D2F">
        <w:rPr>
          <w:rFonts w:ascii="Palatino Linotype" w:eastAsia="Palatino Linotype" w:hAnsi="Palatino Linotype" w:cs="Palatino Linotype"/>
          <w:b/>
          <w:i/>
          <w:sz w:val="22"/>
          <w:szCs w:val="22"/>
        </w:rPr>
        <w:lastRenderedPageBreak/>
        <w:t>Municipios 29 como reservada temporalmente por razones de interés público, en los términos de las causas legítimas y estrictamente necesarias previstas por esta Ley.</w:t>
      </w:r>
    </w:p>
    <w:p w14:paraId="640634F5" w14:textId="77777777" w:rsidR="00B13DC9" w:rsidRPr="00BB2D2F" w:rsidRDefault="00804EE6">
      <w:pPr>
        <w:pBdr>
          <w:top w:val="nil"/>
          <w:left w:val="nil"/>
          <w:bottom w:val="nil"/>
          <w:right w:val="nil"/>
          <w:between w:val="nil"/>
        </w:pBdr>
        <w:spacing w:before="240" w:after="240"/>
        <w:ind w:left="709" w:right="760"/>
        <w:jc w:val="both"/>
      </w:pPr>
      <w:r w:rsidRPr="00BB2D2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BB2D2F">
        <w:rPr>
          <w:rFonts w:ascii="Palatino Linotype" w:eastAsia="Palatino Linotype" w:hAnsi="Palatino Linotype" w:cs="Palatino Linotype"/>
          <w:i/>
          <w:sz w:val="22"/>
          <w:szCs w:val="22"/>
        </w:rPr>
        <w:t>.”(</w:t>
      </w:r>
      <w:proofErr w:type="gramEnd"/>
      <w:r w:rsidRPr="00BB2D2F">
        <w:rPr>
          <w:rFonts w:ascii="Palatino Linotype" w:eastAsia="Palatino Linotype" w:hAnsi="Palatino Linotype" w:cs="Palatino Linotype"/>
          <w:i/>
          <w:sz w:val="22"/>
          <w:szCs w:val="22"/>
        </w:rPr>
        <w:t>Sic)</w:t>
      </w:r>
    </w:p>
    <w:p w14:paraId="5D2A7597" w14:textId="77777777" w:rsidR="00B13DC9" w:rsidRPr="00BB2D2F" w:rsidRDefault="00804EE6">
      <w:pPr>
        <w:pBdr>
          <w:top w:val="nil"/>
          <w:left w:val="nil"/>
          <w:bottom w:val="nil"/>
          <w:right w:val="nil"/>
          <w:between w:val="nil"/>
        </w:pBdr>
        <w:spacing w:before="240" w:after="240" w:line="360" w:lineRule="auto"/>
        <w:jc w:val="both"/>
      </w:pPr>
      <w:r w:rsidRPr="00BB2D2F">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0EE12D9" w14:textId="77777777" w:rsidR="00B13DC9" w:rsidRPr="00BB2D2F" w:rsidRDefault="00804EE6">
      <w:pPr>
        <w:pBdr>
          <w:top w:val="nil"/>
          <w:left w:val="nil"/>
          <w:bottom w:val="nil"/>
          <w:right w:val="nil"/>
          <w:between w:val="nil"/>
        </w:pBdr>
        <w:spacing w:before="240" w:after="240"/>
        <w:ind w:left="567" w:right="758"/>
        <w:jc w:val="both"/>
      </w:pPr>
      <w:r w:rsidRPr="00BB2D2F">
        <w:rPr>
          <w:rFonts w:ascii="Palatino Linotype" w:eastAsia="Palatino Linotype" w:hAnsi="Palatino Linotype" w:cs="Palatino Linotype"/>
          <w:i/>
          <w:sz w:val="22"/>
          <w:szCs w:val="22"/>
        </w:rPr>
        <w:t>“</w:t>
      </w:r>
      <w:r w:rsidRPr="00BB2D2F">
        <w:rPr>
          <w:rFonts w:ascii="Palatino Linotype" w:eastAsia="Palatino Linotype" w:hAnsi="Palatino Linotype" w:cs="Palatino Linotype"/>
          <w:b/>
          <w:i/>
          <w:sz w:val="22"/>
          <w:szCs w:val="22"/>
        </w:rPr>
        <w:t>Artículo 12</w:t>
      </w:r>
      <w:r w:rsidRPr="00BB2D2F">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855E561" w14:textId="77777777" w:rsidR="00B13DC9" w:rsidRPr="00BB2D2F" w:rsidRDefault="00804EE6">
      <w:pPr>
        <w:pBdr>
          <w:top w:val="nil"/>
          <w:left w:val="nil"/>
          <w:bottom w:val="nil"/>
          <w:right w:val="nil"/>
          <w:between w:val="nil"/>
        </w:pBdr>
        <w:spacing w:before="240" w:after="240"/>
        <w:ind w:left="567" w:right="758"/>
        <w:jc w:val="both"/>
      </w:pPr>
      <w:r w:rsidRPr="00BB2D2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24D65D8" w14:textId="77777777" w:rsidR="00B13DC9" w:rsidRPr="00BB2D2F" w:rsidRDefault="00804EE6">
      <w:pPr>
        <w:pBdr>
          <w:top w:val="nil"/>
          <w:left w:val="nil"/>
          <w:bottom w:val="nil"/>
          <w:right w:val="nil"/>
          <w:between w:val="nil"/>
        </w:pBdr>
        <w:spacing w:before="240" w:after="240" w:line="360" w:lineRule="auto"/>
        <w:jc w:val="both"/>
      </w:pPr>
      <w:r w:rsidRPr="00BB2D2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BB2D2F">
        <w:rPr>
          <w:rFonts w:ascii="Palatino Linotype" w:eastAsia="Palatino Linotype" w:hAnsi="Palatino Linotype" w:cs="Palatino Linotype"/>
          <w:b/>
        </w:rPr>
        <w:t xml:space="preserve"> </w:t>
      </w:r>
      <w:r w:rsidRPr="00BB2D2F">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BB2D2F">
        <w:rPr>
          <w:rFonts w:ascii="Palatino Linotype" w:eastAsia="Palatino Linotype" w:hAnsi="Palatino Linotype" w:cs="Palatino Linotype"/>
          <w:i/>
        </w:rPr>
        <w:t>ad hoc</w:t>
      </w:r>
      <w:r w:rsidRPr="00BB2D2F">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E4904BB" w14:textId="77777777" w:rsidR="00B13DC9" w:rsidRPr="00BB2D2F" w:rsidRDefault="00804EE6">
      <w:pPr>
        <w:pBdr>
          <w:top w:val="nil"/>
          <w:left w:val="nil"/>
          <w:bottom w:val="nil"/>
          <w:right w:val="nil"/>
          <w:between w:val="nil"/>
        </w:pBdr>
        <w:spacing w:before="240" w:after="240"/>
        <w:ind w:left="567" w:right="567"/>
        <w:jc w:val="both"/>
      </w:pPr>
      <w:r w:rsidRPr="00BB2D2F">
        <w:rPr>
          <w:rFonts w:ascii="Palatino Linotype" w:eastAsia="Palatino Linotype" w:hAnsi="Palatino Linotype" w:cs="Palatino Linotype"/>
          <w:b/>
          <w:i/>
          <w:sz w:val="22"/>
          <w:szCs w:val="22"/>
        </w:rPr>
        <w:lastRenderedPageBreak/>
        <w:t>03/17</w:t>
      </w:r>
    </w:p>
    <w:p w14:paraId="62475E09" w14:textId="77777777" w:rsidR="00B13DC9" w:rsidRPr="00BB2D2F" w:rsidRDefault="00804EE6">
      <w:pPr>
        <w:pBdr>
          <w:top w:val="nil"/>
          <w:left w:val="nil"/>
          <w:bottom w:val="nil"/>
          <w:right w:val="nil"/>
          <w:between w:val="nil"/>
        </w:pBdr>
        <w:spacing w:before="240" w:after="240"/>
        <w:ind w:left="567" w:right="567"/>
        <w:jc w:val="both"/>
      </w:pPr>
      <w:r w:rsidRPr="00BB2D2F">
        <w:rPr>
          <w:rFonts w:ascii="Palatino Linotype" w:eastAsia="Palatino Linotype" w:hAnsi="Palatino Linotype" w:cs="Palatino Linotype"/>
          <w:b/>
          <w:i/>
          <w:sz w:val="22"/>
          <w:szCs w:val="22"/>
        </w:rPr>
        <w:t>“NO EXISTE OBLIGACIÓN DE ELABORAR DOCUMENTOS AD HOC PARA ATENDER LAS SOLICITUDES DE ACCESO A LA INFORMACIÓN.</w:t>
      </w:r>
    </w:p>
    <w:p w14:paraId="66EF72E2" w14:textId="77777777" w:rsidR="00B13DC9" w:rsidRPr="00BB2D2F" w:rsidRDefault="00804EE6">
      <w:pPr>
        <w:pBdr>
          <w:top w:val="nil"/>
          <w:left w:val="nil"/>
          <w:bottom w:val="nil"/>
          <w:right w:val="nil"/>
          <w:between w:val="nil"/>
        </w:pBdr>
        <w:spacing w:before="240" w:after="240"/>
        <w:ind w:left="567" w:right="567"/>
        <w:jc w:val="both"/>
      </w:pPr>
      <w:r w:rsidRPr="00BB2D2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B172C5C" w14:textId="77777777" w:rsidR="00B13DC9" w:rsidRPr="00BB2D2F" w:rsidRDefault="00804EE6">
      <w:pPr>
        <w:pBdr>
          <w:top w:val="nil"/>
          <w:left w:val="nil"/>
          <w:bottom w:val="nil"/>
          <w:right w:val="nil"/>
          <w:between w:val="nil"/>
        </w:pBdr>
        <w:spacing w:before="240" w:after="240" w:line="360" w:lineRule="auto"/>
        <w:jc w:val="both"/>
      </w:pPr>
      <w:r w:rsidRPr="00BB2D2F">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30D7A40" w14:textId="77777777" w:rsidR="00B13DC9" w:rsidRPr="00BB2D2F" w:rsidRDefault="00804EE6">
      <w:pPr>
        <w:pBdr>
          <w:top w:val="nil"/>
          <w:left w:val="nil"/>
          <w:bottom w:val="nil"/>
          <w:right w:val="nil"/>
          <w:between w:val="nil"/>
        </w:pBdr>
        <w:spacing w:before="240" w:after="240" w:line="360" w:lineRule="auto"/>
        <w:ind w:right="49"/>
        <w:jc w:val="both"/>
      </w:pPr>
      <w:r w:rsidRPr="00BB2D2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7179EE7" w14:textId="77777777" w:rsidR="00B13DC9" w:rsidRPr="00BB2D2F" w:rsidRDefault="00804EE6">
      <w:pPr>
        <w:pBdr>
          <w:top w:val="nil"/>
          <w:left w:val="nil"/>
          <w:bottom w:val="nil"/>
          <w:right w:val="nil"/>
          <w:between w:val="nil"/>
        </w:pBdr>
        <w:spacing w:before="240" w:after="240" w:line="360" w:lineRule="auto"/>
        <w:jc w:val="both"/>
      </w:pPr>
      <w:r w:rsidRPr="00BB2D2F">
        <w:rPr>
          <w:rFonts w:ascii="Palatino Linotype" w:eastAsia="Palatino Linotype" w:hAnsi="Palatino Linotype" w:cs="Palatino Linotype"/>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037B97E" w14:textId="77777777" w:rsidR="00B13DC9" w:rsidRPr="00BB2D2F" w:rsidRDefault="00804EE6">
      <w:pPr>
        <w:pBdr>
          <w:top w:val="nil"/>
          <w:left w:val="nil"/>
          <w:bottom w:val="nil"/>
          <w:right w:val="nil"/>
          <w:between w:val="nil"/>
        </w:pBdr>
        <w:spacing w:before="240" w:after="240"/>
        <w:ind w:left="567" w:right="567"/>
        <w:jc w:val="both"/>
      </w:pPr>
      <w:r w:rsidRPr="00BB2D2F">
        <w:rPr>
          <w:rFonts w:ascii="Palatino Linotype" w:eastAsia="Palatino Linotype" w:hAnsi="Palatino Linotype" w:cs="Palatino Linotype"/>
          <w:i/>
          <w:sz w:val="22"/>
          <w:szCs w:val="22"/>
        </w:rPr>
        <w:t>“</w:t>
      </w:r>
      <w:r w:rsidRPr="00BB2D2F">
        <w:rPr>
          <w:rFonts w:ascii="Palatino Linotype" w:eastAsia="Palatino Linotype" w:hAnsi="Palatino Linotype" w:cs="Palatino Linotype"/>
          <w:b/>
          <w:i/>
          <w:sz w:val="22"/>
          <w:szCs w:val="22"/>
        </w:rPr>
        <w:t xml:space="preserve">Artículo 3. </w:t>
      </w:r>
      <w:r w:rsidRPr="00BB2D2F">
        <w:rPr>
          <w:rFonts w:ascii="Palatino Linotype" w:eastAsia="Palatino Linotype" w:hAnsi="Palatino Linotype" w:cs="Palatino Linotype"/>
          <w:i/>
          <w:sz w:val="22"/>
          <w:szCs w:val="22"/>
        </w:rPr>
        <w:t>Para los efectos de la presente Ley se entenderá por:</w:t>
      </w:r>
    </w:p>
    <w:p w14:paraId="64D3EBBD" w14:textId="77777777" w:rsidR="00B13DC9" w:rsidRPr="00BB2D2F" w:rsidRDefault="00804EE6">
      <w:pPr>
        <w:pBdr>
          <w:top w:val="nil"/>
          <w:left w:val="nil"/>
          <w:bottom w:val="nil"/>
          <w:right w:val="nil"/>
          <w:between w:val="nil"/>
        </w:pBdr>
        <w:spacing w:before="240" w:after="240"/>
        <w:ind w:left="567" w:right="567"/>
        <w:jc w:val="both"/>
      </w:pPr>
      <w:r w:rsidRPr="00BB2D2F">
        <w:rPr>
          <w:rFonts w:ascii="Palatino Linotype" w:eastAsia="Palatino Linotype" w:hAnsi="Palatino Linotype" w:cs="Palatino Linotype"/>
          <w:i/>
          <w:sz w:val="22"/>
          <w:szCs w:val="22"/>
        </w:rPr>
        <w:t>…</w:t>
      </w:r>
    </w:p>
    <w:p w14:paraId="3107B11D" w14:textId="77777777" w:rsidR="00B13DC9" w:rsidRPr="00BB2D2F" w:rsidRDefault="00804EE6">
      <w:pPr>
        <w:pBdr>
          <w:top w:val="nil"/>
          <w:left w:val="nil"/>
          <w:bottom w:val="nil"/>
          <w:right w:val="nil"/>
          <w:between w:val="nil"/>
        </w:pBdr>
        <w:spacing w:before="240" w:after="240"/>
        <w:ind w:left="567" w:right="567"/>
        <w:jc w:val="both"/>
      </w:pPr>
      <w:r w:rsidRPr="00BB2D2F">
        <w:rPr>
          <w:rFonts w:ascii="Palatino Linotype" w:eastAsia="Palatino Linotype" w:hAnsi="Palatino Linotype" w:cs="Palatino Linotype"/>
          <w:b/>
          <w:i/>
          <w:sz w:val="22"/>
          <w:szCs w:val="22"/>
        </w:rPr>
        <w:t>XI. Documento:</w:t>
      </w:r>
      <w:r w:rsidRPr="00BB2D2F">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B2D2F">
        <w:rPr>
          <w:rFonts w:ascii="Palatino Linotype" w:eastAsia="Palatino Linotype" w:hAnsi="Palatino Linotype" w:cs="Palatino Linotype"/>
          <w:b/>
          <w:i/>
          <w:sz w:val="22"/>
          <w:szCs w:val="22"/>
        </w:rPr>
        <w:t>…</w:t>
      </w:r>
      <w:r w:rsidRPr="00BB2D2F">
        <w:rPr>
          <w:rFonts w:ascii="Palatino Linotype" w:eastAsia="Palatino Linotype" w:hAnsi="Palatino Linotype" w:cs="Palatino Linotype"/>
          <w:i/>
          <w:sz w:val="22"/>
          <w:szCs w:val="22"/>
        </w:rPr>
        <w:t>” (Sic)</w:t>
      </w:r>
    </w:p>
    <w:p w14:paraId="0F227E41" w14:textId="77777777" w:rsidR="00B13DC9" w:rsidRPr="00BB2D2F" w:rsidRDefault="00804EE6">
      <w:pPr>
        <w:pBdr>
          <w:top w:val="nil"/>
          <w:left w:val="nil"/>
          <w:bottom w:val="nil"/>
          <w:right w:val="nil"/>
          <w:between w:val="nil"/>
        </w:pBdr>
        <w:spacing w:before="240" w:after="240" w:line="360" w:lineRule="auto"/>
        <w:jc w:val="both"/>
      </w:pPr>
      <w:r w:rsidRPr="00BB2D2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952397D" w14:textId="77777777" w:rsidR="00B13DC9" w:rsidRPr="00BB2D2F" w:rsidRDefault="00804EE6">
      <w:pPr>
        <w:pBdr>
          <w:top w:val="nil"/>
          <w:left w:val="nil"/>
          <w:bottom w:val="nil"/>
          <w:right w:val="nil"/>
          <w:between w:val="nil"/>
        </w:pBdr>
        <w:spacing w:before="240" w:after="240"/>
        <w:ind w:left="567" w:right="567"/>
        <w:jc w:val="both"/>
      </w:pPr>
      <w:r w:rsidRPr="00BB2D2F">
        <w:rPr>
          <w:rFonts w:ascii="Palatino Linotype" w:eastAsia="Palatino Linotype" w:hAnsi="Palatino Linotype" w:cs="Palatino Linotype"/>
          <w:b/>
          <w:sz w:val="22"/>
          <w:szCs w:val="22"/>
        </w:rPr>
        <w:t>“</w:t>
      </w:r>
      <w:r w:rsidRPr="00BB2D2F">
        <w:rPr>
          <w:rFonts w:ascii="Palatino Linotype" w:eastAsia="Palatino Linotype" w:hAnsi="Palatino Linotype" w:cs="Palatino Linotype"/>
          <w:b/>
          <w:i/>
          <w:sz w:val="22"/>
          <w:szCs w:val="22"/>
        </w:rPr>
        <w:t>CRITERIO 0002-11</w:t>
      </w:r>
    </w:p>
    <w:p w14:paraId="22743AE4" w14:textId="77777777" w:rsidR="00B13DC9" w:rsidRPr="00BB2D2F" w:rsidRDefault="00804EE6">
      <w:pPr>
        <w:pBdr>
          <w:top w:val="nil"/>
          <w:left w:val="nil"/>
          <w:bottom w:val="nil"/>
          <w:right w:val="nil"/>
          <w:between w:val="nil"/>
        </w:pBdr>
        <w:spacing w:before="240" w:after="240"/>
        <w:ind w:left="567" w:right="567"/>
        <w:jc w:val="both"/>
      </w:pPr>
      <w:r w:rsidRPr="00BB2D2F">
        <w:rPr>
          <w:rFonts w:ascii="Palatino Linotype" w:eastAsia="Palatino Linotype" w:hAnsi="Palatino Linotype" w:cs="Palatino Linotype"/>
          <w:b/>
          <w:i/>
          <w:sz w:val="22"/>
          <w:szCs w:val="22"/>
        </w:rPr>
        <w:t xml:space="preserve">INFORMACIÓN PÚBLICA, CONCEPTO DE, EN MATERIA DE TRANSPARENCIA. INTERPRETACIÓN SISTEMÁTICA DE LOS </w:t>
      </w:r>
      <w:r w:rsidRPr="00BB2D2F">
        <w:rPr>
          <w:rFonts w:ascii="Palatino Linotype" w:eastAsia="Palatino Linotype" w:hAnsi="Palatino Linotype" w:cs="Palatino Linotype"/>
          <w:b/>
          <w:i/>
          <w:sz w:val="22"/>
          <w:szCs w:val="22"/>
        </w:rPr>
        <w:lastRenderedPageBreak/>
        <w:t>ARTÍCULOS 2°, FRACCIÓN V, XV, Y XVI, 3°, 4°, 11 Y 41.</w:t>
      </w:r>
      <w:r w:rsidRPr="00BB2D2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04056F" w14:textId="77777777" w:rsidR="00B13DC9" w:rsidRPr="00BB2D2F" w:rsidRDefault="00804EE6">
      <w:pPr>
        <w:pBdr>
          <w:top w:val="nil"/>
          <w:left w:val="nil"/>
          <w:bottom w:val="nil"/>
          <w:right w:val="nil"/>
          <w:between w:val="nil"/>
        </w:pBdr>
        <w:spacing w:before="240" w:after="240"/>
        <w:ind w:left="567" w:right="567"/>
        <w:jc w:val="both"/>
      </w:pPr>
      <w:r w:rsidRPr="00BB2D2F">
        <w:rPr>
          <w:rFonts w:ascii="Palatino Linotype" w:eastAsia="Palatino Linotype" w:hAnsi="Palatino Linotype" w:cs="Palatino Linotype"/>
          <w:i/>
          <w:sz w:val="22"/>
          <w:szCs w:val="22"/>
        </w:rPr>
        <w:t xml:space="preserve">En </w:t>
      </w:r>
      <w:proofErr w:type="gramStart"/>
      <w:r w:rsidRPr="00BB2D2F">
        <w:rPr>
          <w:rFonts w:ascii="Palatino Linotype" w:eastAsia="Palatino Linotype" w:hAnsi="Palatino Linotype" w:cs="Palatino Linotype"/>
          <w:i/>
          <w:sz w:val="22"/>
          <w:szCs w:val="22"/>
        </w:rPr>
        <w:t>consecuencia</w:t>
      </w:r>
      <w:proofErr w:type="gramEnd"/>
      <w:r w:rsidRPr="00BB2D2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5514D8A" w14:textId="77777777" w:rsidR="00B13DC9" w:rsidRPr="00BB2D2F" w:rsidRDefault="00804EE6" w:rsidP="004D300F">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 xml:space="preserve">Que se trate de información registrada en cualquier soporte documental, </w:t>
      </w:r>
      <w:proofErr w:type="gramStart"/>
      <w:r w:rsidRPr="00BB2D2F">
        <w:rPr>
          <w:rFonts w:ascii="Palatino Linotype" w:eastAsia="Palatino Linotype" w:hAnsi="Palatino Linotype" w:cs="Palatino Linotype"/>
          <w:i/>
          <w:sz w:val="22"/>
          <w:szCs w:val="22"/>
        </w:rPr>
        <w:t>que</w:t>
      </w:r>
      <w:proofErr w:type="gramEnd"/>
      <w:r w:rsidRPr="00BB2D2F">
        <w:rPr>
          <w:rFonts w:ascii="Palatino Linotype" w:eastAsia="Palatino Linotype" w:hAnsi="Palatino Linotype" w:cs="Palatino Linotype"/>
          <w:i/>
          <w:sz w:val="22"/>
          <w:szCs w:val="22"/>
        </w:rPr>
        <w:t xml:space="preserve"> en ejercicio de las atribuciones conferidas, sea generada por los Sujetos Obligados;</w:t>
      </w:r>
    </w:p>
    <w:p w14:paraId="6B187548" w14:textId="77777777" w:rsidR="00B13DC9" w:rsidRPr="00BB2D2F" w:rsidRDefault="00804EE6" w:rsidP="004D300F">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 xml:space="preserve">Que se trate de información registrada en cualquier soporte documental, </w:t>
      </w:r>
      <w:proofErr w:type="gramStart"/>
      <w:r w:rsidRPr="00BB2D2F">
        <w:rPr>
          <w:rFonts w:ascii="Palatino Linotype" w:eastAsia="Palatino Linotype" w:hAnsi="Palatino Linotype" w:cs="Palatino Linotype"/>
          <w:i/>
          <w:sz w:val="22"/>
          <w:szCs w:val="22"/>
        </w:rPr>
        <w:t>que</w:t>
      </w:r>
      <w:proofErr w:type="gramEnd"/>
      <w:r w:rsidRPr="00BB2D2F">
        <w:rPr>
          <w:rFonts w:ascii="Palatino Linotype" w:eastAsia="Palatino Linotype" w:hAnsi="Palatino Linotype" w:cs="Palatino Linotype"/>
          <w:i/>
          <w:sz w:val="22"/>
          <w:szCs w:val="22"/>
        </w:rPr>
        <w:t xml:space="preserve"> en ejercicio de las atribuciones conferidas, sea administrada por los Sujetos Obligados, y</w:t>
      </w:r>
    </w:p>
    <w:p w14:paraId="2458364E" w14:textId="77777777" w:rsidR="00B13DC9" w:rsidRPr="00BB2D2F" w:rsidRDefault="00804EE6">
      <w:pPr>
        <w:pBdr>
          <w:top w:val="nil"/>
          <w:left w:val="nil"/>
          <w:bottom w:val="nil"/>
          <w:right w:val="nil"/>
          <w:between w:val="nil"/>
        </w:pBdr>
        <w:spacing w:before="240" w:after="240"/>
        <w:ind w:left="567" w:right="567" w:hanging="284"/>
        <w:jc w:val="both"/>
      </w:pPr>
      <w:r w:rsidRPr="00BB2D2F">
        <w:rPr>
          <w:rFonts w:ascii="Palatino Linotype" w:eastAsia="Palatino Linotype" w:hAnsi="Palatino Linotype" w:cs="Palatino Linotype"/>
          <w:i/>
          <w:sz w:val="22"/>
          <w:szCs w:val="22"/>
        </w:rPr>
        <w:t xml:space="preserve">3. </w:t>
      </w:r>
      <w:r w:rsidRPr="00BB2D2F">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BB2D2F">
        <w:rPr>
          <w:rFonts w:ascii="Palatino Linotype" w:eastAsia="Palatino Linotype" w:hAnsi="Palatino Linotype" w:cs="Palatino Linotype"/>
          <w:b/>
          <w:i/>
          <w:sz w:val="22"/>
          <w:szCs w:val="22"/>
        </w:rPr>
        <w:t>que</w:t>
      </w:r>
      <w:proofErr w:type="gramEnd"/>
      <w:r w:rsidRPr="00BB2D2F">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7281E95" w14:textId="77777777" w:rsidR="00B13DC9" w:rsidRPr="00BB2D2F" w:rsidRDefault="00804EE6">
      <w:pPr>
        <w:pBdr>
          <w:top w:val="nil"/>
          <w:left w:val="nil"/>
          <w:bottom w:val="nil"/>
          <w:right w:val="nil"/>
          <w:between w:val="nil"/>
        </w:pBdr>
        <w:spacing w:before="240" w:after="240" w:line="360" w:lineRule="auto"/>
        <w:jc w:val="both"/>
      </w:pPr>
      <w:r w:rsidRPr="00BB2D2F">
        <w:rPr>
          <w:rFonts w:ascii="Palatino Linotype" w:eastAsia="Palatino Linotype" w:hAnsi="Palatino Linotype" w:cs="Palatino Linotype"/>
        </w:rPr>
        <w:t xml:space="preserve">De ahí que 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92A2894" w14:textId="77777777" w:rsidR="00B13DC9" w:rsidRPr="00BB2D2F" w:rsidRDefault="00804EE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Ahora bien, para profundizar en el estudio del presente asunto, es conveniente recordar que la parte solicitante requirió al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le proporcionara lo siguiente:</w:t>
      </w:r>
    </w:p>
    <w:p w14:paraId="31635F34" w14:textId="77777777" w:rsidR="001B76DB" w:rsidRPr="00BB2D2F" w:rsidRDefault="00804EE6" w:rsidP="005C0F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BB2D2F">
        <w:rPr>
          <w:rFonts w:ascii="Palatino Linotype" w:eastAsia="Palatino Linotype" w:hAnsi="Palatino Linotype" w:cs="Palatino Linotype"/>
          <w:i/>
        </w:rPr>
        <w:lastRenderedPageBreak/>
        <w:t>“…</w:t>
      </w:r>
      <w:r w:rsidR="001B76DB" w:rsidRPr="00BB2D2F">
        <w:rPr>
          <w:rFonts w:ascii="Palatino Linotype" w:eastAsia="Palatino Linotype" w:hAnsi="Palatino Linotype" w:cs="Palatino Linotype"/>
          <w:i/>
        </w:rPr>
        <w:t xml:space="preserve">Una base de datos (en formato abierto como xls o </w:t>
      </w:r>
      <w:proofErr w:type="spellStart"/>
      <w:r w:rsidR="001B76DB" w:rsidRPr="00BB2D2F">
        <w:rPr>
          <w:rFonts w:ascii="Palatino Linotype" w:eastAsia="Palatino Linotype" w:hAnsi="Palatino Linotype" w:cs="Palatino Linotype"/>
          <w:i/>
        </w:rPr>
        <w:t>cvs</w:t>
      </w:r>
      <w:proofErr w:type="spellEnd"/>
      <w:r w:rsidR="001B76DB" w:rsidRPr="00BB2D2F">
        <w:rPr>
          <w:rFonts w:ascii="Palatino Linotype" w:eastAsia="Palatino Linotype" w:hAnsi="Palatino Linotype" w:cs="Palatino Linotype"/>
          <w:i/>
        </w:rPr>
        <w:t>.) con la siguiente información de incidencia delictiva o reporte de incidentes, eventos o cualquier registro o documento con el que cuente el sujeto obligado que contenga la siguiente información:</w:t>
      </w:r>
    </w:p>
    <w:p w14:paraId="4C481286" w14:textId="77777777" w:rsidR="001B76DB" w:rsidRPr="00BB2D2F" w:rsidRDefault="001B76DB" w:rsidP="005C0F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BB2D2F">
        <w:rPr>
          <w:rFonts w:ascii="Palatino Linotype" w:eastAsia="Palatino Linotype" w:hAnsi="Palatino Linotype" w:cs="Palatino Linotype"/>
          <w:i/>
        </w:rPr>
        <w:t>● TIPO DE INCIDENTE O EVENTO (es decir hechos presuntamente constitutivos de delito y/o falta administrativa, o situación reportada, cualquiera que esta sea, especificando si el hecho fue con o sin violencia)</w:t>
      </w:r>
    </w:p>
    <w:p w14:paraId="03FB8735" w14:textId="77777777" w:rsidR="001B76DB" w:rsidRPr="00BB2D2F" w:rsidRDefault="001B76DB" w:rsidP="005C0F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BB2D2F">
        <w:rPr>
          <w:rFonts w:ascii="Palatino Linotype" w:eastAsia="Palatino Linotype" w:hAnsi="Palatino Linotype" w:cs="Palatino Linotype"/>
          <w:i/>
        </w:rPr>
        <w:t>● HORA DEL INCIDENTE O EVENTO</w:t>
      </w:r>
    </w:p>
    <w:p w14:paraId="637EBEA3" w14:textId="77777777" w:rsidR="001B76DB" w:rsidRPr="00BB2D2F" w:rsidRDefault="001B76DB" w:rsidP="005C0F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BB2D2F">
        <w:rPr>
          <w:rFonts w:ascii="Palatino Linotype" w:eastAsia="Palatino Linotype" w:hAnsi="Palatino Linotype" w:cs="Palatino Linotype"/>
          <w:i/>
        </w:rPr>
        <w:t>● FECHA (</w:t>
      </w:r>
      <w:proofErr w:type="spellStart"/>
      <w:r w:rsidRPr="00BB2D2F">
        <w:rPr>
          <w:rFonts w:ascii="Palatino Linotype" w:eastAsia="Palatino Linotype" w:hAnsi="Palatino Linotype" w:cs="Palatino Linotype"/>
          <w:i/>
        </w:rPr>
        <w:t>dd</w:t>
      </w:r>
      <w:proofErr w:type="spellEnd"/>
      <w:r w:rsidRPr="00BB2D2F">
        <w:rPr>
          <w:rFonts w:ascii="Palatino Linotype" w:eastAsia="Palatino Linotype" w:hAnsi="Palatino Linotype" w:cs="Palatino Linotype"/>
          <w:i/>
        </w:rPr>
        <w:t>/mm/</w:t>
      </w:r>
      <w:proofErr w:type="spellStart"/>
      <w:r w:rsidRPr="00BB2D2F">
        <w:rPr>
          <w:rFonts w:ascii="Palatino Linotype" w:eastAsia="Palatino Linotype" w:hAnsi="Palatino Linotype" w:cs="Palatino Linotype"/>
          <w:i/>
        </w:rPr>
        <w:t>aaaa</w:t>
      </w:r>
      <w:proofErr w:type="spellEnd"/>
      <w:r w:rsidRPr="00BB2D2F">
        <w:rPr>
          <w:rFonts w:ascii="Palatino Linotype" w:eastAsia="Palatino Linotype" w:hAnsi="Palatino Linotype" w:cs="Palatino Linotype"/>
          <w:i/>
        </w:rPr>
        <w:t>) DEL INCIDENTE O EVENTO</w:t>
      </w:r>
    </w:p>
    <w:p w14:paraId="106470DF" w14:textId="77777777" w:rsidR="001B76DB" w:rsidRPr="00BB2D2F" w:rsidRDefault="001B76DB" w:rsidP="005C0F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BB2D2F">
        <w:rPr>
          <w:rFonts w:ascii="Palatino Linotype" w:eastAsia="Palatino Linotype" w:hAnsi="Palatino Linotype" w:cs="Palatino Linotype"/>
          <w:i/>
        </w:rPr>
        <w:t>● LUGAR DEL INCIDENTE O EVENTO</w:t>
      </w:r>
    </w:p>
    <w:p w14:paraId="784AE5F0" w14:textId="77777777" w:rsidR="001B76DB" w:rsidRPr="00BB2D2F" w:rsidRDefault="001B76DB" w:rsidP="005C0F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BB2D2F">
        <w:rPr>
          <w:rFonts w:ascii="Palatino Linotype" w:eastAsia="Palatino Linotype" w:hAnsi="Palatino Linotype" w:cs="Palatino Linotype"/>
          <w:i/>
        </w:rPr>
        <w:t>● UBICACIÓN DEL INCIDENTE O EVENTO</w:t>
      </w:r>
    </w:p>
    <w:p w14:paraId="6C641A9A" w14:textId="77777777" w:rsidR="001B76DB" w:rsidRPr="00BB2D2F" w:rsidRDefault="001B76DB" w:rsidP="005C0F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BB2D2F">
        <w:rPr>
          <w:rFonts w:ascii="Palatino Linotype" w:eastAsia="Palatino Linotype" w:hAnsi="Palatino Linotype" w:cs="Palatino Linotype"/>
          <w:i/>
        </w:rPr>
        <w:t>● LAS COORDENADAS GEOGRÁFICAS DEL INCIDENTE O EVENTO. ESTABLECIDAS EN LA SECCIÓN “LUGAR DE LA INTERVENCIÓN” DEL INFORME POLICIAL HOMOLOGADO PARA 1) HECHOS PROBABLEMENTE DELICTIVOS O PARA 2) JUSTICIA CÍVICA SEGÚN CORRESPONDA AL TIPO DE INCIDENTE.</w:t>
      </w:r>
    </w:p>
    <w:p w14:paraId="575D6DDF" w14:textId="77777777" w:rsidR="001B76DB" w:rsidRPr="00BB2D2F" w:rsidRDefault="001B76DB" w:rsidP="005C0F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BB2D2F">
        <w:rPr>
          <w:rFonts w:ascii="Palatino Linotype" w:eastAsia="Palatino Linotype" w:hAnsi="Palatino Linotype" w:cs="Palatino Linotype"/>
          <w:i/>
        </w:rPr>
        <w:t>Solicito explícitamente que la información se encuentre desglosada y particularizada por tipo de incidente, por lo que cada uno debe contener su hora, fecha, lugar, ubicación y coordenadas geográficas que le corresponde.</w:t>
      </w:r>
    </w:p>
    <w:p w14:paraId="364CDB74" w14:textId="77777777" w:rsidR="00B13DC9" w:rsidRPr="00BB2D2F" w:rsidRDefault="001B76DB" w:rsidP="005C0F7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BB2D2F">
        <w:rPr>
          <w:rFonts w:ascii="Palatino Linotype" w:eastAsia="Palatino Linotype" w:hAnsi="Palatino Linotype" w:cs="Palatino Linotype"/>
          <w:i/>
        </w:rPr>
        <w:t xml:space="preserve">Requiero se proporcione la información correspondiente al periodo del 1 de enero de 2010 a la fecha de la presente solicitud. </w:t>
      </w:r>
      <w:r w:rsidR="00804EE6" w:rsidRPr="00BB2D2F">
        <w:rPr>
          <w:rFonts w:ascii="Palatino Linotype" w:eastAsia="Palatino Linotype" w:hAnsi="Palatino Linotype" w:cs="Palatino Linotype"/>
          <w:i/>
        </w:rPr>
        <w:t xml:space="preserve">…” (Sic) </w:t>
      </w:r>
    </w:p>
    <w:p w14:paraId="3D8BCA02" w14:textId="77777777" w:rsidR="00B13DC9" w:rsidRPr="00BB2D2F" w:rsidRDefault="00804EE6">
      <w:pPr>
        <w:spacing w:before="240" w:after="240" w:line="360" w:lineRule="auto"/>
        <w:ind w:right="49"/>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En la respuesta del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se advierte que se </w:t>
      </w:r>
      <w:r w:rsidR="001B76DB" w:rsidRPr="00BB2D2F">
        <w:rPr>
          <w:rFonts w:ascii="Palatino Linotype" w:eastAsia="Palatino Linotype" w:hAnsi="Palatino Linotype" w:cs="Palatino Linotype"/>
        </w:rPr>
        <w:t>actualizó el siguiente</w:t>
      </w:r>
      <w:r w:rsidRPr="00BB2D2F">
        <w:rPr>
          <w:rFonts w:ascii="Palatino Linotype" w:eastAsia="Palatino Linotype" w:hAnsi="Palatino Linotype" w:cs="Palatino Linotype"/>
        </w:rPr>
        <w:t xml:space="preserve"> </w:t>
      </w:r>
      <w:r w:rsidR="001B76DB" w:rsidRPr="00BB2D2F">
        <w:rPr>
          <w:rFonts w:ascii="Palatino Linotype" w:eastAsia="Palatino Linotype" w:hAnsi="Palatino Linotype" w:cs="Palatino Linotype"/>
        </w:rPr>
        <w:t>supuesto</w:t>
      </w:r>
      <w:r w:rsidRPr="00BB2D2F">
        <w:rPr>
          <w:rFonts w:ascii="Palatino Linotype" w:eastAsia="Palatino Linotype" w:hAnsi="Palatino Linotype" w:cs="Palatino Linotype"/>
        </w:rPr>
        <w:t xml:space="preserve">: </w:t>
      </w:r>
    </w:p>
    <w:p w14:paraId="36D1728A" w14:textId="77777777" w:rsidR="001B76DB" w:rsidRPr="00BB2D2F" w:rsidRDefault="001B76DB" w:rsidP="001B76DB">
      <w:pPr>
        <w:spacing w:before="240" w:after="240" w:line="360" w:lineRule="auto"/>
        <w:ind w:right="49"/>
        <w:jc w:val="both"/>
        <w:rPr>
          <w:rFonts w:ascii="Palatino Linotype" w:eastAsia="Palatino Linotype" w:hAnsi="Palatino Linotype" w:cs="Palatino Linotype"/>
        </w:rPr>
      </w:pPr>
    </w:p>
    <w:p w14:paraId="1C23DA5F" w14:textId="77777777" w:rsidR="001B76DB" w:rsidRPr="00BB2D2F" w:rsidRDefault="001B76DB" w:rsidP="004D300F">
      <w:pPr>
        <w:pStyle w:val="Prrafodelista"/>
        <w:numPr>
          <w:ilvl w:val="0"/>
          <w:numId w:val="7"/>
        </w:numPr>
        <w:spacing w:before="240" w:after="240" w:line="360" w:lineRule="auto"/>
        <w:ind w:left="0" w:right="49" w:hanging="142"/>
        <w:jc w:val="both"/>
        <w:rPr>
          <w:rFonts w:ascii="Palatino Linotype" w:eastAsia="Palatino Linotype" w:hAnsi="Palatino Linotype" w:cs="Palatino Linotype"/>
        </w:rPr>
      </w:pPr>
      <w:r w:rsidRPr="00BB2D2F">
        <w:rPr>
          <w:rFonts w:ascii="Palatino Linotype" w:eastAsia="Palatino Linotype" w:hAnsi="Palatino Linotype" w:cs="Palatino Linotype"/>
        </w:rPr>
        <w:lastRenderedPageBreak/>
        <w:t xml:space="preserve">El </w:t>
      </w:r>
      <w:proofErr w:type="gramStart"/>
      <w:r w:rsidRPr="00BB2D2F">
        <w:rPr>
          <w:rFonts w:ascii="Palatino Linotype" w:eastAsia="Palatino Linotype" w:hAnsi="Palatino Linotype" w:cs="Palatino Linotype"/>
        </w:rPr>
        <w:t>Secretario Técnico</w:t>
      </w:r>
      <w:proofErr w:type="gramEnd"/>
      <w:r w:rsidRPr="00BB2D2F">
        <w:rPr>
          <w:rFonts w:ascii="Palatino Linotype" w:eastAsia="Palatino Linotype" w:hAnsi="Palatino Linotype" w:cs="Palatino Linotype"/>
        </w:rPr>
        <w:t xml:space="preserve"> del Consejo Municipal de Seguridad Pública hace del conocimiento de la Titular de la Unidad de Transparencia que remite la información en medio magnético, asimismo remite la liga electrónica </w:t>
      </w:r>
      <w:hyperlink r:id="rId14" w:history="1">
        <w:r w:rsidRPr="00BB2D2F">
          <w:rPr>
            <w:rStyle w:val="Hipervnculo"/>
            <w:rFonts w:ascii="Palatino Linotype" w:eastAsia="Palatino Linotype" w:hAnsi="Palatino Linotype" w:cs="Palatino Linotype"/>
            <w:color w:val="auto"/>
          </w:rPr>
          <w:t>https://www.gob.mx/sesnsp/acciones-y-programas/incidencia-delictiva-299891?state=published</w:t>
        </w:r>
      </w:hyperlink>
      <w:r w:rsidRPr="00BB2D2F">
        <w:rPr>
          <w:rFonts w:ascii="Palatino Linotype" w:eastAsia="Palatino Linotype" w:hAnsi="Palatino Linotype" w:cs="Palatino Linotype"/>
        </w:rPr>
        <w:t xml:space="preserve">  en la que manifiesta que puede visualizar la información requerida.</w:t>
      </w:r>
    </w:p>
    <w:p w14:paraId="267D37DE" w14:textId="77777777" w:rsidR="001B76DB" w:rsidRPr="00BB2D2F" w:rsidRDefault="001B76DB" w:rsidP="004D300F">
      <w:pPr>
        <w:pStyle w:val="Prrafodelista"/>
        <w:numPr>
          <w:ilvl w:val="0"/>
          <w:numId w:val="7"/>
        </w:numPr>
        <w:spacing w:before="240" w:after="240" w:line="360" w:lineRule="auto"/>
        <w:ind w:left="0" w:right="49" w:hanging="142"/>
        <w:jc w:val="both"/>
        <w:rPr>
          <w:rFonts w:ascii="Palatino Linotype" w:eastAsia="Palatino Linotype" w:hAnsi="Palatino Linotype" w:cs="Palatino Linotype"/>
        </w:rPr>
      </w:pPr>
      <w:proofErr w:type="gramStart"/>
      <w:r w:rsidRPr="00BB2D2F">
        <w:rPr>
          <w:rFonts w:ascii="Palatino Linotype" w:eastAsia="Palatino Linotype" w:hAnsi="Palatino Linotype" w:cs="Palatino Linotype"/>
        </w:rPr>
        <w:t>Asimismo</w:t>
      </w:r>
      <w:proofErr w:type="gramEnd"/>
      <w:r w:rsidRPr="00BB2D2F">
        <w:rPr>
          <w:rFonts w:ascii="Palatino Linotype" w:eastAsia="Palatino Linotype" w:hAnsi="Palatino Linotype" w:cs="Palatino Linotype"/>
        </w:rPr>
        <w:t xml:space="preserve"> remite el archivo electrónico denominado </w:t>
      </w:r>
      <w:r w:rsidRPr="00BB2D2F">
        <w:rPr>
          <w:rFonts w:ascii="Palatino Linotype" w:eastAsia="Palatino Linotype" w:hAnsi="Palatino Linotype" w:cs="Palatino Linotype"/>
          <w:b/>
          <w:i/>
          <w:sz w:val="22"/>
        </w:rPr>
        <w:t>“INCIDENCIA DELICTIVA MUNICIPAL .xlsx”</w:t>
      </w:r>
      <w:r w:rsidRPr="00BB2D2F">
        <w:rPr>
          <w:rFonts w:ascii="Palatino Linotype" w:eastAsia="Palatino Linotype" w:hAnsi="Palatino Linotype" w:cs="Palatino Linotype"/>
        </w:rPr>
        <w:t>, la cual consiste en una hoja de cálculo en formato Excel, mediante la cual se da cuenta de los hechos delictuosos sus</w:t>
      </w:r>
      <w:r w:rsidR="00C62F89" w:rsidRPr="00BB2D2F">
        <w:rPr>
          <w:rFonts w:ascii="Palatino Linotype" w:eastAsia="Palatino Linotype" w:hAnsi="Palatino Linotype" w:cs="Palatino Linotype"/>
        </w:rPr>
        <w:t xml:space="preserve">citados en el Municipio por mes, </w:t>
      </w:r>
      <w:r w:rsidRPr="00BB2D2F">
        <w:rPr>
          <w:rFonts w:ascii="Palatino Linotype" w:eastAsia="Palatino Linotype" w:hAnsi="Palatino Linotype" w:cs="Palatino Linotype"/>
        </w:rPr>
        <w:t>durante los años 2015-2022.</w:t>
      </w:r>
    </w:p>
    <w:p w14:paraId="2CD512D2" w14:textId="77777777" w:rsidR="00F84CC5" w:rsidRPr="00BB2D2F" w:rsidRDefault="00804EE6" w:rsidP="00F84CC5">
      <w:pPr>
        <w:spacing w:before="240" w:after="240" w:line="360" w:lineRule="auto"/>
        <w:ind w:right="49"/>
        <w:jc w:val="both"/>
        <w:rPr>
          <w:rFonts w:ascii="Palatino Linotype" w:eastAsia="Palatino Linotype" w:hAnsi="Palatino Linotype" w:cs="Palatino Linotype"/>
          <w:i/>
        </w:rPr>
      </w:pPr>
      <w:r w:rsidRPr="00BB2D2F">
        <w:rPr>
          <w:rFonts w:ascii="Palatino Linotype" w:eastAsia="Palatino Linotype" w:hAnsi="Palatino Linotype" w:cs="Palatino Linotype"/>
        </w:rPr>
        <w:t xml:space="preserve">Una vez conocida la respuesta, el particular interpuso el medio de impugnación que nos ocupa, expresando en sus razones o motivos de inconformidad, lo siguiente: </w:t>
      </w:r>
      <w:r w:rsidR="00F84CC5" w:rsidRPr="00BB2D2F">
        <w:rPr>
          <w:rFonts w:ascii="Palatino Linotype" w:eastAsia="Palatino Linotype" w:hAnsi="Palatino Linotype" w:cs="Palatino Linotype"/>
          <w:i/>
        </w:rPr>
        <w:t xml:space="preserve">“En la respuesta recibida vía Plataforma Nacional de Transparencia (PNT), </w:t>
      </w:r>
      <w:r w:rsidR="00F84CC5" w:rsidRPr="00BB2D2F">
        <w:rPr>
          <w:rFonts w:ascii="Palatino Linotype" w:eastAsia="Palatino Linotype" w:hAnsi="Palatino Linotype" w:cs="Palatino Linotype"/>
          <w:b/>
          <w:i/>
          <w:u w:val="single"/>
        </w:rPr>
        <w:t>el Sujeto Obligado entrega la información de manera incompleta. Lo anterior, debido a que solo entrega un estadístico del número de delitos sucedidos en la entidad por mes, sin las características de desglose que solicité, es decir; no contiene 1) faltas administrativas, solo delitos, 2) no contiene hora de los incidentes, 3) no contiene fecha de los incidentes ni tampoco contiene 4) coordenadas y ubicación de los incidentes.</w:t>
      </w:r>
      <w:r w:rsidR="00F84CC5" w:rsidRPr="00BB2D2F">
        <w:rPr>
          <w:rFonts w:ascii="Palatino Linotype" w:eastAsia="Palatino Linotype" w:hAnsi="Palatino Linotype" w:cs="Palatino Linotype"/>
          <w:i/>
        </w:rPr>
        <w:t xml:space="preserve"> Por lo anterior, es mi deseo recurrir la respuesta del sujeto obligado, ya que omitió el envío de la información mencionada en el párrafo anterior. </w:t>
      </w:r>
      <w:r w:rsidR="00F84CC5" w:rsidRPr="00BB2D2F">
        <w:rPr>
          <w:rFonts w:ascii="Palatino Linotype" w:eastAsia="Palatino Linotype" w:hAnsi="Palatino Linotype" w:cs="Palatino Linotype"/>
          <w:b/>
          <w:i/>
          <w:u w:val="single"/>
        </w:rPr>
        <w:t xml:space="preserve">Adicionalmente, me señala que tengo la página del Secretariado Ejecutivo del Sistema Nacional de Seguridad Pública para hacer mi </w:t>
      </w:r>
      <w:proofErr w:type="gramStart"/>
      <w:r w:rsidR="00F84CC5" w:rsidRPr="00BB2D2F">
        <w:rPr>
          <w:rFonts w:ascii="Palatino Linotype" w:eastAsia="Palatino Linotype" w:hAnsi="Palatino Linotype" w:cs="Palatino Linotype"/>
          <w:b/>
          <w:i/>
          <w:u w:val="single"/>
        </w:rPr>
        <w:t>consulta</w:t>
      </w:r>
      <w:proofErr w:type="gramEnd"/>
      <w:r w:rsidR="00F84CC5" w:rsidRPr="00BB2D2F">
        <w:rPr>
          <w:rFonts w:ascii="Palatino Linotype" w:eastAsia="Palatino Linotype" w:hAnsi="Palatino Linotype" w:cs="Palatino Linotype"/>
          <w:b/>
          <w:i/>
          <w:u w:val="single"/>
        </w:rPr>
        <w:t xml:space="preserve"> pero, expresamente le establecí que dicha página no contiene el desglose que requiero, identifico que no se dio correcto trámite a mi solicitud.</w:t>
      </w:r>
      <w:r w:rsidR="00F84CC5" w:rsidRPr="00BB2D2F">
        <w:rPr>
          <w:rFonts w:ascii="Palatino Linotype" w:eastAsia="Palatino Linotype" w:hAnsi="Palatino Linotype" w:cs="Palatino Linotype"/>
          <w:i/>
        </w:rPr>
        <w:t xml:space="preserve"> </w:t>
      </w:r>
      <w:r w:rsidR="00F84CC5" w:rsidRPr="00BB2D2F">
        <w:rPr>
          <w:rFonts w:ascii="Palatino Linotype" w:eastAsia="Palatino Linotype" w:hAnsi="Palatino Linotype" w:cs="Palatino Linotype"/>
          <w:b/>
          <w:i/>
          <w:u w:val="single"/>
        </w:rPr>
        <w:t xml:space="preserve">Debo señalar que me doy por conforme con que solo me sea enviada </w:t>
      </w:r>
      <w:r w:rsidR="00F84CC5" w:rsidRPr="00BB2D2F">
        <w:rPr>
          <w:rFonts w:ascii="Palatino Linotype" w:eastAsia="Palatino Linotype" w:hAnsi="Palatino Linotype" w:cs="Palatino Linotype"/>
          <w:b/>
          <w:i/>
          <w:u w:val="single"/>
        </w:rPr>
        <w:lastRenderedPageBreak/>
        <w:t>la información del presente año 2022 pero con el desglose que solicité…</w:t>
      </w:r>
      <w:r w:rsidR="00F84CC5" w:rsidRPr="00BB2D2F">
        <w:rPr>
          <w:rFonts w:ascii="Palatino Linotype" w:eastAsia="Palatino Linotype" w:hAnsi="Palatino Linotype" w:cs="Palatino Linotype"/>
          <w:i/>
        </w:rPr>
        <w:t xml:space="preserve"> </w:t>
      </w:r>
      <w:r w:rsidR="00F84CC5" w:rsidRPr="00BB2D2F">
        <w:rPr>
          <w:rFonts w:ascii="Palatino Linotype" w:eastAsia="Palatino Linotype" w:hAnsi="Palatino Linotype" w:cs="Palatino Linotype"/>
          <w:b/>
          <w:i/>
          <w:u w:val="single"/>
        </w:rPr>
        <w:t xml:space="preserve">Es importante mencionar que no identifiqué en la respuesta el acta o mención a sesión de Comité de Transparencia que confirmara la inexistencia de la información que se omitió, por lo que no tengo certeza jurídica de que se haya realizado la búsqueda exhaustiva de la información solicitada. </w:t>
      </w:r>
      <w:r w:rsidR="00F84CC5" w:rsidRPr="00BB2D2F">
        <w:rPr>
          <w:rFonts w:ascii="Palatino Linotype" w:eastAsia="Palatino Linotype" w:hAnsi="Palatino Linotype" w:cs="Palatino Linotype"/>
          <w:i/>
        </w:rPr>
        <w:t>De igual manera, considero que el sujeto obligado no agota el principio de exhaustividad al no pronunciarse sobre todos los puntos de mi solicitud ni tampoco el principio de congruencia al no existir concordancia entre lo solicitado y la respuesta del sujeto obligado de acuerdo al Criterio 02/171, emitido por el Peno del Instituto Nacional de Transparencia, Acceso a la Información Pública y Protección de Datos Personales.” (Sic) (Énfasis añadido)</w:t>
      </w:r>
    </w:p>
    <w:p w14:paraId="053FCD99" w14:textId="77777777" w:rsidR="0078537A" w:rsidRPr="00BB2D2F" w:rsidRDefault="00804EE6" w:rsidP="001B76DB">
      <w:pPr>
        <w:spacing w:before="240" w:after="240" w:line="360" w:lineRule="auto"/>
        <w:ind w:right="49"/>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Una vez admitido el recurso de revisión al rubro citado, se vislumbra que </w:t>
      </w:r>
      <w:r w:rsidR="001B76DB" w:rsidRPr="00BB2D2F">
        <w:rPr>
          <w:rFonts w:ascii="Palatino Linotype" w:eastAsia="Palatino Linotype" w:hAnsi="Palatino Linotype" w:cs="Palatino Linotype"/>
        </w:rPr>
        <w:t>las partes fueron omisas en remitir sus manifestaciones, alegatos o cualquier manifestación que a su derecho convenga.</w:t>
      </w:r>
    </w:p>
    <w:p w14:paraId="7BBF08BF" w14:textId="77777777" w:rsidR="0078537A" w:rsidRPr="00BB2D2F" w:rsidRDefault="0078537A" w:rsidP="0078537A">
      <w:pPr>
        <w:spacing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Precisado lo anterior, sobre la </w:t>
      </w:r>
      <w:r w:rsidRPr="00BB2D2F">
        <w:rPr>
          <w:rFonts w:ascii="Palatino Linotype" w:eastAsia="Palatino Linotype" w:hAnsi="Palatino Linotype" w:cs="Palatino Linotype"/>
          <w:b/>
          <w:u w:val="single"/>
        </w:rPr>
        <w:t>naturaleza de la información solicitada</w:t>
      </w:r>
      <w:r w:rsidRPr="00BB2D2F">
        <w:rPr>
          <w:rFonts w:ascii="Palatino Linotype" w:eastAsia="Palatino Linotype" w:hAnsi="Palatino Linotype" w:cs="Palatino Linotype"/>
        </w:rPr>
        <w:t xml:space="preserve">, es oportuno traer a colación, los artículos 5, fracción II, XVII, 7, fracción IX, 19, fracción I, 39, inciso b), fracción VI y XI, 118 de la Ley General del Sistema Nacional de Seguridad Pública; disposición legal que dispone lo siguiente: </w:t>
      </w:r>
    </w:p>
    <w:p w14:paraId="6ABF80FE" w14:textId="77777777" w:rsidR="0078537A" w:rsidRPr="00BB2D2F" w:rsidRDefault="0078537A" w:rsidP="0078537A">
      <w:pPr>
        <w:tabs>
          <w:tab w:val="left" w:pos="7938"/>
        </w:tabs>
        <w:spacing w:line="276" w:lineRule="auto"/>
        <w:ind w:right="900"/>
        <w:jc w:val="both"/>
        <w:rPr>
          <w:rFonts w:ascii="Palatino Linotype" w:eastAsia="Palatino Linotype" w:hAnsi="Palatino Linotype" w:cs="Palatino Linotype"/>
          <w:b/>
          <w:i/>
          <w:sz w:val="22"/>
          <w:szCs w:val="22"/>
        </w:rPr>
      </w:pPr>
    </w:p>
    <w:p w14:paraId="4FC488FB"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“Artículo 5</w:t>
      </w:r>
      <w:r w:rsidRPr="00BB2D2F">
        <w:rPr>
          <w:rFonts w:ascii="Palatino Linotype" w:eastAsia="Palatino Linotype" w:hAnsi="Palatino Linotype" w:cs="Palatino Linotype"/>
          <w:i/>
          <w:sz w:val="22"/>
          <w:szCs w:val="22"/>
        </w:rPr>
        <w:t>.- Para los efectos de esta Ley, se entenderá por:</w:t>
      </w:r>
    </w:p>
    <w:p w14:paraId="41C7F6ED"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w:t>
      </w:r>
    </w:p>
    <w:p w14:paraId="2F58B199"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 xml:space="preserve">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w:t>
      </w:r>
      <w:r w:rsidRPr="00BB2D2F">
        <w:rPr>
          <w:rFonts w:ascii="Palatino Linotype" w:eastAsia="Palatino Linotype" w:hAnsi="Palatino Linotype" w:cs="Palatino Linotype"/>
          <w:i/>
          <w:sz w:val="22"/>
          <w:szCs w:val="22"/>
        </w:rPr>
        <w:lastRenderedPageBreak/>
        <w:t>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78A209B4"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III a XVI…</w:t>
      </w:r>
    </w:p>
    <w:p w14:paraId="7B5B3766"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75692B61"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p>
    <w:p w14:paraId="5EB214A8"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Artículo 7.-</w:t>
      </w:r>
      <w:r w:rsidRPr="00BB2D2F">
        <w:rPr>
          <w:rFonts w:ascii="Palatino Linotype" w:eastAsia="Palatino Linotype" w:hAnsi="Palatino Linotype" w:cs="Palatino Linotype"/>
          <w:i/>
          <w:sz w:val="22"/>
          <w:szCs w:val="22"/>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70CF6AF0"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 a VIII…</w:t>
      </w:r>
    </w:p>
    <w:p w14:paraId="60466755"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14:paraId="07F70252"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Tratándose de manejo de datos que provengan del Registro Nacional de Detenciones se atendrá a lo dispuesto en la Ley Nacional del Registro de Detenciones;</w:t>
      </w:r>
    </w:p>
    <w:p w14:paraId="2A20C07C"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X a XVI…</w:t>
      </w:r>
    </w:p>
    <w:p w14:paraId="45850D78"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p>
    <w:p w14:paraId="1C6285D2"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Artículo 19.-</w:t>
      </w:r>
      <w:r w:rsidRPr="00BB2D2F">
        <w:rPr>
          <w:rFonts w:ascii="Palatino Linotype" w:eastAsia="Palatino Linotype" w:hAnsi="Palatino Linotype" w:cs="Palatino Linotype"/>
          <w:i/>
          <w:sz w:val="22"/>
          <w:szCs w:val="22"/>
        </w:rPr>
        <w:t xml:space="preserve"> El Centro Nacional de Información será el responsable de regular el Sistema Nacional de Información y tendrá, entre otras, las siguientes atribuciones: </w:t>
      </w:r>
    </w:p>
    <w:p w14:paraId="0AB478DF"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 Determinar los criterios técnicos y de homologación de las Bases de Datos que conforman el Sistema Nacional de Información;</w:t>
      </w:r>
    </w:p>
    <w:p w14:paraId="488DC39A"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II a VI…</w:t>
      </w:r>
    </w:p>
    <w:p w14:paraId="0195B474"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p>
    <w:p w14:paraId="673880E2"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BB2D2F">
        <w:rPr>
          <w:rFonts w:ascii="Palatino Linotype" w:eastAsia="Palatino Linotype" w:hAnsi="Palatino Linotype" w:cs="Palatino Linotype"/>
          <w:b/>
          <w:i/>
          <w:sz w:val="22"/>
          <w:szCs w:val="22"/>
          <w:u w:val="single"/>
        </w:rPr>
        <w:lastRenderedPageBreak/>
        <w:t>Artículo 39.- La concurrencia de facultades entre la Federación, las entidades federativas y los Municipios, quedará distribuida conforme a lo siguiente:</w:t>
      </w:r>
    </w:p>
    <w:p w14:paraId="7DB54786"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A…</w:t>
      </w:r>
    </w:p>
    <w:p w14:paraId="2E85DACA"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BB2D2F">
        <w:rPr>
          <w:rFonts w:ascii="Palatino Linotype" w:eastAsia="Palatino Linotype" w:hAnsi="Palatino Linotype" w:cs="Palatino Linotype"/>
          <w:b/>
          <w:i/>
          <w:sz w:val="22"/>
          <w:szCs w:val="22"/>
          <w:u w:val="single"/>
        </w:rPr>
        <w:t>B. Corresponde a la Federación, a las entidades federativas y a los Municipios, en el ámbito de sus respectivas competencias:</w:t>
      </w:r>
    </w:p>
    <w:p w14:paraId="60273BA4"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 a V…</w:t>
      </w:r>
    </w:p>
    <w:p w14:paraId="5C27EEA0"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VI. Designar a un responsable del control, suministro y adecuado manejo de la información a que se refiere esta Ley;</w:t>
      </w:r>
    </w:p>
    <w:p w14:paraId="02FA471F"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XII a X…</w:t>
      </w:r>
    </w:p>
    <w:p w14:paraId="56871F51"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BB2D2F">
        <w:rPr>
          <w:rFonts w:ascii="Palatino Linotype" w:eastAsia="Palatino Linotype" w:hAnsi="Palatino Linotype" w:cs="Palatino Linotype"/>
          <w:b/>
          <w:i/>
          <w:sz w:val="22"/>
          <w:szCs w:val="22"/>
          <w:u w:val="single"/>
        </w:rPr>
        <w:t xml:space="preserve">XI. Integrar y consultar la información relativa a la operación y Desarrollo Policial para el registro y seguimiento en el Sistema Nacional de Información; </w:t>
      </w:r>
    </w:p>
    <w:p w14:paraId="18C942F8"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XII a XV…</w:t>
      </w:r>
    </w:p>
    <w:p w14:paraId="7C1AD4B8"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p>
    <w:p w14:paraId="2C5F92A0"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Artículo 118.-</w:t>
      </w:r>
      <w:r w:rsidRPr="00BB2D2F">
        <w:rPr>
          <w:rFonts w:ascii="Palatino Linotype" w:eastAsia="Palatino Linotype" w:hAnsi="Palatino Linotype" w:cs="Palatino Linotype"/>
          <w:i/>
          <w:sz w:val="22"/>
          <w:szCs w:val="22"/>
        </w:rPr>
        <w:t xml:space="preserve"> Las Bases de Datos que integran el Sistema Nacional de Información se actualizarán permanentemente y serán de consulta obligatoria para garantizar la efectividad en las actividades de Seguridad Pública. </w:t>
      </w:r>
    </w:p>
    <w:p w14:paraId="6988E0A9"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431F99BF"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El Registro Nacional de Detenciones se vinculará con las Bases de Datos a que se refiere el presente artículo, mediante el número de identificación al que hace referencia la ley de la materia.”</w:t>
      </w:r>
    </w:p>
    <w:p w14:paraId="2E5A12DF"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p>
    <w:p w14:paraId="5092D0B9" w14:textId="77777777" w:rsidR="0078537A" w:rsidRPr="00BB2D2F" w:rsidRDefault="0078537A" w:rsidP="0078537A">
      <w:pPr>
        <w:tabs>
          <w:tab w:val="left" w:pos="7938"/>
        </w:tabs>
        <w:spacing w:before="240" w:after="240" w:line="360" w:lineRule="auto"/>
        <w:jc w:val="center"/>
        <w:rPr>
          <w:rFonts w:ascii="Palatino Linotype" w:eastAsia="Palatino Linotype" w:hAnsi="Palatino Linotype" w:cs="Palatino Linotype"/>
          <w:b/>
        </w:rPr>
      </w:pPr>
      <w:r w:rsidRPr="00BB2D2F">
        <w:rPr>
          <w:rFonts w:ascii="Palatino Linotype" w:eastAsia="Palatino Linotype" w:hAnsi="Palatino Linotype" w:cs="Palatino Linotype"/>
          <w:b/>
        </w:rPr>
        <w:t>Ley de Seguridad del Estado de México</w:t>
      </w:r>
    </w:p>
    <w:p w14:paraId="2B5E2FA3" w14:textId="77777777" w:rsidR="0078537A" w:rsidRPr="00BB2D2F" w:rsidRDefault="0078537A" w:rsidP="0078537A">
      <w:pPr>
        <w:tabs>
          <w:tab w:val="left" w:pos="7938"/>
        </w:tabs>
        <w:spacing w:before="240" w:after="240" w:line="360" w:lineRule="auto"/>
        <w:jc w:val="both"/>
        <w:rPr>
          <w:rFonts w:ascii="Palatino Linotype" w:eastAsia="Palatino Linotype" w:hAnsi="Palatino Linotype" w:cs="Palatino Linotype"/>
          <w:b/>
        </w:rPr>
      </w:pPr>
      <w:r w:rsidRPr="00BB2D2F">
        <w:rPr>
          <w:rFonts w:ascii="Palatino Linotype" w:eastAsia="Palatino Linotype" w:hAnsi="Palatino Linotype" w:cs="Palatino Linotype"/>
          <w:b/>
        </w:rPr>
        <w:t>Decreto número 360 publicado en el Periódico Oficial “Gaceta del Gobierno” del Estado de México, el diecinueve de octubre</w:t>
      </w:r>
      <w:r w:rsidRPr="00BB2D2F">
        <w:rPr>
          <w:rFonts w:ascii="Palatino Linotype" w:eastAsia="Palatino Linotype" w:hAnsi="Palatino Linotype" w:cs="Palatino Linotype"/>
          <w:b/>
          <w:u w:val="single"/>
        </w:rPr>
        <w:t xml:space="preserve"> de dos mil once</w:t>
      </w:r>
      <w:r w:rsidRPr="00BB2D2F">
        <w:rPr>
          <w:rFonts w:ascii="Palatino Linotype" w:eastAsia="Palatino Linotype" w:hAnsi="Palatino Linotype" w:cs="Palatino Linotype"/>
          <w:b/>
        </w:rPr>
        <w:t>.</w:t>
      </w:r>
    </w:p>
    <w:p w14:paraId="57563F4E" w14:textId="77777777" w:rsidR="0078537A" w:rsidRPr="00BB2D2F" w:rsidRDefault="0078537A" w:rsidP="0078537A">
      <w:pPr>
        <w:tabs>
          <w:tab w:val="left" w:pos="7938"/>
        </w:tabs>
        <w:spacing w:before="240" w:after="240" w:line="360" w:lineRule="auto"/>
        <w:jc w:val="center"/>
        <w:rPr>
          <w:rFonts w:ascii="Palatino Linotype" w:eastAsia="Palatino Linotype" w:hAnsi="Palatino Linotype" w:cs="Palatino Linotype"/>
          <w:b/>
        </w:rPr>
      </w:pPr>
      <w:r w:rsidRPr="00BB2D2F">
        <w:rPr>
          <w:rFonts w:ascii="Palatino Linotype" w:eastAsia="Palatino Linotype" w:hAnsi="Palatino Linotype" w:cs="Palatino Linotype"/>
          <w:i/>
          <w:noProof/>
          <w:lang w:val="es-MX"/>
        </w:rPr>
        <w:lastRenderedPageBreak/>
        <w:drawing>
          <wp:inline distT="0" distB="0" distL="0" distR="0" wp14:anchorId="6D5656DF" wp14:editId="244FAC70">
            <wp:extent cx="4964433" cy="4812167"/>
            <wp:effectExtent l="0" t="0" r="0" b="0"/>
            <wp:docPr id="1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4964433" cy="4812167"/>
                    </a:xfrm>
                    <a:prstGeom prst="rect">
                      <a:avLst/>
                    </a:prstGeom>
                    <a:ln/>
                  </pic:spPr>
                </pic:pic>
              </a:graphicData>
            </a:graphic>
          </wp:inline>
        </w:drawing>
      </w:r>
    </w:p>
    <w:p w14:paraId="22C76AEE"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p>
    <w:p w14:paraId="575DECE6" w14:textId="77777777" w:rsidR="0078537A" w:rsidRPr="00BB2D2F" w:rsidRDefault="0078537A" w:rsidP="0078537A">
      <w:pPr>
        <w:tabs>
          <w:tab w:val="left" w:pos="7513"/>
        </w:tabs>
        <w:spacing w:line="360" w:lineRule="auto"/>
        <w:ind w:right="49"/>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rPr>
        <w:t>Por otra parte, los numerales 125, fracción VIII y 142 de la Ley Orgánica Municipal del Estado de México, señala lo siguiente:</w:t>
      </w:r>
      <w:r w:rsidRPr="00BB2D2F">
        <w:rPr>
          <w:rFonts w:ascii="Palatino Linotype" w:eastAsia="Palatino Linotype" w:hAnsi="Palatino Linotype" w:cs="Palatino Linotype"/>
          <w:b/>
          <w:i/>
          <w:sz w:val="22"/>
          <w:szCs w:val="22"/>
        </w:rPr>
        <w:t xml:space="preserve"> </w:t>
      </w:r>
    </w:p>
    <w:p w14:paraId="4956157C"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b/>
          <w:i/>
          <w:sz w:val="22"/>
          <w:szCs w:val="22"/>
        </w:rPr>
      </w:pPr>
    </w:p>
    <w:p w14:paraId="06831F66"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“Artículo 125</w:t>
      </w:r>
      <w:r w:rsidRPr="00BB2D2F">
        <w:rPr>
          <w:rFonts w:ascii="Palatino Linotype" w:eastAsia="Palatino Linotype" w:hAnsi="Palatino Linotype" w:cs="Palatino Linotype"/>
          <w:i/>
          <w:sz w:val="22"/>
          <w:szCs w:val="22"/>
        </w:rPr>
        <w:t>.- Los municipios tendrán a su cargo la prestación, explotación, administración y conservación de los servicios públicos municipales, considerándose enunciativa y no limitativamente, los siguientes:</w:t>
      </w:r>
    </w:p>
    <w:p w14:paraId="6F584E5D"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 a VII…</w:t>
      </w:r>
    </w:p>
    <w:p w14:paraId="29C33C79"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VIII. Seguridad pública y tránsito;</w:t>
      </w:r>
    </w:p>
    <w:p w14:paraId="41F3BD02"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IX a XI…</w:t>
      </w:r>
    </w:p>
    <w:p w14:paraId="3EA6C168"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p>
    <w:p w14:paraId="1E5677CB"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Artículo 142</w:t>
      </w:r>
      <w:r w:rsidRPr="00BB2D2F">
        <w:rPr>
          <w:rFonts w:ascii="Palatino Linotype" w:eastAsia="Palatino Linotype" w:hAnsi="Palatino Linotype" w:cs="Palatino Linotype"/>
          <w:i/>
          <w:sz w:val="22"/>
          <w:szCs w:val="22"/>
        </w:rPr>
        <w:t xml:space="preserve">.- Las funciones de seguridad pública del municipio en su respectivo ámbito de competencia, estarán a cargo de un </w:t>
      </w:r>
      <w:proofErr w:type="gramStart"/>
      <w:r w:rsidRPr="00BB2D2F">
        <w:rPr>
          <w:rFonts w:ascii="Palatino Linotype" w:eastAsia="Palatino Linotype" w:hAnsi="Palatino Linotype" w:cs="Palatino Linotype"/>
          <w:i/>
          <w:sz w:val="22"/>
          <w:szCs w:val="22"/>
        </w:rPr>
        <w:t>Director</w:t>
      </w:r>
      <w:proofErr w:type="gramEnd"/>
      <w:r w:rsidRPr="00BB2D2F">
        <w:rPr>
          <w:rFonts w:ascii="Palatino Linotype" w:eastAsia="Palatino Linotype" w:hAnsi="Palatino Linotype" w:cs="Palatino Linotype"/>
          <w:i/>
          <w:sz w:val="22"/>
          <w:szCs w:val="22"/>
        </w:rPr>
        <w:t xml:space="preserve"> de Seguridad Pública Municipal o su equivalente, el cual deberá ser nombrado en los términos y requisitos establecidos en la Ley de Seguridad del Estado de México.</w:t>
      </w:r>
    </w:p>
    <w:p w14:paraId="763E6562"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p>
    <w:p w14:paraId="52C45B1C" w14:textId="77777777" w:rsidR="0078537A" w:rsidRPr="00BB2D2F" w:rsidRDefault="0078537A" w:rsidP="0078537A">
      <w:pPr>
        <w:tabs>
          <w:tab w:val="left" w:pos="7938"/>
        </w:tabs>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 xml:space="preserve"> En cada municipio se deberán integrar cuerpos de seguridad pública, de bomberos y, en su caso, de tránsito, estos servidores públicos preferentemente serán vecinos del municipio, de los cuales el presidente municipal será el jefe inmediato.”</w:t>
      </w:r>
    </w:p>
    <w:p w14:paraId="51E81A69" w14:textId="77777777" w:rsidR="0078537A" w:rsidRPr="00BB2D2F" w:rsidRDefault="0078537A" w:rsidP="0078537A">
      <w:pPr>
        <w:spacing w:line="360" w:lineRule="auto"/>
        <w:ind w:left="567"/>
        <w:jc w:val="both"/>
        <w:rPr>
          <w:rFonts w:ascii="Palatino Linotype" w:eastAsia="Palatino Linotype" w:hAnsi="Palatino Linotype" w:cs="Palatino Linotype"/>
          <w:i/>
          <w:sz w:val="22"/>
          <w:szCs w:val="22"/>
        </w:rPr>
      </w:pPr>
    </w:p>
    <w:p w14:paraId="504A14CC" w14:textId="77777777" w:rsidR="0078537A" w:rsidRPr="00BB2D2F" w:rsidRDefault="0078537A" w:rsidP="0078537A">
      <w:pPr>
        <w:spacing w:before="240" w:after="240" w:line="360" w:lineRule="auto"/>
        <w:jc w:val="both"/>
        <w:rPr>
          <w:rFonts w:ascii="Palatino Linotype" w:eastAsia="Palatino Linotype" w:hAnsi="Palatino Linotype" w:cs="Palatino Linotype"/>
          <w:b/>
        </w:rPr>
      </w:pPr>
      <w:r w:rsidRPr="00BB2D2F">
        <w:rPr>
          <w:rFonts w:ascii="Palatino Linotype" w:eastAsia="Palatino Linotype" w:hAnsi="Palatino Linotype" w:cs="Palatino Linotype"/>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r w:rsidRPr="00BB2D2F">
        <w:rPr>
          <w:rFonts w:ascii="Palatino Linotype" w:eastAsia="Palatino Linotype" w:hAnsi="Palatino Linotype" w:cs="Palatino Linotype"/>
          <w:b/>
        </w:rPr>
        <w:t xml:space="preserve">máxime que, desde la entrada en vigor de la Ley de Seguridad del Estado de México </w:t>
      </w:r>
      <w:r w:rsidRPr="00BB2D2F">
        <w:rPr>
          <w:rFonts w:ascii="Palatino Linotype" w:eastAsia="Palatino Linotype" w:hAnsi="Palatino Linotype" w:cs="Palatino Linotype"/>
          <w:b/>
          <w:i/>
        </w:rPr>
        <w:t xml:space="preserve">-el 20 de octubre de 2011- </w:t>
      </w:r>
      <w:r w:rsidRPr="00BB2D2F">
        <w:rPr>
          <w:rFonts w:ascii="Palatino Linotype" w:eastAsia="Palatino Linotype" w:hAnsi="Palatino Linotype" w:cs="Palatino Linotype"/>
          <w:b/>
        </w:rPr>
        <w:t xml:space="preserve">se desprende la atribución expresa para que, el Director de Seguridad Pública Municipal, </w:t>
      </w:r>
      <w:r w:rsidRPr="00BB2D2F">
        <w:rPr>
          <w:rFonts w:ascii="Palatino Linotype" w:eastAsia="Palatino Linotype" w:hAnsi="Palatino Linotype" w:cs="Palatino Linotype"/>
        </w:rPr>
        <w:t xml:space="preserve"> entre otras cosas, </w:t>
      </w:r>
      <w:r w:rsidRPr="00BB2D2F">
        <w:rPr>
          <w:rFonts w:ascii="Palatino Linotype" w:eastAsia="Palatino Linotype" w:hAnsi="Palatino Linotype" w:cs="Palatino Linotype"/>
          <w:b/>
        </w:rPr>
        <w:t xml:space="preserve">genere estadística delictiva. </w:t>
      </w:r>
    </w:p>
    <w:p w14:paraId="450CAA1B" w14:textId="77777777" w:rsidR="0078537A" w:rsidRPr="00BB2D2F" w:rsidRDefault="0078537A" w:rsidP="0078537A">
      <w:pPr>
        <w:spacing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Así las cosas,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14:paraId="11E6990A" w14:textId="77777777" w:rsidR="0078537A" w:rsidRPr="00BB2D2F" w:rsidRDefault="0078537A" w:rsidP="0078537A">
      <w:pPr>
        <w:spacing w:line="360" w:lineRule="auto"/>
        <w:jc w:val="both"/>
        <w:rPr>
          <w:rFonts w:ascii="Palatino Linotype" w:eastAsia="Palatino Linotype" w:hAnsi="Palatino Linotype" w:cs="Palatino Linotype"/>
          <w:sz w:val="22"/>
          <w:szCs w:val="22"/>
        </w:rPr>
      </w:pPr>
    </w:p>
    <w:p w14:paraId="5689D632"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lastRenderedPageBreak/>
        <w:t>“Artículo 24</w:t>
      </w:r>
      <w:r w:rsidRPr="00BB2D2F">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00EB1389"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 a XI…</w:t>
      </w:r>
    </w:p>
    <w:p w14:paraId="55591A4D"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XII. Publicar y mantener actualizada la información relativa a las obligaciones generales de transparencia previstas en la presente Ley o determinadas así por el Instituto, y en general aquella que sea de interés público;</w:t>
      </w:r>
    </w:p>
    <w:p w14:paraId="5652EA44"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XIII a XXV…</w:t>
      </w:r>
    </w:p>
    <w:p w14:paraId="45F22664"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p>
    <w:p w14:paraId="75B7B58C"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Artículo 92.</w:t>
      </w:r>
      <w:r w:rsidRPr="00BB2D2F">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BCB94B"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 a XXXIII…</w:t>
      </w:r>
    </w:p>
    <w:p w14:paraId="1A1D286C"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XXXIV. Las estadísticas que generen en cumplimiento de sus facultades, competencias o funciones con la mayor desagregación posible</w:t>
      </w:r>
    </w:p>
    <w:p w14:paraId="6BA47739"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XXXV a LII…”</w:t>
      </w:r>
    </w:p>
    <w:p w14:paraId="1F7EA432" w14:textId="77777777" w:rsidR="0078537A" w:rsidRPr="00BB2D2F" w:rsidRDefault="0078537A" w:rsidP="0078537A">
      <w:pPr>
        <w:spacing w:line="360" w:lineRule="auto"/>
        <w:ind w:left="567"/>
        <w:jc w:val="both"/>
        <w:rPr>
          <w:rFonts w:ascii="Palatino Linotype" w:eastAsia="Palatino Linotype" w:hAnsi="Palatino Linotype" w:cs="Palatino Linotype"/>
          <w:i/>
          <w:sz w:val="22"/>
          <w:szCs w:val="22"/>
        </w:rPr>
      </w:pPr>
    </w:p>
    <w:p w14:paraId="586DC796" w14:textId="77777777" w:rsidR="0078537A" w:rsidRPr="00BB2D2F" w:rsidRDefault="0078537A" w:rsidP="0078537A">
      <w:pPr>
        <w:spacing w:line="360" w:lineRule="auto"/>
        <w:jc w:val="both"/>
        <w:rPr>
          <w:rFonts w:ascii="Palatino Linotype" w:eastAsia="Palatino Linotype" w:hAnsi="Palatino Linotype" w:cs="Palatino Linotype"/>
          <w:sz w:val="22"/>
          <w:szCs w:val="22"/>
        </w:rPr>
      </w:pPr>
      <w:r w:rsidRPr="00BB2D2F">
        <w:rPr>
          <w:rFonts w:ascii="Palatino Linotype" w:eastAsia="Palatino Linotype" w:hAnsi="Palatino Linotype" w:cs="Palatino Linotype"/>
        </w:rPr>
        <w:t>De forma complementaria, resulta de nuestro particular interés el criterio 11/09 emitido por el hoy Instituto Nacional de Transparencia, Acceso a la Información y Protección de Datos Personales, que a la letra dispone lo siguiente</w:t>
      </w:r>
      <w:r w:rsidRPr="00BB2D2F">
        <w:rPr>
          <w:rFonts w:ascii="Palatino Linotype" w:eastAsia="Palatino Linotype" w:hAnsi="Palatino Linotype" w:cs="Palatino Linotype"/>
          <w:sz w:val="22"/>
          <w:szCs w:val="22"/>
        </w:rPr>
        <w:t>:</w:t>
      </w:r>
    </w:p>
    <w:p w14:paraId="068EB2E4" w14:textId="77777777" w:rsidR="0078537A" w:rsidRPr="00BB2D2F" w:rsidRDefault="0078537A" w:rsidP="0078537A">
      <w:pPr>
        <w:spacing w:line="360" w:lineRule="auto"/>
        <w:jc w:val="both"/>
        <w:rPr>
          <w:rFonts w:ascii="Palatino Linotype" w:eastAsia="Palatino Linotype" w:hAnsi="Palatino Linotype" w:cs="Palatino Linotype"/>
          <w:sz w:val="22"/>
          <w:szCs w:val="22"/>
        </w:rPr>
      </w:pPr>
    </w:p>
    <w:p w14:paraId="2B718FCC" w14:textId="77777777" w:rsidR="0078537A" w:rsidRPr="00BB2D2F" w:rsidRDefault="0078537A" w:rsidP="0078537A">
      <w:pPr>
        <w:spacing w:line="276" w:lineRule="auto"/>
        <w:ind w:left="1134" w:right="900"/>
        <w:jc w:val="both"/>
        <w:rPr>
          <w:rFonts w:ascii="Palatino Linotype" w:eastAsia="Palatino Linotype" w:hAnsi="Palatino Linotype" w:cs="Palatino Linotype"/>
          <w:b/>
          <w:i/>
          <w:sz w:val="22"/>
          <w:szCs w:val="22"/>
        </w:rPr>
      </w:pPr>
      <w:r w:rsidRPr="00BB2D2F">
        <w:rPr>
          <w:rFonts w:ascii="Palatino Linotype" w:eastAsia="Palatino Linotype" w:hAnsi="Palatino Linotype" w:cs="Palatino Linotype"/>
          <w:b/>
          <w:i/>
          <w:sz w:val="22"/>
          <w:szCs w:val="22"/>
        </w:rPr>
        <w:t>“LA INFORMACIÓN ESTADÍSTICA ES DE NATURALEZA PÚBLICA, INDEPENDIENTEMENTE DE LA MATERIA CON LA QUE SE ENCUENTRE VINCULADA.</w:t>
      </w:r>
    </w:p>
    <w:p w14:paraId="3EA65D13"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w:t>
      </w:r>
      <w:r w:rsidRPr="00BB2D2F">
        <w:rPr>
          <w:rFonts w:ascii="Palatino Linotype" w:eastAsia="Palatino Linotype" w:hAnsi="Palatino Linotype" w:cs="Palatino Linotype"/>
          <w:i/>
          <w:sz w:val="22"/>
          <w:szCs w:val="22"/>
        </w:rPr>
        <w:lastRenderedPageBreak/>
        <w:t>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0F4D8530" w14:textId="77777777" w:rsidR="0078537A" w:rsidRPr="00BB2D2F" w:rsidRDefault="0078537A" w:rsidP="0078537A">
      <w:pPr>
        <w:spacing w:line="360" w:lineRule="auto"/>
        <w:jc w:val="both"/>
        <w:rPr>
          <w:rFonts w:ascii="Palatino Linotype" w:eastAsia="Palatino Linotype" w:hAnsi="Palatino Linotype" w:cs="Palatino Linotype"/>
          <w:sz w:val="22"/>
          <w:szCs w:val="22"/>
        </w:rPr>
      </w:pPr>
    </w:p>
    <w:p w14:paraId="2BFB2967" w14:textId="77777777" w:rsidR="0078537A" w:rsidRPr="00BB2D2F" w:rsidRDefault="0078537A" w:rsidP="0078537A">
      <w:pPr>
        <w:spacing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Así las cosas, se atrae al estudio los Lineamientos para el Llenado, Entrega, Recepción, Registro, Resguardo y Consulta del Informe Policial Homologado; véase: </w:t>
      </w:r>
      <w:hyperlink r:id="rId16">
        <w:r w:rsidRPr="00BB2D2F">
          <w:rPr>
            <w:rFonts w:ascii="Palatino Linotype" w:eastAsia="Palatino Linotype" w:hAnsi="Palatino Linotype" w:cs="Palatino Linotype"/>
            <w:u w:val="single"/>
          </w:rPr>
          <w:t>https://www.dof.gob.mx/nota_detalle.php?codigo=5587157&amp;fecha=21/02/2020</w:t>
        </w:r>
      </w:hyperlink>
      <w:r w:rsidRPr="00BB2D2F">
        <w:rPr>
          <w:rFonts w:ascii="Palatino Linotype" w:eastAsia="Palatino Linotype" w:hAnsi="Palatino Linotype" w:cs="Palatino Linotype"/>
        </w:rPr>
        <w:t xml:space="preserve"> y de los cuales, se inserta lo siguiente:</w:t>
      </w:r>
    </w:p>
    <w:p w14:paraId="5D701947" w14:textId="77777777" w:rsidR="0078537A" w:rsidRPr="00BB2D2F" w:rsidRDefault="0078537A" w:rsidP="0078537A">
      <w:pPr>
        <w:spacing w:line="360" w:lineRule="auto"/>
        <w:ind w:right="539"/>
        <w:rPr>
          <w:rFonts w:ascii="Palatino Linotype" w:eastAsia="Palatino Linotype" w:hAnsi="Palatino Linotype" w:cs="Palatino Linotype"/>
        </w:rPr>
      </w:pPr>
    </w:p>
    <w:p w14:paraId="30868FDC" w14:textId="77777777" w:rsidR="0078537A" w:rsidRPr="00BB2D2F" w:rsidRDefault="0078537A" w:rsidP="0078537A">
      <w:pPr>
        <w:spacing w:line="276" w:lineRule="auto"/>
        <w:ind w:left="1134" w:right="900"/>
        <w:jc w:val="both"/>
        <w:rPr>
          <w:rFonts w:ascii="Palatino Linotype" w:eastAsia="Palatino Linotype" w:hAnsi="Palatino Linotype" w:cs="Palatino Linotype"/>
          <w:b/>
          <w:i/>
          <w:sz w:val="22"/>
          <w:szCs w:val="22"/>
        </w:rPr>
      </w:pPr>
      <w:r w:rsidRPr="00BB2D2F">
        <w:rPr>
          <w:rFonts w:ascii="Palatino Linotype" w:eastAsia="Palatino Linotype" w:hAnsi="Palatino Linotype" w:cs="Palatino Linotype"/>
          <w:b/>
          <w:i/>
          <w:sz w:val="22"/>
          <w:szCs w:val="22"/>
        </w:rPr>
        <w:t>PRIMERO. OBJETO Y ÁMBITO DE APLICACIÓN.</w:t>
      </w:r>
    </w:p>
    <w:p w14:paraId="3549C74F"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p>
    <w:p w14:paraId="6A6FFA1D"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 xml:space="preserve">El Informe Policial Homologado es el medio a través del cual </w:t>
      </w:r>
      <w:r w:rsidRPr="00BB2D2F">
        <w:rPr>
          <w:rFonts w:ascii="Palatino Linotype" w:eastAsia="Palatino Linotype" w:hAnsi="Palatino Linotype" w:cs="Palatino Linotype"/>
          <w:b/>
          <w:i/>
          <w:sz w:val="22"/>
          <w:szCs w:val="22"/>
        </w:rPr>
        <w:t>los integrantes de las instituciones policiales documentan la información relacionada con las puestas a disposición de personas y/o de objetos derivados de su intervención</w:t>
      </w:r>
      <w:r w:rsidRPr="00BB2D2F">
        <w:rPr>
          <w:rFonts w:ascii="Palatino Linotype" w:eastAsia="Palatino Linotype" w:hAnsi="Palatino Linotype" w:cs="Palatino Linotype"/>
          <w:i/>
          <w:sz w:val="22"/>
          <w:szCs w:val="22"/>
        </w:rPr>
        <w:t>, a las autoridades competentes.</w:t>
      </w:r>
    </w:p>
    <w:p w14:paraId="64DB1143"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p>
    <w:p w14:paraId="4332124E"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 xml:space="preserve">El Informe Policial Homologado tiene como objeto </w:t>
      </w:r>
      <w:proofErr w:type="spellStart"/>
      <w:r w:rsidRPr="00BB2D2F">
        <w:rPr>
          <w:rFonts w:ascii="Palatino Linotype" w:eastAsia="Palatino Linotype" w:hAnsi="Palatino Linotype" w:cs="Palatino Linotype"/>
          <w:i/>
          <w:sz w:val="22"/>
          <w:szCs w:val="22"/>
        </w:rPr>
        <w:t>eficientar</w:t>
      </w:r>
      <w:proofErr w:type="spellEnd"/>
      <w:r w:rsidRPr="00BB2D2F">
        <w:rPr>
          <w:rFonts w:ascii="Palatino Linotype" w:eastAsia="Palatino Linotype" w:hAnsi="Palatino Linotype" w:cs="Palatino Linotype"/>
          <w:i/>
          <w:sz w:val="22"/>
          <w:szCs w:val="22"/>
        </w:rPr>
        <w:t xml:space="preserve"> las puestas a disposición, garantizar el debido proceso, y fomentar el uso de la información para acciones de inteligencia.</w:t>
      </w:r>
    </w:p>
    <w:p w14:paraId="72F50171"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p>
    <w:p w14:paraId="3C45345A"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Los presentes Lineamientos tienen como objeto señalar los criterios respecto a lo siguiente:</w:t>
      </w:r>
    </w:p>
    <w:p w14:paraId="45F6348A"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I a V …</w:t>
      </w:r>
    </w:p>
    <w:p w14:paraId="114A75CA"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VI.   Resguardo de la base de datos del IPH en el Sistema Nacional de Información en Seguridad Pública;</w:t>
      </w:r>
    </w:p>
    <w:p w14:paraId="7095902F"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VII a IX…</w:t>
      </w:r>
    </w:p>
    <w:p w14:paraId="34C9580E" w14:textId="77777777" w:rsidR="0078537A" w:rsidRPr="00BB2D2F" w:rsidRDefault="0078537A" w:rsidP="0078537A">
      <w:pPr>
        <w:spacing w:line="276" w:lineRule="auto"/>
        <w:ind w:left="1134" w:right="900"/>
        <w:jc w:val="both"/>
        <w:rPr>
          <w:rFonts w:ascii="Palatino Linotype" w:eastAsia="Palatino Linotype" w:hAnsi="Palatino Linotype" w:cs="Palatino Linotype"/>
          <w:b/>
          <w:i/>
          <w:sz w:val="22"/>
          <w:szCs w:val="22"/>
        </w:rPr>
      </w:pPr>
    </w:p>
    <w:p w14:paraId="2B43EA07" w14:textId="77777777" w:rsidR="0078537A" w:rsidRPr="00BB2D2F" w:rsidRDefault="0078537A" w:rsidP="0078537A">
      <w:pPr>
        <w:spacing w:line="276" w:lineRule="auto"/>
        <w:ind w:left="1134" w:right="900"/>
        <w:jc w:val="both"/>
        <w:rPr>
          <w:rFonts w:ascii="Palatino Linotype" w:eastAsia="Palatino Linotype" w:hAnsi="Palatino Linotype" w:cs="Palatino Linotype"/>
          <w:b/>
          <w:i/>
          <w:sz w:val="22"/>
          <w:szCs w:val="22"/>
        </w:rPr>
      </w:pPr>
      <w:r w:rsidRPr="00BB2D2F">
        <w:rPr>
          <w:rFonts w:ascii="Palatino Linotype" w:eastAsia="Palatino Linotype" w:hAnsi="Palatino Linotype" w:cs="Palatino Linotype"/>
          <w:b/>
          <w:i/>
          <w:sz w:val="22"/>
          <w:szCs w:val="22"/>
        </w:rPr>
        <w:t>SEGUNDO. GLOSARIO DE TÉRMINOS.</w:t>
      </w:r>
    </w:p>
    <w:p w14:paraId="6775D952" w14:textId="77777777" w:rsidR="0078537A" w:rsidRPr="00BB2D2F" w:rsidRDefault="0078537A" w:rsidP="0078537A">
      <w:pPr>
        <w:spacing w:line="276" w:lineRule="auto"/>
        <w:ind w:left="1134" w:right="900"/>
        <w:jc w:val="both"/>
        <w:rPr>
          <w:rFonts w:ascii="Palatino Linotype" w:eastAsia="Palatino Linotype" w:hAnsi="Palatino Linotype" w:cs="Palatino Linotype"/>
          <w:b/>
          <w:i/>
          <w:sz w:val="22"/>
          <w:szCs w:val="22"/>
        </w:rPr>
      </w:pPr>
    </w:p>
    <w:p w14:paraId="2F1F0345"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lastRenderedPageBreak/>
        <w:t>I a IX…</w:t>
      </w:r>
    </w:p>
    <w:p w14:paraId="53CD37CC"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X. IPH: El Informe Policial Homologado de hechos probablemente delictivos o de infracciones administrativas, mismo que puede ser en versión impresa o electrónica.</w:t>
      </w:r>
    </w:p>
    <w:p w14:paraId="02E25CC3"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p>
    <w:p w14:paraId="410D5B8A" w14:textId="77777777" w:rsidR="0078537A" w:rsidRPr="00BB2D2F" w:rsidRDefault="0078537A" w:rsidP="0078537A">
      <w:pPr>
        <w:spacing w:line="276" w:lineRule="auto"/>
        <w:ind w:left="1134" w:right="900"/>
        <w:jc w:val="both"/>
        <w:rPr>
          <w:rFonts w:ascii="Palatino Linotype" w:eastAsia="Palatino Linotype" w:hAnsi="Palatino Linotype" w:cs="Palatino Linotype"/>
          <w:b/>
          <w:i/>
          <w:sz w:val="22"/>
          <w:szCs w:val="22"/>
        </w:rPr>
      </w:pPr>
      <w:r w:rsidRPr="00BB2D2F">
        <w:rPr>
          <w:rFonts w:ascii="Palatino Linotype" w:eastAsia="Palatino Linotype" w:hAnsi="Palatino Linotype" w:cs="Palatino Linotype"/>
          <w:b/>
          <w:i/>
          <w:sz w:val="22"/>
          <w:szCs w:val="22"/>
        </w:rPr>
        <w:t>DÉCIMO TERCERO. ENTREGA Y RECEPCIÓN DEL IPH.</w:t>
      </w:r>
    </w:p>
    <w:p w14:paraId="387D878A"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p>
    <w:p w14:paraId="42C591C6"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 xml:space="preserve">Los integrantes de las instituciones policiales de los tres órdenes de gobierno que realicen el llenado del IPH, </w:t>
      </w:r>
      <w:r w:rsidRPr="00BB2D2F">
        <w:rPr>
          <w:rFonts w:ascii="Palatino Linotype" w:eastAsia="Palatino Linotype" w:hAnsi="Palatino Linotype" w:cs="Palatino Linotype"/>
          <w:b/>
          <w:i/>
          <w:sz w:val="22"/>
          <w:szCs w:val="22"/>
        </w:rPr>
        <w:t>deberán entregarlo junto con las personas detenidas y/o arrestadas y/o los objetos asegurados a la autoridad competente</w:t>
      </w:r>
      <w:r w:rsidRPr="00BB2D2F">
        <w:rPr>
          <w:rFonts w:ascii="Palatino Linotype" w:eastAsia="Palatino Linotype" w:hAnsi="Palatino Linotype" w:cs="Palatino Linotype"/>
          <w:i/>
          <w:sz w:val="22"/>
          <w:szCs w:val="22"/>
        </w:rPr>
        <w:t>, según se trate de un hecho probablemente delictivo o una infracción administrativa.</w:t>
      </w:r>
    </w:p>
    <w:p w14:paraId="30762E33" w14:textId="77777777" w:rsidR="0078537A" w:rsidRPr="00BB2D2F" w:rsidRDefault="0078537A" w:rsidP="0078537A">
      <w:pPr>
        <w:spacing w:line="276" w:lineRule="auto"/>
        <w:ind w:left="1134" w:right="900"/>
        <w:jc w:val="both"/>
        <w:rPr>
          <w:rFonts w:ascii="Palatino Linotype" w:eastAsia="Palatino Linotype" w:hAnsi="Palatino Linotype" w:cs="Palatino Linotype"/>
          <w:b/>
          <w:i/>
          <w:sz w:val="22"/>
          <w:szCs w:val="22"/>
        </w:rPr>
      </w:pPr>
      <w:r w:rsidRPr="00BB2D2F">
        <w:rPr>
          <w:rFonts w:ascii="Palatino Linotype" w:eastAsia="Palatino Linotype" w:hAnsi="Palatino Linotype" w:cs="Palatino Linotype"/>
          <w:b/>
          <w:i/>
          <w:sz w:val="22"/>
          <w:szCs w:val="22"/>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14:paraId="40D72921" w14:textId="77777777" w:rsidR="0078537A" w:rsidRPr="00BB2D2F" w:rsidRDefault="0078537A" w:rsidP="0078537A">
      <w:pPr>
        <w:spacing w:line="276" w:lineRule="auto"/>
        <w:ind w:left="1134" w:right="900"/>
        <w:jc w:val="both"/>
        <w:rPr>
          <w:rFonts w:ascii="Palatino Linotype" w:eastAsia="Palatino Linotype" w:hAnsi="Palatino Linotype" w:cs="Palatino Linotype"/>
          <w:b/>
          <w:i/>
          <w:sz w:val="22"/>
          <w:szCs w:val="22"/>
        </w:rPr>
      </w:pPr>
    </w:p>
    <w:p w14:paraId="19519F39" w14:textId="77777777" w:rsidR="0078537A" w:rsidRPr="00BB2D2F" w:rsidRDefault="0078537A" w:rsidP="0078537A">
      <w:pPr>
        <w:spacing w:before="120" w:after="120"/>
        <w:ind w:left="851" w:right="902"/>
        <w:jc w:val="both"/>
        <w:rPr>
          <w:rFonts w:ascii="Palatino Linotype" w:eastAsia="Palatino Linotype" w:hAnsi="Palatino Linotype" w:cs="Palatino Linotype"/>
          <w:b/>
          <w:i/>
          <w:sz w:val="22"/>
          <w:szCs w:val="22"/>
        </w:rPr>
      </w:pPr>
      <w:r w:rsidRPr="00BB2D2F">
        <w:rPr>
          <w:rFonts w:ascii="Palatino Linotype" w:eastAsia="Palatino Linotype" w:hAnsi="Palatino Linotype" w:cs="Palatino Linotype"/>
          <w:b/>
          <w:i/>
          <w:sz w:val="22"/>
          <w:szCs w:val="22"/>
        </w:rPr>
        <w:t>DÉCIMO CUARTO. REGISTRO DE LA INFORMACIÓN EN LA BASE DE DATOS DEL IPH.</w:t>
      </w:r>
    </w:p>
    <w:p w14:paraId="6B560514" w14:textId="77777777" w:rsidR="0078537A" w:rsidRPr="00BB2D2F" w:rsidRDefault="0078537A" w:rsidP="0078537A">
      <w:pPr>
        <w:spacing w:before="120" w:after="120"/>
        <w:ind w:left="851" w:right="902"/>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El registro de la información en la base de datos se llevará a cabo conforme a lo siguiente:</w:t>
      </w:r>
    </w:p>
    <w:p w14:paraId="5E0DB305" w14:textId="77777777" w:rsidR="0078537A" w:rsidRPr="00BB2D2F" w:rsidRDefault="0078537A" w:rsidP="004D300F">
      <w:pPr>
        <w:numPr>
          <w:ilvl w:val="0"/>
          <w:numId w:val="3"/>
        </w:numPr>
        <w:pBdr>
          <w:top w:val="nil"/>
          <w:left w:val="nil"/>
          <w:bottom w:val="nil"/>
          <w:right w:val="nil"/>
          <w:between w:val="nil"/>
        </w:pBdr>
        <w:tabs>
          <w:tab w:val="left" w:pos="1418"/>
        </w:tabs>
        <w:spacing w:before="120" w:after="120"/>
        <w:ind w:left="1134" w:right="902" w:firstLine="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La captura y registro de la información suministrada a la base de datos son obligatorios y estarán a cargo de las instituciones policiales de los tres órdenes de gobierno</w:t>
      </w:r>
      <w:r w:rsidRPr="00BB2D2F">
        <w:rPr>
          <w:rFonts w:ascii="Palatino Linotype" w:eastAsia="Palatino Linotype" w:hAnsi="Palatino Linotype" w:cs="Palatino Linotype"/>
          <w:i/>
          <w:sz w:val="22"/>
          <w:szCs w:val="22"/>
        </w:rPr>
        <w:t>;</w:t>
      </w:r>
    </w:p>
    <w:p w14:paraId="4E99B03D" w14:textId="77777777" w:rsidR="0078537A" w:rsidRPr="00BB2D2F" w:rsidRDefault="0078537A" w:rsidP="0078537A">
      <w:pPr>
        <w:tabs>
          <w:tab w:val="left" w:pos="1418"/>
        </w:tabs>
        <w:spacing w:before="120" w:after="120"/>
        <w:ind w:left="1134" w:right="902"/>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II.</w:t>
      </w:r>
      <w:r w:rsidRPr="00BB2D2F">
        <w:rPr>
          <w:rFonts w:ascii="Palatino Linotype" w:eastAsia="Palatino Linotype" w:hAnsi="Palatino Linotype" w:cs="Palatino Linotype"/>
          <w:i/>
          <w:sz w:val="22"/>
          <w:szCs w:val="22"/>
        </w:rPr>
        <w:t xml:space="preserve"> El suministro de la información se realizará con apego a los datos contenidos en el IPH;</w:t>
      </w:r>
    </w:p>
    <w:p w14:paraId="790B03CD" w14:textId="77777777" w:rsidR="0078537A" w:rsidRPr="00BB2D2F" w:rsidRDefault="0078537A" w:rsidP="0078537A">
      <w:pPr>
        <w:tabs>
          <w:tab w:val="left" w:pos="1418"/>
        </w:tabs>
        <w:spacing w:before="120" w:after="120"/>
        <w:ind w:left="1134" w:right="902"/>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III</w:t>
      </w:r>
      <w:r w:rsidRPr="00BB2D2F">
        <w:rPr>
          <w:rFonts w:ascii="Palatino Linotype" w:eastAsia="Palatino Linotype" w:hAnsi="Palatino Linotype" w:cs="Palatino Linotype"/>
          <w:i/>
          <w:sz w:val="22"/>
          <w:szCs w:val="22"/>
        </w:rPr>
        <w:t>. El registro de los datos contenidos en el IPH y su digitalización se harán de manera inmediata, sin que exceda de un término máximo de veinticuatro horas contadas a partir de la hora de recepción por parte de la autoridad competente, y</w:t>
      </w:r>
    </w:p>
    <w:p w14:paraId="369DC20A" w14:textId="77777777" w:rsidR="0078537A" w:rsidRPr="00BB2D2F" w:rsidRDefault="0078537A" w:rsidP="0078537A">
      <w:pPr>
        <w:tabs>
          <w:tab w:val="left" w:pos="1418"/>
        </w:tabs>
        <w:spacing w:before="120" w:after="120"/>
        <w:ind w:left="1134" w:right="902"/>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b/>
          <w:i/>
          <w:sz w:val="22"/>
          <w:szCs w:val="22"/>
        </w:rPr>
        <w:t xml:space="preserve">IV. </w:t>
      </w:r>
      <w:r w:rsidRPr="00BB2D2F">
        <w:rPr>
          <w:rFonts w:ascii="Palatino Linotype" w:eastAsia="Palatino Linotype" w:hAnsi="Palatino Linotype" w:cs="Palatino Linotype"/>
          <w:i/>
          <w:sz w:val="22"/>
          <w:szCs w:val="22"/>
        </w:rPr>
        <w:t>La Secretaría garantizará la operación, disponibilidad, interconexión y mantenimiento de los componentes tecnológicos que soporten la base de datos y sistemas informáticos del IPH.”</w:t>
      </w:r>
    </w:p>
    <w:p w14:paraId="5D29C921" w14:textId="77777777" w:rsidR="0078537A" w:rsidRPr="00BB2D2F" w:rsidRDefault="0078537A" w:rsidP="0078537A">
      <w:pPr>
        <w:spacing w:line="276" w:lineRule="auto"/>
        <w:ind w:right="900"/>
        <w:jc w:val="both"/>
        <w:rPr>
          <w:rFonts w:ascii="Palatino Linotype" w:eastAsia="Palatino Linotype" w:hAnsi="Palatino Linotype" w:cs="Palatino Linotype"/>
          <w:b/>
          <w:i/>
          <w:sz w:val="22"/>
          <w:szCs w:val="22"/>
        </w:rPr>
      </w:pPr>
    </w:p>
    <w:p w14:paraId="2715EC7A" w14:textId="77777777" w:rsidR="0078537A" w:rsidRPr="00BB2D2F" w:rsidRDefault="0078537A" w:rsidP="0078537A">
      <w:pPr>
        <w:spacing w:line="276" w:lineRule="auto"/>
        <w:ind w:left="1134" w:right="900"/>
        <w:jc w:val="both"/>
        <w:rPr>
          <w:rFonts w:ascii="Palatino Linotype" w:eastAsia="Palatino Linotype" w:hAnsi="Palatino Linotype" w:cs="Palatino Linotype"/>
          <w:i/>
          <w:sz w:val="22"/>
          <w:szCs w:val="22"/>
        </w:rPr>
      </w:pPr>
      <w:r w:rsidRPr="00BB2D2F">
        <w:rPr>
          <w:rFonts w:ascii="Palatino Linotype" w:eastAsia="Palatino Linotype" w:hAnsi="Palatino Linotype" w:cs="Palatino Linotype"/>
          <w:i/>
          <w:sz w:val="22"/>
          <w:szCs w:val="22"/>
        </w:rPr>
        <w:t>(Énfasis añadido)</w:t>
      </w:r>
    </w:p>
    <w:p w14:paraId="0F1DD6F8" w14:textId="77777777" w:rsidR="0078537A" w:rsidRPr="00BB2D2F" w:rsidRDefault="0078537A" w:rsidP="0078537A">
      <w:pPr>
        <w:spacing w:line="360" w:lineRule="auto"/>
        <w:jc w:val="both"/>
        <w:rPr>
          <w:rFonts w:ascii="Palatino Linotype" w:eastAsia="Palatino Linotype" w:hAnsi="Palatino Linotype" w:cs="Palatino Linotype"/>
          <w:b/>
          <w:i/>
          <w:sz w:val="22"/>
          <w:szCs w:val="22"/>
        </w:rPr>
      </w:pPr>
    </w:p>
    <w:p w14:paraId="06CCA8FC" w14:textId="77777777" w:rsidR="0078537A" w:rsidRPr="00BB2D2F" w:rsidRDefault="0078537A" w:rsidP="0078537A">
      <w:pPr>
        <w:spacing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De lo anterior, se deduce que del informe policial homologado, tiene por objeto que las Instituciones policiales documenten la información relacionada con las puestas a disposición de personas y/u objetos derivados de su intervención, para con ello, deben hacer más eficiente el debido proceso y fomentar el uso de la información para acciones de inteligencia; </w:t>
      </w:r>
      <w:r w:rsidRPr="00BB2D2F">
        <w:rPr>
          <w:rFonts w:ascii="Palatino Linotype" w:eastAsia="Palatino Linotype" w:hAnsi="Palatino Linotype" w:cs="Palatino Linotype"/>
          <w:b/>
        </w:rPr>
        <w:t xml:space="preserve">por lo tanto, dicho informe únicamente es entregado junto con la persona detenida o bien, con los objetos que fueron asegurados en el hecho y/o acto probablemente constitutivo de delito. </w:t>
      </w:r>
      <w:r w:rsidRPr="00BB2D2F">
        <w:rPr>
          <w:rFonts w:ascii="Palatino Linotype" w:eastAsia="Palatino Linotype" w:hAnsi="Palatino Linotype" w:cs="Palatino Linotype"/>
        </w:rPr>
        <w:t>Es importante dejar de lado que no se están solicitando estos documentos, sino información estadística únicamente.</w:t>
      </w:r>
    </w:p>
    <w:p w14:paraId="747B8A8F" w14:textId="77777777" w:rsidR="0078537A" w:rsidRPr="00BB2D2F" w:rsidRDefault="0078537A" w:rsidP="0078537A">
      <w:pPr>
        <w:spacing w:line="360" w:lineRule="auto"/>
        <w:jc w:val="both"/>
        <w:rPr>
          <w:rFonts w:ascii="Palatino Linotype" w:eastAsia="Palatino Linotype" w:hAnsi="Palatino Linotype" w:cs="Palatino Linotype"/>
          <w:sz w:val="22"/>
          <w:szCs w:val="22"/>
        </w:rPr>
      </w:pPr>
    </w:p>
    <w:p w14:paraId="427F86EF" w14:textId="77777777" w:rsidR="0078537A" w:rsidRPr="00BB2D2F" w:rsidRDefault="0078537A" w:rsidP="0078537A">
      <w:pPr>
        <w:spacing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w:t>
      </w:r>
      <w:r w:rsidRPr="00BB2D2F">
        <w:rPr>
          <w:rFonts w:ascii="Palatino Linotype" w:eastAsia="Palatino Linotype" w:hAnsi="Palatino Linotype" w:cs="Palatino Linotype"/>
          <w:b/>
        </w:rPr>
        <w:t>es claro que no en todos los casos en que se conoce de una conducta delictiva y se inicia una carpeta de investigación, o se agrega un informe policial homologado</w:t>
      </w:r>
      <w:r w:rsidRPr="00BB2D2F">
        <w:rPr>
          <w:rFonts w:ascii="Palatino Linotype" w:eastAsia="Palatino Linotype" w:hAnsi="Palatino Linotype" w:cs="Palatino Linotype"/>
        </w:rPr>
        <w:t xml:space="preserve">, pues es evidente que existen diversos tipos de delitos que se pueden configurar sin que se genere el informe en comento, tal como de manera enunciativa más no limitativa, es el caso de la </w:t>
      </w:r>
      <w:r w:rsidRPr="00BB2D2F">
        <w:rPr>
          <w:rFonts w:ascii="Palatino Linotype" w:eastAsia="Palatino Linotype" w:hAnsi="Palatino Linotype" w:cs="Palatino Linotype"/>
          <w:b/>
        </w:rPr>
        <w:t>extorsión</w:t>
      </w:r>
      <w:r w:rsidRPr="00BB2D2F">
        <w:rPr>
          <w:rFonts w:ascii="Palatino Linotype" w:eastAsia="Palatino Linotype" w:hAnsi="Palatino Linotype" w:cs="Palatino Linotype"/>
        </w:rPr>
        <w:t xml:space="preserve">,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w:t>
      </w:r>
      <w:r w:rsidRPr="00BB2D2F">
        <w:rPr>
          <w:rFonts w:ascii="Palatino Linotype" w:eastAsia="Palatino Linotype" w:hAnsi="Palatino Linotype" w:cs="Palatino Linotype"/>
        </w:rPr>
        <w:lastRenderedPageBreak/>
        <w:t>seguridad, entre otras, esto, con la finalidad de obtener una cifra económica a cambio de la solución del conflicto.</w:t>
      </w:r>
    </w:p>
    <w:p w14:paraId="316869C0" w14:textId="77777777" w:rsidR="0078537A" w:rsidRPr="00BB2D2F" w:rsidRDefault="0078537A" w:rsidP="0078537A">
      <w:pPr>
        <w:spacing w:line="360" w:lineRule="auto"/>
        <w:jc w:val="both"/>
        <w:rPr>
          <w:rFonts w:ascii="Palatino Linotype" w:eastAsia="Palatino Linotype" w:hAnsi="Palatino Linotype" w:cs="Palatino Linotype"/>
        </w:rPr>
      </w:pPr>
    </w:p>
    <w:p w14:paraId="0DADA5F2" w14:textId="77777777" w:rsidR="0078537A" w:rsidRPr="00BB2D2F" w:rsidRDefault="0078537A" w:rsidP="0078537A">
      <w:pPr>
        <w:spacing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w:t>
      </w:r>
      <w:r w:rsidRPr="00BB2D2F">
        <w:rPr>
          <w:rFonts w:ascii="Palatino Linotype" w:eastAsia="Palatino Linotype" w:hAnsi="Palatino Linotype" w:cs="Palatino Linotype"/>
          <w:b/>
        </w:rPr>
        <w:t>es tema de conocimiento público, que muchas de esas llamadas provienen de centros penitenciarios establecidos en diversas Entidades Federativas,</w:t>
      </w:r>
      <w:r w:rsidRPr="00BB2D2F">
        <w:rPr>
          <w:rFonts w:ascii="Palatino Linotype" w:eastAsia="Palatino Linotype" w:hAnsi="Palatino Linotype" w:cs="Palatino Linotype"/>
        </w:rPr>
        <w:t xml:space="preserve">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afectada, el único elemento con el que se cuenta y así, procede asentarlo en la estadística de incidencia delictiva generada. </w:t>
      </w:r>
    </w:p>
    <w:p w14:paraId="59C3FB6C" w14:textId="77777777" w:rsidR="0078537A" w:rsidRPr="00BB2D2F" w:rsidRDefault="0078537A" w:rsidP="0078537A">
      <w:pPr>
        <w:spacing w:line="360" w:lineRule="auto"/>
        <w:jc w:val="both"/>
        <w:rPr>
          <w:rFonts w:ascii="Palatino Linotype" w:eastAsia="Palatino Linotype" w:hAnsi="Palatino Linotype" w:cs="Palatino Linotype"/>
        </w:rPr>
      </w:pPr>
    </w:p>
    <w:p w14:paraId="4E913527" w14:textId="77777777" w:rsidR="0078537A" w:rsidRPr="00BB2D2F" w:rsidRDefault="0078537A" w:rsidP="0078537A">
      <w:pPr>
        <w:spacing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w:t>
      </w:r>
      <w:r w:rsidRPr="00BB2D2F">
        <w:rPr>
          <w:rFonts w:ascii="Palatino Linotype" w:eastAsia="Palatino Linotype" w:hAnsi="Palatino Linotype" w:cs="Palatino Linotype"/>
          <w:b/>
        </w:rPr>
        <w:t>es preciso reiterar que el Particular solicitó información estadística de la incidencia delictiva,</w:t>
      </w:r>
      <w:r w:rsidRPr="00BB2D2F">
        <w:rPr>
          <w:rFonts w:ascii="Palatino Linotype" w:eastAsia="Palatino Linotype" w:hAnsi="Palatino Linotype" w:cs="Palatino Linotype"/>
        </w:rPr>
        <w:t xml:space="preserve"> lo cual, </w:t>
      </w:r>
      <w:r w:rsidRPr="00BB2D2F">
        <w:rPr>
          <w:rFonts w:ascii="Palatino Linotype" w:eastAsia="Palatino Linotype" w:hAnsi="Palatino Linotype" w:cs="Palatino Linotype"/>
          <w:b/>
        </w:rPr>
        <w:t>corresponde únicamente al número de hechos y/o actos de los que se tuvo conocimiento</w:t>
      </w:r>
      <w:r w:rsidRPr="00BB2D2F">
        <w:rPr>
          <w:rFonts w:ascii="Palatino Linotype" w:eastAsia="Palatino Linotype" w:hAnsi="Palatino Linotype" w:cs="Palatino Linotype"/>
        </w:rPr>
        <w:t xml:space="preserve"> y con base en ello, 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no se encuentra constreñido para buscar en el expediente formado si existe o no, el informe policial homologado, esto, en virtud del artículo 12 de la Ley de </w:t>
      </w:r>
      <w:r w:rsidRPr="00BB2D2F">
        <w:rPr>
          <w:rFonts w:ascii="Palatino Linotype" w:eastAsia="Palatino Linotype" w:hAnsi="Palatino Linotype" w:cs="Palatino Linotype"/>
        </w:rPr>
        <w:lastRenderedPageBreak/>
        <w:t xml:space="preserve">Transparencia y Acceso a la Información Pública del Estado de México y Municipios, referido en páginas anteriores. </w:t>
      </w:r>
    </w:p>
    <w:p w14:paraId="33B0E79E" w14:textId="77777777" w:rsidR="00004028" w:rsidRPr="00BB2D2F" w:rsidRDefault="00004028" w:rsidP="0078537A">
      <w:pPr>
        <w:spacing w:line="360" w:lineRule="auto"/>
        <w:jc w:val="both"/>
        <w:rPr>
          <w:rFonts w:ascii="Palatino Linotype" w:eastAsia="Palatino Linotype" w:hAnsi="Palatino Linotype" w:cs="Palatino Linotype"/>
        </w:rPr>
      </w:pPr>
    </w:p>
    <w:p w14:paraId="24B2790F" w14:textId="77777777" w:rsidR="0078537A" w:rsidRPr="00BB2D2F" w:rsidRDefault="0078537A" w:rsidP="0078537A">
      <w:pPr>
        <w:spacing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En esta tesitura, es claro que el nivel de desagregación que requiere la persona solicitante, confiere al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a practicar una investigación dentro de todos los expedientes formados en razón de una denuncia por hechos y/o actos delictivos, para con ello, precisar si se encuentra o no, el informe de policía homologado y en consecuencia, realizar un pronunciamiento</w:t>
      </w:r>
      <w:r w:rsidRPr="00BB2D2F">
        <w:rPr>
          <w:rFonts w:ascii="Palatino Linotype" w:eastAsia="Palatino Linotype" w:hAnsi="Palatino Linotype" w:cs="Palatino Linotype"/>
          <w:i/>
        </w:rPr>
        <w:t xml:space="preserve"> ad hoc</w:t>
      </w:r>
      <w:r w:rsidRPr="00BB2D2F">
        <w:rPr>
          <w:rFonts w:ascii="Palatino Linotype" w:eastAsia="Palatino Linotype" w:hAnsi="Palatino Linotype" w:cs="Palatino Linotype"/>
        </w:rPr>
        <w:t xml:space="preserve"> a los intereses de este último, situación que como fue precisado, va en contra del criterio número 03/17 emitido por el Pleno del Instituto Nacional de Transparencia, Acceso a la Información y Protección de Datos Personales, citado con antelación.</w:t>
      </w:r>
    </w:p>
    <w:p w14:paraId="6DDAF410"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De tales circunstancias, se concluye que los Sujetos Obligados únicamente se encuentran constreñidos a proporcionar los documentos que den cuenta de la información solicitada, como obren en sus archivos, sin tener que elaborarlos a las necesidades de la parte </w:t>
      </w:r>
      <w:r w:rsidRPr="00BB2D2F">
        <w:rPr>
          <w:rFonts w:ascii="Palatino Linotype" w:eastAsia="Palatino Linotype" w:hAnsi="Palatino Linotype" w:cs="Palatino Linotype"/>
          <w:b/>
          <w:lang w:val="es-MX"/>
        </w:rPr>
        <w:t>Recurrente</w:t>
      </w:r>
      <w:r w:rsidRPr="00BB2D2F">
        <w:rPr>
          <w:rFonts w:ascii="Palatino Linotype" w:eastAsia="Palatino Linotype" w:hAnsi="Palatino Linotype" w:cs="Palatino Linotype"/>
          <w:lang w:val="es-MX"/>
        </w:rPr>
        <w:t xml:space="preserve">. Además, en el caso de que las coordenadas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  </w:t>
      </w:r>
    </w:p>
    <w:p w14:paraId="03D1EBD3"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p>
    <w:p w14:paraId="2750A13F"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p>
    <w:p w14:paraId="5B46AC13"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p>
    <w:p w14:paraId="41444BF7" w14:textId="77777777" w:rsidR="00787C49" w:rsidRPr="00BB2D2F" w:rsidRDefault="00295946" w:rsidP="00295946">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MX"/>
        </w:rPr>
      </w:pPr>
      <w:r w:rsidRPr="00BB2D2F">
        <w:rPr>
          <w:rFonts w:ascii="Palatino Linotype" w:eastAsia="Palatino Linotype" w:hAnsi="Palatino Linotype" w:cs="Palatino Linotype"/>
          <w:b/>
          <w:lang w:val="es-MX"/>
        </w:rPr>
        <w:lastRenderedPageBreak/>
        <w:t xml:space="preserve">1.- </w:t>
      </w:r>
      <w:r w:rsidR="00787C49" w:rsidRPr="00BB2D2F">
        <w:rPr>
          <w:rFonts w:ascii="Palatino Linotype" w:eastAsia="Palatino Linotype" w:hAnsi="Palatino Linotype" w:cs="Palatino Linotype"/>
          <w:b/>
          <w:lang w:val="es-MX"/>
        </w:rPr>
        <w:t>De las atribuciones del Sujeto Obligado en materia de incidencia delictiva.</w:t>
      </w:r>
    </w:p>
    <w:p w14:paraId="74230E41" w14:textId="77777777" w:rsidR="00787C49" w:rsidRPr="00BB2D2F" w:rsidRDefault="00787C49" w:rsidP="00787C49">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sz w:val="22"/>
          <w:szCs w:val="22"/>
          <w:lang w:val="es-MX"/>
        </w:rPr>
        <w:t xml:space="preserve">De las constancias que conforman el expediente electrónico, se advierte que </w:t>
      </w:r>
      <w:r w:rsidRPr="00BB2D2F">
        <w:rPr>
          <w:rFonts w:ascii="Palatino Linotype" w:eastAsia="Palatino Linotype" w:hAnsi="Palatino Linotype" w:cs="Palatino Linotype"/>
        </w:rPr>
        <w:t xml:space="preserve">el servidor público que se pronunció es el </w:t>
      </w:r>
      <w:proofErr w:type="gramStart"/>
      <w:r w:rsidRPr="00BB2D2F">
        <w:rPr>
          <w:rFonts w:ascii="Palatino Linotype" w:eastAsia="Palatino Linotype" w:hAnsi="Palatino Linotype" w:cs="Palatino Linotype"/>
        </w:rPr>
        <w:t>Secretario Técnico</w:t>
      </w:r>
      <w:proofErr w:type="gramEnd"/>
      <w:r w:rsidRPr="00BB2D2F">
        <w:rPr>
          <w:rFonts w:ascii="Palatino Linotype" w:eastAsia="Palatino Linotype" w:hAnsi="Palatino Linotype" w:cs="Palatino Linotype"/>
        </w:rPr>
        <w:t xml:space="preserve"> del Consejo Municipal de Seguridad Pública, el cual de conformidad con el artículo 58 Quinquies de la Ley de Seguridad del Estado de México, cuenta con las siguientes atribuciones: </w:t>
      </w:r>
    </w:p>
    <w:p w14:paraId="7FE6D769"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w:t>
      </w:r>
      <w:r w:rsidRPr="00BB2D2F">
        <w:rPr>
          <w:rFonts w:ascii="Palatino Linotype" w:eastAsia="Palatino Linotype" w:hAnsi="Palatino Linotype" w:cs="Palatino Linotype"/>
          <w:b/>
          <w:i/>
          <w:sz w:val="22"/>
        </w:rPr>
        <w:t xml:space="preserve">Artículo 58 Quinquies. Son atribuciones del </w:t>
      </w:r>
      <w:proofErr w:type="gramStart"/>
      <w:r w:rsidRPr="00BB2D2F">
        <w:rPr>
          <w:rFonts w:ascii="Palatino Linotype" w:eastAsia="Palatino Linotype" w:hAnsi="Palatino Linotype" w:cs="Palatino Linotype"/>
          <w:b/>
          <w:i/>
          <w:sz w:val="22"/>
        </w:rPr>
        <w:t>Secretario</w:t>
      </w:r>
      <w:proofErr w:type="gramEnd"/>
      <w:r w:rsidRPr="00BB2D2F">
        <w:rPr>
          <w:rFonts w:ascii="Palatino Linotype" w:eastAsia="Palatino Linotype" w:hAnsi="Palatino Linotype" w:cs="Palatino Linotype"/>
          <w:b/>
          <w:i/>
          <w:sz w:val="22"/>
        </w:rPr>
        <w:t xml:space="preserve"> o Secretaria Técnica:</w:t>
      </w:r>
      <w:r w:rsidRPr="00BB2D2F">
        <w:rPr>
          <w:rFonts w:ascii="Palatino Linotype" w:eastAsia="Palatino Linotype" w:hAnsi="Palatino Linotype" w:cs="Palatino Linotype"/>
          <w:i/>
          <w:sz w:val="22"/>
        </w:rPr>
        <w:t xml:space="preserve"> </w:t>
      </w:r>
    </w:p>
    <w:p w14:paraId="55E2C477"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 Proponer al </w:t>
      </w:r>
      <w:proofErr w:type="gramStart"/>
      <w:r w:rsidRPr="00BB2D2F">
        <w:rPr>
          <w:rFonts w:ascii="Palatino Linotype" w:eastAsia="Palatino Linotype" w:hAnsi="Palatino Linotype" w:cs="Palatino Linotype"/>
          <w:i/>
          <w:sz w:val="22"/>
        </w:rPr>
        <w:t>Presidente</w:t>
      </w:r>
      <w:proofErr w:type="gramEnd"/>
      <w:r w:rsidRPr="00BB2D2F">
        <w:rPr>
          <w:rFonts w:ascii="Palatino Linotype" w:eastAsia="Palatino Linotype" w:hAnsi="Palatino Linotype" w:cs="Palatino Linotype"/>
          <w:i/>
          <w:sz w:val="22"/>
        </w:rPr>
        <w:t xml:space="preserve"> la agenda de asuntos a tratar en las sesiones del Consejo Municipal; </w:t>
      </w:r>
    </w:p>
    <w:p w14:paraId="7797E3AA"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II. Elaborar las actas de las sesiones; </w:t>
      </w:r>
    </w:p>
    <w:p w14:paraId="1905FA2E"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III. Elaborar y proponer al </w:t>
      </w:r>
      <w:proofErr w:type="gramStart"/>
      <w:r w:rsidRPr="00BB2D2F">
        <w:rPr>
          <w:rFonts w:ascii="Palatino Linotype" w:eastAsia="Palatino Linotype" w:hAnsi="Palatino Linotype" w:cs="Palatino Linotype"/>
          <w:i/>
          <w:sz w:val="22"/>
        </w:rPr>
        <w:t>Presidente</w:t>
      </w:r>
      <w:proofErr w:type="gramEnd"/>
      <w:r w:rsidRPr="00BB2D2F">
        <w:rPr>
          <w:rFonts w:ascii="Palatino Linotype" w:eastAsia="Palatino Linotype" w:hAnsi="Palatino Linotype" w:cs="Palatino Linotype"/>
          <w:i/>
          <w:sz w:val="22"/>
        </w:rPr>
        <w:t xml:space="preserve"> del Consejo, los Programas Municipales de Seguridad Pública y Prevención Social de la Violencia y la Delincuencia con Participación Ciudadana; </w:t>
      </w:r>
    </w:p>
    <w:p w14:paraId="155B6F49"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IV. Coadyuvar con el Contralor Interno Municipal en la evaluación del cumplimiento de los acuerdos y resoluciones del Consejo; </w:t>
      </w:r>
    </w:p>
    <w:p w14:paraId="6FC8FC50"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V. Informar periódicamente al Secretariado Ejecutivo del Sistema Estatal de Seguridad Pública sobre el estado que guardan los asuntos a su cargo; </w:t>
      </w:r>
    </w:p>
    <w:p w14:paraId="0C847D21"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VI. Fungir como enlace ante el Centro Estatal de Control de Confianza y verificar que el estado de fuerza municipal y servidores públicos obligados cumplan con lo previsto en materia de control de confianza; </w:t>
      </w:r>
    </w:p>
    <w:p w14:paraId="51C11C66"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b/>
          <w:i/>
          <w:sz w:val="22"/>
        </w:rPr>
      </w:pPr>
      <w:r w:rsidRPr="00BB2D2F">
        <w:rPr>
          <w:rFonts w:ascii="Palatino Linotype" w:eastAsia="Palatino Linotype" w:hAnsi="Palatino Linotype" w:cs="Palatino Linotype"/>
          <w:b/>
          <w:i/>
          <w:sz w:val="22"/>
        </w:rPr>
        <w:t xml:space="preserve">VII. Ser el enlace ante el Centro de Información y Estadística del Secretariado Ejecutivo y proveer la información que le sea solicitada; </w:t>
      </w:r>
    </w:p>
    <w:p w14:paraId="786B64D8"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VIII. Fungir como enlace ante el Centro de Prevención del Delito del Secretariado Ejecutivo y coordinarse para la ejecución y evaluación de programas, políticas y estrategias en la materia, así como proveer información que le sea solicitada; </w:t>
      </w:r>
    </w:p>
    <w:p w14:paraId="4B08B2F8"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lastRenderedPageBreak/>
        <w:t xml:space="preserve">IX. Fungir como enlace ante la Dirección General de Planeación, Seguimiento y Evaluación del Secretariado Ejecutivo, para la supervisión sobre el avance físico-financiero correspondiente al ejercicio de recursos provenientes de fondos y subsidios de origen federal, estatal o municipal aplicados a la prestación del servicio de seguridad pública y la prevención de la violencia y la delincuencia; </w:t>
      </w:r>
    </w:p>
    <w:p w14:paraId="27C6C1B7"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 Dar seguimiento puntual a las sesiones y acuerdos de las Comisiones Municipales para la Prevención Social de la Violencia y la Delincuencia con Participación Ciudadana, Comisión de Planeación y Evaluación, Comisión Estratégica de Seguridad y Comisión de Honor y Justicia; </w:t>
      </w:r>
    </w:p>
    <w:p w14:paraId="0F02595B"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XI. Fungir como enlace ante la Secretaría de Seguridad para dar seguimiento al registro y actualización de la licencia colectiva para la portación de armas de fuego; </w:t>
      </w:r>
    </w:p>
    <w:p w14:paraId="682AC3A9"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XII. Brindar atención y orientación permanente a la ciudadanía sobre solicitudes, quejas y denuncias; </w:t>
      </w:r>
    </w:p>
    <w:p w14:paraId="4BA10ECC"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XIII. Fungir como enlace ante la Universidad y coadyuvar con el Comisario o el </w:t>
      </w:r>
      <w:proofErr w:type="gramStart"/>
      <w:r w:rsidRPr="00BB2D2F">
        <w:rPr>
          <w:rFonts w:ascii="Palatino Linotype" w:eastAsia="Palatino Linotype" w:hAnsi="Palatino Linotype" w:cs="Palatino Linotype"/>
          <w:i/>
          <w:sz w:val="22"/>
        </w:rPr>
        <w:t>Director</w:t>
      </w:r>
      <w:proofErr w:type="gramEnd"/>
      <w:r w:rsidRPr="00BB2D2F">
        <w:rPr>
          <w:rFonts w:ascii="Palatino Linotype" w:eastAsia="Palatino Linotype" w:hAnsi="Palatino Linotype" w:cs="Palatino Linotype"/>
          <w:i/>
          <w:sz w:val="22"/>
        </w:rPr>
        <w:t xml:space="preserve"> de Seguridad Pública para mantener en permanente actualización y profesionalización al estado de fuerza municipal; </w:t>
      </w:r>
    </w:p>
    <w:p w14:paraId="7CC1913B"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XIV. Fomentar entre la población la cultura de la denuncia e implementar acciones para la difusión de los medios a su alcance para tal fin; </w:t>
      </w:r>
    </w:p>
    <w:p w14:paraId="28ED7E92"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XV. Implementar una estrategia de difusión sobre las actividades del Consejo, priorizando acuerdos tomados, así como el seguimiento y cumplimiento de los mismos; </w:t>
      </w:r>
    </w:p>
    <w:p w14:paraId="3A1D5D83"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XVI. Proponer y asesorar al Consejo en materia de políticas, lineamientos y acciones para el buen desempeño de sus actividades; </w:t>
      </w:r>
    </w:p>
    <w:p w14:paraId="13994674"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XVII. Integrar, conservar y mantener actualizado el archivo de los asuntos del Consejo, estableciendo y responsabilizándose de su sistema de administración y consulta; </w:t>
      </w:r>
    </w:p>
    <w:p w14:paraId="7A309E23"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XVIII. Proponer al Consejo Municipal la celebración de convenios de cooperación, coordinación y apoyo con entidades del sector público y privado, así como </w:t>
      </w:r>
      <w:r w:rsidRPr="00BB2D2F">
        <w:rPr>
          <w:rFonts w:ascii="Palatino Linotype" w:eastAsia="Palatino Linotype" w:hAnsi="Palatino Linotype" w:cs="Palatino Linotype"/>
          <w:i/>
          <w:sz w:val="22"/>
        </w:rPr>
        <w:lastRenderedPageBreak/>
        <w:t xml:space="preserve">universidades y organizaciones de la sociedad civil, que contribuyan a la consecución de los fines de la seguridad pública y del Consejo Municipal; </w:t>
      </w:r>
    </w:p>
    <w:p w14:paraId="362FA84A"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XIX. Promover la capacitación de los integrantes del Consejo Municipal y demás personal del municipio relacionado con la seguridad pública, la prevención social de la violencia y la delincuencia y la participación ciudadana; </w:t>
      </w:r>
    </w:p>
    <w:p w14:paraId="5D57F739"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XX. Remitir al Secretariado Ejecutivo del Sistema Estatal de Seguridad Pública copias certificadas de las actas de las sesiones del Consejo Municipal; </w:t>
      </w:r>
    </w:p>
    <w:p w14:paraId="12B42578"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XXI. Las demás que le confieran las normas jurídicas aplicables.” (Sic) </w:t>
      </w:r>
    </w:p>
    <w:p w14:paraId="240E2551" w14:textId="77777777" w:rsidR="00787C49" w:rsidRPr="00BB2D2F" w:rsidRDefault="00787C49" w:rsidP="00787C49">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De lo anteriormente citado, se advierte que es atribución del </w:t>
      </w:r>
      <w:r w:rsidRPr="00BB2D2F">
        <w:rPr>
          <w:rFonts w:ascii="Palatino Linotype" w:eastAsia="Palatino Linotype" w:hAnsi="Palatino Linotype" w:cs="Palatino Linotype"/>
          <w:szCs w:val="22"/>
        </w:rPr>
        <w:t xml:space="preserve">Secretario Técnico del Consejo Municipal de Seguridad Pública fungir como enlace ante el Centro de Información y Estadística del Secretariado Ejecutivo y proveer la información que le sea solicitada, por lo que </w:t>
      </w:r>
      <w:r w:rsidRPr="00BB2D2F">
        <w:rPr>
          <w:rFonts w:ascii="Palatino Linotype" w:eastAsia="Palatino Linotype" w:hAnsi="Palatino Linotype" w:cs="Palatino Linotype"/>
        </w:rPr>
        <w:t xml:space="preserve">teniendo esta premisa en cuenta, se reitera que </w:t>
      </w:r>
      <w:r w:rsidR="00295946" w:rsidRPr="00BB2D2F">
        <w:rPr>
          <w:rFonts w:ascii="Palatino Linotype" w:eastAsia="Palatino Linotype" w:hAnsi="Palatino Linotype" w:cs="Palatino Linotype"/>
        </w:rPr>
        <w:t xml:space="preserve">si bien es cierto, </w:t>
      </w:r>
      <w:r w:rsidRPr="00BB2D2F">
        <w:rPr>
          <w:rFonts w:ascii="Palatino Linotype" w:eastAsia="Palatino Linotype" w:hAnsi="Palatino Linotype" w:cs="Palatino Linotype"/>
        </w:rPr>
        <w:t xml:space="preserve">en el presente asunto </w:t>
      </w:r>
      <w:r w:rsidR="00295946" w:rsidRPr="00BB2D2F">
        <w:rPr>
          <w:rFonts w:ascii="Palatino Linotype" w:eastAsia="Palatino Linotype" w:hAnsi="Palatino Linotype" w:cs="Palatino Linotype"/>
        </w:rPr>
        <w:t xml:space="preserve">se pronunció una de las unidades administrativas en la que pudiera obrar la información </w:t>
      </w:r>
      <w:r w:rsidRPr="00BB2D2F">
        <w:rPr>
          <w:rFonts w:ascii="Palatino Linotype" w:eastAsia="Palatino Linotype" w:hAnsi="Palatino Linotype" w:cs="Palatino Linotype"/>
        </w:rPr>
        <w:t xml:space="preserve">no se </w:t>
      </w:r>
      <w:r w:rsidR="00295946" w:rsidRPr="00BB2D2F">
        <w:rPr>
          <w:rFonts w:ascii="Palatino Linotype" w:eastAsia="Palatino Linotype" w:hAnsi="Palatino Linotype" w:cs="Palatino Linotype"/>
        </w:rPr>
        <w:t xml:space="preserve">tiene por acreditada la búsqueda exhaustiva y razonable, en virtud de que faltó el pronunciamiento de la segunda </w:t>
      </w:r>
      <w:r w:rsidRPr="00BB2D2F">
        <w:rPr>
          <w:rFonts w:ascii="Palatino Linotype" w:eastAsia="Palatino Linotype" w:hAnsi="Palatino Linotype" w:cs="Palatino Linotype"/>
        </w:rPr>
        <w:t xml:space="preserve">unidad administrativa competente para generar la información requerida, por lo tanto, no se satisfizo en su totalidad el derecho de acceso el derecho de acceso a la información pública del ahora </w:t>
      </w:r>
      <w:r w:rsidRPr="00BB2D2F">
        <w:rPr>
          <w:rFonts w:ascii="Palatino Linotype" w:eastAsia="Palatino Linotype" w:hAnsi="Palatino Linotype" w:cs="Palatino Linotype"/>
          <w:b/>
        </w:rPr>
        <w:t>Recurrente</w:t>
      </w:r>
      <w:r w:rsidRPr="00BB2D2F">
        <w:rPr>
          <w:rFonts w:ascii="Palatino Linotype" w:eastAsia="Palatino Linotype" w:hAnsi="Palatino Linotype" w:cs="Palatino Linotype"/>
        </w:rPr>
        <w:t xml:space="preserve">, toda vez que se incumplió con el principio de exhaustividad, en razón de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Dirección de Seguridad Publica, Protección Civil y Bomberos, en ese sentido, compete a los sujetos obligados seguir el procedimiento para la atención a las </w:t>
      </w:r>
      <w:r w:rsidRPr="00BB2D2F">
        <w:rPr>
          <w:rFonts w:ascii="Palatino Linotype" w:eastAsia="Palatino Linotype" w:hAnsi="Palatino Linotype" w:cs="Palatino Linotype"/>
        </w:rPr>
        <w:lastRenderedPageBreak/>
        <w:t xml:space="preserve">solicitudes de acceso a la información, establecido en los artículos 151, 160, 162, 163, 164, 165 y 166, de la Ley de Transparencia y Acceso a la Información Pública del Estado de México y Municipios, el cual es el siguiente: </w:t>
      </w:r>
    </w:p>
    <w:p w14:paraId="4DBA5B28" w14:textId="77777777" w:rsidR="00787C49" w:rsidRPr="00BB2D2F" w:rsidRDefault="00787C49" w:rsidP="00787C49">
      <w:pPr>
        <w:spacing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147F95B" w14:textId="77777777" w:rsidR="00787C49" w:rsidRPr="00BB2D2F" w:rsidRDefault="00787C49" w:rsidP="00787C49">
      <w:pPr>
        <w:spacing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4135DA25" w14:textId="77777777" w:rsidR="00787C49" w:rsidRPr="00BB2D2F" w:rsidRDefault="00787C49" w:rsidP="00787C49">
      <w:pPr>
        <w:spacing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49FE9F39" w14:textId="77777777" w:rsidR="00787C49" w:rsidRPr="00BB2D2F" w:rsidRDefault="00787C49" w:rsidP="00787C49">
      <w:pPr>
        <w:spacing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82F3495" w14:textId="77777777" w:rsidR="00787C49" w:rsidRPr="00BB2D2F" w:rsidRDefault="00787C49" w:rsidP="00787C49">
      <w:pPr>
        <w:spacing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w:t>
      </w:r>
      <w:r w:rsidRPr="00BB2D2F">
        <w:rPr>
          <w:rFonts w:ascii="Palatino Linotype" w:eastAsia="Palatino Linotype" w:hAnsi="Palatino Linotype" w:cs="Palatino Linotype"/>
        </w:rPr>
        <w:lastRenderedPageBreak/>
        <w:t xml:space="preserve">deberá ofrecer otras; por lo cual, deberá fundar y motivar la necesidad de modificar el medio de entrega, y </w:t>
      </w:r>
    </w:p>
    <w:p w14:paraId="56012107" w14:textId="77777777" w:rsidR="00787C49" w:rsidRPr="00BB2D2F" w:rsidRDefault="00787C49" w:rsidP="00787C49">
      <w:pPr>
        <w:spacing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45CEEC6" w14:textId="77777777" w:rsidR="00787C49" w:rsidRPr="00BB2D2F" w:rsidRDefault="00787C49" w:rsidP="00787C49">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En este orden de ideas, se reitera que 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Dirección de Seguridad Publica Protección Civil y Bomberos, ello de conformidad con lo previsto por el Bando Municipal y el Reglamento Interno de la Administración Pública Municipal de Xalatlaco, mismos que se traen a colación para mejor proveer del presente estudio: </w:t>
      </w:r>
    </w:p>
    <w:p w14:paraId="7C40E49D"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b/>
          <w:sz w:val="22"/>
        </w:rPr>
      </w:pPr>
      <w:r w:rsidRPr="00BB2D2F">
        <w:rPr>
          <w:rFonts w:ascii="Palatino Linotype" w:eastAsia="Palatino Linotype" w:hAnsi="Palatino Linotype" w:cs="Palatino Linotype"/>
          <w:b/>
          <w:sz w:val="22"/>
        </w:rPr>
        <w:t>Bando Municipal 2022:</w:t>
      </w:r>
    </w:p>
    <w:p w14:paraId="608F4E33"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“Artículo 139.- </w:t>
      </w:r>
      <w:r w:rsidRPr="00BB2D2F">
        <w:rPr>
          <w:rFonts w:ascii="Palatino Linotype" w:eastAsia="Palatino Linotype" w:hAnsi="Palatino Linotype" w:cs="Palatino Linotype"/>
          <w:b/>
          <w:i/>
          <w:sz w:val="22"/>
        </w:rPr>
        <w:t>La Dirección de Seguridad Pública, Protección Civil y Bomberos, es la dependencia encargada de dar cumplimiento a los fines de seguridad pública</w:t>
      </w:r>
      <w:r w:rsidRPr="00BB2D2F">
        <w:rPr>
          <w:rFonts w:ascii="Palatino Linotype" w:eastAsia="Palatino Linotype" w:hAnsi="Palatino Linotype" w:cs="Palatino Linotype"/>
          <w:i/>
          <w:sz w:val="22"/>
        </w:rPr>
        <w:t xml:space="preserve">, orden vial y tendrá bajo su cargo a la Coordinación Municipal de Protección Civil y Bomberos, la Secretaría Técnica de Seguridad Pública y el Centro Municipal de Mando, </w:t>
      </w:r>
      <w:r w:rsidRPr="00BB2D2F">
        <w:rPr>
          <w:rFonts w:ascii="Palatino Linotype" w:eastAsia="Palatino Linotype" w:hAnsi="Palatino Linotype" w:cs="Palatino Linotype"/>
          <w:b/>
          <w:i/>
          <w:sz w:val="22"/>
        </w:rPr>
        <w:t>el objetivo principal de esta Comisaria es salvaguardar la integridad, derechos y bienes de la personas preservando las libertades, el orden y la paz públicos y prevenir la comisión de delitos, con estricto apego a la legalidad y el respeto de los derechos humanos</w:t>
      </w:r>
      <w:r w:rsidRPr="00BB2D2F">
        <w:rPr>
          <w:rFonts w:ascii="Palatino Linotype" w:eastAsia="Palatino Linotype" w:hAnsi="Palatino Linotype" w:cs="Palatino Linotype"/>
          <w:i/>
          <w:sz w:val="22"/>
        </w:rPr>
        <w:t xml:space="preserve">, así como auxiliar a la población en casos de desastre o en situaciones que pongan en riesgo su </w:t>
      </w:r>
      <w:r w:rsidRPr="00BB2D2F">
        <w:rPr>
          <w:rFonts w:ascii="Palatino Linotype" w:eastAsia="Palatino Linotype" w:hAnsi="Palatino Linotype" w:cs="Palatino Linotype"/>
          <w:i/>
          <w:sz w:val="22"/>
        </w:rPr>
        <w:lastRenderedPageBreak/>
        <w:t xml:space="preserve">integridad física o patrimonial. Estará bajo la supervisión de un </w:t>
      </w:r>
      <w:proofErr w:type="gramStart"/>
      <w:r w:rsidRPr="00BB2D2F">
        <w:rPr>
          <w:rFonts w:ascii="Palatino Linotype" w:eastAsia="Palatino Linotype" w:hAnsi="Palatino Linotype" w:cs="Palatino Linotype"/>
          <w:i/>
          <w:sz w:val="22"/>
        </w:rPr>
        <w:t>Director</w:t>
      </w:r>
      <w:proofErr w:type="gramEnd"/>
      <w:r w:rsidRPr="00BB2D2F">
        <w:rPr>
          <w:rFonts w:ascii="Palatino Linotype" w:eastAsia="Palatino Linotype" w:hAnsi="Palatino Linotype" w:cs="Palatino Linotype"/>
          <w:i/>
          <w:sz w:val="22"/>
        </w:rPr>
        <w:t xml:space="preserve"> nombrado a propuesta del Presidente Municipal. </w:t>
      </w:r>
    </w:p>
    <w:p w14:paraId="74B7DB68"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Artículo 140.- La seguridad pública, en el rubro de la administración municipal está a cargo del </w:t>
      </w:r>
      <w:proofErr w:type="gramStart"/>
      <w:r w:rsidRPr="00BB2D2F">
        <w:rPr>
          <w:rFonts w:ascii="Palatino Linotype" w:eastAsia="Palatino Linotype" w:hAnsi="Palatino Linotype" w:cs="Palatino Linotype"/>
          <w:i/>
          <w:sz w:val="22"/>
        </w:rPr>
        <w:t>Presidente</w:t>
      </w:r>
      <w:proofErr w:type="gramEnd"/>
      <w:r w:rsidRPr="00BB2D2F">
        <w:rPr>
          <w:rFonts w:ascii="Palatino Linotype" w:eastAsia="Palatino Linotype" w:hAnsi="Palatino Linotype" w:cs="Palatino Linotype"/>
          <w:i/>
          <w:sz w:val="22"/>
        </w:rPr>
        <w:t xml:space="preserve"> Municipal, y tienen como fines: </w:t>
      </w:r>
    </w:p>
    <w:p w14:paraId="4C691FAA"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 Salvaguardar las instituciones y mantener la seguridad, el orden y la tranquilidad pública del municipio; </w:t>
      </w:r>
    </w:p>
    <w:p w14:paraId="77F09266"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II. Inhibir conductas delincuenciales, a través de la implementación de rondines en puntos estratégicos; </w:t>
      </w:r>
    </w:p>
    <w:p w14:paraId="632D447F"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III. Proteger la integridad física y los bienes de los vecinos y habitantes del municipio;</w:t>
      </w:r>
    </w:p>
    <w:p w14:paraId="5AA99646"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 IV. Auxiliar en el ámbito de su competencia, a las autoridades federales, estatales y municipales; </w:t>
      </w:r>
    </w:p>
    <w:p w14:paraId="36F6E8FA"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b/>
          <w:i/>
          <w:sz w:val="22"/>
          <w:u w:val="single"/>
        </w:rPr>
      </w:pPr>
      <w:r w:rsidRPr="00BB2D2F">
        <w:rPr>
          <w:rFonts w:ascii="Palatino Linotype" w:eastAsia="Palatino Linotype" w:hAnsi="Palatino Linotype" w:cs="Palatino Linotype"/>
          <w:b/>
          <w:i/>
          <w:sz w:val="22"/>
          <w:u w:val="single"/>
        </w:rPr>
        <w:t xml:space="preserve">V. Intervenir en los casos de flagrancia, asegurando a los presuntos responsables de la comisión de conductas ilícitas, y poniéndolos a la disposición de la autoridad competente; </w:t>
      </w:r>
    </w:p>
    <w:p w14:paraId="395487BA"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b/>
          <w:i/>
          <w:sz w:val="22"/>
        </w:rPr>
      </w:pPr>
      <w:r w:rsidRPr="00BB2D2F">
        <w:rPr>
          <w:rFonts w:ascii="Palatino Linotype" w:eastAsia="Palatino Linotype" w:hAnsi="Palatino Linotype" w:cs="Palatino Linotype"/>
          <w:b/>
          <w:i/>
          <w:sz w:val="22"/>
        </w:rPr>
        <w:t xml:space="preserve">VI. Vigilar el cumplimiento de las disposiciones contenidas en el presente bando y en los reglamentos municipales; </w:t>
      </w:r>
    </w:p>
    <w:p w14:paraId="7AE7BA4A"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VII. Vigilar el absoluto respeto a las garantías individuales de los habitantes del municipio. </w:t>
      </w:r>
    </w:p>
    <w:p w14:paraId="26E2B347"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b/>
          <w:i/>
          <w:sz w:val="22"/>
        </w:rPr>
      </w:pPr>
      <w:r w:rsidRPr="00BB2D2F">
        <w:rPr>
          <w:rFonts w:ascii="Palatino Linotype" w:eastAsia="Palatino Linotype" w:hAnsi="Palatino Linotype" w:cs="Palatino Linotype"/>
          <w:b/>
          <w:i/>
          <w:sz w:val="22"/>
        </w:rPr>
        <w:t xml:space="preserve">Artículo 141.- Son autoridades municipales en materia de la seguridad pública, las siguientes: </w:t>
      </w:r>
    </w:p>
    <w:p w14:paraId="62047126"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a) El Ayuntamiento; </w:t>
      </w:r>
    </w:p>
    <w:p w14:paraId="5F75AE26"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b) El </w:t>
      </w:r>
      <w:proofErr w:type="gramStart"/>
      <w:r w:rsidRPr="00BB2D2F">
        <w:rPr>
          <w:rFonts w:ascii="Palatino Linotype" w:eastAsia="Palatino Linotype" w:hAnsi="Palatino Linotype" w:cs="Palatino Linotype"/>
          <w:i/>
          <w:sz w:val="22"/>
        </w:rPr>
        <w:t>Presidente</w:t>
      </w:r>
      <w:proofErr w:type="gramEnd"/>
      <w:r w:rsidRPr="00BB2D2F">
        <w:rPr>
          <w:rFonts w:ascii="Palatino Linotype" w:eastAsia="Palatino Linotype" w:hAnsi="Palatino Linotype" w:cs="Palatino Linotype"/>
          <w:i/>
          <w:sz w:val="22"/>
        </w:rPr>
        <w:t xml:space="preserve"> Municipal; </w:t>
      </w:r>
    </w:p>
    <w:p w14:paraId="40A6BE7F"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b/>
          <w:i/>
          <w:sz w:val="22"/>
        </w:rPr>
      </w:pPr>
      <w:r w:rsidRPr="00BB2D2F">
        <w:rPr>
          <w:rFonts w:ascii="Palatino Linotype" w:eastAsia="Palatino Linotype" w:hAnsi="Palatino Linotype" w:cs="Palatino Linotype"/>
          <w:b/>
          <w:i/>
          <w:sz w:val="22"/>
        </w:rPr>
        <w:t xml:space="preserve">c) El </w:t>
      </w:r>
      <w:proofErr w:type="gramStart"/>
      <w:r w:rsidRPr="00BB2D2F">
        <w:rPr>
          <w:rFonts w:ascii="Palatino Linotype" w:eastAsia="Palatino Linotype" w:hAnsi="Palatino Linotype" w:cs="Palatino Linotype"/>
          <w:b/>
          <w:i/>
          <w:sz w:val="22"/>
        </w:rPr>
        <w:t>Director</w:t>
      </w:r>
      <w:proofErr w:type="gramEnd"/>
      <w:r w:rsidRPr="00BB2D2F">
        <w:rPr>
          <w:rFonts w:ascii="Palatino Linotype" w:eastAsia="Palatino Linotype" w:hAnsi="Palatino Linotype" w:cs="Palatino Linotype"/>
          <w:b/>
          <w:i/>
          <w:sz w:val="22"/>
        </w:rPr>
        <w:t xml:space="preserve"> de Seguridad Pública; y </w:t>
      </w:r>
    </w:p>
    <w:p w14:paraId="57E6EE0B"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d) Los integrantes de las instituciones policiales en el ejercicio de sus funciones. </w:t>
      </w:r>
    </w:p>
    <w:p w14:paraId="51470904"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b/>
          <w:i/>
          <w:sz w:val="22"/>
        </w:rPr>
        <w:lastRenderedPageBreak/>
        <w:t>Artículo 142.- Son atribuciones del ayuntamiento en materia de seguridad pública:</w:t>
      </w:r>
      <w:r w:rsidRPr="00BB2D2F">
        <w:rPr>
          <w:rFonts w:ascii="Palatino Linotype" w:eastAsia="Palatino Linotype" w:hAnsi="Palatino Linotype" w:cs="Palatino Linotype"/>
          <w:i/>
          <w:sz w:val="22"/>
        </w:rPr>
        <w:t xml:space="preserve"> </w:t>
      </w:r>
    </w:p>
    <w:p w14:paraId="2D31C34F"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 Tener conocimiento del Programa Municipal de Seguridad Pública y de prevención social de la violencia y la delincuencia, con participación ciudadana; </w:t>
      </w:r>
    </w:p>
    <w:p w14:paraId="691E73E8"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II. Aprobar convenios de coordinación en materia de seguridad pública con otros municipios de la entidad y de coordinación y de asunción de funciones con el Estado, previa la observancia de las formalidades que establezcan los ordenamientos aplicables; </w:t>
      </w:r>
    </w:p>
    <w:p w14:paraId="50516CB0"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III. Aprobar el nombramiento del </w:t>
      </w:r>
      <w:proofErr w:type="gramStart"/>
      <w:r w:rsidRPr="00BB2D2F">
        <w:rPr>
          <w:rFonts w:ascii="Palatino Linotype" w:eastAsia="Palatino Linotype" w:hAnsi="Palatino Linotype" w:cs="Palatino Linotype"/>
          <w:i/>
          <w:sz w:val="22"/>
        </w:rPr>
        <w:t>Director</w:t>
      </w:r>
      <w:proofErr w:type="gramEnd"/>
      <w:r w:rsidRPr="00BB2D2F">
        <w:rPr>
          <w:rFonts w:ascii="Palatino Linotype" w:eastAsia="Palatino Linotype" w:hAnsi="Palatino Linotype" w:cs="Palatino Linotype"/>
          <w:i/>
          <w:sz w:val="22"/>
        </w:rPr>
        <w:t xml:space="preserve"> de Seguridad Pública Municipal o del servidor público que realice esta función; </w:t>
      </w:r>
    </w:p>
    <w:p w14:paraId="5EC37ADF"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IV. Vigilar periódicamente el desarrollo y cumplimiento del servicio de seguridad pública; y </w:t>
      </w:r>
    </w:p>
    <w:p w14:paraId="0C4D9C2D"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V. Las demás que les señalen las leyes aplicables.” (Sic) (Énfasis añadido)</w:t>
      </w:r>
    </w:p>
    <w:p w14:paraId="186D11B0"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b/>
          <w:sz w:val="22"/>
        </w:rPr>
      </w:pPr>
      <w:r w:rsidRPr="00BB2D2F">
        <w:rPr>
          <w:rFonts w:ascii="Palatino Linotype" w:eastAsia="Palatino Linotype" w:hAnsi="Palatino Linotype" w:cs="Palatino Linotype"/>
          <w:b/>
          <w:sz w:val="22"/>
        </w:rPr>
        <w:t>Reglamento Interno de la Administración Pública Municipal de Xalatlaco</w:t>
      </w:r>
    </w:p>
    <w:p w14:paraId="2B4C4E47"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“DE LA DIRECCIÓN </w:t>
      </w:r>
    </w:p>
    <w:p w14:paraId="2963BC42"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w:t>
      </w:r>
    </w:p>
    <w:p w14:paraId="7239E7DF"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b/>
          <w:i/>
          <w:sz w:val="22"/>
        </w:rPr>
      </w:pPr>
      <w:r w:rsidRPr="00BB2D2F">
        <w:rPr>
          <w:rFonts w:ascii="Palatino Linotype" w:eastAsia="Palatino Linotype" w:hAnsi="Palatino Linotype" w:cs="Palatino Linotype"/>
          <w:b/>
          <w:i/>
          <w:sz w:val="22"/>
        </w:rPr>
        <w:t xml:space="preserve">ARTÍCULO 100. El </w:t>
      </w:r>
      <w:proofErr w:type="gramStart"/>
      <w:r w:rsidRPr="00BB2D2F">
        <w:rPr>
          <w:rFonts w:ascii="Palatino Linotype" w:eastAsia="Palatino Linotype" w:hAnsi="Palatino Linotype" w:cs="Palatino Linotype"/>
          <w:b/>
          <w:i/>
          <w:sz w:val="22"/>
        </w:rPr>
        <w:t>Director</w:t>
      </w:r>
      <w:proofErr w:type="gramEnd"/>
      <w:r w:rsidRPr="00BB2D2F">
        <w:rPr>
          <w:rFonts w:ascii="Palatino Linotype" w:eastAsia="Palatino Linotype" w:hAnsi="Palatino Linotype" w:cs="Palatino Linotype"/>
          <w:b/>
          <w:i/>
          <w:sz w:val="22"/>
        </w:rPr>
        <w:t xml:space="preserve"> tendrá los deberes y atribuciones siguientes: </w:t>
      </w:r>
    </w:p>
    <w:p w14:paraId="3281432F"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 Proponer al </w:t>
      </w:r>
      <w:proofErr w:type="gramStart"/>
      <w:r w:rsidRPr="00BB2D2F">
        <w:rPr>
          <w:rFonts w:ascii="Palatino Linotype" w:eastAsia="Palatino Linotype" w:hAnsi="Palatino Linotype" w:cs="Palatino Linotype"/>
          <w:i/>
          <w:sz w:val="22"/>
        </w:rPr>
        <w:t>Presidente</w:t>
      </w:r>
      <w:proofErr w:type="gramEnd"/>
      <w:r w:rsidRPr="00BB2D2F">
        <w:rPr>
          <w:rFonts w:ascii="Palatino Linotype" w:eastAsia="Palatino Linotype" w:hAnsi="Palatino Linotype" w:cs="Palatino Linotype"/>
          <w:i/>
          <w:sz w:val="22"/>
        </w:rPr>
        <w:t xml:space="preserve"> Municipal los planes y programas acordes a las necesidades del Territorio Municipal en materia de Seguridad Pública y Vialidad, en su conjunto y de manera particular aquellos que sean necesarios aplicar en las diversas comunidades sin menoscabo de aquellos planes y programas que se convengan con los Consejos de Participación Ciudadana, los Consejos de Seguridad Vecinal, las Organizaciones Vecinales y/o Asociaciones de Colonos; </w:t>
      </w:r>
    </w:p>
    <w:p w14:paraId="23FB2E94"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II. Aplicar las directrices </w:t>
      </w:r>
      <w:proofErr w:type="gramStart"/>
      <w:r w:rsidRPr="00BB2D2F">
        <w:rPr>
          <w:rFonts w:ascii="Palatino Linotype" w:eastAsia="Palatino Linotype" w:hAnsi="Palatino Linotype" w:cs="Palatino Linotype"/>
          <w:i/>
          <w:sz w:val="22"/>
        </w:rPr>
        <w:t>que</w:t>
      </w:r>
      <w:proofErr w:type="gramEnd"/>
      <w:r w:rsidRPr="00BB2D2F">
        <w:rPr>
          <w:rFonts w:ascii="Palatino Linotype" w:eastAsia="Palatino Linotype" w:hAnsi="Palatino Linotype" w:cs="Palatino Linotype"/>
          <w:i/>
          <w:sz w:val="22"/>
        </w:rPr>
        <w:t xml:space="preserve"> conforme a sus atribuciones expresas, dicten las autoridades federales, estatales y municipales, para la prestación del servicio, coordinación, intercambio de información, funcionamiento, normatividad técnica y disciplina de la Comandancia; </w:t>
      </w:r>
    </w:p>
    <w:p w14:paraId="7636A8B2"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b/>
          <w:i/>
          <w:sz w:val="22"/>
          <w:u w:val="single"/>
        </w:rPr>
        <w:lastRenderedPageBreak/>
        <w:t>III. Contar con las estadísticas delictivas debidamente documentadas y supervisar las acciones de los cuerpos de seguridad pública y vialidad municipal;</w:t>
      </w:r>
      <w:r w:rsidRPr="00BB2D2F">
        <w:rPr>
          <w:rFonts w:ascii="Palatino Linotype" w:eastAsia="Palatino Linotype" w:hAnsi="Palatino Linotype" w:cs="Palatino Linotype"/>
          <w:i/>
          <w:sz w:val="22"/>
        </w:rPr>
        <w:t xml:space="preserve"> </w:t>
      </w:r>
    </w:p>
    <w:p w14:paraId="29F2B910" w14:textId="77777777" w:rsidR="00787C49" w:rsidRPr="00BB2D2F" w:rsidRDefault="00787C49" w:rsidP="00787C49">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(Sic) (Énfasis añadido)</w:t>
      </w:r>
    </w:p>
    <w:p w14:paraId="5FB27327" w14:textId="77777777" w:rsidR="00295946" w:rsidRPr="00BB2D2F" w:rsidRDefault="00295946" w:rsidP="00295946">
      <w:pPr>
        <w:spacing w:before="240" w:after="240" w:line="360" w:lineRule="auto"/>
        <w:ind w:right="49"/>
        <w:jc w:val="both"/>
        <w:rPr>
          <w:rFonts w:ascii="Palatino Linotype" w:eastAsia="Palatino Linotype" w:hAnsi="Palatino Linotype" w:cs="Palatino Linotype"/>
        </w:rPr>
      </w:pPr>
      <w:r w:rsidRPr="00BB2D2F">
        <w:rPr>
          <w:rFonts w:ascii="Palatino Linotype" w:eastAsia="Palatino Linotype" w:hAnsi="Palatino Linotype" w:cs="Palatino Linotype"/>
          <w:noProof/>
          <w:szCs w:val="22"/>
          <w:lang w:val="es-MX"/>
        </w:rPr>
        <w:drawing>
          <wp:anchor distT="0" distB="0" distL="114300" distR="114300" simplePos="0" relativeHeight="251659264" behindDoc="0" locked="0" layoutInCell="1" allowOverlap="1" wp14:anchorId="1F970F3E" wp14:editId="01308D1A">
            <wp:simplePos x="0" y="0"/>
            <wp:positionH relativeFrom="column">
              <wp:posOffset>-13335</wp:posOffset>
            </wp:positionH>
            <wp:positionV relativeFrom="paragraph">
              <wp:posOffset>2239645</wp:posOffset>
            </wp:positionV>
            <wp:extent cx="5612130" cy="1438910"/>
            <wp:effectExtent l="19050" t="19050" r="26670" b="2794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143891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BB2D2F">
        <w:rPr>
          <w:rFonts w:ascii="Palatino Linotype" w:eastAsia="Palatino Linotype" w:hAnsi="Palatino Linotype" w:cs="Palatino Linotype"/>
          <w:lang w:val="es-MX"/>
        </w:rPr>
        <w:t xml:space="preserve">Acotado lo anterior, resulta pertinente analizar el contenido de la respuesta vertida por el </w:t>
      </w:r>
      <w:r w:rsidRPr="00BB2D2F">
        <w:rPr>
          <w:rFonts w:ascii="Palatino Linotype" w:eastAsia="Palatino Linotype" w:hAnsi="Palatino Linotype" w:cs="Palatino Linotype"/>
          <w:b/>
          <w:lang w:val="es-MX"/>
        </w:rPr>
        <w:t xml:space="preserve">Sujeto Obligado, </w:t>
      </w:r>
      <w:r w:rsidRPr="00BB2D2F">
        <w:rPr>
          <w:rFonts w:ascii="Palatino Linotype" w:eastAsia="Palatino Linotype" w:hAnsi="Palatino Linotype" w:cs="Palatino Linotype"/>
          <w:lang w:val="es-MX"/>
        </w:rPr>
        <w:t>es necesario referir</w:t>
      </w:r>
      <w:r w:rsidRPr="00BB2D2F">
        <w:rPr>
          <w:rFonts w:ascii="Palatino Linotype" w:eastAsia="Palatino Linotype" w:hAnsi="Palatino Linotype" w:cs="Palatino Linotype"/>
        </w:rPr>
        <w:t xml:space="preserve"> que 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por conducto del Secretario Técnico del Consejo Municipal de Seguridad Pública en su Oficio PM/XAL/ST/086/06/2022, refirió enviar la información en medio magnético, la cual consiste en una hoja de cálculo en formato Excel, mediante la cual se da cuenta de los hechos delictuosos suscitados en el Municipio por mes durante los años 2015-2022, sirve de mayor referencia la siguiente ilustración: </w:t>
      </w:r>
    </w:p>
    <w:p w14:paraId="5BF87EED" w14:textId="77777777" w:rsidR="00295946" w:rsidRPr="00BB2D2F" w:rsidRDefault="00295946" w:rsidP="00787C49">
      <w:pPr>
        <w:spacing w:before="240" w:after="360" w:line="360" w:lineRule="auto"/>
        <w:jc w:val="both"/>
        <w:rPr>
          <w:rFonts w:ascii="Palatino Linotype" w:eastAsia="Palatino Linotype" w:hAnsi="Palatino Linotype" w:cs="Palatino Linotype"/>
          <w:lang w:val="es-MX"/>
        </w:rPr>
      </w:pPr>
    </w:p>
    <w:p w14:paraId="672A292E" w14:textId="77777777" w:rsidR="00295946" w:rsidRPr="00BB2D2F" w:rsidRDefault="00295946" w:rsidP="00787C49">
      <w:pPr>
        <w:spacing w:before="240" w:after="36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Del análisis exhaustivo practicado a la documentación enviada en respuesta por el </w:t>
      </w:r>
      <w:r w:rsidRPr="00BB2D2F">
        <w:rPr>
          <w:rFonts w:ascii="Palatino Linotype" w:eastAsia="Palatino Linotype" w:hAnsi="Palatino Linotype" w:cs="Palatino Linotype"/>
          <w:b/>
          <w:lang w:val="es-MX"/>
        </w:rPr>
        <w:t>Sujeto Obligado</w:t>
      </w:r>
      <w:r w:rsidRPr="00BB2D2F">
        <w:rPr>
          <w:rFonts w:ascii="Palatino Linotype" w:eastAsia="Palatino Linotype" w:hAnsi="Palatino Linotype" w:cs="Palatino Linotype"/>
          <w:lang w:val="es-MX"/>
        </w:rPr>
        <w:t>, se advierte lo siguiente:</w:t>
      </w:r>
    </w:p>
    <w:p w14:paraId="577AB6CE" w14:textId="77777777" w:rsidR="00295946" w:rsidRPr="00BB2D2F" w:rsidRDefault="00295946" w:rsidP="00295946">
      <w:pPr>
        <w:pStyle w:val="Prrafodelista"/>
        <w:numPr>
          <w:ilvl w:val="0"/>
          <w:numId w:val="19"/>
        </w:numPr>
        <w:spacing w:before="240" w:after="360" w:line="360" w:lineRule="auto"/>
        <w:ind w:right="900"/>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No obra pronunciamiento respecto de la información generada de los años 2010-2014. </w:t>
      </w:r>
    </w:p>
    <w:p w14:paraId="19C3E8A9" w14:textId="77777777" w:rsidR="00295946" w:rsidRPr="00BB2D2F" w:rsidRDefault="00295946" w:rsidP="00295946">
      <w:pPr>
        <w:pStyle w:val="Prrafodelista"/>
        <w:numPr>
          <w:ilvl w:val="0"/>
          <w:numId w:val="19"/>
        </w:numPr>
        <w:spacing w:before="240" w:after="360" w:line="360" w:lineRule="auto"/>
        <w:ind w:right="900"/>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Por cuanto hace a los años enviados 2015-2022, se vislumbra que contiene los siguientes elementos: año, clave del municipio, </w:t>
      </w:r>
      <w:r w:rsidRPr="00BB2D2F">
        <w:rPr>
          <w:rFonts w:ascii="Palatino Linotype" w:eastAsia="Palatino Linotype" w:hAnsi="Palatino Linotype" w:cs="Palatino Linotype"/>
          <w:lang w:val="es-MX"/>
        </w:rPr>
        <w:lastRenderedPageBreak/>
        <w:t>municipio, tipo de delito, subtipo de delito y modalidad, mismos que no fueron requeridos por el particular.</w:t>
      </w:r>
    </w:p>
    <w:p w14:paraId="0BC15D7C" w14:textId="77777777" w:rsidR="008F3EA3" w:rsidRPr="00BB2D2F" w:rsidRDefault="008F3EA3" w:rsidP="00295946">
      <w:pPr>
        <w:pStyle w:val="Prrafodelista"/>
        <w:numPr>
          <w:ilvl w:val="0"/>
          <w:numId w:val="19"/>
        </w:numPr>
        <w:spacing w:before="240" w:after="360" w:line="360" w:lineRule="auto"/>
        <w:ind w:right="900"/>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La información remitida mediante la liga electrónica no indica de manera </w:t>
      </w:r>
      <w:r w:rsidRPr="00BB2D2F">
        <w:rPr>
          <w:rFonts w:ascii="Palatino Linotype" w:eastAsia="Palatino Linotype" w:hAnsi="Palatino Linotype" w:cs="Palatino Linotype"/>
        </w:rPr>
        <w:t>precisa y concreta la fuente para localizar la información, en términos de los artículos 11 y 161 de la Ley de Transparencia y Acceso a la Información Pública del Estado de México y Municipios.</w:t>
      </w:r>
    </w:p>
    <w:p w14:paraId="142C1978" w14:textId="77777777" w:rsidR="008F3EA3" w:rsidRPr="00BB2D2F" w:rsidRDefault="008F3EA3" w:rsidP="008F3EA3">
      <w:pPr>
        <w:pStyle w:val="Prrafodelista"/>
        <w:spacing w:before="240" w:after="360" w:line="360" w:lineRule="auto"/>
        <w:ind w:right="900"/>
        <w:jc w:val="both"/>
        <w:rPr>
          <w:rFonts w:ascii="Palatino Linotype" w:eastAsia="Palatino Linotype" w:hAnsi="Palatino Linotype" w:cs="Palatino Linotype"/>
          <w:lang w:val="es-MX"/>
        </w:rPr>
      </w:pPr>
      <w:r w:rsidRPr="00BB2D2F">
        <w:rPr>
          <w:rFonts w:ascii="Palatino Linotype" w:eastAsia="Palatino Linotype" w:hAnsi="Palatino Linotype" w:cs="Palatino Linotype"/>
          <w:noProof/>
          <w:lang w:val="es-MX"/>
        </w:rPr>
        <w:drawing>
          <wp:inline distT="0" distB="0" distL="0" distR="0" wp14:anchorId="3EA1CE2D" wp14:editId="606F62DF">
            <wp:extent cx="3600450" cy="2064616"/>
            <wp:effectExtent l="19050" t="19050" r="19050"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2733" cy="2065925"/>
                    </a:xfrm>
                    <a:prstGeom prst="rect">
                      <a:avLst/>
                    </a:prstGeom>
                    <a:ln>
                      <a:solidFill>
                        <a:sysClr val="windowText" lastClr="000000"/>
                      </a:solidFill>
                    </a:ln>
                  </pic:spPr>
                </pic:pic>
              </a:graphicData>
            </a:graphic>
          </wp:inline>
        </w:drawing>
      </w:r>
    </w:p>
    <w:p w14:paraId="7AD9C5A4" w14:textId="77777777" w:rsidR="008F3EA3" w:rsidRPr="00BB2D2F" w:rsidRDefault="008F3EA3" w:rsidP="008F3EA3">
      <w:pPr>
        <w:spacing w:before="240" w:after="360" w:line="360" w:lineRule="auto"/>
        <w:ind w:right="49"/>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Es por lo anterior que se estima que la respuesta proporcionada por el </w:t>
      </w:r>
      <w:r w:rsidRPr="00BB2D2F">
        <w:rPr>
          <w:rFonts w:ascii="Palatino Linotype" w:eastAsia="Palatino Linotype" w:hAnsi="Palatino Linotype" w:cs="Palatino Linotype"/>
          <w:b/>
          <w:lang w:val="es-MX"/>
        </w:rPr>
        <w:t xml:space="preserve">Sujeto Obligado </w:t>
      </w:r>
      <w:r w:rsidRPr="00BB2D2F">
        <w:rPr>
          <w:rFonts w:ascii="Palatino Linotype" w:eastAsia="Palatino Linotype" w:hAnsi="Palatino Linotype" w:cs="Palatino Linotype"/>
          <w:lang w:val="es-MX"/>
        </w:rPr>
        <w:t xml:space="preserve">no colma con lo peticionado por el particular, aunado al hecho que como ya se señaló anteriormente, no se efectuó una búsqueda exhaustiva y razonable dentro del patrimonio documental del Ayuntamiento de Xalatlaco, por lo que para efecto de atender a la presente resolución, deberá efectuarse una búsqueda exhaustiva y razonable, a efecto de localizar el soporte documental que dé cuenta de la estadística de incidencia delictiva al mayor grado de desagregación posible, del periodo comprendido del 1 de enero de 2010 al veintisiete de mayo del 2022, sin embargo, de ser el caso en el que la información ordenada no obre dentro de los archivos del </w:t>
      </w:r>
      <w:r w:rsidRPr="00BB2D2F">
        <w:rPr>
          <w:rFonts w:ascii="Palatino Linotype" w:eastAsia="Palatino Linotype" w:hAnsi="Palatino Linotype" w:cs="Palatino Linotype"/>
          <w:b/>
          <w:lang w:val="es-MX"/>
        </w:rPr>
        <w:t>Sujeto Obligado</w:t>
      </w:r>
      <w:r w:rsidRPr="00BB2D2F">
        <w:rPr>
          <w:rFonts w:ascii="Palatino Linotype" w:eastAsia="Palatino Linotype" w:hAnsi="Palatino Linotype" w:cs="Palatino Linotype"/>
          <w:lang w:val="es-MX"/>
        </w:rPr>
        <w:t xml:space="preserve"> derivado de la temporalidad de la misma, deberá estarse a lo que dispongan las siguientes líneas argumentativas. </w:t>
      </w:r>
    </w:p>
    <w:p w14:paraId="0F801580" w14:textId="77777777" w:rsidR="00787C49" w:rsidRPr="00BB2D2F" w:rsidRDefault="00787C49" w:rsidP="00787C49">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rPr>
      </w:pPr>
      <w:r w:rsidRPr="00BB2D2F">
        <w:rPr>
          <w:rFonts w:ascii="Palatino Linotype" w:eastAsia="Palatino Linotype" w:hAnsi="Palatino Linotype" w:cs="Palatino Linotype"/>
          <w:b/>
          <w:lang w:val="es-MX"/>
        </w:rPr>
        <w:lastRenderedPageBreak/>
        <w:t>De la temporalidad en la conservación de los archivos.</w:t>
      </w:r>
    </w:p>
    <w:p w14:paraId="3FC578C9"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En mérito de lo anterior,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15B79415" w14:textId="77777777" w:rsidR="00787C49" w:rsidRPr="00BB2D2F" w:rsidRDefault="00787C49" w:rsidP="00787C49">
      <w:pPr>
        <w:tabs>
          <w:tab w:val="left" w:pos="7938"/>
        </w:tabs>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r w:rsidRPr="00BB2D2F">
        <w:rPr>
          <w:rFonts w:ascii="Palatino Linotype" w:eastAsia="Palatino Linotype" w:hAnsi="Palatino Linotype" w:cs="Palatino Linotype"/>
          <w:b/>
          <w:i/>
          <w:sz w:val="22"/>
          <w:szCs w:val="22"/>
          <w:lang w:val="es-MX"/>
        </w:rPr>
        <w:t>Cuarto.</w:t>
      </w:r>
    </w:p>
    <w:p w14:paraId="3EB8B408" w14:textId="77777777" w:rsidR="00787C49" w:rsidRPr="00BB2D2F" w:rsidRDefault="00787C49" w:rsidP="00787C49">
      <w:pPr>
        <w:tabs>
          <w:tab w:val="left" w:pos="7938"/>
        </w:tabs>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p>
    <w:p w14:paraId="4EDF7EE8" w14:textId="77777777" w:rsidR="00787C49" w:rsidRPr="00BB2D2F" w:rsidRDefault="00787C49" w:rsidP="00787C49">
      <w:pPr>
        <w:tabs>
          <w:tab w:val="left" w:pos="7938"/>
        </w:tabs>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II. Archivo</w:t>
      </w:r>
      <w:r w:rsidRPr="00BB2D2F">
        <w:rPr>
          <w:rFonts w:ascii="Palatino Linotype" w:eastAsia="Palatino Linotype" w:hAnsi="Palatino Linotype" w:cs="Palatino Linotype"/>
          <w:i/>
          <w:sz w:val="22"/>
          <w:szCs w:val="22"/>
          <w:lang w:val="es-MX"/>
        </w:rPr>
        <w:t>: El conjunto orgánico de documentos en cualquier soporte, que son producidos o recibidos por los sujetos obligados o los particulares en el ejercicio de sus atribuciones o en el desarrollo de sus actividades;</w:t>
      </w:r>
    </w:p>
    <w:p w14:paraId="6F14689D" w14:textId="77777777" w:rsidR="00787C49" w:rsidRPr="00BB2D2F" w:rsidRDefault="00787C49" w:rsidP="00787C49">
      <w:pPr>
        <w:tabs>
          <w:tab w:val="left" w:pos="7938"/>
        </w:tabs>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III. Archivo de concentración</w:t>
      </w:r>
      <w:r w:rsidRPr="00BB2D2F">
        <w:rPr>
          <w:rFonts w:ascii="Palatino Linotype" w:eastAsia="Palatino Linotype" w:hAnsi="Palatino Linotype" w:cs="Palatino Linotype"/>
          <w:i/>
          <w:sz w:val="22"/>
          <w:szCs w:val="22"/>
          <w:lang w:val="es-MX"/>
        </w:rPr>
        <w:t>: La unidad de la administración de documentos cuya consulta es esporádica y que permanecen en ella hasta su transferencia secundaria o baja documental;</w:t>
      </w:r>
    </w:p>
    <w:p w14:paraId="7CFE432C" w14:textId="77777777" w:rsidR="00787C49" w:rsidRPr="00BB2D2F" w:rsidRDefault="00787C49" w:rsidP="00787C49">
      <w:pPr>
        <w:tabs>
          <w:tab w:val="left" w:pos="7938"/>
        </w:tabs>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IV. Archivo histórico</w:t>
      </w:r>
      <w:r w:rsidRPr="00BB2D2F">
        <w:rPr>
          <w:rFonts w:ascii="Palatino Linotype" w:eastAsia="Palatino Linotype" w:hAnsi="Palatino Linotype" w:cs="Palatino Linotype"/>
          <w:i/>
          <w:sz w:val="22"/>
          <w:szCs w:val="22"/>
          <w:lang w:val="es-MX"/>
        </w:rPr>
        <w:t>. La unidad responsable de la administración de los documentos de conservación permanente y que son fuente de acceso público;</w:t>
      </w:r>
    </w:p>
    <w:p w14:paraId="4163DDCE" w14:textId="77777777" w:rsidR="00787C49" w:rsidRPr="00BB2D2F" w:rsidRDefault="00787C49" w:rsidP="00787C49">
      <w:pPr>
        <w:tabs>
          <w:tab w:val="left" w:pos="7938"/>
        </w:tabs>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V. Archivo de trámite</w:t>
      </w:r>
      <w:r w:rsidRPr="00BB2D2F">
        <w:rPr>
          <w:rFonts w:ascii="Palatino Linotype" w:eastAsia="Palatino Linotype" w:hAnsi="Palatino Linotype" w:cs="Palatino Linotype"/>
          <w:i/>
          <w:sz w:val="22"/>
          <w:szCs w:val="22"/>
          <w:lang w:val="es-MX"/>
        </w:rPr>
        <w:t>: La unidad responsable de la administración de documentos de uso cotidiano y necesario para el ejercicio de las atribuciones de una unidad administrativa, los cuales permanecen en ella hasta su transferencia primaria;</w:t>
      </w:r>
    </w:p>
    <w:p w14:paraId="2F40F430" w14:textId="77777777" w:rsidR="00787C49" w:rsidRPr="00BB2D2F" w:rsidRDefault="00787C49" w:rsidP="00787C49">
      <w:pPr>
        <w:tabs>
          <w:tab w:val="left" w:pos="7938"/>
        </w:tabs>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VIII. Baja documental</w:t>
      </w:r>
      <w:r w:rsidRPr="00BB2D2F">
        <w:rPr>
          <w:rFonts w:ascii="Palatino Linotype" w:eastAsia="Palatino Linotype" w:hAnsi="Palatino Linotype" w:cs="Palatino Linotype"/>
          <w:i/>
          <w:sz w:val="22"/>
          <w:szCs w:val="22"/>
          <w:lang w:val="es-MX"/>
        </w:rPr>
        <w:t>. La eliminación de aquella documentación que haya prescrito en sus valores administrativos, legales, fiscales, contables, y que no contenga valores históricos;</w:t>
      </w:r>
    </w:p>
    <w:p w14:paraId="69E4B2CC" w14:textId="77777777" w:rsidR="00787C49" w:rsidRPr="00BB2D2F" w:rsidRDefault="00787C49" w:rsidP="00787C49">
      <w:pPr>
        <w:tabs>
          <w:tab w:val="left" w:pos="7938"/>
        </w:tabs>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p>
    <w:p w14:paraId="05AC2264" w14:textId="77777777" w:rsidR="00787C49" w:rsidRPr="00BB2D2F" w:rsidRDefault="00787C49" w:rsidP="00787C49">
      <w:pPr>
        <w:tabs>
          <w:tab w:val="left" w:pos="7938"/>
        </w:tabs>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X. Ciclo vital del documento</w:t>
      </w:r>
      <w:r w:rsidRPr="00BB2D2F">
        <w:rPr>
          <w:rFonts w:ascii="Palatino Linotype" w:eastAsia="Palatino Linotype" w:hAnsi="Palatino Linotype" w:cs="Palatino Linotype"/>
          <w:i/>
          <w:sz w:val="22"/>
          <w:szCs w:val="22"/>
          <w:lang w:val="es-MX"/>
        </w:rPr>
        <w:t xml:space="preserve">: </w:t>
      </w:r>
      <w:proofErr w:type="gramStart"/>
      <w:r w:rsidRPr="00BB2D2F">
        <w:rPr>
          <w:rFonts w:ascii="Palatino Linotype" w:eastAsia="Palatino Linotype" w:hAnsi="Palatino Linotype" w:cs="Palatino Linotype"/>
          <w:i/>
          <w:sz w:val="22"/>
          <w:szCs w:val="22"/>
          <w:lang w:val="es-MX"/>
        </w:rPr>
        <w:t>La etapas</w:t>
      </w:r>
      <w:proofErr w:type="gramEnd"/>
      <w:r w:rsidRPr="00BB2D2F">
        <w:rPr>
          <w:rFonts w:ascii="Palatino Linotype" w:eastAsia="Palatino Linotype" w:hAnsi="Palatino Linotype" w:cs="Palatino Linotype"/>
          <w:i/>
          <w:sz w:val="22"/>
          <w:szCs w:val="22"/>
          <w:lang w:val="es-MX"/>
        </w:rPr>
        <w:t xml:space="preserve"> de los documentos desde su producción o recepción hasta su baja o transferencia a un archivo histórico;</w:t>
      </w:r>
    </w:p>
    <w:p w14:paraId="37B0077B" w14:textId="77777777" w:rsidR="00787C49" w:rsidRPr="00BB2D2F" w:rsidRDefault="00787C49" w:rsidP="00787C49">
      <w:pPr>
        <w:tabs>
          <w:tab w:val="left" w:pos="7938"/>
        </w:tabs>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lastRenderedPageBreak/>
        <w:t>(…)</w:t>
      </w:r>
    </w:p>
    <w:p w14:paraId="771BD984" w14:textId="77777777" w:rsidR="00787C49" w:rsidRPr="00BB2D2F" w:rsidRDefault="00787C49" w:rsidP="00787C49">
      <w:pPr>
        <w:tabs>
          <w:tab w:val="left" w:pos="7938"/>
        </w:tabs>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XLVIII. Transferencia documental</w:t>
      </w:r>
      <w:r w:rsidRPr="00BB2D2F">
        <w:rPr>
          <w:rFonts w:ascii="Palatino Linotype" w:eastAsia="Palatino Linotype" w:hAnsi="Palatino Linotype" w:cs="Palatino Linotype"/>
          <w:i/>
          <w:sz w:val="22"/>
          <w:szCs w:val="22"/>
          <w:lang w:val="es-MX"/>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2748302" w14:textId="77777777" w:rsidR="00787C49" w:rsidRPr="00BB2D2F" w:rsidRDefault="00787C49" w:rsidP="00787C49">
      <w:pPr>
        <w:spacing w:before="240" w:after="240" w:line="360" w:lineRule="auto"/>
        <w:ind w:right="49"/>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4AD2A67D" w14:textId="77777777" w:rsidR="00787C49" w:rsidRPr="00BB2D2F" w:rsidRDefault="00787C49" w:rsidP="00787C49">
      <w:pPr>
        <w:spacing w:before="240" w:after="240" w:line="360" w:lineRule="auto"/>
        <w:ind w:right="49"/>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Lineamientos para la Valoración, Selección y Baja de los Documentos, Expedientes y Series de Trámite Concluido en los Archivos del Estado de México, que establece lo siguiente:</w:t>
      </w:r>
    </w:p>
    <w:p w14:paraId="0E49DD30"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r w:rsidRPr="00BB2D2F">
        <w:rPr>
          <w:rFonts w:ascii="Palatino Linotype" w:eastAsia="Palatino Linotype" w:hAnsi="Palatino Linotype" w:cs="Palatino Linotype"/>
          <w:b/>
          <w:i/>
          <w:sz w:val="22"/>
          <w:szCs w:val="22"/>
          <w:lang w:val="es-MX"/>
        </w:rPr>
        <w:t>Artículo 20.</w:t>
      </w:r>
      <w:r w:rsidRPr="00BB2D2F">
        <w:rPr>
          <w:rFonts w:ascii="Palatino Linotype" w:eastAsia="Palatino Linotype" w:hAnsi="Palatino Linotype" w:cs="Palatino Linotype"/>
          <w:i/>
          <w:sz w:val="22"/>
          <w:szCs w:val="22"/>
          <w:lang w:val="es-MX"/>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42B72166"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El periodo señalado se computará a partir del día siguiente a la fecha del documento con el cual se dé por concluido el asunto por el que los expedientes fueron creados.</w:t>
      </w:r>
    </w:p>
    <w:p w14:paraId="06893148"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Artículo 27</w:t>
      </w:r>
      <w:r w:rsidRPr="00BB2D2F">
        <w:rPr>
          <w:rFonts w:ascii="Palatino Linotype" w:eastAsia="Palatino Linotype" w:hAnsi="Palatino Linotype" w:cs="Palatino Linotype"/>
          <w:i/>
          <w:sz w:val="22"/>
          <w:szCs w:val="22"/>
          <w:lang w:val="es-MX"/>
        </w:rPr>
        <w:t xml:space="preserve">.- Las Unidades Administrativas al realizar la transferencia de los expedientes de trámite concluido, señalarán en el Inventario correspondiente los plazos de conservación </w:t>
      </w:r>
      <w:proofErr w:type="spellStart"/>
      <w:r w:rsidRPr="00BB2D2F">
        <w:rPr>
          <w:rFonts w:ascii="Palatino Linotype" w:eastAsia="Palatino Linotype" w:hAnsi="Palatino Linotype" w:cs="Palatino Linotype"/>
          <w:i/>
          <w:sz w:val="22"/>
          <w:szCs w:val="22"/>
          <w:lang w:val="es-MX"/>
        </w:rPr>
        <w:t>precaucional</w:t>
      </w:r>
      <w:proofErr w:type="spellEnd"/>
      <w:r w:rsidRPr="00BB2D2F">
        <w:rPr>
          <w:rFonts w:ascii="Palatino Linotype" w:eastAsia="Palatino Linotype" w:hAnsi="Palatino Linotype" w:cs="Palatino Linotype"/>
          <w:i/>
          <w:sz w:val="22"/>
          <w:szCs w:val="22"/>
          <w:lang w:val="es-MX"/>
        </w:rPr>
        <w:t xml:space="preserve"> de éstos en el Archivo de Concentración.</w:t>
      </w:r>
    </w:p>
    <w:p w14:paraId="583447DC"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lastRenderedPageBreak/>
        <w:t xml:space="preserve">Para determinar el plazo de conservación </w:t>
      </w:r>
      <w:proofErr w:type="spellStart"/>
      <w:r w:rsidRPr="00BB2D2F">
        <w:rPr>
          <w:rFonts w:ascii="Palatino Linotype" w:eastAsia="Palatino Linotype" w:hAnsi="Palatino Linotype" w:cs="Palatino Linotype"/>
          <w:i/>
          <w:sz w:val="22"/>
          <w:szCs w:val="22"/>
          <w:lang w:val="es-MX"/>
        </w:rPr>
        <w:t>precaucional</w:t>
      </w:r>
      <w:proofErr w:type="spellEnd"/>
      <w:r w:rsidRPr="00BB2D2F">
        <w:rPr>
          <w:rFonts w:ascii="Palatino Linotype" w:eastAsia="Palatino Linotype" w:hAnsi="Palatino Linotype" w:cs="Palatino Linotype"/>
          <w:i/>
          <w:sz w:val="22"/>
          <w:szCs w:val="22"/>
          <w:lang w:val="es-MX"/>
        </w:rPr>
        <w:t xml:space="preserve"> deberán considerar el marco legal o administrativo bajo el cual se produjeron o recibieron los documentos y los siguientes períodos:</w:t>
      </w:r>
    </w:p>
    <w:p w14:paraId="68B59F4E" w14:textId="77777777" w:rsidR="00787C49" w:rsidRPr="00BB2D2F" w:rsidRDefault="00787C49" w:rsidP="00787C49">
      <w:pPr>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w:t>
      </w:r>
      <w:r w:rsidRPr="00BB2D2F">
        <w:rPr>
          <w:rFonts w:ascii="Palatino Linotype" w:eastAsia="Palatino Linotype" w:hAnsi="Palatino Linotype" w:cs="Palatino Linotype"/>
          <w:i/>
          <w:sz w:val="22"/>
          <w:szCs w:val="22"/>
          <w:lang w:val="es-MX"/>
        </w:rPr>
        <w:t>. 6 años para expedientes con información administrativa;</w:t>
      </w:r>
    </w:p>
    <w:p w14:paraId="1AAD721E" w14:textId="77777777" w:rsidR="00787C49" w:rsidRPr="00BB2D2F" w:rsidRDefault="00787C49" w:rsidP="00787C49">
      <w:pPr>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II.</w:t>
      </w:r>
      <w:r w:rsidRPr="00BB2D2F">
        <w:rPr>
          <w:rFonts w:ascii="Palatino Linotype" w:eastAsia="Palatino Linotype" w:hAnsi="Palatino Linotype" w:cs="Palatino Linotype"/>
          <w:i/>
          <w:sz w:val="22"/>
          <w:szCs w:val="22"/>
          <w:lang w:val="es-MX"/>
        </w:rPr>
        <w:t xml:space="preserve"> 6 años como mínimo para expedientes con información fiscal y presupuestal contable;</w:t>
      </w:r>
    </w:p>
    <w:p w14:paraId="0AFFA944" w14:textId="77777777" w:rsidR="00787C49" w:rsidRPr="00BB2D2F" w:rsidRDefault="00787C49" w:rsidP="00787C49">
      <w:pPr>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III</w:t>
      </w:r>
      <w:r w:rsidRPr="00BB2D2F">
        <w:rPr>
          <w:rFonts w:ascii="Palatino Linotype" w:eastAsia="Palatino Linotype" w:hAnsi="Palatino Linotype" w:cs="Palatino Linotype"/>
          <w:i/>
          <w:sz w:val="22"/>
          <w:szCs w:val="22"/>
          <w:lang w:val="es-MX"/>
        </w:rPr>
        <w:t>. 12 años como mínimo para expedientes con información jurídico-legal, obra pública y activo fijo; y</w:t>
      </w:r>
    </w:p>
    <w:p w14:paraId="0D0D4A4E" w14:textId="77777777" w:rsidR="00787C49" w:rsidRPr="00BB2D2F" w:rsidRDefault="00787C49" w:rsidP="00787C49">
      <w:pPr>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IV.</w:t>
      </w:r>
      <w:r w:rsidRPr="00BB2D2F">
        <w:rPr>
          <w:rFonts w:ascii="Palatino Linotype" w:eastAsia="Palatino Linotype" w:hAnsi="Palatino Linotype" w:cs="Palatino Linotype"/>
          <w:i/>
          <w:sz w:val="22"/>
          <w:szCs w:val="22"/>
          <w:lang w:val="es-MX"/>
        </w:rPr>
        <w:t xml:space="preserve"> Cuando en la legislación se establezcan períodos de conservación mayores a los señalados en las fracciones I, II y III, se considerarán los estipulados en dicha legislación para efectos de realización del proceso de selección final.</w:t>
      </w:r>
    </w:p>
    <w:p w14:paraId="51E85971" w14:textId="77777777" w:rsidR="00787C49" w:rsidRPr="00BB2D2F" w:rsidRDefault="00787C49" w:rsidP="00787C49">
      <w:pPr>
        <w:spacing w:before="120" w:after="120"/>
        <w:ind w:left="1134"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V</w:t>
      </w:r>
      <w:r w:rsidRPr="00BB2D2F">
        <w:rPr>
          <w:rFonts w:ascii="Palatino Linotype" w:eastAsia="Palatino Linotype" w:hAnsi="Palatino Linotype" w:cs="Palatino Linotype"/>
          <w:i/>
          <w:sz w:val="22"/>
          <w:szCs w:val="22"/>
          <w:lang w:val="es-MX"/>
        </w:rPr>
        <w:t xml:space="preserve">. Cuando las Unidades Administrativas no indique el plazo de conservación </w:t>
      </w:r>
      <w:proofErr w:type="spellStart"/>
      <w:r w:rsidRPr="00BB2D2F">
        <w:rPr>
          <w:rFonts w:ascii="Palatino Linotype" w:eastAsia="Palatino Linotype" w:hAnsi="Palatino Linotype" w:cs="Palatino Linotype"/>
          <w:i/>
          <w:sz w:val="22"/>
          <w:szCs w:val="22"/>
          <w:lang w:val="es-MX"/>
        </w:rPr>
        <w:t>precaucional</w:t>
      </w:r>
      <w:proofErr w:type="spellEnd"/>
      <w:r w:rsidRPr="00BB2D2F">
        <w:rPr>
          <w:rFonts w:ascii="Palatino Linotype" w:eastAsia="Palatino Linotype" w:hAnsi="Palatino Linotype" w:cs="Palatino Linotype"/>
          <w:i/>
          <w:sz w:val="22"/>
          <w:szCs w:val="22"/>
          <w:lang w:val="es-MX"/>
        </w:rPr>
        <w:t xml:space="preserve"> de sus expedientes en el Inventario correspondiente, los Archivos de Concentración podrán rechazar la transferencia de los expedientes.”</w:t>
      </w:r>
    </w:p>
    <w:p w14:paraId="59BC2C5A"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22FE4C8B"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En esta tesitura, el Pleno de este Instituto considera que hizo falta agotar la búsqueda exhaustiva y razonable, ya que, por la antigüedad de la información que se solicita, se considera que dichos documentos pudieran obrar en los archivos de las unidades competentes, o bien en el archivo municipal, en razón de sus atribuciones señaladas anteriormente. </w:t>
      </w:r>
    </w:p>
    <w:p w14:paraId="10CB2DCA" w14:textId="77777777" w:rsidR="008F3EA3" w:rsidRPr="00BB2D2F" w:rsidRDefault="008F3EA3" w:rsidP="00787C49">
      <w:pPr>
        <w:spacing w:before="240" w:after="240" w:line="360" w:lineRule="auto"/>
        <w:jc w:val="both"/>
        <w:rPr>
          <w:rFonts w:ascii="Palatino Linotype" w:eastAsia="Palatino Linotype" w:hAnsi="Palatino Linotype" w:cs="Palatino Linotype"/>
          <w:lang w:val="es-MX"/>
        </w:rPr>
      </w:pPr>
    </w:p>
    <w:p w14:paraId="5DA86830" w14:textId="77777777" w:rsidR="008F3EA3" w:rsidRPr="00BB2D2F" w:rsidRDefault="008F3EA3" w:rsidP="00787C49">
      <w:pPr>
        <w:spacing w:before="240" w:after="240" w:line="360" w:lineRule="auto"/>
        <w:jc w:val="both"/>
        <w:rPr>
          <w:rFonts w:ascii="Palatino Linotype" w:eastAsia="Palatino Linotype" w:hAnsi="Palatino Linotype" w:cs="Palatino Linotype"/>
          <w:lang w:val="es-MX"/>
        </w:rPr>
      </w:pPr>
    </w:p>
    <w:p w14:paraId="20B1D00F" w14:textId="77777777" w:rsidR="00787C49" w:rsidRPr="00BB2D2F" w:rsidRDefault="00787C49" w:rsidP="00787C49">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lang w:val="es-MX"/>
        </w:rPr>
      </w:pPr>
      <w:r w:rsidRPr="00BB2D2F">
        <w:rPr>
          <w:rFonts w:ascii="Palatino Linotype" w:eastAsia="Palatino Linotype" w:hAnsi="Palatino Linotype" w:cs="Palatino Linotype"/>
          <w:b/>
          <w:lang w:val="es-MX"/>
        </w:rPr>
        <w:lastRenderedPageBreak/>
        <w:t>Del acuerdo de inexistencia.</w:t>
      </w:r>
    </w:p>
    <w:p w14:paraId="60878206"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Debe apuntarse en este caso en particular que, de actualizarse el supuesto en el que derivado del turno de la solicitud de información a las áreas competentes no se localice el documento alguno con el que se atienda el requerimiento relativo a la incidencia delictiva, lo procedente sería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49941152"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r w:rsidRPr="00BB2D2F">
        <w:rPr>
          <w:rFonts w:ascii="Palatino Linotype" w:eastAsia="Palatino Linotype" w:hAnsi="Palatino Linotype" w:cs="Palatino Linotype"/>
          <w:b/>
          <w:i/>
          <w:sz w:val="22"/>
          <w:szCs w:val="22"/>
          <w:lang w:val="es-MX"/>
        </w:rPr>
        <w:t>Artículo 19.</w:t>
      </w:r>
      <w:r w:rsidRPr="00BB2D2F">
        <w:rPr>
          <w:rFonts w:ascii="Palatino Linotype" w:eastAsia="Palatino Linotype" w:hAnsi="Palatino Linotype" w:cs="Palatino Linotype"/>
          <w:i/>
          <w:sz w:val="22"/>
          <w:szCs w:val="22"/>
          <w:lang w:val="es-MX"/>
        </w:rPr>
        <w:t xml:space="preserve"> (…)</w:t>
      </w:r>
    </w:p>
    <w:p w14:paraId="50695B44"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Si el sujeto obligado, en el ejercicio de sus atribuciones, debía generar, poseer o administrar la información, pero ésta no se encuentra, el Comité de transparencia deberá emitir un acuerdo de inexistencia</w:t>
      </w:r>
      <w:r w:rsidRPr="00BB2D2F">
        <w:rPr>
          <w:rFonts w:ascii="Palatino Linotype" w:eastAsia="Palatino Linotype" w:hAnsi="Palatino Linotype" w:cs="Palatino Linotype"/>
          <w:i/>
          <w:sz w:val="22"/>
          <w:szCs w:val="22"/>
          <w:lang w:val="es-MX"/>
        </w:rPr>
        <w:t>, debidamente fundado y motivado, en el que detalle las razones del por qué no obra en sus archivos.”</w:t>
      </w:r>
    </w:p>
    <w:p w14:paraId="74DF2FCB"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r w:rsidRPr="00BB2D2F">
        <w:rPr>
          <w:rFonts w:ascii="Palatino Linotype" w:eastAsia="Palatino Linotype" w:hAnsi="Palatino Linotype" w:cs="Palatino Linotype"/>
          <w:b/>
          <w:i/>
          <w:sz w:val="22"/>
          <w:szCs w:val="22"/>
          <w:lang w:val="es-MX"/>
        </w:rPr>
        <w:t>Artículo 49.</w:t>
      </w:r>
      <w:r w:rsidRPr="00BB2D2F">
        <w:rPr>
          <w:rFonts w:ascii="Palatino Linotype" w:eastAsia="Palatino Linotype" w:hAnsi="Palatino Linotype" w:cs="Palatino Linotype"/>
          <w:i/>
          <w:sz w:val="22"/>
          <w:szCs w:val="22"/>
          <w:lang w:val="es-MX"/>
        </w:rPr>
        <w:t xml:space="preserve"> </w:t>
      </w:r>
      <w:r w:rsidRPr="00BB2D2F">
        <w:rPr>
          <w:rFonts w:ascii="Palatino Linotype" w:eastAsia="Palatino Linotype" w:hAnsi="Palatino Linotype" w:cs="Palatino Linotype"/>
          <w:b/>
          <w:i/>
          <w:sz w:val="22"/>
          <w:szCs w:val="22"/>
          <w:lang w:val="es-MX"/>
        </w:rPr>
        <w:t>Los Comités de Transparencia</w:t>
      </w:r>
      <w:r w:rsidRPr="00BB2D2F">
        <w:rPr>
          <w:rFonts w:ascii="Palatino Linotype" w:eastAsia="Palatino Linotype" w:hAnsi="Palatino Linotype" w:cs="Palatino Linotype"/>
          <w:i/>
          <w:sz w:val="22"/>
          <w:szCs w:val="22"/>
          <w:lang w:val="es-MX"/>
        </w:rPr>
        <w:t xml:space="preserve"> tendrán las siguientes </w:t>
      </w:r>
      <w:r w:rsidRPr="00BB2D2F">
        <w:rPr>
          <w:rFonts w:ascii="Palatino Linotype" w:eastAsia="Palatino Linotype" w:hAnsi="Palatino Linotype" w:cs="Palatino Linotype"/>
          <w:b/>
          <w:i/>
          <w:sz w:val="22"/>
          <w:szCs w:val="22"/>
          <w:lang w:val="es-MX"/>
        </w:rPr>
        <w:t>atribuciones</w:t>
      </w:r>
      <w:r w:rsidRPr="00BB2D2F">
        <w:rPr>
          <w:rFonts w:ascii="Palatino Linotype" w:eastAsia="Palatino Linotype" w:hAnsi="Palatino Linotype" w:cs="Palatino Linotype"/>
          <w:i/>
          <w:sz w:val="22"/>
          <w:szCs w:val="22"/>
          <w:lang w:val="es-MX"/>
        </w:rPr>
        <w:t>:</w:t>
      </w:r>
    </w:p>
    <w:p w14:paraId="313974C2"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II.</w:t>
      </w:r>
      <w:r w:rsidRPr="00BB2D2F">
        <w:rPr>
          <w:rFonts w:ascii="Palatino Linotype" w:eastAsia="Palatino Linotype" w:hAnsi="Palatino Linotype" w:cs="Palatino Linotype"/>
          <w:i/>
          <w:sz w:val="22"/>
          <w:szCs w:val="22"/>
          <w:lang w:val="es-MX"/>
        </w:rPr>
        <w:t xml:space="preserve"> </w:t>
      </w:r>
      <w:r w:rsidRPr="00BB2D2F">
        <w:rPr>
          <w:rFonts w:ascii="Palatino Linotype" w:eastAsia="Palatino Linotype" w:hAnsi="Palatino Linotype" w:cs="Palatino Linotype"/>
          <w:b/>
          <w:i/>
          <w:sz w:val="22"/>
          <w:szCs w:val="22"/>
          <w:lang w:val="es-MX"/>
        </w:rPr>
        <w:t xml:space="preserve">Confirmar, modificar o revocar las determinaciones </w:t>
      </w:r>
      <w:proofErr w:type="gramStart"/>
      <w:r w:rsidRPr="00BB2D2F">
        <w:rPr>
          <w:rFonts w:ascii="Palatino Linotype" w:eastAsia="Palatino Linotype" w:hAnsi="Palatino Linotype" w:cs="Palatino Linotype"/>
          <w:b/>
          <w:i/>
          <w:sz w:val="22"/>
          <w:szCs w:val="22"/>
          <w:lang w:val="es-MX"/>
        </w:rPr>
        <w:t>que</w:t>
      </w:r>
      <w:proofErr w:type="gramEnd"/>
      <w:r w:rsidRPr="00BB2D2F">
        <w:rPr>
          <w:rFonts w:ascii="Palatino Linotype" w:eastAsia="Palatino Linotype" w:hAnsi="Palatino Linotype" w:cs="Palatino Linotype"/>
          <w:b/>
          <w:i/>
          <w:sz w:val="22"/>
          <w:szCs w:val="22"/>
          <w:lang w:val="es-MX"/>
        </w:rPr>
        <w:t xml:space="preserve"> en materia de</w:t>
      </w:r>
      <w:r w:rsidRPr="00BB2D2F">
        <w:rPr>
          <w:rFonts w:ascii="Palatino Linotype" w:eastAsia="Palatino Linotype" w:hAnsi="Palatino Linotype" w:cs="Palatino Linotype"/>
          <w:i/>
          <w:sz w:val="22"/>
          <w:szCs w:val="22"/>
          <w:lang w:val="es-MX"/>
        </w:rPr>
        <w:t xml:space="preserve"> ampliación del plazo de respuesta, clasificación de la información y </w:t>
      </w:r>
      <w:r w:rsidRPr="00BB2D2F">
        <w:rPr>
          <w:rFonts w:ascii="Palatino Linotype" w:eastAsia="Palatino Linotype" w:hAnsi="Palatino Linotype" w:cs="Palatino Linotype"/>
          <w:b/>
          <w:i/>
          <w:sz w:val="22"/>
          <w:szCs w:val="22"/>
          <w:lang w:val="es-MX"/>
        </w:rPr>
        <w:t>declaración de inexistencia</w:t>
      </w:r>
      <w:r w:rsidRPr="00BB2D2F">
        <w:rPr>
          <w:rFonts w:ascii="Palatino Linotype" w:eastAsia="Palatino Linotype" w:hAnsi="Palatino Linotype" w:cs="Palatino Linotype"/>
          <w:i/>
          <w:sz w:val="22"/>
          <w:szCs w:val="22"/>
          <w:lang w:val="es-MX"/>
        </w:rPr>
        <w:t xml:space="preserve"> o de incompetencia realicen los titulares de las áreas de los sujetos obligados;</w:t>
      </w:r>
    </w:p>
    <w:p w14:paraId="0441139E"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XIII</w:t>
      </w:r>
      <w:r w:rsidRPr="00BB2D2F">
        <w:rPr>
          <w:rFonts w:ascii="Palatino Linotype" w:eastAsia="Palatino Linotype" w:hAnsi="Palatino Linotype" w:cs="Palatino Linotype"/>
          <w:i/>
          <w:sz w:val="22"/>
          <w:szCs w:val="22"/>
          <w:lang w:val="es-MX"/>
        </w:rPr>
        <w:t xml:space="preserve">. </w:t>
      </w:r>
      <w:r w:rsidRPr="00BB2D2F">
        <w:rPr>
          <w:rFonts w:ascii="Palatino Linotype" w:eastAsia="Palatino Linotype" w:hAnsi="Palatino Linotype" w:cs="Palatino Linotype"/>
          <w:b/>
          <w:i/>
          <w:sz w:val="22"/>
          <w:szCs w:val="22"/>
          <w:lang w:val="es-MX"/>
        </w:rPr>
        <w:t>Dictaminar las declaratorias de inexistencia de la información</w:t>
      </w:r>
      <w:r w:rsidRPr="00BB2D2F">
        <w:rPr>
          <w:rFonts w:ascii="Palatino Linotype" w:eastAsia="Palatino Linotype" w:hAnsi="Palatino Linotype" w:cs="Palatino Linotype"/>
          <w:i/>
          <w:sz w:val="22"/>
          <w:szCs w:val="22"/>
          <w:lang w:val="es-MX"/>
        </w:rPr>
        <w:t xml:space="preserve"> que les remitan las unidades administrativas y resolver en consecuencia…”</w:t>
      </w:r>
    </w:p>
    <w:p w14:paraId="4F9A3F68"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r w:rsidRPr="00BB2D2F">
        <w:rPr>
          <w:rFonts w:ascii="Palatino Linotype" w:eastAsia="Palatino Linotype" w:hAnsi="Palatino Linotype" w:cs="Palatino Linotype"/>
          <w:b/>
          <w:i/>
          <w:sz w:val="22"/>
          <w:szCs w:val="22"/>
          <w:lang w:val="es-MX"/>
        </w:rPr>
        <w:t>Artículo 169</w:t>
      </w:r>
      <w:r w:rsidRPr="00BB2D2F">
        <w:rPr>
          <w:rFonts w:ascii="Palatino Linotype" w:eastAsia="Palatino Linotype" w:hAnsi="Palatino Linotype" w:cs="Palatino Linotype"/>
          <w:i/>
          <w:sz w:val="22"/>
          <w:szCs w:val="22"/>
          <w:lang w:val="es-MX"/>
        </w:rPr>
        <w:t xml:space="preserve">. </w:t>
      </w:r>
      <w:r w:rsidRPr="00BB2D2F">
        <w:rPr>
          <w:rFonts w:ascii="Palatino Linotype" w:eastAsia="Palatino Linotype" w:hAnsi="Palatino Linotype" w:cs="Palatino Linotype"/>
          <w:b/>
          <w:i/>
          <w:sz w:val="22"/>
          <w:szCs w:val="22"/>
          <w:lang w:val="es-MX"/>
        </w:rPr>
        <w:t>Cuando la información no se encuentre en los archivos del sujeto obligado, el Comité de Transparencia</w:t>
      </w:r>
      <w:r w:rsidRPr="00BB2D2F">
        <w:rPr>
          <w:rFonts w:ascii="Palatino Linotype" w:eastAsia="Palatino Linotype" w:hAnsi="Palatino Linotype" w:cs="Palatino Linotype"/>
          <w:i/>
          <w:sz w:val="22"/>
          <w:szCs w:val="22"/>
          <w:lang w:val="es-MX"/>
        </w:rPr>
        <w:t xml:space="preserve">: </w:t>
      </w:r>
    </w:p>
    <w:p w14:paraId="6B7F5CA9"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w:t>
      </w:r>
      <w:r w:rsidRPr="00BB2D2F">
        <w:rPr>
          <w:rFonts w:ascii="Palatino Linotype" w:eastAsia="Palatino Linotype" w:hAnsi="Palatino Linotype" w:cs="Palatino Linotype"/>
          <w:i/>
          <w:sz w:val="22"/>
          <w:szCs w:val="22"/>
          <w:lang w:val="es-MX"/>
        </w:rPr>
        <w:t xml:space="preserve"> Analizará el caso y tomará las medidas necesarias para localizar la información; </w:t>
      </w:r>
    </w:p>
    <w:p w14:paraId="10129E1B"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II</w:t>
      </w:r>
      <w:r w:rsidRPr="00BB2D2F">
        <w:rPr>
          <w:rFonts w:ascii="Palatino Linotype" w:eastAsia="Palatino Linotype" w:hAnsi="Palatino Linotype" w:cs="Palatino Linotype"/>
          <w:i/>
          <w:sz w:val="22"/>
          <w:szCs w:val="22"/>
          <w:lang w:val="es-MX"/>
        </w:rPr>
        <w:t xml:space="preserve">. </w:t>
      </w:r>
      <w:r w:rsidRPr="00BB2D2F">
        <w:rPr>
          <w:rFonts w:ascii="Palatino Linotype" w:eastAsia="Palatino Linotype" w:hAnsi="Palatino Linotype" w:cs="Palatino Linotype"/>
          <w:b/>
          <w:i/>
          <w:sz w:val="22"/>
          <w:szCs w:val="22"/>
          <w:lang w:val="es-MX"/>
        </w:rPr>
        <w:t>Expedirá una resolución que confirme la inexistencia del documento</w:t>
      </w:r>
      <w:r w:rsidRPr="00BB2D2F">
        <w:rPr>
          <w:rFonts w:ascii="Palatino Linotype" w:eastAsia="Palatino Linotype" w:hAnsi="Palatino Linotype" w:cs="Palatino Linotype"/>
          <w:i/>
          <w:sz w:val="22"/>
          <w:szCs w:val="22"/>
          <w:lang w:val="es-MX"/>
        </w:rPr>
        <w:t xml:space="preserve">; </w:t>
      </w:r>
    </w:p>
    <w:p w14:paraId="35483C10"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III.</w:t>
      </w:r>
      <w:r w:rsidRPr="00BB2D2F">
        <w:rPr>
          <w:rFonts w:ascii="Palatino Linotype" w:eastAsia="Palatino Linotype" w:hAnsi="Palatino Linotype" w:cs="Palatino Linotype"/>
          <w:i/>
          <w:sz w:val="22"/>
          <w:szCs w:val="22"/>
          <w:lang w:val="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w:t>
      </w:r>
      <w:r w:rsidRPr="00BB2D2F">
        <w:rPr>
          <w:rFonts w:ascii="Palatino Linotype" w:eastAsia="Palatino Linotype" w:hAnsi="Palatino Linotype" w:cs="Palatino Linotype"/>
          <w:i/>
          <w:sz w:val="22"/>
          <w:szCs w:val="22"/>
          <w:lang w:val="es-MX"/>
        </w:rPr>
        <w:lastRenderedPageBreak/>
        <w:t xml:space="preserve">razones por las cuales en el caso particular no ejerció dichas facultades, competencias o funciones, lo cual notificará al solicitante a través de la Unidad de Transparencia; y </w:t>
      </w:r>
    </w:p>
    <w:p w14:paraId="2F350BE1"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IV.</w:t>
      </w:r>
      <w:r w:rsidRPr="00BB2D2F">
        <w:rPr>
          <w:rFonts w:ascii="Palatino Linotype" w:eastAsia="Palatino Linotype" w:hAnsi="Palatino Linotype" w:cs="Palatino Linotype"/>
          <w:i/>
          <w:sz w:val="22"/>
          <w:szCs w:val="22"/>
          <w:lang w:val="es-MX"/>
        </w:rPr>
        <w:t xml:space="preserve"> Notificará al órgano interno de control o equivalente del sujeto obligado quien, en su caso, deberá iniciar el procedimiento de responsabilidad administrativa que corresponda. </w:t>
      </w:r>
    </w:p>
    <w:p w14:paraId="211576F4"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 xml:space="preserve">La Unidad de Transparencia deberá notificarlo al solicitante por escrito, en un plazo que no exceda de quince días hábiles contados a partir del día siguiente a la presentación de la solicitud. </w:t>
      </w:r>
    </w:p>
    <w:p w14:paraId="4F813BAB"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Este plazo podrá ampliarse hasta por otros siete días hábiles, siempre que existan razones para ello, debiendo notificarse por escrito al solicitante.”</w:t>
      </w:r>
    </w:p>
    <w:p w14:paraId="2BDADE79"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r w:rsidRPr="00BB2D2F">
        <w:rPr>
          <w:rFonts w:ascii="Palatino Linotype" w:eastAsia="Palatino Linotype" w:hAnsi="Palatino Linotype" w:cs="Palatino Linotype"/>
          <w:b/>
          <w:i/>
          <w:sz w:val="22"/>
          <w:szCs w:val="22"/>
          <w:lang w:val="es-MX"/>
        </w:rPr>
        <w:t>Artículo 170.</w:t>
      </w:r>
      <w:r w:rsidRPr="00BB2D2F">
        <w:rPr>
          <w:rFonts w:ascii="Palatino Linotype" w:eastAsia="Palatino Linotype" w:hAnsi="Palatino Linotype" w:cs="Palatino Linotype"/>
          <w:i/>
          <w:sz w:val="22"/>
          <w:szCs w:val="22"/>
          <w:lang w:val="es-MX"/>
        </w:rPr>
        <w:t xml:space="preserve"> </w:t>
      </w:r>
      <w:r w:rsidRPr="00BB2D2F">
        <w:rPr>
          <w:rFonts w:ascii="Palatino Linotype" w:eastAsia="Palatino Linotype" w:hAnsi="Palatino Linotype" w:cs="Palatino Linotype"/>
          <w:b/>
          <w:i/>
          <w:sz w:val="22"/>
          <w:szCs w:val="22"/>
          <w:lang w:val="es-MX"/>
        </w:rPr>
        <w:t>La resolución del Comité de Transparencia que confirme la inexistencia de la información solicitada contendrá los elementos mínimos</w:t>
      </w:r>
      <w:r w:rsidRPr="00BB2D2F">
        <w:rPr>
          <w:rFonts w:ascii="Palatino Linotype" w:eastAsia="Palatino Linotype" w:hAnsi="Palatino Linotype" w:cs="Palatino Linotype"/>
          <w:i/>
          <w:sz w:val="22"/>
          <w:szCs w:val="22"/>
          <w:lang w:val="es-MX"/>
        </w:rPr>
        <w:t xml:space="preserve"> </w:t>
      </w:r>
      <w:r w:rsidRPr="00BB2D2F">
        <w:rPr>
          <w:rFonts w:ascii="Palatino Linotype" w:eastAsia="Palatino Linotype" w:hAnsi="Palatino Linotype" w:cs="Palatino Linotype"/>
          <w:b/>
          <w:i/>
          <w:sz w:val="22"/>
          <w:szCs w:val="22"/>
          <w:lang w:val="es-MX"/>
        </w:rPr>
        <w:t>que permitan al solicitante tener la certeza de que se utilizó un criterio de búsqueda exhaustivo</w:t>
      </w:r>
      <w:r w:rsidRPr="00BB2D2F">
        <w:rPr>
          <w:rFonts w:ascii="Palatino Linotype" w:eastAsia="Palatino Linotype" w:hAnsi="Palatino Linotype" w:cs="Palatino Linotype"/>
          <w:i/>
          <w:sz w:val="22"/>
          <w:szCs w:val="22"/>
          <w:lang w:val="es-MX"/>
        </w:rPr>
        <w:t>, además de señalar las circunstancias de tiempo, modo y lugar que generaron la existencia en cuestión y señalará al servidor público responsable de contar con la misma.”</w:t>
      </w:r>
    </w:p>
    <w:p w14:paraId="06958926"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Dicho de otro modo, deberá procederse a la emisión de una resolución que confirme la inexistencia de la información solicitada por parte del Comité de Transparencia del </w:t>
      </w:r>
      <w:r w:rsidRPr="00BB2D2F">
        <w:rPr>
          <w:rFonts w:ascii="Palatino Linotype" w:eastAsia="Palatino Linotype" w:hAnsi="Palatino Linotype" w:cs="Palatino Linotype"/>
          <w:b/>
          <w:lang w:val="es-MX"/>
        </w:rPr>
        <w:t>Sujeto Obligado</w:t>
      </w:r>
      <w:r w:rsidRPr="00BB2D2F">
        <w:rPr>
          <w:rFonts w:ascii="Palatino Linotype" w:eastAsia="Palatino Linotype" w:hAnsi="Palatino Linotype" w:cs="Palatino Linotype"/>
          <w:lang w:val="es-MX"/>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BB2D2F">
        <w:rPr>
          <w:rFonts w:ascii="Palatino Linotype" w:eastAsia="Palatino Linotype" w:hAnsi="Palatino Linotype" w:cs="Palatino Linotype"/>
          <w:b/>
          <w:lang w:val="es-MX"/>
        </w:rPr>
        <w:t>Recurrente</w:t>
      </w:r>
      <w:r w:rsidRPr="00BB2D2F">
        <w:rPr>
          <w:rFonts w:ascii="Palatino Linotype" w:eastAsia="Palatino Linotype" w:hAnsi="Palatino Linotype" w:cs="Palatino Linotype"/>
          <w:lang w:val="es-MX"/>
        </w:rPr>
        <w:t xml:space="preserve"> y comprobar la inexistencia de la información.</w:t>
      </w:r>
    </w:p>
    <w:p w14:paraId="31BB2B55" w14:textId="77777777" w:rsidR="00787C49" w:rsidRPr="00BB2D2F" w:rsidRDefault="00787C49" w:rsidP="00787C49">
      <w:pPr>
        <w:spacing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Tiene aplicación al respecto el criterio de interpretación en el orden administrativo número 0004-11 emitido por este Instituto, cuyo contenido es del tenor literal siguiente:</w:t>
      </w:r>
    </w:p>
    <w:p w14:paraId="747A1C04" w14:textId="77777777" w:rsidR="00787C49" w:rsidRPr="00BB2D2F" w:rsidRDefault="00787C49" w:rsidP="00787C49">
      <w:pPr>
        <w:spacing w:before="240" w:after="240"/>
        <w:ind w:left="851" w:right="900"/>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r w:rsidRPr="00BB2D2F">
        <w:rPr>
          <w:rFonts w:ascii="Palatino Linotype" w:eastAsia="Palatino Linotype" w:hAnsi="Palatino Linotype" w:cs="Palatino Linotype"/>
          <w:b/>
          <w:i/>
          <w:sz w:val="22"/>
          <w:szCs w:val="22"/>
          <w:lang w:val="es-MX"/>
        </w:rPr>
        <w:t>INEXISTENCIA. DECLARATORIA DE LA. ALCANCES Y PROCEDIMIENTOS</w:t>
      </w:r>
      <w:r w:rsidRPr="00BB2D2F">
        <w:rPr>
          <w:rFonts w:ascii="Palatino Linotype" w:eastAsia="Palatino Linotype" w:hAnsi="Palatino Linotype" w:cs="Palatino Linotype"/>
          <w:i/>
          <w:sz w:val="22"/>
          <w:szCs w:val="22"/>
          <w:lang w:val="es-MX"/>
        </w:rPr>
        <w:t xml:space="preserve">. De la interpretación de los artículos 29 y 30, fracción </w:t>
      </w:r>
      <w:r w:rsidRPr="00BB2D2F">
        <w:rPr>
          <w:rFonts w:ascii="Palatino Linotype" w:eastAsia="Palatino Linotype" w:hAnsi="Palatino Linotype" w:cs="Palatino Linotype"/>
          <w:i/>
          <w:sz w:val="22"/>
          <w:szCs w:val="22"/>
          <w:lang w:val="es-MX"/>
        </w:rPr>
        <w:lastRenderedPageBreak/>
        <w:t xml:space="preserve">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0B91B1E1" w14:textId="77777777" w:rsidR="00787C49" w:rsidRPr="00BB2D2F" w:rsidRDefault="00787C49" w:rsidP="00787C49">
      <w:pPr>
        <w:spacing w:before="240" w:after="240"/>
        <w:ind w:left="851" w:right="900"/>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 xml:space="preserve">Bajo el entendido de que dicha búsqueda exhaustiva permitirá dos determinaciones: </w:t>
      </w:r>
    </w:p>
    <w:p w14:paraId="6F61B1EB" w14:textId="77777777" w:rsidR="00787C49" w:rsidRPr="00BB2D2F" w:rsidRDefault="00787C49" w:rsidP="00787C49">
      <w:pPr>
        <w:spacing w:before="240" w:after="240"/>
        <w:ind w:left="851" w:right="900"/>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1ª)</w:t>
      </w:r>
      <w:r w:rsidRPr="00BB2D2F">
        <w:rPr>
          <w:rFonts w:ascii="Palatino Linotype" w:eastAsia="Palatino Linotype" w:hAnsi="Palatino Linotype" w:cs="Palatino Linotype"/>
          <w:i/>
          <w:sz w:val="22"/>
          <w:szCs w:val="22"/>
          <w:lang w:val="es-MX"/>
        </w:rPr>
        <w:t xml:space="preserve"> Que se localice la documentación que contenga la información solicitada y de ser así la información pueda entregarse al solicitante en la forma en que se encuentra disponible, o </w:t>
      </w:r>
    </w:p>
    <w:p w14:paraId="11F37285" w14:textId="77777777" w:rsidR="00787C49" w:rsidRPr="00BB2D2F" w:rsidRDefault="00787C49" w:rsidP="00787C49">
      <w:pPr>
        <w:spacing w:before="240" w:after="240"/>
        <w:ind w:left="851" w:right="900"/>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2ª)</w:t>
      </w:r>
      <w:r w:rsidRPr="00BB2D2F">
        <w:rPr>
          <w:rFonts w:ascii="Palatino Linotype" w:eastAsia="Palatino Linotype" w:hAnsi="Palatino Linotype" w:cs="Palatino Linotype"/>
          <w:i/>
          <w:sz w:val="22"/>
          <w:szCs w:val="22"/>
          <w:lang w:val="es-MX"/>
        </w:rPr>
        <w:t xml:space="preserve"> Que no se haya encontrado documento alguno que contenga la información requerida, por lo </w:t>
      </w:r>
      <w:proofErr w:type="gramStart"/>
      <w:r w:rsidRPr="00BB2D2F">
        <w:rPr>
          <w:rFonts w:ascii="Palatino Linotype" w:eastAsia="Palatino Linotype" w:hAnsi="Palatino Linotype" w:cs="Palatino Linotype"/>
          <w:i/>
          <w:sz w:val="22"/>
          <w:szCs w:val="22"/>
          <w:lang w:val="es-MX"/>
        </w:rPr>
        <w:t>que</w:t>
      </w:r>
      <w:proofErr w:type="gramEnd"/>
      <w:r w:rsidRPr="00BB2D2F">
        <w:rPr>
          <w:rFonts w:ascii="Palatino Linotype" w:eastAsia="Palatino Linotype" w:hAnsi="Palatino Linotype" w:cs="Palatino Linotype"/>
          <w:i/>
          <w:sz w:val="22"/>
          <w:szCs w:val="22"/>
          <w:lang w:val="es-MX"/>
        </w:rPr>
        <w:t xml:space="preserve"> agotadas las medidas necesarias de búsqueda de la información y de no encontrarla, el Comité de Información deba emitir el dictamen de declaratoria de inexistencia y notificarlo al interesado. </w:t>
      </w:r>
    </w:p>
    <w:p w14:paraId="437D0C64" w14:textId="77777777" w:rsidR="00787C49" w:rsidRPr="00BB2D2F" w:rsidRDefault="00787C49" w:rsidP="00787C49">
      <w:pPr>
        <w:spacing w:before="240" w:after="240"/>
        <w:ind w:left="851" w:right="900"/>
        <w:jc w:val="both"/>
        <w:rPr>
          <w:rFonts w:ascii="Palatino Linotype" w:eastAsia="Palatino Linotype" w:hAnsi="Palatino Linotype" w:cs="Palatino Linotype"/>
          <w:lang w:val="es-MX"/>
        </w:rPr>
      </w:pPr>
      <w:r w:rsidRPr="00BB2D2F">
        <w:rPr>
          <w:rFonts w:ascii="Palatino Linotype" w:eastAsia="Palatino Linotype" w:hAnsi="Palatino Linotype" w:cs="Palatino Linotype"/>
          <w:i/>
          <w:sz w:val="22"/>
          <w:szCs w:val="22"/>
          <w:lang w:val="es-MX"/>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BB2D2F">
        <w:rPr>
          <w:rFonts w:ascii="Palatino Linotype" w:eastAsia="Palatino Linotype" w:hAnsi="Palatino Linotype" w:cs="Palatino Linotype"/>
          <w:i/>
          <w:sz w:val="22"/>
          <w:szCs w:val="22"/>
          <w:lang w:val="es-MX"/>
        </w:rPr>
        <w:t>aquéllas</w:t>
      </w:r>
      <w:proofErr w:type="gramEnd"/>
      <w:r w:rsidRPr="00BB2D2F">
        <w:rPr>
          <w:rFonts w:ascii="Palatino Linotype" w:eastAsia="Palatino Linotype" w:hAnsi="Palatino Linotype" w:cs="Palatino Linotype"/>
          <w:i/>
          <w:sz w:val="22"/>
          <w:szCs w:val="22"/>
          <w:lang w:val="es-MX"/>
        </w:rPr>
        <w:t xml:space="preserve"> circunstancias que se tomaron en cuenta para llegar a determinar que la información requerida no obra en los archivos a cargo.”</w:t>
      </w:r>
    </w:p>
    <w:p w14:paraId="2F513B62"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Así, debe señalarse que de acuerdo al criterio de interpretación en el orden administrativo emitido por este Instituto número 0003-11, la inexistencia de la </w:t>
      </w:r>
      <w:r w:rsidRPr="00BB2D2F">
        <w:rPr>
          <w:rFonts w:ascii="Palatino Linotype" w:eastAsia="Palatino Linotype" w:hAnsi="Palatino Linotype" w:cs="Palatino Linotype"/>
          <w:lang w:val="es-MX"/>
        </w:rPr>
        <w:lastRenderedPageBreak/>
        <w:t xml:space="preserve">información en el derecho de acceso a la información pública conlleva como supuestos: la existencia previa de la documentación y la falta posterior de la misma en los archivos del </w:t>
      </w:r>
      <w:r w:rsidRPr="00BB2D2F">
        <w:rPr>
          <w:rFonts w:ascii="Palatino Linotype" w:eastAsia="Palatino Linotype" w:hAnsi="Palatino Linotype" w:cs="Palatino Linotype"/>
          <w:b/>
          <w:lang w:val="es-MX"/>
        </w:rPr>
        <w:t>Sujeto Obligado</w:t>
      </w:r>
      <w:r w:rsidRPr="00BB2D2F">
        <w:rPr>
          <w:rFonts w:ascii="Palatino Linotype" w:eastAsia="Palatino Linotype" w:hAnsi="Palatino Linotype" w:cs="Palatino Linotype"/>
          <w:lang w:val="es-MX"/>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BB2D2F">
        <w:rPr>
          <w:rFonts w:ascii="Palatino Linotype" w:eastAsia="Palatino Linotype" w:hAnsi="Palatino Linotype" w:cs="Palatino Linotype"/>
          <w:b/>
          <w:lang w:val="es-MX"/>
        </w:rPr>
        <w:t>Sujeto Obligado</w:t>
      </w:r>
      <w:r w:rsidRPr="00BB2D2F">
        <w:rPr>
          <w:rFonts w:ascii="Palatino Linotype" w:eastAsia="Palatino Linotype" w:hAnsi="Palatino Linotype" w:cs="Palatino Linotype"/>
          <w:lang w:val="es-MX"/>
        </w:rPr>
        <w:t xml:space="preserve"> debió de haber generado, administrado o poseído la información pero en incumplimiento a la norma no lo llevo a cabo. Tal como se lee del criterio que para mayor referencia se transcribe a continuación:</w:t>
      </w:r>
    </w:p>
    <w:p w14:paraId="5A5FFD62" w14:textId="77777777" w:rsidR="00787C49" w:rsidRPr="00BB2D2F" w:rsidRDefault="00787C49" w:rsidP="00787C49">
      <w:pPr>
        <w:spacing w:before="240" w:after="240"/>
        <w:ind w:left="851" w:right="900"/>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r w:rsidRPr="00BB2D2F">
        <w:rPr>
          <w:rFonts w:ascii="Palatino Linotype" w:eastAsia="Palatino Linotype" w:hAnsi="Palatino Linotype" w:cs="Palatino Linotype"/>
          <w:b/>
          <w:i/>
          <w:sz w:val="22"/>
          <w:szCs w:val="22"/>
          <w:lang w:val="es-MX"/>
        </w:rPr>
        <w:t>INEXISTENCIA, CONCEPTO DE, EN MATERIA DE TRANSPARENCIA</w:t>
      </w:r>
      <w:r w:rsidRPr="00BB2D2F">
        <w:rPr>
          <w:rFonts w:ascii="Palatino Linotype" w:eastAsia="Palatino Linotype" w:hAnsi="Palatino Linotype" w:cs="Palatino Linotype"/>
          <w:i/>
          <w:sz w:val="22"/>
          <w:szCs w:val="22"/>
          <w:lang w:val="es-MX"/>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BB2D2F">
        <w:rPr>
          <w:rFonts w:ascii="Palatino Linotype" w:eastAsia="Palatino Linotype" w:hAnsi="Palatino Linotype" w:cs="Palatino Linotype"/>
          <w:b/>
          <w:i/>
          <w:sz w:val="22"/>
          <w:szCs w:val="22"/>
          <w:lang w:val="es-MX"/>
        </w:rPr>
        <w:t>supuestos:</w:t>
      </w:r>
      <w:r w:rsidRPr="00BB2D2F">
        <w:rPr>
          <w:rFonts w:ascii="Palatino Linotype" w:eastAsia="Palatino Linotype" w:hAnsi="Palatino Linotype" w:cs="Palatino Linotype"/>
          <w:i/>
          <w:sz w:val="22"/>
          <w:szCs w:val="22"/>
          <w:lang w:val="es-MX"/>
        </w:rPr>
        <w:t xml:space="preserve"> </w:t>
      </w:r>
    </w:p>
    <w:p w14:paraId="2F889030" w14:textId="77777777" w:rsidR="00787C49" w:rsidRPr="00BB2D2F" w:rsidRDefault="00787C49" w:rsidP="00787C49">
      <w:pPr>
        <w:numPr>
          <w:ilvl w:val="0"/>
          <w:numId w:val="18"/>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25105762" w14:textId="77777777" w:rsidR="00787C49" w:rsidRPr="00BB2D2F" w:rsidRDefault="00787C49" w:rsidP="00787C49">
      <w:pPr>
        <w:numPr>
          <w:ilvl w:val="0"/>
          <w:numId w:val="18"/>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lang w:val="es-MX"/>
        </w:rPr>
      </w:pPr>
      <w:r w:rsidRPr="00BB2D2F">
        <w:rPr>
          <w:rFonts w:ascii="Palatino Linotype" w:eastAsia="Palatino Linotype" w:hAnsi="Palatino Linotype" w:cs="Palatino Linotype"/>
          <w:b/>
          <w:i/>
          <w:sz w:val="22"/>
          <w:szCs w:val="22"/>
          <w:lang w:val="es-MX"/>
        </w:rPr>
        <w:t xml:space="preserve">En los casos en que por las atribuciones conferidas al Sujeto Obligado éste debió generar, administrar o poseer la información, pero en incumplimiento a la normatividad respectiva no llevó a cabo ninguna de esas acciones. </w:t>
      </w:r>
    </w:p>
    <w:p w14:paraId="7EF50B30" w14:textId="77777777" w:rsidR="00787C49" w:rsidRPr="00BB2D2F" w:rsidRDefault="00787C49" w:rsidP="00787C49">
      <w:pPr>
        <w:spacing w:before="240" w:after="240"/>
        <w:ind w:left="851" w:right="900"/>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9BB204F"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Por tanto, la declaratoria de inexistencia no es un mero trámite por el cual de manera mecánica o simple manifieste que la información no existe en sus archivos</w:t>
      </w:r>
      <w:r w:rsidRPr="00BB2D2F">
        <w:rPr>
          <w:rFonts w:ascii="Palatino Linotype" w:eastAsia="Palatino Linotype" w:hAnsi="Palatino Linotype" w:cs="Palatino Linotype"/>
          <w:b/>
          <w:lang w:val="es-MX"/>
        </w:rPr>
        <w:t xml:space="preserve">, </w:t>
      </w:r>
      <w:r w:rsidRPr="00BB2D2F">
        <w:rPr>
          <w:rFonts w:ascii="Palatino Linotype" w:eastAsia="Palatino Linotype" w:hAnsi="Palatino Linotype" w:cs="Palatino Linotype"/>
          <w:lang w:val="es-MX"/>
        </w:rPr>
        <w:t xml:space="preserve">cuando </w:t>
      </w:r>
      <w:r w:rsidRPr="00BB2D2F">
        <w:rPr>
          <w:rFonts w:ascii="Palatino Linotype" w:eastAsia="Palatino Linotype" w:hAnsi="Palatino Linotype" w:cs="Palatino Linotype"/>
          <w:lang w:val="es-MX"/>
        </w:rPr>
        <w:lastRenderedPageBreak/>
        <w:t xml:space="preserve">la misma por disposición legal debería de obrar, sino que su contenido y alcance implica la responsabilidad y atribución del Comité de Transparencia del </w:t>
      </w:r>
      <w:r w:rsidRPr="00BB2D2F">
        <w:rPr>
          <w:rFonts w:ascii="Palatino Linotype" w:eastAsia="Palatino Linotype" w:hAnsi="Palatino Linotype" w:cs="Palatino Linotype"/>
          <w:b/>
          <w:lang w:val="es-MX"/>
        </w:rPr>
        <w:t xml:space="preserve">Sujeto Obligado, </w:t>
      </w:r>
      <w:r w:rsidRPr="00BB2D2F">
        <w:rPr>
          <w:rFonts w:ascii="Palatino Linotype" w:eastAsia="Palatino Linotype" w:hAnsi="Palatino Linotype" w:cs="Palatino Linotype"/>
          <w:lang w:val="es-MX"/>
        </w:rPr>
        <w:t>de instruir una búsqueda exhaustiva a todas y cada una de las áreas administrativas de las que se compone, que permitirá:</w:t>
      </w:r>
    </w:p>
    <w:p w14:paraId="3AD33185" w14:textId="77777777" w:rsidR="00787C49" w:rsidRPr="00BB2D2F" w:rsidRDefault="00787C49" w:rsidP="00787C49">
      <w:pPr>
        <w:numPr>
          <w:ilvl w:val="0"/>
          <w:numId w:val="17"/>
        </w:num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Que se localice la documentación que contenga la información solicitada. En este caso habrá que señalar </w:t>
      </w:r>
      <w:proofErr w:type="gramStart"/>
      <w:r w:rsidRPr="00BB2D2F">
        <w:rPr>
          <w:rFonts w:ascii="Palatino Linotype" w:eastAsia="Palatino Linotype" w:hAnsi="Palatino Linotype" w:cs="Palatino Linotype"/>
          <w:lang w:val="es-MX"/>
        </w:rPr>
        <w:t>que</w:t>
      </w:r>
      <w:proofErr w:type="gramEnd"/>
      <w:r w:rsidRPr="00BB2D2F">
        <w:rPr>
          <w:rFonts w:ascii="Palatino Linotype" w:eastAsia="Palatino Linotype" w:hAnsi="Palatino Linotype" w:cs="Palatino Linotype"/>
          <w:lang w:val="es-MX"/>
        </w:rPr>
        <w:t xml:space="preserve"> de acuerdo con las disposiciones transcritas, la información puede obrar en sus archivos ya sea porque la genera, la administra o simplemente la posee.</w:t>
      </w:r>
    </w:p>
    <w:p w14:paraId="531F8558"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De actualizarse esta primera hipótesis, la información debe entregarse al </w:t>
      </w:r>
      <w:r w:rsidRPr="00BB2D2F">
        <w:rPr>
          <w:rFonts w:ascii="Palatino Linotype" w:eastAsia="Palatino Linotype" w:hAnsi="Palatino Linotype" w:cs="Palatino Linotype"/>
          <w:b/>
          <w:i/>
          <w:lang w:val="es-MX"/>
        </w:rPr>
        <w:t xml:space="preserve">Recurrente </w:t>
      </w:r>
      <w:r w:rsidRPr="00BB2D2F">
        <w:rPr>
          <w:rFonts w:ascii="Palatino Linotype" w:eastAsia="Palatino Linotype" w:hAnsi="Palatino Linotype" w:cs="Palatino Linotype"/>
          <w:lang w:val="es-MX"/>
        </w:rPr>
        <w:t>a través del o los documentos fuente.</w:t>
      </w:r>
    </w:p>
    <w:p w14:paraId="7B4B6C7D" w14:textId="77777777" w:rsidR="00787C49" w:rsidRPr="00BB2D2F" w:rsidRDefault="00787C49" w:rsidP="00787C49">
      <w:pPr>
        <w:numPr>
          <w:ilvl w:val="0"/>
          <w:numId w:val="17"/>
        </w:num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Que no se localice documento alguno que contenga la información requerida, en este supuesto, el Comité de Transparencia deberá resolver la declaratoria de inexistencia de la información y notificarla al recurrente</w:t>
      </w:r>
      <w:r w:rsidRPr="00BB2D2F">
        <w:rPr>
          <w:rFonts w:ascii="Palatino Linotype" w:eastAsia="Palatino Linotype" w:hAnsi="Palatino Linotype" w:cs="Palatino Linotype"/>
          <w:b/>
          <w:i/>
          <w:lang w:val="es-MX"/>
        </w:rPr>
        <w:t xml:space="preserve"> </w:t>
      </w:r>
      <w:r w:rsidRPr="00BB2D2F">
        <w:rPr>
          <w:rFonts w:ascii="Palatino Linotype" w:eastAsia="Palatino Linotype" w:hAnsi="Palatino Linotype" w:cs="Palatino Linotype"/>
          <w:lang w:val="es-MX"/>
        </w:rPr>
        <w:t>y a este Pleno.</w:t>
      </w:r>
    </w:p>
    <w:p w14:paraId="178DEA5A" w14:textId="77777777" w:rsidR="00787C49" w:rsidRPr="00BB2D2F" w:rsidRDefault="00787C49" w:rsidP="00787C49">
      <w:pPr>
        <w:numPr>
          <w:ilvl w:val="0"/>
          <w:numId w:val="17"/>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Que se ordene siempre que sea materialmente posible, que se genere o reponga la información en caso de que ésta tuviera que existir, derivado del ejercicio de sus facultades.</w:t>
      </w:r>
    </w:p>
    <w:p w14:paraId="3A644AC0"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3494693D" w14:textId="77777777" w:rsidR="008F3EA3" w:rsidRPr="00BB2D2F" w:rsidRDefault="008F3EA3" w:rsidP="00787C49">
      <w:pPr>
        <w:spacing w:before="240" w:after="240" w:line="360" w:lineRule="auto"/>
        <w:jc w:val="both"/>
        <w:rPr>
          <w:rFonts w:ascii="Palatino Linotype" w:eastAsia="Palatino Linotype" w:hAnsi="Palatino Linotype" w:cs="Palatino Linotype"/>
          <w:lang w:val="es-MX"/>
        </w:rPr>
      </w:pPr>
    </w:p>
    <w:p w14:paraId="3C96198F" w14:textId="77777777" w:rsidR="008F3EA3" w:rsidRPr="00BB2D2F" w:rsidRDefault="008F3EA3" w:rsidP="00787C49">
      <w:pPr>
        <w:spacing w:before="240" w:after="240" w:line="360" w:lineRule="auto"/>
        <w:jc w:val="both"/>
        <w:rPr>
          <w:rFonts w:ascii="Palatino Linotype" w:eastAsia="Palatino Linotype" w:hAnsi="Palatino Linotype" w:cs="Palatino Linotype"/>
          <w:b/>
          <w:lang w:val="es-MX"/>
        </w:rPr>
      </w:pPr>
      <w:r w:rsidRPr="00BB2D2F">
        <w:rPr>
          <w:rFonts w:ascii="Palatino Linotype" w:eastAsia="Palatino Linotype" w:hAnsi="Palatino Linotype" w:cs="Palatino Linotype"/>
          <w:b/>
          <w:lang w:val="es-MX"/>
        </w:rPr>
        <w:lastRenderedPageBreak/>
        <w:t>2.- De las atribuciones del Sujeto Obligado en materia de faltas administrativas</w:t>
      </w:r>
    </w:p>
    <w:p w14:paraId="655F58F7" w14:textId="77777777" w:rsidR="008F3EA3" w:rsidRPr="00BB2D2F" w:rsidRDefault="00C95F0B"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Respecto de la estadística en materia de faltas administrativas, debemos tener en cuenta que el Sujeto Obligado no emitió pronunciamiento, ello en virtud de que se insiste que no se efectuó una búsqueda exhaustiva y razonable como lo mandata el artículo 162 de la Ley de Transparencia aplicable en la materia, por lo que en aras de tutelar el derecho de acceso a la información pública que le asiste al particular, es que se estima que para atender este punto, deberá turnarse este requerimiento a la Oficialía Calificadora, en virtud que de conformidad con los artículos 209, 210 y 212 del Bando Municipal, cuenta con las siguientes atribuciones: </w:t>
      </w:r>
    </w:p>
    <w:p w14:paraId="15E4E9A7"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b/>
          <w:i/>
          <w:sz w:val="22"/>
          <w:lang w:val="es-MX"/>
        </w:rPr>
      </w:pPr>
      <w:r w:rsidRPr="00BB2D2F">
        <w:rPr>
          <w:rFonts w:ascii="Palatino Linotype" w:eastAsia="Palatino Linotype" w:hAnsi="Palatino Linotype" w:cs="Palatino Linotype"/>
          <w:i/>
          <w:sz w:val="22"/>
          <w:lang w:val="es-MX"/>
        </w:rPr>
        <w:t xml:space="preserve">“Artículo 209.- </w:t>
      </w:r>
      <w:r w:rsidRPr="00BB2D2F">
        <w:rPr>
          <w:rFonts w:ascii="Palatino Linotype" w:eastAsia="Palatino Linotype" w:hAnsi="Palatino Linotype" w:cs="Palatino Linotype"/>
          <w:b/>
          <w:i/>
          <w:sz w:val="22"/>
          <w:lang w:val="es-MX"/>
        </w:rPr>
        <w:t>El Ayuntamiento impondrá y sancionará las conductas que infrinjan al Bando Municipal y reglamentos, mediante la figura de la Oficialía Calificadora, siempre y cuando dichas faltas, infracciones y conductas no constituyan delito.</w:t>
      </w:r>
    </w:p>
    <w:p w14:paraId="09E4710E"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i/>
          <w:sz w:val="22"/>
          <w:lang w:val="es-MX"/>
        </w:rPr>
      </w:pPr>
      <w:r w:rsidRPr="00BB2D2F">
        <w:rPr>
          <w:rFonts w:ascii="Palatino Linotype" w:eastAsia="Palatino Linotype" w:hAnsi="Palatino Linotype" w:cs="Palatino Linotype"/>
          <w:i/>
          <w:sz w:val="22"/>
          <w:lang w:val="es-MX"/>
        </w:rPr>
        <w:t>Asimismo, podrá conocer, mediar, conciliar y ser árbitro en los accidentes ocasionados con motivo del tránsito vehicular, cuando exista conflicto de intereses, siempre que se trate de daños materiales a propiedad privada y en su caso lesiones a las que se refiere la fracción I del artículo 237 del Código Penal del Estado de México.</w:t>
      </w:r>
    </w:p>
    <w:p w14:paraId="1BD1E135"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i/>
          <w:sz w:val="22"/>
          <w:lang w:val="es-MX"/>
        </w:rPr>
      </w:pPr>
      <w:r w:rsidRPr="00BB2D2F">
        <w:rPr>
          <w:rFonts w:ascii="Palatino Linotype" w:eastAsia="Palatino Linotype" w:hAnsi="Palatino Linotype" w:cs="Palatino Linotype"/>
          <w:i/>
          <w:sz w:val="22"/>
          <w:lang w:val="es-MX"/>
        </w:rPr>
        <w:t xml:space="preserve">Artículo 210.- Las facultades y obligaciones de la Oficialía Calificadora son aquellas que se determinan en el artículo 150 fracción II, de la Ley Orgánica Municipal del Estado de México, </w:t>
      </w:r>
      <w:proofErr w:type="gramStart"/>
      <w:r w:rsidRPr="00BB2D2F">
        <w:rPr>
          <w:rFonts w:ascii="Palatino Linotype" w:eastAsia="Palatino Linotype" w:hAnsi="Palatino Linotype" w:cs="Palatino Linotype"/>
          <w:i/>
          <w:sz w:val="22"/>
          <w:lang w:val="es-MX"/>
        </w:rPr>
        <w:t>el  presente</w:t>
      </w:r>
      <w:proofErr w:type="gramEnd"/>
      <w:r w:rsidRPr="00BB2D2F">
        <w:rPr>
          <w:rFonts w:ascii="Palatino Linotype" w:eastAsia="Palatino Linotype" w:hAnsi="Palatino Linotype" w:cs="Palatino Linotype"/>
          <w:i/>
          <w:sz w:val="22"/>
          <w:lang w:val="es-MX"/>
        </w:rPr>
        <w:t xml:space="preserve"> Bando Municipal, así como las dispuestas por los ordenamientos reglamentarios municipales y en las disposiciones jurídicas aplicables.</w:t>
      </w:r>
    </w:p>
    <w:p w14:paraId="5DB96DCB"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i/>
          <w:sz w:val="22"/>
          <w:lang w:val="es-MX"/>
        </w:rPr>
      </w:pPr>
      <w:r w:rsidRPr="00BB2D2F">
        <w:rPr>
          <w:rFonts w:ascii="Palatino Linotype" w:eastAsia="Palatino Linotype" w:hAnsi="Palatino Linotype" w:cs="Palatino Linotype"/>
          <w:i/>
          <w:sz w:val="22"/>
          <w:lang w:val="es-MX"/>
        </w:rPr>
        <w:t>…</w:t>
      </w:r>
    </w:p>
    <w:p w14:paraId="2DB5DFC9"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i/>
          <w:sz w:val="22"/>
          <w:lang w:val="es-MX"/>
        </w:rPr>
      </w:pPr>
      <w:r w:rsidRPr="00BB2D2F">
        <w:rPr>
          <w:rFonts w:ascii="Palatino Linotype" w:eastAsia="Palatino Linotype" w:hAnsi="Palatino Linotype" w:cs="Palatino Linotype"/>
          <w:b/>
          <w:i/>
          <w:sz w:val="22"/>
          <w:lang w:val="es-MX"/>
        </w:rPr>
        <w:t>Artículo 212.- El Oficial Calificador conocerá, calificará e impondrá las sanciones administrativas municipales que procedan por faltas o infracciones al Bando Municipal,</w:t>
      </w:r>
      <w:r w:rsidRPr="00BB2D2F">
        <w:rPr>
          <w:rFonts w:ascii="Palatino Linotype" w:eastAsia="Palatino Linotype" w:hAnsi="Palatino Linotype" w:cs="Palatino Linotype"/>
          <w:i/>
          <w:sz w:val="22"/>
          <w:lang w:val="es-MX"/>
        </w:rPr>
        <w:t xml:space="preserve"> reglamentos y demás disposiciones de carácter general contenidas en los ordenamientos expedidos por el Ayuntamiento, y aquellas </w:t>
      </w:r>
      <w:r w:rsidRPr="00BB2D2F">
        <w:rPr>
          <w:rFonts w:ascii="Palatino Linotype" w:eastAsia="Palatino Linotype" w:hAnsi="Palatino Linotype" w:cs="Palatino Linotype"/>
          <w:i/>
          <w:sz w:val="22"/>
          <w:lang w:val="es-MX"/>
        </w:rPr>
        <w:lastRenderedPageBreak/>
        <w:t>que deriven con motivo de la aplicación del Libro Octavo del Código Administrativo del Estado de México, excepto las de carácter fiscal.</w:t>
      </w:r>
    </w:p>
    <w:p w14:paraId="3556F019"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i/>
          <w:sz w:val="22"/>
          <w:lang w:val="es-MX"/>
        </w:rPr>
      </w:pPr>
      <w:r w:rsidRPr="00BB2D2F">
        <w:rPr>
          <w:rFonts w:ascii="Palatino Linotype" w:eastAsia="Palatino Linotype" w:hAnsi="Palatino Linotype" w:cs="Palatino Linotype"/>
          <w:i/>
          <w:sz w:val="22"/>
          <w:lang w:val="es-MX"/>
        </w:rPr>
        <w:t>Por lo tanto, en el desempeño de sus funciones, aplicará los principios rectores de la Justicia Cívica, a fin de disminuir la reincidencia en faltas administrativas y que las personas sancionadas recompongan su conducta a los buenos hábitos de la sana convivencia.”</w:t>
      </w:r>
    </w:p>
    <w:p w14:paraId="6345ACE5" w14:textId="77777777" w:rsidR="00C95F0B" w:rsidRPr="00BB2D2F" w:rsidRDefault="00C95F0B"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De lo anteriormente citado, se visualiza que efectivamente el Ayuntamiento por conducto de la Oficialía Calificadora podrá imponer sanciones administrativas derivado de alguna falta al Bando Municipal o cualquier disposición de carácter general que expida el Ayuntamiento. </w:t>
      </w:r>
      <w:proofErr w:type="gramStart"/>
      <w:r w:rsidRPr="00BB2D2F">
        <w:rPr>
          <w:rFonts w:ascii="Palatino Linotype" w:eastAsia="Palatino Linotype" w:hAnsi="Palatino Linotype" w:cs="Palatino Linotype"/>
          <w:lang w:val="es-MX"/>
        </w:rPr>
        <w:t>Asimismo</w:t>
      </w:r>
      <w:proofErr w:type="gramEnd"/>
      <w:r w:rsidRPr="00BB2D2F">
        <w:rPr>
          <w:rFonts w:ascii="Palatino Linotype" w:eastAsia="Palatino Linotype" w:hAnsi="Palatino Linotype" w:cs="Palatino Linotype"/>
          <w:lang w:val="es-MX"/>
        </w:rPr>
        <w:t xml:space="preserve"> para robustecer el presente análisis respecto del marco normativo de la Oficialía Calificadora, conviene insertar las facultades de esta área previstas en la Ley Orgánica Municipal: </w:t>
      </w:r>
    </w:p>
    <w:p w14:paraId="0306C7C7"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i/>
          <w:sz w:val="22"/>
          <w:lang w:val="es-MX"/>
        </w:rPr>
      </w:pPr>
      <w:r w:rsidRPr="00BB2D2F">
        <w:rPr>
          <w:rFonts w:ascii="Palatino Linotype" w:eastAsia="Palatino Linotype" w:hAnsi="Palatino Linotype" w:cs="Palatino Linotype"/>
          <w:i/>
          <w:sz w:val="22"/>
          <w:lang w:val="es-MX"/>
        </w:rPr>
        <w:t>“Artículo 150.- Son facultades y obligaciones de:</w:t>
      </w:r>
    </w:p>
    <w:p w14:paraId="362AD710"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i/>
          <w:sz w:val="22"/>
          <w:lang w:val="es-MX"/>
        </w:rPr>
      </w:pPr>
      <w:r w:rsidRPr="00BB2D2F">
        <w:rPr>
          <w:rFonts w:ascii="Palatino Linotype" w:eastAsia="Palatino Linotype" w:hAnsi="Palatino Linotype" w:cs="Palatino Linotype"/>
          <w:i/>
          <w:sz w:val="22"/>
          <w:lang w:val="es-MX"/>
        </w:rPr>
        <w:t>…</w:t>
      </w:r>
    </w:p>
    <w:p w14:paraId="24895C61"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b/>
          <w:i/>
          <w:sz w:val="22"/>
          <w:lang w:val="es-MX"/>
        </w:rPr>
      </w:pPr>
      <w:r w:rsidRPr="00BB2D2F">
        <w:rPr>
          <w:rFonts w:ascii="Palatino Linotype" w:eastAsia="Palatino Linotype" w:hAnsi="Palatino Linotype" w:cs="Palatino Linotype"/>
          <w:b/>
          <w:i/>
          <w:sz w:val="22"/>
          <w:lang w:val="es-MX"/>
        </w:rPr>
        <w:t>II. De los Oficiales Calificadores:</w:t>
      </w:r>
    </w:p>
    <w:p w14:paraId="44A9BE5E"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i/>
          <w:sz w:val="22"/>
          <w:lang w:val="es-MX"/>
        </w:rPr>
      </w:pPr>
      <w:r w:rsidRPr="00BB2D2F">
        <w:rPr>
          <w:rFonts w:ascii="Palatino Linotype" w:eastAsia="Palatino Linotype" w:hAnsi="Palatino Linotype" w:cs="Palatino Linotype"/>
          <w:i/>
          <w:sz w:val="22"/>
          <w:lang w:val="es-MX"/>
        </w:rPr>
        <w:t>…</w:t>
      </w:r>
    </w:p>
    <w:p w14:paraId="3EF900C7"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b/>
          <w:i/>
          <w:sz w:val="22"/>
          <w:lang w:val="es-MX"/>
        </w:rPr>
      </w:pPr>
      <w:r w:rsidRPr="00BB2D2F">
        <w:rPr>
          <w:i/>
          <w:sz w:val="22"/>
        </w:rPr>
        <w:t xml:space="preserve"> </w:t>
      </w:r>
      <w:r w:rsidRPr="00BB2D2F">
        <w:rPr>
          <w:rFonts w:ascii="Palatino Linotype" w:eastAsia="Palatino Linotype" w:hAnsi="Palatino Linotype" w:cs="Palatino Linotype"/>
          <w:b/>
          <w:i/>
          <w:sz w:val="22"/>
          <w:lang w:val="es-MX"/>
        </w:rPr>
        <w:t>b). Conocer, calificar e imponer las sanciones administrativas municipales que procedan por faltas o infracciones al bando municipal, reglamentos y demás disposiciones de carácter general contenidas en los ordenamientos expedidos por los ayuntamientos, y aquellas que deriven con motivo de la aplicación del Libro Octavo del Código Administrativo del Estado de México, excepto las de carácter fiscal;</w:t>
      </w:r>
    </w:p>
    <w:p w14:paraId="719FA9F5"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b/>
          <w:i/>
          <w:sz w:val="22"/>
          <w:lang w:val="es-MX"/>
        </w:rPr>
      </w:pPr>
      <w:r w:rsidRPr="00BB2D2F">
        <w:rPr>
          <w:rFonts w:ascii="Palatino Linotype" w:eastAsia="Palatino Linotype" w:hAnsi="Palatino Linotype" w:cs="Palatino Linotype"/>
          <w:b/>
          <w:i/>
          <w:sz w:val="22"/>
          <w:lang w:val="es-MX"/>
        </w:rPr>
        <w:t>…</w:t>
      </w:r>
    </w:p>
    <w:p w14:paraId="154809C7" w14:textId="77777777" w:rsidR="00C95F0B" w:rsidRPr="00BB2D2F" w:rsidRDefault="00C95F0B" w:rsidP="00C95F0B">
      <w:pPr>
        <w:spacing w:before="240" w:after="240" w:line="276" w:lineRule="auto"/>
        <w:ind w:left="567" w:right="900"/>
        <w:jc w:val="both"/>
        <w:rPr>
          <w:rFonts w:ascii="Palatino Linotype" w:eastAsia="Palatino Linotype" w:hAnsi="Palatino Linotype" w:cs="Palatino Linotype"/>
          <w:i/>
          <w:sz w:val="22"/>
          <w:lang w:val="es-MX"/>
        </w:rPr>
      </w:pPr>
      <w:r w:rsidRPr="00BB2D2F">
        <w:rPr>
          <w:rFonts w:ascii="Palatino Linotype" w:eastAsia="Palatino Linotype" w:hAnsi="Palatino Linotype" w:cs="Palatino Linotype"/>
          <w:b/>
          <w:i/>
          <w:sz w:val="22"/>
          <w:lang w:val="es-MX"/>
        </w:rPr>
        <w:t xml:space="preserve">e). Llevar un libro en donde se asiente todo lo actuado;” </w:t>
      </w:r>
      <w:r w:rsidRPr="00BB2D2F">
        <w:rPr>
          <w:rFonts w:ascii="Palatino Linotype" w:eastAsia="Palatino Linotype" w:hAnsi="Palatino Linotype" w:cs="Palatino Linotype"/>
          <w:i/>
          <w:sz w:val="22"/>
          <w:lang w:val="es-MX"/>
        </w:rPr>
        <w:t>(Sic) (Énfasis añadido)</w:t>
      </w:r>
    </w:p>
    <w:p w14:paraId="07ABCED2" w14:textId="77777777" w:rsidR="00C95F0B" w:rsidRPr="00BB2D2F" w:rsidRDefault="00C95F0B" w:rsidP="00787C49">
      <w:pPr>
        <w:spacing w:before="240" w:after="240" w:line="360" w:lineRule="auto"/>
        <w:jc w:val="both"/>
        <w:rPr>
          <w:rFonts w:ascii="Palatino Linotype" w:eastAsia="Palatino Linotype" w:hAnsi="Palatino Linotype" w:cs="Palatino Linotype"/>
          <w:lang w:val="es-MX"/>
        </w:rPr>
      </w:pPr>
    </w:p>
    <w:p w14:paraId="6529F241" w14:textId="77777777" w:rsidR="00787C49" w:rsidRPr="00BB2D2F" w:rsidRDefault="00C95F0B"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lastRenderedPageBreak/>
        <w:t xml:space="preserve">De tal suerte que como se acredita con lo insertado anteriormente, se advierte que en efecto, el Sujeto Obligado por conducto de la Oficialía Calificadora es competente para imponer las sanciones de carácter administrativo por las sanciones administrativas municipales, adicionalmente la Ley Orgánica Municipal mandata a esta área el llevar un libro donde se asiente todo lo actuado, sin embargo, no puede pasar desapercibido para este organismo garante que este libro no es una estadística, por lo tanto, </w:t>
      </w:r>
      <w:r w:rsidR="00787C49" w:rsidRPr="00BB2D2F">
        <w:rPr>
          <w:rFonts w:ascii="Palatino Linotype" w:eastAsia="Palatino Linotype" w:hAnsi="Palatino Linotype" w:cs="Palatino Linotype"/>
          <w:lang w:val="es-MX"/>
        </w:rPr>
        <w:t>si bien es cierto que se localizó la obligación de generar información a través del Informe Policial Homologado, también lo es que no se advirtió fuente obligacional que constriña a las Instituciones policiales o de seguridad pública</w:t>
      </w:r>
      <w:r w:rsidR="003D6367" w:rsidRPr="00BB2D2F">
        <w:rPr>
          <w:rFonts w:ascii="Palatino Linotype" w:eastAsia="Palatino Linotype" w:hAnsi="Palatino Linotype" w:cs="Palatino Linotype"/>
          <w:lang w:val="es-MX"/>
        </w:rPr>
        <w:t>, incluso a las oficialías calificadoras</w:t>
      </w:r>
      <w:r w:rsidR="00787C49" w:rsidRPr="00BB2D2F">
        <w:rPr>
          <w:rFonts w:ascii="Palatino Linotype" w:eastAsia="Palatino Linotype" w:hAnsi="Palatino Linotype" w:cs="Palatino Linotype"/>
          <w:lang w:val="es-MX"/>
        </w:rPr>
        <w:t xml:space="preserve"> a generar estadísticas de la misma, como en el caso de incidencia delictiva, por lo que,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153F88A6"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w:t>
      </w:r>
      <w:r w:rsidRPr="00BB2D2F">
        <w:rPr>
          <w:rFonts w:ascii="Palatino Linotype" w:eastAsia="Palatino Linotype" w:hAnsi="Palatino Linotype" w:cs="Palatino Linotype"/>
          <w:b/>
          <w:i/>
          <w:sz w:val="22"/>
          <w:szCs w:val="22"/>
          <w:lang w:val="es-MX"/>
        </w:rPr>
        <w:t>Artículo 19</w:t>
      </w:r>
      <w:r w:rsidRPr="00BB2D2F">
        <w:rPr>
          <w:rFonts w:ascii="Palatino Linotype" w:eastAsia="Palatino Linotype" w:hAnsi="Palatino Linotype" w:cs="Palatino Linotype"/>
          <w:i/>
          <w:sz w:val="22"/>
          <w:szCs w:val="22"/>
          <w:lang w:val="es-MX"/>
        </w:rPr>
        <w:t>…</w:t>
      </w:r>
    </w:p>
    <w:p w14:paraId="416A0466"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En los casos en que ciertas facultades, competencias o funciones no se hayan ejercido, se debe motivar la respuesta en función de las causas que motiven tal circunstancia.”</w:t>
      </w:r>
    </w:p>
    <w:p w14:paraId="1B378A75" w14:textId="77777777" w:rsidR="00787C49" w:rsidRPr="00BB2D2F" w:rsidRDefault="00787C49" w:rsidP="00787C49">
      <w:pPr>
        <w:spacing w:before="120" w:after="120"/>
        <w:ind w:left="851" w:right="902"/>
        <w:jc w:val="both"/>
        <w:rPr>
          <w:rFonts w:ascii="Palatino Linotype" w:eastAsia="Palatino Linotype" w:hAnsi="Palatino Linotype" w:cs="Palatino Linotype"/>
          <w:i/>
          <w:sz w:val="22"/>
          <w:szCs w:val="22"/>
          <w:lang w:val="es-MX"/>
        </w:rPr>
      </w:pPr>
    </w:p>
    <w:p w14:paraId="3CC77655" w14:textId="77777777" w:rsidR="00787C49" w:rsidRPr="00BB2D2F" w:rsidRDefault="00787C49" w:rsidP="00787C49">
      <w:pPr>
        <w:numPr>
          <w:ilvl w:val="0"/>
          <w:numId w:val="8"/>
        </w:numPr>
        <w:pBdr>
          <w:top w:val="nil"/>
          <w:left w:val="nil"/>
          <w:bottom w:val="nil"/>
          <w:right w:val="nil"/>
          <w:between w:val="nil"/>
        </w:pBdr>
        <w:spacing w:after="160" w:line="360" w:lineRule="auto"/>
        <w:jc w:val="both"/>
        <w:rPr>
          <w:rFonts w:ascii="Palatino Linotype" w:eastAsia="Palatino Linotype" w:hAnsi="Palatino Linotype" w:cs="Palatino Linotype"/>
          <w:b/>
          <w:lang w:val="es-MX"/>
        </w:rPr>
      </w:pPr>
      <w:r w:rsidRPr="00BB2D2F">
        <w:rPr>
          <w:rFonts w:ascii="Palatino Linotype" w:eastAsia="Palatino Linotype" w:hAnsi="Palatino Linotype" w:cs="Palatino Linotype"/>
          <w:b/>
          <w:lang w:val="es-MX"/>
        </w:rPr>
        <w:t>Del formato de entrega de la información solicitada.</w:t>
      </w:r>
    </w:p>
    <w:p w14:paraId="4B136DD3"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Expuesto lo anterior, no escapa de la óptica de este Instituto que la información se requirió en formato abierto, como xls o </w:t>
      </w:r>
      <w:proofErr w:type="spellStart"/>
      <w:r w:rsidRPr="00BB2D2F">
        <w:rPr>
          <w:rFonts w:ascii="Palatino Linotype" w:eastAsia="Palatino Linotype" w:hAnsi="Palatino Linotype" w:cs="Palatino Linotype"/>
          <w:lang w:val="es-MX"/>
        </w:rPr>
        <w:t>cvs</w:t>
      </w:r>
      <w:proofErr w:type="spellEnd"/>
      <w:r w:rsidRPr="00BB2D2F">
        <w:rPr>
          <w:rFonts w:ascii="Palatino Linotype" w:eastAsia="Palatino Linotype" w:hAnsi="Palatino Linotype" w:cs="Palatino Linotype"/>
          <w:lang w:val="es-MX"/>
        </w:rPr>
        <w:t xml:space="preserve">., por lo que resulta importante apuntar que, en términos del artículo 3 fracción XVI de la Ley de Acceso a la Información </w:t>
      </w:r>
      <w:r w:rsidRPr="00BB2D2F">
        <w:rPr>
          <w:rFonts w:ascii="Palatino Linotype" w:eastAsia="Palatino Linotype" w:hAnsi="Palatino Linotype" w:cs="Palatino Linotype"/>
          <w:lang w:val="es-MX"/>
        </w:rPr>
        <w:lastRenderedPageBreak/>
        <w:t xml:space="preserve">Pública del Estado de México y Municipios, los datos abiertos son entendidos como </w:t>
      </w:r>
      <w:r w:rsidRPr="00BB2D2F">
        <w:rPr>
          <w:rFonts w:ascii="Palatino Linotype" w:eastAsia="Palatino Linotype" w:hAnsi="Palatino Linotype" w:cs="Palatino Linotype"/>
          <w:i/>
          <w:lang w:val="es-MX"/>
        </w:rPr>
        <w:t xml:space="preserve">el conjunto de características técnicas y de presentación de la información que corresponden a la estructura lógica usada para almacenar datos de forma integral y </w:t>
      </w:r>
      <w:r w:rsidRPr="00BB2D2F">
        <w:rPr>
          <w:rFonts w:ascii="Palatino Linotype" w:eastAsia="Palatino Linotype" w:hAnsi="Palatino Linotype" w:cs="Palatino Linotype"/>
          <w:b/>
          <w:i/>
          <w:lang w:val="es-MX"/>
        </w:rPr>
        <w:t>facilitan su procesamiento digital</w:t>
      </w:r>
      <w:r w:rsidRPr="00BB2D2F">
        <w:rPr>
          <w:rFonts w:ascii="Palatino Linotype" w:eastAsia="Palatino Linotype" w:hAnsi="Palatino Linotype" w:cs="Palatino Linotype"/>
          <w:i/>
          <w:lang w:val="es-MX"/>
        </w:rPr>
        <w:t xml:space="preserve">, cuyas especificaciones están disponibles públicamente y que </w:t>
      </w:r>
      <w:r w:rsidRPr="00BB2D2F">
        <w:rPr>
          <w:rFonts w:ascii="Palatino Linotype" w:eastAsia="Palatino Linotype" w:hAnsi="Palatino Linotype" w:cs="Palatino Linotype"/>
          <w:b/>
          <w:i/>
          <w:lang w:val="es-MX"/>
        </w:rPr>
        <w:t>permiten el acceso sin restricción de uso</w:t>
      </w:r>
      <w:r w:rsidRPr="00BB2D2F">
        <w:rPr>
          <w:rFonts w:ascii="Palatino Linotype" w:eastAsia="Palatino Linotype" w:hAnsi="Palatino Linotype" w:cs="Palatino Linotype"/>
          <w:i/>
          <w:lang w:val="es-MX"/>
        </w:rPr>
        <w:t xml:space="preserve"> por parte de los usuarios</w:t>
      </w:r>
      <w:r w:rsidRPr="00BB2D2F">
        <w:rPr>
          <w:rFonts w:ascii="Palatino Linotype" w:eastAsia="Palatino Linotype" w:hAnsi="Palatino Linotype" w:cs="Palatino Linotype"/>
          <w:lang w:val="es-MX"/>
        </w:rPr>
        <w:t>.</w:t>
      </w:r>
    </w:p>
    <w:p w14:paraId="4369146A" w14:textId="77777777" w:rsidR="00787C49" w:rsidRPr="00BB2D2F" w:rsidRDefault="00787C49" w:rsidP="00787C49">
      <w:pPr>
        <w:spacing w:before="240" w:after="240" w:line="360" w:lineRule="auto"/>
        <w:ind w:right="51"/>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En el mismo tenor, el Diccionario de Transparencia y Acceso a la Información Pública del Instituto Nacional de Transparencia, Acceso a la Información y protección de Datos Personales, INAI, define el “formato abierto” como se lee a continuación:</w:t>
      </w:r>
    </w:p>
    <w:p w14:paraId="3140FB67" w14:textId="77777777" w:rsidR="00787C49" w:rsidRPr="00BB2D2F" w:rsidRDefault="00787C49" w:rsidP="00787C49">
      <w:pPr>
        <w:spacing w:before="120" w:after="120"/>
        <w:ind w:left="851" w:right="900"/>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“Formato abierto</w:t>
      </w:r>
      <w:r w:rsidRPr="00BB2D2F">
        <w:rPr>
          <w:rFonts w:ascii="Palatino Linotype" w:eastAsia="Palatino Linotype" w:hAnsi="Palatino Linotype" w:cs="Palatino Linotype"/>
          <w:i/>
          <w:sz w:val="22"/>
          <w:szCs w:val="22"/>
          <w:lang w:val="es-MX"/>
        </w:rPr>
        <w:t xml:space="preserve"> </w:t>
      </w:r>
    </w:p>
    <w:p w14:paraId="24F9708B" w14:textId="77777777" w:rsidR="00787C49" w:rsidRPr="00BB2D2F" w:rsidRDefault="00787C49" w:rsidP="00787C49">
      <w:pPr>
        <w:spacing w:before="120" w:after="120"/>
        <w:ind w:left="851" w:right="900"/>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i/>
          <w:sz w:val="22"/>
          <w:szCs w:val="22"/>
          <w:lang w:val="es-MX"/>
        </w:rPr>
        <w:t xml:space="preserve">Cuando un sujeto obligado proporciona información pública de manera electrónica </w:t>
      </w:r>
      <w:r w:rsidRPr="00BB2D2F">
        <w:rPr>
          <w:rFonts w:ascii="Palatino Linotype" w:eastAsia="Palatino Linotype" w:hAnsi="Palatino Linotype" w:cs="Palatino Linotype"/>
          <w:b/>
          <w:i/>
          <w:sz w:val="22"/>
          <w:szCs w:val="22"/>
          <w:lang w:val="es-MX"/>
        </w:rPr>
        <w:t>es necesario garantizar su interoperabilidad</w:t>
      </w:r>
      <w:r w:rsidRPr="00BB2D2F">
        <w:rPr>
          <w:rFonts w:ascii="Palatino Linotype" w:eastAsia="Palatino Linotype" w:hAnsi="Palatino Linotype" w:cs="Palatino Linotype"/>
          <w:i/>
          <w:sz w:val="22"/>
          <w:szCs w:val="22"/>
          <w:lang w:val="es-MX"/>
        </w:rPr>
        <w:t xml:space="preserve">. Es decir, </w:t>
      </w:r>
      <w:r w:rsidRPr="00BB2D2F">
        <w:rPr>
          <w:rFonts w:ascii="Palatino Linotype" w:eastAsia="Palatino Linotype" w:hAnsi="Palatino Linotype" w:cs="Palatino Linotype"/>
          <w:b/>
          <w:i/>
          <w:sz w:val="22"/>
          <w:szCs w:val="22"/>
          <w:lang w:val="es-MX"/>
        </w:rPr>
        <w:t xml:space="preserve">que esta información </w:t>
      </w:r>
      <w:r w:rsidRPr="00BB2D2F">
        <w:rPr>
          <w:rFonts w:ascii="Palatino Linotype" w:eastAsia="Palatino Linotype" w:hAnsi="Palatino Linotype" w:cs="Palatino Linotype"/>
          <w:b/>
          <w:i/>
          <w:sz w:val="22"/>
          <w:szCs w:val="22"/>
          <w:u w:val="single"/>
          <w:lang w:val="es-MX"/>
        </w:rPr>
        <w:t>contenga datos en formatos y estándares abiertos para su reproducción y reutilización electrónica</w:t>
      </w:r>
      <w:r w:rsidRPr="00BB2D2F">
        <w:rPr>
          <w:rFonts w:ascii="Palatino Linotype" w:eastAsia="Palatino Linotype" w:hAnsi="Palatino Linotype" w:cs="Palatino Linotype"/>
          <w:b/>
          <w:i/>
          <w:sz w:val="22"/>
          <w:szCs w:val="22"/>
          <w:lang w:val="es-MX"/>
        </w:rPr>
        <w:t>; de manera libre, sin ninguna restricción, obligación o compensación</w:t>
      </w:r>
      <w:r w:rsidRPr="00BB2D2F">
        <w:rPr>
          <w:rFonts w:ascii="Palatino Linotype" w:eastAsia="Palatino Linotype" w:hAnsi="Palatino Linotype" w:cs="Palatino Linotype"/>
          <w:i/>
          <w:sz w:val="22"/>
          <w:szCs w:val="22"/>
          <w:lang w:val="es-MX"/>
        </w:rPr>
        <w:t xml:space="preserve"> (Media April, 2017). La información no está en un formato abierto, cuando existen datos inaccesibles, en secreto y solo se puede acceder a ellos a través de un procedimiento desconocido para el usuario. (Es preciso aclarar, que pueden existir formatos abiertos con información secreta, cuando por ley es necesario ocultar información clasificada o proteger datos personales)” </w:t>
      </w:r>
    </w:p>
    <w:p w14:paraId="105F3AF9" w14:textId="77777777" w:rsidR="00787C49" w:rsidRPr="00BB2D2F" w:rsidRDefault="00787C49" w:rsidP="00787C49">
      <w:pPr>
        <w:spacing w:before="240" w:after="240" w:line="360" w:lineRule="auto"/>
        <w:ind w:right="51"/>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De igual forma, es oportuno mencionar que los datos abiertos, según lo dispuesto en el artículo 3 fracción VIII de la Ley de Transparencia Local, son considerados como los datos digitales de carácter público que son accesibles en línea que pueden ser usados, reutilizados y redistribuidos por cualquier interesado, y tienen las siguientes características: </w:t>
      </w:r>
    </w:p>
    <w:p w14:paraId="306617F5" w14:textId="77777777" w:rsidR="00787C49" w:rsidRPr="00BB2D2F" w:rsidRDefault="00787C49" w:rsidP="00787C49">
      <w:pPr>
        <w:spacing w:line="276" w:lineRule="auto"/>
        <w:ind w:left="851" w:right="902"/>
        <w:jc w:val="both"/>
        <w:rPr>
          <w:rFonts w:ascii="Palatino Linotype" w:eastAsia="Palatino Linotype" w:hAnsi="Palatino Linotype" w:cs="Palatino Linotype"/>
          <w:b/>
          <w:i/>
          <w:sz w:val="22"/>
          <w:szCs w:val="22"/>
          <w:lang w:val="es-MX"/>
        </w:rPr>
      </w:pPr>
      <w:r w:rsidRPr="00BB2D2F">
        <w:rPr>
          <w:rFonts w:ascii="Palatino Linotype" w:eastAsia="Palatino Linotype" w:hAnsi="Palatino Linotype" w:cs="Palatino Linotype"/>
          <w:b/>
          <w:i/>
          <w:sz w:val="22"/>
          <w:szCs w:val="22"/>
          <w:lang w:val="es-MX"/>
        </w:rPr>
        <w:t>“...</w:t>
      </w:r>
    </w:p>
    <w:p w14:paraId="57B1E001" w14:textId="77777777" w:rsidR="00787C49" w:rsidRPr="00BB2D2F" w:rsidRDefault="00787C49" w:rsidP="00787C49">
      <w:pPr>
        <w:spacing w:line="276" w:lineRule="auto"/>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lastRenderedPageBreak/>
        <w:t>a) Accesibles:</w:t>
      </w:r>
      <w:r w:rsidRPr="00BB2D2F">
        <w:rPr>
          <w:rFonts w:ascii="Palatino Linotype" w:eastAsia="Palatino Linotype" w:hAnsi="Palatino Linotype" w:cs="Palatino Linotype"/>
          <w:i/>
          <w:sz w:val="22"/>
          <w:szCs w:val="22"/>
          <w:lang w:val="es-MX"/>
        </w:rPr>
        <w:t xml:space="preserve"> Los datos están disponibles para la gama más amplia de usuarios, para cualquier propósito; </w:t>
      </w:r>
    </w:p>
    <w:p w14:paraId="5DEB6393" w14:textId="77777777" w:rsidR="00787C49" w:rsidRPr="00BB2D2F" w:rsidRDefault="00787C49" w:rsidP="00787C49">
      <w:pPr>
        <w:spacing w:line="276" w:lineRule="auto"/>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b) Integrales</w:t>
      </w:r>
      <w:r w:rsidRPr="00BB2D2F">
        <w:rPr>
          <w:rFonts w:ascii="Palatino Linotype" w:eastAsia="Palatino Linotype" w:hAnsi="Palatino Linotype" w:cs="Palatino Linotype"/>
          <w:i/>
          <w:sz w:val="22"/>
          <w:szCs w:val="22"/>
          <w:lang w:val="es-MX"/>
        </w:rPr>
        <w:t xml:space="preserve">: Contienen el tema que describen a detalle y con los metadatos necesarios; </w:t>
      </w:r>
    </w:p>
    <w:p w14:paraId="2A57D6BF" w14:textId="77777777" w:rsidR="00787C49" w:rsidRPr="00BB2D2F" w:rsidRDefault="00787C49" w:rsidP="00787C49">
      <w:pPr>
        <w:spacing w:line="276" w:lineRule="auto"/>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c) Gratuitos</w:t>
      </w:r>
      <w:r w:rsidRPr="00BB2D2F">
        <w:rPr>
          <w:rFonts w:ascii="Palatino Linotype" w:eastAsia="Palatino Linotype" w:hAnsi="Palatino Linotype" w:cs="Palatino Linotype"/>
          <w:i/>
          <w:sz w:val="22"/>
          <w:szCs w:val="22"/>
          <w:lang w:val="es-MX"/>
        </w:rPr>
        <w:t xml:space="preserve">: Se obtienen sin entregar a cambio contraprestación alguna; </w:t>
      </w:r>
    </w:p>
    <w:p w14:paraId="06D616C9" w14:textId="77777777" w:rsidR="00787C49" w:rsidRPr="00BB2D2F" w:rsidRDefault="00787C49" w:rsidP="00787C49">
      <w:pPr>
        <w:spacing w:line="276" w:lineRule="auto"/>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d) No discriminatorios</w:t>
      </w:r>
      <w:r w:rsidRPr="00BB2D2F">
        <w:rPr>
          <w:rFonts w:ascii="Palatino Linotype" w:eastAsia="Palatino Linotype" w:hAnsi="Palatino Linotype" w:cs="Palatino Linotype"/>
          <w:i/>
          <w:sz w:val="22"/>
          <w:szCs w:val="22"/>
          <w:lang w:val="es-MX"/>
        </w:rPr>
        <w:t xml:space="preserve">: Los datos están disponibles para cualquier persona, sin necesidad de registro; </w:t>
      </w:r>
    </w:p>
    <w:p w14:paraId="5E34D5BD" w14:textId="77777777" w:rsidR="00787C49" w:rsidRPr="00BB2D2F" w:rsidRDefault="00787C49" w:rsidP="00787C49">
      <w:pPr>
        <w:spacing w:line="276" w:lineRule="auto"/>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e) Oportunos:</w:t>
      </w:r>
      <w:r w:rsidRPr="00BB2D2F">
        <w:rPr>
          <w:rFonts w:ascii="Palatino Linotype" w:eastAsia="Palatino Linotype" w:hAnsi="Palatino Linotype" w:cs="Palatino Linotype"/>
          <w:i/>
          <w:sz w:val="22"/>
          <w:szCs w:val="22"/>
          <w:lang w:val="es-MX"/>
        </w:rPr>
        <w:t xml:space="preserve"> Son actualizados, periódicamente, conforme se generen; </w:t>
      </w:r>
    </w:p>
    <w:p w14:paraId="2BF8A0C2" w14:textId="77777777" w:rsidR="00787C49" w:rsidRPr="00BB2D2F" w:rsidRDefault="00787C49" w:rsidP="00787C49">
      <w:pPr>
        <w:spacing w:line="276" w:lineRule="auto"/>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f) Permanentes</w:t>
      </w:r>
      <w:r w:rsidRPr="00BB2D2F">
        <w:rPr>
          <w:rFonts w:ascii="Palatino Linotype" w:eastAsia="Palatino Linotype" w:hAnsi="Palatino Linotype" w:cs="Palatino Linotype"/>
          <w:i/>
          <w:sz w:val="22"/>
          <w:szCs w:val="22"/>
          <w:lang w:val="es-MX"/>
        </w:rPr>
        <w:t xml:space="preserve">: Se conservan en el tiempo, para lo cual, las versiones históricas relevantes para uso público se mantendrán disponibles con identificadores adecuados al efecto; </w:t>
      </w:r>
    </w:p>
    <w:p w14:paraId="7C3BF7EF" w14:textId="77777777" w:rsidR="00787C49" w:rsidRPr="00BB2D2F" w:rsidRDefault="00787C49" w:rsidP="00787C49">
      <w:pPr>
        <w:spacing w:line="276" w:lineRule="auto"/>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g) Primarios:</w:t>
      </w:r>
      <w:r w:rsidRPr="00BB2D2F">
        <w:rPr>
          <w:rFonts w:ascii="Palatino Linotype" w:eastAsia="Palatino Linotype" w:hAnsi="Palatino Linotype" w:cs="Palatino Linotype"/>
          <w:i/>
          <w:sz w:val="22"/>
          <w:szCs w:val="22"/>
          <w:lang w:val="es-MX"/>
        </w:rPr>
        <w:t xml:space="preserve"> Provienen de la fuente de origen con el máximo nivel de desagregación posible; </w:t>
      </w:r>
    </w:p>
    <w:p w14:paraId="23A37447" w14:textId="77777777" w:rsidR="00787C49" w:rsidRPr="00BB2D2F" w:rsidRDefault="00787C49" w:rsidP="00787C49">
      <w:pPr>
        <w:spacing w:line="276" w:lineRule="auto"/>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h) Legibles por máquinas</w:t>
      </w:r>
      <w:r w:rsidRPr="00BB2D2F">
        <w:rPr>
          <w:rFonts w:ascii="Palatino Linotype" w:eastAsia="Palatino Linotype" w:hAnsi="Palatino Linotype" w:cs="Palatino Linotype"/>
          <w:i/>
          <w:sz w:val="22"/>
          <w:szCs w:val="22"/>
          <w:lang w:val="es-MX"/>
        </w:rPr>
        <w:t xml:space="preserve">: Deberán estar estructurados, total o parcialmente, para ser procesados e interpretados por equipos electrónicos de manera automática; </w:t>
      </w:r>
    </w:p>
    <w:p w14:paraId="50B0835C" w14:textId="77777777" w:rsidR="00787C49" w:rsidRPr="00BB2D2F" w:rsidRDefault="00787C49" w:rsidP="00787C49">
      <w:pPr>
        <w:spacing w:line="276" w:lineRule="auto"/>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i) En formatos abiertos</w:t>
      </w:r>
      <w:r w:rsidRPr="00BB2D2F">
        <w:rPr>
          <w:rFonts w:ascii="Palatino Linotype" w:eastAsia="Palatino Linotype" w:hAnsi="Palatino Linotype" w:cs="Palatino Linotype"/>
          <w:i/>
          <w:sz w:val="22"/>
          <w:szCs w:val="22"/>
          <w:lang w:val="es-MX"/>
        </w:rPr>
        <w:t>: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1EAC49C6" w14:textId="77777777" w:rsidR="00787C49" w:rsidRPr="00BB2D2F" w:rsidRDefault="00787C49" w:rsidP="00787C49">
      <w:pPr>
        <w:spacing w:line="276" w:lineRule="auto"/>
        <w:ind w:left="851" w:right="902"/>
        <w:jc w:val="both"/>
        <w:rPr>
          <w:rFonts w:ascii="Palatino Linotype" w:eastAsia="Palatino Linotype" w:hAnsi="Palatino Linotype" w:cs="Palatino Linotype"/>
          <w:i/>
          <w:sz w:val="22"/>
          <w:szCs w:val="22"/>
          <w:lang w:val="es-MX"/>
        </w:rPr>
      </w:pPr>
      <w:r w:rsidRPr="00BB2D2F">
        <w:rPr>
          <w:rFonts w:ascii="Palatino Linotype" w:eastAsia="Palatino Linotype" w:hAnsi="Palatino Linotype" w:cs="Palatino Linotype"/>
          <w:b/>
          <w:i/>
          <w:sz w:val="22"/>
          <w:szCs w:val="22"/>
          <w:lang w:val="es-MX"/>
        </w:rPr>
        <w:t>j) De libre uso</w:t>
      </w:r>
      <w:r w:rsidRPr="00BB2D2F">
        <w:rPr>
          <w:rFonts w:ascii="Palatino Linotype" w:eastAsia="Palatino Linotype" w:hAnsi="Palatino Linotype" w:cs="Palatino Linotype"/>
          <w:i/>
          <w:sz w:val="22"/>
          <w:szCs w:val="22"/>
          <w:lang w:val="es-MX"/>
        </w:rPr>
        <w:t>: Citan la fuente de origen como único requerimiento para ser utilizados libremente.”</w:t>
      </w:r>
    </w:p>
    <w:p w14:paraId="5296F33E" w14:textId="77777777" w:rsidR="00787C49" w:rsidRPr="00BB2D2F" w:rsidRDefault="00787C49" w:rsidP="00787C49">
      <w:pPr>
        <w:autoSpaceDE w:val="0"/>
        <w:autoSpaceDN w:val="0"/>
        <w:adjustRightInd w:val="0"/>
        <w:spacing w:before="240" w:after="240" w:line="360" w:lineRule="auto"/>
        <w:jc w:val="both"/>
        <w:rPr>
          <w:rFonts w:ascii="Palatino Linotype" w:hAnsi="Palatino Linotype" w:cs="Arial"/>
          <w:lang w:val="es-419"/>
        </w:rPr>
      </w:pPr>
      <w:r w:rsidRPr="00BB2D2F">
        <w:rPr>
          <w:rFonts w:ascii="Palatino Linotype" w:eastAsia="Palatino Linotype" w:hAnsi="Palatino Linotype" w:cs="Palatino Linotype"/>
          <w:lang w:val="es-MX"/>
        </w:rPr>
        <w:t xml:space="preserve">De lo hasta aquí expuesto, se concluye </w:t>
      </w:r>
      <w:r w:rsidRPr="00BB2D2F">
        <w:rPr>
          <w:rFonts w:ascii="Palatino Linotype" w:hAnsi="Palatino Linotype" w:cs="Arial"/>
          <w:lang w:val="es-419"/>
        </w:rPr>
        <w:t xml:space="preserve">si bien la persona solicitante requirió la información en datos abiertos en formatos específicos como xls o </w:t>
      </w:r>
      <w:proofErr w:type="spellStart"/>
      <w:r w:rsidRPr="00BB2D2F">
        <w:rPr>
          <w:rFonts w:ascii="Palatino Linotype" w:hAnsi="Palatino Linotype" w:cs="Arial"/>
          <w:lang w:val="es-419"/>
        </w:rPr>
        <w:t>cvs</w:t>
      </w:r>
      <w:proofErr w:type="spellEnd"/>
      <w:r w:rsidRPr="00BB2D2F">
        <w:rPr>
          <w:rFonts w:ascii="Palatino Linotype" w:hAnsi="Palatino Linotype" w:cs="Arial"/>
          <w:lang w:val="es-419"/>
        </w:rPr>
        <w:t xml:space="preserve">; bastara que el </w:t>
      </w:r>
      <w:r w:rsidRPr="00BB2D2F">
        <w:rPr>
          <w:rFonts w:ascii="Palatino Linotype" w:hAnsi="Palatino Linotype" w:cs="Arial"/>
          <w:b/>
          <w:lang w:val="es-419"/>
        </w:rPr>
        <w:t>Sujeto Obligado</w:t>
      </w:r>
      <w:r w:rsidRPr="00BB2D2F">
        <w:rPr>
          <w:rFonts w:ascii="Palatino Linotype" w:hAnsi="Palatino Linotype" w:cs="Arial"/>
          <w:lang w:val="es-419"/>
        </w:rPr>
        <w:t xml:space="preserve"> la entregue en el formato en el que lo generó o que obre en sus archivos que permita su reutilización, derivado de los argumentos expuestos, para tener por satisfecho el Derecho de acceso a la información.</w:t>
      </w:r>
    </w:p>
    <w:p w14:paraId="03FE61DA" w14:textId="77777777" w:rsidR="00787C49" w:rsidRPr="00BB2D2F" w:rsidRDefault="00787C49" w:rsidP="00787C49">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lang w:val="es-MX"/>
        </w:rPr>
      </w:pPr>
      <w:r w:rsidRPr="00BB2D2F">
        <w:rPr>
          <w:rFonts w:ascii="Palatino Linotype" w:eastAsia="Palatino Linotype" w:hAnsi="Palatino Linotype" w:cs="Palatino Linotype"/>
          <w:b/>
          <w:lang w:val="es-MX"/>
        </w:rPr>
        <w:t>De las coordenadas geográficas.</w:t>
      </w:r>
    </w:p>
    <w:p w14:paraId="50FC90E1"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lastRenderedPageBreak/>
        <w:t>Para el caso de contar con información relacionada con las coordenadas geográficas de los lugares donde sucedieron los hechos presuntamente delictivos o de faltas administrativas, es pertinente señalar que esta información permite localizar domicilios concretos, que pueden pertenecen a particulares, corresponde a datos personales confidenciales, conforme a los siguientes razonamientos:</w:t>
      </w:r>
    </w:p>
    <w:p w14:paraId="044EF9C8"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b/>
          <w:lang w:val="es-MX"/>
        </w:rPr>
        <w:t>Domicilio particular.</w:t>
      </w:r>
      <w:r w:rsidRPr="00BB2D2F">
        <w:rPr>
          <w:rFonts w:ascii="Palatino Linotype" w:eastAsia="Palatino Linotype" w:hAnsi="Palatino Linotype" w:cs="Palatino Linotype"/>
          <w:lang w:val="es-MX"/>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4D132AA" w14:textId="77777777" w:rsidR="00787C49" w:rsidRPr="00BB2D2F" w:rsidRDefault="00787C49" w:rsidP="00787C49">
      <w:pPr>
        <w:spacing w:before="240" w:after="240" w:line="360" w:lineRule="auto"/>
        <w:jc w:val="both"/>
        <w:rPr>
          <w:rFonts w:ascii="Palatino Linotype" w:eastAsia="Palatino Linotype" w:hAnsi="Palatino Linotype" w:cs="Palatino Linotype"/>
          <w:b/>
          <w:lang w:val="es-MX"/>
        </w:rPr>
      </w:pPr>
      <w:r w:rsidRPr="00BB2D2F">
        <w:rPr>
          <w:rFonts w:ascii="Palatino Linotype" w:eastAsia="Palatino Linotype" w:hAnsi="Palatino Linotype" w:cs="Palatino Linotype"/>
          <w:lang w:val="es-MX"/>
        </w:rPr>
        <w:t>De la misma manera, lo establece el artículo 29 del Código Civil Federal, al precisar que el domicilio de personas físicas</w:t>
      </w:r>
      <w:r w:rsidRPr="00BB2D2F">
        <w:rPr>
          <w:rFonts w:ascii="Palatino Linotype" w:eastAsia="Palatino Linotype" w:hAnsi="Palatino Linotype" w:cs="Palatino Linotype"/>
          <w:b/>
          <w:lang w:val="es-MX"/>
        </w:rPr>
        <w:t xml:space="preserve">, es el lugar donde residen habitualmente, el lugar del centro principal de sus negocios, donde residan o el lugar donde se encuentren. </w:t>
      </w:r>
      <w:r w:rsidRPr="00BB2D2F">
        <w:rPr>
          <w:rFonts w:ascii="Palatino Linotype" w:eastAsia="Palatino Linotype" w:hAnsi="Palatino Linotype" w:cs="Palatino Linotype"/>
          <w:lang w:val="es-MX"/>
        </w:rPr>
        <w:t>Además, respecto al domicilio particular se presume que corresponde al lugar donde reside habitualmente</w:t>
      </w:r>
      <w:r w:rsidRPr="00BB2D2F">
        <w:rPr>
          <w:rFonts w:ascii="Palatino Linotype" w:eastAsia="Palatino Linotype" w:hAnsi="Palatino Linotype" w:cs="Palatino Linotype"/>
          <w:b/>
          <w:lang w:val="es-MX"/>
        </w:rPr>
        <w:t>.</w:t>
      </w:r>
    </w:p>
    <w:p w14:paraId="489188C3"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w:t>
      </w:r>
      <w:r w:rsidRPr="00BB2D2F">
        <w:rPr>
          <w:rFonts w:ascii="Palatino Linotype" w:eastAsia="Palatino Linotype" w:hAnsi="Palatino Linotype" w:cs="Palatino Linotype"/>
          <w:lang w:val="es-MX"/>
        </w:rPr>
        <w:lastRenderedPageBreak/>
        <w:t>conformidad con la fracción I, del artículo 143 de la Ley de Transparencia y Acceso a la Información Pública del Estado de México y Municipios.</w:t>
      </w:r>
    </w:p>
    <w:p w14:paraId="123874FD" w14:textId="77777777" w:rsidR="00787C49" w:rsidRPr="00BB2D2F" w:rsidRDefault="00787C49" w:rsidP="00787C49">
      <w:pPr>
        <w:spacing w:before="240" w:after="240" w:line="360" w:lineRule="auto"/>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Así pues, el domicilio y los elementos que puedan identificarlo deben ser considerados como información confidencial, en los términos antes expuestos; así pues, es procedente, ordenar la entrega de la base de datos que fue remitida en informe justificado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 en la que se testen las coordenadas geográficas que permiten identificar domicilios.</w:t>
      </w:r>
    </w:p>
    <w:p w14:paraId="1AECC0B7" w14:textId="77777777" w:rsidR="00004028" w:rsidRPr="00BB2D2F" w:rsidRDefault="00787C49" w:rsidP="008F3EA3">
      <w:pPr>
        <w:spacing w:before="240" w:after="240" w:line="360" w:lineRule="auto"/>
        <w:ind w:right="49"/>
        <w:jc w:val="both"/>
        <w:rPr>
          <w:rFonts w:ascii="Palatino Linotype" w:eastAsia="Palatino Linotype" w:hAnsi="Palatino Linotype" w:cs="Palatino Linotype"/>
          <w:lang w:val="es-MX"/>
        </w:rPr>
      </w:pPr>
      <w:r w:rsidRPr="00BB2D2F">
        <w:rPr>
          <w:rFonts w:ascii="Palatino Linotype" w:eastAsia="Palatino Linotype" w:hAnsi="Palatino Linotype" w:cs="Palatino Linotype"/>
          <w:lang w:val="es-MX"/>
        </w:rPr>
        <w:t xml:space="preserve">De lo hasta aquí expuesto, se concluye que los motivos de inconformidad de la parte </w:t>
      </w:r>
      <w:r w:rsidRPr="00BB2D2F">
        <w:rPr>
          <w:rFonts w:ascii="Palatino Linotype" w:eastAsia="Palatino Linotype" w:hAnsi="Palatino Linotype" w:cs="Palatino Linotype"/>
          <w:b/>
          <w:lang w:val="es-MX"/>
        </w:rPr>
        <w:t xml:space="preserve">Recurrente </w:t>
      </w:r>
      <w:r w:rsidRPr="00BB2D2F">
        <w:rPr>
          <w:rFonts w:ascii="Palatino Linotype" w:eastAsia="Palatino Linotype" w:hAnsi="Palatino Linotype" w:cs="Palatino Linotype"/>
          <w:lang w:val="es-MX"/>
        </w:rPr>
        <w:t xml:space="preserve">devienen fundados, siendo procedente </w:t>
      </w:r>
      <w:r w:rsidRPr="00BB2D2F">
        <w:rPr>
          <w:rFonts w:ascii="Palatino Linotype" w:eastAsia="Palatino Linotype" w:hAnsi="Palatino Linotype" w:cs="Palatino Linotype"/>
          <w:i/>
          <w:lang w:val="es-MX"/>
        </w:rPr>
        <w:t>Revocar</w:t>
      </w:r>
      <w:r w:rsidRPr="00BB2D2F">
        <w:rPr>
          <w:rFonts w:ascii="Palatino Linotype" w:eastAsia="Palatino Linotype" w:hAnsi="Palatino Linotype" w:cs="Palatino Linotype"/>
          <w:lang w:val="es-MX"/>
        </w:rPr>
        <w:t xml:space="preserve"> la respuesta proporcionada por el </w:t>
      </w:r>
      <w:r w:rsidRPr="00BB2D2F">
        <w:rPr>
          <w:rFonts w:ascii="Palatino Linotype" w:eastAsia="Palatino Linotype" w:hAnsi="Palatino Linotype" w:cs="Palatino Linotype"/>
          <w:b/>
          <w:lang w:val="es-MX"/>
        </w:rPr>
        <w:t xml:space="preserve">Sujeto Obligado </w:t>
      </w:r>
      <w:r w:rsidRPr="00BB2D2F">
        <w:rPr>
          <w:rFonts w:ascii="Palatino Linotype" w:eastAsia="Palatino Linotype" w:hAnsi="Palatino Linotype" w:cs="Palatino Linotype"/>
          <w:lang w:val="es-MX"/>
        </w:rPr>
        <w:t>en términos del artículo 186 fracción III de la Ley de Transparencia y Acceso a la Información Pública del</w:t>
      </w:r>
      <w:r w:rsidR="008F3EA3" w:rsidRPr="00BB2D2F">
        <w:rPr>
          <w:rFonts w:ascii="Palatino Linotype" w:eastAsia="Palatino Linotype" w:hAnsi="Palatino Linotype" w:cs="Palatino Linotype"/>
          <w:lang w:val="es-MX"/>
        </w:rPr>
        <w:t xml:space="preserve"> Estado de México y Municipios.</w:t>
      </w:r>
    </w:p>
    <w:p w14:paraId="07A9E5CE" w14:textId="77777777" w:rsidR="00F84CC5" w:rsidRPr="00BB2D2F" w:rsidRDefault="00F84CC5" w:rsidP="00F84CC5">
      <w:pPr>
        <w:spacing w:before="240" w:after="240" w:line="360" w:lineRule="auto"/>
        <w:jc w:val="both"/>
        <w:rPr>
          <w:rFonts w:ascii="Palatino Linotype" w:eastAsia="Palatino Linotype" w:hAnsi="Palatino Linotype" w:cs="Palatino Linotype"/>
          <w:lang w:eastAsia="es-ES"/>
        </w:rPr>
      </w:pPr>
      <w:r w:rsidRPr="00BB2D2F">
        <w:rPr>
          <w:rFonts w:ascii="Palatino Linotype" w:eastAsia="Palatino Linotype" w:hAnsi="Palatino Linotype" w:cs="Palatino Linotype"/>
          <w:b/>
          <w:lang w:eastAsia="es-ES"/>
        </w:rPr>
        <w:t xml:space="preserve">Quinto. Versión Pública. </w:t>
      </w:r>
      <w:r w:rsidRPr="00BB2D2F">
        <w:rPr>
          <w:rFonts w:ascii="Palatino Linotype" w:eastAsia="Palatino Linotype" w:hAnsi="Palatino Linotype" w:cs="Palatino Linotype"/>
          <w:lang w:eastAsia="es-ES"/>
        </w:rPr>
        <w:t>Finalmente, debe señalarse que de ser el caso en que los documentos que vayan a ser entregados por el</w:t>
      </w:r>
      <w:r w:rsidRPr="00BB2D2F">
        <w:rPr>
          <w:rFonts w:ascii="Palatino Linotype" w:eastAsia="Palatino Linotype" w:hAnsi="Palatino Linotype" w:cs="Palatino Linotype"/>
          <w:b/>
          <w:lang w:eastAsia="es-ES"/>
        </w:rPr>
        <w:t xml:space="preserve"> </w:t>
      </w:r>
      <w:r w:rsidRPr="00BB2D2F">
        <w:rPr>
          <w:rFonts w:ascii="Palatino Linotype" w:eastAsia="Palatino Linotype" w:hAnsi="Palatino Linotype" w:cs="Palatino Linotype"/>
          <w:lang w:eastAsia="es-ES"/>
        </w:rPr>
        <w:t xml:space="preserve">sujeto obligado, para dar cumplimiento a la presente resolución, contengan datos que deban ser clasificados, el </w:t>
      </w:r>
      <w:r w:rsidRPr="00BB2D2F">
        <w:rPr>
          <w:rFonts w:ascii="Palatino Linotype" w:eastAsia="Palatino Linotype" w:hAnsi="Palatino Linotype" w:cs="Palatino Linotype"/>
          <w:b/>
          <w:lang w:eastAsia="es-ES"/>
        </w:rPr>
        <w:t>Sujeto Obligado</w:t>
      </w:r>
      <w:r w:rsidRPr="00BB2D2F">
        <w:rPr>
          <w:rFonts w:ascii="Palatino Linotype" w:eastAsia="Palatino Linotype" w:hAnsi="Palatino Linotype" w:cs="Palatino Linotype"/>
          <w:lang w:eastAsia="es-ES"/>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1BE1C197" w14:textId="77777777" w:rsidR="00F84CC5" w:rsidRPr="00BB2D2F" w:rsidRDefault="00F84CC5" w:rsidP="00F84CC5">
      <w:pPr>
        <w:spacing w:before="240" w:after="240" w:line="360" w:lineRule="auto"/>
        <w:jc w:val="both"/>
        <w:rPr>
          <w:rFonts w:ascii="Palatino Linotype" w:eastAsia="Palatino Linotype" w:hAnsi="Palatino Linotype" w:cs="Palatino Linotype"/>
          <w:lang w:eastAsia="es-ES"/>
        </w:rPr>
      </w:pPr>
      <w:r w:rsidRPr="00BB2D2F">
        <w:rPr>
          <w:rFonts w:ascii="Palatino Linotype" w:eastAsia="Palatino Linotype" w:hAnsi="Palatino Linotype" w:cs="Palatino Linotype"/>
          <w:lang w:eastAsia="es-ES"/>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ECC88B6"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i/>
          <w:sz w:val="22"/>
          <w:szCs w:val="22"/>
          <w:lang w:eastAsia="es-ES"/>
        </w:rPr>
        <w:t>“</w:t>
      </w:r>
      <w:r w:rsidRPr="00BB2D2F">
        <w:rPr>
          <w:rFonts w:ascii="Palatino Linotype" w:eastAsia="Palatino Linotype" w:hAnsi="Palatino Linotype" w:cs="Palatino Linotype"/>
          <w:b/>
          <w:i/>
          <w:sz w:val="22"/>
          <w:szCs w:val="22"/>
          <w:lang w:eastAsia="es-ES"/>
        </w:rPr>
        <w:t>Artículo 3</w:t>
      </w:r>
      <w:r w:rsidRPr="00BB2D2F">
        <w:rPr>
          <w:rFonts w:ascii="Palatino Linotype" w:eastAsia="Palatino Linotype" w:hAnsi="Palatino Linotype" w:cs="Palatino Linotype"/>
          <w:i/>
          <w:sz w:val="22"/>
          <w:szCs w:val="22"/>
          <w:lang w:eastAsia="es-ES"/>
        </w:rPr>
        <w:t>. Para los efectos de la presente Ley se entenderá por:</w:t>
      </w:r>
    </w:p>
    <w:p w14:paraId="47A57333"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i/>
          <w:sz w:val="22"/>
          <w:szCs w:val="22"/>
          <w:lang w:eastAsia="es-ES"/>
        </w:rPr>
        <w:t>[…]</w:t>
      </w:r>
    </w:p>
    <w:p w14:paraId="31415780"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IX. Datos personales</w:t>
      </w:r>
      <w:r w:rsidRPr="00BB2D2F">
        <w:rPr>
          <w:rFonts w:ascii="Palatino Linotype" w:eastAsia="Palatino Linotype" w:hAnsi="Palatino Linotype" w:cs="Palatino Linotype"/>
          <w:i/>
          <w:sz w:val="22"/>
          <w:szCs w:val="22"/>
          <w:lang w:eastAsia="es-ES"/>
        </w:rPr>
        <w:t xml:space="preserve">: La información concerniente a una persona, identificada o identificable según lo dispuesto por la Ley de Protección de Datos Personales del Estado de México; </w:t>
      </w:r>
    </w:p>
    <w:p w14:paraId="32C69986"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XX. Información clasificada</w:t>
      </w:r>
      <w:r w:rsidRPr="00BB2D2F">
        <w:rPr>
          <w:rFonts w:ascii="Palatino Linotype" w:eastAsia="Palatino Linotype" w:hAnsi="Palatino Linotype" w:cs="Palatino Linotype"/>
          <w:i/>
          <w:sz w:val="22"/>
          <w:szCs w:val="22"/>
          <w:lang w:eastAsia="es-ES"/>
        </w:rPr>
        <w:t>: Aquella considerada por la presente Ley como reservada o confidencial;</w:t>
      </w:r>
    </w:p>
    <w:p w14:paraId="07FC8339"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 xml:space="preserve">XXI. Información confidencial: </w:t>
      </w:r>
      <w:r w:rsidRPr="00BB2D2F">
        <w:rPr>
          <w:rFonts w:ascii="Palatino Linotype" w:eastAsia="Palatino Linotype" w:hAnsi="Palatino Linotype" w:cs="Palatino Linotype"/>
          <w:i/>
          <w:sz w:val="22"/>
          <w:szCs w:val="22"/>
          <w:lang w:eastAsia="es-ES"/>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D42D781"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XLV. Versión pública:</w:t>
      </w:r>
      <w:r w:rsidRPr="00BB2D2F">
        <w:rPr>
          <w:rFonts w:ascii="Palatino Linotype" w:eastAsia="Palatino Linotype" w:hAnsi="Palatino Linotype" w:cs="Palatino Linotype"/>
          <w:i/>
          <w:sz w:val="22"/>
          <w:szCs w:val="22"/>
          <w:lang w:eastAsia="es-ES"/>
        </w:rPr>
        <w:t xml:space="preserve"> Documento en el que se elimine, suprime o borra la información clasificada como reservada o confidencial para permitir su acceso.</w:t>
      </w:r>
    </w:p>
    <w:p w14:paraId="085259BE"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i/>
          <w:sz w:val="22"/>
          <w:szCs w:val="22"/>
          <w:lang w:eastAsia="es-ES"/>
        </w:rPr>
        <w:t>[…]</w:t>
      </w:r>
    </w:p>
    <w:p w14:paraId="5A497476"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Artículo 91.</w:t>
      </w:r>
      <w:r w:rsidRPr="00BB2D2F">
        <w:rPr>
          <w:rFonts w:ascii="Palatino Linotype" w:eastAsia="Palatino Linotype" w:hAnsi="Palatino Linotype" w:cs="Palatino Linotype"/>
          <w:i/>
          <w:sz w:val="22"/>
          <w:szCs w:val="22"/>
          <w:lang w:eastAsia="es-ES"/>
        </w:rPr>
        <w:t xml:space="preserve"> El acceso a la información pública será restringido excepcionalmente, cuando ésta sea clasificada como reservada o confidencial.</w:t>
      </w:r>
    </w:p>
    <w:p w14:paraId="4F05B3AD"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Artículo 132.</w:t>
      </w:r>
      <w:r w:rsidRPr="00BB2D2F">
        <w:rPr>
          <w:rFonts w:ascii="Palatino Linotype" w:eastAsia="Palatino Linotype" w:hAnsi="Palatino Linotype" w:cs="Palatino Linotype"/>
          <w:i/>
          <w:sz w:val="22"/>
          <w:szCs w:val="22"/>
          <w:lang w:eastAsia="es-ES"/>
        </w:rPr>
        <w:t xml:space="preserve"> La clasificación de la información se llevará a cabo en el momento en que:</w:t>
      </w:r>
    </w:p>
    <w:p w14:paraId="28CAC166"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I</w:t>
      </w:r>
      <w:r w:rsidRPr="00BB2D2F">
        <w:rPr>
          <w:rFonts w:ascii="Palatino Linotype" w:eastAsia="Palatino Linotype" w:hAnsi="Palatino Linotype" w:cs="Palatino Linotype"/>
          <w:i/>
          <w:sz w:val="22"/>
          <w:szCs w:val="22"/>
          <w:lang w:eastAsia="es-ES"/>
        </w:rPr>
        <w:t>. Se reciba una solicitud de acceso a la información;</w:t>
      </w:r>
    </w:p>
    <w:p w14:paraId="056A3FD3"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II.</w:t>
      </w:r>
      <w:r w:rsidRPr="00BB2D2F">
        <w:rPr>
          <w:rFonts w:ascii="Palatino Linotype" w:eastAsia="Palatino Linotype" w:hAnsi="Palatino Linotype" w:cs="Palatino Linotype"/>
          <w:i/>
          <w:sz w:val="22"/>
          <w:szCs w:val="22"/>
          <w:lang w:eastAsia="es-ES"/>
        </w:rPr>
        <w:t xml:space="preserve"> Se determine mediante resolución de autoridad competente; o</w:t>
      </w:r>
    </w:p>
    <w:p w14:paraId="581F25FE"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III.</w:t>
      </w:r>
      <w:r w:rsidRPr="00BB2D2F">
        <w:rPr>
          <w:rFonts w:ascii="Palatino Linotype" w:eastAsia="Palatino Linotype" w:hAnsi="Palatino Linotype" w:cs="Palatino Linotype"/>
          <w:i/>
          <w:sz w:val="22"/>
          <w:szCs w:val="22"/>
          <w:lang w:eastAsia="es-ES"/>
        </w:rPr>
        <w:t xml:space="preserve"> Se generen versiones públicas para dar cumplimiento a las obligaciones de transparencia previstas en esta Ley.</w:t>
      </w:r>
    </w:p>
    <w:p w14:paraId="3E015EC9"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i/>
          <w:sz w:val="22"/>
          <w:szCs w:val="22"/>
          <w:lang w:eastAsia="es-ES"/>
        </w:rPr>
        <w:t>[…]</w:t>
      </w:r>
    </w:p>
    <w:p w14:paraId="559E12DE"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Artículo 143</w:t>
      </w:r>
      <w:r w:rsidRPr="00BB2D2F">
        <w:rPr>
          <w:rFonts w:ascii="Palatino Linotype" w:eastAsia="Palatino Linotype" w:hAnsi="Palatino Linotype" w:cs="Palatino Linotype"/>
          <w:i/>
          <w:sz w:val="22"/>
          <w:szCs w:val="22"/>
          <w:lang w:eastAsia="es-ES"/>
        </w:rPr>
        <w:t>. Para los efectos de esta Ley se considera información confidencial, la clasificada como tal, de manera permanente, por su naturaleza, cuando:</w:t>
      </w:r>
    </w:p>
    <w:p w14:paraId="2C46C44A"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lastRenderedPageBreak/>
        <w:t>I.</w:t>
      </w:r>
      <w:r w:rsidRPr="00BB2D2F">
        <w:rPr>
          <w:rFonts w:ascii="Palatino Linotype" w:eastAsia="Palatino Linotype" w:hAnsi="Palatino Linotype" w:cs="Palatino Linotype"/>
          <w:i/>
          <w:sz w:val="22"/>
          <w:szCs w:val="22"/>
          <w:lang w:eastAsia="es-ES"/>
        </w:rPr>
        <w:t xml:space="preserve"> Se refiera a la información privada y los datos personales concernientes a una persona física o jurídico colectiva identificada o identificable;</w:t>
      </w:r>
    </w:p>
    <w:p w14:paraId="31E5051A"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II.</w:t>
      </w:r>
      <w:r w:rsidRPr="00BB2D2F">
        <w:rPr>
          <w:rFonts w:ascii="Palatino Linotype" w:eastAsia="Palatino Linotype" w:hAnsi="Palatino Linotype" w:cs="Palatino Linotype"/>
          <w:i/>
          <w:sz w:val="22"/>
          <w:szCs w:val="22"/>
          <w:lang w:eastAsia="es-ES"/>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A019574"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III.</w:t>
      </w:r>
      <w:r w:rsidRPr="00BB2D2F">
        <w:rPr>
          <w:rFonts w:ascii="Palatino Linotype" w:eastAsia="Palatino Linotype" w:hAnsi="Palatino Linotype" w:cs="Palatino Linotype"/>
          <w:i/>
          <w:sz w:val="22"/>
          <w:szCs w:val="22"/>
          <w:lang w:eastAsia="es-ES"/>
        </w:rPr>
        <w:t xml:space="preserve"> La que presenten los particulares a los sujetos obligados, de conformidad con lo dispuesto por las leyes o los tratados internacionales.</w:t>
      </w:r>
    </w:p>
    <w:p w14:paraId="69CF6944"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i/>
          <w:sz w:val="22"/>
          <w:szCs w:val="22"/>
          <w:lang w:eastAsia="es-ES"/>
        </w:rPr>
        <w:t>La información confidencial no estará sujeta a temporalidad alguna y sólo podrán tener acceso a ella los titulares de la misma, sus representantes y los servidores públicos facultados para ello.</w:t>
      </w:r>
    </w:p>
    <w:p w14:paraId="550645A5"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i/>
          <w:sz w:val="22"/>
          <w:szCs w:val="22"/>
          <w:lang w:eastAsia="es-ES"/>
        </w:rPr>
        <w:t>No se considerará confidencial la información que se encuentre en los registros públicos o en fuentes de acceso público, ni tampoco la que sea considerada por la presente ley como información pública.”</w:t>
      </w:r>
    </w:p>
    <w:p w14:paraId="6CAAB304" w14:textId="77777777" w:rsidR="00F84CC5" w:rsidRPr="00BB2D2F" w:rsidRDefault="00F84CC5" w:rsidP="00F84CC5">
      <w:pPr>
        <w:spacing w:before="240" w:after="240" w:line="360" w:lineRule="auto"/>
        <w:jc w:val="both"/>
        <w:rPr>
          <w:rFonts w:ascii="Palatino Linotype" w:eastAsia="Palatino Linotype" w:hAnsi="Palatino Linotype" w:cs="Palatino Linotype"/>
          <w:lang w:eastAsia="es-ES"/>
        </w:rPr>
      </w:pPr>
      <w:r w:rsidRPr="00BB2D2F">
        <w:rPr>
          <w:rFonts w:ascii="Palatino Linotype" w:eastAsia="Palatino Linotype" w:hAnsi="Palatino Linotype" w:cs="Palatino Linotype"/>
          <w:lang w:eastAsia="es-ES"/>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BA285C1" w14:textId="77777777" w:rsidR="00F84CC5" w:rsidRPr="00BB2D2F" w:rsidRDefault="00F84CC5" w:rsidP="00F84CC5">
      <w:pPr>
        <w:spacing w:before="240" w:after="240" w:line="360" w:lineRule="auto"/>
        <w:jc w:val="both"/>
        <w:rPr>
          <w:rFonts w:ascii="Palatino Linotype" w:eastAsia="Palatino Linotype" w:hAnsi="Palatino Linotype" w:cs="Palatino Linotype"/>
          <w:lang w:eastAsia="es-ES"/>
        </w:rPr>
      </w:pPr>
      <w:r w:rsidRPr="00BB2D2F">
        <w:rPr>
          <w:rFonts w:ascii="Palatino Linotype" w:eastAsia="Palatino Linotype" w:hAnsi="Palatino Linotype" w:cs="Palatino Linotype"/>
          <w:lang w:eastAsia="es-ES"/>
        </w:rPr>
        <w:t>Entorno a lo que aquí nos interesa, los Lineamientos Quincuagésimo sexto, Quincuagésimo séptimo y Quincuagésimo octavo, establecen lo siguiente:</w:t>
      </w:r>
    </w:p>
    <w:p w14:paraId="54F22D21"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“Quincuagésimo sexto</w:t>
      </w:r>
      <w:r w:rsidRPr="00BB2D2F">
        <w:rPr>
          <w:rFonts w:ascii="Palatino Linotype" w:eastAsia="Palatino Linotype" w:hAnsi="Palatino Linotype" w:cs="Palatino Linotype"/>
          <w:i/>
          <w:sz w:val="22"/>
          <w:szCs w:val="22"/>
          <w:lang w:eastAsia="es-E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9BA3A1B"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lastRenderedPageBreak/>
        <w:t>Quincuagésimo séptimo</w:t>
      </w:r>
      <w:r w:rsidRPr="00BB2D2F">
        <w:rPr>
          <w:rFonts w:ascii="Palatino Linotype" w:eastAsia="Palatino Linotype" w:hAnsi="Palatino Linotype" w:cs="Palatino Linotype"/>
          <w:i/>
          <w:sz w:val="22"/>
          <w:szCs w:val="22"/>
          <w:lang w:eastAsia="es-ES"/>
        </w:rPr>
        <w:t xml:space="preserve">. Se considera, en principio, como información pública y no podrá omitirse de las versiones públicas la siguiente: </w:t>
      </w:r>
    </w:p>
    <w:p w14:paraId="285405F6"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I.</w:t>
      </w:r>
      <w:r w:rsidRPr="00BB2D2F">
        <w:rPr>
          <w:rFonts w:ascii="Palatino Linotype" w:eastAsia="Palatino Linotype" w:hAnsi="Palatino Linotype" w:cs="Palatino Linotype"/>
          <w:i/>
          <w:sz w:val="22"/>
          <w:szCs w:val="22"/>
          <w:lang w:eastAsia="es-ES"/>
        </w:rPr>
        <w:t xml:space="preserve"> La relativa a las Obligaciones de Transparencia que contempla el Título V de la Ley General y las demás disposiciones legales aplicables; </w:t>
      </w:r>
    </w:p>
    <w:p w14:paraId="3A757447"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II.</w:t>
      </w:r>
      <w:r w:rsidRPr="00BB2D2F">
        <w:rPr>
          <w:rFonts w:ascii="Palatino Linotype" w:eastAsia="Palatino Linotype" w:hAnsi="Palatino Linotype" w:cs="Palatino Linotype"/>
          <w:i/>
          <w:sz w:val="22"/>
          <w:szCs w:val="22"/>
          <w:lang w:eastAsia="es-ES"/>
        </w:rPr>
        <w:t xml:space="preserve"> El nombre de los servidores públicos en los documentos, y sus firmas autógrafas, cuando sean utilizados en el ejercicio de las facultades conferidas para el desempeño del servicio público, y </w:t>
      </w:r>
    </w:p>
    <w:p w14:paraId="46FA8D54" w14:textId="77777777" w:rsidR="00F84CC5" w:rsidRPr="00BB2D2F" w:rsidRDefault="00F84CC5" w:rsidP="00F84CC5">
      <w:pPr>
        <w:spacing w:before="120" w:after="120"/>
        <w:ind w:left="1134"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III.</w:t>
      </w:r>
      <w:r w:rsidRPr="00BB2D2F">
        <w:rPr>
          <w:rFonts w:ascii="Palatino Linotype" w:eastAsia="Palatino Linotype" w:hAnsi="Palatino Linotype" w:cs="Palatino Linotype"/>
          <w:i/>
          <w:sz w:val="22"/>
          <w:szCs w:val="22"/>
          <w:lang w:eastAsia="es-ES"/>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50C9893"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i/>
          <w:sz w:val="22"/>
          <w:szCs w:val="22"/>
          <w:lang w:eastAsia="es-ES"/>
        </w:rPr>
        <w:t xml:space="preserve">Lo anterior, siempre y cuando no se acredite alguna causal de clasificación, prevista en las leyes o en los tratados </w:t>
      </w:r>
      <w:proofErr w:type="gramStart"/>
      <w:r w:rsidRPr="00BB2D2F">
        <w:rPr>
          <w:rFonts w:ascii="Palatino Linotype" w:eastAsia="Palatino Linotype" w:hAnsi="Palatino Linotype" w:cs="Palatino Linotype"/>
          <w:i/>
          <w:sz w:val="22"/>
          <w:szCs w:val="22"/>
          <w:lang w:eastAsia="es-ES"/>
        </w:rPr>
        <w:t>internaciones suscritos</w:t>
      </w:r>
      <w:proofErr w:type="gramEnd"/>
      <w:r w:rsidRPr="00BB2D2F">
        <w:rPr>
          <w:rFonts w:ascii="Palatino Linotype" w:eastAsia="Palatino Linotype" w:hAnsi="Palatino Linotype" w:cs="Palatino Linotype"/>
          <w:i/>
          <w:sz w:val="22"/>
          <w:szCs w:val="22"/>
          <w:lang w:eastAsia="es-ES"/>
        </w:rPr>
        <w:t xml:space="preserve"> por el Estado mexicano. </w:t>
      </w:r>
    </w:p>
    <w:p w14:paraId="1F45F6B4" w14:textId="77777777" w:rsidR="00F84CC5" w:rsidRPr="00BB2D2F" w:rsidRDefault="00F84CC5" w:rsidP="00F84CC5">
      <w:pPr>
        <w:spacing w:before="120" w:after="120"/>
        <w:ind w:left="851" w:right="902"/>
        <w:jc w:val="both"/>
        <w:rPr>
          <w:rFonts w:ascii="Palatino Linotype" w:eastAsia="Palatino Linotype" w:hAnsi="Palatino Linotype" w:cs="Palatino Linotype"/>
          <w:i/>
          <w:sz w:val="22"/>
          <w:szCs w:val="22"/>
          <w:lang w:eastAsia="es-ES"/>
        </w:rPr>
      </w:pPr>
      <w:r w:rsidRPr="00BB2D2F">
        <w:rPr>
          <w:rFonts w:ascii="Palatino Linotype" w:eastAsia="Palatino Linotype" w:hAnsi="Palatino Linotype" w:cs="Palatino Linotype"/>
          <w:b/>
          <w:i/>
          <w:sz w:val="22"/>
          <w:szCs w:val="22"/>
          <w:lang w:eastAsia="es-ES"/>
        </w:rPr>
        <w:t>Quincuagésimo octavo</w:t>
      </w:r>
      <w:r w:rsidRPr="00BB2D2F">
        <w:rPr>
          <w:rFonts w:ascii="Palatino Linotype" w:eastAsia="Palatino Linotype" w:hAnsi="Palatino Linotype" w:cs="Palatino Linotype"/>
          <w:i/>
          <w:sz w:val="22"/>
          <w:szCs w:val="22"/>
          <w:lang w:eastAsia="es-ES"/>
        </w:rPr>
        <w:t>. Los sujetos obligados garantizarán que los sistemas o medios empleados para eliminar la información en las versiones públicas no permitan la recuperación o visualización de la misma.”</w:t>
      </w:r>
    </w:p>
    <w:p w14:paraId="5A160CD0" w14:textId="77777777" w:rsidR="00F84CC5" w:rsidRPr="00BB2D2F" w:rsidRDefault="00F84CC5" w:rsidP="00F84CC5">
      <w:pPr>
        <w:spacing w:before="240" w:after="240" w:line="360" w:lineRule="auto"/>
        <w:jc w:val="both"/>
        <w:rPr>
          <w:rFonts w:ascii="Palatino Linotype" w:eastAsia="Palatino Linotype" w:hAnsi="Palatino Linotype" w:cs="Palatino Linotype"/>
          <w:lang w:eastAsia="es-ES"/>
        </w:rPr>
      </w:pPr>
      <w:r w:rsidRPr="00BB2D2F">
        <w:rPr>
          <w:rFonts w:ascii="Palatino Linotype" w:eastAsia="Palatino Linotype" w:hAnsi="Palatino Linotype" w:cs="Palatino Linotype"/>
          <w:lang w:eastAsia="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B2D2F">
        <w:rPr>
          <w:rFonts w:ascii="Palatino Linotype" w:eastAsia="Palatino Linotype" w:hAnsi="Palatino Linotype" w:cs="Palatino Linotype"/>
          <w:b/>
          <w:lang w:eastAsia="es-ES"/>
        </w:rPr>
        <w:t>Sujeto Obligado</w:t>
      </w:r>
      <w:r w:rsidRPr="00BB2D2F">
        <w:rPr>
          <w:rFonts w:ascii="Palatino Linotype" w:eastAsia="Palatino Linotype" w:hAnsi="Palatino Linotype" w:cs="Palatino Linotype"/>
          <w:lang w:eastAsia="es-ES"/>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AF674F6" w14:textId="77777777" w:rsidR="00F84CC5" w:rsidRPr="00BB2D2F" w:rsidRDefault="00F84CC5" w:rsidP="00F84CC5">
      <w:pPr>
        <w:spacing w:before="240" w:after="240" w:line="360" w:lineRule="auto"/>
        <w:jc w:val="both"/>
        <w:rPr>
          <w:rFonts w:ascii="Palatino Linotype" w:eastAsia="Palatino Linotype" w:hAnsi="Palatino Linotype" w:cs="Palatino Linotype"/>
          <w:lang w:eastAsia="es-ES"/>
        </w:rPr>
      </w:pPr>
      <w:r w:rsidRPr="00BB2D2F">
        <w:rPr>
          <w:rFonts w:ascii="Palatino Linotype" w:eastAsia="Palatino Linotype" w:hAnsi="Palatino Linotype" w:cs="Palatino Linotype"/>
          <w:lang w:eastAsia="es-ES"/>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BB2D2F" w:rsidRPr="00BB2D2F" w14:paraId="51C85FAF" w14:textId="77777777" w:rsidTr="00F84CC5">
        <w:tc>
          <w:tcPr>
            <w:tcW w:w="4414" w:type="dxa"/>
            <w:gridSpan w:val="2"/>
          </w:tcPr>
          <w:p w14:paraId="7BF1BC55" w14:textId="77777777" w:rsidR="00F84CC5" w:rsidRPr="00BB2D2F" w:rsidRDefault="00F84CC5" w:rsidP="00F84CC5">
            <w:pPr>
              <w:jc w:val="center"/>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lastRenderedPageBreak/>
              <w:t>Parcial</w:t>
            </w:r>
          </w:p>
        </w:tc>
        <w:tc>
          <w:tcPr>
            <w:tcW w:w="4414" w:type="dxa"/>
            <w:gridSpan w:val="2"/>
          </w:tcPr>
          <w:p w14:paraId="03D30736" w14:textId="77777777" w:rsidR="00F84CC5" w:rsidRPr="00BB2D2F" w:rsidRDefault="00F84CC5" w:rsidP="00F84CC5">
            <w:pPr>
              <w:jc w:val="center"/>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Total</w:t>
            </w:r>
          </w:p>
        </w:tc>
      </w:tr>
      <w:tr w:rsidR="00BB2D2F" w:rsidRPr="00BB2D2F" w14:paraId="027EBD40" w14:textId="77777777" w:rsidTr="00F84CC5">
        <w:tc>
          <w:tcPr>
            <w:tcW w:w="993" w:type="dxa"/>
          </w:tcPr>
          <w:p w14:paraId="0F0B97D7" w14:textId="77777777" w:rsidR="00F84CC5" w:rsidRPr="00BB2D2F" w:rsidRDefault="00F84CC5" w:rsidP="00F84CC5">
            <w:pPr>
              <w:jc w:val="center"/>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Concepto</w:t>
            </w:r>
          </w:p>
        </w:tc>
        <w:tc>
          <w:tcPr>
            <w:tcW w:w="3421" w:type="dxa"/>
          </w:tcPr>
          <w:p w14:paraId="4ACCCFB9" w14:textId="77777777" w:rsidR="00F84CC5" w:rsidRPr="00BB2D2F" w:rsidRDefault="00F84CC5" w:rsidP="00F84CC5">
            <w:pPr>
              <w:jc w:val="center"/>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Dónde</w:t>
            </w:r>
          </w:p>
        </w:tc>
        <w:tc>
          <w:tcPr>
            <w:tcW w:w="968" w:type="dxa"/>
          </w:tcPr>
          <w:p w14:paraId="2E49C406" w14:textId="77777777" w:rsidR="00F84CC5" w:rsidRPr="00BB2D2F" w:rsidRDefault="00F84CC5" w:rsidP="00F84CC5">
            <w:pPr>
              <w:jc w:val="center"/>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Concepto</w:t>
            </w:r>
          </w:p>
        </w:tc>
        <w:tc>
          <w:tcPr>
            <w:tcW w:w="3446" w:type="dxa"/>
          </w:tcPr>
          <w:p w14:paraId="5EF1EF85" w14:textId="77777777" w:rsidR="00F84CC5" w:rsidRPr="00BB2D2F" w:rsidRDefault="00F84CC5" w:rsidP="00F84CC5">
            <w:pPr>
              <w:jc w:val="center"/>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Dónde</w:t>
            </w:r>
          </w:p>
        </w:tc>
      </w:tr>
      <w:tr w:rsidR="00BB2D2F" w:rsidRPr="00BB2D2F" w14:paraId="4DC71B89" w14:textId="77777777" w:rsidTr="00F84CC5">
        <w:tc>
          <w:tcPr>
            <w:tcW w:w="8828" w:type="dxa"/>
            <w:gridSpan w:val="4"/>
          </w:tcPr>
          <w:p w14:paraId="532F045C" w14:textId="77777777" w:rsidR="00F84CC5" w:rsidRPr="00BB2D2F" w:rsidRDefault="00F84CC5" w:rsidP="00F84CC5">
            <w:pPr>
              <w:jc w:val="center"/>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Sello oficial o logotipo del sujeto obligado</w:t>
            </w:r>
          </w:p>
        </w:tc>
      </w:tr>
      <w:tr w:rsidR="00BB2D2F" w:rsidRPr="00BB2D2F" w14:paraId="77F2DDFA" w14:textId="77777777" w:rsidTr="00F84CC5">
        <w:tc>
          <w:tcPr>
            <w:tcW w:w="993" w:type="dxa"/>
          </w:tcPr>
          <w:p w14:paraId="6A7826A4"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Fecha de clasificación</w:t>
            </w:r>
          </w:p>
        </w:tc>
        <w:tc>
          <w:tcPr>
            <w:tcW w:w="3421" w:type="dxa"/>
          </w:tcPr>
          <w:p w14:paraId="1E6F538C"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anotará la fecha en la que el Comité de Transparencia confirmó la clasificación del documento, en su caso.</w:t>
            </w:r>
          </w:p>
        </w:tc>
        <w:tc>
          <w:tcPr>
            <w:tcW w:w="968" w:type="dxa"/>
          </w:tcPr>
          <w:p w14:paraId="2FE4DFE7"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Fecha de clasificación</w:t>
            </w:r>
          </w:p>
        </w:tc>
        <w:tc>
          <w:tcPr>
            <w:tcW w:w="3446" w:type="dxa"/>
          </w:tcPr>
          <w:p w14:paraId="7A6E63AD"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anotará la fecha en la que el Comité de Transparencia confirmó la clasificación del documento, en su caso.</w:t>
            </w:r>
          </w:p>
        </w:tc>
      </w:tr>
      <w:tr w:rsidR="00BB2D2F" w:rsidRPr="00BB2D2F" w14:paraId="3EBB748F" w14:textId="77777777" w:rsidTr="00F84CC5">
        <w:tc>
          <w:tcPr>
            <w:tcW w:w="993" w:type="dxa"/>
          </w:tcPr>
          <w:p w14:paraId="3B3AC305"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Área</w:t>
            </w:r>
          </w:p>
        </w:tc>
        <w:tc>
          <w:tcPr>
            <w:tcW w:w="3421" w:type="dxa"/>
          </w:tcPr>
          <w:p w14:paraId="585872C1"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señalará el nombre del área del cual es titular quien clasifica.</w:t>
            </w:r>
          </w:p>
        </w:tc>
        <w:tc>
          <w:tcPr>
            <w:tcW w:w="968" w:type="dxa"/>
          </w:tcPr>
          <w:p w14:paraId="54372B15"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Área</w:t>
            </w:r>
          </w:p>
        </w:tc>
        <w:tc>
          <w:tcPr>
            <w:tcW w:w="3446" w:type="dxa"/>
          </w:tcPr>
          <w:p w14:paraId="637C9DB8"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señalará el nombre del área de la cual es el titular quien clasifica.</w:t>
            </w:r>
          </w:p>
        </w:tc>
      </w:tr>
      <w:tr w:rsidR="00BB2D2F" w:rsidRPr="00BB2D2F" w14:paraId="4948806B" w14:textId="77777777" w:rsidTr="00F84CC5">
        <w:tc>
          <w:tcPr>
            <w:tcW w:w="993" w:type="dxa"/>
          </w:tcPr>
          <w:p w14:paraId="38736E30"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Información reservada</w:t>
            </w:r>
          </w:p>
        </w:tc>
        <w:tc>
          <w:tcPr>
            <w:tcW w:w="3421" w:type="dxa"/>
          </w:tcPr>
          <w:p w14:paraId="3F56F1EB"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058B8CFB"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Reservado</w:t>
            </w:r>
          </w:p>
        </w:tc>
        <w:tc>
          <w:tcPr>
            <w:tcW w:w="3446" w:type="dxa"/>
          </w:tcPr>
          <w:p w14:paraId="55AC2D08"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Leyenda de información RESERVADA.</w:t>
            </w:r>
          </w:p>
        </w:tc>
      </w:tr>
      <w:tr w:rsidR="00BB2D2F" w:rsidRPr="00BB2D2F" w14:paraId="2367DF6A" w14:textId="77777777" w:rsidTr="00F84CC5">
        <w:tc>
          <w:tcPr>
            <w:tcW w:w="993" w:type="dxa"/>
          </w:tcPr>
          <w:p w14:paraId="7D737404"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Fundamento legal</w:t>
            </w:r>
          </w:p>
        </w:tc>
        <w:tc>
          <w:tcPr>
            <w:tcW w:w="3421" w:type="dxa"/>
          </w:tcPr>
          <w:p w14:paraId="5136B3EA"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señalará el nombre del ordenamiento, el o los artículos, fracción(es), párrafo(s) con base en los cuales se sustente la reserva.</w:t>
            </w:r>
          </w:p>
        </w:tc>
        <w:tc>
          <w:tcPr>
            <w:tcW w:w="968" w:type="dxa"/>
          </w:tcPr>
          <w:p w14:paraId="3AA0F897"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Periodo de reserva</w:t>
            </w:r>
          </w:p>
        </w:tc>
        <w:tc>
          <w:tcPr>
            <w:tcW w:w="3446" w:type="dxa"/>
          </w:tcPr>
          <w:p w14:paraId="4C6D97DD"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anotará el número de años o meses por los que se mantendrá el documento o las partes del mismo como reservado. Si el expediente no es reservado, sino confidencial, deberá tacharse este apartado.</w:t>
            </w:r>
          </w:p>
        </w:tc>
      </w:tr>
      <w:tr w:rsidR="00BB2D2F" w:rsidRPr="00BB2D2F" w14:paraId="64C8C649" w14:textId="77777777" w:rsidTr="00F84CC5">
        <w:tc>
          <w:tcPr>
            <w:tcW w:w="993" w:type="dxa"/>
          </w:tcPr>
          <w:p w14:paraId="62F2AF16"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Ampliación del periodo de reserva</w:t>
            </w:r>
          </w:p>
        </w:tc>
        <w:tc>
          <w:tcPr>
            <w:tcW w:w="3421" w:type="dxa"/>
          </w:tcPr>
          <w:p w14:paraId="1333C712"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En caso de haber solicitado la ampliación del periodo de reserva originalmente establecido, se deberá anotar el número de años o meses por los que se amplía la reserva.</w:t>
            </w:r>
          </w:p>
        </w:tc>
        <w:tc>
          <w:tcPr>
            <w:tcW w:w="968" w:type="dxa"/>
          </w:tcPr>
          <w:p w14:paraId="4468BC7B"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Fundamento legal</w:t>
            </w:r>
          </w:p>
        </w:tc>
        <w:tc>
          <w:tcPr>
            <w:tcW w:w="3446" w:type="dxa"/>
          </w:tcPr>
          <w:p w14:paraId="01138458"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señalará el nombre del o de los ordenamientos jurídicos, el o los artículos, fracción(es), párrafo(s) con base en los cuales se sustenta la reserva.</w:t>
            </w:r>
          </w:p>
        </w:tc>
      </w:tr>
      <w:tr w:rsidR="00BB2D2F" w:rsidRPr="00BB2D2F" w14:paraId="402136FE" w14:textId="77777777" w:rsidTr="00F84CC5">
        <w:tc>
          <w:tcPr>
            <w:tcW w:w="993" w:type="dxa"/>
          </w:tcPr>
          <w:p w14:paraId="056BBFB5"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Confidencial</w:t>
            </w:r>
          </w:p>
        </w:tc>
        <w:tc>
          <w:tcPr>
            <w:tcW w:w="3421" w:type="dxa"/>
          </w:tcPr>
          <w:p w14:paraId="11A631E3"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FD48E9C"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Ampliación del periodo de reserva</w:t>
            </w:r>
          </w:p>
        </w:tc>
        <w:tc>
          <w:tcPr>
            <w:tcW w:w="3446" w:type="dxa"/>
          </w:tcPr>
          <w:p w14:paraId="086FB28B"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En caso de haber solicitado la ampliación del periodo de reserva originalmente establecido, se deberá anotar el número de años o meses por los que se amplía la reserva.</w:t>
            </w:r>
          </w:p>
        </w:tc>
      </w:tr>
      <w:tr w:rsidR="00BB2D2F" w:rsidRPr="00BB2D2F" w14:paraId="3FCB9742" w14:textId="77777777" w:rsidTr="00F84CC5">
        <w:tc>
          <w:tcPr>
            <w:tcW w:w="993" w:type="dxa"/>
          </w:tcPr>
          <w:p w14:paraId="55478677"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Fundamento legal</w:t>
            </w:r>
          </w:p>
        </w:tc>
        <w:tc>
          <w:tcPr>
            <w:tcW w:w="3421" w:type="dxa"/>
          </w:tcPr>
          <w:p w14:paraId="33FE550E"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señalará el nombre del ordenamiento, el o los artículos, fracción(es), párrafo(s) con base en los cuales se sustente la confidencialidad.</w:t>
            </w:r>
          </w:p>
        </w:tc>
        <w:tc>
          <w:tcPr>
            <w:tcW w:w="968" w:type="dxa"/>
          </w:tcPr>
          <w:p w14:paraId="3F11BB0D"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Confidencial</w:t>
            </w:r>
          </w:p>
        </w:tc>
        <w:tc>
          <w:tcPr>
            <w:tcW w:w="3446" w:type="dxa"/>
          </w:tcPr>
          <w:p w14:paraId="2641A7B5"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Leyenda de información CONFIDENCIAL.</w:t>
            </w:r>
          </w:p>
        </w:tc>
      </w:tr>
      <w:tr w:rsidR="00BB2D2F" w:rsidRPr="00BB2D2F" w14:paraId="1BB03C98" w14:textId="77777777" w:rsidTr="00F84CC5">
        <w:tc>
          <w:tcPr>
            <w:tcW w:w="993" w:type="dxa"/>
          </w:tcPr>
          <w:p w14:paraId="007683EA"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Rúbrica del titular del área</w:t>
            </w:r>
          </w:p>
        </w:tc>
        <w:tc>
          <w:tcPr>
            <w:tcW w:w="3421" w:type="dxa"/>
          </w:tcPr>
          <w:p w14:paraId="5DAF5FAE"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Rúbrica autógrafa de quien clasifica.</w:t>
            </w:r>
          </w:p>
        </w:tc>
        <w:tc>
          <w:tcPr>
            <w:tcW w:w="968" w:type="dxa"/>
          </w:tcPr>
          <w:p w14:paraId="2BF66E7B"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Fundamento legal</w:t>
            </w:r>
          </w:p>
        </w:tc>
        <w:tc>
          <w:tcPr>
            <w:tcW w:w="3446" w:type="dxa"/>
          </w:tcPr>
          <w:p w14:paraId="27F92293"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señalará el nombre del o de los ordenamientos jurídicos, el o los artículos, fracción(es), párrafo(s) con base en los cuales se sustente la confidencialidad.</w:t>
            </w:r>
          </w:p>
        </w:tc>
      </w:tr>
      <w:tr w:rsidR="00BB2D2F" w:rsidRPr="00BB2D2F" w14:paraId="045909B9" w14:textId="77777777" w:rsidTr="00F84CC5">
        <w:tc>
          <w:tcPr>
            <w:tcW w:w="993" w:type="dxa"/>
          </w:tcPr>
          <w:p w14:paraId="531148DE"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Fecha de desclasificación</w:t>
            </w:r>
          </w:p>
        </w:tc>
        <w:tc>
          <w:tcPr>
            <w:tcW w:w="3421" w:type="dxa"/>
          </w:tcPr>
          <w:p w14:paraId="59254896"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anotará la fecha en que se desclasifica el documento.</w:t>
            </w:r>
          </w:p>
        </w:tc>
        <w:tc>
          <w:tcPr>
            <w:tcW w:w="968" w:type="dxa"/>
          </w:tcPr>
          <w:p w14:paraId="065E7777"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Rúbrica del titular del área</w:t>
            </w:r>
          </w:p>
        </w:tc>
        <w:tc>
          <w:tcPr>
            <w:tcW w:w="3446" w:type="dxa"/>
          </w:tcPr>
          <w:p w14:paraId="7119C2F4"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Rúbrica autógrafa de quien clasifica.</w:t>
            </w:r>
          </w:p>
        </w:tc>
      </w:tr>
      <w:tr w:rsidR="00BB2D2F" w:rsidRPr="00BB2D2F" w14:paraId="4093B361" w14:textId="77777777" w:rsidTr="00F84CC5">
        <w:tc>
          <w:tcPr>
            <w:tcW w:w="993" w:type="dxa"/>
          </w:tcPr>
          <w:p w14:paraId="66D6B414"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Rúbrica y cargo del servidor público</w:t>
            </w:r>
          </w:p>
        </w:tc>
        <w:tc>
          <w:tcPr>
            <w:tcW w:w="3421" w:type="dxa"/>
          </w:tcPr>
          <w:p w14:paraId="55C7541B"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Rúbrica autógrafa de quien desclasifica.</w:t>
            </w:r>
          </w:p>
        </w:tc>
        <w:tc>
          <w:tcPr>
            <w:tcW w:w="968" w:type="dxa"/>
          </w:tcPr>
          <w:p w14:paraId="5AF27EC7"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Fecha de desclasificación</w:t>
            </w:r>
          </w:p>
        </w:tc>
        <w:tc>
          <w:tcPr>
            <w:tcW w:w="3446" w:type="dxa"/>
          </w:tcPr>
          <w:p w14:paraId="23F67282"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Se anotará la fecha en que se desclasifica.</w:t>
            </w:r>
          </w:p>
        </w:tc>
      </w:tr>
      <w:tr w:rsidR="00BB2D2F" w:rsidRPr="00BB2D2F" w14:paraId="24F7F83B" w14:textId="77777777" w:rsidTr="00F84CC5">
        <w:tc>
          <w:tcPr>
            <w:tcW w:w="993" w:type="dxa"/>
          </w:tcPr>
          <w:p w14:paraId="7D555505" w14:textId="77777777" w:rsidR="00F84CC5" w:rsidRPr="00BB2D2F" w:rsidRDefault="00F84CC5" w:rsidP="00F84CC5">
            <w:pPr>
              <w:jc w:val="both"/>
              <w:rPr>
                <w:rFonts w:ascii="Palatino Linotype" w:eastAsia="Palatino Linotype" w:hAnsi="Palatino Linotype" w:cs="Palatino Linotype"/>
                <w:sz w:val="12"/>
                <w:szCs w:val="12"/>
                <w:lang w:eastAsia="es-ES"/>
              </w:rPr>
            </w:pPr>
          </w:p>
        </w:tc>
        <w:tc>
          <w:tcPr>
            <w:tcW w:w="3421" w:type="dxa"/>
          </w:tcPr>
          <w:p w14:paraId="4DAB9747" w14:textId="77777777" w:rsidR="00F84CC5" w:rsidRPr="00BB2D2F" w:rsidRDefault="00F84CC5" w:rsidP="00F84CC5">
            <w:pPr>
              <w:jc w:val="both"/>
              <w:rPr>
                <w:rFonts w:ascii="Palatino Linotype" w:eastAsia="Palatino Linotype" w:hAnsi="Palatino Linotype" w:cs="Palatino Linotype"/>
                <w:sz w:val="12"/>
                <w:szCs w:val="12"/>
                <w:lang w:eastAsia="es-ES"/>
              </w:rPr>
            </w:pPr>
          </w:p>
        </w:tc>
        <w:tc>
          <w:tcPr>
            <w:tcW w:w="968" w:type="dxa"/>
          </w:tcPr>
          <w:p w14:paraId="4AD75F60"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Partes o secciones reservadas o confidenciales</w:t>
            </w:r>
          </w:p>
        </w:tc>
        <w:tc>
          <w:tcPr>
            <w:tcW w:w="3446" w:type="dxa"/>
          </w:tcPr>
          <w:p w14:paraId="4372C4E2"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 xml:space="preserve">En caso que una vez desclasificado el expediente, </w:t>
            </w:r>
            <w:proofErr w:type="spellStart"/>
            <w:r w:rsidRPr="00BB2D2F">
              <w:rPr>
                <w:rFonts w:ascii="Palatino Linotype" w:eastAsia="Palatino Linotype" w:hAnsi="Palatino Linotype" w:cs="Palatino Linotype"/>
                <w:sz w:val="12"/>
                <w:szCs w:val="12"/>
                <w:lang w:eastAsia="es-ES"/>
              </w:rPr>
              <w:t>subsistanpartes</w:t>
            </w:r>
            <w:proofErr w:type="spellEnd"/>
            <w:r w:rsidRPr="00BB2D2F">
              <w:rPr>
                <w:rFonts w:ascii="Palatino Linotype" w:eastAsia="Palatino Linotype" w:hAnsi="Palatino Linotype" w:cs="Palatino Linotype"/>
                <w:sz w:val="12"/>
                <w:szCs w:val="12"/>
                <w:lang w:eastAsia="es-ES"/>
              </w:rPr>
              <w:t xml:space="preserve"> o secciones del mismo reservadas o confidenciales, se señalará este hecho.</w:t>
            </w:r>
          </w:p>
        </w:tc>
      </w:tr>
      <w:tr w:rsidR="00F84CC5" w:rsidRPr="00BB2D2F" w14:paraId="18773BC7" w14:textId="77777777" w:rsidTr="00F84CC5">
        <w:tc>
          <w:tcPr>
            <w:tcW w:w="993" w:type="dxa"/>
          </w:tcPr>
          <w:p w14:paraId="57FAB903" w14:textId="77777777" w:rsidR="00F84CC5" w:rsidRPr="00BB2D2F" w:rsidRDefault="00F84CC5" w:rsidP="00F84CC5">
            <w:pPr>
              <w:jc w:val="both"/>
              <w:rPr>
                <w:rFonts w:ascii="Palatino Linotype" w:eastAsia="Palatino Linotype" w:hAnsi="Palatino Linotype" w:cs="Palatino Linotype"/>
                <w:sz w:val="12"/>
                <w:szCs w:val="12"/>
                <w:lang w:eastAsia="es-ES"/>
              </w:rPr>
            </w:pPr>
          </w:p>
        </w:tc>
        <w:tc>
          <w:tcPr>
            <w:tcW w:w="3421" w:type="dxa"/>
          </w:tcPr>
          <w:p w14:paraId="4898902A" w14:textId="77777777" w:rsidR="00F84CC5" w:rsidRPr="00BB2D2F" w:rsidRDefault="00F84CC5" w:rsidP="00F84CC5">
            <w:pPr>
              <w:jc w:val="both"/>
              <w:rPr>
                <w:rFonts w:ascii="Palatino Linotype" w:eastAsia="Palatino Linotype" w:hAnsi="Palatino Linotype" w:cs="Palatino Linotype"/>
                <w:sz w:val="12"/>
                <w:szCs w:val="12"/>
                <w:lang w:eastAsia="es-ES"/>
              </w:rPr>
            </w:pPr>
          </w:p>
        </w:tc>
        <w:tc>
          <w:tcPr>
            <w:tcW w:w="968" w:type="dxa"/>
          </w:tcPr>
          <w:p w14:paraId="1FDF8090" w14:textId="77777777" w:rsidR="00F84CC5" w:rsidRPr="00BB2D2F" w:rsidRDefault="00F84CC5" w:rsidP="00F84CC5">
            <w:pPr>
              <w:jc w:val="both"/>
              <w:rPr>
                <w:rFonts w:ascii="Palatino Linotype" w:eastAsia="Palatino Linotype" w:hAnsi="Palatino Linotype" w:cs="Palatino Linotype"/>
                <w:b/>
                <w:sz w:val="12"/>
                <w:szCs w:val="12"/>
                <w:lang w:eastAsia="es-ES"/>
              </w:rPr>
            </w:pPr>
            <w:r w:rsidRPr="00BB2D2F">
              <w:rPr>
                <w:rFonts w:ascii="Palatino Linotype" w:eastAsia="Palatino Linotype" w:hAnsi="Palatino Linotype" w:cs="Palatino Linotype"/>
                <w:b/>
                <w:sz w:val="12"/>
                <w:szCs w:val="12"/>
                <w:lang w:eastAsia="es-ES"/>
              </w:rPr>
              <w:t>Rúbrica y cargo del servidor público</w:t>
            </w:r>
          </w:p>
        </w:tc>
        <w:tc>
          <w:tcPr>
            <w:tcW w:w="3446" w:type="dxa"/>
          </w:tcPr>
          <w:p w14:paraId="5C53DDF7" w14:textId="77777777" w:rsidR="00F84CC5" w:rsidRPr="00BB2D2F" w:rsidRDefault="00F84CC5" w:rsidP="00F84CC5">
            <w:pPr>
              <w:jc w:val="both"/>
              <w:rPr>
                <w:rFonts w:ascii="Palatino Linotype" w:eastAsia="Palatino Linotype" w:hAnsi="Palatino Linotype" w:cs="Palatino Linotype"/>
                <w:sz w:val="12"/>
                <w:szCs w:val="12"/>
                <w:lang w:eastAsia="es-ES"/>
              </w:rPr>
            </w:pPr>
            <w:r w:rsidRPr="00BB2D2F">
              <w:rPr>
                <w:rFonts w:ascii="Palatino Linotype" w:eastAsia="Palatino Linotype" w:hAnsi="Palatino Linotype" w:cs="Palatino Linotype"/>
                <w:sz w:val="12"/>
                <w:szCs w:val="12"/>
                <w:lang w:eastAsia="es-ES"/>
              </w:rPr>
              <w:t>Rúbrica autógrafa de quien desclasifica.</w:t>
            </w:r>
          </w:p>
        </w:tc>
      </w:tr>
    </w:tbl>
    <w:p w14:paraId="313CFC1D" w14:textId="77777777" w:rsidR="00F84CC5" w:rsidRPr="00BB2D2F" w:rsidRDefault="00F84CC5" w:rsidP="00F84CC5">
      <w:pPr>
        <w:rPr>
          <w:lang w:eastAsia="es-ES"/>
        </w:rPr>
      </w:pPr>
    </w:p>
    <w:p w14:paraId="0BA0AE91" w14:textId="77777777" w:rsidR="00F84CC5" w:rsidRPr="00BB2D2F" w:rsidRDefault="00F84CC5" w:rsidP="00F84CC5">
      <w:pPr>
        <w:pBdr>
          <w:top w:val="nil"/>
          <w:left w:val="nil"/>
          <w:bottom w:val="nil"/>
          <w:right w:val="nil"/>
          <w:between w:val="nil"/>
        </w:pBdr>
        <w:spacing w:before="240" w:after="240" w:line="360" w:lineRule="auto"/>
        <w:jc w:val="both"/>
        <w:rPr>
          <w:rFonts w:ascii="Palatino Linotype" w:eastAsia="Palatino Linotype" w:hAnsi="Palatino Linotype" w:cs="Palatino Linotype"/>
          <w:b/>
          <w:lang w:eastAsia="es-ES"/>
        </w:rPr>
      </w:pPr>
      <w:r w:rsidRPr="00BB2D2F">
        <w:rPr>
          <w:rFonts w:ascii="Palatino Linotype" w:eastAsia="Palatino Linotype" w:hAnsi="Palatino Linotype" w:cs="Palatino Linotype"/>
          <w:lang w:eastAsia="es-ES"/>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E55B5D6" w14:textId="77777777" w:rsidR="00B13DC9" w:rsidRPr="00BB2D2F" w:rsidRDefault="00804EE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rPr>
        <w:t xml:space="preserve">Es por todo lo anteriormente expuesto que se estima procedente </w:t>
      </w:r>
      <w:r w:rsidR="00F777FA" w:rsidRPr="00BB2D2F">
        <w:rPr>
          <w:rFonts w:ascii="Palatino Linotype" w:eastAsia="Palatino Linotype" w:hAnsi="Palatino Linotype" w:cs="Palatino Linotype"/>
          <w:b/>
        </w:rPr>
        <w:t>REVO</w:t>
      </w:r>
      <w:r w:rsidRPr="00BB2D2F">
        <w:rPr>
          <w:rFonts w:ascii="Palatino Linotype" w:eastAsia="Palatino Linotype" w:hAnsi="Palatino Linotype" w:cs="Palatino Linotype"/>
          <w:b/>
        </w:rPr>
        <w:t>CAR </w:t>
      </w:r>
      <w:r w:rsidRPr="00BB2D2F">
        <w:rPr>
          <w:rFonts w:ascii="Palatino Linotype" w:eastAsia="Palatino Linotype" w:hAnsi="Palatino Linotype" w:cs="Palatino Linotype"/>
        </w:rPr>
        <w:t xml:space="preserve">la respuesta del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de conformidad con lo establecido en el artículo 186 </w:t>
      </w:r>
      <w:r w:rsidRPr="00BB2D2F">
        <w:rPr>
          <w:rFonts w:ascii="Palatino Linotype" w:eastAsia="Palatino Linotype" w:hAnsi="Palatino Linotype" w:cs="Palatino Linotype"/>
        </w:rPr>
        <w:lastRenderedPageBreak/>
        <w:t>fracción III de la Ley de Transparencia y Acceso a la Información Pública del Estado de México y Municipios, a fin de que se ponga a disposición de la particular, la documentación requerida, 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292D9F52" w14:textId="77777777" w:rsidR="00B13DC9" w:rsidRPr="00BB2D2F" w:rsidRDefault="00804EE6">
      <w:pPr>
        <w:numPr>
          <w:ilvl w:val="0"/>
          <w:numId w:val="1"/>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BB2D2F">
        <w:rPr>
          <w:rFonts w:ascii="Palatino Linotype" w:eastAsia="Palatino Linotype" w:hAnsi="Palatino Linotype" w:cs="Palatino Linotype"/>
          <w:b/>
        </w:rPr>
        <w:t>R E S U E L V E:</w:t>
      </w:r>
    </w:p>
    <w:p w14:paraId="5645D8B1" w14:textId="77777777" w:rsidR="00B13DC9" w:rsidRPr="00BB2D2F" w:rsidRDefault="00804EE6">
      <w:pPr>
        <w:spacing w:before="240" w:after="240" w:line="360" w:lineRule="auto"/>
        <w:jc w:val="both"/>
        <w:rPr>
          <w:rFonts w:ascii="Palatino Linotype" w:eastAsia="Palatino Linotype" w:hAnsi="Palatino Linotype" w:cs="Palatino Linotype"/>
        </w:rPr>
      </w:pPr>
      <w:bookmarkStart w:id="2" w:name="_heading=h.3znysh7" w:colFirst="0" w:colLast="0"/>
      <w:bookmarkEnd w:id="2"/>
      <w:r w:rsidRPr="00BB2D2F">
        <w:rPr>
          <w:rFonts w:ascii="Palatino Linotype" w:eastAsia="Palatino Linotype" w:hAnsi="Palatino Linotype" w:cs="Palatino Linotype"/>
          <w:b/>
        </w:rPr>
        <w:t xml:space="preserve">Primero. </w:t>
      </w:r>
      <w:r w:rsidRPr="00BB2D2F">
        <w:rPr>
          <w:rFonts w:ascii="Palatino Linotype" w:eastAsia="Palatino Linotype" w:hAnsi="Palatino Linotype" w:cs="Palatino Linotype"/>
        </w:rPr>
        <w:t xml:space="preserve">Resultan </w:t>
      </w:r>
      <w:r w:rsidRPr="00BB2D2F">
        <w:rPr>
          <w:rFonts w:ascii="Palatino Linotype" w:eastAsia="Palatino Linotype" w:hAnsi="Palatino Linotype" w:cs="Palatino Linotype"/>
          <w:b/>
        </w:rPr>
        <w:t>fundadas</w:t>
      </w:r>
      <w:r w:rsidRPr="00BB2D2F">
        <w:rPr>
          <w:rFonts w:ascii="Palatino Linotype" w:eastAsia="Palatino Linotype" w:hAnsi="Palatino Linotype" w:cs="Palatino Linotype"/>
        </w:rPr>
        <w:t xml:space="preserve"> las razones o motivos de inconformidad hechos valer por el </w:t>
      </w:r>
      <w:r w:rsidRPr="00BB2D2F">
        <w:rPr>
          <w:rFonts w:ascii="Palatino Linotype" w:eastAsia="Palatino Linotype" w:hAnsi="Palatino Linotype" w:cs="Palatino Linotype"/>
          <w:b/>
        </w:rPr>
        <w:t>Recurrente</w:t>
      </w:r>
      <w:r w:rsidRPr="00BB2D2F">
        <w:rPr>
          <w:rFonts w:ascii="Palatino Linotype" w:eastAsia="Palatino Linotype" w:hAnsi="Palatino Linotype" w:cs="Palatino Linotype"/>
        </w:rPr>
        <w:t xml:space="preserve"> en el recurso de revisión </w:t>
      </w:r>
      <w:r w:rsidR="000578DE" w:rsidRPr="00BB2D2F">
        <w:rPr>
          <w:rFonts w:ascii="Palatino Linotype" w:eastAsia="Palatino Linotype" w:hAnsi="Palatino Linotype" w:cs="Palatino Linotype"/>
          <w:b/>
        </w:rPr>
        <w:t>1242</w:t>
      </w:r>
      <w:r w:rsidRPr="00BB2D2F">
        <w:rPr>
          <w:rFonts w:ascii="Palatino Linotype" w:eastAsia="Palatino Linotype" w:hAnsi="Palatino Linotype" w:cs="Palatino Linotype"/>
          <w:b/>
        </w:rPr>
        <w:t>4/INFOEM/IP/RR/2022</w:t>
      </w:r>
      <w:r w:rsidRPr="00BB2D2F">
        <w:rPr>
          <w:rFonts w:ascii="Palatino Linotype" w:eastAsia="Palatino Linotype" w:hAnsi="Palatino Linotype" w:cs="Palatino Linotype"/>
        </w:rPr>
        <w:t xml:space="preserve">; por lo que, en términos del </w:t>
      </w:r>
      <w:r w:rsidRPr="00BB2D2F">
        <w:rPr>
          <w:rFonts w:ascii="Palatino Linotype" w:eastAsia="Palatino Linotype" w:hAnsi="Palatino Linotype" w:cs="Palatino Linotype"/>
          <w:b/>
        </w:rPr>
        <w:t>Considerando</w:t>
      </w:r>
      <w:r w:rsidRPr="00BB2D2F">
        <w:rPr>
          <w:rFonts w:ascii="Palatino Linotype" w:eastAsia="Palatino Linotype" w:hAnsi="Palatino Linotype" w:cs="Palatino Linotype"/>
        </w:rPr>
        <w:t xml:space="preserve"> </w:t>
      </w:r>
      <w:r w:rsidRPr="00BB2D2F">
        <w:rPr>
          <w:rFonts w:ascii="Palatino Linotype" w:eastAsia="Palatino Linotype" w:hAnsi="Palatino Linotype" w:cs="Palatino Linotype"/>
          <w:b/>
        </w:rPr>
        <w:t xml:space="preserve">Cuarto </w:t>
      </w:r>
      <w:r w:rsidRPr="00BB2D2F">
        <w:rPr>
          <w:rFonts w:ascii="Palatino Linotype" w:eastAsia="Palatino Linotype" w:hAnsi="Palatino Linotype" w:cs="Palatino Linotype"/>
        </w:rPr>
        <w:t xml:space="preserve">de esta resolución, se </w:t>
      </w:r>
      <w:r w:rsidR="00F777FA" w:rsidRPr="00BB2D2F">
        <w:rPr>
          <w:rFonts w:ascii="Palatino Linotype" w:eastAsia="Palatino Linotype" w:hAnsi="Palatino Linotype" w:cs="Palatino Linotype"/>
          <w:b/>
        </w:rPr>
        <w:t>REVO</w:t>
      </w:r>
      <w:r w:rsidRPr="00BB2D2F">
        <w:rPr>
          <w:rFonts w:ascii="Palatino Linotype" w:eastAsia="Palatino Linotype" w:hAnsi="Palatino Linotype" w:cs="Palatino Linotype"/>
          <w:b/>
        </w:rPr>
        <w:t xml:space="preserve">CA </w:t>
      </w:r>
      <w:r w:rsidRPr="00BB2D2F">
        <w:rPr>
          <w:rFonts w:ascii="Palatino Linotype" w:eastAsia="Palatino Linotype" w:hAnsi="Palatino Linotype" w:cs="Palatino Linotype"/>
        </w:rPr>
        <w:t xml:space="preserve">la respuesta emitida por el </w:t>
      </w:r>
      <w:r w:rsidRPr="00BB2D2F">
        <w:rPr>
          <w:rFonts w:ascii="Palatino Linotype" w:eastAsia="Palatino Linotype" w:hAnsi="Palatino Linotype" w:cs="Palatino Linotype"/>
          <w:b/>
        </w:rPr>
        <w:t xml:space="preserve">Sujeto Obligado. </w:t>
      </w:r>
    </w:p>
    <w:p w14:paraId="5096D837" w14:textId="77777777" w:rsidR="00245B60" w:rsidRPr="00BB2D2F" w:rsidRDefault="00804EE6" w:rsidP="00245B60">
      <w:pPr>
        <w:spacing w:before="240" w:after="240" w:line="360" w:lineRule="auto"/>
        <w:ind w:right="49"/>
        <w:jc w:val="both"/>
        <w:rPr>
          <w:rFonts w:ascii="Palatino Linotype" w:eastAsia="Palatino Linotype" w:hAnsi="Palatino Linotype" w:cs="Palatino Linotype"/>
          <w:b/>
        </w:rPr>
      </w:pPr>
      <w:bookmarkStart w:id="3" w:name="_heading=h.1fob9te" w:colFirst="0" w:colLast="0"/>
      <w:bookmarkEnd w:id="3"/>
      <w:r w:rsidRPr="00BB2D2F">
        <w:rPr>
          <w:rFonts w:ascii="Palatino Linotype" w:eastAsia="Palatino Linotype" w:hAnsi="Palatino Linotype" w:cs="Palatino Linotype"/>
          <w:b/>
        </w:rPr>
        <w:t xml:space="preserve">Segundo. </w:t>
      </w:r>
      <w:r w:rsidRPr="00BB2D2F">
        <w:rPr>
          <w:rFonts w:ascii="Palatino Linotype" w:eastAsia="Palatino Linotype" w:hAnsi="Palatino Linotype" w:cs="Palatino Linotype"/>
        </w:rPr>
        <w:t xml:space="preserve">Se </w:t>
      </w:r>
      <w:r w:rsidRPr="00BB2D2F">
        <w:rPr>
          <w:rFonts w:ascii="Palatino Linotype" w:eastAsia="Palatino Linotype" w:hAnsi="Palatino Linotype" w:cs="Palatino Linotype"/>
          <w:b/>
        </w:rPr>
        <w:t xml:space="preserve">Ordena </w:t>
      </w:r>
      <w:r w:rsidRPr="00BB2D2F">
        <w:rPr>
          <w:rFonts w:ascii="Palatino Linotype" w:eastAsia="Palatino Linotype" w:hAnsi="Palatino Linotype" w:cs="Palatino Linotype"/>
        </w:rPr>
        <w:t xml:space="preserve">al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haga entrega a</w:t>
      </w:r>
      <w:r w:rsidRPr="00BB2D2F">
        <w:rPr>
          <w:rFonts w:ascii="Palatino Linotype" w:eastAsia="Palatino Linotype" w:hAnsi="Palatino Linotype" w:cs="Palatino Linotype"/>
          <w:b/>
        </w:rPr>
        <w:t>l Recurrente</w:t>
      </w:r>
      <w:r w:rsidRPr="00BB2D2F">
        <w:rPr>
          <w:rFonts w:ascii="Palatino Linotype" w:eastAsia="Palatino Linotype" w:hAnsi="Palatino Linotype" w:cs="Palatino Linotype"/>
        </w:rPr>
        <w:t xml:space="preserve"> vía </w:t>
      </w:r>
      <w:r w:rsidRPr="00BB2D2F">
        <w:rPr>
          <w:rFonts w:ascii="Palatino Linotype" w:eastAsia="Palatino Linotype" w:hAnsi="Palatino Linotype" w:cs="Palatino Linotype"/>
          <w:b/>
        </w:rPr>
        <w:t xml:space="preserve">SAIMEX y correo electrónico, </w:t>
      </w:r>
      <w:r w:rsidR="00245B60" w:rsidRPr="00BB2D2F">
        <w:rPr>
          <w:rFonts w:ascii="Palatino Linotype" w:eastAsia="Palatino Linotype" w:hAnsi="Palatino Linotype" w:cs="Palatino Linotype"/>
        </w:rPr>
        <w:t xml:space="preserve">en formato abierto xls, </w:t>
      </w:r>
      <w:proofErr w:type="spellStart"/>
      <w:r w:rsidR="00245B60" w:rsidRPr="00BB2D2F">
        <w:rPr>
          <w:rFonts w:ascii="Palatino Linotype" w:eastAsia="Palatino Linotype" w:hAnsi="Palatino Linotype" w:cs="Palatino Linotype"/>
        </w:rPr>
        <w:t>cvs</w:t>
      </w:r>
      <w:proofErr w:type="spellEnd"/>
      <w:r w:rsidR="00245B60" w:rsidRPr="00BB2D2F">
        <w:rPr>
          <w:rFonts w:ascii="Palatino Linotype" w:eastAsia="Palatino Linotype" w:hAnsi="Palatino Linotype" w:cs="Palatino Linotype"/>
        </w:rPr>
        <w:t xml:space="preserve"> o aquel en el que haya sido generada, </w:t>
      </w:r>
      <w:r w:rsidR="00245B60" w:rsidRPr="00BB2D2F">
        <w:rPr>
          <w:rFonts w:ascii="Palatino Linotype" w:eastAsia="Palatino Linotype" w:hAnsi="Palatino Linotype" w:cs="Palatino Linotype"/>
          <w:b/>
        </w:rPr>
        <w:t>de ser procedente en versión pública</w:t>
      </w:r>
      <w:r w:rsidR="00245B60" w:rsidRPr="00BB2D2F">
        <w:rPr>
          <w:rFonts w:ascii="Palatino Linotype" w:eastAsia="Palatino Linotype" w:hAnsi="Palatino Linotype" w:cs="Palatino Linotype"/>
        </w:rPr>
        <w:t xml:space="preserve"> el o los documentos donde conste lo siguiente:</w:t>
      </w:r>
      <w:r w:rsidR="00245B60" w:rsidRPr="00BB2D2F">
        <w:rPr>
          <w:rFonts w:ascii="Palatino Linotype" w:eastAsia="Palatino Linotype" w:hAnsi="Palatino Linotype" w:cs="Palatino Linotype"/>
          <w:b/>
        </w:rPr>
        <w:t xml:space="preserve"> </w:t>
      </w:r>
    </w:p>
    <w:p w14:paraId="45F18E9F" w14:textId="77777777" w:rsidR="00295946" w:rsidRPr="00BB2D2F" w:rsidRDefault="00245B60" w:rsidP="00245B60">
      <w:pPr>
        <w:spacing w:before="240" w:after="240" w:line="276" w:lineRule="auto"/>
        <w:ind w:left="567" w:right="900"/>
        <w:jc w:val="both"/>
        <w:rPr>
          <w:rFonts w:ascii="Palatino Linotype" w:eastAsia="Palatino Linotype" w:hAnsi="Palatino Linotype" w:cs="Palatino Linotype"/>
          <w:b/>
          <w:i/>
          <w:sz w:val="22"/>
        </w:rPr>
      </w:pPr>
      <w:r w:rsidRPr="00BB2D2F">
        <w:rPr>
          <w:rFonts w:ascii="Palatino Linotype" w:eastAsia="Palatino Linotype" w:hAnsi="Palatino Linotype" w:cs="Palatino Linotype"/>
          <w:b/>
          <w:i/>
          <w:sz w:val="22"/>
        </w:rPr>
        <w:t>1. La estadística de faltas administrativas, al mayor grado de desagregación</w:t>
      </w:r>
      <w:r w:rsidR="004D300F" w:rsidRPr="00BB2D2F">
        <w:rPr>
          <w:rFonts w:ascii="Palatino Linotype" w:eastAsia="Palatino Linotype" w:hAnsi="Palatino Linotype" w:cs="Palatino Linotype"/>
          <w:b/>
          <w:i/>
          <w:sz w:val="22"/>
        </w:rPr>
        <w:t xml:space="preserve"> posible, del 1 de enero </w:t>
      </w:r>
      <w:r w:rsidR="00295946" w:rsidRPr="00BB2D2F">
        <w:rPr>
          <w:rFonts w:ascii="Palatino Linotype" w:eastAsia="Palatino Linotype" w:hAnsi="Palatino Linotype" w:cs="Palatino Linotype"/>
          <w:b/>
          <w:i/>
          <w:sz w:val="22"/>
        </w:rPr>
        <w:t xml:space="preserve">de 2010 </w:t>
      </w:r>
      <w:r w:rsidR="004D300F" w:rsidRPr="00BB2D2F">
        <w:rPr>
          <w:rFonts w:ascii="Palatino Linotype" w:eastAsia="Palatino Linotype" w:hAnsi="Palatino Linotype" w:cs="Palatino Linotype"/>
          <w:b/>
          <w:i/>
          <w:sz w:val="22"/>
        </w:rPr>
        <w:t>al veintisiete de may</w:t>
      </w:r>
      <w:r w:rsidRPr="00BB2D2F">
        <w:rPr>
          <w:rFonts w:ascii="Palatino Linotype" w:eastAsia="Palatino Linotype" w:hAnsi="Palatino Linotype" w:cs="Palatino Linotype"/>
          <w:b/>
          <w:i/>
          <w:sz w:val="22"/>
        </w:rPr>
        <w:t xml:space="preserve">o del </w:t>
      </w:r>
      <w:r w:rsidR="00295946" w:rsidRPr="00BB2D2F">
        <w:rPr>
          <w:rFonts w:ascii="Palatino Linotype" w:eastAsia="Palatino Linotype" w:hAnsi="Palatino Linotype" w:cs="Palatino Linotype"/>
          <w:b/>
          <w:i/>
          <w:sz w:val="22"/>
        </w:rPr>
        <w:t>2022.</w:t>
      </w:r>
    </w:p>
    <w:p w14:paraId="5EF93F07" w14:textId="77777777" w:rsidR="004D300F" w:rsidRPr="00BB2D2F" w:rsidRDefault="00245B60" w:rsidP="00245B60">
      <w:pPr>
        <w:spacing w:before="240" w:after="240" w:line="276" w:lineRule="auto"/>
        <w:ind w:left="567" w:right="900"/>
        <w:jc w:val="both"/>
        <w:rPr>
          <w:rFonts w:ascii="Palatino Linotype" w:eastAsia="Palatino Linotype" w:hAnsi="Palatino Linotype" w:cs="Palatino Linotype"/>
          <w:b/>
          <w:i/>
          <w:sz w:val="22"/>
        </w:rPr>
      </w:pPr>
      <w:r w:rsidRPr="00BB2D2F">
        <w:rPr>
          <w:rFonts w:ascii="Palatino Linotype" w:eastAsia="Palatino Linotype" w:hAnsi="Palatino Linotype" w:cs="Palatino Linotype"/>
          <w:b/>
          <w:i/>
          <w:sz w:val="22"/>
        </w:rPr>
        <w:t xml:space="preserve">2. La estadística de incidencia delictiva al mayor grado de desagregación posible, del periodo comprendido </w:t>
      </w:r>
      <w:r w:rsidR="004D300F" w:rsidRPr="00BB2D2F">
        <w:rPr>
          <w:rFonts w:ascii="Palatino Linotype" w:eastAsia="Palatino Linotype" w:hAnsi="Palatino Linotype" w:cs="Palatino Linotype"/>
          <w:b/>
          <w:i/>
          <w:sz w:val="22"/>
        </w:rPr>
        <w:t xml:space="preserve">del 1 de enero </w:t>
      </w:r>
      <w:r w:rsidR="00295946" w:rsidRPr="00BB2D2F">
        <w:rPr>
          <w:rFonts w:ascii="Palatino Linotype" w:eastAsia="Palatino Linotype" w:hAnsi="Palatino Linotype" w:cs="Palatino Linotype"/>
          <w:b/>
          <w:i/>
          <w:sz w:val="22"/>
        </w:rPr>
        <w:t xml:space="preserve">de 2010 </w:t>
      </w:r>
      <w:r w:rsidR="004D300F" w:rsidRPr="00BB2D2F">
        <w:rPr>
          <w:rFonts w:ascii="Palatino Linotype" w:eastAsia="Palatino Linotype" w:hAnsi="Palatino Linotype" w:cs="Palatino Linotype"/>
          <w:b/>
          <w:i/>
          <w:sz w:val="22"/>
        </w:rPr>
        <w:t>al veintisiete de mayo del</w:t>
      </w:r>
      <w:r w:rsidR="00295946" w:rsidRPr="00BB2D2F">
        <w:rPr>
          <w:rFonts w:ascii="Palatino Linotype" w:eastAsia="Palatino Linotype" w:hAnsi="Palatino Linotype" w:cs="Palatino Linotype"/>
          <w:b/>
          <w:i/>
          <w:sz w:val="22"/>
        </w:rPr>
        <w:t xml:space="preserve"> 2022</w:t>
      </w:r>
      <w:r w:rsidR="004D300F" w:rsidRPr="00BB2D2F">
        <w:rPr>
          <w:rFonts w:ascii="Palatino Linotype" w:eastAsia="Palatino Linotype" w:hAnsi="Palatino Linotype" w:cs="Palatino Linotype"/>
          <w:b/>
          <w:i/>
          <w:sz w:val="22"/>
        </w:rPr>
        <w:t xml:space="preserve">. </w:t>
      </w:r>
    </w:p>
    <w:p w14:paraId="1AF3E482" w14:textId="77777777" w:rsidR="00245B60" w:rsidRPr="00BB2D2F" w:rsidRDefault="00245B60" w:rsidP="00245B60">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Para la entrega en versión pública, deberá emitir el Acuerdo del Comité de Transparencia en términos de la Ley de Transparencia y Acceso a la Información Pública del Estado de México y Municipios, en el que funde y motive las razones </w:t>
      </w:r>
      <w:r w:rsidRPr="00BB2D2F">
        <w:rPr>
          <w:rFonts w:ascii="Palatino Linotype" w:eastAsia="Palatino Linotype" w:hAnsi="Palatino Linotype" w:cs="Palatino Linotype"/>
          <w:i/>
          <w:sz w:val="22"/>
        </w:rPr>
        <w:lastRenderedPageBreak/>
        <w:t>sobre los datos que se supriman o eliminen, y se ponga a disposición de la parte Recurrente.</w:t>
      </w:r>
    </w:p>
    <w:p w14:paraId="19921776" w14:textId="77777777" w:rsidR="00245B60" w:rsidRPr="00BB2D2F" w:rsidRDefault="00245B60" w:rsidP="00245B60">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En el supuesto que la información ordenada relativa a en el punto 1 no obre en los archivos del Sujeto Obligado por no haberse generado, bastará con que así lo haga del conocimiento de la parte Recurrente, de manera fundada y motivada, para tener por colmado el requerimiento de información.</w:t>
      </w:r>
    </w:p>
    <w:p w14:paraId="149AC13E" w14:textId="77777777" w:rsidR="00245B60" w:rsidRPr="00BB2D2F" w:rsidRDefault="00245B60" w:rsidP="00245B60">
      <w:pPr>
        <w:spacing w:before="240" w:after="240" w:line="276" w:lineRule="auto"/>
        <w:ind w:left="567" w:right="900"/>
        <w:jc w:val="both"/>
        <w:rPr>
          <w:rFonts w:ascii="Palatino Linotype" w:eastAsia="Palatino Linotype" w:hAnsi="Palatino Linotype" w:cs="Palatino Linotype"/>
          <w:i/>
          <w:sz w:val="22"/>
        </w:rPr>
      </w:pPr>
      <w:r w:rsidRPr="00BB2D2F">
        <w:rPr>
          <w:rFonts w:ascii="Palatino Linotype" w:eastAsia="Palatino Linotype" w:hAnsi="Palatino Linotype" w:cs="Palatino Linotype"/>
          <w:i/>
          <w:sz w:val="22"/>
        </w:rPr>
        <w:t xml:space="preserve">En el caso que derivado de la búsqueda exhaustiva y razonable, no se localice la información que se </w:t>
      </w:r>
      <w:proofErr w:type="gramStart"/>
      <w:r w:rsidRPr="00BB2D2F">
        <w:rPr>
          <w:rFonts w:ascii="Palatino Linotype" w:eastAsia="Palatino Linotype" w:hAnsi="Palatino Linotype" w:cs="Palatino Linotype"/>
          <w:i/>
          <w:sz w:val="22"/>
        </w:rPr>
        <w:t>ordena  en</w:t>
      </w:r>
      <w:proofErr w:type="gramEnd"/>
      <w:r w:rsidRPr="00BB2D2F">
        <w:rPr>
          <w:rFonts w:ascii="Palatino Linotype" w:eastAsia="Palatino Linotype" w:hAnsi="Palatino Linotype" w:cs="Palatino Linotype"/>
          <w:i/>
          <w:sz w:val="22"/>
        </w:rPr>
        <w:t xml:space="preserve"> el punto 2, el Sujeto Obligado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0FF423EB"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Tercero</w:t>
      </w:r>
      <w:r w:rsidRPr="00BB2D2F">
        <w:rPr>
          <w:rFonts w:ascii="Palatino Linotype" w:eastAsia="Palatino Linotype" w:hAnsi="Palatino Linotype" w:cs="Palatino Linotype"/>
          <w:b/>
          <w:sz w:val="28"/>
          <w:szCs w:val="28"/>
        </w:rPr>
        <w:t xml:space="preserve">.  </w:t>
      </w:r>
      <w:r w:rsidRPr="00BB2D2F">
        <w:rPr>
          <w:rFonts w:ascii="Palatino Linotype" w:eastAsia="Palatino Linotype" w:hAnsi="Palatino Linotype" w:cs="Palatino Linotype"/>
          <w:b/>
        </w:rPr>
        <w:t>Notifíquese vía SAIMEX,</w:t>
      </w:r>
      <w:r w:rsidRPr="00BB2D2F">
        <w:rPr>
          <w:rFonts w:ascii="Palatino Linotype" w:eastAsia="Palatino Linotype" w:hAnsi="Palatino Linotype" w:cs="Palatino Linotype"/>
          <w:b/>
          <w:sz w:val="28"/>
          <w:szCs w:val="28"/>
        </w:rPr>
        <w:t xml:space="preserve"> </w:t>
      </w:r>
      <w:r w:rsidRPr="00BB2D2F">
        <w:rPr>
          <w:rFonts w:ascii="Palatino Linotype" w:eastAsia="Palatino Linotype" w:hAnsi="Palatino Linotype" w:cs="Palatino Linotype"/>
        </w:rPr>
        <w:t xml:space="preserve">al </w:t>
      </w:r>
      <w:proofErr w:type="gramStart"/>
      <w:r w:rsidRPr="00BB2D2F">
        <w:rPr>
          <w:rFonts w:ascii="Palatino Linotype" w:eastAsia="Palatino Linotype" w:hAnsi="Palatino Linotype" w:cs="Palatino Linotype"/>
        </w:rPr>
        <w:t>Responsable</w:t>
      </w:r>
      <w:proofErr w:type="gramEnd"/>
      <w:r w:rsidRPr="00BB2D2F">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412B149" w14:textId="77777777" w:rsidR="00B13DC9" w:rsidRPr="00BB2D2F" w:rsidRDefault="00804EE6">
      <w:pPr>
        <w:spacing w:before="240" w:after="240" w:line="360" w:lineRule="auto"/>
        <w:jc w:val="both"/>
        <w:rPr>
          <w:rFonts w:ascii="Palatino Linotype" w:eastAsia="Palatino Linotype" w:hAnsi="Palatino Linotype" w:cs="Palatino Linotype"/>
        </w:rPr>
      </w:pPr>
      <w:r w:rsidRPr="00BB2D2F">
        <w:rPr>
          <w:rFonts w:ascii="Palatino Linotype" w:eastAsia="Palatino Linotype" w:hAnsi="Palatino Linotype" w:cs="Palatino Linotype"/>
          <w:b/>
        </w:rPr>
        <w:t>Cuarto</w:t>
      </w:r>
      <w:r w:rsidRPr="00BB2D2F">
        <w:rPr>
          <w:rFonts w:ascii="Palatino Linotype" w:eastAsia="Palatino Linotype" w:hAnsi="Palatino Linotype" w:cs="Palatino Linotype"/>
          <w:b/>
          <w:sz w:val="28"/>
          <w:szCs w:val="28"/>
        </w:rPr>
        <w:t xml:space="preserve">. </w:t>
      </w:r>
      <w:r w:rsidRPr="00BB2D2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B2D2F">
        <w:rPr>
          <w:rFonts w:ascii="Palatino Linotype" w:eastAsia="Palatino Linotype" w:hAnsi="Palatino Linotype" w:cs="Palatino Linotype"/>
          <w:b/>
        </w:rPr>
        <w:t>Sujeto Obligado</w:t>
      </w:r>
      <w:r w:rsidRPr="00BB2D2F">
        <w:rPr>
          <w:rFonts w:ascii="Palatino Linotype" w:eastAsia="Palatino Linotype" w:hAnsi="Palatino Linotype" w:cs="Palatino Linotype"/>
        </w:rPr>
        <w:t xml:space="preserve"> de manera fundada y motivada, podrá solicitar una ampliación de plazo para el cumplimiento de la presente resolución.</w:t>
      </w:r>
    </w:p>
    <w:p w14:paraId="7C27F8DC" w14:textId="77777777" w:rsidR="00245B60" w:rsidRPr="00BB2D2F" w:rsidRDefault="00804EE6" w:rsidP="00245B60">
      <w:pPr>
        <w:pStyle w:val="NormalWeb"/>
        <w:spacing w:before="0" w:beforeAutospacing="0" w:after="240" w:afterAutospacing="0" w:line="360" w:lineRule="auto"/>
        <w:jc w:val="both"/>
      </w:pPr>
      <w:r w:rsidRPr="00BB2D2F">
        <w:rPr>
          <w:rFonts w:ascii="Palatino Linotype" w:eastAsia="Palatino Linotype" w:hAnsi="Palatino Linotype" w:cs="Palatino Linotype"/>
          <w:b/>
        </w:rPr>
        <w:t xml:space="preserve">Quinto. </w:t>
      </w:r>
      <w:r w:rsidR="00245B60" w:rsidRPr="00BB2D2F">
        <w:rPr>
          <w:rFonts w:ascii="Palatino Linotype" w:hAnsi="Palatino Linotype"/>
        </w:rPr>
        <w:t xml:space="preserve">Notifíquese, vía </w:t>
      </w:r>
      <w:r w:rsidR="00245B60" w:rsidRPr="00BB2D2F">
        <w:rPr>
          <w:rFonts w:ascii="Palatino Linotype" w:hAnsi="Palatino Linotype"/>
          <w:b/>
          <w:bCs/>
        </w:rPr>
        <w:t>SAIMEX y correo electrónico</w:t>
      </w:r>
      <w:r w:rsidR="00245B60" w:rsidRPr="00BB2D2F">
        <w:rPr>
          <w:rFonts w:ascii="Palatino Linotype" w:hAnsi="Palatino Linotype"/>
        </w:rPr>
        <w:t xml:space="preserve">, al </w:t>
      </w:r>
      <w:r w:rsidR="00245B60" w:rsidRPr="00BB2D2F">
        <w:rPr>
          <w:rFonts w:ascii="Palatino Linotype" w:hAnsi="Palatino Linotype"/>
          <w:b/>
          <w:bCs/>
        </w:rPr>
        <w:t>Recurrente</w:t>
      </w:r>
      <w:r w:rsidR="00245B60" w:rsidRPr="00BB2D2F">
        <w:rPr>
          <w:rFonts w:ascii="Palatino Linotype" w:hAnsi="Palatino Linotype"/>
        </w:rPr>
        <w:t xml:space="preserve"> la presente resolución, así como, que de conformidad con lo establecido en el artículo 196 de la Ley de Transparencia y Acceso a la Información Pública del Estado de México y </w:t>
      </w:r>
      <w:r w:rsidR="00245B60" w:rsidRPr="00BB2D2F">
        <w:rPr>
          <w:rFonts w:ascii="Palatino Linotype" w:hAnsi="Palatino Linotype"/>
        </w:rPr>
        <w:lastRenderedPageBreak/>
        <w:t>Municipios, en caso de que considere que le causa algún perjuicio podrá impugnarla vía Juicio de Amparo en los términos de las leyes aplicables.</w:t>
      </w:r>
    </w:p>
    <w:p w14:paraId="24830ABB" w14:textId="77777777" w:rsidR="00B13DC9" w:rsidRPr="00BB2D2F" w:rsidRDefault="007A2AA3">
      <w:pPr>
        <w:spacing w:before="240" w:after="240" w:line="360" w:lineRule="auto"/>
        <w:jc w:val="both"/>
        <w:rPr>
          <w:rFonts w:ascii="Palatino Linotype" w:eastAsia="Palatino Linotype" w:hAnsi="Palatino Linotype" w:cs="Palatino Linotype"/>
          <w:sz w:val="20"/>
          <w:szCs w:val="20"/>
        </w:rPr>
        <w:sectPr w:rsidR="00B13DC9" w:rsidRPr="00BB2D2F">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r w:rsidRPr="00BB2D2F">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2C30F81A" wp14:editId="6DAAD748">
                <wp:simplePos x="0" y="0"/>
                <wp:positionH relativeFrom="column">
                  <wp:posOffset>43814</wp:posOffset>
                </wp:positionH>
                <wp:positionV relativeFrom="paragraph">
                  <wp:posOffset>2620010</wp:posOffset>
                </wp:positionV>
                <wp:extent cx="5381625" cy="4438650"/>
                <wp:effectExtent l="38100" t="19050" r="66675" b="95250"/>
                <wp:wrapNone/>
                <wp:docPr id="1" name="Conector recto 1"/>
                <wp:cNvGraphicFramePr/>
                <a:graphic xmlns:a="http://schemas.openxmlformats.org/drawingml/2006/main">
                  <a:graphicData uri="http://schemas.microsoft.com/office/word/2010/wordprocessingShape">
                    <wps:wsp>
                      <wps:cNvCnPr/>
                      <wps:spPr>
                        <a:xfrm>
                          <a:off x="0" y="0"/>
                          <a:ext cx="5381625" cy="4438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0576C9"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206.3pt" to="427.2pt,5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" strokecolor="black [3200]" strokeweight="2pt">
                <v:shadow on="t" color="black" opacity="24903f" origin=",.5" offset="0,.55556mm"/>
              </v:line>
            </w:pict>
          </mc:Fallback>
        </mc:AlternateContent>
      </w:r>
      <w:r w:rsidR="00804EE6" w:rsidRPr="00BB2D2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w:t>
      </w:r>
      <w:r w:rsidR="00245B60" w:rsidRPr="00BB2D2F">
        <w:rPr>
          <w:rFonts w:ascii="Palatino Linotype" w:eastAsia="Palatino Linotype" w:hAnsi="Palatino Linotype" w:cs="Palatino Linotype"/>
        </w:rPr>
        <w:t xml:space="preserve"> PEÑA; EN LA CUADRAGÉSIMA QUINT</w:t>
      </w:r>
      <w:r w:rsidR="00804EE6" w:rsidRPr="00BB2D2F">
        <w:rPr>
          <w:rFonts w:ascii="Palatino Linotype" w:eastAsia="Palatino Linotype" w:hAnsi="Palatino Linotype" w:cs="Palatino Linotype"/>
        </w:rPr>
        <w:t xml:space="preserve">A SESIÓN ORDINARIA </w:t>
      </w:r>
      <w:r w:rsidR="00245B60" w:rsidRPr="00BB2D2F">
        <w:rPr>
          <w:rFonts w:ascii="Palatino Linotype" w:eastAsia="Palatino Linotype" w:hAnsi="Palatino Linotype" w:cs="Palatino Linotype"/>
        </w:rPr>
        <w:t>CELEBRADA EL CATORCE DE DIC</w:t>
      </w:r>
      <w:r w:rsidR="00804EE6" w:rsidRPr="00BB2D2F">
        <w:rPr>
          <w:rFonts w:ascii="Palatino Linotype" w:eastAsia="Palatino Linotype" w:hAnsi="Palatino Linotype" w:cs="Palatino Linotype"/>
        </w:rPr>
        <w:t>IEMBRE DE DOS MIL VEINTIDÓS, ANTE EL SECRETARIO TÉCNICO DEL PLENO, ALEXIS TAPIA RAMÍREZ.</w:t>
      </w:r>
    </w:p>
    <w:p w14:paraId="523F76AF" w14:textId="77777777" w:rsidR="00B13DC9" w:rsidRPr="00BB2D2F" w:rsidRDefault="00B13DC9">
      <w:pPr>
        <w:spacing w:before="240" w:after="240" w:line="360" w:lineRule="auto"/>
        <w:jc w:val="both"/>
        <w:rPr>
          <w:rFonts w:ascii="Palatino Linotype" w:eastAsia="Palatino Linotype" w:hAnsi="Palatino Linotype" w:cs="Palatino Linotype"/>
          <w:sz w:val="20"/>
          <w:szCs w:val="20"/>
        </w:rPr>
      </w:pPr>
    </w:p>
    <w:p w14:paraId="67B8EDBD" w14:textId="77777777" w:rsidR="00B13DC9" w:rsidRPr="00BB2D2F" w:rsidRDefault="00B13DC9">
      <w:pPr>
        <w:spacing w:before="240" w:after="240" w:line="360" w:lineRule="auto"/>
        <w:jc w:val="both"/>
        <w:rPr>
          <w:rFonts w:ascii="Palatino Linotype" w:eastAsia="Palatino Linotype" w:hAnsi="Palatino Linotype" w:cs="Palatino Linotype"/>
          <w:sz w:val="20"/>
          <w:szCs w:val="20"/>
        </w:rPr>
      </w:pPr>
    </w:p>
    <w:p w14:paraId="3C856784" w14:textId="77777777" w:rsidR="00B13DC9" w:rsidRPr="00BB2D2F" w:rsidRDefault="00B13DC9">
      <w:pPr>
        <w:spacing w:before="240" w:after="240" w:line="360" w:lineRule="auto"/>
        <w:jc w:val="both"/>
        <w:rPr>
          <w:rFonts w:ascii="Palatino Linotype" w:eastAsia="Palatino Linotype" w:hAnsi="Palatino Linotype" w:cs="Palatino Linotype"/>
          <w:sz w:val="20"/>
          <w:szCs w:val="20"/>
        </w:rPr>
      </w:pPr>
    </w:p>
    <w:p w14:paraId="64E11675" w14:textId="77777777" w:rsidR="00B13DC9" w:rsidRPr="00BB2D2F" w:rsidRDefault="00B13DC9">
      <w:pPr>
        <w:spacing w:before="240" w:after="240" w:line="360" w:lineRule="auto"/>
        <w:jc w:val="both"/>
        <w:rPr>
          <w:rFonts w:ascii="Palatino Linotype" w:eastAsia="Palatino Linotype" w:hAnsi="Palatino Linotype" w:cs="Palatino Linotype"/>
          <w:sz w:val="20"/>
          <w:szCs w:val="20"/>
        </w:rPr>
      </w:pPr>
    </w:p>
    <w:p w14:paraId="2A2768BD" w14:textId="77777777" w:rsidR="00B13DC9" w:rsidRPr="00BB2D2F" w:rsidRDefault="00B13DC9">
      <w:pPr>
        <w:spacing w:before="240" w:after="240" w:line="360" w:lineRule="auto"/>
        <w:jc w:val="both"/>
        <w:rPr>
          <w:rFonts w:ascii="Palatino Linotype" w:eastAsia="Palatino Linotype" w:hAnsi="Palatino Linotype" w:cs="Palatino Linotype"/>
          <w:sz w:val="20"/>
          <w:szCs w:val="20"/>
        </w:rPr>
      </w:pPr>
    </w:p>
    <w:p w14:paraId="44E9D328" w14:textId="77777777" w:rsidR="00B13DC9" w:rsidRPr="00BB2D2F" w:rsidRDefault="00B13DC9">
      <w:pPr>
        <w:spacing w:before="240" w:after="240" w:line="360" w:lineRule="auto"/>
        <w:jc w:val="both"/>
        <w:rPr>
          <w:rFonts w:ascii="Palatino Linotype" w:eastAsia="Palatino Linotype" w:hAnsi="Palatino Linotype" w:cs="Palatino Linotype"/>
          <w:sz w:val="20"/>
          <w:szCs w:val="20"/>
        </w:rPr>
      </w:pPr>
    </w:p>
    <w:p w14:paraId="59567DB8" w14:textId="77777777" w:rsidR="00B13DC9" w:rsidRPr="00BB2D2F" w:rsidRDefault="00B13DC9">
      <w:pPr>
        <w:spacing w:before="240" w:after="240" w:line="360" w:lineRule="auto"/>
        <w:jc w:val="both"/>
        <w:rPr>
          <w:rFonts w:ascii="Palatino Linotype" w:eastAsia="Palatino Linotype" w:hAnsi="Palatino Linotype" w:cs="Palatino Linotype"/>
          <w:sz w:val="20"/>
          <w:szCs w:val="20"/>
        </w:rPr>
      </w:pPr>
    </w:p>
    <w:p w14:paraId="6621F407" w14:textId="77777777" w:rsidR="00B13DC9" w:rsidRPr="00BB2D2F" w:rsidRDefault="00B13DC9">
      <w:pPr>
        <w:spacing w:before="240" w:after="240" w:line="360" w:lineRule="auto"/>
        <w:jc w:val="both"/>
        <w:rPr>
          <w:rFonts w:ascii="Palatino Linotype" w:eastAsia="Palatino Linotype" w:hAnsi="Palatino Linotype" w:cs="Palatino Linotype"/>
          <w:sz w:val="20"/>
          <w:szCs w:val="20"/>
        </w:rPr>
      </w:pPr>
    </w:p>
    <w:sectPr w:rsidR="00B13DC9" w:rsidRPr="00BB2D2F">
      <w:head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57FFE" w14:textId="77777777" w:rsidR="004517C4" w:rsidRDefault="004517C4">
      <w:r>
        <w:separator/>
      </w:r>
    </w:p>
  </w:endnote>
  <w:endnote w:type="continuationSeparator" w:id="0">
    <w:p w14:paraId="77AFE334" w14:textId="77777777" w:rsidR="004517C4" w:rsidRDefault="0045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w:altName w:val="Times New Roman"/>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93A8" w14:textId="77777777" w:rsidR="00787C49" w:rsidRDefault="00787C4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F0BFE">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F0BFE">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212E4018" w14:textId="77777777" w:rsidR="00787C49" w:rsidRDefault="00787C4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B490" w14:textId="77777777" w:rsidR="00787C49" w:rsidRDefault="00787C4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F0BF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F0BFE">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0ED9F00D" w14:textId="77777777" w:rsidR="00787C49" w:rsidRDefault="00787C4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1DD31" w14:textId="77777777" w:rsidR="004517C4" w:rsidRDefault="004517C4">
      <w:r>
        <w:separator/>
      </w:r>
    </w:p>
  </w:footnote>
  <w:footnote w:type="continuationSeparator" w:id="0">
    <w:p w14:paraId="4FE537C4" w14:textId="77777777" w:rsidR="004517C4" w:rsidRDefault="00451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253E" w14:textId="77777777" w:rsidR="00787C49" w:rsidRDefault="00787C49">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23F417F" wp14:editId="0FC0783C">
          <wp:simplePos x="0" y="0"/>
          <wp:positionH relativeFrom="column">
            <wp:posOffset>-1080131</wp:posOffset>
          </wp:positionH>
          <wp:positionV relativeFrom="paragraph">
            <wp:posOffset>-396398</wp:posOffset>
          </wp:positionV>
          <wp:extent cx="7809865" cy="10165715"/>
          <wp:effectExtent l="0" t="0" r="0" b="0"/>
          <wp:wrapNone/>
          <wp:docPr id="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787C49" w14:paraId="67153047" w14:textId="77777777">
      <w:tc>
        <w:tcPr>
          <w:tcW w:w="2489" w:type="dxa"/>
          <w:shd w:val="clear" w:color="auto" w:fill="auto"/>
        </w:tcPr>
        <w:p w14:paraId="35248E3F" w14:textId="77777777" w:rsidR="00787C49" w:rsidRDefault="00787C4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671CEBE" w14:textId="77777777" w:rsidR="00787C49" w:rsidRDefault="00787C49">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12424/INFOEM/IP/RR/2022</w:t>
          </w:r>
        </w:p>
      </w:tc>
    </w:tr>
    <w:tr w:rsidR="00787C49" w14:paraId="322DB3FE" w14:textId="77777777">
      <w:trPr>
        <w:trHeight w:val="228"/>
      </w:trPr>
      <w:tc>
        <w:tcPr>
          <w:tcW w:w="2489" w:type="dxa"/>
          <w:shd w:val="clear" w:color="auto" w:fill="auto"/>
          <w:vAlign w:val="center"/>
        </w:tcPr>
        <w:p w14:paraId="32EA0B28" w14:textId="77777777" w:rsidR="00787C49" w:rsidRDefault="00787C4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57BABE91" w14:textId="77777777" w:rsidR="00787C49" w:rsidRDefault="00787C49">
          <w:pPr>
            <w:ind w:left="-45"/>
            <w:jc w:val="both"/>
            <w:rPr>
              <w:rFonts w:ascii="Palatino Linotype" w:eastAsia="Palatino Linotype" w:hAnsi="Palatino Linotype" w:cs="Palatino Linotype"/>
              <w:b/>
            </w:rPr>
          </w:pPr>
          <w:r>
            <w:rPr>
              <w:rFonts w:ascii="Palatino Linotype" w:eastAsia="Palatino Linotype" w:hAnsi="Palatino Linotype" w:cs="Palatino Linotype"/>
              <w:b/>
            </w:rPr>
            <w:t>Ayuntamiento de Xalatlaco</w:t>
          </w:r>
        </w:p>
      </w:tc>
    </w:tr>
    <w:tr w:rsidR="00787C49" w14:paraId="5DEEE51E" w14:textId="77777777">
      <w:tc>
        <w:tcPr>
          <w:tcW w:w="2489" w:type="dxa"/>
          <w:shd w:val="clear" w:color="auto" w:fill="auto"/>
          <w:vAlign w:val="center"/>
        </w:tcPr>
        <w:p w14:paraId="1E5EDFA8" w14:textId="77777777" w:rsidR="00787C49" w:rsidRDefault="00787C49">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38B6F557" w14:textId="77777777" w:rsidR="00787C49" w:rsidRDefault="00787C49">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0D899EC" w14:textId="77777777" w:rsidR="00787C49" w:rsidRDefault="00787C4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1F4EB" w14:textId="77777777" w:rsidR="00787C49" w:rsidRDefault="00787C4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a"/>
      <w:tblW w:w="5953" w:type="dxa"/>
      <w:tblInd w:w="3261" w:type="dxa"/>
      <w:tblLayout w:type="fixed"/>
      <w:tblLook w:val="0400" w:firstRow="0" w:lastRow="0" w:firstColumn="0" w:lastColumn="0" w:noHBand="0" w:noVBand="1"/>
    </w:tblPr>
    <w:tblGrid>
      <w:gridCol w:w="2551"/>
      <w:gridCol w:w="3402"/>
    </w:tblGrid>
    <w:tr w:rsidR="00787C49" w14:paraId="27FA53B2" w14:textId="77777777">
      <w:tc>
        <w:tcPr>
          <w:tcW w:w="2551" w:type="dxa"/>
          <w:shd w:val="clear" w:color="auto" w:fill="auto"/>
          <w:vAlign w:val="center"/>
        </w:tcPr>
        <w:p w14:paraId="04CDAB49" w14:textId="77777777" w:rsidR="00787C49" w:rsidRDefault="00787C4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6130CB76" w14:textId="77777777" w:rsidR="00787C49" w:rsidRDefault="00787C49">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12424/INFOEM/IP/RR/2022</w:t>
          </w:r>
        </w:p>
      </w:tc>
    </w:tr>
    <w:tr w:rsidR="00787C49" w14:paraId="4BF72A94" w14:textId="77777777">
      <w:trPr>
        <w:trHeight w:val="130"/>
      </w:trPr>
      <w:tc>
        <w:tcPr>
          <w:tcW w:w="2551" w:type="dxa"/>
          <w:shd w:val="clear" w:color="auto" w:fill="auto"/>
          <w:vAlign w:val="center"/>
        </w:tcPr>
        <w:p w14:paraId="4969A7BC" w14:textId="77777777" w:rsidR="00787C49" w:rsidRDefault="00787C4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7554A97E" w14:textId="10B1E4C1" w:rsidR="00787C49" w:rsidRDefault="00AD6BDE">
          <w:pPr>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XXXX </w:t>
          </w:r>
          <w:proofErr w:type="spellStart"/>
          <w:r>
            <w:rPr>
              <w:rFonts w:ascii="Palatino Linotype" w:eastAsia="Palatino Linotype" w:hAnsi="Palatino Linotype" w:cs="Palatino Linotype"/>
              <w:b/>
            </w:rPr>
            <w:t>XXXX</w:t>
          </w:r>
          <w:proofErr w:type="spellEnd"/>
          <w:r>
            <w:rPr>
              <w:rFonts w:ascii="Palatino Linotype" w:eastAsia="Palatino Linotype" w:hAnsi="Palatino Linotype" w:cs="Palatino Linotype"/>
              <w:b/>
            </w:rPr>
            <w:t xml:space="preserve"> XXXXXX</w:t>
          </w:r>
        </w:p>
      </w:tc>
    </w:tr>
    <w:tr w:rsidR="00787C49" w14:paraId="578831A2" w14:textId="77777777">
      <w:trPr>
        <w:trHeight w:val="228"/>
      </w:trPr>
      <w:tc>
        <w:tcPr>
          <w:tcW w:w="2551" w:type="dxa"/>
          <w:shd w:val="clear" w:color="auto" w:fill="auto"/>
          <w:vAlign w:val="center"/>
        </w:tcPr>
        <w:p w14:paraId="64294781" w14:textId="77777777" w:rsidR="00787C49" w:rsidRDefault="00787C4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1EA9149B" w14:textId="77777777" w:rsidR="00787C49" w:rsidRDefault="00787C49">
          <w:pPr>
            <w:ind w:left="-45"/>
            <w:jc w:val="both"/>
            <w:rPr>
              <w:rFonts w:ascii="Palatino Linotype" w:eastAsia="Palatino Linotype" w:hAnsi="Palatino Linotype" w:cs="Palatino Linotype"/>
              <w:b/>
            </w:rPr>
          </w:pPr>
          <w:r>
            <w:rPr>
              <w:rFonts w:ascii="Palatino Linotype" w:eastAsia="Palatino Linotype" w:hAnsi="Palatino Linotype" w:cs="Palatino Linotype"/>
              <w:b/>
            </w:rPr>
            <w:t>Ayuntamiento de Xalatlaco</w:t>
          </w:r>
        </w:p>
      </w:tc>
    </w:tr>
    <w:tr w:rsidR="00787C49" w14:paraId="60CD9C1E" w14:textId="77777777">
      <w:tc>
        <w:tcPr>
          <w:tcW w:w="2551" w:type="dxa"/>
          <w:shd w:val="clear" w:color="auto" w:fill="auto"/>
          <w:vAlign w:val="center"/>
        </w:tcPr>
        <w:p w14:paraId="1EE4FDF4" w14:textId="77777777" w:rsidR="00787C49" w:rsidRDefault="00787C4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51EF34E8" w14:textId="77777777" w:rsidR="00787C49" w:rsidRDefault="00787C49">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AEB240F" w14:textId="77777777" w:rsidR="00787C49" w:rsidRDefault="00787C49">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5D15A21" wp14:editId="2B7B9701">
          <wp:simplePos x="0" y="0"/>
          <wp:positionH relativeFrom="column">
            <wp:posOffset>-1175381</wp:posOffset>
          </wp:positionH>
          <wp:positionV relativeFrom="paragraph">
            <wp:posOffset>-1325241</wp:posOffset>
          </wp:positionV>
          <wp:extent cx="7809865" cy="10165715"/>
          <wp:effectExtent l="0" t="0" r="0" b="0"/>
          <wp:wrapNone/>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229D" w14:textId="77777777" w:rsidR="00787C49" w:rsidRDefault="00787C4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573FA30C" w14:textId="77777777" w:rsidR="00787C49" w:rsidRDefault="00787C4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49A"/>
    <w:multiLevelType w:val="multilevel"/>
    <w:tmpl w:val="2B34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2F2FEC"/>
    <w:multiLevelType w:val="multilevel"/>
    <w:tmpl w:val="6E32006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8A1051B"/>
    <w:multiLevelType w:val="multilevel"/>
    <w:tmpl w:val="19AAD784"/>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1C675FF4"/>
    <w:multiLevelType w:val="multilevel"/>
    <w:tmpl w:val="AF52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80BD4"/>
    <w:multiLevelType w:val="hybridMultilevel"/>
    <w:tmpl w:val="E558E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160CB7"/>
    <w:multiLevelType w:val="hybridMultilevel"/>
    <w:tmpl w:val="0402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9E47FE"/>
    <w:multiLevelType w:val="multilevel"/>
    <w:tmpl w:val="2ED06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493E0E"/>
    <w:multiLevelType w:val="multilevel"/>
    <w:tmpl w:val="BA9C8C6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DC5EB1"/>
    <w:multiLevelType w:val="hybridMultilevel"/>
    <w:tmpl w:val="D4B4B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803691"/>
    <w:multiLevelType w:val="multilevel"/>
    <w:tmpl w:val="D28E332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34E2C6A"/>
    <w:multiLevelType w:val="multilevel"/>
    <w:tmpl w:val="10ECA96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536C12F6"/>
    <w:multiLevelType w:val="multilevel"/>
    <w:tmpl w:val="42D0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046030"/>
    <w:multiLevelType w:val="multilevel"/>
    <w:tmpl w:val="B5EEE4E4"/>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1C64234"/>
    <w:multiLevelType w:val="multilevel"/>
    <w:tmpl w:val="07EA0124"/>
    <w:lvl w:ilvl="0">
      <w:start w:val="1"/>
      <w:numFmt w:val="lowerLetter"/>
      <w:pStyle w:val="Listaconvietas3"/>
      <w:lvlText w:val="%1)"/>
      <w:lvlJc w:val="left"/>
      <w:pPr>
        <w:ind w:left="927" w:hanging="360"/>
      </w:pPr>
      <w:rPr>
        <w:b/>
        <w:i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75B43A48"/>
    <w:multiLevelType w:val="multilevel"/>
    <w:tmpl w:val="351E4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693ADB"/>
    <w:multiLevelType w:val="multilevel"/>
    <w:tmpl w:val="3BE07E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883475"/>
    <w:multiLevelType w:val="multilevel"/>
    <w:tmpl w:val="44FCF81E"/>
    <w:lvl w:ilvl="0">
      <w:start w:val="1"/>
      <w:numFmt w:val="bullet"/>
      <w:pStyle w:val="Listaconvietas"/>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7E457BE4"/>
    <w:multiLevelType w:val="multilevel"/>
    <w:tmpl w:val="71C4DE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7"/>
  </w:num>
  <w:num w:numId="2">
    <w:abstractNumId w:val="13"/>
  </w:num>
  <w:num w:numId="3">
    <w:abstractNumId w:val="2"/>
  </w:num>
  <w:num w:numId="4">
    <w:abstractNumId w:val="9"/>
  </w:num>
  <w:num w:numId="5">
    <w:abstractNumId w:val="17"/>
  </w:num>
  <w:num w:numId="6">
    <w:abstractNumId w:val="12"/>
  </w:num>
  <w:num w:numId="7">
    <w:abstractNumId w:val="5"/>
  </w:num>
  <w:num w:numId="8">
    <w:abstractNumId w:val="16"/>
  </w:num>
  <w:num w:numId="9">
    <w:abstractNumId w:val="4"/>
  </w:num>
  <w:num w:numId="10">
    <w:abstractNumId w:val="3"/>
  </w:num>
  <w:num w:numId="11">
    <w:abstractNumId w:val="0"/>
    <w:lvlOverride w:ilvl="0">
      <w:lvl w:ilvl="0">
        <w:numFmt w:val="lowerLetter"/>
        <w:lvlText w:val="%1."/>
        <w:lvlJc w:val="left"/>
      </w:lvl>
    </w:lvlOverride>
  </w:num>
  <w:num w:numId="12">
    <w:abstractNumId w:val="14"/>
  </w:num>
  <w:num w:numId="13">
    <w:abstractNumId w:val="15"/>
    <w:lvlOverride w:ilvl="0">
      <w:lvl w:ilvl="0">
        <w:numFmt w:val="decimal"/>
        <w:lvlText w:val="%1."/>
        <w:lvlJc w:val="left"/>
      </w:lvl>
    </w:lvlOverride>
  </w:num>
  <w:num w:numId="14">
    <w:abstractNumId w:val="15"/>
    <w:lvlOverride w:ilvl="0">
      <w:lvl w:ilvl="0">
        <w:numFmt w:val="decimal"/>
        <w:lvlText w:val="%1."/>
        <w:lvlJc w:val="left"/>
      </w:lvl>
    </w:lvlOverride>
  </w:num>
  <w:num w:numId="15">
    <w:abstractNumId w:val="11"/>
  </w:num>
  <w:num w:numId="16">
    <w:abstractNumId w:val="10"/>
  </w:num>
  <w:num w:numId="17">
    <w:abstractNumId w:val="6"/>
  </w:num>
  <w:num w:numId="18">
    <w:abstractNumId w:val="1"/>
  </w:num>
  <w:num w:numId="1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DC9"/>
    <w:rsid w:val="00004028"/>
    <w:rsid w:val="000578DE"/>
    <w:rsid w:val="00091282"/>
    <w:rsid w:val="001B613F"/>
    <w:rsid w:val="001B76DB"/>
    <w:rsid w:val="002135CE"/>
    <w:rsid w:val="00213921"/>
    <w:rsid w:val="00245B60"/>
    <w:rsid w:val="00295946"/>
    <w:rsid w:val="002F0BFE"/>
    <w:rsid w:val="003B0BEF"/>
    <w:rsid w:val="003D6367"/>
    <w:rsid w:val="00413F51"/>
    <w:rsid w:val="00424E3F"/>
    <w:rsid w:val="004517C4"/>
    <w:rsid w:val="00453841"/>
    <w:rsid w:val="00470673"/>
    <w:rsid w:val="004C76B9"/>
    <w:rsid w:val="004D300F"/>
    <w:rsid w:val="004D30A8"/>
    <w:rsid w:val="0051793A"/>
    <w:rsid w:val="00540AB5"/>
    <w:rsid w:val="00591710"/>
    <w:rsid w:val="005C0F7D"/>
    <w:rsid w:val="00677CD1"/>
    <w:rsid w:val="007134BE"/>
    <w:rsid w:val="00716B80"/>
    <w:rsid w:val="0078537A"/>
    <w:rsid w:val="00787C49"/>
    <w:rsid w:val="007A2AA3"/>
    <w:rsid w:val="00804EE6"/>
    <w:rsid w:val="00836798"/>
    <w:rsid w:val="00837B64"/>
    <w:rsid w:val="00855EDC"/>
    <w:rsid w:val="0086398F"/>
    <w:rsid w:val="008F1C29"/>
    <w:rsid w:val="008F3EA3"/>
    <w:rsid w:val="0096656A"/>
    <w:rsid w:val="00992521"/>
    <w:rsid w:val="00A276BE"/>
    <w:rsid w:val="00A57FE7"/>
    <w:rsid w:val="00AC5709"/>
    <w:rsid w:val="00AD6BDE"/>
    <w:rsid w:val="00AE3172"/>
    <w:rsid w:val="00AF38EA"/>
    <w:rsid w:val="00B13DC9"/>
    <w:rsid w:val="00BB2D2F"/>
    <w:rsid w:val="00C62F89"/>
    <w:rsid w:val="00C95F0B"/>
    <w:rsid w:val="00CA11D6"/>
    <w:rsid w:val="00D61613"/>
    <w:rsid w:val="00D92171"/>
    <w:rsid w:val="00E5554B"/>
    <w:rsid w:val="00EA1BE8"/>
    <w:rsid w:val="00F16A2B"/>
    <w:rsid w:val="00F777FA"/>
    <w:rsid w:val="00F84CC5"/>
    <w:rsid w:val="00F865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6D796"/>
  <w15:docId w15:val="{EF5CE60E-DD0F-4EEE-B435-6E4D7B5E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CC5"/>
  </w:style>
  <w:style w:type="paragraph" w:styleId="Ttulo1">
    <w:name w:val="heading 1"/>
    <w:basedOn w:val="Normal"/>
    <w:next w:val="Normal"/>
    <w:link w:val="Ttulo1Car"/>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B0963"/>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1"/>
    <w:unhideWhenUsed/>
    <w:qFormat/>
    <w:rsid w:val="00603D72"/>
    <w:pPr>
      <w:spacing w:after="120"/>
    </w:pPr>
  </w:style>
  <w:style w:type="character" w:customStyle="1" w:styleId="TextoindependienteCar">
    <w:name w:val="Texto independiente Car"/>
    <w:basedOn w:val="Fuentedeprrafopredeter"/>
    <w:link w:val="Textoindependiente"/>
    <w:uiPriority w:val="1"/>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2"/>
    <w:rPr>
      <w:sz w:val="22"/>
      <w:szCs w:val="22"/>
    </w:rPr>
    <w:tblPr>
      <w:tblStyleRowBandSize w:val="1"/>
      <w:tblStyleColBandSize w:val="1"/>
      <w:tblCellMar>
        <w:left w:w="108" w:type="dxa"/>
        <w:right w:w="108"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rPr>
      <w:sz w:val="22"/>
      <w:szCs w:val="22"/>
    </w:rPr>
    <w:tblPr>
      <w:tblStyleRowBandSize w:val="1"/>
      <w:tblStyleColBandSize w:val="1"/>
      <w:tblCellMar>
        <w:left w:w="115" w:type="dxa"/>
        <w:right w:w="115" w:type="dxa"/>
      </w:tblCellMar>
    </w:tblPr>
  </w:style>
  <w:style w:type="table" w:customStyle="1" w:styleId="a2">
    <w:basedOn w:val="TableNormal2"/>
    <w:rPr>
      <w:sz w:val="22"/>
      <w:szCs w:val="22"/>
    </w:rPr>
    <w:tblPr>
      <w:tblStyleRowBandSize w:val="1"/>
      <w:tblStyleColBandSize w:val="1"/>
      <w:tblCellMar>
        <w:left w:w="115" w:type="dxa"/>
        <w:right w:w="115" w:type="dxa"/>
      </w:tblCellMar>
    </w:tblPr>
  </w:style>
  <w:style w:type="table" w:customStyle="1" w:styleId="a3">
    <w:basedOn w:val="TableNormal1"/>
    <w:rPr>
      <w:sz w:val="22"/>
      <w:szCs w:val="22"/>
    </w:rPr>
    <w:tblPr>
      <w:tblStyleRowBandSize w:val="1"/>
      <w:tblStyleColBandSize w:val="1"/>
      <w:tblCellMar>
        <w:left w:w="108" w:type="dxa"/>
        <w:right w:w="108" w:type="dxa"/>
      </w:tblCellMar>
    </w:tblPr>
  </w:style>
  <w:style w:type="table" w:customStyle="1" w:styleId="a4">
    <w:basedOn w:val="TableNormal1"/>
    <w:rPr>
      <w:sz w:val="22"/>
      <w:szCs w:val="22"/>
    </w:rPr>
    <w:tblPr>
      <w:tblStyleRowBandSize w:val="1"/>
      <w:tblStyleColBandSize w:val="1"/>
      <w:tblCellMar>
        <w:left w:w="108" w:type="dxa"/>
        <w:right w:w="108" w:type="dxa"/>
      </w:tblCellMar>
    </w:tblPr>
  </w:style>
  <w:style w:type="table" w:customStyle="1" w:styleId="a5">
    <w:basedOn w:val="TableNormal1"/>
    <w:rPr>
      <w:sz w:val="22"/>
      <w:szCs w:val="22"/>
    </w:r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2"/>
      <w:szCs w:val="22"/>
    </w:rPr>
    <w:tblPr>
      <w:tblStyleRowBandSize w:val="1"/>
      <w:tblStyleColBandSize w:val="1"/>
      <w:tblCellMar>
        <w:left w:w="115" w:type="dxa"/>
        <w:right w:w="115" w:type="dxa"/>
      </w:tblCellMar>
    </w:tblPr>
  </w:style>
  <w:style w:type="table" w:customStyle="1" w:styleId="a8">
    <w:basedOn w:val="TableNormal1"/>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41362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75621"/>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rsid w:val="00774A00"/>
    <w:pPr>
      <w:numPr>
        <w:numId w:val="6"/>
      </w:numPr>
      <w:contextualSpacing/>
    </w:pPr>
    <w:rPr>
      <w:lang w:val="es-MX"/>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rPr>
      <w:sz w:val="22"/>
      <w:szCs w:val="22"/>
    </w:rPr>
    <w:tblPr>
      <w:tblStyleRowBandSize w:val="1"/>
      <w:tblStyleColBandSize w:val="1"/>
      <w:tblCellMar>
        <w:left w:w="115" w:type="dxa"/>
        <w:right w:w="115" w:type="dxa"/>
      </w:tblCellMar>
    </w:tblPr>
  </w:style>
  <w:style w:type="table" w:customStyle="1" w:styleId="ab">
    <w:basedOn w:val="TableNormal0"/>
    <w:rPr>
      <w:sz w:val="22"/>
      <w:szCs w:val="22"/>
    </w:rPr>
    <w:tblPr>
      <w:tblStyleRowBandSize w:val="1"/>
      <w:tblStyleColBandSize w:val="1"/>
      <w:tblCellMar>
        <w:left w:w="115" w:type="dxa"/>
        <w:right w:w="115" w:type="dxa"/>
      </w:tblCellMar>
    </w:tblPr>
  </w:style>
  <w:style w:type="character" w:customStyle="1" w:styleId="eop">
    <w:name w:val="eop"/>
    <w:basedOn w:val="Fuentedeprrafopredeter"/>
    <w:rsid w:val="00F84CC5"/>
  </w:style>
  <w:style w:type="character" w:customStyle="1" w:styleId="titulorubro">
    <w:name w:val="titulorubro"/>
    <w:basedOn w:val="Fuentedeprrafopredeter"/>
    <w:rsid w:val="00F84CC5"/>
  </w:style>
  <w:style w:type="paragraph" w:customStyle="1" w:styleId="Pa1">
    <w:name w:val="Pa1"/>
    <w:basedOn w:val="Normal"/>
    <w:next w:val="Normal"/>
    <w:uiPriority w:val="99"/>
    <w:rsid w:val="00F84CC5"/>
    <w:pPr>
      <w:autoSpaceDE w:val="0"/>
      <w:autoSpaceDN w:val="0"/>
      <w:adjustRightInd w:val="0"/>
      <w:spacing w:line="191" w:lineRule="atLeast"/>
    </w:pPr>
    <w:rPr>
      <w:rFonts w:ascii="Helvetica" w:eastAsia="Calibri" w:hAnsi="Helvetica" w:cs="Helvetica"/>
      <w:lang w:val="es-MX" w:eastAsia="en-US"/>
    </w:rPr>
  </w:style>
  <w:style w:type="paragraph" w:customStyle="1" w:styleId="Pa3">
    <w:name w:val="Pa3"/>
    <w:basedOn w:val="Normal"/>
    <w:next w:val="Normal"/>
    <w:uiPriority w:val="99"/>
    <w:rsid w:val="00F84CC5"/>
    <w:pPr>
      <w:autoSpaceDE w:val="0"/>
      <w:autoSpaceDN w:val="0"/>
      <w:adjustRightInd w:val="0"/>
      <w:spacing w:line="191" w:lineRule="atLeast"/>
    </w:pPr>
    <w:rPr>
      <w:rFonts w:ascii="Helvetica" w:eastAsia="Calibri" w:hAnsi="Helvetica" w:cs="Helvetica"/>
      <w:lang w:val="es-MX" w:eastAsia="en-US"/>
    </w:rPr>
  </w:style>
  <w:style w:type="paragraph" w:customStyle="1" w:styleId="Citas">
    <w:name w:val="Citas"/>
    <w:basedOn w:val="Normal"/>
    <w:qFormat/>
    <w:rsid w:val="00F84CC5"/>
    <w:pPr>
      <w:spacing w:before="240" w:after="160" w:line="360" w:lineRule="auto"/>
      <w:ind w:left="851" w:right="851"/>
      <w:jc w:val="both"/>
    </w:pPr>
    <w:rPr>
      <w:rFonts w:ascii="Palatino Linotype" w:eastAsia="Calibri" w:hAnsi="Palatino Linotype" w:cs="Arial"/>
      <w:i/>
      <w:sz w:val="22"/>
      <w:szCs w:val="22"/>
      <w:lang w:val="es-MX" w:eastAsia="en-US"/>
    </w:rPr>
  </w:style>
  <w:style w:type="paragraph" w:styleId="Listaconvietas">
    <w:name w:val="List Bullet"/>
    <w:basedOn w:val="Normal"/>
    <w:uiPriority w:val="99"/>
    <w:unhideWhenUsed/>
    <w:rsid w:val="00F84CC5"/>
    <w:pPr>
      <w:numPr>
        <w:numId w:val="8"/>
      </w:numPr>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5800">
      <w:bodyDiv w:val="1"/>
      <w:marLeft w:val="0"/>
      <w:marRight w:val="0"/>
      <w:marTop w:val="0"/>
      <w:marBottom w:val="0"/>
      <w:divBdr>
        <w:top w:val="none" w:sz="0" w:space="0" w:color="auto"/>
        <w:left w:val="none" w:sz="0" w:space="0" w:color="auto"/>
        <w:bottom w:val="none" w:sz="0" w:space="0" w:color="auto"/>
        <w:right w:val="none" w:sz="0" w:space="0" w:color="auto"/>
      </w:divBdr>
    </w:div>
    <w:div w:id="118687789">
      <w:bodyDiv w:val="1"/>
      <w:marLeft w:val="0"/>
      <w:marRight w:val="0"/>
      <w:marTop w:val="0"/>
      <w:marBottom w:val="0"/>
      <w:divBdr>
        <w:top w:val="none" w:sz="0" w:space="0" w:color="auto"/>
        <w:left w:val="none" w:sz="0" w:space="0" w:color="auto"/>
        <w:bottom w:val="none" w:sz="0" w:space="0" w:color="auto"/>
        <w:right w:val="none" w:sz="0" w:space="0" w:color="auto"/>
      </w:divBdr>
    </w:div>
    <w:div w:id="453716688">
      <w:bodyDiv w:val="1"/>
      <w:marLeft w:val="0"/>
      <w:marRight w:val="0"/>
      <w:marTop w:val="0"/>
      <w:marBottom w:val="0"/>
      <w:divBdr>
        <w:top w:val="none" w:sz="0" w:space="0" w:color="auto"/>
        <w:left w:val="none" w:sz="0" w:space="0" w:color="auto"/>
        <w:bottom w:val="none" w:sz="0" w:space="0" w:color="auto"/>
        <w:right w:val="none" w:sz="0" w:space="0" w:color="auto"/>
      </w:divBdr>
    </w:div>
    <w:div w:id="924462964">
      <w:bodyDiv w:val="1"/>
      <w:marLeft w:val="0"/>
      <w:marRight w:val="0"/>
      <w:marTop w:val="0"/>
      <w:marBottom w:val="0"/>
      <w:divBdr>
        <w:top w:val="none" w:sz="0" w:space="0" w:color="auto"/>
        <w:left w:val="none" w:sz="0" w:space="0" w:color="auto"/>
        <w:bottom w:val="none" w:sz="0" w:space="0" w:color="auto"/>
        <w:right w:val="none" w:sz="0" w:space="0" w:color="auto"/>
      </w:divBdr>
    </w:div>
    <w:div w:id="1886722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dof.gob.mx/nota_detalle.php?codigo=5587157&amp;fecha=21/02/202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sesnsp/acciones-y-programas/incidencia-delictiva-299891?state=publishe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b.mx/sesnsp/acciones-y-programas/incidencia-delictiva-299891?state=published"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NBZgn8TXLgPPGXiL9/VfrKkXnQ==">AMUW2mUP4+YfGlFcqQiMJlwfK0jhBkc/2Vksiz0nxz5Wl6M/Vmi1vkpWbKN6CqeU/UnsqGnoGUAg24YR7W0ANlpeFSqN/Wt+RlTa1HtcX0KuZljEn64gM6sN+QiABkoUhH2+xP8rbdKW0waaA/3hC2z3lasWAw7xQ8QwfDvhURcGsxY/1HKeaQA=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16141</Words>
  <Characters>88777</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2022-12-16T17:06:00Z</cp:lastPrinted>
  <dcterms:created xsi:type="dcterms:W3CDTF">2022-12-20T16:21:00Z</dcterms:created>
  <dcterms:modified xsi:type="dcterms:W3CDTF">2022-12-20T16:21:00Z</dcterms:modified>
</cp:coreProperties>
</file>