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F4E" w:rsidRDefault="00F103C7">
      <w:pPr>
        <w:spacing w:before="240" w:after="240" w:line="360" w:lineRule="auto"/>
        <w:jc w:val="both"/>
        <w:rPr>
          <w:rFonts w:ascii="Palatino Linotype" w:eastAsia="Palatino Linotype" w:hAnsi="Palatino Linotype" w:cs="Palatino Linotype"/>
        </w:rPr>
      </w:pPr>
      <w:bookmarkStart w:id="0" w:name="_heading=h.30j0zll"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w:t>
      </w:r>
      <w:r w:rsidR="003938CC">
        <w:rPr>
          <w:rFonts w:ascii="Palatino Linotype" w:eastAsia="Palatino Linotype" w:hAnsi="Palatino Linotype" w:cs="Palatino Linotype"/>
        </w:rPr>
        <w:t xml:space="preserve"> Estado de México, de fecha </w:t>
      </w:r>
      <w:r>
        <w:rPr>
          <w:rFonts w:ascii="Palatino Linotype" w:eastAsia="Palatino Linotype" w:hAnsi="Palatino Linotype" w:cs="Palatino Linotype"/>
        </w:rPr>
        <w:t>once de mayo del dos mil veintidós.</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01934/INFOEM/IP/RR/2022;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577C23">
        <w:rPr>
          <w:rFonts w:ascii="Palatino Linotype" w:eastAsia="Palatino Linotype" w:hAnsi="Palatino Linotype" w:cs="Palatino Linotype"/>
          <w:b/>
        </w:rPr>
        <w:t>XXXXX XXXXX XXXXX</w:t>
      </w:r>
      <w:r>
        <w:rPr>
          <w:rFonts w:ascii="Palatino Linotype" w:eastAsia="Palatino Linotype" w:hAnsi="Palatino Linotype" w:cs="Palatino Linotype"/>
        </w:rPr>
        <w:t xml:space="preserve">, en lo sucesivo se le denominara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w:t>
      </w:r>
      <w:bookmarkStart w:id="1" w:name="_GoBack"/>
      <w:bookmarkEnd w:id="1"/>
      <w:r>
        <w:rPr>
          <w:rFonts w:ascii="Palatino Linotype" w:eastAsia="Palatino Linotype" w:hAnsi="Palatino Linotype" w:cs="Palatino Linotype"/>
        </w:rPr>
        <w:t xml:space="preserve">ación con número de folio </w:t>
      </w:r>
      <w:r>
        <w:rPr>
          <w:rFonts w:ascii="Palatino Linotype" w:eastAsia="Palatino Linotype" w:hAnsi="Palatino Linotype" w:cs="Palatino Linotype"/>
          <w:b/>
        </w:rPr>
        <w:t xml:space="preserve">00018/TMASCALT/IP/2022,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Temascaltepec,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686F4E" w:rsidRDefault="00F103C7">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686F4E" w:rsidRDefault="00F103C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quince de febrero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686F4E" w:rsidRDefault="00F103C7">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“Excelente día, sirva el medio para solicitar atentamente la siguiente información: * Nombre, principales datos curriculares y de contacto de la persona titular de la unidad administrativa en materia de juventud. * Nombre, principales datos curriculares y de contacto de la persona titular de la unidad administrativa en materia de género/mujeres.”(Sic)</w:t>
      </w:r>
    </w:p>
    <w:p w:rsidR="00686F4E" w:rsidRDefault="00F103C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 SAIMEX.</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veintitrés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686F4E" w:rsidRDefault="00F103C7">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respecto a la solicitud de informacion... hago entrega de la repuesta entregada en esta Unidad de Transparencia</w:t>
      </w:r>
    </w:p>
    <w:p w:rsidR="00686F4E" w:rsidRDefault="00F103C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686F4E" w:rsidRDefault="00F103C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.T.S.U. .MISAEL .SANTA ANA .BARON” (Sic)</w:t>
      </w:r>
    </w:p>
    <w:p w:rsidR="00686F4E" w:rsidRDefault="00686F4E">
      <w:pPr>
        <w:ind w:left="851" w:right="902"/>
        <w:jc w:val="both"/>
        <w:rPr>
          <w:rFonts w:ascii="Palatino Linotype" w:eastAsia="Palatino Linotype" w:hAnsi="Palatino Linotype" w:cs="Palatino Linotype"/>
          <w:i/>
          <w:sz w:val="22"/>
          <w:szCs w:val="22"/>
        </w:rPr>
      </w:pPr>
    </w:p>
    <w:p w:rsidR="00686F4E" w:rsidRDefault="00F103C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Sujeto Obligado adjuntó a su  respuesta los archivos electrónicos siguientes: </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CCF_000015.pdf</w:t>
        </w:r>
      </w:hyperlink>
      <w:r>
        <w:rPr>
          <w:rFonts w:ascii="Palatino Linotype" w:eastAsia="Palatino Linotype" w:hAnsi="Palatino Linotype" w:cs="Palatino Linotype"/>
        </w:rPr>
        <w:t xml:space="preserve">”, el cual contiene el oficio número DA/143/2022, por medio del cual la Directora de Administración, remitió al Titular de la Unidad de Transparencia, ambos del Ayuntamiento de Temascaltepec; la relación del personal que labora en el H. Ayuntamiento de Temascaltepec, con el cargo de directores y coordinadores. </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r>
          <w:rPr>
            <w:rFonts w:ascii="Palatino Linotype" w:eastAsia="Palatino Linotype" w:hAnsi="Palatino Linotype" w:cs="Palatino Linotype"/>
          </w:rPr>
          <w:t>CCF_000016.pdf</w:t>
        </w:r>
      </w:hyperlink>
      <w:r>
        <w:rPr>
          <w:rFonts w:ascii="Palatino Linotype" w:eastAsia="Palatino Linotype" w:hAnsi="Palatino Linotype" w:cs="Palatino Linotype"/>
        </w:rPr>
        <w:t xml:space="preserve">”, el cual contiene la relación del personal señalada en el archivo anterior, en el cual se destaca únicamente el nombre y cargo de veintidós servidores públicos. </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veinticinco de febrero del dos mil veintidós, a través del cual expresó lo siguiente:</w:t>
      </w:r>
    </w:p>
    <w:p w:rsidR="00686F4E" w:rsidRDefault="00F103C7">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686F4E" w:rsidRDefault="00F103C7">
      <w:pPr>
        <w:spacing w:before="240"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“Respuesta a la solicitud 00018/TMASCALT/IP/2022” (Sic)</w:t>
      </w:r>
    </w:p>
    <w:p w:rsidR="00686F4E" w:rsidRDefault="00F103C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686F4E" w:rsidRDefault="00F103C7">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“Los datos proporcionados en anexo no corresponden con la solicitud realizada pues sólo se entregó un listado con nombres de los titulares de todas las unidades administrativas con rango de coordinación o dirección, y no lo que expresamente fue requerido, que corresponde al nombre, principales datos curriculares y datos de contacto oficiales de las personas titulares de las Unidades Administrativas encargadas de las áreas de juventud y mujeres. </w:t>
      </w:r>
      <w:r>
        <w:rPr>
          <w:rFonts w:ascii="Palatino Linotype" w:eastAsia="Palatino Linotype" w:hAnsi="Palatino Linotype" w:cs="Palatino Linotype"/>
          <w:b/>
          <w:i/>
          <w:color w:val="000000"/>
        </w:rPr>
        <w:t>Si bien la tabla acota que existe una coordinación del Instituto de la Mujer, de la cual proporciona el nombre de la persona titular, no entrega el resto de los datos requeridos. Respecto a la materia de juventud, no aparece en la tabla, pero no se explica si es porque la unidad administrativa tiene un rango diferente, o bien, porque no existe ninguna unidad administrativa en la materia.</w:t>
      </w:r>
      <w:r>
        <w:rPr>
          <w:rFonts w:ascii="Palatino Linotype" w:eastAsia="Palatino Linotype" w:hAnsi="Palatino Linotype" w:cs="Palatino Linotype"/>
          <w:i/>
          <w:color w:val="000000"/>
        </w:rPr>
        <w:t>” (Sic)</w:t>
      </w:r>
    </w:p>
    <w:p w:rsidR="00686F4E" w:rsidRDefault="00686F4E">
      <w:pPr>
        <w:ind w:left="851" w:right="902"/>
        <w:jc w:val="both"/>
        <w:rPr>
          <w:rFonts w:ascii="Palatino Linotype" w:eastAsia="Palatino Linotype" w:hAnsi="Palatino Linotype" w:cs="Palatino Linotype"/>
          <w:i/>
          <w:color w:val="000000"/>
        </w:rPr>
      </w:pPr>
    </w:p>
    <w:p w:rsidR="00686F4E" w:rsidRDefault="00F103C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número </w:t>
      </w:r>
      <w:r>
        <w:rPr>
          <w:rFonts w:ascii="Palatino Linotype" w:eastAsia="Palatino Linotype" w:hAnsi="Palatino Linotype" w:cs="Palatino Linotype"/>
          <w:b/>
        </w:rPr>
        <w:t xml:space="preserve">01934/INFOEM/IP/RR/2022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686F4E" w:rsidRDefault="00F103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tres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686F4E" w:rsidRDefault="00F103C7">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w:t>
      </w:r>
      <w:r>
        <w:rPr>
          <w:rFonts w:ascii="Palatino Linotype" w:eastAsia="Palatino Linotype" w:hAnsi="Palatino Linotype" w:cs="Palatino Linotype"/>
          <w:color w:val="000000"/>
        </w:rPr>
        <w:lastRenderedPageBreak/>
        <w:t>advierte que la RECURRENTE fue omiso en ofrecer pruebas o expresar alegatos; en términos del artículo 185 fracciones II de la ley que nos ocupa. Por su parte, el Sujeto Obligado de igual forma, fue omiso en presentar el Informe Justificado correspondiente.</w:t>
      </w:r>
    </w:p>
    <w:p w:rsidR="00686F4E" w:rsidRDefault="00F103C7">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noProof/>
          <w:color w:val="000000"/>
          <w:sz w:val="22"/>
          <w:szCs w:val="22"/>
          <w:lang w:val="en-US" w:eastAsia="en-US"/>
        </w:rPr>
        <w:drawing>
          <wp:inline distT="0" distB="0" distL="0" distR="0">
            <wp:extent cx="5653923" cy="1204767"/>
            <wp:effectExtent l="0" t="0" r="0" b="0"/>
            <wp:docPr id="1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9090" t="35886" r="19989" b="35569"/>
                    <a:stretch>
                      <a:fillRect/>
                    </a:stretch>
                  </pic:blipFill>
                  <pic:spPr>
                    <a:xfrm>
                      <a:off x="0" y="0"/>
                      <a:ext cx="5653923" cy="1204767"/>
                    </a:xfrm>
                    <a:prstGeom prst="rect">
                      <a:avLst/>
                    </a:prstGeom>
                    <a:ln/>
                  </pic:spPr>
                </pic:pic>
              </a:graphicData>
            </a:graphic>
          </wp:inline>
        </w:drawing>
      </w:r>
    </w:p>
    <w:p w:rsidR="00686F4E" w:rsidRDefault="00F103C7">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En fecha tres de mayo del año dos mil veintidós, la Comisionada ponente determinó el cierre de instrucción en términos de la fracción VI del artículo 185 de la Ley de Transparencia y Acceso a la Información Pública del Estado de México y Municipios.</w:t>
      </w:r>
    </w:p>
    <w:p w:rsidR="00686F4E" w:rsidRDefault="00F103C7">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tres de mayo del año dos mil veintidós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686F4E" w:rsidRDefault="00F103C7">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686F4E" w:rsidRDefault="00F103C7">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w:t>
      </w:r>
      <w:r>
        <w:rPr>
          <w:rFonts w:ascii="Palatino Linotype" w:eastAsia="Palatino Linotype" w:hAnsi="Palatino Linotype" w:cs="Palatino Linotype"/>
          <w:highlight w:val="white"/>
        </w:rPr>
        <w:lastRenderedPageBreak/>
        <w:t xml:space="preserve">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veintitrés de febrero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veinticinco del mismo mes y año, esto es al segundo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686F4E" w:rsidRDefault="00F103C7">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w:t>
      </w:r>
      <w:r>
        <w:rPr>
          <w:rFonts w:ascii="Palatino Linotype" w:eastAsia="Palatino Linotype" w:hAnsi="Palatino Linotype" w:cs="Palatino Linotype"/>
          <w:color w:val="000000"/>
        </w:rPr>
        <w:lastRenderedPageBreak/>
        <w:t xml:space="preserve">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686F4E" w:rsidRDefault="00F103C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p>
    <w:p w:rsidR="00686F4E" w:rsidRDefault="00F103C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686F4E" w:rsidRDefault="00F103C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686F4E" w:rsidRDefault="00F103C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 (Sic)</w:t>
      </w:r>
    </w:p>
    <w:p w:rsidR="00686F4E" w:rsidRDefault="00F103C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pública que motivó el recurso de revisión que ahora se resuelve, se advierte que el particular requirió al Ayuntamiento de Temascaltepec; lo siguiente:</w:t>
      </w:r>
    </w:p>
    <w:p w:rsidR="00686F4E" w:rsidRDefault="00F103C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Nombre, principales datos curriculares y de contacto de la persona titular de la unidad administrativa en materia de juventud. </w:t>
      </w:r>
    </w:p>
    <w:p w:rsidR="00686F4E" w:rsidRDefault="00F103C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lastRenderedPageBreak/>
        <w:t>Nombre, principales datos curriculares y de contacto de la persona titular de la unidad administrativa en materia de género/mujeres.</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emitió su respuesta a través de los archivos electrónicos siguientes:</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CCF_000015.pdf</w:t>
        </w:r>
      </w:hyperlink>
      <w:r>
        <w:rPr>
          <w:rFonts w:ascii="Palatino Linotype" w:eastAsia="Palatino Linotype" w:hAnsi="Palatino Linotype" w:cs="Palatino Linotype"/>
        </w:rPr>
        <w:t xml:space="preserve">”, el cual contiene el oficio número DA/143/2022, por medio del cual la Directora de Administración, remitió al Titular de la Unidad de Transparencia, ambos del Ayuntamiento de Temascaltepec; la relación del personal que labora en el H. Ayuntamiento de Temascaltepec, con el cargo de directores y coordinadores. </w:t>
      </w:r>
    </w:p>
    <w:p w:rsidR="00686F4E" w:rsidRDefault="00F103C7">
      <w:pPr>
        <w:spacing w:before="240" w:after="240"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t>“</w:t>
      </w:r>
      <w:hyperlink r:id="rId12">
        <w:r>
          <w:rPr>
            <w:rFonts w:ascii="Palatino Linotype" w:eastAsia="Palatino Linotype" w:hAnsi="Palatino Linotype" w:cs="Palatino Linotype"/>
          </w:rPr>
          <w:t>CCF_000016.pdf</w:t>
        </w:r>
      </w:hyperlink>
      <w:r>
        <w:rPr>
          <w:rFonts w:ascii="Palatino Linotype" w:eastAsia="Palatino Linotype" w:hAnsi="Palatino Linotype" w:cs="Palatino Linotype"/>
        </w:rPr>
        <w:t xml:space="preserve">”, el cual contiene la relación del personal señalada en el archivo anterior, en el cual se destaca únicamente el nombre y cargo de veintidós servidores públicos. </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 respuesta el solicitante se inconformó, porque “Los datos proporcionados en anexo no corresponden con la solicitud realizada pues sólo se entregó un listado con nombres de los titulares de todas las unidades administrativas con rango de coordinación o dirección, y no lo que expresamente fue requerido, que corresponde al nombre, principales datos curriculares y datos de contacto oficiales de las personas titulares de las Unidades Administrativas encargadas de las áreas de juventud y mujeres. </w:t>
      </w:r>
      <w:r>
        <w:rPr>
          <w:rFonts w:ascii="Palatino Linotype" w:eastAsia="Palatino Linotype" w:hAnsi="Palatino Linotype" w:cs="Palatino Linotype"/>
          <w:u w:val="single"/>
        </w:rPr>
        <w:t xml:space="preserve">Si bien la tabla acota que existe una coordinación del Instituto de la Mujer, de la cual proporciona el nombre de la persona titular, no entrega el resto de los datos requeridos. Respecto a la materia de juventud, no aparece en la tabla, pero no se explica si es porque la unidad </w:t>
      </w:r>
      <w:r>
        <w:rPr>
          <w:rFonts w:ascii="Palatino Linotype" w:eastAsia="Palatino Linotype" w:hAnsi="Palatino Linotype" w:cs="Palatino Linotype"/>
          <w:u w:val="single"/>
        </w:rPr>
        <w:lastRenderedPageBreak/>
        <w:t>administrativa tiene un rango diferente, o bien, porque no existe ninguna unidad administrativa en la materia.</w:t>
      </w:r>
      <w:r>
        <w:rPr>
          <w:rFonts w:ascii="Palatino Linotype" w:eastAsia="Palatino Linotype" w:hAnsi="Palatino Linotype" w:cs="Palatino Linotype"/>
        </w:rPr>
        <w:t>” (Sic)</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en razón de las consideraciones de derecho que a continuación se exponen:</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rsidR="00686F4E" w:rsidRDefault="00F103C7">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86F4E" w:rsidRDefault="00F103C7">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w:t>
      </w:r>
      <w:r>
        <w:rPr>
          <w:rFonts w:ascii="Palatino Linotype" w:eastAsia="Palatino Linotype" w:hAnsi="Palatino Linotype" w:cs="Palatino Linotype"/>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86F4E" w:rsidRDefault="00F103C7">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686F4E" w:rsidRDefault="00F103C7">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686F4E" w:rsidRDefault="00F103C7">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686F4E" w:rsidRDefault="00F103C7">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genere, recopile, administre, procese, archive, posea o conserve información es responsables de la misma, teniendo a su vez </w:t>
      </w:r>
      <w:r>
        <w:rPr>
          <w:rFonts w:ascii="Palatino Linotype" w:eastAsia="Palatino Linotype" w:hAnsi="Palatino Linotype" w:cs="Palatino Linotype"/>
          <w:color w:val="000000"/>
        </w:rPr>
        <w:lastRenderedPageBreak/>
        <w:t xml:space="preserve">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686F4E" w:rsidRDefault="00F103C7">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686F4E" w:rsidRDefault="00F103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86F4E" w:rsidRDefault="00F103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686F4E" w:rsidRDefault="00F103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686F4E" w:rsidRDefault="00F103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686F4E" w:rsidRDefault="00F103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rsidR="00686F4E" w:rsidRDefault="00F103C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686F4E" w:rsidRDefault="00F103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86F4E" w:rsidRDefault="00F103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686F4E" w:rsidRDefault="00F103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686F4E" w:rsidRDefault="00F103C7">
      <w:pPr>
        <w:spacing w:before="240" w:after="240"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86F4E" w:rsidRDefault="00F103C7">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686F4E" w:rsidRDefault="00F103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86F4E" w:rsidRDefault="00F103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686F4E" w:rsidRDefault="00F103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686F4E" w:rsidRDefault="00F103C7">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686F4E" w:rsidRDefault="00F103C7">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686F4E" w:rsidRDefault="00F103C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conforme a lo siguiente:</w:t>
      </w:r>
    </w:p>
    <w:p w:rsidR="00686F4E" w:rsidRDefault="00F103C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es necesario a remitirnos a lo señalado por el Bando Municipal del Ayuntamiento de Temascaltepec para el año 2022, para determinar qué áreas del </w:t>
      </w:r>
      <w:r>
        <w:rPr>
          <w:rFonts w:ascii="Palatino Linotype" w:eastAsia="Palatino Linotype" w:hAnsi="Palatino Linotype" w:cs="Palatino Linotype"/>
          <w:b/>
        </w:rPr>
        <w:t>SUJETO OBLIGADO</w:t>
      </w:r>
      <w:r>
        <w:rPr>
          <w:rFonts w:ascii="Palatino Linotype" w:eastAsia="Palatino Linotype" w:hAnsi="Palatino Linotype" w:cs="Palatino Linotype"/>
        </w:rPr>
        <w:t>, se encargan de la mataría en juventud y de género/mujeres; ante ello, se localizó en los artículos 82 y 175 fracción VI, del ordenamiento legal en cita lo siguiente:</w:t>
      </w:r>
    </w:p>
    <w:p w:rsidR="00686F4E" w:rsidRDefault="00F103C7">
      <w:pPr>
        <w:spacing w:before="24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“CAPÍTULO VI: </w:t>
      </w:r>
      <w:r>
        <w:rPr>
          <w:rFonts w:ascii="Palatino Linotype" w:eastAsia="Palatino Linotype" w:hAnsi="Palatino Linotype" w:cs="Palatino Linotype"/>
          <w:b/>
          <w:i/>
          <w:sz w:val="22"/>
          <w:szCs w:val="22"/>
        </w:rPr>
        <w:t>CONSEJO MUNICIPAL DE ATENCIÓN AL DESARROLLO DE LA MUJER</w:t>
      </w:r>
    </w:p>
    <w:p w:rsidR="00686F4E" w:rsidRDefault="00F103C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82.- </w:t>
      </w:r>
      <w:r>
        <w:rPr>
          <w:rFonts w:ascii="Palatino Linotype" w:eastAsia="Palatino Linotype" w:hAnsi="Palatino Linotype" w:cs="Palatino Linotype"/>
          <w:b/>
          <w:i/>
          <w:sz w:val="22"/>
          <w:szCs w:val="22"/>
        </w:rPr>
        <w:t xml:space="preserve">El Consejo Municipal de atención al desarrollo de la Mujer, tiene como finalidad promover el bienestar social integral de las mujeres y adultos mayores, así como procurar su incorporación plena y activa en los ámbitos económico, cultural, político y recreativo y prestar cuantos servicios públicos contribuyan a lograr las legítimas aspiraciones, para el mejoramiento de su condición y el reconocimiento de la </w:t>
      </w:r>
      <w:r>
        <w:rPr>
          <w:rFonts w:ascii="Palatino Linotype" w:eastAsia="Palatino Linotype" w:hAnsi="Palatino Linotype" w:cs="Palatino Linotype"/>
          <w:b/>
          <w:i/>
          <w:sz w:val="22"/>
          <w:szCs w:val="22"/>
          <w:u w:val="single"/>
        </w:rPr>
        <w:t>equidad de género.</w:t>
      </w:r>
    </w:p>
    <w:p w:rsidR="00686F4E" w:rsidRDefault="00F103C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6F4E" w:rsidRDefault="00F103C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VI: </w:t>
      </w:r>
      <w:r>
        <w:rPr>
          <w:rFonts w:ascii="Palatino Linotype" w:eastAsia="Palatino Linotype" w:hAnsi="Palatino Linotype" w:cs="Palatino Linotype"/>
          <w:b/>
          <w:i/>
          <w:sz w:val="22"/>
          <w:szCs w:val="22"/>
        </w:rPr>
        <w:t>DESARROLLO Y BIENESTAR SOCIAL</w:t>
      </w:r>
      <w:r>
        <w:rPr>
          <w:rFonts w:ascii="Palatino Linotype" w:eastAsia="Palatino Linotype" w:hAnsi="Palatino Linotype" w:cs="Palatino Linotype"/>
          <w:i/>
          <w:sz w:val="22"/>
          <w:szCs w:val="22"/>
        </w:rPr>
        <w:t xml:space="preserve"> </w:t>
      </w:r>
    </w:p>
    <w:p w:rsidR="00686F4E" w:rsidRDefault="00F103C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175.- El Ayuntamiento tendrá como finalidad promover entre las esferas gubernamentales y del Sector Público y Privado, el mejoramiento de la calidad de vida de la población municipal con la finalidad de abatir la miseria y extrema pobreza, deberá de disponer del personal e instrumentos administrativos </w:t>
      </w:r>
      <w:r>
        <w:rPr>
          <w:rFonts w:ascii="Palatino Linotype" w:eastAsia="Palatino Linotype" w:hAnsi="Palatino Linotype" w:cs="Palatino Linotype"/>
          <w:i/>
          <w:sz w:val="22"/>
          <w:szCs w:val="22"/>
        </w:rPr>
        <w:lastRenderedPageBreak/>
        <w:t>necesarios para asegurar la atención a la población del Municipio con el objeto de implementar programas que favorezcan la creación de oportunidades para el desarrollo personal y social de cada habitante, cuidando especialmente los siguientes aspectos:</w:t>
      </w:r>
    </w:p>
    <w:p w:rsidR="00686F4E" w:rsidRDefault="00F103C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6F4E" w:rsidRDefault="00F103C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Crear programas sociales y culturales destinados al desarrollo integral de la juventud, promover la participación municipal en los de orden estatal o federal y facilitar la participación individual y colectiva de los jóvenes</w:t>
      </w:r>
      <w:r>
        <w:rPr>
          <w:rFonts w:ascii="Palatino Linotype" w:eastAsia="Palatino Linotype" w:hAnsi="Palatino Linotype" w:cs="Palatino Linotype"/>
          <w:i/>
          <w:sz w:val="22"/>
          <w:szCs w:val="22"/>
        </w:rPr>
        <w:t>…” (Sic)</w:t>
      </w:r>
    </w:p>
    <w:p w:rsidR="00686F4E" w:rsidRDefault="00686F4E">
      <w:pPr>
        <w:ind w:left="851" w:right="902"/>
        <w:jc w:val="both"/>
        <w:rPr>
          <w:rFonts w:ascii="Palatino Linotype" w:eastAsia="Palatino Linotype" w:hAnsi="Palatino Linotype" w:cs="Palatino Linotype"/>
          <w:i/>
          <w:sz w:val="22"/>
          <w:szCs w:val="22"/>
        </w:rPr>
      </w:pPr>
    </w:p>
    <w:p w:rsidR="00686F4E" w:rsidRDefault="00F103C7">
      <w:pPr>
        <w:spacing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Preceptos legales de los cuales se advierte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encargado en la materia de juventud es Desarrollo y Bienestar Social, y en la materia de género/mujer es el Consejo Municipal de atención al desarrollo de la Mujer.</w:t>
      </w:r>
    </w:p>
    <w:p w:rsidR="00686F4E" w:rsidRDefault="00F103C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anterior, de la respuesta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proporcionó los nombres del Director de Bienestar Social y de la Coordinadora del Consejo Municipal de la Mujer, como se observa enseguida:</w:t>
      </w:r>
    </w:p>
    <w:p w:rsidR="00686F4E" w:rsidRDefault="00F103C7">
      <w:pPr>
        <w:spacing w:before="240" w:after="240" w:line="360" w:lineRule="auto"/>
        <w:ind w:right="-93"/>
        <w:jc w:val="both"/>
        <w:rPr>
          <w:rFonts w:ascii="Palatino Linotype" w:eastAsia="Palatino Linotype" w:hAnsi="Palatino Linotype" w:cs="Palatino Linotype"/>
        </w:rPr>
      </w:pPr>
      <w:r>
        <w:rPr>
          <w:noProof/>
          <w:lang w:val="en-US" w:eastAsia="en-US"/>
        </w:rPr>
        <w:drawing>
          <wp:inline distT="0" distB="0" distL="0" distR="0">
            <wp:extent cx="5473600" cy="3144879"/>
            <wp:effectExtent l="0" t="0" r="0" b="0"/>
            <wp:docPr id="1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40421" t="23889" r="25718" b="31134"/>
                    <a:stretch>
                      <a:fillRect/>
                    </a:stretch>
                  </pic:blipFill>
                  <pic:spPr>
                    <a:xfrm>
                      <a:off x="0" y="0"/>
                      <a:ext cx="5473600" cy="3144879"/>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58240" behindDoc="0" locked="0" layoutInCell="1" hidden="0" allowOverlap="1">
                <wp:simplePos x="0" y="0"/>
                <wp:positionH relativeFrom="column">
                  <wp:posOffset>3949700</wp:posOffset>
                </wp:positionH>
                <wp:positionV relativeFrom="paragraph">
                  <wp:posOffset>1104900</wp:posOffset>
                </wp:positionV>
                <wp:extent cx="530102" cy="411348"/>
                <wp:effectExtent l="0" t="0" r="0" b="0"/>
                <wp:wrapNone/>
                <wp:docPr id="135" name=""/>
                <wp:cNvGraphicFramePr/>
                <a:graphic xmlns:a="http://schemas.openxmlformats.org/drawingml/2006/main">
                  <a:graphicData uri="http://schemas.microsoft.com/office/word/2010/wordprocessingShape">
                    <wps:wsp>
                      <wps:cNvSpPr/>
                      <wps:spPr>
                        <a:xfrm>
                          <a:off x="5093649" y="3587026"/>
                          <a:ext cx="504702" cy="385948"/>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86F4E" w:rsidRDefault="00686F4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3949700</wp:posOffset>
                </wp:positionH>
                <wp:positionV relativeFrom="paragraph">
                  <wp:posOffset>1104900</wp:posOffset>
                </wp:positionV>
                <wp:extent cx="530102" cy="411348"/>
                <wp:effectExtent b="0" l="0" r="0" t="0"/>
                <wp:wrapNone/>
                <wp:docPr id="135"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30102" cy="411348"/>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column">
                  <wp:posOffset>4686300</wp:posOffset>
                </wp:positionH>
                <wp:positionV relativeFrom="paragraph">
                  <wp:posOffset>2451100</wp:posOffset>
                </wp:positionV>
                <wp:extent cx="625104" cy="369784"/>
                <wp:effectExtent l="0" t="0" r="0" b="0"/>
                <wp:wrapNone/>
                <wp:docPr id="134" name=""/>
                <wp:cNvGraphicFramePr/>
                <a:graphic xmlns:a="http://schemas.openxmlformats.org/drawingml/2006/main">
                  <a:graphicData uri="http://schemas.microsoft.com/office/word/2010/wordprocessingShape">
                    <wps:wsp>
                      <wps:cNvSpPr/>
                      <wps:spPr>
                        <a:xfrm>
                          <a:off x="5046148" y="3607808"/>
                          <a:ext cx="599704" cy="344384"/>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86F4E" w:rsidRDefault="00686F4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4686300</wp:posOffset>
                </wp:positionH>
                <wp:positionV relativeFrom="paragraph">
                  <wp:posOffset>2451100</wp:posOffset>
                </wp:positionV>
                <wp:extent cx="625104" cy="369784"/>
                <wp:effectExtent b="0" l="0" r="0" t="0"/>
                <wp:wrapNone/>
                <wp:docPr id="134"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25104" cy="369784"/>
                        </a:xfrm>
                        <a:prstGeom prst="rect"/>
                        <a:ln/>
                      </pic:spPr>
                    </pic:pic>
                  </a:graphicData>
                </a:graphic>
              </wp:anchor>
            </w:drawing>
          </mc:Fallback>
        </mc:AlternateConten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consiguiente, del documento remitido se pueden advertir los nombres de los titulares de las áreas solicitadas por el ahora recurrente. </w:t>
      </w:r>
    </w:p>
    <w:p w:rsidR="00686F4E" w:rsidRDefault="00F103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Conviene señalar que la información correspondiente a los nombres del Director de Bienestar Social y Coordinadora del Consejo Municipal de la Mujer, fueron proporcionados por el servidor público habilitado competente, por lo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686F4E" w:rsidRDefault="00686F4E">
      <w:pPr>
        <w:spacing w:line="360" w:lineRule="auto"/>
        <w:jc w:val="both"/>
        <w:rPr>
          <w:rFonts w:ascii="Palatino Linotype" w:eastAsia="Palatino Linotype" w:hAnsi="Palatino Linotype" w:cs="Palatino Linotype"/>
        </w:rPr>
      </w:pP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686F4E" w:rsidRDefault="00686F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86F4E" w:rsidRDefault="00F103C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este Órgano Resolutor en aras de tutelar el derecho de acceso a la información de los particulares, tiene la obligación de apegarse en todo momento a </w:t>
      </w:r>
      <w:r>
        <w:rPr>
          <w:rFonts w:ascii="Palatino Linotype" w:eastAsia="Palatino Linotype" w:hAnsi="Palatino Linotype" w:cs="Palatino Linotype"/>
          <w:color w:val="000000"/>
        </w:rPr>
        <w:lastRenderedPageBreak/>
        <w:t>lo que dispone la Ley de Transparencia y Acceso a la Información Pública del Estado de México y Municipios garantizando los principios de imparcialidad y legalidad en el procedimiento de impugnación y resolución del recurso planteado.</w:t>
      </w:r>
    </w:p>
    <w:p w:rsidR="00686F4E" w:rsidRDefault="00686F4E">
      <w:pPr>
        <w:spacing w:line="360" w:lineRule="auto"/>
        <w:jc w:val="both"/>
        <w:rPr>
          <w:rFonts w:ascii="Palatino Linotype" w:eastAsia="Palatino Linotype" w:hAnsi="Palatino Linotype" w:cs="Palatino Linotype"/>
        </w:rPr>
      </w:pPr>
    </w:p>
    <w:p w:rsidR="00686F4E" w:rsidRDefault="00F103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otro orden de ideas, respecto de la información que no fue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correspondiente a los datos de contacto y curriculares, del Director de Bienestar Social y Coordinadora del Consejo Municipal de la Mujer, debe estarse a lo siguiente:</w:t>
      </w:r>
    </w:p>
    <w:p w:rsidR="00686F4E" w:rsidRDefault="00686F4E">
      <w:pPr>
        <w:spacing w:line="360" w:lineRule="auto"/>
        <w:jc w:val="both"/>
        <w:rPr>
          <w:rFonts w:ascii="Palatino Linotype" w:eastAsia="Palatino Linotype" w:hAnsi="Palatino Linotype" w:cs="Palatino Linotype"/>
        </w:rPr>
      </w:pPr>
    </w:p>
    <w:p w:rsidR="00686F4E" w:rsidRDefault="00F103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 los datos de contacto, el documento que colmaría dicho requerimiento sería de manera enunciativa más no limitada, el directorio del Ayuntamiento de Temascaltepec, en razón de que el artículo 92 fracción VII de la de la Ley de Transparencia y Acceso a la Información Pública del Estado de México y Municipios vigente, obliga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publicar su directorio el cual contendrá como mínimo lo siguiente:</w:t>
      </w:r>
    </w:p>
    <w:p w:rsidR="00686F4E" w:rsidRDefault="00686F4E">
      <w:pPr>
        <w:spacing w:line="360" w:lineRule="auto"/>
        <w:jc w:val="both"/>
        <w:rPr>
          <w:rFonts w:ascii="Palatino Linotype" w:eastAsia="Palatino Linotype" w:hAnsi="Palatino Linotype" w:cs="Palatino Linotype"/>
        </w:rPr>
      </w:pPr>
    </w:p>
    <w:p w:rsidR="00686F4E" w:rsidRDefault="00F103C7">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 Los sujetos obligados deberán poner a disposición del público de manera permanente y actualizada de forma sencilla, precisa y entendible</w:t>
      </w:r>
      <w:r>
        <w:rPr>
          <w:rFonts w:ascii="Palatino Linotype" w:eastAsia="Palatino Linotype" w:hAnsi="Palatino Linotype" w:cs="Palatino Linotype"/>
          <w:i/>
          <w:sz w:val="22"/>
          <w:szCs w:val="22"/>
        </w:rPr>
        <w:t>, en los respectivos medios electrónicos, de acuerdo con sus facultades, atribuciones, funciones u objeto social, según corresponda, la información, por lo menos, de los temas, documentos y políticas que a continuación se señalan:</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 El directorio de todos los servidores públicos</w:t>
      </w:r>
      <w:r>
        <w:rPr>
          <w:rFonts w:ascii="Palatino Linotype" w:eastAsia="Palatino Linotype" w:hAnsi="Palatino Linotype" w:cs="Palatino Linotype"/>
          <w:i/>
          <w:sz w:val="22"/>
          <w:szCs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El directorio deberá incluir, al menos </w:t>
      </w:r>
      <w:r>
        <w:rPr>
          <w:rFonts w:ascii="Palatino Linotype" w:eastAsia="Palatino Linotype" w:hAnsi="Palatino Linotype" w:cs="Palatino Linotype"/>
          <w:i/>
          <w:sz w:val="22"/>
          <w:szCs w:val="22"/>
        </w:rPr>
        <w:t xml:space="preserve">el nombre, cargo o nombramiento oficial asignado, nivel del puesto en la estructura orgánica, fecha de alta en el cargo, </w:t>
      </w:r>
      <w:r>
        <w:rPr>
          <w:rFonts w:ascii="Palatino Linotype" w:eastAsia="Palatino Linotype" w:hAnsi="Palatino Linotype" w:cs="Palatino Linotype"/>
          <w:b/>
          <w:i/>
          <w:sz w:val="22"/>
          <w:szCs w:val="22"/>
        </w:rPr>
        <w:lastRenderedPageBreak/>
        <w:t>número telefónico, domicilio para recibir correspondencia y dirección de correo electrónico oficiales</w:t>
      </w:r>
      <w:r>
        <w:rPr>
          <w:rFonts w:ascii="Palatino Linotype" w:eastAsia="Palatino Linotype" w:hAnsi="Palatino Linotype" w:cs="Palatino Linotype"/>
          <w:i/>
          <w:sz w:val="22"/>
          <w:szCs w:val="22"/>
        </w:rPr>
        <w:t>, datos que deberán señalarse de forma independiente por dependencia y entidad pública de cada sujeto obligado;</w:t>
      </w:r>
    </w:p>
    <w:p w:rsidR="00686F4E" w:rsidRDefault="00686F4E">
      <w:pPr>
        <w:spacing w:before="120" w:line="360" w:lineRule="auto"/>
        <w:jc w:val="both"/>
        <w:rPr>
          <w:rFonts w:ascii="Palatino Linotype" w:eastAsia="Palatino Linotype" w:hAnsi="Palatino Linotype" w:cs="Palatino Linotype"/>
        </w:rPr>
      </w:pPr>
    </w:p>
    <w:p w:rsidR="00686F4E" w:rsidRDefault="00F103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al respecto lo siguiente:</w:t>
      </w:r>
    </w:p>
    <w:p w:rsidR="00686F4E" w:rsidRDefault="00686F4E">
      <w:pPr>
        <w:spacing w:line="360" w:lineRule="auto"/>
        <w:jc w:val="both"/>
        <w:rPr>
          <w:rFonts w:ascii="Palatino Linotype" w:eastAsia="Palatino Linotype" w:hAnsi="Palatino Linotype" w:cs="Palatino Linotype"/>
        </w:rPr>
      </w:pPr>
    </w:p>
    <w:p w:rsidR="00686F4E" w:rsidRDefault="00F103C7">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Pr>
          <w:rFonts w:ascii="Palatino Linotype" w:eastAsia="Palatino Linotype" w:hAnsi="Palatino Linotype" w:cs="Palatino Linotype"/>
          <w:b/>
          <w:i/>
          <w:sz w:val="22"/>
          <w:szCs w:val="22"/>
        </w:rPr>
        <w:t xml:space="preserve">El directorio deberá incluir al menos </w:t>
      </w:r>
      <w:r>
        <w:rPr>
          <w:rFonts w:ascii="Palatino Linotype" w:eastAsia="Palatino Linotype" w:hAnsi="Palatino Linotype" w:cs="Palatino Linotype"/>
          <w:i/>
          <w:sz w:val="22"/>
          <w:szCs w:val="22"/>
        </w:rPr>
        <w:t xml:space="preserve">el nombre, cargo o nombramiento asignado, nivel del puesto en la estructura orgánica, fecha de alta en el cargo, </w:t>
      </w:r>
      <w:r>
        <w:rPr>
          <w:rFonts w:ascii="Palatino Linotype" w:eastAsia="Palatino Linotype" w:hAnsi="Palatino Linotype" w:cs="Palatino Linotype"/>
          <w:b/>
          <w:i/>
          <w:sz w:val="22"/>
          <w:szCs w:val="22"/>
        </w:rPr>
        <w:t>número telefónico, domicilio para recibir correspondencia y dirección de correo electrónico oficiales</w:t>
      </w:r>
      <w:r>
        <w:rPr>
          <w:rFonts w:ascii="Palatino Linotype" w:eastAsia="Palatino Linotype" w:hAnsi="Palatino Linotype" w:cs="Palatino Linotype"/>
          <w:i/>
          <w:sz w:val="22"/>
          <w:szCs w:val="22"/>
        </w:rPr>
        <w:t>.</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r>
        <w:rPr>
          <w:rFonts w:ascii="Palatino Linotype" w:eastAsia="Palatino Linotype" w:hAnsi="Palatino Linotype" w:cs="Palatino Linotype"/>
          <w:i/>
          <w:sz w:val="22"/>
          <w:szCs w:val="22"/>
        </w:rPr>
        <w:t xml:space="preserve">.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Periodo de actualización: trimestral En su caso, 15 días hábiles después de alguna modificación Conservar en sitio de Internet: información vigente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Aplica a: todos los sujetos obligados Criterios sustantivos de contenido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1 Ejercicio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2 Periodo que se informa (fecha de inicio y fecha de término con el formato día/mes/año)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3 Clave o nivel del puesto (de acuerdo con el catálogo que regule la actividad del sujeto obligado)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4 Denominación del cargo (de conformidad con nombramiento otorgado) Criterio 5 Nombre del servidor(a) público(a)(nombre[s], primer apellido, segundo apellido), integrante y/o miembro del sujeto obligado, y/o persona que desempeñe un empleo, cargo o comisión y/o ejerza actos de autoridad11. En su caso, incluir una nota que especifique el motivo por el cual no existe servidor(a) público(a) ocupando el cargo, por ejemplo: Vacante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6 Área de adscripción (de acuerdo con el catálogo que, en su caso, regule la actividad del sujeto obligado)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7 Fecha de alta en el cargo con el formato día/mes/año </w:t>
      </w:r>
    </w:p>
    <w:p w:rsidR="00686F4E" w:rsidRDefault="00F103C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r>
        <w:rPr>
          <w:rFonts w:ascii="Palatino Linotype" w:eastAsia="Palatino Linotype" w:hAnsi="Palatino Linotype" w:cs="Palatino Linotype"/>
          <w:i/>
          <w:sz w:val="22"/>
          <w:szCs w:val="22"/>
        </w:rPr>
        <w:t xml:space="preserve">12 </w:t>
      </w:r>
    </w:p>
    <w:p w:rsidR="00686F4E" w:rsidRDefault="00F103C7">
      <w:pPr>
        <w:spacing w:before="120" w:after="12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9 Número(s) de teléfono(s) oficial(es) y extensión (es) Criterio 10 Correo electrónico oficial, en su caso…” (Sic)</w:t>
      </w:r>
    </w:p>
    <w:p w:rsidR="00686F4E" w:rsidRDefault="00686F4E">
      <w:pPr>
        <w:spacing w:before="120" w:line="360" w:lineRule="auto"/>
        <w:jc w:val="both"/>
        <w:rPr>
          <w:rFonts w:ascii="Palatino Linotype" w:eastAsia="Palatino Linotype" w:hAnsi="Palatino Linotype" w:cs="Palatino Linotype"/>
        </w:rPr>
      </w:pPr>
    </w:p>
    <w:p w:rsidR="00686F4E" w:rsidRDefault="00F103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lo procedente es ordenar el documento en donde consten los datos de contacto del Director de Bienestar Social y Coordinadora del Consejo Municipal de la Mujer, vigente al quince de febrero del año dos mil veintidós y de ser procedente en versión pública conforme a lo señalado por el considerando quinto del presente fallo. </w:t>
      </w:r>
    </w:p>
    <w:p w:rsidR="00686F4E" w:rsidRDefault="00686F4E">
      <w:pPr>
        <w:spacing w:line="360" w:lineRule="auto"/>
        <w:jc w:val="both"/>
        <w:rPr>
          <w:rFonts w:ascii="Palatino Linotype" w:eastAsia="Palatino Linotype" w:hAnsi="Palatino Linotype" w:cs="Palatino Linotype"/>
        </w:rPr>
      </w:pPr>
    </w:p>
    <w:p w:rsidR="00686F4E" w:rsidRDefault="00F103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los datos curriculares, conviene señalar que el curriculum es el documento que las personas elaboran con los datos principalmente de preparación académica y </w:t>
      </w:r>
      <w:r>
        <w:rPr>
          <w:rFonts w:ascii="Palatino Linotype" w:eastAsia="Palatino Linotype" w:hAnsi="Palatino Linotype" w:cs="Palatino Linotype"/>
          <w:b/>
          <w:u w:val="single"/>
        </w:rPr>
        <w:t>experiencia profesional</w:t>
      </w:r>
      <w:r>
        <w:rPr>
          <w:rFonts w:ascii="Palatino Linotype" w:eastAsia="Palatino Linotype" w:hAnsi="Palatino Linotype" w:cs="Palatino Linotype"/>
        </w:rPr>
        <w:t xml:space="preserve"> con la finalidad de presentarlo ante un posible empleador, por lo que, dicho documento permite identificar el nivel de conocimiento de su titular, su perfil profesional y/o laboral. </w:t>
      </w:r>
    </w:p>
    <w:p w:rsidR="00686F4E" w:rsidRDefault="00F103C7">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si bien, el documento referido es elaborado por cada persona sin ninguna validez oficial, también lo es que como se mencionó, este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cuenta con las capacidades, conocimientos y experiencia necesaria para el cabal cumplimiento de sus funciones. </w:t>
      </w:r>
    </w:p>
    <w:p w:rsidR="00686F4E" w:rsidRDefault="00F103C7">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esta información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686F4E" w:rsidRDefault="00F103C7">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86F4E" w:rsidRDefault="00F103C7">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p>
    <w:p w:rsidR="00686F4E" w:rsidRDefault="00F103C7">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objeto;”(Sic)</w:t>
      </w:r>
    </w:p>
    <w:p w:rsidR="00686F4E" w:rsidRDefault="00686F4E">
      <w:pPr>
        <w:ind w:left="567" w:right="902"/>
        <w:jc w:val="both"/>
        <w:rPr>
          <w:rFonts w:ascii="Palatino Linotype" w:eastAsia="Palatino Linotype" w:hAnsi="Palatino Linotype" w:cs="Palatino Linotype"/>
          <w:i/>
          <w:color w:val="000000"/>
          <w:sz w:val="22"/>
          <w:szCs w:val="22"/>
        </w:rPr>
      </w:pPr>
    </w:p>
    <w:p w:rsidR="00686F4E" w:rsidRDefault="00F103C7">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686F4E" w:rsidRDefault="00F103C7">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rsidR="00686F4E" w:rsidRDefault="00F103C7">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686F4E" w:rsidRDefault="00F103C7">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686F4E" w:rsidRDefault="00F103C7">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686F4E" w:rsidRDefault="00F103C7">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686F4E" w:rsidRDefault="00F103C7">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686F4E" w:rsidRDefault="00F103C7">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r>
        <w:rPr>
          <w:rFonts w:ascii="Palatino Linotype" w:eastAsia="Palatino Linotype" w:hAnsi="Palatino Linotype" w:cs="Palatino Linotype"/>
          <w:i/>
          <w:color w:val="000000"/>
          <w:sz w:val="22"/>
          <w:szCs w:val="22"/>
        </w:rPr>
        <w:t>”(Sic)</w:t>
      </w:r>
    </w:p>
    <w:p w:rsidR="00686F4E" w:rsidRDefault="00686F4E">
      <w:pPr>
        <w:ind w:left="567" w:right="902"/>
        <w:jc w:val="both"/>
        <w:rPr>
          <w:rFonts w:ascii="Palatino Linotype" w:eastAsia="Palatino Linotype" w:hAnsi="Palatino Linotype" w:cs="Palatino Linotype"/>
          <w:i/>
          <w:color w:val="000000"/>
          <w:sz w:val="22"/>
          <w:szCs w:val="22"/>
        </w:rPr>
      </w:pPr>
    </w:p>
    <w:p w:rsidR="00686F4E" w:rsidRDefault="00F103C7">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n-US" w:eastAsia="en-US"/>
        </w:rPr>
        <w:lastRenderedPageBreak/>
        <w:drawing>
          <wp:inline distT="0" distB="0" distL="0" distR="0">
            <wp:extent cx="5671856" cy="3623017"/>
            <wp:effectExtent l="0" t="0" r="0" b="0"/>
            <wp:docPr id="1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71856" cy="3623017"/>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60288" behindDoc="0" locked="0" layoutInCell="1" hidden="0" allowOverlap="1">
                <wp:simplePos x="0" y="0"/>
                <wp:positionH relativeFrom="column">
                  <wp:posOffset>-25399</wp:posOffset>
                </wp:positionH>
                <wp:positionV relativeFrom="paragraph">
                  <wp:posOffset>863600</wp:posOffset>
                </wp:positionV>
                <wp:extent cx="5295900" cy="1078131"/>
                <wp:effectExtent l="0" t="0" r="0" b="0"/>
                <wp:wrapNone/>
                <wp:docPr id="136" name=""/>
                <wp:cNvGraphicFramePr/>
                <a:graphic xmlns:a="http://schemas.openxmlformats.org/drawingml/2006/main">
                  <a:graphicData uri="http://schemas.microsoft.com/office/word/2010/wordprocessingShape">
                    <wps:wsp>
                      <wps:cNvSpPr/>
                      <wps:spPr>
                        <a:xfrm>
                          <a:off x="2726625" y="3269510"/>
                          <a:ext cx="5238750" cy="1020981"/>
                        </a:xfrm>
                        <a:prstGeom prst="rect">
                          <a:avLst/>
                        </a:prstGeom>
                        <a:noFill/>
                        <a:ln w="28575" cap="flat" cmpd="sng">
                          <a:solidFill>
                            <a:srgbClr val="002060"/>
                          </a:solidFill>
                          <a:prstDash val="solid"/>
                          <a:miter lim="800000"/>
                          <a:headEnd type="none" w="sm" len="sm"/>
                          <a:tailEnd type="none" w="sm" len="sm"/>
                        </a:ln>
                      </wps:spPr>
                      <wps:txbx>
                        <w:txbxContent>
                          <w:p w:rsidR="00686F4E" w:rsidRDefault="00686F4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863600</wp:posOffset>
                </wp:positionV>
                <wp:extent cx="5295900" cy="1078131"/>
                <wp:effectExtent b="0" l="0" r="0" t="0"/>
                <wp:wrapNone/>
                <wp:docPr id="13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295900" cy="1078131"/>
                        </a:xfrm>
                        <a:prstGeom prst="rect"/>
                        <a:ln/>
                      </pic:spPr>
                    </pic:pic>
                  </a:graphicData>
                </a:graphic>
              </wp:anchor>
            </w:drawing>
          </mc:Fallback>
        </mc:AlternateContent>
      </w:r>
    </w:p>
    <w:p w:rsidR="00686F4E" w:rsidRDefault="00F103C7">
      <w:pPr>
        <w:spacing w:before="240" w:after="240" w:line="360" w:lineRule="auto"/>
        <w:ind w:right="51"/>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n-US" w:eastAsia="en-US"/>
        </w:rPr>
        <w:lastRenderedPageBreak/>
        <w:drawing>
          <wp:inline distT="0" distB="0" distL="0" distR="0">
            <wp:extent cx="5610225" cy="4105275"/>
            <wp:effectExtent l="0" t="0" r="0" b="0"/>
            <wp:docPr id="1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610225" cy="4105275"/>
                    </a:xfrm>
                    <a:prstGeom prst="rect">
                      <a:avLst/>
                    </a:prstGeom>
                    <a:ln/>
                  </pic:spPr>
                </pic:pic>
              </a:graphicData>
            </a:graphic>
          </wp:inline>
        </w:drawing>
      </w:r>
    </w:p>
    <w:p w:rsidR="00686F4E" w:rsidRDefault="00F103C7">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rsidR="00686F4E" w:rsidRDefault="00F103C7">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686F4E" w:rsidRDefault="00F103C7">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conviene mencionar, el Criterio 03/09 emitido por el Pleno del entonces Instituto Federal de Acceso a la Información y Protección de Datos establece que: </w:t>
      </w:r>
    </w:p>
    <w:p w:rsidR="00686F4E" w:rsidRDefault="00F103C7">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w:t>
      </w:r>
      <w:r>
        <w:rPr>
          <w:rFonts w:ascii="Palatino Linotype" w:eastAsia="Palatino Linotype" w:hAnsi="Palatino Linotype" w:cs="Palatino Linotype"/>
          <w:i/>
          <w:sz w:val="22"/>
          <w:szCs w:val="22"/>
        </w:rPr>
        <w:lastRenderedPageBreak/>
        <w:t xml:space="preserve">aquellos que acrediten su capacidad, habilidades o pericia para ocupar el cargo público.” </w:t>
      </w:r>
    </w:p>
    <w:p w:rsidR="00686F4E" w:rsidRDefault="00F103C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servició público sí es requisito, entre otros, presentar una solicitud del empleo, como se desprende del artículo 47 fracción I de la Ley del Trabajo para los Servidores Públicos del Estado y Municipios.</w:t>
      </w:r>
    </w:p>
    <w:p w:rsidR="00686F4E" w:rsidRDefault="00F103C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vitae. De manera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podría atender el requerimiento a través de la entrega del currículum vitae de los servidores que refiere el recurrente, o en su defecto a través de la solicitud de empleo, en razón de que se trata de documentos que se encuentran en su posesión derivado de su facultad para establecer relaciones de trabajo, y que </w:t>
      </w:r>
      <w:r>
        <w:rPr>
          <w:rFonts w:ascii="Palatino Linotype" w:eastAsia="Palatino Linotype" w:hAnsi="Palatino Linotype" w:cs="Palatino Linotype"/>
          <w:color w:val="000000"/>
        </w:rPr>
        <w:lastRenderedPageBreak/>
        <w:t>resulta ser el documento idóneo para satisfacer la solicitud planteada, de acuerdo a sus características y así como los documentos que sustenten la experiencia laboral.</w:t>
      </w:r>
    </w:p>
    <w:p w:rsidR="00686F4E" w:rsidRDefault="00F103C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que se estima que en el presente punto, es procedente la entrega del documento en donde consten los datos curriculares del </w:t>
      </w:r>
      <w:r>
        <w:rPr>
          <w:rFonts w:ascii="Palatino Linotype" w:eastAsia="Palatino Linotype" w:hAnsi="Palatino Linotype" w:cs="Palatino Linotype"/>
        </w:rPr>
        <w:t xml:space="preserve">Director de Bienestar Social y Coordinadora del Consejo Municipal de la Mujer, vigente al quince de febrero del año dos mil veintidós y de ser procedente en versión pública conforme a lo señalado por el considerando quinto del presente fallo. </w:t>
      </w:r>
    </w:p>
    <w:p w:rsidR="00686F4E" w:rsidRDefault="00686F4E">
      <w:pPr>
        <w:spacing w:line="360" w:lineRule="auto"/>
        <w:jc w:val="both"/>
        <w:rPr>
          <w:rFonts w:ascii="Palatino Linotype" w:eastAsia="Palatino Linotype" w:hAnsi="Palatino Linotype" w:cs="Palatino Linotype"/>
          <w:b/>
        </w:rPr>
      </w:pPr>
    </w:p>
    <w:p w:rsidR="00686F4E" w:rsidRDefault="00F103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686F4E" w:rsidRDefault="00686F4E">
      <w:pPr>
        <w:spacing w:line="360" w:lineRule="auto"/>
        <w:jc w:val="both"/>
        <w:rPr>
          <w:rFonts w:ascii="Palatino Linotype" w:eastAsia="Palatino Linotype" w:hAnsi="Palatino Linotype" w:cs="Palatino Linotype"/>
        </w:rPr>
      </w:pPr>
    </w:p>
    <w:p w:rsidR="00686F4E" w:rsidRDefault="00F103C7">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686F4E" w:rsidRDefault="00F103C7">
      <w:pPr>
        <w:spacing w:before="240" w:after="240"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86F4E" w:rsidRDefault="00686F4E">
      <w:pPr>
        <w:spacing w:before="240" w:after="240" w:line="276" w:lineRule="auto"/>
        <w:ind w:left="993" w:right="1041"/>
        <w:jc w:val="both"/>
        <w:rPr>
          <w:rFonts w:ascii="Palatino Linotype" w:eastAsia="Palatino Linotype" w:hAnsi="Palatino Linotype" w:cs="Palatino Linotype"/>
          <w:i/>
          <w:sz w:val="22"/>
          <w:szCs w:val="22"/>
        </w:rPr>
      </w:pPr>
    </w:p>
    <w:p w:rsidR="00686F4E" w:rsidRDefault="00F103C7">
      <w:pPr>
        <w:spacing w:before="240" w:after="240"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686F4E" w:rsidRDefault="00F103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686F4E" w:rsidRDefault="00F103C7">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686F4E" w:rsidRDefault="00F103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w:t>
      </w:r>
      <w:r>
        <w:rPr>
          <w:rFonts w:ascii="Palatino Linotype" w:eastAsia="Palatino Linotype" w:hAnsi="Palatino Linotype" w:cs="Palatino Linotype"/>
        </w:rPr>
        <w:lastRenderedPageBreak/>
        <w:t>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686F4E" w:rsidRDefault="00F103C7">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686F4E" w:rsidRDefault="00F103C7">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686F4E" w:rsidRDefault="00F103C7">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686F4E" w:rsidRDefault="00F103C7">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686F4E" w:rsidRDefault="00F103C7">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686F4E" w:rsidRDefault="00F103C7">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686F4E" w:rsidRDefault="00F103C7">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686F4E" w:rsidRDefault="00F103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 xml:space="preserve">LINEAMIENTOS GENERALES EN MATERIA DE CLASIFICACIÓN Y </w:t>
      </w:r>
      <w:r>
        <w:rPr>
          <w:rFonts w:ascii="Palatino Linotype" w:eastAsia="Palatino Linotype" w:hAnsi="Palatino Linotype" w:cs="Palatino Linotype"/>
          <w:b/>
        </w:rPr>
        <w:lastRenderedPageBreak/>
        <w:t>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686F4E" w:rsidRDefault="00F103C7">
      <w:pPr>
        <w:spacing w:before="240" w:after="240" w:line="276" w:lineRule="auto"/>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6F4E" w:rsidRDefault="00F103C7">
      <w:pPr>
        <w:spacing w:before="240" w:after="240" w:line="276" w:lineRule="auto"/>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686F4E" w:rsidRDefault="00F103C7">
      <w:pPr>
        <w:spacing w:before="240" w:after="240" w:line="276" w:lineRule="auto"/>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6F4E" w:rsidRDefault="00F103C7">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2"/>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686F4E">
        <w:trPr>
          <w:jc w:val="center"/>
        </w:trPr>
        <w:tc>
          <w:tcPr>
            <w:tcW w:w="1129" w:type="dxa"/>
            <w:tcBorders>
              <w:top w:val="nil"/>
              <w:left w:val="nil"/>
              <w:bottom w:val="single" w:sz="4" w:space="0" w:color="000000"/>
              <w:right w:val="single" w:sz="4" w:space="0" w:color="000000"/>
            </w:tcBorders>
          </w:tcPr>
          <w:p w:rsidR="00686F4E" w:rsidRDefault="00686F4E">
            <w:pPr>
              <w:spacing w:before="240" w:after="240" w:line="276" w:lineRule="auto"/>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686F4E">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686F4E" w:rsidRDefault="00F103C7">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686F4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686F4E" w:rsidRDefault="00686F4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686F4E" w:rsidRDefault="00F103C7">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686F4E" w:rsidRDefault="00F103C7">
            <w:pPr>
              <w:spacing w:before="240" w:after="240" w:line="276" w:lineRule="auto"/>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686F4E" w:rsidRDefault="00F103C7">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w:t>
      </w:r>
      <w:r>
        <w:rPr>
          <w:rFonts w:ascii="Palatino Linotype" w:eastAsia="Palatino Linotype" w:hAnsi="Palatino Linotype" w:cs="Palatino Linotype"/>
        </w:rPr>
        <w:lastRenderedPageBreak/>
        <w:t>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dla RECURRENTE.</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686F4E" w:rsidRDefault="00F103C7">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686F4E" w:rsidRDefault="00F103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la </w:t>
      </w:r>
      <w:r>
        <w:rPr>
          <w:rFonts w:ascii="Palatino Linotype" w:eastAsia="Palatino Linotype" w:hAnsi="Palatino Linotype" w:cs="Palatino Linotype"/>
          <w:b/>
        </w:rPr>
        <w:t>RECURRENT</w:t>
      </w:r>
      <w:r>
        <w:rPr>
          <w:rFonts w:ascii="Palatino Linotype" w:eastAsia="Palatino Linotype" w:hAnsi="Palatino Linotype" w:cs="Palatino Linotype"/>
        </w:rPr>
        <w:t xml:space="preserve">E en el Recurso de Revisión </w:t>
      </w:r>
      <w:r>
        <w:rPr>
          <w:rFonts w:ascii="Palatino Linotype" w:eastAsia="Palatino Linotype" w:hAnsi="Palatino Linotype" w:cs="Palatino Linotype"/>
          <w:b/>
        </w:rPr>
        <w:t xml:space="preserve">01934/INFOEM/IP/RR/2022,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686F4E" w:rsidRDefault="00F103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 los Considerandos Cuarto y Quinto de la presente resolución, haga entrega vía SAIMEX y en versión pública de ser procedente, del documento o documento en donde conste lo siguiente:</w:t>
      </w:r>
    </w:p>
    <w:p w:rsidR="00686F4E" w:rsidRDefault="00F103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Vigente al quince de febrero del año dos mil veintidós.</w:t>
      </w:r>
    </w:p>
    <w:p w:rsidR="00686F4E" w:rsidRDefault="00F103C7">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datos de contacto del Director de Bienestar Social y Coordinadora del Consejo Municipal de la Mujer, señalados en respuesta. </w:t>
      </w:r>
    </w:p>
    <w:p w:rsidR="00686F4E" w:rsidRDefault="00F103C7">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datos curriculares del Director de Bienestar Social y Coordinadora del Consejo Municipal de la Mujer, señalados en respuesta.</w:t>
      </w:r>
    </w:p>
    <w:p w:rsidR="00686F4E" w:rsidRDefault="00F103C7">
      <w:pPr>
        <w:spacing w:before="240" w:line="276" w:lineRule="auto"/>
        <w:ind w:right="51"/>
        <w:jc w:val="both"/>
        <w:rPr>
          <w:rFonts w:ascii="Palatino Linotype" w:eastAsia="Palatino Linotype" w:hAnsi="Palatino Linotype" w:cs="Palatino Linotype"/>
          <w:i/>
        </w:rPr>
      </w:pPr>
      <w:r>
        <w:rPr>
          <w:rFonts w:ascii="Palatino Linotype" w:eastAsia="Palatino Linotype" w:hAnsi="Palatino Linotype" w:cs="Palatino Linotype"/>
          <w:i/>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w:t>
      </w:r>
      <w:r>
        <w:rPr>
          <w:rFonts w:ascii="Palatino Linotype" w:eastAsia="Palatino Linotype" w:hAnsi="Palatino Linotype" w:cs="Palatino Linotype"/>
          <w:b/>
          <w:i/>
        </w:rPr>
        <w:t>RECURRENTE</w:t>
      </w:r>
      <w:r>
        <w:rPr>
          <w:rFonts w:ascii="Palatino Linotype" w:eastAsia="Palatino Linotype" w:hAnsi="Palatino Linotype" w:cs="Palatino Linotype"/>
          <w:i/>
        </w:rPr>
        <w:t>, mismo que igualmente hará de su conocimiento.</w:t>
      </w:r>
    </w:p>
    <w:p w:rsidR="00686F4E" w:rsidRDefault="00686F4E">
      <w:pPr>
        <w:spacing w:line="360" w:lineRule="auto"/>
        <w:ind w:right="51"/>
        <w:jc w:val="both"/>
        <w:rPr>
          <w:rFonts w:ascii="Palatino Linotype" w:eastAsia="Palatino Linotype" w:hAnsi="Palatino Linotype" w:cs="Palatino Linotype"/>
          <w:b/>
          <w:color w:val="FF0000"/>
        </w:rPr>
      </w:pPr>
    </w:p>
    <w:p w:rsidR="00686F4E" w:rsidRDefault="00F103C7">
      <w:pPr>
        <w:spacing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686F4E" w:rsidRDefault="00F103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Pr>
          <w:rFonts w:ascii="Palatino Linotype" w:eastAsia="Palatino Linotype" w:hAnsi="Palatino Linotype" w:cs="Palatino Linotype"/>
        </w:rPr>
        <w:lastRenderedPageBreak/>
        <w:t>Municipios, podrá impugnar la presente resolución vía Juicio de Amparo en los términos de las leyes aplicables.</w:t>
      </w:r>
    </w:p>
    <w:p w:rsidR="00686F4E" w:rsidRDefault="00F103C7">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686F4E" w:rsidRDefault="003938CC">
      <w:pPr>
        <w:spacing w:before="240" w:after="240" w:line="360" w:lineRule="auto"/>
        <w:jc w:val="both"/>
        <w:rPr>
          <w:rFonts w:ascii="Palatino Linotype" w:eastAsia="Palatino Linotype" w:hAnsi="Palatino Linotype" w:cs="Palatino Linotype"/>
        </w:rPr>
        <w:sectPr w:rsidR="00686F4E">
          <w:headerReference w:type="default" r:id="rId19"/>
          <w:footerReference w:type="default" r:id="rId20"/>
          <w:headerReference w:type="first" r:id="rId21"/>
          <w:footerReference w:type="first" r:id="rId22"/>
          <w:pgSz w:w="12240" w:h="15840"/>
          <w:pgMar w:top="1417" w:right="1701" w:bottom="1276" w:left="1701" w:header="709" w:footer="709" w:gutter="0"/>
          <w:pgNumType w:start="1"/>
          <w:cols w:space="720"/>
          <w:titlePg/>
        </w:sectPr>
      </w:pPr>
      <w:r>
        <w:rPr>
          <w:rFonts w:ascii="Palatino Linotype" w:eastAsia="Palatino Linotype" w:hAnsi="Palatino Linotype" w:cs="Palatino Linotype"/>
          <w:noProof/>
          <w:color w:val="222222"/>
          <w:lang w:val="en-US" w:eastAsia="en-US"/>
        </w:rPr>
        <mc:AlternateContent>
          <mc:Choice Requires="wps">
            <w:drawing>
              <wp:anchor distT="0" distB="0" distL="114300" distR="114300" simplePos="0" relativeHeight="251661312" behindDoc="0" locked="0" layoutInCell="1" allowOverlap="1">
                <wp:simplePos x="0" y="0"/>
                <wp:positionH relativeFrom="column">
                  <wp:posOffset>139065</wp:posOffset>
                </wp:positionH>
                <wp:positionV relativeFrom="paragraph">
                  <wp:posOffset>2795904</wp:posOffset>
                </wp:positionV>
                <wp:extent cx="5391150" cy="26384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91150" cy="2638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50CCE2"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95pt,220.15pt" to="435.45pt,4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" strokecolor="black [3200]" strokeweight=".5pt">
                <v:stroke joinstyle="miter"/>
              </v:line>
            </w:pict>
          </mc:Fallback>
        </mc:AlternateContent>
      </w:r>
      <w:r w:rsidR="00F103C7">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w:t>
      </w:r>
      <w:r>
        <w:rPr>
          <w:rFonts w:ascii="Palatino Linotype" w:eastAsia="Palatino Linotype" w:hAnsi="Palatino Linotype" w:cs="Palatino Linotype"/>
          <w:color w:val="222222"/>
          <w:highlight w:val="white"/>
        </w:rPr>
        <w:t>SIÓN ORDINARIA CELEBRADA EL ONCE</w:t>
      </w:r>
      <w:r w:rsidR="00F103C7">
        <w:rPr>
          <w:rFonts w:ascii="Palatino Linotype" w:eastAsia="Palatino Linotype" w:hAnsi="Palatino Linotype" w:cs="Palatino Linotype"/>
        </w:rPr>
        <w:t xml:space="preserve"> DE MAYO DEL DOS MIL VEINTIDÓS, ANTE EL SECRETARIO TÉCNICO DEL PLENO ALEXIS TAPIA RAMÍREZ.    </w:t>
      </w:r>
    </w:p>
    <w:p w:rsidR="00686F4E" w:rsidRDefault="00686F4E">
      <w:pPr>
        <w:spacing w:before="240" w:after="240" w:line="360" w:lineRule="auto"/>
        <w:jc w:val="both"/>
        <w:rPr>
          <w:rFonts w:ascii="Palatino Linotype" w:eastAsia="Palatino Linotype" w:hAnsi="Palatino Linotype" w:cs="Palatino Linotype"/>
        </w:rPr>
      </w:pPr>
    </w:p>
    <w:sectPr w:rsidR="00686F4E">
      <w:headerReference w:type="first" r:id="rId23"/>
      <w:pgSz w:w="12240" w:h="15840"/>
      <w:pgMar w:top="1417" w:right="1701" w:bottom="1276"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404" w:rsidRDefault="00F103C7">
      <w:r>
        <w:separator/>
      </w:r>
    </w:p>
  </w:endnote>
  <w:endnote w:type="continuationSeparator" w:id="0">
    <w:p w:rsidR="00422404" w:rsidRDefault="00F10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F4E" w:rsidRDefault="00F103C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77C23">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77C23">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686F4E" w:rsidRDefault="00686F4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F4E" w:rsidRDefault="00F103C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77C23">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77C23">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686F4E" w:rsidRDefault="00686F4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404" w:rsidRDefault="00F103C7">
      <w:r>
        <w:separator/>
      </w:r>
    </w:p>
  </w:footnote>
  <w:footnote w:type="continuationSeparator" w:id="0">
    <w:p w:rsidR="00422404" w:rsidRDefault="00F103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F4E" w:rsidRDefault="00F103C7">
    <w:pPr>
      <w:pBdr>
        <w:top w:val="nil"/>
        <w:left w:val="nil"/>
        <w:bottom w:val="nil"/>
        <w:right w:val="nil"/>
        <w:between w:val="nil"/>
      </w:pBdr>
      <w:tabs>
        <w:tab w:val="center" w:pos="4419"/>
        <w:tab w:val="right" w:pos="8838"/>
      </w:tabs>
      <w:jc w:val="both"/>
      <w:rPr>
        <w:color w:val="000000"/>
      </w:rPr>
    </w:pPr>
    <w:r>
      <w:rPr>
        <w:noProof/>
        <w:lang w:val="en-US" w:eastAsia="en-US"/>
      </w:rPr>
      <w:drawing>
        <wp:anchor distT="0" distB="0" distL="0" distR="0" simplePos="0" relativeHeight="251658240" behindDoc="1" locked="0" layoutInCell="1" hidden="0" allowOverlap="1">
          <wp:simplePos x="0" y="0"/>
          <wp:positionH relativeFrom="column">
            <wp:posOffset>-680311</wp:posOffset>
          </wp:positionH>
          <wp:positionV relativeFrom="paragraph">
            <wp:posOffset>-454175</wp:posOffset>
          </wp:positionV>
          <wp:extent cx="7635600" cy="9943200"/>
          <wp:effectExtent l="0" t="0" r="0" b="0"/>
          <wp:wrapNone/>
          <wp:docPr id="1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686F4E">
      <w:tc>
        <w:tcPr>
          <w:tcW w:w="2551" w:type="dxa"/>
          <w:vAlign w:val="center"/>
        </w:tcPr>
        <w:p w:rsidR="00686F4E" w:rsidRDefault="00F10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686F4E" w:rsidRDefault="00F103C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01934/INFOEM/IP/RR/2022.</w:t>
          </w:r>
        </w:p>
      </w:tc>
    </w:tr>
    <w:tr w:rsidR="00686F4E">
      <w:trPr>
        <w:trHeight w:val="228"/>
      </w:trPr>
      <w:tc>
        <w:tcPr>
          <w:tcW w:w="2551" w:type="dxa"/>
          <w:vAlign w:val="center"/>
        </w:tcPr>
        <w:p w:rsidR="00686F4E" w:rsidRDefault="00F10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686F4E" w:rsidRDefault="00F103C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Temascaltepec.</w:t>
          </w:r>
        </w:p>
      </w:tc>
    </w:tr>
    <w:tr w:rsidR="00686F4E">
      <w:tc>
        <w:tcPr>
          <w:tcW w:w="2551" w:type="dxa"/>
          <w:vAlign w:val="center"/>
        </w:tcPr>
        <w:p w:rsidR="00686F4E" w:rsidRDefault="00F10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686F4E" w:rsidRDefault="00F103C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86F4E" w:rsidRDefault="00686F4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F4E" w:rsidRDefault="00F103C7">
    <w:pPr>
      <w:pBdr>
        <w:top w:val="nil"/>
        <w:left w:val="nil"/>
        <w:bottom w:val="nil"/>
        <w:right w:val="nil"/>
        <w:between w:val="nil"/>
      </w:pBdr>
      <w:tabs>
        <w:tab w:val="center" w:pos="4419"/>
        <w:tab w:val="right" w:pos="8838"/>
      </w:tabs>
      <w:jc w:val="both"/>
      <w:rPr>
        <w:color w:val="000000"/>
      </w:rPr>
    </w:pPr>
    <w:r>
      <w:rPr>
        <w:noProof/>
        <w:lang w:val="en-US" w:eastAsia="en-US"/>
      </w:rPr>
      <w:drawing>
        <wp:anchor distT="0" distB="0" distL="0" distR="0" simplePos="0" relativeHeight="251659264" behindDoc="1" locked="0" layoutInCell="1" hidden="0" allowOverlap="1">
          <wp:simplePos x="0" y="0"/>
          <wp:positionH relativeFrom="column">
            <wp:posOffset>-651051</wp:posOffset>
          </wp:positionH>
          <wp:positionV relativeFrom="paragraph">
            <wp:posOffset>-322502</wp:posOffset>
          </wp:positionV>
          <wp:extent cx="7635600" cy="9943200"/>
          <wp:effectExtent l="0" t="0" r="0" b="0"/>
          <wp:wrapNone/>
          <wp:docPr id="1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686F4E">
      <w:tc>
        <w:tcPr>
          <w:tcW w:w="2551" w:type="dxa"/>
          <w:vAlign w:val="center"/>
        </w:tcPr>
        <w:p w:rsidR="00686F4E" w:rsidRDefault="00F10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686F4E" w:rsidRDefault="00F103C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01934/INFOEM/IP/RR/2022 </w:t>
          </w:r>
        </w:p>
      </w:tc>
    </w:tr>
    <w:tr w:rsidR="00686F4E">
      <w:tc>
        <w:tcPr>
          <w:tcW w:w="2551" w:type="dxa"/>
          <w:vAlign w:val="center"/>
        </w:tcPr>
        <w:p w:rsidR="00686F4E" w:rsidRDefault="00F103C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686F4E" w:rsidRDefault="00577C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p>
      </w:tc>
    </w:tr>
    <w:tr w:rsidR="00686F4E">
      <w:trPr>
        <w:trHeight w:val="228"/>
      </w:trPr>
      <w:tc>
        <w:tcPr>
          <w:tcW w:w="2551" w:type="dxa"/>
          <w:vAlign w:val="center"/>
        </w:tcPr>
        <w:p w:rsidR="00686F4E" w:rsidRDefault="00F10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686F4E" w:rsidRDefault="00F103C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Temascaltepec.</w:t>
          </w:r>
        </w:p>
      </w:tc>
    </w:tr>
    <w:tr w:rsidR="00686F4E">
      <w:tc>
        <w:tcPr>
          <w:tcW w:w="2551" w:type="dxa"/>
          <w:vAlign w:val="center"/>
        </w:tcPr>
        <w:p w:rsidR="00686F4E" w:rsidRDefault="00F10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686F4E" w:rsidRDefault="00F103C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86F4E" w:rsidRDefault="00686F4E">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F4E" w:rsidRDefault="00686F4E">
    <w:pPr>
      <w:pBdr>
        <w:top w:val="nil"/>
        <w:left w:val="nil"/>
        <w:bottom w:val="nil"/>
        <w:right w:val="nil"/>
        <w:between w:val="nil"/>
      </w:pBdr>
      <w:tabs>
        <w:tab w:val="center" w:pos="4419"/>
        <w:tab w:val="right" w:pos="8838"/>
      </w:tabs>
      <w:jc w:val="both"/>
      <w:rPr>
        <w:color w:val="000000"/>
      </w:rPr>
    </w:pPr>
  </w:p>
  <w:p w:rsidR="00686F4E" w:rsidRDefault="00686F4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7F35"/>
    <w:multiLevelType w:val="multilevel"/>
    <w:tmpl w:val="D27C9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912A51"/>
    <w:multiLevelType w:val="multilevel"/>
    <w:tmpl w:val="5FB4100E"/>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E01ED9"/>
    <w:multiLevelType w:val="multilevel"/>
    <w:tmpl w:val="6A0A91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F4E"/>
    <w:rsid w:val="003938CC"/>
    <w:rsid w:val="00422404"/>
    <w:rsid w:val="00577C23"/>
    <w:rsid w:val="00686F4E"/>
    <w:rsid w:val="00F1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A837D"/>
  <w15:docId w15:val="{B19DB146-D91E-4A45-A766-678E886F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3996.page"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343997.page"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3996.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343997.page"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5bD/IIN+Wqs9c26j3AEArx+ETg==">AMUW2mWHeHjn4+bryA5hv9khcHlNDwRQlT0guXVNiK8A7BYyKYzXvaSjXhVElZvx4+eD72XNpeDwJMvW3dlt+AoXs8h6e/pGgzVhxlCt2x6S9hwNIrCWIxHLXvyMw7Q8hk+hmA5j9fzP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9042</Words>
  <Characters>51545</Characters>
  <Application>Microsoft Office Word</Application>
  <DocSecurity>0</DocSecurity>
  <Lines>429</Lines>
  <Paragraphs>120</Paragraphs>
  <ScaleCrop>false</ScaleCrop>
  <Company/>
  <LinksUpToDate>false</LinksUpToDate>
  <CharactersWithSpaces>60467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NAJERA </cp:lastModifiedBy>
  <cp:revision>4</cp:revision>
  <dcterms:created xsi:type="dcterms:W3CDTF">2022-05-06T00:10:00Z</dcterms:created>
  <dcterms:modified xsi:type="dcterms:W3CDTF">2022-06-06T22:10:00Z</dcterms:modified>
</cp:coreProperties>
</file>