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F0B8E" w:rsidR="00994396" w:rsidP="00AB4D0E" w:rsidRDefault="00994396" w14:paraId="4245DCA3" w14:textId="3BEF718C">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bCs/>
          <w:color w:val="0D0D0D" w:themeColor="text1" w:themeTint="F2"/>
          <w:sz w:val="22"/>
          <w:szCs w:val="22"/>
        </w:rPr>
        <w:t xml:space="preserve">Resolución del Pleno del Instituto de Transparencia, Acceso a la Información Pública y Protección de Datos Personales del Estado de México y Municipios, con domicilio en Metepec, Estado de México, de fecha </w:t>
      </w:r>
      <w:r w:rsidRPr="007F0B8E" w:rsidR="00680EFE">
        <w:rPr>
          <w:rFonts w:ascii="Palatino Linotype" w:hAnsi="Palatino Linotype" w:cs="Tahoma"/>
          <w:bCs/>
          <w:color w:val="0D0D0D" w:themeColor="text1" w:themeTint="F2"/>
          <w:sz w:val="22"/>
          <w:szCs w:val="22"/>
        </w:rPr>
        <w:t>seis</w:t>
      </w:r>
      <w:r w:rsidRPr="007F0B8E" w:rsidR="00773F73">
        <w:rPr>
          <w:rFonts w:ascii="Palatino Linotype" w:hAnsi="Palatino Linotype" w:cs="Tahoma"/>
          <w:bCs/>
          <w:color w:val="0D0D0D" w:themeColor="text1" w:themeTint="F2"/>
          <w:sz w:val="22"/>
          <w:szCs w:val="22"/>
        </w:rPr>
        <w:t xml:space="preserve"> de </w:t>
      </w:r>
      <w:r w:rsidRPr="007F0B8E" w:rsidR="00680EFE">
        <w:rPr>
          <w:rFonts w:ascii="Palatino Linotype" w:hAnsi="Palatino Linotype" w:cs="Tahoma"/>
          <w:bCs/>
          <w:color w:val="0D0D0D" w:themeColor="text1" w:themeTint="F2"/>
          <w:sz w:val="22"/>
          <w:szCs w:val="22"/>
        </w:rPr>
        <w:t>julio</w:t>
      </w:r>
      <w:r w:rsidRPr="007F0B8E" w:rsidR="009C12F9">
        <w:rPr>
          <w:rFonts w:ascii="Palatino Linotype" w:hAnsi="Palatino Linotype" w:cs="Tahoma"/>
          <w:bCs/>
          <w:color w:val="0D0D0D" w:themeColor="text1" w:themeTint="F2"/>
          <w:sz w:val="22"/>
          <w:szCs w:val="22"/>
        </w:rPr>
        <w:t xml:space="preserve"> de dos mil veint</w:t>
      </w:r>
      <w:r w:rsidRPr="007F0B8E" w:rsidR="003370AE">
        <w:rPr>
          <w:rFonts w:ascii="Palatino Linotype" w:hAnsi="Palatino Linotype" w:cs="Tahoma"/>
          <w:bCs/>
          <w:color w:val="0D0D0D" w:themeColor="text1" w:themeTint="F2"/>
          <w:sz w:val="22"/>
          <w:szCs w:val="22"/>
        </w:rPr>
        <w:t>i</w:t>
      </w:r>
      <w:r w:rsidRPr="007F0B8E" w:rsidR="00680EFE">
        <w:rPr>
          <w:rFonts w:ascii="Palatino Linotype" w:hAnsi="Palatino Linotype" w:cs="Tahoma"/>
          <w:bCs/>
          <w:color w:val="0D0D0D" w:themeColor="text1" w:themeTint="F2"/>
          <w:sz w:val="22"/>
          <w:szCs w:val="22"/>
        </w:rPr>
        <w:t>dós</w:t>
      </w:r>
      <w:r w:rsidRPr="007F0B8E">
        <w:rPr>
          <w:rFonts w:ascii="Palatino Linotype" w:hAnsi="Palatino Linotype" w:cs="Tahoma"/>
          <w:bCs/>
          <w:color w:val="0D0D0D" w:themeColor="text1" w:themeTint="F2"/>
          <w:sz w:val="22"/>
          <w:szCs w:val="22"/>
        </w:rPr>
        <w:t>.</w:t>
      </w:r>
    </w:p>
    <w:p w:rsidRPr="007F0B8E" w:rsidR="00B31222" w:rsidP="00A920AD" w:rsidRDefault="00B31222" w14:paraId="0D2E2891" w14:textId="77777777">
      <w:pPr>
        <w:spacing w:line="360" w:lineRule="auto"/>
        <w:jc w:val="center"/>
        <w:rPr>
          <w:rFonts w:ascii="Palatino Linotype" w:hAnsi="Palatino Linotype" w:cs="Tahoma"/>
          <w:bCs/>
          <w:color w:val="0D0D0D" w:themeColor="text1" w:themeTint="F2"/>
          <w:sz w:val="22"/>
          <w:szCs w:val="22"/>
        </w:rPr>
      </w:pPr>
    </w:p>
    <w:p w:rsidRPr="007F0B8E" w:rsidR="00B31222" w:rsidP="73A730E6" w:rsidRDefault="00994396" w14:paraId="3ED703DD" w14:textId="38857601">
      <w:pPr>
        <w:spacing w:line="360" w:lineRule="auto"/>
        <w:jc w:val="both"/>
        <w:rPr>
          <w:rFonts w:ascii="Palatino Linotype" w:hAnsi="Palatino Linotype" w:cs="Tahoma"/>
          <w:color w:val="0D0D0D" w:themeColor="text1" w:themeTint="F2"/>
          <w:sz w:val="22"/>
          <w:szCs w:val="22"/>
        </w:rPr>
      </w:pPr>
      <w:r w:rsidRPr="73A730E6" w:rsidR="73A730E6">
        <w:rPr>
          <w:rFonts w:ascii="Palatino Linotype" w:hAnsi="Palatino Linotype" w:cs="Tahoma"/>
          <w:b w:val="1"/>
          <w:bCs w:val="1"/>
          <w:color w:val="0D0D0D" w:themeColor="text1" w:themeTint="F2" w:themeShade="FF"/>
          <w:sz w:val="22"/>
          <w:szCs w:val="22"/>
        </w:rPr>
        <w:t xml:space="preserve">VISTO </w:t>
      </w:r>
      <w:r w:rsidRPr="73A730E6" w:rsidR="73A730E6">
        <w:rPr>
          <w:rFonts w:ascii="Palatino Linotype" w:hAnsi="Palatino Linotype" w:cs="Tahoma"/>
          <w:color w:val="0D0D0D" w:themeColor="text1" w:themeTint="F2" w:themeShade="FF"/>
          <w:sz w:val="22"/>
          <w:szCs w:val="22"/>
        </w:rPr>
        <w:t xml:space="preserve">el expediente conformado con motivo del Recurso de Revisión 03946/INFOEM/IP/RR/2022, interpuesto por </w:t>
      </w:r>
      <w:r w:rsidRPr="73A730E6" w:rsidR="73A730E6">
        <w:rPr>
          <w:rFonts w:ascii="Palatino Linotype" w:hAnsi="Palatino Linotype" w:cs="Tahoma"/>
          <w:color w:val="0D0D0D" w:themeColor="text1" w:themeTint="F2" w:themeShade="FF"/>
          <w:sz w:val="22"/>
          <w:szCs w:val="22"/>
          <w:highlight w:val="black"/>
        </w:rPr>
        <w:t>XXXXXXXXXXXXXXXXXXXXXXXXXXXX</w:t>
      </w:r>
      <w:r w:rsidRPr="73A730E6" w:rsidR="73A730E6">
        <w:rPr>
          <w:rFonts w:ascii="Palatino Linotype" w:hAnsi="Palatino Linotype" w:cs="Tahoma"/>
          <w:color w:val="0D0D0D" w:themeColor="text1" w:themeTint="F2" w:themeShade="FF"/>
          <w:sz w:val="22"/>
          <w:szCs w:val="22"/>
        </w:rPr>
        <w:t xml:space="preserve"> </w:t>
      </w:r>
      <w:r w:rsidRPr="73A730E6" w:rsidR="73A730E6">
        <w:rPr>
          <w:rFonts w:ascii="Palatino Linotype" w:hAnsi="Palatino Linotype" w:cs="Tahoma"/>
          <w:color w:val="0D0D0D" w:themeColor="text1" w:themeTint="F2" w:themeShade="FF"/>
          <w:sz w:val="22"/>
          <w:szCs w:val="22"/>
          <w:highlight w:val="black"/>
        </w:rPr>
        <w:t>XXXXXXXXX</w:t>
      </w:r>
      <w:r w:rsidRPr="73A730E6" w:rsidR="73A730E6">
        <w:rPr>
          <w:rFonts w:ascii="Palatino Linotype" w:hAnsi="Palatino Linotype" w:cs="Tahoma"/>
          <w:color w:val="0D0D0D" w:themeColor="text1" w:themeTint="F2" w:themeShade="FF"/>
          <w:sz w:val="22"/>
          <w:szCs w:val="22"/>
        </w:rPr>
        <w:t>, en lo sucesivo, la Recurrente o Particular, en contra de la respuesta del Sujeto Obligado, Ayuntamiento de Ixtlahuaca, a la solicitud de acceso a la información pública 00073/IXTLAHUA/IP/2022, se emite la presente Resolución, con base en los Antecedentes y Considerandos que a continuación se exponen:</w:t>
      </w:r>
    </w:p>
    <w:p w:rsidRPr="007F0B8E" w:rsidR="00735915" w:rsidP="00AB4D0E" w:rsidRDefault="00735915" w14:paraId="59BC102C" w14:textId="77777777">
      <w:pPr>
        <w:spacing w:line="360" w:lineRule="auto"/>
        <w:rPr>
          <w:rFonts w:ascii="Palatino Linotype" w:hAnsi="Palatino Linotype" w:cs="Tahoma"/>
          <w:color w:val="0D0D0D" w:themeColor="text1" w:themeTint="F2"/>
          <w:sz w:val="22"/>
          <w:szCs w:val="22"/>
        </w:rPr>
      </w:pPr>
    </w:p>
    <w:p w:rsidRPr="007F0B8E" w:rsidR="00B31222" w:rsidP="00AB4D0E" w:rsidRDefault="00B31222" w14:paraId="1EC54E7D" w14:textId="77777777">
      <w:pPr>
        <w:tabs>
          <w:tab w:val="center" w:pos="4522"/>
          <w:tab w:val="left" w:pos="7245"/>
        </w:tabs>
        <w:spacing w:line="360" w:lineRule="auto"/>
        <w:jc w:val="center"/>
        <w:rPr>
          <w:rFonts w:ascii="Palatino Linotype" w:hAnsi="Palatino Linotype" w:cs="Tahoma"/>
          <w:b/>
          <w:color w:val="0D0D0D" w:themeColor="text1" w:themeTint="F2"/>
          <w:sz w:val="22"/>
          <w:szCs w:val="22"/>
        </w:rPr>
      </w:pPr>
      <w:r w:rsidRPr="007F0B8E">
        <w:rPr>
          <w:rFonts w:ascii="Palatino Linotype" w:hAnsi="Palatino Linotype" w:cs="Tahoma"/>
          <w:b/>
          <w:color w:val="0D0D0D" w:themeColor="text1" w:themeTint="F2"/>
          <w:sz w:val="22"/>
          <w:szCs w:val="22"/>
        </w:rPr>
        <w:t>ANTECEDENTES:</w:t>
      </w:r>
    </w:p>
    <w:p w:rsidRPr="007F0B8E" w:rsidR="00B31222" w:rsidP="00AB4D0E" w:rsidRDefault="00B31222" w14:paraId="1260D779" w14:textId="77777777">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p>
    <w:p w:rsidRPr="007F0B8E" w:rsidR="00DC1594" w:rsidP="00AB4D0E" w:rsidRDefault="00B31222" w14:paraId="2836EA11" w14:textId="65653047">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r w:rsidRPr="007F0B8E">
        <w:rPr>
          <w:rFonts w:ascii="Palatino Linotype" w:hAnsi="Palatino Linotype" w:cs="Tahoma"/>
          <w:b/>
          <w:color w:val="0D0D0D" w:themeColor="text1" w:themeTint="F2"/>
          <w:szCs w:val="22"/>
        </w:rPr>
        <w:t xml:space="preserve">I. Presentación de </w:t>
      </w:r>
      <w:r w:rsidRPr="007F0B8E" w:rsidR="00C5689A">
        <w:rPr>
          <w:rFonts w:ascii="Palatino Linotype" w:hAnsi="Palatino Linotype" w:cs="Tahoma"/>
          <w:b/>
          <w:color w:val="0D0D0D" w:themeColor="text1" w:themeTint="F2"/>
          <w:szCs w:val="22"/>
        </w:rPr>
        <w:t>la solicitud</w:t>
      </w:r>
      <w:r w:rsidRPr="007F0B8E">
        <w:rPr>
          <w:rFonts w:ascii="Palatino Linotype" w:hAnsi="Palatino Linotype" w:cs="Tahoma"/>
          <w:b/>
          <w:color w:val="0D0D0D" w:themeColor="text1" w:themeTint="F2"/>
          <w:szCs w:val="22"/>
        </w:rPr>
        <w:t xml:space="preserve"> de información. </w:t>
      </w:r>
    </w:p>
    <w:p w:rsidRPr="007F0B8E" w:rsidR="00DC1594" w:rsidP="00AB4D0E" w:rsidRDefault="00DC1594" w14:paraId="5DBE4EFD" w14:textId="77777777">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p>
    <w:p w:rsidRPr="007F0B8E" w:rsidR="00A707F7" w:rsidP="00A707F7" w:rsidRDefault="00A707F7" w14:paraId="465B915E" w14:textId="3442F961">
      <w:pPr>
        <w:pStyle w:val="Prrafodelista"/>
        <w:tabs>
          <w:tab w:val="left" w:pos="567"/>
        </w:tabs>
        <w:spacing w:line="360" w:lineRule="auto"/>
        <w:ind w:left="0"/>
        <w:contextualSpacing w:val="0"/>
        <w:jc w:val="both"/>
        <w:rPr>
          <w:rFonts w:ascii="Palatino Linotype" w:hAnsi="Palatino Linotype" w:cs="Tahoma"/>
          <w:color w:val="0D0D0D" w:themeColor="text1" w:themeTint="F2"/>
          <w:szCs w:val="22"/>
        </w:rPr>
      </w:pPr>
      <w:r w:rsidRPr="007F0B8E">
        <w:rPr>
          <w:rFonts w:ascii="Palatino Linotype" w:hAnsi="Palatino Linotype" w:cs="Tahoma"/>
          <w:color w:val="0D0D0D" w:themeColor="text1" w:themeTint="F2"/>
          <w:szCs w:val="22"/>
        </w:rPr>
        <w:t xml:space="preserve">Con fecha </w:t>
      </w:r>
      <w:r w:rsidRPr="007F0B8E" w:rsidR="00680EFE">
        <w:rPr>
          <w:rFonts w:ascii="Palatino Linotype" w:hAnsi="Palatino Linotype" w:cs="Tahoma"/>
          <w:color w:val="0D0D0D" w:themeColor="text1" w:themeTint="F2"/>
          <w:szCs w:val="22"/>
        </w:rPr>
        <w:t>dieciocho</w:t>
      </w:r>
      <w:r w:rsidRPr="007F0B8E" w:rsidR="00773F73">
        <w:rPr>
          <w:rFonts w:ascii="Palatino Linotype" w:hAnsi="Palatino Linotype" w:cs="Tahoma"/>
          <w:color w:val="0D0D0D" w:themeColor="text1" w:themeTint="F2"/>
          <w:szCs w:val="22"/>
        </w:rPr>
        <w:t xml:space="preserve"> de </w:t>
      </w:r>
      <w:r w:rsidRPr="007F0B8E" w:rsidR="00680EFE">
        <w:rPr>
          <w:rFonts w:ascii="Palatino Linotype" w:hAnsi="Palatino Linotype" w:cs="Tahoma"/>
          <w:color w:val="0D0D0D" w:themeColor="text1" w:themeTint="F2"/>
          <w:szCs w:val="22"/>
        </w:rPr>
        <w:t>febrero</w:t>
      </w:r>
      <w:r w:rsidRPr="007F0B8E" w:rsidR="00FA103D">
        <w:rPr>
          <w:rFonts w:ascii="Palatino Linotype" w:hAnsi="Palatino Linotype" w:cs="Tahoma"/>
          <w:color w:val="0D0D0D" w:themeColor="text1" w:themeTint="F2"/>
          <w:szCs w:val="22"/>
        </w:rPr>
        <w:t xml:space="preserve"> de dos mil veinti</w:t>
      </w:r>
      <w:r w:rsidRPr="007F0B8E" w:rsidR="00680EFE">
        <w:rPr>
          <w:rFonts w:ascii="Palatino Linotype" w:hAnsi="Palatino Linotype" w:cs="Tahoma"/>
          <w:color w:val="0D0D0D" w:themeColor="text1" w:themeTint="F2"/>
          <w:szCs w:val="22"/>
        </w:rPr>
        <w:t>dós</w:t>
      </w:r>
      <w:r w:rsidRPr="007F0B8E">
        <w:rPr>
          <w:rFonts w:ascii="Palatino Linotype" w:hAnsi="Palatino Linotype" w:cs="Tahoma"/>
          <w:color w:val="0D0D0D" w:themeColor="text1" w:themeTint="F2"/>
          <w:szCs w:val="22"/>
        </w:rPr>
        <w:t xml:space="preserve">, </w:t>
      </w:r>
      <w:r w:rsidRPr="007F0B8E" w:rsidR="00B4656A">
        <w:rPr>
          <w:rFonts w:ascii="Palatino Linotype" w:hAnsi="Palatino Linotype" w:cs="Tahoma"/>
          <w:color w:val="0D0D0D" w:themeColor="text1" w:themeTint="F2"/>
          <w:szCs w:val="22"/>
        </w:rPr>
        <w:t>la</w:t>
      </w:r>
      <w:r w:rsidRPr="007F0B8E">
        <w:rPr>
          <w:rFonts w:ascii="Palatino Linotype" w:hAnsi="Palatino Linotype" w:cs="Tahoma"/>
          <w:color w:val="0D0D0D" w:themeColor="text1" w:themeTint="F2"/>
          <w:szCs w:val="22"/>
        </w:rPr>
        <w:t xml:space="preserve"> Particular presentó una solicitud de acceso a la información pública, </w:t>
      </w:r>
      <w:r w:rsidRPr="007F0B8E" w:rsidR="002E0130">
        <w:rPr>
          <w:rFonts w:ascii="Palatino Linotype" w:hAnsi="Palatino Linotype" w:cs="Tahoma"/>
          <w:color w:val="0D0D0D" w:themeColor="text1" w:themeTint="F2"/>
          <w:szCs w:val="22"/>
        </w:rPr>
        <w:t xml:space="preserve">a través </w:t>
      </w:r>
      <w:r w:rsidRPr="007F0B8E" w:rsidR="00FA103D">
        <w:rPr>
          <w:rFonts w:ascii="Palatino Linotype" w:hAnsi="Palatino Linotype" w:cs="Tahoma"/>
          <w:color w:val="0D0D0D" w:themeColor="text1" w:themeTint="F2"/>
          <w:szCs w:val="22"/>
        </w:rPr>
        <w:t>del Sistema de Acceso a la Información Mexiquense (SAIMEX)</w:t>
      </w:r>
      <w:r w:rsidRPr="007F0B8E">
        <w:rPr>
          <w:rFonts w:ascii="Palatino Linotype" w:hAnsi="Palatino Linotype" w:cs="Tahoma"/>
          <w:color w:val="0D0D0D" w:themeColor="text1" w:themeTint="F2"/>
          <w:szCs w:val="22"/>
        </w:rPr>
        <w:t xml:space="preserve">, ante </w:t>
      </w:r>
      <w:r w:rsidRPr="007F0B8E" w:rsidR="00600975">
        <w:rPr>
          <w:rFonts w:ascii="Palatino Linotype" w:hAnsi="Palatino Linotype" w:cs="Tahoma"/>
          <w:color w:val="0D0D0D" w:themeColor="text1" w:themeTint="F2"/>
          <w:szCs w:val="22"/>
        </w:rPr>
        <w:t>el</w:t>
      </w:r>
      <w:r w:rsidRPr="007F0B8E">
        <w:rPr>
          <w:rFonts w:ascii="Palatino Linotype" w:hAnsi="Palatino Linotype" w:cs="Tahoma"/>
          <w:color w:val="0D0D0D" w:themeColor="text1" w:themeTint="F2"/>
          <w:szCs w:val="22"/>
        </w:rPr>
        <w:t xml:space="preserve"> </w:t>
      </w:r>
      <w:r w:rsidRPr="007F0B8E" w:rsidR="00600975">
        <w:rPr>
          <w:rFonts w:ascii="Palatino Linotype" w:hAnsi="Palatino Linotype" w:cs="Tahoma"/>
          <w:color w:val="0D0D0D" w:themeColor="text1" w:themeTint="F2"/>
          <w:szCs w:val="22"/>
        </w:rPr>
        <w:t>Ayuntamiento de Ixtlahuaca</w:t>
      </w:r>
      <w:r w:rsidRPr="007F0B8E">
        <w:rPr>
          <w:rFonts w:ascii="Palatino Linotype" w:hAnsi="Palatino Linotype" w:cs="Tahoma"/>
          <w:color w:val="0D0D0D" w:themeColor="text1" w:themeTint="F2"/>
          <w:szCs w:val="22"/>
        </w:rPr>
        <w:t>, en donde requirió lo siguiente:</w:t>
      </w:r>
    </w:p>
    <w:p w:rsidRPr="007F0B8E" w:rsidR="00A707F7" w:rsidP="00A707F7" w:rsidRDefault="00A707F7" w14:paraId="728DC233" w14:textId="77777777">
      <w:pPr>
        <w:tabs>
          <w:tab w:val="left" w:pos="4667"/>
        </w:tabs>
        <w:spacing w:line="360" w:lineRule="auto"/>
        <w:ind w:left="567" w:right="567"/>
        <w:jc w:val="both"/>
        <w:rPr>
          <w:rFonts w:ascii="Palatino Linotype" w:hAnsi="Palatino Linotype" w:cs="Tahoma"/>
          <w:b/>
          <w:bCs/>
          <w:i/>
          <w:color w:val="0D0D0D" w:themeColor="text1" w:themeTint="F2"/>
        </w:rPr>
      </w:pPr>
      <w:r w:rsidRPr="007F0B8E">
        <w:rPr>
          <w:rFonts w:ascii="Palatino Linotype" w:hAnsi="Palatino Linotype" w:cs="Tahoma"/>
          <w:b/>
          <w:bCs/>
          <w:i/>
          <w:color w:val="0D0D0D" w:themeColor="text1" w:themeTint="F2"/>
        </w:rPr>
        <w:t xml:space="preserve"> </w:t>
      </w:r>
    </w:p>
    <w:p w:rsidRPr="007F0B8E" w:rsidR="00D01F75" w:rsidP="00A707F7" w:rsidRDefault="00D01F75" w14:paraId="09E3BFF5" w14:textId="7728C801">
      <w:pPr>
        <w:tabs>
          <w:tab w:val="left" w:pos="4667"/>
        </w:tabs>
        <w:spacing w:line="360" w:lineRule="auto"/>
        <w:ind w:left="567" w:right="567"/>
        <w:jc w:val="both"/>
        <w:rPr>
          <w:rFonts w:ascii="Palatino Linotype" w:hAnsi="Palatino Linotype" w:cs="Tahoma"/>
          <w:b/>
          <w:bCs/>
          <w:i/>
          <w:color w:val="0D0D0D" w:themeColor="text1" w:themeTint="F2"/>
        </w:rPr>
      </w:pPr>
      <w:r w:rsidRPr="007F0B8E">
        <w:rPr>
          <w:rFonts w:ascii="Palatino Linotype" w:hAnsi="Palatino Linotype" w:cs="Tahoma"/>
          <w:b/>
          <w:bCs/>
          <w:i/>
          <w:color w:val="0D0D0D" w:themeColor="text1" w:themeTint="F2"/>
        </w:rPr>
        <w:t>“DESCRIPCIÓN CLARA Y PRECISA DE LA INFORMACIÓN SOLICITADA</w:t>
      </w:r>
    </w:p>
    <w:p w:rsidRPr="007F0B8E" w:rsidR="00D01F75" w:rsidP="00AB4D0E" w:rsidRDefault="00600975" w14:paraId="0147D8B9" w14:textId="5D161B8D">
      <w:pPr>
        <w:tabs>
          <w:tab w:val="left" w:pos="4667"/>
        </w:tabs>
        <w:spacing w:line="360" w:lineRule="auto"/>
        <w:ind w:left="567" w:right="567"/>
        <w:jc w:val="both"/>
        <w:rPr>
          <w:rFonts w:ascii="Palatino Linotype" w:hAnsi="Palatino Linotype" w:cs="Tahoma"/>
          <w:bCs/>
          <w:i/>
          <w:color w:val="0D0D0D" w:themeColor="text1" w:themeTint="F2"/>
        </w:rPr>
      </w:pPr>
      <w:r w:rsidRPr="007F0B8E">
        <w:rPr>
          <w:rFonts w:ascii="Palatino Linotype" w:hAnsi="Palatino Linotype" w:cs="Tahoma"/>
          <w:bCs/>
          <w:i/>
          <w:color w:val="0D0D0D" w:themeColor="text1" w:themeTint="F2"/>
        </w:rPr>
        <w:t xml:space="preserve">Solicito se me proporcione en un listado el nombre completo, cargo, adscripción, escolaridad y sueldo bruto y neto de todo el personal de base y de confianza adscrito al Ayuntamiento de Ixtlahuaca que haya laborado durante la </w:t>
      </w:r>
      <w:proofErr w:type="gramStart"/>
      <w:r w:rsidRPr="007F0B8E">
        <w:rPr>
          <w:rFonts w:ascii="Palatino Linotype" w:hAnsi="Palatino Linotype" w:cs="Tahoma"/>
          <w:bCs/>
          <w:i/>
          <w:color w:val="0D0D0D" w:themeColor="text1" w:themeTint="F2"/>
        </w:rPr>
        <w:t>primer quincena</w:t>
      </w:r>
      <w:proofErr w:type="gramEnd"/>
      <w:r w:rsidRPr="007F0B8E">
        <w:rPr>
          <w:rFonts w:ascii="Palatino Linotype" w:hAnsi="Palatino Linotype" w:cs="Tahoma"/>
          <w:bCs/>
          <w:i/>
          <w:color w:val="0D0D0D" w:themeColor="text1" w:themeTint="F2"/>
        </w:rPr>
        <w:t xml:space="preserve"> del mes de febrero de la presente anualidad.</w:t>
      </w:r>
      <w:r w:rsidRPr="007F0B8E" w:rsidR="00D01F75">
        <w:rPr>
          <w:rFonts w:ascii="Palatino Linotype" w:hAnsi="Palatino Linotype" w:cs="Tahoma"/>
          <w:bCs/>
          <w:i/>
          <w:color w:val="0D0D0D" w:themeColor="text1" w:themeTint="F2"/>
        </w:rPr>
        <w:t>” (Sic.)</w:t>
      </w:r>
    </w:p>
    <w:p w:rsidRPr="007F0B8E" w:rsidR="00FE42E4" w:rsidP="00AB4D0E" w:rsidRDefault="00FE42E4" w14:paraId="23E50F13" w14:textId="77777777">
      <w:pPr>
        <w:tabs>
          <w:tab w:val="left" w:pos="4667"/>
        </w:tabs>
        <w:spacing w:line="360" w:lineRule="auto"/>
        <w:ind w:left="567" w:right="567"/>
        <w:jc w:val="both"/>
        <w:rPr>
          <w:rFonts w:ascii="Palatino Linotype" w:hAnsi="Palatino Linotype" w:cs="Tahoma"/>
          <w:bCs/>
          <w:i/>
          <w:color w:val="0D0D0D" w:themeColor="text1" w:themeTint="F2"/>
        </w:rPr>
      </w:pPr>
    </w:p>
    <w:p w:rsidRPr="007F0B8E" w:rsidR="002E0130" w:rsidP="002E0130" w:rsidRDefault="002E0130" w14:paraId="5307D82E" w14:textId="77777777">
      <w:pPr>
        <w:tabs>
          <w:tab w:val="left" w:pos="4667"/>
        </w:tabs>
        <w:spacing w:line="360" w:lineRule="auto"/>
        <w:ind w:left="567" w:right="567"/>
        <w:jc w:val="both"/>
        <w:rPr>
          <w:rFonts w:ascii="Palatino Linotype" w:hAnsi="Palatino Linotype" w:cs="Tahoma"/>
          <w:b/>
          <w:bCs/>
          <w:i/>
          <w:iCs/>
          <w:color w:val="0D0D0D" w:themeColor="text1" w:themeTint="F2"/>
        </w:rPr>
      </w:pPr>
      <w:r w:rsidRPr="007F0B8E">
        <w:rPr>
          <w:rFonts w:ascii="Palatino Linotype" w:hAnsi="Palatino Linotype" w:cs="Tahoma"/>
          <w:b/>
          <w:bCs/>
          <w:i/>
          <w:iCs/>
          <w:color w:val="0D0D0D" w:themeColor="text1" w:themeTint="F2"/>
        </w:rPr>
        <w:t>“MODALIDAD DE ENTREGA</w:t>
      </w:r>
    </w:p>
    <w:p w:rsidRPr="007F0B8E" w:rsidR="002E0130" w:rsidP="002E0130" w:rsidRDefault="00773F73" w14:paraId="09549E77" w14:textId="0235E774">
      <w:pPr>
        <w:spacing w:line="360" w:lineRule="auto"/>
        <w:ind w:left="567" w:right="567"/>
        <w:jc w:val="both"/>
        <w:rPr>
          <w:rFonts w:ascii="Palatino Linotype" w:hAnsi="Palatino Linotype" w:cs="Tahoma"/>
          <w:bCs/>
          <w:i/>
          <w:color w:val="0D0D0D" w:themeColor="text1" w:themeTint="F2"/>
          <w:szCs w:val="22"/>
        </w:rPr>
      </w:pPr>
      <w:r w:rsidRPr="007F0B8E">
        <w:rPr>
          <w:rFonts w:ascii="Palatino Linotype" w:hAnsi="Palatino Linotype" w:cs="Tahoma"/>
          <w:bCs/>
          <w:i/>
          <w:color w:val="0D0D0D" w:themeColor="text1" w:themeTint="F2"/>
          <w:szCs w:val="22"/>
        </w:rPr>
        <w:t>A través del SAIMEX</w:t>
      </w:r>
      <w:r w:rsidRPr="007F0B8E" w:rsidR="002E0130">
        <w:rPr>
          <w:rFonts w:ascii="Palatino Linotype" w:hAnsi="Palatino Linotype" w:cs="Tahoma"/>
          <w:bCs/>
          <w:i/>
          <w:color w:val="0D0D0D" w:themeColor="text1" w:themeTint="F2"/>
          <w:szCs w:val="22"/>
        </w:rPr>
        <w:t>”</w:t>
      </w:r>
    </w:p>
    <w:p w:rsidRPr="007F0B8E" w:rsidR="002E0130" w:rsidP="002E0130" w:rsidRDefault="002E0130" w14:paraId="0E4FE5F1" w14:textId="77777777">
      <w:pPr>
        <w:spacing w:line="360" w:lineRule="auto"/>
        <w:ind w:left="567" w:right="567"/>
        <w:jc w:val="both"/>
        <w:rPr>
          <w:rFonts w:ascii="Palatino Linotype" w:hAnsi="Palatino Linotype" w:cs="Tahoma"/>
          <w:bCs/>
          <w:i/>
          <w:color w:val="0D0D0D" w:themeColor="text1" w:themeTint="F2"/>
          <w:sz w:val="22"/>
          <w:szCs w:val="22"/>
        </w:rPr>
      </w:pPr>
    </w:p>
    <w:p w:rsidRPr="007F0B8E" w:rsidR="00AA5A86" w:rsidP="00AB4D0E" w:rsidRDefault="006C1B1D" w14:paraId="0056011E" w14:textId="7E46D9B4">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r w:rsidRPr="007F0B8E">
        <w:rPr>
          <w:rFonts w:ascii="Palatino Linotype" w:hAnsi="Palatino Linotype" w:cs="Tahoma"/>
          <w:b/>
          <w:color w:val="0D0D0D" w:themeColor="text1" w:themeTint="F2"/>
          <w:szCs w:val="22"/>
        </w:rPr>
        <w:lastRenderedPageBreak/>
        <w:t>II</w:t>
      </w:r>
      <w:r w:rsidRPr="007F0B8E" w:rsidR="00C55151">
        <w:rPr>
          <w:rFonts w:ascii="Palatino Linotype" w:hAnsi="Palatino Linotype" w:cs="Tahoma"/>
          <w:b/>
          <w:color w:val="0D0D0D" w:themeColor="text1" w:themeTint="F2"/>
          <w:szCs w:val="22"/>
        </w:rPr>
        <w:t>.</w:t>
      </w:r>
      <w:r w:rsidRPr="007F0B8E" w:rsidR="00D34402">
        <w:rPr>
          <w:rFonts w:ascii="Palatino Linotype" w:hAnsi="Palatino Linotype" w:cs="Tahoma"/>
          <w:b/>
          <w:color w:val="0D0D0D" w:themeColor="text1" w:themeTint="F2"/>
          <w:szCs w:val="22"/>
        </w:rPr>
        <w:t xml:space="preserve"> </w:t>
      </w:r>
      <w:r w:rsidRPr="007F0B8E" w:rsidR="00AA5A86">
        <w:rPr>
          <w:rFonts w:ascii="Palatino Linotype" w:hAnsi="Palatino Linotype" w:cs="Tahoma"/>
          <w:b/>
          <w:color w:val="0D0D0D" w:themeColor="text1" w:themeTint="F2"/>
          <w:szCs w:val="22"/>
        </w:rPr>
        <w:t>Respuesta del Sujeto Obligado.</w:t>
      </w:r>
    </w:p>
    <w:p w:rsidRPr="007F0B8E" w:rsidR="00E92E54" w:rsidP="00AB4D0E" w:rsidRDefault="00E92E54" w14:paraId="0E42A25D" w14:textId="77777777">
      <w:pPr>
        <w:pStyle w:val="Prrafodelista"/>
        <w:tabs>
          <w:tab w:val="left" w:pos="567"/>
        </w:tabs>
        <w:spacing w:line="360" w:lineRule="auto"/>
        <w:ind w:left="0"/>
        <w:contextualSpacing w:val="0"/>
        <w:jc w:val="both"/>
        <w:rPr>
          <w:rFonts w:ascii="Palatino Linotype" w:hAnsi="Palatino Linotype" w:cs="Tahoma"/>
          <w:b/>
          <w:color w:val="0D0D0D" w:themeColor="text1" w:themeTint="F2"/>
          <w:szCs w:val="22"/>
        </w:rPr>
      </w:pPr>
    </w:p>
    <w:p w:rsidRPr="007F0B8E" w:rsidR="005A6996" w:rsidP="00AB4D0E" w:rsidRDefault="00E43A0F" w14:paraId="20047E2A" w14:textId="15DCD905">
      <w:pPr>
        <w:autoSpaceDE w:val="0"/>
        <w:autoSpaceDN w:val="0"/>
        <w:adjustRightInd w:val="0"/>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Con fecha </w:t>
      </w:r>
      <w:r w:rsidRPr="007F0B8E" w:rsidR="00600975">
        <w:rPr>
          <w:rFonts w:ascii="Palatino Linotype" w:hAnsi="Palatino Linotype" w:cs="Tahoma"/>
          <w:color w:val="0D0D0D" w:themeColor="text1" w:themeTint="F2"/>
          <w:sz w:val="22"/>
          <w:szCs w:val="22"/>
        </w:rPr>
        <w:t>catorce</w:t>
      </w:r>
      <w:r w:rsidRPr="007F0B8E" w:rsidR="00B4656A">
        <w:rPr>
          <w:rFonts w:ascii="Palatino Linotype" w:hAnsi="Palatino Linotype" w:cs="Tahoma"/>
          <w:color w:val="0D0D0D" w:themeColor="text1" w:themeTint="F2"/>
          <w:sz w:val="22"/>
          <w:szCs w:val="22"/>
        </w:rPr>
        <w:t xml:space="preserve"> de </w:t>
      </w:r>
      <w:r w:rsidRPr="007F0B8E" w:rsidR="00600975">
        <w:rPr>
          <w:rFonts w:ascii="Palatino Linotype" w:hAnsi="Palatino Linotype" w:cs="Tahoma"/>
          <w:color w:val="0D0D0D" w:themeColor="text1" w:themeTint="F2"/>
          <w:sz w:val="22"/>
          <w:szCs w:val="22"/>
        </w:rPr>
        <w:t xml:space="preserve">marzo </w:t>
      </w:r>
      <w:r w:rsidRPr="007F0B8E" w:rsidR="00FA103D">
        <w:rPr>
          <w:rFonts w:ascii="Palatino Linotype" w:hAnsi="Palatino Linotype" w:cs="Tahoma"/>
          <w:color w:val="0D0D0D" w:themeColor="text1" w:themeTint="F2"/>
          <w:sz w:val="22"/>
          <w:szCs w:val="22"/>
        </w:rPr>
        <w:t>de dos mil veinti</w:t>
      </w:r>
      <w:r w:rsidRPr="007F0B8E" w:rsidR="00600975">
        <w:rPr>
          <w:rFonts w:ascii="Palatino Linotype" w:hAnsi="Palatino Linotype" w:cs="Tahoma"/>
          <w:color w:val="0D0D0D" w:themeColor="text1" w:themeTint="F2"/>
          <w:sz w:val="22"/>
          <w:szCs w:val="22"/>
        </w:rPr>
        <w:t>dós</w:t>
      </w:r>
      <w:r w:rsidRPr="007F0B8E">
        <w:rPr>
          <w:rFonts w:ascii="Palatino Linotype" w:hAnsi="Palatino Linotype" w:cs="Tahoma"/>
          <w:color w:val="0D0D0D" w:themeColor="text1" w:themeTint="F2"/>
          <w:sz w:val="22"/>
          <w:szCs w:val="22"/>
        </w:rPr>
        <w:t xml:space="preserve">, </w:t>
      </w:r>
      <w:r w:rsidRPr="007F0B8E" w:rsidR="00600975">
        <w:rPr>
          <w:rFonts w:ascii="Palatino Linotype" w:hAnsi="Palatino Linotype" w:cs="Tahoma"/>
          <w:color w:val="0D0D0D" w:themeColor="text1" w:themeTint="F2"/>
          <w:sz w:val="22"/>
          <w:szCs w:val="22"/>
        </w:rPr>
        <w:t>el Sujeto Obligado</w:t>
      </w:r>
      <w:r w:rsidRPr="007F0B8E">
        <w:rPr>
          <w:rFonts w:ascii="Palatino Linotype" w:hAnsi="Palatino Linotype" w:cs="Tahoma"/>
          <w:color w:val="0D0D0D" w:themeColor="text1" w:themeTint="F2"/>
          <w:sz w:val="22"/>
          <w:szCs w:val="22"/>
        </w:rPr>
        <w:t xml:space="preserve"> notificó </w:t>
      </w:r>
      <w:r w:rsidRPr="007F0B8E" w:rsidR="00FA103D">
        <w:rPr>
          <w:rFonts w:ascii="Palatino Linotype" w:hAnsi="Palatino Linotype" w:cs="Tahoma"/>
          <w:color w:val="0D0D0D" w:themeColor="text1" w:themeTint="F2"/>
          <w:sz w:val="22"/>
          <w:szCs w:val="22"/>
        </w:rPr>
        <w:t>a</w:t>
      </w:r>
      <w:r w:rsidRPr="007F0B8E" w:rsidR="00B4656A">
        <w:rPr>
          <w:rFonts w:ascii="Palatino Linotype" w:hAnsi="Palatino Linotype" w:cs="Tahoma"/>
          <w:color w:val="0D0D0D" w:themeColor="text1" w:themeTint="F2"/>
          <w:sz w:val="22"/>
          <w:szCs w:val="22"/>
        </w:rPr>
        <w:t xml:space="preserve"> </w:t>
      </w:r>
      <w:r w:rsidRPr="007F0B8E" w:rsidR="00FA103D">
        <w:rPr>
          <w:rFonts w:ascii="Palatino Linotype" w:hAnsi="Palatino Linotype" w:cs="Tahoma"/>
          <w:color w:val="0D0D0D" w:themeColor="text1" w:themeTint="F2"/>
          <w:sz w:val="22"/>
          <w:szCs w:val="22"/>
        </w:rPr>
        <w:t>l</w:t>
      </w:r>
      <w:r w:rsidRPr="007F0B8E" w:rsidR="00B4656A">
        <w:rPr>
          <w:rFonts w:ascii="Palatino Linotype" w:hAnsi="Palatino Linotype" w:cs="Tahoma"/>
          <w:color w:val="0D0D0D" w:themeColor="text1" w:themeTint="F2"/>
          <w:sz w:val="22"/>
          <w:szCs w:val="22"/>
        </w:rPr>
        <w:t>a</w:t>
      </w:r>
      <w:r w:rsidRPr="007F0B8E">
        <w:rPr>
          <w:rFonts w:ascii="Palatino Linotype" w:hAnsi="Palatino Linotype" w:cs="Tahoma"/>
          <w:color w:val="0D0D0D" w:themeColor="text1" w:themeTint="F2"/>
          <w:sz w:val="22"/>
          <w:szCs w:val="22"/>
        </w:rPr>
        <w:t xml:space="preserve"> </w:t>
      </w:r>
      <w:r w:rsidRPr="007F0B8E" w:rsidR="00D34402">
        <w:rPr>
          <w:rFonts w:ascii="Palatino Linotype" w:hAnsi="Palatino Linotype" w:cs="Tahoma"/>
          <w:color w:val="0D0D0D" w:themeColor="text1" w:themeTint="F2"/>
          <w:sz w:val="22"/>
          <w:szCs w:val="22"/>
        </w:rPr>
        <w:t>Solicitante</w:t>
      </w:r>
      <w:r w:rsidRPr="007F0B8E">
        <w:rPr>
          <w:rFonts w:ascii="Palatino Linotype" w:hAnsi="Palatino Linotype" w:cs="Tahoma"/>
          <w:color w:val="0D0D0D" w:themeColor="text1" w:themeTint="F2"/>
          <w:sz w:val="22"/>
          <w:szCs w:val="22"/>
        </w:rPr>
        <w:t>, mediante el Sistema de Acceso a la Información Me</w:t>
      </w:r>
      <w:r w:rsidRPr="007F0B8E" w:rsidR="003C5C01">
        <w:rPr>
          <w:rFonts w:ascii="Palatino Linotype" w:hAnsi="Palatino Linotype" w:cs="Tahoma"/>
          <w:color w:val="0D0D0D" w:themeColor="text1" w:themeTint="F2"/>
          <w:sz w:val="22"/>
          <w:szCs w:val="22"/>
        </w:rPr>
        <w:t>xiquense (SAIME</w:t>
      </w:r>
      <w:r w:rsidRPr="007F0B8E" w:rsidR="005A6996">
        <w:rPr>
          <w:rFonts w:ascii="Palatino Linotype" w:hAnsi="Palatino Linotype" w:cs="Tahoma"/>
          <w:color w:val="0D0D0D" w:themeColor="text1" w:themeTint="F2"/>
          <w:sz w:val="22"/>
          <w:szCs w:val="22"/>
        </w:rPr>
        <w:t xml:space="preserve">X), la respuesta, a través </w:t>
      </w:r>
      <w:r w:rsidRPr="007F0B8E" w:rsidR="00B4656A">
        <w:rPr>
          <w:rFonts w:ascii="Palatino Linotype" w:hAnsi="Palatino Linotype" w:cs="Tahoma"/>
          <w:color w:val="0D0D0D" w:themeColor="text1" w:themeTint="F2"/>
          <w:sz w:val="22"/>
          <w:szCs w:val="22"/>
        </w:rPr>
        <w:t xml:space="preserve">del </w:t>
      </w:r>
      <w:r w:rsidRPr="007F0B8E" w:rsidR="000E55F2">
        <w:rPr>
          <w:rFonts w:ascii="Palatino Linotype" w:hAnsi="Palatino Linotype" w:cs="Tahoma"/>
          <w:color w:val="0D0D0D" w:themeColor="text1" w:themeTint="F2"/>
          <w:sz w:val="22"/>
          <w:szCs w:val="22"/>
        </w:rPr>
        <w:t>oficio número PMIX/DA/RH/0412/2022</w:t>
      </w:r>
      <w:r w:rsidRPr="007F0B8E" w:rsidR="00B4656A">
        <w:rPr>
          <w:rFonts w:ascii="Palatino Linotype" w:hAnsi="Palatino Linotype" w:cs="Tahoma"/>
          <w:color w:val="0D0D0D" w:themeColor="text1" w:themeTint="F2"/>
          <w:sz w:val="22"/>
          <w:szCs w:val="22"/>
        </w:rPr>
        <w:t xml:space="preserve">, </w:t>
      </w:r>
      <w:r w:rsidRPr="007F0B8E" w:rsidR="000E55F2">
        <w:rPr>
          <w:rFonts w:ascii="Palatino Linotype" w:hAnsi="Palatino Linotype" w:cs="Tahoma"/>
          <w:color w:val="0D0D0D" w:themeColor="text1" w:themeTint="F2"/>
          <w:sz w:val="22"/>
          <w:szCs w:val="22"/>
        </w:rPr>
        <w:t>de la misma fecha de recepción</w:t>
      </w:r>
      <w:r w:rsidRPr="007F0B8E" w:rsidR="00B4656A">
        <w:rPr>
          <w:rFonts w:ascii="Palatino Linotype" w:hAnsi="Palatino Linotype" w:cs="Tahoma"/>
          <w:color w:val="0D0D0D" w:themeColor="text1" w:themeTint="F2"/>
          <w:sz w:val="22"/>
          <w:szCs w:val="22"/>
        </w:rPr>
        <w:t>, suscrit</w:t>
      </w:r>
      <w:r w:rsidRPr="007F0B8E" w:rsidR="000E55F2">
        <w:rPr>
          <w:rFonts w:ascii="Palatino Linotype" w:hAnsi="Palatino Linotype" w:cs="Tahoma"/>
          <w:color w:val="0D0D0D" w:themeColor="text1" w:themeTint="F2"/>
          <w:sz w:val="22"/>
          <w:szCs w:val="22"/>
        </w:rPr>
        <w:t>o</w:t>
      </w:r>
      <w:r w:rsidRPr="007F0B8E" w:rsidR="00B4656A">
        <w:rPr>
          <w:rFonts w:ascii="Palatino Linotype" w:hAnsi="Palatino Linotype" w:cs="Tahoma"/>
          <w:color w:val="0D0D0D" w:themeColor="text1" w:themeTint="F2"/>
          <w:sz w:val="22"/>
          <w:szCs w:val="22"/>
        </w:rPr>
        <w:t xml:space="preserve"> por </w:t>
      </w:r>
      <w:r w:rsidRPr="007F0B8E" w:rsidR="000E55F2">
        <w:rPr>
          <w:rFonts w:ascii="Palatino Linotype" w:hAnsi="Palatino Linotype" w:cs="Tahoma"/>
          <w:color w:val="0D0D0D" w:themeColor="text1" w:themeTint="F2"/>
          <w:sz w:val="22"/>
          <w:szCs w:val="22"/>
        </w:rPr>
        <w:t xml:space="preserve">la Directora de Administración y dirigido </w:t>
      </w:r>
      <w:r w:rsidRPr="007F0B8E" w:rsidR="00EE38B2">
        <w:rPr>
          <w:rFonts w:ascii="Palatino Linotype" w:hAnsi="Palatino Linotype" w:cs="Tahoma"/>
          <w:color w:val="0D0D0D" w:themeColor="text1" w:themeTint="F2"/>
          <w:sz w:val="22"/>
          <w:szCs w:val="22"/>
        </w:rPr>
        <w:t>a la Titular de la Unidad de Transparencia y Acceso a la Información Pública Municipal</w:t>
      </w:r>
      <w:r w:rsidRPr="007F0B8E" w:rsidR="0090483E">
        <w:rPr>
          <w:rFonts w:ascii="Palatino Linotype" w:hAnsi="Palatino Linotype" w:cs="Tahoma"/>
          <w:color w:val="0D0D0D" w:themeColor="text1" w:themeTint="F2"/>
          <w:sz w:val="22"/>
          <w:szCs w:val="22"/>
        </w:rPr>
        <w:t xml:space="preserve">, </w:t>
      </w:r>
      <w:r w:rsidRPr="007F0B8E" w:rsidR="00EE38B2">
        <w:rPr>
          <w:rFonts w:ascii="Palatino Linotype" w:hAnsi="Palatino Linotype" w:cs="Tahoma"/>
          <w:color w:val="0D0D0D" w:themeColor="text1" w:themeTint="F2"/>
          <w:sz w:val="22"/>
          <w:szCs w:val="22"/>
        </w:rPr>
        <w:t>en los siguientes términos</w:t>
      </w:r>
      <w:r w:rsidRPr="007F0B8E" w:rsidR="0090483E">
        <w:rPr>
          <w:rFonts w:ascii="Palatino Linotype" w:hAnsi="Palatino Linotype" w:cs="Tahoma"/>
          <w:color w:val="0D0D0D" w:themeColor="text1" w:themeTint="F2"/>
          <w:sz w:val="22"/>
          <w:szCs w:val="22"/>
        </w:rPr>
        <w:t>:</w:t>
      </w:r>
    </w:p>
    <w:p w:rsidRPr="007F0B8E" w:rsidR="0090483E" w:rsidP="00EE38B2" w:rsidRDefault="0090483E" w14:paraId="706E5D36" w14:textId="2D49DFFE">
      <w:pPr>
        <w:autoSpaceDE w:val="0"/>
        <w:autoSpaceDN w:val="0"/>
        <w:adjustRightInd w:val="0"/>
        <w:spacing w:line="360" w:lineRule="auto"/>
        <w:rPr>
          <w:rFonts w:ascii="Palatino Linotype" w:hAnsi="Palatino Linotype" w:cs="Tahoma"/>
          <w:color w:val="0D0D0D" w:themeColor="text1" w:themeTint="F2"/>
          <w:sz w:val="22"/>
          <w:szCs w:val="22"/>
        </w:rPr>
      </w:pPr>
    </w:p>
    <w:p w:rsidRPr="007F0B8E" w:rsidR="00D211AB" w:rsidP="0090310A" w:rsidRDefault="00EE38B2" w14:paraId="1B5E8B46" w14:textId="2AED1FC8">
      <w:pPr>
        <w:autoSpaceDE w:val="0"/>
        <w:autoSpaceDN w:val="0"/>
        <w:adjustRightInd w:val="0"/>
        <w:spacing w:line="360" w:lineRule="auto"/>
        <w:ind w:left="567" w:right="567"/>
        <w:jc w:val="both"/>
        <w:rPr>
          <w:rFonts w:ascii="Palatino Linotype" w:hAnsi="Palatino Linotype" w:cs="Tahoma"/>
          <w:color w:val="0D0D0D" w:themeColor="text1" w:themeTint="F2"/>
        </w:rPr>
      </w:pPr>
      <w:r w:rsidRPr="007F0B8E">
        <w:rPr>
          <w:rFonts w:ascii="Palatino Linotype" w:hAnsi="Palatino Linotype" w:cs="Tahoma"/>
          <w:color w:val="0D0D0D" w:themeColor="text1" w:themeTint="F2"/>
        </w:rPr>
        <w:t>“…</w:t>
      </w:r>
    </w:p>
    <w:p w:rsidRPr="007F0B8E" w:rsidR="00EE38B2" w:rsidP="0090310A" w:rsidRDefault="00EE38B2" w14:paraId="65E8F918" w14:textId="0BEA6187">
      <w:pPr>
        <w:autoSpaceDE w:val="0"/>
        <w:autoSpaceDN w:val="0"/>
        <w:adjustRightInd w:val="0"/>
        <w:spacing w:line="360" w:lineRule="auto"/>
        <w:ind w:left="567" w:right="567"/>
        <w:jc w:val="both"/>
        <w:rPr>
          <w:rFonts w:ascii="Palatino Linotype" w:hAnsi="Palatino Linotype" w:cs="Tahoma"/>
          <w:i/>
          <w:iCs/>
          <w:color w:val="0D0D0D" w:themeColor="text1" w:themeTint="F2"/>
        </w:rPr>
      </w:pPr>
      <w:r w:rsidRPr="007F0B8E">
        <w:rPr>
          <w:rFonts w:ascii="Palatino Linotype" w:hAnsi="Palatino Linotype" w:cs="Tahoma"/>
          <w:i/>
          <w:iCs/>
          <w:color w:val="0D0D0D" w:themeColor="text1" w:themeTint="F2"/>
        </w:rPr>
        <w:t xml:space="preserve">“Se envía nómina en versión pública, correspondiente al periodo que comprende del 01 al 15 de febrero </w:t>
      </w:r>
      <w:r w:rsidRPr="007F0B8E" w:rsidR="00802204">
        <w:rPr>
          <w:rFonts w:ascii="Palatino Linotype" w:hAnsi="Palatino Linotype" w:cs="Tahoma"/>
          <w:i/>
          <w:iCs/>
          <w:color w:val="0D0D0D" w:themeColor="text1" w:themeTint="F2"/>
        </w:rPr>
        <w:t>de 2022, de los servidores públicos solicitados de este Ayuntamiento Constitucional de Ixtlahuaca</w:t>
      </w:r>
      <w:r w:rsidRPr="007F0B8E" w:rsidR="00FD2435">
        <w:rPr>
          <w:rFonts w:ascii="Palatino Linotype" w:hAnsi="Palatino Linotype" w:cs="Tahoma"/>
          <w:i/>
          <w:iCs/>
          <w:color w:val="0D0D0D" w:themeColor="text1" w:themeTint="F2"/>
        </w:rPr>
        <w:t xml:space="preserve">, la cual es información fiel del sistema de nómina en </w:t>
      </w:r>
      <w:proofErr w:type="spellStart"/>
      <w:r w:rsidRPr="007F0B8E" w:rsidR="00FD2435">
        <w:rPr>
          <w:rFonts w:ascii="Palatino Linotype" w:hAnsi="Palatino Linotype" w:cs="Tahoma"/>
          <w:i/>
          <w:iCs/>
          <w:color w:val="0D0D0D" w:themeColor="text1" w:themeTint="F2"/>
        </w:rPr>
        <w:t>l</w:t>
      </w:r>
      <w:proofErr w:type="spellEnd"/>
      <w:r w:rsidRPr="007F0B8E" w:rsidR="00FD2435">
        <w:rPr>
          <w:rFonts w:ascii="Palatino Linotype" w:hAnsi="Palatino Linotype" w:cs="Tahoma"/>
          <w:i/>
          <w:iCs/>
          <w:color w:val="0D0D0D" w:themeColor="text1" w:themeTint="F2"/>
        </w:rPr>
        <w:t xml:space="preserve"> cual, de dicha versión no se testa dato alguno, exceptuando los nombres de los servidores públicos que fungen como policías en la Dirección de Seguridad Pública y Tránsito, los cuales se testaron de conformidad con el Artículo 140 fracción IV de la </w:t>
      </w:r>
      <w:r w:rsidRPr="007F0B8E" w:rsidR="003C12CD">
        <w:rPr>
          <w:rFonts w:ascii="Palatino Linotype" w:hAnsi="Palatino Linotype" w:cs="Tahoma"/>
          <w:i/>
          <w:iCs/>
          <w:color w:val="0D0D0D" w:themeColor="text1" w:themeTint="F2"/>
        </w:rPr>
        <w:t xml:space="preserve">Ley de Transparencia y Acceso a la Información Pública del Estado de México y Municipios y el Artículo 113 fracción V de la Ley General de Transparencia y Acceso a la Información Pública, ya que es un dato que pone en riesgo su seguridad por las funciones que </w:t>
      </w:r>
      <w:r w:rsidRPr="007F0B8E" w:rsidR="0090310A">
        <w:rPr>
          <w:rFonts w:ascii="Palatino Linotype" w:hAnsi="Palatino Linotype" w:cs="Tahoma"/>
          <w:i/>
          <w:iCs/>
          <w:color w:val="0D0D0D" w:themeColor="text1" w:themeTint="F2"/>
        </w:rPr>
        <w:t>desempeña. Mostrando los datos que como su nombre indica son públicos, los cuales son: periodo de pago comprendido, nombre, puesto, escolaridad, dependencia, detalle de percepciones, sueldo bruto y neto, así como el membrete oficial de la administración en turno 2022-2024,”</w:t>
      </w:r>
    </w:p>
    <w:p w:rsidRPr="007F0B8E" w:rsidR="0090310A" w:rsidP="0090310A" w:rsidRDefault="0090310A" w14:paraId="39AC2BBF" w14:textId="51226E7B">
      <w:pPr>
        <w:autoSpaceDE w:val="0"/>
        <w:autoSpaceDN w:val="0"/>
        <w:adjustRightInd w:val="0"/>
        <w:spacing w:line="360" w:lineRule="auto"/>
        <w:ind w:left="567" w:right="567"/>
        <w:jc w:val="both"/>
        <w:rPr>
          <w:rFonts w:ascii="Palatino Linotype" w:hAnsi="Palatino Linotype" w:cs="Tahoma"/>
          <w:color w:val="0D0D0D" w:themeColor="text1" w:themeTint="F2"/>
        </w:rPr>
      </w:pPr>
      <w:r w:rsidRPr="007F0B8E">
        <w:rPr>
          <w:rFonts w:ascii="Palatino Linotype" w:hAnsi="Palatino Linotype" w:cs="Tahoma"/>
          <w:color w:val="0D0D0D" w:themeColor="text1" w:themeTint="F2"/>
        </w:rPr>
        <w:t>…”</w:t>
      </w:r>
    </w:p>
    <w:p w:rsidRPr="007F0B8E" w:rsidR="00E32AA7" w:rsidP="00AB4D0E" w:rsidRDefault="00E32AA7" w14:paraId="3B3AE779" w14:textId="77777777">
      <w:pPr>
        <w:autoSpaceDE w:val="0"/>
        <w:autoSpaceDN w:val="0"/>
        <w:adjustRightInd w:val="0"/>
        <w:spacing w:line="360" w:lineRule="auto"/>
        <w:jc w:val="both"/>
        <w:rPr>
          <w:rFonts w:ascii="Palatino Linotype" w:hAnsi="Palatino Linotype" w:cs="Tahoma"/>
          <w:color w:val="0D0D0D" w:themeColor="text1" w:themeTint="F2"/>
          <w:sz w:val="22"/>
          <w:szCs w:val="22"/>
        </w:rPr>
      </w:pPr>
    </w:p>
    <w:p w:rsidRPr="007F0B8E" w:rsidR="00FD2435" w:rsidP="00AB4D0E" w:rsidRDefault="004D566B" w14:paraId="36FC6843" w14:textId="068BC616">
      <w:pPr>
        <w:autoSpaceDE w:val="0"/>
        <w:autoSpaceDN w:val="0"/>
        <w:adjustRightInd w:val="0"/>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El Sujeto Obligado adjuntó la digitalización de las Remuneraciones de Servidores Públicos (Nómina), del primero al quince de febrero de dos mil veintidós, con los rubros: nombre, puesto funcional, dependencia, escolaridad, dietas, sueldo base, compensaciones, gratificaciones, otras percepciones, sueldo bruto y sueldo neto. </w:t>
      </w:r>
    </w:p>
    <w:p w:rsidRPr="007F0B8E" w:rsidR="00E32AA7" w:rsidP="00AB4D0E" w:rsidRDefault="00E32AA7" w14:paraId="66F180D6" w14:textId="77777777">
      <w:pPr>
        <w:autoSpaceDE w:val="0"/>
        <w:autoSpaceDN w:val="0"/>
        <w:adjustRightInd w:val="0"/>
        <w:spacing w:line="360" w:lineRule="auto"/>
        <w:jc w:val="both"/>
        <w:rPr>
          <w:rFonts w:ascii="Palatino Linotype" w:hAnsi="Palatino Linotype" w:cs="Tahoma"/>
          <w:b/>
          <w:color w:val="0D0D0D" w:themeColor="text1" w:themeTint="F2"/>
          <w:sz w:val="22"/>
          <w:szCs w:val="22"/>
        </w:rPr>
      </w:pPr>
    </w:p>
    <w:p w:rsidRPr="007F0B8E" w:rsidR="00587F23" w:rsidP="00AB4D0E" w:rsidRDefault="00F8243E" w14:paraId="06E8A130" w14:textId="5DCEF09C">
      <w:pPr>
        <w:autoSpaceDE w:val="0"/>
        <w:autoSpaceDN w:val="0"/>
        <w:adjustRightInd w:val="0"/>
        <w:spacing w:line="360" w:lineRule="auto"/>
        <w:jc w:val="both"/>
        <w:rPr>
          <w:rFonts w:ascii="Palatino Linotype" w:hAnsi="Palatino Linotype" w:cs="Tahoma"/>
          <w:b/>
          <w:color w:val="0D0D0D" w:themeColor="text1" w:themeTint="F2"/>
          <w:sz w:val="22"/>
          <w:szCs w:val="22"/>
        </w:rPr>
      </w:pPr>
      <w:r w:rsidRPr="007F0B8E">
        <w:rPr>
          <w:rFonts w:ascii="Palatino Linotype" w:hAnsi="Palatino Linotype" w:cs="Tahoma"/>
          <w:b/>
          <w:color w:val="0D0D0D" w:themeColor="text1" w:themeTint="F2"/>
          <w:sz w:val="22"/>
          <w:szCs w:val="22"/>
        </w:rPr>
        <w:t>III</w:t>
      </w:r>
      <w:r w:rsidRPr="007F0B8E" w:rsidR="00AA5A86">
        <w:rPr>
          <w:rFonts w:ascii="Palatino Linotype" w:hAnsi="Palatino Linotype" w:cs="Tahoma"/>
          <w:b/>
          <w:color w:val="0D0D0D" w:themeColor="text1" w:themeTint="F2"/>
          <w:sz w:val="22"/>
          <w:szCs w:val="22"/>
        </w:rPr>
        <w:t xml:space="preserve">. </w:t>
      </w:r>
      <w:r w:rsidRPr="007F0B8E" w:rsidR="004100AA">
        <w:rPr>
          <w:rFonts w:ascii="Palatino Linotype" w:hAnsi="Palatino Linotype" w:cs="Tahoma"/>
          <w:b/>
          <w:color w:val="0D0D0D" w:themeColor="text1" w:themeTint="F2"/>
          <w:sz w:val="22"/>
          <w:szCs w:val="22"/>
        </w:rPr>
        <w:t>Interposición</w:t>
      </w:r>
      <w:r w:rsidRPr="007F0B8E" w:rsidR="00C459A9">
        <w:rPr>
          <w:rFonts w:ascii="Palatino Linotype" w:hAnsi="Palatino Linotype" w:cs="Tahoma"/>
          <w:b/>
          <w:color w:val="0D0D0D" w:themeColor="text1" w:themeTint="F2"/>
          <w:sz w:val="22"/>
          <w:szCs w:val="22"/>
        </w:rPr>
        <w:t xml:space="preserve"> del Recurso de R</w:t>
      </w:r>
      <w:r w:rsidRPr="007F0B8E" w:rsidR="00C25238">
        <w:rPr>
          <w:rFonts w:ascii="Palatino Linotype" w:hAnsi="Palatino Linotype" w:cs="Tahoma"/>
          <w:b/>
          <w:color w:val="0D0D0D" w:themeColor="text1" w:themeTint="F2"/>
          <w:sz w:val="22"/>
          <w:szCs w:val="22"/>
        </w:rPr>
        <w:t xml:space="preserve">evisión. </w:t>
      </w:r>
    </w:p>
    <w:p w:rsidRPr="007F0B8E" w:rsidR="000C6872" w:rsidP="00BD607C" w:rsidRDefault="000C6872" w14:paraId="524FE51E" w14:textId="08A34977">
      <w:pPr>
        <w:widowControl w:val="0"/>
        <w:autoSpaceDE w:val="0"/>
        <w:autoSpaceDN w:val="0"/>
        <w:adjustRightInd w:val="0"/>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lastRenderedPageBreak/>
        <w:t xml:space="preserve">Con fecha </w:t>
      </w:r>
      <w:r w:rsidRPr="007F0B8E" w:rsidR="0090310A">
        <w:rPr>
          <w:rFonts w:ascii="Palatino Linotype" w:hAnsi="Palatino Linotype" w:cs="Tahoma"/>
          <w:color w:val="0D0D0D" w:themeColor="text1" w:themeTint="F2"/>
          <w:sz w:val="22"/>
          <w:szCs w:val="22"/>
        </w:rPr>
        <w:t>quince</w:t>
      </w:r>
      <w:r w:rsidRPr="007F0B8E" w:rsidR="00B93699">
        <w:rPr>
          <w:rFonts w:ascii="Palatino Linotype" w:hAnsi="Palatino Linotype" w:cs="Tahoma"/>
          <w:color w:val="0D0D0D" w:themeColor="text1" w:themeTint="F2"/>
          <w:sz w:val="22"/>
          <w:szCs w:val="22"/>
        </w:rPr>
        <w:t xml:space="preserve"> de </w:t>
      </w:r>
      <w:r w:rsidRPr="007F0B8E" w:rsidR="007F6ADC">
        <w:rPr>
          <w:rFonts w:ascii="Palatino Linotype" w:hAnsi="Palatino Linotype" w:cs="Tahoma"/>
          <w:color w:val="0D0D0D" w:themeColor="text1" w:themeTint="F2"/>
          <w:sz w:val="22"/>
          <w:szCs w:val="22"/>
        </w:rPr>
        <w:t>ma</w:t>
      </w:r>
      <w:r w:rsidRPr="007F0B8E" w:rsidR="0090310A">
        <w:rPr>
          <w:rFonts w:ascii="Palatino Linotype" w:hAnsi="Palatino Linotype" w:cs="Tahoma"/>
          <w:color w:val="0D0D0D" w:themeColor="text1" w:themeTint="F2"/>
          <w:sz w:val="22"/>
          <w:szCs w:val="22"/>
        </w:rPr>
        <w:t>rzo</w:t>
      </w:r>
      <w:r w:rsidRPr="007F0B8E" w:rsidR="00F8243E">
        <w:rPr>
          <w:rFonts w:ascii="Palatino Linotype" w:hAnsi="Palatino Linotype" w:cs="Tahoma"/>
          <w:color w:val="0D0D0D" w:themeColor="text1" w:themeTint="F2"/>
          <w:sz w:val="22"/>
          <w:szCs w:val="22"/>
        </w:rPr>
        <w:t xml:space="preserve"> de dos mil veinti</w:t>
      </w:r>
      <w:r w:rsidRPr="007F0B8E" w:rsidR="00F161A1">
        <w:rPr>
          <w:rFonts w:ascii="Palatino Linotype" w:hAnsi="Palatino Linotype" w:cs="Tahoma"/>
          <w:color w:val="0D0D0D" w:themeColor="text1" w:themeTint="F2"/>
          <w:sz w:val="22"/>
          <w:szCs w:val="22"/>
        </w:rPr>
        <w:t>dós</w:t>
      </w:r>
      <w:r w:rsidRPr="007F0B8E">
        <w:rPr>
          <w:rFonts w:ascii="Palatino Linotype" w:hAnsi="Palatino Linotype" w:cs="Tahoma"/>
          <w:color w:val="0D0D0D" w:themeColor="text1" w:themeTint="F2"/>
          <w:sz w:val="22"/>
          <w:szCs w:val="22"/>
        </w:rPr>
        <w:t xml:space="preserve">, se recibió en este </w:t>
      </w:r>
      <w:r w:rsidRPr="007F0B8E">
        <w:rPr>
          <w:rFonts w:ascii="Palatino Linotype" w:hAnsi="Palatino Linotype" w:eastAsia="Calibri" w:cs="Tahoma"/>
          <w:color w:val="0D0D0D" w:themeColor="text1" w:themeTint="F2"/>
          <w:sz w:val="22"/>
          <w:szCs w:val="22"/>
          <w:lang w:eastAsia="en-US"/>
        </w:rPr>
        <w:t xml:space="preserve">Instituto, a través del </w:t>
      </w:r>
      <w:r w:rsidRPr="007F0B8E">
        <w:rPr>
          <w:rFonts w:ascii="Palatino Linotype" w:hAnsi="Palatino Linotype" w:cs="Tahoma"/>
          <w:color w:val="0D0D0D" w:themeColor="text1" w:themeTint="F2"/>
          <w:sz w:val="22"/>
          <w:szCs w:val="22"/>
          <w:lang w:val="es-ES"/>
        </w:rPr>
        <w:t>Sistema de Acceso a la Información Mexiquense (SAIMEX)</w:t>
      </w:r>
      <w:r w:rsidRPr="007F0B8E">
        <w:rPr>
          <w:rFonts w:ascii="Palatino Linotype" w:hAnsi="Palatino Linotype" w:cs="Tahoma"/>
          <w:color w:val="0D0D0D" w:themeColor="text1" w:themeTint="F2"/>
          <w:sz w:val="22"/>
          <w:szCs w:val="22"/>
        </w:rPr>
        <w:t>, Recurso de Revisión interpuesto por la parte Recurrente, en contra de la respuesta del Sujeto Obligado, en los siguientes términos:</w:t>
      </w:r>
    </w:p>
    <w:p w:rsidRPr="007F0B8E" w:rsidR="00D71850" w:rsidP="00AB4D0E" w:rsidRDefault="00D71850" w14:paraId="6C18694E" w14:textId="77777777">
      <w:pPr>
        <w:widowControl w:val="0"/>
        <w:autoSpaceDE w:val="0"/>
        <w:autoSpaceDN w:val="0"/>
        <w:adjustRightInd w:val="0"/>
        <w:spacing w:line="360" w:lineRule="auto"/>
        <w:jc w:val="both"/>
        <w:rPr>
          <w:rFonts w:ascii="Palatino Linotype" w:hAnsi="Palatino Linotype" w:cs="Tahoma"/>
          <w:color w:val="0D0D0D" w:themeColor="text1" w:themeTint="F2"/>
          <w:sz w:val="22"/>
          <w:szCs w:val="22"/>
        </w:rPr>
      </w:pPr>
    </w:p>
    <w:p w:rsidRPr="007F0B8E" w:rsidR="00C25238" w:rsidP="00AB4D0E" w:rsidRDefault="00B727C5" w14:paraId="5562A362" w14:textId="77777777">
      <w:pPr>
        <w:tabs>
          <w:tab w:val="left" w:pos="4667"/>
        </w:tabs>
        <w:spacing w:line="360" w:lineRule="auto"/>
        <w:ind w:left="567" w:right="567"/>
        <w:jc w:val="both"/>
        <w:rPr>
          <w:rFonts w:ascii="Palatino Linotype" w:hAnsi="Palatino Linotype" w:cs="Tahoma"/>
          <w:bCs/>
          <w:i/>
          <w:color w:val="0D0D0D" w:themeColor="text1" w:themeTint="F2"/>
        </w:rPr>
      </w:pPr>
      <w:r w:rsidRPr="007F0B8E">
        <w:rPr>
          <w:rFonts w:ascii="Palatino Linotype" w:hAnsi="Palatino Linotype" w:cs="Tahoma"/>
          <w:b/>
          <w:bCs/>
          <w:i/>
          <w:color w:val="0D0D0D" w:themeColor="text1" w:themeTint="F2"/>
        </w:rPr>
        <w:t>“</w:t>
      </w:r>
      <w:r w:rsidRPr="007F0B8E" w:rsidR="00C25238">
        <w:rPr>
          <w:rFonts w:ascii="Palatino Linotype" w:hAnsi="Palatino Linotype" w:cs="Tahoma"/>
          <w:b/>
          <w:bCs/>
          <w:i/>
          <w:color w:val="0D0D0D" w:themeColor="text1" w:themeTint="F2"/>
        </w:rPr>
        <w:t>ACTO IMPUGNADO</w:t>
      </w:r>
    </w:p>
    <w:p w:rsidRPr="007F0B8E" w:rsidR="00CD3A5D" w:rsidP="00AB4D0E" w:rsidRDefault="00F161A1" w14:paraId="4422BEB8" w14:textId="7AEA956E">
      <w:pPr>
        <w:autoSpaceDE w:val="0"/>
        <w:autoSpaceDN w:val="0"/>
        <w:adjustRightInd w:val="0"/>
        <w:spacing w:line="360" w:lineRule="auto"/>
        <w:ind w:left="567" w:right="567"/>
        <w:jc w:val="both"/>
        <w:rPr>
          <w:rFonts w:ascii="Palatino Linotype" w:hAnsi="Palatino Linotype" w:cs="Tahoma"/>
          <w:i/>
          <w:color w:val="0D0D0D" w:themeColor="text1" w:themeTint="F2"/>
        </w:rPr>
      </w:pPr>
      <w:r w:rsidRPr="007F0B8E">
        <w:rPr>
          <w:rFonts w:ascii="Palatino Linotype" w:hAnsi="Palatino Linotype" w:cs="Tahoma"/>
          <w:i/>
          <w:color w:val="0D0D0D" w:themeColor="text1" w:themeTint="F2"/>
        </w:rPr>
        <w:t>LA RESPUESTA EMITIDA POR EL SUJETO OBLIGADO A LA SOLICITUD DE INFORMACIÓN NÚMERO 00073/IXTLAHUA/IP/2022.</w:t>
      </w:r>
      <w:r w:rsidRPr="007F0B8E" w:rsidR="00B727C5">
        <w:rPr>
          <w:rFonts w:ascii="Palatino Linotype" w:hAnsi="Palatino Linotype" w:cs="Tahoma"/>
          <w:i/>
          <w:color w:val="0D0D0D" w:themeColor="text1" w:themeTint="F2"/>
        </w:rPr>
        <w:t>”</w:t>
      </w:r>
      <w:r w:rsidRPr="007F0B8E" w:rsidR="00092475">
        <w:rPr>
          <w:rFonts w:ascii="Palatino Linotype" w:hAnsi="Palatino Linotype" w:cs="Tahoma"/>
          <w:i/>
          <w:color w:val="0D0D0D" w:themeColor="text1" w:themeTint="F2"/>
        </w:rPr>
        <w:t xml:space="preserve"> (Sic.)</w:t>
      </w:r>
    </w:p>
    <w:p w:rsidRPr="007F0B8E" w:rsidR="0027499F" w:rsidP="00AB4D0E" w:rsidRDefault="0027499F" w14:paraId="30A8DEB7" w14:textId="77777777">
      <w:pPr>
        <w:autoSpaceDE w:val="0"/>
        <w:autoSpaceDN w:val="0"/>
        <w:adjustRightInd w:val="0"/>
        <w:spacing w:line="360" w:lineRule="auto"/>
        <w:ind w:left="567" w:right="567"/>
        <w:jc w:val="both"/>
        <w:rPr>
          <w:rFonts w:ascii="Palatino Linotype" w:hAnsi="Palatino Linotype" w:cs="Tahoma"/>
          <w:i/>
          <w:color w:val="0D0D0D" w:themeColor="text1" w:themeTint="F2"/>
        </w:rPr>
      </w:pPr>
    </w:p>
    <w:p w:rsidRPr="007F0B8E" w:rsidR="00C25238" w:rsidP="00AB4D0E" w:rsidRDefault="00B727C5" w14:paraId="5E2C8F1C" w14:textId="77777777">
      <w:pPr>
        <w:autoSpaceDE w:val="0"/>
        <w:autoSpaceDN w:val="0"/>
        <w:adjustRightInd w:val="0"/>
        <w:spacing w:line="360" w:lineRule="auto"/>
        <w:ind w:left="567" w:right="567"/>
        <w:jc w:val="both"/>
        <w:rPr>
          <w:rFonts w:ascii="Palatino Linotype" w:hAnsi="Palatino Linotype" w:cs="Tahoma"/>
          <w:b/>
          <w:i/>
          <w:color w:val="0D0D0D" w:themeColor="text1" w:themeTint="F2"/>
        </w:rPr>
      </w:pPr>
      <w:r w:rsidRPr="007F0B8E">
        <w:rPr>
          <w:rFonts w:ascii="Palatino Linotype" w:hAnsi="Palatino Linotype" w:cs="Tahoma"/>
          <w:b/>
          <w:i/>
          <w:color w:val="0D0D0D" w:themeColor="text1" w:themeTint="F2"/>
        </w:rPr>
        <w:t>“</w:t>
      </w:r>
      <w:r w:rsidRPr="007F0B8E" w:rsidR="00C25238">
        <w:rPr>
          <w:rFonts w:ascii="Palatino Linotype" w:hAnsi="Palatino Linotype" w:cs="Tahoma"/>
          <w:b/>
          <w:i/>
          <w:color w:val="0D0D0D" w:themeColor="text1" w:themeTint="F2"/>
        </w:rPr>
        <w:t>RAZONES O MOTIVOS DE LA INCONFORMIDAD</w:t>
      </w:r>
    </w:p>
    <w:p w:rsidRPr="007F0B8E" w:rsidR="00B31222" w:rsidP="00D916BD" w:rsidRDefault="00F161A1" w14:paraId="6E7B1124" w14:textId="740D1C39">
      <w:pPr>
        <w:widowControl w:val="0"/>
        <w:autoSpaceDE w:val="0"/>
        <w:autoSpaceDN w:val="0"/>
        <w:adjustRightInd w:val="0"/>
        <w:spacing w:line="360" w:lineRule="auto"/>
        <w:ind w:left="567" w:right="567"/>
        <w:jc w:val="both"/>
        <w:rPr>
          <w:rFonts w:ascii="Palatino Linotype" w:hAnsi="Palatino Linotype" w:cs="Tahoma"/>
          <w:i/>
          <w:color w:val="0D0D0D" w:themeColor="text1" w:themeTint="F2"/>
        </w:rPr>
      </w:pPr>
      <w:r w:rsidRPr="007F0B8E">
        <w:rPr>
          <w:rFonts w:ascii="Palatino Linotype" w:hAnsi="Palatino Linotype" w:cs="Tahoma"/>
          <w:i/>
          <w:color w:val="0D0D0D" w:themeColor="text1" w:themeTint="F2"/>
        </w:rPr>
        <w:t>El Sujeto Obligado omite emitir acuerdo o resolución alguna por medio de la cual determine de manera fundada y motivada, las razones, motivos y circunstancias especiales que fueron tomadas en consideración para concluir que en el caso particular se ajusta en alguno de los supuestos de clasificación de la información previstos por la ley de la materia, ya que de la lectura integra a la respuesta emitida por el Sujeto Obligado a la solicitud de información, se aprecia que parte de la información fue eliminada, suprimida o borrada sin justificación alguna.</w:t>
      </w:r>
      <w:r w:rsidRPr="007F0B8E" w:rsidR="00B727C5">
        <w:rPr>
          <w:rFonts w:ascii="Palatino Linotype" w:hAnsi="Palatino Linotype" w:cs="Tahoma"/>
          <w:i/>
          <w:color w:val="0D0D0D" w:themeColor="text1" w:themeTint="F2"/>
        </w:rPr>
        <w:t>”</w:t>
      </w:r>
      <w:r w:rsidRPr="007F0B8E" w:rsidR="006C1B1D">
        <w:rPr>
          <w:rFonts w:ascii="Palatino Linotype" w:hAnsi="Palatino Linotype" w:cs="Tahoma"/>
          <w:i/>
          <w:color w:val="0D0D0D" w:themeColor="text1" w:themeTint="F2"/>
        </w:rPr>
        <w:t xml:space="preserve"> (Sic.)</w:t>
      </w:r>
    </w:p>
    <w:p w:rsidRPr="007F0B8E" w:rsidR="005228ED" w:rsidP="00AB4D0E" w:rsidRDefault="005228ED" w14:paraId="5A6C595B" w14:textId="77777777">
      <w:pPr>
        <w:spacing w:line="360" w:lineRule="auto"/>
        <w:jc w:val="both"/>
        <w:rPr>
          <w:rFonts w:ascii="Palatino Linotype" w:hAnsi="Palatino Linotype" w:cs="Tahoma"/>
          <w:b/>
          <w:color w:val="0D0D0D" w:themeColor="text1" w:themeTint="F2"/>
          <w:sz w:val="22"/>
          <w:szCs w:val="22"/>
        </w:rPr>
      </w:pPr>
    </w:p>
    <w:p w:rsidRPr="007F0B8E" w:rsidR="00B31222" w:rsidP="00AB4D0E" w:rsidRDefault="00F8243E" w14:paraId="737916C4" w14:textId="2F67EFBB">
      <w:pPr>
        <w:spacing w:line="360" w:lineRule="auto"/>
        <w:jc w:val="both"/>
        <w:rPr>
          <w:rFonts w:ascii="Palatino Linotype" w:hAnsi="Palatino Linotype" w:eastAsia="Batang" w:cs="Tahoma"/>
          <w:b/>
          <w:bCs/>
          <w:color w:val="0D0D0D" w:themeColor="text1" w:themeTint="F2"/>
          <w:sz w:val="22"/>
          <w:szCs w:val="22"/>
        </w:rPr>
      </w:pPr>
      <w:r w:rsidRPr="007F0B8E">
        <w:rPr>
          <w:rFonts w:ascii="Palatino Linotype" w:hAnsi="Palatino Linotype" w:cs="Tahoma"/>
          <w:b/>
          <w:color w:val="0D0D0D" w:themeColor="text1" w:themeTint="F2"/>
          <w:sz w:val="22"/>
          <w:szCs w:val="22"/>
        </w:rPr>
        <w:t>I</w:t>
      </w:r>
      <w:r w:rsidRPr="007F0B8E" w:rsidR="0030032A">
        <w:rPr>
          <w:rFonts w:ascii="Palatino Linotype" w:hAnsi="Palatino Linotype" w:cs="Tahoma"/>
          <w:b/>
          <w:color w:val="0D0D0D" w:themeColor="text1" w:themeTint="F2"/>
          <w:sz w:val="22"/>
          <w:szCs w:val="22"/>
        </w:rPr>
        <w:t>V</w:t>
      </w:r>
      <w:r w:rsidRPr="007F0B8E" w:rsidR="00B31222">
        <w:rPr>
          <w:rFonts w:ascii="Palatino Linotype" w:hAnsi="Palatino Linotype" w:cs="Tahoma"/>
          <w:b/>
          <w:color w:val="0D0D0D" w:themeColor="text1" w:themeTint="F2"/>
          <w:sz w:val="22"/>
          <w:szCs w:val="22"/>
        </w:rPr>
        <w:t xml:space="preserve">. </w:t>
      </w:r>
      <w:r w:rsidRPr="007F0B8E" w:rsidR="00B31222">
        <w:rPr>
          <w:rFonts w:ascii="Palatino Linotype" w:hAnsi="Palatino Linotype" w:eastAsia="Batang" w:cs="Tahoma"/>
          <w:b/>
          <w:bCs/>
          <w:color w:val="0D0D0D" w:themeColor="text1" w:themeTint="F2"/>
          <w:sz w:val="22"/>
          <w:szCs w:val="22"/>
        </w:rPr>
        <w:t xml:space="preserve">Trámite del </w:t>
      </w:r>
      <w:r w:rsidRPr="007F0B8E" w:rsidR="00C459A9">
        <w:rPr>
          <w:rFonts w:ascii="Palatino Linotype" w:hAnsi="Palatino Linotype" w:cs="Tahoma"/>
          <w:b/>
          <w:color w:val="0D0D0D" w:themeColor="text1" w:themeTint="F2"/>
          <w:sz w:val="22"/>
          <w:szCs w:val="22"/>
        </w:rPr>
        <w:t>Recurso de Revisión</w:t>
      </w:r>
      <w:r w:rsidRPr="007F0B8E" w:rsidR="00AE489D">
        <w:rPr>
          <w:rFonts w:ascii="Palatino Linotype" w:hAnsi="Palatino Linotype" w:cs="Tahoma"/>
          <w:b/>
          <w:color w:val="0D0D0D" w:themeColor="text1" w:themeTint="F2"/>
          <w:sz w:val="22"/>
          <w:szCs w:val="22"/>
        </w:rPr>
        <w:t xml:space="preserve"> </w:t>
      </w:r>
      <w:r w:rsidRPr="007F0B8E" w:rsidR="00B31222">
        <w:rPr>
          <w:rFonts w:ascii="Palatino Linotype" w:hAnsi="Palatino Linotype" w:eastAsia="Batang" w:cs="Tahoma"/>
          <w:b/>
          <w:bCs/>
          <w:color w:val="0D0D0D" w:themeColor="text1" w:themeTint="F2"/>
          <w:sz w:val="22"/>
          <w:szCs w:val="22"/>
        </w:rPr>
        <w:t>ante el Instituto</w:t>
      </w:r>
      <w:r w:rsidRPr="007F0B8E" w:rsidR="00E445DA">
        <w:rPr>
          <w:rFonts w:ascii="Palatino Linotype" w:hAnsi="Palatino Linotype" w:eastAsia="Batang" w:cs="Tahoma"/>
          <w:b/>
          <w:bCs/>
          <w:color w:val="0D0D0D" w:themeColor="text1" w:themeTint="F2"/>
          <w:sz w:val="22"/>
          <w:szCs w:val="22"/>
        </w:rPr>
        <w:t>.</w:t>
      </w:r>
    </w:p>
    <w:p w:rsidRPr="007F0B8E" w:rsidR="00E445DA" w:rsidP="00AB4D0E" w:rsidRDefault="00E445DA" w14:paraId="076B5FBC" w14:textId="77777777">
      <w:pPr>
        <w:spacing w:line="360" w:lineRule="auto"/>
        <w:jc w:val="both"/>
        <w:rPr>
          <w:rFonts w:ascii="Palatino Linotype" w:hAnsi="Palatino Linotype" w:eastAsia="Batang" w:cs="Tahoma"/>
          <w:b/>
          <w:bCs/>
          <w:color w:val="0D0D0D" w:themeColor="text1" w:themeTint="F2"/>
          <w:sz w:val="22"/>
          <w:szCs w:val="22"/>
        </w:rPr>
      </w:pPr>
    </w:p>
    <w:p w:rsidRPr="007F0B8E" w:rsidR="00BE4843" w:rsidP="00AB4D0E" w:rsidRDefault="00A90F9B" w14:paraId="3D446386" w14:textId="3D65F3E8">
      <w:pPr>
        <w:spacing w:line="360" w:lineRule="auto"/>
        <w:jc w:val="both"/>
        <w:rPr>
          <w:rFonts w:ascii="Palatino Linotype" w:hAnsi="Palatino Linotype" w:eastAsia="Batang" w:cs="Tahoma"/>
          <w:bCs/>
          <w:color w:val="0D0D0D" w:themeColor="text1" w:themeTint="F2"/>
          <w:sz w:val="22"/>
          <w:szCs w:val="22"/>
        </w:rPr>
      </w:pPr>
      <w:r w:rsidRPr="007F0B8E">
        <w:rPr>
          <w:rFonts w:ascii="Palatino Linotype" w:hAnsi="Palatino Linotype" w:eastAsia="Batang" w:cs="Tahoma"/>
          <w:b/>
          <w:bCs/>
          <w:color w:val="0D0D0D" w:themeColor="text1" w:themeTint="F2"/>
          <w:sz w:val="22"/>
          <w:szCs w:val="22"/>
        </w:rPr>
        <w:t xml:space="preserve">a) </w:t>
      </w:r>
      <w:r w:rsidRPr="007F0B8E" w:rsidR="00B31222">
        <w:rPr>
          <w:rFonts w:ascii="Palatino Linotype" w:hAnsi="Palatino Linotype" w:eastAsia="Batang" w:cs="Tahoma"/>
          <w:b/>
          <w:bCs/>
          <w:color w:val="0D0D0D" w:themeColor="text1" w:themeTint="F2"/>
          <w:sz w:val="22"/>
          <w:szCs w:val="22"/>
        </w:rPr>
        <w:t xml:space="preserve">Turno del </w:t>
      </w:r>
      <w:r w:rsidRPr="007F0B8E" w:rsidR="00C459A9">
        <w:rPr>
          <w:rFonts w:ascii="Palatino Linotype" w:hAnsi="Palatino Linotype" w:cs="Tahoma"/>
          <w:b/>
          <w:color w:val="0D0D0D" w:themeColor="text1" w:themeTint="F2"/>
          <w:sz w:val="22"/>
          <w:szCs w:val="22"/>
        </w:rPr>
        <w:t>Recurso de Revisión</w:t>
      </w:r>
      <w:r w:rsidRPr="007F0B8E">
        <w:rPr>
          <w:rFonts w:ascii="Palatino Linotype" w:hAnsi="Palatino Linotype" w:eastAsia="Batang" w:cs="Tahoma"/>
          <w:b/>
          <w:bCs/>
          <w:color w:val="0D0D0D" w:themeColor="text1" w:themeTint="F2"/>
          <w:sz w:val="22"/>
          <w:szCs w:val="22"/>
        </w:rPr>
        <w:t>.</w:t>
      </w:r>
      <w:r w:rsidRPr="007F0B8E" w:rsidR="00AE489D">
        <w:rPr>
          <w:rFonts w:ascii="Palatino Linotype" w:hAnsi="Palatino Linotype" w:eastAsia="Batang" w:cs="Tahoma"/>
          <w:b/>
          <w:bCs/>
          <w:color w:val="0D0D0D" w:themeColor="text1" w:themeTint="F2"/>
          <w:sz w:val="22"/>
          <w:szCs w:val="22"/>
        </w:rPr>
        <w:t xml:space="preserve"> </w:t>
      </w:r>
      <w:r w:rsidRPr="007F0B8E" w:rsidR="00BE4843">
        <w:rPr>
          <w:rFonts w:ascii="Palatino Linotype" w:hAnsi="Palatino Linotype" w:eastAsia="Batang" w:cs="Tahoma"/>
          <w:bCs/>
          <w:color w:val="0D0D0D" w:themeColor="text1" w:themeTint="F2"/>
          <w:sz w:val="22"/>
          <w:szCs w:val="22"/>
        </w:rPr>
        <w:t xml:space="preserve">El </w:t>
      </w:r>
      <w:r w:rsidRPr="007F0B8E" w:rsidR="00F161A1">
        <w:rPr>
          <w:rFonts w:ascii="Palatino Linotype" w:hAnsi="Palatino Linotype" w:eastAsia="Batang" w:cs="Tahoma"/>
          <w:bCs/>
          <w:color w:val="0D0D0D" w:themeColor="text1" w:themeTint="F2"/>
          <w:sz w:val="22"/>
          <w:szCs w:val="22"/>
        </w:rPr>
        <w:t>quince</w:t>
      </w:r>
      <w:r w:rsidRPr="007F0B8E" w:rsidR="00746BAC">
        <w:rPr>
          <w:rFonts w:ascii="Palatino Linotype" w:hAnsi="Palatino Linotype" w:eastAsia="Batang" w:cs="Tahoma"/>
          <w:bCs/>
          <w:color w:val="0D0D0D" w:themeColor="text1" w:themeTint="F2"/>
          <w:sz w:val="22"/>
          <w:szCs w:val="22"/>
        </w:rPr>
        <w:t xml:space="preserve"> de ma</w:t>
      </w:r>
      <w:r w:rsidRPr="007F0B8E" w:rsidR="00F161A1">
        <w:rPr>
          <w:rFonts w:ascii="Palatino Linotype" w:hAnsi="Palatino Linotype" w:eastAsia="Batang" w:cs="Tahoma"/>
          <w:bCs/>
          <w:color w:val="0D0D0D" w:themeColor="text1" w:themeTint="F2"/>
          <w:sz w:val="22"/>
          <w:szCs w:val="22"/>
        </w:rPr>
        <w:t>rzo</w:t>
      </w:r>
      <w:r w:rsidRPr="007F0B8E" w:rsidR="00746BAC">
        <w:rPr>
          <w:rFonts w:ascii="Palatino Linotype" w:hAnsi="Palatino Linotype" w:eastAsia="Batang" w:cs="Tahoma"/>
          <w:bCs/>
          <w:color w:val="0D0D0D" w:themeColor="text1" w:themeTint="F2"/>
          <w:sz w:val="22"/>
          <w:szCs w:val="22"/>
        </w:rPr>
        <w:t xml:space="preserve"> </w:t>
      </w:r>
      <w:r w:rsidRPr="007F0B8E" w:rsidR="001B34AD">
        <w:rPr>
          <w:rFonts w:ascii="Palatino Linotype" w:hAnsi="Palatino Linotype" w:eastAsia="Batang" w:cs="Tahoma"/>
          <w:bCs/>
          <w:color w:val="0D0D0D" w:themeColor="text1" w:themeTint="F2"/>
          <w:sz w:val="22"/>
          <w:szCs w:val="22"/>
        </w:rPr>
        <w:t xml:space="preserve">de dos mil </w:t>
      </w:r>
      <w:r w:rsidRPr="007F0B8E" w:rsidR="00BA60CE">
        <w:rPr>
          <w:rFonts w:ascii="Palatino Linotype" w:hAnsi="Palatino Linotype" w:eastAsia="Batang" w:cs="Tahoma"/>
          <w:bCs/>
          <w:color w:val="0D0D0D" w:themeColor="text1" w:themeTint="F2"/>
          <w:sz w:val="22"/>
          <w:szCs w:val="22"/>
        </w:rPr>
        <w:t>veinti</w:t>
      </w:r>
      <w:r w:rsidRPr="007F0B8E" w:rsidR="00F161A1">
        <w:rPr>
          <w:rFonts w:ascii="Palatino Linotype" w:hAnsi="Palatino Linotype" w:eastAsia="Batang" w:cs="Tahoma"/>
          <w:bCs/>
          <w:color w:val="0D0D0D" w:themeColor="text1" w:themeTint="F2"/>
          <w:sz w:val="22"/>
          <w:szCs w:val="22"/>
        </w:rPr>
        <w:t>dós</w:t>
      </w:r>
      <w:r w:rsidRPr="007F0B8E" w:rsidR="00BE4843">
        <w:rPr>
          <w:rFonts w:ascii="Palatino Linotype" w:hAnsi="Palatino Linotype" w:eastAsia="Batang" w:cs="Tahoma"/>
          <w:bCs/>
          <w:color w:val="0D0D0D" w:themeColor="text1" w:themeTint="F2"/>
          <w:sz w:val="22"/>
          <w:szCs w:val="22"/>
        </w:rPr>
        <w:t xml:space="preserve">, el </w:t>
      </w:r>
      <w:r w:rsidRPr="007F0B8E" w:rsidR="00BE4843">
        <w:rPr>
          <w:rFonts w:ascii="Palatino Linotype" w:hAnsi="Palatino Linotype" w:cs="Tahoma"/>
          <w:color w:val="0D0D0D" w:themeColor="text1" w:themeTint="F2"/>
          <w:sz w:val="22"/>
          <w:szCs w:val="22"/>
          <w:lang w:val="es-ES"/>
        </w:rPr>
        <w:t>Sistema de Acceso a la Información Mexiquense (SAIMEX),</w:t>
      </w:r>
      <w:r w:rsidRPr="007F0B8E" w:rsidR="00BE4843">
        <w:rPr>
          <w:rFonts w:ascii="Palatino Linotype" w:hAnsi="Palatino Linotype" w:eastAsia="Batang" w:cs="Tahoma"/>
          <w:bCs/>
          <w:color w:val="0D0D0D" w:themeColor="text1" w:themeTint="F2"/>
          <w:sz w:val="22"/>
          <w:szCs w:val="22"/>
        </w:rPr>
        <w:t xml:space="preserve"> asignó el número de expediente </w:t>
      </w:r>
      <w:r w:rsidRPr="007F0B8E" w:rsidR="00F161A1">
        <w:rPr>
          <w:rFonts w:ascii="Palatino Linotype" w:hAnsi="Palatino Linotype" w:eastAsia="Batang" w:cs="Tahoma"/>
          <w:b/>
          <w:color w:val="0D0D0D" w:themeColor="text1" w:themeTint="F2"/>
          <w:sz w:val="22"/>
          <w:szCs w:val="22"/>
        </w:rPr>
        <w:t>03946/INFOEM/IP/RR/2022</w:t>
      </w:r>
      <w:r w:rsidRPr="007F0B8E" w:rsidR="00BE4843">
        <w:rPr>
          <w:rFonts w:ascii="Palatino Linotype" w:hAnsi="Palatino Linotype" w:eastAsia="Batang" w:cs="Tahoma"/>
          <w:bCs/>
          <w:color w:val="0D0D0D" w:themeColor="text1" w:themeTint="F2"/>
          <w:sz w:val="22"/>
          <w:szCs w:val="22"/>
        </w:rPr>
        <w:t>,</w:t>
      </w:r>
      <w:r w:rsidRPr="007F0B8E" w:rsidR="00AE489D">
        <w:rPr>
          <w:rFonts w:ascii="Palatino Linotype" w:hAnsi="Palatino Linotype" w:eastAsia="Batang" w:cs="Tahoma"/>
          <w:bCs/>
          <w:color w:val="0D0D0D" w:themeColor="text1" w:themeTint="F2"/>
          <w:sz w:val="22"/>
          <w:szCs w:val="22"/>
        </w:rPr>
        <w:t xml:space="preserve"> </w:t>
      </w:r>
      <w:r w:rsidRPr="007F0B8E" w:rsidR="00BE4843">
        <w:rPr>
          <w:rFonts w:ascii="Palatino Linotype" w:hAnsi="Palatino Linotype" w:eastAsia="Batang" w:cs="Tahoma"/>
          <w:bCs/>
          <w:color w:val="0D0D0D" w:themeColor="text1" w:themeTint="F2"/>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7F0B8E" w:rsidR="00B24057" w:rsidP="00AB4D0E" w:rsidRDefault="00B24057" w14:paraId="1A19038A" w14:textId="77777777">
      <w:pPr>
        <w:spacing w:line="360" w:lineRule="auto"/>
        <w:jc w:val="both"/>
        <w:rPr>
          <w:rFonts w:ascii="Palatino Linotype" w:hAnsi="Palatino Linotype" w:eastAsia="Batang" w:cs="Tahoma"/>
          <w:b/>
          <w:bCs/>
          <w:color w:val="0D0D0D" w:themeColor="text1" w:themeTint="F2"/>
          <w:sz w:val="22"/>
          <w:szCs w:val="22"/>
        </w:rPr>
      </w:pPr>
    </w:p>
    <w:p w:rsidRPr="007F0B8E" w:rsidR="00B31222" w:rsidP="00AB4D0E" w:rsidRDefault="00625DFB" w14:paraId="4BEC6B3E" w14:textId="67399011">
      <w:pPr>
        <w:spacing w:line="360" w:lineRule="auto"/>
        <w:jc w:val="both"/>
        <w:rPr>
          <w:rFonts w:ascii="Palatino Linotype" w:hAnsi="Palatino Linotype" w:cs="Tahoma"/>
          <w:bCs/>
          <w:color w:val="0D0D0D" w:themeColor="text1" w:themeTint="F2"/>
          <w:sz w:val="22"/>
          <w:szCs w:val="22"/>
        </w:rPr>
      </w:pPr>
      <w:r w:rsidRPr="007F0B8E">
        <w:rPr>
          <w:rFonts w:ascii="Palatino Linotype" w:hAnsi="Palatino Linotype" w:eastAsia="Batang" w:cs="Tahoma"/>
          <w:b/>
          <w:bCs/>
          <w:color w:val="0D0D0D" w:themeColor="text1" w:themeTint="F2"/>
          <w:sz w:val="22"/>
          <w:szCs w:val="22"/>
        </w:rPr>
        <w:t>b</w:t>
      </w:r>
      <w:r w:rsidRPr="007F0B8E" w:rsidR="009F46DC">
        <w:rPr>
          <w:rFonts w:ascii="Palatino Linotype" w:hAnsi="Palatino Linotype" w:eastAsia="Batang" w:cs="Tahoma"/>
          <w:b/>
          <w:bCs/>
          <w:color w:val="0D0D0D" w:themeColor="text1" w:themeTint="F2"/>
          <w:sz w:val="22"/>
          <w:szCs w:val="22"/>
        </w:rPr>
        <w:t xml:space="preserve">) </w:t>
      </w:r>
      <w:r w:rsidRPr="007F0B8E" w:rsidR="00B31222">
        <w:rPr>
          <w:rFonts w:ascii="Palatino Linotype" w:hAnsi="Palatino Linotype" w:eastAsia="Batang" w:cs="Tahoma"/>
          <w:b/>
          <w:bCs/>
          <w:color w:val="0D0D0D" w:themeColor="text1" w:themeTint="F2"/>
          <w:sz w:val="22"/>
          <w:szCs w:val="22"/>
        </w:rPr>
        <w:t>Admisión del</w:t>
      </w:r>
      <w:r w:rsidRPr="007F0B8E" w:rsidR="00AE489D">
        <w:rPr>
          <w:rFonts w:ascii="Palatino Linotype" w:hAnsi="Palatino Linotype" w:eastAsia="Batang" w:cs="Tahoma"/>
          <w:b/>
          <w:bCs/>
          <w:color w:val="0D0D0D" w:themeColor="text1" w:themeTint="F2"/>
          <w:sz w:val="22"/>
          <w:szCs w:val="22"/>
        </w:rPr>
        <w:t xml:space="preserve"> </w:t>
      </w:r>
      <w:r w:rsidRPr="007F0B8E" w:rsidR="00C459A9">
        <w:rPr>
          <w:rFonts w:ascii="Palatino Linotype" w:hAnsi="Palatino Linotype" w:cs="Tahoma"/>
          <w:b/>
          <w:color w:val="0D0D0D" w:themeColor="text1" w:themeTint="F2"/>
          <w:sz w:val="22"/>
          <w:szCs w:val="22"/>
        </w:rPr>
        <w:t>Recurso de Revisión</w:t>
      </w:r>
      <w:r w:rsidRPr="007F0B8E" w:rsidR="00B31222">
        <w:rPr>
          <w:rFonts w:ascii="Palatino Linotype" w:hAnsi="Palatino Linotype" w:eastAsia="Batang" w:cs="Tahoma"/>
          <w:b/>
          <w:bCs/>
          <w:color w:val="0D0D0D" w:themeColor="text1" w:themeTint="F2"/>
          <w:sz w:val="22"/>
          <w:szCs w:val="22"/>
          <w:lang w:val="es-ES_tradnl"/>
        </w:rPr>
        <w:t xml:space="preserve">. </w:t>
      </w:r>
      <w:r w:rsidRPr="007F0B8E" w:rsidR="00BE4843">
        <w:rPr>
          <w:rFonts w:ascii="Palatino Linotype" w:hAnsi="Palatino Linotype" w:eastAsia="Batang" w:cs="Tahoma"/>
          <w:bCs/>
          <w:color w:val="0D0D0D" w:themeColor="text1" w:themeTint="F2"/>
          <w:sz w:val="22"/>
          <w:szCs w:val="22"/>
          <w:lang w:val="es-ES_tradnl"/>
        </w:rPr>
        <w:t xml:space="preserve">El </w:t>
      </w:r>
      <w:r w:rsidRPr="007F0B8E" w:rsidR="00F161A1">
        <w:rPr>
          <w:rFonts w:ascii="Palatino Linotype" w:hAnsi="Palatino Linotype" w:eastAsia="Batang" w:cs="Tahoma"/>
          <w:bCs/>
          <w:color w:val="0D0D0D" w:themeColor="text1" w:themeTint="F2"/>
          <w:sz w:val="22"/>
          <w:szCs w:val="22"/>
          <w:lang w:val="es-ES_tradnl"/>
        </w:rPr>
        <w:t>dieciocho</w:t>
      </w:r>
      <w:r w:rsidRPr="007F0B8E" w:rsidR="00746BAC">
        <w:rPr>
          <w:rFonts w:ascii="Palatino Linotype" w:hAnsi="Palatino Linotype" w:eastAsia="Batang" w:cs="Tahoma"/>
          <w:bCs/>
          <w:color w:val="0D0D0D" w:themeColor="text1" w:themeTint="F2"/>
          <w:sz w:val="22"/>
          <w:szCs w:val="22"/>
          <w:lang w:val="es-ES_tradnl"/>
        </w:rPr>
        <w:t xml:space="preserve"> de ma</w:t>
      </w:r>
      <w:r w:rsidRPr="007F0B8E" w:rsidR="00F161A1">
        <w:rPr>
          <w:rFonts w:ascii="Palatino Linotype" w:hAnsi="Palatino Linotype" w:eastAsia="Batang" w:cs="Tahoma"/>
          <w:bCs/>
          <w:color w:val="0D0D0D" w:themeColor="text1" w:themeTint="F2"/>
          <w:sz w:val="22"/>
          <w:szCs w:val="22"/>
          <w:lang w:val="es-ES_tradnl"/>
        </w:rPr>
        <w:t>rzo</w:t>
      </w:r>
      <w:r w:rsidRPr="007F0B8E" w:rsidR="00BA60CE">
        <w:rPr>
          <w:rFonts w:ascii="Palatino Linotype" w:hAnsi="Palatino Linotype" w:eastAsia="Batang" w:cs="Tahoma"/>
          <w:bCs/>
          <w:color w:val="0D0D0D" w:themeColor="text1" w:themeTint="F2"/>
          <w:sz w:val="22"/>
          <w:szCs w:val="22"/>
          <w:lang w:val="es-ES_tradnl"/>
        </w:rPr>
        <w:t xml:space="preserve"> de dos mil veinti</w:t>
      </w:r>
      <w:r w:rsidRPr="007F0B8E" w:rsidR="00F161A1">
        <w:rPr>
          <w:rFonts w:ascii="Palatino Linotype" w:hAnsi="Palatino Linotype" w:eastAsia="Batang" w:cs="Tahoma"/>
          <w:bCs/>
          <w:color w:val="0D0D0D" w:themeColor="text1" w:themeTint="F2"/>
          <w:sz w:val="22"/>
          <w:szCs w:val="22"/>
          <w:lang w:val="es-ES_tradnl"/>
        </w:rPr>
        <w:t>dós</w:t>
      </w:r>
      <w:r w:rsidRPr="007F0B8E" w:rsidR="00BE4843">
        <w:rPr>
          <w:rFonts w:ascii="Palatino Linotype" w:hAnsi="Palatino Linotype" w:eastAsia="Batang" w:cs="Tahoma"/>
          <w:bCs/>
          <w:color w:val="0D0D0D" w:themeColor="text1" w:themeTint="F2"/>
          <w:sz w:val="22"/>
          <w:szCs w:val="22"/>
          <w:lang w:val="es-ES_tradnl"/>
        </w:rPr>
        <w:t xml:space="preserve">, se acordó la admisión del Recurso de Revisión interpuesto por </w:t>
      </w:r>
      <w:r w:rsidRPr="007F0B8E" w:rsidR="001D503B">
        <w:rPr>
          <w:rFonts w:ascii="Palatino Linotype" w:hAnsi="Palatino Linotype" w:eastAsia="Batang" w:cs="Tahoma"/>
          <w:bCs/>
          <w:color w:val="0D0D0D" w:themeColor="text1" w:themeTint="F2"/>
          <w:sz w:val="22"/>
          <w:szCs w:val="22"/>
          <w:lang w:val="es-ES_tradnl"/>
        </w:rPr>
        <w:t xml:space="preserve">la </w:t>
      </w:r>
      <w:r w:rsidRPr="007F0B8E" w:rsidR="00BE4843">
        <w:rPr>
          <w:rFonts w:ascii="Palatino Linotype" w:hAnsi="Palatino Linotype" w:eastAsia="Batang" w:cs="Tahoma"/>
          <w:bCs/>
          <w:color w:val="0D0D0D" w:themeColor="text1" w:themeTint="F2"/>
          <w:sz w:val="22"/>
          <w:szCs w:val="22"/>
          <w:lang w:val="es-ES_tradnl"/>
        </w:rPr>
        <w:t xml:space="preserve">Recurrente en contra del </w:t>
      </w:r>
      <w:r w:rsidRPr="007F0B8E" w:rsidR="00141895">
        <w:rPr>
          <w:rFonts w:ascii="Palatino Linotype" w:hAnsi="Palatino Linotype" w:eastAsia="Batang" w:cs="Tahoma"/>
          <w:bCs/>
          <w:color w:val="0D0D0D" w:themeColor="text1" w:themeTint="F2"/>
          <w:sz w:val="22"/>
          <w:szCs w:val="22"/>
          <w:lang w:val="es-ES_tradnl"/>
        </w:rPr>
        <w:t xml:space="preserve">Sujeto </w:t>
      </w:r>
      <w:r w:rsidRPr="007F0B8E" w:rsidR="00141895">
        <w:rPr>
          <w:rFonts w:ascii="Palatino Linotype" w:hAnsi="Palatino Linotype" w:eastAsia="Batang" w:cs="Tahoma"/>
          <w:bCs/>
          <w:color w:val="0D0D0D" w:themeColor="text1" w:themeTint="F2"/>
          <w:sz w:val="22"/>
          <w:szCs w:val="22"/>
          <w:lang w:val="es-ES_tradnl"/>
        </w:rPr>
        <w:lastRenderedPageBreak/>
        <w:t>Obligado</w:t>
      </w:r>
      <w:r w:rsidRPr="007F0B8E" w:rsidR="00BE4843">
        <w:rPr>
          <w:rFonts w:ascii="Palatino Linotype" w:hAnsi="Palatino Linotype" w:eastAsia="Batang" w:cs="Tahoma"/>
          <w:bCs/>
          <w:color w:val="0D0D0D" w:themeColor="text1" w:themeTint="F2"/>
          <w:sz w:val="22"/>
          <w:szCs w:val="22"/>
          <w:lang w:val="es-ES_tradnl"/>
        </w:rPr>
        <w:t>,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Pr="007F0B8E" w:rsidR="0061115C" w:rsidP="00AB4D0E" w:rsidRDefault="0061115C" w14:paraId="47DAFB7F" w14:textId="77777777">
      <w:pPr>
        <w:spacing w:line="360" w:lineRule="auto"/>
        <w:jc w:val="both"/>
        <w:rPr>
          <w:rFonts w:ascii="Palatino Linotype" w:hAnsi="Palatino Linotype" w:cs="Tahoma"/>
          <w:bCs/>
          <w:color w:val="0D0D0D" w:themeColor="text1" w:themeTint="F2"/>
          <w:sz w:val="22"/>
          <w:szCs w:val="22"/>
        </w:rPr>
      </w:pPr>
    </w:p>
    <w:p w:rsidRPr="007F0B8E" w:rsidR="008F4051" w:rsidP="00BA60CE" w:rsidRDefault="004406CF" w14:paraId="6DAED7F4" w14:textId="37A812A2">
      <w:pPr>
        <w:autoSpaceDE w:val="0"/>
        <w:autoSpaceDN w:val="0"/>
        <w:adjustRightInd w:val="0"/>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b/>
          <w:color w:val="0D0D0D" w:themeColor="text1" w:themeTint="F2"/>
          <w:sz w:val="22"/>
          <w:szCs w:val="22"/>
        </w:rPr>
        <w:t>c</w:t>
      </w:r>
      <w:r w:rsidRPr="007F0B8E" w:rsidR="00B31222">
        <w:rPr>
          <w:rFonts w:ascii="Palatino Linotype" w:hAnsi="Palatino Linotype" w:cs="Tahoma"/>
          <w:b/>
          <w:color w:val="0D0D0D" w:themeColor="text1" w:themeTint="F2"/>
          <w:sz w:val="22"/>
          <w:szCs w:val="22"/>
        </w:rPr>
        <w:t>)</w:t>
      </w:r>
      <w:r w:rsidRPr="007F0B8E" w:rsidR="002B4018">
        <w:rPr>
          <w:rFonts w:ascii="Palatino Linotype" w:hAnsi="Palatino Linotype" w:cs="Tahoma"/>
          <w:color w:val="0D0D0D" w:themeColor="text1" w:themeTint="F2"/>
          <w:sz w:val="22"/>
          <w:szCs w:val="22"/>
          <w:lang w:val="es-ES_tradnl"/>
        </w:rPr>
        <w:t xml:space="preserve"> </w:t>
      </w:r>
      <w:r w:rsidRPr="007F0B8E" w:rsidR="009C2585">
        <w:rPr>
          <w:rFonts w:ascii="Palatino Linotype" w:hAnsi="Palatino Linotype" w:cs="Tahoma"/>
          <w:b/>
          <w:color w:val="0D0D0D" w:themeColor="text1" w:themeTint="F2"/>
          <w:sz w:val="22"/>
          <w:szCs w:val="22"/>
          <w:lang w:val="es-ES_tradnl"/>
        </w:rPr>
        <w:t xml:space="preserve">Informe Justificado. </w:t>
      </w:r>
      <w:r w:rsidRPr="007F0B8E" w:rsidR="00CC7F02">
        <w:rPr>
          <w:rFonts w:ascii="Palatino Linotype" w:hAnsi="Palatino Linotype" w:cs="Tahoma"/>
          <w:color w:val="0D0D0D" w:themeColor="text1" w:themeTint="F2"/>
          <w:sz w:val="22"/>
          <w:szCs w:val="22"/>
          <w:lang w:val="es-ES_tradnl"/>
        </w:rPr>
        <w:t xml:space="preserve">El </w:t>
      </w:r>
      <w:r w:rsidRPr="007F0B8E" w:rsidR="00F161A1">
        <w:rPr>
          <w:rFonts w:ascii="Palatino Linotype" w:hAnsi="Palatino Linotype" w:cs="Tahoma"/>
          <w:color w:val="0D0D0D" w:themeColor="text1" w:themeTint="F2"/>
          <w:sz w:val="22"/>
          <w:szCs w:val="22"/>
          <w:lang w:val="es-ES_tradnl"/>
        </w:rPr>
        <w:t>veintinueve</w:t>
      </w:r>
      <w:r w:rsidRPr="007F0B8E" w:rsidR="00416BB9">
        <w:rPr>
          <w:rFonts w:ascii="Palatino Linotype" w:hAnsi="Palatino Linotype" w:cs="Tahoma"/>
          <w:color w:val="0D0D0D" w:themeColor="text1" w:themeTint="F2"/>
          <w:sz w:val="22"/>
          <w:szCs w:val="22"/>
          <w:lang w:val="es-ES_tradnl"/>
        </w:rPr>
        <w:t xml:space="preserve"> de </w:t>
      </w:r>
      <w:r w:rsidRPr="007F0B8E" w:rsidR="00F161A1">
        <w:rPr>
          <w:rFonts w:ascii="Palatino Linotype" w:hAnsi="Palatino Linotype" w:cs="Tahoma"/>
          <w:color w:val="0D0D0D" w:themeColor="text1" w:themeTint="F2"/>
          <w:sz w:val="22"/>
          <w:szCs w:val="22"/>
          <w:lang w:val="es-ES_tradnl"/>
        </w:rPr>
        <w:t>marzo</w:t>
      </w:r>
      <w:r w:rsidRPr="007F0B8E" w:rsidR="00416BB9">
        <w:rPr>
          <w:rFonts w:ascii="Palatino Linotype" w:hAnsi="Palatino Linotype" w:cs="Tahoma"/>
          <w:color w:val="0D0D0D" w:themeColor="text1" w:themeTint="F2"/>
          <w:sz w:val="22"/>
          <w:szCs w:val="22"/>
          <w:lang w:val="es-ES_tradnl"/>
        </w:rPr>
        <w:t xml:space="preserve"> de dos mil veinti</w:t>
      </w:r>
      <w:r w:rsidRPr="007F0B8E" w:rsidR="00F161A1">
        <w:rPr>
          <w:rFonts w:ascii="Palatino Linotype" w:hAnsi="Palatino Linotype" w:cs="Tahoma"/>
          <w:color w:val="0D0D0D" w:themeColor="text1" w:themeTint="F2"/>
          <w:sz w:val="22"/>
          <w:szCs w:val="22"/>
          <w:lang w:val="es-ES_tradnl"/>
        </w:rPr>
        <w:t>dós</w:t>
      </w:r>
      <w:r w:rsidRPr="007F0B8E" w:rsidR="00CC7F02">
        <w:rPr>
          <w:rFonts w:ascii="Palatino Linotype" w:hAnsi="Palatino Linotype" w:cs="Tahoma"/>
          <w:color w:val="0D0D0D" w:themeColor="text1" w:themeTint="F2"/>
          <w:sz w:val="22"/>
          <w:szCs w:val="22"/>
          <w:lang w:val="es-ES_tradnl"/>
        </w:rPr>
        <w:t>, se recibió en este Instituto, a través del Sistema de Acceso a la Información Mexiquense (SAIMEX), el Informe Justificado</w:t>
      </w:r>
      <w:r w:rsidRPr="007F0B8E" w:rsidR="00416BB9">
        <w:rPr>
          <w:rFonts w:ascii="Palatino Linotype" w:hAnsi="Palatino Linotype" w:cs="Tahoma"/>
          <w:color w:val="0D0D0D" w:themeColor="text1" w:themeTint="F2"/>
          <w:sz w:val="22"/>
          <w:szCs w:val="22"/>
          <w:lang w:val="es-ES_tradnl"/>
        </w:rPr>
        <w:t xml:space="preserve"> del Sujeto Obligado, por medio del oficio </w:t>
      </w:r>
      <w:r w:rsidRPr="007F0B8E" w:rsidR="00916F57">
        <w:rPr>
          <w:rFonts w:ascii="Palatino Linotype" w:hAnsi="Palatino Linotype" w:cs="Tahoma"/>
          <w:color w:val="0D0D0D" w:themeColor="text1" w:themeTint="F2"/>
          <w:sz w:val="22"/>
          <w:szCs w:val="22"/>
          <w:lang w:val="es-ES_tradnl"/>
        </w:rPr>
        <w:t xml:space="preserve">sin </w:t>
      </w:r>
      <w:r w:rsidRPr="007F0B8E" w:rsidR="00416BB9">
        <w:rPr>
          <w:rFonts w:ascii="Palatino Linotype" w:hAnsi="Palatino Linotype" w:cs="Tahoma"/>
          <w:color w:val="0D0D0D" w:themeColor="text1" w:themeTint="F2"/>
          <w:sz w:val="22"/>
          <w:szCs w:val="22"/>
          <w:lang w:val="es-ES_tradnl"/>
        </w:rPr>
        <w:t xml:space="preserve">número </w:t>
      </w:r>
      <w:r w:rsidRPr="007F0B8E" w:rsidR="00916F57">
        <w:rPr>
          <w:rFonts w:ascii="Palatino Linotype" w:hAnsi="Palatino Linotype" w:cs="Tahoma"/>
          <w:color w:val="0D0D0D" w:themeColor="text1" w:themeTint="F2"/>
          <w:sz w:val="22"/>
          <w:szCs w:val="22"/>
        </w:rPr>
        <w:t xml:space="preserve">por medio del cual ratifica y pretende complementar su respuesta inicial. </w:t>
      </w:r>
    </w:p>
    <w:p w:rsidRPr="007F0B8E" w:rsidR="00916F57" w:rsidP="00BA60CE" w:rsidRDefault="00916F57" w14:paraId="45DFB568"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p>
    <w:p w:rsidRPr="007F0B8E" w:rsidR="00193950" w:rsidP="00BA60CE" w:rsidRDefault="00916F57" w14:paraId="1BFF7A1D" w14:textId="3953062F">
      <w:pPr>
        <w:autoSpaceDE w:val="0"/>
        <w:autoSpaceDN w:val="0"/>
        <w:adjustRightInd w:val="0"/>
        <w:spacing w:line="360" w:lineRule="auto"/>
        <w:jc w:val="both"/>
        <w:rPr>
          <w:rFonts w:ascii="Palatino Linotype" w:hAnsi="Palatino Linotype" w:cs="Tahoma"/>
          <w:color w:val="0D0D0D" w:themeColor="text1" w:themeTint="F2"/>
          <w:sz w:val="22"/>
          <w:szCs w:val="22"/>
          <w:lang w:val="es-ES_tradnl"/>
        </w:rPr>
      </w:pPr>
      <w:r w:rsidRPr="007F0B8E">
        <w:rPr>
          <w:rFonts w:ascii="Palatino Linotype" w:hAnsi="Palatino Linotype" w:cs="Tahoma"/>
          <w:color w:val="0D0D0D" w:themeColor="text1" w:themeTint="F2"/>
          <w:sz w:val="22"/>
          <w:szCs w:val="22"/>
          <w:lang w:val="es-ES_tradnl"/>
        </w:rPr>
        <w:t>El Sujeto Obligado adjuntó la digitalización del oficio número PMIX/DA/RH/0412/2022, descrito en el Antecedente II y el Acta de</w:t>
      </w:r>
      <w:r w:rsidRPr="007F0B8E" w:rsidR="0079285D">
        <w:rPr>
          <w:rFonts w:ascii="Palatino Linotype" w:hAnsi="Palatino Linotype" w:cs="Tahoma"/>
          <w:color w:val="0D0D0D" w:themeColor="text1" w:themeTint="F2"/>
          <w:sz w:val="22"/>
          <w:szCs w:val="22"/>
          <w:lang w:val="es-ES_tradnl"/>
        </w:rPr>
        <w:t xml:space="preserve">l Comité de Transparencia de la Séptima Sesión Extraordinaria, </w:t>
      </w:r>
      <w:r w:rsidRPr="007F0B8E" w:rsidR="0005212E">
        <w:rPr>
          <w:rFonts w:ascii="Palatino Linotype" w:hAnsi="Palatino Linotype" w:cs="Tahoma"/>
          <w:color w:val="0D0D0D" w:themeColor="text1" w:themeTint="F2"/>
          <w:sz w:val="22"/>
          <w:szCs w:val="22"/>
          <w:lang w:val="es-ES_tradnl"/>
        </w:rPr>
        <w:t>por medio de</w:t>
      </w:r>
      <w:r w:rsidRPr="007F0B8E" w:rsidR="0079285D">
        <w:rPr>
          <w:rFonts w:ascii="Palatino Linotype" w:hAnsi="Palatino Linotype" w:cs="Tahoma"/>
          <w:color w:val="0D0D0D" w:themeColor="text1" w:themeTint="F2"/>
          <w:sz w:val="22"/>
          <w:szCs w:val="22"/>
          <w:lang w:val="es-ES_tradnl"/>
        </w:rPr>
        <w:t xml:space="preserve"> la cual se clasificó el nombre de los policías municipales en la nómina</w:t>
      </w:r>
      <w:r w:rsidRPr="007F0B8E" w:rsidR="0005212E">
        <w:rPr>
          <w:rFonts w:ascii="Palatino Linotype" w:hAnsi="Palatino Linotype" w:cs="Tahoma"/>
          <w:color w:val="0D0D0D" w:themeColor="text1" w:themeTint="F2"/>
          <w:sz w:val="22"/>
          <w:szCs w:val="22"/>
          <w:lang w:val="es-ES_tradnl"/>
        </w:rPr>
        <w:t xml:space="preserve">, mediante ACUERDO UTAIPM/EX/08/2022. </w:t>
      </w:r>
    </w:p>
    <w:p w:rsidRPr="007F0B8E" w:rsidR="007E5F6B" w:rsidP="00BD607C" w:rsidRDefault="007E5F6B" w14:paraId="08E854B1" w14:textId="77777777">
      <w:pPr>
        <w:spacing w:line="360" w:lineRule="auto"/>
        <w:jc w:val="both"/>
        <w:rPr>
          <w:rFonts w:ascii="Palatino Linotype" w:hAnsi="Palatino Linotype" w:cs="Tahoma"/>
          <w:b/>
          <w:bCs/>
          <w:color w:val="0D0D0D" w:themeColor="text1" w:themeTint="F2"/>
          <w:sz w:val="22"/>
          <w:szCs w:val="22"/>
          <w:lang w:val="es-ES_tradnl"/>
        </w:rPr>
      </w:pPr>
    </w:p>
    <w:p w:rsidRPr="007F0B8E" w:rsidR="009E7AFB" w:rsidP="009E7AFB" w:rsidRDefault="00C53361" w14:paraId="61107663" w14:textId="74EA4E9D">
      <w:pPr>
        <w:spacing w:line="360" w:lineRule="auto"/>
        <w:jc w:val="both"/>
        <w:rPr>
          <w:rFonts w:ascii="Palatino Linotype" w:hAnsi="Palatino Linotype" w:eastAsia="Palatino Linotype" w:cs="Palatino Linotype"/>
          <w:color w:val="0D0D0D" w:themeColor="text1" w:themeTint="F2"/>
          <w:sz w:val="22"/>
          <w:szCs w:val="22"/>
          <w:lang w:val="es-ES"/>
        </w:rPr>
      </w:pPr>
      <w:r w:rsidRPr="007F0B8E">
        <w:rPr>
          <w:rFonts w:ascii="Palatino Linotype" w:hAnsi="Palatino Linotype" w:cs="Tahoma"/>
          <w:b/>
          <w:bCs/>
          <w:color w:val="0D0D0D" w:themeColor="text1" w:themeTint="F2"/>
          <w:sz w:val="22"/>
          <w:szCs w:val="22"/>
          <w:lang w:val="es-ES_tradnl"/>
        </w:rPr>
        <w:t>d</w:t>
      </w:r>
      <w:r w:rsidRPr="007F0B8E" w:rsidR="00BA60CE">
        <w:rPr>
          <w:rFonts w:ascii="Palatino Linotype" w:hAnsi="Palatino Linotype" w:cs="Tahoma"/>
          <w:b/>
          <w:bCs/>
          <w:color w:val="0D0D0D" w:themeColor="text1" w:themeTint="F2"/>
          <w:sz w:val="22"/>
          <w:szCs w:val="22"/>
          <w:lang w:val="es-ES_tradnl"/>
        </w:rPr>
        <w:t>)</w:t>
      </w:r>
      <w:r w:rsidRPr="007F0B8E" w:rsidR="00886CCE">
        <w:rPr>
          <w:rFonts w:ascii="Palatino Linotype" w:hAnsi="Palatino Linotype" w:cs="Tahoma"/>
          <w:b/>
          <w:bCs/>
          <w:color w:val="0D0D0D" w:themeColor="text1" w:themeTint="F2"/>
          <w:sz w:val="22"/>
          <w:szCs w:val="22"/>
          <w:lang w:val="es-ES_tradnl"/>
        </w:rPr>
        <w:t xml:space="preserve"> </w:t>
      </w:r>
      <w:r w:rsidRPr="007F0B8E" w:rsidR="009E7AFB">
        <w:rPr>
          <w:rFonts w:ascii="Palatino Linotype" w:hAnsi="Palatino Linotype" w:eastAsia="Palatino Linotype" w:cs="Palatino Linotype"/>
          <w:b/>
          <w:bCs/>
          <w:color w:val="0D0D0D" w:themeColor="text1" w:themeTint="F2"/>
          <w:sz w:val="22"/>
          <w:szCs w:val="22"/>
          <w:lang w:val="es-ES"/>
        </w:rPr>
        <w:t xml:space="preserve">Ampliación del plazo para resolver. </w:t>
      </w:r>
      <w:r w:rsidRPr="007F0B8E" w:rsidR="009E7AFB">
        <w:rPr>
          <w:rFonts w:ascii="Palatino Linotype" w:hAnsi="Palatino Linotype" w:eastAsia="Palatino Linotype" w:cs="Palatino Linotype"/>
          <w:color w:val="0D0D0D" w:themeColor="text1" w:themeTint="F2"/>
          <w:sz w:val="22"/>
          <w:szCs w:val="22"/>
          <w:lang w:val="es-ES"/>
        </w:rPr>
        <w:t xml:space="preserve">El </w:t>
      </w:r>
      <w:r w:rsidRPr="007F0B8E" w:rsidR="002E28C7">
        <w:rPr>
          <w:rFonts w:ascii="Palatino Linotype" w:hAnsi="Palatino Linotype" w:eastAsia="Palatino Linotype" w:cs="Palatino Linotype"/>
          <w:color w:val="0D0D0D" w:themeColor="text1" w:themeTint="F2"/>
          <w:sz w:val="22"/>
          <w:szCs w:val="22"/>
          <w:lang w:val="es-ES"/>
        </w:rPr>
        <w:t>nueve</w:t>
      </w:r>
      <w:r w:rsidRPr="007F0B8E" w:rsidR="009E7AFB">
        <w:rPr>
          <w:rFonts w:ascii="Palatino Linotype" w:hAnsi="Palatino Linotype" w:eastAsia="Palatino Linotype" w:cs="Palatino Linotype"/>
          <w:color w:val="0D0D0D" w:themeColor="text1" w:themeTint="F2"/>
          <w:sz w:val="22"/>
          <w:szCs w:val="22"/>
          <w:lang w:val="es-ES"/>
        </w:rPr>
        <w:t xml:space="preserve"> de </w:t>
      </w:r>
      <w:r w:rsidRPr="007F0B8E" w:rsidR="002E28C7">
        <w:rPr>
          <w:rFonts w:ascii="Palatino Linotype" w:hAnsi="Palatino Linotype" w:eastAsia="Palatino Linotype" w:cs="Palatino Linotype"/>
          <w:color w:val="0D0D0D" w:themeColor="text1" w:themeTint="F2"/>
          <w:sz w:val="22"/>
          <w:szCs w:val="22"/>
          <w:lang w:val="es-ES"/>
        </w:rPr>
        <w:t>mayo</w:t>
      </w:r>
      <w:r w:rsidRPr="007F0B8E" w:rsidR="009E7AFB">
        <w:rPr>
          <w:rFonts w:ascii="Palatino Linotype" w:hAnsi="Palatino Linotype" w:eastAsia="Palatino Linotype" w:cs="Palatino Linotype"/>
          <w:color w:val="0D0D0D" w:themeColor="text1" w:themeTint="F2"/>
          <w:sz w:val="22"/>
          <w:szCs w:val="22"/>
          <w:lang w:val="es-ES"/>
        </w:rPr>
        <w:t xml:space="preserve"> de dos mil veinti</w:t>
      </w:r>
      <w:r w:rsidRPr="007F0B8E" w:rsidR="002E28C7">
        <w:rPr>
          <w:rFonts w:ascii="Palatino Linotype" w:hAnsi="Palatino Linotype" w:eastAsia="Palatino Linotype" w:cs="Palatino Linotype"/>
          <w:color w:val="0D0D0D" w:themeColor="text1" w:themeTint="F2"/>
          <w:sz w:val="22"/>
          <w:szCs w:val="22"/>
          <w:lang w:val="es-ES"/>
        </w:rPr>
        <w:t>dós</w:t>
      </w:r>
      <w:r w:rsidRPr="007F0B8E" w:rsidR="009E7AFB">
        <w:rPr>
          <w:rFonts w:ascii="Palatino Linotype" w:hAnsi="Palatino Linotype" w:eastAsia="Palatino Linotype" w:cs="Palatino Linotype"/>
          <w:color w:val="0D0D0D" w:themeColor="text1" w:themeTint="F2"/>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w:t>
      </w:r>
      <w:r w:rsidRPr="007F0B8E" w:rsidR="002E28C7">
        <w:rPr>
          <w:rFonts w:ascii="Palatino Linotype" w:hAnsi="Palatino Linotype" w:eastAsia="Palatino Linotype" w:cs="Palatino Linotype"/>
          <w:color w:val="0D0D0D" w:themeColor="text1" w:themeTint="F2"/>
          <w:sz w:val="22"/>
          <w:szCs w:val="22"/>
          <w:lang w:val="es-ES"/>
        </w:rPr>
        <w:t>a las partes el primero de junio del mismo año</w:t>
      </w:r>
      <w:r w:rsidRPr="007F0B8E" w:rsidR="009E7AFB">
        <w:rPr>
          <w:rFonts w:ascii="Palatino Linotype" w:hAnsi="Palatino Linotype" w:eastAsia="Palatino Linotype" w:cs="Palatino Linotype"/>
          <w:color w:val="0D0D0D" w:themeColor="text1" w:themeTint="F2"/>
          <w:sz w:val="22"/>
          <w:szCs w:val="22"/>
          <w:lang w:val="es-ES"/>
        </w:rPr>
        <w:t>, mediante el Sistema de Acceso a la Información Mexiquense (SAIMEX), el mismo día.</w:t>
      </w:r>
    </w:p>
    <w:p w:rsidRPr="007F0B8E" w:rsidR="00C53361" w:rsidP="009E7AFB" w:rsidRDefault="00C53361" w14:paraId="18A1AE05" w14:textId="77777777">
      <w:pPr>
        <w:spacing w:line="360" w:lineRule="auto"/>
        <w:jc w:val="both"/>
        <w:rPr>
          <w:rFonts w:ascii="Palatino Linotype" w:hAnsi="Palatino Linotype" w:cs="Tahoma"/>
          <w:b/>
          <w:color w:val="0D0D0D" w:themeColor="text1" w:themeTint="F2"/>
          <w:sz w:val="22"/>
          <w:szCs w:val="22"/>
        </w:rPr>
      </w:pPr>
    </w:p>
    <w:p w:rsidRPr="007F0B8E" w:rsidR="001340B7" w:rsidP="001340B7" w:rsidRDefault="001340B7" w14:paraId="44E5C3E7"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w:t>
      </w:r>
      <w:r w:rsidRPr="007F0B8E">
        <w:rPr>
          <w:rFonts w:ascii="Palatino Linotype" w:hAnsi="Palatino Linotype" w:eastAsia="Calibri" w:cs="Tahoma"/>
          <w:bCs/>
          <w:color w:val="000000" w:themeColor="text1"/>
          <w:sz w:val="22"/>
          <w:szCs w:val="22"/>
          <w:lang w:eastAsia="en-US"/>
        </w:rPr>
        <w:lastRenderedPageBreak/>
        <w:t>circunstancia atípica que ha rebasado las capacidades técnicas y humanas del personal encargado de la proyección de las resoluciones a dichos medios de impugnación.</w:t>
      </w:r>
    </w:p>
    <w:p w:rsidRPr="007F0B8E" w:rsidR="001340B7" w:rsidP="001340B7" w:rsidRDefault="001340B7" w14:paraId="3D99440B"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3BD42CA5"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7F0B8E" w:rsidR="001340B7" w:rsidP="001340B7" w:rsidRDefault="001340B7" w14:paraId="55C176D4"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79F88864"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7F0B8E" w:rsidR="001340B7" w:rsidP="001340B7" w:rsidRDefault="001340B7" w14:paraId="4E955B50"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52DCF6FC"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7F0B8E" w:rsidR="001340B7" w:rsidP="001340B7" w:rsidRDefault="001340B7" w14:paraId="01FC031C" w14:textId="77777777">
      <w:pPr>
        <w:spacing w:line="360" w:lineRule="auto"/>
        <w:jc w:val="both"/>
        <w:rPr>
          <w:rFonts w:ascii="Palatino Linotype" w:hAnsi="Palatino Linotype" w:eastAsia="Calibri" w:cs="Tahoma"/>
          <w:bCs/>
          <w:color w:val="000000" w:themeColor="text1"/>
          <w:sz w:val="22"/>
          <w:szCs w:val="22"/>
          <w:lang w:eastAsia="en-US"/>
        </w:rPr>
      </w:pPr>
    </w:p>
    <w:p w:rsidRPr="007F0B8E" w:rsidR="001340B7" w:rsidP="001340B7" w:rsidRDefault="001340B7" w14:paraId="3C0FE951"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rsidRPr="007F0B8E" w:rsidR="001340B7" w:rsidP="001340B7" w:rsidRDefault="001340B7" w14:paraId="49769F58"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E32AA7" w:rsidP="00E32AA7" w:rsidRDefault="00E32AA7" w14:paraId="18C46FC5" w14:textId="77777777">
      <w:pPr>
        <w:numPr>
          <w:ilvl w:val="0"/>
          <w:numId w:val="33"/>
        </w:numPr>
        <w:spacing w:line="360" w:lineRule="auto"/>
        <w:contextualSpacing/>
        <w:jc w:val="both"/>
        <w:rPr>
          <w:rFonts w:ascii="Palatino Linotype" w:hAnsi="Palatino Linotype" w:eastAsia="Palatino Linotype" w:cs="Palatino Linotype"/>
          <w:color w:val="000000" w:themeColor="text1"/>
          <w:sz w:val="22"/>
          <w:szCs w:val="24"/>
        </w:rPr>
      </w:pPr>
      <w:r w:rsidRPr="007F0B8E">
        <w:rPr>
          <w:rFonts w:ascii="Palatino Linotype" w:hAnsi="Palatino Linotype" w:eastAsia="Palatino Linotype" w:cs="Palatino Linotype"/>
          <w:b/>
          <w:bCs/>
          <w:color w:val="000000" w:themeColor="text1"/>
          <w:sz w:val="22"/>
          <w:szCs w:val="24"/>
        </w:rPr>
        <w:t>Complejidad del asunto:</w:t>
      </w:r>
      <w:r w:rsidRPr="007F0B8E">
        <w:rPr>
          <w:rFonts w:ascii="Palatino Linotype" w:hAnsi="Palatino Linotype" w:eastAsia="Palatino Linotype" w:cs="Palatino Linotype"/>
          <w:color w:val="000000" w:themeColor="text1"/>
          <w:sz w:val="22"/>
          <w:szCs w:val="24"/>
        </w:rPr>
        <w:t xml:space="preserve"> La complejidad de la prueba, la pluralidad de sujetos procesales, el tiempo transcurrido, las características y contexto del recurso.</w:t>
      </w:r>
    </w:p>
    <w:p w:rsidRPr="007F0B8E" w:rsidR="00E32AA7" w:rsidP="00E32AA7" w:rsidRDefault="00E32AA7" w14:paraId="43008A8B" w14:textId="77777777">
      <w:pPr>
        <w:spacing w:line="360" w:lineRule="auto"/>
        <w:ind w:left="720"/>
        <w:contextualSpacing/>
        <w:jc w:val="both"/>
        <w:rPr>
          <w:rFonts w:ascii="Palatino Linotype" w:hAnsi="Palatino Linotype" w:eastAsia="Palatino Linotype" w:cs="Palatino Linotype"/>
          <w:color w:val="000000" w:themeColor="text1"/>
          <w:sz w:val="22"/>
          <w:szCs w:val="24"/>
        </w:rPr>
      </w:pPr>
    </w:p>
    <w:p w:rsidRPr="007F0B8E" w:rsidR="00E32AA7" w:rsidP="00E32AA7" w:rsidRDefault="00E32AA7" w14:paraId="06CFD642" w14:textId="77777777">
      <w:pPr>
        <w:numPr>
          <w:ilvl w:val="0"/>
          <w:numId w:val="33"/>
        </w:numPr>
        <w:spacing w:line="360" w:lineRule="auto"/>
        <w:contextualSpacing/>
        <w:jc w:val="both"/>
        <w:rPr>
          <w:rFonts w:ascii="Palatino Linotype" w:hAnsi="Palatino Linotype" w:eastAsia="Palatino Linotype" w:cs="Palatino Linotype"/>
          <w:color w:val="000000" w:themeColor="text1"/>
          <w:sz w:val="22"/>
          <w:szCs w:val="24"/>
        </w:rPr>
      </w:pPr>
      <w:r w:rsidRPr="007F0B8E">
        <w:rPr>
          <w:rFonts w:ascii="Palatino Linotype" w:hAnsi="Palatino Linotype" w:eastAsia="Palatino Linotype" w:cs="Palatino Linotype"/>
          <w:b/>
          <w:bCs/>
          <w:color w:val="000000" w:themeColor="text1"/>
          <w:sz w:val="22"/>
          <w:szCs w:val="24"/>
        </w:rPr>
        <w:t>Actividad Procesal del interesado:</w:t>
      </w:r>
      <w:r w:rsidRPr="007F0B8E">
        <w:rPr>
          <w:rFonts w:ascii="Palatino Linotype" w:hAnsi="Palatino Linotype" w:eastAsia="Palatino Linotype" w:cs="Palatino Linotype"/>
          <w:color w:val="000000" w:themeColor="text1"/>
          <w:sz w:val="22"/>
          <w:szCs w:val="24"/>
        </w:rPr>
        <w:t xml:space="preserve"> Acciones u omisiones del interesado.</w:t>
      </w:r>
    </w:p>
    <w:p w:rsidRPr="007F0B8E" w:rsidR="00E32AA7" w:rsidP="00E32AA7" w:rsidRDefault="00E32AA7" w14:paraId="6E5B5AB2" w14:textId="77777777">
      <w:pPr>
        <w:spacing w:line="360" w:lineRule="auto"/>
        <w:ind w:left="720"/>
        <w:contextualSpacing/>
        <w:jc w:val="both"/>
        <w:rPr>
          <w:rFonts w:ascii="Palatino Linotype" w:hAnsi="Palatino Linotype" w:eastAsia="Palatino Linotype" w:cs="Palatino Linotype"/>
          <w:color w:val="000000" w:themeColor="text1"/>
          <w:sz w:val="22"/>
          <w:szCs w:val="24"/>
        </w:rPr>
      </w:pPr>
    </w:p>
    <w:p w:rsidRPr="007F0B8E" w:rsidR="00E32AA7" w:rsidP="00E32AA7" w:rsidRDefault="00E32AA7" w14:paraId="41B34BC3" w14:textId="77777777">
      <w:pPr>
        <w:numPr>
          <w:ilvl w:val="0"/>
          <w:numId w:val="33"/>
        </w:numPr>
        <w:spacing w:line="360" w:lineRule="auto"/>
        <w:contextualSpacing/>
        <w:jc w:val="both"/>
        <w:rPr>
          <w:rFonts w:ascii="Palatino Linotype" w:hAnsi="Palatino Linotype" w:eastAsia="Palatino Linotype" w:cs="Palatino Linotype"/>
          <w:color w:val="000000" w:themeColor="text1"/>
          <w:sz w:val="22"/>
          <w:szCs w:val="24"/>
        </w:rPr>
      </w:pPr>
      <w:r w:rsidRPr="007F0B8E">
        <w:rPr>
          <w:rFonts w:ascii="Palatino Linotype" w:hAnsi="Palatino Linotype" w:eastAsia="Palatino Linotype" w:cs="Palatino Linotype"/>
          <w:b/>
          <w:bCs/>
          <w:color w:val="000000" w:themeColor="text1"/>
          <w:sz w:val="22"/>
          <w:szCs w:val="24"/>
        </w:rPr>
        <w:lastRenderedPageBreak/>
        <w:t>Conducta de la Autoridad:</w:t>
      </w:r>
      <w:r w:rsidRPr="007F0B8E">
        <w:rPr>
          <w:rFonts w:ascii="Palatino Linotype" w:hAnsi="Palatino Linotype" w:eastAsia="Palatino Linotype" w:cs="Palatino Linotype"/>
          <w:color w:val="000000" w:themeColor="text1"/>
          <w:sz w:val="22"/>
          <w:szCs w:val="24"/>
        </w:rPr>
        <w:t xml:space="preserve"> Las Acciones u omisiones realizadas en el procedimiento. Así como si la autoridad actuó con la debida diligencia.</w:t>
      </w:r>
    </w:p>
    <w:p w:rsidRPr="007F0B8E" w:rsidR="00E32AA7" w:rsidP="00E32AA7" w:rsidRDefault="00E32AA7" w14:paraId="166E3D4D" w14:textId="77777777">
      <w:pPr>
        <w:spacing w:line="360" w:lineRule="auto"/>
        <w:ind w:left="720"/>
        <w:contextualSpacing/>
        <w:jc w:val="both"/>
        <w:rPr>
          <w:rFonts w:ascii="Palatino Linotype" w:hAnsi="Palatino Linotype" w:eastAsia="Palatino Linotype" w:cs="Palatino Linotype"/>
          <w:color w:val="000000" w:themeColor="text1"/>
          <w:sz w:val="22"/>
          <w:szCs w:val="24"/>
        </w:rPr>
      </w:pPr>
    </w:p>
    <w:p w:rsidRPr="007F0B8E" w:rsidR="00E32AA7" w:rsidP="00E32AA7" w:rsidRDefault="00E32AA7" w14:paraId="1E327510" w14:textId="77777777">
      <w:pPr>
        <w:numPr>
          <w:ilvl w:val="0"/>
          <w:numId w:val="33"/>
        </w:numPr>
        <w:spacing w:line="360" w:lineRule="auto"/>
        <w:contextualSpacing/>
        <w:jc w:val="both"/>
        <w:rPr>
          <w:rFonts w:ascii="Palatino Linotype" w:hAnsi="Palatino Linotype" w:eastAsia="Palatino Linotype" w:cs="Palatino Linotype"/>
          <w:color w:val="000000" w:themeColor="text1"/>
          <w:sz w:val="22"/>
          <w:szCs w:val="24"/>
        </w:rPr>
      </w:pPr>
      <w:r w:rsidRPr="007F0B8E">
        <w:rPr>
          <w:rFonts w:ascii="Palatino Linotype" w:hAnsi="Palatino Linotype" w:eastAsia="Palatino Linotype" w:cs="Palatino Linotype"/>
          <w:b/>
          <w:bCs/>
          <w:color w:val="000000" w:themeColor="text1"/>
          <w:sz w:val="22"/>
          <w:szCs w:val="24"/>
        </w:rPr>
        <w:t xml:space="preserve">La afectación generada en la situación jurídica de la persona involucrada en el proceso: </w:t>
      </w:r>
      <w:r w:rsidRPr="007F0B8E">
        <w:rPr>
          <w:rFonts w:ascii="Palatino Linotype" w:hAnsi="Palatino Linotype" w:eastAsia="Palatino Linotype" w:cs="Palatino Linotype"/>
          <w:color w:val="000000" w:themeColor="text1"/>
          <w:sz w:val="22"/>
          <w:szCs w:val="24"/>
        </w:rPr>
        <w:t>Violación a sus derechos humanos.</w:t>
      </w:r>
    </w:p>
    <w:p w:rsidRPr="007F0B8E" w:rsidR="00E32AA7" w:rsidP="001340B7" w:rsidRDefault="00E32AA7" w14:paraId="7E2E027B" w14:textId="77777777">
      <w:pPr>
        <w:spacing w:line="360" w:lineRule="auto"/>
        <w:jc w:val="both"/>
        <w:rPr>
          <w:rFonts w:ascii="Palatino Linotype" w:hAnsi="Palatino Linotype" w:eastAsia="Calibri" w:cs="Tahoma"/>
          <w:bCs/>
          <w:color w:val="000000" w:themeColor="text1"/>
          <w:sz w:val="22"/>
          <w:szCs w:val="22"/>
          <w:lang w:eastAsia="en-US"/>
        </w:rPr>
      </w:pPr>
    </w:p>
    <w:p w:rsidRPr="007F0B8E" w:rsidR="001340B7" w:rsidP="001340B7" w:rsidRDefault="001340B7" w14:paraId="4C0D1724" w14:textId="0B5CB23A">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7F0B8E" w:rsidR="001340B7" w:rsidP="001340B7" w:rsidRDefault="001340B7" w14:paraId="2D3D907A"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2DDC6E57"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Argumento que encuentra sustento en la jurisprudencia P./J. 32/92 emitida por el Pleno de la Suprema Corte de Justicia de la Nación de rubro </w:t>
      </w:r>
      <w:r w:rsidRPr="007F0B8E">
        <w:rPr>
          <w:rFonts w:ascii="Palatino Linotype" w:hAnsi="Palatino Linotype" w:eastAsia="Calibri" w:cs="Tahoma"/>
          <w:b/>
          <w:color w:val="000000" w:themeColor="text1"/>
          <w:sz w:val="22"/>
          <w:szCs w:val="22"/>
          <w:lang w:eastAsia="en-US"/>
        </w:rPr>
        <w:t>“TÉRMINOS PROCESALES. PARA DETERMINAR SI UN FUNCIONARIO JUDICIAL ACTUÓ INDEBIDAMENTE POR NO RESPETARLOS SE DEBE ATENDER AL PRESUPUESTO QUE CONSIDERÓ EL LEGISLADOR AL FIJARLOS Y LAS CARACTERÍSTICAS DEL CASO.”</w:t>
      </w:r>
      <w:r w:rsidRPr="007F0B8E">
        <w:rPr>
          <w:rFonts w:ascii="Palatino Linotype" w:hAnsi="Palatino Linotype" w:eastAsia="Calibri" w:cs="Tahoma"/>
          <w:bCs/>
          <w:color w:val="000000" w:themeColor="text1"/>
          <w:sz w:val="22"/>
          <w:szCs w:val="22"/>
          <w:lang w:eastAsia="en-US"/>
        </w:rPr>
        <w:t>, visible en la Gaceta del Seminario Judicial de la Federación con el registro digital 205635.</w:t>
      </w:r>
    </w:p>
    <w:p w:rsidRPr="007F0B8E" w:rsidR="001340B7" w:rsidP="001340B7" w:rsidRDefault="001340B7" w14:paraId="7C81C729"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19C25BA5"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7F0B8E">
        <w:rPr>
          <w:rFonts w:ascii="Palatino Linotype" w:hAnsi="Palatino Linotype" w:eastAsia="Calibri" w:cs="Tahoma"/>
          <w:bCs/>
          <w:color w:val="000000" w:themeColor="text1"/>
          <w:sz w:val="22"/>
          <w:szCs w:val="22"/>
          <w:lang w:eastAsia="en-US"/>
        </w:rPr>
        <w:lastRenderedPageBreak/>
        <w:t>de los términos legales previamente establecidos por la Ley, por tratarse de causas de fuerza mayor.</w:t>
      </w:r>
    </w:p>
    <w:p w:rsidRPr="007F0B8E" w:rsidR="001340B7" w:rsidP="001340B7" w:rsidRDefault="001340B7" w14:paraId="50428436" w14:textId="77777777">
      <w:pPr>
        <w:spacing w:line="360" w:lineRule="auto"/>
        <w:jc w:val="both"/>
        <w:rPr>
          <w:rFonts w:ascii="Palatino Linotype" w:hAnsi="Palatino Linotype" w:eastAsia="Calibri" w:cs="Tahoma"/>
          <w:bCs/>
          <w:color w:val="000000" w:themeColor="text1"/>
          <w:sz w:val="22"/>
          <w:szCs w:val="22"/>
          <w:lang w:eastAsia="en-US"/>
        </w:rPr>
      </w:pPr>
    </w:p>
    <w:p w:rsidRPr="007F0B8E" w:rsidR="001340B7" w:rsidP="001340B7" w:rsidRDefault="001340B7" w14:paraId="22D6D918"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rsidRPr="007F0B8E" w:rsidR="001340B7" w:rsidP="001340B7" w:rsidRDefault="001340B7" w14:paraId="27534084"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3FDED6C7"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
          <w:color w:val="000000" w:themeColor="text1"/>
          <w:sz w:val="22"/>
          <w:szCs w:val="22"/>
          <w:lang w:eastAsia="en-US"/>
        </w:rPr>
        <w:t xml:space="preserve"> “PLAZO RAZONABLE PARA RESOLVER. DIMENSIÓN Y EFECTOS DE ESTE CONCEPTO CUANDO SE ADUCE EXCESIVA CARGA DE TRABAJO.”</w:t>
      </w:r>
      <w:r w:rsidRPr="007F0B8E">
        <w:rPr>
          <w:rFonts w:ascii="Palatino Linotype" w:hAnsi="Palatino Linotype" w:eastAsia="Calibri" w:cs="Tahoma"/>
          <w:bCs/>
          <w:color w:val="000000" w:themeColor="text1"/>
          <w:sz w:val="22"/>
          <w:szCs w:val="22"/>
          <w:lang w:eastAsia="en-US"/>
        </w:rPr>
        <w:t xml:space="preserve"> consultable en el Seminario Judicial de la Federación y su gaceta, con el registro digital 2002351.</w:t>
      </w:r>
    </w:p>
    <w:p w:rsidRPr="007F0B8E" w:rsidR="001340B7" w:rsidP="001340B7" w:rsidRDefault="001340B7" w14:paraId="62E26D6D"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 </w:t>
      </w:r>
    </w:p>
    <w:p w:rsidRPr="007F0B8E" w:rsidR="001340B7" w:rsidP="001340B7" w:rsidRDefault="001340B7" w14:paraId="238CE656"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
          <w:color w:val="000000" w:themeColor="text1"/>
          <w:sz w:val="22"/>
          <w:szCs w:val="22"/>
          <w:lang w:eastAsia="en-US"/>
        </w:rPr>
        <w:t>“PLAZO RAZONABLE PARA RESOLVER. CONCEPTO Y ELEMENTOS QUE LO INTEGRAN A LA LUZ DEL DERECHO INTERNACIONAL DE LOS DERECHOS HUMANOS.”</w:t>
      </w:r>
      <w:r w:rsidRPr="007F0B8E">
        <w:rPr>
          <w:rFonts w:ascii="Palatino Linotype" w:hAnsi="Palatino Linotype" w:eastAsia="Calibri" w:cs="Tahoma"/>
          <w:bCs/>
          <w:color w:val="000000" w:themeColor="text1"/>
          <w:sz w:val="22"/>
          <w:szCs w:val="22"/>
          <w:lang w:eastAsia="en-US"/>
        </w:rPr>
        <w:t>, visible en el Seminario Judicial de la Federación y su gaceta, con el registro digital 2002350.</w:t>
      </w:r>
    </w:p>
    <w:p w:rsidRPr="007F0B8E" w:rsidR="001340B7" w:rsidP="001340B7" w:rsidRDefault="001340B7" w14:paraId="6F6D2EC1" w14:textId="77777777">
      <w:pPr>
        <w:spacing w:line="360" w:lineRule="auto"/>
        <w:jc w:val="both"/>
        <w:rPr>
          <w:rFonts w:ascii="Palatino Linotype" w:hAnsi="Palatino Linotype" w:eastAsia="Calibri" w:cs="Tahoma"/>
          <w:bCs/>
          <w:color w:val="000000" w:themeColor="text1"/>
          <w:sz w:val="22"/>
          <w:szCs w:val="22"/>
          <w:lang w:eastAsia="en-US"/>
        </w:rPr>
      </w:pPr>
    </w:p>
    <w:p w:rsidRPr="007F0B8E" w:rsidR="001340B7" w:rsidP="001340B7" w:rsidRDefault="001340B7" w14:paraId="4AA7A730" w14:textId="77777777">
      <w:pPr>
        <w:spacing w:line="360" w:lineRule="auto"/>
        <w:jc w:val="both"/>
        <w:rPr>
          <w:rFonts w:ascii="Palatino Linotype" w:hAnsi="Palatino Linotype" w:eastAsia="Calibri" w:cs="Tahoma"/>
          <w:bCs/>
          <w:color w:val="000000" w:themeColor="text1"/>
          <w:sz w:val="22"/>
          <w:szCs w:val="22"/>
          <w:lang w:eastAsia="en-US"/>
        </w:rPr>
      </w:pPr>
      <w:r w:rsidRPr="007F0B8E">
        <w:rPr>
          <w:rFonts w:ascii="Palatino Linotype" w:hAnsi="Palatino Linotype" w:eastAsia="Calibri" w:cs="Tahoma"/>
          <w:bCs/>
          <w:color w:val="000000" w:themeColor="text1"/>
          <w:sz w:val="22"/>
          <w:szCs w:val="22"/>
          <w:lang w:eastAsia="en-US"/>
        </w:rPr>
        <w:t xml:space="preserve">Por ello, este organismo garante comprometido con la tutela de los derechos humanos </w:t>
      </w:r>
      <w:proofErr w:type="gramStart"/>
      <w:r w:rsidRPr="007F0B8E">
        <w:rPr>
          <w:rFonts w:ascii="Palatino Linotype" w:hAnsi="Palatino Linotype" w:eastAsia="Calibri" w:cs="Tahoma"/>
          <w:bCs/>
          <w:color w:val="000000" w:themeColor="text1"/>
          <w:sz w:val="22"/>
          <w:szCs w:val="22"/>
          <w:lang w:eastAsia="en-US"/>
        </w:rPr>
        <w:t>confiados,</w:t>
      </w:r>
      <w:proofErr w:type="gramEnd"/>
      <w:r w:rsidRPr="007F0B8E">
        <w:rPr>
          <w:rFonts w:ascii="Palatino Linotype" w:hAnsi="Palatino Linotype" w:eastAsia="Calibri" w:cs="Tahoma"/>
          <w:bCs/>
          <w:color w:val="000000" w:themeColor="text1"/>
          <w:sz w:val="22"/>
          <w:szCs w:val="22"/>
          <w:lang w:eastAsia="en-US"/>
        </w:rPr>
        <w:t xml:space="preserve"> señala que este exceso del plazo legal para resolver el presente asunto, resulta de carácter excepcional.</w:t>
      </w:r>
    </w:p>
    <w:p w:rsidRPr="007F0B8E" w:rsidR="00EB6F7A" w:rsidP="00BD607C" w:rsidRDefault="00EB6F7A" w14:paraId="221B6AFA" w14:textId="77777777">
      <w:pPr>
        <w:spacing w:line="360" w:lineRule="auto"/>
        <w:jc w:val="both"/>
        <w:rPr>
          <w:rFonts w:ascii="Palatino Linotype" w:hAnsi="Palatino Linotype" w:cs="Tahoma"/>
          <w:b/>
          <w:color w:val="0D0D0D" w:themeColor="text1" w:themeTint="F2"/>
          <w:sz w:val="22"/>
          <w:szCs w:val="22"/>
        </w:rPr>
      </w:pPr>
    </w:p>
    <w:p w:rsidRPr="007F0B8E" w:rsidR="001240E9" w:rsidP="001240E9" w:rsidRDefault="00C53361" w14:paraId="7AF6BF73" w14:textId="03D833AE">
      <w:pPr>
        <w:spacing w:line="360" w:lineRule="auto"/>
        <w:jc w:val="both"/>
        <w:rPr>
          <w:rFonts w:ascii="Palatino Linotype" w:hAnsi="Palatino Linotype"/>
          <w:color w:val="0D0D0D" w:themeColor="text1" w:themeTint="F2"/>
          <w:sz w:val="22"/>
          <w:szCs w:val="22"/>
        </w:rPr>
      </w:pPr>
      <w:r w:rsidRPr="007F0B8E">
        <w:rPr>
          <w:rFonts w:ascii="Palatino Linotype" w:hAnsi="Palatino Linotype" w:cs="Tahoma"/>
          <w:b/>
          <w:color w:val="0D0D0D" w:themeColor="text1" w:themeTint="F2"/>
          <w:sz w:val="22"/>
          <w:szCs w:val="22"/>
        </w:rPr>
        <w:t>e</w:t>
      </w:r>
      <w:r w:rsidRPr="007F0B8E" w:rsidR="00BA60CE">
        <w:rPr>
          <w:rFonts w:ascii="Palatino Linotype" w:hAnsi="Palatino Linotype" w:cs="Tahoma"/>
          <w:b/>
          <w:color w:val="0D0D0D" w:themeColor="text1" w:themeTint="F2"/>
          <w:sz w:val="22"/>
          <w:szCs w:val="22"/>
        </w:rPr>
        <w:t xml:space="preserve">) </w:t>
      </w:r>
      <w:r w:rsidRPr="007F0B8E" w:rsidR="001240E9">
        <w:rPr>
          <w:rFonts w:ascii="Palatino Linotype" w:hAnsi="Palatino Linotype"/>
          <w:b/>
          <w:color w:val="0D0D0D" w:themeColor="text1" w:themeTint="F2"/>
          <w:sz w:val="22"/>
          <w:szCs w:val="22"/>
        </w:rPr>
        <w:t xml:space="preserve">Vista del Informe Justificado: </w:t>
      </w:r>
      <w:r w:rsidRPr="007F0B8E" w:rsidR="001240E9">
        <w:rPr>
          <w:rFonts w:ascii="Palatino Linotype" w:hAnsi="Palatino Linotype"/>
          <w:color w:val="0D0D0D" w:themeColor="text1" w:themeTint="F2"/>
          <w:sz w:val="22"/>
          <w:szCs w:val="22"/>
        </w:rPr>
        <w:t xml:space="preserve">El </w:t>
      </w:r>
      <w:r w:rsidRPr="007F0B8E">
        <w:rPr>
          <w:rFonts w:ascii="Palatino Linotype" w:hAnsi="Palatino Linotype"/>
          <w:color w:val="0D0D0D" w:themeColor="text1" w:themeTint="F2"/>
          <w:sz w:val="22"/>
          <w:szCs w:val="22"/>
        </w:rPr>
        <w:t>veintiocho</w:t>
      </w:r>
      <w:r w:rsidRPr="007F0B8E" w:rsidR="001240E9">
        <w:rPr>
          <w:rFonts w:ascii="Palatino Linotype" w:hAnsi="Palatino Linotype"/>
          <w:color w:val="0D0D0D" w:themeColor="text1" w:themeTint="F2"/>
          <w:sz w:val="22"/>
          <w:szCs w:val="22"/>
        </w:rPr>
        <w:t xml:space="preserve"> de ju</w:t>
      </w:r>
      <w:r w:rsidRPr="007F0B8E">
        <w:rPr>
          <w:rFonts w:ascii="Palatino Linotype" w:hAnsi="Palatino Linotype"/>
          <w:color w:val="0D0D0D" w:themeColor="text1" w:themeTint="F2"/>
          <w:sz w:val="22"/>
          <w:szCs w:val="22"/>
        </w:rPr>
        <w:t>nio</w:t>
      </w:r>
      <w:r w:rsidRPr="007F0B8E" w:rsidR="001240E9">
        <w:rPr>
          <w:rFonts w:ascii="Palatino Linotype" w:hAnsi="Palatino Linotype"/>
          <w:color w:val="0D0D0D" w:themeColor="text1" w:themeTint="F2"/>
          <w:sz w:val="22"/>
          <w:szCs w:val="22"/>
        </w:rPr>
        <w:t xml:space="preserve"> de dos mil veinti</w:t>
      </w:r>
      <w:r w:rsidRPr="007F0B8E">
        <w:rPr>
          <w:rFonts w:ascii="Palatino Linotype" w:hAnsi="Palatino Linotype"/>
          <w:color w:val="0D0D0D" w:themeColor="text1" w:themeTint="F2"/>
          <w:sz w:val="22"/>
          <w:szCs w:val="22"/>
        </w:rPr>
        <w:t>dós</w:t>
      </w:r>
      <w:r w:rsidRPr="007F0B8E" w:rsidR="001240E9">
        <w:rPr>
          <w:rFonts w:ascii="Palatino Linotype" w:hAnsi="Palatino Linotype"/>
          <w:color w:val="0D0D0D" w:themeColor="text1" w:themeTint="F2"/>
          <w:sz w:val="22"/>
          <w:szCs w:val="22"/>
        </w:rPr>
        <w:t xml:space="preserve">, se dictó acuerdo mediante el cual </w:t>
      </w:r>
      <w:r w:rsidRPr="007F0B8E" w:rsidR="001240E9">
        <w:rPr>
          <w:rFonts w:ascii="Palatino Linotype" w:hAnsi="Palatino Linotype"/>
          <w:b/>
          <w:color w:val="0D0D0D" w:themeColor="text1" w:themeTint="F2"/>
          <w:sz w:val="22"/>
          <w:szCs w:val="22"/>
        </w:rPr>
        <w:t>se puso a la vista de la Particular el Informe Justificado,</w:t>
      </w:r>
      <w:r w:rsidRPr="007F0B8E" w:rsidR="001240E9">
        <w:rPr>
          <w:rFonts w:ascii="Palatino Linotype" w:hAnsi="Palatino Linotype"/>
          <w:color w:val="0D0D0D" w:themeColor="text1" w:themeTint="F2"/>
          <w:sz w:val="22"/>
          <w:szCs w:val="22"/>
        </w:rPr>
        <w:t xml:space="preserve"> entregado por el Sujeto Obligado, el cual fue notificado a las partes, a través del Sistema de Acceso a la Información Mexiquense (SAIMEX), el mismo </w:t>
      </w:r>
      <w:r w:rsidRPr="007F0B8E">
        <w:rPr>
          <w:rFonts w:ascii="Palatino Linotype" w:hAnsi="Palatino Linotype"/>
          <w:color w:val="0D0D0D" w:themeColor="text1" w:themeTint="F2"/>
          <w:sz w:val="22"/>
          <w:szCs w:val="22"/>
        </w:rPr>
        <w:t>día</w:t>
      </w:r>
      <w:r w:rsidRPr="007F0B8E" w:rsidR="001240E9">
        <w:rPr>
          <w:rFonts w:ascii="Palatino Linotype" w:hAnsi="Palatino Linotype"/>
          <w:color w:val="0D0D0D" w:themeColor="text1" w:themeTint="F2"/>
          <w:sz w:val="22"/>
          <w:szCs w:val="22"/>
        </w:rPr>
        <w:t xml:space="preserve">. </w:t>
      </w:r>
      <w:r w:rsidRPr="007F0B8E" w:rsidR="001240E9">
        <w:rPr>
          <w:rFonts w:ascii="Palatino Linotype" w:hAnsi="Palatino Linotype"/>
          <w:b/>
          <w:bCs/>
          <w:color w:val="0D0D0D" w:themeColor="text1" w:themeTint="F2"/>
          <w:sz w:val="22"/>
          <w:szCs w:val="22"/>
        </w:rPr>
        <w:t>Cabe señalar que la Recurrente fue omisa en realizar alguna manifestación que a su derecho conviniera y asistiera.</w:t>
      </w:r>
      <w:r w:rsidRPr="007F0B8E" w:rsidR="001240E9">
        <w:rPr>
          <w:rFonts w:ascii="Palatino Linotype" w:hAnsi="Palatino Linotype"/>
          <w:color w:val="0D0D0D" w:themeColor="text1" w:themeTint="F2"/>
          <w:sz w:val="22"/>
          <w:szCs w:val="22"/>
        </w:rPr>
        <w:t xml:space="preserve"> </w:t>
      </w:r>
    </w:p>
    <w:p w:rsidRPr="007F0B8E" w:rsidR="00BA60CE" w:rsidP="00BD607C" w:rsidRDefault="00BA60CE" w14:paraId="35530C5F" w14:textId="77777777">
      <w:pPr>
        <w:spacing w:line="360" w:lineRule="auto"/>
        <w:jc w:val="both"/>
        <w:rPr>
          <w:rFonts w:ascii="Palatino Linotype" w:hAnsi="Palatino Linotype" w:cs="Tahoma"/>
          <w:b/>
          <w:color w:val="0D0D0D" w:themeColor="text1" w:themeTint="F2"/>
          <w:sz w:val="22"/>
          <w:szCs w:val="22"/>
        </w:rPr>
      </w:pPr>
    </w:p>
    <w:p w:rsidRPr="007F0B8E" w:rsidR="00F1491F" w:rsidP="00BD607C" w:rsidRDefault="00C53361" w14:paraId="6F92ADBC" w14:textId="72084293">
      <w:pPr>
        <w:spacing w:line="360" w:lineRule="auto"/>
        <w:jc w:val="both"/>
        <w:rPr>
          <w:rFonts w:ascii="Palatino Linotype" w:hAnsi="Palatino Linotype" w:cs="Tahoma"/>
          <w:color w:val="0D0D0D" w:themeColor="text1" w:themeTint="F2"/>
          <w:sz w:val="22"/>
          <w:szCs w:val="22"/>
          <w:lang w:val="es-ES_tradnl"/>
        </w:rPr>
      </w:pPr>
      <w:r w:rsidRPr="007F0B8E">
        <w:rPr>
          <w:rFonts w:ascii="Palatino Linotype" w:hAnsi="Palatino Linotype" w:cs="Tahoma"/>
          <w:b/>
          <w:color w:val="0D0D0D" w:themeColor="text1" w:themeTint="F2"/>
          <w:sz w:val="22"/>
          <w:szCs w:val="22"/>
        </w:rPr>
        <w:lastRenderedPageBreak/>
        <w:t>f</w:t>
      </w:r>
      <w:r w:rsidRPr="007F0B8E" w:rsidR="00BA60CE">
        <w:rPr>
          <w:rFonts w:ascii="Palatino Linotype" w:hAnsi="Palatino Linotype" w:cs="Tahoma"/>
          <w:b/>
          <w:color w:val="0D0D0D" w:themeColor="text1" w:themeTint="F2"/>
          <w:sz w:val="22"/>
          <w:szCs w:val="22"/>
        </w:rPr>
        <w:t xml:space="preserve">) </w:t>
      </w:r>
      <w:r w:rsidRPr="007F0B8E" w:rsidR="003A1F1C">
        <w:rPr>
          <w:rFonts w:ascii="Palatino Linotype" w:hAnsi="Palatino Linotype" w:cs="Tahoma"/>
          <w:b/>
          <w:color w:val="0D0D0D" w:themeColor="text1" w:themeTint="F2"/>
          <w:sz w:val="22"/>
          <w:szCs w:val="22"/>
        </w:rPr>
        <w:t>Cierre de instrucción.</w:t>
      </w:r>
      <w:r w:rsidRPr="007F0B8E" w:rsidR="003A1F1C">
        <w:rPr>
          <w:rFonts w:ascii="Palatino Linotype" w:hAnsi="Palatino Linotype" w:cs="Tahoma"/>
          <w:color w:val="0D0D0D" w:themeColor="text1" w:themeTint="F2"/>
          <w:sz w:val="22"/>
          <w:szCs w:val="22"/>
        </w:rPr>
        <w:t xml:space="preserve"> El </w:t>
      </w:r>
      <w:r w:rsidRPr="007F0B8E">
        <w:rPr>
          <w:rFonts w:ascii="Palatino Linotype" w:hAnsi="Palatino Linotype" w:cs="Tahoma"/>
          <w:color w:val="0D0D0D" w:themeColor="text1" w:themeTint="F2"/>
          <w:sz w:val="22"/>
          <w:szCs w:val="22"/>
        </w:rPr>
        <w:t>cuatro</w:t>
      </w:r>
      <w:r w:rsidRPr="007F0B8E" w:rsidR="00F917A3">
        <w:rPr>
          <w:rFonts w:ascii="Palatino Linotype" w:hAnsi="Palatino Linotype" w:cs="Tahoma"/>
          <w:color w:val="0D0D0D" w:themeColor="text1" w:themeTint="F2"/>
          <w:sz w:val="22"/>
          <w:szCs w:val="22"/>
        </w:rPr>
        <w:t xml:space="preserve"> de </w:t>
      </w:r>
      <w:r w:rsidRPr="007F0B8E">
        <w:rPr>
          <w:rFonts w:ascii="Palatino Linotype" w:hAnsi="Palatino Linotype" w:cs="Tahoma"/>
          <w:color w:val="0D0D0D" w:themeColor="text1" w:themeTint="F2"/>
          <w:sz w:val="22"/>
          <w:szCs w:val="22"/>
        </w:rPr>
        <w:t>julio</w:t>
      </w:r>
      <w:r w:rsidRPr="007F0B8E" w:rsidR="00FB0ECE">
        <w:rPr>
          <w:rFonts w:ascii="Palatino Linotype" w:hAnsi="Palatino Linotype" w:cs="Tahoma"/>
          <w:color w:val="0D0D0D" w:themeColor="text1" w:themeTint="F2"/>
          <w:sz w:val="22"/>
          <w:szCs w:val="22"/>
        </w:rPr>
        <w:t xml:space="preserve"> de dos mil veinti</w:t>
      </w:r>
      <w:r w:rsidRPr="007F0B8E">
        <w:rPr>
          <w:rFonts w:ascii="Palatino Linotype" w:hAnsi="Palatino Linotype" w:cs="Tahoma"/>
          <w:color w:val="0D0D0D" w:themeColor="text1" w:themeTint="F2"/>
          <w:sz w:val="22"/>
          <w:szCs w:val="22"/>
        </w:rPr>
        <w:t>dós</w:t>
      </w:r>
      <w:r w:rsidRPr="007F0B8E" w:rsidR="003A1F1C">
        <w:rPr>
          <w:rFonts w:ascii="Palatino Linotype" w:hAnsi="Palatino Linotype" w:cs="Tahoma"/>
          <w:color w:val="0D0D0D" w:themeColor="text1" w:themeTint="F2"/>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a través del </w:t>
      </w:r>
      <w:r w:rsidRPr="007F0B8E" w:rsidR="003A1F1C">
        <w:rPr>
          <w:rFonts w:ascii="Palatino Linotype" w:hAnsi="Palatino Linotype" w:cs="Tahoma"/>
          <w:color w:val="0D0D0D" w:themeColor="text1" w:themeTint="F2"/>
          <w:sz w:val="22"/>
          <w:szCs w:val="22"/>
          <w:lang w:val="es-ES"/>
        </w:rPr>
        <w:t>Sistema de Acceso a la Información Mexiquense (SAIMEX)</w:t>
      </w:r>
      <w:r w:rsidRPr="007F0B8E" w:rsidR="003A1F1C">
        <w:rPr>
          <w:rFonts w:ascii="Palatino Linotype" w:hAnsi="Palatino Linotype" w:cs="Tahoma"/>
          <w:color w:val="0D0D0D" w:themeColor="text1" w:themeTint="F2"/>
          <w:sz w:val="22"/>
          <w:szCs w:val="22"/>
        </w:rPr>
        <w:t xml:space="preserve">.  </w:t>
      </w:r>
    </w:p>
    <w:p w:rsidRPr="007F0B8E" w:rsidR="009C2585" w:rsidP="00BD607C" w:rsidRDefault="009C2585" w14:paraId="6D79E078" w14:textId="77777777">
      <w:pPr>
        <w:spacing w:line="360" w:lineRule="auto"/>
        <w:jc w:val="both"/>
        <w:rPr>
          <w:rFonts w:ascii="Palatino Linotype" w:hAnsi="Palatino Linotype" w:cs="Tahoma"/>
          <w:b/>
          <w:color w:val="0D0D0D" w:themeColor="text1" w:themeTint="F2"/>
          <w:sz w:val="22"/>
          <w:szCs w:val="22"/>
        </w:rPr>
      </w:pPr>
    </w:p>
    <w:p w:rsidRPr="007F0B8E" w:rsidR="004F2D88" w:rsidP="00CC1718" w:rsidRDefault="004F2D88" w14:paraId="3B555A95"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En </w:t>
      </w:r>
      <w:r w:rsidRPr="007F0B8E" w:rsidR="00367F82">
        <w:rPr>
          <w:rFonts w:ascii="Palatino Linotype" w:hAnsi="Palatino Linotype" w:cs="Tahoma"/>
          <w:color w:val="0D0D0D" w:themeColor="text1" w:themeTint="F2"/>
          <w:sz w:val="22"/>
          <w:szCs w:val="22"/>
        </w:rPr>
        <w:t>razón de que fue debidamente su</w:t>
      </w:r>
      <w:r w:rsidRPr="007F0B8E">
        <w:rPr>
          <w:rFonts w:ascii="Palatino Linotype" w:hAnsi="Palatino Linotype" w:cs="Tahoma"/>
          <w:color w:val="0D0D0D" w:themeColor="text1" w:themeTint="F2"/>
          <w:sz w:val="22"/>
          <w:szCs w:val="22"/>
        </w:rPr>
        <w:t xml:space="preserve">stanciado el expediente </w:t>
      </w:r>
      <w:r w:rsidRPr="007F0B8E" w:rsidR="00367F82">
        <w:rPr>
          <w:rFonts w:ascii="Palatino Linotype" w:hAnsi="Palatino Linotype" w:cs="Tahoma"/>
          <w:color w:val="0D0D0D" w:themeColor="text1" w:themeTint="F2"/>
          <w:sz w:val="22"/>
          <w:szCs w:val="22"/>
        </w:rPr>
        <w:t xml:space="preserve">electrónico </w:t>
      </w:r>
      <w:r w:rsidRPr="007F0B8E">
        <w:rPr>
          <w:rFonts w:ascii="Palatino Linotype" w:hAnsi="Palatino Linotype" w:cs="Tahoma"/>
          <w:color w:val="0D0D0D" w:themeColor="text1" w:themeTint="F2"/>
          <w:sz w:val="22"/>
          <w:szCs w:val="22"/>
        </w:rPr>
        <w:t>y no exist</w:t>
      </w:r>
      <w:r w:rsidRPr="007F0B8E" w:rsidR="00367F82">
        <w:rPr>
          <w:rFonts w:ascii="Palatino Linotype" w:hAnsi="Palatino Linotype" w:cs="Tahoma"/>
          <w:color w:val="0D0D0D" w:themeColor="text1" w:themeTint="F2"/>
          <w:sz w:val="22"/>
          <w:szCs w:val="22"/>
        </w:rPr>
        <w:t>e</w:t>
      </w:r>
      <w:r w:rsidRPr="007F0B8E">
        <w:rPr>
          <w:rFonts w:ascii="Palatino Linotype" w:hAnsi="Palatino Linotype" w:cs="Tahoma"/>
          <w:color w:val="0D0D0D" w:themeColor="text1" w:themeTint="F2"/>
          <w:sz w:val="22"/>
          <w:szCs w:val="22"/>
        </w:rPr>
        <w:t xml:space="preserve"> dilige</w:t>
      </w:r>
      <w:r w:rsidRPr="007F0B8E" w:rsidR="00367F82">
        <w:rPr>
          <w:rFonts w:ascii="Palatino Linotype" w:hAnsi="Palatino Linotype" w:cs="Tahoma"/>
          <w:color w:val="0D0D0D" w:themeColor="text1" w:themeTint="F2"/>
          <w:sz w:val="22"/>
          <w:szCs w:val="22"/>
        </w:rPr>
        <w:t xml:space="preserve">ncia pendiente de desahogo, se </w:t>
      </w:r>
      <w:r w:rsidRPr="007F0B8E">
        <w:rPr>
          <w:rFonts w:ascii="Palatino Linotype" w:hAnsi="Palatino Linotype" w:cs="Tahoma"/>
          <w:color w:val="0D0D0D" w:themeColor="text1" w:themeTint="F2"/>
          <w:sz w:val="22"/>
          <w:szCs w:val="22"/>
        </w:rPr>
        <w:t>emit</w:t>
      </w:r>
      <w:r w:rsidRPr="007F0B8E" w:rsidR="00367F82">
        <w:rPr>
          <w:rFonts w:ascii="Palatino Linotype" w:hAnsi="Palatino Linotype" w:cs="Tahoma"/>
          <w:color w:val="0D0D0D" w:themeColor="text1" w:themeTint="F2"/>
          <w:sz w:val="22"/>
          <w:szCs w:val="22"/>
        </w:rPr>
        <w:t>e</w:t>
      </w:r>
      <w:r w:rsidRPr="007F0B8E">
        <w:rPr>
          <w:rFonts w:ascii="Palatino Linotype" w:hAnsi="Palatino Linotype" w:cs="Tahoma"/>
          <w:color w:val="0D0D0D" w:themeColor="text1" w:themeTint="F2"/>
          <w:sz w:val="22"/>
          <w:szCs w:val="22"/>
        </w:rPr>
        <w:t xml:space="preserve"> la resolución que conforme a Derecho proceda, de acuerdo a l</w:t>
      </w:r>
      <w:r w:rsidRPr="007F0B8E" w:rsidR="009A620E">
        <w:rPr>
          <w:rFonts w:ascii="Palatino Linotype" w:hAnsi="Palatino Linotype" w:cs="Tahoma"/>
          <w:color w:val="0D0D0D" w:themeColor="text1" w:themeTint="F2"/>
          <w:sz w:val="22"/>
          <w:szCs w:val="22"/>
        </w:rPr>
        <w:t>o</w:t>
      </w:r>
      <w:r w:rsidRPr="007F0B8E">
        <w:rPr>
          <w:rFonts w:ascii="Palatino Linotype" w:hAnsi="Palatino Linotype" w:cs="Tahoma"/>
          <w:color w:val="0D0D0D" w:themeColor="text1" w:themeTint="F2"/>
          <w:sz w:val="22"/>
          <w:szCs w:val="22"/>
        </w:rPr>
        <w:t xml:space="preserve">s siguientes: </w:t>
      </w:r>
    </w:p>
    <w:p w:rsidRPr="007F0B8E" w:rsidR="00A56F39" w:rsidP="00AB4D0E" w:rsidRDefault="00A56F39" w14:paraId="5480E7FC" w14:textId="77777777">
      <w:pPr>
        <w:spacing w:line="360" w:lineRule="auto"/>
        <w:jc w:val="center"/>
        <w:rPr>
          <w:rFonts w:ascii="Palatino Linotype" w:hAnsi="Palatino Linotype" w:cs="Tahoma"/>
          <w:b/>
          <w:color w:val="0D0D0D" w:themeColor="text1" w:themeTint="F2"/>
          <w:sz w:val="22"/>
          <w:szCs w:val="22"/>
        </w:rPr>
      </w:pPr>
    </w:p>
    <w:p w:rsidRPr="007F0B8E" w:rsidR="004F2D88" w:rsidP="00AB4D0E" w:rsidRDefault="009A620E" w14:paraId="705090ED" w14:textId="77777777">
      <w:pPr>
        <w:spacing w:line="360" w:lineRule="auto"/>
        <w:jc w:val="center"/>
        <w:rPr>
          <w:rFonts w:ascii="Palatino Linotype" w:hAnsi="Palatino Linotype" w:cs="Tahoma"/>
          <w:b/>
          <w:color w:val="0D0D0D" w:themeColor="text1" w:themeTint="F2"/>
          <w:sz w:val="22"/>
          <w:szCs w:val="22"/>
          <w:lang w:val="es-ES"/>
        </w:rPr>
      </w:pPr>
      <w:r w:rsidRPr="007F0B8E">
        <w:rPr>
          <w:rFonts w:ascii="Palatino Linotype" w:hAnsi="Palatino Linotype" w:cs="Tahoma"/>
          <w:b/>
          <w:color w:val="0D0D0D" w:themeColor="text1" w:themeTint="F2"/>
          <w:sz w:val="22"/>
          <w:szCs w:val="22"/>
          <w:lang w:val="es-ES"/>
        </w:rPr>
        <w:t>CONSIDERANDOS</w:t>
      </w:r>
      <w:r w:rsidRPr="007F0B8E" w:rsidR="004F2D88">
        <w:rPr>
          <w:rFonts w:ascii="Palatino Linotype" w:hAnsi="Palatino Linotype" w:cs="Tahoma"/>
          <w:b/>
          <w:color w:val="0D0D0D" w:themeColor="text1" w:themeTint="F2"/>
          <w:sz w:val="22"/>
          <w:szCs w:val="22"/>
          <w:lang w:val="es-ES"/>
        </w:rPr>
        <w:t>:</w:t>
      </w:r>
    </w:p>
    <w:p w:rsidRPr="007F0B8E" w:rsidR="007A548C" w:rsidP="00AB4D0E" w:rsidRDefault="007A548C" w14:paraId="315CA9D7" w14:textId="77777777">
      <w:pPr>
        <w:autoSpaceDE w:val="0"/>
        <w:autoSpaceDN w:val="0"/>
        <w:adjustRightInd w:val="0"/>
        <w:spacing w:line="360" w:lineRule="auto"/>
        <w:jc w:val="both"/>
        <w:rPr>
          <w:rFonts w:ascii="Palatino Linotype" w:hAnsi="Palatino Linotype" w:eastAsia="Calibri" w:cs="Tahoma"/>
          <w:b/>
          <w:color w:val="0D0D0D" w:themeColor="text1" w:themeTint="F2"/>
          <w:sz w:val="22"/>
          <w:szCs w:val="22"/>
          <w:lang w:val="es-ES" w:eastAsia="es-MX"/>
        </w:rPr>
      </w:pPr>
    </w:p>
    <w:p w:rsidRPr="007F0B8E" w:rsidR="00B64641" w:rsidP="00AB4D0E" w:rsidRDefault="00B64641" w14:paraId="45F8E124" w14:textId="77777777">
      <w:pPr>
        <w:autoSpaceDE w:val="0"/>
        <w:autoSpaceDN w:val="0"/>
        <w:adjustRightInd w:val="0"/>
        <w:spacing w:line="360" w:lineRule="auto"/>
        <w:jc w:val="both"/>
        <w:rPr>
          <w:rFonts w:ascii="Palatino Linotype" w:hAnsi="Palatino Linotype" w:cs="Tahoma"/>
          <w:b/>
          <w:color w:val="0D0D0D" w:themeColor="text1" w:themeTint="F2"/>
          <w:sz w:val="22"/>
          <w:szCs w:val="22"/>
          <w:lang w:val="es-ES"/>
        </w:rPr>
      </w:pPr>
      <w:r w:rsidRPr="007F0B8E">
        <w:rPr>
          <w:rFonts w:ascii="Palatino Linotype" w:hAnsi="Palatino Linotype" w:eastAsia="Calibri" w:cs="Tahoma"/>
          <w:b/>
          <w:color w:val="0D0D0D" w:themeColor="text1" w:themeTint="F2"/>
          <w:sz w:val="22"/>
          <w:szCs w:val="22"/>
          <w:lang w:val="es-ES" w:eastAsia="es-MX"/>
        </w:rPr>
        <w:t>PRIMER</w:t>
      </w:r>
      <w:r w:rsidRPr="007F0B8E" w:rsidR="002241A6">
        <w:rPr>
          <w:rFonts w:ascii="Palatino Linotype" w:hAnsi="Palatino Linotype" w:eastAsia="Calibri" w:cs="Tahoma"/>
          <w:b/>
          <w:color w:val="0D0D0D" w:themeColor="text1" w:themeTint="F2"/>
          <w:sz w:val="22"/>
          <w:szCs w:val="22"/>
          <w:lang w:val="es-ES" w:eastAsia="es-MX"/>
        </w:rPr>
        <w:t>O</w:t>
      </w:r>
      <w:r w:rsidRPr="007F0B8E">
        <w:rPr>
          <w:rFonts w:ascii="Palatino Linotype" w:hAnsi="Palatino Linotype" w:eastAsia="Calibri" w:cs="Tahoma"/>
          <w:color w:val="0D0D0D" w:themeColor="text1" w:themeTint="F2"/>
          <w:sz w:val="22"/>
          <w:szCs w:val="22"/>
          <w:lang w:val="es-ES" w:eastAsia="es-MX"/>
        </w:rPr>
        <w:t xml:space="preserve">. </w:t>
      </w:r>
      <w:r w:rsidRPr="007F0B8E">
        <w:rPr>
          <w:rFonts w:ascii="Palatino Linotype" w:hAnsi="Palatino Linotype" w:cs="Tahoma"/>
          <w:b/>
          <w:color w:val="0D0D0D" w:themeColor="text1" w:themeTint="F2"/>
          <w:sz w:val="22"/>
          <w:szCs w:val="22"/>
          <w:lang w:val="es-ES"/>
        </w:rPr>
        <w:t>Competencia.</w:t>
      </w:r>
    </w:p>
    <w:p w:rsidRPr="007F0B8E" w:rsidR="00B727C5" w:rsidP="00AB4D0E" w:rsidRDefault="00B727C5" w14:paraId="77E1F4A5"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rsidRPr="007F0B8E" w:rsidR="00FB0ECE" w:rsidP="00FB0ECE" w:rsidRDefault="00FB0ECE" w14:paraId="52F64E86" w14:textId="48A1ADDE">
      <w:pPr>
        <w:spacing w:line="360" w:lineRule="auto"/>
        <w:jc w:val="both"/>
        <w:rPr>
          <w:rFonts w:ascii="Palatino Linotype" w:hAnsi="Palatino Linotype" w:cs="Tahoma"/>
          <w:bCs/>
          <w:color w:val="0D0D0D" w:themeColor="text1" w:themeTint="F2"/>
          <w:sz w:val="22"/>
          <w:szCs w:val="22"/>
        </w:rPr>
      </w:pPr>
      <w:r w:rsidRPr="007F0B8E">
        <w:rPr>
          <w:rFonts w:ascii="Palatino Linotype" w:hAnsi="Palatino Linotype" w:cs="Tahoma"/>
          <w:bCs/>
          <w:color w:val="0D0D0D" w:themeColor="text1" w:themeTint="F2"/>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Pr="007F0B8E" w:rsidR="001240E9">
        <w:rPr>
          <w:rFonts w:ascii="Palatino Linotype" w:hAnsi="Palatino Linotype" w:cs="Tahoma"/>
          <w:bCs/>
          <w:color w:val="0D0D0D" w:themeColor="text1" w:themeTint="F2"/>
          <w:sz w:val="22"/>
          <w:szCs w:val="22"/>
        </w:rPr>
        <w:t>trigésimo,</w:t>
      </w:r>
      <w:r w:rsidRPr="007F0B8E">
        <w:rPr>
          <w:rFonts w:ascii="Palatino Linotype" w:hAnsi="Palatino Linotype" w:cs="Tahoma"/>
          <w:bCs/>
          <w:color w:val="0D0D0D" w:themeColor="text1" w:themeTint="F2"/>
          <w:sz w:val="22"/>
          <w:szCs w:val="22"/>
        </w:rPr>
        <w:t xml:space="preserve"> trigésimo primero</w:t>
      </w:r>
      <w:r w:rsidRPr="007F0B8E" w:rsidR="001240E9">
        <w:rPr>
          <w:rFonts w:ascii="Palatino Linotype" w:hAnsi="Palatino Linotype" w:cs="Tahoma"/>
          <w:bCs/>
          <w:color w:val="0D0D0D" w:themeColor="text1" w:themeTint="F2"/>
          <w:sz w:val="22"/>
          <w:szCs w:val="22"/>
        </w:rPr>
        <w:t xml:space="preserve"> y trigésimo segundo</w:t>
      </w:r>
      <w:r w:rsidRPr="007F0B8E">
        <w:rPr>
          <w:rFonts w:ascii="Palatino Linotype" w:hAnsi="Palatino Linotype" w:cs="Tahoma"/>
          <w:bCs/>
          <w:color w:val="0D0D0D" w:themeColor="text1" w:themeTint="F2"/>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7F0B8E">
        <w:rPr>
          <w:rFonts w:ascii="Palatino Linotype" w:hAnsi="Palatino Linotype"/>
          <w:bCs/>
          <w:color w:val="0D0D0D" w:themeColor="text1" w:themeTint="F2"/>
          <w:sz w:val="22"/>
          <w:szCs w:val="22"/>
        </w:rPr>
        <w:t xml:space="preserve"> 7°, </w:t>
      </w:r>
      <w:r w:rsidRPr="007F0B8E">
        <w:rPr>
          <w:rFonts w:ascii="Palatino Linotype" w:hAnsi="Palatino Linotype" w:cs="Tahoma"/>
          <w:bCs/>
          <w:color w:val="0D0D0D" w:themeColor="text1" w:themeTint="F2"/>
          <w:sz w:val="22"/>
          <w:szCs w:val="22"/>
        </w:rPr>
        <w:t>9°, fracciones I y XXIV y 11 del Reglamento Interior del Instituto de Transparencia, Acceso a la Información Pública y Protección de Datos Personales del Estado de México y Municipios.</w:t>
      </w:r>
    </w:p>
    <w:p w:rsidRPr="007F0B8E" w:rsidR="007765C0" w:rsidP="007765C0" w:rsidRDefault="004F2D88" w14:paraId="554DD6C6"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7F0B8E">
        <w:rPr>
          <w:rFonts w:ascii="Palatino Linotype" w:hAnsi="Palatino Linotype" w:eastAsia="Calibri" w:cs="Tahoma"/>
          <w:b/>
          <w:color w:val="0D0D0D" w:themeColor="text1" w:themeTint="F2"/>
          <w:sz w:val="22"/>
          <w:szCs w:val="22"/>
          <w:lang w:val="es-ES" w:eastAsia="es-MX"/>
        </w:rPr>
        <w:lastRenderedPageBreak/>
        <w:t>SEGUND</w:t>
      </w:r>
      <w:r w:rsidRPr="007F0B8E" w:rsidR="002241A6">
        <w:rPr>
          <w:rFonts w:ascii="Palatino Linotype" w:hAnsi="Palatino Linotype" w:eastAsia="Calibri" w:cs="Tahoma"/>
          <w:b/>
          <w:color w:val="0D0D0D" w:themeColor="text1" w:themeTint="F2"/>
          <w:sz w:val="22"/>
          <w:szCs w:val="22"/>
          <w:lang w:val="es-ES" w:eastAsia="es-MX"/>
        </w:rPr>
        <w:t>O</w:t>
      </w:r>
      <w:r w:rsidRPr="007F0B8E">
        <w:rPr>
          <w:rFonts w:ascii="Palatino Linotype" w:hAnsi="Palatino Linotype" w:eastAsia="Calibri" w:cs="Tahoma"/>
          <w:color w:val="0D0D0D" w:themeColor="text1" w:themeTint="F2"/>
          <w:sz w:val="22"/>
          <w:szCs w:val="22"/>
          <w:lang w:val="es-ES" w:eastAsia="es-MX"/>
        </w:rPr>
        <w:t xml:space="preserve">. </w:t>
      </w:r>
      <w:r w:rsidRPr="007F0B8E" w:rsidR="007765C0">
        <w:rPr>
          <w:rFonts w:ascii="Palatino Linotype" w:hAnsi="Palatino Linotype" w:cs="Tahoma"/>
          <w:b/>
          <w:color w:val="0D0D0D" w:themeColor="text1" w:themeTint="F2"/>
          <w:sz w:val="22"/>
          <w:szCs w:val="22"/>
          <w:lang w:val="es-ES"/>
        </w:rPr>
        <w:t>Causales de improcedencia y sobreseimiento.</w:t>
      </w:r>
    </w:p>
    <w:p w:rsidRPr="007F0B8E" w:rsidR="007765C0" w:rsidP="007765C0" w:rsidRDefault="007765C0" w14:paraId="2635493E"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rsidRPr="007F0B8E" w:rsidR="007765C0" w:rsidP="007765C0" w:rsidRDefault="007765C0" w14:paraId="654784CC"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 xml:space="preserve">De las constancias que forma parte del Recurso de Revisión que se analiza, se advierte que previo al estudio del fondo de la </w:t>
      </w:r>
      <w:r w:rsidRPr="007F0B8E">
        <w:rPr>
          <w:rFonts w:ascii="Palatino Linotype" w:hAnsi="Palatino Linotype" w:cs="Tahoma"/>
          <w:i/>
          <w:color w:val="0D0D0D" w:themeColor="text1" w:themeTint="F2"/>
          <w:sz w:val="22"/>
          <w:szCs w:val="22"/>
          <w:lang w:val="es-ES"/>
        </w:rPr>
        <w:t>litis</w:t>
      </w:r>
      <w:r w:rsidRPr="007F0B8E">
        <w:rPr>
          <w:rFonts w:ascii="Palatino Linotype" w:hAnsi="Palatino Linotype" w:cs="Tahoma"/>
          <w:color w:val="0D0D0D" w:themeColor="text1" w:themeTint="F2"/>
          <w:sz w:val="22"/>
          <w:szCs w:val="22"/>
          <w:lang w:val="es-ES"/>
        </w:rPr>
        <w:t>, es necesario estudiar las causales de improcedencia y sobreseimiento que se adviertan, para determinar lo que en Derecho proceda.</w:t>
      </w:r>
    </w:p>
    <w:p w:rsidRPr="007F0B8E" w:rsidR="007765C0" w:rsidP="00AB4D0E" w:rsidRDefault="007765C0" w14:paraId="39BBD4CE" w14:textId="77777777">
      <w:pPr>
        <w:autoSpaceDE w:val="0"/>
        <w:autoSpaceDN w:val="0"/>
        <w:adjustRightInd w:val="0"/>
        <w:spacing w:line="360" w:lineRule="auto"/>
        <w:jc w:val="both"/>
        <w:rPr>
          <w:rFonts w:ascii="Palatino Linotype" w:hAnsi="Palatino Linotype" w:eastAsia="Calibri" w:cs="Tahoma"/>
          <w:color w:val="0D0D0D" w:themeColor="text1" w:themeTint="F2"/>
          <w:sz w:val="22"/>
          <w:szCs w:val="22"/>
          <w:lang w:val="es-ES" w:eastAsia="es-MX"/>
        </w:rPr>
      </w:pPr>
    </w:p>
    <w:p w:rsidRPr="007F0B8E" w:rsidR="00436FD3" w:rsidP="00AB4D0E" w:rsidRDefault="007A548C" w14:paraId="21303B65" w14:textId="0A715AFA">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r w:rsidRPr="007F0B8E">
        <w:rPr>
          <w:rFonts w:ascii="Palatino Linotype" w:hAnsi="Palatino Linotype" w:cs="Tahoma"/>
          <w:b/>
          <w:color w:val="0D0D0D" w:themeColor="text1" w:themeTint="F2"/>
          <w:sz w:val="22"/>
          <w:szCs w:val="22"/>
          <w:lang w:val="es-ES"/>
        </w:rPr>
        <w:t>Causales de improcedencia</w:t>
      </w:r>
      <w:r w:rsidRPr="007F0B8E" w:rsidR="00A414EC">
        <w:rPr>
          <w:rFonts w:ascii="Palatino Linotype" w:hAnsi="Palatino Linotype" w:cs="Tahoma"/>
          <w:b/>
          <w:color w:val="0D0D0D" w:themeColor="text1" w:themeTint="F2"/>
          <w:sz w:val="22"/>
          <w:szCs w:val="22"/>
          <w:lang w:val="es-ES"/>
        </w:rPr>
        <w:t>.</w:t>
      </w:r>
    </w:p>
    <w:p w:rsidRPr="007F0B8E" w:rsidR="00303CAD" w:rsidP="00AB4D0E" w:rsidRDefault="00303CAD" w14:paraId="526355A7" w14:textId="77777777">
      <w:pPr>
        <w:autoSpaceDE w:val="0"/>
        <w:autoSpaceDN w:val="0"/>
        <w:adjustRightInd w:val="0"/>
        <w:spacing w:line="360" w:lineRule="auto"/>
        <w:jc w:val="both"/>
        <w:rPr>
          <w:rFonts w:ascii="Palatino Linotype" w:hAnsi="Palatino Linotype" w:cs="Tahoma"/>
          <w:color w:val="0D0D0D" w:themeColor="text1" w:themeTint="F2"/>
          <w:sz w:val="22"/>
          <w:szCs w:val="22"/>
          <w:lang w:val="es-ES"/>
        </w:rPr>
      </w:pPr>
    </w:p>
    <w:p w:rsidRPr="007F0B8E" w:rsidR="00A56F39" w:rsidP="00AB4D0E" w:rsidRDefault="00A56F39" w14:paraId="066E9A96" w14:textId="49E1943E">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7F0B8E" w:rsidR="003A1F1C" w:rsidP="00AB4D0E" w:rsidRDefault="003A1F1C" w14:paraId="6E00ECB5" w14:textId="77777777">
      <w:pPr>
        <w:spacing w:line="360" w:lineRule="auto"/>
        <w:jc w:val="both"/>
        <w:rPr>
          <w:rFonts w:ascii="Palatino Linotype" w:hAnsi="Palatino Linotype" w:cs="Tahoma"/>
          <w:color w:val="0D0D0D" w:themeColor="text1" w:themeTint="F2"/>
          <w:sz w:val="22"/>
          <w:szCs w:val="22"/>
        </w:rPr>
      </w:pPr>
    </w:p>
    <w:p w:rsidRPr="007F0B8E" w:rsidR="00A56F39" w:rsidP="00AB4D0E" w:rsidRDefault="00A56F39" w14:paraId="5C2D1A0C" w14:textId="7E18543B">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En el presente caso, </w:t>
      </w:r>
      <w:r w:rsidRPr="007F0B8E">
        <w:rPr>
          <w:rFonts w:ascii="Palatino Linotype" w:hAnsi="Palatino Linotype" w:cs="Tahoma"/>
          <w:b/>
          <w:bCs/>
          <w:color w:val="0D0D0D" w:themeColor="text1" w:themeTint="F2"/>
          <w:sz w:val="22"/>
          <w:szCs w:val="22"/>
        </w:rPr>
        <w:t xml:space="preserve">no se actualiza </w:t>
      </w:r>
      <w:r w:rsidRPr="007F0B8E" w:rsidR="006F762A">
        <w:rPr>
          <w:rFonts w:ascii="Palatino Linotype" w:hAnsi="Palatino Linotype" w:cs="Tahoma"/>
          <w:b/>
          <w:bCs/>
          <w:color w:val="0D0D0D" w:themeColor="text1" w:themeTint="F2"/>
          <w:sz w:val="22"/>
          <w:szCs w:val="22"/>
        </w:rPr>
        <w:t xml:space="preserve">alguna </w:t>
      </w:r>
      <w:r w:rsidRPr="007F0B8E">
        <w:rPr>
          <w:rFonts w:ascii="Palatino Linotype" w:hAnsi="Palatino Linotype" w:cs="Tahoma"/>
          <w:b/>
          <w:bCs/>
          <w:color w:val="0D0D0D" w:themeColor="text1" w:themeTint="F2"/>
          <w:sz w:val="22"/>
          <w:szCs w:val="22"/>
        </w:rPr>
        <w:t>de las causales de improcedencia</w:t>
      </w:r>
      <w:r w:rsidRPr="007F0B8E">
        <w:rPr>
          <w:rFonts w:ascii="Palatino Linotype" w:hAnsi="Palatino Linotype" w:cs="Tahoma"/>
          <w:color w:val="0D0D0D" w:themeColor="text1" w:themeTint="F2"/>
          <w:sz w:val="22"/>
          <w:szCs w:val="22"/>
        </w:rPr>
        <w:t xml:space="preserve">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w:t>
      </w:r>
      <w:r w:rsidRPr="007F0B8E" w:rsidR="001D503B">
        <w:rPr>
          <w:rFonts w:ascii="Palatino Linotype" w:hAnsi="Palatino Linotype" w:cs="Tahoma"/>
          <w:color w:val="0D0D0D" w:themeColor="text1" w:themeTint="F2"/>
          <w:sz w:val="22"/>
          <w:szCs w:val="22"/>
        </w:rPr>
        <w:t xml:space="preserve">la </w:t>
      </w:r>
      <w:r w:rsidRPr="007F0B8E" w:rsidR="008F5C96">
        <w:rPr>
          <w:rFonts w:ascii="Palatino Linotype" w:hAnsi="Palatino Linotype" w:cs="Tahoma"/>
          <w:color w:val="0D0D0D" w:themeColor="text1" w:themeTint="F2"/>
          <w:sz w:val="22"/>
          <w:szCs w:val="22"/>
        </w:rPr>
        <w:t>R</w:t>
      </w:r>
      <w:r w:rsidRPr="007F0B8E">
        <w:rPr>
          <w:rFonts w:ascii="Palatino Linotype" w:hAnsi="Palatino Linotype" w:cs="Tahoma"/>
          <w:color w:val="0D0D0D" w:themeColor="text1" w:themeTint="F2"/>
          <w:sz w:val="22"/>
          <w:szCs w:val="22"/>
        </w:rPr>
        <w:t>ecurrente ante otra instancia; no existió prevención alguna; la veracidad de la respuesta no formó parte del agravio; ni se realiz</w:t>
      </w:r>
      <w:r w:rsidRPr="007F0B8E" w:rsidR="006F762A">
        <w:rPr>
          <w:rFonts w:ascii="Palatino Linotype" w:hAnsi="Palatino Linotype" w:cs="Tahoma"/>
          <w:color w:val="0D0D0D" w:themeColor="text1" w:themeTint="F2"/>
          <w:sz w:val="22"/>
          <w:szCs w:val="22"/>
        </w:rPr>
        <w:t xml:space="preserve">ó una </w:t>
      </w:r>
      <w:r w:rsidRPr="007F0B8E">
        <w:rPr>
          <w:rFonts w:ascii="Palatino Linotype" w:hAnsi="Palatino Linotype" w:cs="Tahoma"/>
          <w:color w:val="0D0D0D" w:themeColor="text1" w:themeTint="F2"/>
          <w:sz w:val="22"/>
          <w:szCs w:val="22"/>
        </w:rPr>
        <w:t>ampliación a los alcances del requerimiento informativo.</w:t>
      </w:r>
    </w:p>
    <w:p w:rsidRPr="007F0B8E" w:rsidR="00A56F39" w:rsidP="00AB4D0E" w:rsidRDefault="00A56F39" w14:paraId="494D28FB" w14:textId="77777777">
      <w:pPr>
        <w:spacing w:line="360" w:lineRule="auto"/>
        <w:jc w:val="both"/>
        <w:rPr>
          <w:rFonts w:ascii="Palatino Linotype" w:hAnsi="Palatino Linotype" w:cs="Tahoma"/>
          <w:color w:val="0D0D0D" w:themeColor="text1" w:themeTint="F2"/>
          <w:sz w:val="22"/>
          <w:szCs w:val="22"/>
        </w:rPr>
      </w:pPr>
    </w:p>
    <w:p w:rsidRPr="007F0B8E" w:rsidR="00717748" w:rsidP="00717748" w:rsidRDefault="00717748" w14:paraId="1D81C2CB" w14:textId="611BCB7C">
      <w:pPr>
        <w:spacing w:line="360" w:lineRule="auto"/>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rPr>
        <w:lastRenderedPageBreak/>
        <w:t xml:space="preserve">Asimismo, se actualiza la causal de procedencia del Recurso de Revisión señalada en el artículo 179, </w:t>
      </w:r>
      <w:r w:rsidRPr="007F0B8E" w:rsidR="00AF6821">
        <w:rPr>
          <w:rFonts w:ascii="Palatino Linotype" w:hAnsi="Palatino Linotype" w:cs="Tahoma"/>
          <w:color w:val="0D0D0D" w:themeColor="text1" w:themeTint="F2"/>
          <w:sz w:val="22"/>
          <w:szCs w:val="22"/>
        </w:rPr>
        <w:t>fracción II</w:t>
      </w:r>
      <w:r w:rsidRPr="007F0B8E" w:rsidR="00D73600">
        <w:rPr>
          <w:rFonts w:ascii="Palatino Linotype" w:hAnsi="Palatino Linotype" w:cs="Tahoma"/>
          <w:color w:val="0D0D0D" w:themeColor="text1" w:themeTint="F2"/>
          <w:sz w:val="22"/>
          <w:szCs w:val="22"/>
        </w:rPr>
        <w:t>,</w:t>
      </w:r>
      <w:r w:rsidRPr="007F0B8E" w:rsidR="006664B3">
        <w:rPr>
          <w:rFonts w:ascii="Palatino Linotype" w:hAnsi="Palatino Linotype" w:cs="Tahoma"/>
          <w:color w:val="0D0D0D" w:themeColor="text1" w:themeTint="F2"/>
          <w:sz w:val="22"/>
          <w:szCs w:val="22"/>
        </w:rPr>
        <w:t xml:space="preserve"> </w:t>
      </w:r>
      <w:r w:rsidRPr="007F0B8E">
        <w:rPr>
          <w:rFonts w:ascii="Palatino Linotype" w:hAnsi="Palatino Linotype" w:cs="Tahoma"/>
          <w:color w:val="0D0D0D" w:themeColor="text1" w:themeTint="F2"/>
          <w:sz w:val="22"/>
          <w:szCs w:val="22"/>
        </w:rPr>
        <w:t xml:space="preserve">de la Ley en cita, </w:t>
      </w:r>
      <w:r w:rsidRPr="007F0B8E">
        <w:rPr>
          <w:rFonts w:ascii="Palatino Linotype" w:hAnsi="Palatino Linotype" w:eastAsia="Calibri" w:cs="Tahoma"/>
          <w:color w:val="0D0D0D" w:themeColor="text1" w:themeTint="F2"/>
          <w:sz w:val="22"/>
          <w:szCs w:val="22"/>
          <w:lang w:eastAsia="es-MX"/>
        </w:rPr>
        <w:t xml:space="preserve">pues </w:t>
      </w:r>
      <w:r w:rsidRPr="007F0B8E" w:rsidR="001D503B">
        <w:rPr>
          <w:rFonts w:ascii="Palatino Linotype" w:hAnsi="Palatino Linotype" w:eastAsia="Calibri" w:cs="Tahoma"/>
          <w:color w:val="0D0D0D" w:themeColor="text1" w:themeTint="F2"/>
          <w:sz w:val="22"/>
          <w:szCs w:val="22"/>
          <w:lang w:eastAsia="es-MX"/>
        </w:rPr>
        <w:t>la</w:t>
      </w:r>
      <w:r w:rsidRPr="007F0B8E">
        <w:rPr>
          <w:rFonts w:ascii="Palatino Linotype" w:hAnsi="Palatino Linotype" w:eastAsia="Calibri" w:cs="Tahoma"/>
          <w:color w:val="0D0D0D" w:themeColor="text1" w:themeTint="F2"/>
          <w:sz w:val="22"/>
          <w:szCs w:val="22"/>
          <w:lang w:eastAsia="es-MX"/>
        </w:rPr>
        <w:t xml:space="preserve"> Recurrente se inconformó </w:t>
      </w:r>
      <w:r w:rsidRPr="007F0B8E" w:rsidR="003A1F1C">
        <w:rPr>
          <w:rFonts w:ascii="Palatino Linotype" w:hAnsi="Palatino Linotype" w:cs="Tahoma"/>
          <w:color w:val="0D0D0D" w:themeColor="text1" w:themeTint="F2"/>
          <w:sz w:val="22"/>
          <w:szCs w:val="22"/>
          <w:lang w:val="es-ES"/>
        </w:rPr>
        <w:t xml:space="preserve">con la </w:t>
      </w:r>
      <w:r w:rsidRPr="007F0B8E" w:rsidR="00242F00">
        <w:rPr>
          <w:rFonts w:ascii="Palatino Linotype" w:hAnsi="Palatino Linotype" w:cs="Tahoma"/>
          <w:color w:val="0D0D0D" w:themeColor="text1" w:themeTint="F2"/>
          <w:sz w:val="22"/>
          <w:szCs w:val="22"/>
          <w:lang w:val="es-ES"/>
        </w:rPr>
        <w:t xml:space="preserve">clasificación </w:t>
      </w:r>
      <w:r w:rsidRPr="007F0B8E" w:rsidR="00AF6821">
        <w:rPr>
          <w:rFonts w:ascii="Palatino Linotype" w:hAnsi="Palatino Linotype" w:cs="Tahoma"/>
          <w:color w:val="0D0D0D" w:themeColor="text1" w:themeTint="F2"/>
          <w:sz w:val="22"/>
          <w:szCs w:val="22"/>
          <w:lang w:val="es-ES"/>
        </w:rPr>
        <w:t>de la información</w:t>
      </w:r>
      <w:r w:rsidRPr="007F0B8E" w:rsidR="00E25DCF">
        <w:rPr>
          <w:rFonts w:ascii="Palatino Linotype" w:hAnsi="Palatino Linotype" w:cs="Tahoma"/>
          <w:color w:val="0D0D0D" w:themeColor="text1" w:themeTint="F2"/>
          <w:sz w:val="22"/>
          <w:szCs w:val="22"/>
          <w:lang w:val="es-ES"/>
        </w:rPr>
        <w:t xml:space="preserve">. </w:t>
      </w:r>
    </w:p>
    <w:p w:rsidRPr="007F0B8E" w:rsidR="00BD607C" w:rsidP="00717748" w:rsidRDefault="00BD607C" w14:paraId="13FB1A90" w14:textId="77777777">
      <w:pPr>
        <w:spacing w:line="360" w:lineRule="auto"/>
        <w:jc w:val="both"/>
        <w:rPr>
          <w:rFonts w:ascii="Palatino Linotype" w:hAnsi="Palatino Linotype" w:cs="Tahoma"/>
          <w:color w:val="0D0D0D" w:themeColor="text1" w:themeTint="F2"/>
          <w:sz w:val="22"/>
          <w:szCs w:val="22"/>
          <w:lang w:val="es-ES"/>
        </w:rPr>
      </w:pPr>
    </w:p>
    <w:p w:rsidRPr="007F0B8E" w:rsidR="00ED0632" w:rsidP="00ED0632" w:rsidRDefault="00ED0632" w14:paraId="19509665"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b/>
          <w:bCs/>
          <w:color w:val="0D0D0D" w:themeColor="text1" w:themeTint="F2"/>
          <w:sz w:val="22"/>
          <w:szCs w:val="22"/>
        </w:rPr>
        <w:t>Causales de sobreseimiento.</w:t>
      </w:r>
    </w:p>
    <w:p w:rsidRPr="007F0B8E" w:rsidR="00ED0632" w:rsidP="00ED0632" w:rsidRDefault="00ED0632" w14:paraId="606DD5A9" w14:textId="25800885">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w:t>
      </w:r>
    </w:p>
    <w:p w:rsidRPr="007F0B8E" w:rsidR="00E25DCF" w:rsidP="00E25DCF" w:rsidRDefault="00E25DCF" w14:paraId="42A4613E"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Por ser de previo y especial pronunciamiento, este Instituto analiza si se actualiza alguna causal de sobreseimiento.</w:t>
      </w:r>
    </w:p>
    <w:p w:rsidRPr="007F0B8E" w:rsidR="00E25DCF" w:rsidP="00E25DCF" w:rsidRDefault="00E25DCF" w14:paraId="373362C9" w14:textId="77777777">
      <w:pPr>
        <w:spacing w:line="360" w:lineRule="auto"/>
        <w:jc w:val="both"/>
        <w:rPr>
          <w:rFonts w:ascii="Palatino Linotype" w:hAnsi="Palatino Linotype" w:cs="Tahoma"/>
          <w:color w:val="0D0D0D" w:themeColor="text1" w:themeTint="F2"/>
          <w:sz w:val="22"/>
          <w:szCs w:val="22"/>
        </w:rPr>
      </w:pPr>
    </w:p>
    <w:p w:rsidRPr="007F0B8E" w:rsidR="00E25DCF" w:rsidP="00E25DCF" w:rsidRDefault="00E25DCF" w14:paraId="49619C00"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7F0B8E" w:rsidR="00E25DCF" w:rsidP="00E25DCF" w:rsidRDefault="00E25DCF" w14:paraId="40AA83D1" w14:textId="77777777">
      <w:pPr>
        <w:spacing w:line="360" w:lineRule="auto"/>
        <w:jc w:val="both"/>
        <w:rPr>
          <w:rFonts w:ascii="Palatino Linotype" w:hAnsi="Palatino Linotype" w:cs="Tahoma"/>
          <w:color w:val="0D0D0D" w:themeColor="text1" w:themeTint="F2"/>
          <w:sz w:val="22"/>
          <w:szCs w:val="22"/>
        </w:rPr>
      </w:pPr>
    </w:p>
    <w:p w:rsidRPr="007F0B8E" w:rsidR="00FB0ECE" w:rsidP="00E25DCF" w:rsidRDefault="00E25DCF" w14:paraId="33B36FAB" w14:textId="4A1F5B9B">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Por tales motivos, se considera procedente entrar al fondo del presente asunto.</w:t>
      </w:r>
    </w:p>
    <w:p w:rsidRPr="007F0B8E" w:rsidR="00E25DCF" w:rsidP="00E25DCF" w:rsidRDefault="00E25DCF" w14:paraId="300A23C0" w14:textId="77777777">
      <w:pPr>
        <w:spacing w:line="360" w:lineRule="auto"/>
        <w:jc w:val="both"/>
        <w:rPr>
          <w:rFonts w:ascii="Palatino Linotype" w:hAnsi="Palatino Linotype" w:cs="Tahoma"/>
          <w:bCs/>
          <w:iCs/>
          <w:color w:val="0D0D0D" w:themeColor="text1" w:themeTint="F2"/>
          <w:sz w:val="22"/>
          <w:szCs w:val="22"/>
        </w:rPr>
      </w:pPr>
    </w:p>
    <w:p w:rsidRPr="007F0B8E" w:rsidR="007765C0" w:rsidP="007765C0" w:rsidRDefault="007765C0" w14:paraId="32A97C3F" w14:textId="77777777">
      <w:pPr>
        <w:tabs>
          <w:tab w:val="left" w:pos="4962"/>
        </w:tabs>
        <w:spacing w:line="360" w:lineRule="auto"/>
        <w:jc w:val="both"/>
        <w:rPr>
          <w:rFonts w:ascii="Palatino Linotype" w:hAnsi="Palatino Linotype" w:eastAsia="Calibri" w:cs="Tahoma"/>
          <w:b/>
          <w:iCs/>
          <w:color w:val="0D0D0D" w:themeColor="text1" w:themeTint="F2"/>
          <w:sz w:val="22"/>
          <w:szCs w:val="22"/>
          <w:lang w:val="es-ES" w:eastAsia="es-ES_tradnl"/>
        </w:rPr>
      </w:pPr>
      <w:r w:rsidRPr="007F0B8E">
        <w:rPr>
          <w:rFonts w:ascii="Palatino Linotype" w:hAnsi="Palatino Linotype" w:eastAsia="Calibri" w:cs="Tahoma"/>
          <w:b/>
          <w:iCs/>
          <w:color w:val="0D0D0D" w:themeColor="text1" w:themeTint="F2"/>
          <w:sz w:val="22"/>
          <w:szCs w:val="22"/>
          <w:lang w:val="es-ES" w:eastAsia="es-ES_tradnl"/>
        </w:rPr>
        <w:t xml:space="preserve">TERCERO. Determinación de la Controversia. </w:t>
      </w:r>
    </w:p>
    <w:p w:rsidRPr="007F0B8E" w:rsidR="007765C0" w:rsidP="007765C0" w:rsidRDefault="007765C0" w14:paraId="2B105215" w14:textId="77777777">
      <w:pPr>
        <w:tabs>
          <w:tab w:val="left" w:pos="4962"/>
        </w:tabs>
        <w:spacing w:line="360" w:lineRule="auto"/>
        <w:jc w:val="both"/>
        <w:rPr>
          <w:rFonts w:ascii="Palatino Linotype" w:hAnsi="Palatino Linotype" w:eastAsia="Calibri" w:cs="Tahoma"/>
          <w:b/>
          <w:iCs/>
          <w:color w:val="0D0D0D" w:themeColor="text1" w:themeTint="F2"/>
          <w:sz w:val="22"/>
          <w:szCs w:val="22"/>
          <w:lang w:val="es-ES" w:eastAsia="es-ES_tradnl"/>
        </w:rPr>
      </w:pPr>
    </w:p>
    <w:p w:rsidRPr="007F0B8E" w:rsidR="00163A96" w:rsidP="00163A96" w:rsidRDefault="00163A96" w14:paraId="313ACB27" w14:textId="48697577">
      <w:pPr>
        <w:widowControl w:val="0"/>
        <w:autoSpaceDE w:val="0"/>
        <w:autoSpaceDN w:val="0"/>
        <w:adjustRightInd w:val="0"/>
        <w:spacing w:line="360" w:lineRule="auto"/>
        <w:jc w:val="both"/>
        <w:rPr>
          <w:rFonts w:ascii="Palatino Linotype" w:hAnsi="Palatino Linotype" w:cs="Tahoma" w:eastAsiaTheme="minorHAnsi"/>
          <w:color w:val="000000" w:themeColor="text1"/>
          <w:sz w:val="22"/>
          <w:szCs w:val="22"/>
          <w:lang w:eastAsia="en-US"/>
        </w:rPr>
      </w:pPr>
      <w:r w:rsidRPr="007F0B8E">
        <w:rPr>
          <w:rFonts w:ascii="Palatino Linotype" w:hAnsi="Palatino Linotype" w:eastAsia="Calibri" w:cs="Tahoma"/>
          <w:color w:val="000000"/>
          <w:sz w:val="22"/>
          <w:szCs w:val="22"/>
          <w:lang w:val="es-ES" w:eastAsia="es-MX"/>
        </w:rPr>
        <w:t xml:space="preserve">Con el objeto de ilustrar la controversia planteada, resulta conveniente precisar, que una vez realizado el estudio de las constancias que integran el expediente en que se actúa, se desprende que el Particular </w:t>
      </w:r>
      <w:r w:rsidRPr="007F0B8E">
        <w:rPr>
          <w:rFonts w:ascii="Palatino Linotype" w:hAnsi="Palatino Linotype" w:cs="Tahoma" w:eastAsiaTheme="minorHAnsi"/>
          <w:color w:val="000000" w:themeColor="text1"/>
          <w:sz w:val="22"/>
          <w:szCs w:val="22"/>
          <w:lang w:eastAsia="en-US"/>
        </w:rPr>
        <w:t xml:space="preserve">requirió un listado </w:t>
      </w:r>
      <w:r w:rsidRPr="007F0B8E" w:rsidR="00D73600">
        <w:rPr>
          <w:rFonts w:ascii="Palatino Linotype" w:hAnsi="Palatino Linotype" w:cs="Tahoma" w:eastAsiaTheme="minorHAnsi"/>
          <w:color w:val="000000" w:themeColor="text1"/>
          <w:sz w:val="22"/>
          <w:szCs w:val="22"/>
          <w:lang w:eastAsia="en-US"/>
        </w:rPr>
        <w:t>de todos los servidores públicos</w:t>
      </w:r>
      <w:r w:rsidRPr="007F0B8E">
        <w:rPr>
          <w:rFonts w:ascii="Palatino Linotype" w:hAnsi="Palatino Linotype" w:cs="Tahoma" w:eastAsiaTheme="minorHAnsi"/>
          <w:color w:val="000000" w:themeColor="text1"/>
          <w:sz w:val="22"/>
          <w:szCs w:val="22"/>
          <w:lang w:eastAsia="en-US"/>
        </w:rPr>
        <w:t xml:space="preserve"> adscrito</w:t>
      </w:r>
      <w:r w:rsidRPr="007F0B8E" w:rsidR="00D73600">
        <w:rPr>
          <w:rFonts w:ascii="Palatino Linotype" w:hAnsi="Palatino Linotype" w:cs="Tahoma" w:eastAsiaTheme="minorHAnsi"/>
          <w:color w:val="000000" w:themeColor="text1"/>
          <w:sz w:val="22"/>
          <w:szCs w:val="22"/>
          <w:lang w:eastAsia="en-US"/>
        </w:rPr>
        <w:t>s</w:t>
      </w:r>
      <w:r w:rsidRPr="007F0B8E">
        <w:rPr>
          <w:rFonts w:ascii="Palatino Linotype" w:hAnsi="Palatino Linotype" w:cs="Tahoma" w:eastAsiaTheme="minorHAnsi"/>
          <w:color w:val="000000" w:themeColor="text1"/>
          <w:sz w:val="22"/>
          <w:szCs w:val="22"/>
          <w:lang w:eastAsia="en-US"/>
        </w:rPr>
        <w:t xml:space="preserve"> al Ayuntamiento de Ixtlahuaca, que haya</w:t>
      </w:r>
      <w:r w:rsidRPr="007F0B8E" w:rsidR="00D73600">
        <w:rPr>
          <w:rFonts w:ascii="Palatino Linotype" w:hAnsi="Palatino Linotype" w:cs="Tahoma" w:eastAsiaTheme="minorHAnsi"/>
          <w:color w:val="000000" w:themeColor="text1"/>
          <w:sz w:val="22"/>
          <w:szCs w:val="22"/>
          <w:lang w:eastAsia="en-US"/>
        </w:rPr>
        <w:t>n</w:t>
      </w:r>
      <w:r w:rsidRPr="007F0B8E">
        <w:rPr>
          <w:rFonts w:ascii="Palatino Linotype" w:hAnsi="Palatino Linotype" w:cs="Tahoma" w:eastAsiaTheme="minorHAnsi"/>
          <w:color w:val="000000" w:themeColor="text1"/>
          <w:sz w:val="22"/>
          <w:szCs w:val="22"/>
          <w:lang w:eastAsia="en-US"/>
        </w:rPr>
        <w:t xml:space="preserve"> laborado durante la primera quincena </w:t>
      </w:r>
      <w:r w:rsidRPr="007F0B8E" w:rsidR="00D73600">
        <w:rPr>
          <w:rFonts w:ascii="Palatino Linotype" w:hAnsi="Palatino Linotype" w:cs="Tahoma" w:eastAsiaTheme="minorHAnsi"/>
          <w:color w:val="000000" w:themeColor="text1"/>
          <w:sz w:val="22"/>
          <w:szCs w:val="22"/>
          <w:lang w:eastAsia="en-US"/>
        </w:rPr>
        <w:t>de febrero de dos mil veintidós, con el nombre, cargo, área de adscripción, escolaridad y sueldos.</w:t>
      </w:r>
    </w:p>
    <w:p w:rsidRPr="007F0B8E" w:rsidR="00163A96" w:rsidP="00163A96" w:rsidRDefault="00163A96" w14:paraId="21066284" w14:textId="0CFE19EE">
      <w:pPr>
        <w:widowControl w:val="0"/>
        <w:autoSpaceDE w:val="0"/>
        <w:autoSpaceDN w:val="0"/>
        <w:adjustRightInd w:val="0"/>
        <w:spacing w:line="360" w:lineRule="auto"/>
        <w:jc w:val="both"/>
        <w:rPr>
          <w:rFonts w:ascii="Palatino Linotype" w:hAnsi="Palatino Linotype" w:cs="Tahoma" w:eastAsiaTheme="minorHAnsi"/>
          <w:color w:val="000000" w:themeColor="text1"/>
          <w:sz w:val="22"/>
          <w:szCs w:val="22"/>
          <w:lang w:eastAsia="en-US"/>
        </w:rPr>
      </w:pPr>
    </w:p>
    <w:p w:rsidRPr="007F0B8E" w:rsidR="00163A96" w:rsidP="00626FF5" w:rsidRDefault="00163A96" w14:paraId="674553A3" w14:textId="09E7073E">
      <w:pPr>
        <w:autoSpaceDE w:val="0"/>
        <w:autoSpaceDN w:val="0"/>
        <w:adjustRightInd w:val="0"/>
        <w:spacing w:line="360" w:lineRule="auto"/>
        <w:jc w:val="both"/>
        <w:rPr>
          <w:rFonts w:ascii="Palatino Linotype" w:hAnsi="Palatino Linotype" w:cs="Tahoma"/>
          <w:color w:val="000000"/>
          <w:sz w:val="22"/>
          <w:szCs w:val="22"/>
        </w:rPr>
      </w:pPr>
      <w:r w:rsidRPr="007F0B8E">
        <w:rPr>
          <w:rFonts w:ascii="Palatino Linotype" w:hAnsi="Palatino Linotype" w:eastAsia="Calibri" w:cs="Tahoma"/>
          <w:color w:val="000000"/>
          <w:sz w:val="22"/>
          <w:szCs w:val="24"/>
          <w:lang w:val="es-ES" w:eastAsia="es-MX"/>
        </w:rPr>
        <w:lastRenderedPageBreak/>
        <w:t xml:space="preserve">En Respuesta, el Sujeto Obligado, a través de </w:t>
      </w:r>
      <w:r w:rsidRPr="007F0B8E" w:rsidR="004D566B">
        <w:rPr>
          <w:rFonts w:ascii="Palatino Linotype" w:hAnsi="Palatino Linotype" w:eastAsia="Calibri" w:cs="Tahoma"/>
          <w:color w:val="000000"/>
          <w:sz w:val="22"/>
          <w:szCs w:val="24"/>
          <w:lang w:val="es-ES" w:eastAsia="es-MX"/>
        </w:rPr>
        <w:t>la Dirección de Administración</w:t>
      </w:r>
      <w:r w:rsidRPr="007F0B8E" w:rsidR="008F0B29">
        <w:rPr>
          <w:rFonts w:ascii="Palatino Linotype" w:hAnsi="Palatino Linotype" w:eastAsia="Calibri" w:cs="Tahoma"/>
          <w:color w:val="000000"/>
          <w:sz w:val="22"/>
          <w:szCs w:val="24"/>
          <w:lang w:val="es-ES" w:eastAsia="es-MX"/>
        </w:rPr>
        <w:t xml:space="preserve">, proporcionó </w:t>
      </w:r>
      <w:r w:rsidRPr="007F0B8E" w:rsidR="00D73600">
        <w:rPr>
          <w:rFonts w:ascii="Palatino Linotype" w:hAnsi="Palatino Linotype" w:eastAsia="Calibri" w:cs="Tahoma"/>
          <w:color w:val="000000"/>
          <w:sz w:val="22"/>
          <w:szCs w:val="24"/>
          <w:lang w:val="es-ES" w:eastAsia="es-MX"/>
        </w:rPr>
        <w:t>el documento denominado Remuneraciones de Servidores Públicos (Nómina)</w:t>
      </w:r>
      <w:r w:rsidRPr="007F0B8E" w:rsidR="00626FF5">
        <w:rPr>
          <w:rFonts w:ascii="Palatino Linotype" w:hAnsi="Palatino Linotype" w:eastAsia="Calibri" w:cs="Tahoma"/>
          <w:color w:val="000000"/>
          <w:sz w:val="22"/>
          <w:szCs w:val="24"/>
          <w:lang w:val="es-ES" w:eastAsia="es-MX"/>
        </w:rPr>
        <w:t>, de la primera quincena de febrero de dos mil veintidós; a</w:t>
      </w:r>
      <w:proofErr w:type="spellStart"/>
      <w:r w:rsidRPr="007F0B8E">
        <w:rPr>
          <w:rFonts w:ascii="Palatino Linotype" w:hAnsi="Palatino Linotype" w:eastAsia="Calibri" w:cs="Tahoma"/>
          <w:bCs/>
          <w:color w:val="000000"/>
          <w:sz w:val="22"/>
          <w:szCs w:val="22"/>
          <w:lang w:val="es-ES_tradnl" w:eastAsia="en-US"/>
        </w:rPr>
        <w:t>nte</w:t>
      </w:r>
      <w:proofErr w:type="spellEnd"/>
      <w:r w:rsidRPr="007F0B8E">
        <w:rPr>
          <w:rFonts w:ascii="Palatino Linotype" w:hAnsi="Palatino Linotype" w:eastAsia="Calibri" w:cs="Tahoma"/>
          <w:bCs/>
          <w:color w:val="000000"/>
          <w:sz w:val="22"/>
          <w:szCs w:val="22"/>
          <w:lang w:val="es-ES_tradnl" w:eastAsia="en-US"/>
        </w:rPr>
        <w:t xml:space="preserve"> tal circunstancia, </w:t>
      </w:r>
      <w:r w:rsidRPr="007F0B8E" w:rsidR="00E71ECF">
        <w:rPr>
          <w:rFonts w:ascii="Palatino Linotype" w:hAnsi="Palatino Linotype" w:eastAsia="Calibri" w:cs="Tahoma"/>
          <w:bCs/>
          <w:color w:val="000000"/>
          <w:sz w:val="22"/>
          <w:szCs w:val="22"/>
          <w:lang w:val="es-ES_tradnl" w:eastAsia="en-US"/>
        </w:rPr>
        <w:t>la</w:t>
      </w:r>
      <w:r w:rsidRPr="007F0B8E">
        <w:rPr>
          <w:rFonts w:ascii="Palatino Linotype" w:hAnsi="Palatino Linotype" w:eastAsia="Calibri" w:cs="Tahoma"/>
          <w:bCs/>
          <w:color w:val="000000"/>
          <w:sz w:val="22"/>
          <w:szCs w:val="22"/>
          <w:lang w:val="es-ES_tradnl" w:eastAsia="en-US"/>
        </w:rPr>
        <w:t xml:space="preserve"> Solicitante señaló que el Sujeto Obligado había omitido entregarle </w:t>
      </w:r>
      <w:r w:rsidRPr="007F0B8E" w:rsidR="00E71ECF">
        <w:rPr>
          <w:rFonts w:ascii="Palatino Linotype" w:hAnsi="Palatino Linotype" w:eastAsia="Calibri" w:cs="Tahoma"/>
          <w:bCs/>
          <w:color w:val="000000"/>
          <w:sz w:val="22"/>
          <w:szCs w:val="22"/>
          <w:lang w:val="es-ES_tradnl" w:eastAsia="en-US"/>
        </w:rPr>
        <w:t xml:space="preserve">el Acuerdo </w:t>
      </w:r>
      <w:r w:rsidRPr="007F0B8E" w:rsidR="00CF479E">
        <w:rPr>
          <w:rFonts w:ascii="Palatino Linotype" w:hAnsi="Palatino Linotype" w:eastAsia="Calibri" w:cs="Tahoma"/>
          <w:bCs/>
          <w:color w:val="000000"/>
          <w:sz w:val="22"/>
          <w:szCs w:val="22"/>
          <w:lang w:val="es-ES_tradnl" w:eastAsia="en-US"/>
        </w:rPr>
        <w:t>del Comité de Transparencia por medio del cual clasificó información</w:t>
      </w:r>
      <w:r w:rsidRPr="007F0B8E">
        <w:rPr>
          <w:rFonts w:ascii="Palatino Linotype" w:hAnsi="Palatino Linotype" w:eastAsia="Calibri" w:cs="Tahoma"/>
          <w:bCs/>
          <w:color w:val="000000"/>
          <w:sz w:val="22"/>
          <w:szCs w:val="22"/>
          <w:lang w:val="es-ES_tradnl" w:eastAsia="en-US"/>
        </w:rPr>
        <w:t>, lo cual actualiza la causal de procedencia establecida en el artículo 179, fracción</w:t>
      </w:r>
      <w:r w:rsidRPr="007F0B8E" w:rsidR="00CF479E">
        <w:rPr>
          <w:rFonts w:ascii="Palatino Linotype" w:hAnsi="Palatino Linotype" w:eastAsia="Calibri" w:cs="Tahoma"/>
          <w:bCs/>
          <w:color w:val="000000"/>
          <w:sz w:val="22"/>
          <w:szCs w:val="22"/>
          <w:lang w:val="es-ES_tradnl" w:eastAsia="en-US"/>
        </w:rPr>
        <w:t xml:space="preserve"> II</w:t>
      </w:r>
      <w:r w:rsidRPr="007F0B8E">
        <w:rPr>
          <w:rFonts w:ascii="Palatino Linotype" w:hAnsi="Palatino Linotype" w:eastAsia="Calibri" w:cs="Tahoma"/>
          <w:bCs/>
          <w:color w:val="000000"/>
          <w:sz w:val="22"/>
          <w:szCs w:val="22"/>
          <w:lang w:val="es-ES_tradnl" w:eastAsia="en-US"/>
        </w:rPr>
        <w:t>, de la Ley de Transparencia y Acceso a la Información Pública del Estado de México y Municipios.</w:t>
      </w:r>
      <w:r w:rsidRPr="007F0B8E">
        <w:rPr>
          <w:rFonts w:ascii="Palatino Linotype" w:hAnsi="Palatino Linotype" w:cs="Tahoma"/>
          <w:color w:val="000000"/>
          <w:sz w:val="22"/>
          <w:szCs w:val="22"/>
        </w:rPr>
        <w:t xml:space="preserve"> </w:t>
      </w:r>
    </w:p>
    <w:p w:rsidRPr="007F0B8E" w:rsidR="00163A96" w:rsidP="00163A96" w:rsidRDefault="00163A96" w14:paraId="69A69431" w14:textId="77777777">
      <w:pPr>
        <w:spacing w:line="360" w:lineRule="auto"/>
        <w:jc w:val="both"/>
        <w:rPr>
          <w:rFonts w:ascii="Palatino Linotype" w:hAnsi="Palatino Linotype" w:cs="Tahoma"/>
          <w:iCs/>
          <w:sz w:val="22"/>
          <w:szCs w:val="22"/>
          <w:lang w:val="es-ES"/>
        </w:rPr>
      </w:pPr>
    </w:p>
    <w:p w:rsidRPr="007F0B8E" w:rsidR="00163A96" w:rsidP="00163A96" w:rsidRDefault="00163A96" w14:paraId="368FFEEF" w14:textId="1A9F96D0">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xml:space="preserve">Conforme a lo anterior, se logra vislumbrar que el ahora Recurrente no se agravió </w:t>
      </w:r>
      <w:r w:rsidRPr="007F0B8E" w:rsidR="00626FF5">
        <w:rPr>
          <w:rFonts w:ascii="Palatino Linotype" w:hAnsi="Palatino Linotype"/>
          <w:color w:val="000000"/>
          <w:sz w:val="22"/>
          <w:szCs w:val="22"/>
          <w:lang w:eastAsia="es-ES_tradnl"/>
        </w:rPr>
        <w:t>por la información contenida en el documento denominado</w:t>
      </w:r>
      <w:r w:rsidRPr="007F0B8E" w:rsidR="00626FF5">
        <w:rPr>
          <w:rFonts w:ascii="Palatino Linotype" w:hAnsi="Palatino Linotype" w:eastAsia="Calibri" w:cs="Tahoma"/>
          <w:color w:val="000000"/>
          <w:sz w:val="22"/>
          <w:szCs w:val="24"/>
          <w:lang w:val="es-ES" w:eastAsia="es-MX"/>
        </w:rPr>
        <w:t xml:space="preserve"> Remuneraciones de Servidores Públicos (Nómina), sino que únicamente se agravió de los datos testados en este; p</w:t>
      </w:r>
      <w:proofErr w:type="spellStart"/>
      <w:r w:rsidRPr="007F0B8E">
        <w:rPr>
          <w:rFonts w:ascii="Palatino Linotype" w:hAnsi="Palatino Linotype"/>
          <w:color w:val="000000"/>
          <w:sz w:val="22"/>
          <w:szCs w:val="22"/>
          <w:lang w:eastAsia="es-ES_tradnl"/>
        </w:rPr>
        <w:t>or</w:t>
      </w:r>
      <w:proofErr w:type="spellEnd"/>
      <w:r w:rsidRPr="007F0B8E">
        <w:rPr>
          <w:rFonts w:ascii="Palatino Linotype" w:hAnsi="Palatino Linotype"/>
          <w:color w:val="000000"/>
          <w:sz w:val="22"/>
          <w:szCs w:val="22"/>
          <w:lang w:eastAsia="es-ES_tradnl"/>
        </w:rPr>
        <w:t xml:space="preserve"> lo que, no se hará pronunciamiento alguno</w:t>
      </w:r>
      <w:r w:rsidRPr="007F0B8E" w:rsidR="00626FF5">
        <w:rPr>
          <w:rFonts w:ascii="Palatino Linotype" w:hAnsi="Palatino Linotype"/>
          <w:color w:val="000000"/>
          <w:sz w:val="22"/>
          <w:szCs w:val="22"/>
          <w:lang w:eastAsia="es-ES_tradnl"/>
        </w:rPr>
        <w:t>, respecto a la documental entregada,</w:t>
      </w:r>
      <w:r w:rsidRPr="007F0B8E">
        <w:rPr>
          <w:rFonts w:ascii="Palatino Linotype" w:hAnsi="Palatino Linotype"/>
          <w:color w:val="000000"/>
          <w:sz w:val="22"/>
          <w:szCs w:val="22"/>
          <w:lang w:eastAsia="es-ES_tradnl"/>
        </w:rPr>
        <w:t xml:space="preserve">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7F0B8E">
        <w:rPr>
          <w:rFonts w:ascii="Palatino Linotype" w:hAnsi="Palatino Linotype"/>
          <w:b/>
          <w:bCs/>
          <w:color w:val="000000"/>
          <w:sz w:val="22"/>
          <w:szCs w:val="22"/>
          <w:lang w:eastAsia="es-ES_tradnl"/>
        </w:rPr>
        <w:t>los actos que se hayan consentido tácitamente,</w:t>
      </w:r>
      <w:r w:rsidRPr="007F0B8E">
        <w:rPr>
          <w:rFonts w:ascii="Palatino Linotype" w:hAnsi="Palatino Linotype"/>
          <w:color w:val="000000"/>
          <w:sz w:val="22"/>
          <w:szCs w:val="22"/>
          <w:lang w:eastAsia="es-ES_tradnl"/>
        </w:rPr>
        <w:t> entendiéndose por estos cuando el agravio no se haya promovido en el plazo señalado para el efecto.</w:t>
      </w:r>
    </w:p>
    <w:p w:rsidRPr="007F0B8E" w:rsidR="00163A96" w:rsidP="00163A96" w:rsidRDefault="00163A96" w14:paraId="4D33D637"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w:t>
      </w:r>
    </w:p>
    <w:p w:rsidRPr="007F0B8E" w:rsidR="00163A96" w:rsidP="00163A96" w:rsidRDefault="00163A96" w14:paraId="58ADC915"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De la misma manera resulta aplicable el criterio sostenido por el Poder Judicial de la Federación de rubro </w:t>
      </w:r>
      <w:r w:rsidRPr="007F0B8E">
        <w:rPr>
          <w:rFonts w:ascii="Palatino Linotype" w:hAnsi="Palatino Linotype"/>
          <w:b/>
          <w:bCs/>
          <w:color w:val="000000"/>
          <w:sz w:val="22"/>
          <w:szCs w:val="22"/>
          <w:lang w:eastAsia="es-ES_tradnl"/>
        </w:rPr>
        <w:t>ACTOS CONSENTIDOS TÁCITAMENTE</w:t>
      </w:r>
      <w:r w:rsidRPr="007F0B8E">
        <w:rPr>
          <w:rFonts w:ascii="Palatino Linotype" w:hAnsi="Palatino Linotype"/>
          <w:color w:val="000000"/>
          <w:sz w:val="22"/>
          <w:szCs w:val="22"/>
          <w:lang w:eastAsia="es-ES_tradnl"/>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Pr="007F0B8E" w:rsidR="00163A96" w:rsidP="00163A96" w:rsidRDefault="00163A96" w14:paraId="1E0800F3"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w:t>
      </w:r>
    </w:p>
    <w:p w:rsidRPr="007F0B8E" w:rsidR="00163A96" w:rsidP="00163A96" w:rsidRDefault="00163A96" w14:paraId="34192758"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xml:space="preserve">Conforme a lo previo, en el caso de que el Solicitante no haya manifestado su inconformidad en contra del acto en su totalidad o en cualquiera de sus partes, se tendrá por consentido al no </w:t>
      </w:r>
      <w:r w:rsidRPr="007F0B8E">
        <w:rPr>
          <w:rFonts w:ascii="Palatino Linotype" w:hAnsi="Palatino Linotype"/>
          <w:color w:val="000000"/>
          <w:sz w:val="22"/>
          <w:szCs w:val="22"/>
          <w:lang w:eastAsia="es-ES_tradnl"/>
        </w:rPr>
        <w:lastRenderedPageBreak/>
        <w:t>haber realizado argumento alguno que formulara un agravio en su contra, por lo que, en la especie, se válida la respuesta respecto de los puntos no controvertidos y se arriba a la conclusión de que estos quedaron firmes. </w:t>
      </w:r>
    </w:p>
    <w:p w:rsidRPr="007F0B8E" w:rsidR="00163A96" w:rsidP="00163A96" w:rsidRDefault="00163A96" w14:paraId="4407363B"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w:t>
      </w:r>
    </w:p>
    <w:p w:rsidRPr="007F0B8E" w:rsidR="00163A96" w:rsidP="00163A96" w:rsidRDefault="00163A96" w14:paraId="63B85869"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Asimismo, resulta relevante traer a colación el Criterio 01/20, emitido por el Instituto Nacional de Transparencia, Acceso a la Información y Protección de Datos Personales, que establece lo siguiente:</w:t>
      </w:r>
    </w:p>
    <w:p w:rsidRPr="007F0B8E" w:rsidR="00163A96" w:rsidP="00163A96" w:rsidRDefault="00163A96" w14:paraId="3224B253" w14:textId="77777777">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w:t>
      </w:r>
    </w:p>
    <w:p w:rsidRPr="007F0B8E" w:rsidR="00163A96" w:rsidP="00163A96" w:rsidRDefault="00163A96" w14:paraId="44D9EF7F" w14:textId="77777777">
      <w:pPr>
        <w:spacing w:line="360" w:lineRule="auto"/>
        <w:ind w:left="567" w:right="567"/>
        <w:jc w:val="both"/>
        <w:rPr>
          <w:rFonts w:ascii="Palatino Linotype" w:hAnsi="Palatino Linotype"/>
          <w:color w:val="000000"/>
          <w:sz w:val="22"/>
          <w:szCs w:val="22"/>
          <w:lang w:eastAsia="es-ES_tradnl"/>
        </w:rPr>
      </w:pPr>
      <w:r w:rsidRPr="007F0B8E">
        <w:rPr>
          <w:rFonts w:ascii="Palatino Linotype" w:hAnsi="Palatino Linotype"/>
          <w:b/>
          <w:bCs/>
          <w:i/>
          <w:iCs/>
          <w:color w:val="000000"/>
          <w:lang w:eastAsia="es-ES_tradnl"/>
        </w:rPr>
        <w:t>“Actos consentidos tácitamente. Improcedencia de su análisis. </w:t>
      </w:r>
      <w:r w:rsidRPr="007F0B8E">
        <w:rPr>
          <w:rFonts w:ascii="Palatino Linotype" w:hAnsi="Palatino Linotype"/>
          <w:i/>
          <w:iCs/>
          <w:color w:val="000000"/>
          <w:lang w:eastAsia="es-ES_tradnl"/>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7F0B8E" w:rsidR="00163A96" w:rsidP="00163A96" w:rsidRDefault="00163A96" w14:paraId="77C5B0B4" w14:textId="77777777">
      <w:pPr>
        <w:spacing w:line="360" w:lineRule="auto"/>
        <w:jc w:val="both"/>
        <w:rPr>
          <w:rFonts w:ascii="Palatino Linotype" w:hAnsi="Palatino Linotype"/>
          <w:color w:val="000000"/>
          <w:sz w:val="22"/>
          <w:szCs w:val="22"/>
          <w:lang w:eastAsia="es-ES_tradnl"/>
        </w:rPr>
      </w:pPr>
    </w:p>
    <w:p w:rsidRPr="007F0B8E" w:rsidR="00163A96" w:rsidP="00163A96" w:rsidRDefault="00163A96" w14:paraId="7618D3DC" w14:textId="5C82823C">
      <w:pPr>
        <w:spacing w:line="360" w:lineRule="auto"/>
        <w:jc w:val="both"/>
        <w:rPr>
          <w:rFonts w:ascii="Palatino Linotype" w:hAnsi="Palatino Linotype"/>
          <w:color w:val="000000"/>
          <w:sz w:val="22"/>
          <w:szCs w:val="22"/>
          <w:lang w:eastAsia="es-ES_tradnl"/>
        </w:rPr>
      </w:pPr>
      <w:r w:rsidRPr="007F0B8E">
        <w:rPr>
          <w:rFonts w:ascii="Palatino Linotype" w:hAnsi="Palatino Linotype"/>
          <w:color w:val="000000"/>
          <w:sz w:val="22"/>
          <w:szCs w:val="22"/>
          <w:lang w:eastAsia="es-ES_tradnl"/>
        </w:rPr>
        <w:t xml:space="preserve">Conforme al Criterio establecido, es improcedente entrar al análisis de las partes de la respuesta del Sujeto Obligado que no fueron impugnadas por </w:t>
      </w:r>
      <w:r w:rsidRPr="007F0B8E" w:rsidR="00583F23">
        <w:rPr>
          <w:rFonts w:ascii="Palatino Linotype" w:hAnsi="Palatino Linotype"/>
          <w:color w:val="000000"/>
          <w:sz w:val="22"/>
          <w:szCs w:val="22"/>
          <w:lang w:eastAsia="es-ES_tradnl"/>
        </w:rPr>
        <w:t>la</w:t>
      </w:r>
      <w:r w:rsidRPr="007F0B8E">
        <w:rPr>
          <w:rFonts w:ascii="Palatino Linotype" w:hAnsi="Palatino Linotype"/>
          <w:color w:val="000000"/>
          <w:sz w:val="22"/>
          <w:szCs w:val="22"/>
          <w:lang w:eastAsia="es-ES_tradnl"/>
        </w:rPr>
        <w:t xml:space="preserve"> Recurrente; por lo que, en el presente caso, se tiene por consentida parte de la información proporcionada por el Ente Recurrido, referente </w:t>
      </w:r>
      <w:r w:rsidRPr="007F0B8E" w:rsidR="00583F23">
        <w:rPr>
          <w:rFonts w:ascii="Palatino Linotype" w:hAnsi="Palatino Linotype"/>
          <w:color w:val="000000"/>
          <w:sz w:val="22"/>
          <w:szCs w:val="22"/>
          <w:lang w:eastAsia="es-ES_tradnl"/>
        </w:rPr>
        <w:t xml:space="preserve">al nombre, cargo, área de adscripción, escolaridad y sueldo de los servidores públicos de base y confianza adscritos al Ayuntamiento, que hayan laborado durante la primera quincena de febrero de la presente anualidad. </w:t>
      </w:r>
    </w:p>
    <w:p w:rsidRPr="007F0B8E" w:rsidR="00163A96" w:rsidP="00163A96" w:rsidRDefault="00163A96" w14:paraId="3184A379" w14:textId="77777777">
      <w:pPr>
        <w:spacing w:line="360" w:lineRule="auto"/>
        <w:jc w:val="both"/>
        <w:rPr>
          <w:rFonts w:ascii="Palatino Linotype" w:hAnsi="Palatino Linotype"/>
          <w:color w:val="000000"/>
          <w:sz w:val="22"/>
          <w:szCs w:val="22"/>
          <w:lang w:eastAsia="es-ES_tradnl"/>
        </w:rPr>
      </w:pPr>
    </w:p>
    <w:p w:rsidRPr="007F0B8E" w:rsidR="00163A96" w:rsidP="00A76155" w:rsidRDefault="00A76155" w14:paraId="06DA58EF" w14:textId="154AC1E9">
      <w:pPr>
        <w:spacing w:line="360" w:lineRule="auto"/>
        <w:jc w:val="both"/>
        <w:rPr>
          <w:rFonts w:ascii="Palatino Linotype" w:hAnsi="Palatino Linotype" w:eastAsia="Calibri" w:cs="Tahoma"/>
          <w:color w:val="000000"/>
          <w:lang w:val="es-ES" w:eastAsia="es-MX"/>
        </w:rPr>
      </w:pPr>
      <w:r w:rsidRPr="007F0B8E">
        <w:rPr>
          <w:rFonts w:ascii="Palatino Linotype" w:hAnsi="Palatino Linotype"/>
          <w:color w:val="000000"/>
          <w:sz w:val="22"/>
          <w:szCs w:val="22"/>
          <w:lang w:eastAsia="es-ES_tradnl"/>
        </w:rPr>
        <w:t>A</w:t>
      </w:r>
      <w:r w:rsidRPr="007F0B8E" w:rsidR="00163A96">
        <w:rPr>
          <w:rFonts w:ascii="Palatino Linotype" w:hAnsi="Palatino Linotype"/>
          <w:color w:val="000000"/>
          <w:sz w:val="22"/>
          <w:szCs w:val="22"/>
          <w:lang w:eastAsia="es-ES_tradnl"/>
        </w:rPr>
        <w:t>sí las cosas, una vez interpuesto y notificado el Recurso de Revisión a las partes,</w:t>
      </w:r>
      <w:r w:rsidRPr="007F0B8E" w:rsidR="00163A96">
        <w:rPr>
          <w:rFonts w:ascii="Palatino Linotype" w:hAnsi="Palatino Linotype" w:cs="Tahoma"/>
          <w:iCs/>
          <w:sz w:val="22"/>
          <w:szCs w:val="22"/>
          <w:lang w:val="es-ES"/>
        </w:rPr>
        <w:t xml:space="preserve"> el Sujeto Obligado, </w:t>
      </w:r>
      <w:r w:rsidRPr="007F0B8E">
        <w:rPr>
          <w:rFonts w:ascii="Palatino Linotype" w:hAnsi="Palatino Linotype" w:cs="Tahoma"/>
          <w:iCs/>
          <w:sz w:val="22"/>
          <w:szCs w:val="22"/>
          <w:lang w:val="es-ES"/>
        </w:rPr>
        <w:t>p</w:t>
      </w:r>
      <w:r w:rsidRPr="007F0B8E" w:rsidR="0019081D">
        <w:rPr>
          <w:rFonts w:ascii="Palatino Linotype" w:hAnsi="Palatino Linotype" w:eastAsia="Calibri" w:cs="Tahoma"/>
          <w:color w:val="000000"/>
          <w:sz w:val="22"/>
          <w:szCs w:val="22"/>
          <w:lang w:val="es-ES" w:eastAsia="es-MX"/>
        </w:rPr>
        <w:t>roporcionó el A</w:t>
      </w:r>
      <w:r w:rsidRPr="007F0B8E" w:rsidR="00163A96">
        <w:rPr>
          <w:rFonts w:ascii="Palatino Linotype" w:hAnsi="Palatino Linotype" w:eastAsia="Calibri" w:cs="Tahoma"/>
          <w:color w:val="000000"/>
          <w:sz w:val="22"/>
          <w:szCs w:val="22"/>
          <w:lang w:val="es-ES" w:eastAsia="es-MX"/>
        </w:rPr>
        <w:t xml:space="preserve">cta de la </w:t>
      </w:r>
      <w:r w:rsidRPr="007F0B8E" w:rsidR="0019081D">
        <w:rPr>
          <w:rFonts w:ascii="Palatino Linotype" w:hAnsi="Palatino Linotype" w:eastAsia="Calibri" w:cs="Tahoma"/>
          <w:color w:val="000000"/>
          <w:sz w:val="22"/>
          <w:szCs w:val="22"/>
          <w:lang w:val="es-ES" w:eastAsia="es-MX"/>
        </w:rPr>
        <w:t>Séptima</w:t>
      </w:r>
      <w:r w:rsidRPr="007F0B8E" w:rsidR="00163A96">
        <w:rPr>
          <w:rFonts w:ascii="Palatino Linotype" w:hAnsi="Palatino Linotype" w:eastAsia="Calibri" w:cs="Tahoma"/>
          <w:color w:val="000000"/>
          <w:sz w:val="22"/>
          <w:szCs w:val="22"/>
          <w:lang w:val="es-ES" w:eastAsia="es-MX"/>
        </w:rPr>
        <w:t xml:space="preserve"> Sesión Extraordinaria del Comité de Transparencia, por medio del cual aprueban por unanimidad de votos, la </w:t>
      </w:r>
      <w:r w:rsidRPr="007F0B8E" w:rsidR="0019081D">
        <w:rPr>
          <w:rFonts w:ascii="Palatino Linotype" w:hAnsi="Palatino Linotype" w:eastAsia="Calibri" w:cs="Tahoma"/>
          <w:color w:val="000000"/>
          <w:sz w:val="22"/>
          <w:szCs w:val="22"/>
          <w:lang w:val="es-ES" w:eastAsia="es-MX"/>
        </w:rPr>
        <w:t>reserva de información correspondiente a los nombres de los policías municipales de la nómina, mediante acuerdo UTAIPM/EX/08/2022.</w:t>
      </w:r>
    </w:p>
    <w:p w:rsidRPr="007F0B8E" w:rsidR="00163A96" w:rsidP="00163A96" w:rsidRDefault="00163A96" w14:paraId="01926C1F" w14:textId="77777777">
      <w:pPr>
        <w:autoSpaceDE w:val="0"/>
        <w:autoSpaceDN w:val="0"/>
        <w:adjustRightInd w:val="0"/>
        <w:spacing w:line="360" w:lineRule="auto"/>
        <w:ind w:left="360"/>
        <w:jc w:val="both"/>
        <w:rPr>
          <w:rFonts w:ascii="Palatino Linotype" w:hAnsi="Palatino Linotype" w:eastAsia="Calibri" w:cs="Tahoma"/>
          <w:color w:val="000000"/>
          <w:sz w:val="22"/>
          <w:lang w:val="es-ES" w:eastAsia="es-MX"/>
        </w:rPr>
      </w:pPr>
    </w:p>
    <w:p w:rsidRPr="007F0B8E" w:rsidR="00163A96" w:rsidP="00163A96" w:rsidRDefault="00163A96" w14:paraId="694A8394" w14:textId="77777777">
      <w:pPr>
        <w:spacing w:line="360" w:lineRule="auto"/>
        <w:jc w:val="both"/>
        <w:rPr>
          <w:rFonts w:ascii="Palatino Linotype" w:hAnsi="Palatino Linotype" w:cs="Tahoma"/>
          <w:iCs/>
          <w:sz w:val="22"/>
          <w:szCs w:val="22"/>
          <w:lang w:val="es-ES"/>
        </w:rPr>
      </w:pPr>
      <w:r w:rsidRPr="007F0B8E">
        <w:rPr>
          <w:rFonts w:ascii="Palatino Linotype" w:hAnsi="Palatino Linotype" w:cs="Tahoma"/>
          <w:iCs/>
          <w:sz w:val="22"/>
          <w:szCs w:val="22"/>
          <w:lang w:val="es-ES"/>
        </w:rPr>
        <w:lastRenderedPageBreak/>
        <w:t xml:space="preserve">Lo anterior, se desprende de las documentales que obran en el expediente de referencia, materia de la presente resolución, consistentes en la solicitud de acceso a la información; la respuesta del </w:t>
      </w:r>
      <w:r w:rsidRPr="007F0B8E">
        <w:rPr>
          <w:rFonts w:ascii="Palatino Linotype" w:hAnsi="Palatino Linotype" w:eastAsia="Calibri" w:cs="Tahoma"/>
          <w:bCs/>
          <w:sz w:val="22"/>
          <w:szCs w:val="22"/>
          <w:lang w:eastAsia="en-US"/>
        </w:rPr>
        <w:t>Ayuntamiento de Ixtlahuaca</w:t>
      </w:r>
      <w:r w:rsidRPr="007F0B8E">
        <w:rPr>
          <w:rFonts w:ascii="Palatino Linotype" w:hAnsi="Palatino Linotype" w:eastAsia="Calibri" w:cs="Tahoma"/>
          <w:sz w:val="22"/>
          <w:szCs w:val="22"/>
          <w:lang w:eastAsia="en-US"/>
        </w:rPr>
        <w:t xml:space="preserve">; el escrito </w:t>
      </w:r>
      <w:proofErr w:type="spellStart"/>
      <w:r w:rsidRPr="007F0B8E">
        <w:rPr>
          <w:rFonts w:ascii="Palatino Linotype" w:hAnsi="Palatino Linotype" w:eastAsia="Calibri" w:cs="Tahoma"/>
          <w:sz w:val="22"/>
          <w:szCs w:val="22"/>
          <w:lang w:eastAsia="en-US"/>
        </w:rPr>
        <w:t>recursal</w:t>
      </w:r>
      <w:proofErr w:type="spellEnd"/>
      <w:r w:rsidRPr="007F0B8E">
        <w:rPr>
          <w:rFonts w:ascii="Palatino Linotype" w:hAnsi="Palatino Linotype" w:cs="Tahoma"/>
          <w:iCs/>
          <w:sz w:val="22"/>
          <w:szCs w:val="22"/>
          <w:lang w:val="es-ES"/>
        </w:rPr>
        <w:t xml:space="preserve">, y el Informe con Justificación del Sujeto Obligado, instrumentales que se toman en cuenta a efecto de resolver el presente medio de impugnación, conforme a lo dispuesto por el artículo 185, fracción IV, de la Ley de Transparencia y Acceso a la Información Pública del Estado de México y Municipios. </w:t>
      </w:r>
    </w:p>
    <w:p w:rsidRPr="007F0B8E" w:rsidR="00630AC8" w:rsidP="00C8219E" w:rsidRDefault="00630AC8" w14:paraId="27896F17" w14:textId="77777777">
      <w:pPr>
        <w:spacing w:line="360" w:lineRule="auto"/>
        <w:jc w:val="both"/>
        <w:rPr>
          <w:rFonts w:ascii="Palatino Linotype" w:hAnsi="Palatino Linotype" w:cs="Tahoma"/>
          <w:b/>
          <w:color w:val="0D0D0D" w:themeColor="text1" w:themeTint="F2"/>
          <w:sz w:val="22"/>
          <w:szCs w:val="22"/>
          <w:lang w:val="es-ES"/>
        </w:rPr>
      </w:pPr>
    </w:p>
    <w:p w:rsidRPr="007F0B8E" w:rsidR="00C8219E" w:rsidP="00C8219E" w:rsidRDefault="00C8219E" w14:paraId="4FEE31C8" w14:textId="17565F83">
      <w:pPr>
        <w:spacing w:line="360" w:lineRule="auto"/>
        <w:jc w:val="both"/>
        <w:rPr>
          <w:rFonts w:ascii="Palatino Linotype" w:hAnsi="Palatino Linotype" w:cs="Tahoma"/>
          <w:b/>
          <w:color w:val="0D0D0D" w:themeColor="text1" w:themeTint="F2"/>
          <w:sz w:val="22"/>
          <w:szCs w:val="22"/>
        </w:rPr>
      </w:pPr>
      <w:r w:rsidRPr="007F0B8E">
        <w:rPr>
          <w:rFonts w:ascii="Palatino Linotype" w:hAnsi="Palatino Linotype" w:cs="Tahoma"/>
          <w:b/>
          <w:color w:val="0D0D0D" w:themeColor="text1" w:themeTint="F2"/>
          <w:sz w:val="22"/>
          <w:szCs w:val="22"/>
          <w:lang w:val="es-ES"/>
        </w:rPr>
        <w:t xml:space="preserve">CUARTO. </w:t>
      </w:r>
      <w:r w:rsidRPr="007F0B8E">
        <w:rPr>
          <w:rFonts w:ascii="Palatino Linotype" w:hAnsi="Palatino Linotype" w:cs="Tahoma"/>
          <w:b/>
          <w:color w:val="0D0D0D" w:themeColor="text1" w:themeTint="F2"/>
          <w:sz w:val="22"/>
          <w:szCs w:val="22"/>
        </w:rPr>
        <w:t>Marco normativo aplicable en materia de transparencia y acceso a la información pública.</w:t>
      </w:r>
    </w:p>
    <w:p w:rsidRPr="007F0B8E" w:rsidR="00C8219E" w:rsidP="00C8219E" w:rsidRDefault="00C8219E" w14:paraId="7FF892C1" w14:textId="77777777">
      <w:pPr>
        <w:spacing w:line="360" w:lineRule="auto"/>
        <w:jc w:val="both"/>
        <w:rPr>
          <w:rFonts w:ascii="Palatino Linotype" w:hAnsi="Palatino Linotype" w:cs="Tahoma"/>
          <w:b/>
          <w:color w:val="0D0D0D" w:themeColor="text1" w:themeTint="F2"/>
          <w:sz w:val="22"/>
          <w:szCs w:val="22"/>
        </w:rPr>
      </w:pPr>
    </w:p>
    <w:p w:rsidRPr="007F0B8E" w:rsidR="005D5898" w:rsidP="005D5898" w:rsidRDefault="005D5898" w14:paraId="0131C9EB" w14:textId="77777777">
      <w:pPr>
        <w:widowControl w:val="0"/>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 xml:space="preserve">El artículo 6°, Apartado A), fracción I de la Constitución Política de los Estados Unidos Mexicanos, establece que toda la información en posesión de cualquier </w:t>
      </w:r>
      <w:proofErr w:type="gramStart"/>
      <w:r w:rsidRPr="007F0B8E">
        <w:rPr>
          <w:rFonts w:ascii="Palatino Linotype" w:hAnsi="Palatino Linotype" w:cs="Tahoma"/>
          <w:bCs/>
          <w:iCs/>
          <w:sz w:val="22"/>
          <w:szCs w:val="22"/>
        </w:rPr>
        <w:t>autoridad,</w:t>
      </w:r>
      <w:proofErr w:type="gramEnd"/>
      <w:r w:rsidRPr="007F0B8E">
        <w:rPr>
          <w:rFonts w:ascii="Palatino Linotype" w:hAnsi="Palatino Linotype" w:cs="Tahoma"/>
          <w:bCs/>
          <w:iCs/>
          <w:sz w:val="22"/>
          <w:szCs w:val="22"/>
        </w:rPr>
        <w:t xml:space="preserve"> es pública y sólo podrá ser reservada temporalmente por razones de interés público.</w:t>
      </w:r>
    </w:p>
    <w:p w:rsidRPr="007F0B8E" w:rsidR="005D5898" w:rsidP="005D5898" w:rsidRDefault="005D5898" w14:paraId="6E1BDEFC" w14:textId="77777777">
      <w:pPr>
        <w:spacing w:line="360" w:lineRule="auto"/>
        <w:jc w:val="both"/>
        <w:rPr>
          <w:rFonts w:ascii="Palatino Linotype" w:hAnsi="Palatino Linotype" w:cs="Tahoma"/>
          <w:bCs/>
          <w:iCs/>
          <w:sz w:val="22"/>
          <w:szCs w:val="22"/>
        </w:rPr>
      </w:pPr>
    </w:p>
    <w:p w:rsidRPr="007F0B8E" w:rsidR="005D5898" w:rsidP="005D5898" w:rsidRDefault="005D5898" w14:paraId="3E46669B"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7F0B8E" w:rsidR="005D5898" w:rsidP="005D5898" w:rsidRDefault="005D5898" w14:paraId="2DDB0D78" w14:textId="77777777">
      <w:pPr>
        <w:spacing w:line="360" w:lineRule="auto"/>
        <w:jc w:val="both"/>
        <w:rPr>
          <w:rFonts w:ascii="Palatino Linotype" w:hAnsi="Palatino Linotype" w:cs="Tahoma"/>
          <w:bCs/>
          <w:iCs/>
          <w:sz w:val="22"/>
          <w:szCs w:val="22"/>
        </w:rPr>
      </w:pPr>
    </w:p>
    <w:p w:rsidRPr="007F0B8E" w:rsidR="005D5898" w:rsidP="005D5898" w:rsidRDefault="005D5898" w14:paraId="47A0812C"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7F0B8E" w:rsidR="005D5898" w:rsidP="005D5898" w:rsidRDefault="005D5898" w14:paraId="738840E2" w14:textId="77777777">
      <w:pPr>
        <w:spacing w:line="360" w:lineRule="auto"/>
        <w:jc w:val="both"/>
        <w:rPr>
          <w:rFonts w:ascii="Palatino Linotype" w:hAnsi="Palatino Linotype" w:cs="Tahoma"/>
          <w:bCs/>
          <w:iCs/>
          <w:sz w:val="22"/>
          <w:szCs w:val="22"/>
        </w:rPr>
      </w:pPr>
    </w:p>
    <w:p w:rsidRPr="007F0B8E" w:rsidR="005D5898" w:rsidP="005D5898" w:rsidRDefault="005D5898" w14:paraId="4D2E1E61"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7F0B8E" w:rsidR="005D5898" w:rsidP="005D5898" w:rsidRDefault="005D5898" w14:paraId="7D5047E0" w14:textId="77777777">
      <w:pPr>
        <w:spacing w:line="360" w:lineRule="auto"/>
        <w:jc w:val="both"/>
        <w:rPr>
          <w:rFonts w:ascii="Palatino Linotype" w:hAnsi="Palatino Linotype" w:cs="Tahoma"/>
          <w:bCs/>
          <w:iCs/>
          <w:sz w:val="22"/>
          <w:szCs w:val="22"/>
        </w:rPr>
      </w:pPr>
    </w:p>
    <w:p w:rsidRPr="007F0B8E" w:rsidR="005D5898" w:rsidP="005D5898" w:rsidRDefault="005D5898" w14:paraId="0BE25803"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lastRenderedPageBreak/>
        <w:t>El artículo 12, que, quienes generen, recopilen, administren, manejen, procesen, archiven o conserven información pública serán responsables de la misma.</w:t>
      </w:r>
    </w:p>
    <w:p w:rsidRPr="007F0B8E" w:rsidR="005D5898" w:rsidP="005D5898" w:rsidRDefault="005D5898" w14:paraId="0557137B" w14:textId="77777777">
      <w:pPr>
        <w:spacing w:line="360" w:lineRule="auto"/>
        <w:jc w:val="both"/>
        <w:rPr>
          <w:rFonts w:ascii="Palatino Linotype" w:hAnsi="Palatino Linotype" w:cs="Tahoma"/>
          <w:bCs/>
          <w:iCs/>
          <w:sz w:val="22"/>
          <w:szCs w:val="22"/>
        </w:rPr>
      </w:pPr>
    </w:p>
    <w:p w:rsidRPr="007F0B8E" w:rsidR="005D5898" w:rsidP="005D5898" w:rsidRDefault="005D5898" w14:paraId="7893057C"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7F0B8E" w:rsidR="005D5898" w:rsidP="005D5898" w:rsidRDefault="005D5898" w14:paraId="3B4661E7" w14:textId="77777777">
      <w:pPr>
        <w:spacing w:line="360" w:lineRule="auto"/>
        <w:jc w:val="both"/>
        <w:rPr>
          <w:rFonts w:ascii="Palatino Linotype" w:hAnsi="Palatino Linotype" w:cs="Tahoma"/>
          <w:bCs/>
          <w:iCs/>
          <w:sz w:val="22"/>
          <w:szCs w:val="22"/>
        </w:rPr>
      </w:pPr>
    </w:p>
    <w:p w:rsidRPr="007F0B8E" w:rsidR="005D5898" w:rsidP="005D5898" w:rsidRDefault="005D5898" w14:paraId="1626BE80" w14:textId="77777777">
      <w:pPr>
        <w:spacing w:line="360" w:lineRule="auto"/>
        <w:jc w:val="both"/>
        <w:rPr>
          <w:rFonts w:ascii="Palatino Linotype" w:hAnsi="Palatino Linotype" w:cs="Tahoma"/>
          <w:bCs/>
          <w:iCs/>
          <w:sz w:val="22"/>
          <w:szCs w:val="22"/>
        </w:rPr>
      </w:pPr>
      <w:r w:rsidRPr="007F0B8E">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7F0B8E" w:rsidR="00C8219E" w:rsidP="00AB4D0E" w:rsidRDefault="00C8219E" w14:paraId="196577A6" w14:textId="627E5EFB">
      <w:pPr>
        <w:spacing w:line="360" w:lineRule="auto"/>
        <w:jc w:val="both"/>
        <w:rPr>
          <w:rFonts w:ascii="Palatino Linotype" w:hAnsi="Palatino Linotype" w:cs="Tahoma"/>
          <w:bCs/>
          <w:color w:val="0D0D0D" w:themeColor="text1" w:themeTint="F2"/>
          <w:sz w:val="22"/>
          <w:szCs w:val="22"/>
        </w:rPr>
      </w:pPr>
    </w:p>
    <w:p w:rsidRPr="007F0B8E" w:rsidR="00C8219E" w:rsidP="00C8219E" w:rsidRDefault="00C8219E" w14:paraId="629F4678" w14:textId="5B71EEC7">
      <w:pPr>
        <w:spacing w:line="360" w:lineRule="auto"/>
        <w:jc w:val="both"/>
        <w:rPr>
          <w:rFonts w:ascii="Palatino Linotype" w:hAnsi="Palatino Linotype" w:cs="Tahoma"/>
          <w:b/>
          <w:color w:val="0D0D0D" w:themeColor="text1" w:themeTint="F2"/>
          <w:sz w:val="22"/>
          <w:szCs w:val="22"/>
          <w:lang w:val="es-ES"/>
        </w:rPr>
      </w:pPr>
      <w:r w:rsidRPr="007F0B8E">
        <w:rPr>
          <w:rFonts w:ascii="Palatino Linotype" w:hAnsi="Palatino Linotype" w:cs="Tahoma"/>
          <w:b/>
          <w:color w:val="0D0D0D" w:themeColor="text1" w:themeTint="F2"/>
          <w:sz w:val="22"/>
          <w:szCs w:val="22"/>
          <w:lang w:val="es-ES"/>
        </w:rPr>
        <w:t>QUINTO. Estudio de Fondo.</w:t>
      </w:r>
    </w:p>
    <w:p w:rsidRPr="007F0B8E" w:rsidR="00C86DC9" w:rsidP="00C8219E" w:rsidRDefault="00C86DC9" w14:paraId="31D61DA9" w14:textId="77777777">
      <w:pPr>
        <w:spacing w:line="360" w:lineRule="auto"/>
        <w:jc w:val="both"/>
        <w:rPr>
          <w:rFonts w:ascii="Palatino Linotype" w:hAnsi="Palatino Linotype" w:cs="Tahoma"/>
          <w:b/>
          <w:color w:val="0D0D0D" w:themeColor="text1" w:themeTint="F2"/>
          <w:sz w:val="22"/>
          <w:szCs w:val="22"/>
          <w:lang w:val="es-ES"/>
        </w:rPr>
      </w:pPr>
    </w:p>
    <w:p w:rsidRPr="007F0B8E" w:rsidR="000A0006" w:rsidP="00C8219E" w:rsidRDefault="005B0914" w14:paraId="1852E2E0" w14:textId="5CFBC013">
      <w:pPr>
        <w:spacing w:line="360" w:lineRule="auto"/>
        <w:jc w:val="both"/>
        <w:rPr>
          <w:rFonts w:ascii="Palatino Linotype" w:hAnsi="Palatino Linotype" w:cs="Tahoma"/>
          <w:bCs/>
          <w:color w:val="0D0D0D" w:themeColor="text1" w:themeTint="F2"/>
          <w:sz w:val="22"/>
          <w:szCs w:val="22"/>
          <w:lang w:val="es-ES"/>
        </w:rPr>
      </w:pPr>
      <w:r w:rsidRPr="007F0B8E">
        <w:rPr>
          <w:rFonts w:ascii="Palatino Linotype" w:hAnsi="Palatino Linotype" w:cs="Tahoma"/>
          <w:bCs/>
          <w:color w:val="0D0D0D" w:themeColor="text1" w:themeTint="F2"/>
          <w:sz w:val="22"/>
          <w:szCs w:val="22"/>
        </w:rPr>
        <w:t xml:space="preserve">Una vez establecido lo anterior, se procede analizar el agravio hecho valer por el ahora Recurrente, referente </w:t>
      </w:r>
      <w:r w:rsidRPr="007F0B8E" w:rsidR="00A76155">
        <w:rPr>
          <w:rFonts w:ascii="Palatino Linotype" w:hAnsi="Palatino Linotype" w:cs="Tahoma"/>
          <w:bCs/>
          <w:color w:val="0D0D0D" w:themeColor="text1" w:themeTint="F2"/>
          <w:sz w:val="22"/>
          <w:szCs w:val="22"/>
        </w:rPr>
        <w:t xml:space="preserve">a la clasificación de los datos testados en el </w:t>
      </w:r>
      <w:r w:rsidRPr="007F0B8E" w:rsidR="00A76155">
        <w:rPr>
          <w:rFonts w:ascii="Palatino Linotype" w:hAnsi="Palatino Linotype" w:eastAsia="Calibri" w:cs="Tahoma"/>
          <w:color w:val="000000"/>
          <w:sz w:val="22"/>
          <w:szCs w:val="24"/>
          <w:lang w:val="es-ES" w:eastAsia="es-MX"/>
        </w:rPr>
        <w:t>documento denominado Remuneraciones de Servidores Públicos (Nómina), de cuya revisión se logra vislumbrar que únicamente clasificó el nombre de los policías municipales,</w:t>
      </w:r>
      <w:r w:rsidRPr="007F0B8E" w:rsidR="000A0006">
        <w:rPr>
          <w:rFonts w:ascii="Palatino Linotype" w:hAnsi="Palatino Linotype" w:cs="Tahoma"/>
          <w:bCs/>
          <w:color w:val="0D0D0D" w:themeColor="text1" w:themeTint="F2"/>
          <w:sz w:val="22"/>
          <w:szCs w:val="22"/>
          <w:lang w:val="es-ES"/>
        </w:rPr>
        <w:t xml:space="preserve"> por lo que, se procede analizar dicha circunstancia.</w:t>
      </w:r>
    </w:p>
    <w:p w:rsidRPr="007F0B8E" w:rsidR="00C86DC9" w:rsidP="00C8219E" w:rsidRDefault="00C86DC9" w14:paraId="34E00AB2" w14:textId="77777777">
      <w:pPr>
        <w:spacing w:line="360" w:lineRule="auto"/>
        <w:jc w:val="both"/>
        <w:rPr>
          <w:rFonts w:ascii="Palatino Linotype" w:hAnsi="Palatino Linotype" w:cs="Tahoma"/>
          <w:b/>
          <w:color w:val="0D0D0D" w:themeColor="text1" w:themeTint="F2"/>
          <w:sz w:val="22"/>
          <w:szCs w:val="22"/>
          <w:lang w:val="es-ES"/>
        </w:rPr>
      </w:pPr>
    </w:p>
    <w:p w:rsidRPr="007F0B8E" w:rsidR="00925A04" w:rsidP="00925A04" w:rsidRDefault="00925A04" w14:paraId="32CAC2C0" w14:textId="77777777">
      <w:pPr>
        <w:spacing w:line="360" w:lineRule="auto"/>
        <w:jc w:val="both"/>
        <w:rPr>
          <w:rFonts w:ascii="Palatino Linotype" w:hAnsi="Palatino Linotype" w:cs="Tahoma"/>
          <w:b/>
          <w:color w:val="0D0D0D" w:themeColor="text1" w:themeTint="F2"/>
          <w:sz w:val="22"/>
          <w:szCs w:val="22"/>
          <w:lang w:eastAsia="es-MX"/>
        </w:rPr>
      </w:pPr>
      <w:r w:rsidRPr="007F0B8E">
        <w:rPr>
          <w:rFonts w:ascii="Palatino Linotype" w:hAnsi="Palatino Linotype" w:cs="Tahoma"/>
          <w:color w:val="0D0D0D" w:themeColor="text1" w:themeTint="F2"/>
          <w:sz w:val="22"/>
          <w:szCs w:val="22"/>
          <w:lang w:eastAsia="es-MX"/>
        </w:rPr>
        <w:t xml:space="preserve">Al respecto, cabe precisar, que conforme al artículo 20 de la Ley de Transparencia y Acceso a la Información Pública del Estado de México y Municipios, </w:t>
      </w:r>
      <w:r w:rsidRPr="007F0B8E">
        <w:rPr>
          <w:rFonts w:ascii="Palatino Linotype" w:hAnsi="Palatino Linotype" w:cs="Tahoma"/>
          <w:b/>
          <w:color w:val="0D0D0D" w:themeColor="text1" w:themeTint="F2"/>
          <w:sz w:val="22"/>
          <w:szCs w:val="22"/>
          <w:lang w:eastAsia="es-MX"/>
        </w:rPr>
        <w:t>ante la negativa de acceso a la información o su inexistencia, el sujeto obligado deberá demostrar que encuentra en alguna de las excepciones establecidas en la normatividad aplicable.</w:t>
      </w:r>
    </w:p>
    <w:p w:rsidRPr="007F0B8E" w:rsidR="00925A04" w:rsidP="00925A04" w:rsidRDefault="00925A04" w14:paraId="279E1997" w14:textId="77777777">
      <w:pPr>
        <w:spacing w:line="360" w:lineRule="auto"/>
        <w:jc w:val="both"/>
        <w:rPr>
          <w:rFonts w:ascii="Palatino Linotype" w:hAnsi="Palatino Linotype" w:cs="Tahoma"/>
          <w:color w:val="0D0D0D" w:themeColor="text1" w:themeTint="F2"/>
          <w:sz w:val="22"/>
          <w:szCs w:val="22"/>
          <w:lang w:eastAsia="es-MX"/>
        </w:rPr>
      </w:pPr>
    </w:p>
    <w:p w:rsidRPr="007F0B8E" w:rsidR="00925A04" w:rsidP="00925A04" w:rsidRDefault="00925A04" w14:paraId="77488786" w14:textId="77777777">
      <w:pPr>
        <w:spacing w:line="360" w:lineRule="auto"/>
        <w:jc w:val="both"/>
        <w:rPr>
          <w:rFonts w:ascii="Palatino Linotype" w:hAnsi="Palatino Linotype" w:cs="Arial"/>
          <w:bCs/>
          <w:color w:val="0D0D0D" w:themeColor="text1" w:themeTint="F2"/>
          <w:sz w:val="22"/>
          <w:szCs w:val="22"/>
        </w:rPr>
      </w:pPr>
      <w:r w:rsidRPr="007F0B8E">
        <w:rPr>
          <w:rFonts w:ascii="Palatino Linotype" w:hAnsi="Palatino Linotype" w:cs="Arial"/>
          <w:bCs/>
          <w:color w:val="0D0D0D" w:themeColor="text1" w:themeTint="F2"/>
          <w:sz w:val="22"/>
          <w:szCs w:val="22"/>
        </w:rPr>
        <w:t xml:space="preserve">En ese sentido, según Trujillo, Humberto (2019), en el “Diccionario de Transparencia y Acceso a la Información Pública” (p. 201), </w:t>
      </w:r>
      <w:r w:rsidRPr="007F0B8E">
        <w:rPr>
          <w:rFonts w:ascii="Palatino Linotype" w:hAnsi="Palatino Linotype" w:cs="Arial"/>
          <w:b/>
          <w:bCs/>
          <w:color w:val="0D0D0D" w:themeColor="text1" w:themeTint="F2"/>
          <w:sz w:val="22"/>
          <w:szCs w:val="22"/>
        </w:rPr>
        <w:t xml:space="preserve">la negativa de acceso a la información </w:t>
      </w:r>
      <w:r w:rsidRPr="007F0B8E">
        <w:rPr>
          <w:rFonts w:ascii="Palatino Linotype" w:hAnsi="Palatino Linotype" w:cs="Arial"/>
          <w:bCs/>
          <w:color w:val="0D0D0D" w:themeColor="text1" w:themeTint="F2"/>
          <w:sz w:val="22"/>
          <w:szCs w:val="22"/>
        </w:rPr>
        <w:t xml:space="preserve">ocurre cuanto de </w:t>
      </w:r>
      <w:r w:rsidRPr="007F0B8E">
        <w:rPr>
          <w:rFonts w:ascii="Palatino Linotype" w:hAnsi="Palatino Linotype" w:cs="Arial"/>
          <w:bCs/>
          <w:color w:val="0D0D0D" w:themeColor="text1" w:themeTint="F2"/>
          <w:sz w:val="22"/>
          <w:szCs w:val="22"/>
        </w:rPr>
        <w:lastRenderedPageBreak/>
        <w:t xml:space="preserve">manera fundada y motivada, una autoridad la niega o la limita, por alguna de las siguientes razones: </w:t>
      </w:r>
    </w:p>
    <w:p w:rsidRPr="007F0B8E" w:rsidR="00925A04" w:rsidP="00925A04" w:rsidRDefault="00925A04" w14:paraId="34841F6F" w14:textId="77777777">
      <w:pPr>
        <w:spacing w:line="360" w:lineRule="auto"/>
        <w:jc w:val="both"/>
        <w:rPr>
          <w:rFonts w:ascii="Palatino Linotype" w:hAnsi="Palatino Linotype" w:cs="Arial"/>
          <w:bCs/>
          <w:color w:val="0D0D0D" w:themeColor="text1" w:themeTint="F2"/>
          <w:sz w:val="22"/>
          <w:szCs w:val="22"/>
        </w:rPr>
      </w:pPr>
    </w:p>
    <w:p w:rsidRPr="007F0B8E" w:rsidR="00925A04" w:rsidP="00826816" w:rsidRDefault="00925A04" w14:paraId="4BB6B3A0" w14:textId="77777777">
      <w:pPr>
        <w:pStyle w:val="Prrafodelista"/>
        <w:numPr>
          <w:ilvl w:val="0"/>
          <w:numId w:val="2"/>
        </w:numPr>
        <w:spacing w:line="360" w:lineRule="auto"/>
        <w:jc w:val="both"/>
        <w:rPr>
          <w:rFonts w:ascii="Palatino Linotype" w:hAnsi="Palatino Linotype" w:cs="Arial"/>
          <w:b/>
          <w:bCs/>
          <w:color w:val="0D0D0D" w:themeColor="text1" w:themeTint="F2"/>
          <w:szCs w:val="22"/>
        </w:rPr>
      </w:pPr>
      <w:r w:rsidRPr="007F0B8E">
        <w:rPr>
          <w:rFonts w:ascii="Palatino Linotype" w:hAnsi="Palatino Linotype" w:cs="Arial"/>
          <w:b/>
          <w:bCs/>
          <w:color w:val="0D0D0D" w:themeColor="text1" w:themeTint="F2"/>
          <w:szCs w:val="22"/>
        </w:rPr>
        <w:t xml:space="preserve">La inexistencia de la información (p. 171): </w:t>
      </w:r>
      <w:r w:rsidRPr="007F0B8E">
        <w:rPr>
          <w:rFonts w:ascii="Palatino Linotype" w:hAnsi="Palatino Linotype" w:cs="Arial"/>
          <w:bCs/>
          <w:color w:val="0D0D0D" w:themeColor="text1" w:themeTint="F2"/>
          <w:szCs w:val="22"/>
        </w:rPr>
        <w:t>Sucede cuando la información solicitada no se encuentra en los archivos públicos o clasificado de los entes sujetos a las Leyes de Transparencia.</w:t>
      </w:r>
    </w:p>
    <w:p w:rsidRPr="007F0B8E" w:rsidR="00925A04" w:rsidP="00925A04" w:rsidRDefault="00925A04" w14:paraId="3B15D3D9" w14:textId="77777777">
      <w:pPr>
        <w:pStyle w:val="Prrafodelista"/>
        <w:spacing w:line="360" w:lineRule="auto"/>
        <w:jc w:val="both"/>
        <w:rPr>
          <w:rFonts w:ascii="Palatino Linotype" w:hAnsi="Palatino Linotype" w:cs="Arial"/>
          <w:b/>
          <w:bCs/>
          <w:color w:val="0D0D0D" w:themeColor="text1" w:themeTint="F2"/>
          <w:szCs w:val="22"/>
        </w:rPr>
      </w:pPr>
    </w:p>
    <w:p w:rsidRPr="007F0B8E" w:rsidR="00925A04" w:rsidP="00826816" w:rsidRDefault="00925A04" w14:paraId="4F6CF3B0" w14:textId="77777777">
      <w:pPr>
        <w:pStyle w:val="Prrafodelista"/>
        <w:numPr>
          <w:ilvl w:val="0"/>
          <w:numId w:val="2"/>
        </w:numPr>
        <w:spacing w:line="360" w:lineRule="auto"/>
        <w:jc w:val="both"/>
        <w:rPr>
          <w:rFonts w:ascii="Palatino Linotype" w:hAnsi="Palatino Linotype" w:cs="Arial"/>
          <w:b/>
          <w:bCs/>
          <w:color w:val="0D0D0D" w:themeColor="text1" w:themeTint="F2"/>
          <w:szCs w:val="22"/>
        </w:rPr>
      </w:pPr>
      <w:r w:rsidRPr="007F0B8E">
        <w:rPr>
          <w:rFonts w:ascii="Palatino Linotype" w:hAnsi="Palatino Linotype" w:cs="Arial"/>
          <w:b/>
          <w:bCs/>
          <w:color w:val="0D0D0D" w:themeColor="text1" w:themeTint="F2"/>
          <w:szCs w:val="22"/>
        </w:rPr>
        <w:t xml:space="preserve">La incompetencia del Sujeto Obligado (p. 171): </w:t>
      </w:r>
      <w:r w:rsidRPr="007F0B8E">
        <w:rPr>
          <w:rFonts w:ascii="Palatino Linotype" w:hAnsi="Palatino Linotype" w:cs="Arial"/>
          <w:bCs/>
          <w:color w:val="0D0D0D" w:themeColor="text1" w:themeTint="F2"/>
          <w:szCs w:val="22"/>
        </w:rPr>
        <w:t>Ocurre cuando el Sujeto Obligado carece de atribuciones para poseer la información peticionada.</w:t>
      </w:r>
    </w:p>
    <w:p w:rsidRPr="007F0B8E" w:rsidR="00925A04" w:rsidP="00925A04" w:rsidRDefault="00925A04" w14:paraId="21CD8832" w14:textId="77777777">
      <w:pPr>
        <w:pStyle w:val="Prrafodelista"/>
        <w:spacing w:line="360" w:lineRule="auto"/>
        <w:rPr>
          <w:rFonts w:ascii="Palatino Linotype" w:hAnsi="Palatino Linotype" w:cs="Arial"/>
          <w:b/>
          <w:bCs/>
          <w:color w:val="0D0D0D" w:themeColor="text1" w:themeTint="F2"/>
          <w:szCs w:val="22"/>
        </w:rPr>
      </w:pPr>
    </w:p>
    <w:p w:rsidRPr="007F0B8E" w:rsidR="00925A04" w:rsidP="00826816" w:rsidRDefault="00925A04" w14:paraId="64EEB729" w14:textId="77777777">
      <w:pPr>
        <w:pStyle w:val="Prrafodelista"/>
        <w:numPr>
          <w:ilvl w:val="0"/>
          <w:numId w:val="2"/>
        </w:numPr>
        <w:spacing w:line="360" w:lineRule="auto"/>
        <w:jc w:val="both"/>
        <w:rPr>
          <w:rFonts w:ascii="Palatino Linotype" w:hAnsi="Palatino Linotype" w:cs="Arial"/>
          <w:b/>
          <w:bCs/>
          <w:color w:val="0D0D0D" w:themeColor="text1" w:themeTint="F2"/>
          <w:szCs w:val="22"/>
        </w:rPr>
      </w:pPr>
      <w:r w:rsidRPr="007F0B8E">
        <w:rPr>
          <w:rFonts w:ascii="Palatino Linotype" w:hAnsi="Palatino Linotype" w:cs="Arial"/>
          <w:b/>
          <w:bCs/>
          <w:color w:val="0D0D0D" w:themeColor="text1" w:themeTint="F2"/>
          <w:szCs w:val="22"/>
        </w:rPr>
        <w:t xml:space="preserve">La clasificación de la información (p. 70): </w:t>
      </w:r>
      <w:r w:rsidRPr="007F0B8E">
        <w:rPr>
          <w:rFonts w:ascii="Palatino Linotype" w:hAnsi="Palatino Linotype" w:cs="Arial"/>
          <w:bCs/>
          <w:color w:val="0D0D0D" w:themeColor="text1" w:themeTint="F2"/>
          <w:szCs w:val="22"/>
        </w:rPr>
        <w:t>Es el proceso o conjunto de acciones que realizan los sujetos obligados para establecer que determinada información se encuentra en alguno de los supuestos de reserva o confidencialidad establecidos en la legislación en materia de transparencia.</w:t>
      </w:r>
    </w:p>
    <w:p w:rsidRPr="007F0B8E" w:rsidR="00925A04" w:rsidP="00925A04" w:rsidRDefault="00925A04" w14:paraId="34F5874C" w14:textId="77777777">
      <w:pPr>
        <w:spacing w:line="360" w:lineRule="auto"/>
        <w:jc w:val="both"/>
        <w:rPr>
          <w:rFonts w:ascii="Palatino Linotype" w:hAnsi="Palatino Linotype" w:cs="Tahoma"/>
          <w:color w:val="0D0D0D" w:themeColor="text1" w:themeTint="F2"/>
          <w:sz w:val="22"/>
          <w:szCs w:val="22"/>
          <w:lang w:eastAsia="es-MX"/>
        </w:rPr>
      </w:pPr>
    </w:p>
    <w:p w:rsidRPr="007F0B8E" w:rsidR="00925A04" w:rsidP="00925A04" w:rsidRDefault="00925A04" w14:paraId="4A543B8F" w14:textId="32A55ABF">
      <w:pPr>
        <w:spacing w:line="360" w:lineRule="auto"/>
        <w:jc w:val="both"/>
        <w:rPr>
          <w:rFonts w:ascii="Palatino Linotype" w:hAnsi="Palatino Linotype" w:cs="Tahoma"/>
          <w:b/>
          <w:bCs/>
          <w:iCs/>
          <w:color w:val="0D0D0D" w:themeColor="text1" w:themeTint="F2"/>
          <w:sz w:val="22"/>
          <w:szCs w:val="22"/>
          <w:lang w:val="es-ES" w:eastAsia="es-MX"/>
        </w:rPr>
      </w:pPr>
      <w:r w:rsidRPr="007F0B8E">
        <w:rPr>
          <w:rFonts w:ascii="Palatino Linotype" w:hAnsi="Palatino Linotype" w:cs="Tahoma"/>
          <w:color w:val="0D0D0D" w:themeColor="text1" w:themeTint="F2"/>
          <w:sz w:val="22"/>
          <w:szCs w:val="22"/>
          <w:lang w:eastAsia="es-MX"/>
        </w:rPr>
        <w:t>En ese orden de ideas y en atención a lo anterior, es de señalar que l</w:t>
      </w:r>
      <w:r w:rsidRPr="007F0B8E">
        <w:rPr>
          <w:rFonts w:ascii="Palatino Linotype" w:hAnsi="Palatino Linotype" w:cs="Tahoma"/>
          <w:color w:val="0D0D0D" w:themeColor="text1" w:themeTint="F2"/>
          <w:sz w:val="22"/>
          <w:szCs w:val="22"/>
          <w:lang w:val="es-ES" w:eastAsia="es-MX"/>
        </w:rPr>
        <w:t xml:space="preserve">as </w:t>
      </w:r>
      <w:r w:rsidRPr="007F0B8E">
        <w:rPr>
          <w:rFonts w:ascii="Palatino Linotype" w:hAnsi="Palatino Linotype" w:cs="Tahoma"/>
          <w:bCs/>
          <w:iCs/>
          <w:color w:val="0D0D0D" w:themeColor="text1" w:themeTint="F2"/>
          <w:sz w:val="22"/>
          <w:szCs w:val="22"/>
          <w:lang w:val="es-ES" w:eastAsia="es-MX"/>
        </w:rPr>
        <w:t xml:space="preserve">excepciones al derecho de acceso a la </w:t>
      </w:r>
      <w:proofErr w:type="gramStart"/>
      <w:r w:rsidRPr="007F0B8E">
        <w:rPr>
          <w:rFonts w:ascii="Palatino Linotype" w:hAnsi="Palatino Linotype" w:cs="Tahoma"/>
          <w:bCs/>
          <w:iCs/>
          <w:color w:val="0D0D0D" w:themeColor="text1" w:themeTint="F2"/>
          <w:sz w:val="22"/>
          <w:szCs w:val="22"/>
          <w:lang w:val="es-ES" w:eastAsia="es-MX"/>
        </w:rPr>
        <w:t>información,</w:t>
      </w:r>
      <w:proofErr w:type="gramEnd"/>
      <w:r w:rsidRPr="007F0B8E">
        <w:rPr>
          <w:rFonts w:ascii="Palatino Linotype" w:hAnsi="Palatino Linotype" w:cs="Tahoma"/>
          <w:bCs/>
          <w:iCs/>
          <w:color w:val="0D0D0D" w:themeColor="text1" w:themeTint="F2"/>
          <w:sz w:val="22"/>
          <w:szCs w:val="22"/>
          <w:lang w:val="es-ES" w:eastAsia="es-MX"/>
        </w:rPr>
        <w:t xml:space="preserve"> consisten en que la documentación sea inexistente, </w:t>
      </w:r>
      <w:r w:rsidRPr="007F0B8E">
        <w:rPr>
          <w:rFonts w:ascii="Palatino Linotype" w:hAnsi="Palatino Linotype" w:cs="Tahoma"/>
          <w:b/>
          <w:bCs/>
          <w:iCs/>
          <w:color w:val="0D0D0D" w:themeColor="text1" w:themeTint="F2"/>
          <w:sz w:val="22"/>
          <w:szCs w:val="22"/>
          <w:lang w:val="es-ES" w:eastAsia="es-MX"/>
        </w:rPr>
        <w:t>se encuentre clasificada</w:t>
      </w:r>
      <w:r w:rsidRPr="007F0B8E">
        <w:rPr>
          <w:rFonts w:ascii="Palatino Linotype" w:hAnsi="Palatino Linotype" w:cs="Tahoma"/>
          <w:bCs/>
          <w:iCs/>
          <w:color w:val="0D0D0D" w:themeColor="text1" w:themeTint="F2"/>
          <w:sz w:val="22"/>
          <w:szCs w:val="22"/>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7F0B8E">
        <w:rPr>
          <w:rFonts w:ascii="Palatino Linotype" w:hAnsi="Palatino Linotype" w:cs="Tahoma"/>
          <w:b/>
          <w:bCs/>
          <w:iCs/>
          <w:color w:val="0D0D0D" w:themeColor="text1" w:themeTint="F2"/>
          <w:sz w:val="22"/>
          <w:szCs w:val="22"/>
          <w:lang w:val="es-ES" w:eastAsia="es-MX"/>
        </w:rPr>
        <w:t>confidenciales o reservados.</w:t>
      </w:r>
    </w:p>
    <w:p w:rsidRPr="007F0B8E" w:rsidR="006D5425" w:rsidP="00925A04" w:rsidRDefault="006D5425" w14:paraId="0C972084" w14:textId="77777777">
      <w:pPr>
        <w:spacing w:line="360" w:lineRule="auto"/>
        <w:jc w:val="both"/>
        <w:rPr>
          <w:rFonts w:ascii="Palatino Linotype" w:hAnsi="Palatino Linotype" w:cs="Tahoma"/>
          <w:bCs/>
          <w:iCs/>
          <w:color w:val="0D0D0D" w:themeColor="text1" w:themeTint="F2"/>
          <w:sz w:val="22"/>
          <w:szCs w:val="22"/>
          <w:lang w:val="es-ES" w:eastAsia="es-MX"/>
        </w:rPr>
      </w:pPr>
    </w:p>
    <w:p w:rsidRPr="007F0B8E" w:rsidR="00925A04" w:rsidP="00925A04" w:rsidRDefault="00925A04" w14:paraId="20FC30FA" w14:textId="77777777">
      <w:pPr>
        <w:spacing w:line="360" w:lineRule="auto"/>
        <w:jc w:val="both"/>
        <w:rPr>
          <w:rFonts w:ascii="Palatino Linotype" w:hAnsi="Palatino Linotype" w:cs="Tahoma"/>
          <w:color w:val="0D0D0D" w:themeColor="text1" w:themeTint="F2"/>
          <w:sz w:val="22"/>
          <w:szCs w:val="22"/>
          <w:lang w:val="es-ES" w:eastAsia="es-MX"/>
        </w:rPr>
      </w:pPr>
      <w:r w:rsidRPr="007F0B8E">
        <w:rPr>
          <w:rFonts w:ascii="Palatino Linotype" w:hAnsi="Palatino Linotype" w:cs="Tahoma"/>
          <w:color w:val="0D0D0D" w:themeColor="text1" w:themeTint="F2"/>
          <w:sz w:val="22"/>
          <w:szCs w:val="22"/>
          <w:lang w:eastAsia="es-MX"/>
        </w:rPr>
        <w:t xml:space="preserve">Así, en los artículos 122, 128 y 130 de la Ley Transparencia y Acceso a la Información Pública del Estado de México y Municipios, se prevé que </w:t>
      </w:r>
      <w:r w:rsidRPr="007F0B8E">
        <w:rPr>
          <w:rFonts w:ascii="Palatino Linotype" w:hAnsi="Palatino Linotype" w:cs="Tahoma"/>
          <w:b/>
          <w:color w:val="0D0D0D" w:themeColor="text1" w:themeTint="F2"/>
          <w:sz w:val="22"/>
          <w:szCs w:val="22"/>
          <w:lang w:eastAsia="es-MX"/>
        </w:rPr>
        <w:t xml:space="preserve">la clasificación </w:t>
      </w:r>
      <w:r w:rsidRPr="007F0B8E">
        <w:rPr>
          <w:rFonts w:ascii="Palatino Linotype" w:hAnsi="Palatino Linotype" w:cs="Tahoma"/>
          <w:color w:val="0D0D0D" w:themeColor="text1" w:themeTint="F2"/>
          <w:sz w:val="22"/>
          <w:szCs w:val="22"/>
          <w:lang w:eastAsia="es-MX"/>
        </w:rPr>
        <w:t xml:space="preserve">es el proceso mediante el cual los sujetos obligados determinan que la información en su </w:t>
      </w:r>
      <w:proofErr w:type="gramStart"/>
      <w:r w:rsidRPr="007F0B8E">
        <w:rPr>
          <w:rFonts w:ascii="Palatino Linotype" w:hAnsi="Palatino Linotype" w:cs="Tahoma"/>
          <w:color w:val="0D0D0D" w:themeColor="text1" w:themeTint="F2"/>
          <w:sz w:val="22"/>
          <w:szCs w:val="22"/>
          <w:lang w:eastAsia="es-MX"/>
        </w:rPr>
        <w:t>poder,</w:t>
      </w:r>
      <w:proofErr w:type="gramEnd"/>
      <w:r w:rsidRPr="007F0B8E">
        <w:rPr>
          <w:rFonts w:ascii="Palatino Linotype" w:hAnsi="Palatino Linotype" w:cs="Tahoma"/>
          <w:color w:val="0D0D0D" w:themeColor="text1" w:themeTint="F2"/>
          <w:sz w:val="22"/>
          <w:szCs w:val="22"/>
          <w:lang w:eastAsia="es-MX"/>
        </w:rPr>
        <w:t xml:space="preserve"> actualiza alguno de los supuestos de reserva o confidencialidad. </w:t>
      </w:r>
      <w:r w:rsidRPr="007F0B8E">
        <w:rPr>
          <w:rFonts w:ascii="Palatino Linotype" w:hAnsi="Palatino Linotype" w:cs="Tahoma"/>
          <w:color w:val="0D0D0D" w:themeColor="text1" w:themeTint="F2"/>
          <w:sz w:val="22"/>
          <w:szCs w:val="22"/>
          <w:lang w:val="es-ES" w:eastAsia="es-MX"/>
        </w:rPr>
        <w:t xml:space="preserve">Además, que dichos entes deberán aplicar de manera </w:t>
      </w:r>
      <w:r w:rsidRPr="007F0B8E">
        <w:rPr>
          <w:rFonts w:ascii="Palatino Linotype" w:hAnsi="Palatino Linotype" w:cs="Tahoma"/>
          <w:color w:val="0D0D0D" w:themeColor="text1" w:themeTint="F2"/>
          <w:sz w:val="22"/>
          <w:szCs w:val="22"/>
          <w:lang w:val="es-ES" w:eastAsia="es-MX"/>
        </w:rPr>
        <w:lastRenderedPageBreak/>
        <w:t>restrictiva y limitada, las excepciones al derecho de acceso a la información, por lo que, tendrán que acreditar la procedencia.</w:t>
      </w:r>
    </w:p>
    <w:p w:rsidRPr="007F0B8E" w:rsidR="00925A04" w:rsidP="00925A04" w:rsidRDefault="00925A04" w14:paraId="05EF9AF9" w14:textId="77777777">
      <w:pPr>
        <w:spacing w:line="360" w:lineRule="auto"/>
        <w:jc w:val="both"/>
        <w:rPr>
          <w:rFonts w:ascii="Palatino Linotype" w:hAnsi="Palatino Linotype" w:cs="Tahoma"/>
          <w:color w:val="0D0D0D" w:themeColor="text1" w:themeTint="F2"/>
          <w:sz w:val="22"/>
          <w:szCs w:val="22"/>
          <w:lang w:eastAsia="es-MX"/>
        </w:rPr>
      </w:pPr>
    </w:p>
    <w:p w:rsidRPr="007F0B8E" w:rsidR="00925A04" w:rsidP="00925A04" w:rsidRDefault="00925A04" w14:paraId="5419061E" w14:textId="77777777">
      <w:pPr>
        <w:spacing w:line="360" w:lineRule="auto"/>
        <w:jc w:val="both"/>
        <w:rPr>
          <w:rFonts w:ascii="Palatino Linotype" w:hAnsi="Palatino Linotype" w:cs="Tahoma"/>
          <w:color w:val="0D0D0D" w:themeColor="text1" w:themeTint="F2"/>
          <w:sz w:val="22"/>
          <w:szCs w:val="22"/>
          <w:lang w:val="es-ES" w:eastAsia="es-MX"/>
        </w:rPr>
      </w:pPr>
      <w:r w:rsidRPr="007F0B8E">
        <w:rPr>
          <w:rFonts w:ascii="Palatino Linotype" w:hAnsi="Palatino Linotype" w:cs="Tahoma"/>
          <w:color w:val="0D0D0D" w:themeColor="text1" w:themeTint="F2"/>
          <w:sz w:val="22"/>
          <w:szCs w:val="22"/>
          <w:lang w:val="es-ES" w:eastAsia="es-MX"/>
        </w:rPr>
        <w:t xml:space="preserve">Por lo cual, en los casos en que se niegue el acceso a la información, por actualizarse alguno de los supuestos de clasificación, </w:t>
      </w:r>
      <w:r w:rsidRPr="007F0B8E">
        <w:rPr>
          <w:rFonts w:ascii="Palatino Linotype" w:hAnsi="Palatino Linotype" w:cs="Tahoma"/>
          <w:b/>
          <w:color w:val="0D0D0D" w:themeColor="text1" w:themeTint="F2"/>
          <w:sz w:val="22"/>
          <w:szCs w:val="22"/>
          <w:lang w:val="es-ES" w:eastAsia="es-MX"/>
        </w:rPr>
        <w:t xml:space="preserve">el Comité de Transparencia deberá confirmar, modificar o revocar la decisión; </w:t>
      </w:r>
      <w:r w:rsidRPr="007F0B8E">
        <w:rPr>
          <w:rFonts w:ascii="Palatino Linotype" w:hAnsi="Palatino Linotype" w:cs="Tahoma"/>
          <w:color w:val="0D0D0D" w:themeColor="text1" w:themeTint="F2"/>
          <w:sz w:val="22"/>
          <w:szCs w:val="22"/>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Pr="007F0B8E" w:rsidR="00925A04" w:rsidP="00925A04" w:rsidRDefault="00925A04" w14:paraId="5F0C878F" w14:textId="77777777">
      <w:pPr>
        <w:spacing w:line="360" w:lineRule="auto"/>
        <w:jc w:val="both"/>
        <w:rPr>
          <w:rFonts w:ascii="Palatino Linotype" w:hAnsi="Palatino Linotype" w:cs="Tahoma"/>
          <w:color w:val="0D0D0D" w:themeColor="text1" w:themeTint="F2"/>
          <w:sz w:val="22"/>
          <w:szCs w:val="22"/>
          <w:lang w:val="es-ES" w:eastAsia="es-MX"/>
        </w:rPr>
      </w:pPr>
    </w:p>
    <w:p w:rsidRPr="007F0B8E" w:rsidR="00925A04" w:rsidP="00925A04" w:rsidRDefault="00925A04" w14:paraId="7EB970E8" w14:textId="77777777">
      <w:pPr>
        <w:spacing w:line="360" w:lineRule="auto"/>
        <w:jc w:val="both"/>
        <w:rPr>
          <w:rFonts w:ascii="Palatino Linotype" w:hAnsi="Palatino Linotype" w:cs="Arial"/>
          <w:b/>
          <w:bCs/>
          <w:color w:val="0D0D0D" w:themeColor="text1" w:themeTint="F2"/>
          <w:sz w:val="22"/>
          <w:szCs w:val="22"/>
        </w:rPr>
      </w:pPr>
      <w:r w:rsidRPr="007F0B8E">
        <w:rPr>
          <w:rFonts w:ascii="Palatino Linotype" w:hAnsi="Palatino Linotype" w:cs="Tahoma"/>
          <w:color w:val="0D0D0D" w:themeColor="text1" w:themeTint="F2"/>
          <w:sz w:val="22"/>
          <w:szCs w:val="22"/>
          <w:lang w:val="es-ES"/>
        </w:rPr>
        <w:t xml:space="preserve">Por su parte, </w:t>
      </w:r>
      <w:r w:rsidRPr="007F0B8E">
        <w:rPr>
          <w:rFonts w:ascii="Palatino Linotype" w:hAnsi="Palatino Linotype" w:cs="Arial"/>
          <w:bCs/>
          <w:color w:val="0D0D0D" w:themeColor="text1" w:themeTint="F2"/>
          <w:sz w:val="22"/>
          <w:szCs w:val="22"/>
        </w:rPr>
        <w:t xml:space="preserve">según Bonifaz, Leticia (2016), en la “Ley General de Transparencia y Acceso a la Información Pública Comentada” (p. 342), la </w:t>
      </w:r>
      <w:r w:rsidRPr="007F0B8E">
        <w:rPr>
          <w:rFonts w:ascii="Palatino Linotype" w:hAnsi="Palatino Linotype" w:cs="Arial"/>
          <w:b/>
          <w:bCs/>
          <w:color w:val="0D0D0D" w:themeColor="text1" w:themeTint="F2"/>
          <w:sz w:val="22"/>
          <w:szCs w:val="22"/>
        </w:rPr>
        <w:t xml:space="preserve">clasificación de la </w:t>
      </w:r>
      <w:proofErr w:type="gramStart"/>
      <w:r w:rsidRPr="007F0B8E">
        <w:rPr>
          <w:rFonts w:ascii="Palatino Linotype" w:hAnsi="Palatino Linotype" w:cs="Arial"/>
          <w:b/>
          <w:bCs/>
          <w:color w:val="0D0D0D" w:themeColor="text1" w:themeTint="F2"/>
          <w:sz w:val="22"/>
          <w:szCs w:val="22"/>
        </w:rPr>
        <w:t>información</w:t>
      </w:r>
      <w:r w:rsidRPr="007F0B8E">
        <w:rPr>
          <w:rFonts w:ascii="Palatino Linotype" w:hAnsi="Palatino Linotype" w:cs="Arial"/>
          <w:bCs/>
          <w:color w:val="0D0D0D" w:themeColor="text1" w:themeTint="F2"/>
          <w:sz w:val="22"/>
          <w:szCs w:val="22"/>
        </w:rPr>
        <w:t>,</w:t>
      </w:r>
      <w:proofErr w:type="gramEnd"/>
      <w:r w:rsidRPr="007F0B8E">
        <w:rPr>
          <w:rFonts w:ascii="Palatino Linotype" w:hAnsi="Palatino Linotype" w:cs="Arial"/>
          <w:bCs/>
          <w:color w:val="0D0D0D" w:themeColor="text1" w:themeTint="F2"/>
          <w:sz w:val="22"/>
          <w:szCs w:val="22"/>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7F0B8E">
        <w:rPr>
          <w:rFonts w:ascii="Palatino Linotype" w:hAnsi="Palatino Linotype" w:cs="Arial"/>
          <w:b/>
          <w:bCs/>
          <w:color w:val="0D0D0D" w:themeColor="text1" w:themeTint="F2"/>
          <w:sz w:val="22"/>
          <w:szCs w:val="22"/>
        </w:rPr>
        <w:t>de manera adecuada la negativa de información.</w:t>
      </w:r>
    </w:p>
    <w:p w:rsidRPr="007F0B8E" w:rsidR="00925A04" w:rsidP="00925A04" w:rsidRDefault="00925A04" w14:paraId="2B2D6D11" w14:textId="77777777">
      <w:pPr>
        <w:spacing w:line="360" w:lineRule="auto"/>
        <w:jc w:val="both"/>
        <w:rPr>
          <w:rFonts w:ascii="Palatino Linotype" w:hAnsi="Palatino Linotype" w:eastAsia="Calibri" w:cs="Tahoma"/>
          <w:bCs/>
          <w:color w:val="0D0D0D" w:themeColor="text1" w:themeTint="F2"/>
          <w:sz w:val="22"/>
          <w:szCs w:val="22"/>
          <w:lang w:eastAsia="en-US"/>
        </w:rPr>
      </w:pPr>
    </w:p>
    <w:p w:rsidRPr="007F0B8E" w:rsidR="00925A04" w:rsidP="00925A04" w:rsidRDefault="00925A04" w14:paraId="08BDF787" w14:textId="7D0E3A72">
      <w:pPr>
        <w:spacing w:line="360" w:lineRule="auto"/>
        <w:jc w:val="both"/>
        <w:rPr>
          <w:rFonts w:ascii="Palatino Linotype" w:hAnsi="Palatino Linotype" w:eastAsia="Calibri" w:cs="Tahoma"/>
          <w:bCs/>
          <w:color w:val="0D0D0D" w:themeColor="text1" w:themeTint="F2"/>
          <w:sz w:val="22"/>
          <w:szCs w:val="22"/>
          <w:lang w:eastAsia="en-US"/>
        </w:rPr>
      </w:pPr>
      <w:r w:rsidRPr="007F0B8E">
        <w:rPr>
          <w:rFonts w:ascii="Palatino Linotype" w:hAnsi="Palatino Linotype" w:eastAsia="Calibri" w:cs="Tahoma"/>
          <w:bCs/>
          <w:color w:val="0D0D0D" w:themeColor="text1" w:themeTint="F2"/>
          <w:sz w:val="22"/>
          <w:szCs w:val="22"/>
          <w:lang w:eastAsia="en-US"/>
        </w:rPr>
        <w:t xml:space="preserve">Conforme a lo anterior, en el presente caso, el Ayuntamiento de </w:t>
      </w:r>
      <w:r w:rsidRPr="007F0B8E" w:rsidR="00305688">
        <w:rPr>
          <w:rFonts w:ascii="Palatino Linotype" w:hAnsi="Palatino Linotype" w:eastAsia="Calibri" w:cs="Tahoma"/>
          <w:bCs/>
          <w:color w:val="0D0D0D" w:themeColor="text1" w:themeTint="F2"/>
          <w:sz w:val="22"/>
          <w:szCs w:val="22"/>
          <w:lang w:eastAsia="en-US"/>
        </w:rPr>
        <w:t>Ixtlahuaca</w:t>
      </w:r>
      <w:r w:rsidRPr="007F0B8E">
        <w:rPr>
          <w:rFonts w:ascii="Palatino Linotype" w:hAnsi="Palatino Linotype" w:eastAsia="Calibri" w:cs="Tahoma"/>
          <w:bCs/>
          <w:color w:val="0D0D0D" w:themeColor="text1" w:themeTint="F2"/>
          <w:sz w:val="22"/>
          <w:szCs w:val="22"/>
          <w:lang w:eastAsia="en-US"/>
        </w:rPr>
        <w:t xml:space="preserve">, </w:t>
      </w:r>
      <w:r w:rsidRPr="007F0B8E">
        <w:rPr>
          <w:rFonts w:ascii="Palatino Linotype" w:hAnsi="Palatino Linotype" w:cs="Tahoma"/>
          <w:color w:val="0D0D0D" w:themeColor="text1" w:themeTint="F2"/>
          <w:sz w:val="22"/>
          <w:szCs w:val="22"/>
          <w:lang w:eastAsia="es-MX"/>
        </w:rPr>
        <w:t>no señaló que era inexistente la información; al contrario, precisó que no podía proporcionarla al ser reservada; esto es, aludió a una clasificación; al respecto</w:t>
      </w:r>
      <w:r w:rsidRPr="007F0B8E">
        <w:rPr>
          <w:rFonts w:ascii="Palatino Linotype" w:hAnsi="Palatino Linotype" w:eastAsia="Calibri" w:cs="Tahoma"/>
          <w:bCs/>
          <w:color w:val="0D0D0D" w:themeColor="text1" w:themeTint="F2"/>
          <w:sz w:val="22"/>
          <w:szCs w:val="22"/>
          <w:lang w:eastAsia="en-US"/>
        </w:rPr>
        <w:t xml:space="preserve">, el </w:t>
      </w:r>
      <w:r w:rsidRPr="007F0B8E">
        <w:rPr>
          <w:rFonts w:ascii="Palatino Linotype" w:hAnsi="Palatino Linotype" w:eastAsia="Calibri" w:cs="Tahoma"/>
          <w:b/>
          <w:color w:val="0D0D0D" w:themeColor="text1" w:themeTint="F2"/>
          <w:sz w:val="22"/>
          <w:szCs w:val="22"/>
          <w:lang w:eastAsia="en-US"/>
        </w:rPr>
        <w:t>Criterio 29/10</w:t>
      </w:r>
      <w:r w:rsidRPr="007F0B8E">
        <w:rPr>
          <w:rFonts w:ascii="Palatino Linotype" w:hAnsi="Palatino Linotype" w:eastAsia="Calibri" w:cs="Tahoma"/>
          <w:bCs/>
          <w:color w:val="0D0D0D" w:themeColor="text1" w:themeTint="F2"/>
          <w:sz w:val="22"/>
          <w:szCs w:val="22"/>
          <w:lang w:eastAsia="en-US"/>
        </w:rPr>
        <w:t>, emitido por el Pleno del entonces Instituto Federal de Acceso a la Información y Protección de Datos, precisa lo siguiente:</w:t>
      </w:r>
    </w:p>
    <w:p w:rsidRPr="007F0B8E" w:rsidR="00925A04" w:rsidP="00925A04" w:rsidRDefault="00925A04" w14:paraId="7ACD9B0E" w14:textId="77777777">
      <w:pPr>
        <w:spacing w:line="360" w:lineRule="auto"/>
        <w:jc w:val="both"/>
        <w:rPr>
          <w:rFonts w:ascii="Palatino Linotype" w:hAnsi="Palatino Linotype" w:eastAsia="Calibri" w:cs="Tahoma"/>
          <w:bCs/>
          <w:color w:val="0D0D0D" w:themeColor="text1" w:themeTint="F2"/>
          <w:sz w:val="22"/>
          <w:szCs w:val="22"/>
          <w:lang w:eastAsia="en-US"/>
        </w:rPr>
      </w:pPr>
    </w:p>
    <w:p w:rsidRPr="007F0B8E" w:rsidR="00925A04" w:rsidP="00925A04" w:rsidRDefault="00925A04" w14:paraId="3CC25DF3" w14:textId="77777777">
      <w:pPr>
        <w:spacing w:line="360" w:lineRule="auto"/>
        <w:ind w:left="567" w:right="567"/>
        <w:jc w:val="both"/>
        <w:rPr>
          <w:rFonts w:ascii="Palatino Linotype" w:hAnsi="Palatino Linotype" w:eastAsia="Calibri" w:cs="Tahoma"/>
          <w:bCs/>
          <w:i/>
          <w:color w:val="0D0D0D" w:themeColor="text1" w:themeTint="F2"/>
          <w:szCs w:val="22"/>
          <w:lang w:eastAsia="en-US"/>
        </w:rPr>
      </w:pPr>
      <w:r w:rsidRPr="007F0B8E">
        <w:rPr>
          <w:rFonts w:ascii="Palatino Linotype" w:hAnsi="Palatino Linotype" w:eastAsia="Calibri" w:cs="Tahoma"/>
          <w:b/>
          <w:bCs/>
          <w:i/>
          <w:color w:val="0D0D0D" w:themeColor="text1" w:themeTint="F2"/>
          <w:szCs w:val="22"/>
          <w:lang w:eastAsia="en-US"/>
        </w:rPr>
        <w:t>“La clasificación y la inexistencia de información son conceptos que no pueden coexistir.</w:t>
      </w:r>
      <w:r w:rsidRPr="007F0B8E">
        <w:rPr>
          <w:rFonts w:ascii="Palatino Linotype" w:hAnsi="Palatino Linotype" w:eastAsia="Calibri" w:cs="Tahoma"/>
          <w:bCs/>
          <w:i/>
          <w:color w:val="0D0D0D" w:themeColor="text1" w:themeTint="F2"/>
          <w:szCs w:val="22"/>
          <w:lang w:eastAsia="en-U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w:t>
      </w:r>
      <w:proofErr w:type="gramStart"/>
      <w:r w:rsidRPr="007F0B8E">
        <w:rPr>
          <w:rFonts w:ascii="Palatino Linotype" w:hAnsi="Palatino Linotype" w:eastAsia="Calibri" w:cs="Tahoma"/>
          <w:bCs/>
          <w:i/>
          <w:color w:val="0D0D0D" w:themeColor="text1" w:themeTint="F2"/>
          <w:szCs w:val="22"/>
          <w:lang w:eastAsia="en-US"/>
        </w:rPr>
        <w:lastRenderedPageBreak/>
        <w:t>contenida  en</w:t>
      </w:r>
      <w:proofErr w:type="gramEnd"/>
      <w:r w:rsidRPr="007F0B8E">
        <w:rPr>
          <w:rFonts w:ascii="Palatino Linotype" w:hAnsi="Palatino Linotype" w:eastAsia="Calibri" w:cs="Tahoma"/>
          <w:bCs/>
          <w:i/>
          <w:color w:val="0D0D0D" w:themeColor="text1" w:themeTint="F2"/>
          <w:szCs w:val="22"/>
          <w:lang w:eastAsia="en-US"/>
        </w:rPr>
        <w:t xml:space="preserve">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w:t>
      </w:r>
      <w:proofErr w:type="gramStart"/>
      <w:r w:rsidRPr="007F0B8E">
        <w:rPr>
          <w:rFonts w:ascii="Palatino Linotype" w:hAnsi="Palatino Linotype" w:eastAsia="Calibri" w:cs="Tahoma"/>
          <w:bCs/>
          <w:i/>
          <w:color w:val="0D0D0D" w:themeColor="text1" w:themeTint="F2"/>
          <w:szCs w:val="22"/>
          <w:lang w:eastAsia="en-US"/>
        </w:rPr>
        <w:t>los mismos</w:t>
      </w:r>
      <w:proofErr w:type="gramEnd"/>
      <w:r w:rsidRPr="007F0B8E">
        <w:rPr>
          <w:rFonts w:ascii="Palatino Linotype" w:hAnsi="Palatino Linotype" w:eastAsia="Calibri" w:cs="Tahoma"/>
          <w:bCs/>
          <w:i/>
          <w:color w:val="0D0D0D" w:themeColor="text1" w:themeTint="F2"/>
          <w:szCs w:val="22"/>
          <w:lang w:eastAsia="en-US"/>
        </w:rPr>
        <w:t xml:space="preserve"> en los archivos de la dependencia o entidad de que se trate.”</w:t>
      </w:r>
    </w:p>
    <w:p w:rsidRPr="007F0B8E" w:rsidR="00925A04" w:rsidP="00925A04" w:rsidRDefault="00925A04" w14:paraId="079B027B" w14:textId="77777777">
      <w:pPr>
        <w:spacing w:line="360" w:lineRule="auto"/>
        <w:rPr>
          <w:rFonts w:ascii="Palatino Linotype" w:hAnsi="Palatino Linotype" w:eastAsia="Calibri" w:cs="Tahoma"/>
          <w:bCs/>
          <w:color w:val="0D0D0D" w:themeColor="text1" w:themeTint="F2"/>
          <w:sz w:val="22"/>
          <w:szCs w:val="22"/>
          <w:lang w:eastAsia="en-US"/>
        </w:rPr>
      </w:pPr>
    </w:p>
    <w:p w:rsidRPr="007F0B8E" w:rsidR="00925A04" w:rsidP="00925A04" w:rsidRDefault="00925A04" w14:paraId="60BADBEF" w14:textId="77777777">
      <w:pPr>
        <w:spacing w:line="360" w:lineRule="auto"/>
        <w:jc w:val="both"/>
        <w:rPr>
          <w:rFonts w:ascii="Palatino Linotype" w:hAnsi="Palatino Linotype" w:eastAsia="Calibri" w:cs="Tahoma"/>
          <w:bCs/>
          <w:color w:val="0D0D0D" w:themeColor="text1" w:themeTint="F2"/>
          <w:sz w:val="22"/>
          <w:szCs w:val="22"/>
          <w:lang w:eastAsia="en-US"/>
        </w:rPr>
      </w:pPr>
      <w:r w:rsidRPr="007F0B8E">
        <w:rPr>
          <w:rFonts w:ascii="Palatino Linotype" w:hAnsi="Palatino Linotype" w:eastAsia="Calibri" w:cs="Tahoma"/>
          <w:bCs/>
          <w:color w:val="0D0D0D" w:themeColor="text1" w:themeTint="F2"/>
          <w:sz w:val="22"/>
          <w:szCs w:val="22"/>
          <w:lang w:eastAsia="en-US"/>
        </w:rPr>
        <w:t xml:space="preserve">Del citado criterio, se advierte que la clasificación y la inexistencia no coexisten entre sí, en virtud de que la primera implica la existencia de un documento o documentos determinados, mientras que la segunda conlleva a la ausencia de </w:t>
      </w:r>
      <w:proofErr w:type="gramStart"/>
      <w:r w:rsidRPr="007F0B8E">
        <w:rPr>
          <w:rFonts w:ascii="Palatino Linotype" w:hAnsi="Palatino Linotype" w:eastAsia="Calibri" w:cs="Tahoma"/>
          <w:bCs/>
          <w:color w:val="0D0D0D" w:themeColor="text1" w:themeTint="F2"/>
          <w:sz w:val="22"/>
          <w:szCs w:val="22"/>
          <w:lang w:eastAsia="en-US"/>
        </w:rPr>
        <w:t>los mismos</w:t>
      </w:r>
      <w:proofErr w:type="gramEnd"/>
      <w:r w:rsidRPr="007F0B8E">
        <w:rPr>
          <w:rFonts w:ascii="Palatino Linotype" w:hAnsi="Palatino Linotype" w:eastAsia="Calibri" w:cs="Tahoma"/>
          <w:bCs/>
          <w:color w:val="0D0D0D" w:themeColor="text1" w:themeTint="F2"/>
          <w:sz w:val="22"/>
          <w:szCs w:val="22"/>
          <w:lang w:eastAsia="en-US"/>
        </w:rPr>
        <w:t xml:space="preserve"> en los archivos de la dependencia o entidad de que se trate.</w:t>
      </w:r>
    </w:p>
    <w:p w:rsidRPr="007F0B8E" w:rsidR="00925A04" w:rsidP="00925A04" w:rsidRDefault="00925A04" w14:paraId="7B9442F3" w14:textId="77777777">
      <w:pPr>
        <w:spacing w:line="360" w:lineRule="auto"/>
        <w:jc w:val="both"/>
        <w:rPr>
          <w:rFonts w:ascii="Palatino Linotype" w:hAnsi="Palatino Linotype" w:eastAsia="Calibri" w:cs="Tahoma"/>
          <w:bCs/>
          <w:color w:val="0D0D0D" w:themeColor="text1" w:themeTint="F2"/>
          <w:sz w:val="22"/>
          <w:szCs w:val="22"/>
          <w:lang w:eastAsia="en-US"/>
        </w:rPr>
      </w:pPr>
    </w:p>
    <w:p w:rsidRPr="007F0B8E" w:rsidR="00A76155" w:rsidP="00A76155" w:rsidRDefault="00A76155" w14:paraId="340A9A1A" w14:textId="77777777">
      <w:pPr>
        <w:spacing w:line="360" w:lineRule="auto"/>
        <w:jc w:val="both"/>
        <w:rPr>
          <w:rFonts w:ascii="Palatino Linotype" w:hAnsi="Palatino Linotype" w:cs="Tahoma"/>
          <w:b/>
          <w:color w:val="0D0D0D" w:themeColor="text1" w:themeTint="F2"/>
          <w:sz w:val="22"/>
          <w:szCs w:val="22"/>
        </w:rPr>
      </w:pPr>
      <w:r w:rsidRPr="007F0B8E">
        <w:rPr>
          <w:rFonts w:ascii="Palatino Linotype" w:hAnsi="Palatino Linotype" w:eastAsia="Calibri" w:cs="Tahoma"/>
          <w:bCs/>
          <w:color w:val="0D0D0D" w:themeColor="text1" w:themeTint="F2"/>
          <w:sz w:val="22"/>
          <w:szCs w:val="22"/>
          <w:lang w:eastAsia="en-US"/>
        </w:rPr>
        <w:t>En ese sen</w:t>
      </w:r>
      <w:r w:rsidRPr="007F0B8E">
        <w:rPr>
          <w:rFonts w:ascii="Palatino Linotype" w:hAnsi="Palatino Linotype" w:cs="Tahoma"/>
          <w:color w:val="0D0D0D" w:themeColor="text1" w:themeTint="F2"/>
          <w:sz w:val="22"/>
          <w:szCs w:val="22"/>
        </w:rPr>
        <w:t xml:space="preserve">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7F0B8E">
        <w:rPr>
          <w:rFonts w:ascii="Palatino Linotype" w:hAnsi="Palatino Linotype" w:cs="Tahoma"/>
          <w:b/>
          <w:color w:val="0D0D0D" w:themeColor="text1" w:themeTint="F2"/>
          <w:sz w:val="22"/>
          <w:szCs w:val="22"/>
        </w:rPr>
        <w:t>análisis caso por caso.</w:t>
      </w:r>
    </w:p>
    <w:p w:rsidRPr="007F0B8E" w:rsidR="00A76155" w:rsidP="00A76155" w:rsidRDefault="00A76155" w14:paraId="15C69E2E" w14:textId="77777777">
      <w:pPr>
        <w:spacing w:line="360" w:lineRule="auto"/>
        <w:jc w:val="both"/>
        <w:rPr>
          <w:rFonts w:ascii="Palatino Linotype" w:hAnsi="Palatino Linotype" w:cs="Tahoma"/>
          <w:b/>
          <w:color w:val="0D0D0D" w:themeColor="text1" w:themeTint="F2"/>
          <w:sz w:val="22"/>
          <w:szCs w:val="22"/>
        </w:rPr>
      </w:pPr>
    </w:p>
    <w:p w:rsidRPr="007F0B8E" w:rsidR="00A76155" w:rsidP="00A76155" w:rsidRDefault="00A76155" w14:paraId="7FAF102A"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Además, el artículo 131 de la Ley referida, así como el Quinto de los Lineamientos Generales, establecen que los sujetos obligados </w:t>
      </w:r>
      <w:r w:rsidRPr="007F0B8E">
        <w:rPr>
          <w:rFonts w:ascii="Palatino Linotype" w:hAnsi="Palatino Linotype" w:cs="Tahoma"/>
          <w:b/>
          <w:color w:val="0D0D0D" w:themeColor="text1" w:themeTint="F2"/>
          <w:sz w:val="22"/>
          <w:szCs w:val="22"/>
        </w:rPr>
        <w:t>deberán fundar y motivar</w:t>
      </w:r>
      <w:r w:rsidRPr="007F0B8E">
        <w:rPr>
          <w:rFonts w:ascii="Palatino Linotype" w:hAnsi="Palatino Linotype" w:cs="Tahoma"/>
          <w:color w:val="0D0D0D" w:themeColor="text1" w:themeTint="F2"/>
          <w:sz w:val="22"/>
          <w:szCs w:val="22"/>
        </w:rPr>
        <w:t xml:space="preserve"> debidamente la clasificación de la información.</w:t>
      </w:r>
    </w:p>
    <w:p w:rsidRPr="007F0B8E" w:rsidR="00A76155" w:rsidP="00A76155" w:rsidRDefault="00A76155" w14:paraId="7A0C2A11" w14:textId="77777777">
      <w:pPr>
        <w:spacing w:line="360" w:lineRule="auto"/>
        <w:jc w:val="both"/>
        <w:rPr>
          <w:rFonts w:ascii="Palatino Linotype" w:hAnsi="Palatino Linotype" w:cs="Tahoma"/>
          <w:b/>
          <w:color w:val="0D0D0D" w:themeColor="text1" w:themeTint="F2"/>
          <w:sz w:val="22"/>
          <w:szCs w:val="22"/>
        </w:rPr>
      </w:pPr>
    </w:p>
    <w:p w:rsidRPr="007F0B8E" w:rsidR="00A76155" w:rsidP="00A76155" w:rsidRDefault="00A76155" w14:paraId="3FB6D678" w14:textId="77777777">
      <w:pPr>
        <w:spacing w:line="360" w:lineRule="auto"/>
        <w:jc w:val="both"/>
        <w:rPr>
          <w:rFonts w:ascii="Palatino Linotype" w:hAnsi="Palatino Linotype" w:cs="Tahoma"/>
          <w:bCs/>
          <w:iCs/>
          <w:color w:val="0D0D0D" w:themeColor="text1" w:themeTint="F2"/>
          <w:sz w:val="22"/>
          <w:szCs w:val="22"/>
        </w:rPr>
      </w:pPr>
      <w:r w:rsidRPr="007F0B8E">
        <w:rPr>
          <w:rFonts w:ascii="Palatino Linotype" w:hAnsi="Palatino Linotype" w:cs="Tahoma"/>
          <w:color w:val="0D0D0D" w:themeColor="text1" w:themeTint="F2"/>
          <w:sz w:val="22"/>
          <w:szCs w:val="22"/>
        </w:rPr>
        <w:t>Al respecto, e</w:t>
      </w:r>
      <w:r w:rsidRPr="007F0B8E">
        <w:rPr>
          <w:rFonts w:ascii="Palatino Linotype" w:hAnsi="Palatino Linotype" w:cs="Tahoma"/>
          <w:bCs/>
          <w:iCs/>
          <w:color w:val="0D0D0D" w:themeColor="text1" w:themeTint="F2"/>
          <w:sz w:val="22"/>
          <w:szCs w:val="22"/>
        </w:rPr>
        <w:t>l Octavo de los Lineamientos Generales, precisa lo siguiente:</w:t>
      </w:r>
    </w:p>
    <w:p w:rsidRPr="007F0B8E" w:rsidR="00A76155" w:rsidP="00A76155" w:rsidRDefault="00A76155" w14:paraId="644EA304" w14:textId="77777777">
      <w:pPr>
        <w:spacing w:line="360" w:lineRule="auto"/>
        <w:jc w:val="both"/>
        <w:rPr>
          <w:rFonts w:ascii="Palatino Linotype" w:hAnsi="Palatino Linotype" w:cs="Tahoma"/>
          <w:bCs/>
          <w:iCs/>
          <w:color w:val="0D0D0D" w:themeColor="text1" w:themeTint="F2"/>
          <w:sz w:val="22"/>
          <w:szCs w:val="22"/>
        </w:rPr>
      </w:pPr>
    </w:p>
    <w:p w:rsidRPr="007F0B8E" w:rsidR="00A76155" w:rsidP="00A76155" w:rsidRDefault="00A76155" w14:paraId="37D0C019" w14:textId="77777777">
      <w:pPr>
        <w:numPr>
          <w:ilvl w:val="0"/>
          <w:numId w:val="3"/>
        </w:numPr>
        <w:spacing w:line="360" w:lineRule="auto"/>
        <w:jc w:val="both"/>
        <w:rPr>
          <w:rFonts w:ascii="Palatino Linotype" w:hAnsi="Palatino Linotype" w:cs="Tahoma"/>
          <w:bCs/>
          <w:color w:val="0D0D0D" w:themeColor="text1" w:themeTint="F2"/>
          <w:sz w:val="22"/>
          <w:szCs w:val="22"/>
        </w:rPr>
      </w:pPr>
      <w:r w:rsidRPr="007F0B8E">
        <w:rPr>
          <w:rFonts w:ascii="Palatino Linotype" w:hAnsi="Palatino Linotype" w:cs="Tahoma"/>
          <w:b/>
          <w:bCs/>
          <w:color w:val="0D0D0D" w:themeColor="text1" w:themeTint="F2"/>
          <w:sz w:val="22"/>
          <w:szCs w:val="22"/>
        </w:rPr>
        <w:lastRenderedPageBreak/>
        <w:t>Para fundar la clasificación</w:t>
      </w:r>
      <w:r w:rsidRPr="007F0B8E">
        <w:rPr>
          <w:rFonts w:ascii="Palatino Linotype" w:hAnsi="Palatino Linotype" w:cs="Tahoma"/>
          <w:bCs/>
          <w:color w:val="0D0D0D" w:themeColor="text1" w:themeTint="F2"/>
          <w:sz w:val="22"/>
          <w:szCs w:val="22"/>
        </w:rPr>
        <w:t xml:space="preserve"> de la información se deberán señalar el artículo, fracción, inciso, párrafo o numeral de la Ley aplicable;</w:t>
      </w:r>
    </w:p>
    <w:p w:rsidRPr="007F0B8E" w:rsidR="00A76155" w:rsidP="00A76155" w:rsidRDefault="00A76155" w14:paraId="5E664B48" w14:textId="77777777">
      <w:pPr>
        <w:spacing w:line="360" w:lineRule="auto"/>
        <w:jc w:val="both"/>
        <w:rPr>
          <w:rFonts w:ascii="Palatino Linotype" w:hAnsi="Palatino Linotype" w:cs="Tahoma"/>
          <w:bCs/>
          <w:color w:val="0D0D0D" w:themeColor="text1" w:themeTint="F2"/>
          <w:sz w:val="22"/>
          <w:szCs w:val="22"/>
        </w:rPr>
      </w:pPr>
    </w:p>
    <w:p w:rsidRPr="007F0B8E" w:rsidR="00A76155" w:rsidP="00A76155" w:rsidRDefault="00A76155" w14:paraId="1562FEF2" w14:textId="77777777">
      <w:pPr>
        <w:numPr>
          <w:ilvl w:val="0"/>
          <w:numId w:val="3"/>
        </w:numPr>
        <w:spacing w:line="360" w:lineRule="auto"/>
        <w:jc w:val="both"/>
        <w:rPr>
          <w:rFonts w:ascii="Palatino Linotype" w:hAnsi="Palatino Linotype" w:cs="Tahoma"/>
          <w:bCs/>
          <w:color w:val="0D0D0D" w:themeColor="text1" w:themeTint="F2"/>
          <w:sz w:val="22"/>
          <w:szCs w:val="22"/>
        </w:rPr>
      </w:pPr>
      <w:r w:rsidRPr="007F0B8E">
        <w:rPr>
          <w:rFonts w:ascii="Palatino Linotype" w:hAnsi="Palatino Linotype" w:cs="Tahoma"/>
          <w:b/>
          <w:bCs/>
          <w:color w:val="0D0D0D" w:themeColor="text1" w:themeTint="F2"/>
          <w:sz w:val="22"/>
          <w:szCs w:val="22"/>
        </w:rPr>
        <w:t>Para motivar la clasificación</w:t>
      </w:r>
      <w:r w:rsidRPr="007F0B8E">
        <w:rPr>
          <w:rFonts w:ascii="Palatino Linotype" w:hAnsi="Palatino Linotype" w:cs="Tahoma"/>
          <w:bCs/>
          <w:color w:val="0D0D0D" w:themeColor="text1" w:themeTint="F2"/>
          <w:sz w:val="22"/>
          <w:szCs w:val="22"/>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7F0B8E" w:rsidR="00A76155" w:rsidP="00A76155" w:rsidRDefault="00A76155" w14:paraId="11DB5213" w14:textId="77777777">
      <w:pPr>
        <w:spacing w:line="360" w:lineRule="auto"/>
        <w:ind w:left="720"/>
        <w:contextualSpacing/>
        <w:rPr>
          <w:rFonts w:ascii="Palatino Linotype" w:hAnsi="Palatino Linotype" w:cs="Tahoma"/>
          <w:bCs/>
          <w:color w:val="0D0D0D" w:themeColor="text1" w:themeTint="F2"/>
          <w:sz w:val="22"/>
          <w:szCs w:val="22"/>
        </w:rPr>
      </w:pPr>
    </w:p>
    <w:p w:rsidRPr="007F0B8E" w:rsidR="00A76155" w:rsidP="00A76155" w:rsidRDefault="00A76155" w14:paraId="25E8534F"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7F0B8E" w:rsidR="00A76155" w:rsidP="00A76155" w:rsidRDefault="00A76155" w14:paraId="5CD0BE36" w14:textId="77777777">
      <w:pPr>
        <w:spacing w:line="360" w:lineRule="auto"/>
        <w:jc w:val="both"/>
        <w:rPr>
          <w:rFonts w:ascii="Palatino Linotype" w:hAnsi="Palatino Linotype" w:cs="Tahoma"/>
          <w:color w:val="0D0D0D" w:themeColor="text1" w:themeTint="F2"/>
          <w:sz w:val="22"/>
          <w:szCs w:val="22"/>
        </w:rPr>
      </w:pPr>
    </w:p>
    <w:p w:rsidRPr="007F0B8E" w:rsidR="00A76155" w:rsidP="00A76155" w:rsidRDefault="00A76155" w14:paraId="4F1E0684" w14:textId="77777777">
      <w:pPr>
        <w:spacing w:line="360" w:lineRule="auto"/>
        <w:ind w:left="567" w:right="567"/>
        <w:jc w:val="both"/>
        <w:rPr>
          <w:rFonts w:ascii="Palatino Linotype" w:hAnsi="Palatino Linotype" w:cs="Tahoma"/>
          <w:i/>
          <w:color w:val="0D0D0D" w:themeColor="text1" w:themeTint="F2"/>
        </w:rPr>
      </w:pPr>
      <w:r w:rsidRPr="007F0B8E">
        <w:rPr>
          <w:rFonts w:ascii="Palatino Linotype" w:hAnsi="Palatino Linotype" w:cs="Tahoma"/>
          <w:b/>
          <w:i/>
          <w:color w:val="0D0D0D" w:themeColor="text1" w:themeTint="F2"/>
        </w:rPr>
        <w:t xml:space="preserve">“FUNDAMENTACION Y MOTIVACION, CONCEPTO DE. </w:t>
      </w:r>
      <w:r w:rsidRPr="007F0B8E">
        <w:rPr>
          <w:rFonts w:ascii="Palatino Linotype" w:hAnsi="Palatino Linotype" w:cs="Tahoma"/>
          <w:i/>
          <w:color w:val="0D0D0D" w:themeColor="text1" w:themeTint="F2"/>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7F0B8E" w:rsidR="00A76155" w:rsidP="00A76155" w:rsidRDefault="00A76155" w14:paraId="4DECDB2E" w14:textId="77777777">
      <w:pPr>
        <w:spacing w:line="360" w:lineRule="auto"/>
        <w:jc w:val="both"/>
        <w:rPr>
          <w:rFonts w:ascii="Palatino Linotype" w:hAnsi="Palatino Linotype" w:cs="Tahoma"/>
          <w:color w:val="0D0D0D" w:themeColor="text1" w:themeTint="F2"/>
          <w:sz w:val="22"/>
          <w:szCs w:val="22"/>
        </w:rPr>
      </w:pPr>
    </w:p>
    <w:p w:rsidRPr="007F0B8E" w:rsidR="00A76155" w:rsidP="00A76155" w:rsidRDefault="00A76155" w14:paraId="12A15CC3" w14:textId="7777777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Conforme a lo anterior, se advierte lo siguiente:</w:t>
      </w:r>
    </w:p>
    <w:p w:rsidRPr="007F0B8E" w:rsidR="00A76155" w:rsidP="00A76155" w:rsidRDefault="00A76155" w14:paraId="537071A4" w14:textId="77777777">
      <w:pPr>
        <w:spacing w:line="360" w:lineRule="auto"/>
        <w:jc w:val="both"/>
        <w:rPr>
          <w:rFonts w:ascii="Palatino Linotype" w:hAnsi="Palatino Linotype" w:cs="Tahoma"/>
          <w:color w:val="0D0D0D" w:themeColor="text1" w:themeTint="F2"/>
          <w:sz w:val="22"/>
          <w:szCs w:val="22"/>
        </w:rPr>
      </w:pPr>
    </w:p>
    <w:p w:rsidRPr="007F0B8E" w:rsidR="00A76155" w:rsidP="00A76155" w:rsidRDefault="00A76155" w14:paraId="1BC48163" w14:textId="77777777">
      <w:pPr>
        <w:numPr>
          <w:ilvl w:val="0"/>
          <w:numId w:val="4"/>
        </w:numPr>
        <w:spacing w:line="360" w:lineRule="auto"/>
        <w:jc w:val="both"/>
        <w:rPr>
          <w:rFonts w:ascii="Palatino Linotype" w:hAnsi="Palatino Linotype" w:cs="Tahoma"/>
          <w:b/>
          <w:color w:val="0D0D0D" w:themeColor="text1" w:themeTint="F2"/>
          <w:sz w:val="22"/>
          <w:szCs w:val="22"/>
        </w:rPr>
      </w:pPr>
      <w:r w:rsidRPr="007F0B8E">
        <w:rPr>
          <w:rFonts w:ascii="Palatino Linotype" w:hAnsi="Palatino Linotype" w:cs="Tahoma"/>
          <w:b/>
          <w:color w:val="0D0D0D" w:themeColor="text1" w:themeTint="F2"/>
          <w:sz w:val="22"/>
          <w:szCs w:val="22"/>
        </w:rPr>
        <w:lastRenderedPageBreak/>
        <w:t xml:space="preserve">Fundamentación: </w:t>
      </w:r>
      <w:r w:rsidRPr="007F0B8E">
        <w:rPr>
          <w:rFonts w:ascii="Palatino Linotype" w:hAnsi="Palatino Linotype" w:cs="Tahoma"/>
          <w:color w:val="0D0D0D" w:themeColor="text1" w:themeTint="F2"/>
          <w:sz w:val="22"/>
          <w:szCs w:val="22"/>
        </w:rPr>
        <w:t>Obligación de la autoridad que emite un acto, para citar los preceptos legales, sustantivos y adjetivos, en que se apoye para la determinación tomada.</w:t>
      </w:r>
    </w:p>
    <w:p w:rsidRPr="007F0B8E" w:rsidR="00A76155" w:rsidP="00A76155" w:rsidRDefault="00A76155" w14:paraId="5CA48084" w14:textId="77777777">
      <w:pPr>
        <w:spacing w:line="360" w:lineRule="auto"/>
        <w:ind w:left="720"/>
        <w:contextualSpacing/>
        <w:jc w:val="both"/>
        <w:rPr>
          <w:rFonts w:ascii="Palatino Linotype" w:hAnsi="Palatino Linotype" w:cs="Tahoma"/>
          <w:b/>
          <w:color w:val="0D0D0D" w:themeColor="text1" w:themeTint="F2"/>
          <w:sz w:val="22"/>
          <w:szCs w:val="22"/>
        </w:rPr>
      </w:pPr>
    </w:p>
    <w:p w:rsidRPr="007F0B8E" w:rsidR="00A76155" w:rsidP="00A76155" w:rsidRDefault="00A76155" w14:paraId="2DE321B8" w14:textId="77777777">
      <w:pPr>
        <w:numPr>
          <w:ilvl w:val="0"/>
          <w:numId w:val="4"/>
        </w:numPr>
        <w:spacing w:line="360" w:lineRule="auto"/>
        <w:jc w:val="both"/>
        <w:rPr>
          <w:rFonts w:ascii="Palatino Linotype" w:hAnsi="Palatino Linotype" w:cs="Tahoma"/>
          <w:b/>
          <w:color w:val="0D0D0D" w:themeColor="text1" w:themeTint="F2"/>
          <w:sz w:val="22"/>
          <w:szCs w:val="22"/>
        </w:rPr>
      </w:pPr>
      <w:r w:rsidRPr="007F0B8E">
        <w:rPr>
          <w:rFonts w:ascii="Palatino Linotype" w:hAnsi="Palatino Linotype" w:cs="Tahoma"/>
          <w:b/>
          <w:color w:val="0D0D0D" w:themeColor="text1" w:themeTint="F2"/>
          <w:sz w:val="22"/>
          <w:szCs w:val="22"/>
        </w:rPr>
        <w:t xml:space="preserve">Motivación: </w:t>
      </w:r>
      <w:r w:rsidRPr="007F0B8E">
        <w:rPr>
          <w:rFonts w:ascii="Palatino Linotype" w:hAnsi="Palatino Linotype" w:cs="Tahoma"/>
          <w:color w:val="0D0D0D" w:themeColor="text1" w:themeTint="F2"/>
          <w:sz w:val="22"/>
          <w:szCs w:val="22"/>
        </w:rPr>
        <w:t>Razonamientos lógico-jurídicos sobre porque se consideró en el caso en concreto, que se ajusta a la hipótesis normativa.</w:t>
      </w:r>
    </w:p>
    <w:p w:rsidRPr="007F0B8E" w:rsidR="00A76155" w:rsidP="00A76155" w:rsidRDefault="00A76155" w14:paraId="7D915A8B" w14:textId="77777777">
      <w:pPr>
        <w:spacing w:line="360" w:lineRule="auto"/>
        <w:jc w:val="both"/>
        <w:rPr>
          <w:rFonts w:ascii="Palatino Linotype" w:hAnsi="Palatino Linotype" w:cs="Tahoma"/>
          <w:color w:val="0D0D0D" w:themeColor="text1" w:themeTint="F2"/>
          <w:sz w:val="22"/>
          <w:szCs w:val="22"/>
        </w:rPr>
      </w:pPr>
    </w:p>
    <w:p w:rsidRPr="007F0B8E" w:rsidR="00A76155" w:rsidP="00A76155" w:rsidRDefault="00A76155" w14:paraId="4C4B8A5F" w14:textId="77777777">
      <w:pPr>
        <w:spacing w:line="360" w:lineRule="auto"/>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 xml:space="preserve">En ese orden de ideas, el Trigésimo tercero de los Lineamientos </w:t>
      </w:r>
      <w:proofErr w:type="gramStart"/>
      <w:r w:rsidRPr="007F0B8E">
        <w:rPr>
          <w:rFonts w:ascii="Palatino Linotype" w:hAnsi="Palatino Linotype" w:cs="Tahoma"/>
          <w:color w:val="0D0D0D" w:themeColor="text1" w:themeTint="F2"/>
          <w:sz w:val="22"/>
          <w:szCs w:val="22"/>
          <w:lang w:val="es-ES"/>
        </w:rPr>
        <w:t>Generales,</w:t>
      </w:r>
      <w:proofErr w:type="gramEnd"/>
      <w:r w:rsidRPr="007F0B8E">
        <w:rPr>
          <w:rFonts w:ascii="Palatino Linotype" w:hAnsi="Palatino Linotype" w:cs="Tahoma"/>
          <w:color w:val="0D0D0D" w:themeColor="text1" w:themeTint="F2"/>
          <w:sz w:val="22"/>
          <w:szCs w:val="22"/>
          <w:lang w:val="es-ES"/>
        </w:rPr>
        <w:t xml:space="preserve"> establece la forma en que se debe fundamentar y motivar la reserva de la información, es decir, a través de los siguientes pasos:</w:t>
      </w:r>
    </w:p>
    <w:p w:rsidRPr="007F0B8E" w:rsidR="00A76155" w:rsidP="00A76155" w:rsidRDefault="00A76155" w14:paraId="09082C5E" w14:textId="77777777">
      <w:pPr>
        <w:spacing w:line="360" w:lineRule="auto"/>
        <w:jc w:val="both"/>
        <w:rPr>
          <w:rFonts w:ascii="Palatino Linotype" w:hAnsi="Palatino Linotype" w:cs="Tahoma"/>
          <w:color w:val="0D0D0D" w:themeColor="text1" w:themeTint="F2"/>
          <w:szCs w:val="22"/>
        </w:rPr>
      </w:pPr>
    </w:p>
    <w:p w:rsidRPr="007F0B8E" w:rsidR="00A76155" w:rsidP="00A76155" w:rsidRDefault="00A76155" w14:paraId="199ABB10" w14:textId="77777777">
      <w:pPr>
        <w:numPr>
          <w:ilvl w:val="0"/>
          <w:numId w:val="5"/>
        </w:numPr>
        <w:spacing w:line="360" w:lineRule="auto"/>
        <w:contextualSpacing/>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Pr="007F0B8E" w:rsidR="00A76155" w:rsidP="00A76155" w:rsidRDefault="00A76155" w14:paraId="60070F08" w14:textId="77777777">
      <w:pPr>
        <w:spacing w:line="360" w:lineRule="auto"/>
        <w:ind w:left="720"/>
        <w:contextualSpacing/>
        <w:jc w:val="both"/>
        <w:rPr>
          <w:rFonts w:ascii="Palatino Linotype" w:hAnsi="Palatino Linotype" w:cs="Tahoma"/>
          <w:color w:val="0D0D0D" w:themeColor="text1" w:themeTint="F2"/>
          <w:sz w:val="22"/>
          <w:szCs w:val="22"/>
        </w:rPr>
      </w:pPr>
    </w:p>
    <w:p w:rsidRPr="007F0B8E" w:rsidR="00A76155" w:rsidP="00A76155" w:rsidRDefault="00A76155" w14:paraId="09D884EB" w14:textId="77777777">
      <w:pPr>
        <w:numPr>
          <w:ilvl w:val="0"/>
          <w:numId w:val="5"/>
        </w:numPr>
        <w:spacing w:line="360" w:lineRule="auto"/>
        <w:contextualSpacing/>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Se deberá demostrar que la publicidad de la información generaría un riesgo de perjuicio, que rebasa el interés público;</w:t>
      </w:r>
    </w:p>
    <w:p w:rsidRPr="007F0B8E" w:rsidR="00A76155" w:rsidP="00A76155" w:rsidRDefault="00A76155" w14:paraId="2A9C674C" w14:textId="77777777">
      <w:pPr>
        <w:spacing w:line="360" w:lineRule="auto"/>
        <w:ind w:left="720"/>
        <w:contextualSpacing/>
        <w:jc w:val="both"/>
        <w:rPr>
          <w:rFonts w:ascii="Palatino Linotype" w:hAnsi="Palatino Linotype" w:cs="Tahoma"/>
          <w:color w:val="0D0D0D" w:themeColor="text1" w:themeTint="F2"/>
          <w:sz w:val="22"/>
          <w:szCs w:val="22"/>
          <w:lang w:val="es-ES"/>
        </w:rPr>
      </w:pPr>
    </w:p>
    <w:p w:rsidRPr="007F0B8E" w:rsidR="00A76155" w:rsidP="00A76155" w:rsidRDefault="00A76155" w14:paraId="4D339052" w14:textId="77777777">
      <w:pPr>
        <w:numPr>
          <w:ilvl w:val="0"/>
          <w:numId w:val="5"/>
        </w:numPr>
        <w:spacing w:line="360" w:lineRule="auto"/>
        <w:contextualSpacing/>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Se acreditará el vínculo entre la difusión de la información y la afectación del interés jurídico tutelado;</w:t>
      </w:r>
    </w:p>
    <w:p w:rsidRPr="007F0B8E" w:rsidR="00A76155" w:rsidP="00A76155" w:rsidRDefault="00A76155" w14:paraId="4E347F17" w14:textId="77777777">
      <w:pPr>
        <w:spacing w:line="360" w:lineRule="auto"/>
        <w:ind w:left="720"/>
        <w:contextualSpacing/>
        <w:rPr>
          <w:rFonts w:ascii="Palatino Linotype" w:hAnsi="Palatino Linotype" w:cs="Tahoma"/>
          <w:color w:val="0D0D0D" w:themeColor="text1" w:themeTint="F2"/>
          <w:sz w:val="22"/>
          <w:szCs w:val="22"/>
          <w:lang w:val="es-ES"/>
        </w:rPr>
      </w:pPr>
    </w:p>
    <w:p w:rsidRPr="007F0B8E" w:rsidR="00A76155" w:rsidP="00A76155" w:rsidRDefault="00A76155" w14:paraId="4EFC855F" w14:textId="77777777">
      <w:pPr>
        <w:numPr>
          <w:ilvl w:val="0"/>
          <w:numId w:val="5"/>
        </w:numPr>
        <w:spacing w:line="360" w:lineRule="auto"/>
        <w:contextualSpacing/>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Se precisará las razones objetivas por las que la apertura de la información generaría una afectación, por medio del riesgo real, demostrable e identificable;</w:t>
      </w:r>
    </w:p>
    <w:p w:rsidRPr="007F0B8E" w:rsidR="00A76155" w:rsidP="00A76155" w:rsidRDefault="00A76155" w14:paraId="48957C8E" w14:textId="77777777">
      <w:pPr>
        <w:spacing w:line="360" w:lineRule="auto"/>
        <w:ind w:left="720"/>
        <w:contextualSpacing/>
        <w:rPr>
          <w:rFonts w:ascii="Palatino Linotype" w:hAnsi="Palatino Linotype" w:cs="Tahoma"/>
          <w:color w:val="0D0D0D" w:themeColor="text1" w:themeTint="F2"/>
          <w:sz w:val="22"/>
          <w:szCs w:val="22"/>
          <w:lang w:val="es-ES"/>
        </w:rPr>
      </w:pPr>
    </w:p>
    <w:p w:rsidRPr="007F0B8E" w:rsidR="00A76155" w:rsidP="00A76155" w:rsidRDefault="00A76155" w14:paraId="29D834C5" w14:textId="77777777">
      <w:pPr>
        <w:numPr>
          <w:ilvl w:val="0"/>
          <w:numId w:val="5"/>
        </w:numPr>
        <w:spacing w:line="360" w:lineRule="auto"/>
        <w:contextualSpacing/>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t>Se deberán señalar las circunstancias de modo, tiempo y lugar del daño, y</w:t>
      </w:r>
    </w:p>
    <w:p w:rsidRPr="007F0B8E" w:rsidR="00A76155" w:rsidP="00A76155" w:rsidRDefault="00A76155" w14:paraId="666D3398" w14:textId="77777777">
      <w:pPr>
        <w:spacing w:line="360" w:lineRule="auto"/>
        <w:ind w:left="720"/>
        <w:contextualSpacing/>
        <w:rPr>
          <w:rFonts w:ascii="Palatino Linotype" w:hAnsi="Palatino Linotype" w:cs="Tahoma"/>
          <w:color w:val="0D0D0D" w:themeColor="text1" w:themeTint="F2"/>
          <w:sz w:val="22"/>
          <w:szCs w:val="22"/>
          <w:lang w:val="es-ES"/>
        </w:rPr>
      </w:pPr>
    </w:p>
    <w:p w:rsidRPr="007F0B8E" w:rsidR="00A76155" w:rsidP="00A76155" w:rsidRDefault="00A76155" w14:paraId="066139BF" w14:textId="77777777">
      <w:pPr>
        <w:numPr>
          <w:ilvl w:val="0"/>
          <w:numId w:val="5"/>
        </w:numPr>
        <w:spacing w:line="360" w:lineRule="auto"/>
        <w:contextualSpacing/>
        <w:jc w:val="both"/>
        <w:rPr>
          <w:rFonts w:ascii="Palatino Linotype" w:hAnsi="Palatino Linotype" w:cs="Tahoma"/>
          <w:color w:val="0D0D0D" w:themeColor="text1" w:themeTint="F2"/>
          <w:sz w:val="22"/>
          <w:szCs w:val="22"/>
          <w:lang w:val="es-ES"/>
        </w:rPr>
      </w:pPr>
      <w:r w:rsidRPr="007F0B8E">
        <w:rPr>
          <w:rFonts w:ascii="Palatino Linotype" w:hAnsi="Palatino Linotype" w:cs="Tahoma"/>
          <w:color w:val="0D0D0D" w:themeColor="text1" w:themeTint="F2"/>
          <w:sz w:val="22"/>
          <w:szCs w:val="22"/>
          <w:lang w:val="es-ES"/>
        </w:rPr>
        <w:lastRenderedPageBreak/>
        <w:t>Se elegirá la opción de excepción al acceso a la información que menos restrinja, la cual será adecuada y proporcional para la protección del interés público.</w:t>
      </w:r>
    </w:p>
    <w:p w:rsidRPr="007F0B8E" w:rsidR="00541570" w:rsidP="00A76155" w:rsidRDefault="00541570" w14:paraId="1D250BC1" w14:textId="299CC68A">
      <w:pPr>
        <w:spacing w:line="360" w:lineRule="auto"/>
        <w:jc w:val="both"/>
        <w:rPr>
          <w:rFonts w:ascii="Palatino Linotype" w:hAnsi="Palatino Linotype" w:cs="Tahoma"/>
          <w:color w:val="0D0D0D" w:themeColor="text1" w:themeTint="F2"/>
          <w:sz w:val="22"/>
          <w:szCs w:val="22"/>
          <w:lang w:val="es-ES"/>
        </w:rPr>
      </w:pPr>
    </w:p>
    <w:p w:rsidRPr="007F0B8E" w:rsidR="00A76155" w:rsidP="009569A3" w:rsidRDefault="00A76155" w14:paraId="765FD780" w14:textId="2187DD18">
      <w:pPr>
        <w:spacing w:line="360" w:lineRule="auto"/>
        <w:jc w:val="both"/>
        <w:rPr>
          <w:rFonts w:ascii="Palatino Linotype" w:hAnsi="Palatino Linotype" w:cs="Tahoma"/>
          <w:bCs/>
          <w:noProof/>
          <w:color w:val="0D0D0D" w:themeColor="text1" w:themeTint="F2"/>
          <w:sz w:val="22"/>
          <w:szCs w:val="22"/>
        </w:rPr>
      </w:pPr>
      <w:r w:rsidRPr="007F0B8E">
        <w:rPr>
          <w:rFonts w:ascii="Palatino Linotype" w:hAnsi="Palatino Linotype" w:cs="Tahoma"/>
          <w:color w:val="0D0D0D" w:themeColor="text1" w:themeTint="F2"/>
          <w:sz w:val="22"/>
          <w:szCs w:val="22"/>
          <w:lang w:val="es-ES"/>
        </w:rPr>
        <w:t xml:space="preserve">En ese orden de ideas y de las constancias que obran en el expediente, se logra vislumbrar </w:t>
      </w:r>
      <w:r w:rsidRPr="007F0B8E" w:rsidR="00A214AC">
        <w:rPr>
          <w:rFonts w:ascii="Palatino Linotype" w:hAnsi="Palatino Linotype" w:cs="Tahoma"/>
          <w:color w:val="0D0D0D" w:themeColor="text1" w:themeTint="F2"/>
          <w:sz w:val="22"/>
          <w:szCs w:val="22"/>
          <w:lang w:val="es-ES"/>
        </w:rPr>
        <w:t>que el Sujeto Obligado omitió proporcionar el Acuerdo emitido por el Comité de Transparencia</w:t>
      </w:r>
      <w:r w:rsidRPr="007F0B8E" w:rsidR="009569A3">
        <w:rPr>
          <w:rFonts w:ascii="Palatino Linotype" w:hAnsi="Palatino Linotype" w:cs="Tahoma"/>
          <w:color w:val="0D0D0D" w:themeColor="text1" w:themeTint="F2"/>
          <w:sz w:val="22"/>
          <w:szCs w:val="22"/>
          <w:lang w:val="es-ES"/>
        </w:rPr>
        <w:t xml:space="preserve">, en donde de manera fundada y motivada, confirmará la clasificación del nombre de los elementos operativos en materia de seguridad; por lo que, tampoco proporcionó la prueba de daño para acreditar la reserva, lo cual da como resultado que el agravio sea </w:t>
      </w:r>
      <w:r w:rsidRPr="007F0B8E" w:rsidR="009569A3">
        <w:rPr>
          <w:rFonts w:ascii="Palatino Linotype" w:hAnsi="Palatino Linotype" w:cs="Tahoma"/>
          <w:b/>
          <w:bCs/>
          <w:color w:val="0D0D0D" w:themeColor="text1" w:themeTint="F2"/>
          <w:sz w:val="22"/>
          <w:szCs w:val="22"/>
          <w:lang w:val="es-ES"/>
        </w:rPr>
        <w:t>FUNDADO.</w:t>
      </w:r>
    </w:p>
    <w:p w:rsidRPr="007F0B8E" w:rsidR="009569A3" w:rsidP="009569A3" w:rsidRDefault="009569A3" w14:paraId="7439A78D" w14:textId="62DDB126">
      <w:pPr>
        <w:spacing w:line="360" w:lineRule="auto"/>
        <w:jc w:val="both"/>
        <w:rPr>
          <w:rFonts w:ascii="Palatino Linotype" w:hAnsi="Palatino Linotype" w:cs="Tahoma"/>
          <w:bCs/>
          <w:noProof/>
          <w:color w:val="0D0D0D" w:themeColor="text1" w:themeTint="F2"/>
          <w:sz w:val="22"/>
          <w:szCs w:val="22"/>
        </w:rPr>
      </w:pPr>
    </w:p>
    <w:p w:rsidRPr="007F0B8E" w:rsidR="009569A3" w:rsidP="009569A3" w:rsidRDefault="009569A3" w14:paraId="6DE1F26B" w14:textId="6BC5609C">
      <w:pPr>
        <w:spacing w:line="360" w:lineRule="auto"/>
        <w:jc w:val="both"/>
        <w:rPr>
          <w:rFonts w:ascii="Palatino Linotype" w:hAnsi="Palatino Linotype" w:cs="Tahoma"/>
          <w:bCs/>
          <w:noProof/>
          <w:color w:val="0D0D0D" w:themeColor="text1" w:themeTint="F2"/>
          <w:sz w:val="22"/>
          <w:szCs w:val="22"/>
        </w:rPr>
      </w:pPr>
      <w:r w:rsidRPr="007F0B8E">
        <w:rPr>
          <w:rFonts w:ascii="Palatino Linotype" w:hAnsi="Palatino Linotype" w:cs="Tahoma"/>
          <w:bCs/>
          <w:noProof/>
          <w:color w:val="0D0D0D" w:themeColor="text1" w:themeTint="F2"/>
          <w:sz w:val="22"/>
          <w:szCs w:val="22"/>
        </w:rPr>
        <w:t xml:space="preserve">Ahora bien, durante la sustanciación del Medio de Impugnación, el Sujeto Obligado proporcionó </w:t>
      </w:r>
      <w:r w:rsidRPr="007F0B8E" w:rsidR="006962B2">
        <w:rPr>
          <w:rFonts w:ascii="Palatino Linotype" w:hAnsi="Palatino Linotype" w:cs="Tahoma"/>
          <w:bCs/>
          <w:noProof/>
          <w:color w:val="0D0D0D" w:themeColor="text1" w:themeTint="F2"/>
          <w:sz w:val="22"/>
          <w:szCs w:val="22"/>
        </w:rPr>
        <w:t>el Acta del Comité de Transparencia, por medio del cual emitió el Acuerdo UTAIPM/EX/08/2022, por medio del cual confirmó la clasificación del nombre de los policias municipales, tal como se muestra a continuación:</w:t>
      </w:r>
    </w:p>
    <w:p w:rsidRPr="007F0B8E" w:rsidR="00A76155" w:rsidP="00541570" w:rsidRDefault="00A76155" w14:paraId="59D8026D" w14:textId="4EE2077B">
      <w:pPr>
        <w:spacing w:line="360" w:lineRule="auto"/>
        <w:jc w:val="center"/>
        <w:rPr>
          <w:rFonts w:ascii="Palatino Linotype" w:hAnsi="Palatino Linotype" w:cs="Tahoma"/>
          <w:bCs/>
          <w:noProof/>
          <w:color w:val="0D0D0D" w:themeColor="text1" w:themeTint="F2"/>
          <w:sz w:val="22"/>
          <w:szCs w:val="22"/>
        </w:rPr>
      </w:pPr>
    </w:p>
    <w:p w:rsidRPr="007F0B8E" w:rsidR="00960A64" w:rsidP="00F86526" w:rsidRDefault="00F86526" w14:paraId="188072BD" w14:textId="1943AE0B">
      <w:pPr>
        <w:spacing w:line="360" w:lineRule="auto"/>
        <w:jc w:val="center"/>
        <w:rPr>
          <w:rFonts w:ascii="Palatino Linotype" w:hAnsi="Palatino Linotype" w:cs="Tahoma"/>
          <w:bCs/>
          <w:color w:val="0D0D0D" w:themeColor="text1" w:themeTint="F2"/>
          <w:sz w:val="22"/>
          <w:szCs w:val="22"/>
        </w:rPr>
      </w:pPr>
      <w:r w:rsidRPr="007F0B8E">
        <w:rPr>
          <w:noProof/>
        </w:rPr>
        <w:drawing>
          <wp:inline distT="0" distB="0" distL="0" distR="0" wp14:anchorId="71929603" wp14:editId="5478A93F">
            <wp:extent cx="4045565" cy="952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82" t="26254" r="17403" b="46313"/>
                    <a:stretch/>
                  </pic:blipFill>
                  <pic:spPr bwMode="auto">
                    <a:xfrm>
                      <a:off x="0" y="0"/>
                      <a:ext cx="4052559" cy="954147"/>
                    </a:xfrm>
                    <a:prstGeom prst="rect">
                      <a:avLst/>
                    </a:prstGeom>
                    <a:ln>
                      <a:noFill/>
                    </a:ln>
                    <a:extLst>
                      <a:ext uri="{53640926-AAD7-44D8-BBD7-CCE9431645EC}">
                        <a14:shadowObscured xmlns:a14="http://schemas.microsoft.com/office/drawing/2010/main"/>
                      </a:ext>
                    </a:extLst>
                  </pic:spPr>
                </pic:pic>
              </a:graphicData>
            </a:graphic>
          </wp:inline>
        </w:drawing>
      </w:r>
    </w:p>
    <w:p w:rsidRPr="007F0B8E" w:rsidR="007662C5" w:rsidP="00925A04" w:rsidRDefault="007662C5" w14:paraId="33461CF9" w14:textId="77777777">
      <w:pPr>
        <w:spacing w:line="360" w:lineRule="auto"/>
        <w:jc w:val="both"/>
        <w:rPr>
          <w:rFonts w:ascii="Palatino Linotype" w:hAnsi="Palatino Linotype" w:eastAsia="Calibri" w:cs="Tahoma"/>
          <w:bCs/>
          <w:color w:val="0D0D0D" w:themeColor="text1" w:themeTint="F2"/>
          <w:sz w:val="22"/>
          <w:szCs w:val="22"/>
          <w:lang w:eastAsia="en-US"/>
        </w:rPr>
      </w:pPr>
    </w:p>
    <w:p w:rsidRPr="007F0B8E" w:rsidR="00960A64" w:rsidP="00925A04" w:rsidRDefault="00925A04" w14:paraId="32629081" w14:textId="16A88246">
      <w:pPr>
        <w:spacing w:line="360" w:lineRule="auto"/>
        <w:jc w:val="both"/>
        <w:rPr>
          <w:rFonts w:ascii="Palatino Linotype" w:hAnsi="Palatino Linotype" w:eastAsia="Calibri" w:cs="Tahoma"/>
          <w:bCs/>
          <w:color w:val="0D0D0D" w:themeColor="text1" w:themeTint="F2"/>
          <w:sz w:val="22"/>
          <w:szCs w:val="22"/>
          <w:lang w:eastAsia="en-US"/>
        </w:rPr>
      </w:pPr>
      <w:r w:rsidRPr="007F0B8E">
        <w:rPr>
          <w:rFonts w:ascii="Palatino Linotype" w:hAnsi="Palatino Linotype" w:eastAsia="Calibri" w:cs="Tahoma"/>
          <w:bCs/>
          <w:color w:val="0D0D0D" w:themeColor="text1" w:themeTint="F2"/>
          <w:sz w:val="22"/>
          <w:szCs w:val="22"/>
          <w:lang w:eastAsia="en-US"/>
        </w:rPr>
        <w:t>Ahora bien, del análisis del Acuerdo proporcionado, se logra vislumbrar que el Comité de Transparencia, no fundamentó, ni motivó la clasificación de la información</w:t>
      </w:r>
      <w:r w:rsidRPr="007F0B8E" w:rsidR="00960A64">
        <w:rPr>
          <w:rFonts w:ascii="Palatino Linotype" w:hAnsi="Palatino Linotype" w:eastAsia="Calibri" w:cs="Tahoma"/>
          <w:bCs/>
          <w:color w:val="0D0D0D" w:themeColor="text1" w:themeTint="F2"/>
          <w:sz w:val="22"/>
          <w:szCs w:val="22"/>
          <w:lang w:eastAsia="en-US"/>
        </w:rPr>
        <w:t>, de manera correcta</w:t>
      </w:r>
      <w:r w:rsidRPr="007F0B8E">
        <w:rPr>
          <w:rFonts w:ascii="Palatino Linotype" w:hAnsi="Palatino Linotype" w:eastAsia="Calibri" w:cs="Tahoma"/>
          <w:bCs/>
          <w:color w:val="0D0D0D" w:themeColor="text1" w:themeTint="F2"/>
          <w:sz w:val="22"/>
          <w:szCs w:val="22"/>
          <w:lang w:eastAsia="en-US"/>
        </w:rPr>
        <w:t>,</w:t>
      </w:r>
      <w:r w:rsidRPr="007F0B8E" w:rsidR="00960A64">
        <w:rPr>
          <w:rFonts w:ascii="Palatino Linotype" w:hAnsi="Palatino Linotype" w:eastAsia="Calibri" w:cs="Tahoma"/>
          <w:bCs/>
          <w:color w:val="0D0D0D" w:themeColor="text1" w:themeTint="F2"/>
          <w:sz w:val="22"/>
          <w:szCs w:val="22"/>
          <w:lang w:eastAsia="en-US"/>
        </w:rPr>
        <w:t xml:space="preserve"> en primera instancia, toda vez que resulta confusa la fundamentación y motivación utilizada por el Sujeto Obligado, pues mientras que en la</w:t>
      </w:r>
      <w:r w:rsidRPr="007F0B8E" w:rsidR="00652E82">
        <w:rPr>
          <w:rFonts w:ascii="Palatino Linotype" w:hAnsi="Palatino Linotype" w:eastAsia="Calibri" w:cs="Tahoma"/>
          <w:bCs/>
          <w:color w:val="0D0D0D" w:themeColor="text1" w:themeTint="F2"/>
          <w:sz w:val="22"/>
          <w:szCs w:val="22"/>
          <w:lang w:eastAsia="en-US"/>
        </w:rPr>
        <w:t xml:space="preserve"> presentación de clasificación como reservada</w:t>
      </w:r>
      <w:r w:rsidRPr="007F0B8E" w:rsidR="00960A64">
        <w:rPr>
          <w:rFonts w:ascii="Palatino Linotype" w:hAnsi="Palatino Linotype" w:eastAsia="Calibri" w:cs="Tahoma"/>
          <w:bCs/>
          <w:color w:val="0D0D0D" w:themeColor="text1" w:themeTint="F2"/>
          <w:sz w:val="22"/>
          <w:szCs w:val="22"/>
          <w:lang w:eastAsia="en-US"/>
        </w:rPr>
        <w:t>, se ciñe al análisis del artículo 140, fracci</w:t>
      </w:r>
      <w:r w:rsidRPr="007F0B8E" w:rsidR="00652E82">
        <w:rPr>
          <w:rFonts w:ascii="Palatino Linotype" w:hAnsi="Palatino Linotype" w:eastAsia="Calibri" w:cs="Tahoma"/>
          <w:bCs/>
          <w:color w:val="0D0D0D" w:themeColor="text1" w:themeTint="F2"/>
          <w:sz w:val="22"/>
          <w:szCs w:val="22"/>
          <w:lang w:eastAsia="en-US"/>
        </w:rPr>
        <w:t xml:space="preserve">ones I, </w:t>
      </w:r>
      <w:r w:rsidRPr="007F0B8E" w:rsidR="00F524CA">
        <w:rPr>
          <w:rFonts w:ascii="Palatino Linotype" w:hAnsi="Palatino Linotype" w:eastAsia="Calibri" w:cs="Tahoma"/>
          <w:bCs/>
          <w:color w:val="0D0D0D" w:themeColor="text1" w:themeTint="F2"/>
          <w:sz w:val="22"/>
          <w:szCs w:val="22"/>
          <w:lang w:eastAsia="en-US"/>
        </w:rPr>
        <w:t>I</w:t>
      </w:r>
      <w:r w:rsidRPr="007F0B8E" w:rsidR="006962B2">
        <w:rPr>
          <w:rFonts w:ascii="Palatino Linotype" w:hAnsi="Palatino Linotype" w:eastAsia="Calibri" w:cs="Tahoma"/>
          <w:bCs/>
          <w:color w:val="0D0D0D" w:themeColor="text1" w:themeTint="F2"/>
          <w:sz w:val="22"/>
          <w:szCs w:val="22"/>
          <w:lang w:eastAsia="en-US"/>
        </w:rPr>
        <w:t>V</w:t>
      </w:r>
      <w:r w:rsidRPr="007F0B8E" w:rsidR="00652E82">
        <w:rPr>
          <w:rFonts w:ascii="Palatino Linotype" w:hAnsi="Palatino Linotype" w:eastAsia="Calibri" w:cs="Tahoma"/>
          <w:bCs/>
          <w:color w:val="0D0D0D" w:themeColor="text1" w:themeTint="F2"/>
          <w:sz w:val="22"/>
          <w:szCs w:val="22"/>
          <w:lang w:eastAsia="en-US"/>
        </w:rPr>
        <w:t xml:space="preserve"> y V</w:t>
      </w:r>
      <w:r w:rsidRPr="007F0B8E" w:rsidR="006962B2">
        <w:rPr>
          <w:rFonts w:ascii="Palatino Linotype" w:hAnsi="Palatino Linotype" w:eastAsia="Calibri" w:cs="Tahoma"/>
          <w:bCs/>
          <w:color w:val="0D0D0D" w:themeColor="text1" w:themeTint="F2"/>
          <w:sz w:val="22"/>
          <w:szCs w:val="22"/>
          <w:lang w:eastAsia="en-US"/>
        </w:rPr>
        <w:t>II</w:t>
      </w:r>
      <w:r w:rsidRPr="007F0B8E" w:rsidR="00960A64">
        <w:rPr>
          <w:rFonts w:ascii="Palatino Linotype" w:hAnsi="Palatino Linotype" w:eastAsia="Calibri" w:cs="Tahoma"/>
          <w:bCs/>
          <w:color w:val="0D0D0D" w:themeColor="text1" w:themeTint="F2"/>
          <w:sz w:val="22"/>
          <w:szCs w:val="22"/>
          <w:lang w:eastAsia="en-US"/>
        </w:rPr>
        <w:t xml:space="preserve"> de la Ley de </w:t>
      </w:r>
      <w:r w:rsidRPr="007F0B8E" w:rsidR="00F524CA">
        <w:rPr>
          <w:rFonts w:ascii="Palatino Linotype" w:hAnsi="Palatino Linotype" w:eastAsia="Calibri" w:cs="Tahoma"/>
          <w:bCs/>
          <w:color w:val="0D0D0D" w:themeColor="text1" w:themeTint="F2"/>
          <w:sz w:val="22"/>
          <w:szCs w:val="22"/>
          <w:lang w:eastAsia="en-US"/>
        </w:rPr>
        <w:t>Local</w:t>
      </w:r>
      <w:r w:rsidRPr="007F0B8E" w:rsidR="00960A64">
        <w:rPr>
          <w:rFonts w:ascii="Palatino Linotype" w:hAnsi="Palatino Linotype" w:eastAsia="Calibri" w:cs="Tahoma"/>
          <w:bCs/>
          <w:color w:val="0D0D0D" w:themeColor="text1" w:themeTint="F2"/>
          <w:sz w:val="22"/>
          <w:szCs w:val="22"/>
          <w:lang w:eastAsia="en-US"/>
        </w:rPr>
        <w:t>,</w:t>
      </w:r>
      <w:r w:rsidRPr="007F0B8E" w:rsidR="00652E82">
        <w:rPr>
          <w:rFonts w:ascii="Palatino Linotype" w:hAnsi="Palatino Linotype" w:eastAsia="Calibri" w:cs="Tahoma"/>
          <w:bCs/>
          <w:color w:val="0D0D0D" w:themeColor="text1" w:themeTint="F2"/>
          <w:sz w:val="22"/>
          <w:szCs w:val="22"/>
          <w:lang w:eastAsia="en-US"/>
        </w:rPr>
        <w:t xml:space="preserve"> en la</w:t>
      </w:r>
      <w:r w:rsidRPr="007F0B8E" w:rsidR="00960A64">
        <w:rPr>
          <w:rFonts w:ascii="Palatino Linotype" w:hAnsi="Palatino Linotype" w:eastAsia="Calibri" w:cs="Tahoma"/>
          <w:bCs/>
          <w:color w:val="0D0D0D" w:themeColor="text1" w:themeTint="F2"/>
          <w:sz w:val="22"/>
          <w:szCs w:val="22"/>
          <w:lang w:eastAsia="en-US"/>
        </w:rPr>
        <w:t xml:space="preserve"> </w:t>
      </w:r>
      <w:r w:rsidRPr="007F0B8E" w:rsidR="00652E82">
        <w:rPr>
          <w:rFonts w:ascii="Palatino Linotype" w:hAnsi="Palatino Linotype" w:eastAsia="Calibri" w:cs="Tahoma"/>
          <w:bCs/>
          <w:color w:val="0D0D0D" w:themeColor="text1" w:themeTint="F2"/>
          <w:sz w:val="22"/>
          <w:szCs w:val="22"/>
          <w:lang w:eastAsia="en-US"/>
        </w:rPr>
        <w:t xml:space="preserve">prueba de daño proporcionada por el área con la que cuenta la información </w:t>
      </w:r>
      <w:r w:rsidRPr="007F0B8E" w:rsidR="008C12F6">
        <w:rPr>
          <w:rFonts w:ascii="Palatino Linotype" w:hAnsi="Palatino Linotype" w:eastAsia="Calibri" w:cs="Tahoma"/>
          <w:bCs/>
          <w:color w:val="0D0D0D" w:themeColor="text1" w:themeTint="F2"/>
          <w:sz w:val="22"/>
          <w:szCs w:val="22"/>
          <w:lang w:eastAsia="en-US"/>
        </w:rPr>
        <w:t xml:space="preserve">y </w:t>
      </w:r>
      <w:r w:rsidRPr="007F0B8E" w:rsidR="00F524CA">
        <w:rPr>
          <w:rFonts w:ascii="Palatino Linotype" w:hAnsi="Palatino Linotype" w:eastAsia="Calibri" w:cs="Tahoma"/>
          <w:bCs/>
          <w:color w:val="0D0D0D" w:themeColor="text1" w:themeTint="F2"/>
          <w:sz w:val="22"/>
          <w:szCs w:val="22"/>
          <w:lang w:eastAsia="en-US"/>
        </w:rPr>
        <w:t xml:space="preserve">en el </w:t>
      </w:r>
      <w:r w:rsidRPr="007F0B8E" w:rsidR="006962B2">
        <w:rPr>
          <w:rFonts w:ascii="Palatino Linotype" w:hAnsi="Palatino Linotype" w:eastAsia="Calibri" w:cs="Tahoma"/>
          <w:bCs/>
          <w:color w:val="0D0D0D" w:themeColor="text1" w:themeTint="F2"/>
          <w:sz w:val="22"/>
          <w:szCs w:val="22"/>
          <w:lang w:eastAsia="en-US"/>
        </w:rPr>
        <w:t>acuerdo únicamente refirió al artículo 140</w:t>
      </w:r>
      <w:r w:rsidRPr="007F0B8E" w:rsidR="00F524CA">
        <w:rPr>
          <w:rFonts w:ascii="Palatino Linotype" w:hAnsi="Palatino Linotype" w:eastAsia="Calibri" w:cs="Tahoma"/>
          <w:bCs/>
          <w:color w:val="0D0D0D" w:themeColor="text1" w:themeTint="F2"/>
          <w:sz w:val="22"/>
          <w:szCs w:val="22"/>
          <w:lang w:eastAsia="en-US"/>
        </w:rPr>
        <w:t>;</w:t>
      </w:r>
      <w:r w:rsidRPr="007F0B8E" w:rsidR="000B4244">
        <w:rPr>
          <w:rFonts w:ascii="Palatino Linotype" w:hAnsi="Palatino Linotype" w:eastAsia="Calibri" w:cs="Tahoma"/>
          <w:bCs/>
          <w:color w:val="0D0D0D" w:themeColor="text1" w:themeTint="F2"/>
          <w:sz w:val="22"/>
          <w:szCs w:val="22"/>
          <w:lang w:eastAsia="en-US"/>
        </w:rPr>
        <w:t xml:space="preserve"> por lo que, se considera lo siguiente:</w:t>
      </w:r>
    </w:p>
    <w:p w:rsidRPr="007F0B8E" w:rsidR="00925A04" w:rsidP="00925A04" w:rsidRDefault="00925A04" w14:paraId="4936A163" w14:textId="77777777">
      <w:pPr>
        <w:spacing w:line="360" w:lineRule="auto"/>
        <w:jc w:val="both"/>
        <w:rPr>
          <w:rFonts w:ascii="Palatino Linotype" w:hAnsi="Palatino Linotype" w:cs="Tahoma"/>
          <w:color w:val="0D0D0D" w:themeColor="text1" w:themeTint="F2"/>
          <w:sz w:val="22"/>
          <w:szCs w:val="22"/>
          <w:lang w:val="es-ES"/>
        </w:rPr>
      </w:pPr>
    </w:p>
    <w:p w:rsidRPr="007F0B8E" w:rsidR="00925A04" w:rsidP="00826816" w:rsidRDefault="000B4244" w14:paraId="4FDA392B" w14:textId="43647B98">
      <w:pPr>
        <w:pStyle w:val="Prrafodelista"/>
        <w:numPr>
          <w:ilvl w:val="0"/>
          <w:numId w:val="6"/>
        </w:numPr>
        <w:spacing w:line="360" w:lineRule="auto"/>
        <w:jc w:val="both"/>
        <w:rPr>
          <w:rFonts w:ascii="Palatino Linotype" w:hAnsi="Palatino Linotype" w:eastAsia="Calibri" w:cs="Tahoma"/>
          <w:bCs/>
          <w:color w:val="0D0D0D" w:themeColor="text1" w:themeTint="F2"/>
          <w:szCs w:val="22"/>
          <w:lang w:eastAsia="en-US"/>
        </w:rPr>
      </w:pPr>
      <w:r w:rsidRPr="007F0B8E">
        <w:rPr>
          <w:rFonts w:ascii="Palatino Linotype" w:hAnsi="Palatino Linotype" w:eastAsia="Calibri" w:cs="Tahoma"/>
          <w:bCs/>
          <w:color w:val="0D0D0D" w:themeColor="text1" w:themeTint="F2"/>
          <w:szCs w:val="22"/>
          <w:lang w:eastAsia="en-US"/>
        </w:rPr>
        <w:lastRenderedPageBreak/>
        <w:t>No señaló de manera clara y precisa los artículos de los ordenamientos jurídicos aplicables.</w:t>
      </w:r>
    </w:p>
    <w:p w:rsidRPr="007F0B8E" w:rsidR="00925A04" w:rsidP="00925A04" w:rsidRDefault="00925A04" w14:paraId="01CFF72C" w14:textId="77777777">
      <w:pPr>
        <w:pStyle w:val="Prrafodelista"/>
        <w:spacing w:line="360" w:lineRule="auto"/>
        <w:rPr>
          <w:rFonts w:ascii="Palatino Linotype" w:hAnsi="Palatino Linotype" w:eastAsia="Calibri" w:cs="Tahoma"/>
          <w:bCs/>
          <w:color w:val="0D0D0D" w:themeColor="text1" w:themeTint="F2"/>
          <w:szCs w:val="22"/>
          <w:lang w:eastAsia="en-US"/>
        </w:rPr>
      </w:pPr>
    </w:p>
    <w:p w:rsidRPr="007F0B8E" w:rsidR="00925A04" w:rsidP="00826816" w:rsidRDefault="00925A04" w14:paraId="224A1094" w14:textId="7CA79C44">
      <w:pPr>
        <w:pStyle w:val="Prrafodelista"/>
        <w:numPr>
          <w:ilvl w:val="0"/>
          <w:numId w:val="6"/>
        </w:numPr>
        <w:spacing w:line="360" w:lineRule="auto"/>
        <w:jc w:val="both"/>
        <w:rPr>
          <w:rFonts w:ascii="Palatino Linotype" w:hAnsi="Palatino Linotype" w:eastAsia="Calibri" w:cs="Tahoma"/>
          <w:bCs/>
          <w:color w:val="0D0D0D" w:themeColor="text1" w:themeTint="F2"/>
          <w:szCs w:val="22"/>
          <w:lang w:eastAsia="en-US"/>
        </w:rPr>
      </w:pPr>
      <w:r w:rsidRPr="007F0B8E">
        <w:rPr>
          <w:rFonts w:ascii="Palatino Linotype" w:hAnsi="Palatino Linotype" w:eastAsia="Calibri" w:cs="Tahoma"/>
          <w:bCs/>
          <w:color w:val="0D0D0D" w:themeColor="text1" w:themeTint="F2"/>
          <w:szCs w:val="22"/>
          <w:lang w:eastAsia="en-US"/>
        </w:rPr>
        <w:t>No señaló las razones objetivas, concretas y específicas por las cuales la apertura de la información generaría una afectación que rebase el interés público, pues, el Sujeto Obligado confundió la argumentación</w:t>
      </w:r>
      <w:r w:rsidRPr="007F0B8E" w:rsidR="000B4244">
        <w:rPr>
          <w:rFonts w:ascii="Palatino Linotype" w:hAnsi="Palatino Linotype" w:eastAsia="Calibri" w:cs="Tahoma"/>
          <w:bCs/>
          <w:color w:val="0D0D0D" w:themeColor="text1" w:themeTint="F2"/>
          <w:szCs w:val="22"/>
          <w:lang w:eastAsia="en-US"/>
        </w:rPr>
        <w:t xml:space="preserve">, entre </w:t>
      </w:r>
      <w:r w:rsidRPr="007F0B8E" w:rsidR="00F524CA">
        <w:rPr>
          <w:rFonts w:ascii="Palatino Linotype" w:hAnsi="Palatino Linotype" w:eastAsia="Calibri" w:cs="Tahoma"/>
          <w:bCs/>
          <w:color w:val="0D0D0D" w:themeColor="text1" w:themeTint="F2"/>
          <w:szCs w:val="22"/>
          <w:lang w:eastAsia="en-US"/>
        </w:rPr>
        <w:t>diversos</w:t>
      </w:r>
      <w:r w:rsidRPr="007F0B8E" w:rsidR="000B4244">
        <w:rPr>
          <w:rFonts w:ascii="Palatino Linotype" w:hAnsi="Palatino Linotype" w:eastAsia="Calibri" w:cs="Tahoma"/>
          <w:bCs/>
          <w:color w:val="0D0D0D" w:themeColor="text1" w:themeTint="F2"/>
          <w:szCs w:val="22"/>
          <w:lang w:eastAsia="en-US"/>
        </w:rPr>
        <w:t xml:space="preserve"> supuestos de clasificación distintos.</w:t>
      </w:r>
    </w:p>
    <w:p w:rsidRPr="007F0B8E" w:rsidR="00925A04" w:rsidP="00925A04" w:rsidRDefault="00925A04" w14:paraId="0E6ABD16" w14:textId="77777777">
      <w:pPr>
        <w:pStyle w:val="Prrafodelista"/>
        <w:spacing w:line="360" w:lineRule="auto"/>
        <w:rPr>
          <w:rFonts w:ascii="Palatino Linotype" w:hAnsi="Palatino Linotype" w:eastAsia="Calibri" w:cs="Tahoma"/>
          <w:bCs/>
          <w:color w:val="0D0D0D" w:themeColor="text1" w:themeTint="F2"/>
          <w:szCs w:val="22"/>
          <w:lang w:eastAsia="en-US"/>
        </w:rPr>
      </w:pPr>
    </w:p>
    <w:p w:rsidRPr="007F0B8E" w:rsidR="00925A04" w:rsidP="00826816" w:rsidRDefault="00925A04" w14:paraId="2FE4ABC4" w14:textId="11A1A500">
      <w:pPr>
        <w:pStyle w:val="Prrafodelista"/>
        <w:numPr>
          <w:ilvl w:val="0"/>
          <w:numId w:val="6"/>
        </w:numPr>
        <w:spacing w:line="360" w:lineRule="auto"/>
        <w:jc w:val="both"/>
        <w:rPr>
          <w:rFonts w:ascii="Palatino Linotype" w:hAnsi="Palatino Linotype" w:cs="Tahoma"/>
          <w:color w:val="0D0D0D" w:themeColor="text1" w:themeTint="F2"/>
          <w:szCs w:val="22"/>
        </w:rPr>
      </w:pPr>
      <w:r w:rsidRPr="007F0B8E">
        <w:rPr>
          <w:rFonts w:ascii="Palatino Linotype" w:hAnsi="Palatino Linotype" w:cs="Tahoma"/>
          <w:color w:val="0D0D0D" w:themeColor="text1" w:themeTint="F2"/>
          <w:szCs w:val="22"/>
        </w:rPr>
        <w:t xml:space="preserve">No acreditó el vínculo entre la información peticionada y la afectación que podría causar a la auditoría realizada por el órgano señalado, pues únicamente precisó que podría </w:t>
      </w:r>
      <w:r w:rsidRPr="007F0B8E" w:rsidR="000B4244">
        <w:rPr>
          <w:rFonts w:ascii="Palatino Linotype" w:hAnsi="Palatino Linotype" w:cs="Tahoma"/>
          <w:color w:val="0D0D0D" w:themeColor="text1" w:themeTint="F2"/>
          <w:szCs w:val="22"/>
        </w:rPr>
        <w:t xml:space="preserve">afectar </w:t>
      </w:r>
      <w:r w:rsidRPr="007F0B8E" w:rsidR="00F524CA">
        <w:rPr>
          <w:rFonts w:ascii="Palatino Linotype" w:hAnsi="Palatino Linotype" w:cs="Tahoma"/>
          <w:color w:val="0D0D0D" w:themeColor="text1" w:themeTint="F2"/>
          <w:szCs w:val="22"/>
        </w:rPr>
        <w:t>el trámite de los procedimientos administrativos.</w:t>
      </w:r>
    </w:p>
    <w:p w:rsidRPr="007F0B8E" w:rsidR="00925A04" w:rsidP="00925A04" w:rsidRDefault="00925A04" w14:paraId="729E4F93" w14:textId="77777777">
      <w:pPr>
        <w:pStyle w:val="Prrafodelista"/>
        <w:rPr>
          <w:rFonts w:ascii="Palatino Linotype" w:hAnsi="Palatino Linotype" w:eastAsia="Calibri" w:cs="Tahoma"/>
          <w:bCs/>
          <w:color w:val="0D0D0D" w:themeColor="text1" w:themeTint="F2"/>
          <w:szCs w:val="22"/>
          <w:lang w:eastAsia="en-US"/>
        </w:rPr>
      </w:pPr>
    </w:p>
    <w:p w:rsidRPr="007F0B8E" w:rsidR="00925A04" w:rsidP="00826816" w:rsidRDefault="00925A04" w14:paraId="3E5F9E48" w14:textId="73EEB516">
      <w:pPr>
        <w:pStyle w:val="Prrafodelista"/>
        <w:numPr>
          <w:ilvl w:val="0"/>
          <w:numId w:val="6"/>
        </w:numPr>
        <w:spacing w:line="360" w:lineRule="auto"/>
        <w:jc w:val="both"/>
        <w:rPr>
          <w:rFonts w:ascii="Palatino Linotype" w:hAnsi="Palatino Linotype" w:cs="Tahoma"/>
          <w:color w:val="0D0D0D" w:themeColor="text1" w:themeTint="F2"/>
          <w:szCs w:val="22"/>
        </w:rPr>
      </w:pPr>
      <w:r w:rsidRPr="007F0B8E">
        <w:rPr>
          <w:rFonts w:ascii="Palatino Linotype" w:hAnsi="Palatino Linotype" w:eastAsia="Calibri" w:cs="Tahoma"/>
          <w:bCs/>
          <w:color w:val="0D0D0D" w:themeColor="text1" w:themeTint="F2"/>
          <w:szCs w:val="22"/>
          <w:lang w:eastAsia="en-US"/>
        </w:rPr>
        <w:t>Omitió señalar, las circunstancias de tiempo, modo y lugar del daño que produciría entregar la información peticionada</w:t>
      </w:r>
      <w:r w:rsidRPr="007F0B8E">
        <w:rPr>
          <w:rFonts w:ascii="Palatino Linotype" w:hAnsi="Palatino Linotype" w:cs="Tahoma"/>
          <w:color w:val="0D0D0D" w:themeColor="text1" w:themeTint="F2"/>
          <w:szCs w:val="22"/>
        </w:rPr>
        <w:t>.</w:t>
      </w:r>
    </w:p>
    <w:p w:rsidRPr="007F0B8E" w:rsidR="00925A04" w:rsidP="00925A04" w:rsidRDefault="00925A04" w14:paraId="75480EF0" w14:textId="77777777">
      <w:pPr>
        <w:pStyle w:val="Prrafodelista"/>
        <w:rPr>
          <w:rFonts w:ascii="Palatino Linotype" w:hAnsi="Palatino Linotype" w:cs="Tahoma"/>
          <w:color w:val="0D0D0D" w:themeColor="text1" w:themeTint="F2"/>
          <w:szCs w:val="22"/>
        </w:rPr>
      </w:pPr>
    </w:p>
    <w:p w:rsidRPr="007F0B8E" w:rsidR="00925A04" w:rsidP="00826816" w:rsidRDefault="00925A04" w14:paraId="687204C5" w14:textId="77777777">
      <w:pPr>
        <w:pStyle w:val="Prrafodelista"/>
        <w:numPr>
          <w:ilvl w:val="0"/>
          <w:numId w:val="6"/>
        </w:numPr>
        <w:spacing w:line="360" w:lineRule="auto"/>
        <w:jc w:val="both"/>
        <w:rPr>
          <w:rFonts w:ascii="Palatino Linotype" w:hAnsi="Palatino Linotype" w:eastAsia="Calibri" w:cs="Tahoma"/>
          <w:bCs/>
          <w:color w:val="0D0D0D" w:themeColor="text1" w:themeTint="F2"/>
          <w:szCs w:val="22"/>
          <w:lang w:eastAsia="en-US"/>
        </w:rPr>
      </w:pPr>
      <w:r w:rsidRPr="007F0B8E">
        <w:rPr>
          <w:rFonts w:ascii="Palatino Linotype" w:hAnsi="Palatino Linotype" w:eastAsia="Calibri" w:cs="Tahoma"/>
          <w:bCs/>
          <w:color w:val="0D0D0D" w:themeColor="text1" w:themeTint="F2"/>
          <w:szCs w:val="22"/>
          <w:lang w:eastAsia="en-US"/>
        </w:rPr>
        <w:t>No se establecieron las razones, por las cuales la reserva era el medio menos restrictivo, para la protección del interés jurídico.</w:t>
      </w:r>
    </w:p>
    <w:p w:rsidRPr="007F0B8E" w:rsidR="00925A04" w:rsidP="00925A04" w:rsidRDefault="00925A04" w14:paraId="792DF5DF" w14:textId="77777777">
      <w:pPr>
        <w:spacing w:line="360" w:lineRule="auto"/>
        <w:jc w:val="both"/>
        <w:rPr>
          <w:rFonts w:ascii="Palatino Linotype" w:hAnsi="Palatino Linotype" w:cs="Tahoma"/>
          <w:color w:val="0D0D0D" w:themeColor="text1" w:themeTint="F2"/>
          <w:sz w:val="22"/>
          <w:szCs w:val="22"/>
          <w:lang w:val="es-ES"/>
        </w:rPr>
      </w:pPr>
    </w:p>
    <w:p w:rsidRPr="007F0B8E" w:rsidR="00925A04" w:rsidP="00925A04" w:rsidRDefault="00925A04" w14:paraId="733E52F6" w14:textId="300EC2B8">
      <w:pPr>
        <w:spacing w:line="360" w:lineRule="auto"/>
        <w:jc w:val="both"/>
        <w:rPr>
          <w:rFonts w:ascii="Palatino Linotype" w:hAnsi="Palatino Linotype" w:eastAsia="Calibri" w:cs="Tahoma"/>
          <w:bCs/>
          <w:color w:val="0D0D0D" w:themeColor="text1" w:themeTint="F2"/>
          <w:sz w:val="22"/>
          <w:szCs w:val="22"/>
          <w:lang w:eastAsia="en-US"/>
        </w:rPr>
      </w:pPr>
      <w:r w:rsidRPr="007F0B8E">
        <w:rPr>
          <w:rFonts w:ascii="Palatino Linotype" w:hAnsi="Palatino Linotype" w:eastAsia="Calibri" w:cs="Tahoma"/>
          <w:bCs/>
          <w:color w:val="0D0D0D" w:themeColor="text1" w:themeTint="F2"/>
          <w:sz w:val="22"/>
          <w:szCs w:val="22"/>
          <w:lang w:eastAsia="en-US"/>
        </w:rPr>
        <w:t>Así, se advierte que el Comité de Transparencia, no fundamentó y motivó la reserva, pues no realizó de manera correcta, la prueba de daño,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r w:rsidRPr="007F0B8E" w:rsidR="00F524CA">
        <w:rPr>
          <w:rFonts w:ascii="Palatino Linotype" w:hAnsi="Palatino Linotype" w:eastAsia="Calibri" w:cs="Tahoma"/>
          <w:bCs/>
          <w:color w:val="0D0D0D" w:themeColor="text1" w:themeTint="F2"/>
          <w:sz w:val="22"/>
          <w:szCs w:val="22"/>
          <w:lang w:eastAsia="en-US"/>
        </w:rPr>
        <w:t xml:space="preserve">; por lo que, </w:t>
      </w:r>
      <w:r w:rsidRPr="007F0B8E" w:rsidR="006B1B29">
        <w:rPr>
          <w:rFonts w:ascii="Palatino Linotype" w:hAnsi="Palatino Linotype" w:eastAsia="Calibri" w:cs="Tahoma"/>
          <w:bCs/>
          <w:color w:val="0D0D0D" w:themeColor="text1" w:themeTint="F2"/>
          <w:sz w:val="22"/>
          <w:szCs w:val="22"/>
          <w:lang w:eastAsia="en-US"/>
        </w:rPr>
        <w:t xml:space="preserve">no se puede validar el Acuerdo emitido por el Sujeto Obligado. Así, resulta necesario se el nombre de los policías </w:t>
      </w:r>
      <w:proofErr w:type="gramStart"/>
      <w:r w:rsidRPr="007F0B8E" w:rsidR="006B1B29">
        <w:rPr>
          <w:rFonts w:ascii="Palatino Linotype" w:hAnsi="Palatino Linotype" w:eastAsia="Calibri" w:cs="Tahoma"/>
          <w:bCs/>
          <w:color w:val="0D0D0D" w:themeColor="text1" w:themeTint="F2"/>
          <w:sz w:val="22"/>
          <w:szCs w:val="22"/>
          <w:lang w:eastAsia="en-US"/>
        </w:rPr>
        <w:t>municipales,</w:t>
      </w:r>
      <w:proofErr w:type="gramEnd"/>
      <w:r w:rsidRPr="007F0B8E" w:rsidR="006B1B29">
        <w:rPr>
          <w:rFonts w:ascii="Palatino Linotype" w:hAnsi="Palatino Linotype" w:eastAsia="Calibri" w:cs="Tahoma"/>
          <w:bCs/>
          <w:color w:val="0D0D0D" w:themeColor="text1" w:themeTint="F2"/>
          <w:sz w:val="22"/>
          <w:szCs w:val="22"/>
          <w:lang w:eastAsia="en-US"/>
        </w:rPr>
        <w:t xml:space="preserve"> actualiza alguna de las causales establecidas en el artículo 140, fracción I, IV y VII, de la Ley de la materia.</w:t>
      </w:r>
    </w:p>
    <w:p w:rsidRPr="007F0B8E" w:rsidR="006B1B29" w:rsidP="00925A04" w:rsidRDefault="006B1B29" w14:paraId="4150C6C3" w14:textId="52E61057">
      <w:pPr>
        <w:spacing w:line="360" w:lineRule="auto"/>
        <w:jc w:val="both"/>
        <w:rPr>
          <w:rFonts w:ascii="Palatino Linotype" w:hAnsi="Palatino Linotype" w:eastAsia="Calibri" w:cs="Tahoma"/>
          <w:bCs/>
          <w:color w:val="0D0D0D" w:themeColor="text1" w:themeTint="F2"/>
          <w:sz w:val="22"/>
          <w:szCs w:val="22"/>
          <w:lang w:eastAsia="en-US"/>
        </w:rPr>
      </w:pPr>
    </w:p>
    <w:p w:rsidRPr="007F0B8E" w:rsidR="006B1B29" w:rsidP="00925A04" w:rsidRDefault="006B1B29" w14:paraId="5F0DA9DA" w14:textId="67330FD8">
      <w:pPr>
        <w:spacing w:line="360" w:lineRule="auto"/>
        <w:jc w:val="both"/>
        <w:rPr>
          <w:rFonts w:ascii="Palatino Linotype" w:hAnsi="Palatino Linotype" w:eastAsia="Calibri" w:cs="Tahoma"/>
          <w:b/>
          <w:color w:val="0D0D0D" w:themeColor="text1" w:themeTint="F2"/>
          <w:sz w:val="22"/>
          <w:szCs w:val="22"/>
          <w:lang w:eastAsia="en-US"/>
        </w:rPr>
      </w:pPr>
      <w:r w:rsidRPr="007F0B8E">
        <w:rPr>
          <w:rFonts w:ascii="Palatino Linotype" w:hAnsi="Palatino Linotype" w:eastAsia="Calibri" w:cs="Tahoma"/>
          <w:b/>
          <w:color w:val="0D0D0D" w:themeColor="text1" w:themeTint="F2"/>
          <w:sz w:val="22"/>
          <w:szCs w:val="22"/>
          <w:lang w:eastAsia="en-US"/>
        </w:rPr>
        <w:lastRenderedPageBreak/>
        <w:t>Artículo 140, fracción I, de la Ley de Transparencia y Acceso a la Información Pública del Estado de México y Municipios.</w:t>
      </w:r>
    </w:p>
    <w:p w:rsidRPr="007F0B8E" w:rsidR="006B1B29" w:rsidP="00925A04" w:rsidRDefault="006B1B29" w14:paraId="2CF3C649" w14:textId="1F0A98D1">
      <w:pPr>
        <w:spacing w:line="360" w:lineRule="auto"/>
        <w:jc w:val="both"/>
        <w:rPr>
          <w:rFonts w:ascii="Palatino Linotype" w:hAnsi="Palatino Linotype" w:eastAsia="Calibri" w:cs="Tahoma"/>
          <w:b/>
          <w:color w:val="0D0D0D" w:themeColor="text1" w:themeTint="F2"/>
          <w:sz w:val="22"/>
          <w:szCs w:val="22"/>
          <w:lang w:eastAsia="en-US"/>
        </w:rPr>
      </w:pPr>
    </w:p>
    <w:p w:rsidRPr="007F0B8E" w:rsidR="00C73D2A" w:rsidP="00C73D2A" w:rsidRDefault="00C73D2A" w14:paraId="693963FA"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El</w:t>
      </w:r>
      <w:r w:rsidRPr="007F0B8E">
        <w:rPr>
          <w:rFonts w:ascii="Palatino Linotype" w:hAnsi="Palatino Linotype" w:eastAsia="Calibri" w:cs="Tahoma"/>
          <w:b/>
          <w:iCs/>
          <w:sz w:val="22"/>
          <w:szCs w:val="22"/>
          <w:lang w:val="es-ES" w:eastAsia="es-ES_tradnl"/>
        </w:rPr>
        <w:t xml:space="preserve"> </w:t>
      </w:r>
      <w:r w:rsidRPr="007F0B8E">
        <w:rPr>
          <w:rFonts w:ascii="Palatino Linotype" w:hAnsi="Palatino Linotype" w:eastAsia="Calibri" w:cs="Tahoma"/>
          <w:iCs/>
          <w:sz w:val="22"/>
          <w:szCs w:val="22"/>
          <w:lang w:val="es-ES" w:eastAsia="es-ES_tradnl"/>
        </w:rPr>
        <w:t>artículo 140, fracción I, de la Ley de Transparencia y Acceso a la Información Pública del Estado de México y Municipios, (homólogo del artículo 113, fracción I de la Ley General de Transparencia y Acceso a la Información Pública), prevé lo siguiente:</w:t>
      </w:r>
    </w:p>
    <w:p w:rsidRPr="007F0B8E" w:rsidR="00C73D2A" w:rsidP="00C73D2A" w:rsidRDefault="00C73D2A" w14:paraId="59BD5AB1" w14:textId="77777777">
      <w:pPr>
        <w:tabs>
          <w:tab w:val="left" w:pos="4962"/>
        </w:tabs>
        <w:spacing w:line="360" w:lineRule="auto"/>
        <w:ind w:left="567" w:right="567"/>
        <w:jc w:val="both"/>
        <w:rPr>
          <w:rFonts w:ascii="Palatino Linotype" w:hAnsi="Palatino Linotype" w:eastAsia="Calibri" w:cs="Tahoma"/>
          <w:i/>
          <w:iCs/>
          <w:lang w:val="es-ES" w:eastAsia="es-ES_tradnl"/>
        </w:rPr>
      </w:pPr>
    </w:p>
    <w:p w:rsidRPr="007F0B8E" w:rsidR="00C73D2A" w:rsidP="00C73D2A" w:rsidRDefault="00C73D2A" w14:paraId="504D0F38"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w:t>
      </w:r>
      <w:r w:rsidRPr="007F0B8E">
        <w:rPr>
          <w:rFonts w:ascii="Palatino Linotype" w:hAnsi="Palatino Linotype" w:eastAsia="Calibri" w:cs="Tahoma"/>
          <w:b/>
          <w:i/>
          <w:iCs/>
          <w:lang w:val="es-ES" w:eastAsia="es-ES_tradnl"/>
        </w:rPr>
        <w:t>Artículo 140.</w:t>
      </w:r>
      <w:r w:rsidRPr="007F0B8E">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7F0B8E" w:rsidR="00C73D2A" w:rsidP="00C73D2A" w:rsidRDefault="00C73D2A" w14:paraId="374DA5CB" w14:textId="77777777">
      <w:pPr>
        <w:tabs>
          <w:tab w:val="left" w:pos="4962"/>
        </w:tabs>
        <w:spacing w:line="360" w:lineRule="auto"/>
        <w:ind w:left="567" w:right="567"/>
        <w:jc w:val="both"/>
        <w:rPr>
          <w:rFonts w:ascii="Palatino Linotype" w:hAnsi="Palatino Linotype" w:eastAsia="Calibri" w:cs="Tahoma"/>
          <w:i/>
          <w:iCs/>
          <w:lang w:val="es-ES" w:eastAsia="es-ES_tradnl"/>
        </w:rPr>
      </w:pPr>
    </w:p>
    <w:p w:rsidRPr="007F0B8E" w:rsidR="00C73D2A" w:rsidP="00C73D2A" w:rsidRDefault="00C73D2A" w14:paraId="38DE3D68"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i/>
          <w:iCs/>
          <w:lang w:eastAsia="es-ES_tradnl"/>
        </w:rPr>
        <w:t>I. Comprometa la seguridad pública y cuente con un propósito genuino y un efecto demostrable;</w:t>
      </w:r>
    </w:p>
    <w:p w:rsidRPr="007F0B8E" w:rsidR="00C73D2A" w:rsidP="00C73D2A" w:rsidRDefault="00C73D2A" w14:paraId="40E67E65"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 xml:space="preserve">…” </w:t>
      </w:r>
    </w:p>
    <w:p w:rsidRPr="007F0B8E" w:rsidR="00C73D2A" w:rsidP="00C73D2A" w:rsidRDefault="00C73D2A" w14:paraId="658BCAB2" w14:textId="77777777">
      <w:pPr>
        <w:tabs>
          <w:tab w:val="left" w:pos="4962"/>
        </w:tabs>
        <w:spacing w:line="360" w:lineRule="auto"/>
        <w:ind w:left="567" w:right="567"/>
        <w:jc w:val="both"/>
        <w:rPr>
          <w:rFonts w:ascii="Palatino Linotype" w:hAnsi="Palatino Linotype" w:eastAsia="Calibri" w:cs="Tahoma"/>
          <w:iCs/>
          <w:lang w:val="es-ES" w:eastAsia="es-ES_tradnl"/>
        </w:rPr>
      </w:pPr>
    </w:p>
    <w:p w:rsidRPr="007F0B8E" w:rsidR="00C73D2A" w:rsidP="00C73D2A" w:rsidRDefault="00C73D2A" w14:paraId="3EEBFEFB" w14:textId="77777777">
      <w:pPr>
        <w:tabs>
          <w:tab w:val="left" w:pos="4962"/>
        </w:tabs>
        <w:spacing w:line="360" w:lineRule="auto"/>
        <w:jc w:val="both"/>
        <w:rPr>
          <w:rFonts w:ascii="Palatino Linotype" w:hAnsi="Palatino Linotype" w:eastAsia="Calibri" w:cs="Tahoma"/>
          <w:bCs/>
          <w:iCs/>
          <w:sz w:val="22"/>
          <w:szCs w:val="22"/>
          <w:lang w:eastAsia="es-ES_tradnl"/>
        </w:rPr>
      </w:pPr>
      <w:r w:rsidRPr="007F0B8E">
        <w:rPr>
          <w:rFonts w:ascii="Palatino Linotype" w:hAnsi="Palatino Linotype" w:eastAsia="Calibri" w:cs="Tahoma"/>
          <w:iCs/>
          <w:sz w:val="22"/>
          <w:szCs w:val="22"/>
          <w:lang w:eastAsia="es-ES_tradnl"/>
        </w:rPr>
        <w:t xml:space="preserve">De dicho precepto normativo se desprende que podrá clasificarse como información reservada aquella cuya publicación comprometa la seguridad pública y cuente con un propósito genuino y un efecto demostrable; por lo que, los </w:t>
      </w:r>
      <w:r w:rsidRPr="007F0B8E">
        <w:rPr>
          <w:rFonts w:ascii="Palatino Linotype" w:hAnsi="Palatino Linotype" w:eastAsia="Calibri" w:cs="Tahoma"/>
          <w:bCs/>
          <w:iCs/>
          <w:sz w:val="22"/>
          <w:szCs w:val="22"/>
          <w:lang w:eastAsia="es-ES_tradnl"/>
        </w:rPr>
        <w:t>Lineamientos Generales, disponen:</w:t>
      </w:r>
    </w:p>
    <w:p w:rsidRPr="007F0B8E" w:rsidR="00C73D2A" w:rsidP="00C73D2A" w:rsidRDefault="00C73D2A" w14:paraId="7EA1C7BC"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1F786E5C"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b/>
          <w:iCs/>
          <w:lang w:val="es-ES" w:eastAsia="es-ES_tradnl"/>
        </w:rPr>
        <w:t>“</w:t>
      </w:r>
      <w:r w:rsidRPr="007F0B8E">
        <w:rPr>
          <w:rFonts w:ascii="Palatino Linotype" w:hAnsi="Palatino Linotype" w:eastAsia="Calibri" w:cs="Tahoma"/>
          <w:b/>
          <w:i/>
          <w:iCs/>
          <w:lang w:val="es-ES" w:eastAsia="es-ES_tradnl"/>
        </w:rPr>
        <w:t>Décimo octavo.</w:t>
      </w:r>
      <w:r w:rsidRPr="007F0B8E">
        <w:rPr>
          <w:rFonts w:ascii="Palatino Linotype" w:hAnsi="Palatino Linotype" w:eastAsia="Calibri" w:cs="Tahoma"/>
          <w:i/>
          <w:iCs/>
          <w:lang w:val="es-ES" w:eastAsia="es-ES_tradnl"/>
        </w:rPr>
        <w:t xml:space="preserve"> De conformidad con el artículo 113, fracción I de la Ley General, podrá considerarse como información reservada, aquella que comprometa la seguridad pública, al poner en peligro las funciones a cargo de la Federación, la </w:t>
      </w:r>
      <w:r w:rsidRPr="007F0B8E">
        <w:rPr>
          <w:rFonts w:ascii="Palatino Linotype" w:hAnsi="Palatino Linotype" w:eastAsia="Calibri" w:cs="Tahoma"/>
          <w:i/>
          <w:iCs/>
          <w:lang w:eastAsia="es-ES_tradnl"/>
        </w:rPr>
        <w:t xml:space="preserve">Ciudad de México, los Estados y los Municipios, tendientes a preservar y resguardar la vida, la salud, la integridad y el ejercicio de los derechos de las personas, así como para el mantenimiento del orden público. </w:t>
      </w:r>
    </w:p>
    <w:p w:rsidRPr="007F0B8E" w:rsidR="00C73D2A" w:rsidP="00C73D2A" w:rsidRDefault="00C73D2A" w14:paraId="6A2E8B06" w14:textId="77777777">
      <w:pPr>
        <w:tabs>
          <w:tab w:val="left" w:pos="4962"/>
        </w:tabs>
        <w:spacing w:line="360" w:lineRule="auto"/>
        <w:ind w:left="567" w:right="567"/>
        <w:jc w:val="both"/>
        <w:rPr>
          <w:rFonts w:ascii="Palatino Linotype" w:hAnsi="Palatino Linotype" w:eastAsia="Calibri" w:cs="Tahoma"/>
          <w:i/>
          <w:iCs/>
          <w:lang w:eastAsia="es-ES_tradnl"/>
        </w:rPr>
      </w:pPr>
    </w:p>
    <w:p w:rsidRPr="007F0B8E" w:rsidR="00C73D2A" w:rsidP="00C73D2A" w:rsidRDefault="00C73D2A" w14:paraId="16984996"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i/>
          <w:iCs/>
          <w:lang w:eastAsia="es-ES_tradnl"/>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Pr="007F0B8E" w:rsidR="00C73D2A" w:rsidP="00C73D2A" w:rsidRDefault="00C73D2A" w14:paraId="6B4BC240" w14:textId="77777777">
      <w:pPr>
        <w:tabs>
          <w:tab w:val="left" w:pos="4962"/>
        </w:tabs>
        <w:spacing w:line="360" w:lineRule="auto"/>
        <w:ind w:left="567" w:right="567"/>
        <w:jc w:val="both"/>
        <w:rPr>
          <w:rFonts w:ascii="Palatino Linotype" w:hAnsi="Palatino Linotype" w:eastAsia="Calibri" w:cs="Tahoma"/>
          <w:i/>
          <w:iCs/>
          <w:lang w:eastAsia="es-ES_tradnl"/>
        </w:rPr>
      </w:pPr>
    </w:p>
    <w:p w:rsidRPr="007F0B8E" w:rsidR="00C73D2A" w:rsidP="00C73D2A" w:rsidRDefault="00C73D2A" w14:paraId="54680B62"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eastAsia="es-ES_tradnl"/>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Pr="007F0B8E" w:rsidR="00C73D2A" w:rsidP="00C73D2A" w:rsidRDefault="00C73D2A" w14:paraId="120C7983"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36898B70" w14:textId="6BEA2EA6">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Así, es posible observar que podrá clasificarse como información reservada, aquélla que comprometa la seguridad pública o bien, entorpezca los sistemas de coordinación interinstitucional en materia de seguridad pública, menoscabar o dificultar las estrategias contra la evasión de reos o la capacidad de las autoridades para disuadir o prevenir disturbios sociales. </w:t>
      </w:r>
    </w:p>
    <w:p w:rsidRPr="007F0B8E" w:rsidR="00C73D2A" w:rsidP="00C73D2A" w:rsidRDefault="00C73D2A" w14:paraId="55B7238C"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6DDBA638"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De la misma manera, será información clasificada aquella que revele datos que pudieran ser aprovechados para conocer la capacidad de reacción de las instituciones encargadas de la seguridad pública, sus planes, estrategias, tecnología, información, sistemas de comunicaciones.</w:t>
      </w:r>
    </w:p>
    <w:p w:rsidRPr="007F0B8E" w:rsidR="00C73D2A" w:rsidP="00C73D2A" w:rsidRDefault="00C73D2A" w14:paraId="1E84B5EC"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6443D0B6"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En ese orden de ideas, el artículo 81 de la Ley de Seguridad del Estado de México, que establece lo siguiente:</w:t>
      </w:r>
    </w:p>
    <w:p w:rsidRPr="007F0B8E" w:rsidR="00C73D2A" w:rsidP="00C73D2A" w:rsidRDefault="00C73D2A" w14:paraId="18AAB5E1"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68103175"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“Artículo 81.-</w:t>
      </w:r>
      <w:r w:rsidRPr="007F0B8E">
        <w:rPr>
          <w:rFonts w:ascii="Palatino Linotype" w:hAnsi="Palatino Linotype" w:eastAsia="Calibri"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7F0B8E" w:rsidR="00C73D2A" w:rsidP="00C73D2A" w:rsidRDefault="00C73D2A" w14:paraId="50464299" w14:textId="77777777">
      <w:pPr>
        <w:spacing w:line="360" w:lineRule="auto"/>
        <w:ind w:left="567" w:right="567"/>
        <w:jc w:val="both"/>
        <w:rPr>
          <w:rFonts w:ascii="Palatino Linotype" w:hAnsi="Palatino Linotype" w:eastAsia="Calibri" w:cs="Tahoma"/>
          <w:bCs/>
          <w:i/>
          <w:lang w:eastAsia="en-US"/>
        </w:rPr>
      </w:pPr>
    </w:p>
    <w:p w:rsidRPr="007F0B8E" w:rsidR="00C73D2A" w:rsidP="00C73D2A" w:rsidRDefault="00C73D2A" w14:paraId="3275D368"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I.</w:t>
      </w:r>
      <w:r w:rsidRPr="007F0B8E">
        <w:rPr>
          <w:rFonts w:ascii="Palatino Linotype" w:hAnsi="Palatino Linotype" w:eastAsia="Calibri" w:cs="Tahoma"/>
          <w:bCs/>
          <w:i/>
          <w:lang w:eastAsia="en-US"/>
        </w:rPr>
        <w:t xml:space="preserve"> Aquella cuya divulgación implique la revelación de normas, procedimientos, métodos, fuentes, especificaciones técnicas, sistemas, tecnología o equipos útiles a la generación de inteligencia para la seguridad pública o el combate a la delincuencia en el Estado de México; </w:t>
      </w:r>
    </w:p>
    <w:p w:rsidRPr="007F0B8E" w:rsidR="00C73D2A" w:rsidP="00C73D2A" w:rsidRDefault="00C73D2A" w14:paraId="6D3BFEDE" w14:textId="77777777">
      <w:pPr>
        <w:spacing w:line="360" w:lineRule="auto"/>
        <w:ind w:left="567" w:right="567"/>
        <w:jc w:val="both"/>
        <w:rPr>
          <w:rFonts w:ascii="Palatino Linotype" w:hAnsi="Palatino Linotype" w:eastAsia="Calibri" w:cs="Tahoma"/>
          <w:bCs/>
          <w:i/>
          <w:lang w:eastAsia="en-US"/>
        </w:rPr>
      </w:pPr>
    </w:p>
    <w:p w:rsidRPr="007F0B8E" w:rsidR="00C73D2A" w:rsidP="00C73D2A" w:rsidRDefault="00C73D2A" w14:paraId="31AD6C6E"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lastRenderedPageBreak/>
        <w:t>II.</w:t>
      </w:r>
      <w:r w:rsidRPr="007F0B8E">
        <w:rPr>
          <w:rFonts w:ascii="Palatino Linotype" w:hAnsi="Palatino Linotype" w:eastAsia="Calibri" w:cs="Tahoma"/>
          <w:bCs/>
          <w:i/>
          <w:lang w:eastAsia="en-US"/>
        </w:rPr>
        <w:t xml:space="preserve"> Aquella cuya revelación pueda ser utilizada para actualizar o potenciar una amenaza a la seguridad pública o a las instituciones del Estado de México; </w:t>
      </w:r>
    </w:p>
    <w:p w:rsidRPr="007F0B8E" w:rsidR="00C73D2A" w:rsidP="00C73D2A" w:rsidRDefault="00C73D2A" w14:paraId="65259372"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Cs/>
          <w:i/>
          <w:lang w:eastAsia="en-US"/>
        </w:rPr>
        <w:t>…</w:t>
      </w:r>
    </w:p>
    <w:p w:rsidRPr="007F0B8E" w:rsidR="00C73D2A" w:rsidP="00C73D2A" w:rsidRDefault="00C73D2A" w14:paraId="6D96744C"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 xml:space="preserve">IV. </w:t>
      </w:r>
      <w:r w:rsidRPr="007F0B8E">
        <w:rPr>
          <w:rFonts w:ascii="Palatino Linotype" w:hAnsi="Palatino Linotype" w:eastAsia="Calibri" w:cs="Tahoma"/>
          <w:bCs/>
          <w:i/>
          <w:lang w:eastAsia="en-US"/>
        </w:rPr>
        <w:t xml:space="preserve">La que sea producto de una intervención de comunicaciones privadas autorizadas conforme a la Constitución Federal y las disposiciones legales correspondientes; y </w:t>
      </w:r>
    </w:p>
    <w:p w:rsidRPr="007F0B8E" w:rsidR="00C73D2A" w:rsidP="00C73D2A" w:rsidRDefault="00C73D2A" w14:paraId="3FF8796D" w14:textId="77777777">
      <w:pPr>
        <w:spacing w:line="360" w:lineRule="auto"/>
        <w:ind w:left="567" w:right="567"/>
        <w:jc w:val="both"/>
        <w:rPr>
          <w:rFonts w:ascii="Palatino Linotype" w:hAnsi="Palatino Linotype" w:eastAsia="Calibri" w:cs="Tahoma"/>
          <w:bCs/>
          <w:i/>
          <w:lang w:eastAsia="en-US"/>
        </w:rPr>
      </w:pPr>
    </w:p>
    <w:p w:rsidRPr="007F0B8E" w:rsidR="00C73D2A" w:rsidP="00C73D2A" w:rsidRDefault="00C73D2A" w14:paraId="3A572124"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V.</w:t>
      </w:r>
      <w:r w:rsidRPr="007F0B8E">
        <w:rPr>
          <w:rFonts w:ascii="Palatino Linotype" w:hAnsi="Palatino Linotype" w:eastAsia="Calibri" w:cs="Tahoma"/>
          <w:bCs/>
          <w:i/>
          <w:lang w:eastAsia="en-US"/>
        </w:rPr>
        <w:t xml:space="preserve"> La contenida en averiguaciones previas, carpetas de investigación, expedientes y demás archivos relativos a la investigación para la prevención y la investigación de los delitos y faltas administrativas, en términos de las disposiciones aplicables.”</w:t>
      </w:r>
    </w:p>
    <w:p w:rsidRPr="007F0B8E" w:rsidR="00C73D2A" w:rsidP="00C73D2A" w:rsidRDefault="00C73D2A" w14:paraId="3B9F340D"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659CA59F"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De lo anterior, se logra desprender que es información reservada, aquella que pueda revelar las normas, procedimientos, métodos, fuentes, técnicas, sistemas, tecnología, útiles a la generación de inteligencia para la seguridad pública o el combate a la delincuencia, que pueda potenciar o amenazar la seguridad pública o las instituciones del Estado de México, la que sea producto de un intervención de comunicaciones privadas, o bien, la contenida en las averiguaciones previas, carpetas de investigación de los delitos y faltas administrativas.</w:t>
      </w:r>
    </w:p>
    <w:p w:rsidRPr="007F0B8E" w:rsidR="00C73D2A" w:rsidP="00C73D2A" w:rsidRDefault="00C73D2A" w14:paraId="458AA8DE"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737D19E6" w14:textId="77777777">
      <w:pPr>
        <w:spacing w:line="360" w:lineRule="auto"/>
        <w:jc w:val="both"/>
        <w:rPr>
          <w:rFonts w:ascii="Palatino Linotype" w:hAnsi="Palatino Linotype" w:eastAsia="Calibri" w:cs="Tahoma"/>
          <w:bCs/>
          <w:iCs/>
          <w:sz w:val="22"/>
          <w:szCs w:val="22"/>
          <w:lang w:eastAsia="en-US"/>
        </w:rPr>
      </w:pPr>
      <w:r w:rsidRPr="007F0B8E">
        <w:rPr>
          <w:rFonts w:ascii="Palatino Linotype" w:hAnsi="Palatino Linotype" w:eastAsia="Calibri" w:cs="Tahoma"/>
          <w:bCs/>
          <w:sz w:val="22"/>
          <w:szCs w:val="22"/>
          <w:lang w:eastAsia="en-US"/>
        </w:rPr>
        <w:t xml:space="preserve">En ese contexto, </w:t>
      </w:r>
      <w:r w:rsidRPr="007F0B8E">
        <w:rPr>
          <w:rFonts w:ascii="Palatino Linotype" w:hAnsi="Palatino Linotype" w:eastAsia="Calibri" w:cs="Tahoma"/>
          <w:bCs/>
          <w:iCs/>
          <w:sz w:val="22"/>
          <w:szCs w:val="22"/>
          <w:lang w:eastAsia="en-US"/>
        </w:rPr>
        <w:t xml:space="preserve">las áreas que se </w:t>
      </w:r>
      <w:proofErr w:type="gramStart"/>
      <w:r w:rsidRPr="007F0B8E">
        <w:rPr>
          <w:rFonts w:ascii="Palatino Linotype" w:hAnsi="Palatino Linotype" w:eastAsia="Calibri" w:cs="Tahoma"/>
          <w:bCs/>
          <w:iCs/>
          <w:sz w:val="22"/>
          <w:szCs w:val="22"/>
          <w:lang w:eastAsia="en-US"/>
        </w:rPr>
        <w:t>pronunciaron,</w:t>
      </w:r>
      <w:proofErr w:type="gramEnd"/>
      <w:r w:rsidRPr="007F0B8E">
        <w:rPr>
          <w:rFonts w:ascii="Palatino Linotype" w:hAnsi="Palatino Linotype" w:eastAsia="Calibri" w:cs="Tahoma"/>
          <w:bCs/>
          <w:iCs/>
          <w:sz w:val="22"/>
          <w:szCs w:val="22"/>
          <w:lang w:eastAsia="en-US"/>
        </w:rPr>
        <w:t xml:space="preserve"> señalaron que entregar la información revelaba el Estado de Fuerza del Ayuntamiento, al entregar el total de elementos operativos; además que podían afectar la operatividad de estas, pues dar a conocer dicha información, podría ser ocupada por la delincuencia, para tomar ventaja.</w:t>
      </w:r>
    </w:p>
    <w:p w:rsidRPr="007F0B8E" w:rsidR="00C73D2A" w:rsidP="00C73D2A" w:rsidRDefault="00C73D2A" w14:paraId="215770D0"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328F908A" w14:textId="247B49C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Al respecto, cabe precisar que proporcionar el nombre, cargo y remuneración de los servidores público, en específico de los cuerpos de seguridad, tal como señaló el Ente Recurrido, podría revelar </w:t>
      </w:r>
      <w:r w:rsidRPr="007F0B8E">
        <w:rPr>
          <w:rFonts w:ascii="Palatino Linotype" w:hAnsi="Palatino Linotype" w:eastAsia="Calibri" w:cs="Tahoma"/>
          <w:b/>
          <w:bCs/>
          <w:sz w:val="22"/>
          <w:szCs w:val="22"/>
          <w:lang w:eastAsia="en-US"/>
        </w:rPr>
        <w:t>el estado de fuerza del Municipio</w:t>
      </w:r>
      <w:r w:rsidRPr="007F0B8E">
        <w:rPr>
          <w:rFonts w:ascii="Palatino Linotype" w:hAnsi="Palatino Linotype" w:eastAsia="Calibri" w:cs="Tahoma"/>
          <w:bCs/>
          <w:sz w:val="22"/>
          <w:szCs w:val="22"/>
          <w:lang w:eastAsia="en-US"/>
        </w:rPr>
        <w:t>; en ese contexto, el estado de fuerza corresponde al número de elementos con los que cuenta el Ayuntamiento de Ixtlahuaca, en la Dirección de Seguridad Pública Municipal, para realizar funciones de seguridad pública.</w:t>
      </w:r>
    </w:p>
    <w:p w:rsidRPr="007F0B8E" w:rsidR="00C73D2A" w:rsidP="00C73D2A" w:rsidRDefault="00C73D2A" w14:paraId="48A8C1B8"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0D1C838B"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lastRenderedPageBreak/>
        <w:t>En ese sentido, el artículo 142 y 143 de la Ley de Seguridad del Estado de México, establece la organización jerárquica de las Instituciones Policiales de la Entidad Federativa y sus Municipios, la cual es la siguiente:</w:t>
      </w:r>
    </w:p>
    <w:p w:rsidRPr="007F0B8E" w:rsidR="00C73D2A" w:rsidP="00C73D2A" w:rsidRDefault="00C73D2A" w14:paraId="19EF1ADA"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04E5EF3F" w14:textId="77777777">
      <w:pPr>
        <w:numPr>
          <w:ilvl w:val="0"/>
          <w:numId w:val="34"/>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Comisarios:</w:t>
      </w:r>
    </w:p>
    <w:p w:rsidRPr="007F0B8E" w:rsidR="00C73D2A" w:rsidP="00C73D2A" w:rsidRDefault="00C73D2A" w14:paraId="0417F365" w14:textId="77777777">
      <w:pPr>
        <w:numPr>
          <w:ilvl w:val="0"/>
          <w:numId w:val="35"/>
        </w:numPr>
        <w:spacing w:line="360" w:lineRule="auto"/>
        <w:ind w:left="993" w:hanging="77"/>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Comisario General;</w:t>
      </w:r>
    </w:p>
    <w:p w:rsidRPr="007F0B8E" w:rsidR="00C73D2A" w:rsidP="00C73D2A" w:rsidRDefault="00C73D2A" w14:paraId="25E12350" w14:textId="77777777">
      <w:pPr>
        <w:numPr>
          <w:ilvl w:val="0"/>
          <w:numId w:val="35"/>
        </w:numPr>
        <w:spacing w:line="360" w:lineRule="auto"/>
        <w:ind w:left="993" w:hanging="77"/>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Comisario Jefe, y</w:t>
      </w:r>
    </w:p>
    <w:p w:rsidRPr="007F0B8E" w:rsidR="00C73D2A" w:rsidP="00C73D2A" w:rsidRDefault="00C73D2A" w14:paraId="491481B0" w14:textId="77777777">
      <w:pPr>
        <w:numPr>
          <w:ilvl w:val="0"/>
          <w:numId w:val="35"/>
        </w:numPr>
        <w:spacing w:line="360" w:lineRule="auto"/>
        <w:ind w:left="993" w:hanging="77"/>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Comisario.</w:t>
      </w:r>
    </w:p>
    <w:p w:rsidRPr="007F0B8E" w:rsidR="00C73D2A" w:rsidP="00C73D2A" w:rsidRDefault="00C73D2A" w14:paraId="32C01DAC" w14:textId="77777777">
      <w:pPr>
        <w:numPr>
          <w:ilvl w:val="0"/>
          <w:numId w:val="34"/>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Inspectores:</w:t>
      </w:r>
    </w:p>
    <w:p w:rsidRPr="007F0B8E" w:rsidR="00C73D2A" w:rsidP="00C73D2A" w:rsidRDefault="00C73D2A" w14:paraId="0F3F1612" w14:textId="77777777">
      <w:pPr>
        <w:numPr>
          <w:ilvl w:val="0"/>
          <w:numId w:val="36"/>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Inspector General;</w:t>
      </w:r>
    </w:p>
    <w:p w:rsidRPr="007F0B8E" w:rsidR="00C73D2A" w:rsidP="00C73D2A" w:rsidRDefault="00C73D2A" w14:paraId="023E6811" w14:textId="77777777">
      <w:pPr>
        <w:numPr>
          <w:ilvl w:val="0"/>
          <w:numId w:val="36"/>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Inspector Jefe, y</w:t>
      </w:r>
    </w:p>
    <w:p w:rsidRPr="007F0B8E" w:rsidR="00C73D2A" w:rsidP="00C73D2A" w:rsidRDefault="00C73D2A" w14:paraId="2F2AF825" w14:textId="77777777">
      <w:pPr>
        <w:numPr>
          <w:ilvl w:val="0"/>
          <w:numId w:val="36"/>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Inspector.</w:t>
      </w:r>
    </w:p>
    <w:p w:rsidRPr="007F0B8E" w:rsidR="00C73D2A" w:rsidP="00C73D2A" w:rsidRDefault="00C73D2A" w14:paraId="1E7E5E1D" w14:textId="77777777">
      <w:pPr>
        <w:numPr>
          <w:ilvl w:val="0"/>
          <w:numId w:val="34"/>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Oficiales:</w:t>
      </w:r>
    </w:p>
    <w:p w:rsidRPr="007F0B8E" w:rsidR="00C73D2A" w:rsidP="00C73D2A" w:rsidRDefault="00C73D2A" w14:paraId="70ED51A1" w14:textId="77777777">
      <w:pPr>
        <w:numPr>
          <w:ilvl w:val="0"/>
          <w:numId w:val="37"/>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Subinspector;</w:t>
      </w:r>
    </w:p>
    <w:p w:rsidRPr="007F0B8E" w:rsidR="00C73D2A" w:rsidP="00C73D2A" w:rsidRDefault="00C73D2A" w14:paraId="5B61782F" w14:textId="77777777">
      <w:pPr>
        <w:numPr>
          <w:ilvl w:val="0"/>
          <w:numId w:val="37"/>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Oficial, y</w:t>
      </w:r>
    </w:p>
    <w:p w:rsidRPr="007F0B8E" w:rsidR="00C73D2A" w:rsidP="00C73D2A" w:rsidRDefault="00C73D2A" w14:paraId="454C9617" w14:textId="77777777">
      <w:pPr>
        <w:numPr>
          <w:ilvl w:val="0"/>
          <w:numId w:val="37"/>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Suboficial.</w:t>
      </w:r>
    </w:p>
    <w:p w:rsidRPr="007F0B8E" w:rsidR="00C73D2A" w:rsidP="00C73D2A" w:rsidRDefault="00C73D2A" w14:paraId="2626C33A" w14:textId="77777777">
      <w:pPr>
        <w:numPr>
          <w:ilvl w:val="0"/>
          <w:numId w:val="34"/>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Escala Básica:</w:t>
      </w:r>
    </w:p>
    <w:p w:rsidRPr="007F0B8E" w:rsidR="00C73D2A" w:rsidP="00C73D2A" w:rsidRDefault="00C73D2A" w14:paraId="381C5DDD" w14:textId="77777777">
      <w:pPr>
        <w:numPr>
          <w:ilvl w:val="0"/>
          <w:numId w:val="38"/>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Policía Primero;</w:t>
      </w:r>
    </w:p>
    <w:p w:rsidRPr="007F0B8E" w:rsidR="00C73D2A" w:rsidP="00C73D2A" w:rsidRDefault="00C73D2A" w14:paraId="3349C04D" w14:textId="77777777">
      <w:pPr>
        <w:numPr>
          <w:ilvl w:val="0"/>
          <w:numId w:val="38"/>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Policía Segundo; </w:t>
      </w:r>
    </w:p>
    <w:p w:rsidRPr="007F0B8E" w:rsidR="00C73D2A" w:rsidP="00C73D2A" w:rsidRDefault="00C73D2A" w14:paraId="2F631BB9" w14:textId="77777777">
      <w:pPr>
        <w:numPr>
          <w:ilvl w:val="0"/>
          <w:numId w:val="38"/>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Policía Tercero, y</w:t>
      </w:r>
    </w:p>
    <w:p w:rsidRPr="007F0B8E" w:rsidR="00C73D2A" w:rsidP="00C73D2A" w:rsidRDefault="00C73D2A" w14:paraId="082B4235" w14:textId="77777777">
      <w:pPr>
        <w:numPr>
          <w:ilvl w:val="0"/>
          <w:numId w:val="38"/>
        </w:numPr>
        <w:spacing w:line="360" w:lineRule="auto"/>
        <w:ind w:left="993" w:hanging="54"/>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Policía.</w:t>
      </w:r>
    </w:p>
    <w:p w:rsidRPr="007F0B8E" w:rsidR="00C73D2A" w:rsidP="00C73D2A" w:rsidRDefault="00C73D2A" w14:paraId="7E978EFE" w14:textId="77777777">
      <w:pPr>
        <w:spacing w:line="360" w:lineRule="auto"/>
        <w:jc w:val="both"/>
        <w:rPr>
          <w:rFonts w:ascii="Palatino Linotype" w:hAnsi="Palatino Linotype" w:eastAsia="Calibri" w:cs="Tahoma"/>
          <w:bCs/>
          <w:szCs w:val="22"/>
          <w:lang w:eastAsia="en-US"/>
        </w:rPr>
      </w:pPr>
      <w:r w:rsidRPr="007F0B8E">
        <w:rPr>
          <w:rFonts w:ascii="Palatino Linotype" w:hAnsi="Palatino Linotype" w:eastAsia="Calibri" w:cs="Tahoma"/>
          <w:bCs/>
          <w:szCs w:val="22"/>
          <w:lang w:eastAsia="en-US"/>
        </w:rPr>
        <w:t xml:space="preserve">                                                                                                                                                                                                  </w:t>
      </w:r>
    </w:p>
    <w:p w:rsidRPr="007F0B8E" w:rsidR="00C73D2A" w:rsidP="00C73D2A" w:rsidRDefault="00C73D2A" w14:paraId="175598C4" w14:textId="463DC05C">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Como se logra observar, el </w:t>
      </w:r>
      <w:r w:rsidRPr="007F0B8E">
        <w:rPr>
          <w:rFonts w:ascii="Palatino Linotype" w:hAnsi="Palatino Linotype" w:eastAsia="Calibri" w:cs="Tahoma"/>
          <w:b/>
          <w:bCs/>
          <w:sz w:val="22"/>
          <w:szCs w:val="22"/>
          <w:lang w:eastAsia="en-US"/>
        </w:rPr>
        <w:t>Estado de Fuerza Municipal, se conforma de los Comisarios, Inspectores, Oficiales y la Estala Básica (Policías)</w:t>
      </w:r>
      <w:r w:rsidRPr="007F0B8E">
        <w:rPr>
          <w:rFonts w:ascii="Palatino Linotype" w:hAnsi="Palatino Linotype" w:eastAsia="Calibri" w:cs="Tahoma"/>
          <w:bCs/>
          <w:sz w:val="22"/>
          <w:szCs w:val="22"/>
          <w:lang w:eastAsia="en-US"/>
        </w:rPr>
        <w:t>; lo anterior, toma sustento, con los Resultados del Diagnóstico de Salarios y Prestaciones de Policías Estatales y Municipales del País, emitidos por el Secretariado Ejecutivo del Sistema Nacional de Seguridad Pública, que establecen lo siguiente:</w:t>
      </w:r>
    </w:p>
    <w:p w:rsidRPr="007F0B8E" w:rsidR="00C73D2A" w:rsidP="00C73D2A" w:rsidRDefault="00C73D2A" w14:paraId="49D25FA9" w14:textId="77777777">
      <w:pPr>
        <w:spacing w:line="360" w:lineRule="auto"/>
        <w:jc w:val="both"/>
        <w:rPr>
          <w:rFonts w:ascii="Palatino Linotype" w:hAnsi="Palatino Linotype" w:eastAsia="Calibri" w:cs="Tahoma"/>
          <w:bCs/>
          <w:sz w:val="22"/>
          <w:szCs w:val="22"/>
          <w:lang w:eastAsia="en-US"/>
        </w:rPr>
      </w:pPr>
    </w:p>
    <w:p w:rsidRPr="007F0B8E" w:rsidR="00C73D2A" w:rsidP="0D95E774" w:rsidRDefault="00C73D2A" w14:paraId="26ACA2AC" w14:textId="396635F6">
      <w:pPr>
        <w:spacing w:line="360" w:lineRule="auto"/>
        <w:jc w:val="center"/>
        <w:rPr>
          <w:rFonts w:ascii="Palatino Linotype" w:hAnsi="Palatino Linotype" w:eastAsia="Calibri" w:cs="Tahoma"/>
          <w:sz w:val="22"/>
          <w:szCs w:val="22"/>
          <w:lang w:eastAsia="en-US"/>
        </w:rPr>
      </w:pPr>
      <w:r w:rsidRPr="007F0B8E">
        <w:rPr>
          <w:noProof/>
        </w:rPr>
        <mc:AlternateContent>
          <mc:Choice Requires="wps">
            <w:drawing>
              <wp:anchor distT="0" distB="0" distL="114300" distR="114300" simplePos="0" relativeHeight="251658240" behindDoc="0" locked="0" layoutInCell="1" allowOverlap="1" wp14:anchorId="26A6A531" wp14:editId="507F2974">
                <wp:simplePos x="0" y="0"/>
                <wp:positionH relativeFrom="column">
                  <wp:posOffset>2125345</wp:posOffset>
                </wp:positionH>
                <wp:positionV relativeFrom="paragraph">
                  <wp:posOffset>34290</wp:posOffset>
                </wp:positionV>
                <wp:extent cx="1828800" cy="2590800"/>
                <wp:effectExtent l="19050" t="19050" r="19050" b="19050"/>
                <wp:wrapNone/>
                <wp:docPr id="3" name="Rectángulo 3"/>
                <wp:cNvGraphicFramePr/>
                <a:graphic xmlns:a="http://schemas.openxmlformats.org/drawingml/2006/main">
                  <a:graphicData uri="http://schemas.microsoft.com/office/word/2010/wordprocessingShape">
                    <wps:wsp>
                      <wps:cNvSpPr/>
                      <wps:spPr>
                        <a:xfrm>
                          <a:off x="0" y="0"/>
                          <a:ext cx="1828800" cy="2590800"/>
                        </a:xfrm>
                        <a:prstGeom prst="rect">
                          <a:avLst/>
                        </a:prstGeom>
                        <a:noFill/>
                        <a:ln w="38100" cap="flat" cmpd="sng" algn="ctr">
                          <a:solidFill>
                            <a:sysClr val="windowText" lastClr="00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3" style="position:absolute;margin-left:167.35pt;margin-top:2.7pt;width:2in;height: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windowText" strokeweight="3pt" w14:anchorId="11F76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"/>
            </w:pict>
          </mc:Fallback>
        </mc:AlternateContent>
      </w:r>
      <w:r w:rsidRPr="007F0B8E">
        <w:rPr>
          <w:rFonts w:ascii="Palatino Linotype" w:hAnsi="Palatino Linotype"/>
          <w:noProof/>
          <w:lang w:eastAsia="es-MX"/>
        </w:rPr>
        <w:drawing>
          <wp:inline distT="0" distB="0" distL="0" distR="0" wp14:anchorId="621C0D5C" wp14:editId="390FCC32">
            <wp:extent cx="5039995" cy="2626360"/>
            <wp:effectExtent l="0" t="0" r="825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t="10001" b="7077"/>
                    <a:stretch>
                      <a:fillRect/>
                    </a:stretch>
                  </pic:blipFill>
                  <pic:spPr bwMode="auto">
                    <a:xfrm>
                      <a:off x="0" y="0"/>
                      <a:ext cx="5039995" cy="2626360"/>
                    </a:xfrm>
                    <a:prstGeom prst="rect">
                      <a:avLst/>
                    </a:prstGeom>
                    <a:noFill/>
                    <a:ln>
                      <a:noFill/>
                    </a:ln>
                  </pic:spPr>
                </pic:pic>
              </a:graphicData>
            </a:graphic>
          </wp:inline>
        </w:drawing>
      </w:r>
    </w:p>
    <w:p w:rsidRPr="007F0B8E" w:rsidR="00C73D2A" w:rsidP="00C73D2A" w:rsidRDefault="00C73D2A" w14:paraId="47E976E0"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628259C5"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En ese contexto, cabe precisar que si bien proporcionar el nombre, cargo y remuneraciones de los elementos operativos, </w:t>
      </w:r>
      <w:r w:rsidRPr="007F0B8E">
        <w:rPr>
          <w:rFonts w:ascii="Palatino Linotype" w:hAnsi="Palatino Linotype" w:eastAsia="Calibri" w:cs="Tahoma"/>
          <w:b/>
          <w:bCs/>
          <w:sz w:val="22"/>
          <w:szCs w:val="22"/>
          <w:lang w:eastAsia="en-US"/>
        </w:rPr>
        <w:t>podría dar cuenta del estado de fuerza de la policía municipal</w:t>
      </w:r>
      <w:r w:rsidRPr="007F0B8E">
        <w:rPr>
          <w:rFonts w:ascii="Palatino Linotype" w:hAnsi="Palatino Linotype" w:eastAsia="Calibri" w:cs="Tahoma"/>
          <w:bCs/>
          <w:sz w:val="22"/>
          <w:szCs w:val="22"/>
          <w:lang w:eastAsia="en-US"/>
        </w:rPr>
        <w:t>, también lo es que este Instituto no advierte de qué forma, proporcionar el número de elementos que conforma el estado de fuerza, comprometa la seguridad pública del Municipio, por las siguientes consideraciones:</w:t>
      </w:r>
    </w:p>
    <w:p w:rsidRPr="007F0B8E" w:rsidR="00C73D2A" w:rsidP="00C73D2A" w:rsidRDefault="00C73D2A" w14:paraId="3DBAD812"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44000DE5" w14:textId="77777777">
      <w:pPr>
        <w:numPr>
          <w:ilvl w:val="0"/>
          <w:numId w:val="39"/>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No entorpece los sistemas de coordinación interinstitucional en materia de seguridad pública, pues únicamente se establecería el número de policías con los que cuenta, o bien la denominación de cargo en específico.</w:t>
      </w:r>
    </w:p>
    <w:p w:rsidRPr="007F0B8E" w:rsidR="00C73D2A" w:rsidP="00C73D2A" w:rsidRDefault="00C73D2A" w14:paraId="5121DE7C" w14:textId="77777777">
      <w:pPr>
        <w:spacing w:line="360" w:lineRule="auto"/>
        <w:ind w:left="720"/>
        <w:contextualSpacing/>
        <w:jc w:val="both"/>
        <w:rPr>
          <w:rFonts w:ascii="Palatino Linotype" w:hAnsi="Palatino Linotype" w:eastAsia="Calibri" w:cs="Tahoma"/>
          <w:bCs/>
          <w:sz w:val="22"/>
          <w:szCs w:val="22"/>
          <w:lang w:eastAsia="en-US"/>
        </w:rPr>
      </w:pPr>
    </w:p>
    <w:p w:rsidRPr="007F0B8E" w:rsidR="00C73D2A" w:rsidP="00C73D2A" w:rsidRDefault="00C73D2A" w14:paraId="1B612227" w14:textId="77777777">
      <w:pPr>
        <w:numPr>
          <w:ilvl w:val="0"/>
          <w:numId w:val="39"/>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Tampoco dificulta o menoscaba las estrategias contra la evasión de reos o la capacidad de disuadir, prevenir disturbios sociales, o bien, la capacidad de reacción, planes, estrategias, tecnologías, información o sistemas de comunicaciones, pues no se está dando a conocer información concerniente a vehículos, armamento, chalecos o radios </w:t>
      </w:r>
      <w:r w:rsidRPr="007F0B8E">
        <w:rPr>
          <w:rFonts w:ascii="Palatino Linotype" w:hAnsi="Palatino Linotype" w:eastAsia="Calibri" w:cs="Tahoma"/>
          <w:bCs/>
          <w:sz w:val="22"/>
          <w:szCs w:val="22"/>
          <w:lang w:eastAsia="en-US"/>
        </w:rPr>
        <w:lastRenderedPageBreak/>
        <w:t>de comunicación; sino únicamente al personal que se encarga de la seguridad pública del Municipio.</w:t>
      </w:r>
    </w:p>
    <w:p w:rsidRPr="007F0B8E" w:rsidR="00C73D2A" w:rsidP="00C73D2A" w:rsidRDefault="00C73D2A" w14:paraId="7867E33E" w14:textId="77777777">
      <w:pPr>
        <w:spacing w:line="360" w:lineRule="auto"/>
        <w:ind w:left="720"/>
        <w:contextualSpacing/>
        <w:rPr>
          <w:rFonts w:ascii="Palatino Linotype" w:hAnsi="Palatino Linotype" w:eastAsia="Calibri" w:cs="Tahoma"/>
          <w:bCs/>
          <w:sz w:val="22"/>
          <w:szCs w:val="22"/>
          <w:lang w:eastAsia="en-US"/>
        </w:rPr>
      </w:pPr>
    </w:p>
    <w:p w:rsidRPr="007F0B8E" w:rsidR="00C73D2A" w:rsidP="00C73D2A" w:rsidRDefault="00C73D2A" w14:paraId="4485C0C0" w14:textId="77777777">
      <w:pPr>
        <w:numPr>
          <w:ilvl w:val="0"/>
          <w:numId w:val="39"/>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La información requerida, no es producto de la intervención de comunicaciones privadas, ni se encuentra contenida en averiguaciones previas, carpetas de investigación, expedientes y archivos de investigación o prevención de delitos.</w:t>
      </w:r>
    </w:p>
    <w:p w:rsidRPr="007F0B8E" w:rsidR="00C73D2A" w:rsidP="00C73D2A" w:rsidRDefault="00C73D2A" w14:paraId="5A407012" w14:textId="77777777">
      <w:pPr>
        <w:spacing w:line="360" w:lineRule="auto"/>
        <w:ind w:left="720"/>
        <w:contextualSpacing/>
        <w:rPr>
          <w:rFonts w:ascii="Palatino Linotype" w:hAnsi="Palatino Linotype" w:eastAsia="Calibri" w:cs="Tahoma"/>
          <w:bCs/>
          <w:sz w:val="22"/>
          <w:szCs w:val="22"/>
          <w:lang w:eastAsia="en-US"/>
        </w:rPr>
      </w:pPr>
    </w:p>
    <w:p w:rsidRPr="007F0B8E" w:rsidR="00C73D2A" w:rsidP="00C73D2A" w:rsidRDefault="00C73D2A" w14:paraId="75185913" w14:textId="03B64AB7">
      <w:pPr>
        <w:numPr>
          <w:ilvl w:val="0"/>
          <w:numId w:val="39"/>
        </w:num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El nombre, cargo o sueldo, de ninguna forma da cuenta, de normas, procedimientos, métodos, fuentes, especificaciones técnicas, sistemas, tecnologías o equipos útiles a la generación de inteligencia en materia de seguridad pública o en combate a la delincuencia, pues como se precisó solamente da a conocer el estado de fuerza municipal y no la forma de actuación, estrategias y equipo con la que opera la Dirección de Seguridad Pública Municipal.</w:t>
      </w:r>
    </w:p>
    <w:p w:rsidRPr="007F0B8E" w:rsidR="00C73D2A" w:rsidP="00C73D2A" w:rsidRDefault="00C73D2A" w14:paraId="421E1561"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1726FE3C" w14:textId="100D2617">
      <w:pPr>
        <w:spacing w:line="360" w:lineRule="auto"/>
        <w:jc w:val="both"/>
        <w:rPr>
          <w:rFonts w:ascii="Palatino Linotype" w:hAnsi="Palatino Linotype" w:eastAsia="Calibri" w:cs="Tahoma"/>
          <w:b/>
          <w:bCs/>
          <w:sz w:val="22"/>
          <w:szCs w:val="22"/>
          <w:lang w:eastAsia="en-US"/>
        </w:rPr>
      </w:pPr>
      <w:r w:rsidRPr="007F0B8E">
        <w:rPr>
          <w:rFonts w:ascii="Palatino Linotype" w:hAnsi="Palatino Linotype" w:eastAsia="Calibri" w:cs="Tahoma"/>
          <w:bCs/>
          <w:sz w:val="22"/>
          <w:szCs w:val="22"/>
          <w:lang w:eastAsia="en-US"/>
        </w:rPr>
        <w:t>Conforme a lo anterior, no se logra desprender, la forma en que el nombre, cargo y remuneraciones de los cuerpos policiacos, puedan afectar la seguridad pública del Municipio de Ixtlahuaca; además</w:t>
      </w:r>
      <w:r w:rsidRPr="007F0B8E">
        <w:rPr>
          <w:rFonts w:ascii="Palatino Linotype" w:hAnsi="Palatino Linotype" w:eastAsia="Calibri" w:cs="Tahoma"/>
          <w:iCs/>
          <w:sz w:val="22"/>
          <w:szCs w:val="22"/>
          <w:lang w:val="es-ES" w:eastAsia="es-ES_tradnl"/>
        </w:rPr>
        <w:t xml:space="preserve">, que este Instituto no advierte un riesgo real, demostrable e identificable que supere al interés público o bien perjudique la seguridad pública, pues como se precisó en párrafos anteriores, la información requerida </w:t>
      </w:r>
      <w:r w:rsidRPr="007F0B8E">
        <w:rPr>
          <w:rFonts w:ascii="Palatino Linotype" w:hAnsi="Palatino Linotype" w:eastAsia="Calibri" w:cs="Tahoma"/>
          <w:b/>
          <w:iCs/>
          <w:sz w:val="22"/>
          <w:szCs w:val="22"/>
          <w:lang w:val="es-ES" w:eastAsia="es-ES_tradnl"/>
        </w:rPr>
        <w:t xml:space="preserve">no da cuenta de la forma de actuación, estrategias o equipo con el que cuenta la </w:t>
      </w:r>
      <w:r w:rsidRPr="007F0B8E">
        <w:rPr>
          <w:rFonts w:ascii="Palatino Linotype" w:hAnsi="Palatino Linotype" w:eastAsia="Calibri" w:cs="Tahoma"/>
          <w:b/>
          <w:bCs/>
          <w:iCs/>
          <w:sz w:val="22"/>
          <w:szCs w:val="22"/>
          <w:lang w:eastAsia="es-ES_tradnl"/>
        </w:rPr>
        <w:t>Dirección de Seguridad Pública Municipal</w:t>
      </w:r>
      <w:r w:rsidRPr="007F0B8E">
        <w:rPr>
          <w:rFonts w:ascii="Palatino Linotype" w:hAnsi="Palatino Linotype" w:eastAsia="Calibri" w:cs="Tahoma"/>
          <w:b/>
          <w:iCs/>
          <w:sz w:val="22"/>
          <w:szCs w:val="22"/>
          <w:lang w:val="es-ES" w:eastAsia="es-ES_tradnl"/>
        </w:rPr>
        <w:t>, tampoco precisa la capacidad de reacción o la forma de organización para prevenir delitos, ni de actuaciones en averiguaciones previas, carpetas de investigación o bien, la intervención de comunicaciones privadas.</w:t>
      </w:r>
    </w:p>
    <w:p w:rsidRPr="007F0B8E" w:rsidR="00C73D2A" w:rsidP="00C73D2A" w:rsidRDefault="00C73D2A" w14:paraId="3CCDB6FB" w14:textId="77777777">
      <w:pPr>
        <w:spacing w:line="360" w:lineRule="auto"/>
        <w:ind w:right="-93"/>
        <w:jc w:val="both"/>
        <w:rPr>
          <w:rFonts w:ascii="Palatino Linotype" w:hAnsi="Palatino Linotype" w:eastAsia="Calibri" w:cs="Tahoma"/>
          <w:bCs/>
          <w:sz w:val="22"/>
          <w:szCs w:val="22"/>
          <w:lang w:eastAsia="en-US"/>
        </w:rPr>
      </w:pPr>
    </w:p>
    <w:p w:rsidRPr="007F0B8E" w:rsidR="00C73D2A" w:rsidP="00C73D2A" w:rsidRDefault="00C73D2A" w14:paraId="2151103F" w14:textId="78324D55">
      <w:pPr>
        <w:spacing w:line="360" w:lineRule="auto"/>
        <w:ind w:right="-93"/>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Situación que se robustece con el hecho de que conforme al artículo 92, fracciones VII y VIII, de la Ley de Transparencia y Acceso a la Información Pública del Estado de México y Municipios, el nombre de los trabajadores gubernamentales y sus remuneraciones, son de carácter público. </w:t>
      </w:r>
      <w:r w:rsidRPr="007F0B8E">
        <w:rPr>
          <w:rFonts w:ascii="Palatino Linotype" w:hAnsi="Palatino Linotype" w:eastAsia="Calibri" w:cs="Tahoma"/>
          <w:bCs/>
          <w:sz w:val="22"/>
          <w:szCs w:val="22"/>
          <w:lang w:eastAsia="en-US"/>
        </w:rPr>
        <w:lastRenderedPageBreak/>
        <w:t xml:space="preserve">Por lo tanto, dicho ordenamiento jurídico, considera que </w:t>
      </w:r>
      <w:r w:rsidRPr="007F0B8E">
        <w:rPr>
          <w:rFonts w:ascii="Palatino Linotype" w:hAnsi="Palatino Linotype" w:eastAsia="Calibri" w:cs="Tahoma"/>
          <w:b/>
          <w:bCs/>
          <w:sz w:val="22"/>
          <w:szCs w:val="22"/>
          <w:lang w:eastAsia="en-US"/>
        </w:rPr>
        <w:t xml:space="preserve">los datos de servidores públicos, por regla general, </w:t>
      </w:r>
      <w:r w:rsidRPr="007F0B8E">
        <w:rPr>
          <w:rFonts w:ascii="Palatino Linotype" w:hAnsi="Palatino Linotype" w:eastAsia="Calibri" w:cs="Tahoma"/>
          <w:bCs/>
          <w:sz w:val="22"/>
          <w:szCs w:val="22"/>
          <w:lang w:eastAsia="en-US"/>
        </w:rPr>
        <w:t>son de naturaleza pública, ya que su publicidad orienta a cumplir los objetivos que persigue la Ley.</w:t>
      </w:r>
    </w:p>
    <w:p w:rsidRPr="007F0B8E" w:rsidR="00C73D2A" w:rsidP="00C73D2A" w:rsidRDefault="00C73D2A" w14:paraId="3DE908D1"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30042227" w14:textId="1197D6B0">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De tal situación, el simple hecho de conocer el número de policías municipales con los que cuenta el Municipio, no brinda información que pudiera ser utilizada por personas con la finalidad de cometer algún ilícito, pues si bien constituye o se identifica como se conforma el estado de fuerza, este no refleja la capacidad de reacción, pues se integra, entre otras cosas por el equipo con el que cuenta la Dirección de Seguridad Pública Municipal, como lo son, los vehículos y armamento; asimismo, no es posible identificar el riesgo de perjuicio que supondría la divulgación de la información, contenida en la nómina del personal de seguridad pública, o que esta información constituya  procedimientos, métodos, fuentes, especificaciones técnicas, tecnología o equipo útiles a la generación de inteligencia utilizado en la prevención de los delitos del orden común, pues únicamente se estarían revelando el nombre, cargo y puesto, sin precisar sus funciones específicas y si estas son de carácter operativo o administrativo.</w:t>
      </w:r>
    </w:p>
    <w:p w:rsidRPr="007F0B8E" w:rsidR="00C73D2A" w:rsidP="00C73D2A" w:rsidRDefault="00C73D2A" w14:paraId="4A18B2A4" w14:textId="77777777">
      <w:pPr>
        <w:spacing w:line="360" w:lineRule="auto"/>
        <w:jc w:val="both"/>
        <w:rPr>
          <w:rFonts w:ascii="Palatino Linotype" w:hAnsi="Palatino Linotype" w:eastAsia="Calibri" w:cs="Tahoma"/>
          <w:bCs/>
          <w:sz w:val="22"/>
          <w:szCs w:val="22"/>
          <w:lang w:eastAsia="en-US"/>
        </w:rPr>
      </w:pPr>
    </w:p>
    <w:p w:rsidRPr="007F0B8E" w:rsidR="00C73D2A" w:rsidP="00C73D2A" w:rsidRDefault="00C73D2A" w14:paraId="299EFF0C" w14:textId="3AF193D3">
      <w:pPr>
        <w:spacing w:line="360" w:lineRule="auto"/>
        <w:ind w:right="-93"/>
        <w:jc w:val="both"/>
        <w:rPr>
          <w:rFonts w:ascii="Palatino Linotype" w:hAnsi="Palatino Linotype" w:cs="Tahoma"/>
          <w:sz w:val="22"/>
          <w:szCs w:val="22"/>
          <w:lang w:val="es-ES"/>
        </w:rPr>
      </w:pPr>
      <w:r w:rsidRPr="007F0B8E">
        <w:rPr>
          <w:rFonts w:ascii="Palatino Linotype" w:hAnsi="Palatino Linotype" w:cs="Tahoma"/>
          <w:sz w:val="22"/>
          <w:szCs w:val="22"/>
          <w:lang w:val="es-ES"/>
        </w:rPr>
        <w:t>Por tales consideraciones, no resulta procedente la reserva en términos del artículo 140, fracción I de la Ley de Transparencia y Acceso a la Información Pública del Estado de México y Municipios.</w:t>
      </w:r>
    </w:p>
    <w:p w:rsidRPr="007F0B8E" w:rsidR="00C73D2A" w:rsidP="00C73D2A" w:rsidRDefault="00C73D2A" w14:paraId="60C0DAEB" w14:textId="77777777">
      <w:pPr>
        <w:spacing w:line="360" w:lineRule="auto"/>
        <w:ind w:right="-93"/>
        <w:jc w:val="both"/>
        <w:rPr>
          <w:rFonts w:ascii="Palatino Linotype" w:hAnsi="Palatino Linotype" w:cs="Tahoma"/>
          <w:sz w:val="22"/>
          <w:szCs w:val="22"/>
          <w:lang w:val="es-ES"/>
        </w:rPr>
      </w:pPr>
    </w:p>
    <w:p w:rsidRPr="007F0B8E" w:rsidR="00C73D2A" w:rsidP="00C73D2A" w:rsidRDefault="00C73D2A" w14:paraId="308A0822" w14:textId="414E178C">
      <w:pPr>
        <w:spacing w:line="360" w:lineRule="auto"/>
        <w:jc w:val="both"/>
        <w:rPr>
          <w:rFonts w:ascii="Palatino Linotype" w:hAnsi="Palatino Linotype" w:eastAsia="Calibri" w:cs="Tahoma"/>
          <w:b/>
          <w:color w:val="0D0D0D" w:themeColor="text1" w:themeTint="F2"/>
          <w:sz w:val="22"/>
          <w:szCs w:val="22"/>
          <w:lang w:eastAsia="en-US"/>
        </w:rPr>
      </w:pPr>
      <w:r w:rsidRPr="007F0B8E">
        <w:rPr>
          <w:rFonts w:ascii="Palatino Linotype" w:hAnsi="Palatino Linotype" w:eastAsia="Calibri" w:cs="Tahoma"/>
          <w:b/>
          <w:color w:val="0D0D0D" w:themeColor="text1" w:themeTint="F2"/>
          <w:sz w:val="22"/>
          <w:szCs w:val="22"/>
          <w:lang w:eastAsia="en-US"/>
        </w:rPr>
        <w:t>Artículo 140, fracción IV, de la Ley de Transparencia y Acceso a la Información Pública del Estado de México y Municipios.</w:t>
      </w:r>
    </w:p>
    <w:p w:rsidRPr="007F0B8E" w:rsidR="000B4244" w:rsidP="00925A04" w:rsidRDefault="000B4244" w14:paraId="3A2FE6FB" w14:textId="5ABCFECD">
      <w:pPr>
        <w:spacing w:line="360" w:lineRule="auto"/>
        <w:jc w:val="both"/>
        <w:rPr>
          <w:rFonts w:ascii="Palatino Linotype" w:hAnsi="Palatino Linotype" w:eastAsia="Calibri" w:cs="Tahoma"/>
          <w:bCs/>
          <w:color w:val="0D0D0D" w:themeColor="text1" w:themeTint="F2"/>
          <w:sz w:val="22"/>
          <w:szCs w:val="22"/>
          <w:lang w:eastAsia="en-US"/>
        </w:rPr>
      </w:pPr>
    </w:p>
    <w:p w:rsidRPr="007F0B8E" w:rsidR="001D281D" w:rsidP="001D281D" w:rsidRDefault="005104C3" w14:paraId="5150C50C" w14:textId="2A94E100">
      <w:pPr>
        <w:spacing w:line="360" w:lineRule="auto"/>
        <w:jc w:val="both"/>
        <w:rPr>
          <w:rFonts w:ascii="Palatino Linotype" w:hAnsi="Palatino Linotype" w:eastAsia="Calibri"/>
          <w:sz w:val="22"/>
        </w:rPr>
      </w:pPr>
      <w:r w:rsidRPr="007F0B8E">
        <w:rPr>
          <w:rFonts w:ascii="Palatino Linotype" w:hAnsi="Palatino Linotype" w:eastAsia="Calibri"/>
          <w:sz w:val="22"/>
        </w:rPr>
        <w:t>E</w:t>
      </w:r>
      <w:r w:rsidRPr="007F0B8E" w:rsidR="001D281D">
        <w:rPr>
          <w:rFonts w:ascii="Palatino Linotype" w:hAnsi="Palatino Linotype" w:eastAsia="Calibri"/>
          <w:sz w:val="22"/>
        </w:rPr>
        <w:t>l 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Pr="007F0B8E" w:rsidR="001D281D" w:rsidP="001D281D" w:rsidRDefault="001D281D" w14:paraId="1222A2FA"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lastRenderedPageBreak/>
        <w:t>“</w:t>
      </w:r>
      <w:r w:rsidRPr="007F0B8E">
        <w:rPr>
          <w:rFonts w:ascii="Palatino Linotype" w:hAnsi="Palatino Linotype" w:eastAsia="Calibri" w:cs="Tahoma"/>
          <w:b/>
          <w:i/>
          <w:iCs/>
          <w:lang w:val="es-ES" w:eastAsia="es-ES_tradnl"/>
        </w:rPr>
        <w:t>Artículo 140.</w:t>
      </w:r>
      <w:r w:rsidRPr="007F0B8E">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7F0B8E" w:rsidR="001D281D" w:rsidP="001D281D" w:rsidRDefault="001D281D" w14:paraId="55D30AE4"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w:t>
      </w:r>
    </w:p>
    <w:p w:rsidRPr="007F0B8E" w:rsidR="001D281D" w:rsidP="001D281D" w:rsidRDefault="001D281D" w14:paraId="1C559DE7"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i/>
          <w:iCs/>
          <w:lang w:eastAsia="es-ES_tradnl"/>
        </w:rPr>
        <w:t>IV. Ponga en riesgo la vida, la seguridad o la salud de una persona física;</w:t>
      </w:r>
    </w:p>
    <w:p w:rsidRPr="007F0B8E" w:rsidR="001D281D" w:rsidP="001D281D" w:rsidRDefault="001D281D" w14:paraId="1B976EED"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 xml:space="preserve">…” </w:t>
      </w:r>
    </w:p>
    <w:p w:rsidRPr="007F0B8E" w:rsidR="001D281D" w:rsidP="001D281D" w:rsidRDefault="001D281D" w14:paraId="1B8742EE"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F1F6D38"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7F0B8E">
        <w:rPr>
          <w:rFonts w:ascii="Palatino Linotype" w:hAnsi="Palatino Linotype" w:eastAsia="Calibri" w:cs="Tahoma"/>
          <w:bCs/>
          <w:sz w:val="22"/>
          <w:szCs w:val="22"/>
          <w:lang w:val="es-ES" w:eastAsia="en-US"/>
        </w:rPr>
        <w:t>Lineamientos Generales,</w:t>
      </w:r>
      <w:r w:rsidRPr="007F0B8E">
        <w:rPr>
          <w:rFonts w:ascii="Palatino Linotype" w:hAnsi="Palatino Linotype" w:eastAsia="Calibri" w:cs="Tahoma"/>
          <w:bCs/>
          <w:sz w:val="22"/>
          <w:szCs w:val="22"/>
          <w:lang w:eastAsia="en-US"/>
        </w:rPr>
        <w:t xml:space="preserve"> establecen lo siguiente:</w:t>
      </w:r>
    </w:p>
    <w:p w:rsidRPr="007F0B8E" w:rsidR="001D281D" w:rsidP="001D281D" w:rsidRDefault="001D281D" w14:paraId="63ADBF21"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1B8A4143"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 xml:space="preserve">“Vigésimo tercero. </w:t>
      </w:r>
      <w:r w:rsidRPr="007F0B8E">
        <w:rPr>
          <w:rFonts w:ascii="Palatino Linotype" w:hAnsi="Palatino Linotype" w:eastAsia="Calibri" w:cs="Tahoma"/>
          <w:bCs/>
          <w:i/>
          <w:lang w:eastAsia="en-US"/>
        </w:rPr>
        <w:t>Para clasificar la información como reservada, de conformidad con el artículo 113, fracción V de la Ley General, será necesario acreditar un vínculo, entre la persona física y la información que pueda poner en riesgo su vida, seguridad o salud.”</w:t>
      </w:r>
    </w:p>
    <w:p w:rsidRPr="007F0B8E" w:rsidR="001D281D" w:rsidP="001D281D" w:rsidRDefault="001D281D" w14:paraId="21F66CE0" w14:textId="77777777">
      <w:pPr>
        <w:spacing w:line="360" w:lineRule="auto"/>
        <w:ind w:left="567" w:right="567"/>
        <w:jc w:val="both"/>
        <w:rPr>
          <w:rFonts w:ascii="Palatino Linotype" w:hAnsi="Palatino Linotype" w:eastAsia="Calibri" w:cs="Tahoma"/>
          <w:bCs/>
          <w:i/>
          <w:lang w:eastAsia="en-US"/>
        </w:rPr>
      </w:pPr>
    </w:p>
    <w:p w:rsidRPr="007F0B8E" w:rsidR="001D281D" w:rsidP="001D281D" w:rsidRDefault="001D281D" w14:paraId="05BB966F"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Del Lineamiento referido, se desprende que para clasificar la información como reservada, será necesario </w:t>
      </w:r>
      <w:r w:rsidRPr="007F0B8E">
        <w:rPr>
          <w:rFonts w:ascii="Palatino Linotype" w:hAnsi="Palatino Linotype" w:eastAsia="Calibri" w:cs="Tahoma"/>
          <w:b/>
          <w:bCs/>
          <w:sz w:val="22"/>
          <w:szCs w:val="22"/>
          <w:lang w:eastAsia="en-US"/>
        </w:rPr>
        <w:t>acreditar un vínculo, entre la persona física y la información que pueda poner en riesgo su vida, seguridad o salud</w:t>
      </w:r>
      <w:r w:rsidRPr="007F0B8E">
        <w:rPr>
          <w:rFonts w:ascii="Palatino Linotype" w:hAnsi="Palatino Linotype" w:eastAsia="Calibri" w:cs="Tahoma"/>
          <w:bCs/>
          <w:sz w:val="22"/>
          <w:szCs w:val="22"/>
          <w:lang w:eastAsia="en-US"/>
        </w:rPr>
        <w:t>.</w:t>
      </w:r>
    </w:p>
    <w:p w:rsidRPr="007F0B8E" w:rsidR="001D281D" w:rsidP="001D281D" w:rsidRDefault="001D281D" w14:paraId="0886D7A0"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380ACA8D"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Además, el artículo 81, fracción III, de la Ley de Seguridad del Estado de México, establece lo siguiente:</w:t>
      </w:r>
    </w:p>
    <w:p w:rsidRPr="007F0B8E" w:rsidR="001D281D" w:rsidP="001D281D" w:rsidRDefault="001D281D" w14:paraId="11094A42"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C7280F2"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
          <w:bCs/>
          <w:i/>
          <w:lang w:eastAsia="en-US"/>
        </w:rPr>
        <w:t>“Artículo 81.-</w:t>
      </w:r>
      <w:r w:rsidRPr="007F0B8E">
        <w:rPr>
          <w:rFonts w:ascii="Palatino Linotype" w:hAnsi="Palatino Linotype" w:eastAsia="Calibri" w:cs="Tahoma"/>
          <w:bCs/>
          <w:i/>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Pr="007F0B8E" w:rsidR="001D281D" w:rsidP="001D281D" w:rsidRDefault="001D281D" w14:paraId="3FC99BE1" w14:textId="2C888C33">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Cs/>
          <w:i/>
          <w:lang w:eastAsia="en-US"/>
        </w:rPr>
        <w:t>…</w:t>
      </w:r>
    </w:p>
    <w:p w:rsidRPr="007F0B8E" w:rsidR="005104C3" w:rsidP="001D281D" w:rsidRDefault="005104C3" w14:paraId="0D775A25" w14:textId="77777777">
      <w:pPr>
        <w:spacing w:line="360" w:lineRule="auto"/>
        <w:ind w:left="567" w:right="567"/>
        <w:jc w:val="both"/>
        <w:rPr>
          <w:rFonts w:ascii="Palatino Linotype" w:hAnsi="Palatino Linotype" w:eastAsia="Calibri" w:cs="Tahoma"/>
          <w:bCs/>
          <w:i/>
          <w:lang w:eastAsia="en-US"/>
        </w:rPr>
      </w:pPr>
    </w:p>
    <w:p w:rsidRPr="007F0B8E" w:rsidR="001D281D" w:rsidP="001D281D" w:rsidRDefault="001D281D" w14:paraId="346DEA05"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Cs/>
          <w:i/>
          <w:lang w:eastAsia="en-US"/>
        </w:rPr>
        <w:lastRenderedPageBreak/>
        <w:t>III. La relativa a los servidores públicos integrantes de las instituciones de seguridad pública, cuya revelación pueda poner en riesgo su vida e integridad física con motivo de sus funciones;</w:t>
      </w:r>
    </w:p>
    <w:p w:rsidRPr="007F0B8E" w:rsidR="001D281D" w:rsidP="001D281D" w:rsidRDefault="001D281D" w14:paraId="77B78F24" w14:textId="77777777">
      <w:pPr>
        <w:spacing w:line="360" w:lineRule="auto"/>
        <w:ind w:left="567" w:right="567"/>
        <w:jc w:val="both"/>
        <w:rPr>
          <w:rFonts w:ascii="Palatino Linotype" w:hAnsi="Palatino Linotype" w:eastAsia="Calibri" w:cs="Tahoma"/>
          <w:bCs/>
          <w:i/>
          <w:lang w:eastAsia="en-US"/>
        </w:rPr>
      </w:pPr>
      <w:r w:rsidRPr="007F0B8E">
        <w:rPr>
          <w:rFonts w:ascii="Palatino Linotype" w:hAnsi="Palatino Linotype" w:eastAsia="Calibri" w:cs="Tahoma"/>
          <w:bCs/>
          <w:i/>
          <w:lang w:eastAsia="en-US"/>
        </w:rPr>
        <w:t>…”</w:t>
      </w:r>
    </w:p>
    <w:p w:rsidRPr="007F0B8E" w:rsidR="001D281D" w:rsidP="001D281D" w:rsidRDefault="001D281D" w14:paraId="57FB434D" w14:textId="77777777">
      <w:pPr>
        <w:spacing w:line="360" w:lineRule="auto"/>
        <w:jc w:val="both"/>
        <w:rPr>
          <w:rFonts w:ascii="Palatino Linotype" w:hAnsi="Palatino Linotype" w:eastAsia="Calibri" w:cs="Tahoma"/>
          <w:bCs/>
          <w:lang w:eastAsia="en-US"/>
        </w:rPr>
      </w:pPr>
    </w:p>
    <w:p w:rsidRPr="007F0B8E" w:rsidR="001D281D" w:rsidP="001D281D" w:rsidRDefault="001D281D" w14:paraId="5D51B81D" w14:textId="3454C826">
      <w:pPr>
        <w:spacing w:line="360" w:lineRule="auto"/>
        <w:jc w:val="both"/>
        <w:rPr>
          <w:rFonts w:ascii="Palatino Linotype" w:hAnsi="Palatino Linotype" w:cs="Tahoma"/>
          <w:sz w:val="22"/>
          <w:szCs w:val="22"/>
        </w:rPr>
      </w:pPr>
      <w:r w:rsidRPr="007F0B8E">
        <w:rPr>
          <w:rFonts w:ascii="Palatino Linotype" w:hAnsi="Palatino Linotype" w:cs="Tahoma"/>
          <w:sz w:val="22"/>
          <w:szCs w:val="22"/>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Pr="007F0B8E" w:rsidR="004E0DE5" w:rsidP="001D281D" w:rsidRDefault="004E0DE5" w14:paraId="338F1839" w14:textId="77777777">
      <w:pPr>
        <w:spacing w:line="360" w:lineRule="auto"/>
        <w:jc w:val="both"/>
        <w:rPr>
          <w:rFonts w:ascii="Palatino Linotype" w:hAnsi="Palatino Linotype" w:cs="Tahoma"/>
          <w:sz w:val="22"/>
          <w:szCs w:val="22"/>
        </w:rPr>
      </w:pPr>
    </w:p>
    <w:p w:rsidRPr="007F0B8E" w:rsidR="001D281D" w:rsidP="001D281D" w:rsidRDefault="001D281D" w14:paraId="231113E4"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En ese contexto, es de señalar que los datos de servidores públicos, entre los que se encuentran el nombre de los trabajadores, por regla general,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Pr="007F0B8E" w:rsidR="001D281D" w:rsidP="001D281D" w:rsidRDefault="001D281D" w14:paraId="6134E61F"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456D1A5D" w14:textId="77777777">
      <w:pPr>
        <w:spacing w:line="360" w:lineRule="auto"/>
        <w:jc w:val="both"/>
        <w:rPr>
          <w:rFonts w:ascii="Palatino Linotype" w:hAnsi="Palatino Linotype" w:cs="Tahoma"/>
          <w:sz w:val="22"/>
          <w:szCs w:val="22"/>
        </w:rPr>
      </w:pPr>
      <w:r w:rsidRPr="007F0B8E">
        <w:rPr>
          <w:rFonts w:ascii="Palatino Linotype" w:hAnsi="Palatino Linotype" w:eastAsia="Calibri" w:cs="Tahoma"/>
          <w:bCs/>
          <w:sz w:val="22"/>
          <w:szCs w:val="22"/>
          <w:lang w:eastAsia="en-US"/>
        </w:rPr>
        <w:t xml:space="preserve">No obstante, resulta necesario traer a colación por analogía, el Criterio 06/09, emitido por </w:t>
      </w:r>
      <w:r w:rsidRPr="007F0B8E">
        <w:rPr>
          <w:rFonts w:ascii="Palatino Linotype" w:hAnsi="Palatino Linotype" w:cs="Tahoma"/>
          <w:sz w:val="22"/>
          <w:szCs w:val="22"/>
        </w:rPr>
        <w:t>el entonces Instituto Federal de Acceso a la Información y Protección de Datos ahora Instituto Nacional de Transparencia, Acceso a la Información y Protección de Datos Personales, que establece lo siguiente:</w:t>
      </w:r>
    </w:p>
    <w:p w:rsidRPr="007F0B8E" w:rsidR="001D281D" w:rsidP="001D281D" w:rsidRDefault="001D281D" w14:paraId="0599393B" w14:textId="77777777">
      <w:pPr>
        <w:spacing w:line="360" w:lineRule="auto"/>
        <w:jc w:val="both"/>
        <w:rPr>
          <w:rFonts w:ascii="Palatino Linotype" w:hAnsi="Palatino Linotype" w:cs="Tahoma"/>
          <w:i/>
          <w:sz w:val="22"/>
          <w:szCs w:val="22"/>
        </w:rPr>
      </w:pPr>
    </w:p>
    <w:p w:rsidRPr="007F0B8E" w:rsidR="001D281D" w:rsidP="001D281D" w:rsidRDefault="001D281D" w14:paraId="62353EEF" w14:textId="77777777">
      <w:pPr>
        <w:tabs>
          <w:tab w:val="left" w:pos="4962"/>
        </w:tabs>
        <w:spacing w:line="360" w:lineRule="auto"/>
        <w:ind w:left="567" w:right="567"/>
        <w:jc w:val="both"/>
        <w:rPr>
          <w:rFonts w:ascii="Palatino Linotype" w:hAnsi="Palatino Linotype" w:cs="Tahoma"/>
          <w:i/>
          <w:szCs w:val="22"/>
        </w:rPr>
      </w:pPr>
      <w:r w:rsidRPr="007F0B8E">
        <w:rPr>
          <w:rFonts w:ascii="Palatino Linotype" w:hAnsi="Palatino Linotype" w:cs="Tahoma"/>
          <w:b/>
          <w:i/>
          <w:szCs w:val="22"/>
        </w:rPr>
        <w:t>“Nombres de servidores públicos dedicados a actividades en materia de seguridad, por excepción pueden considerarse información reservada.</w:t>
      </w:r>
      <w:r w:rsidRPr="007F0B8E">
        <w:rPr>
          <w:rFonts w:ascii="Palatino Linotype" w:hAnsi="Palatino Linotype" w:cs="Tahoma"/>
          <w:i/>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w:t>
      </w:r>
      <w:r w:rsidRPr="007F0B8E">
        <w:rPr>
          <w:rFonts w:ascii="Palatino Linotype" w:hAnsi="Palatino Linotype" w:cs="Tahoma"/>
          <w:i/>
          <w:szCs w:val="22"/>
        </w:rPr>
        <w:lastRenderedPageBreak/>
        <w:t>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Pr="007F0B8E" w:rsidR="001D281D" w:rsidP="001D281D" w:rsidRDefault="001D281D" w14:paraId="2FBC4100"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64165F3C"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Pr="007F0B8E" w:rsidR="001D281D" w:rsidP="001D281D" w:rsidRDefault="001D281D" w14:paraId="49507084"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DF94B20"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En ese orden de ideas, si bien por regla general los nombres de los trabajadores gubernamentales son información pública de oficio, existe una excepción relativa a </w:t>
      </w:r>
      <w:r w:rsidRPr="007F0B8E">
        <w:rPr>
          <w:rFonts w:ascii="Palatino Linotype" w:hAnsi="Palatino Linotype" w:eastAsia="Calibri" w:cs="Tahoma"/>
          <w:b/>
          <w:bCs/>
          <w:sz w:val="22"/>
          <w:szCs w:val="22"/>
          <w:lang w:eastAsia="en-US"/>
        </w:rPr>
        <w:t>aquellos que realicen actividades operativas en materia de seguridad,</w:t>
      </w:r>
      <w:r w:rsidRPr="007F0B8E">
        <w:rPr>
          <w:rFonts w:ascii="Palatino Linotype" w:hAnsi="Palatino Linotype" w:eastAsia="Calibri" w:cs="Tahoma"/>
          <w:bCs/>
          <w:sz w:val="22"/>
          <w:szCs w:val="22"/>
          <w:lang w:eastAsia="en-US"/>
        </w:rPr>
        <w:t xml:space="preserve"> como es el caso de los elementos operativos y la policía municipal.</w:t>
      </w:r>
    </w:p>
    <w:p w:rsidRPr="007F0B8E" w:rsidR="001D281D" w:rsidP="001D281D" w:rsidRDefault="001D281D" w14:paraId="4FC3D5ED"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6F2D3FE"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w:t>
      </w:r>
      <w:r w:rsidRPr="007F0B8E">
        <w:rPr>
          <w:rFonts w:ascii="Palatino Linotype" w:hAnsi="Palatino Linotype" w:eastAsia="Calibri" w:cs="Tahoma"/>
          <w:bCs/>
          <w:sz w:val="22"/>
          <w:szCs w:val="22"/>
          <w:lang w:eastAsia="en-US"/>
        </w:rPr>
        <w:lastRenderedPageBreak/>
        <w:t>para adolescentes, de las instancias encargadas de aplicar las infracción administrativas, y de las demás autoridades de las instancias encargadas de aplicar las infracciones administrativas.</w:t>
      </w:r>
    </w:p>
    <w:p w:rsidRPr="007F0B8E" w:rsidR="001D281D" w:rsidP="001D281D" w:rsidRDefault="001D281D" w14:paraId="4CBB8A85"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51BDE296"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En ese contexto, el artículo 6, fracciones XI y XII de dicho ordenamiento jurídico, establece los siguientes conceptos:</w:t>
      </w:r>
    </w:p>
    <w:p w:rsidRPr="007F0B8E" w:rsidR="001D281D" w:rsidP="001D281D" w:rsidRDefault="001D281D" w14:paraId="7CAA7F43"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33E12753" w14:textId="77777777">
      <w:pPr>
        <w:numPr>
          <w:ilvl w:val="0"/>
          <w:numId w:val="31"/>
        </w:numPr>
        <w:spacing w:line="360" w:lineRule="auto"/>
        <w:contextualSpacing/>
        <w:jc w:val="both"/>
        <w:rPr>
          <w:rFonts w:ascii="Palatino Linotype" w:hAnsi="Palatino Linotype" w:eastAsia="Calibri" w:cs="Tahoma"/>
          <w:b/>
          <w:bCs/>
          <w:sz w:val="22"/>
          <w:szCs w:val="22"/>
          <w:lang w:eastAsia="en-US"/>
        </w:rPr>
      </w:pPr>
      <w:r w:rsidRPr="007F0B8E">
        <w:rPr>
          <w:rFonts w:ascii="Palatino Linotype" w:hAnsi="Palatino Linotype" w:eastAsia="Calibri" w:cs="Tahoma"/>
          <w:b/>
          <w:bCs/>
          <w:sz w:val="22"/>
          <w:szCs w:val="22"/>
          <w:lang w:eastAsia="en-US"/>
        </w:rPr>
        <w:t xml:space="preserve">Instituciones Policiales: </w:t>
      </w:r>
      <w:r w:rsidRPr="007F0B8E">
        <w:rPr>
          <w:rFonts w:ascii="Palatino Linotype" w:hAnsi="Palatino Linotype" w:eastAsia="Calibri" w:cs="Tahoma"/>
          <w:bCs/>
          <w:sz w:val="22"/>
          <w:szCs w:val="22"/>
          <w:lang w:eastAsia="en-US"/>
        </w:rPr>
        <w:t xml:space="preserve">Son los cuerpos de policía, de vigilancia y custodia de los establecimientos penitenciarios, detención preventiva, centros de arraigo y en general, </w:t>
      </w:r>
      <w:r w:rsidRPr="007F0B8E">
        <w:rPr>
          <w:rFonts w:ascii="Palatino Linotype" w:hAnsi="Palatino Linotype" w:eastAsia="Calibri" w:cs="Tahoma"/>
          <w:b/>
          <w:bCs/>
          <w:sz w:val="22"/>
          <w:szCs w:val="22"/>
          <w:lang w:eastAsia="en-US"/>
        </w:rPr>
        <w:t>todas las dependencias encargadas de la seguridad pública a nivel</w:t>
      </w:r>
      <w:r w:rsidRPr="007F0B8E">
        <w:rPr>
          <w:rFonts w:ascii="Palatino Linotype" w:hAnsi="Palatino Linotype" w:eastAsia="Calibri" w:cs="Tahoma"/>
          <w:bCs/>
          <w:sz w:val="22"/>
          <w:szCs w:val="22"/>
          <w:lang w:eastAsia="en-US"/>
        </w:rPr>
        <w:t xml:space="preserve"> estatal y </w:t>
      </w:r>
      <w:r w:rsidRPr="007F0B8E">
        <w:rPr>
          <w:rFonts w:ascii="Palatino Linotype" w:hAnsi="Palatino Linotype" w:eastAsia="Calibri" w:cs="Tahoma"/>
          <w:b/>
          <w:bCs/>
          <w:sz w:val="22"/>
          <w:szCs w:val="22"/>
          <w:lang w:eastAsia="en-US"/>
        </w:rPr>
        <w:t>municipal.</w:t>
      </w:r>
    </w:p>
    <w:p w:rsidRPr="007F0B8E" w:rsidR="001D281D" w:rsidP="001D281D" w:rsidRDefault="001D281D" w14:paraId="5FAE69E6" w14:textId="77777777">
      <w:pPr>
        <w:spacing w:line="360" w:lineRule="auto"/>
        <w:ind w:left="720"/>
        <w:contextualSpacing/>
        <w:jc w:val="both"/>
        <w:rPr>
          <w:rFonts w:ascii="Palatino Linotype" w:hAnsi="Palatino Linotype" w:eastAsia="Calibri" w:cs="Tahoma"/>
          <w:bCs/>
          <w:sz w:val="22"/>
          <w:szCs w:val="22"/>
          <w:lang w:eastAsia="en-US"/>
        </w:rPr>
      </w:pPr>
    </w:p>
    <w:p w:rsidRPr="007F0B8E" w:rsidR="001D281D" w:rsidP="001D281D" w:rsidRDefault="001D281D" w14:paraId="41219916" w14:textId="77777777">
      <w:pPr>
        <w:numPr>
          <w:ilvl w:val="0"/>
          <w:numId w:val="31"/>
        </w:numPr>
        <w:spacing w:line="360" w:lineRule="auto"/>
        <w:contextualSpacing/>
        <w:jc w:val="both"/>
        <w:rPr>
          <w:rFonts w:ascii="Palatino Linotype" w:hAnsi="Palatino Linotype" w:eastAsia="Calibri" w:cs="Tahoma"/>
          <w:b/>
          <w:bCs/>
          <w:sz w:val="22"/>
          <w:szCs w:val="22"/>
          <w:lang w:eastAsia="en-US"/>
        </w:rPr>
      </w:pPr>
      <w:r w:rsidRPr="007F0B8E">
        <w:rPr>
          <w:rFonts w:ascii="Palatino Linotype" w:hAnsi="Palatino Linotype" w:eastAsia="Calibri" w:cs="Tahoma"/>
          <w:b/>
          <w:bCs/>
          <w:sz w:val="22"/>
          <w:szCs w:val="22"/>
          <w:lang w:eastAsia="en-US"/>
        </w:rPr>
        <w:t xml:space="preserve">Instituciones de Seguridad Pública: </w:t>
      </w:r>
      <w:r w:rsidRPr="007F0B8E">
        <w:rPr>
          <w:rFonts w:ascii="Palatino Linotype" w:hAnsi="Palatino Linotype" w:eastAsia="Calibri" w:cs="Tahoma"/>
          <w:bCs/>
          <w:sz w:val="22"/>
          <w:szCs w:val="22"/>
          <w:lang w:eastAsia="en-US"/>
        </w:rPr>
        <w:t xml:space="preserve">Instituciones Policiales, Procuración de Justicia, Sistema Penitenciario y </w:t>
      </w:r>
      <w:r w:rsidRPr="007F0B8E">
        <w:rPr>
          <w:rFonts w:ascii="Palatino Linotype" w:hAnsi="Palatino Linotype" w:eastAsia="Calibri" w:cs="Tahoma"/>
          <w:b/>
          <w:bCs/>
          <w:sz w:val="22"/>
          <w:szCs w:val="22"/>
          <w:lang w:eastAsia="en-US"/>
        </w:rPr>
        <w:t xml:space="preserve">dependencias encargadas de la seguridad pública a nivel </w:t>
      </w:r>
      <w:r w:rsidRPr="007F0B8E">
        <w:rPr>
          <w:rFonts w:ascii="Palatino Linotype" w:hAnsi="Palatino Linotype" w:eastAsia="Calibri" w:cs="Tahoma"/>
          <w:bCs/>
          <w:sz w:val="22"/>
          <w:szCs w:val="22"/>
          <w:lang w:eastAsia="en-US"/>
        </w:rPr>
        <w:t xml:space="preserve">estatal y </w:t>
      </w:r>
      <w:r w:rsidRPr="007F0B8E">
        <w:rPr>
          <w:rFonts w:ascii="Palatino Linotype" w:hAnsi="Palatino Linotype" w:eastAsia="Calibri" w:cs="Tahoma"/>
          <w:b/>
          <w:bCs/>
          <w:sz w:val="22"/>
          <w:szCs w:val="22"/>
          <w:lang w:eastAsia="en-US"/>
        </w:rPr>
        <w:t>municipal.</w:t>
      </w:r>
    </w:p>
    <w:p w:rsidRPr="007F0B8E" w:rsidR="001D281D" w:rsidP="001D281D" w:rsidRDefault="001D281D" w14:paraId="40FAB67C" w14:textId="77777777">
      <w:pPr>
        <w:spacing w:line="360" w:lineRule="auto"/>
        <w:contextualSpacing/>
        <w:jc w:val="both"/>
        <w:rPr>
          <w:rFonts w:ascii="Palatino Linotype" w:hAnsi="Palatino Linotype" w:eastAsia="Calibri" w:cs="Tahoma"/>
          <w:b/>
          <w:bCs/>
          <w:sz w:val="22"/>
          <w:szCs w:val="22"/>
          <w:lang w:eastAsia="en-US"/>
        </w:rPr>
      </w:pPr>
    </w:p>
    <w:p w:rsidRPr="007F0B8E" w:rsidR="001D281D" w:rsidP="005104C3" w:rsidRDefault="001D281D" w14:paraId="6D37968D" w14:textId="7D90A901">
      <w:pPr>
        <w:tabs>
          <w:tab w:val="left" w:pos="1843"/>
        </w:tabs>
        <w:spacing w:line="360" w:lineRule="auto"/>
        <w:jc w:val="both"/>
        <w:rPr>
          <w:rFonts w:ascii="Palatino Linotype" w:hAnsi="Palatino Linotype" w:eastAsia="Calibri"/>
          <w:sz w:val="22"/>
        </w:rPr>
      </w:pPr>
      <w:r w:rsidRPr="007F0B8E">
        <w:rPr>
          <w:rFonts w:ascii="Palatino Linotype" w:hAnsi="Palatino Linotype" w:eastAsia="Calibri" w:cs="Tahoma"/>
          <w:iCs/>
          <w:sz w:val="22"/>
          <w:lang w:val="es-ES" w:eastAsia="es-ES_tradnl"/>
        </w:rPr>
        <w:t>Conforme a lo anterior</w:t>
      </w:r>
      <w:r w:rsidRPr="007F0B8E">
        <w:rPr>
          <w:rFonts w:ascii="Palatino Linotype" w:hAnsi="Palatino Linotype" w:eastAsia="Calibri" w:cs="Tahoma"/>
          <w:bCs/>
          <w:sz w:val="22"/>
          <w:szCs w:val="22"/>
          <w:lang w:eastAsia="en-US"/>
        </w:rPr>
        <w:t xml:space="preserve">, se puede deducir que la </w:t>
      </w:r>
      <w:r w:rsidRPr="007F0B8E" w:rsidR="005104C3">
        <w:rPr>
          <w:rFonts w:ascii="Palatino Linotype" w:hAnsi="Palatino Linotype" w:eastAsia="Calibri" w:cs="Tahoma"/>
          <w:bCs/>
          <w:sz w:val="22"/>
          <w:szCs w:val="22"/>
          <w:lang w:eastAsia="en-US"/>
        </w:rPr>
        <w:t>Dirección de Seguridad Pública Municipal</w:t>
      </w:r>
      <w:r w:rsidRPr="007F0B8E">
        <w:rPr>
          <w:rFonts w:ascii="Palatino Linotype" w:hAnsi="Palatino Linotype" w:eastAsia="Calibri" w:cs="Tahoma"/>
          <w:bCs/>
          <w:sz w:val="22"/>
          <w:szCs w:val="22"/>
          <w:lang w:eastAsia="en-US"/>
        </w:rPr>
        <w:t xml:space="preserve">, es una institución de seguridad pública, pues tiene como atribución principal, la prevención de delitos </w:t>
      </w:r>
      <w:r w:rsidRPr="007F0B8E">
        <w:rPr>
          <w:rFonts w:ascii="Palatino Linotype" w:hAnsi="Palatino Linotype" w:eastAsia="Calibri"/>
          <w:sz w:val="22"/>
        </w:rPr>
        <w:t>y proteger a las personas, sus propiedades, posesiones y derechos.</w:t>
      </w:r>
    </w:p>
    <w:p w:rsidRPr="007F0B8E" w:rsidR="001D281D" w:rsidP="001D281D" w:rsidRDefault="001D281D" w14:paraId="08978175"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374E1E13" w14:textId="6517024C">
      <w:pPr>
        <w:tabs>
          <w:tab w:val="left" w:pos="4962"/>
        </w:tabs>
        <w:spacing w:line="360" w:lineRule="auto"/>
        <w:ind w:right="-28"/>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val="es-ES" w:eastAsia="en-US"/>
        </w:rPr>
        <w:t xml:space="preserve">Además, </w:t>
      </w:r>
      <w:r w:rsidRPr="007F0B8E">
        <w:rPr>
          <w:rFonts w:ascii="Palatino Linotype" w:hAnsi="Palatino Linotype" w:eastAsia="Calibri" w:cs="Tahoma"/>
          <w:bCs/>
          <w:sz w:val="22"/>
          <w:szCs w:val="22"/>
          <w:lang w:eastAsia="en-US"/>
        </w:rPr>
        <w:t>el Instructivo de llenado del Formato “Personal de Seguridad Pública”, del Secretariado Ejecutivo del Sistema Nacional de Seguridad Pública (consultado el veintic</w:t>
      </w:r>
      <w:r w:rsidRPr="007F0B8E" w:rsidR="000270B0">
        <w:rPr>
          <w:rFonts w:ascii="Palatino Linotype" w:hAnsi="Palatino Linotype" w:eastAsia="Calibri" w:cs="Tahoma"/>
          <w:bCs/>
          <w:sz w:val="22"/>
          <w:szCs w:val="22"/>
          <w:lang w:eastAsia="en-US"/>
        </w:rPr>
        <w:t>uatro</w:t>
      </w:r>
      <w:r w:rsidRPr="007F0B8E">
        <w:rPr>
          <w:rFonts w:ascii="Palatino Linotype" w:hAnsi="Palatino Linotype" w:eastAsia="Calibri" w:cs="Tahoma"/>
          <w:bCs/>
          <w:sz w:val="22"/>
          <w:szCs w:val="22"/>
          <w:lang w:eastAsia="en-US"/>
        </w:rPr>
        <w:t xml:space="preserve"> de </w:t>
      </w:r>
      <w:r w:rsidRPr="007F0B8E" w:rsidR="000270B0">
        <w:rPr>
          <w:rFonts w:ascii="Palatino Linotype" w:hAnsi="Palatino Linotype" w:eastAsia="Calibri" w:cs="Tahoma"/>
          <w:bCs/>
          <w:sz w:val="22"/>
          <w:szCs w:val="22"/>
          <w:lang w:eastAsia="en-US"/>
        </w:rPr>
        <w:t>junio</w:t>
      </w:r>
      <w:r w:rsidRPr="007F0B8E">
        <w:rPr>
          <w:rFonts w:ascii="Palatino Linotype" w:hAnsi="Palatino Linotype" w:eastAsia="Calibri" w:cs="Tahoma"/>
          <w:bCs/>
          <w:sz w:val="22"/>
          <w:szCs w:val="22"/>
          <w:lang w:eastAsia="en-US"/>
        </w:rPr>
        <w:t xml:space="preserve"> de dos mil veintidós, a las dieciséis horas, en la liga electrónica </w:t>
      </w:r>
      <w:hyperlink w:history="1" r:id="rId10">
        <w:r w:rsidRPr="007F0B8E">
          <w:rPr>
            <w:rFonts w:ascii="Palatino Linotype" w:hAnsi="Palatino Linotype" w:eastAsia="Calibri" w:cs="Tahoma"/>
            <w:bCs/>
            <w:color w:val="0563C1"/>
            <w:sz w:val="22"/>
            <w:szCs w:val="22"/>
            <w:u w:val="single"/>
            <w:lang w:eastAsia="en-US"/>
          </w:rPr>
          <w:t>http://secretariadoejecutivo.gob.mx/work/models/SecretariadoEjecutivo/Resource/328/1/images/instructivo_final_edo_fuerza(1).pdf</w:t>
        </w:r>
      </w:hyperlink>
      <w:r w:rsidRPr="007F0B8E">
        <w:rPr>
          <w:rFonts w:ascii="Palatino Linotype" w:hAnsi="Palatino Linotype" w:eastAsia="Calibri" w:cs="Tahoma"/>
          <w:bCs/>
          <w:sz w:val="22"/>
          <w:szCs w:val="22"/>
          <w:lang w:eastAsia="en-US"/>
        </w:rPr>
        <w:t xml:space="preserve">), establece que los elementos operativos de seguridad pública, son aquellos que desempeñan funciones de campo (policiacas, especializadas o equivalentes y que no </w:t>
      </w:r>
      <w:r w:rsidRPr="007F0B8E">
        <w:rPr>
          <w:rFonts w:ascii="Palatino Linotype" w:hAnsi="Palatino Linotype" w:eastAsia="Calibri" w:cs="Tahoma"/>
          <w:b/>
          <w:bCs/>
          <w:sz w:val="22"/>
          <w:szCs w:val="22"/>
          <w:lang w:eastAsia="en-US"/>
        </w:rPr>
        <w:t>desempeña funciones de mando</w:t>
      </w:r>
      <w:r w:rsidRPr="007F0B8E">
        <w:rPr>
          <w:rFonts w:ascii="Palatino Linotype" w:hAnsi="Palatino Linotype" w:eastAsia="Calibri" w:cs="Tahoma"/>
          <w:bCs/>
          <w:sz w:val="22"/>
          <w:szCs w:val="22"/>
          <w:lang w:eastAsia="en-US"/>
        </w:rPr>
        <w:t xml:space="preserve">), entre los cuales, se encuentra </w:t>
      </w:r>
      <w:r w:rsidRPr="007F0B8E">
        <w:rPr>
          <w:rFonts w:ascii="Palatino Linotype" w:hAnsi="Palatino Linotype" w:eastAsia="Calibri" w:cs="Tahoma"/>
          <w:b/>
          <w:bCs/>
          <w:sz w:val="22"/>
          <w:szCs w:val="22"/>
          <w:lang w:eastAsia="en-US"/>
        </w:rPr>
        <w:t>la Policía Municipal</w:t>
      </w:r>
      <w:r w:rsidRPr="007F0B8E">
        <w:rPr>
          <w:rFonts w:ascii="Palatino Linotype" w:hAnsi="Palatino Linotype" w:eastAsia="Calibri" w:cs="Tahoma"/>
          <w:bCs/>
          <w:sz w:val="22"/>
          <w:szCs w:val="22"/>
          <w:lang w:eastAsia="en-US"/>
        </w:rPr>
        <w:t>.</w:t>
      </w:r>
    </w:p>
    <w:p w:rsidRPr="007F0B8E" w:rsidR="001D281D" w:rsidP="001D281D" w:rsidRDefault="001D281D" w14:paraId="3F909983" w14:textId="77777777">
      <w:pPr>
        <w:tabs>
          <w:tab w:val="left" w:pos="4962"/>
        </w:tabs>
        <w:spacing w:line="360" w:lineRule="auto"/>
        <w:ind w:right="-28"/>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rsidRPr="007F0B8E" w:rsidR="001D281D" w:rsidP="001D281D" w:rsidRDefault="001D281D" w14:paraId="295E1E4B"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1ABCE5B6" w14:textId="11C0F9FC">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De tales circunstancias, se puede observar que la </w:t>
      </w:r>
      <w:r w:rsidRPr="007F0B8E" w:rsidR="005104C3">
        <w:rPr>
          <w:rFonts w:ascii="Palatino Linotype" w:hAnsi="Palatino Linotype" w:eastAsia="Calibri" w:cs="Tahoma"/>
          <w:bCs/>
          <w:sz w:val="22"/>
          <w:szCs w:val="22"/>
          <w:lang w:eastAsia="en-US"/>
        </w:rPr>
        <w:t>Dirección de Seguridad Pública Municipal</w:t>
      </w:r>
      <w:r w:rsidRPr="007F0B8E">
        <w:rPr>
          <w:rFonts w:ascii="Palatino Linotype" w:hAnsi="Palatino Linotype" w:eastAsia="Calibri" w:cs="Tahoma"/>
          <w:bCs/>
          <w:sz w:val="22"/>
          <w:szCs w:val="22"/>
          <w:lang w:eastAsia="en-US"/>
        </w:rPr>
        <w:t>, tiene dos clases de servidores públicos, por una parte, los operativos (policía municipal) y por otra, los administrativos, de apoyo y personal de mando, los cuales no realizan funciones operativas.</w:t>
      </w:r>
    </w:p>
    <w:p w:rsidRPr="007F0B8E" w:rsidR="001D281D" w:rsidP="001D281D" w:rsidRDefault="001D281D" w14:paraId="5BC52F03"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36A97343" w14:textId="77777777">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Pr="007F0B8E" w:rsidR="001D281D" w:rsidP="001D281D" w:rsidRDefault="001D281D" w14:paraId="1DB79DC5"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82C4C89" w14:textId="358B07D5">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Lo anterior, se robustece con las Cifras de Incidencia Delictiva Municipal 2015-2022, publicado por el Secretariado Ejecutivo del Sistema Nacional de Seguridad Pública, en la página </w:t>
      </w:r>
      <w:hyperlink w:history="1" r:id="rId11">
        <w:r w:rsidRPr="007F0B8E">
          <w:rPr>
            <w:rFonts w:ascii="Palatino Linotype" w:hAnsi="Palatino Linotype"/>
            <w:color w:val="0563C1"/>
            <w:sz w:val="22"/>
            <w:szCs w:val="22"/>
            <w:u w:val="single"/>
          </w:rPr>
          <w:t>https://www.gob.mx/sesnsp/acciones-y-programas/incidencia-delictiva-del-fuero-comun-nueva-metodologia?state=published</w:t>
        </w:r>
      </w:hyperlink>
      <w:r w:rsidRPr="007F0B8E">
        <w:rPr>
          <w:rFonts w:ascii="Palatino Linotype" w:hAnsi="Palatino Linotype" w:eastAsia="Calibri" w:cs="Tahoma"/>
          <w:bCs/>
          <w:sz w:val="22"/>
          <w:szCs w:val="22"/>
          <w:lang w:eastAsia="en-US"/>
        </w:rPr>
        <w:t xml:space="preserve"> (consultado el </w:t>
      </w:r>
      <w:r w:rsidRPr="007F0B8E" w:rsidR="00CB5B4C">
        <w:rPr>
          <w:rFonts w:ascii="Palatino Linotype" w:hAnsi="Palatino Linotype" w:eastAsia="Calibri" w:cs="Tahoma"/>
          <w:bCs/>
          <w:sz w:val="22"/>
          <w:szCs w:val="22"/>
          <w:lang w:eastAsia="en-US"/>
        </w:rPr>
        <w:t>veinticuatro</w:t>
      </w:r>
      <w:r w:rsidRPr="007F0B8E">
        <w:rPr>
          <w:rFonts w:ascii="Palatino Linotype" w:hAnsi="Palatino Linotype" w:eastAsia="Calibri" w:cs="Tahoma"/>
          <w:bCs/>
          <w:sz w:val="22"/>
          <w:szCs w:val="22"/>
          <w:lang w:eastAsia="en-US"/>
        </w:rPr>
        <w:t xml:space="preserve"> de junio de dos mil veintidós, </w:t>
      </w:r>
      <w:r w:rsidRPr="007F0B8E">
        <w:rPr>
          <w:rFonts w:ascii="Palatino Linotype" w:hAnsi="Palatino Linotype" w:eastAsia="Calibri" w:cs="Tahoma"/>
          <w:bCs/>
          <w:sz w:val="22"/>
          <w:szCs w:val="22"/>
          <w:lang w:eastAsia="en-US"/>
        </w:rPr>
        <w:lastRenderedPageBreak/>
        <w:t xml:space="preserve">a las dieciocho horas con tres minutos) de cual se desprenden algunos delitos que se han cometido en el Municipio de </w:t>
      </w:r>
      <w:r w:rsidRPr="007F0B8E" w:rsidR="00CB5B4C">
        <w:rPr>
          <w:rFonts w:ascii="Palatino Linotype" w:hAnsi="Palatino Linotype" w:eastAsia="Calibri" w:cs="Tahoma"/>
          <w:bCs/>
          <w:sz w:val="22"/>
          <w:szCs w:val="22"/>
          <w:lang w:eastAsia="en-US"/>
        </w:rPr>
        <w:t>Ixtlahuaca</w:t>
      </w:r>
      <w:r w:rsidRPr="007F0B8E">
        <w:rPr>
          <w:rFonts w:ascii="Palatino Linotype" w:hAnsi="Palatino Linotype" w:eastAsia="Calibri" w:cs="Tahoma"/>
          <w:bCs/>
          <w:sz w:val="22"/>
          <w:szCs w:val="22"/>
          <w:lang w:eastAsia="en-US"/>
        </w:rPr>
        <w:t>, tal como se observa a continuación:</w:t>
      </w:r>
    </w:p>
    <w:p w:rsidRPr="007F0B8E" w:rsidR="00087BFB" w:rsidP="00087BFB" w:rsidRDefault="00087BFB" w14:paraId="086FA886" w14:textId="77777777">
      <w:pPr>
        <w:spacing w:line="360" w:lineRule="auto"/>
        <w:ind w:right="-93"/>
        <w:rPr>
          <w:noProof/>
        </w:rPr>
      </w:pPr>
    </w:p>
    <w:p w:rsidRPr="007F0B8E" w:rsidR="00087BFB" w:rsidP="001D281D" w:rsidRDefault="00087BFB" w14:paraId="510D8188" w14:textId="77777777">
      <w:pPr>
        <w:spacing w:line="360" w:lineRule="auto"/>
        <w:ind w:right="-93"/>
        <w:jc w:val="center"/>
        <w:rPr>
          <w:noProof/>
        </w:rPr>
      </w:pPr>
    </w:p>
    <w:p w:rsidRPr="007F0B8E" w:rsidR="001D281D" w:rsidP="001D281D" w:rsidRDefault="00087BFB" w14:paraId="29DE6E57" w14:textId="04F54966">
      <w:pPr>
        <w:spacing w:line="360" w:lineRule="auto"/>
        <w:ind w:right="-93"/>
        <w:jc w:val="center"/>
        <w:rPr>
          <w:rFonts w:ascii="Palatino Linotype" w:hAnsi="Palatino Linotype" w:eastAsia="Calibri" w:cs="Tahoma"/>
          <w:bCs/>
          <w:sz w:val="22"/>
          <w:szCs w:val="22"/>
          <w:lang w:eastAsia="en-US"/>
        </w:rPr>
      </w:pPr>
      <w:r w:rsidRPr="007F0B8E">
        <w:rPr>
          <w:noProof/>
        </w:rPr>
        <w:drawing>
          <wp:inline distT="0" distB="0" distL="0" distR="0" wp14:anchorId="05FA3893" wp14:editId="07B4974E">
            <wp:extent cx="4448175" cy="33399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4" t="21534" r="50243" b="14454"/>
                    <a:stretch/>
                  </pic:blipFill>
                  <pic:spPr bwMode="auto">
                    <a:xfrm>
                      <a:off x="0" y="0"/>
                      <a:ext cx="4465185" cy="3352751"/>
                    </a:xfrm>
                    <a:prstGeom prst="rect">
                      <a:avLst/>
                    </a:prstGeom>
                    <a:ln>
                      <a:noFill/>
                    </a:ln>
                    <a:extLst>
                      <a:ext uri="{53640926-AAD7-44D8-BBD7-CCE9431645EC}">
                        <a14:shadowObscured xmlns:a14="http://schemas.microsoft.com/office/drawing/2010/main"/>
                      </a:ext>
                    </a:extLst>
                  </pic:spPr>
                </pic:pic>
              </a:graphicData>
            </a:graphic>
          </wp:inline>
        </w:drawing>
      </w:r>
    </w:p>
    <w:p w:rsidRPr="007F0B8E" w:rsidR="00087BFB" w:rsidP="001D281D" w:rsidRDefault="00087BFB" w14:paraId="3F6FB775"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553BC42A" w14:textId="4A49DED1">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Como se logra observar, en el Municipio de </w:t>
      </w:r>
      <w:r w:rsidRPr="007F0B8E" w:rsidR="00CB5B4C">
        <w:rPr>
          <w:rFonts w:ascii="Palatino Linotype" w:hAnsi="Palatino Linotype" w:eastAsia="Calibri" w:cs="Tahoma"/>
          <w:bCs/>
          <w:sz w:val="22"/>
          <w:szCs w:val="22"/>
          <w:lang w:eastAsia="en-US"/>
        </w:rPr>
        <w:t>Ixtlahuaca</w:t>
      </w:r>
      <w:r w:rsidRPr="007F0B8E">
        <w:rPr>
          <w:rFonts w:ascii="Palatino Linotype" w:hAnsi="Palatino Linotype" w:eastAsia="Calibri" w:cs="Tahoma"/>
          <w:bCs/>
          <w:sz w:val="22"/>
          <w:szCs w:val="22"/>
          <w:lang w:eastAsia="en-US"/>
        </w:rPr>
        <w:t xml:space="preserve"> durante la presente anualidad, se han realizado diversos actos ilícitos, entre los más resaltantes encontramos </w:t>
      </w:r>
      <w:r w:rsidRPr="007F0B8E">
        <w:rPr>
          <w:rFonts w:ascii="Palatino Linotype" w:hAnsi="Palatino Linotype" w:eastAsia="Calibri" w:cs="Tahoma"/>
          <w:b/>
          <w:sz w:val="22"/>
          <w:szCs w:val="22"/>
          <w:lang w:eastAsia="en-US"/>
        </w:rPr>
        <w:t>homicidio,</w:t>
      </w:r>
      <w:r w:rsidRPr="007F0B8E">
        <w:rPr>
          <w:rFonts w:ascii="Palatino Linotype" w:hAnsi="Palatino Linotype" w:eastAsia="Calibri" w:cs="Tahoma"/>
          <w:bCs/>
          <w:sz w:val="22"/>
          <w:szCs w:val="22"/>
          <w:lang w:eastAsia="en-US"/>
        </w:rPr>
        <w:t xml:space="preserve"> </w:t>
      </w:r>
      <w:r w:rsidRPr="007F0B8E">
        <w:rPr>
          <w:rFonts w:ascii="Palatino Linotype" w:hAnsi="Palatino Linotype" w:eastAsia="Calibri" w:cs="Tahoma"/>
          <w:b/>
          <w:sz w:val="22"/>
          <w:szCs w:val="22"/>
          <w:lang w:eastAsia="en-US"/>
        </w:rPr>
        <w:t>lesiones,</w:t>
      </w:r>
      <w:r w:rsidRPr="007F0B8E">
        <w:rPr>
          <w:rFonts w:ascii="Palatino Linotype" w:hAnsi="Palatino Linotype" w:eastAsia="Calibri" w:cs="Tahoma"/>
          <w:bCs/>
          <w:sz w:val="22"/>
          <w:szCs w:val="22"/>
          <w:lang w:eastAsia="en-US"/>
        </w:rPr>
        <w:t xml:space="preserve"> </w:t>
      </w:r>
      <w:r w:rsidRPr="007F0B8E" w:rsidR="00163943">
        <w:rPr>
          <w:rFonts w:ascii="Palatino Linotype" w:hAnsi="Palatino Linotype" w:eastAsia="Calibri" w:cs="Tahoma"/>
          <w:b/>
          <w:bCs/>
          <w:sz w:val="22"/>
          <w:szCs w:val="22"/>
          <w:lang w:eastAsia="en-US"/>
        </w:rPr>
        <w:t>delitos que atentan contra la libertad</w:t>
      </w:r>
      <w:r w:rsidRPr="007F0B8E">
        <w:rPr>
          <w:rFonts w:ascii="Palatino Linotype" w:hAnsi="Palatino Linotype" w:eastAsia="Calibri" w:cs="Tahoma"/>
          <w:b/>
          <w:bCs/>
          <w:sz w:val="22"/>
          <w:szCs w:val="22"/>
          <w:lang w:eastAsia="en-US"/>
        </w:rPr>
        <w:t xml:space="preserve">, </w:t>
      </w:r>
      <w:r w:rsidRPr="007F0B8E" w:rsidR="00163943">
        <w:rPr>
          <w:rFonts w:ascii="Palatino Linotype" w:hAnsi="Palatino Linotype" w:eastAsia="Calibri" w:cs="Tahoma"/>
          <w:b/>
          <w:bCs/>
          <w:sz w:val="22"/>
          <w:szCs w:val="22"/>
          <w:lang w:eastAsia="en-US"/>
        </w:rPr>
        <w:t xml:space="preserve">abuso sexual, violación simple y equiparada, robo, fraude, abuso de confianza, </w:t>
      </w:r>
      <w:r w:rsidRPr="007F0B8E" w:rsidR="00CD2229">
        <w:rPr>
          <w:rFonts w:ascii="Palatino Linotype" w:hAnsi="Palatino Linotype" w:eastAsia="Calibri" w:cs="Tahoma"/>
          <w:b/>
          <w:bCs/>
          <w:sz w:val="22"/>
          <w:szCs w:val="22"/>
          <w:lang w:eastAsia="en-US"/>
        </w:rPr>
        <w:t>extorsión, daño a la propiedad, violencia familiar</w:t>
      </w:r>
      <w:r w:rsidRPr="007F0B8E">
        <w:rPr>
          <w:rFonts w:ascii="Palatino Linotype" w:hAnsi="Palatino Linotype" w:eastAsia="Calibri" w:cs="Tahoma"/>
          <w:b/>
          <w:bCs/>
          <w:sz w:val="22"/>
          <w:szCs w:val="22"/>
          <w:lang w:eastAsia="en-US"/>
        </w:rPr>
        <w:t xml:space="preserve"> y otros delitos del fuero común, </w:t>
      </w:r>
      <w:r w:rsidRPr="007F0B8E">
        <w:rPr>
          <w:rFonts w:ascii="Palatino Linotype" w:hAnsi="Palatino Linotype" w:eastAsia="Calibri" w:cs="Tahoma"/>
          <w:bCs/>
          <w:sz w:val="22"/>
          <w:szCs w:val="22"/>
          <w:lang w:eastAsia="en-US"/>
        </w:rPr>
        <w:t xml:space="preserve">hechos que pueden llegar a ser atendidos directamente por este personal operativo en apoyo de los afectados o incluso de las autoridades encargadas de la procuración de justicia. </w:t>
      </w:r>
    </w:p>
    <w:p w:rsidRPr="007F0B8E" w:rsidR="001D281D" w:rsidP="001D281D" w:rsidRDefault="001D281D" w14:paraId="70E160D0"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2A869151" w14:textId="5188BB5F">
      <w:pPr>
        <w:spacing w:line="360" w:lineRule="auto"/>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De tal situación, se considera que dar a conocer el nombre de los elementos operativos, que incluye a los policías municipales, puede poner en riesgo la vida, seguridad y salud de estos, </w:t>
      </w:r>
      <w:r w:rsidRPr="007F0B8E">
        <w:rPr>
          <w:rFonts w:ascii="Palatino Linotype" w:hAnsi="Palatino Linotype" w:eastAsia="Calibri" w:cs="Tahoma"/>
          <w:bCs/>
          <w:sz w:val="22"/>
          <w:szCs w:val="22"/>
          <w:lang w:eastAsia="en-US"/>
        </w:rPr>
        <w:lastRenderedPageBreak/>
        <w:t>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Pr="007F0B8E" w:rsidR="005104C3" w:rsidP="001D281D" w:rsidRDefault="005104C3" w14:paraId="058905BB"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0781A5D9"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7F0B8E" w:rsidR="001D281D" w:rsidP="001D281D" w:rsidRDefault="001D281D" w14:paraId="13C42C02"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1D281D" w:rsidP="001D281D" w:rsidRDefault="001D281D" w14:paraId="67D908B7" w14:textId="77777777">
      <w:pPr>
        <w:numPr>
          <w:ilvl w:val="0"/>
          <w:numId w:val="32"/>
        </w:numPr>
        <w:tabs>
          <w:tab w:val="left" w:pos="4962"/>
        </w:tabs>
        <w:spacing w:line="360" w:lineRule="auto"/>
        <w:jc w:val="both"/>
        <w:rPr>
          <w:rFonts w:ascii="Palatino Linotype" w:hAnsi="Palatino Linotype" w:eastAsia="Calibri" w:cs="Tahoma"/>
          <w:iCs/>
          <w:sz w:val="22"/>
          <w:szCs w:val="22"/>
          <w:lang w:val="es-ES_tradnl" w:eastAsia="es-ES_tradnl"/>
        </w:rPr>
      </w:pPr>
      <w:r w:rsidRPr="007F0B8E">
        <w:rPr>
          <w:rFonts w:ascii="Palatino Linotype" w:hAnsi="Palatino Linotype" w:eastAsia="Calibri" w:cs="Tahoma"/>
          <w:iCs/>
          <w:sz w:val="22"/>
          <w:szCs w:val="22"/>
          <w:lang w:val="es-ES_tradnl" w:eastAsia="es-ES_tradnl"/>
        </w:rPr>
        <w:t>La divulgación de la información representa un riesgo real, demostrable e identificable de perjuicio significativo al interés público o a la seguridad nacional.</w:t>
      </w:r>
    </w:p>
    <w:p w:rsidRPr="007F0B8E" w:rsidR="001D281D" w:rsidP="001D281D" w:rsidRDefault="001D281D" w14:paraId="0C3032F8" w14:textId="77777777">
      <w:pPr>
        <w:tabs>
          <w:tab w:val="left" w:pos="4962"/>
        </w:tabs>
        <w:spacing w:line="360" w:lineRule="auto"/>
        <w:jc w:val="both"/>
        <w:rPr>
          <w:rFonts w:ascii="Palatino Linotype" w:hAnsi="Palatino Linotype" w:eastAsia="Calibri" w:cs="Tahoma"/>
          <w:iCs/>
          <w:sz w:val="22"/>
          <w:szCs w:val="22"/>
          <w:lang w:val="es-ES_tradnl" w:eastAsia="es-ES_tradnl"/>
        </w:rPr>
      </w:pPr>
    </w:p>
    <w:p w:rsidRPr="007F0B8E" w:rsidR="001D281D" w:rsidP="001D281D" w:rsidRDefault="001D281D" w14:paraId="30200972" w14:textId="77777777">
      <w:pPr>
        <w:numPr>
          <w:ilvl w:val="0"/>
          <w:numId w:val="32"/>
        </w:numPr>
        <w:tabs>
          <w:tab w:val="left" w:pos="4962"/>
        </w:tabs>
        <w:spacing w:line="360" w:lineRule="auto"/>
        <w:jc w:val="both"/>
        <w:rPr>
          <w:rFonts w:ascii="Palatino Linotype" w:hAnsi="Palatino Linotype" w:eastAsia="Calibri" w:cs="Tahoma"/>
          <w:iCs/>
          <w:sz w:val="22"/>
          <w:szCs w:val="22"/>
          <w:lang w:val="es-ES_tradnl" w:eastAsia="es-ES_tradnl"/>
        </w:rPr>
      </w:pPr>
      <w:r w:rsidRPr="007F0B8E">
        <w:rPr>
          <w:rFonts w:ascii="Palatino Linotype" w:hAnsi="Palatino Linotype" w:eastAsia="Calibri" w:cs="Tahoma"/>
          <w:iCs/>
          <w:sz w:val="22"/>
          <w:szCs w:val="22"/>
          <w:lang w:val="es-ES_tradnl" w:eastAsia="es-ES_tradnl"/>
        </w:rPr>
        <w:t>El riesgo de perjuicio supera el interés público general de que se difunda.</w:t>
      </w:r>
    </w:p>
    <w:p w:rsidRPr="007F0B8E" w:rsidR="001D281D" w:rsidP="001D281D" w:rsidRDefault="001D281D" w14:paraId="58171A7A" w14:textId="77777777">
      <w:pPr>
        <w:tabs>
          <w:tab w:val="left" w:pos="4962"/>
        </w:tabs>
        <w:spacing w:line="360" w:lineRule="auto"/>
        <w:jc w:val="both"/>
        <w:rPr>
          <w:rFonts w:ascii="Palatino Linotype" w:hAnsi="Palatino Linotype" w:eastAsia="Calibri" w:cs="Tahoma"/>
          <w:iCs/>
          <w:sz w:val="22"/>
          <w:szCs w:val="22"/>
          <w:lang w:val="es-ES_tradnl" w:eastAsia="es-ES_tradnl"/>
        </w:rPr>
      </w:pPr>
    </w:p>
    <w:p w:rsidRPr="007F0B8E" w:rsidR="001D281D" w:rsidP="001D281D" w:rsidRDefault="001D281D" w14:paraId="095F9FC7" w14:textId="77777777">
      <w:pPr>
        <w:numPr>
          <w:ilvl w:val="0"/>
          <w:numId w:val="32"/>
        </w:numPr>
        <w:tabs>
          <w:tab w:val="left" w:pos="4962"/>
        </w:tabs>
        <w:spacing w:line="360" w:lineRule="auto"/>
        <w:jc w:val="both"/>
        <w:rPr>
          <w:rFonts w:ascii="Palatino Linotype" w:hAnsi="Palatino Linotype" w:eastAsia="Calibri" w:cs="Tahoma"/>
          <w:iCs/>
          <w:sz w:val="22"/>
          <w:szCs w:val="22"/>
          <w:lang w:val="es-ES_tradnl" w:eastAsia="es-ES_tradnl"/>
        </w:rPr>
      </w:pPr>
      <w:r w:rsidRPr="007F0B8E">
        <w:rPr>
          <w:rFonts w:ascii="Palatino Linotype" w:hAnsi="Palatino Linotype" w:eastAsia="Calibri" w:cs="Tahoma"/>
          <w:iCs/>
          <w:sz w:val="22"/>
          <w:szCs w:val="22"/>
          <w:lang w:val="es-ES_tradnl" w:eastAsia="es-ES_tradnl"/>
        </w:rPr>
        <w:t>Que la limitación se adecua al principio de proporcionalidad y representa el medio menos restrictivo disponible para evitar el perjuicio.</w:t>
      </w:r>
    </w:p>
    <w:p w:rsidRPr="007F0B8E" w:rsidR="001D281D" w:rsidP="001D281D" w:rsidRDefault="001D281D" w14:paraId="34814686" w14:textId="77777777">
      <w:pPr>
        <w:spacing w:line="360" w:lineRule="auto"/>
        <w:jc w:val="both"/>
        <w:rPr>
          <w:rFonts w:ascii="Palatino Linotype" w:hAnsi="Palatino Linotype" w:eastAsia="Calibri" w:cs="Tahoma"/>
          <w:iCs/>
          <w:sz w:val="22"/>
          <w:szCs w:val="22"/>
          <w:lang w:eastAsia="es-ES_tradnl"/>
        </w:rPr>
      </w:pPr>
    </w:p>
    <w:p w:rsidRPr="007F0B8E" w:rsidR="001D281D" w:rsidP="001D281D" w:rsidRDefault="001D281D" w14:paraId="5E7B431E" w14:textId="77777777">
      <w:pPr>
        <w:spacing w:line="360" w:lineRule="auto"/>
        <w:jc w:val="both"/>
        <w:rPr>
          <w:rFonts w:ascii="Palatino Linotype" w:hAnsi="Palatino Linotype" w:eastAsia="Calibri" w:cs="Tahoma"/>
          <w:iCs/>
          <w:sz w:val="22"/>
          <w:szCs w:val="22"/>
          <w:lang w:eastAsia="es-ES_tradnl"/>
        </w:rPr>
      </w:pPr>
      <w:r w:rsidRPr="007F0B8E">
        <w:rPr>
          <w:rFonts w:ascii="Palatino Linotype" w:hAnsi="Palatino Linotype" w:eastAsia="Calibri" w:cs="Tahoma"/>
          <w:iCs/>
          <w:sz w:val="22"/>
          <w:szCs w:val="22"/>
          <w:lang w:eastAsia="es-ES_tradnl"/>
        </w:rPr>
        <w:t>Al respecto, este Instituto advierte lo siguiente:</w:t>
      </w:r>
    </w:p>
    <w:p w:rsidRPr="007F0B8E" w:rsidR="001D281D" w:rsidP="001D281D" w:rsidRDefault="001D281D" w14:paraId="39CAB7D5" w14:textId="77777777">
      <w:pPr>
        <w:spacing w:line="360" w:lineRule="auto"/>
        <w:jc w:val="both"/>
        <w:rPr>
          <w:rFonts w:ascii="Palatino Linotype" w:hAnsi="Palatino Linotype" w:eastAsia="Calibri" w:cs="Tahoma"/>
          <w:iCs/>
          <w:sz w:val="22"/>
          <w:szCs w:val="22"/>
          <w:lang w:eastAsia="es-ES_tradnl"/>
        </w:rPr>
      </w:pPr>
    </w:p>
    <w:p w:rsidRPr="007F0B8E" w:rsidR="001D281D" w:rsidP="001D281D" w:rsidRDefault="001D281D" w14:paraId="30FB295E" w14:textId="3EE343FE">
      <w:pPr>
        <w:numPr>
          <w:ilvl w:val="0"/>
          <w:numId w:val="12"/>
        </w:numPr>
        <w:spacing w:line="360" w:lineRule="auto"/>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Cs/>
          <w:sz w:val="22"/>
          <w:szCs w:val="22"/>
          <w:lang w:eastAsia="en-US"/>
        </w:rPr>
        <w:t xml:space="preserve">Que existe un </w:t>
      </w:r>
      <w:r w:rsidRPr="007F0B8E">
        <w:rPr>
          <w:rFonts w:ascii="Palatino Linotype" w:hAnsi="Palatino Linotype" w:eastAsia="Calibri" w:cs="Tahoma"/>
          <w:b/>
          <w:bCs/>
          <w:sz w:val="22"/>
          <w:szCs w:val="22"/>
          <w:lang w:eastAsia="en-US"/>
        </w:rPr>
        <w:t xml:space="preserve">riesgo real, demostrable e identificable, </w:t>
      </w:r>
      <w:r w:rsidRPr="007F0B8E">
        <w:rPr>
          <w:rFonts w:ascii="Palatino Linotype" w:hAnsi="Palatino Linotype" w:eastAsia="Calibri" w:cs="Tahoma"/>
          <w:bCs/>
          <w:sz w:val="22"/>
          <w:szCs w:val="22"/>
          <w:lang w:eastAsia="en-US"/>
        </w:rPr>
        <w:t xml:space="preserve">toda vez que dar a conocer los nombres de la policía municipal, pone en riesgo su vida, salud y 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w:t>
      </w:r>
      <w:r w:rsidRPr="007F0B8E">
        <w:rPr>
          <w:rFonts w:ascii="Palatino Linotype" w:hAnsi="Palatino Linotype" w:eastAsia="Calibri" w:cs="Tahoma"/>
          <w:bCs/>
          <w:sz w:val="22"/>
          <w:szCs w:val="22"/>
          <w:lang w:eastAsia="en-US"/>
        </w:rPr>
        <w:lastRenderedPageBreak/>
        <w:t xml:space="preserve">comprometería el cumplimiento de los objetivos de la </w:t>
      </w:r>
      <w:r w:rsidRPr="007F0B8E" w:rsidR="005104C3">
        <w:rPr>
          <w:rFonts w:ascii="Palatino Linotype" w:hAnsi="Palatino Linotype" w:eastAsia="Calibri" w:cs="Tahoma"/>
          <w:bCs/>
          <w:sz w:val="22"/>
          <w:szCs w:val="22"/>
          <w:lang w:eastAsia="en-US"/>
        </w:rPr>
        <w:t>Dirección de Seguridad Pública Municipal</w:t>
      </w:r>
      <w:r w:rsidRPr="007F0B8E">
        <w:rPr>
          <w:rFonts w:ascii="Palatino Linotype" w:hAnsi="Palatino Linotype" w:eastAsia="Calibri" w:cs="Tahoma"/>
          <w:bCs/>
          <w:sz w:val="22"/>
          <w:szCs w:val="22"/>
          <w:lang w:eastAsia="en-US"/>
        </w:rPr>
        <w:t>.</w:t>
      </w:r>
    </w:p>
    <w:p w:rsidRPr="007F0B8E" w:rsidR="001D281D" w:rsidP="001D281D" w:rsidRDefault="001D281D" w14:paraId="2E6EBD76" w14:textId="77777777">
      <w:pPr>
        <w:spacing w:line="360" w:lineRule="auto"/>
        <w:ind w:left="720"/>
        <w:contextualSpacing/>
        <w:jc w:val="both"/>
        <w:rPr>
          <w:rFonts w:ascii="Palatino Linotype" w:hAnsi="Palatino Linotype" w:eastAsia="Calibri" w:cs="Tahoma"/>
          <w:bCs/>
          <w:sz w:val="22"/>
          <w:szCs w:val="22"/>
          <w:lang w:eastAsia="en-US"/>
        </w:rPr>
      </w:pPr>
    </w:p>
    <w:p w:rsidRPr="007F0B8E" w:rsidR="001D281D" w:rsidP="001D281D" w:rsidRDefault="001D281D" w14:paraId="69672830" w14:textId="77777777">
      <w:pPr>
        <w:numPr>
          <w:ilvl w:val="0"/>
          <w:numId w:val="12"/>
        </w:numPr>
        <w:spacing w:line="360" w:lineRule="auto"/>
        <w:contextualSpacing/>
        <w:jc w:val="both"/>
        <w:rPr>
          <w:rFonts w:ascii="Palatino Linotype" w:hAnsi="Palatino Linotype" w:eastAsia="Calibri" w:cs="Tahoma"/>
          <w:b/>
          <w:bCs/>
          <w:sz w:val="22"/>
          <w:szCs w:val="22"/>
          <w:lang w:eastAsia="en-US"/>
        </w:rPr>
      </w:pPr>
      <w:r w:rsidRPr="007F0B8E">
        <w:rPr>
          <w:rFonts w:ascii="Palatino Linotype" w:hAnsi="Palatino Linotype" w:eastAsia="Calibri" w:cs="Tahoma"/>
          <w:b/>
          <w:bCs/>
          <w:sz w:val="22"/>
          <w:szCs w:val="22"/>
          <w:lang w:eastAsia="en-US"/>
        </w:rPr>
        <w:t>Que el riesgo de perjuicio que supone la divulgación de la información supera el interés público general</w:t>
      </w:r>
      <w:r w:rsidRPr="007F0B8E">
        <w:rPr>
          <w:rFonts w:ascii="Palatino Linotype" w:hAnsi="Palatino Linotype" w:eastAsia="Calibri" w:cs="Tahoma"/>
          <w:bCs/>
          <w:sz w:val="22"/>
          <w:szCs w:val="22"/>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7F0B8E">
        <w:rPr>
          <w:rFonts w:ascii="Palatino Linotype" w:hAnsi="Palatino Linotype" w:eastAsia="Calibri" w:cs="Tahoma"/>
          <w:b/>
          <w:bCs/>
          <w:sz w:val="22"/>
          <w:szCs w:val="22"/>
          <w:lang w:eastAsia="en-US"/>
        </w:rPr>
        <w:t>vulnerando así, el interés general.</w:t>
      </w:r>
    </w:p>
    <w:p w:rsidRPr="007F0B8E" w:rsidR="001D281D" w:rsidP="001D281D" w:rsidRDefault="001D281D" w14:paraId="357DAEDA" w14:textId="77777777">
      <w:pPr>
        <w:spacing w:line="360" w:lineRule="auto"/>
        <w:ind w:left="720"/>
        <w:contextualSpacing/>
        <w:jc w:val="both"/>
        <w:rPr>
          <w:rFonts w:ascii="Palatino Linotype" w:hAnsi="Palatino Linotype" w:eastAsia="Calibri" w:cs="Tahoma"/>
          <w:bCs/>
          <w:sz w:val="22"/>
          <w:szCs w:val="22"/>
          <w:lang w:eastAsia="en-US"/>
        </w:rPr>
      </w:pPr>
    </w:p>
    <w:p w:rsidRPr="007F0B8E" w:rsidR="001D281D" w:rsidP="001D281D" w:rsidRDefault="001D281D" w14:paraId="31A9ACE0" w14:textId="77777777">
      <w:pPr>
        <w:numPr>
          <w:ilvl w:val="0"/>
          <w:numId w:val="12"/>
        </w:numPr>
        <w:spacing w:line="360" w:lineRule="auto"/>
        <w:contextualSpacing/>
        <w:jc w:val="both"/>
        <w:rPr>
          <w:rFonts w:ascii="Palatino Linotype" w:hAnsi="Palatino Linotype" w:eastAsia="Calibri" w:cs="Tahoma"/>
          <w:bCs/>
          <w:sz w:val="22"/>
          <w:szCs w:val="22"/>
          <w:lang w:eastAsia="en-US"/>
        </w:rPr>
      </w:pPr>
      <w:r w:rsidRPr="007F0B8E">
        <w:rPr>
          <w:rFonts w:ascii="Palatino Linotype" w:hAnsi="Palatino Linotype" w:eastAsia="Calibri" w:cs="Tahoma"/>
          <w:b/>
          <w:bCs/>
          <w:sz w:val="22"/>
          <w:szCs w:val="22"/>
          <w:lang w:eastAsia="en-US"/>
        </w:rPr>
        <w:t xml:space="preserve">Que la reserva no se traduzca en un medio restrictivo al derecho de acceso a la información, </w:t>
      </w:r>
      <w:r w:rsidRPr="007F0B8E">
        <w:rPr>
          <w:rFonts w:ascii="Palatino Linotype" w:hAnsi="Palatino Linotype" w:eastAsia="Calibri" w:cs="Tahoma"/>
          <w:bCs/>
          <w:sz w:val="22"/>
          <w:szCs w:val="22"/>
          <w:lang w:eastAsia="en-US"/>
        </w:rPr>
        <w:t xml:space="preserve">en virtud de que la misma prevalece al proteger alguno de los derechos más importantes, como lo son la vida, la salud y la seguridad de </w:t>
      </w:r>
      <w:r w:rsidRPr="007F0B8E">
        <w:rPr>
          <w:rFonts w:ascii="Palatino Linotype" w:hAnsi="Palatino Linotype" w:eastAsia="Calibri" w:cs="Tahoma"/>
          <w:b/>
          <w:bCs/>
          <w:sz w:val="22"/>
          <w:szCs w:val="22"/>
          <w:lang w:eastAsia="en-US"/>
        </w:rPr>
        <w:t>los servidores públicos,</w:t>
      </w:r>
      <w:r w:rsidRPr="007F0B8E">
        <w:rPr>
          <w:rFonts w:ascii="Palatino Linotype" w:hAnsi="Palatino Linotype" w:eastAsia="Calibri" w:cs="Tahoma"/>
          <w:bCs/>
          <w:sz w:val="22"/>
          <w:szCs w:val="22"/>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rsidRPr="007F0B8E" w:rsidR="001D281D" w:rsidP="001D281D" w:rsidRDefault="001D281D" w14:paraId="5559D262" w14:textId="77777777">
      <w:pPr>
        <w:spacing w:line="360" w:lineRule="auto"/>
        <w:jc w:val="both"/>
        <w:rPr>
          <w:rFonts w:ascii="Palatino Linotype" w:hAnsi="Palatino Linotype" w:eastAsia="Calibri" w:cs="Tahoma"/>
          <w:bCs/>
          <w:sz w:val="22"/>
          <w:szCs w:val="22"/>
          <w:lang w:eastAsia="en-US"/>
        </w:rPr>
      </w:pPr>
    </w:p>
    <w:p w:rsidRPr="007F0B8E" w:rsidR="001D281D" w:rsidP="001D281D" w:rsidRDefault="001D281D" w14:paraId="71E8DE9A" w14:textId="77777777">
      <w:pPr>
        <w:spacing w:line="360" w:lineRule="auto"/>
        <w:jc w:val="both"/>
        <w:rPr>
          <w:rFonts w:ascii="Palatino Linotype" w:hAnsi="Palatino Linotype" w:eastAsia="Calibri" w:cs="Tahoma"/>
          <w:b/>
          <w:iCs/>
          <w:sz w:val="22"/>
          <w:szCs w:val="22"/>
          <w:lang w:val="es-ES" w:eastAsia="es-ES_tradnl"/>
        </w:rPr>
      </w:pPr>
      <w:r w:rsidRPr="007F0B8E">
        <w:rPr>
          <w:rFonts w:ascii="Palatino Linotype" w:hAnsi="Palatino Linotype" w:eastAsia="Calibri" w:cs="Tahoma"/>
          <w:bCs/>
          <w:sz w:val="22"/>
          <w:szCs w:val="22"/>
          <w:lang w:eastAsia="en-US"/>
        </w:rPr>
        <w:t xml:space="preserve">Por tales consideraciones, </w:t>
      </w:r>
      <w:r w:rsidRPr="007F0B8E">
        <w:rPr>
          <w:rFonts w:ascii="Palatino Linotype" w:hAnsi="Palatino Linotype" w:eastAsia="Calibri" w:cs="Tahoma"/>
          <w:b/>
          <w:bCs/>
          <w:sz w:val="22"/>
          <w:szCs w:val="22"/>
          <w:lang w:eastAsia="en-US"/>
        </w:rPr>
        <w:t xml:space="preserve">resulta procedente la reserva del nombre de los elementos operativos de la Dirección de Seguridad Pública, en términos del artículo 140, fracción IV, de </w:t>
      </w:r>
      <w:r w:rsidRPr="007F0B8E">
        <w:rPr>
          <w:rFonts w:ascii="Palatino Linotype" w:hAnsi="Palatino Linotype" w:eastAsia="Calibri" w:cs="Tahoma"/>
          <w:b/>
          <w:iCs/>
          <w:sz w:val="22"/>
          <w:szCs w:val="22"/>
          <w:lang w:val="es-ES" w:eastAsia="es-ES_tradnl"/>
        </w:rPr>
        <w:t>de la Ley de Transparencia y Acceso a la Información Pública del Estado de México y Municipios.</w:t>
      </w:r>
    </w:p>
    <w:p w:rsidRPr="007F0B8E" w:rsidR="001D281D" w:rsidP="001D281D" w:rsidRDefault="001D281D" w14:paraId="0DB0B475" w14:textId="77777777">
      <w:pPr>
        <w:spacing w:line="360" w:lineRule="auto"/>
        <w:jc w:val="both"/>
        <w:rPr>
          <w:rFonts w:ascii="Palatino Linotype" w:hAnsi="Palatino Linotype"/>
          <w:bCs/>
          <w:iCs/>
          <w:sz w:val="22"/>
          <w:lang w:val="es-ES"/>
        </w:rPr>
      </w:pPr>
    </w:p>
    <w:p w:rsidRPr="007F0B8E" w:rsidR="00F524CA" w:rsidP="00560635" w:rsidRDefault="005104C3" w14:paraId="014BA8A6" w14:textId="51C81E4C">
      <w:pPr>
        <w:autoSpaceDE w:val="0"/>
        <w:autoSpaceDN w:val="0"/>
        <w:spacing w:line="360" w:lineRule="auto"/>
        <w:jc w:val="both"/>
        <w:rPr>
          <w:rFonts w:ascii="Palatino Linotype" w:hAnsi="Palatino Linotype" w:cs="Tahoma"/>
          <w:sz w:val="22"/>
          <w:szCs w:val="22"/>
        </w:rPr>
      </w:pPr>
      <w:r w:rsidRPr="007F0B8E">
        <w:rPr>
          <w:rFonts w:ascii="Palatino Linotype" w:hAnsi="Palatino Linotype" w:eastAsia="Calibri" w:cs="Tahoma"/>
          <w:iCs/>
          <w:sz w:val="22"/>
          <w:szCs w:val="22"/>
          <w:lang w:val="es-ES" w:eastAsia="es-ES_tradnl"/>
        </w:rPr>
        <w:t>Ahora bien</w:t>
      </w:r>
      <w:r w:rsidRPr="007F0B8E" w:rsidR="001D281D">
        <w:rPr>
          <w:rFonts w:ascii="Palatino Linotype" w:hAnsi="Palatino Linotype" w:eastAsia="Calibri" w:cs="Tahoma"/>
          <w:iCs/>
          <w:sz w:val="22"/>
          <w:szCs w:val="22"/>
          <w:lang w:val="es-ES" w:eastAsia="es-ES_tradnl"/>
        </w:rPr>
        <w:t>,</w:t>
      </w:r>
      <w:r w:rsidRPr="007F0B8E" w:rsidR="001D281D">
        <w:rPr>
          <w:rFonts w:ascii="Palatino Linotype" w:hAnsi="Palatino Linotype" w:eastAsia="Calibri" w:cs="Tahoma"/>
          <w:b/>
          <w:iCs/>
          <w:sz w:val="22"/>
          <w:szCs w:val="22"/>
          <w:lang w:val="es-ES" w:eastAsia="es-ES_tradnl"/>
        </w:rPr>
        <w:t xml:space="preserve"> </w:t>
      </w:r>
      <w:r w:rsidRPr="007F0B8E" w:rsidR="001D281D">
        <w:rPr>
          <w:rFonts w:ascii="Palatino Linotype" w:hAnsi="Palatino Linotype" w:eastAsia="Calibri" w:cs="Tahoma"/>
          <w:bCs/>
          <w:sz w:val="22"/>
          <w:szCs w:val="22"/>
          <w:lang w:eastAsia="en-US"/>
        </w:rPr>
        <w:t xml:space="preserve">respecto al plazo de reserva, el artículo 125 de la Ley de la materia, establece </w:t>
      </w:r>
      <w:r w:rsidRPr="007F0B8E" w:rsidR="001D281D">
        <w:rPr>
          <w:rFonts w:ascii="Palatino Linotype" w:hAnsi="Palatino Linotype" w:cs="Tahoma"/>
          <w:bCs/>
          <w:sz w:val="22"/>
          <w:szCs w:val="22"/>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w:t>
      </w:r>
      <w:r w:rsidRPr="007F0B8E" w:rsidR="001D281D">
        <w:rPr>
          <w:rFonts w:ascii="Palatino Linotype" w:hAnsi="Palatino Linotype" w:cs="Tahoma"/>
          <w:bCs/>
          <w:sz w:val="22"/>
          <w:szCs w:val="22"/>
        </w:rPr>
        <w:lastRenderedPageBreak/>
        <w:t xml:space="preserve">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7F0B8E" w:rsidR="001D281D">
        <w:rPr>
          <w:rFonts w:ascii="Palatino Linotype" w:hAnsi="Palatino Linotype" w:cs="Tahoma"/>
          <w:sz w:val="22"/>
          <w:szCs w:val="22"/>
        </w:rPr>
        <w:t>versiones públicas, deberá clasificar el nombre de los elementos operativos en materia de seguridad, y proporcionar, su respectivo acuerdo de Clasificación.</w:t>
      </w:r>
    </w:p>
    <w:p w:rsidRPr="007F0B8E" w:rsidR="005104C3" w:rsidP="00560635" w:rsidRDefault="005104C3" w14:paraId="053F3DFA" w14:textId="663956AA">
      <w:pPr>
        <w:autoSpaceDE w:val="0"/>
        <w:autoSpaceDN w:val="0"/>
        <w:spacing w:line="360" w:lineRule="auto"/>
        <w:jc w:val="both"/>
        <w:rPr>
          <w:rFonts w:ascii="Palatino Linotype" w:hAnsi="Palatino Linotype" w:cs="Tahoma"/>
          <w:sz w:val="22"/>
          <w:szCs w:val="22"/>
        </w:rPr>
      </w:pPr>
    </w:p>
    <w:p w:rsidRPr="007F0B8E" w:rsidR="005104C3" w:rsidP="005104C3" w:rsidRDefault="005104C3" w14:paraId="7F6ABF6C" w14:textId="50F4E7B8">
      <w:pPr>
        <w:spacing w:line="360" w:lineRule="auto"/>
        <w:jc w:val="both"/>
        <w:rPr>
          <w:rFonts w:ascii="Palatino Linotype" w:hAnsi="Palatino Linotype" w:eastAsia="Calibri" w:cs="Tahoma"/>
          <w:b/>
          <w:color w:val="0D0D0D" w:themeColor="text1" w:themeTint="F2"/>
          <w:sz w:val="22"/>
          <w:szCs w:val="22"/>
          <w:lang w:eastAsia="en-US"/>
        </w:rPr>
      </w:pPr>
      <w:r w:rsidRPr="007F0B8E">
        <w:rPr>
          <w:rFonts w:ascii="Palatino Linotype" w:hAnsi="Palatino Linotype" w:eastAsia="Calibri" w:cs="Tahoma"/>
          <w:b/>
          <w:color w:val="0D0D0D" w:themeColor="text1" w:themeTint="F2"/>
          <w:sz w:val="22"/>
          <w:szCs w:val="22"/>
          <w:lang w:eastAsia="en-US"/>
        </w:rPr>
        <w:t>Artículo 140, fracción VII, de la Ley de Transparencia y Acceso a la Información Pública del Estado de México y Municipios.</w:t>
      </w:r>
    </w:p>
    <w:p w:rsidRPr="007F0B8E" w:rsidR="005104C3" w:rsidP="00560635" w:rsidRDefault="005104C3" w14:paraId="40BEB676" w14:textId="5E6A52D0">
      <w:pPr>
        <w:autoSpaceDE w:val="0"/>
        <w:autoSpaceDN w:val="0"/>
        <w:spacing w:line="360" w:lineRule="auto"/>
        <w:jc w:val="both"/>
        <w:rPr>
          <w:rFonts w:ascii="Palatino Linotype" w:hAnsi="Palatino Linotype" w:cs="Tahoma"/>
          <w:sz w:val="22"/>
          <w:szCs w:val="22"/>
        </w:rPr>
      </w:pPr>
    </w:p>
    <w:p w:rsidRPr="007F0B8E" w:rsidR="005104C3" w:rsidP="005104C3" w:rsidRDefault="005104C3" w14:paraId="46F09D6F" w14:textId="29BA9783">
      <w:pPr>
        <w:autoSpaceDE w:val="0"/>
        <w:autoSpaceDN w:val="0"/>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 xml:space="preserve">El artículo 140, fracción VII, de la Ley de Transparencia y Acceso a la Información Pública del Estado de México y Municipios (homologo al 113, fracción VIII, de la Ley General de Transparencia y Acceso a la Información Pública), establece lo siguiente: </w:t>
      </w:r>
    </w:p>
    <w:p w:rsidRPr="007F0B8E" w:rsidR="005104C3" w:rsidP="005104C3" w:rsidRDefault="005104C3" w14:paraId="17D48025" w14:textId="77777777">
      <w:pPr>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4E44D698"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w:t>
      </w:r>
      <w:r w:rsidRPr="007F0B8E">
        <w:rPr>
          <w:rFonts w:ascii="Palatino Linotype" w:hAnsi="Palatino Linotype" w:eastAsia="Calibri" w:cs="Tahoma"/>
          <w:b/>
          <w:i/>
          <w:iCs/>
          <w:lang w:val="es-ES" w:eastAsia="es-ES_tradnl"/>
        </w:rPr>
        <w:t>Artículo 140.</w:t>
      </w:r>
      <w:r w:rsidRPr="007F0B8E">
        <w:rPr>
          <w:rFonts w:ascii="Palatino Linotype" w:hAnsi="Palatino Linotype" w:eastAsia="Calibri" w:cs="Tahoma"/>
          <w:i/>
          <w:iCs/>
          <w:lang w:val="es-ES" w:eastAsia="es-ES_tradnl"/>
        </w:rPr>
        <w:t xml:space="preserve"> El acceso a la información pública será restringido excepcionalmente, cuando por razones de interés público, ésta sea clasificada como reservada, conforme a los criterios siguientes: </w:t>
      </w:r>
    </w:p>
    <w:p w:rsidRPr="007F0B8E" w:rsidR="005104C3" w:rsidP="005104C3" w:rsidRDefault="005104C3" w14:paraId="41E9662D"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w:t>
      </w:r>
    </w:p>
    <w:p w:rsidRPr="007F0B8E" w:rsidR="005104C3" w:rsidP="005104C3" w:rsidRDefault="005104C3" w14:paraId="3201A7D6"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
          <w:i/>
          <w:iCs/>
          <w:lang w:val="es-ES" w:eastAsia="es-ES_tradnl"/>
        </w:rPr>
        <w:t>VII.</w:t>
      </w:r>
      <w:r w:rsidRPr="007F0B8E">
        <w:rPr>
          <w:rFonts w:ascii="Palatino Linotype" w:hAnsi="Palatino Linotype" w:eastAsia="Calibri" w:cs="Tahoma"/>
          <w:i/>
          <w:iCs/>
          <w:lang w:val="es-ES" w:eastAsia="es-ES_tradnl"/>
        </w:rPr>
        <w:t xml:space="preserve"> La que contenga las opiniones, recomendaciones o puntos de vista que formen parte del proceso deliberativo de los Servidores Públicos, hasta en tanto no sea adoptada la decisión definitiva, la cual deberá estar documentada;</w:t>
      </w:r>
    </w:p>
    <w:p w:rsidRPr="007F0B8E" w:rsidR="005104C3" w:rsidP="005104C3" w:rsidRDefault="005104C3" w14:paraId="04908E45"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w:t>
      </w:r>
    </w:p>
    <w:p w:rsidRPr="007F0B8E" w:rsidR="005104C3" w:rsidP="005104C3" w:rsidRDefault="005104C3" w14:paraId="38AE9228" w14:textId="77777777">
      <w:pPr>
        <w:tabs>
          <w:tab w:val="left" w:pos="4962"/>
        </w:tabs>
        <w:spacing w:line="360" w:lineRule="auto"/>
        <w:jc w:val="both"/>
        <w:rPr>
          <w:rFonts w:ascii="Palatino Linotype" w:hAnsi="Palatino Linotype" w:eastAsia="Calibri" w:cs="Tahoma"/>
          <w:iCs/>
          <w:sz w:val="22"/>
          <w:szCs w:val="22"/>
          <w:lang w:eastAsia="es-ES_tradnl"/>
        </w:rPr>
      </w:pPr>
    </w:p>
    <w:p w:rsidRPr="007F0B8E" w:rsidR="005104C3" w:rsidP="005104C3" w:rsidRDefault="005104C3" w14:paraId="1C29DF00" w14:textId="77777777">
      <w:pPr>
        <w:tabs>
          <w:tab w:val="left" w:pos="4962"/>
        </w:tabs>
        <w:spacing w:line="360" w:lineRule="auto"/>
        <w:jc w:val="both"/>
        <w:rPr>
          <w:rFonts w:ascii="Palatino Linotype" w:hAnsi="Palatino Linotype" w:eastAsia="Calibri" w:cs="Tahoma"/>
          <w:bCs/>
          <w:iCs/>
          <w:sz w:val="22"/>
          <w:szCs w:val="22"/>
          <w:lang w:eastAsia="es-ES_tradnl"/>
        </w:rPr>
      </w:pPr>
      <w:r w:rsidRPr="007F0B8E">
        <w:rPr>
          <w:rFonts w:ascii="Palatino Linotype" w:hAnsi="Palatino Linotype" w:eastAsia="Calibri" w:cs="Tahoma"/>
          <w:iCs/>
          <w:sz w:val="22"/>
          <w:szCs w:val="22"/>
          <w:lang w:eastAsia="es-ES_tradnl"/>
        </w:rPr>
        <w:t xml:space="preserve">Por su parte, en los </w:t>
      </w:r>
      <w:r w:rsidRPr="007F0B8E">
        <w:rPr>
          <w:rFonts w:ascii="Palatino Linotype" w:hAnsi="Palatino Linotype" w:eastAsia="Calibri" w:cs="Tahoma"/>
          <w:bCs/>
          <w:iCs/>
          <w:sz w:val="22"/>
          <w:szCs w:val="22"/>
          <w:lang w:eastAsia="es-ES_tradnl"/>
        </w:rPr>
        <w:t>Lineamientos generales en materia de clasificación y desclasificación de la información, así como para la elaboración de versiones públicas -en adelante Lineamientos Generales-, se dispone:</w:t>
      </w:r>
    </w:p>
    <w:p w:rsidRPr="007F0B8E" w:rsidR="005104C3" w:rsidP="005104C3" w:rsidRDefault="005104C3" w14:paraId="0D5CCE02" w14:textId="77777777">
      <w:pPr>
        <w:tabs>
          <w:tab w:val="left" w:pos="4962"/>
        </w:tabs>
        <w:spacing w:line="360" w:lineRule="auto"/>
        <w:jc w:val="both"/>
        <w:rPr>
          <w:rFonts w:ascii="Palatino Linotype" w:hAnsi="Palatino Linotype" w:eastAsia="Calibri" w:cs="Tahoma"/>
          <w:iCs/>
          <w:sz w:val="22"/>
          <w:szCs w:val="22"/>
          <w:lang w:eastAsia="es-ES_tradnl"/>
        </w:rPr>
      </w:pPr>
    </w:p>
    <w:p w:rsidRPr="007F0B8E" w:rsidR="005104C3" w:rsidP="005104C3" w:rsidRDefault="005104C3" w14:paraId="3C57CF62"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Cs/>
          <w:i/>
          <w:iCs/>
          <w:lang w:val="es-ES" w:eastAsia="es-ES_tradnl"/>
        </w:rPr>
        <w:t>“</w:t>
      </w:r>
      <w:r w:rsidRPr="007F0B8E">
        <w:rPr>
          <w:rFonts w:ascii="Palatino Linotype" w:hAnsi="Palatino Linotype" w:eastAsia="Calibri" w:cs="Tahoma"/>
          <w:b/>
          <w:bCs/>
          <w:i/>
          <w:iCs/>
          <w:lang w:val="es-ES" w:eastAsia="es-ES_tradnl"/>
        </w:rPr>
        <w:t xml:space="preserve">Vigésimo séptimo. </w:t>
      </w:r>
      <w:r w:rsidRPr="007F0B8E">
        <w:rPr>
          <w:rFonts w:ascii="Palatino Linotype" w:hAnsi="Palatino Linotype" w:eastAsia="Calibri" w:cs="Tahoma"/>
          <w:i/>
          <w:iCs/>
          <w:lang w:val="es-ES" w:eastAsia="es-ES_tradnl"/>
        </w:rPr>
        <w:t xml:space="preserve">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Para tal efecto, el sujeto obligado deberá acreditar lo siguiente: </w:t>
      </w:r>
    </w:p>
    <w:p w:rsidRPr="007F0B8E" w:rsidR="005104C3" w:rsidP="005104C3" w:rsidRDefault="005104C3" w14:paraId="0FBBC656" w14:textId="77777777">
      <w:pPr>
        <w:tabs>
          <w:tab w:val="left" w:pos="4962"/>
        </w:tabs>
        <w:spacing w:line="360" w:lineRule="auto"/>
        <w:ind w:left="567" w:right="567"/>
        <w:jc w:val="both"/>
        <w:rPr>
          <w:rFonts w:ascii="Palatino Linotype" w:hAnsi="Palatino Linotype" w:eastAsia="Calibri" w:cs="Tahoma"/>
          <w:i/>
          <w:iCs/>
          <w:lang w:val="es-ES" w:eastAsia="es-ES_tradnl"/>
        </w:rPr>
      </w:pPr>
    </w:p>
    <w:p w:rsidRPr="007F0B8E" w:rsidR="005104C3" w:rsidP="005104C3" w:rsidRDefault="005104C3" w14:paraId="31B47BA7"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
          <w:bCs/>
          <w:i/>
          <w:iCs/>
          <w:lang w:val="es-ES" w:eastAsia="es-ES_tradnl"/>
        </w:rPr>
        <w:t xml:space="preserve">I. </w:t>
      </w:r>
      <w:r w:rsidRPr="007F0B8E">
        <w:rPr>
          <w:rFonts w:ascii="Palatino Linotype" w:hAnsi="Palatino Linotype" w:eastAsia="Calibri" w:cs="Tahoma"/>
          <w:i/>
          <w:iCs/>
          <w:lang w:val="es-ES" w:eastAsia="es-ES_tradnl"/>
        </w:rPr>
        <w:t xml:space="preserve">La existencia de un proceso deliberativo en curso, precisando la fecha de inicio; </w:t>
      </w:r>
    </w:p>
    <w:p w:rsidRPr="007F0B8E" w:rsidR="005104C3" w:rsidP="005104C3" w:rsidRDefault="005104C3" w14:paraId="73F88829"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
          <w:bCs/>
          <w:i/>
          <w:iCs/>
          <w:lang w:val="es-ES" w:eastAsia="es-ES_tradnl"/>
        </w:rPr>
        <w:t xml:space="preserve">II. </w:t>
      </w:r>
      <w:r w:rsidRPr="007F0B8E">
        <w:rPr>
          <w:rFonts w:ascii="Palatino Linotype" w:hAnsi="Palatino Linotype" w:eastAsia="Calibri" w:cs="Tahoma"/>
          <w:i/>
          <w:iCs/>
          <w:lang w:val="es-ES" w:eastAsia="es-ES_tradnl"/>
        </w:rPr>
        <w:t xml:space="preserve">Que la información consista en opiniones, recomendaciones o puntos de vista de los servidores públicos que participan en el proceso deliberativo; </w:t>
      </w:r>
    </w:p>
    <w:p w:rsidRPr="007F0B8E" w:rsidR="005104C3" w:rsidP="005104C3" w:rsidRDefault="005104C3" w14:paraId="208C8C93"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
          <w:bCs/>
          <w:i/>
          <w:iCs/>
          <w:lang w:val="es-ES" w:eastAsia="es-ES_tradnl"/>
        </w:rPr>
        <w:t xml:space="preserve">III. </w:t>
      </w:r>
      <w:r w:rsidRPr="007F0B8E">
        <w:rPr>
          <w:rFonts w:ascii="Palatino Linotype" w:hAnsi="Palatino Linotype" w:eastAsia="Calibri" w:cs="Tahoma"/>
          <w:i/>
          <w:iCs/>
          <w:lang w:val="es-ES" w:eastAsia="es-ES_tradnl"/>
        </w:rPr>
        <w:t xml:space="preserve">Que la información se encuentre relacionada, de manera directa, con el proceso deliberativo, y </w:t>
      </w:r>
    </w:p>
    <w:p w:rsidRPr="007F0B8E" w:rsidR="005104C3" w:rsidP="005104C3" w:rsidRDefault="005104C3" w14:paraId="4AF9AAA9"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b/>
          <w:bCs/>
          <w:i/>
          <w:iCs/>
          <w:lang w:val="es-ES" w:eastAsia="es-ES_tradnl"/>
        </w:rPr>
        <w:t xml:space="preserve">IV. </w:t>
      </w:r>
      <w:r w:rsidRPr="007F0B8E">
        <w:rPr>
          <w:rFonts w:ascii="Palatino Linotype" w:hAnsi="Palatino Linotype" w:eastAsia="Calibri" w:cs="Tahoma"/>
          <w:i/>
          <w:iCs/>
          <w:lang w:val="es-ES" w:eastAsia="es-ES_tradnl"/>
        </w:rPr>
        <w:t>Que con su difusión se pueda llegar a interrumpir, menoscabar o inhibir el diseño, negociación, determinación o implementación de los asuntos sometidos a deliberación.</w:t>
      </w:r>
    </w:p>
    <w:p w:rsidRPr="007F0B8E" w:rsidR="005104C3" w:rsidP="005104C3" w:rsidRDefault="005104C3" w14:paraId="6714E544" w14:textId="77777777">
      <w:pPr>
        <w:tabs>
          <w:tab w:val="left" w:pos="4962"/>
        </w:tabs>
        <w:spacing w:line="360" w:lineRule="auto"/>
        <w:ind w:left="567" w:right="567"/>
        <w:jc w:val="both"/>
        <w:rPr>
          <w:rFonts w:ascii="Palatino Linotype" w:hAnsi="Palatino Linotype" w:eastAsia="Calibri" w:cs="Tahoma"/>
          <w:i/>
          <w:iCs/>
          <w:lang w:val="es-ES" w:eastAsia="es-ES_tradnl"/>
        </w:rPr>
      </w:pPr>
      <w:r w:rsidRPr="007F0B8E">
        <w:rPr>
          <w:rFonts w:ascii="Palatino Linotype" w:hAnsi="Palatino Linotype" w:eastAsia="Calibri" w:cs="Tahoma"/>
          <w:i/>
          <w:iCs/>
          <w:lang w:val="es-ES" w:eastAsia="es-ES_tradnl"/>
        </w:rPr>
        <w:t xml:space="preserve"> </w:t>
      </w:r>
    </w:p>
    <w:p w:rsidRPr="007F0B8E" w:rsidR="005104C3" w:rsidP="005104C3" w:rsidRDefault="005104C3" w14:paraId="27AC53AC"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i/>
          <w:iCs/>
          <w:lang w:eastAsia="es-ES_tradnl"/>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Pr="007F0B8E" w:rsidR="005104C3" w:rsidP="005104C3" w:rsidRDefault="005104C3" w14:paraId="1912AB87" w14:textId="77777777">
      <w:pPr>
        <w:tabs>
          <w:tab w:val="left" w:pos="4962"/>
        </w:tabs>
        <w:spacing w:line="360" w:lineRule="auto"/>
        <w:ind w:left="567" w:right="567"/>
        <w:jc w:val="both"/>
        <w:rPr>
          <w:rFonts w:ascii="Palatino Linotype" w:hAnsi="Palatino Linotype" w:eastAsia="Calibri" w:cs="Tahoma"/>
          <w:i/>
          <w:iCs/>
          <w:lang w:eastAsia="es-ES_tradnl"/>
        </w:rPr>
      </w:pPr>
      <w:r w:rsidRPr="007F0B8E">
        <w:rPr>
          <w:rFonts w:ascii="Palatino Linotype" w:hAnsi="Palatino Linotype" w:eastAsia="Calibri" w:cs="Tahoma"/>
          <w:i/>
          <w:iCs/>
          <w:lang w:eastAsia="es-ES_tradnl"/>
        </w:rPr>
        <w:t>…”</w:t>
      </w:r>
    </w:p>
    <w:p w:rsidRPr="007F0B8E" w:rsidR="005104C3" w:rsidP="005104C3" w:rsidRDefault="005104C3" w14:paraId="7C4B1CCD"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689CDE9B"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De los preceptos normativos citados, se desprende que podrá considerarse como información reservada la que contenga opiniones, recomendaciones o puntos de vista que formen parte del proceso deliberativo de los servidores públicos, hasta en tanto no sea adoptada la decisión definitiva, la cual deberá estar documentada. En ese tenor, para poder acreditar la clasificación referida, deben cumplirse los siguientes requisitos:</w:t>
      </w:r>
    </w:p>
    <w:p w:rsidRPr="007F0B8E" w:rsidR="005104C3" w:rsidP="005104C3" w:rsidRDefault="005104C3" w14:paraId="6514BD25"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67A9104D" w14:textId="77777777">
      <w:pPr>
        <w:numPr>
          <w:ilvl w:val="0"/>
          <w:numId w:val="40"/>
        </w:num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La existencia de un proceso deliberativo en trámite; es decir, que no se haya tomado la última determinación que resuelva el proceso.</w:t>
      </w:r>
    </w:p>
    <w:p w:rsidRPr="007F0B8E" w:rsidR="005104C3" w:rsidP="005104C3" w:rsidRDefault="005104C3" w14:paraId="5BE34E56"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3A411674" w14:textId="77777777">
      <w:pPr>
        <w:numPr>
          <w:ilvl w:val="0"/>
          <w:numId w:val="40"/>
        </w:num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Que la información consiste en las opiniones, recomendaciones o puntos de vista que se presentan dentro del proceso deliberativo de servidores públicos.</w:t>
      </w:r>
    </w:p>
    <w:p w:rsidRPr="007F0B8E" w:rsidR="005104C3" w:rsidP="005104C3" w:rsidRDefault="005104C3" w14:paraId="6E07387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260EA672" w14:textId="6B88E2C1">
      <w:pPr>
        <w:numPr>
          <w:ilvl w:val="0"/>
          <w:numId w:val="40"/>
        </w:num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Que la información se encuentre relacionada, de manera directa, con el proceso deliberativo.</w:t>
      </w:r>
    </w:p>
    <w:p w:rsidRPr="007F0B8E" w:rsidR="005104C3" w:rsidP="005104C3" w:rsidRDefault="005104C3" w14:paraId="4B64BD8E" w14:textId="77777777">
      <w:pPr>
        <w:pStyle w:val="Prrafodelista"/>
        <w:spacing w:line="360" w:lineRule="auto"/>
        <w:rPr>
          <w:rFonts w:ascii="Palatino Linotype" w:hAnsi="Palatino Linotype" w:eastAsia="Calibri" w:cs="Tahoma"/>
          <w:iCs/>
          <w:szCs w:val="22"/>
          <w:lang w:val="es-ES" w:eastAsia="es-ES_tradnl"/>
        </w:rPr>
      </w:pPr>
    </w:p>
    <w:p w:rsidRPr="007F0B8E" w:rsidR="005104C3" w:rsidP="005104C3" w:rsidRDefault="005104C3" w14:paraId="1B141C4A" w14:textId="77777777">
      <w:pPr>
        <w:numPr>
          <w:ilvl w:val="0"/>
          <w:numId w:val="40"/>
        </w:numPr>
        <w:tabs>
          <w:tab w:val="left" w:pos="4962"/>
        </w:tabs>
        <w:spacing w:line="360" w:lineRule="auto"/>
        <w:jc w:val="both"/>
        <w:rPr>
          <w:rFonts w:ascii="Palatino Linotype" w:hAnsi="Palatino Linotype" w:eastAsia="Calibri" w:cs="Tahoma"/>
          <w:iCs/>
          <w:sz w:val="22"/>
          <w:szCs w:val="22"/>
          <w:lang w:val="es-ES" w:eastAsia="es-ES_tradnl"/>
        </w:rPr>
      </w:pPr>
      <w:r w:rsidRPr="007F0B8E">
        <w:rPr>
          <w:rFonts w:ascii="Palatino Linotype" w:hAnsi="Palatino Linotype" w:eastAsia="Calibri" w:cs="Tahoma"/>
          <w:iCs/>
          <w:sz w:val="22"/>
          <w:szCs w:val="22"/>
          <w:lang w:val="es-ES" w:eastAsia="es-ES_tradnl"/>
        </w:rPr>
        <w:t>Que su difusión pueda llegar a interrumpir, menoscabar o inhibir el diseño, negociación, determinación o implementación de los asuntos sometidos a deliberación.</w:t>
      </w:r>
    </w:p>
    <w:p w:rsidRPr="007F0B8E" w:rsidR="005104C3" w:rsidP="005104C3" w:rsidRDefault="005104C3" w14:paraId="6D8DF130"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796AA204" w14:textId="77777777">
      <w:pPr>
        <w:tabs>
          <w:tab w:val="left" w:pos="4962"/>
        </w:tabs>
        <w:spacing w:line="360" w:lineRule="auto"/>
        <w:jc w:val="both"/>
        <w:rPr>
          <w:rFonts w:ascii="Palatino Linotype" w:hAnsi="Palatino Linotype" w:eastAsia="Calibri" w:cs="Tahoma"/>
          <w:b/>
          <w:bCs/>
          <w:iCs/>
          <w:sz w:val="22"/>
          <w:szCs w:val="22"/>
          <w:lang w:val="es-ES" w:eastAsia="es-ES_tradnl"/>
        </w:rPr>
      </w:pPr>
      <w:r w:rsidRPr="007F0B8E">
        <w:rPr>
          <w:rFonts w:ascii="Palatino Linotype" w:hAnsi="Palatino Linotype" w:eastAsia="Calibri" w:cs="Tahoma"/>
          <w:iCs/>
          <w:sz w:val="22"/>
          <w:szCs w:val="22"/>
          <w:lang w:val="es-ES" w:eastAsia="es-ES_tradnl"/>
        </w:rPr>
        <w:t xml:space="preserve">En ese sentido, </w:t>
      </w:r>
      <w:r w:rsidRPr="007F0B8E">
        <w:rPr>
          <w:rFonts w:ascii="Palatino Linotype" w:hAnsi="Palatino Linotype" w:eastAsia="Calibri" w:cs="Tahoma"/>
          <w:bCs/>
          <w:iCs/>
          <w:sz w:val="22"/>
          <w:szCs w:val="22"/>
          <w:lang w:val="es-ES" w:eastAsia="es-ES_tradnl"/>
        </w:rPr>
        <w:t xml:space="preserve">la </w:t>
      </w:r>
      <w:r w:rsidRPr="007F0B8E">
        <w:rPr>
          <w:rFonts w:ascii="Palatino Linotype" w:hAnsi="Palatino Linotype" w:eastAsia="Calibri" w:cs="Tahoma"/>
          <w:b/>
          <w:bCs/>
          <w:iCs/>
          <w:sz w:val="22"/>
          <w:szCs w:val="22"/>
          <w:lang w:val="es-ES" w:eastAsia="es-ES_tradnl"/>
        </w:rPr>
        <w:t>información de un proceso deliberativo que es susceptible de reserva, es aquélla que registra la deliberación o el sentido de la decisión, al tratarse de opiniones, recomendaciones o puntos de vista que son valorados por las autoridades</w:t>
      </w:r>
      <w:r w:rsidRPr="007F0B8E">
        <w:rPr>
          <w:rFonts w:ascii="Palatino Linotype" w:hAnsi="Palatino Linotype" w:eastAsia="Calibri" w:cs="Tahoma"/>
          <w:b/>
          <w:iCs/>
          <w:sz w:val="22"/>
          <w:szCs w:val="22"/>
          <w:lang w:val="es-ES" w:eastAsia="es-ES_tradnl"/>
        </w:rPr>
        <w:t xml:space="preserve">, </w:t>
      </w:r>
      <w:r w:rsidRPr="007F0B8E">
        <w:rPr>
          <w:rFonts w:ascii="Palatino Linotype" w:hAnsi="Palatino Linotype" w:eastAsia="Calibri" w:cs="Tahoma"/>
          <w:b/>
          <w:bCs/>
          <w:iCs/>
          <w:sz w:val="22"/>
          <w:szCs w:val="22"/>
          <w:lang w:val="es-ES" w:eastAsia="es-ES_tradnl"/>
        </w:rPr>
        <w:t xml:space="preserve">ya que lo que se protege es la secrecía en la toma de decisiones hasta que estas sean adoptadas a fin de que dicha deliberación no sea afectada por agentes externos </w:t>
      </w:r>
      <w:r w:rsidRPr="007F0B8E">
        <w:rPr>
          <w:rFonts w:ascii="Palatino Linotype" w:hAnsi="Palatino Linotype" w:eastAsia="Calibri" w:cs="Tahoma"/>
          <w:iCs/>
          <w:sz w:val="22"/>
          <w:szCs w:val="22"/>
          <w:lang w:val="es-ES" w:eastAsia="es-ES_tradnl"/>
        </w:rPr>
        <w:t>de modo tal que estos</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iCs/>
          <w:sz w:val="22"/>
          <w:szCs w:val="22"/>
          <w:lang w:val="es-ES" w:eastAsia="es-ES_tradnl"/>
        </w:rPr>
        <w:t>servidores se vean incapacitados para tomar la decisión de forma adecuada; es</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iCs/>
          <w:sz w:val="22"/>
          <w:szCs w:val="22"/>
          <w:lang w:val="es-ES" w:eastAsia="es-ES_tradnl"/>
        </w:rPr>
        <w:t>decir, la información susceptible de reserva es aquella que estrictamente forma</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iCs/>
          <w:sz w:val="22"/>
          <w:szCs w:val="22"/>
          <w:lang w:val="es-ES" w:eastAsia="es-ES_tradnl"/>
        </w:rPr>
        <w:t>parte y guarda relación directa con el proceso de toma de decisión y cuya</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iCs/>
          <w:sz w:val="22"/>
          <w:szCs w:val="22"/>
          <w:lang w:val="es-ES" w:eastAsia="es-ES_tradnl"/>
        </w:rPr>
        <w:t>divulgación, precisamente, inhibiría ese proceso o lesionaría su</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bCs/>
          <w:iCs/>
          <w:sz w:val="22"/>
          <w:szCs w:val="22"/>
          <w:lang w:val="es-ES" w:eastAsia="es-ES_tradnl"/>
        </w:rPr>
        <w:t>de</w:t>
      </w:r>
      <w:r w:rsidRPr="007F0B8E">
        <w:rPr>
          <w:rFonts w:ascii="Palatino Linotype" w:hAnsi="Palatino Linotype" w:eastAsia="Calibri" w:cs="Tahoma"/>
          <w:iCs/>
          <w:sz w:val="22"/>
          <w:szCs w:val="22"/>
          <w:lang w:val="es-ES" w:eastAsia="es-ES_tradnl"/>
        </w:rPr>
        <w:t>terminación.</w:t>
      </w:r>
    </w:p>
    <w:p w:rsidRPr="007F0B8E" w:rsidR="005104C3" w:rsidP="005104C3" w:rsidRDefault="005104C3" w14:paraId="0AD65CB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5CB02D5A" w14:textId="77777777">
      <w:pPr>
        <w:tabs>
          <w:tab w:val="left" w:pos="4962"/>
        </w:tabs>
        <w:spacing w:line="360" w:lineRule="auto"/>
        <w:jc w:val="both"/>
        <w:rPr>
          <w:rFonts w:ascii="Palatino Linotype" w:hAnsi="Palatino Linotype" w:eastAsia="Calibri" w:cs="Tahoma"/>
          <w:iCs/>
          <w:sz w:val="22"/>
          <w:szCs w:val="22"/>
          <w:lang w:eastAsia="es-ES_tradnl"/>
        </w:rPr>
      </w:pPr>
      <w:r w:rsidRPr="007F0B8E">
        <w:rPr>
          <w:rFonts w:ascii="Palatino Linotype" w:hAnsi="Palatino Linotype" w:eastAsia="Calibri" w:cs="Tahoma"/>
          <w:iCs/>
          <w:sz w:val="22"/>
          <w:szCs w:val="22"/>
          <w:lang w:eastAsia="es-ES_tradnl"/>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Pr="007F0B8E" w:rsidR="005104C3" w:rsidP="005104C3" w:rsidRDefault="005104C3" w14:paraId="6DC8B11B" w14:textId="77777777">
      <w:pPr>
        <w:tabs>
          <w:tab w:val="left" w:pos="4962"/>
        </w:tabs>
        <w:spacing w:line="360" w:lineRule="auto"/>
        <w:jc w:val="both"/>
        <w:rPr>
          <w:rFonts w:ascii="Palatino Linotype" w:hAnsi="Palatino Linotype" w:eastAsia="Calibri" w:cs="Tahoma"/>
          <w:iCs/>
          <w:sz w:val="22"/>
          <w:szCs w:val="22"/>
          <w:lang w:val="es-ES" w:eastAsia="es-ES_tradnl"/>
        </w:rPr>
      </w:pPr>
    </w:p>
    <w:p w:rsidRPr="007F0B8E" w:rsidR="005104C3" w:rsidP="005104C3" w:rsidRDefault="005104C3" w14:paraId="473F49BA" w14:textId="77777777">
      <w:pPr>
        <w:tabs>
          <w:tab w:val="left" w:pos="4962"/>
        </w:tabs>
        <w:spacing w:line="360" w:lineRule="auto"/>
        <w:jc w:val="both"/>
        <w:rPr>
          <w:rFonts w:ascii="Palatino Linotype" w:hAnsi="Palatino Linotype" w:eastAsia="Calibri" w:cs="Tahoma"/>
          <w:b/>
          <w:bCs/>
          <w:iCs/>
          <w:sz w:val="22"/>
          <w:szCs w:val="22"/>
          <w:lang w:val="es-ES" w:eastAsia="es-ES_tradnl"/>
        </w:rPr>
      </w:pPr>
      <w:r w:rsidRPr="007F0B8E">
        <w:rPr>
          <w:rFonts w:ascii="Palatino Linotype" w:hAnsi="Palatino Linotype" w:eastAsia="Calibri" w:cs="Tahoma"/>
          <w:iCs/>
          <w:sz w:val="22"/>
          <w:szCs w:val="22"/>
          <w:lang w:val="es-ES" w:eastAsia="es-ES_tradnl"/>
        </w:rPr>
        <w:t>Por lo tanto, lo que se busca evitar</w:t>
      </w:r>
      <w:r w:rsidRPr="007F0B8E">
        <w:rPr>
          <w:rFonts w:ascii="Palatino Linotype" w:hAnsi="Palatino Linotype" w:eastAsia="Calibri" w:cs="Tahoma"/>
          <w:b/>
          <w:bCs/>
          <w:iCs/>
          <w:sz w:val="22"/>
          <w:szCs w:val="22"/>
          <w:lang w:val="es-ES" w:eastAsia="es-ES_tradnl"/>
        </w:rPr>
        <w:t xml:space="preserve"> </w:t>
      </w:r>
      <w:r w:rsidRPr="007F0B8E">
        <w:rPr>
          <w:rFonts w:ascii="Palatino Linotype" w:hAnsi="Palatino Linotype" w:eastAsia="Calibri" w:cs="Tahoma"/>
          <w:bCs/>
          <w:iCs/>
          <w:sz w:val="22"/>
          <w:szCs w:val="22"/>
          <w:lang w:val="es-ES" w:eastAsia="es-ES_tradnl"/>
        </w:rPr>
        <w:t xml:space="preserve">es que </w:t>
      </w:r>
      <w:r w:rsidRPr="007F0B8E">
        <w:rPr>
          <w:rFonts w:ascii="Palatino Linotype" w:hAnsi="Palatino Linotype" w:eastAsia="Calibri" w:cs="Tahoma"/>
          <w:b/>
          <w:bCs/>
          <w:iCs/>
          <w:sz w:val="22"/>
          <w:szCs w:val="22"/>
          <w:lang w:val="es-ES" w:eastAsia="es-ES_tradnl"/>
        </w:rPr>
        <w:t>se divulgue información que pueda entorpecer o afectar el correcto desarrollo de la deliberación.</w:t>
      </w:r>
    </w:p>
    <w:p w:rsidRPr="007F0B8E" w:rsidR="005104C3" w:rsidP="005104C3" w:rsidRDefault="005104C3" w14:paraId="61FC3438" w14:textId="77777777">
      <w:pPr>
        <w:spacing w:line="360" w:lineRule="auto"/>
        <w:jc w:val="both"/>
        <w:rPr>
          <w:rFonts w:ascii="Palatino Linotype" w:hAnsi="Palatino Linotype" w:cs="Tahoma"/>
          <w:sz w:val="22"/>
          <w:szCs w:val="22"/>
        </w:rPr>
      </w:pPr>
    </w:p>
    <w:p w:rsidRPr="007F0B8E" w:rsidR="005104C3" w:rsidP="005104C3" w:rsidRDefault="005104C3" w14:paraId="236C2568" w14:textId="530F479B">
      <w:pPr>
        <w:spacing w:line="360" w:lineRule="auto"/>
        <w:jc w:val="both"/>
        <w:rPr>
          <w:rFonts w:ascii="Palatino Linotype" w:hAnsi="Palatino Linotype" w:cs="Tahoma"/>
          <w:sz w:val="22"/>
          <w:szCs w:val="22"/>
        </w:rPr>
      </w:pPr>
      <w:r w:rsidRPr="007F0B8E">
        <w:rPr>
          <w:rFonts w:ascii="Palatino Linotype" w:hAnsi="Palatino Linotype" w:cs="Tahoma"/>
          <w:sz w:val="22"/>
          <w:szCs w:val="22"/>
        </w:rPr>
        <w:t xml:space="preserve">En el presente caso, se considera que no se cumplen con los requisitos previamente establecidos, pues </w:t>
      </w:r>
      <w:r w:rsidRPr="007F0B8E" w:rsidR="006B5470">
        <w:rPr>
          <w:rFonts w:ascii="Palatino Linotype" w:hAnsi="Palatino Linotype" w:cs="Tahoma"/>
          <w:sz w:val="22"/>
          <w:szCs w:val="22"/>
        </w:rPr>
        <w:t>el nombre de los policías municipales, no guardan relación con algún proceso deliberativo; en otras palabras, no existe ninguna deliberación que se vea afectada o este relacionada con el nombre de los policías municipales, con lo cual no se acredita el primero de los requisitos y por esta razón, no se acreditan el resto de los elementos previamente señalados.</w:t>
      </w:r>
    </w:p>
    <w:p w:rsidRPr="007F0B8E" w:rsidR="006B5470" w:rsidP="005104C3" w:rsidRDefault="006B5470" w14:paraId="622553C7" w14:textId="77777777">
      <w:pPr>
        <w:spacing w:line="360" w:lineRule="auto"/>
        <w:jc w:val="both"/>
        <w:rPr>
          <w:rFonts w:ascii="Palatino Linotype" w:hAnsi="Palatino Linotype" w:cs="Tahoma"/>
          <w:sz w:val="22"/>
          <w:szCs w:val="22"/>
        </w:rPr>
      </w:pPr>
    </w:p>
    <w:p w:rsidRPr="007F0B8E" w:rsidR="005104C3" w:rsidP="005104C3" w:rsidRDefault="005104C3" w14:paraId="708D173C" w14:textId="77777777">
      <w:pPr>
        <w:spacing w:line="360" w:lineRule="auto"/>
        <w:jc w:val="both"/>
        <w:rPr>
          <w:rFonts w:ascii="Palatino Linotype" w:hAnsi="Palatino Linotype" w:cs="Tahoma"/>
          <w:sz w:val="22"/>
          <w:szCs w:val="22"/>
        </w:rPr>
      </w:pPr>
      <w:r w:rsidRPr="007F0B8E">
        <w:rPr>
          <w:rFonts w:ascii="Palatino Linotype" w:hAnsi="Palatino Linotype" w:eastAsia="Calibri" w:cs="Tahoma"/>
          <w:iCs/>
          <w:sz w:val="22"/>
          <w:szCs w:val="22"/>
          <w:lang w:val="es-ES" w:eastAsia="es-ES_tradnl"/>
        </w:rPr>
        <w:t>De tal circunstancia, no resulta procedente la clasificación, como reservada, en términos del artículo 140, fracción VII, de la Ley de Transparencia y Acceso a la Información Pública del Estado de México y Municipios, la información requerida.</w:t>
      </w:r>
    </w:p>
    <w:p w:rsidRPr="007F0B8E" w:rsidR="005104C3" w:rsidP="00560635" w:rsidRDefault="005104C3" w14:paraId="2FF7CEA7" w14:textId="5C8E7AF6">
      <w:pPr>
        <w:autoSpaceDE w:val="0"/>
        <w:autoSpaceDN w:val="0"/>
        <w:spacing w:line="360" w:lineRule="auto"/>
        <w:jc w:val="both"/>
        <w:rPr>
          <w:rFonts w:ascii="Palatino Linotype" w:hAnsi="Palatino Linotype" w:cs="Tahoma"/>
          <w:sz w:val="22"/>
          <w:szCs w:val="22"/>
        </w:rPr>
      </w:pPr>
    </w:p>
    <w:p w:rsidRPr="007F0B8E" w:rsidR="006B5470" w:rsidP="006B5470" w:rsidRDefault="006B5470" w14:paraId="769F5D07" w14:textId="31174FF4">
      <w:pPr>
        <w:autoSpaceDE w:val="0"/>
        <w:autoSpaceDN w:val="0"/>
        <w:spacing w:line="360" w:lineRule="auto"/>
        <w:jc w:val="both"/>
        <w:rPr>
          <w:rFonts w:ascii="Palatino Linotype" w:hAnsi="Palatino Linotype" w:cs="Tahoma"/>
          <w:bCs/>
          <w:i/>
          <w:iCs/>
          <w:sz w:val="22"/>
          <w:szCs w:val="22"/>
        </w:rPr>
      </w:pPr>
      <w:r w:rsidRPr="007F0B8E">
        <w:rPr>
          <w:rFonts w:ascii="Palatino Linotype" w:hAnsi="Palatino Linotype" w:cs="Tahoma"/>
          <w:sz w:val="22"/>
          <w:szCs w:val="22"/>
        </w:rPr>
        <w:t>De tales circunstancias, se considera que únicamente procedió la reserva del nombre de los policías municipales, por lo que hace a la fracción IV, del artículo 140, de la Ley mencionada; por lo que, para atender el requerimiento de información, el Sujeto Obligado deberá emitir, a través de su Comité de Transparencia, el Acuerdo mediante el cual se confirme la clasificación de la información referida, de manera fundada y motivada, a través de la realización de manera correcta de la prueba de daño.</w:t>
      </w:r>
    </w:p>
    <w:p w:rsidRPr="007F0B8E" w:rsidR="00D80F34" w:rsidP="005577A9" w:rsidRDefault="00D80F34" w14:paraId="396C2871" w14:textId="77777777">
      <w:pPr>
        <w:spacing w:line="360" w:lineRule="auto"/>
        <w:jc w:val="both"/>
        <w:rPr>
          <w:rFonts w:ascii="Palatino Linotype" w:hAnsi="Palatino Linotype" w:cs="Tahoma"/>
          <w:color w:val="0D0D0D" w:themeColor="text1" w:themeTint="F2"/>
          <w:sz w:val="22"/>
          <w:szCs w:val="22"/>
          <w:lang w:val="es-ES"/>
        </w:rPr>
      </w:pPr>
    </w:p>
    <w:p w:rsidRPr="007F0B8E" w:rsidR="00FE0F18" w:rsidP="00FE0F18" w:rsidRDefault="00FE0F18" w14:paraId="1DC61A66" w14:textId="26C350DF">
      <w:pPr>
        <w:spacing w:line="360" w:lineRule="auto"/>
        <w:jc w:val="both"/>
        <w:rPr>
          <w:rFonts w:ascii="Palatino Linotype" w:hAnsi="Palatino Linotype" w:cs="Tahoma"/>
          <w:b/>
          <w:color w:val="0D0D0D" w:themeColor="text1" w:themeTint="F2"/>
          <w:sz w:val="22"/>
          <w:szCs w:val="22"/>
          <w:lang w:val="es-ES"/>
        </w:rPr>
      </w:pPr>
      <w:r w:rsidRPr="007F0B8E">
        <w:rPr>
          <w:rFonts w:ascii="Palatino Linotype" w:hAnsi="Palatino Linotype" w:cs="Tahoma"/>
          <w:b/>
          <w:color w:val="0D0D0D" w:themeColor="text1" w:themeTint="F2"/>
          <w:sz w:val="22"/>
          <w:szCs w:val="22"/>
          <w:lang w:val="es-ES"/>
        </w:rPr>
        <w:t xml:space="preserve">SEXTO. Decisión. </w:t>
      </w:r>
    </w:p>
    <w:p w:rsidRPr="007F0B8E" w:rsidR="009A71DB" w:rsidP="00FE0F18" w:rsidRDefault="009A71DB" w14:paraId="2E0249C3" w14:textId="77777777">
      <w:pPr>
        <w:spacing w:line="360" w:lineRule="auto"/>
        <w:jc w:val="both"/>
        <w:rPr>
          <w:rFonts w:ascii="Palatino Linotype" w:hAnsi="Palatino Linotype" w:cs="Tahoma"/>
          <w:b/>
          <w:color w:val="0D0D0D" w:themeColor="text1" w:themeTint="F2"/>
          <w:sz w:val="22"/>
          <w:szCs w:val="22"/>
          <w:lang w:val="es-ES"/>
        </w:rPr>
      </w:pPr>
    </w:p>
    <w:p w:rsidRPr="007F0B8E" w:rsidR="007741D6" w:rsidP="00164444" w:rsidRDefault="00FE0F18" w14:paraId="328C2DBE" w14:textId="4FF180E8">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cs="Tahoma"/>
          <w:color w:val="0D0D0D" w:themeColor="text1" w:themeTint="F2"/>
          <w:sz w:val="22"/>
          <w:szCs w:val="22"/>
        </w:rPr>
        <w:t xml:space="preserve">Con fundamento en el artículo 186, fracción III, de la Ley de Transparencia y Acceso a la Información Pública del Estado de México y Municipios, este Instituto considera procedente </w:t>
      </w:r>
      <w:r w:rsidRPr="007F0B8E" w:rsidR="005A640F">
        <w:rPr>
          <w:rFonts w:ascii="Palatino Linotype" w:hAnsi="Palatino Linotype" w:cs="Tahoma"/>
          <w:b/>
          <w:bCs/>
          <w:color w:val="0D0D0D" w:themeColor="text1" w:themeTint="F2"/>
          <w:sz w:val="22"/>
          <w:szCs w:val="22"/>
        </w:rPr>
        <w:t>MODIFICAR</w:t>
      </w:r>
      <w:r w:rsidRPr="007F0B8E">
        <w:rPr>
          <w:rFonts w:ascii="Palatino Linotype" w:hAnsi="Palatino Linotype" w:cs="Tahoma"/>
          <w:b/>
          <w:bCs/>
          <w:color w:val="0D0D0D" w:themeColor="text1" w:themeTint="F2"/>
          <w:sz w:val="22"/>
          <w:szCs w:val="22"/>
        </w:rPr>
        <w:t xml:space="preserve"> </w:t>
      </w:r>
      <w:r w:rsidRPr="007F0B8E">
        <w:rPr>
          <w:rFonts w:ascii="Palatino Linotype" w:hAnsi="Palatino Linotype" w:cs="Tahoma"/>
          <w:color w:val="0D0D0D" w:themeColor="text1" w:themeTint="F2"/>
          <w:sz w:val="22"/>
          <w:szCs w:val="22"/>
        </w:rPr>
        <w:t>la respuesta de</w:t>
      </w:r>
      <w:r w:rsidRPr="007F0B8E" w:rsidR="009A71DB">
        <w:rPr>
          <w:rFonts w:ascii="Palatino Linotype" w:hAnsi="Palatino Linotype" w:cs="Tahoma"/>
          <w:color w:val="0D0D0D" w:themeColor="text1" w:themeTint="F2"/>
          <w:sz w:val="22"/>
          <w:szCs w:val="22"/>
        </w:rPr>
        <w:t>l</w:t>
      </w:r>
      <w:r w:rsidRPr="007F0B8E">
        <w:rPr>
          <w:rFonts w:ascii="Palatino Linotype" w:hAnsi="Palatino Linotype" w:cs="Tahoma"/>
          <w:color w:val="0D0D0D" w:themeColor="text1" w:themeTint="F2"/>
          <w:sz w:val="22"/>
          <w:szCs w:val="22"/>
        </w:rPr>
        <w:t xml:space="preserve"> </w:t>
      </w:r>
      <w:r w:rsidRPr="007F0B8E" w:rsidR="009A71DB">
        <w:rPr>
          <w:rFonts w:ascii="Palatino Linotype" w:hAnsi="Palatino Linotype" w:cs="Tahoma"/>
          <w:color w:val="0D0D0D" w:themeColor="text1" w:themeTint="F2"/>
          <w:sz w:val="22"/>
          <w:szCs w:val="22"/>
        </w:rPr>
        <w:t>Ayuntamiento de Ixtlahuaca</w:t>
      </w:r>
      <w:r w:rsidRPr="007F0B8E">
        <w:rPr>
          <w:rFonts w:ascii="Palatino Linotype" w:hAnsi="Palatino Linotype" w:cs="Tahoma"/>
          <w:color w:val="0D0D0D" w:themeColor="text1" w:themeTint="F2"/>
          <w:sz w:val="22"/>
          <w:szCs w:val="22"/>
        </w:rPr>
        <w:t xml:space="preserve">, a efecto de que, </w:t>
      </w:r>
      <w:r w:rsidRPr="007F0B8E" w:rsidR="00627A13">
        <w:rPr>
          <w:rFonts w:ascii="Palatino Linotype" w:hAnsi="Palatino Linotype" w:cs="Tahoma"/>
          <w:color w:val="0D0D0D" w:themeColor="text1" w:themeTint="F2"/>
          <w:sz w:val="22"/>
          <w:szCs w:val="22"/>
        </w:rPr>
        <w:t>a través, del</w:t>
      </w:r>
      <w:r w:rsidRPr="007F0B8E">
        <w:rPr>
          <w:rFonts w:ascii="Palatino Linotype" w:hAnsi="Palatino Linotype" w:cs="Tahoma"/>
          <w:color w:val="0D0D0D" w:themeColor="text1" w:themeTint="F2"/>
          <w:sz w:val="22"/>
          <w:szCs w:val="22"/>
        </w:rPr>
        <w:t xml:space="preserve"> Sistema de Acceso a la Información Mexiquense (SAIMEX), </w:t>
      </w:r>
      <w:r w:rsidRPr="007F0B8E" w:rsidR="00627A13">
        <w:rPr>
          <w:rFonts w:ascii="Palatino Linotype" w:hAnsi="Palatino Linotype" w:cs="Tahoma"/>
          <w:color w:val="0D0D0D" w:themeColor="text1" w:themeTint="F2"/>
          <w:sz w:val="22"/>
          <w:szCs w:val="22"/>
        </w:rPr>
        <w:t xml:space="preserve">entregue </w:t>
      </w:r>
      <w:r w:rsidRPr="007F0B8E" w:rsidR="007741D6">
        <w:rPr>
          <w:rFonts w:ascii="Palatino Linotype" w:hAnsi="Palatino Linotype" w:cs="Tahoma"/>
          <w:color w:val="0D0D0D" w:themeColor="text1" w:themeTint="F2"/>
          <w:sz w:val="22"/>
          <w:szCs w:val="22"/>
        </w:rPr>
        <w:t>lo siguiente:</w:t>
      </w:r>
    </w:p>
    <w:p w:rsidRPr="007F0B8E" w:rsidR="007741D6" w:rsidP="00164444" w:rsidRDefault="007741D6" w14:paraId="587A736D" w14:textId="77777777">
      <w:pPr>
        <w:spacing w:line="360" w:lineRule="auto"/>
        <w:jc w:val="both"/>
        <w:rPr>
          <w:rFonts w:ascii="Palatino Linotype" w:hAnsi="Palatino Linotype" w:cs="Tahoma"/>
          <w:color w:val="0D0D0D" w:themeColor="text1" w:themeTint="F2"/>
          <w:sz w:val="22"/>
          <w:szCs w:val="22"/>
        </w:rPr>
      </w:pPr>
    </w:p>
    <w:p w:rsidRPr="007F0B8E" w:rsidR="00FE0F18" w:rsidP="007741D6" w:rsidRDefault="007741D6" w14:paraId="2EF88160" w14:textId="119DC851">
      <w:pPr>
        <w:pStyle w:val="Prrafodelista"/>
        <w:numPr>
          <w:ilvl w:val="0"/>
          <w:numId w:val="25"/>
        </w:numPr>
        <w:spacing w:line="360" w:lineRule="auto"/>
        <w:jc w:val="both"/>
        <w:rPr>
          <w:rFonts w:ascii="Palatino Linotype" w:hAnsi="Palatino Linotype" w:cs="Tahoma"/>
          <w:color w:val="0D0D0D" w:themeColor="text1" w:themeTint="F2"/>
          <w:szCs w:val="22"/>
        </w:rPr>
      </w:pPr>
      <w:bookmarkStart w:name="_Hlk107446449" w:id="0"/>
      <w:r w:rsidRPr="007F0B8E">
        <w:rPr>
          <w:rFonts w:ascii="Palatino Linotype" w:hAnsi="Palatino Linotype" w:cs="Tahoma"/>
          <w:color w:val="0D0D0D" w:themeColor="text1" w:themeTint="F2"/>
          <w:szCs w:val="22"/>
        </w:rPr>
        <w:lastRenderedPageBreak/>
        <w:t>E</w:t>
      </w:r>
      <w:r w:rsidRPr="007F0B8E" w:rsidR="00A75B53">
        <w:rPr>
          <w:rFonts w:ascii="Palatino Linotype" w:hAnsi="Palatino Linotype" w:cs="Tahoma"/>
          <w:color w:val="0D0D0D" w:themeColor="text1" w:themeTint="F2"/>
          <w:szCs w:val="22"/>
        </w:rPr>
        <w:t xml:space="preserve">l acuerdo de clasificación emitido por el Comité de Transparencia, en donde de manera fundada y motivada, confirme la clasificación, </w:t>
      </w:r>
      <w:r w:rsidRPr="007F0B8E" w:rsidR="00FA699F">
        <w:rPr>
          <w:rFonts w:ascii="Palatino Linotype" w:hAnsi="Palatino Linotype" w:cs="Tahoma"/>
          <w:color w:val="0D0D0D" w:themeColor="text1" w:themeTint="F2"/>
          <w:szCs w:val="22"/>
        </w:rPr>
        <w:t xml:space="preserve">del nombre de </w:t>
      </w:r>
      <w:r w:rsidRPr="007F0B8E" w:rsidR="006B5470">
        <w:rPr>
          <w:rFonts w:ascii="Palatino Linotype" w:hAnsi="Palatino Linotype" w:cs="Tahoma"/>
          <w:color w:val="0D0D0D" w:themeColor="text1" w:themeTint="F2"/>
          <w:szCs w:val="22"/>
        </w:rPr>
        <w:t>los policías municipales, contenidos en el documento denominado Remuneraciones de Servidores Públicos (Nómina), proporcionado en respuesta</w:t>
      </w:r>
      <w:r w:rsidRPr="007F0B8E" w:rsidR="00FA699F">
        <w:rPr>
          <w:rFonts w:ascii="Palatino Linotype" w:hAnsi="Palatino Linotype" w:cs="Tahoma"/>
          <w:color w:val="0D0D0D" w:themeColor="text1" w:themeTint="F2"/>
          <w:szCs w:val="22"/>
        </w:rPr>
        <w:t>, en términos del artículo 140, fracción IV, de la Ley de Transparencia y Acceso a la Información Pública del Estado de México y Municipios.</w:t>
      </w:r>
    </w:p>
    <w:bookmarkEnd w:id="0"/>
    <w:p w:rsidRPr="007F0B8E" w:rsidR="00627A13" w:rsidP="00FE0F18" w:rsidRDefault="00627A13" w14:paraId="5D6DEFF4" w14:textId="77777777">
      <w:pPr>
        <w:spacing w:line="360" w:lineRule="auto"/>
        <w:ind w:right="-93"/>
        <w:jc w:val="both"/>
        <w:rPr>
          <w:rFonts w:ascii="Palatino Linotype" w:hAnsi="Palatino Linotype" w:cs="Tahoma"/>
          <w:color w:val="0D0D0D" w:themeColor="text1" w:themeTint="F2"/>
          <w:sz w:val="22"/>
          <w:szCs w:val="22"/>
        </w:rPr>
      </w:pPr>
    </w:p>
    <w:p w:rsidRPr="007F0B8E" w:rsidR="00FE0F18" w:rsidP="00FE0F18" w:rsidRDefault="00FE0F18" w14:paraId="2574A85E" w14:textId="4B9526B4">
      <w:pPr>
        <w:autoSpaceDE w:val="0"/>
        <w:autoSpaceDN w:val="0"/>
        <w:adjustRightInd w:val="0"/>
        <w:spacing w:line="360" w:lineRule="auto"/>
        <w:jc w:val="both"/>
        <w:rPr>
          <w:rFonts w:ascii="Palatino Linotype" w:hAnsi="Palatino Linotype" w:eastAsia="Calibri" w:cs="Tahoma"/>
          <w:b/>
          <w:bCs/>
          <w:iCs/>
          <w:color w:val="0D0D0D" w:themeColor="text1" w:themeTint="F2"/>
          <w:sz w:val="22"/>
          <w:szCs w:val="22"/>
          <w:lang w:eastAsia="en-US"/>
        </w:rPr>
      </w:pPr>
      <w:r w:rsidRPr="007F0B8E">
        <w:rPr>
          <w:rFonts w:ascii="Palatino Linotype" w:hAnsi="Palatino Linotype" w:eastAsia="Calibri" w:cs="Tahoma"/>
          <w:b/>
          <w:bCs/>
          <w:iCs/>
          <w:color w:val="0D0D0D" w:themeColor="text1" w:themeTint="F2"/>
          <w:sz w:val="22"/>
          <w:szCs w:val="22"/>
          <w:lang w:eastAsia="en-US"/>
        </w:rPr>
        <w:t>Términos de la Resolución para conocimiento del Particular.</w:t>
      </w:r>
    </w:p>
    <w:p w:rsidRPr="007F0B8E" w:rsidR="00FB2140" w:rsidP="00FE0F18" w:rsidRDefault="00FB2140" w14:paraId="33FAA906" w14:textId="38590023">
      <w:pPr>
        <w:autoSpaceDE w:val="0"/>
        <w:autoSpaceDN w:val="0"/>
        <w:adjustRightInd w:val="0"/>
        <w:spacing w:line="360" w:lineRule="auto"/>
        <w:jc w:val="both"/>
        <w:rPr>
          <w:rFonts w:ascii="Palatino Linotype" w:hAnsi="Palatino Linotype" w:eastAsia="Calibri" w:cs="Tahoma"/>
          <w:b/>
          <w:bCs/>
          <w:iCs/>
          <w:color w:val="0D0D0D" w:themeColor="text1" w:themeTint="F2"/>
          <w:sz w:val="22"/>
          <w:szCs w:val="22"/>
          <w:lang w:eastAsia="en-US"/>
        </w:rPr>
      </w:pPr>
    </w:p>
    <w:p w:rsidRPr="007F0B8E" w:rsidR="00FE0F18" w:rsidP="00FE0F18" w:rsidRDefault="00FE0F18" w14:paraId="56AF5877" w14:textId="216EED75">
      <w:pPr>
        <w:autoSpaceDE w:val="0"/>
        <w:autoSpaceDN w:val="0"/>
        <w:adjustRightInd w:val="0"/>
        <w:spacing w:line="360" w:lineRule="auto"/>
        <w:jc w:val="both"/>
        <w:rPr>
          <w:rFonts w:ascii="Palatino Linotype" w:hAnsi="Palatino Linotype" w:eastAsia="Calibri" w:cs="Tahoma"/>
          <w:bCs/>
          <w:iCs/>
          <w:color w:val="0D0D0D" w:themeColor="text1" w:themeTint="F2"/>
          <w:sz w:val="22"/>
          <w:szCs w:val="22"/>
          <w:lang w:eastAsia="en-US"/>
        </w:rPr>
      </w:pPr>
      <w:r w:rsidRPr="007F0B8E">
        <w:rPr>
          <w:rFonts w:ascii="Palatino Linotype" w:hAnsi="Palatino Linotype" w:eastAsia="Calibri" w:cs="Tahoma"/>
          <w:bCs/>
          <w:iCs/>
          <w:color w:val="0D0D0D" w:themeColor="text1" w:themeTint="F2"/>
          <w:sz w:val="22"/>
          <w:szCs w:val="22"/>
          <w:lang w:eastAsia="en-US"/>
        </w:rPr>
        <w:t>Se le hace del conocimiento al Particular, que, en el presente caso, se le da la razón, pues el Sujeto Obligado</w:t>
      </w:r>
      <w:r w:rsidRPr="007F0B8E" w:rsidR="005A640F">
        <w:rPr>
          <w:rFonts w:ascii="Palatino Linotype" w:hAnsi="Palatino Linotype" w:eastAsia="Calibri" w:cs="Tahoma"/>
          <w:bCs/>
          <w:iCs/>
          <w:color w:val="0D0D0D" w:themeColor="text1" w:themeTint="F2"/>
          <w:sz w:val="22"/>
          <w:szCs w:val="22"/>
          <w:lang w:eastAsia="en-US"/>
        </w:rPr>
        <w:t xml:space="preserve"> </w:t>
      </w:r>
      <w:r w:rsidRPr="007F0B8E" w:rsidR="00A75B53">
        <w:rPr>
          <w:rFonts w:ascii="Palatino Linotype" w:hAnsi="Palatino Linotype" w:eastAsia="Calibri" w:cs="Tahoma"/>
          <w:bCs/>
          <w:iCs/>
          <w:color w:val="0D0D0D" w:themeColor="text1" w:themeTint="F2"/>
          <w:sz w:val="22"/>
          <w:szCs w:val="22"/>
          <w:lang w:eastAsia="en-US"/>
        </w:rPr>
        <w:t xml:space="preserve">no fundó, ni motivo de manera correcta la reserva de la información, por lo que, deberá entregarle el Acuerdo del Comité de Transparencia, en donde confirme la clasificación, por la causal establecida en el artículo 140, fracción </w:t>
      </w:r>
      <w:r w:rsidRPr="007F0B8E" w:rsidR="00541B6B">
        <w:rPr>
          <w:rFonts w:ascii="Palatino Linotype" w:hAnsi="Palatino Linotype" w:eastAsia="Calibri" w:cs="Tahoma"/>
          <w:bCs/>
          <w:iCs/>
          <w:color w:val="0D0D0D" w:themeColor="text1" w:themeTint="F2"/>
          <w:sz w:val="22"/>
          <w:szCs w:val="22"/>
          <w:lang w:eastAsia="en-US"/>
        </w:rPr>
        <w:t>IV</w:t>
      </w:r>
      <w:r w:rsidRPr="007F0B8E" w:rsidR="00A75B53">
        <w:rPr>
          <w:rFonts w:ascii="Palatino Linotype" w:hAnsi="Palatino Linotype" w:eastAsia="Calibri" w:cs="Tahoma"/>
          <w:bCs/>
          <w:iCs/>
          <w:color w:val="0D0D0D" w:themeColor="text1" w:themeTint="F2"/>
          <w:sz w:val="22"/>
          <w:szCs w:val="22"/>
          <w:lang w:eastAsia="en-US"/>
        </w:rPr>
        <w:t xml:space="preserve"> de la Ley de la materia, con la respectiva prueba de daño.</w:t>
      </w:r>
    </w:p>
    <w:p w:rsidRPr="007F0B8E" w:rsidR="00FE0F18" w:rsidP="00FE0F18" w:rsidRDefault="00FE0F18" w14:paraId="41771268" w14:textId="77777777">
      <w:pPr>
        <w:autoSpaceDE w:val="0"/>
        <w:autoSpaceDN w:val="0"/>
        <w:adjustRightInd w:val="0"/>
        <w:spacing w:line="360" w:lineRule="auto"/>
        <w:jc w:val="both"/>
        <w:rPr>
          <w:rFonts w:ascii="Palatino Linotype" w:hAnsi="Palatino Linotype" w:eastAsia="Calibri" w:cs="Tahoma"/>
          <w:bCs/>
          <w:iCs/>
          <w:color w:val="0D0D0D" w:themeColor="text1" w:themeTint="F2"/>
          <w:sz w:val="22"/>
          <w:szCs w:val="22"/>
          <w:lang w:eastAsia="en-US"/>
        </w:rPr>
      </w:pPr>
    </w:p>
    <w:p w:rsidRPr="007F0B8E" w:rsidR="00F87EC0" w:rsidP="00CF337A" w:rsidRDefault="00FE0F18" w14:paraId="7FB20C1F" w14:textId="2B546CF2">
      <w:pPr>
        <w:autoSpaceDE w:val="0"/>
        <w:autoSpaceDN w:val="0"/>
        <w:adjustRightInd w:val="0"/>
        <w:spacing w:line="360" w:lineRule="auto"/>
        <w:jc w:val="both"/>
        <w:rPr>
          <w:rFonts w:ascii="Palatino Linotype" w:hAnsi="Palatino Linotype" w:eastAsia="Calibri" w:cs="Tahoma"/>
          <w:bCs/>
          <w:iCs/>
          <w:color w:val="0D0D0D" w:themeColor="text1" w:themeTint="F2"/>
          <w:sz w:val="22"/>
          <w:szCs w:val="22"/>
          <w:lang w:eastAsia="en-US"/>
        </w:rPr>
      </w:pPr>
      <w:r w:rsidRPr="007F0B8E">
        <w:rPr>
          <w:rFonts w:ascii="Palatino Linotype" w:hAnsi="Palatino Linotype" w:eastAsia="Calibri" w:cs="Tahoma"/>
          <w:bCs/>
          <w:iCs/>
          <w:color w:val="0D0D0D" w:themeColor="text1" w:themeTint="F2"/>
          <w:sz w:val="22"/>
          <w:szCs w:val="22"/>
          <w:lang w:eastAsia="en-US"/>
        </w:rPr>
        <w:t xml:space="preserve">La labor de este </w:t>
      </w:r>
      <w:proofErr w:type="gramStart"/>
      <w:r w:rsidRPr="007F0B8E">
        <w:rPr>
          <w:rFonts w:ascii="Palatino Linotype" w:hAnsi="Palatino Linotype" w:eastAsia="Calibri" w:cs="Tahoma"/>
          <w:bCs/>
          <w:iCs/>
          <w:color w:val="0D0D0D" w:themeColor="text1" w:themeTint="F2"/>
          <w:sz w:val="22"/>
          <w:szCs w:val="22"/>
          <w:lang w:eastAsia="en-US"/>
        </w:rPr>
        <w:t>Instituto,</w:t>
      </w:r>
      <w:proofErr w:type="gramEnd"/>
      <w:r w:rsidRPr="007F0B8E">
        <w:rPr>
          <w:rFonts w:ascii="Palatino Linotype" w:hAnsi="Palatino Linotype" w:eastAsia="Calibri" w:cs="Tahoma"/>
          <w:bCs/>
          <w:iCs/>
          <w:color w:val="0D0D0D" w:themeColor="text1" w:themeTint="F2"/>
          <w:sz w:val="22"/>
          <w:szCs w:val="22"/>
          <w:lang w:eastAsia="en-US"/>
        </w:rPr>
        <w:t xml:space="preserve"> es apoyar a la población a acceder a la información pública y garantizar la protección de sus datos personales.</w:t>
      </w:r>
    </w:p>
    <w:p w:rsidRPr="007F0B8E" w:rsidR="00E37CA9" w:rsidP="00CF337A" w:rsidRDefault="00E37CA9" w14:paraId="60E445F8" w14:textId="77777777">
      <w:pPr>
        <w:autoSpaceDE w:val="0"/>
        <w:autoSpaceDN w:val="0"/>
        <w:adjustRightInd w:val="0"/>
        <w:spacing w:line="360" w:lineRule="auto"/>
        <w:jc w:val="both"/>
        <w:rPr>
          <w:rFonts w:ascii="Palatino Linotype" w:hAnsi="Palatino Linotype" w:eastAsia="Calibri" w:cs="Tahoma"/>
          <w:bCs/>
          <w:iCs/>
          <w:color w:val="0D0D0D" w:themeColor="text1" w:themeTint="F2"/>
          <w:sz w:val="22"/>
          <w:szCs w:val="22"/>
          <w:lang w:eastAsia="en-US"/>
        </w:rPr>
      </w:pPr>
    </w:p>
    <w:p w:rsidRPr="007F0B8E" w:rsidR="00026569" w:rsidP="00CF337A" w:rsidRDefault="00026569" w14:paraId="3C7AC25A" w14:textId="54DA9882">
      <w:pPr>
        <w:spacing w:line="360" w:lineRule="auto"/>
        <w:jc w:val="both"/>
        <w:rPr>
          <w:rFonts w:ascii="Palatino Linotype" w:hAnsi="Palatino Linotype" w:eastAsia="Calibri" w:cs="Tahoma"/>
          <w:bCs/>
          <w:color w:val="0D0D0D" w:themeColor="text1" w:themeTint="F2"/>
          <w:sz w:val="22"/>
          <w:szCs w:val="22"/>
          <w:lang w:eastAsia="en-US"/>
        </w:rPr>
      </w:pPr>
      <w:r w:rsidRPr="007F0B8E">
        <w:rPr>
          <w:rFonts w:ascii="Palatino Linotype" w:hAnsi="Palatino Linotype" w:eastAsia="Calibri" w:cs="Tahoma"/>
          <w:bCs/>
          <w:color w:val="0D0D0D" w:themeColor="text1" w:themeTint="F2"/>
          <w:sz w:val="22"/>
          <w:szCs w:val="22"/>
          <w:lang w:eastAsia="en-US"/>
        </w:rPr>
        <w:t>Por lo expuesto y fundado, este Pleno:</w:t>
      </w:r>
    </w:p>
    <w:p w:rsidRPr="007F0B8E" w:rsidR="007741D6" w:rsidP="00026569" w:rsidRDefault="007741D6" w14:paraId="53F34A62" w14:textId="77777777">
      <w:pPr>
        <w:tabs>
          <w:tab w:val="left" w:pos="4962"/>
        </w:tabs>
        <w:spacing w:line="360" w:lineRule="auto"/>
        <w:jc w:val="both"/>
        <w:rPr>
          <w:rFonts w:ascii="Palatino Linotype" w:hAnsi="Palatino Linotype" w:eastAsia="Calibri" w:cs="Tahoma"/>
          <w:iCs/>
          <w:color w:val="0D0D0D" w:themeColor="text1" w:themeTint="F2"/>
          <w:szCs w:val="22"/>
          <w:lang w:val="es-ES" w:eastAsia="es-ES_tradnl"/>
        </w:rPr>
      </w:pPr>
    </w:p>
    <w:p w:rsidRPr="007F0B8E" w:rsidR="00026569" w:rsidP="00026569" w:rsidRDefault="00026569" w14:paraId="4C7EBF13" w14:textId="4E63B127">
      <w:pPr>
        <w:spacing w:line="360" w:lineRule="auto"/>
        <w:jc w:val="center"/>
        <w:rPr>
          <w:rFonts w:ascii="Palatino Linotype" w:hAnsi="Palatino Linotype" w:eastAsia="Calibri" w:cs="Tahoma"/>
          <w:b/>
          <w:bCs/>
          <w:color w:val="0D0D0D" w:themeColor="text1" w:themeTint="F2"/>
          <w:sz w:val="22"/>
          <w:szCs w:val="22"/>
          <w:lang w:eastAsia="en-US"/>
        </w:rPr>
      </w:pPr>
      <w:r w:rsidRPr="007F0B8E">
        <w:rPr>
          <w:rFonts w:ascii="Palatino Linotype" w:hAnsi="Palatino Linotype" w:eastAsia="Calibri" w:cs="Tahoma"/>
          <w:b/>
          <w:bCs/>
          <w:color w:val="0D0D0D" w:themeColor="text1" w:themeTint="F2"/>
          <w:sz w:val="22"/>
          <w:szCs w:val="22"/>
          <w:lang w:eastAsia="en-US"/>
        </w:rPr>
        <w:t>RESUELVE</w:t>
      </w:r>
      <w:r w:rsidRPr="007F0B8E" w:rsidR="00CC1718">
        <w:rPr>
          <w:rFonts w:ascii="Palatino Linotype" w:hAnsi="Palatino Linotype" w:eastAsia="Calibri" w:cs="Tahoma"/>
          <w:b/>
          <w:bCs/>
          <w:color w:val="0D0D0D" w:themeColor="text1" w:themeTint="F2"/>
          <w:sz w:val="22"/>
          <w:szCs w:val="22"/>
          <w:lang w:eastAsia="en-US"/>
        </w:rPr>
        <w:t>:</w:t>
      </w:r>
    </w:p>
    <w:p w:rsidRPr="007F0B8E" w:rsidR="00FB2140" w:rsidP="00026569" w:rsidRDefault="00FB2140" w14:paraId="618FFE68" w14:textId="77777777">
      <w:pPr>
        <w:spacing w:line="360" w:lineRule="auto"/>
        <w:jc w:val="center"/>
        <w:rPr>
          <w:rFonts w:ascii="Palatino Linotype" w:hAnsi="Palatino Linotype" w:eastAsia="Calibri" w:cs="Tahoma"/>
          <w:b/>
          <w:bCs/>
          <w:color w:val="0D0D0D" w:themeColor="text1" w:themeTint="F2"/>
          <w:sz w:val="22"/>
          <w:szCs w:val="22"/>
          <w:lang w:eastAsia="en-US"/>
        </w:rPr>
      </w:pPr>
    </w:p>
    <w:p w:rsidRPr="007F0B8E" w:rsidR="00026569" w:rsidP="00CC1718" w:rsidRDefault="00026569" w14:paraId="6A7C0CEA" w14:textId="2506E398">
      <w:pPr>
        <w:spacing w:line="360" w:lineRule="auto"/>
        <w:jc w:val="both"/>
        <w:rPr>
          <w:rFonts w:ascii="Palatino Linotype" w:hAnsi="Palatino Linotype" w:eastAsia="Calibri"/>
          <w:color w:val="0D0D0D" w:themeColor="text1" w:themeTint="F2"/>
          <w:sz w:val="22"/>
          <w:szCs w:val="22"/>
        </w:rPr>
      </w:pPr>
      <w:r w:rsidRPr="007F0B8E">
        <w:rPr>
          <w:rFonts w:ascii="Palatino Linotype" w:hAnsi="Palatino Linotype" w:eastAsia="Calibri"/>
          <w:b/>
          <w:bCs/>
          <w:color w:val="0D0D0D" w:themeColor="text1" w:themeTint="F2"/>
          <w:sz w:val="22"/>
          <w:szCs w:val="22"/>
        </w:rPr>
        <w:t>PRIMERO.</w:t>
      </w:r>
      <w:r w:rsidRPr="007F0B8E">
        <w:rPr>
          <w:rFonts w:ascii="Palatino Linotype" w:hAnsi="Palatino Linotype" w:eastAsia="Calibri"/>
          <w:color w:val="0D0D0D" w:themeColor="text1" w:themeTint="F2"/>
          <w:sz w:val="22"/>
          <w:szCs w:val="22"/>
        </w:rPr>
        <w:t xml:space="preserve"> Se </w:t>
      </w:r>
      <w:r w:rsidRPr="007F0B8E" w:rsidR="005A640F">
        <w:rPr>
          <w:rFonts w:ascii="Palatino Linotype" w:hAnsi="Palatino Linotype" w:eastAsia="Calibri"/>
          <w:b/>
          <w:bCs/>
          <w:color w:val="0D0D0D" w:themeColor="text1" w:themeTint="F2"/>
          <w:sz w:val="22"/>
          <w:szCs w:val="22"/>
        </w:rPr>
        <w:t>MODIFICA</w:t>
      </w:r>
      <w:r w:rsidRPr="007F0B8E">
        <w:rPr>
          <w:rFonts w:ascii="Palatino Linotype" w:hAnsi="Palatino Linotype" w:eastAsia="Calibri"/>
          <w:color w:val="0D0D0D" w:themeColor="text1" w:themeTint="F2"/>
          <w:sz w:val="22"/>
          <w:szCs w:val="22"/>
        </w:rPr>
        <w:t xml:space="preserve"> la respuesta entregada por el Sujeto Obligado a la solicitud de información con número </w:t>
      </w:r>
      <w:r w:rsidRPr="007F0B8E" w:rsidR="00CF337A">
        <w:rPr>
          <w:rFonts w:ascii="Palatino Linotype" w:hAnsi="Palatino Linotype" w:eastAsia="Calibri"/>
          <w:color w:val="0D0D0D" w:themeColor="text1" w:themeTint="F2"/>
          <w:sz w:val="22"/>
          <w:szCs w:val="22"/>
        </w:rPr>
        <w:t>00073/IXTLAHUA/IP/2022</w:t>
      </w:r>
      <w:r w:rsidRPr="007F0B8E">
        <w:rPr>
          <w:rFonts w:ascii="Palatino Linotype" w:hAnsi="Palatino Linotype" w:eastAsia="Calibri"/>
          <w:color w:val="0D0D0D" w:themeColor="text1" w:themeTint="F2"/>
          <w:sz w:val="22"/>
          <w:szCs w:val="22"/>
        </w:rPr>
        <w:t xml:space="preserve">, por resultar </w:t>
      </w:r>
      <w:r w:rsidRPr="007F0B8E">
        <w:rPr>
          <w:rFonts w:ascii="Palatino Linotype" w:hAnsi="Palatino Linotype" w:eastAsia="Calibri"/>
          <w:b/>
          <w:bCs/>
          <w:color w:val="0D0D0D" w:themeColor="text1" w:themeTint="F2"/>
          <w:sz w:val="22"/>
          <w:szCs w:val="22"/>
        </w:rPr>
        <w:t>FUNDADO</w:t>
      </w:r>
      <w:r w:rsidRPr="007F0B8E" w:rsidR="005A640F">
        <w:rPr>
          <w:rFonts w:ascii="Palatino Linotype" w:hAnsi="Palatino Linotype" w:eastAsia="Calibri"/>
          <w:b/>
          <w:bCs/>
          <w:color w:val="0D0D0D" w:themeColor="text1" w:themeTint="F2"/>
          <w:sz w:val="22"/>
          <w:szCs w:val="22"/>
        </w:rPr>
        <w:t>S</w:t>
      </w:r>
      <w:r w:rsidRPr="007F0B8E">
        <w:rPr>
          <w:rFonts w:ascii="Palatino Linotype" w:hAnsi="Palatino Linotype" w:eastAsia="Calibri"/>
          <w:color w:val="0D0D0D" w:themeColor="text1" w:themeTint="F2"/>
          <w:sz w:val="22"/>
          <w:szCs w:val="22"/>
        </w:rPr>
        <w:t xml:space="preserve"> </w:t>
      </w:r>
      <w:r w:rsidRPr="007F0B8E" w:rsidR="005A640F">
        <w:rPr>
          <w:rFonts w:ascii="Palatino Linotype" w:hAnsi="Palatino Linotype" w:eastAsia="Calibri"/>
          <w:color w:val="0D0D0D" w:themeColor="text1" w:themeTint="F2"/>
          <w:sz w:val="22"/>
          <w:szCs w:val="22"/>
        </w:rPr>
        <w:t>los</w:t>
      </w:r>
      <w:r w:rsidRPr="007F0B8E">
        <w:rPr>
          <w:rFonts w:ascii="Palatino Linotype" w:hAnsi="Palatino Linotype" w:eastAsia="Calibri"/>
          <w:color w:val="0D0D0D" w:themeColor="text1" w:themeTint="F2"/>
          <w:sz w:val="22"/>
          <w:szCs w:val="22"/>
        </w:rPr>
        <w:t xml:space="preserve"> motivo</w:t>
      </w:r>
      <w:r w:rsidRPr="007F0B8E" w:rsidR="005A640F">
        <w:rPr>
          <w:rFonts w:ascii="Palatino Linotype" w:hAnsi="Palatino Linotype" w:eastAsia="Calibri"/>
          <w:color w:val="0D0D0D" w:themeColor="text1" w:themeTint="F2"/>
          <w:sz w:val="22"/>
          <w:szCs w:val="22"/>
        </w:rPr>
        <w:t>s</w:t>
      </w:r>
      <w:r w:rsidRPr="007F0B8E">
        <w:rPr>
          <w:rFonts w:ascii="Palatino Linotype" w:hAnsi="Palatino Linotype" w:eastAsia="Calibri"/>
          <w:color w:val="0D0D0D" w:themeColor="text1" w:themeTint="F2"/>
          <w:sz w:val="22"/>
          <w:szCs w:val="22"/>
        </w:rPr>
        <w:t xml:space="preserve"> de inconformidad vertido</w:t>
      </w:r>
      <w:r w:rsidRPr="007F0B8E" w:rsidR="005A640F">
        <w:rPr>
          <w:rFonts w:ascii="Palatino Linotype" w:hAnsi="Palatino Linotype" w:eastAsia="Calibri"/>
          <w:color w:val="0D0D0D" w:themeColor="text1" w:themeTint="F2"/>
          <w:sz w:val="22"/>
          <w:szCs w:val="22"/>
        </w:rPr>
        <w:t>s</w:t>
      </w:r>
      <w:r w:rsidRPr="007F0B8E">
        <w:rPr>
          <w:rFonts w:ascii="Palatino Linotype" w:hAnsi="Palatino Linotype" w:eastAsia="Calibri"/>
          <w:color w:val="0D0D0D" w:themeColor="text1" w:themeTint="F2"/>
          <w:sz w:val="22"/>
          <w:szCs w:val="22"/>
        </w:rPr>
        <w:t xml:space="preserve"> por </w:t>
      </w:r>
      <w:r w:rsidRPr="007F0B8E" w:rsidR="001D503B">
        <w:rPr>
          <w:rFonts w:ascii="Palatino Linotype" w:hAnsi="Palatino Linotype" w:eastAsia="Calibri"/>
          <w:color w:val="0D0D0D" w:themeColor="text1" w:themeTint="F2"/>
          <w:sz w:val="22"/>
          <w:szCs w:val="22"/>
        </w:rPr>
        <w:t>la</w:t>
      </w:r>
      <w:r w:rsidRPr="007F0B8E">
        <w:rPr>
          <w:rFonts w:ascii="Palatino Linotype" w:hAnsi="Palatino Linotype" w:eastAsia="Calibri"/>
          <w:color w:val="0D0D0D" w:themeColor="text1" w:themeTint="F2"/>
          <w:sz w:val="22"/>
          <w:szCs w:val="22"/>
        </w:rPr>
        <w:t xml:space="preserve"> Recurrente, en términos de los Considerandos </w:t>
      </w:r>
      <w:r w:rsidRPr="007F0B8E">
        <w:rPr>
          <w:rFonts w:ascii="Palatino Linotype" w:hAnsi="Palatino Linotype" w:eastAsia="Calibri"/>
          <w:b/>
          <w:bCs/>
          <w:color w:val="0D0D0D" w:themeColor="text1" w:themeTint="F2"/>
          <w:sz w:val="22"/>
          <w:szCs w:val="22"/>
        </w:rPr>
        <w:t>QUINTO</w:t>
      </w:r>
      <w:r w:rsidRPr="007F0B8E">
        <w:rPr>
          <w:rFonts w:ascii="Palatino Linotype" w:hAnsi="Palatino Linotype" w:eastAsia="Calibri"/>
          <w:color w:val="0D0D0D" w:themeColor="text1" w:themeTint="F2"/>
          <w:sz w:val="22"/>
          <w:szCs w:val="22"/>
        </w:rPr>
        <w:t xml:space="preserve"> y </w:t>
      </w:r>
      <w:r w:rsidRPr="007F0B8E">
        <w:rPr>
          <w:rFonts w:ascii="Palatino Linotype" w:hAnsi="Palatino Linotype" w:eastAsia="Calibri"/>
          <w:b/>
          <w:bCs/>
          <w:color w:val="0D0D0D" w:themeColor="text1" w:themeTint="F2"/>
          <w:sz w:val="22"/>
          <w:szCs w:val="22"/>
        </w:rPr>
        <w:t xml:space="preserve">SEXTO </w:t>
      </w:r>
      <w:r w:rsidRPr="007F0B8E">
        <w:rPr>
          <w:rFonts w:ascii="Palatino Linotype" w:hAnsi="Palatino Linotype" w:eastAsia="Calibri"/>
          <w:color w:val="0D0D0D" w:themeColor="text1" w:themeTint="F2"/>
          <w:sz w:val="22"/>
          <w:szCs w:val="22"/>
        </w:rPr>
        <w:t>de la presente Resolución.</w:t>
      </w:r>
    </w:p>
    <w:p w:rsidRPr="007F0B8E" w:rsidR="00FB2140" w:rsidP="00CC1718" w:rsidRDefault="00FB2140" w14:paraId="2A61C713" w14:textId="77777777">
      <w:pPr>
        <w:spacing w:line="360" w:lineRule="auto"/>
        <w:jc w:val="both"/>
        <w:rPr>
          <w:rFonts w:ascii="Palatino Linotype" w:hAnsi="Palatino Linotype" w:eastAsia="Calibri"/>
          <w:color w:val="0D0D0D" w:themeColor="text1" w:themeTint="F2"/>
          <w:sz w:val="22"/>
          <w:szCs w:val="22"/>
        </w:rPr>
      </w:pPr>
    </w:p>
    <w:p w:rsidRPr="007F0B8E" w:rsidR="00FB2140" w:rsidP="009C12F9" w:rsidRDefault="00026569" w14:paraId="6C8FC2DE" w14:textId="0C278541">
      <w:pPr>
        <w:widowControl w:val="0"/>
        <w:spacing w:line="360" w:lineRule="auto"/>
        <w:jc w:val="both"/>
        <w:rPr>
          <w:rFonts w:ascii="Palatino Linotype" w:hAnsi="Palatino Linotype"/>
          <w:color w:val="0D0D0D" w:themeColor="text1" w:themeTint="F2"/>
          <w:sz w:val="22"/>
          <w:szCs w:val="22"/>
        </w:rPr>
      </w:pPr>
      <w:r w:rsidRPr="007F0B8E">
        <w:rPr>
          <w:rFonts w:ascii="Palatino Linotype" w:hAnsi="Palatino Linotype"/>
          <w:b/>
          <w:bCs/>
          <w:color w:val="0D0D0D" w:themeColor="text1" w:themeTint="F2"/>
          <w:sz w:val="22"/>
          <w:szCs w:val="22"/>
        </w:rPr>
        <w:lastRenderedPageBreak/>
        <w:t>SEGUNDO.</w:t>
      </w:r>
      <w:r w:rsidRPr="007F0B8E">
        <w:rPr>
          <w:rFonts w:ascii="Palatino Linotype" w:hAnsi="Palatino Linotype"/>
          <w:color w:val="0D0D0D" w:themeColor="text1" w:themeTint="F2"/>
          <w:sz w:val="22"/>
          <w:szCs w:val="22"/>
        </w:rPr>
        <w:t xml:space="preserve">  Se </w:t>
      </w:r>
      <w:r w:rsidRPr="007F0B8E">
        <w:rPr>
          <w:rFonts w:ascii="Palatino Linotype" w:hAnsi="Palatino Linotype"/>
          <w:b/>
          <w:bCs/>
          <w:color w:val="0D0D0D" w:themeColor="text1" w:themeTint="F2"/>
          <w:sz w:val="22"/>
          <w:szCs w:val="22"/>
        </w:rPr>
        <w:t>ORDENA</w:t>
      </w:r>
      <w:r w:rsidRPr="007F0B8E">
        <w:rPr>
          <w:rFonts w:ascii="Palatino Linotype" w:hAnsi="Palatino Linotype"/>
          <w:color w:val="0D0D0D" w:themeColor="text1" w:themeTint="F2"/>
          <w:sz w:val="22"/>
          <w:szCs w:val="22"/>
        </w:rPr>
        <w:t xml:space="preserve"> a</w:t>
      </w:r>
      <w:r w:rsidRPr="007F0B8E" w:rsidR="00CF337A">
        <w:rPr>
          <w:rFonts w:ascii="Palatino Linotype" w:hAnsi="Palatino Linotype"/>
          <w:color w:val="0D0D0D" w:themeColor="text1" w:themeTint="F2"/>
          <w:sz w:val="22"/>
          <w:szCs w:val="22"/>
        </w:rPr>
        <w:t>l</w:t>
      </w:r>
      <w:r w:rsidRPr="007F0B8E" w:rsidR="00A75B53">
        <w:rPr>
          <w:rFonts w:ascii="Palatino Linotype" w:hAnsi="Palatino Linotype"/>
          <w:color w:val="0D0D0D" w:themeColor="text1" w:themeTint="F2"/>
          <w:sz w:val="22"/>
          <w:szCs w:val="22"/>
        </w:rPr>
        <w:t xml:space="preserve"> </w:t>
      </w:r>
      <w:r w:rsidRPr="007F0B8E" w:rsidR="00CF337A">
        <w:rPr>
          <w:rFonts w:ascii="Palatino Linotype" w:hAnsi="Palatino Linotype"/>
          <w:color w:val="0D0D0D" w:themeColor="text1" w:themeTint="F2"/>
          <w:sz w:val="22"/>
          <w:szCs w:val="22"/>
        </w:rPr>
        <w:t>Ayuntamiento de Ixtlahuaca</w:t>
      </w:r>
      <w:r w:rsidRPr="007F0B8E">
        <w:rPr>
          <w:rFonts w:ascii="Palatino Linotype" w:hAnsi="Palatino Linotype"/>
          <w:color w:val="0D0D0D" w:themeColor="text1" w:themeTint="F2"/>
          <w:sz w:val="22"/>
          <w:szCs w:val="22"/>
        </w:rPr>
        <w:t xml:space="preserve">, </w:t>
      </w:r>
      <w:r w:rsidRPr="007F0B8E" w:rsidR="00FE0F18">
        <w:rPr>
          <w:rFonts w:ascii="Palatino Linotype" w:hAnsi="Palatino Linotype"/>
          <w:color w:val="0D0D0D" w:themeColor="text1" w:themeTint="F2"/>
          <w:sz w:val="22"/>
          <w:szCs w:val="22"/>
        </w:rPr>
        <w:t xml:space="preserve">a efecto de que, entregue, a través del Sistema de Acceso a la Información Mexiquense (SAIMEX), </w:t>
      </w:r>
      <w:r w:rsidRPr="007F0B8E" w:rsidR="00FB2140">
        <w:rPr>
          <w:rFonts w:ascii="Palatino Linotype" w:hAnsi="Palatino Linotype"/>
          <w:color w:val="0D0D0D" w:themeColor="text1" w:themeTint="F2"/>
          <w:sz w:val="22"/>
          <w:szCs w:val="22"/>
        </w:rPr>
        <w:t>lo siguiente:</w:t>
      </w:r>
    </w:p>
    <w:p w:rsidRPr="007F0B8E" w:rsidR="00FB2140" w:rsidP="00FB2140" w:rsidRDefault="00FB2140" w14:paraId="6233B7BB" w14:textId="77777777">
      <w:pPr>
        <w:spacing w:line="360" w:lineRule="auto"/>
        <w:jc w:val="both"/>
        <w:rPr>
          <w:rFonts w:ascii="Palatino Linotype" w:hAnsi="Palatino Linotype" w:cs="Tahoma"/>
          <w:color w:val="0D0D0D" w:themeColor="text1" w:themeTint="F2"/>
          <w:sz w:val="22"/>
          <w:szCs w:val="22"/>
        </w:rPr>
      </w:pPr>
    </w:p>
    <w:p w:rsidRPr="007F0B8E" w:rsidR="00E37CA9" w:rsidP="00E37CA9" w:rsidRDefault="00E37CA9" w14:paraId="305D34EE" w14:textId="77777777">
      <w:pPr>
        <w:pStyle w:val="Prrafodelista"/>
        <w:numPr>
          <w:ilvl w:val="0"/>
          <w:numId w:val="25"/>
        </w:numPr>
        <w:spacing w:line="360" w:lineRule="auto"/>
        <w:jc w:val="both"/>
        <w:rPr>
          <w:rFonts w:ascii="Palatino Linotype" w:hAnsi="Palatino Linotype" w:cs="Tahoma"/>
          <w:color w:val="0D0D0D" w:themeColor="text1" w:themeTint="F2"/>
          <w:szCs w:val="22"/>
        </w:rPr>
      </w:pPr>
      <w:r w:rsidRPr="007F0B8E">
        <w:rPr>
          <w:rFonts w:ascii="Palatino Linotype" w:hAnsi="Palatino Linotype" w:cs="Tahoma"/>
          <w:color w:val="0D0D0D" w:themeColor="text1" w:themeTint="F2"/>
          <w:szCs w:val="22"/>
        </w:rPr>
        <w:t>El acuerdo de clasificación emitido por el Comité de Transparencia, en donde de manera fundada y motivada, confirme la clasificación, del nombre de los policías municipales, contenidos en el documento denominado Remuneraciones de Servidores Públicos (Nómina), proporcionado en respuesta, en términos del artículo 140, fracción IV, de la Ley de Transparencia y Acceso a la Información Pública del Estado de México y Municipios.</w:t>
      </w:r>
    </w:p>
    <w:p w:rsidRPr="007F0B8E" w:rsidR="005A640F" w:rsidP="005A640F" w:rsidRDefault="005A640F" w14:paraId="30023D7B" w14:textId="77777777">
      <w:pPr>
        <w:spacing w:line="360" w:lineRule="auto"/>
        <w:ind w:left="851"/>
        <w:contextualSpacing/>
        <w:jc w:val="both"/>
        <w:rPr>
          <w:rFonts w:ascii="Palatino Linotype" w:hAnsi="Palatino Linotype" w:cs="Tahoma"/>
          <w:color w:val="0D0D0D" w:themeColor="text1" w:themeTint="F2"/>
          <w:sz w:val="22"/>
          <w:szCs w:val="22"/>
          <w:lang w:val="es-ES"/>
        </w:rPr>
      </w:pPr>
    </w:p>
    <w:p w:rsidRPr="007F0B8E" w:rsidR="00026569" w:rsidP="00026569" w:rsidRDefault="00026569" w14:paraId="2F07B537" w14:textId="2FD9D997">
      <w:pPr>
        <w:spacing w:line="360" w:lineRule="auto"/>
        <w:jc w:val="both"/>
        <w:rPr>
          <w:rFonts w:ascii="Palatino Linotype" w:hAnsi="Palatino Linotype" w:cs="Tahoma"/>
          <w:color w:val="0D0D0D" w:themeColor="text1" w:themeTint="F2"/>
          <w:sz w:val="22"/>
          <w:szCs w:val="22"/>
        </w:rPr>
      </w:pPr>
      <w:r w:rsidRPr="007F0B8E">
        <w:rPr>
          <w:rFonts w:ascii="Palatino Linotype" w:hAnsi="Palatino Linotype" w:eastAsia="Calibri" w:cs="Tahoma"/>
          <w:b/>
          <w:bCs/>
          <w:color w:val="0D0D0D" w:themeColor="text1" w:themeTint="F2"/>
          <w:sz w:val="22"/>
          <w:szCs w:val="22"/>
          <w:lang w:eastAsia="en-US"/>
        </w:rPr>
        <w:t>TERCERO.</w:t>
      </w:r>
      <w:r w:rsidRPr="007F0B8E">
        <w:rPr>
          <w:rFonts w:ascii="Palatino Linotype" w:hAnsi="Palatino Linotype" w:cs="Tahoma"/>
          <w:color w:val="0D0D0D" w:themeColor="text1" w:themeTint="F2"/>
          <w:sz w:val="22"/>
          <w:szCs w:val="22"/>
        </w:rPr>
        <w:t xml:space="preserve"> </w:t>
      </w:r>
      <w:r w:rsidRPr="007F0B8E">
        <w:rPr>
          <w:rFonts w:ascii="Palatino Linotype" w:hAnsi="Palatino Linotype" w:cs="Tahoma"/>
          <w:b/>
          <w:color w:val="0D0D0D" w:themeColor="text1" w:themeTint="F2"/>
          <w:sz w:val="22"/>
          <w:szCs w:val="22"/>
        </w:rPr>
        <w:t xml:space="preserve">NOTIFÍQUESE </w:t>
      </w:r>
      <w:r w:rsidRPr="007F0B8E">
        <w:rPr>
          <w:rFonts w:ascii="Palatino Linotype" w:hAnsi="Palatino Linotype" w:cs="Tahoma"/>
          <w:color w:val="0D0D0D" w:themeColor="text1" w:themeTint="F2"/>
          <w:sz w:val="22"/>
          <w:szCs w:val="22"/>
        </w:rPr>
        <w:t>la presente resolución a</w:t>
      </w:r>
      <w:r w:rsidRPr="007F0B8E" w:rsidR="00A75B53">
        <w:rPr>
          <w:rFonts w:ascii="Palatino Linotype" w:hAnsi="Palatino Linotype" w:cs="Tahoma"/>
          <w:color w:val="0D0D0D" w:themeColor="text1" w:themeTint="F2"/>
          <w:sz w:val="22"/>
          <w:szCs w:val="22"/>
        </w:rPr>
        <w:t xml:space="preserve"> </w:t>
      </w:r>
      <w:r w:rsidRPr="007F0B8E">
        <w:rPr>
          <w:rFonts w:ascii="Palatino Linotype" w:hAnsi="Palatino Linotype" w:cs="Tahoma"/>
          <w:color w:val="0D0D0D" w:themeColor="text1" w:themeTint="F2"/>
          <w:sz w:val="22"/>
          <w:szCs w:val="22"/>
        </w:rPr>
        <w:t>l</w:t>
      </w:r>
      <w:r w:rsidRPr="007F0B8E" w:rsidR="00A75B53">
        <w:rPr>
          <w:rFonts w:ascii="Palatino Linotype" w:hAnsi="Palatino Linotype" w:cs="Tahoma"/>
          <w:color w:val="0D0D0D" w:themeColor="text1" w:themeTint="F2"/>
          <w:sz w:val="22"/>
          <w:szCs w:val="22"/>
        </w:rPr>
        <w:t>a</w:t>
      </w:r>
      <w:r w:rsidRPr="007F0B8E">
        <w:rPr>
          <w:rFonts w:ascii="Palatino Linotype" w:hAnsi="Palatino Linotype" w:cs="Tahoma"/>
          <w:color w:val="0D0D0D" w:themeColor="text1" w:themeTint="F2"/>
          <w:sz w:val="22"/>
          <w:szCs w:val="22"/>
        </w:rPr>
        <w:t xml:space="preserve">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Pr="007F0B8E" w:rsidR="007741D6">
        <w:rPr>
          <w:rFonts w:ascii="Palatino Linotype" w:hAnsi="Palatino Linotype" w:cs="Tahoma"/>
          <w:color w:val="0D0D0D" w:themeColor="text1" w:themeTint="F2"/>
          <w:sz w:val="22"/>
          <w:szCs w:val="22"/>
        </w:rPr>
        <w:t>die</w:t>
      </w:r>
      <w:r w:rsidRPr="007F0B8E" w:rsidR="004A5691">
        <w:rPr>
          <w:rFonts w:ascii="Palatino Linotype" w:hAnsi="Palatino Linotype" w:cs="Tahoma"/>
          <w:color w:val="0D0D0D" w:themeColor="text1" w:themeTint="F2"/>
          <w:sz w:val="22"/>
          <w:szCs w:val="22"/>
        </w:rPr>
        <w:t>z</w:t>
      </w:r>
      <w:r w:rsidRPr="007F0B8E">
        <w:rPr>
          <w:rFonts w:ascii="Palatino Linotype" w:hAnsi="Palatino Linotype" w:cs="Tahoma"/>
          <w:color w:val="0D0D0D" w:themeColor="text1" w:themeTint="F2"/>
          <w:sz w:val="22"/>
          <w:szCs w:val="22"/>
        </w:rPr>
        <w:t xml:space="preserve"> días hábiles, e informe a este Instituto en un plazo de tres días hábiles siguientes sobre el cumplimiento dado a la presente.</w:t>
      </w:r>
    </w:p>
    <w:p w:rsidRPr="007F0B8E" w:rsidR="000F4B84" w:rsidP="00026569" w:rsidRDefault="000F4B84" w14:paraId="7C19659B" w14:textId="77777777">
      <w:pPr>
        <w:spacing w:line="360" w:lineRule="auto"/>
        <w:jc w:val="both"/>
        <w:rPr>
          <w:rFonts w:ascii="Palatino Linotype" w:hAnsi="Palatino Linotype" w:cs="Tahoma"/>
          <w:color w:val="0D0D0D" w:themeColor="text1" w:themeTint="F2"/>
          <w:sz w:val="22"/>
          <w:szCs w:val="22"/>
        </w:rPr>
      </w:pPr>
    </w:p>
    <w:p w:rsidRPr="007F0B8E" w:rsidR="00FB2140" w:rsidP="00FB2140" w:rsidRDefault="00FB2140" w14:paraId="7F366266" w14:textId="77777777">
      <w:pPr>
        <w:spacing w:line="360" w:lineRule="auto"/>
        <w:jc w:val="both"/>
        <w:rPr>
          <w:rFonts w:ascii="Palatino Linotype" w:hAnsi="Palatino Linotype" w:eastAsia="Calibri" w:cs="Tahoma"/>
          <w:iCs/>
          <w:color w:val="0D0D0D" w:themeColor="text1" w:themeTint="F2"/>
          <w:sz w:val="22"/>
          <w:szCs w:val="22"/>
          <w:lang w:eastAsia="en-US"/>
        </w:rPr>
      </w:pPr>
      <w:r w:rsidRPr="007F0B8E">
        <w:rPr>
          <w:rFonts w:ascii="Palatino Linotype" w:hAnsi="Palatino Linotype" w:eastAsia="Calibri" w:cs="Tahoma"/>
          <w:iCs/>
          <w:color w:val="0D0D0D" w:themeColor="text1" w:themeTint="F2"/>
          <w:sz w:val="22"/>
          <w:szCs w:val="22"/>
          <w:lang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Pr="007F0B8E" w:rsidR="00026569" w:rsidP="00FB2140" w:rsidRDefault="00026569" w14:paraId="55BFBE5E" w14:textId="77777777">
      <w:pPr>
        <w:spacing w:line="360" w:lineRule="auto"/>
        <w:jc w:val="both"/>
        <w:rPr>
          <w:rFonts w:ascii="Palatino Linotype" w:hAnsi="Palatino Linotype" w:cs="Tahoma"/>
          <w:color w:val="0D0D0D" w:themeColor="text1" w:themeTint="F2"/>
          <w:sz w:val="22"/>
          <w:szCs w:val="22"/>
        </w:rPr>
      </w:pPr>
    </w:p>
    <w:p w:rsidRPr="007F0B8E" w:rsidR="007741D6" w:rsidP="007741D6" w:rsidRDefault="007741D6" w14:paraId="74563134" w14:textId="77777777">
      <w:pPr>
        <w:spacing w:line="360" w:lineRule="auto"/>
        <w:ind w:right="-93"/>
        <w:jc w:val="both"/>
        <w:rPr>
          <w:rFonts w:ascii="Palatino Linotype" w:hAnsi="Palatino Linotype" w:cs="Tahoma"/>
          <w:sz w:val="22"/>
          <w:szCs w:val="22"/>
        </w:rPr>
      </w:pPr>
      <w:r w:rsidRPr="007F0B8E">
        <w:rPr>
          <w:rFonts w:ascii="Palatino Linotype" w:hAnsi="Palatino Linotype" w:eastAsia="Calibri" w:cs="Tahoma"/>
          <w:b/>
          <w:sz w:val="22"/>
          <w:szCs w:val="22"/>
          <w:lang w:eastAsia="es-MX"/>
        </w:rPr>
        <w:t>CUARTO</w:t>
      </w:r>
      <w:r w:rsidRPr="007F0B8E">
        <w:rPr>
          <w:rFonts w:ascii="Palatino Linotype" w:hAnsi="Palatino Linotype" w:eastAsia="Calibri" w:cs="Tahoma"/>
          <w:b/>
          <w:bCs/>
          <w:sz w:val="22"/>
          <w:szCs w:val="22"/>
          <w:lang w:eastAsia="en-US"/>
        </w:rPr>
        <w:t>.</w:t>
      </w:r>
      <w:r w:rsidRPr="007F0B8E">
        <w:rPr>
          <w:rFonts w:ascii="Palatino Linotype" w:hAnsi="Palatino Linotype" w:eastAsia="Calibri" w:cs="Tahoma"/>
          <w:sz w:val="22"/>
          <w:szCs w:val="22"/>
          <w:lang w:eastAsia="es-MX"/>
        </w:rPr>
        <w:t xml:space="preserve"> </w:t>
      </w:r>
      <w:r w:rsidRPr="007F0B8E">
        <w:rPr>
          <w:rFonts w:ascii="Palatino Linotype" w:hAnsi="Palatino Linotype" w:cs="Tahoma"/>
          <w:b/>
          <w:sz w:val="22"/>
          <w:szCs w:val="22"/>
        </w:rPr>
        <w:t>NOTIFÍQUESE</w:t>
      </w:r>
      <w:r w:rsidRPr="007F0B8E">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o, promover Recurso de </w:t>
      </w:r>
      <w:r w:rsidRPr="007F0B8E">
        <w:rPr>
          <w:rFonts w:ascii="Palatino Linotype" w:hAnsi="Palatino Linotype" w:cs="Tahoma"/>
          <w:sz w:val="22"/>
          <w:szCs w:val="22"/>
        </w:rPr>
        <w:lastRenderedPageBreak/>
        <w:t>Inconformidad, en términos de los artículos 159 y 160, fracción II, de la Ley General de Transparencia y Acceso a la Información Pública.</w:t>
      </w:r>
    </w:p>
    <w:p w:rsidRPr="007F0B8E" w:rsidR="009028B5" w:rsidP="00026569" w:rsidRDefault="009028B5" w14:paraId="57F1E1AE" w14:textId="77777777">
      <w:pPr>
        <w:spacing w:line="360" w:lineRule="auto"/>
        <w:ind w:right="-93"/>
        <w:jc w:val="both"/>
        <w:rPr>
          <w:rFonts w:ascii="Palatino Linotype" w:hAnsi="Palatino Linotype" w:cs="Tahoma"/>
          <w:color w:val="0D0D0D" w:themeColor="text1" w:themeTint="F2"/>
          <w:sz w:val="22"/>
          <w:szCs w:val="22"/>
        </w:rPr>
      </w:pPr>
    </w:p>
    <w:p w:rsidRPr="00387FE7" w:rsidR="00387FE7" w:rsidP="00387FE7" w:rsidRDefault="00387FE7" w14:paraId="0E19B016" w14:textId="7C4AAF25">
      <w:pPr>
        <w:spacing w:line="360" w:lineRule="auto"/>
        <w:ind w:right="-93"/>
        <w:jc w:val="both"/>
        <w:rPr>
          <w:rFonts w:ascii="Palatino Linotype" w:hAnsi="Palatino Linotype" w:cs="Tahoma"/>
          <w:bCs/>
          <w:sz w:val="22"/>
          <w:szCs w:val="22"/>
          <w:lang w:val="es-ES_tradnl" w:eastAsia="es-MX"/>
        </w:rPr>
      </w:pPr>
      <w:r w:rsidRPr="007F0B8E">
        <w:rPr>
          <w:rFonts w:ascii="Palatino Linotype" w:hAnsi="Palatino Linotype" w:cs="Tahoma"/>
          <w:bCs/>
          <w:sz w:val="22"/>
          <w:szCs w:val="22"/>
          <w:lang w:val="es-ES_tradnl" w:eastAsia="es-MX"/>
        </w:rPr>
        <w:t xml:space="preserve">ASÍ LO RESUELVE, POR </w:t>
      </w:r>
      <w:r w:rsidRPr="007F0B8E">
        <w:rPr>
          <w:rFonts w:ascii="Palatino Linotype" w:hAnsi="Palatino Linotype" w:cs="Tahoma"/>
          <w:b/>
          <w:bCs/>
          <w:sz w:val="22"/>
          <w:szCs w:val="22"/>
          <w:lang w:val="es-ES_tradnl" w:eastAsia="es-MX"/>
        </w:rPr>
        <w:t>UNANIMIDAD</w:t>
      </w:r>
      <w:r w:rsidRPr="007F0B8E">
        <w:rPr>
          <w:rFonts w:ascii="Palatino Linotype" w:hAnsi="Palatino Linotype" w:cs="Tahoma"/>
          <w:bCs/>
          <w:sz w:val="22"/>
          <w:szCs w:val="22"/>
          <w:lang w:val="es-ES_tradnl" w:eastAsia="es-MX"/>
        </w:rPr>
        <w:t xml:space="preserve"> DE VOTOS EL PLENO DEL INSTITUTO DE TRANSPARENCIA, ACCESO A LA INFORMACIÓN PÚBLICA Y PROTECCIÓN DE DATOS PERSONALES DEL ESTADO DE MÉXICO Y MUNICIPIOS, CONFORMADO POR LOS COMISIONADOS JOSÉ MARTÍNEZ VILCHIS</w:t>
      </w:r>
      <w:r w:rsidRPr="007F0B8E" w:rsidR="00763D4A">
        <w:rPr>
          <w:rFonts w:ascii="Palatino Linotype" w:hAnsi="Palatino Linotype" w:cs="Tahoma"/>
          <w:bCs/>
          <w:sz w:val="22"/>
          <w:szCs w:val="22"/>
          <w:lang w:val="es-ES_tradnl" w:eastAsia="es-MX"/>
        </w:rPr>
        <w:t xml:space="preserve"> CON VOTO PARTICULAR</w:t>
      </w:r>
      <w:r w:rsidRPr="007F0B8E">
        <w:rPr>
          <w:rFonts w:ascii="Palatino Linotype" w:hAnsi="Palatino Linotype" w:cs="Tahoma"/>
          <w:bCs/>
          <w:sz w:val="22"/>
          <w:szCs w:val="22"/>
          <w:lang w:val="es-ES_tradnl" w:eastAsia="es-MX"/>
        </w:rPr>
        <w:t>, MARÍA DEL ROSARIO MEJÍA AYALA, SHARON CRISTINA MORALES MARTÍNEZ</w:t>
      </w:r>
      <w:r w:rsidR="001D71B9">
        <w:rPr>
          <w:rFonts w:ascii="Palatino Linotype" w:hAnsi="Palatino Linotype" w:cs="Tahoma"/>
          <w:bCs/>
          <w:sz w:val="22"/>
          <w:szCs w:val="22"/>
          <w:lang w:val="es-ES_tradnl" w:eastAsia="es-MX"/>
        </w:rPr>
        <w:t xml:space="preserve"> (</w:t>
      </w:r>
      <w:r w:rsidRPr="00BB08A0" w:rsidR="00BB08A0">
        <w:rPr>
          <w:rFonts w:ascii="Palatino Linotype" w:hAnsi="Palatino Linotype" w:cs="Tahoma"/>
          <w:bCs/>
          <w:sz w:val="22"/>
          <w:szCs w:val="22"/>
          <w:lang w:val="es-ES_tradnl" w:eastAsia="es-MX"/>
        </w:rPr>
        <w:t>AUSENCIA JUSTIFICADA</w:t>
      </w:r>
      <w:r w:rsidR="001D71B9">
        <w:rPr>
          <w:rFonts w:ascii="Palatino Linotype" w:hAnsi="Palatino Linotype" w:cs="Tahoma"/>
          <w:bCs/>
          <w:sz w:val="22"/>
          <w:szCs w:val="22"/>
          <w:lang w:val="es-ES_tradnl" w:eastAsia="es-MX"/>
        </w:rPr>
        <w:t>)</w:t>
      </w:r>
      <w:r w:rsidRPr="007F0B8E">
        <w:rPr>
          <w:rFonts w:ascii="Palatino Linotype" w:hAnsi="Palatino Linotype" w:cs="Tahoma"/>
          <w:bCs/>
          <w:sz w:val="22"/>
          <w:szCs w:val="22"/>
          <w:lang w:val="es-ES_tradnl" w:eastAsia="es-MX"/>
        </w:rPr>
        <w:t>, LUIS GUSTAVO PARRA NORIEGA Y GUADALUPE RAMÍREZ PEÑA</w:t>
      </w:r>
      <w:r w:rsidRPr="007F0B8E" w:rsidR="004F3F75">
        <w:rPr>
          <w:rFonts w:ascii="Palatino Linotype" w:hAnsi="Palatino Linotype" w:cs="Tahoma"/>
          <w:bCs/>
          <w:sz w:val="22"/>
          <w:szCs w:val="22"/>
          <w:lang w:val="es-ES_tradnl" w:eastAsia="es-MX"/>
        </w:rPr>
        <w:t xml:space="preserve"> CON OPINIÓN PARTICULAR</w:t>
      </w:r>
      <w:r w:rsidRPr="007F0B8E">
        <w:rPr>
          <w:rFonts w:ascii="Palatino Linotype" w:hAnsi="Palatino Linotype" w:cs="Tahoma"/>
          <w:bCs/>
          <w:sz w:val="22"/>
          <w:szCs w:val="22"/>
          <w:lang w:val="es-ES_tradnl" w:eastAsia="es-MX"/>
        </w:rPr>
        <w:t xml:space="preserve">, EN LA VIGÉSIMA QUINTA SESIÓN ORDINARIA, CELEBRADA EL </w:t>
      </w:r>
      <w:r w:rsidRPr="007F0B8E">
        <w:rPr>
          <w:rFonts w:ascii="Palatino Linotype" w:hAnsi="Palatino Linotype" w:cs="Tahoma"/>
          <w:bCs/>
          <w:sz w:val="22"/>
          <w:szCs w:val="22"/>
          <w:lang w:eastAsia="es-MX"/>
        </w:rPr>
        <w:t>SEIS DE JULIO DE DOS MIL VEINTIDÓS</w:t>
      </w:r>
      <w:r w:rsidRPr="007F0B8E">
        <w:rPr>
          <w:rFonts w:ascii="Palatino Linotype" w:hAnsi="Palatino Linotype" w:cs="Tahoma"/>
          <w:bCs/>
          <w:sz w:val="22"/>
          <w:szCs w:val="22"/>
          <w:lang w:val="es-ES_tradnl" w:eastAsia="es-MX"/>
        </w:rPr>
        <w:t>, ANTE EL SECRETARIO TÉCNICO DEL PLENO, ALEXIS TAPIA RAMÍREZ.</w:t>
      </w:r>
    </w:p>
    <w:p w:rsidR="007B12FB" w:rsidRDefault="007B12FB" w14:paraId="1E179915" w14:textId="76CA378C">
      <w:pPr>
        <w:spacing w:after="160" w:line="259" w:lineRule="auto"/>
        <w:rPr>
          <w:rFonts w:ascii="Palatino Linotype" w:hAnsi="Palatino Linotype" w:eastAsia="Calibri" w:cs="Tahoma"/>
          <w:b/>
          <w:bCs/>
          <w:color w:val="0D0D0D" w:themeColor="text1" w:themeTint="F2"/>
          <w:sz w:val="22"/>
          <w:szCs w:val="22"/>
          <w:lang w:eastAsia="en-US"/>
        </w:rPr>
      </w:pPr>
      <w:r>
        <w:rPr>
          <w:rFonts w:ascii="Palatino Linotype" w:hAnsi="Palatino Linotype" w:eastAsia="Calibri" w:cs="Tahoma"/>
          <w:b/>
          <w:bCs/>
          <w:color w:val="0D0D0D" w:themeColor="text1" w:themeTint="F2"/>
          <w:sz w:val="22"/>
          <w:szCs w:val="22"/>
          <w:lang w:eastAsia="en-US"/>
        </w:rPr>
        <w:br w:type="page"/>
      </w:r>
    </w:p>
    <w:p w:rsidRPr="004A24D4" w:rsidR="004A24D4" w:rsidP="004A24D4" w:rsidRDefault="004A24D4" w14:paraId="46C1FEE7" w14:textId="77777777">
      <w:pPr>
        <w:tabs>
          <w:tab w:val="left" w:pos="7230"/>
        </w:tabs>
        <w:rPr>
          <w:rFonts w:ascii="Palatino Linotype" w:hAnsi="Palatino Linotype" w:eastAsia="Calibri" w:cs="Tahoma"/>
          <w:color w:val="0D0D0D" w:themeColor="text1" w:themeTint="F2"/>
          <w:sz w:val="22"/>
          <w:szCs w:val="22"/>
          <w:lang w:eastAsia="en-US"/>
        </w:rPr>
      </w:pPr>
    </w:p>
    <w:sectPr w:rsidRPr="004A24D4" w:rsidR="004A24D4" w:rsidSect="00DB7E5F">
      <w:headerReference w:type="even" r:id="rId13"/>
      <w:headerReference w:type="default" r:id="rId14"/>
      <w:footerReference w:type="default" r:id="rId15"/>
      <w:headerReference w:type="first" r:id="rId16"/>
      <w:footerReference w:type="first" r:id="rId17"/>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64EA0" w:rsidP="00B31222" w:rsidRDefault="00964EA0" w14:paraId="2D12A681" w14:textId="77777777">
      <w:r>
        <w:separator/>
      </w:r>
    </w:p>
  </w:endnote>
  <w:endnote w:type="continuationSeparator" w:id="0">
    <w:p w:rsidR="00964EA0" w:rsidP="00B31222" w:rsidRDefault="00964EA0" w14:paraId="3CFECCA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rsidR="00EB6F7A" w:rsidRDefault="00EB6F7A" w14:paraId="5F3B126B" w14:textId="2AC738F2">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B276D">
              <w:rPr>
                <w:b/>
                <w:bCs/>
                <w:noProof/>
              </w:rPr>
              <w:t>76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B276D">
              <w:rPr>
                <w:b/>
                <w:bCs/>
                <w:noProof/>
              </w:rPr>
              <w:t>76</w:t>
            </w:r>
            <w:r>
              <w:rPr>
                <w:b/>
                <w:bCs/>
                <w:sz w:val="24"/>
                <w:szCs w:val="24"/>
              </w:rPr>
              <w:fldChar w:fldCharType="end"/>
            </w:r>
          </w:p>
        </w:sdtContent>
      </w:sdt>
    </w:sdtContent>
  </w:sdt>
  <w:p w:rsidR="00EB6F7A" w:rsidRDefault="00EB6F7A" w14:paraId="783E849C"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F7A" w:rsidRDefault="00EB6F7A" w14:paraId="1257F244" w14:textId="72AA65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86DC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86DC9">
      <w:rPr>
        <w:b/>
        <w:bCs/>
        <w:noProof/>
      </w:rPr>
      <w:t>76</w:t>
    </w:r>
    <w:r>
      <w:rPr>
        <w:b/>
        <w:bCs/>
        <w:sz w:val="24"/>
        <w:szCs w:val="24"/>
      </w:rPr>
      <w:fldChar w:fldCharType="end"/>
    </w:r>
  </w:p>
  <w:p w:rsidR="00EB6F7A" w:rsidRDefault="00EB6F7A" w14:paraId="52F5CF7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64EA0" w:rsidP="00B31222" w:rsidRDefault="00964EA0" w14:paraId="0A586BF1" w14:textId="77777777">
      <w:r>
        <w:separator/>
      </w:r>
    </w:p>
  </w:footnote>
  <w:footnote w:type="continuationSeparator" w:id="0">
    <w:p w:rsidR="00964EA0" w:rsidP="00B31222" w:rsidRDefault="00964EA0" w14:paraId="757FF69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B6F7A" w:rsidRDefault="007B12FB" w14:paraId="49D3604D" w14:textId="5AF9B128">
    <w:pPr>
      <w:pStyle w:val="Encabezado"/>
    </w:pPr>
    <w:r>
      <w:rPr>
        <w:noProof/>
      </w:rPr>
      <w:pict w14:anchorId="380E366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1" style="position:absolute;margin-left:0;margin-top:0;width:663.5pt;height:12in;z-index:-251657216;mso-position-horizontal:center;mso-position-horizontal-relative:margin;mso-position-vertical:center;mso-position-vertical-relative:margin" o:spid="_x0000_s1026" o:allowincell="f" type="#_x0000_t75">
          <v:imagedata o:title="PHOTO-2020-08-13-10-14-39"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72" w:type="dxa"/>
      <w:tblLayout w:type="fixed"/>
      <w:tblLook w:val="04A0" w:firstRow="1" w:lastRow="0" w:firstColumn="1" w:lastColumn="0" w:noHBand="0" w:noVBand="1"/>
    </w:tblPr>
    <w:tblGrid>
      <w:gridCol w:w="1985"/>
      <w:gridCol w:w="7087"/>
    </w:tblGrid>
    <w:tr w:rsidRPr="005C106F" w:rsidR="00EB6F7A" w:rsidTr="00A75B53" w14:paraId="35720ED2" w14:textId="77777777">
      <w:trPr>
        <w:trHeight w:val="1435"/>
      </w:trPr>
      <w:tc>
        <w:tcPr>
          <w:tcW w:w="1985" w:type="dxa"/>
          <w:shd w:val="clear" w:color="auto" w:fill="auto"/>
        </w:tcPr>
        <w:p w:rsidRPr="005C106F" w:rsidR="00EB6F7A" w:rsidP="00EF4A64" w:rsidRDefault="00EB6F7A" w14:paraId="64271C59" w14:textId="77777777">
          <w:pPr>
            <w:tabs>
              <w:tab w:val="right" w:pos="4273"/>
            </w:tabs>
            <w:rPr>
              <w:rFonts w:ascii="Garamond" w:hAnsi="Garamond" w:eastAsia="Calibri"/>
              <w:sz w:val="16"/>
              <w:szCs w:val="16"/>
              <w:lang w:eastAsia="en-US"/>
            </w:rPr>
          </w:pPr>
        </w:p>
      </w:tc>
      <w:tc>
        <w:tcPr>
          <w:tcW w:w="7087" w:type="dxa"/>
          <w:shd w:val="clear" w:color="auto" w:fill="auto"/>
        </w:tcPr>
        <w:p w:rsidR="00EB6F7A" w:rsidP="005743D2" w:rsidRDefault="00EB6F7A" w14:paraId="4B7762D7" w14:textId="77777777"/>
        <w:tbl>
          <w:tblPr>
            <w:tblStyle w:val="Tablaconcuadrcula"/>
            <w:tblW w:w="6521" w:type="dxa"/>
            <w:tblInd w:w="130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794"/>
          </w:tblGrid>
          <w:tr w:rsidR="00EB6F7A" w:rsidTr="00E32AA7" w14:paraId="3D504A82" w14:textId="77777777">
            <w:trPr>
              <w:trHeight w:val="144"/>
            </w:trPr>
            <w:tc>
              <w:tcPr>
                <w:tcW w:w="2727" w:type="dxa"/>
              </w:tcPr>
              <w:p w:rsidRPr="00A920AD" w:rsidR="00EB6F7A" w:rsidP="00A920AD" w:rsidRDefault="00EB6F7A" w14:paraId="3E17AA26"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Recurso de Revisión:</w:t>
                </w:r>
              </w:p>
            </w:tc>
            <w:tc>
              <w:tcPr>
                <w:tcW w:w="3794" w:type="dxa"/>
              </w:tcPr>
              <w:p w:rsidRPr="00A920AD" w:rsidR="00EB6F7A" w:rsidP="00A920AD" w:rsidRDefault="00680EFE" w14:paraId="2CE737B1" w14:textId="0E099778">
                <w:pPr>
                  <w:tabs>
                    <w:tab w:val="right" w:pos="8838"/>
                  </w:tabs>
                  <w:spacing w:line="276" w:lineRule="auto"/>
                  <w:ind w:left="-28" w:right="171"/>
                  <w:jc w:val="both"/>
                  <w:rPr>
                    <w:rFonts w:ascii="Palatino Linotype" w:hAnsi="Palatino Linotype" w:eastAsia="Calibri" w:cs="Tahoma"/>
                    <w:bCs/>
                    <w:sz w:val="22"/>
                    <w:szCs w:val="22"/>
                    <w:lang w:eastAsia="en-US"/>
                  </w:rPr>
                </w:pPr>
                <w:r w:rsidRPr="00680EFE">
                  <w:rPr>
                    <w:rFonts w:ascii="Palatino Linotype" w:hAnsi="Palatino Linotype" w:eastAsia="Calibri" w:cs="Tahoma"/>
                    <w:bCs/>
                    <w:sz w:val="22"/>
                    <w:szCs w:val="22"/>
                    <w:lang w:eastAsia="en-US"/>
                  </w:rPr>
                  <w:t>03946/INFOEM/IP/RR/2022</w:t>
                </w:r>
              </w:p>
            </w:tc>
          </w:tr>
          <w:tr w:rsidR="00EB6F7A" w:rsidTr="00E32AA7" w14:paraId="4271964A" w14:textId="77777777">
            <w:trPr>
              <w:trHeight w:val="283"/>
            </w:trPr>
            <w:tc>
              <w:tcPr>
                <w:tcW w:w="2727" w:type="dxa"/>
              </w:tcPr>
              <w:p w:rsidRPr="00A920AD" w:rsidR="00EB6F7A" w:rsidP="00A920AD" w:rsidRDefault="00EB6F7A" w14:paraId="4C472276"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Sujeto Obligado:</w:t>
                </w:r>
              </w:p>
            </w:tc>
            <w:tc>
              <w:tcPr>
                <w:tcW w:w="3794" w:type="dxa"/>
              </w:tcPr>
              <w:p w:rsidRPr="00A920AD" w:rsidR="00EB6F7A" w:rsidP="00A75B53" w:rsidRDefault="00680EFE" w14:paraId="6001DC69" w14:textId="45152C12">
                <w:pPr>
                  <w:tabs>
                    <w:tab w:val="left" w:pos="2834"/>
                    <w:tab w:val="right" w:pos="8838"/>
                  </w:tabs>
                  <w:spacing w:line="276" w:lineRule="auto"/>
                  <w:ind w:right="319"/>
                  <w:jc w:val="both"/>
                  <w:rPr>
                    <w:rFonts w:ascii="Palatino Linotype" w:hAnsi="Palatino Linotype" w:eastAsia="Calibri" w:cs="Tahoma"/>
                    <w:b/>
                    <w:sz w:val="22"/>
                    <w:szCs w:val="22"/>
                    <w:lang w:val="es-MX" w:eastAsia="en-US"/>
                  </w:rPr>
                </w:pPr>
                <w:r w:rsidRPr="00680EFE">
                  <w:rPr>
                    <w:rFonts w:ascii="Palatino Linotype" w:hAnsi="Palatino Linotype" w:eastAsia="Calibri" w:cs="Tahoma"/>
                    <w:sz w:val="22"/>
                    <w:szCs w:val="22"/>
                    <w:lang w:val="es-MX" w:eastAsia="en-US"/>
                  </w:rPr>
                  <w:t>Ayuntamiento de Ixtlahuaca</w:t>
                </w:r>
              </w:p>
            </w:tc>
          </w:tr>
          <w:tr w:rsidR="00EB6F7A" w:rsidTr="00E32AA7" w14:paraId="406E8C79" w14:textId="77777777">
            <w:trPr>
              <w:trHeight w:val="283"/>
            </w:trPr>
            <w:tc>
              <w:tcPr>
                <w:tcW w:w="2727" w:type="dxa"/>
              </w:tcPr>
              <w:p w:rsidRPr="00A920AD" w:rsidR="00EB6F7A" w:rsidP="00A920AD" w:rsidRDefault="00EB6F7A" w14:paraId="1A9F6F2D" w14:textId="77777777">
                <w:pPr>
                  <w:tabs>
                    <w:tab w:val="right" w:pos="8838"/>
                  </w:tabs>
                  <w:spacing w:line="276" w:lineRule="auto"/>
                  <w:ind w:right="-105"/>
                  <w:rPr>
                    <w:rFonts w:ascii="Palatino Linotype" w:hAnsi="Palatino Linotype" w:eastAsia="Calibri" w:cs="Tahoma"/>
                    <w:b/>
                    <w:sz w:val="22"/>
                    <w:szCs w:val="22"/>
                    <w:lang w:val="es-MX" w:eastAsia="en-US"/>
                  </w:rPr>
                </w:pPr>
                <w:r w:rsidRPr="00A920AD">
                  <w:rPr>
                    <w:rFonts w:ascii="Palatino Linotype" w:hAnsi="Palatino Linotype" w:eastAsia="Calibri" w:cs="Tahoma"/>
                    <w:b/>
                    <w:sz w:val="22"/>
                    <w:szCs w:val="22"/>
                    <w:lang w:val="es-MX" w:eastAsia="en-US"/>
                  </w:rPr>
                  <w:t>Comisionado Ponente:</w:t>
                </w:r>
              </w:p>
            </w:tc>
            <w:tc>
              <w:tcPr>
                <w:tcW w:w="3794" w:type="dxa"/>
              </w:tcPr>
              <w:p w:rsidR="00EB6F7A" w:rsidP="00A920AD" w:rsidRDefault="00EB6F7A" w14:paraId="770BB61D" w14:textId="77777777">
                <w:pPr>
                  <w:tabs>
                    <w:tab w:val="right" w:pos="8838"/>
                  </w:tabs>
                  <w:spacing w:line="276" w:lineRule="auto"/>
                  <w:ind w:right="171"/>
                  <w:jc w:val="both"/>
                  <w:rPr>
                    <w:rFonts w:ascii="Palatino Linotype" w:hAnsi="Palatino Linotype" w:eastAsia="Calibri" w:cs="Tahoma"/>
                    <w:sz w:val="22"/>
                    <w:szCs w:val="22"/>
                    <w:lang w:val="es-MX" w:eastAsia="en-US"/>
                  </w:rPr>
                </w:pPr>
                <w:r w:rsidRPr="00A920AD">
                  <w:rPr>
                    <w:rFonts w:ascii="Palatino Linotype" w:hAnsi="Palatino Linotype" w:eastAsia="Calibri" w:cs="Tahoma"/>
                    <w:sz w:val="22"/>
                    <w:szCs w:val="22"/>
                    <w:lang w:val="es-MX" w:eastAsia="en-US"/>
                  </w:rPr>
                  <w:t>Luis Gustavo Parra Noriega</w:t>
                </w:r>
              </w:p>
              <w:p w:rsidRPr="00A920AD" w:rsidR="00EB6F7A" w:rsidP="00A920AD" w:rsidRDefault="00EB6F7A" w14:paraId="7178C01A" w14:textId="6F60FE61">
                <w:pPr>
                  <w:tabs>
                    <w:tab w:val="right" w:pos="8838"/>
                  </w:tabs>
                  <w:spacing w:line="276" w:lineRule="auto"/>
                  <w:ind w:right="171"/>
                  <w:jc w:val="both"/>
                  <w:rPr>
                    <w:rFonts w:ascii="Palatino Linotype" w:hAnsi="Palatino Linotype" w:eastAsia="Calibri" w:cs="Tahoma"/>
                    <w:sz w:val="22"/>
                    <w:szCs w:val="22"/>
                    <w:lang w:val="es-MX" w:eastAsia="en-US"/>
                  </w:rPr>
                </w:pPr>
              </w:p>
            </w:tc>
          </w:tr>
        </w:tbl>
        <w:p w:rsidRPr="005C106F" w:rsidR="00EB6F7A" w:rsidP="005743D2" w:rsidRDefault="00EB6F7A" w14:paraId="6C0FCE81" w14:textId="77777777">
          <w:pPr>
            <w:tabs>
              <w:tab w:val="right" w:pos="8838"/>
            </w:tabs>
            <w:ind w:left="-28"/>
            <w:jc w:val="both"/>
            <w:rPr>
              <w:rFonts w:ascii="Arial" w:hAnsi="Arial" w:eastAsia="Calibri" w:cs="Arial"/>
              <w:b/>
              <w:sz w:val="22"/>
              <w:szCs w:val="22"/>
              <w:lang w:eastAsia="en-US"/>
            </w:rPr>
          </w:pPr>
        </w:p>
      </w:tc>
    </w:tr>
  </w:tbl>
  <w:p w:rsidRPr="00443C6B" w:rsidR="00EB6F7A" w:rsidP="00EF4A64" w:rsidRDefault="007B12FB" w14:paraId="73AF4DC0" w14:textId="144901D4">
    <w:pPr>
      <w:pStyle w:val="Encabezado"/>
      <w:rPr>
        <w:sz w:val="14"/>
      </w:rPr>
    </w:pPr>
    <w:r>
      <w:rPr>
        <w:noProof/>
        <w:sz w:val="14"/>
      </w:rPr>
      <w:pict w14:anchorId="4FD7ECA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2" style="position:absolute;margin-left:-106.55pt;margin-top:-133.4pt;width:663.5pt;height:12in;z-index:-251656192;mso-position-horizontal-relative:margin;mso-position-vertical-relative:margin" o:spid="_x0000_s1027" o:allowincell="f" type="#_x0000_t75">
          <v:imagedata o:title="PHOTO-2020-08-13-10-14-39"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Layout w:type="fixed"/>
      <w:tblLook w:val="04A0" w:firstRow="1" w:lastRow="0" w:firstColumn="1" w:lastColumn="0" w:noHBand="0" w:noVBand="1"/>
    </w:tblPr>
    <w:tblGrid>
      <w:gridCol w:w="2127"/>
      <w:gridCol w:w="7229"/>
    </w:tblGrid>
    <w:tr w:rsidRPr="00330DA7" w:rsidR="00EB6F7A" w:rsidTr="73A730E6" w14:paraId="56A6FEA1" w14:textId="77777777">
      <w:trPr>
        <w:trHeight w:val="1435"/>
      </w:trPr>
      <w:tc>
        <w:tcPr>
          <w:tcW w:w="2127" w:type="dxa"/>
          <w:shd w:val="clear" w:color="auto" w:fill="auto"/>
          <w:tcMar/>
        </w:tcPr>
        <w:p w:rsidRPr="00330DA7" w:rsidR="00EB6F7A" w:rsidP="00DB7E5F" w:rsidRDefault="00EB6F7A" w14:paraId="68A238F7" w14:textId="77777777">
          <w:pPr>
            <w:tabs>
              <w:tab w:val="right" w:pos="4273"/>
            </w:tabs>
            <w:rPr>
              <w:rFonts w:ascii="Garamond" w:hAnsi="Garamond" w:eastAsia="Calibri"/>
              <w:sz w:val="22"/>
              <w:szCs w:val="22"/>
              <w:lang w:eastAsia="en-US"/>
            </w:rPr>
          </w:pPr>
        </w:p>
      </w:tc>
      <w:tc>
        <w:tcPr>
          <w:tcW w:w="7229" w:type="dxa"/>
          <w:shd w:val="clear" w:color="auto" w:fill="auto"/>
          <w:tcMar/>
        </w:tcPr>
        <w:p w:rsidR="00EB6F7A" w:rsidRDefault="00EB6F7A" w14:paraId="75A05E8A" w14:textId="77777777"/>
        <w:tbl>
          <w:tblPr>
            <w:tblStyle w:val="Tablaconcuadrcula"/>
            <w:tblW w:w="5528" w:type="dxa"/>
            <w:tblInd w:w="11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4"/>
            <w:gridCol w:w="3084"/>
          </w:tblGrid>
          <w:tr w:rsidRPr="00330DA7" w:rsidR="00EB6F7A" w:rsidTr="73A730E6" w14:paraId="5B69F0DA" w14:textId="77777777">
            <w:trPr>
              <w:trHeight w:val="144"/>
            </w:trPr>
            <w:tc>
              <w:tcPr>
                <w:tcW w:w="2444" w:type="dxa"/>
                <w:tcMar/>
              </w:tcPr>
              <w:p w:rsidRPr="00330DA7" w:rsidR="00EB6F7A" w:rsidP="00844CB5" w:rsidRDefault="00EB6F7A" w14:paraId="32705BB6"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Recurso de Revisión:</w:t>
                </w:r>
              </w:p>
            </w:tc>
            <w:tc>
              <w:tcPr>
                <w:tcW w:w="3084" w:type="dxa"/>
                <w:tcMar/>
              </w:tcPr>
              <w:p w:rsidRPr="00330DA7" w:rsidR="00EB6F7A" w:rsidP="00844CB5" w:rsidRDefault="00680EFE" w14:paraId="1B7B11E3" w14:textId="1E666174">
                <w:pPr>
                  <w:tabs>
                    <w:tab w:val="right" w:pos="8838"/>
                  </w:tabs>
                  <w:ind w:left="-74" w:right="-105"/>
                  <w:jc w:val="both"/>
                  <w:rPr>
                    <w:rFonts w:ascii="Palatino Linotype" w:hAnsi="Palatino Linotype" w:eastAsia="Calibri" w:cs="Tahoma"/>
                    <w:bCs/>
                    <w:sz w:val="22"/>
                    <w:szCs w:val="22"/>
                    <w:lang w:eastAsia="en-US"/>
                  </w:rPr>
                </w:pPr>
                <w:r w:rsidRPr="00680EFE">
                  <w:rPr>
                    <w:rFonts w:ascii="Palatino Linotype" w:hAnsi="Palatino Linotype" w:eastAsia="Calibri" w:cs="Tahoma"/>
                    <w:bCs/>
                    <w:sz w:val="22"/>
                    <w:szCs w:val="22"/>
                    <w:lang w:eastAsia="en-US"/>
                  </w:rPr>
                  <w:t>03946/INFOEM/IP/RR/2022</w:t>
                </w:r>
              </w:p>
            </w:tc>
          </w:tr>
          <w:tr w:rsidRPr="00330DA7" w:rsidR="00EB6F7A" w:rsidTr="73A730E6" w14:paraId="6523CC8C" w14:textId="77777777">
            <w:trPr>
              <w:trHeight w:val="144"/>
            </w:trPr>
            <w:tc>
              <w:tcPr>
                <w:tcW w:w="2444" w:type="dxa"/>
                <w:tcMar/>
              </w:tcPr>
              <w:p w:rsidRPr="00330DA7" w:rsidR="00EB6F7A" w:rsidP="00844CB5" w:rsidRDefault="00EB6F7A" w14:paraId="0A49CEAA"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Recurrente:</w:t>
                </w:r>
              </w:p>
            </w:tc>
            <w:tc>
              <w:tcPr>
                <w:tcW w:w="3084" w:type="dxa"/>
                <w:tcMar/>
              </w:tcPr>
              <w:p w:rsidRPr="00330DA7" w:rsidR="00EB6F7A" w:rsidP="73A730E6" w:rsidRDefault="00680EFE" w14:paraId="4C89FFB6" w14:textId="7F6829EA">
                <w:pPr>
                  <w:tabs>
                    <w:tab w:val="left" w:pos="3122"/>
                    <w:tab w:val="right" w:pos="8838"/>
                  </w:tabs>
                  <w:ind w:left="-74" w:right="-105"/>
                  <w:jc w:val="both"/>
                  <w:rPr>
                    <w:rFonts w:ascii="Palatino Linotype" w:hAnsi="Palatino Linotype" w:eastAsia="Calibri" w:cs="Tahoma"/>
                    <w:sz w:val="22"/>
                    <w:szCs w:val="22"/>
                    <w:highlight w:val="black"/>
                    <w:lang w:val="es-MX" w:eastAsia="en-US"/>
                  </w:rPr>
                </w:pPr>
                <w:r w:rsidRPr="73A730E6" w:rsidR="73A730E6">
                  <w:rPr>
                    <w:rFonts w:ascii="Palatino Linotype" w:hAnsi="Palatino Linotype" w:eastAsia="Calibri" w:cs="Tahoma"/>
                    <w:sz w:val="22"/>
                    <w:szCs w:val="22"/>
                    <w:highlight w:val="black"/>
                    <w:lang w:val="es-MX" w:eastAsia="en-US"/>
                  </w:rPr>
                  <w:t>XXXXXXXXXXXXXXXXXXXXXXXXXXXXXXXXXXXX</w:t>
                </w:r>
              </w:p>
            </w:tc>
          </w:tr>
          <w:tr w:rsidRPr="00330DA7" w:rsidR="00EB6F7A" w:rsidTr="73A730E6" w14:paraId="12468C58" w14:textId="77777777">
            <w:trPr>
              <w:trHeight w:val="283"/>
            </w:trPr>
            <w:tc>
              <w:tcPr>
                <w:tcW w:w="2444" w:type="dxa"/>
                <w:tcMar/>
              </w:tcPr>
              <w:p w:rsidRPr="00330DA7" w:rsidR="00EB6F7A" w:rsidP="00844CB5" w:rsidRDefault="00EB6F7A" w14:paraId="296AF220"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Sujeto Obligado:</w:t>
                </w:r>
              </w:p>
            </w:tc>
            <w:tc>
              <w:tcPr>
                <w:tcW w:w="3084" w:type="dxa"/>
                <w:tcMar/>
              </w:tcPr>
              <w:p w:rsidRPr="00330DA7" w:rsidR="00EB6F7A" w:rsidP="00844CB5" w:rsidRDefault="00680EFE" w14:paraId="06D7723F" w14:textId="65A72E4B">
                <w:pPr>
                  <w:tabs>
                    <w:tab w:val="left" w:pos="2834"/>
                    <w:tab w:val="right" w:pos="8838"/>
                  </w:tabs>
                  <w:ind w:left="-74" w:right="-105"/>
                  <w:jc w:val="both"/>
                  <w:rPr>
                    <w:rFonts w:ascii="Palatino Linotype" w:hAnsi="Palatino Linotype" w:eastAsia="Calibri" w:cs="Tahoma"/>
                    <w:b/>
                    <w:sz w:val="22"/>
                    <w:szCs w:val="22"/>
                    <w:lang w:val="es-MX" w:eastAsia="en-US"/>
                  </w:rPr>
                </w:pPr>
                <w:r w:rsidRPr="00680EFE">
                  <w:rPr>
                    <w:rFonts w:ascii="Palatino Linotype" w:hAnsi="Palatino Linotype" w:eastAsia="Calibri" w:cs="Tahoma"/>
                    <w:sz w:val="22"/>
                    <w:szCs w:val="22"/>
                    <w:lang w:val="es-MX" w:eastAsia="en-US"/>
                  </w:rPr>
                  <w:t>Ayuntamiento de Ixtlahuaca</w:t>
                </w:r>
              </w:p>
            </w:tc>
          </w:tr>
          <w:tr w:rsidRPr="00330DA7" w:rsidR="00EB6F7A" w:rsidTr="73A730E6" w14:paraId="2A6135F2" w14:textId="77777777">
            <w:trPr>
              <w:trHeight w:val="283"/>
            </w:trPr>
            <w:tc>
              <w:tcPr>
                <w:tcW w:w="2444" w:type="dxa"/>
                <w:tcMar/>
              </w:tcPr>
              <w:p w:rsidRPr="00330DA7" w:rsidR="00EB6F7A" w:rsidP="00844CB5" w:rsidRDefault="00EB6F7A" w14:paraId="3782BAF3" w14:textId="77777777">
                <w:pPr>
                  <w:tabs>
                    <w:tab w:val="right" w:pos="8838"/>
                  </w:tabs>
                  <w:ind w:left="-74" w:right="-105"/>
                  <w:rPr>
                    <w:rFonts w:ascii="Palatino Linotype" w:hAnsi="Palatino Linotype" w:eastAsia="Calibri" w:cs="Tahoma"/>
                    <w:b/>
                    <w:sz w:val="22"/>
                    <w:szCs w:val="22"/>
                    <w:lang w:val="es-MX" w:eastAsia="en-US"/>
                  </w:rPr>
                </w:pPr>
                <w:r w:rsidRPr="00330DA7">
                  <w:rPr>
                    <w:rFonts w:ascii="Palatino Linotype" w:hAnsi="Palatino Linotype" w:eastAsia="Calibri" w:cs="Tahoma"/>
                    <w:b/>
                    <w:sz w:val="22"/>
                    <w:szCs w:val="22"/>
                    <w:lang w:val="es-MX" w:eastAsia="en-US"/>
                  </w:rPr>
                  <w:t>Comisionado Ponente:</w:t>
                </w:r>
              </w:p>
            </w:tc>
            <w:tc>
              <w:tcPr>
                <w:tcW w:w="3084" w:type="dxa"/>
                <w:tcMar/>
              </w:tcPr>
              <w:p w:rsidRPr="0090419B" w:rsidR="00EB6F7A" w:rsidP="0090419B" w:rsidRDefault="00EB6F7A" w14:paraId="2D4AD1D9" w14:textId="42D4014E">
                <w:pPr>
                  <w:tabs>
                    <w:tab w:val="right" w:pos="8838"/>
                  </w:tabs>
                  <w:ind w:left="-74" w:right="-105"/>
                  <w:jc w:val="both"/>
                  <w:rPr>
                    <w:rFonts w:ascii="Palatino Linotype" w:hAnsi="Palatino Linotype" w:eastAsia="Calibri" w:cs="Tahoma"/>
                    <w:sz w:val="22"/>
                    <w:szCs w:val="22"/>
                    <w:lang w:val="es-MX" w:eastAsia="en-US"/>
                  </w:rPr>
                </w:pPr>
                <w:r w:rsidRPr="00330DA7">
                  <w:rPr>
                    <w:rFonts w:ascii="Palatino Linotype" w:hAnsi="Palatino Linotype" w:eastAsia="Calibri" w:cs="Tahoma"/>
                    <w:sz w:val="22"/>
                    <w:szCs w:val="22"/>
                    <w:lang w:val="es-MX" w:eastAsia="en-US"/>
                  </w:rPr>
                  <w:t>Luis Gustavo Parra Noriega</w:t>
                </w:r>
              </w:p>
            </w:tc>
          </w:tr>
        </w:tbl>
        <w:p w:rsidRPr="00330DA7" w:rsidR="00EB6F7A" w:rsidP="00DB7E5F" w:rsidRDefault="00EB6F7A" w14:paraId="6E5F3CA9" w14:textId="77777777">
          <w:pPr>
            <w:tabs>
              <w:tab w:val="right" w:pos="8838"/>
            </w:tabs>
            <w:ind w:left="-28"/>
            <w:jc w:val="both"/>
            <w:rPr>
              <w:rFonts w:ascii="Arial" w:hAnsi="Arial" w:eastAsia="Calibri" w:cs="Arial"/>
              <w:b/>
              <w:sz w:val="22"/>
              <w:szCs w:val="22"/>
              <w:lang w:eastAsia="en-US"/>
            </w:rPr>
          </w:pPr>
        </w:p>
      </w:tc>
    </w:tr>
  </w:tbl>
  <w:p w:rsidRPr="00330DA7" w:rsidR="00EB6F7A" w:rsidP="00B727C5" w:rsidRDefault="007B12FB" w14:paraId="5F833B3B" w14:textId="7189BA97">
    <w:pPr>
      <w:pStyle w:val="Encabezado"/>
      <w:rPr>
        <w:sz w:val="22"/>
        <w:szCs w:val="22"/>
      </w:rPr>
    </w:pPr>
    <w:r>
      <w:rPr>
        <w:noProof/>
        <w:sz w:val="22"/>
        <w:szCs w:val="22"/>
      </w:rPr>
      <w:pict w14:anchorId="4BC8372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82416250" style="position:absolute;margin-left:-105.8pt;margin-top:-125.6pt;width:663.5pt;height:12in;z-index:-251658240;mso-position-horizontal-relative:margin;mso-position-vertical-relative:margin" o:spid="_x0000_s1025" o:allowincell="f" type="#_x0000_t75">
          <v:imagedata o:title="PHOTO-2020-08-13-10-14-39"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0A3157C"/>
    <w:multiLevelType w:val="hybridMultilevel"/>
    <w:tmpl w:val="0958D686"/>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0EE55E7"/>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 w15:restartNumberingAfterBreak="0">
    <w:nsid w:val="030877D5"/>
    <w:multiLevelType w:val="hybridMultilevel"/>
    <w:tmpl w:val="DA90532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5571B2F"/>
    <w:multiLevelType w:val="hybridMultilevel"/>
    <w:tmpl w:val="057814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EBC693E"/>
    <w:multiLevelType w:val="hybridMultilevel"/>
    <w:tmpl w:val="B88C6C18"/>
    <w:lvl w:ilvl="0" w:tplc="080A000F">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0EEF1204"/>
    <w:multiLevelType w:val="hybridMultilevel"/>
    <w:tmpl w:val="EB4674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8"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249B791D"/>
    <w:multiLevelType w:val="hybridMultilevel"/>
    <w:tmpl w:val="BD308EDC"/>
    <w:lvl w:ilvl="0" w:tplc="12B4CAB8">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95A8D"/>
    <w:multiLevelType w:val="hybridMultilevel"/>
    <w:tmpl w:val="367488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9CB141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3"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30D51F8D"/>
    <w:multiLevelType w:val="hybridMultilevel"/>
    <w:tmpl w:val="39442E2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42F2701"/>
    <w:multiLevelType w:val="hybridMultilevel"/>
    <w:tmpl w:val="0E6A4B4C"/>
    <w:lvl w:ilvl="0" w:tplc="080A0001">
      <w:start w:val="1"/>
      <w:numFmt w:val="bullet"/>
      <w:lvlText w:val=""/>
      <w:lvlJc w:val="left"/>
      <w:pPr>
        <w:ind w:left="780" w:hanging="360"/>
      </w:pPr>
      <w:rPr>
        <w:rFonts w:hint="default" w:ascii="Symbol" w:hAnsi="Symbol"/>
      </w:rPr>
    </w:lvl>
    <w:lvl w:ilvl="1" w:tplc="080A0003" w:tentative="1">
      <w:start w:val="1"/>
      <w:numFmt w:val="bullet"/>
      <w:lvlText w:val="o"/>
      <w:lvlJc w:val="left"/>
      <w:pPr>
        <w:ind w:left="1500" w:hanging="360"/>
      </w:pPr>
      <w:rPr>
        <w:rFonts w:hint="default" w:ascii="Courier New" w:hAnsi="Courier New" w:cs="Courier New"/>
      </w:rPr>
    </w:lvl>
    <w:lvl w:ilvl="2" w:tplc="080A0005" w:tentative="1">
      <w:start w:val="1"/>
      <w:numFmt w:val="bullet"/>
      <w:lvlText w:val=""/>
      <w:lvlJc w:val="left"/>
      <w:pPr>
        <w:ind w:left="2220" w:hanging="360"/>
      </w:pPr>
      <w:rPr>
        <w:rFonts w:hint="default" w:ascii="Wingdings" w:hAnsi="Wingdings"/>
      </w:rPr>
    </w:lvl>
    <w:lvl w:ilvl="3" w:tplc="080A0001" w:tentative="1">
      <w:start w:val="1"/>
      <w:numFmt w:val="bullet"/>
      <w:lvlText w:val=""/>
      <w:lvlJc w:val="left"/>
      <w:pPr>
        <w:ind w:left="2940" w:hanging="360"/>
      </w:pPr>
      <w:rPr>
        <w:rFonts w:hint="default" w:ascii="Symbol" w:hAnsi="Symbol"/>
      </w:rPr>
    </w:lvl>
    <w:lvl w:ilvl="4" w:tplc="080A0003" w:tentative="1">
      <w:start w:val="1"/>
      <w:numFmt w:val="bullet"/>
      <w:lvlText w:val="o"/>
      <w:lvlJc w:val="left"/>
      <w:pPr>
        <w:ind w:left="3660" w:hanging="360"/>
      </w:pPr>
      <w:rPr>
        <w:rFonts w:hint="default" w:ascii="Courier New" w:hAnsi="Courier New" w:cs="Courier New"/>
      </w:rPr>
    </w:lvl>
    <w:lvl w:ilvl="5" w:tplc="080A0005" w:tentative="1">
      <w:start w:val="1"/>
      <w:numFmt w:val="bullet"/>
      <w:lvlText w:val=""/>
      <w:lvlJc w:val="left"/>
      <w:pPr>
        <w:ind w:left="4380" w:hanging="360"/>
      </w:pPr>
      <w:rPr>
        <w:rFonts w:hint="default" w:ascii="Wingdings" w:hAnsi="Wingdings"/>
      </w:rPr>
    </w:lvl>
    <w:lvl w:ilvl="6" w:tplc="080A0001" w:tentative="1">
      <w:start w:val="1"/>
      <w:numFmt w:val="bullet"/>
      <w:lvlText w:val=""/>
      <w:lvlJc w:val="left"/>
      <w:pPr>
        <w:ind w:left="5100" w:hanging="360"/>
      </w:pPr>
      <w:rPr>
        <w:rFonts w:hint="default" w:ascii="Symbol" w:hAnsi="Symbol"/>
      </w:rPr>
    </w:lvl>
    <w:lvl w:ilvl="7" w:tplc="080A0003" w:tentative="1">
      <w:start w:val="1"/>
      <w:numFmt w:val="bullet"/>
      <w:lvlText w:val="o"/>
      <w:lvlJc w:val="left"/>
      <w:pPr>
        <w:ind w:left="5820" w:hanging="360"/>
      </w:pPr>
      <w:rPr>
        <w:rFonts w:hint="default" w:ascii="Courier New" w:hAnsi="Courier New" w:cs="Courier New"/>
      </w:rPr>
    </w:lvl>
    <w:lvl w:ilvl="8" w:tplc="080A0005" w:tentative="1">
      <w:start w:val="1"/>
      <w:numFmt w:val="bullet"/>
      <w:lvlText w:val=""/>
      <w:lvlJc w:val="left"/>
      <w:pPr>
        <w:ind w:left="6540" w:hanging="360"/>
      </w:pPr>
      <w:rPr>
        <w:rFonts w:hint="default" w:ascii="Wingdings" w:hAnsi="Wingdings"/>
      </w:rPr>
    </w:lvl>
  </w:abstractNum>
  <w:abstractNum w:abstractNumId="16" w15:restartNumberingAfterBreak="0">
    <w:nsid w:val="372F31AE"/>
    <w:multiLevelType w:val="hybridMultilevel"/>
    <w:tmpl w:val="27C072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7" w15:restartNumberingAfterBreak="0">
    <w:nsid w:val="4423486A"/>
    <w:multiLevelType w:val="hybridMultilevel"/>
    <w:tmpl w:val="79B0D170"/>
    <w:lvl w:ilvl="0" w:tplc="4410712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AB015C6"/>
    <w:multiLevelType w:val="hybridMultilevel"/>
    <w:tmpl w:val="E5906B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B7C2679"/>
    <w:multiLevelType w:val="hybridMultilevel"/>
    <w:tmpl w:val="C8C48654"/>
    <w:lvl w:ilvl="0" w:tplc="6F6ABC3C">
      <w:start w:val="1"/>
      <w:numFmt w:val="upperRoman"/>
      <w:lvlText w:val="%1."/>
      <w:lvlJc w:val="left"/>
      <w:pPr>
        <w:ind w:left="1080" w:hanging="72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1" w15:restartNumberingAfterBreak="0">
    <w:nsid w:val="542F44A7"/>
    <w:multiLevelType w:val="hybridMultilevel"/>
    <w:tmpl w:val="10AA9AD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53B6D56"/>
    <w:multiLevelType w:val="hybridMultilevel"/>
    <w:tmpl w:val="53C87220"/>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57785190"/>
    <w:multiLevelType w:val="hybridMultilevel"/>
    <w:tmpl w:val="F9420E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0E1E68"/>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5" w15:restartNumberingAfterBreak="0">
    <w:nsid w:val="63087DEA"/>
    <w:multiLevelType w:val="hybridMultilevel"/>
    <w:tmpl w:val="9A2642AE"/>
    <w:lvl w:ilvl="0" w:tplc="F2D2F9A4">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67AF02A7"/>
    <w:multiLevelType w:val="hybridMultilevel"/>
    <w:tmpl w:val="BA9A372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89E4E1C"/>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28" w15:restartNumberingAfterBreak="0">
    <w:nsid w:val="69110452"/>
    <w:multiLevelType w:val="hybridMultilevel"/>
    <w:tmpl w:val="093CA882"/>
    <w:lvl w:ilvl="0" w:tplc="C71E471E">
      <w:start w:val="1"/>
      <w:numFmt w:val="lowerRoman"/>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C0539D8"/>
    <w:multiLevelType w:val="hybridMultilevel"/>
    <w:tmpl w:val="9F8C4A4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0" w15:restartNumberingAfterBreak="0">
    <w:nsid w:val="6D7D16A9"/>
    <w:multiLevelType w:val="hybridMultilevel"/>
    <w:tmpl w:val="79CE6AF6"/>
    <w:lvl w:ilvl="0" w:tplc="080A001B">
      <w:start w:val="1"/>
      <w:numFmt w:val="lowerRoman"/>
      <w:lvlText w:val="%1."/>
      <w:lvlJc w:val="righ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31" w15:restartNumberingAfterBreak="0">
    <w:nsid w:val="704005CC"/>
    <w:multiLevelType w:val="hybridMultilevel"/>
    <w:tmpl w:val="1756B84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2"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752B3F4D"/>
    <w:multiLevelType w:val="hybridMultilevel"/>
    <w:tmpl w:val="7C2C46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90488819">
    <w:abstractNumId w:val="0"/>
  </w:num>
  <w:num w:numId="2" w16cid:durableId="192573987">
    <w:abstractNumId w:val="8"/>
  </w:num>
  <w:num w:numId="3" w16cid:durableId="1576166308">
    <w:abstractNumId w:val="35"/>
  </w:num>
  <w:num w:numId="4" w16cid:durableId="341665675">
    <w:abstractNumId w:val="9"/>
  </w:num>
  <w:num w:numId="5" w16cid:durableId="1168908839">
    <w:abstractNumId w:val="18"/>
  </w:num>
  <w:num w:numId="6" w16cid:durableId="968975922">
    <w:abstractNumId w:val="16"/>
  </w:num>
  <w:num w:numId="7" w16cid:durableId="598215574">
    <w:abstractNumId w:val="7"/>
    <w:lvlOverride w:ilvl="0">
      <w:startOverride w:val="1"/>
    </w:lvlOverride>
    <w:lvlOverride w:ilvl="1"/>
    <w:lvlOverride w:ilvl="2"/>
    <w:lvlOverride w:ilvl="3"/>
    <w:lvlOverride w:ilvl="4"/>
    <w:lvlOverride w:ilvl="5"/>
    <w:lvlOverride w:ilvl="6"/>
    <w:lvlOverride w:ilvl="7"/>
    <w:lvlOverride w:ilvl="8"/>
  </w:num>
  <w:num w:numId="8" w16cid:durableId="867641481">
    <w:abstractNumId w:val="24"/>
    <w:lvlOverride w:ilvl="0">
      <w:startOverride w:val="1"/>
    </w:lvlOverride>
    <w:lvlOverride w:ilvl="1"/>
    <w:lvlOverride w:ilvl="2"/>
    <w:lvlOverride w:ilvl="3"/>
    <w:lvlOverride w:ilvl="4"/>
    <w:lvlOverride w:ilvl="5"/>
    <w:lvlOverride w:ilvl="6"/>
    <w:lvlOverride w:ilvl="7"/>
    <w:lvlOverride w:ilvl="8"/>
  </w:num>
  <w:num w:numId="9" w16cid:durableId="916793599">
    <w:abstractNumId w:val="10"/>
  </w:num>
  <w:num w:numId="10" w16cid:durableId="1289817367">
    <w:abstractNumId w:val="17"/>
  </w:num>
  <w:num w:numId="11" w16cid:durableId="20928455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77258432">
    <w:abstractNumId w:val="13"/>
  </w:num>
  <w:num w:numId="13" w16cid:durableId="4187206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4329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05226802">
    <w:abstractNumId w:val="21"/>
  </w:num>
  <w:num w:numId="16" w16cid:durableId="649560000">
    <w:abstractNumId w:val="23"/>
  </w:num>
  <w:num w:numId="17" w16cid:durableId="1808546232">
    <w:abstractNumId w:val="19"/>
  </w:num>
  <w:num w:numId="18" w16cid:durableId="608321888">
    <w:abstractNumId w:val="28"/>
  </w:num>
  <w:num w:numId="19" w16cid:durableId="1597516269">
    <w:abstractNumId w:val="26"/>
  </w:num>
  <w:num w:numId="20" w16cid:durableId="1862039246">
    <w:abstractNumId w:val="31"/>
  </w:num>
  <w:num w:numId="21" w16cid:durableId="360593011">
    <w:abstractNumId w:val="15"/>
  </w:num>
  <w:num w:numId="22" w16cid:durableId="278806615">
    <w:abstractNumId w:val="7"/>
  </w:num>
  <w:num w:numId="23" w16cid:durableId="309289327">
    <w:abstractNumId w:val="3"/>
  </w:num>
  <w:num w:numId="24" w16cid:durableId="52705829">
    <w:abstractNumId w:val="22"/>
  </w:num>
  <w:num w:numId="25" w16cid:durableId="578752133">
    <w:abstractNumId w:val="33"/>
  </w:num>
  <w:num w:numId="26" w16cid:durableId="5014363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53388796">
    <w:abstractNumId w:val="4"/>
  </w:num>
  <w:num w:numId="28" w16cid:durableId="359277845">
    <w:abstractNumId w:val="6"/>
  </w:num>
  <w:num w:numId="29" w16cid:durableId="1631594076">
    <w:abstractNumId w:val="11"/>
  </w:num>
  <w:num w:numId="30" w16cid:durableId="410811875">
    <w:abstractNumId w:val="14"/>
  </w:num>
  <w:num w:numId="31" w16cid:durableId="1124039621">
    <w:abstractNumId w:val="34"/>
  </w:num>
  <w:num w:numId="32" w16cid:durableId="79840716">
    <w:abstractNumId w:val="20"/>
  </w:num>
  <w:num w:numId="33" w16cid:durableId="99695950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335155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97893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312848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381693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7144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79492614">
    <w:abstractNumId w:val="29"/>
  </w:num>
  <w:num w:numId="40" w16cid:durableId="521942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E2D"/>
    <w:rsid w:val="000016AD"/>
    <w:rsid w:val="000027EB"/>
    <w:rsid w:val="0000485A"/>
    <w:rsid w:val="00006543"/>
    <w:rsid w:val="00011A92"/>
    <w:rsid w:val="00012882"/>
    <w:rsid w:val="0001318A"/>
    <w:rsid w:val="0001398B"/>
    <w:rsid w:val="00013A19"/>
    <w:rsid w:val="00013EF9"/>
    <w:rsid w:val="00014465"/>
    <w:rsid w:val="000148B9"/>
    <w:rsid w:val="000148C3"/>
    <w:rsid w:val="00014B7D"/>
    <w:rsid w:val="00015FB8"/>
    <w:rsid w:val="00017858"/>
    <w:rsid w:val="00017D26"/>
    <w:rsid w:val="00020468"/>
    <w:rsid w:val="00020818"/>
    <w:rsid w:val="000212E5"/>
    <w:rsid w:val="00021A72"/>
    <w:rsid w:val="00021C64"/>
    <w:rsid w:val="00022A04"/>
    <w:rsid w:val="000231B7"/>
    <w:rsid w:val="000237AD"/>
    <w:rsid w:val="00023ACB"/>
    <w:rsid w:val="000241C5"/>
    <w:rsid w:val="00024D74"/>
    <w:rsid w:val="00025AF8"/>
    <w:rsid w:val="00025F5D"/>
    <w:rsid w:val="00026569"/>
    <w:rsid w:val="00026CCA"/>
    <w:rsid w:val="000270B0"/>
    <w:rsid w:val="00030990"/>
    <w:rsid w:val="0003118E"/>
    <w:rsid w:val="000313A7"/>
    <w:rsid w:val="00032F5B"/>
    <w:rsid w:val="00032FEF"/>
    <w:rsid w:val="00034E9D"/>
    <w:rsid w:val="00035D2E"/>
    <w:rsid w:val="00035F9E"/>
    <w:rsid w:val="000372A6"/>
    <w:rsid w:val="000373BC"/>
    <w:rsid w:val="000378BC"/>
    <w:rsid w:val="00037B34"/>
    <w:rsid w:val="00037E5B"/>
    <w:rsid w:val="00037F4B"/>
    <w:rsid w:val="000415F1"/>
    <w:rsid w:val="00043C4B"/>
    <w:rsid w:val="000457B9"/>
    <w:rsid w:val="00045B8C"/>
    <w:rsid w:val="0004646B"/>
    <w:rsid w:val="00047C5D"/>
    <w:rsid w:val="000507B3"/>
    <w:rsid w:val="0005212E"/>
    <w:rsid w:val="000528E6"/>
    <w:rsid w:val="00055BA5"/>
    <w:rsid w:val="0005670F"/>
    <w:rsid w:val="000571D0"/>
    <w:rsid w:val="00057250"/>
    <w:rsid w:val="00057C67"/>
    <w:rsid w:val="0006017B"/>
    <w:rsid w:val="0006107B"/>
    <w:rsid w:val="00061E4D"/>
    <w:rsid w:val="000620E1"/>
    <w:rsid w:val="000621A4"/>
    <w:rsid w:val="00062BB3"/>
    <w:rsid w:val="0006482B"/>
    <w:rsid w:val="00064855"/>
    <w:rsid w:val="00067980"/>
    <w:rsid w:val="00067BE3"/>
    <w:rsid w:val="00070DEC"/>
    <w:rsid w:val="00071172"/>
    <w:rsid w:val="00071A4A"/>
    <w:rsid w:val="00073489"/>
    <w:rsid w:val="000758B2"/>
    <w:rsid w:val="00075940"/>
    <w:rsid w:val="000774C9"/>
    <w:rsid w:val="00077B74"/>
    <w:rsid w:val="00080105"/>
    <w:rsid w:val="000802C3"/>
    <w:rsid w:val="000802DB"/>
    <w:rsid w:val="00080BA4"/>
    <w:rsid w:val="00080C44"/>
    <w:rsid w:val="000813B0"/>
    <w:rsid w:val="0008148B"/>
    <w:rsid w:val="000818FA"/>
    <w:rsid w:val="00083589"/>
    <w:rsid w:val="00083A00"/>
    <w:rsid w:val="000844A3"/>
    <w:rsid w:val="00084B3D"/>
    <w:rsid w:val="00087216"/>
    <w:rsid w:val="00087BFB"/>
    <w:rsid w:val="0009161E"/>
    <w:rsid w:val="00091A5D"/>
    <w:rsid w:val="00092475"/>
    <w:rsid w:val="00095310"/>
    <w:rsid w:val="00095C99"/>
    <w:rsid w:val="00096408"/>
    <w:rsid w:val="000967FC"/>
    <w:rsid w:val="00097211"/>
    <w:rsid w:val="000A0006"/>
    <w:rsid w:val="000A0518"/>
    <w:rsid w:val="000A0861"/>
    <w:rsid w:val="000A13C8"/>
    <w:rsid w:val="000A1879"/>
    <w:rsid w:val="000A20A4"/>
    <w:rsid w:val="000A4DC8"/>
    <w:rsid w:val="000A5058"/>
    <w:rsid w:val="000A5A4E"/>
    <w:rsid w:val="000A7211"/>
    <w:rsid w:val="000A776C"/>
    <w:rsid w:val="000B1D37"/>
    <w:rsid w:val="000B2994"/>
    <w:rsid w:val="000B2C93"/>
    <w:rsid w:val="000B36DD"/>
    <w:rsid w:val="000B3953"/>
    <w:rsid w:val="000B4244"/>
    <w:rsid w:val="000B444F"/>
    <w:rsid w:val="000B449E"/>
    <w:rsid w:val="000B5711"/>
    <w:rsid w:val="000B6020"/>
    <w:rsid w:val="000C2283"/>
    <w:rsid w:val="000C27CA"/>
    <w:rsid w:val="000C563E"/>
    <w:rsid w:val="000C56BF"/>
    <w:rsid w:val="000C59CB"/>
    <w:rsid w:val="000C6872"/>
    <w:rsid w:val="000D00D0"/>
    <w:rsid w:val="000D01DC"/>
    <w:rsid w:val="000D0B08"/>
    <w:rsid w:val="000D1997"/>
    <w:rsid w:val="000D1DDF"/>
    <w:rsid w:val="000D2A27"/>
    <w:rsid w:val="000D62EF"/>
    <w:rsid w:val="000D758F"/>
    <w:rsid w:val="000E0BEA"/>
    <w:rsid w:val="000E484A"/>
    <w:rsid w:val="000E55F2"/>
    <w:rsid w:val="000E67B9"/>
    <w:rsid w:val="000E6E8B"/>
    <w:rsid w:val="000F24C8"/>
    <w:rsid w:val="000F2EBF"/>
    <w:rsid w:val="000F3DA0"/>
    <w:rsid w:val="000F4183"/>
    <w:rsid w:val="000F4876"/>
    <w:rsid w:val="000F4B84"/>
    <w:rsid w:val="000F4F79"/>
    <w:rsid w:val="000F555D"/>
    <w:rsid w:val="000F6639"/>
    <w:rsid w:val="000F6834"/>
    <w:rsid w:val="000F68DF"/>
    <w:rsid w:val="000F6D82"/>
    <w:rsid w:val="000F764F"/>
    <w:rsid w:val="000F76AB"/>
    <w:rsid w:val="000F7A45"/>
    <w:rsid w:val="000F7FD8"/>
    <w:rsid w:val="00100BAC"/>
    <w:rsid w:val="00100BF4"/>
    <w:rsid w:val="001017B7"/>
    <w:rsid w:val="001026F0"/>
    <w:rsid w:val="001034C6"/>
    <w:rsid w:val="001049B0"/>
    <w:rsid w:val="00104ADB"/>
    <w:rsid w:val="001057BC"/>
    <w:rsid w:val="00105B12"/>
    <w:rsid w:val="00107D2F"/>
    <w:rsid w:val="001133D5"/>
    <w:rsid w:val="00114068"/>
    <w:rsid w:val="001146EA"/>
    <w:rsid w:val="001150E9"/>
    <w:rsid w:val="00115CBD"/>
    <w:rsid w:val="001160CC"/>
    <w:rsid w:val="001166C8"/>
    <w:rsid w:val="001171BD"/>
    <w:rsid w:val="001221B8"/>
    <w:rsid w:val="00122397"/>
    <w:rsid w:val="001240E9"/>
    <w:rsid w:val="00127757"/>
    <w:rsid w:val="001279BF"/>
    <w:rsid w:val="00132A80"/>
    <w:rsid w:val="00132F95"/>
    <w:rsid w:val="001332F8"/>
    <w:rsid w:val="001340B7"/>
    <w:rsid w:val="00134409"/>
    <w:rsid w:val="0013647C"/>
    <w:rsid w:val="001367ED"/>
    <w:rsid w:val="0013791C"/>
    <w:rsid w:val="00137B8F"/>
    <w:rsid w:val="00140F2A"/>
    <w:rsid w:val="00141192"/>
    <w:rsid w:val="00141895"/>
    <w:rsid w:val="00141C50"/>
    <w:rsid w:val="0014307A"/>
    <w:rsid w:val="00143C05"/>
    <w:rsid w:val="00144D0B"/>
    <w:rsid w:val="00144E03"/>
    <w:rsid w:val="00145F62"/>
    <w:rsid w:val="001462EB"/>
    <w:rsid w:val="001473A0"/>
    <w:rsid w:val="00147566"/>
    <w:rsid w:val="00147666"/>
    <w:rsid w:val="00147887"/>
    <w:rsid w:val="00150852"/>
    <w:rsid w:val="00150E21"/>
    <w:rsid w:val="00151053"/>
    <w:rsid w:val="00151C31"/>
    <w:rsid w:val="00151FBB"/>
    <w:rsid w:val="00152719"/>
    <w:rsid w:val="0015381E"/>
    <w:rsid w:val="00154310"/>
    <w:rsid w:val="00155F96"/>
    <w:rsid w:val="00156408"/>
    <w:rsid w:val="00156A6B"/>
    <w:rsid w:val="00161BCA"/>
    <w:rsid w:val="00161DF9"/>
    <w:rsid w:val="00162383"/>
    <w:rsid w:val="00162CCE"/>
    <w:rsid w:val="00163943"/>
    <w:rsid w:val="00163A96"/>
    <w:rsid w:val="00163C5F"/>
    <w:rsid w:val="00164444"/>
    <w:rsid w:val="00164C2B"/>
    <w:rsid w:val="00164D72"/>
    <w:rsid w:val="00164EFD"/>
    <w:rsid w:val="00165891"/>
    <w:rsid w:val="00165C55"/>
    <w:rsid w:val="0016639C"/>
    <w:rsid w:val="00167134"/>
    <w:rsid w:val="00167184"/>
    <w:rsid w:val="00170545"/>
    <w:rsid w:val="00171ADD"/>
    <w:rsid w:val="00172B4A"/>
    <w:rsid w:val="0017459B"/>
    <w:rsid w:val="00174E87"/>
    <w:rsid w:val="00175125"/>
    <w:rsid w:val="00175CEB"/>
    <w:rsid w:val="00176367"/>
    <w:rsid w:val="00176D88"/>
    <w:rsid w:val="00182D6C"/>
    <w:rsid w:val="00182DCE"/>
    <w:rsid w:val="00182F0F"/>
    <w:rsid w:val="00183639"/>
    <w:rsid w:val="00183D24"/>
    <w:rsid w:val="001851A6"/>
    <w:rsid w:val="001875A7"/>
    <w:rsid w:val="001879E1"/>
    <w:rsid w:val="0019015D"/>
    <w:rsid w:val="0019081D"/>
    <w:rsid w:val="001937B9"/>
    <w:rsid w:val="0019389B"/>
    <w:rsid w:val="001938F9"/>
    <w:rsid w:val="00193950"/>
    <w:rsid w:val="00193A94"/>
    <w:rsid w:val="00194417"/>
    <w:rsid w:val="00194F95"/>
    <w:rsid w:val="00196522"/>
    <w:rsid w:val="00196B82"/>
    <w:rsid w:val="0019729D"/>
    <w:rsid w:val="00197F06"/>
    <w:rsid w:val="001A1B94"/>
    <w:rsid w:val="001A22F5"/>
    <w:rsid w:val="001A3124"/>
    <w:rsid w:val="001A4B83"/>
    <w:rsid w:val="001A7FD2"/>
    <w:rsid w:val="001B0B2B"/>
    <w:rsid w:val="001B107D"/>
    <w:rsid w:val="001B1D04"/>
    <w:rsid w:val="001B2CD9"/>
    <w:rsid w:val="001B2E2A"/>
    <w:rsid w:val="001B34AD"/>
    <w:rsid w:val="001B38FF"/>
    <w:rsid w:val="001B3EB6"/>
    <w:rsid w:val="001B4451"/>
    <w:rsid w:val="001B62A0"/>
    <w:rsid w:val="001B7A08"/>
    <w:rsid w:val="001C17B0"/>
    <w:rsid w:val="001C282F"/>
    <w:rsid w:val="001C3829"/>
    <w:rsid w:val="001C471C"/>
    <w:rsid w:val="001C6723"/>
    <w:rsid w:val="001C6970"/>
    <w:rsid w:val="001D0086"/>
    <w:rsid w:val="001D0094"/>
    <w:rsid w:val="001D08EA"/>
    <w:rsid w:val="001D1A33"/>
    <w:rsid w:val="001D281D"/>
    <w:rsid w:val="001D503B"/>
    <w:rsid w:val="001D67AC"/>
    <w:rsid w:val="001D7012"/>
    <w:rsid w:val="001D71B9"/>
    <w:rsid w:val="001D7BD2"/>
    <w:rsid w:val="001E22B3"/>
    <w:rsid w:val="001E2A4D"/>
    <w:rsid w:val="001E37A6"/>
    <w:rsid w:val="001E53C2"/>
    <w:rsid w:val="001E5A07"/>
    <w:rsid w:val="001E6FC5"/>
    <w:rsid w:val="001F017F"/>
    <w:rsid w:val="001F0E9C"/>
    <w:rsid w:val="001F0EB8"/>
    <w:rsid w:val="001F1540"/>
    <w:rsid w:val="001F3922"/>
    <w:rsid w:val="001F3B39"/>
    <w:rsid w:val="001F4CC6"/>
    <w:rsid w:val="001F5AEF"/>
    <w:rsid w:val="001F652C"/>
    <w:rsid w:val="001F67A5"/>
    <w:rsid w:val="001F698C"/>
    <w:rsid w:val="001F6AC4"/>
    <w:rsid w:val="001F78D9"/>
    <w:rsid w:val="00200DA2"/>
    <w:rsid w:val="002011D4"/>
    <w:rsid w:val="00201241"/>
    <w:rsid w:val="00202C02"/>
    <w:rsid w:val="00202DB8"/>
    <w:rsid w:val="0020444D"/>
    <w:rsid w:val="002050B4"/>
    <w:rsid w:val="002058B4"/>
    <w:rsid w:val="002060B4"/>
    <w:rsid w:val="002073E6"/>
    <w:rsid w:val="002074DF"/>
    <w:rsid w:val="00207736"/>
    <w:rsid w:val="00207876"/>
    <w:rsid w:val="00210A2E"/>
    <w:rsid w:val="00210A50"/>
    <w:rsid w:val="00212460"/>
    <w:rsid w:val="0021250A"/>
    <w:rsid w:val="00213D68"/>
    <w:rsid w:val="00215838"/>
    <w:rsid w:val="00215D0D"/>
    <w:rsid w:val="00216C7E"/>
    <w:rsid w:val="00217AEF"/>
    <w:rsid w:val="00217BBE"/>
    <w:rsid w:val="00217E2B"/>
    <w:rsid w:val="00220198"/>
    <w:rsid w:val="002201C0"/>
    <w:rsid w:val="00220A23"/>
    <w:rsid w:val="00221EC9"/>
    <w:rsid w:val="00222731"/>
    <w:rsid w:val="00223818"/>
    <w:rsid w:val="00223C6D"/>
    <w:rsid w:val="00223ECD"/>
    <w:rsid w:val="002241A6"/>
    <w:rsid w:val="002241E8"/>
    <w:rsid w:val="00224774"/>
    <w:rsid w:val="002247B0"/>
    <w:rsid w:val="00224F7A"/>
    <w:rsid w:val="00225152"/>
    <w:rsid w:val="00230E81"/>
    <w:rsid w:val="00232673"/>
    <w:rsid w:val="002328C4"/>
    <w:rsid w:val="00232BF5"/>
    <w:rsid w:val="002335AB"/>
    <w:rsid w:val="00236863"/>
    <w:rsid w:val="00237C1F"/>
    <w:rsid w:val="00237D0D"/>
    <w:rsid w:val="00241116"/>
    <w:rsid w:val="00241A78"/>
    <w:rsid w:val="00242F00"/>
    <w:rsid w:val="002433A4"/>
    <w:rsid w:val="002435DC"/>
    <w:rsid w:val="002462FD"/>
    <w:rsid w:val="00246501"/>
    <w:rsid w:val="00247B17"/>
    <w:rsid w:val="0025000C"/>
    <w:rsid w:val="00250382"/>
    <w:rsid w:val="00250389"/>
    <w:rsid w:val="00251FF7"/>
    <w:rsid w:val="00252669"/>
    <w:rsid w:val="0025413C"/>
    <w:rsid w:val="00254209"/>
    <w:rsid w:val="00254288"/>
    <w:rsid w:val="0025469C"/>
    <w:rsid w:val="0025526E"/>
    <w:rsid w:val="00256E5E"/>
    <w:rsid w:val="00257152"/>
    <w:rsid w:val="002579CE"/>
    <w:rsid w:val="00260851"/>
    <w:rsid w:val="00260FEC"/>
    <w:rsid w:val="00261DD6"/>
    <w:rsid w:val="00264EA3"/>
    <w:rsid w:val="00265150"/>
    <w:rsid w:val="002657E2"/>
    <w:rsid w:val="002717EA"/>
    <w:rsid w:val="00271E0B"/>
    <w:rsid w:val="002727CC"/>
    <w:rsid w:val="00273656"/>
    <w:rsid w:val="00273679"/>
    <w:rsid w:val="0027393F"/>
    <w:rsid w:val="00273AE8"/>
    <w:rsid w:val="00273D20"/>
    <w:rsid w:val="00273E4F"/>
    <w:rsid w:val="00274621"/>
    <w:rsid w:val="0027499F"/>
    <w:rsid w:val="00274DB6"/>
    <w:rsid w:val="0027547D"/>
    <w:rsid w:val="00275CC4"/>
    <w:rsid w:val="002760D8"/>
    <w:rsid w:val="00276DD0"/>
    <w:rsid w:val="00277B5F"/>
    <w:rsid w:val="00281A35"/>
    <w:rsid w:val="00281AD9"/>
    <w:rsid w:val="002829B0"/>
    <w:rsid w:val="00282F1C"/>
    <w:rsid w:val="00283814"/>
    <w:rsid w:val="00284486"/>
    <w:rsid w:val="00285118"/>
    <w:rsid w:val="00285644"/>
    <w:rsid w:val="00285780"/>
    <w:rsid w:val="0028581E"/>
    <w:rsid w:val="0028646B"/>
    <w:rsid w:val="00286A64"/>
    <w:rsid w:val="00286D40"/>
    <w:rsid w:val="00287034"/>
    <w:rsid w:val="0028761D"/>
    <w:rsid w:val="002916B7"/>
    <w:rsid w:val="0029344F"/>
    <w:rsid w:val="00293491"/>
    <w:rsid w:val="00293908"/>
    <w:rsid w:val="00293BA5"/>
    <w:rsid w:val="00295A3A"/>
    <w:rsid w:val="00295F1E"/>
    <w:rsid w:val="00295F53"/>
    <w:rsid w:val="002A0C9F"/>
    <w:rsid w:val="002A0FB8"/>
    <w:rsid w:val="002A1B97"/>
    <w:rsid w:val="002A21B5"/>
    <w:rsid w:val="002A3A82"/>
    <w:rsid w:val="002A4F45"/>
    <w:rsid w:val="002A57D2"/>
    <w:rsid w:val="002A5DA0"/>
    <w:rsid w:val="002A60AE"/>
    <w:rsid w:val="002A6193"/>
    <w:rsid w:val="002A66CD"/>
    <w:rsid w:val="002A7BD4"/>
    <w:rsid w:val="002A7F32"/>
    <w:rsid w:val="002B03E7"/>
    <w:rsid w:val="002B152D"/>
    <w:rsid w:val="002B1BCD"/>
    <w:rsid w:val="002B1E0B"/>
    <w:rsid w:val="002B20A1"/>
    <w:rsid w:val="002B226E"/>
    <w:rsid w:val="002B4018"/>
    <w:rsid w:val="002B4558"/>
    <w:rsid w:val="002B46D4"/>
    <w:rsid w:val="002B54CF"/>
    <w:rsid w:val="002B68EA"/>
    <w:rsid w:val="002C06E4"/>
    <w:rsid w:val="002C09F5"/>
    <w:rsid w:val="002C3467"/>
    <w:rsid w:val="002C39A4"/>
    <w:rsid w:val="002C4046"/>
    <w:rsid w:val="002C458A"/>
    <w:rsid w:val="002C49DC"/>
    <w:rsid w:val="002C500F"/>
    <w:rsid w:val="002C7FD6"/>
    <w:rsid w:val="002D0B3C"/>
    <w:rsid w:val="002D0FF9"/>
    <w:rsid w:val="002D1BE4"/>
    <w:rsid w:val="002D1D6C"/>
    <w:rsid w:val="002D2048"/>
    <w:rsid w:val="002D2235"/>
    <w:rsid w:val="002D58DA"/>
    <w:rsid w:val="002D7BA8"/>
    <w:rsid w:val="002D7D58"/>
    <w:rsid w:val="002E0130"/>
    <w:rsid w:val="002E0E01"/>
    <w:rsid w:val="002E0E9C"/>
    <w:rsid w:val="002E2418"/>
    <w:rsid w:val="002E28C7"/>
    <w:rsid w:val="002E3DAB"/>
    <w:rsid w:val="002E5015"/>
    <w:rsid w:val="002E6922"/>
    <w:rsid w:val="002E7442"/>
    <w:rsid w:val="002E79CF"/>
    <w:rsid w:val="002E7ACF"/>
    <w:rsid w:val="002F0638"/>
    <w:rsid w:val="002F0C1A"/>
    <w:rsid w:val="002F0CE9"/>
    <w:rsid w:val="002F16C1"/>
    <w:rsid w:val="002F3BD0"/>
    <w:rsid w:val="002F5373"/>
    <w:rsid w:val="002F58D8"/>
    <w:rsid w:val="002F5C4B"/>
    <w:rsid w:val="002F5E85"/>
    <w:rsid w:val="002F623F"/>
    <w:rsid w:val="002F7FB0"/>
    <w:rsid w:val="0030032A"/>
    <w:rsid w:val="0030058C"/>
    <w:rsid w:val="00300A0B"/>
    <w:rsid w:val="00300A39"/>
    <w:rsid w:val="00301F46"/>
    <w:rsid w:val="003034AB"/>
    <w:rsid w:val="00303CAD"/>
    <w:rsid w:val="00303E71"/>
    <w:rsid w:val="0030416A"/>
    <w:rsid w:val="003047C6"/>
    <w:rsid w:val="00304E7C"/>
    <w:rsid w:val="00305688"/>
    <w:rsid w:val="00305B33"/>
    <w:rsid w:val="00306418"/>
    <w:rsid w:val="0030688C"/>
    <w:rsid w:val="003100F3"/>
    <w:rsid w:val="003102B3"/>
    <w:rsid w:val="00310C11"/>
    <w:rsid w:val="0031127D"/>
    <w:rsid w:val="00311C33"/>
    <w:rsid w:val="00311D8B"/>
    <w:rsid w:val="00312042"/>
    <w:rsid w:val="00312456"/>
    <w:rsid w:val="00312B7D"/>
    <w:rsid w:val="0031312D"/>
    <w:rsid w:val="00314030"/>
    <w:rsid w:val="00315F31"/>
    <w:rsid w:val="00316528"/>
    <w:rsid w:val="00316600"/>
    <w:rsid w:val="00316D5E"/>
    <w:rsid w:val="003172EC"/>
    <w:rsid w:val="00320B8E"/>
    <w:rsid w:val="00320C81"/>
    <w:rsid w:val="0032170B"/>
    <w:rsid w:val="00323325"/>
    <w:rsid w:val="003243B0"/>
    <w:rsid w:val="00325EC0"/>
    <w:rsid w:val="00327017"/>
    <w:rsid w:val="0032702D"/>
    <w:rsid w:val="003305E8"/>
    <w:rsid w:val="00330729"/>
    <w:rsid w:val="00330DA7"/>
    <w:rsid w:val="003319FF"/>
    <w:rsid w:val="00332012"/>
    <w:rsid w:val="00332F65"/>
    <w:rsid w:val="003340EC"/>
    <w:rsid w:val="003350FF"/>
    <w:rsid w:val="003367D3"/>
    <w:rsid w:val="003370AE"/>
    <w:rsid w:val="0034057C"/>
    <w:rsid w:val="00342AF6"/>
    <w:rsid w:val="003444A9"/>
    <w:rsid w:val="003446B6"/>
    <w:rsid w:val="00350142"/>
    <w:rsid w:val="00350539"/>
    <w:rsid w:val="00350D3D"/>
    <w:rsid w:val="00352AC6"/>
    <w:rsid w:val="00352BD3"/>
    <w:rsid w:val="00353B6D"/>
    <w:rsid w:val="00353F6B"/>
    <w:rsid w:val="003548CF"/>
    <w:rsid w:val="00354920"/>
    <w:rsid w:val="00355DC6"/>
    <w:rsid w:val="00357700"/>
    <w:rsid w:val="00357E00"/>
    <w:rsid w:val="003604D7"/>
    <w:rsid w:val="00360B2A"/>
    <w:rsid w:val="00361176"/>
    <w:rsid w:val="0036164E"/>
    <w:rsid w:val="0036351E"/>
    <w:rsid w:val="00363615"/>
    <w:rsid w:val="003638C4"/>
    <w:rsid w:val="00364521"/>
    <w:rsid w:val="003645AF"/>
    <w:rsid w:val="00365026"/>
    <w:rsid w:val="00367C61"/>
    <w:rsid w:val="00367F82"/>
    <w:rsid w:val="00367FCE"/>
    <w:rsid w:val="00370CB0"/>
    <w:rsid w:val="00370DDF"/>
    <w:rsid w:val="00372803"/>
    <w:rsid w:val="00373387"/>
    <w:rsid w:val="003749EC"/>
    <w:rsid w:val="003756AF"/>
    <w:rsid w:val="00375815"/>
    <w:rsid w:val="00375D7D"/>
    <w:rsid w:val="00380441"/>
    <w:rsid w:val="00380ADC"/>
    <w:rsid w:val="00381447"/>
    <w:rsid w:val="0038168C"/>
    <w:rsid w:val="00382696"/>
    <w:rsid w:val="0038290F"/>
    <w:rsid w:val="0038358D"/>
    <w:rsid w:val="0038438A"/>
    <w:rsid w:val="003843E9"/>
    <w:rsid w:val="00384485"/>
    <w:rsid w:val="00386279"/>
    <w:rsid w:val="003864D2"/>
    <w:rsid w:val="00387141"/>
    <w:rsid w:val="00387FE7"/>
    <w:rsid w:val="00390249"/>
    <w:rsid w:val="00390BF8"/>
    <w:rsid w:val="0039109D"/>
    <w:rsid w:val="003923D6"/>
    <w:rsid w:val="00392877"/>
    <w:rsid w:val="00392E12"/>
    <w:rsid w:val="00393056"/>
    <w:rsid w:val="00394D7E"/>
    <w:rsid w:val="00394E66"/>
    <w:rsid w:val="003956E9"/>
    <w:rsid w:val="003961D3"/>
    <w:rsid w:val="003965EC"/>
    <w:rsid w:val="00396BA0"/>
    <w:rsid w:val="003A0BFD"/>
    <w:rsid w:val="003A0E17"/>
    <w:rsid w:val="003A1568"/>
    <w:rsid w:val="003A1AF3"/>
    <w:rsid w:val="003A1F1C"/>
    <w:rsid w:val="003A24F5"/>
    <w:rsid w:val="003A357E"/>
    <w:rsid w:val="003A6E62"/>
    <w:rsid w:val="003A78B5"/>
    <w:rsid w:val="003A7BE8"/>
    <w:rsid w:val="003A7C85"/>
    <w:rsid w:val="003A7FBE"/>
    <w:rsid w:val="003B0A05"/>
    <w:rsid w:val="003B0D09"/>
    <w:rsid w:val="003B165A"/>
    <w:rsid w:val="003B1A7B"/>
    <w:rsid w:val="003B1AFD"/>
    <w:rsid w:val="003B2140"/>
    <w:rsid w:val="003B24A3"/>
    <w:rsid w:val="003B2B61"/>
    <w:rsid w:val="003B3D1D"/>
    <w:rsid w:val="003B50FB"/>
    <w:rsid w:val="003B53BF"/>
    <w:rsid w:val="003B5AD4"/>
    <w:rsid w:val="003B5D41"/>
    <w:rsid w:val="003B6BEF"/>
    <w:rsid w:val="003B7EC1"/>
    <w:rsid w:val="003C0AFA"/>
    <w:rsid w:val="003C12CD"/>
    <w:rsid w:val="003C15CD"/>
    <w:rsid w:val="003C1821"/>
    <w:rsid w:val="003C1B21"/>
    <w:rsid w:val="003C28B8"/>
    <w:rsid w:val="003C299B"/>
    <w:rsid w:val="003C475E"/>
    <w:rsid w:val="003C5C01"/>
    <w:rsid w:val="003C5D5C"/>
    <w:rsid w:val="003C6934"/>
    <w:rsid w:val="003C7AE9"/>
    <w:rsid w:val="003C7FD0"/>
    <w:rsid w:val="003D0268"/>
    <w:rsid w:val="003D09C3"/>
    <w:rsid w:val="003D1070"/>
    <w:rsid w:val="003D1590"/>
    <w:rsid w:val="003D1A43"/>
    <w:rsid w:val="003D1A64"/>
    <w:rsid w:val="003D212C"/>
    <w:rsid w:val="003D23BA"/>
    <w:rsid w:val="003D2BA5"/>
    <w:rsid w:val="003D4AFD"/>
    <w:rsid w:val="003D5D84"/>
    <w:rsid w:val="003D5FF4"/>
    <w:rsid w:val="003D624F"/>
    <w:rsid w:val="003D75E8"/>
    <w:rsid w:val="003D79D0"/>
    <w:rsid w:val="003E08C6"/>
    <w:rsid w:val="003E2F62"/>
    <w:rsid w:val="003E31E5"/>
    <w:rsid w:val="003E32ED"/>
    <w:rsid w:val="003E3A39"/>
    <w:rsid w:val="003E3B3A"/>
    <w:rsid w:val="003E5327"/>
    <w:rsid w:val="003E58C9"/>
    <w:rsid w:val="003E601E"/>
    <w:rsid w:val="003E68B5"/>
    <w:rsid w:val="003F0A0B"/>
    <w:rsid w:val="003F0DFC"/>
    <w:rsid w:val="003F2343"/>
    <w:rsid w:val="003F30D1"/>
    <w:rsid w:val="003F32E5"/>
    <w:rsid w:val="003F3A2F"/>
    <w:rsid w:val="003F43E4"/>
    <w:rsid w:val="003F4598"/>
    <w:rsid w:val="003F50F1"/>
    <w:rsid w:val="003F650B"/>
    <w:rsid w:val="004004E9"/>
    <w:rsid w:val="00401781"/>
    <w:rsid w:val="004021DB"/>
    <w:rsid w:val="0040362D"/>
    <w:rsid w:val="00403CFA"/>
    <w:rsid w:val="00404A85"/>
    <w:rsid w:val="004052C5"/>
    <w:rsid w:val="004059FB"/>
    <w:rsid w:val="0040704E"/>
    <w:rsid w:val="00407A93"/>
    <w:rsid w:val="00410051"/>
    <w:rsid w:val="004100AA"/>
    <w:rsid w:val="00410CD2"/>
    <w:rsid w:val="00412203"/>
    <w:rsid w:val="00413C23"/>
    <w:rsid w:val="004140AB"/>
    <w:rsid w:val="004141B7"/>
    <w:rsid w:val="0041473D"/>
    <w:rsid w:val="00414F9B"/>
    <w:rsid w:val="0041573D"/>
    <w:rsid w:val="0041623E"/>
    <w:rsid w:val="00416BB9"/>
    <w:rsid w:val="00417DE3"/>
    <w:rsid w:val="00420B07"/>
    <w:rsid w:val="00421E7A"/>
    <w:rsid w:val="004225E1"/>
    <w:rsid w:val="00422869"/>
    <w:rsid w:val="0042291F"/>
    <w:rsid w:val="00422E63"/>
    <w:rsid w:val="00423AAD"/>
    <w:rsid w:val="00423D2F"/>
    <w:rsid w:val="00423F48"/>
    <w:rsid w:val="00424545"/>
    <w:rsid w:val="00424AE6"/>
    <w:rsid w:val="00425BA6"/>
    <w:rsid w:val="00426092"/>
    <w:rsid w:val="00426448"/>
    <w:rsid w:val="00426613"/>
    <w:rsid w:val="00426919"/>
    <w:rsid w:val="00426ABC"/>
    <w:rsid w:val="00427457"/>
    <w:rsid w:val="004276AC"/>
    <w:rsid w:val="004314B6"/>
    <w:rsid w:val="004314D9"/>
    <w:rsid w:val="004317D2"/>
    <w:rsid w:val="004321C5"/>
    <w:rsid w:val="0043257A"/>
    <w:rsid w:val="004339FC"/>
    <w:rsid w:val="00434202"/>
    <w:rsid w:val="0043605F"/>
    <w:rsid w:val="0043686C"/>
    <w:rsid w:val="00436AE1"/>
    <w:rsid w:val="00436FD3"/>
    <w:rsid w:val="004406CF"/>
    <w:rsid w:val="0044087C"/>
    <w:rsid w:val="004416D9"/>
    <w:rsid w:val="00441804"/>
    <w:rsid w:val="00441CA0"/>
    <w:rsid w:val="004435B4"/>
    <w:rsid w:val="00444BA0"/>
    <w:rsid w:val="0044550A"/>
    <w:rsid w:val="00447E1E"/>
    <w:rsid w:val="00447F7D"/>
    <w:rsid w:val="004522B5"/>
    <w:rsid w:val="004530A4"/>
    <w:rsid w:val="00453416"/>
    <w:rsid w:val="00453730"/>
    <w:rsid w:val="0045579F"/>
    <w:rsid w:val="00456C6E"/>
    <w:rsid w:val="004579C8"/>
    <w:rsid w:val="00460032"/>
    <w:rsid w:val="0046048A"/>
    <w:rsid w:val="004631ED"/>
    <w:rsid w:val="0046463C"/>
    <w:rsid w:val="004647FF"/>
    <w:rsid w:val="00464900"/>
    <w:rsid w:val="00466346"/>
    <w:rsid w:val="00467658"/>
    <w:rsid w:val="004702B0"/>
    <w:rsid w:val="004703D9"/>
    <w:rsid w:val="0047093E"/>
    <w:rsid w:val="00470DD0"/>
    <w:rsid w:val="004722F9"/>
    <w:rsid w:val="0047331C"/>
    <w:rsid w:val="004751D6"/>
    <w:rsid w:val="00475E6B"/>
    <w:rsid w:val="004762EB"/>
    <w:rsid w:val="004776B3"/>
    <w:rsid w:val="00477DBA"/>
    <w:rsid w:val="00477E20"/>
    <w:rsid w:val="004806D9"/>
    <w:rsid w:val="00480BB8"/>
    <w:rsid w:val="00481D51"/>
    <w:rsid w:val="004841E6"/>
    <w:rsid w:val="0048519E"/>
    <w:rsid w:val="00485EC7"/>
    <w:rsid w:val="004860BD"/>
    <w:rsid w:val="004869D2"/>
    <w:rsid w:val="00487192"/>
    <w:rsid w:val="00487430"/>
    <w:rsid w:val="0048757F"/>
    <w:rsid w:val="0049184E"/>
    <w:rsid w:val="00495555"/>
    <w:rsid w:val="004A0A7B"/>
    <w:rsid w:val="004A0BB0"/>
    <w:rsid w:val="004A24D4"/>
    <w:rsid w:val="004A260B"/>
    <w:rsid w:val="004A26CD"/>
    <w:rsid w:val="004A2C97"/>
    <w:rsid w:val="004A3335"/>
    <w:rsid w:val="004A3584"/>
    <w:rsid w:val="004A359D"/>
    <w:rsid w:val="004A3E2E"/>
    <w:rsid w:val="004A466C"/>
    <w:rsid w:val="004A5121"/>
    <w:rsid w:val="004A54BF"/>
    <w:rsid w:val="004A5691"/>
    <w:rsid w:val="004A577A"/>
    <w:rsid w:val="004A5780"/>
    <w:rsid w:val="004A6ECB"/>
    <w:rsid w:val="004A7990"/>
    <w:rsid w:val="004B1796"/>
    <w:rsid w:val="004B4D53"/>
    <w:rsid w:val="004B591D"/>
    <w:rsid w:val="004B7542"/>
    <w:rsid w:val="004B769A"/>
    <w:rsid w:val="004B7DB2"/>
    <w:rsid w:val="004B7E2D"/>
    <w:rsid w:val="004C14AC"/>
    <w:rsid w:val="004C28E4"/>
    <w:rsid w:val="004C4839"/>
    <w:rsid w:val="004C4ACC"/>
    <w:rsid w:val="004C5096"/>
    <w:rsid w:val="004C6F68"/>
    <w:rsid w:val="004C7E83"/>
    <w:rsid w:val="004D12FE"/>
    <w:rsid w:val="004D1761"/>
    <w:rsid w:val="004D275F"/>
    <w:rsid w:val="004D2B43"/>
    <w:rsid w:val="004D3A06"/>
    <w:rsid w:val="004D3BDC"/>
    <w:rsid w:val="004D5606"/>
    <w:rsid w:val="004D566B"/>
    <w:rsid w:val="004D5758"/>
    <w:rsid w:val="004D583C"/>
    <w:rsid w:val="004D5DB3"/>
    <w:rsid w:val="004D6371"/>
    <w:rsid w:val="004D70B8"/>
    <w:rsid w:val="004D7C2B"/>
    <w:rsid w:val="004E0D6F"/>
    <w:rsid w:val="004E0DE5"/>
    <w:rsid w:val="004E1498"/>
    <w:rsid w:val="004E14E3"/>
    <w:rsid w:val="004E2FC6"/>
    <w:rsid w:val="004E345F"/>
    <w:rsid w:val="004E3BBA"/>
    <w:rsid w:val="004E401B"/>
    <w:rsid w:val="004E41C7"/>
    <w:rsid w:val="004E557C"/>
    <w:rsid w:val="004E73B2"/>
    <w:rsid w:val="004E7DB7"/>
    <w:rsid w:val="004F1390"/>
    <w:rsid w:val="004F2AC0"/>
    <w:rsid w:val="004F2C63"/>
    <w:rsid w:val="004F2D88"/>
    <w:rsid w:val="004F2E4B"/>
    <w:rsid w:val="004F3D21"/>
    <w:rsid w:val="004F3F75"/>
    <w:rsid w:val="004F60EF"/>
    <w:rsid w:val="004F79A0"/>
    <w:rsid w:val="00502827"/>
    <w:rsid w:val="00502CE0"/>
    <w:rsid w:val="00503148"/>
    <w:rsid w:val="00503BDF"/>
    <w:rsid w:val="00504AED"/>
    <w:rsid w:val="00505869"/>
    <w:rsid w:val="005059F3"/>
    <w:rsid w:val="00506F53"/>
    <w:rsid w:val="005070C3"/>
    <w:rsid w:val="005104C3"/>
    <w:rsid w:val="00512551"/>
    <w:rsid w:val="0051276F"/>
    <w:rsid w:val="005130AC"/>
    <w:rsid w:val="00514071"/>
    <w:rsid w:val="00514EB6"/>
    <w:rsid w:val="005166B5"/>
    <w:rsid w:val="00517705"/>
    <w:rsid w:val="005220BE"/>
    <w:rsid w:val="005228ED"/>
    <w:rsid w:val="00526050"/>
    <w:rsid w:val="00526575"/>
    <w:rsid w:val="00527863"/>
    <w:rsid w:val="0053306F"/>
    <w:rsid w:val="00533B79"/>
    <w:rsid w:val="00533FD4"/>
    <w:rsid w:val="00534258"/>
    <w:rsid w:val="005348FA"/>
    <w:rsid w:val="00534E52"/>
    <w:rsid w:val="00536006"/>
    <w:rsid w:val="005370C9"/>
    <w:rsid w:val="00537FDB"/>
    <w:rsid w:val="00541570"/>
    <w:rsid w:val="00541B6B"/>
    <w:rsid w:val="005420B4"/>
    <w:rsid w:val="00542A8B"/>
    <w:rsid w:val="00542D5F"/>
    <w:rsid w:val="005435DE"/>
    <w:rsid w:val="00543AD3"/>
    <w:rsid w:val="005441AD"/>
    <w:rsid w:val="00544C28"/>
    <w:rsid w:val="00545297"/>
    <w:rsid w:val="005462E1"/>
    <w:rsid w:val="00546769"/>
    <w:rsid w:val="00546BAE"/>
    <w:rsid w:val="00546C4E"/>
    <w:rsid w:val="00550721"/>
    <w:rsid w:val="00552EBD"/>
    <w:rsid w:val="00553827"/>
    <w:rsid w:val="005545C0"/>
    <w:rsid w:val="00554C80"/>
    <w:rsid w:val="005552AB"/>
    <w:rsid w:val="00555795"/>
    <w:rsid w:val="00555F71"/>
    <w:rsid w:val="00557191"/>
    <w:rsid w:val="005577A9"/>
    <w:rsid w:val="00560635"/>
    <w:rsid w:val="005621BC"/>
    <w:rsid w:val="0056222B"/>
    <w:rsid w:val="00563BEB"/>
    <w:rsid w:val="00566186"/>
    <w:rsid w:val="00566849"/>
    <w:rsid w:val="00570981"/>
    <w:rsid w:val="00571012"/>
    <w:rsid w:val="005740F6"/>
    <w:rsid w:val="005743D2"/>
    <w:rsid w:val="00575905"/>
    <w:rsid w:val="005802BD"/>
    <w:rsid w:val="00580BBC"/>
    <w:rsid w:val="005814B9"/>
    <w:rsid w:val="005834ED"/>
    <w:rsid w:val="00583F23"/>
    <w:rsid w:val="00584916"/>
    <w:rsid w:val="00586FA8"/>
    <w:rsid w:val="005877D2"/>
    <w:rsid w:val="00587F23"/>
    <w:rsid w:val="0059020C"/>
    <w:rsid w:val="00591E3A"/>
    <w:rsid w:val="00592BAB"/>
    <w:rsid w:val="00593CB4"/>
    <w:rsid w:val="00593E68"/>
    <w:rsid w:val="00594AB7"/>
    <w:rsid w:val="005A1AB2"/>
    <w:rsid w:val="005A30B4"/>
    <w:rsid w:val="005A45C1"/>
    <w:rsid w:val="005A52AC"/>
    <w:rsid w:val="005A62BE"/>
    <w:rsid w:val="005A640F"/>
    <w:rsid w:val="005A6996"/>
    <w:rsid w:val="005A75BB"/>
    <w:rsid w:val="005A75F7"/>
    <w:rsid w:val="005B0444"/>
    <w:rsid w:val="005B08E6"/>
    <w:rsid w:val="005B0914"/>
    <w:rsid w:val="005B0D7C"/>
    <w:rsid w:val="005B0E86"/>
    <w:rsid w:val="005B2B6B"/>
    <w:rsid w:val="005B3F04"/>
    <w:rsid w:val="005B3FE8"/>
    <w:rsid w:val="005B5CB1"/>
    <w:rsid w:val="005B6854"/>
    <w:rsid w:val="005B6B33"/>
    <w:rsid w:val="005B7F80"/>
    <w:rsid w:val="005C048C"/>
    <w:rsid w:val="005C0BAF"/>
    <w:rsid w:val="005C142B"/>
    <w:rsid w:val="005C153B"/>
    <w:rsid w:val="005C1943"/>
    <w:rsid w:val="005C1B17"/>
    <w:rsid w:val="005C2B96"/>
    <w:rsid w:val="005C37A0"/>
    <w:rsid w:val="005C4034"/>
    <w:rsid w:val="005C47C0"/>
    <w:rsid w:val="005C483A"/>
    <w:rsid w:val="005C4D5C"/>
    <w:rsid w:val="005C5B36"/>
    <w:rsid w:val="005C5DE4"/>
    <w:rsid w:val="005C651C"/>
    <w:rsid w:val="005C656A"/>
    <w:rsid w:val="005C6881"/>
    <w:rsid w:val="005C6916"/>
    <w:rsid w:val="005D1427"/>
    <w:rsid w:val="005D2072"/>
    <w:rsid w:val="005D22D3"/>
    <w:rsid w:val="005D4482"/>
    <w:rsid w:val="005D457F"/>
    <w:rsid w:val="005D49C8"/>
    <w:rsid w:val="005D5224"/>
    <w:rsid w:val="005D5607"/>
    <w:rsid w:val="005D5898"/>
    <w:rsid w:val="005D5E14"/>
    <w:rsid w:val="005D6A2B"/>
    <w:rsid w:val="005D6AD9"/>
    <w:rsid w:val="005E1EE5"/>
    <w:rsid w:val="005E3370"/>
    <w:rsid w:val="005E35E1"/>
    <w:rsid w:val="005E37E9"/>
    <w:rsid w:val="005E539D"/>
    <w:rsid w:val="005E5AD8"/>
    <w:rsid w:val="005E5BEE"/>
    <w:rsid w:val="005F03DB"/>
    <w:rsid w:val="005F27DB"/>
    <w:rsid w:val="005F373C"/>
    <w:rsid w:val="005F38CC"/>
    <w:rsid w:val="005F3A70"/>
    <w:rsid w:val="005F48F1"/>
    <w:rsid w:val="005F4C91"/>
    <w:rsid w:val="005F5030"/>
    <w:rsid w:val="00600782"/>
    <w:rsid w:val="0060089E"/>
    <w:rsid w:val="00600975"/>
    <w:rsid w:val="00601A7E"/>
    <w:rsid w:val="00601E59"/>
    <w:rsid w:val="00603A46"/>
    <w:rsid w:val="00606194"/>
    <w:rsid w:val="00610F36"/>
    <w:rsid w:val="0061115C"/>
    <w:rsid w:val="00611A49"/>
    <w:rsid w:val="00611E92"/>
    <w:rsid w:val="00613017"/>
    <w:rsid w:val="00613A54"/>
    <w:rsid w:val="006148E9"/>
    <w:rsid w:val="006158AD"/>
    <w:rsid w:val="00615B73"/>
    <w:rsid w:val="00616189"/>
    <w:rsid w:val="0062034B"/>
    <w:rsid w:val="0062078C"/>
    <w:rsid w:val="00620E8F"/>
    <w:rsid w:val="00621760"/>
    <w:rsid w:val="006217BB"/>
    <w:rsid w:val="00623444"/>
    <w:rsid w:val="00625BD5"/>
    <w:rsid w:val="00625DFB"/>
    <w:rsid w:val="00626FF5"/>
    <w:rsid w:val="00627416"/>
    <w:rsid w:val="006277B7"/>
    <w:rsid w:val="00627A13"/>
    <w:rsid w:val="00630034"/>
    <w:rsid w:val="00630AC8"/>
    <w:rsid w:val="0063140B"/>
    <w:rsid w:val="00632B1A"/>
    <w:rsid w:val="006338BC"/>
    <w:rsid w:val="0063397E"/>
    <w:rsid w:val="00634D1A"/>
    <w:rsid w:val="00635073"/>
    <w:rsid w:val="00636070"/>
    <w:rsid w:val="00637179"/>
    <w:rsid w:val="006415B7"/>
    <w:rsid w:val="006418ED"/>
    <w:rsid w:val="00641D8E"/>
    <w:rsid w:val="00642B13"/>
    <w:rsid w:val="006431FF"/>
    <w:rsid w:val="0064389E"/>
    <w:rsid w:val="00645358"/>
    <w:rsid w:val="00645AB8"/>
    <w:rsid w:val="00645F7D"/>
    <w:rsid w:val="00646100"/>
    <w:rsid w:val="006476CA"/>
    <w:rsid w:val="00650AE0"/>
    <w:rsid w:val="00650AF9"/>
    <w:rsid w:val="00652029"/>
    <w:rsid w:val="00652389"/>
    <w:rsid w:val="00652E82"/>
    <w:rsid w:val="00654ABB"/>
    <w:rsid w:val="006552AE"/>
    <w:rsid w:val="00655773"/>
    <w:rsid w:val="00656267"/>
    <w:rsid w:val="006563CA"/>
    <w:rsid w:val="006578FC"/>
    <w:rsid w:val="006608AB"/>
    <w:rsid w:val="006620DA"/>
    <w:rsid w:val="00664587"/>
    <w:rsid w:val="006648FC"/>
    <w:rsid w:val="00665E1E"/>
    <w:rsid w:val="00665F49"/>
    <w:rsid w:val="006664B3"/>
    <w:rsid w:val="00666886"/>
    <w:rsid w:val="00666F25"/>
    <w:rsid w:val="00667C1C"/>
    <w:rsid w:val="0067001F"/>
    <w:rsid w:val="00670A43"/>
    <w:rsid w:val="00671FD5"/>
    <w:rsid w:val="00672B98"/>
    <w:rsid w:val="00673C8C"/>
    <w:rsid w:val="00673DC8"/>
    <w:rsid w:val="00673DD4"/>
    <w:rsid w:val="00673E72"/>
    <w:rsid w:val="00673FDB"/>
    <w:rsid w:val="0067417F"/>
    <w:rsid w:val="00674962"/>
    <w:rsid w:val="00674AEB"/>
    <w:rsid w:val="0067639C"/>
    <w:rsid w:val="0067655A"/>
    <w:rsid w:val="00680EFE"/>
    <w:rsid w:val="006828D8"/>
    <w:rsid w:val="0068292C"/>
    <w:rsid w:val="00682C95"/>
    <w:rsid w:val="00683640"/>
    <w:rsid w:val="0068455C"/>
    <w:rsid w:val="00684887"/>
    <w:rsid w:val="006867FA"/>
    <w:rsid w:val="00692847"/>
    <w:rsid w:val="00693C8E"/>
    <w:rsid w:val="006941EC"/>
    <w:rsid w:val="00695165"/>
    <w:rsid w:val="006962B2"/>
    <w:rsid w:val="006969BA"/>
    <w:rsid w:val="00696B14"/>
    <w:rsid w:val="00697328"/>
    <w:rsid w:val="00697FF1"/>
    <w:rsid w:val="006A026A"/>
    <w:rsid w:val="006A0425"/>
    <w:rsid w:val="006A1D62"/>
    <w:rsid w:val="006A33C2"/>
    <w:rsid w:val="006A4EAE"/>
    <w:rsid w:val="006A53AF"/>
    <w:rsid w:val="006A56C3"/>
    <w:rsid w:val="006A615D"/>
    <w:rsid w:val="006A6B88"/>
    <w:rsid w:val="006A6D7F"/>
    <w:rsid w:val="006A6E07"/>
    <w:rsid w:val="006A72A4"/>
    <w:rsid w:val="006B0298"/>
    <w:rsid w:val="006B0E83"/>
    <w:rsid w:val="006B1B29"/>
    <w:rsid w:val="006B2006"/>
    <w:rsid w:val="006B465A"/>
    <w:rsid w:val="006B4940"/>
    <w:rsid w:val="006B4C89"/>
    <w:rsid w:val="006B5470"/>
    <w:rsid w:val="006B5493"/>
    <w:rsid w:val="006B5570"/>
    <w:rsid w:val="006B5EAD"/>
    <w:rsid w:val="006B6BC3"/>
    <w:rsid w:val="006B77E2"/>
    <w:rsid w:val="006B79B9"/>
    <w:rsid w:val="006C10C0"/>
    <w:rsid w:val="006C1B1D"/>
    <w:rsid w:val="006C32BB"/>
    <w:rsid w:val="006C351F"/>
    <w:rsid w:val="006C3747"/>
    <w:rsid w:val="006C3EF8"/>
    <w:rsid w:val="006C60F9"/>
    <w:rsid w:val="006C7760"/>
    <w:rsid w:val="006C7886"/>
    <w:rsid w:val="006C7EEA"/>
    <w:rsid w:val="006D10B2"/>
    <w:rsid w:val="006D233A"/>
    <w:rsid w:val="006D47C0"/>
    <w:rsid w:val="006D522C"/>
    <w:rsid w:val="006D5425"/>
    <w:rsid w:val="006D56AA"/>
    <w:rsid w:val="006D56C2"/>
    <w:rsid w:val="006D7795"/>
    <w:rsid w:val="006D7ACB"/>
    <w:rsid w:val="006D7F54"/>
    <w:rsid w:val="006E00EF"/>
    <w:rsid w:val="006E06BB"/>
    <w:rsid w:val="006E1A7A"/>
    <w:rsid w:val="006E204E"/>
    <w:rsid w:val="006E4723"/>
    <w:rsid w:val="006E498B"/>
    <w:rsid w:val="006E5832"/>
    <w:rsid w:val="006E62FD"/>
    <w:rsid w:val="006E716F"/>
    <w:rsid w:val="006E785D"/>
    <w:rsid w:val="006E78A5"/>
    <w:rsid w:val="006E7A8C"/>
    <w:rsid w:val="006E7DA9"/>
    <w:rsid w:val="006E7DEE"/>
    <w:rsid w:val="006F00E7"/>
    <w:rsid w:val="006F01E7"/>
    <w:rsid w:val="006F11BC"/>
    <w:rsid w:val="006F164A"/>
    <w:rsid w:val="006F1F3A"/>
    <w:rsid w:val="006F1FD7"/>
    <w:rsid w:val="006F5D1E"/>
    <w:rsid w:val="006F6039"/>
    <w:rsid w:val="006F762A"/>
    <w:rsid w:val="006F7EB8"/>
    <w:rsid w:val="0070094A"/>
    <w:rsid w:val="00700ED1"/>
    <w:rsid w:val="0070129F"/>
    <w:rsid w:val="00702DD7"/>
    <w:rsid w:val="007047D3"/>
    <w:rsid w:val="007055F7"/>
    <w:rsid w:val="00705663"/>
    <w:rsid w:val="0070593A"/>
    <w:rsid w:val="00705C40"/>
    <w:rsid w:val="007066E2"/>
    <w:rsid w:val="00707DCF"/>
    <w:rsid w:val="0071061E"/>
    <w:rsid w:val="0071087E"/>
    <w:rsid w:val="00712253"/>
    <w:rsid w:val="007125C3"/>
    <w:rsid w:val="007147C2"/>
    <w:rsid w:val="00714AA9"/>
    <w:rsid w:val="00714AE4"/>
    <w:rsid w:val="00715319"/>
    <w:rsid w:val="00715394"/>
    <w:rsid w:val="007169A8"/>
    <w:rsid w:val="00717748"/>
    <w:rsid w:val="007177CA"/>
    <w:rsid w:val="007210A6"/>
    <w:rsid w:val="00721648"/>
    <w:rsid w:val="007229A1"/>
    <w:rsid w:val="00722F18"/>
    <w:rsid w:val="007235AA"/>
    <w:rsid w:val="007236EF"/>
    <w:rsid w:val="00723CB5"/>
    <w:rsid w:val="00723E1F"/>
    <w:rsid w:val="00725E35"/>
    <w:rsid w:val="00726CF1"/>
    <w:rsid w:val="007274F1"/>
    <w:rsid w:val="00730D35"/>
    <w:rsid w:val="00731355"/>
    <w:rsid w:val="00732266"/>
    <w:rsid w:val="00732289"/>
    <w:rsid w:val="00733193"/>
    <w:rsid w:val="007343FD"/>
    <w:rsid w:val="0073482A"/>
    <w:rsid w:val="00735766"/>
    <w:rsid w:val="00735915"/>
    <w:rsid w:val="007359E2"/>
    <w:rsid w:val="00735C21"/>
    <w:rsid w:val="0073614A"/>
    <w:rsid w:val="00736FF2"/>
    <w:rsid w:val="00737C07"/>
    <w:rsid w:val="0074079C"/>
    <w:rsid w:val="007407E1"/>
    <w:rsid w:val="00740C8C"/>
    <w:rsid w:val="00741AC4"/>
    <w:rsid w:val="00742CA5"/>
    <w:rsid w:val="007439BA"/>
    <w:rsid w:val="007464BE"/>
    <w:rsid w:val="00746BAC"/>
    <w:rsid w:val="00750BC0"/>
    <w:rsid w:val="007513F0"/>
    <w:rsid w:val="007515BC"/>
    <w:rsid w:val="00752135"/>
    <w:rsid w:val="00752606"/>
    <w:rsid w:val="0075402E"/>
    <w:rsid w:val="00755475"/>
    <w:rsid w:val="0075691A"/>
    <w:rsid w:val="00756D3D"/>
    <w:rsid w:val="007573B2"/>
    <w:rsid w:val="007574BB"/>
    <w:rsid w:val="0075764C"/>
    <w:rsid w:val="00762198"/>
    <w:rsid w:val="00763CE8"/>
    <w:rsid w:val="00763D4A"/>
    <w:rsid w:val="007641C8"/>
    <w:rsid w:val="007647A8"/>
    <w:rsid w:val="007662C5"/>
    <w:rsid w:val="0076715C"/>
    <w:rsid w:val="00770792"/>
    <w:rsid w:val="00770A7E"/>
    <w:rsid w:val="007737B5"/>
    <w:rsid w:val="00773F73"/>
    <w:rsid w:val="007741D6"/>
    <w:rsid w:val="00774322"/>
    <w:rsid w:val="00774FF7"/>
    <w:rsid w:val="00774FFE"/>
    <w:rsid w:val="00775638"/>
    <w:rsid w:val="00775677"/>
    <w:rsid w:val="0077599A"/>
    <w:rsid w:val="00775AB8"/>
    <w:rsid w:val="007765C0"/>
    <w:rsid w:val="00776811"/>
    <w:rsid w:val="0077724D"/>
    <w:rsid w:val="00777353"/>
    <w:rsid w:val="007808C1"/>
    <w:rsid w:val="0078095D"/>
    <w:rsid w:val="00780B58"/>
    <w:rsid w:val="00780CD6"/>
    <w:rsid w:val="00780D4C"/>
    <w:rsid w:val="00781A64"/>
    <w:rsid w:val="007829BD"/>
    <w:rsid w:val="007829FC"/>
    <w:rsid w:val="00782EA4"/>
    <w:rsid w:val="0078444C"/>
    <w:rsid w:val="007844A9"/>
    <w:rsid w:val="0078480D"/>
    <w:rsid w:val="00785461"/>
    <w:rsid w:val="007854ED"/>
    <w:rsid w:val="00786FF3"/>
    <w:rsid w:val="0078767F"/>
    <w:rsid w:val="007876CF"/>
    <w:rsid w:val="00787B77"/>
    <w:rsid w:val="0079001D"/>
    <w:rsid w:val="0079285D"/>
    <w:rsid w:val="00793090"/>
    <w:rsid w:val="007936F5"/>
    <w:rsid w:val="0079384A"/>
    <w:rsid w:val="00793C4D"/>
    <w:rsid w:val="00793D13"/>
    <w:rsid w:val="00794241"/>
    <w:rsid w:val="00794AEB"/>
    <w:rsid w:val="00795ACF"/>
    <w:rsid w:val="00796E06"/>
    <w:rsid w:val="00796F2A"/>
    <w:rsid w:val="007A0176"/>
    <w:rsid w:val="007A0F02"/>
    <w:rsid w:val="007A0F29"/>
    <w:rsid w:val="007A0F2A"/>
    <w:rsid w:val="007A26B3"/>
    <w:rsid w:val="007A2F67"/>
    <w:rsid w:val="007A3918"/>
    <w:rsid w:val="007A3E0C"/>
    <w:rsid w:val="007A5398"/>
    <w:rsid w:val="007A548C"/>
    <w:rsid w:val="007B0E89"/>
    <w:rsid w:val="007B12FB"/>
    <w:rsid w:val="007B2C38"/>
    <w:rsid w:val="007B2E54"/>
    <w:rsid w:val="007B3B62"/>
    <w:rsid w:val="007B56A8"/>
    <w:rsid w:val="007B6B01"/>
    <w:rsid w:val="007B7498"/>
    <w:rsid w:val="007B7AEE"/>
    <w:rsid w:val="007C0100"/>
    <w:rsid w:val="007C1F04"/>
    <w:rsid w:val="007C4110"/>
    <w:rsid w:val="007C428F"/>
    <w:rsid w:val="007C43CD"/>
    <w:rsid w:val="007C5C9B"/>
    <w:rsid w:val="007C626F"/>
    <w:rsid w:val="007C666C"/>
    <w:rsid w:val="007C6C24"/>
    <w:rsid w:val="007C7EB6"/>
    <w:rsid w:val="007D2F75"/>
    <w:rsid w:val="007D48B8"/>
    <w:rsid w:val="007D4D77"/>
    <w:rsid w:val="007D710E"/>
    <w:rsid w:val="007D74F3"/>
    <w:rsid w:val="007D7E3A"/>
    <w:rsid w:val="007D7EFD"/>
    <w:rsid w:val="007E0380"/>
    <w:rsid w:val="007E073D"/>
    <w:rsid w:val="007E07FA"/>
    <w:rsid w:val="007E0DA9"/>
    <w:rsid w:val="007E1177"/>
    <w:rsid w:val="007E2156"/>
    <w:rsid w:val="007E22E7"/>
    <w:rsid w:val="007E2893"/>
    <w:rsid w:val="007E2F67"/>
    <w:rsid w:val="007E3CA6"/>
    <w:rsid w:val="007E4232"/>
    <w:rsid w:val="007E565F"/>
    <w:rsid w:val="007E5C74"/>
    <w:rsid w:val="007E5F6B"/>
    <w:rsid w:val="007E68AE"/>
    <w:rsid w:val="007E69BB"/>
    <w:rsid w:val="007E6AAC"/>
    <w:rsid w:val="007E6AB8"/>
    <w:rsid w:val="007E71CB"/>
    <w:rsid w:val="007E7E96"/>
    <w:rsid w:val="007F0B8E"/>
    <w:rsid w:val="007F0E4E"/>
    <w:rsid w:val="007F2109"/>
    <w:rsid w:val="007F21C5"/>
    <w:rsid w:val="007F26EE"/>
    <w:rsid w:val="007F27E8"/>
    <w:rsid w:val="007F3EF1"/>
    <w:rsid w:val="007F4056"/>
    <w:rsid w:val="007F44CE"/>
    <w:rsid w:val="007F528C"/>
    <w:rsid w:val="007F6694"/>
    <w:rsid w:val="007F6ADC"/>
    <w:rsid w:val="0080007F"/>
    <w:rsid w:val="0080056E"/>
    <w:rsid w:val="00801457"/>
    <w:rsid w:val="00801BCE"/>
    <w:rsid w:val="00801BE6"/>
    <w:rsid w:val="00801E7D"/>
    <w:rsid w:val="00802204"/>
    <w:rsid w:val="00802515"/>
    <w:rsid w:val="00803C2E"/>
    <w:rsid w:val="00804132"/>
    <w:rsid w:val="00806A8E"/>
    <w:rsid w:val="00807232"/>
    <w:rsid w:val="008117D6"/>
    <w:rsid w:val="00811C2F"/>
    <w:rsid w:val="00811CFB"/>
    <w:rsid w:val="008122AE"/>
    <w:rsid w:val="008125FC"/>
    <w:rsid w:val="0081283F"/>
    <w:rsid w:val="00812C0C"/>
    <w:rsid w:val="00813597"/>
    <w:rsid w:val="00813B65"/>
    <w:rsid w:val="00813D55"/>
    <w:rsid w:val="00813DF1"/>
    <w:rsid w:val="0081480A"/>
    <w:rsid w:val="008202C9"/>
    <w:rsid w:val="008202EB"/>
    <w:rsid w:val="0082058C"/>
    <w:rsid w:val="00820F86"/>
    <w:rsid w:val="008242C5"/>
    <w:rsid w:val="00826816"/>
    <w:rsid w:val="00827F88"/>
    <w:rsid w:val="00830EE7"/>
    <w:rsid w:val="008315CE"/>
    <w:rsid w:val="00832776"/>
    <w:rsid w:val="008336A5"/>
    <w:rsid w:val="00834C88"/>
    <w:rsid w:val="00835474"/>
    <w:rsid w:val="008373C0"/>
    <w:rsid w:val="008405A7"/>
    <w:rsid w:val="0084105A"/>
    <w:rsid w:val="0084145F"/>
    <w:rsid w:val="008417C1"/>
    <w:rsid w:val="00841DA2"/>
    <w:rsid w:val="00841DA5"/>
    <w:rsid w:val="00843F67"/>
    <w:rsid w:val="00844CB5"/>
    <w:rsid w:val="008458F6"/>
    <w:rsid w:val="00845AED"/>
    <w:rsid w:val="00846EC4"/>
    <w:rsid w:val="0084708E"/>
    <w:rsid w:val="00850DF1"/>
    <w:rsid w:val="00851AE4"/>
    <w:rsid w:val="008529B8"/>
    <w:rsid w:val="00855019"/>
    <w:rsid w:val="0085545E"/>
    <w:rsid w:val="008554B6"/>
    <w:rsid w:val="0085579D"/>
    <w:rsid w:val="0085598D"/>
    <w:rsid w:val="008570E8"/>
    <w:rsid w:val="00860813"/>
    <w:rsid w:val="00860FC0"/>
    <w:rsid w:val="008619CF"/>
    <w:rsid w:val="00862771"/>
    <w:rsid w:val="008632D8"/>
    <w:rsid w:val="008644D6"/>
    <w:rsid w:val="008648E3"/>
    <w:rsid w:val="00864D8C"/>
    <w:rsid w:val="0086682F"/>
    <w:rsid w:val="00866CEA"/>
    <w:rsid w:val="00867687"/>
    <w:rsid w:val="008704DF"/>
    <w:rsid w:val="00874748"/>
    <w:rsid w:val="00874894"/>
    <w:rsid w:val="00876F54"/>
    <w:rsid w:val="00877292"/>
    <w:rsid w:val="0087754A"/>
    <w:rsid w:val="0087766C"/>
    <w:rsid w:val="00877E7E"/>
    <w:rsid w:val="00880232"/>
    <w:rsid w:val="00880552"/>
    <w:rsid w:val="00881EAC"/>
    <w:rsid w:val="008839DA"/>
    <w:rsid w:val="00883E63"/>
    <w:rsid w:val="008845FD"/>
    <w:rsid w:val="00884EE8"/>
    <w:rsid w:val="00885168"/>
    <w:rsid w:val="00886CCE"/>
    <w:rsid w:val="0089173B"/>
    <w:rsid w:val="00891E76"/>
    <w:rsid w:val="0089220F"/>
    <w:rsid w:val="0089221C"/>
    <w:rsid w:val="00892E6A"/>
    <w:rsid w:val="008935AA"/>
    <w:rsid w:val="00893DF9"/>
    <w:rsid w:val="0089487E"/>
    <w:rsid w:val="00895105"/>
    <w:rsid w:val="0089515B"/>
    <w:rsid w:val="00895BD3"/>
    <w:rsid w:val="008963F0"/>
    <w:rsid w:val="00897444"/>
    <w:rsid w:val="008A015E"/>
    <w:rsid w:val="008A03A5"/>
    <w:rsid w:val="008A0DF3"/>
    <w:rsid w:val="008A1B76"/>
    <w:rsid w:val="008A282C"/>
    <w:rsid w:val="008A4138"/>
    <w:rsid w:val="008A4356"/>
    <w:rsid w:val="008A5D96"/>
    <w:rsid w:val="008A6C8F"/>
    <w:rsid w:val="008A7BF3"/>
    <w:rsid w:val="008B5AB3"/>
    <w:rsid w:val="008B6848"/>
    <w:rsid w:val="008B6F7A"/>
    <w:rsid w:val="008C0BBD"/>
    <w:rsid w:val="008C12F6"/>
    <w:rsid w:val="008C2A71"/>
    <w:rsid w:val="008C2FA1"/>
    <w:rsid w:val="008C58DF"/>
    <w:rsid w:val="008C6EC3"/>
    <w:rsid w:val="008C708D"/>
    <w:rsid w:val="008C7F9A"/>
    <w:rsid w:val="008D1369"/>
    <w:rsid w:val="008D2A1F"/>
    <w:rsid w:val="008D2C4C"/>
    <w:rsid w:val="008D42C4"/>
    <w:rsid w:val="008D59E2"/>
    <w:rsid w:val="008D71B8"/>
    <w:rsid w:val="008D733C"/>
    <w:rsid w:val="008D7E0D"/>
    <w:rsid w:val="008D7EDB"/>
    <w:rsid w:val="008E023C"/>
    <w:rsid w:val="008E0372"/>
    <w:rsid w:val="008E05A1"/>
    <w:rsid w:val="008E1829"/>
    <w:rsid w:val="008E1A61"/>
    <w:rsid w:val="008E2327"/>
    <w:rsid w:val="008E2D66"/>
    <w:rsid w:val="008E3677"/>
    <w:rsid w:val="008E5077"/>
    <w:rsid w:val="008E5E74"/>
    <w:rsid w:val="008E64F0"/>
    <w:rsid w:val="008E6FF3"/>
    <w:rsid w:val="008E7B05"/>
    <w:rsid w:val="008F0B29"/>
    <w:rsid w:val="008F17C7"/>
    <w:rsid w:val="008F18ED"/>
    <w:rsid w:val="008F338B"/>
    <w:rsid w:val="008F4051"/>
    <w:rsid w:val="008F46C2"/>
    <w:rsid w:val="008F59CC"/>
    <w:rsid w:val="008F5C96"/>
    <w:rsid w:val="008F656A"/>
    <w:rsid w:val="008F7068"/>
    <w:rsid w:val="009028B5"/>
    <w:rsid w:val="0090310A"/>
    <w:rsid w:val="0090320A"/>
    <w:rsid w:val="0090360E"/>
    <w:rsid w:val="00903D37"/>
    <w:rsid w:val="0090419B"/>
    <w:rsid w:val="00904627"/>
    <w:rsid w:val="0090483E"/>
    <w:rsid w:val="00905F68"/>
    <w:rsid w:val="0091055D"/>
    <w:rsid w:val="00910BA1"/>
    <w:rsid w:val="00912C8C"/>
    <w:rsid w:val="00913B7D"/>
    <w:rsid w:val="00914C61"/>
    <w:rsid w:val="009157EC"/>
    <w:rsid w:val="00916F57"/>
    <w:rsid w:val="009174E8"/>
    <w:rsid w:val="00917D6F"/>
    <w:rsid w:val="0092073B"/>
    <w:rsid w:val="00921B1A"/>
    <w:rsid w:val="00921B7F"/>
    <w:rsid w:val="00921DDA"/>
    <w:rsid w:val="00921F96"/>
    <w:rsid w:val="00922DE1"/>
    <w:rsid w:val="00923030"/>
    <w:rsid w:val="009233BF"/>
    <w:rsid w:val="00923D86"/>
    <w:rsid w:val="00924AE1"/>
    <w:rsid w:val="009259CD"/>
    <w:rsid w:val="00925A04"/>
    <w:rsid w:val="0092600D"/>
    <w:rsid w:val="0092695C"/>
    <w:rsid w:val="00926C9D"/>
    <w:rsid w:val="00926D17"/>
    <w:rsid w:val="00927BB5"/>
    <w:rsid w:val="00930345"/>
    <w:rsid w:val="0093039D"/>
    <w:rsid w:val="00931352"/>
    <w:rsid w:val="00931E4F"/>
    <w:rsid w:val="0093364D"/>
    <w:rsid w:val="00934605"/>
    <w:rsid w:val="009347EA"/>
    <w:rsid w:val="00934BD0"/>
    <w:rsid w:val="00936574"/>
    <w:rsid w:val="00937EE1"/>
    <w:rsid w:val="0094171A"/>
    <w:rsid w:val="00943BCE"/>
    <w:rsid w:val="00944D3C"/>
    <w:rsid w:val="00944DFE"/>
    <w:rsid w:val="00947729"/>
    <w:rsid w:val="009508A0"/>
    <w:rsid w:val="009515F0"/>
    <w:rsid w:val="009515F8"/>
    <w:rsid w:val="009517A5"/>
    <w:rsid w:val="00953FF0"/>
    <w:rsid w:val="009546DE"/>
    <w:rsid w:val="009569A3"/>
    <w:rsid w:val="009579C3"/>
    <w:rsid w:val="00960212"/>
    <w:rsid w:val="00960346"/>
    <w:rsid w:val="00960A64"/>
    <w:rsid w:val="009612E4"/>
    <w:rsid w:val="009617D3"/>
    <w:rsid w:val="009630C2"/>
    <w:rsid w:val="0096463B"/>
    <w:rsid w:val="00964EA0"/>
    <w:rsid w:val="009657C2"/>
    <w:rsid w:val="00967869"/>
    <w:rsid w:val="0096796E"/>
    <w:rsid w:val="00971B10"/>
    <w:rsid w:val="00971BA7"/>
    <w:rsid w:val="00971F54"/>
    <w:rsid w:val="009721DB"/>
    <w:rsid w:val="009725C5"/>
    <w:rsid w:val="00972AEA"/>
    <w:rsid w:val="00972B4E"/>
    <w:rsid w:val="00973F40"/>
    <w:rsid w:val="00974A6E"/>
    <w:rsid w:val="00977F28"/>
    <w:rsid w:val="00980900"/>
    <w:rsid w:val="00983EDC"/>
    <w:rsid w:val="00983EED"/>
    <w:rsid w:val="009849EF"/>
    <w:rsid w:val="00985CC8"/>
    <w:rsid w:val="00986DB7"/>
    <w:rsid w:val="00986FAB"/>
    <w:rsid w:val="00990654"/>
    <w:rsid w:val="00990A6D"/>
    <w:rsid w:val="00991628"/>
    <w:rsid w:val="00991D54"/>
    <w:rsid w:val="009934CF"/>
    <w:rsid w:val="00994280"/>
    <w:rsid w:val="00994396"/>
    <w:rsid w:val="00994FB1"/>
    <w:rsid w:val="00995B7C"/>
    <w:rsid w:val="00996036"/>
    <w:rsid w:val="009967E1"/>
    <w:rsid w:val="00996D4C"/>
    <w:rsid w:val="009A0D75"/>
    <w:rsid w:val="009A1C71"/>
    <w:rsid w:val="009A2B8A"/>
    <w:rsid w:val="009A306D"/>
    <w:rsid w:val="009A347A"/>
    <w:rsid w:val="009A620E"/>
    <w:rsid w:val="009A6C28"/>
    <w:rsid w:val="009A71DB"/>
    <w:rsid w:val="009B47CB"/>
    <w:rsid w:val="009B4C59"/>
    <w:rsid w:val="009B4E57"/>
    <w:rsid w:val="009B6452"/>
    <w:rsid w:val="009B6A6F"/>
    <w:rsid w:val="009B7A2A"/>
    <w:rsid w:val="009C048E"/>
    <w:rsid w:val="009C10CC"/>
    <w:rsid w:val="009C12F9"/>
    <w:rsid w:val="009C1AFE"/>
    <w:rsid w:val="009C2585"/>
    <w:rsid w:val="009C3E33"/>
    <w:rsid w:val="009C4623"/>
    <w:rsid w:val="009C5650"/>
    <w:rsid w:val="009C5F24"/>
    <w:rsid w:val="009C6382"/>
    <w:rsid w:val="009D00AD"/>
    <w:rsid w:val="009D048B"/>
    <w:rsid w:val="009D0F2C"/>
    <w:rsid w:val="009D1B5D"/>
    <w:rsid w:val="009D1CCC"/>
    <w:rsid w:val="009D24A3"/>
    <w:rsid w:val="009D3839"/>
    <w:rsid w:val="009D4395"/>
    <w:rsid w:val="009D43FE"/>
    <w:rsid w:val="009D4A02"/>
    <w:rsid w:val="009D4C55"/>
    <w:rsid w:val="009D69C6"/>
    <w:rsid w:val="009D6D88"/>
    <w:rsid w:val="009D6F70"/>
    <w:rsid w:val="009E10E1"/>
    <w:rsid w:val="009E3345"/>
    <w:rsid w:val="009E3AC0"/>
    <w:rsid w:val="009E5419"/>
    <w:rsid w:val="009E5A6E"/>
    <w:rsid w:val="009E6CBF"/>
    <w:rsid w:val="009E70E7"/>
    <w:rsid w:val="009E7995"/>
    <w:rsid w:val="009E7AFB"/>
    <w:rsid w:val="009E7B35"/>
    <w:rsid w:val="009F0D18"/>
    <w:rsid w:val="009F113B"/>
    <w:rsid w:val="009F1886"/>
    <w:rsid w:val="009F25A8"/>
    <w:rsid w:val="009F46DC"/>
    <w:rsid w:val="009F48DB"/>
    <w:rsid w:val="009F5336"/>
    <w:rsid w:val="009F65AF"/>
    <w:rsid w:val="00A0062B"/>
    <w:rsid w:val="00A0068C"/>
    <w:rsid w:val="00A01C00"/>
    <w:rsid w:val="00A01C0F"/>
    <w:rsid w:val="00A02488"/>
    <w:rsid w:val="00A031FA"/>
    <w:rsid w:val="00A03A1B"/>
    <w:rsid w:val="00A044B4"/>
    <w:rsid w:val="00A06CC5"/>
    <w:rsid w:val="00A11084"/>
    <w:rsid w:val="00A11CAD"/>
    <w:rsid w:val="00A131C3"/>
    <w:rsid w:val="00A1328B"/>
    <w:rsid w:val="00A132E4"/>
    <w:rsid w:val="00A1553B"/>
    <w:rsid w:val="00A15761"/>
    <w:rsid w:val="00A15EEC"/>
    <w:rsid w:val="00A16142"/>
    <w:rsid w:val="00A1620D"/>
    <w:rsid w:val="00A16AC0"/>
    <w:rsid w:val="00A16DC1"/>
    <w:rsid w:val="00A17DF6"/>
    <w:rsid w:val="00A214AC"/>
    <w:rsid w:val="00A232CE"/>
    <w:rsid w:val="00A23D31"/>
    <w:rsid w:val="00A24C9B"/>
    <w:rsid w:val="00A26ECD"/>
    <w:rsid w:val="00A27251"/>
    <w:rsid w:val="00A27A2A"/>
    <w:rsid w:val="00A27D2B"/>
    <w:rsid w:val="00A301A7"/>
    <w:rsid w:val="00A30B1F"/>
    <w:rsid w:val="00A30C34"/>
    <w:rsid w:val="00A30FD3"/>
    <w:rsid w:val="00A31901"/>
    <w:rsid w:val="00A34223"/>
    <w:rsid w:val="00A346C0"/>
    <w:rsid w:val="00A34F11"/>
    <w:rsid w:val="00A35E2F"/>
    <w:rsid w:val="00A35E47"/>
    <w:rsid w:val="00A35FF0"/>
    <w:rsid w:val="00A36013"/>
    <w:rsid w:val="00A36722"/>
    <w:rsid w:val="00A37891"/>
    <w:rsid w:val="00A37F9C"/>
    <w:rsid w:val="00A40A51"/>
    <w:rsid w:val="00A40E94"/>
    <w:rsid w:val="00A414EC"/>
    <w:rsid w:val="00A415BA"/>
    <w:rsid w:val="00A422AD"/>
    <w:rsid w:val="00A44354"/>
    <w:rsid w:val="00A445A9"/>
    <w:rsid w:val="00A447B9"/>
    <w:rsid w:val="00A44B7B"/>
    <w:rsid w:val="00A4594F"/>
    <w:rsid w:val="00A469EE"/>
    <w:rsid w:val="00A47916"/>
    <w:rsid w:val="00A536DA"/>
    <w:rsid w:val="00A5406C"/>
    <w:rsid w:val="00A54801"/>
    <w:rsid w:val="00A55626"/>
    <w:rsid w:val="00A5596D"/>
    <w:rsid w:val="00A56F39"/>
    <w:rsid w:val="00A571CD"/>
    <w:rsid w:val="00A57C3D"/>
    <w:rsid w:val="00A6120F"/>
    <w:rsid w:val="00A63202"/>
    <w:rsid w:val="00A63C30"/>
    <w:rsid w:val="00A640C3"/>
    <w:rsid w:val="00A6697B"/>
    <w:rsid w:val="00A703F5"/>
    <w:rsid w:val="00A707F7"/>
    <w:rsid w:val="00A719AA"/>
    <w:rsid w:val="00A73504"/>
    <w:rsid w:val="00A73DE3"/>
    <w:rsid w:val="00A74C2D"/>
    <w:rsid w:val="00A75724"/>
    <w:rsid w:val="00A75B53"/>
    <w:rsid w:val="00A76155"/>
    <w:rsid w:val="00A76B34"/>
    <w:rsid w:val="00A81504"/>
    <w:rsid w:val="00A82670"/>
    <w:rsid w:val="00A83359"/>
    <w:rsid w:val="00A83487"/>
    <w:rsid w:val="00A8434D"/>
    <w:rsid w:val="00A84A8E"/>
    <w:rsid w:val="00A854FF"/>
    <w:rsid w:val="00A86E30"/>
    <w:rsid w:val="00A87024"/>
    <w:rsid w:val="00A87035"/>
    <w:rsid w:val="00A8745D"/>
    <w:rsid w:val="00A8785C"/>
    <w:rsid w:val="00A9008D"/>
    <w:rsid w:val="00A908DA"/>
    <w:rsid w:val="00A909ED"/>
    <w:rsid w:val="00A90F9B"/>
    <w:rsid w:val="00A911E6"/>
    <w:rsid w:val="00A920AD"/>
    <w:rsid w:val="00A92694"/>
    <w:rsid w:val="00A93072"/>
    <w:rsid w:val="00A93B0E"/>
    <w:rsid w:val="00A9629C"/>
    <w:rsid w:val="00AA18D1"/>
    <w:rsid w:val="00AA2289"/>
    <w:rsid w:val="00AA2324"/>
    <w:rsid w:val="00AA2538"/>
    <w:rsid w:val="00AA32EA"/>
    <w:rsid w:val="00AA35D5"/>
    <w:rsid w:val="00AA36B9"/>
    <w:rsid w:val="00AA417B"/>
    <w:rsid w:val="00AA4A98"/>
    <w:rsid w:val="00AA533F"/>
    <w:rsid w:val="00AA5A86"/>
    <w:rsid w:val="00AA7787"/>
    <w:rsid w:val="00AA7F48"/>
    <w:rsid w:val="00AA7F8E"/>
    <w:rsid w:val="00AB010D"/>
    <w:rsid w:val="00AB0749"/>
    <w:rsid w:val="00AB1117"/>
    <w:rsid w:val="00AB2661"/>
    <w:rsid w:val="00AB4158"/>
    <w:rsid w:val="00AB498D"/>
    <w:rsid w:val="00AB499B"/>
    <w:rsid w:val="00AB4D0E"/>
    <w:rsid w:val="00AB5818"/>
    <w:rsid w:val="00AB5D4D"/>
    <w:rsid w:val="00AB6134"/>
    <w:rsid w:val="00AB63A3"/>
    <w:rsid w:val="00AB6B53"/>
    <w:rsid w:val="00AB6D79"/>
    <w:rsid w:val="00AB76D8"/>
    <w:rsid w:val="00AB7E6A"/>
    <w:rsid w:val="00AC017A"/>
    <w:rsid w:val="00AC1AF9"/>
    <w:rsid w:val="00AC1B50"/>
    <w:rsid w:val="00AC1B61"/>
    <w:rsid w:val="00AC2C6E"/>
    <w:rsid w:val="00AC5EE6"/>
    <w:rsid w:val="00AD0D24"/>
    <w:rsid w:val="00AD1923"/>
    <w:rsid w:val="00AD2611"/>
    <w:rsid w:val="00AD32C4"/>
    <w:rsid w:val="00AD3AC5"/>
    <w:rsid w:val="00AD3D57"/>
    <w:rsid w:val="00AD413E"/>
    <w:rsid w:val="00AD497C"/>
    <w:rsid w:val="00AD4B96"/>
    <w:rsid w:val="00AD4EAF"/>
    <w:rsid w:val="00AD5078"/>
    <w:rsid w:val="00AD50F9"/>
    <w:rsid w:val="00AD5A38"/>
    <w:rsid w:val="00AD7928"/>
    <w:rsid w:val="00AD7ECE"/>
    <w:rsid w:val="00AE0B4B"/>
    <w:rsid w:val="00AE295F"/>
    <w:rsid w:val="00AE2F9A"/>
    <w:rsid w:val="00AE47BF"/>
    <w:rsid w:val="00AE489D"/>
    <w:rsid w:val="00AE5075"/>
    <w:rsid w:val="00AE552E"/>
    <w:rsid w:val="00AF0047"/>
    <w:rsid w:val="00AF0133"/>
    <w:rsid w:val="00AF0A77"/>
    <w:rsid w:val="00AF0FA3"/>
    <w:rsid w:val="00AF2AF4"/>
    <w:rsid w:val="00AF4895"/>
    <w:rsid w:val="00AF4C29"/>
    <w:rsid w:val="00AF4ECA"/>
    <w:rsid w:val="00AF5FB6"/>
    <w:rsid w:val="00AF6432"/>
    <w:rsid w:val="00AF6821"/>
    <w:rsid w:val="00AF6DED"/>
    <w:rsid w:val="00AF79BD"/>
    <w:rsid w:val="00B01191"/>
    <w:rsid w:val="00B01612"/>
    <w:rsid w:val="00B02103"/>
    <w:rsid w:val="00B0356C"/>
    <w:rsid w:val="00B0494C"/>
    <w:rsid w:val="00B07100"/>
    <w:rsid w:val="00B07F12"/>
    <w:rsid w:val="00B07FE3"/>
    <w:rsid w:val="00B10BAE"/>
    <w:rsid w:val="00B11C80"/>
    <w:rsid w:val="00B131CC"/>
    <w:rsid w:val="00B136B5"/>
    <w:rsid w:val="00B138B4"/>
    <w:rsid w:val="00B14154"/>
    <w:rsid w:val="00B1415B"/>
    <w:rsid w:val="00B15278"/>
    <w:rsid w:val="00B17BC3"/>
    <w:rsid w:val="00B21E46"/>
    <w:rsid w:val="00B222A2"/>
    <w:rsid w:val="00B232CD"/>
    <w:rsid w:val="00B234EC"/>
    <w:rsid w:val="00B24057"/>
    <w:rsid w:val="00B2535A"/>
    <w:rsid w:val="00B274AE"/>
    <w:rsid w:val="00B274BF"/>
    <w:rsid w:val="00B275F5"/>
    <w:rsid w:val="00B27BBE"/>
    <w:rsid w:val="00B30145"/>
    <w:rsid w:val="00B31222"/>
    <w:rsid w:val="00B3138F"/>
    <w:rsid w:val="00B318C9"/>
    <w:rsid w:val="00B31FDB"/>
    <w:rsid w:val="00B328CA"/>
    <w:rsid w:val="00B33D59"/>
    <w:rsid w:val="00B33E8B"/>
    <w:rsid w:val="00B3681A"/>
    <w:rsid w:val="00B379E3"/>
    <w:rsid w:val="00B4044D"/>
    <w:rsid w:val="00B4105F"/>
    <w:rsid w:val="00B41A84"/>
    <w:rsid w:val="00B42C7F"/>
    <w:rsid w:val="00B42E81"/>
    <w:rsid w:val="00B43072"/>
    <w:rsid w:val="00B4329D"/>
    <w:rsid w:val="00B4474A"/>
    <w:rsid w:val="00B44E7F"/>
    <w:rsid w:val="00B45BEE"/>
    <w:rsid w:val="00B4656A"/>
    <w:rsid w:val="00B466F0"/>
    <w:rsid w:val="00B50D07"/>
    <w:rsid w:val="00B520F9"/>
    <w:rsid w:val="00B52812"/>
    <w:rsid w:val="00B53104"/>
    <w:rsid w:val="00B5440E"/>
    <w:rsid w:val="00B5443C"/>
    <w:rsid w:val="00B54848"/>
    <w:rsid w:val="00B5495A"/>
    <w:rsid w:val="00B55225"/>
    <w:rsid w:val="00B577A3"/>
    <w:rsid w:val="00B579CA"/>
    <w:rsid w:val="00B60DFC"/>
    <w:rsid w:val="00B6144B"/>
    <w:rsid w:val="00B6170F"/>
    <w:rsid w:val="00B62EFC"/>
    <w:rsid w:val="00B64415"/>
    <w:rsid w:val="00B64641"/>
    <w:rsid w:val="00B65C96"/>
    <w:rsid w:val="00B67631"/>
    <w:rsid w:val="00B70D48"/>
    <w:rsid w:val="00B71585"/>
    <w:rsid w:val="00B7262F"/>
    <w:rsid w:val="00B727C5"/>
    <w:rsid w:val="00B735E0"/>
    <w:rsid w:val="00B737AF"/>
    <w:rsid w:val="00B73FD4"/>
    <w:rsid w:val="00B740C8"/>
    <w:rsid w:val="00B7453A"/>
    <w:rsid w:val="00B74FC5"/>
    <w:rsid w:val="00B751F8"/>
    <w:rsid w:val="00B75A6C"/>
    <w:rsid w:val="00B76720"/>
    <w:rsid w:val="00B81CAD"/>
    <w:rsid w:val="00B81D4A"/>
    <w:rsid w:val="00B82140"/>
    <w:rsid w:val="00B82257"/>
    <w:rsid w:val="00B82F2D"/>
    <w:rsid w:val="00B83E2A"/>
    <w:rsid w:val="00B83E38"/>
    <w:rsid w:val="00B84361"/>
    <w:rsid w:val="00B843E4"/>
    <w:rsid w:val="00B85DF3"/>
    <w:rsid w:val="00B86C19"/>
    <w:rsid w:val="00B873FD"/>
    <w:rsid w:val="00B91831"/>
    <w:rsid w:val="00B92186"/>
    <w:rsid w:val="00B92EDF"/>
    <w:rsid w:val="00B92F81"/>
    <w:rsid w:val="00B93510"/>
    <w:rsid w:val="00B93640"/>
    <w:rsid w:val="00B93699"/>
    <w:rsid w:val="00B93E33"/>
    <w:rsid w:val="00B93FFB"/>
    <w:rsid w:val="00B94586"/>
    <w:rsid w:val="00B954F3"/>
    <w:rsid w:val="00B95BCD"/>
    <w:rsid w:val="00B95CDC"/>
    <w:rsid w:val="00B95CE5"/>
    <w:rsid w:val="00B96107"/>
    <w:rsid w:val="00B97606"/>
    <w:rsid w:val="00BA0D0B"/>
    <w:rsid w:val="00BA0E8D"/>
    <w:rsid w:val="00BA11BD"/>
    <w:rsid w:val="00BA41EC"/>
    <w:rsid w:val="00BA4694"/>
    <w:rsid w:val="00BA4CE5"/>
    <w:rsid w:val="00BA5BDD"/>
    <w:rsid w:val="00BA60CE"/>
    <w:rsid w:val="00BA6C0C"/>
    <w:rsid w:val="00BB08A0"/>
    <w:rsid w:val="00BB1CE3"/>
    <w:rsid w:val="00BB2B79"/>
    <w:rsid w:val="00BB303C"/>
    <w:rsid w:val="00BB375D"/>
    <w:rsid w:val="00BB49A0"/>
    <w:rsid w:val="00BB515F"/>
    <w:rsid w:val="00BB532B"/>
    <w:rsid w:val="00BB58FA"/>
    <w:rsid w:val="00BB702B"/>
    <w:rsid w:val="00BC0924"/>
    <w:rsid w:val="00BC0F40"/>
    <w:rsid w:val="00BC13C3"/>
    <w:rsid w:val="00BC18C8"/>
    <w:rsid w:val="00BC1FA5"/>
    <w:rsid w:val="00BC2C0C"/>
    <w:rsid w:val="00BC49F1"/>
    <w:rsid w:val="00BC5558"/>
    <w:rsid w:val="00BC5B92"/>
    <w:rsid w:val="00BC5E24"/>
    <w:rsid w:val="00BC732A"/>
    <w:rsid w:val="00BC758B"/>
    <w:rsid w:val="00BC7987"/>
    <w:rsid w:val="00BC7EAF"/>
    <w:rsid w:val="00BD17AF"/>
    <w:rsid w:val="00BD2170"/>
    <w:rsid w:val="00BD2EAC"/>
    <w:rsid w:val="00BD3377"/>
    <w:rsid w:val="00BD3EC7"/>
    <w:rsid w:val="00BD43AC"/>
    <w:rsid w:val="00BD4BB3"/>
    <w:rsid w:val="00BD607C"/>
    <w:rsid w:val="00BD72B7"/>
    <w:rsid w:val="00BE0D2F"/>
    <w:rsid w:val="00BE109F"/>
    <w:rsid w:val="00BE17C6"/>
    <w:rsid w:val="00BE1AA7"/>
    <w:rsid w:val="00BE1D5C"/>
    <w:rsid w:val="00BE2BD3"/>
    <w:rsid w:val="00BE4843"/>
    <w:rsid w:val="00BE4865"/>
    <w:rsid w:val="00BE5595"/>
    <w:rsid w:val="00BE55C5"/>
    <w:rsid w:val="00BE69BF"/>
    <w:rsid w:val="00BE725A"/>
    <w:rsid w:val="00BE73C1"/>
    <w:rsid w:val="00BE7430"/>
    <w:rsid w:val="00BE7B48"/>
    <w:rsid w:val="00BF0BD4"/>
    <w:rsid w:val="00BF2DCE"/>
    <w:rsid w:val="00BF3381"/>
    <w:rsid w:val="00BF5BC6"/>
    <w:rsid w:val="00BF5BE5"/>
    <w:rsid w:val="00BF667D"/>
    <w:rsid w:val="00BF7527"/>
    <w:rsid w:val="00C030E8"/>
    <w:rsid w:val="00C03973"/>
    <w:rsid w:val="00C05912"/>
    <w:rsid w:val="00C07B0B"/>
    <w:rsid w:val="00C10646"/>
    <w:rsid w:val="00C10774"/>
    <w:rsid w:val="00C10FCF"/>
    <w:rsid w:val="00C110FB"/>
    <w:rsid w:val="00C123F4"/>
    <w:rsid w:val="00C12810"/>
    <w:rsid w:val="00C12DA7"/>
    <w:rsid w:val="00C133CD"/>
    <w:rsid w:val="00C138CA"/>
    <w:rsid w:val="00C13A6D"/>
    <w:rsid w:val="00C149AC"/>
    <w:rsid w:val="00C16B4B"/>
    <w:rsid w:val="00C17427"/>
    <w:rsid w:val="00C20C00"/>
    <w:rsid w:val="00C210FD"/>
    <w:rsid w:val="00C21F35"/>
    <w:rsid w:val="00C22901"/>
    <w:rsid w:val="00C25238"/>
    <w:rsid w:val="00C305F2"/>
    <w:rsid w:val="00C31C48"/>
    <w:rsid w:val="00C32250"/>
    <w:rsid w:val="00C32461"/>
    <w:rsid w:val="00C32DF6"/>
    <w:rsid w:val="00C3345C"/>
    <w:rsid w:val="00C33D45"/>
    <w:rsid w:val="00C34A59"/>
    <w:rsid w:val="00C36AB0"/>
    <w:rsid w:val="00C407E5"/>
    <w:rsid w:val="00C42DAC"/>
    <w:rsid w:val="00C4342B"/>
    <w:rsid w:val="00C44517"/>
    <w:rsid w:val="00C459A9"/>
    <w:rsid w:val="00C45A66"/>
    <w:rsid w:val="00C45CA4"/>
    <w:rsid w:val="00C46D15"/>
    <w:rsid w:val="00C477E7"/>
    <w:rsid w:val="00C479E7"/>
    <w:rsid w:val="00C47E93"/>
    <w:rsid w:val="00C502A5"/>
    <w:rsid w:val="00C518BD"/>
    <w:rsid w:val="00C520B2"/>
    <w:rsid w:val="00C521F7"/>
    <w:rsid w:val="00C52F50"/>
    <w:rsid w:val="00C53008"/>
    <w:rsid w:val="00C53361"/>
    <w:rsid w:val="00C55151"/>
    <w:rsid w:val="00C5575D"/>
    <w:rsid w:val="00C558FF"/>
    <w:rsid w:val="00C560FA"/>
    <w:rsid w:val="00C56772"/>
    <w:rsid w:val="00C5689A"/>
    <w:rsid w:val="00C56BAF"/>
    <w:rsid w:val="00C57FF9"/>
    <w:rsid w:val="00C60812"/>
    <w:rsid w:val="00C61841"/>
    <w:rsid w:val="00C62896"/>
    <w:rsid w:val="00C64434"/>
    <w:rsid w:val="00C64A51"/>
    <w:rsid w:val="00C64B27"/>
    <w:rsid w:val="00C65C4D"/>
    <w:rsid w:val="00C700B7"/>
    <w:rsid w:val="00C7063C"/>
    <w:rsid w:val="00C70A63"/>
    <w:rsid w:val="00C71C6E"/>
    <w:rsid w:val="00C73C57"/>
    <w:rsid w:val="00C73D2A"/>
    <w:rsid w:val="00C746D9"/>
    <w:rsid w:val="00C74D43"/>
    <w:rsid w:val="00C74E6B"/>
    <w:rsid w:val="00C75CA7"/>
    <w:rsid w:val="00C7683D"/>
    <w:rsid w:val="00C77073"/>
    <w:rsid w:val="00C81950"/>
    <w:rsid w:val="00C8219E"/>
    <w:rsid w:val="00C844BB"/>
    <w:rsid w:val="00C85450"/>
    <w:rsid w:val="00C85CA9"/>
    <w:rsid w:val="00C86432"/>
    <w:rsid w:val="00C86DC9"/>
    <w:rsid w:val="00C86FC6"/>
    <w:rsid w:val="00C901BB"/>
    <w:rsid w:val="00C90CD3"/>
    <w:rsid w:val="00C91D79"/>
    <w:rsid w:val="00C92552"/>
    <w:rsid w:val="00C92C27"/>
    <w:rsid w:val="00C93F1B"/>
    <w:rsid w:val="00C9455B"/>
    <w:rsid w:val="00C94E14"/>
    <w:rsid w:val="00C96628"/>
    <w:rsid w:val="00C96DFE"/>
    <w:rsid w:val="00C976D1"/>
    <w:rsid w:val="00CA067C"/>
    <w:rsid w:val="00CA0F86"/>
    <w:rsid w:val="00CA185B"/>
    <w:rsid w:val="00CA2B68"/>
    <w:rsid w:val="00CA308F"/>
    <w:rsid w:val="00CA4CFB"/>
    <w:rsid w:val="00CA54B4"/>
    <w:rsid w:val="00CA71D4"/>
    <w:rsid w:val="00CB02AC"/>
    <w:rsid w:val="00CB13A0"/>
    <w:rsid w:val="00CB58AF"/>
    <w:rsid w:val="00CB5B4C"/>
    <w:rsid w:val="00CB5D29"/>
    <w:rsid w:val="00CB675A"/>
    <w:rsid w:val="00CB6EC8"/>
    <w:rsid w:val="00CB782B"/>
    <w:rsid w:val="00CC082B"/>
    <w:rsid w:val="00CC0E77"/>
    <w:rsid w:val="00CC1718"/>
    <w:rsid w:val="00CC2092"/>
    <w:rsid w:val="00CC2373"/>
    <w:rsid w:val="00CC23B4"/>
    <w:rsid w:val="00CC285C"/>
    <w:rsid w:val="00CC485D"/>
    <w:rsid w:val="00CC4EDD"/>
    <w:rsid w:val="00CC5595"/>
    <w:rsid w:val="00CC57B1"/>
    <w:rsid w:val="00CC5E76"/>
    <w:rsid w:val="00CC711E"/>
    <w:rsid w:val="00CC7F02"/>
    <w:rsid w:val="00CD1770"/>
    <w:rsid w:val="00CD2229"/>
    <w:rsid w:val="00CD23F0"/>
    <w:rsid w:val="00CD3A5D"/>
    <w:rsid w:val="00CD3EB5"/>
    <w:rsid w:val="00CD4C1A"/>
    <w:rsid w:val="00CD4C21"/>
    <w:rsid w:val="00CD5FD4"/>
    <w:rsid w:val="00CD6861"/>
    <w:rsid w:val="00CD6DCF"/>
    <w:rsid w:val="00CD7F4B"/>
    <w:rsid w:val="00CE0DCE"/>
    <w:rsid w:val="00CE1BC9"/>
    <w:rsid w:val="00CE1D54"/>
    <w:rsid w:val="00CE218C"/>
    <w:rsid w:val="00CE29F3"/>
    <w:rsid w:val="00CE33C1"/>
    <w:rsid w:val="00CE4839"/>
    <w:rsid w:val="00CE4DD6"/>
    <w:rsid w:val="00CE5030"/>
    <w:rsid w:val="00CE5F24"/>
    <w:rsid w:val="00CE76FF"/>
    <w:rsid w:val="00CF1CF7"/>
    <w:rsid w:val="00CF23F2"/>
    <w:rsid w:val="00CF337A"/>
    <w:rsid w:val="00CF3C7B"/>
    <w:rsid w:val="00CF4012"/>
    <w:rsid w:val="00CF43D5"/>
    <w:rsid w:val="00CF479E"/>
    <w:rsid w:val="00CF7003"/>
    <w:rsid w:val="00D01F75"/>
    <w:rsid w:val="00D02BC6"/>
    <w:rsid w:val="00D0310D"/>
    <w:rsid w:val="00D036BF"/>
    <w:rsid w:val="00D03C21"/>
    <w:rsid w:val="00D05803"/>
    <w:rsid w:val="00D05C7C"/>
    <w:rsid w:val="00D06906"/>
    <w:rsid w:val="00D06DAF"/>
    <w:rsid w:val="00D07742"/>
    <w:rsid w:val="00D103C8"/>
    <w:rsid w:val="00D11B7F"/>
    <w:rsid w:val="00D1276A"/>
    <w:rsid w:val="00D14894"/>
    <w:rsid w:val="00D14C91"/>
    <w:rsid w:val="00D14DB7"/>
    <w:rsid w:val="00D15A9D"/>
    <w:rsid w:val="00D15ACC"/>
    <w:rsid w:val="00D15ED5"/>
    <w:rsid w:val="00D16656"/>
    <w:rsid w:val="00D17D2B"/>
    <w:rsid w:val="00D17EFB"/>
    <w:rsid w:val="00D200AB"/>
    <w:rsid w:val="00D211AB"/>
    <w:rsid w:val="00D215C4"/>
    <w:rsid w:val="00D26E41"/>
    <w:rsid w:val="00D302F2"/>
    <w:rsid w:val="00D31CD5"/>
    <w:rsid w:val="00D3418F"/>
    <w:rsid w:val="00D34402"/>
    <w:rsid w:val="00D348F7"/>
    <w:rsid w:val="00D3564E"/>
    <w:rsid w:val="00D36EF4"/>
    <w:rsid w:val="00D371D0"/>
    <w:rsid w:val="00D374DC"/>
    <w:rsid w:val="00D4062A"/>
    <w:rsid w:val="00D40BC3"/>
    <w:rsid w:val="00D434EC"/>
    <w:rsid w:val="00D43729"/>
    <w:rsid w:val="00D44651"/>
    <w:rsid w:val="00D44E9D"/>
    <w:rsid w:val="00D472A7"/>
    <w:rsid w:val="00D51515"/>
    <w:rsid w:val="00D51580"/>
    <w:rsid w:val="00D542C5"/>
    <w:rsid w:val="00D545B9"/>
    <w:rsid w:val="00D54BD5"/>
    <w:rsid w:val="00D55411"/>
    <w:rsid w:val="00D55D26"/>
    <w:rsid w:val="00D575F0"/>
    <w:rsid w:val="00D60578"/>
    <w:rsid w:val="00D61A0E"/>
    <w:rsid w:val="00D62D4C"/>
    <w:rsid w:val="00D63F02"/>
    <w:rsid w:val="00D655B7"/>
    <w:rsid w:val="00D65F68"/>
    <w:rsid w:val="00D70855"/>
    <w:rsid w:val="00D70A17"/>
    <w:rsid w:val="00D71850"/>
    <w:rsid w:val="00D71CF9"/>
    <w:rsid w:val="00D73600"/>
    <w:rsid w:val="00D756F8"/>
    <w:rsid w:val="00D75DFD"/>
    <w:rsid w:val="00D7608E"/>
    <w:rsid w:val="00D7675E"/>
    <w:rsid w:val="00D80080"/>
    <w:rsid w:val="00D80398"/>
    <w:rsid w:val="00D8066D"/>
    <w:rsid w:val="00D80F34"/>
    <w:rsid w:val="00D80F9D"/>
    <w:rsid w:val="00D80FFB"/>
    <w:rsid w:val="00D81BAE"/>
    <w:rsid w:val="00D83740"/>
    <w:rsid w:val="00D84005"/>
    <w:rsid w:val="00D8428E"/>
    <w:rsid w:val="00D84B17"/>
    <w:rsid w:val="00D8507D"/>
    <w:rsid w:val="00D851C9"/>
    <w:rsid w:val="00D86735"/>
    <w:rsid w:val="00D8718E"/>
    <w:rsid w:val="00D871FB"/>
    <w:rsid w:val="00D90C9D"/>
    <w:rsid w:val="00D90E57"/>
    <w:rsid w:val="00D916BD"/>
    <w:rsid w:val="00D91910"/>
    <w:rsid w:val="00D91AA8"/>
    <w:rsid w:val="00D933F2"/>
    <w:rsid w:val="00D93D8A"/>
    <w:rsid w:val="00D941D7"/>
    <w:rsid w:val="00D9441A"/>
    <w:rsid w:val="00D94420"/>
    <w:rsid w:val="00D944A6"/>
    <w:rsid w:val="00D95B5F"/>
    <w:rsid w:val="00D962CB"/>
    <w:rsid w:val="00D96FC3"/>
    <w:rsid w:val="00DA0839"/>
    <w:rsid w:val="00DA12C3"/>
    <w:rsid w:val="00DA22B5"/>
    <w:rsid w:val="00DA495D"/>
    <w:rsid w:val="00DA4F15"/>
    <w:rsid w:val="00DA5DCA"/>
    <w:rsid w:val="00DA757C"/>
    <w:rsid w:val="00DA7BA0"/>
    <w:rsid w:val="00DB09C2"/>
    <w:rsid w:val="00DB1409"/>
    <w:rsid w:val="00DB3411"/>
    <w:rsid w:val="00DB42F5"/>
    <w:rsid w:val="00DB469A"/>
    <w:rsid w:val="00DB46F7"/>
    <w:rsid w:val="00DB52C3"/>
    <w:rsid w:val="00DB5454"/>
    <w:rsid w:val="00DB5DA3"/>
    <w:rsid w:val="00DB7E5F"/>
    <w:rsid w:val="00DC0A7E"/>
    <w:rsid w:val="00DC10B0"/>
    <w:rsid w:val="00DC13AB"/>
    <w:rsid w:val="00DC1594"/>
    <w:rsid w:val="00DC1BF8"/>
    <w:rsid w:val="00DC2FB2"/>
    <w:rsid w:val="00DC4BCD"/>
    <w:rsid w:val="00DC5718"/>
    <w:rsid w:val="00DC6D70"/>
    <w:rsid w:val="00DC749C"/>
    <w:rsid w:val="00DD05CC"/>
    <w:rsid w:val="00DD0BEC"/>
    <w:rsid w:val="00DD1107"/>
    <w:rsid w:val="00DD178F"/>
    <w:rsid w:val="00DD1FE4"/>
    <w:rsid w:val="00DD2180"/>
    <w:rsid w:val="00DD5733"/>
    <w:rsid w:val="00DD5B73"/>
    <w:rsid w:val="00DE2966"/>
    <w:rsid w:val="00DE40E0"/>
    <w:rsid w:val="00DE4107"/>
    <w:rsid w:val="00DF006E"/>
    <w:rsid w:val="00DF04ED"/>
    <w:rsid w:val="00DF0B5E"/>
    <w:rsid w:val="00DF0ED5"/>
    <w:rsid w:val="00DF1FEB"/>
    <w:rsid w:val="00DF2C8B"/>
    <w:rsid w:val="00DF4E88"/>
    <w:rsid w:val="00DF69DB"/>
    <w:rsid w:val="00DF707C"/>
    <w:rsid w:val="00DF72D9"/>
    <w:rsid w:val="00DF7EC8"/>
    <w:rsid w:val="00E028ED"/>
    <w:rsid w:val="00E03F42"/>
    <w:rsid w:val="00E04899"/>
    <w:rsid w:val="00E0499F"/>
    <w:rsid w:val="00E04DA9"/>
    <w:rsid w:val="00E05721"/>
    <w:rsid w:val="00E05905"/>
    <w:rsid w:val="00E06508"/>
    <w:rsid w:val="00E10389"/>
    <w:rsid w:val="00E104F6"/>
    <w:rsid w:val="00E10748"/>
    <w:rsid w:val="00E12F57"/>
    <w:rsid w:val="00E14282"/>
    <w:rsid w:val="00E156F2"/>
    <w:rsid w:val="00E1606D"/>
    <w:rsid w:val="00E166A1"/>
    <w:rsid w:val="00E2017D"/>
    <w:rsid w:val="00E20CA1"/>
    <w:rsid w:val="00E21FA2"/>
    <w:rsid w:val="00E2250E"/>
    <w:rsid w:val="00E226F9"/>
    <w:rsid w:val="00E2275B"/>
    <w:rsid w:val="00E245F8"/>
    <w:rsid w:val="00E24BF5"/>
    <w:rsid w:val="00E25DCF"/>
    <w:rsid w:val="00E275E9"/>
    <w:rsid w:val="00E27DDF"/>
    <w:rsid w:val="00E27E01"/>
    <w:rsid w:val="00E30A90"/>
    <w:rsid w:val="00E32AA7"/>
    <w:rsid w:val="00E32DBA"/>
    <w:rsid w:val="00E37CA9"/>
    <w:rsid w:val="00E40703"/>
    <w:rsid w:val="00E43469"/>
    <w:rsid w:val="00E4369C"/>
    <w:rsid w:val="00E43A0F"/>
    <w:rsid w:val="00E445DA"/>
    <w:rsid w:val="00E44D33"/>
    <w:rsid w:val="00E45379"/>
    <w:rsid w:val="00E465CB"/>
    <w:rsid w:val="00E4686D"/>
    <w:rsid w:val="00E47C0D"/>
    <w:rsid w:val="00E50318"/>
    <w:rsid w:val="00E50B22"/>
    <w:rsid w:val="00E51154"/>
    <w:rsid w:val="00E5134A"/>
    <w:rsid w:val="00E51E18"/>
    <w:rsid w:val="00E51E8F"/>
    <w:rsid w:val="00E533BD"/>
    <w:rsid w:val="00E53706"/>
    <w:rsid w:val="00E53AC0"/>
    <w:rsid w:val="00E5668B"/>
    <w:rsid w:val="00E566EE"/>
    <w:rsid w:val="00E5717D"/>
    <w:rsid w:val="00E57CE2"/>
    <w:rsid w:val="00E57D36"/>
    <w:rsid w:val="00E60333"/>
    <w:rsid w:val="00E60F40"/>
    <w:rsid w:val="00E617BD"/>
    <w:rsid w:val="00E61E05"/>
    <w:rsid w:val="00E622CB"/>
    <w:rsid w:val="00E6259E"/>
    <w:rsid w:val="00E62BDE"/>
    <w:rsid w:val="00E63B57"/>
    <w:rsid w:val="00E64608"/>
    <w:rsid w:val="00E64BD9"/>
    <w:rsid w:val="00E6519C"/>
    <w:rsid w:val="00E66CB9"/>
    <w:rsid w:val="00E67E50"/>
    <w:rsid w:val="00E705B4"/>
    <w:rsid w:val="00E719CE"/>
    <w:rsid w:val="00E71ECF"/>
    <w:rsid w:val="00E72967"/>
    <w:rsid w:val="00E72F58"/>
    <w:rsid w:val="00E733A6"/>
    <w:rsid w:val="00E74D56"/>
    <w:rsid w:val="00E75577"/>
    <w:rsid w:val="00E762AC"/>
    <w:rsid w:val="00E764DD"/>
    <w:rsid w:val="00E8155D"/>
    <w:rsid w:val="00E82754"/>
    <w:rsid w:val="00E84AD7"/>
    <w:rsid w:val="00E85CC0"/>
    <w:rsid w:val="00E86507"/>
    <w:rsid w:val="00E8724E"/>
    <w:rsid w:val="00E876AC"/>
    <w:rsid w:val="00E9006F"/>
    <w:rsid w:val="00E925E4"/>
    <w:rsid w:val="00E92E54"/>
    <w:rsid w:val="00E94EBC"/>
    <w:rsid w:val="00E959C0"/>
    <w:rsid w:val="00E96E1A"/>
    <w:rsid w:val="00E978DE"/>
    <w:rsid w:val="00EA0E04"/>
    <w:rsid w:val="00EA1783"/>
    <w:rsid w:val="00EA220D"/>
    <w:rsid w:val="00EA3156"/>
    <w:rsid w:val="00EA3E45"/>
    <w:rsid w:val="00EA40A2"/>
    <w:rsid w:val="00EA4CD5"/>
    <w:rsid w:val="00EA55E7"/>
    <w:rsid w:val="00EA5D2C"/>
    <w:rsid w:val="00EA5D8E"/>
    <w:rsid w:val="00EA6D14"/>
    <w:rsid w:val="00EA768C"/>
    <w:rsid w:val="00EA7EFE"/>
    <w:rsid w:val="00EB07CF"/>
    <w:rsid w:val="00EB276D"/>
    <w:rsid w:val="00EB32AB"/>
    <w:rsid w:val="00EB3B88"/>
    <w:rsid w:val="00EB4252"/>
    <w:rsid w:val="00EB4A90"/>
    <w:rsid w:val="00EB6A84"/>
    <w:rsid w:val="00EB6F7A"/>
    <w:rsid w:val="00EB7EF4"/>
    <w:rsid w:val="00EC07A6"/>
    <w:rsid w:val="00EC0C14"/>
    <w:rsid w:val="00EC0DC7"/>
    <w:rsid w:val="00EC1E63"/>
    <w:rsid w:val="00EC2B42"/>
    <w:rsid w:val="00EC3B8F"/>
    <w:rsid w:val="00EC4622"/>
    <w:rsid w:val="00EC5CA0"/>
    <w:rsid w:val="00EC7372"/>
    <w:rsid w:val="00EC7D5A"/>
    <w:rsid w:val="00EC7DA4"/>
    <w:rsid w:val="00ED0632"/>
    <w:rsid w:val="00ED0940"/>
    <w:rsid w:val="00ED19D1"/>
    <w:rsid w:val="00ED1DD8"/>
    <w:rsid w:val="00ED2315"/>
    <w:rsid w:val="00ED2AC0"/>
    <w:rsid w:val="00ED30E8"/>
    <w:rsid w:val="00ED3B69"/>
    <w:rsid w:val="00ED3ECA"/>
    <w:rsid w:val="00ED3F39"/>
    <w:rsid w:val="00ED4373"/>
    <w:rsid w:val="00ED4F91"/>
    <w:rsid w:val="00ED5EB2"/>
    <w:rsid w:val="00ED63AE"/>
    <w:rsid w:val="00ED6C96"/>
    <w:rsid w:val="00ED6CD1"/>
    <w:rsid w:val="00ED7A42"/>
    <w:rsid w:val="00EE0E71"/>
    <w:rsid w:val="00EE11C0"/>
    <w:rsid w:val="00EE12CA"/>
    <w:rsid w:val="00EE1C59"/>
    <w:rsid w:val="00EE30CB"/>
    <w:rsid w:val="00EE38B2"/>
    <w:rsid w:val="00EE3E8C"/>
    <w:rsid w:val="00EE467E"/>
    <w:rsid w:val="00EE5C93"/>
    <w:rsid w:val="00EE5F2E"/>
    <w:rsid w:val="00EE6118"/>
    <w:rsid w:val="00EE684A"/>
    <w:rsid w:val="00EE70A1"/>
    <w:rsid w:val="00EF13C1"/>
    <w:rsid w:val="00EF2227"/>
    <w:rsid w:val="00EF2528"/>
    <w:rsid w:val="00EF2C2D"/>
    <w:rsid w:val="00EF4A64"/>
    <w:rsid w:val="00F01ECB"/>
    <w:rsid w:val="00F02171"/>
    <w:rsid w:val="00F02725"/>
    <w:rsid w:val="00F033EF"/>
    <w:rsid w:val="00F03B2D"/>
    <w:rsid w:val="00F0519C"/>
    <w:rsid w:val="00F061A6"/>
    <w:rsid w:val="00F06EED"/>
    <w:rsid w:val="00F0710C"/>
    <w:rsid w:val="00F104A3"/>
    <w:rsid w:val="00F11AB3"/>
    <w:rsid w:val="00F1277D"/>
    <w:rsid w:val="00F14017"/>
    <w:rsid w:val="00F1491F"/>
    <w:rsid w:val="00F161A1"/>
    <w:rsid w:val="00F1684C"/>
    <w:rsid w:val="00F16E61"/>
    <w:rsid w:val="00F20633"/>
    <w:rsid w:val="00F21B29"/>
    <w:rsid w:val="00F21C7F"/>
    <w:rsid w:val="00F22EBE"/>
    <w:rsid w:val="00F23370"/>
    <w:rsid w:val="00F2491B"/>
    <w:rsid w:val="00F25102"/>
    <w:rsid w:val="00F2526C"/>
    <w:rsid w:val="00F25CFE"/>
    <w:rsid w:val="00F26FE5"/>
    <w:rsid w:val="00F27AA9"/>
    <w:rsid w:val="00F30578"/>
    <w:rsid w:val="00F307D5"/>
    <w:rsid w:val="00F3402C"/>
    <w:rsid w:val="00F3448F"/>
    <w:rsid w:val="00F35243"/>
    <w:rsid w:val="00F36E9F"/>
    <w:rsid w:val="00F41B19"/>
    <w:rsid w:val="00F43E6E"/>
    <w:rsid w:val="00F43EBF"/>
    <w:rsid w:val="00F4409E"/>
    <w:rsid w:val="00F44423"/>
    <w:rsid w:val="00F45D48"/>
    <w:rsid w:val="00F46D1B"/>
    <w:rsid w:val="00F50BE6"/>
    <w:rsid w:val="00F51236"/>
    <w:rsid w:val="00F51288"/>
    <w:rsid w:val="00F524CA"/>
    <w:rsid w:val="00F5374C"/>
    <w:rsid w:val="00F541B8"/>
    <w:rsid w:val="00F54777"/>
    <w:rsid w:val="00F56739"/>
    <w:rsid w:val="00F56B6D"/>
    <w:rsid w:val="00F56CC2"/>
    <w:rsid w:val="00F57B05"/>
    <w:rsid w:val="00F60BC0"/>
    <w:rsid w:val="00F6182C"/>
    <w:rsid w:val="00F61990"/>
    <w:rsid w:val="00F61AC0"/>
    <w:rsid w:val="00F61B7F"/>
    <w:rsid w:val="00F62370"/>
    <w:rsid w:val="00F628D3"/>
    <w:rsid w:val="00F62B07"/>
    <w:rsid w:val="00F62EF2"/>
    <w:rsid w:val="00F6497E"/>
    <w:rsid w:val="00F677E2"/>
    <w:rsid w:val="00F67853"/>
    <w:rsid w:val="00F70724"/>
    <w:rsid w:val="00F7099C"/>
    <w:rsid w:val="00F71547"/>
    <w:rsid w:val="00F717E6"/>
    <w:rsid w:val="00F72F63"/>
    <w:rsid w:val="00F73751"/>
    <w:rsid w:val="00F75EAD"/>
    <w:rsid w:val="00F7639A"/>
    <w:rsid w:val="00F76BF2"/>
    <w:rsid w:val="00F76FAA"/>
    <w:rsid w:val="00F77154"/>
    <w:rsid w:val="00F80051"/>
    <w:rsid w:val="00F80F33"/>
    <w:rsid w:val="00F80FB8"/>
    <w:rsid w:val="00F8243E"/>
    <w:rsid w:val="00F83D15"/>
    <w:rsid w:val="00F845A6"/>
    <w:rsid w:val="00F846D6"/>
    <w:rsid w:val="00F86526"/>
    <w:rsid w:val="00F871D7"/>
    <w:rsid w:val="00F87318"/>
    <w:rsid w:val="00F87CCD"/>
    <w:rsid w:val="00F87EC0"/>
    <w:rsid w:val="00F9173A"/>
    <w:rsid w:val="00F917A3"/>
    <w:rsid w:val="00F91800"/>
    <w:rsid w:val="00F91A39"/>
    <w:rsid w:val="00F921D0"/>
    <w:rsid w:val="00F92DC6"/>
    <w:rsid w:val="00F93F4E"/>
    <w:rsid w:val="00F94E99"/>
    <w:rsid w:val="00F9650A"/>
    <w:rsid w:val="00F967C7"/>
    <w:rsid w:val="00F96DA2"/>
    <w:rsid w:val="00FA0437"/>
    <w:rsid w:val="00FA103D"/>
    <w:rsid w:val="00FA233F"/>
    <w:rsid w:val="00FA2E05"/>
    <w:rsid w:val="00FA3199"/>
    <w:rsid w:val="00FA3DF0"/>
    <w:rsid w:val="00FA699F"/>
    <w:rsid w:val="00FA7D57"/>
    <w:rsid w:val="00FB0008"/>
    <w:rsid w:val="00FB071C"/>
    <w:rsid w:val="00FB0ECE"/>
    <w:rsid w:val="00FB1965"/>
    <w:rsid w:val="00FB1ACE"/>
    <w:rsid w:val="00FB2140"/>
    <w:rsid w:val="00FB239C"/>
    <w:rsid w:val="00FB3ABB"/>
    <w:rsid w:val="00FB3DEC"/>
    <w:rsid w:val="00FB3EA0"/>
    <w:rsid w:val="00FB5471"/>
    <w:rsid w:val="00FB55F4"/>
    <w:rsid w:val="00FB58D8"/>
    <w:rsid w:val="00FB5B6D"/>
    <w:rsid w:val="00FB5D9D"/>
    <w:rsid w:val="00FB6947"/>
    <w:rsid w:val="00FB7140"/>
    <w:rsid w:val="00FB7298"/>
    <w:rsid w:val="00FB7369"/>
    <w:rsid w:val="00FC003E"/>
    <w:rsid w:val="00FC0B63"/>
    <w:rsid w:val="00FC1FB3"/>
    <w:rsid w:val="00FC2209"/>
    <w:rsid w:val="00FC7531"/>
    <w:rsid w:val="00FC7A47"/>
    <w:rsid w:val="00FC7EAA"/>
    <w:rsid w:val="00FD03F3"/>
    <w:rsid w:val="00FD0926"/>
    <w:rsid w:val="00FD1FA0"/>
    <w:rsid w:val="00FD2435"/>
    <w:rsid w:val="00FD251F"/>
    <w:rsid w:val="00FD2808"/>
    <w:rsid w:val="00FD3602"/>
    <w:rsid w:val="00FD4A77"/>
    <w:rsid w:val="00FD4FA5"/>
    <w:rsid w:val="00FD5166"/>
    <w:rsid w:val="00FD564B"/>
    <w:rsid w:val="00FD68CD"/>
    <w:rsid w:val="00FD758C"/>
    <w:rsid w:val="00FE01F0"/>
    <w:rsid w:val="00FE0E71"/>
    <w:rsid w:val="00FE0E96"/>
    <w:rsid w:val="00FE0F18"/>
    <w:rsid w:val="00FE13D1"/>
    <w:rsid w:val="00FE4011"/>
    <w:rsid w:val="00FE42E4"/>
    <w:rsid w:val="00FF05B9"/>
    <w:rsid w:val="00FF0EB1"/>
    <w:rsid w:val="00FF2692"/>
    <w:rsid w:val="00FF456A"/>
    <w:rsid w:val="00FF46FD"/>
    <w:rsid w:val="00FF6204"/>
    <w:rsid w:val="00FF634D"/>
    <w:rsid w:val="00FF6D3B"/>
    <w:rsid w:val="0D95E774"/>
    <w:rsid w:val="73A730E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647199"/>
  <w15:docId w15:val="{B1E7C166-4A08-4C3F-A73E-B9997244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104C3"/>
    <w:pPr>
      <w:spacing w:after="0" w:line="240" w:lineRule="auto"/>
    </w:pPr>
    <w:rPr>
      <w:rFonts w:ascii="Times New Roman" w:hAnsi="Times New Roman" w:eastAsia="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Mencinsinresolver1" w:customStyle="1">
    <w:name w:val="Mención sin resolver1"/>
    <w:basedOn w:val="Fuentedeprrafopredeter"/>
    <w:uiPriority w:val="99"/>
    <w:semiHidden/>
    <w:unhideWhenUsed/>
    <w:rsid w:val="00B3138F"/>
    <w:rPr>
      <w:color w:val="605E5C"/>
      <w:shd w:val="clear" w:color="auto" w:fill="E1DFDD"/>
    </w:rPr>
  </w:style>
  <w:style w:type="character" w:styleId="Mencinsinresolver">
    <w:name w:val="Unresolved Mention"/>
    <w:basedOn w:val="Fuentedeprrafopredeter"/>
    <w:uiPriority w:val="99"/>
    <w:semiHidden/>
    <w:unhideWhenUsed/>
    <w:rsid w:val="00AB49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51320509">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803929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6481546">
      <w:bodyDiv w:val="1"/>
      <w:marLeft w:val="0"/>
      <w:marRight w:val="0"/>
      <w:marTop w:val="0"/>
      <w:marBottom w:val="0"/>
      <w:divBdr>
        <w:top w:val="none" w:sz="0" w:space="0" w:color="auto"/>
        <w:left w:val="none" w:sz="0" w:space="0" w:color="auto"/>
        <w:bottom w:val="none" w:sz="0" w:space="0" w:color="auto"/>
        <w:right w:val="none" w:sz="0" w:space="0" w:color="auto"/>
      </w:divBdr>
    </w:div>
    <w:div w:id="237326823">
      <w:bodyDiv w:val="1"/>
      <w:marLeft w:val="0"/>
      <w:marRight w:val="0"/>
      <w:marTop w:val="0"/>
      <w:marBottom w:val="0"/>
      <w:divBdr>
        <w:top w:val="none" w:sz="0" w:space="0" w:color="auto"/>
        <w:left w:val="none" w:sz="0" w:space="0" w:color="auto"/>
        <w:bottom w:val="none" w:sz="0" w:space="0" w:color="auto"/>
        <w:right w:val="none" w:sz="0" w:space="0" w:color="auto"/>
      </w:divBdr>
    </w:div>
    <w:div w:id="251817357">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12872734">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2170029">
      <w:bodyDiv w:val="1"/>
      <w:marLeft w:val="0"/>
      <w:marRight w:val="0"/>
      <w:marTop w:val="0"/>
      <w:marBottom w:val="0"/>
      <w:divBdr>
        <w:top w:val="none" w:sz="0" w:space="0" w:color="auto"/>
        <w:left w:val="none" w:sz="0" w:space="0" w:color="auto"/>
        <w:bottom w:val="none" w:sz="0" w:space="0" w:color="auto"/>
        <w:right w:val="none" w:sz="0" w:space="0" w:color="auto"/>
      </w:divBdr>
    </w:div>
    <w:div w:id="376783196">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34641768">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7258413">
      <w:bodyDiv w:val="1"/>
      <w:marLeft w:val="0"/>
      <w:marRight w:val="0"/>
      <w:marTop w:val="0"/>
      <w:marBottom w:val="0"/>
      <w:divBdr>
        <w:top w:val="none" w:sz="0" w:space="0" w:color="auto"/>
        <w:left w:val="none" w:sz="0" w:space="0" w:color="auto"/>
        <w:bottom w:val="none" w:sz="0" w:space="0" w:color="auto"/>
        <w:right w:val="none" w:sz="0" w:space="0" w:color="auto"/>
      </w:divBdr>
    </w:div>
    <w:div w:id="46407956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992540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60739523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5989746">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9940281">
      <w:bodyDiv w:val="1"/>
      <w:marLeft w:val="0"/>
      <w:marRight w:val="0"/>
      <w:marTop w:val="0"/>
      <w:marBottom w:val="0"/>
      <w:divBdr>
        <w:top w:val="none" w:sz="0" w:space="0" w:color="auto"/>
        <w:left w:val="none" w:sz="0" w:space="0" w:color="auto"/>
        <w:bottom w:val="none" w:sz="0" w:space="0" w:color="auto"/>
        <w:right w:val="none" w:sz="0" w:space="0" w:color="auto"/>
      </w:divBdr>
    </w:div>
    <w:div w:id="665786124">
      <w:bodyDiv w:val="1"/>
      <w:marLeft w:val="0"/>
      <w:marRight w:val="0"/>
      <w:marTop w:val="0"/>
      <w:marBottom w:val="0"/>
      <w:divBdr>
        <w:top w:val="none" w:sz="0" w:space="0" w:color="auto"/>
        <w:left w:val="none" w:sz="0" w:space="0" w:color="auto"/>
        <w:bottom w:val="none" w:sz="0" w:space="0" w:color="auto"/>
        <w:right w:val="none" w:sz="0" w:space="0" w:color="auto"/>
      </w:divBdr>
    </w:div>
    <w:div w:id="681012123">
      <w:bodyDiv w:val="1"/>
      <w:marLeft w:val="0"/>
      <w:marRight w:val="0"/>
      <w:marTop w:val="0"/>
      <w:marBottom w:val="0"/>
      <w:divBdr>
        <w:top w:val="none" w:sz="0" w:space="0" w:color="auto"/>
        <w:left w:val="none" w:sz="0" w:space="0" w:color="auto"/>
        <w:bottom w:val="none" w:sz="0" w:space="0" w:color="auto"/>
        <w:right w:val="none" w:sz="0" w:space="0" w:color="auto"/>
      </w:divBdr>
    </w:div>
    <w:div w:id="701587509">
      <w:bodyDiv w:val="1"/>
      <w:marLeft w:val="0"/>
      <w:marRight w:val="0"/>
      <w:marTop w:val="0"/>
      <w:marBottom w:val="0"/>
      <w:divBdr>
        <w:top w:val="none" w:sz="0" w:space="0" w:color="auto"/>
        <w:left w:val="none" w:sz="0" w:space="0" w:color="auto"/>
        <w:bottom w:val="none" w:sz="0" w:space="0" w:color="auto"/>
        <w:right w:val="none" w:sz="0" w:space="0" w:color="auto"/>
      </w:divBdr>
    </w:div>
    <w:div w:id="722564108">
      <w:bodyDiv w:val="1"/>
      <w:marLeft w:val="0"/>
      <w:marRight w:val="0"/>
      <w:marTop w:val="0"/>
      <w:marBottom w:val="0"/>
      <w:divBdr>
        <w:top w:val="none" w:sz="0" w:space="0" w:color="auto"/>
        <w:left w:val="none" w:sz="0" w:space="0" w:color="auto"/>
        <w:bottom w:val="none" w:sz="0" w:space="0" w:color="auto"/>
        <w:right w:val="none" w:sz="0" w:space="0" w:color="auto"/>
      </w:divBdr>
    </w:div>
    <w:div w:id="72406071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0827950">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860342">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0195529">
      <w:bodyDiv w:val="1"/>
      <w:marLeft w:val="0"/>
      <w:marRight w:val="0"/>
      <w:marTop w:val="0"/>
      <w:marBottom w:val="0"/>
      <w:divBdr>
        <w:top w:val="none" w:sz="0" w:space="0" w:color="auto"/>
        <w:left w:val="none" w:sz="0" w:space="0" w:color="auto"/>
        <w:bottom w:val="none" w:sz="0" w:space="0" w:color="auto"/>
        <w:right w:val="none" w:sz="0" w:space="0" w:color="auto"/>
      </w:divBdr>
    </w:div>
    <w:div w:id="822351344">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2545437">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0802986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9800023">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22246796">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2265073">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49913372">
      <w:bodyDiv w:val="1"/>
      <w:marLeft w:val="0"/>
      <w:marRight w:val="0"/>
      <w:marTop w:val="0"/>
      <w:marBottom w:val="0"/>
      <w:divBdr>
        <w:top w:val="none" w:sz="0" w:space="0" w:color="auto"/>
        <w:left w:val="none" w:sz="0" w:space="0" w:color="auto"/>
        <w:bottom w:val="none" w:sz="0" w:space="0" w:color="auto"/>
        <w:right w:val="none" w:sz="0" w:space="0" w:color="auto"/>
      </w:divBdr>
    </w:div>
    <w:div w:id="1060786542">
      <w:bodyDiv w:val="1"/>
      <w:marLeft w:val="0"/>
      <w:marRight w:val="0"/>
      <w:marTop w:val="0"/>
      <w:marBottom w:val="0"/>
      <w:divBdr>
        <w:top w:val="none" w:sz="0" w:space="0" w:color="auto"/>
        <w:left w:val="none" w:sz="0" w:space="0" w:color="auto"/>
        <w:bottom w:val="none" w:sz="0" w:space="0" w:color="auto"/>
        <w:right w:val="none" w:sz="0" w:space="0" w:color="auto"/>
      </w:divBdr>
    </w:div>
    <w:div w:id="1088304486">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6976233">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3472915">
      <w:bodyDiv w:val="1"/>
      <w:marLeft w:val="0"/>
      <w:marRight w:val="0"/>
      <w:marTop w:val="0"/>
      <w:marBottom w:val="0"/>
      <w:divBdr>
        <w:top w:val="none" w:sz="0" w:space="0" w:color="auto"/>
        <w:left w:val="none" w:sz="0" w:space="0" w:color="auto"/>
        <w:bottom w:val="none" w:sz="0" w:space="0" w:color="auto"/>
        <w:right w:val="none" w:sz="0" w:space="0" w:color="auto"/>
      </w:divBdr>
    </w:div>
    <w:div w:id="1167593698">
      <w:bodyDiv w:val="1"/>
      <w:marLeft w:val="0"/>
      <w:marRight w:val="0"/>
      <w:marTop w:val="0"/>
      <w:marBottom w:val="0"/>
      <w:divBdr>
        <w:top w:val="none" w:sz="0" w:space="0" w:color="auto"/>
        <w:left w:val="none" w:sz="0" w:space="0" w:color="auto"/>
        <w:bottom w:val="none" w:sz="0" w:space="0" w:color="auto"/>
        <w:right w:val="none" w:sz="0" w:space="0" w:color="auto"/>
      </w:divBdr>
    </w:div>
    <w:div w:id="1208564366">
      <w:bodyDiv w:val="1"/>
      <w:marLeft w:val="0"/>
      <w:marRight w:val="0"/>
      <w:marTop w:val="0"/>
      <w:marBottom w:val="0"/>
      <w:divBdr>
        <w:top w:val="none" w:sz="0" w:space="0" w:color="auto"/>
        <w:left w:val="none" w:sz="0" w:space="0" w:color="auto"/>
        <w:bottom w:val="none" w:sz="0" w:space="0" w:color="auto"/>
        <w:right w:val="none" w:sz="0" w:space="0" w:color="auto"/>
      </w:divBdr>
    </w:div>
    <w:div w:id="1219710467">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6039110">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3703390">
      <w:bodyDiv w:val="1"/>
      <w:marLeft w:val="0"/>
      <w:marRight w:val="0"/>
      <w:marTop w:val="0"/>
      <w:marBottom w:val="0"/>
      <w:divBdr>
        <w:top w:val="none" w:sz="0" w:space="0" w:color="auto"/>
        <w:left w:val="none" w:sz="0" w:space="0" w:color="auto"/>
        <w:bottom w:val="none" w:sz="0" w:space="0" w:color="auto"/>
        <w:right w:val="none" w:sz="0" w:space="0" w:color="auto"/>
      </w:divBdr>
    </w:div>
    <w:div w:id="1274751692">
      <w:bodyDiv w:val="1"/>
      <w:marLeft w:val="0"/>
      <w:marRight w:val="0"/>
      <w:marTop w:val="0"/>
      <w:marBottom w:val="0"/>
      <w:divBdr>
        <w:top w:val="none" w:sz="0" w:space="0" w:color="auto"/>
        <w:left w:val="none" w:sz="0" w:space="0" w:color="auto"/>
        <w:bottom w:val="none" w:sz="0" w:space="0" w:color="auto"/>
        <w:right w:val="none" w:sz="0" w:space="0" w:color="auto"/>
      </w:divBdr>
    </w:div>
    <w:div w:id="1275015075">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366041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8725475">
      <w:bodyDiv w:val="1"/>
      <w:marLeft w:val="0"/>
      <w:marRight w:val="0"/>
      <w:marTop w:val="0"/>
      <w:marBottom w:val="0"/>
      <w:divBdr>
        <w:top w:val="none" w:sz="0" w:space="0" w:color="auto"/>
        <w:left w:val="none" w:sz="0" w:space="0" w:color="auto"/>
        <w:bottom w:val="none" w:sz="0" w:space="0" w:color="auto"/>
        <w:right w:val="none" w:sz="0" w:space="0" w:color="auto"/>
      </w:divBdr>
    </w:div>
    <w:div w:id="134258485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656267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176105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649305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38603881">
      <w:bodyDiv w:val="1"/>
      <w:marLeft w:val="0"/>
      <w:marRight w:val="0"/>
      <w:marTop w:val="0"/>
      <w:marBottom w:val="0"/>
      <w:divBdr>
        <w:top w:val="none" w:sz="0" w:space="0" w:color="auto"/>
        <w:left w:val="none" w:sz="0" w:space="0" w:color="auto"/>
        <w:bottom w:val="none" w:sz="0" w:space="0" w:color="auto"/>
        <w:right w:val="none" w:sz="0" w:space="0" w:color="auto"/>
      </w:divBdr>
    </w:div>
    <w:div w:id="1440949955">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499534490">
      <w:bodyDiv w:val="1"/>
      <w:marLeft w:val="0"/>
      <w:marRight w:val="0"/>
      <w:marTop w:val="0"/>
      <w:marBottom w:val="0"/>
      <w:divBdr>
        <w:top w:val="none" w:sz="0" w:space="0" w:color="auto"/>
        <w:left w:val="none" w:sz="0" w:space="0" w:color="auto"/>
        <w:bottom w:val="none" w:sz="0" w:space="0" w:color="auto"/>
        <w:right w:val="none" w:sz="0" w:space="0" w:color="auto"/>
      </w:divBdr>
    </w:div>
    <w:div w:id="1502044703">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1952953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3157099">
      <w:bodyDiv w:val="1"/>
      <w:marLeft w:val="0"/>
      <w:marRight w:val="0"/>
      <w:marTop w:val="0"/>
      <w:marBottom w:val="0"/>
      <w:divBdr>
        <w:top w:val="none" w:sz="0" w:space="0" w:color="auto"/>
        <w:left w:val="none" w:sz="0" w:space="0" w:color="auto"/>
        <w:bottom w:val="none" w:sz="0" w:space="0" w:color="auto"/>
        <w:right w:val="none" w:sz="0" w:space="0" w:color="auto"/>
      </w:divBdr>
    </w:div>
    <w:div w:id="1759475784">
      <w:bodyDiv w:val="1"/>
      <w:marLeft w:val="0"/>
      <w:marRight w:val="0"/>
      <w:marTop w:val="0"/>
      <w:marBottom w:val="0"/>
      <w:divBdr>
        <w:top w:val="none" w:sz="0" w:space="0" w:color="auto"/>
        <w:left w:val="none" w:sz="0" w:space="0" w:color="auto"/>
        <w:bottom w:val="none" w:sz="0" w:space="0" w:color="auto"/>
        <w:right w:val="none" w:sz="0" w:space="0" w:color="auto"/>
      </w:divBdr>
    </w:div>
    <w:div w:id="1761488158">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7602344">
      <w:bodyDiv w:val="1"/>
      <w:marLeft w:val="0"/>
      <w:marRight w:val="0"/>
      <w:marTop w:val="0"/>
      <w:marBottom w:val="0"/>
      <w:divBdr>
        <w:top w:val="none" w:sz="0" w:space="0" w:color="auto"/>
        <w:left w:val="none" w:sz="0" w:space="0" w:color="auto"/>
        <w:bottom w:val="none" w:sz="0" w:space="0" w:color="auto"/>
        <w:right w:val="none" w:sz="0" w:space="0" w:color="auto"/>
      </w:divBdr>
    </w:div>
    <w:div w:id="1807627650">
      <w:bodyDiv w:val="1"/>
      <w:marLeft w:val="0"/>
      <w:marRight w:val="0"/>
      <w:marTop w:val="0"/>
      <w:marBottom w:val="0"/>
      <w:divBdr>
        <w:top w:val="none" w:sz="0" w:space="0" w:color="auto"/>
        <w:left w:val="none" w:sz="0" w:space="0" w:color="auto"/>
        <w:bottom w:val="none" w:sz="0" w:space="0" w:color="auto"/>
        <w:right w:val="none" w:sz="0" w:space="0" w:color="auto"/>
      </w:divBdr>
    </w:div>
    <w:div w:id="181104901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8771336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270225">
      <w:bodyDiv w:val="1"/>
      <w:marLeft w:val="0"/>
      <w:marRight w:val="0"/>
      <w:marTop w:val="0"/>
      <w:marBottom w:val="0"/>
      <w:divBdr>
        <w:top w:val="none" w:sz="0" w:space="0" w:color="auto"/>
        <w:left w:val="none" w:sz="0" w:space="0" w:color="auto"/>
        <w:bottom w:val="none" w:sz="0" w:space="0" w:color="auto"/>
        <w:right w:val="none" w:sz="0" w:space="0" w:color="auto"/>
      </w:divBdr>
    </w:div>
    <w:div w:id="1952009383">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096398">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1393449">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193837">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045303">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6269872">
      <w:bodyDiv w:val="1"/>
      <w:marLeft w:val="0"/>
      <w:marRight w:val="0"/>
      <w:marTop w:val="0"/>
      <w:marBottom w:val="0"/>
      <w:divBdr>
        <w:top w:val="none" w:sz="0" w:space="0" w:color="auto"/>
        <w:left w:val="none" w:sz="0" w:space="0" w:color="auto"/>
        <w:bottom w:val="none" w:sz="0" w:space="0" w:color="auto"/>
        <w:right w:val="none" w:sz="0" w:space="0" w:color="auto"/>
      </w:divBdr>
    </w:div>
    <w:div w:id="2133787266">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footer" Target="footer2.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gob.mx/sesnsp/acciones-y-programas/incidencia-delictiva-del-fuero-comun-nueva-metodologia?state=published" TargetMode="External" Id="rId11" /><Relationship Type="http://schemas.openxmlformats.org/officeDocument/2006/relationships/webSettings" Target="webSettings.xml" Id="rId5" /><Relationship Type="http://schemas.openxmlformats.org/officeDocument/2006/relationships/footer" Target="footer1.xml" Id="rId15" /><Relationship Type="http://schemas.openxmlformats.org/officeDocument/2006/relationships/hyperlink" Target="http://secretariadoejecutivo.gob.mx/work/models/SecretariadoEjecutivo/Resource/328/1/images/instructivo_final_edo_fuerza(1).pdf"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eader" Target="header2.xml" Id="rId14" /><Relationship Type="http://schemas.openxmlformats.org/officeDocument/2006/relationships/glossaryDocument" Target="glossary/document.xml" Id="Recb727af861a439d"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918dbe5-b395-47be-8fe5-64ccfa750d7d}"/>
      </w:docPartPr>
      <w:docPartBody>
        <w:p w14:paraId="6F9CE314">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89F32-6D31-4913-8D83-D1F7B7A6A0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José Fernado Lobato Rodríguez</dc:creator>
  <keywords/>
  <lastModifiedBy>JAEL RUBIO SANCHEZ</lastModifiedBy>
  <revision>10</revision>
  <lastPrinted>2019-05-16T23:53:00.0000000Z</lastPrinted>
  <dcterms:created xsi:type="dcterms:W3CDTF">2022-06-30T08:46:00.0000000Z</dcterms:created>
  <dcterms:modified xsi:type="dcterms:W3CDTF">2022-08-05T00:10:34.3780402Z</dcterms:modified>
</coreProperties>
</file>