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78BAC" w14:textId="041993AC" w:rsidR="007F7B11" w:rsidRPr="00906D4B" w:rsidRDefault="007F7B11" w:rsidP="00FA35C3">
      <w:pPr>
        <w:tabs>
          <w:tab w:val="left" w:pos="3465"/>
        </w:tabs>
        <w:spacing w:before="240" w:after="360" w:line="360" w:lineRule="auto"/>
        <w:jc w:val="both"/>
        <w:rPr>
          <w:rFonts w:ascii="Palatino Linotype" w:eastAsiaTheme="minorEastAsia" w:hAnsi="Palatino Linotype" w:cstheme="minorBidi"/>
          <w:lang w:val="es-ES_tradnl"/>
        </w:rPr>
      </w:pPr>
      <w:r w:rsidRPr="00906D4B">
        <w:rPr>
          <w:rFonts w:ascii="Palatino Linotype" w:eastAsiaTheme="minorEastAsia" w:hAnsi="Palatino Linotype" w:cstheme="minorBidi"/>
          <w:lang w:val="es-ES_tradnl"/>
        </w:rPr>
        <w:t>Resolución del Pleno del Instituto de Transparencia, Acceso a la Información Pública y Protección de Datos Personales del Estado de México y Municipios, con domicilio e</w:t>
      </w:r>
      <w:r w:rsidR="00E56CFE" w:rsidRPr="00906D4B">
        <w:rPr>
          <w:rFonts w:ascii="Palatino Linotype" w:eastAsiaTheme="minorEastAsia" w:hAnsi="Palatino Linotype" w:cstheme="minorBidi"/>
          <w:lang w:val="es-ES_tradnl"/>
        </w:rPr>
        <w:t>n Metepe</w:t>
      </w:r>
      <w:r w:rsidR="00160B22" w:rsidRPr="00906D4B">
        <w:rPr>
          <w:rFonts w:ascii="Palatino Linotype" w:eastAsiaTheme="minorEastAsia" w:hAnsi="Palatino Linotype" w:cstheme="minorBidi"/>
          <w:lang w:val="es-ES_tradnl"/>
        </w:rPr>
        <w:t xml:space="preserve">c, </w:t>
      </w:r>
      <w:r w:rsidR="007B3C1E" w:rsidRPr="00906D4B">
        <w:rPr>
          <w:rFonts w:ascii="Palatino Linotype" w:eastAsiaTheme="minorEastAsia" w:hAnsi="Palatino Linotype" w:cstheme="minorBidi"/>
          <w:lang w:val="es-ES_tradnl"/>
        </w:rPr>
        <w:t>Estado de México; de veintisiete (27</w:t>
      </w:r>
      <w:r w:rsidRPr="00906D4B">
        <w:rPr>
          <w:rFonts w:ascii="Palatino Linotype" w:eastAsiaTheme="minorEastAsia" w:hAnsi="Palatino Linotype" w:cstheme="minorBidi"/>
          <w:lang w:val="es-ES_tradnl"/>
        </w:rPr>
        <w:t>)</w:t>
      </w:r>
      <w:r w:rsidR="00E176F9" w:rsidRPr="00906D4B">
        <w:rPr>
          <w:rFonts w:ascii="Palatino Linotype" w:eastAsiaTheme="minorEastAsia" w:hAnsi="Palatino Linotype" w:cstheme="minorBidi"/>
          <w:lang w:val="es-ES_tradnl"/>
        </w:rPr>
        <w:t xml:space="preserve"> </w:t>
      </w:r>
      <w:r w:rsidRPr="00906D4B">
        <w:rPr>
          <w:rFonts w:ascii="Palatino Linotype" w:eastAsiaTheme="minorEastAsia" w:hAnsi="Palatino Linotype" w:cstheme="minorBidi"/>
          <w:lang w:val="es-ES_tradnl"/>
        </w:rPr>
        <w:t>de</w:t>
      </w:r>
      <w:r w:rsidR="00160B22" w:rsidRPr="00906D4B">
        <w:rPr>
          <w:rFonts w:ascii="Palatino Linotype" w:eastAsiaTheme="minorEastAsia" w:hAnsi="Palatino Linotype" w:cstheme="minorBidi"/>
          <w:lang w:val="es-ES_tradnl"/>
        </w:rPr>
        <w:t xml:space="preserve"> abril de dos </w:t>
      </w:r>
      <w:r w:rsidRPr="00906D4B">
        <w:rPr>
          <w:rFonts w:ascii="Palatino Linotype" w:eastAsiaTheme="minorEastAsia" w:hAnsi="Palatino Linotype" w:cstheme="minorBidi"/>
          <w:lang w:val="es-ES_tradnl"/>
        </w:rPr>
        <w:t>mil veintidós.</w:t>
      </w:r>
    </w:p>
    <w:p w14:paraId="18F60015" w14:textId="35579E2A" w:rsidR="007F7B11" w:rsidRPr="00906D4B" w:rsidRDefault="000167BD" w:rsidP="00FA35C3">
      <w:pPr>
        <w:tabs>
          <w:tab w:val="left" w:pos="3465"/>
        </w:tabs>
        <w:spacing w:before="240" w:after="360" w:line="360" w:lineRule="auto"/>
        <w:jc w:val="both"/>
        <w:rPr>
          <w:rFonts w:ascii="Palatino Linotype" w:eastAsiaTheme="minorEastAsia" w:hAnsi="Palatino Linotype" w:cstheme="minorBidi"/>
          <w:b/>
          <w:color w:val="000000" w:themeColor="text1"/>
          <w:lang w:val="es-ES_tradnl"/>
        </w:rPr>
      </w:pPr>
      <w:r w:rsidRPr="00906D4B">
        <w:rPr>
          <w:rFonts w:ascii="Palatino Linotype" w:eastAsiaTheme="minorEastAsia" w:hAnsi="Palatino Linotype" w:cstheme="minorBidi"/>
          <w:b/>
          <w:color w:val="000000" w:themeColor="text1"/>
          <w:lang w:val="es-ES_tradnl"/>
        </w:rPr>
        <w:t>VISTO</w:t>
      </w:r>
      <w:r w:rsidRPr="00906D4B">
        <w:rPr>
          <w:rFonts w:ascii="Palatino Linotype" w:eastAsiaTheme="minorEastAsia" w:hAnsi="Palatino Linotype" w:cstheme="minorBidi"/>
          <w:color w:val="000000" w:themeColor="text1"/>
          <w:lang w:val="es-ES_tradnl"/>
        </w:rPr>
        <w:t xml:space="preserve"> el expediente electrónico formado co</w:t>
      </w:r>
      <w:r w:rsidR="007B3C1E" w:rsidRPr="00906D4B">
        <w:rPr>
          <w:rFonts w:ascii="Palatino Linotype" w:eastAsiaTheme="minorEastAsia" w:hAnsi="Palatino Linotype" w:cstheme="minorBidi"/>
          <w:color w:val="000000" w:themeColor="text1"/>
          <w:lang w:val="es-ES_tradnl"/>
        </w:rPr>
        <w:t xml:space="preserve">n motivo del recurso de revisión </w:t>
      </w:r>
      <w:r w:rsidR="007B3C1E" w:rsidRPr="00906D4B">
        <w:rPr>
          <w:rFonts w:ascii="Palatino Linotype" w:eastAsiaTheme="minorEastAsia" w:hAnsi="Palatino Linotype" w:cstheme="minorBidi"/>
          <w:b/>
          <w:color w:val="000000" w:themeColor="text1"/>
          <w:lang w:val="es-ES_tradnl"/>
        </w:rPr>
        <w:t>01173/INFOEM/IP/RR/2022</w:t>
      </w:r>
      <w:r w:rsidRPr="00906D4B">
        <w:rPr>
          <w:rFonts w:ascii="Palatino Linotype" w:eastAsiaTheme="minorEastAsia" w:hAnsi="Palatino Linotype" w:cstheme="minorBidi"/>
          <w:b/>
          <w:bCs/>
          <w:color w:val="000000" w:themeColor="text1"/>
          <w:lang w:val="es-ES_tradnl"/>
        </w:rPr>
        <w:t xml:space="preserve">, </w:t>
      </w:r>
      <w:r w:rsidRPr="00906D4B">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906D4B">
        <w:rPr>
          <w:rFonts w:ascii="Palatino Linotype" w:eastAsiaTheme="minorEastAsia" w:hAnsi="Palatino Linotype" w:cstheme="minorBidi"/>
          <w:b/>
          <w:color w:val="000000" w:themeColor="text1"/>
          <w:lang w:val="es-ES_tradnl"/>
        </w:rPr>
        <w:t xml:space="preserve">(SAIMEX), </w:t>
      </w:r>
      <w:r w:rsidRPr="00906D4B">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906D4B">
        <w:rPr>
          <w:rFonts w:ascii="Palatino Linotype" w:eastAsiaTheme="minorEastAsia" w:hAnsi="Palatino Linotype" w:cstheme="minorBidi"/>
          <w:b/>
          <w:color w:val="000000" w:themeColor="text1"/>
          <w:lang w:val="es-ES_tradnl"/>
        </w:rPr>
        <w:t>RECURRENTE</w:t>
      </w:r>
      <w:r w:rsidR="00160B22" w:rsidRPr="00906D4B">
        <w:rPr>
          <w:rFonts w:ascii="Palatino Linotype" w:eastAsiaTheme="minorEastAsia" w:hAnsi="Palatino Linotype" w:cstheme="minorBidi"/>
          <w:color w:val="000000" w:themeColor="text1"/>
          <w:lang w:val="es-ES_tradnl"/>
        </w:rPr>
        <w:t>, en contra de la falta de respuesta</w:t>
      </w:r>
      <w:r w:rsidRPr="00906D4B">
        <w:rPr>
          <w:rFonts w:ascii="Palatino Linotype" w:eastAsiaTheme="minorEastAsia" w:hAnsi="Palatino Linotype" w:cstheme="minorBidi"/>
          <w:color w:val="000000" w:themeColor="text1"/>
          <w:lang w:val="es-ES_tradnl"/>
        </w:rPr>
        <w:t xml:space="preserve"> de</w:t>
      </w:r>
      <w:r w:rsidR="00160B22" w:rsidRPr="00906D4B">
        <w:rPr>
          <w:rFonts w:ascii="Palatino Linotype" w:eastAsiaTheme="minorEastAsia" w:hAnsi="Palatino Linotype" w:cstheme="minorBidi"/>
          <w:color w:val="000000" w:themeColor="text1"/>
          <w:lang w:val="es-ES_tradnl"/>
        </w:rPr>
        <w:t>l</w:t>
      </w:r>
      <w:r w:rsidRPr="00906D4B">
        <w:rPr>
          <w:rFonts w:ascii="Palatino Linotype" w:hAnsi="Palatino Linotype"/>
        </w:rPr>
        <w:t xml:space="preserve"> </w:t>
      </w:r>
      <w:r w:rsidR="007B3C1E" w:rsidRPr="00906D4B">
        <w:rPr>
          <w:rFonts w:ascii="Palatino Linotype" w:hAnsi="Palatino Linotype"/>
          <w:b/>
          <w:bCs/>
        </w:rPr>
        <w:t>Ayuntamiento de Metepec</w:t>
      </w:r>
      <w:r w:rsidR="00E56CFE" w:rsidRPr="00906D4B">
        <w:rPr>
          <w:rFonts w:ascii="Palatino Linotype" w:hAnsi="Palatino Linotype"/>
          <w:b/>
          <w:bCs/>
        </w:rPr>
        <w:t xml:space="preserve"> </w:t>
      </w:r>
      <w:r w:rsidRPr="00906D4B">
        <w:rPr>
          <w:rFonts w:ascii="Palatino Linotype" w:eastAsiaTheme="minorEastAsia" w:hAnsi="Palatino Linotype" w:cstheme="minorBidi"/>
          <w:color w:val="000000" w:themeColor="text1"/>
          <w:lang w:val="es-ES_tradnl"/>
        </w:rPr>
        <w:t>en lo sucesivo el</w:t>
      </w:r>
      <w:r w:rsidRPr="00906D4B">
        <w:rPr>
          <w:rFonts w:ascii="Palatino Linotype" w:eastAsiaTheme="minorEastAsia" w:hAnsi="Palatino Linotype" w:cstheme="minorBidi"/>
          <w:b/>
          <w:color w:val="000000" w:themeColor="text1"/>
          <w:lang w:val="es-ES_tradnl"/>
        </w:rPr>
        <w:t xml:space="preserve"> SUJETO OBLIGADO, </w:t>
      </w:r>
      <w:r w:rsidRPr="00906D4B">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2E6CFD9" w14:textId="6A7D8E82" w:rsidR="000C53E4" w:rsidRPr="00906D4B" w:rsidRDefault="007F7B11" w:rsidP="00FA35C3">
      <w:pPr>
        <w:keepNext/>
        <w:keepLines/>
        <w:spacing w:before="240" w:line="360" w:lineRule="auto"/>
        <w:jc w:val="center"/>
        <w:outlineLvl w:val="0"/>
        <w:rPr>
          <w:rFonts w:ascii="Palatino Linotype" w:eastAsiaTheme="majorEastAsia" w:hAnsi="Palatino Linotype" w:cstheme="majorBidi"/>
          <w:b/>
          <w:lang w:val="es-MX" w:eastAsia="en-US"/>
        </w:rPr>
      </w:pPr>
      <w:bookmarkStart w:id="0" w:name="_Toc461555884"/>
      <w:bookmarkStart w:id="1" w:name="_Toc466371847"/>
      <w:bookmarkStart w:id="2" w:name="_Toc101351541"/>
      <w:r w:rsidRPr="00906D4B">
        <w:rPr>
          <w:rFonts w:ascii="Palatino Linotype" w:eastAsiaTheme="majorEastAsia" w:hAnsi="Palatino Linotype" w:cstheme="majorBidi"/>
          <w:b/>
          <w:lang w:val="es-MX" w:eastAsia="en-US"/>
        </w:rPr>
        <w:t>ANTECEDENTES</w:t>
      </w:r>
      <w:bookmarkEnd w:id="0"/>
      <w:bookmarkEnd w:id="1"/>
      <w:bookmarkEnd w:id="2"/>
    </w:p>
    <w:p w14:paraId="6DD0F7E0" w14:textId="77777777" w:rsidR="00D13A6B" w:rsidRPr="00906D4B" w:rsidRDefault="00D13A6B" w:rsidP="00FA35C3">
      <w:pPr>
        <w:keepNext/>
        <w:keepLines/>
        <w:spacing w:before="240" w:line="360" w:lineRule="auto"/>
        <w:jc w:val="center"/>
        <w:outlineLvl w:val="0"/>
        <w:rPr>
          <w:rFonts w:ascii="Palatino Linotype" w:eastAsiaTheme="majorEastAsia" w:hAnsi="Palatino Linotype" w:cstheme="majorBidi"/>
          <w:b/>
          <w:lang w:val="es-MX" w:eastAsia="en-US"/>
        </w:rPr>
      </w:pPr>
    </w:p>
    <w:p w14:paraId="016DEFA4" w14:textId="70F0FF8D" w:rsidR="007F7B11" w:rsidRPr="00906D4B" w:rsidRDefault="007F7B11" w:rsidP="00FA35C3">
      <w:pPr>
        <w:numPr>
          <w:ilvl w:val="0"/>
          <w:numId w:val="17"/>
        </w:numPr>
        <w:tabs>
          <w:tab w:val="left" w:pos="0"/>
        </w:tabs>
        <w:spacing w:before="240" w:after="240" w:line="360" w:lineRule="auto"/>
        <w:ind w:left="0" w:firstLine="0"/>
        <w:contextualSpacing/>
        <w:jc w:val="both"/>
        <w:rPr>
          <w:rFonts w:ascii="Palatino Linotype" w:eastAsia="Calibri" w:hAnsi="Palatino Linotype" w:cs="Arial"/>
        </w:rPr>
      </w:pPr>
      <w:r w:rsidRPr="00906D4B">
        <w:rPr>
          <w:rFonts w:ascii="Palatino Linotype" w:eastAsia="Calibri" w:hAnsi="Palatino Linotype" w:cs="Arial"/>
        </w:rPr>
        <w:t xml:space="preserve">El </w:t>
      </w:r>
      <w:r w:rsidR="003C6149" w:rsidRPr="00906D4B">
        <w:rPr>
          <w:rFonts w:ascii="Palatino Linotype" w:eastAsia="Calibri" w:hAnsi="Palatino Linotype" w:cs="Arial"/>
        </w:rPr>
        <w:t>treinta y uno (31</w:t>
      </w:r>
      <w:r w:rsidR="000C53E4" w:rsidRPr="00906D4B">
        <w:rPr>
          <w:rFonts w:ascii="Palatino Linotype" w:eastAsia="Calibri" w:hAnsi="Palatino Linotype" w:cs="Arial"/>
        </w:rPr>
        <w:t>) de</w:t>
      </w:r>
      <w:r w:rsidR="00EB0CEE" w:rsidRPr="00906D4B">
        <w:rPr>
          <w:rFonts w:ascii="Palatino Linotype" w:eastAsia="Calibri" w:hAnsi="Palatino Linotype" w:cs="Arial"/>
        </w:rPr>
        <w:t xml:space="preserve"> enero</w:t>
      </w:r>
      <w:r w:rsidR="00E176F9" w:rsidRPr="00906D4B">
        <w:rPr>
          <w:rFonts w:ascii="Palatino Linotype" w:eastAsia="Calibri" w:hAnsi="Palatino Linotype" w:cs="Arial"/>
        </w:rPr>
        <w:t xml:space="preserve"> </w:t>
      </w:r>
      <w:r w:rsidRPr="00906D4B">
        <w:rPr>
          <w:rFonts w:ascii="Palatino Linotype" w:eastAsia="Calibri" w:hAnsi="Palatino Linotype" w:cs="Arial"/>
        </w:rPr>
        <w:t xml:space="preserve">de dos mil </w:t>
      </w:r>
      <w:r w:rsidR="00EB0CEE" w:rsidRPr="00906D4B">
        <w:rPr>
          <w:rFonts w:ascii="Palatino Linotype" w:eastAsia="Calibri" w:hAnsi="Palatino Linotype" w:cs="Arial"/>
        </w:rPr>
        <w:t>veintidós</w:t>
      </w:r>
      <w:r w:rsidRPr="00906D4B">
        <w:rPr>
          <w:rFonts w:ascii="Palatino Linotype" w:eastAsiaTheme="minorEastAsia" w:hAnsi="Palatino Linotype" w:cstheme="minorBidi"/>
          <w:b/>
          <w:lang w:val="es-ES_tradnl"/>
        </w:rPr>
        <w:t xml:space="preserve">, </w:t>
      </w:r>
      <w:r w:rsidRPr="00906D4B">
        <w:rPr>
          <w:rFonts w:ascii="Palatino Linotype" w:eastAsia="Calibri" w:hAnsi="Palatino Linotype" w:cs="Arial"/>
        </w:rPr>
        <w:t xml:space="preserve">se presentó ante el </w:t>
      </w:r>
      <w:r w:rsidRPr="00906D4B">
        <w:rPr>
          <w:rFonts w:ascii="Palatino Linotype" w:eastAsia="Calibri" w:hAnsi="Palatino Linotype" w:cs="Arial"/>
          <w:b/>
        </w:rPr>
        <w:t>SUJETO OBLIGADO</w:t>
      </w:r>
      <w:r w:rsidRPr="00906D4B">
        <w:rPr>
          <w:rFonts w:ascii="Palatino Linotype" w:eastAsia="Calibri" w:hAnsi="Palatino Linotype" w:cs="Arial"/>
          <w:lang w:val="es-ES_tradnl"/>
        </w:rPr>
        <w:t xml:space="preserve"> vía </w:t>
      </w:r>
      <w:r w:rsidRPr="00906D4B">
        <w:rPr>
          <w:rFonts w:ascii="Palatino Linotype" w:eastAsia="Calibri" w:hAnsi="Palatino Linotype" w:cs="Arial"/>
        </w:rPr>
        <w:t xml:space="preserve">Sistema de Acceso a la Información Mexiquense </w:t>
      </w:r>
      <w:r w:rsidRPr="00906D4B">
        <w:rPr>
          <w:rFonts w:ascii="Palatino Linotype" w:eastAsia="Calibri" w:hAnsi="Palatino Linotype" w:cs="Arial"/>
          <w:b/>
        </w:rPr>
        <w:t>SAIMEX</w:t>
      </w:r>
      <w:r w:rsidRPr="00906D4B">
        <w:rPr>
          <w:rFonts w:ascii="Palatino Linotype" w:eastAsia="Calibri" w:hAnsi="Palatino Linotype" w:cs="Arial"/>
        </w:rPr>
        <w:t xml:space="preserve">, la solicitud de información pública registrada con el número </w:t>
      </w:r>
      <w:r w:rsidR="00E56CFE" w:rsidRPr="00906D4B">
        <w:rPr>
          <w:rFonts w:ascii="Palatino Linotype" w:eastAsia="Calibri" w:hAnsi="Palatino Linotype" w:cs="Arial"/>
          <w:b/>
          <w:bCs/>
        </w:rPr>
        <w:t xml:space="preserve"> </w:t>
      </w:r>
      <w:r w:rsidR="003C6149" w:rsidRPr="00906D4B">
        <w:rPr>
          <w:rFonts w:ascii="Palatino Linotype" w:eastAsia="Calibri" w:hAnsi="Palatino Linotype" w:cs="Arial"/>
          <w:b/>
          <w:bCs/>
        </w:rPr>
        <w:t xml:space="preserve">01729/METEPEC/IP/2022 </w:t>
      </w:r>
      <w:r w:rsidRPr="00906D4B">
        <w:rPr>
          <w:rFonts w:ascii="Palatino Linotype" w:eastAsia="Calibri" w:hAnsi="Palatino Linotype" w:cs="Arial"/>
        </w:rPr>
        <w:t>ante la cual solicitó:</w:t>
      </w:r>
    </w:p>
    <w:p w14:paraId="718F0BAA" w14:textId="77777777" w:rsidR="007F7B11" w:rsidRPr="00906D4B" w:rsidRDefault="007F7B11" w:rsidP="00FA35C3">
      <w:pPr>
        <w:spacing w:line="360" w:lineRule="auto"/>
        <w:ind w:left="360"/>
        <w:contextualSpacing/>
        <w:jc w:val="both"/>
        <w:rPr>
          <w:rFonts w:ascii="Palatino Linotype" w:eastAsiaTheme="minorEastAsia" w:hAnsi="Palatino Linotype" w:cstheme="minorBidi"/>
          <w:i/>
          <w:color w:val="000000"/>
          <w:lang w:val="es-ES_tradnl"/>
        </w:rPr>
      </w:pPr>
    </w:p>
    <w:p w14:paraId="17BF7598" w14:textId="6EAB18D6" w:rsidR="007F7B11" w:rsidRPr="00906D4B" w:rsidRDefault="007F7B11" w:rsidP="00FA35C3">
      <w:pPr>
        <w:spacing w:line="360" w:lineRule="auto"/>
        <w:ind w:left="567" w:right="567"/>
        <w:contextualSpacing/>
        <w:jc w:val="both"/>
        <w:rPr>
          <w:rFonts w:ascii="Palatino Linotype" w:eastAsiaTheme="minorEastAsia" w:hAnsi="Palatino Linotype" w:cstheme="minorBidi"/>
          <w:color w:val="000000"/>
          <w:lang w:val="es-ES_tradnl"/>
        </w:rPr>
      </w:pPr>
      <w:r w:rsidRPr="00906D4B">
        <w:rPr>
          <w:rFonts w:ascii="Palatino Linotype" w:eastAsiaTheme="minorEastAsia" w:hAnsi="Palatino Linotype" w:cstheme="minorBidi"/>
          <w:i/>
          <w:color w:val="000000"/>
          <w:lang w:val="es-ES_tradnl"/>
        </w:rPr>
        <w:t>“</w:t>
      </w:r>
      <w:r w:rsidR="003C6149" w:rsidRPr="00906D4B">
        <w:rPr>
          <w:rFonts w:ascii="Palatino Linotype" w:eastAsiaTheme="minorEastAsia" w:hAnsi="Palatino Linotype" w:cstheme="minorBidi"/>
          <w:i/>
          <w:color w:val="000000"/>
          <w:lang w:val="es-ES_tradnl"/>
        </w:rPr>
        <w:t>Se solicita conocer los nombres de los servidores públicos suplentes en términos del artículo 45, párrafo segundo de la Ley de Transparencia y Acceso a la Información Pública del Estado de México y Municipios.</w:t>
      </w:r>
      <w:r w:rsidRPr="00906D4B">
        <w:rPr>
          <w:rFonts w:ascii="Palatino Linotype" w:eastAsiaTheme="minorEastAsia" w:hAnsi="Palatino Linotype" w:cstheme="minorBidi"/>
          <w:i/>
          <w:color w:val="000000"/>
          <w:lang w:val="es-ES_tradnl"/>
        </w:rPr>
        <w:t>”</w:t>
      </w:r>
      <w:r w:rsidRPr="00906D4B">
        <w:rPr>
          <w:rFonts w:ascii="Palatino Linotype" w:eastAsiaTheme="minorEastAsia" w:hAnsi="Palatino Linotype" w:cstheme="minorBidi"/>
          <w:color w:val="000000"/>
          <w:lang w:val="es-ES_tradnl"/>
        </w:rPr>
        <w:t xml:space="preserve"> (Sic)</w:t>
      </w:r>
    </w:p>
    <w:p w14:paraId="270EF866" w14:textId="77777777" w:rsidR="007F7B11" w:rsidRPr="00906D4B" w:rsidRDefault="007F7B11" w:rsidP="00FA35C3">
      <w:pPr>
        <w:spacing w:line="360" w:lineRule="auto"/>
        <w:jc w:val="both"/>
        <w:rPr>
          <w:rFonts w:ascii="Palatino Linotype" w:hAnsi="Palatino Linotype" w:cs="Arial"/>
        </w:rPr>
      </w:pPr>
    </w:p>
    <w:p w14:paraId="7A8253AD" w14:textId="400D92F6" w:rsidR="00E176F9" w:rsidRPr="00906D4B" w:rsidRDefault="007F7B11" w:rsidP="00FA35C3">
      <w:pPr>
        <w:numPr>
          <w:ilvl w:val="0"/>
          <w:numId w:val="17"/>
        </w:numPr>
        <w:tabs>
          <w:tab w:val="left" w:pos="284"/>
        </w:tabs>
        <w:spacing w:before="240" w:after="240" w:line="360" w:lineRule="auto"/>
        <w:ind w:left="0" w:firstLine="0"/>
        <w:contextualSpacing/>
        <w:jc w:val="both"/>
        <w:rPr>
          <w:rFonts w:ascii="Palatino Linotype" w:eastAsia="MS Mincho" w:hAnsi="Palatino Linotype"/>
          <w:lang w:val="es-ES_tradnl"/>
        </w:rPr>
      </w:pPr>
      <w:r w:rsidRPr="00906D4B">
        <w:rPr>
          <w:rFonts w:ascii="Palatino Linotype" w:eastAsia="Calibri" w:hAnsi="Palatino Linotype" w:cs="Arial"/>
          <w:lang w:val="es-AR"/>
        </w:rPr>
        <w:lastRenderedPageBreak/>
        <w:t xml:space="preserve">De las constancias </w:t>
      </w:r>
      <w:r w:rsidRPr="00906D4B">
        <w:rPr>
          <w:rFonts w:ascii="Palatino Linotype" w:hAnsi="Palatino Linotype" w:cs="Arial"/>
        </w:rPr>
        <w:t xml:space="preserve">que obran en el expediente, se aprecia que el entonces </w:t>
      </w:r>
      <w:r w:rsidRPr="00906D4B">
        <w:rPr>
          <w:rFonts w:ascii="Palatino Linotype" w:hAnsi="Palatino Linotype" w:cs="Arial"/>
          <w:b/>
        </w:rPr>
        <w:t>SOLICITANTE</w:t>
      </w:r>
      <w:r w:rsidRPr="00906D4B">
        <w:rPr>
          <w:rFonts w:ascii="Palatino Linotype" w:hAnsi="Palatino Linotype" w:cs="Arial"/>
        </w:rPr>
        <w:t xml:space="preserve"> señaló como modalidad de entrega de la información:</w:t>
      </w:r>
      <w:r w:rsidRPr="00906D4B">
        <w:rPr>
          <w:rFonts w:ascii="Palatino Linotype" w:hAnsi="Palatino Linotype" w:cs="Arial"/>
          <w:b/>
        </w:rPr>
        <w:t xml:space="preserve"> </w:t>
      </w:r>
      <w:r w:rsidRPr="00906D4B">
        <w:rPr>
          <w:rFonts w:ascii="Palatino Linotype" w:eastAsiaTheme="minorEastAsia" w:hAnsi="Palatino Linotype" w:cstheme="minorBidi"/>
          <w:b/>
          <w:lang w:val="es-ES_tradnl"/>
        </w:rPr>
        <w:t xml:space="preserve">A través del </w:t>
      </w:r>
      <w:r w:rsidR="0060001F" w:rsidRPr="00906D4B">
        <w:rPr>
          <w:rFonts w:ascii="Palatino Linotype" w:eastAsiaTheme="minorEastAsia" w:hAnsi="Palatino Linotype" w:cstheme="minorBidi"/>
          <w:b/>
          <w:lang w:val="es-ES_tradnl"/>
        </w:rPr>
        <w:t>SAIMEX</w:t>
      </w:r>
      <w:r w:rsidRPr="00906D4B">
        <w:rPr>
          <w:rFonts w:ascii="Palatino Linotype" w:eastAsiaTheme="minorEastAsia" w:hAnsi="Palatino Linotype" w:cstheme="minorBidi"/>
          <w:b/>
          <w:lang w:val="es-ES_tradnl"/>
        </w:rPr>
        <w:t>.</w:t>
      </w:r>
    </w:p>
    <w:p w14:paraId="63CBCB65" w14:textId="77777777" w:rsidR="00E176F9" w:rsidRPr="00906D4B" w:rsidRDefault="00E176F9" w:rsidP="00FA35C3">
      <w:pPr>
        <w:tabs>
          <w:tab w:val="left" w:pos="284"/>
        </w:tabs>
        <w:spacing w:before="240" w:after="240" w:line="360" w:lineRule="auto"/>
        <w:contextualSpacing/>
        <w:jc w:val="both"/>
        <w:rPr>
          <w:rFonts w:ascii="Palatino Linotype" w:eastAsia="MS Mincho" w:hAnsi="Palatino Linotype"/>
          <w:lang w:val="es-ES_tradnl"/>
        </w:rPr>
      </w:pPr>
    </w:p>
    <w:p w14:paraId="25B833D0" w14:textId="6E874C8E" w:rsidR="00E176F9" w:rsidRPr="00906D4B" w:rsidRDefault="00E56CFE" w:rsidP="00FA35C3">
      <w:pPr>
        <w:numPr>
          <w:ilvl w:val="0"/>
          <w:numId w:val="17"/>
        </w:numPr>
        <w:tabs>
          <w:tab w:val="left" w:pos="284"/>
        </w:tabs>
        <w:spacing w:before="240" w:after="240" w:line="360" w:lineRule="auto"/>
        <w:ind w:left="0" w:firstLine="0"/>
        <w:contextualSpacing/>
        <w:jc w:val="both"/>
        <w:rPr>
          <w:rFonts w:ascii="Palatino Linotype" w:eastAsia="MS Mincho" w:hAnsi="Palatino Linotype"/>
          <w:lang w:val="es-ES_tradnl"/>
        </w:rPr>
      </w:pPr>
      <w:r w:rsidRPr="00906D4B">
        <w:rPr>
          <w:rFonts w:ascii="Palatino Linotype" w:eastAsiaTheme="minorEastAsia" w:hAnsi="Palatino Linotype" w:cstheme="minorBidi"/>
          <w:color w:val="000000" w:themeColor="text1"/>
          <w:lang w:val="es-ES_tradnl"/>
        </w:rPr>
        <w:t>El</w:t>
      </w:r>
      <w:r w:rsidR="00160B22" w:rsidRPr="00906D4B">
        <w:rPr>
          <w:rFonts w:ascii="Palatino Linotype" w:eastAsiaTheme="minorEastAsia" w:hAnsi="Palatino Linotype" w:cstheme="minorBidi"/>
          <w:color w:val="000000" w:themeColor="text1"/>
          <w:lang w:val="es-ES_tradnl"/>
        </w:rPr>
        <w:t xml:space="preserve"> </w:t>
      </w:r>
      <w:r w:rsidR="00E176F9" w:rsidRPr="00906D4B">
        <w:rPr>
          <w:rFonts w:ascii="Palatino Linotype" w:eastAsiaTheme="minorEastAsia" w:hAnsi="Palatino Linotype" w:cstheme="minorBidi"/>
          <w:b/>
          <w:color w:val="000000" w:themeColor="text1"/>
          <w:lang w:val="es-ES_tradnl"/>
        </w:rPr>
        <w:t>SUJETO OBLIGADO</w:t>
      </w:r>
      <w:r w:rsidR="00E176F9" w:rsidRPr="00906D4B">
        <w:rPr>
          <w:rFonts w:ascii="Palatino Linotype" w:eastAsiaTheme="minorEastAsia" w:hAnsi="Palatino Linotype" w:cstheme="minorBidi"/>
          <w:color w:val="000000" w:themeColor="text1"/>
          <w:lang w:val="es-ES_tradnl"/>
        </w:rPr>
        <w:t xml:space="preserve"> </w:t>
      </w:r>
      <w:r w:rsidR="00160B22" w:rsidRPr="00906D4B">
        <w:rPr>
          <w:rFonts w:ascii="Palatino Linotype" w:eastAsiaTheme="minorEastAsia" w:hAnsi="Palatino Linotype" w:cstheme="minorBidi"/>
          <w:color w:val="000000" w:themeColor="text1"/>
          <w:lang w:val="es-ES_tradnl"/>
        </w:rPr>
        <w:t xml:space="preserve">no </w:t>
      </w:r>
      <w:r w:rsidR="00E176F9" w:rsidRPr="00906D4B">
        <w:rPr>
          <w:rFonts w:ascii="Palatino Linotype" w:eastAsiaTheme="minorEastAsia" w:hAnsi="Palatino Linotype" w:cstheme="minorBidi"/>
          <w:color w:val="000000" w:themeColor="text1"/>
          <w:lang w:val="es-ES_tradnl"/>
        </w:rPr>
        <w:t>dio respuest</w:t>
      </w:r>
      <w:r w:rsidR="00160B22" w:rsidRPr="00906D4B">
        <w:rPr>
          <w:rFonts w:ascii="Palatino Linotype" w:eastAsiaTheme="minorEastAsia" w:hAnsi="Palatino Linotype" w:cstheme="minorBidi"/>
          <w:color w:val="000000" w:themeColor="text1"/>
          <w:lang w:val="es-ES_tradnl"/>
        </w:rPr>
        <w:t>a a la solicitud de información.</w:t>
      </w:r>
    </w:p>
    <w:p w14:paraId="1D2FBD05" w14:textId="0C672349" w:rsidR="007F7B11" w:rsidRPr="00906D4B" w:rsidRDefault="007F7B11" w:rsidP="00FA35C3">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MX"/>
        </w:rPr>
      </w:pPr>
    </w:p>
    <w:p w14:paraId="5FCB9BAC" w14:textId="7FF128BA" w:rsidR="0060001F" w:rsidRPr="00906D4B" w:rsidRDefault="007F7B11" w:rsidP="00FA35C3">
      <w:pPr>
        <w:numPr>
          <w:ilvl w:val="0"/>
          <w:numId w:val="17"/>
        </w:numPr>
        <w:tabs>
          <w:tab w:val="left" w:pos="284"/>
        </w:tabs>
        <w:spacing w:line="360" w:lineRule="auto"/>
        <w:ind w:left="0" w:firstLine="0"/>
        <w:contextualSpacing/>
        <w:jc w:val="both"/>
        <w:rPr>
          <w:rFonts w:ascii="Palatino Linotype" w:eastAsiaTheme="minorEastAsia" w:hAnsi="Palatino Linotype" w:cstheme="minorBidi"/>
          <w:b/>
          <w:i/>
          <w:lang w:val="es-ES_tradnl"/>
        </w:rPr>
      </w:pPr>
      <w:r w:rsidRPr="00906D4B">
        <w:rPr>
          <w:rFonts w:ascii="Palatino Linotype" w:hAnsi="Palatino Linotype" w:cs="Arial"/>
          <w:lang w:val="es-ES_tradnl"/>
        </w:rPr>
        <w:t>Derivado de la</w:t>
      </w:r>
      <w:r w:rsidR="00160B22" w:rsidRPr="00906D4B">
        <w:rPr>
          <w:rFonts w:ascii="Palatino Linotype" w:hAnsi="Palatino Linotype" w:cs="Arial"/>
          <w:lang w:val="es-ES_tradnl"/>
        </w:rPr>
        <w:t xml:space="preserve"> falta de</w:t>
      </w:r>
      <w:r w:rsidR="0060001F" w:rsidRPr="00906D4B">
        <w:rPr>
          <w:rFonts w:ascii="Palatino Linotype" w:hAnsi="Palatino Linotype" w:cs="Arial"/>
          <w:lang w:val="es-ES_tradnl"/>
        </w:rPr>
        <w:t xml:space="preserve"> </w:t>
      </w:r>
      <w:r w:rsidRPr="00906D4B">
        <w:rPr>
          <w:rFonts w:ascii="Palatino Linotype" w:hAnsi="Palatino Linotype" w:cs="Arial"/>
          <w:lang w:val="es-ES_tradnl"/>
        </w:rPr>
        <w:t>respuesta, el</w:t>
      </w:r>
      <w:r w:rsidRPr="00906D4B">
        <w:rPr>
          <w:rFonts w:ascii="Palatino Linotype" w:hAnsi="Palatino Linotype" w:cs="Arial"/>
        </w:rPr>
        <w:t xml:space="preserve"> </w:t>
      </w:r>
      <w:r w:rsidR="003C6149" w:rsidRPr="00906D4B">
        <w:rPr>
          <w:rFonts w:ascii="Palatino Linotype" w:hAnsi="Palatino Linotype" w:cs="Arial"/>
        </w:rPr>
        <w:t>veintitrés (23</w:t>
      </w:r>
      <w:r w:rsidRPr="00906D4B">
        <w:rPr>
          <w:rFonts w:ascii="Palatino Linotype" w:hAnsi="Palatino Linotype" w:cs="Arial"/>
        </w:rPr>
        <w:t>) de</w:t>
      </w:r>
      <w:r w:rsidR="00EB0CEE" w:rsidRPr="00906D4B">
        <w:rPr>
          <w:rFonts w:ascii="Palatino Linotype" w:hAnsi="Palatino Linotype" w:cs="Arial"/>
        </w:rPr>
        <w:t xml:space="preserve"> febrero</w:t>
      </w:r>
      <w:r w:rsidR="00B537D4" w:rsidRPr="00906D4B">
        <w:rPr>
          <w:rFonts w:ascii="Palatino Linotype" w:hAnsi="Palatino Linotype" w:cs="Arial"/>
        </w:rPr>
        <w:t xml:space="preserve"> </w:t>
      </w:r>
      <w:r w:rsidR="0060001F" w:rsidRPr="00906D4B">
        <w:rPr>
          <w:rFonts w:ascii="Palatino Linotype" w:hAnsi="Palatino Linotype" w:cs="Arial"/>
        </w:rPr>
        <w:t xml:space="preserve">de dos </w:t>
      </w:r>
      <w:r w:rsidR="0083296F" w:rsidRPr="00906D4B">
        <w:rPr>
          <w:rFonts w:ascii="Palatino Linotype" w:hAnsi="Palatino Linotype" w:cs="Arial"/>
        </w:rPr>
        <w:t>mil veintidós</w:t>
      </w:r>
      <w:r w:rsidRPr="00906D4B">
        <w:rPr>
          <w:rFonts w:ascii="Palatino Linotype" w:hAnsi="Palatino Linotype" w:cs="Arial"/>
        </w:rPr>
        <w:t>, el particular interpuso el recurso de revisión con número indicado al rubro y señalando como:</w:t>
      </w:r>
    </w:p>
    <w:p w14:paraId="2D1E09E7" w14:textId="3079B00F" w:rsidR="0060001F" w:rsidRPr="00906D4B" w:rsidRDefault="0060001F" w:rsidP="00FA35C3">
      <w:pPr>
        <w:pStyle w:val="Prrafodelista"/>
        <w:spacing w:line="360" w:lineRule="auto"/>
        <w:rPr>
          <w:rFonts w:ascii="Palatino Linotype" w:hAnsi="Palatino Linotype" w:cs="Arial"/>
          <w:b/>
        </w:rPr>
      </w:pPr>
    </w:p>
    <w:p w14:paraId="46AD8467" w14:textId="1815F1BD" w:rsidR="007F7B11" w:rsidRPr="00906D4B" w:rsidRDefault="007F7B11" w:rsidP="00FA35C3">
      <w:pPr>
        <w:pStyle w:val="Prrafodelista"/>
        <w:numPr>
          <w:ilvl w:val="0"/>
          <w:numId w:val="24"/>
        </w:numPr>
        <w:tabs>
          <w:tab w:val="left" w:pos="284"/>
        </w:tabs>
        <w:spacing w:line="360" w:lineRule="auto"/>
        <w:ind w:right="738"/>
        <w:contextualSpacing/>
        <w:jc w:val="both"/>
        <w:rPr>
          <w:rFonts w:ascii="Palatino Linotype" w:eastAsiaTheme="minorEastAsia" w:hAnsi="Palatino Linotype" w:cstheme="minorBidi"/>
          <w:i/>
          <w:lang w:val="es-ES_tradnl"/>
        </w:rPr>
      </w:pPr>
      <w:r w:rsidRPr="00906D4B">
        <w:rPr>
          <w:rFonts w:ascii="Palatino Linotype" w:hAnsi="Palatino Linotype" w:cs="Arial"/>
          <w:b/>
        </w:rPr>
        <w:t>Acto impugnado:</w:t>
      </w:r>
      <w:r w:rsidRPr="00906D4B">
        <w:rPr>
          <w:rFonts w:ascii="Palatino Linotype" w:hAnsi="Palatino Linotype" w:cs="Arial"/>
        </w:rPr>
        <w:t xml:space="preserve"> </w:t>
      </w:r>
      <w:r w:rsidRPr="00906D4B">
        <w:rPr>
          <w:rFonts w:ascii="Palatino Linotype" w:hAnsi="Palatino Linotype" w:cs="Arial"/>
          <w:i/>
        </w:rPr>
        <w:t>“</w:t>
      </w:r>
      <w:r w:rsidR="003C6149" w:rsidRPr="00906D4B">
        <w:rPr>
          <w:rFonts w:ascii="Palatino Linotype" w:hAnsi="Palatino Linotype" w:cs="Arial"/>
          <w:i/>
        </w:rPr>
        <w:t>La falta de respuesta del sujeto obligado</w:t>
      </w:r>
      <w:r w:rsidR="00EB0CEE" w:rsidRPr="00906D4B">
        <w:rPr>
          <w:rFonts w:ascii="Palatino Linotype" w:hAnsi="Palatino Linotype" w:cs="Arial"/>
          <w:i/>
        </w:rPr>
        <w:t>.</w:t>
      </w:r>
      <w:r w:rsidRPr="00906D4B">
        <w:rPr>
          <w:rFonts w:ascii="Palatino Linotype" w:hAnsi="Palatino Linotype" w:cs="Arial"/>
          <w:i/>
        </w:rPr>
        <w:t>” (Sic).</w:t>
      </w:r>
    </w:p>
    <w:p w14:paraId="09BD370B" w14:textId="77777777" w:rsidR="007F7B11" w:rsidRPr="00906D4B" w:rsidRDefault="007F7B11" w:rsidP="00FA35C3">
      <w:pPr>
        <w:tabs>
          <w:tab w:val="left" w:pos="426"/>
          <w:tab w:val="left" w:pos="993"/>
        </w:tabs>
        <w:spacing w:line="360" w:lineRule="auto"/>
        <w:ind w:left="567" w:right="738"/>
        <w:contextualSpacing/>
        <w:jc w:val="both"/>
        <w:rPr>
          <w:rFonts w:ascii="Palatino Linotype" w:hAnsi="Palatino Linotype" w:cs="Arial"/>
        </w:rPr>
      </w:pPr>
    </w:p>
    <w:p w14:paraId="3AF54962" w14:textId="146D13E8" w:rsidR="007F7B11" w:rsidRPr="00906D4B" w:rsidRDefault="007F7B11" w:rsidP="00FA35C3">
      <w:pPr>
        <w:pStyle w:val="Prrafodelista"/>
        <w:numPr>
          <w:ilvl w:val="0"/>
          <w:numId w:val="24"/>
        </w:numPr>
        <w:tabs>
          <w:tab w:val="left" w:pos="426"/>
          <w:tab w:val="left" w:pos="993"/>
        </w:tabs>
        <w:spacing w:line="360" w:lineRule="auto"/>
        <w:ind w:right="738"/>
        <w:contextualSpacing/>
        <w:jc w:val="both"/>
        <w:rPr>
          <w:rFonts w:ascii="Palatino Linotype" w:hAnsi="Palatino Linotype" w:cs="Arial"/>
        </w:rPr>
      </w:pPr>
      <w:r w:rsidRPr="00906D4B">
        <w:rPr>
          <w:rFonts w:ascii="Palatino Linotype" w:hAnsi="Palatino Linotype" w:cs="Arial"/>
          <w:b/>
        </w:rPr>
        <w:t>Razones o motivos de inconformidad:</w:t>
      </w:r>
      <w:r w:rsidRPr="00906D4B">
        <w:rPr>
          <w:rFonts w:ascii="Palatino Linotype" w:hAnsi="Palatino Linotype" w:cs="Arial"/>
        </w:rPr>
        <w:t xml:space="preserve"> </w:t>
      </w:r>
      <w:r w:rsidRPr="00906D4B">
        <w:rPr>
          <w:rFonts w:ascii="Palatino Linotype" w:hAnsi="Palatino Linotype" w:cs="Arial"/>
          <w:i/>
        </w:rPr>
        <w:t>“</w:t>
      </w:r>
      <w:r w:rsidR="003C6149" w:rsidRPr="00906D4B">
        <w:rPr>
          <w:rFonts w:ascii="Palatino Linotype" w:hAnsi="Palatino Linotype" w:cs="Arial"/>
          <w:i/>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w:t>
      </w:r>
      <w:r w:rsidR="003C6149" w:rsidRPr="00906D4B">
        <w:rPr>
          <w:rFonts w:ascii="Palatino Linotype" w:hAnsi="Palatino Linotype" w:cs="Arial"/>
          <w:i/>
        </w:rPr>
        <w:lastRenderedPageBreak/>
        <w:t xml:space="preserve">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w:t>
      </w:r>
      <w:r w:rsidR="003C6149" w:rsidRPr="00906D4B">
        <w:rPr>
          <w:rFonts w:ascii="Palatino Linotype" w:hAnsi="Palatino Linotype" w:cs="Arial"/>
          <w:i/>
        </w:rPr>
        <w:lastRenderedPageBreak/>
        <w:t>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00B537D4" w:rsidRPr="00906D4B">
        <w:rPr>
          <w:rFonts w:ascii="Palatino Linotype" w:hAnsi="Palatino Linotype" w:cs="Arial"/>
          <w:i/>
        </w:rPr>
        <w:t>.</w:t>
      </w:r>
      <w:r w:rsidRPr="00906D4B">
        <w:rPr>
          <w:rFonts w:ascii="Palatino Linotype" w:hAnsi="Palatino Linotype" w:cs="Arial"/>
          <w:i/>
        </w:rPr>
        <w:t>” (Sic).</w:t>
      </w:r>
    </w:p>
    <w:p w14:paraId="6F0D0AC4" w14:textId="77777777" w:rsidR="007F7B11" w:rsidRPr="00906D4B" w:rsidRDefault="007F7B11" w:rsidP="00FA35C3">
      <w:pPr>
        <w:spacing w:line="360" w:lineRule="auto"/>
        <w:ind w:left="360" w:right="34"/>
        <w:jc w:val="both"/>
        <w:rPr>
          <w:rFonts w:ascii="Palatino Linotype" w:eastAsiaTheme="majorEastAsia" w:hAnsi="Palatino Linotype" w:cstheme="majorBidi"/>
          <w:b/>
          <w:lang w:eastAsia="en-US"/>
        </w:rPr>
      </w:pPr>
    </w:p>
    <w:p w14:paraId="6262FD0F" w14:textId="77777777" w:rsidR="007F7B11" w:rsidRPr="00906D4B" w:rsidRDefault="007F7B11" w:rsidP="00FA35C3">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906D4B">
        <w:rPr>
          <w:rFonts w:ascii="Palatino Linotype" w:eastAsia="Calibri" w:hAnsi="Palatino Linotype" w:cs="Arial"/>
        </w:rPr>
        <w:t xml:space="preserve">Se registró el recurso de revisión bajo el número de expediente al rubro indicado, asimismo, con fundamento en lo dispuesto por el artículo 185 fracción I de la </w:t>
      </w:r>
      <w:r w:rsidRPr="00906D4B">
        <w:rPr>
          <w:rFonts w:ascii="Palatino Linotype" w:eastAsia="Calibri" w:hAnsi="Palatino Linotype" w:cs="Arial"/>
          <w:b/>
        </w:rPr>
        <w:t>Ley de Transparencia y Acceso a la Información Pública del Estado de México y Municipios</w:t>
      </w:r>
      <w:r w:rsidRPr="00906D4B">
        <w:rPr>
          <w:rFonts w:ascii="Palatino Linotype" w:eastAsia="Calibri" w:hAnsi="Palatino Linotype" w:cs="Arial"/>
        </w:rPr>
        <w:t xml:space="preserve">, se turnó a la </w:t>
      </w:r>
      <w:r w:rsidRPr="00906D4B">
        <w:rPr>
          <w:rFonts w:ascii="Palatino Linotype" w:eastAsia="Calibri" w:hAnsi="Palatino Linotype" w:cs="Arial"/>
          <w:b/>
        </w:rPr>
        <w:t>Comisionada María del Rosario Mejía Ayala</w:t>
      </w:r>
      <w:r w:rsidRPr="00906D4B">
        <w:rPr>
          <w:rFonts w:ascii="Palatino Linotype" w:eastAsia="Calibri" w:hAnsi="Palatino Linotype" w:cs="Arial"/>
        </w:rPr>
        <w:t>, con el objeto de su análisis.</w:t>
      </w:r>
    </w:p>
    <w:p w14:paraId="0A930C08" w14:textId="77777777" w:rsidR="007F7B11" w:rsidRPr="00906D4B" w:rsidRDefault="007F7B11" w:rsidP="00FA35C3">
      <w:pPr>
        <w:tabs>
          <w:tab w:val="left" w:pos="284"/>
        </w:tabs>
        <w:spacing w:before="240" w:after="240" w:line="360" w:lineRule="auto"/>
        <w:contextualSpacing/>
        <w:jc w:val="both"/>
        <w:rPr>
          <w:rFonts w:ascii="Palatino Linotype" w:eastAsia="Calibri" w:hAnsi="Palatino Linotype" w:cs="Arial"/>
          <w:color w:val="000000" w:themeColor="text1"/>
        </w:rPr>
      </w:pPr>
    </w:p>
    <w:p w14:paraId="410E1C8D" w14:textId="76A2775C" w:rsidR="002A75D4" w:rsidRPr="00906D4B" w:rsidRDefault="007F7B11" w:rsidP="00FA35C3">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906D4B">
        <w:rPr>
          <w:rFonts w:ascii="Palatino Linotype" w:eastAsia="Calibri" w:hAnsi="Palatino Linotype" w:cs="Arial"/>
        </w:rPr>
        <w:t>La Comisionada Ponente, con fundamento en lo dispuesto por el artículo 185 fracción II de la ley de la materia, a tr</w:t>
      </w:r>
      <w:r w:rsidR="00B537D4" w:rsidRPr="00906D4B">
        <w:rPr>
          <w:rFonts w:ascii="Palatino Linotype" w:eastAsia="Calibri" w:hAnsi="Palatino Linotype" w:cs="Arial"/>
        </w:rPr>
        <w:t>avés d</w:t>
      </w:r>
      <w:r w:rsidR="00201271" w:rsidRPr="00906D4B">
        <w:rPr>
          <w:rFonts w:ascii="Palatino Linotype" w:eastAsia="Calibri" w:hAnsi="Palatino Linotype" w:cs="Arial"/>
        </w:rPr>
        <w:t xml:space="preserve">el </w:t>
      </w:r>
      <w:r w:rsidR="00160B22" w:rsidRPr="00906D4B">
        <w:rPr>
          <w:rFonts w:ascii="Palatino Linotype" w:eastAsia="Calibri" w:hAnsi="Palatino Linotype" w:cs="Arial"/>
        </w:rPr>
        <w:t>acuerdo de admisión de veintiocho</w:t>
      </w:r>
      <w:r w:rsidR="0060001F" w:rsidRPr="00906D4B">
        <w:rPr>
          <w:rFonts w:ascii="Palatino Linotype" w:eastAsia="Calibri" w:hAnsi="Palatino Linotype" w:cs="Arial"/>
        </w:rPr>
        <w:t xml:space="preserve"> </w:t>
      </w:r>
      <w:r w:rsidR="00160B22" w:rsidRPr="00906D4B">
        <w:rPr>
          <w:rFonts w:ascii="Palatino Linotype" w:eastAsia="Calibri" w:hAnsi="Palatino Linotype" w:cs="Arial"/>
        </w:rPr>
        <w:t xml:space="preserve"> (28</w:t>
      </w:r>
      <w:r w:rsidR="00AD0232" w:rsidRPr="00906D4B">
        <w:rPr>
          <w:rFonts w:ascii="Palatino Linotype" w:eastAsia="Calibri" w:hAnsi="Palatino Linotype" w:cs="Arial"/>
        </w:rPr>
        <w:t>) de</w:t>
      </w:r>
      <w:r w:rsidR="00925779" w:rsidRPr="00906D4B">
        <w:rPr>
          <w:rFonts w:ascii="Palatino Linotype" w:eastAsia="Calibri" w:hAnsi="Palatino Linotype" w:cs="Arial"/>
        </w:rPr>
        <w:t xml:space="preserve"> febrero </w:t>
      </w:r>
      <w:r w:rsidRPr="00906D4B">
        <w:rPr>
          <w:rFonts w:ascii="Palatino Linotype" w:eastAsia="Calibri" w:hAnsi="Palatino Linotype" w:cs="Arial"/>
        </w:rPr>
        <w:t xml:space="preserve">de dos mil </w:t>
      </w:r>
      <w:r w:rsidR="00925779" w:rsidRPr="00906D4B">
        <w:rPr>
          <w:rFonts w:ascii="Palatino Linotype" w:eastAsia="Calibri" w:hAnsi="Palatino Linotype" w:cs="Arial"/>
        </w:rPr>
        <w:t>veintidós,</w:t>
      </w:r>
      <w:r w:rsidRPr="00906D4B">
        <w:rPr>
          <w:rFonts w:ascii="Palatino Linotype" w:eastAsia="Calibri" w:hAnsi="Palatino Linotype" w:cs="Arial"/>
        </w:rPr>
        <w:t xml:space="preserve"> puso a disposición de las partes el expediente electrónico </w:t>
      </w:r>
      <w:r w:rsidRPr="00906D4B">
        <w:rPr>
          <w:rFonts w:ascii="Palatino Linotype" w:eastAsia="Calibri" w:hAnsi="Palatino Linotype" w:cs="Arial"/>
          <w:lang w:val="es-ES_tradnl"/>
        </w:rPr>
        <w:t xml:space="preserve">vía </w:t>
      </w:r>
      <w:r w:rsidRPr="00906D4B">
        <w:rPr>
          <w:rFonts w:ascii="Palatino Linotype" w:eastAsia="Calibri" w:hAnsi="Palatino Linotype" w:cs="Arial"/>
        </w:rPr>
        <w:t xml:space="preserve">Sistema de Acceso a la Información Mexiquense </w:t>
      </w:r>
      <w:r w:rsidRPr="00906D4B">
        <w:rPr>
          <w:rFonts w:ascii="Palatino Linotype" w:eastAsia="Calibri" w:hAnsi="Palatino Linotype" w:cs="Arial"/>
          <w:b/>
        </w:rPr>
        <w:t xml:space="preserve">SAIMEX </w:t>
      </w:r>
      <w:r w:rsidRPr="00906D4B">
        <w:rPr>
          <w:rFonts w:ascii="Palatino Linotype" w:eastAsia="Calibri" w:hAnsi="Palatino Linotype" w:cs="Arial"/>
        </w:rPr>
        <w:t xml:space="preserve">a efecto de que en un plazo máximo de siete días manifestaran lo que a su derecho conviniera, ofrecieran pruebas y alegatos según correspondiera a los casos concretos, de esta forma para que el </w:t>
      </w:r>
      <w:r w:rsidRPr="00906D4B">
        <w:rPr>
          <w:rFonts w:ascii="Palatino Linotype" w:eastAsia="Calibri" w:hAnsi="Palatino Linotype" w:cs="Arial"/>
          <w:b/>
        </w:rPr>
        <w:t>SUJETO OBLIGADO</w:t>
      </w:r>
      <w:r w:rsidRPr="00906D4B">
        <w:rPr>
          <w:rFonts w:ascii="Palatino Linotype" w:eastAsia="Calibri" w:hAnsi="Palatino Linotype" w:cs="Arial"/>
        </w:rPr>
        <w:t xml:space="preserve"> presentara el Informe Justificado procedente.</w:t>
      </w:r>
    </w:p>
    <w:p w14:paraId="6272591D" w14:textId="77777777" w:rsidR="002A75D4" w:rsidRPr="00906D4B" w:rsidRDefault="002A75D4" w:rsidP="00FA35C3">
      <w:pPr>
        <w:spacing w:line="360" w:lineRule="auto"/>
        <w:rPr>
          <w:rFonts w:ascii="Palatino Linotype" w:eastAsia="Calibri" w:hAnsi="Palatino Linotype" w:cs="Arial"/>
          <w:color w:val="000000" w:themeColor="text1"/>
        </w:rPr>
      </w:pPr>
    </w:p>
    <w:p w14:paraId="39603FF1" w14:textId="0CDE00E9" w:rsidR="002A75D4" w:rsidRPr="00906D4B" w:rsidRDefault="003C6149" w:rsidP="00FA35C3">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906D4B">
        <w:rPr>
          <w:rFonts w:ascii="Palatino Linotype" w:eastAsia="Calibri" w:hAnsi="Palatino Linotype" w:cs="Arial"/>
          <w:color w:val="000000" w:themeColor="text1"/>
        </w:rPr>
        <w:t>El catorce (14) y veinticinco (25) de marzo de dos mil veintidós</w:t>
      </w:r>
      <w:r w:rsidR="00160B22" w:rsidRPr="00906D4B">
        <w:rPr>
          <w:rFonts w:ascii="Palatino Linotype" w:eastAsia="Calibri" w:hAnsi="Palatino Linotype" w:cs="Arial"/>
          <w:color w:val="000000" w:themeColor="text1"/>
        </w:rPr>
        <w:t xml:space="preserve"> s</w:t>
      </w:r>
      <w:r w:rsidR="002A75D4" w:rsidRPr="00906D4B">
        <w:rPr>
          <w:rFonts w:ascii="Palatino Linotype" w:eastAsia="Calibri" w:hAnsi="Palatino Linotype" w:cs="Arial"/>
          <w:color w:val="000000" w:themeColor="text1"/>
        </w:rPr>
        <w:t xml:space="preserve"> el </w:t>
      </w:r>
      <w:r w:rsidR="002A75D4" w:rsidRPr="00906D4B">
        <w:rPr>
          <w:rFonts w:ascii="Palatino Linotype" w:eastAsia="Calibri" w:hAnsi="Palatino Linotype" w:cs="Arial"/>
          <w:b/>
          <w:color w:val="000000" w:themeColor="text1"/>
        </w:rPr>
        <w:t xml:space="preserve">SUJETO OBLIGADO </w:t>
      </w:r>
      <w:r w:rsidR="0087793F" w:rsidRPr="00906D4B">
        <w:rPr>
          <w:rFonts w:ascii="Palatino Linotype" w:eastAsia="Calibri" w:hAnsi="Palatino Linotype" w:cs="Arial"/>
          <w:color w:val="000000" w:themeColor="text1"/>
        </w:rPr>
        <w:t xml:space="preserve">realizó entrega de diversos </w:t>
      </w:r>
      <w:r w:rsidR="002A75D4" w:rsidRPr="00906D4B">
        <w:rPr>
          <w:rFonts w:ascii="Palatino Linotype" w:eastAsia="Calibri" w:hAnsi="Palatino Linotype" w:cs="Arial"/>
          <w:color w:val="000000" w:themeColor="text1"/>
        </w:rPr>
        <w:t>documento</w:t>
      </w:r>
      <w:r w:rsidR="0087793F" w:rsidRPr="00906D4B">
        <w:rPr>
          <w:rFonts w:ascii="Palatino Linotype" w:eastAsia="Calibri" w:hAnsi="Palatino Linotype" w:cs="Arial"/>
          <w:color w:val="000000" w:themeColor="text1"/>
        </w:rPr>
        <w:t>s</w:t>
      </w:r>
      <w:r w:rsidR="002A75D4" w:rsidRPr="00906D4B">
        <w:rPr>
          <w:rFonts w:ascii="Palatino Linotype" w:eastAsia="Calibri" w:hAnsi="Palatino Linotype" w:cs="Arial"/>
          <w:color w:val="000000" w:themeColor="text1"/>
        </w:rPr>
        <w:t xml:space="preserve"> en calidad de informe justificado, mismo</w:t>
      </w:r>
      <w:r w:rsidR="0087793F" w:rsidRPr="00906D4B">
        <w:rPr>
          <w:rFonts w:ascii="Palatino Linotype" w:eastAsia="Calibri" w:hAnsi="Palatino Linotype" w:cs="Arial"/>
          <w:color w:val="000000" w:themeColor="text1"/>
        </w:rPr>
        <w:t>s que se hicieron</w:t>
      </w:r>
      <w:r w:rsidR="002A75D4" w:rsidRPr="00906D4B">
        <w:rPr>
          <w:rFonts w:ascii="Palatino Linotype" w:eastAsia="Calibri" w:hAnsi="Palatino Linotype" w:cs="Arial"/>
          <w:color w:val="000000" w:themeColor="text1"/>
        </w:rPr>
        <w:t xml:space="preserve"> de conocimiento del Recur</w:t>
      </w:r>
      <w:r w:rsidR="00160B22" w:rsidRPr="00906D4B">
        <w:rPr>
          <w:rFonts w:ascii="Palatino Linotype" w:eastAsia="Calibri" w:hAnsi="Palatino Linotype" w:cs="Arial"/>
          <w:color w:val="000000" w:themeColor="text1"/>
        </w:rPr>
        <w:t xml:space="preserve">rente mediante </w:t>
      </w:r>
      <w:r w:rsidR="00160B22" w:rsidRPr="00906D4B">
        <w:rPr>
          <w:rFonts w:ascii="Palatino Linotype" w:eastAsia="Calibri" w:hAnsi="Palatino Linotype" w:cs="Arial"/>
          <w:color w:val="000000" w:themeColor="text1"/>
        </w:rPr>
        <w:lastRenderedPageBreak/>
        <w:t xml:space="preserve">acuerdo de fecha </w:t>
      </w:r>
      <w:r w:rsidRPr="00906D4B">
        <w:rPr>
          <w:rFonts w:ascii="Palatino Linotype" w:eastAsia="Calibri" w:hAnsi="Palatino Linotype" w:cs="Arial"/>
          <w:color w:val="000000" w:themeColor="text1"/>
        </w:rPr>
        <w:t>diecinueve (19</w:t>
      </w:r>
      <w:r w:rsidR="002A75D4" w:rsidRPr="00906D4B">
        <w:rPr>
          <w:rFonts w:ascii="Palatino Linotype" w:eastAsia="Calibri" w:hAnsi="Palatino Linotype" w:cs="Arial"/>
          <w:color w:val="000000" w:themeColor="text1"/>
        </w:rPr>
        <w:t>) de</w:t>
      </w:r>
      <w:r w:rsidR="00160B22" w:rsidRPr="00906D4B">
        <w:rPr>
          <w:rFonts w:ascii="Palatino Linotype" w:eastAsia="Calibri" w:hAnsi="Palatino Linotype" w:cs="Arial"/>
          <w:color w:val="000000" w:themeColor="text1"/>
        </w:rPr>
        <w:t xml:space="preserve"> abril</w:t>
      </w:r>
      <w:r w:rsidRPr="00906D4B">
        <w:rPr>
          <w:rFonts w:ascii="Palatino Linotype" w:eastAsia="Calibri" w:hAnsi="Palatino Linotype" w:cs="Arial"/>
          <w:color w:val="000000" w:themeColor="text1"/>
        </w:rPr>
        <w:t xml:space="preserve"> de dos mil veintidós</w:t>
      </w:r>
      <w:r w:rsidR="002A75D4" w:rsidRPr="00906D4B">
        <w:rPr>
          <w:rFonts w:ascii="Palatino Linotype" w:eastAsia="Calibri" w:hAnsi="Palatino Linotype" w:cs="Arial"/>
          <w:color w:val="000000" w:themeColor="text1"/>
        </w:rPr>
        <w:t xml:space="preserve">, no obstante, y afecto de que no exista opacidad se describen a continuación: </w:t>
      </w:r>
    </w:p>
    <w:p w14:paraId="3C81CA81" w14:textId="77777777" w:rsidR="002A75D4" w:rsidRPr="00906D4B" w:rsidRDefault="002A75D4" w:rsidP="00FA35C3">
      <w:pPr>
        <w:spacing w:line="360" w:lineRule="auto"/>
        <w:ind w:right="616"/>
        <w:rPr>
          <w:rFonts w:ascii="Palatino Linotype" w:eastAsia="Calibri" w:hAnsi="Palatino Linotype" w:cs="Arial"/>
          <w:b/>
          <w:color w:val="000000" w:themeColor="text1"/>
        </w:rPr>
      </w:pPr>
    </w:p>
    <w:p w14:paraId="5A429B6A" w14:textId="2228D7EC" w:rsidR="002A75D4" w:rsidRPr="00906D4B" w:rsidRDefault="003C6149" w:rsidP="00FA35C3">
      <w:pPr>
        <w:numPr>
          <w:ilvl w:val="0"/>
          <w:numId w:val="35"/>
        </w:numPr>
        <w:tabs>
          <w:tab w:val="left" w:pos="284"/>
        </w:tabs>
        <w:spacing w:line="360" w:lineRule="auto"/>
        <w:ind w:left="567" w:right="616" w:hanging="141"/>
        <w:contextualSpacing/>
        <w:jc w:val="both"/>
        <w:rPr>
          <w:rFonts w:ascii="Palatino Linotype" w:eastAsia="Calibri" w:hAnsi="Palatino Linotype" w:cs="Arial"/>
          <w:b/>
          <w:color w:val="000000" w:themeColor="text1"/>
        </w:rPr>
      </w:pPr>
      <w:r w:rsidRPr="00906D4B">
        <w:rPr>
          <w:rFonts w:ascii="Palatino Linotype" w:eastAsia="Calibri" w:hAnsi="Palatino Linotype" w:cs="Arial"/>
          <w:b/>
          <w:color w:val="000000" w:themeColor="text1"/>
        </w:rPr>
        <w:t>acta primera sesion extraordinaria -.pdf</w:t>
      </w:r>
      <w:r w:rsidR="002A75D4" w:rsidRPr="00906D4B">
        <w:rPr>
          <w:rFonts w:ascii="Palatino Linotype" w:eastAsia="Calibri" w:hAnsi="Palatino Linotype" w:cs="Arial"/>
          <w:b/>
          <w:color w:val="000000" w:themeColor="text1"/>
        </w:rPr>
        <w:t xml:space="preserve">: </w:t>
      </w:r>
      <w:r w:rsidR="00160B22" w:rsidRPr="00906D4B">
        <w:rPr>
          <w:rFonts w:ascii="Palatino Linotype" w:eastAsia="Calibri" w:hAnsi="Palatino Linotype" w:cs="Arial"/>
          <w:color w:val="000000" w:themeColor="text1"/>
        </w:rPr>
        <w:t>Do</w:t>
      </w:r>
      <w:r w:rsidRPr="00906D4B">
        <w:rPr>
          <w:rFonts w:ascii="Palatino Linotype" w:eastAsia="Calibri" w:hAnsi="Palatino Linotype" w:cs="Arial"/>
          <w:color w:val="000000" w:themeColor="text1"/>
        </w:rPr>
        <w:t>cumento electrónico que en diecisiete (1</w:t>
      </w:r>
      <w:r w:rsidR="00F73DD9" w:rsidRPr="00906D4B">
        <w:rPr>
          <w:rFonts w:ascii="Palatino Linotype" w:eastAsia="Calibri" w:hAnsi="Palatino Linotype" w:cs="Arial"/>
          <w:color w:val="000000" w:themeColor="text1"/>
        </w:rPr>
        <w:t>7</w:t>
      </w:r>
      <w:r w:rsidR="002A75D4" w:rsidRPr="00906D4B">
        <w:rPr>
          <w:rFonts w:ascii="Palatino Linotype" w:eastAsia="Calibri" w:hAnsi="Palatino Linotype" w:cs="Arial"/>
          <w:color w:val="000000" w:themeColor="text1"/>
        </w:rPr>
        <w:t>) hojas contiene el</w:t>
      </w:r>
      <w:r w:rsidRPr="00906D4B">
        <w:rPr>
          <w:rFonts w:ascii="Palatino Linotype" w:eastAsia="Calibri" w:hAnsi="Palatino Linotype" w:cs="Arial"/>
          <w:color w:val="000000" w:themeColor="text1"/>
        </w:rPr>
        <w:t xml:space="preserve"> acta número CT/MET/1RASE/2022 de fecha veintiuno de enero de dos mil veintidós, mediante la cual se celebra la Primera Sesión Extraordinaria del Comité de Transparencia del Ayuntamiento de Metepec, en la cual según se observa se tratan los siguientes puntos de la orden del día: </w:t>
      </w:r>
    </w:p>
    <w:p w14:paraId="598FE6CB" w14:textId="0792B6C8" w:rsidR="00C776DD" w:rsidRPr="00906D4B" w:rsidRDefault="00C776DD" w:rsidP="00FA35C3">
      <w:pPr>
        <w:tabs>
          <w:tab w:val="left" w:pos="284"/>
        </w:tabs>
        <w:spacing w:line="360" w:lineRule="auto"/>
        <w:ind w:right="616"/>
        <w:contextualSpacing/>
        <w:jc w:val="both"/>
        <w:rPr>
          <w:rFonts w:ascii="Palatino Linotype" w:eastAsia="Calibri" w:hAnsi="Palatino Linotype" w:cs="Arial"/>
          <w:i/>
        </w:rPr>
      </w:pPr>
    </w:p>
    <w:p w14:paraId="6C8E3490" w14:textId="61828903" w:rsidR="002A75D4" w:rsidRPr="00906D4B" w:rsidRDefault="003C6149" w:rsidP="00FA35C3">
      <w:pPr>
        <w:tabs>
          <w:tab w:val="left" w:pos="284"/>
        </w:tabs>
        <w:spacing w:line="360" w:lineRule="auto"/>
        <w:ind w:left="927" w:right="616"/>
        <w:contextualSpacing/>
        <w:jc w:val="center"/>
        <w:rPr>
          <w:rFonts w:ascii="Palatino Linotype" w:eastAsia="Calibri" w:hAnsi="Palatino Linotype" w:cs="Arial"/>
          <w:i/>
          <w:lang w:val="es-ES_tradnl"/>
        </w:rPr>
      </w:pPr>
      <w:r w:rsidRPr="00906D4B">
        <w:rPr>
          <w:rFonts w:ascii="Palatino Linotype" w:hAnsi="Palatino Linotype"/>
          <w:noProof/>
          <w:lang w:val="es-MX" w:eastAsia="es-MX"/>
        </w:rPr>
        <w:drawing>
          <wp:inline distT="0" distB="0" distL="0" distR="0" wp14:anchorId="67CF1CCB" wp14:editId="15953C1D">
            <wp:extent cx="3449411" cy="40862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738" t="25347" r="35166" b="4949"/>
                    <a:stretch/>
                  </pic:blipFill>
                  <pic:spPr bwMode="auto">
                    <a:xfrm>
                      <a:off x="0" y="0"/>
                      <a:ext cx="3454936" cy="4092770"/>
                    </a:xfrm>
                    <a:prstGeom prst="rect">
                      <a:avLst/>
                    </a:prstGeom>
                    <a:ln>
                      <a:noFill/>
                    </a:ln>
                    <a:extLst>
                      <a:ext uri="{53640926-AAD7-44D8-BBD7-CCE9431645EC}">
                        <a14:shadowObscured xmlns:a14="http://schemas.microsoft.com/office/drawing/2010/main"/>
                      </a:ext>
                    </a:extLst>
                  </pic:spPr>
                </pic:pic>
              </a:graphicData>
            </a:graphic>
          </wp:inline>
        </w:drawing>
      </w:r>
    </w:p>
    <w:p w14:paraId="7176F4DB" w14:textId="77777777" w:rsidR="002A75D4" w:rsidRPr="00906D4B" w:rsidRDefault="002A75D4" w:rsidP="00FA35C3">
      <w:pPr>
        <w:tabs>
          <w:tab w:val="left" w:pos="284"/>
        </w:tabs>
        <w:spacing w:before="240" w:after="240" w:line="360" w:lineRule="auto"/>
        <w:contextualSpacing/>
        <w:jc w:val="both"/>
        <w:rPr>
          <w:rFonts w:ascii="Palatino Linotype" w:eastAsia="Calibri" w:hAnsi="Palatino Linotype" w:cs="Arial"/>
          <w:color w:val="000000" w:themeColor="text1"/>
        </w:rPr>
      </w:pPr>
    </w:p>
    <w:p w14:paraId="066B2BD9" w14:textId="36DA6608" w:rsidR="003C6149" w:rsidRPr="00906D4B" w:rsidRDefault="00F73DD9" w:rsidP="00FA35C3">
      <w:pPr>
        <w:numPr>
          <w:ilvl w:val="0"/>
          <w:numId w:val="35"/>
        </w:numPr>
        <w:tabs>
          <w:tab w:val="left" w:pos="284"/>
        </w:tabs>
        <w:spacing w:before="240" w:after="240" w:line="360" w:lineRule="auto"/>
        <w:ind w:right="616"/>
        <w:contextualSpacing/>
        <w:jc w:val="both"/>
        <w:rPr>
          <w:rFonts w:ascii="Palatino Linotype" w:eastAsia="Calibri" w:hAnsi="Palatino Linotype" w:cs="Arial"/>
          <w:i/>
          <w:color w:val="000000" w:themeColor="text1"/>
        </w:rPr>
      </w:pPr>
      <w:r w:rsidRPr="00906D4B">
        <w:rPr>
          <w:rFonts w:ascii="Palatino Linotype" w:eastAsia="Calibri" w:hAnsi="Palatino Linotype" w:cs="Arial"/>
          <w:b/>
          <w:color w:val="000000" w:themeColor="text1"/>
        </w:rPr>
        <w:lastRenderedPageBreak/>
        <w:t>01173-INFOEM-IP-RR-2022.pdf</w:t>
      </w:r>
      <w:r w:rsidR="003C6149" w:rsidRPr="00906D4B">
        <w:rPr>
          <w:rFonts w:ascii="Palatino Linotype" w:eastAsia="Calibri" w:hAnsi="Palatino Linotype" w:cs="Arial"/>
          <w:b/>
          <w:color w:val="000000" w:themeColor="text1"/>
        </w:rPr>
        <w:t xml:space="preserve">: </w:t>
      </w:r>
      <w:r w:rsidR="003C6149" w:rsidRPr="00906D4B">
        <w:rPr>
          <w:rFonts w:ascii="Palatino Linotype" w:eastAsia="Calibri" w:hAnsi="Palatino Linotype" w:cs="Arial"/>
          <w:color w:val="000000" w:themeColor="text1"/>
        </w:rPr>
        <w:t xml:space="preserve">Documento electrónico que en </w:t>
      </w:r>
      <w:r w:rsidRPr="00906D4B">
        <w:rPr>
          <w:rFonts w:ascii="Palatino Linotype" w:eastAsia="Calibri" w:hAnsi="Palatino Linotype" w:cs="Arial"/>
          <w:color w:val="000000" w:themeColor="text1"/>
        </w:rPr>
        <w:t xml:space="preserve">doce (12) hojas contiene el informe justificado emitido por el Titular de la Unidad de Transparencia del Ayuntamiento de Metepec. </w:t>
      </w:r>
    </w:p>
    <w:p w14:paraId="7389162C" w14:textId="77777777" w:rsidR="00F73DD9" w:rsidRPr="00906D4B" w:rsidRDefault="00F73DD9" w:rsidP="00FA35C3">
      <w:pPr>
        <w:tabs>
          <w:tab w:val="left" w:pos="284"/>
        </w:tabs>
        <w:spacing w:before="240" w:after="240" w:line="360" w:lineRule="auto"/>
        <w:ind w:left="644" w:right="616"/>
        <w:contextualSpacing/>
        <w:jc w:val="both"/>
        <w:rPr>
          <w:rFonts w:ascii="Palatino Linotype" w:eastAsia="Calibri" w:hAnsi="Palatino Linotype" w:cs="Arial"/>
          <w:i/>
          <w:color w:val="000000" w:themeColor="text1"/>
        </w:rPr>
      </w:pPr>
    </w:p>
    <w:p w14:paraId="425D0B40" w14:textId="2B273C6E" w:rsidR="00F73DD9" w:rsidRPr="00906D4B" w:rsidRDefault="00F73DD9" w:rsidP="00FA35C3">
      <w:pPr>
        <w:numPr>
          <w:ilvl w:val="0"/>
          <w:numId w:val="35"/>
        </w:numPr>
        <w:tabs>
          <w:tab w:val="left" w:pos="284"/>
        </w:tabs>
        <w:spacing w:before="240" w:after="240" w:line="360" w:lineRule="auto"/>
        <w:contextualSpacing/>
        <w:jc w:val="both"/>
        <w:rPr>
          <w:rFonts w:ascii="Palatino Linotype" w:eastAsia="Calibri" w:hAnsi="Palatino Linotype" w:cs="Arial"/>
          <w:b/>
          <w:color w:val="000000" w:themeColor="text1"/>
        </w:rPr>
      </w:pPr>
      <w:r w:rsidRPr="00906D4B">
        <w:rPr>
          <w:rFonts w:ascii="Palatino Linotype" w:eastAsia="Calibri" w:hAnsi="Palatino Linotype" w:cs="Arial"/>
          <w:b/>
          <w:color w:val="000000" w:themeColor="text1"/>
        </w:rPr>
        <w:tab/>
        <w:t>1729.PDF</w:t>
      </w:r>
      <w:r w:rsidR="003C6149" w:rsidRPr="00906D4B">
        <w:rPr>
          <w:rFonts w:ascii="Palatino Linotype" w:eastAsia="Calibri" w:hAnsi="Palatino Linotype" w:cs="Arial"/>
          <w:b/>
          <w:color w:val="000000" w:themeColor="text1"/>
        </w:rPr>
        <w:t xml:space="preserve">: </w:t>
      </w:r>
      <w:r w:rsidR="003C6149" w:rsidRPr="00906D4B">
        <w:rPr>
          <w:rFonts w:ascii="Palatino Linotype" w:eastAsia="Calibri" w:hAnsi="Palatino Linotype" w:cs="Arial"/>
          <w:color w:val="000000" w:themeColor="text1"/>
        </w:rPr>
        <w:t>Documen</w:t>
      </w:r>
      <w:r w:rsidRPr="00906D4B">
        <w:rPr>
          <w:rFonts w:ascii="Palatino Linotype" w:eastAsia="Calibri" w:hAnsi="Palatino Linotype" w:cs="Arial"/>
          <w:color w:val="000000" w:themeColor="text1"/>
        </w:rPr>
        <w:t>to electrónico que en una</w:t>
      </w:r>
      <w:r w:rsidR="003C6149" w:rsidRPr="00906D4B">
        <w:rPr>
          <w:rFonts w:ascii="Palatino Linotype" w:eastAsia="Calibri" w:hAnsi="Palatino Linotype" w:cs="Arial"/>
          <w:color w:val="000000" w:themeColor="text1"/>
        </w:rPr>
        <w:t xml:space="preserve"> (</w:t>
      </w:r>
      <w:r w:rsidRPr="00906D4B">
        <w:rPr>
          <w:rFonts w:ascii="Palatino Linotype" w:eastAsia="Calibri" w:hAnsi="Palatino Linotype" w:cs="Arial"/>
          <w:color w:val="000000" w:themeColor="text1"/>
        </w:rPr>
        <w:t>0</w:t>
      </w:r>
      <w:r w:rsidR="003C6149" w:rsidRPr="00906D4B">
        <w:rPr>
          <w:rFonts w:ascii="Palatino Linotype" w:eastAsia="Calibri" w:hAnsi="Palatino Linotype" w:cs="Arial"/>
          <w:color w:val="000000" w:themeColor="text1"/>
        </w:rPr>
        <w:t>1</w:t>
      </w:r>
      <w:r w:rsidRPr="00906D4B">
        <w:rPr>
          <w:rFonts w:ascii="Palatino Linotype" w:eastAsia="Calibri" w:hAnsi="Palatino Linotype" w:cs="Arial"/>
          <w:color w:val="000000" w:themeColor="text1"/>
        </w:rPr>
        <w:t>) hoja</w:t>
      </w:r>
      <w:r w:rsidR="003C6149" w:rsidRPr="00906D4B">
        <w:rPr>
          <w:rFonts w:ascii="Palatino Linotype" w:eastAsia="Calibri" w:hAnsi="Palatino Linotype" w:cs="Arial"/>
          <w:color w:val="000000" w:themeColor="text1"/>
        </w:rPr>
        <w:t xml:space="preserve"> contiene el </w:t>
      </w:r>
      <w:r w:rsidRPr="00906D4B">
        <w:rPr>
          <w:rFonts w:ascii="Palatino Linotype" w:eastAsia="Calibri" w:hAnsi="Palatino Linotype" w:cs="Arial"/>
          <w:color w:val="000000" w:themeColor="text1"/>
        </w:rPr>
        <w:t>oficio UT/MET/364/2022 dirigido al solicitante y suscrito por el Titular de la Unidad de Transparencia mediante el cual se refiere que:</w:t>
      </w:r>
    </w:p>
    <w:p w14:paraId="105DD13A" w14:textId="1A6C5B3F" w:rsidR="00F73DD9" w:rsidRPr="00906D4B" w:rsidRDefault="00F73DD9" w:rsidP="00FA35C3">
      <w:pPr>
        <w:tabs>
          <w:tab w:val="left" w:pos="284"/>
        </w:tabs>
        <w:spacing w:before="240" w:after="240" w:line="360" w:lineRule="auto"/>
        <w:ind w:left="644"/>
        <w:contextualSpacing/>
        <w:jc w:val="both"/>
        <w:rPr>
          <w:rFonts w:ascii="Palatino Linotype" w:eastAsia="Calibri" w:hAnsi="Palatino Linotype" w:cs="Arial"/>
          <w:b/>
          <w:color w:val="000000" w:themeColor="text1"/>
        </w:rPr>
      </w:pPr>
      <w:r w:rsidRPr="00906D4B">
        <w:rPr>
          <w:rFonts w:ascii="Palatino Linotype" w:eastAsia="Calibri" w:hAnsi="Palatino Linotype" w:cs="Arial"/>
          <w:b/>
          <w:color w:val="000000" w:themeColor="text1"/>
        </w:rPr>
        <w:t>“</w:t>
      </w:r>
      <w:r w:rsidRPr="00906D4B">
        <w:rPr>
          <w:rFonts w:ascii="Palatino Linotype" w:eastAsia="Calibri" w:hAnsi="Palatino Linotype" w:cs="Arial"/>
          <w:i/>
          <w:color w:val="000000" w:themeColor="text1"/>
        </w:rPr>
        <w:t>Con fundamento en lo dispuesto por los artículos 12 y 59 de la Ley de Transparencia y Acceso a la Información Pública del Estado de México y Municipios, me permito informarle que el Comité de Transparencia del sujeto obligado denominado “Ayuntamiento Metepec” en su Primera Sesión Extraordinaria de fecha 21 de enero de 2022, en el desahogo del cuarto punto del orden del día se autorizaron los suplentes de los integrantes de dicho órgano colegiado, siendo los siguientes:</w:t>
      </w:r>
      <w:r w:rsidRPr="00906D4B">
        <w:rPr>
          <w:rFonts w:ascii="Palatino Linotype" w:eastAsia="Calibri" w:hAnsi="Palatino Linotype" w:cs="Arial"/>
          <w:b/>
          <w:color w:val="000000" w:themeColor="text1"/>
        </w:rPr>
        <w:t xml:space="preserve"> </w:t>
      </w:r>
    </w:p>
    <w:p w14:paraId="06857530" w14:textId="3F1DEFC8" w:rsidR="00F73DD9" w:rsidRPr="00906D4B" w:rsidRDefault="00F73DD9" w:rsidP="00FA35C3">
      <w:pPr>
        <w:tabs>
          <w:tab w:val="left" w:pos="284"/>
        </w:tabs>
        <w:spacing w:before="240" w:after="240" w:line="360" w:lineRule="auto"/>
        <w:ind w:left="644"/>
        <w:contextualSpacing/>
        <w:jc w:val="both"/>
        <w:rPr>
          <w:rFonts w:ascii="Palatino Linotype" w:eastAsia="Calibri" w:hAnsi="Palatino Linotype" w:cs="Arial"/>
          <w:color w:val="000000" w:themeColor="text1"/>
        </w:rPr>
      </w:pPr>
      <w:r w:rsidRPr="00906D4B">
        <w:rPr>
          <w:rFonts w:ascii="Palatino Linotype" w:eastAsia="Calibri" w:hAnsi="Palatino Linotype" w:cs="Arial"/>
          <w:color w:val="000000" w:themeColor="text1"/>
        </w:rPr>
        <w:t xml:space="preserve">(...) </w:t>
      </w:r>
    </w:p>
    <w:p w14:paraId="23DD430C" w14:textId="77777777" w:rsidR="00F73DD9" w:rsidRPr="00906D4B" w:rsidRDefault="00F73DD9" w:rsidP="00FA35C3">
      <w:pPr>
        <w:spacing w:line="360" w:lineRule="auto"/>
        <w:rPr>
          <w:rFonts w:ascii="Palatino Linotype" w:eastAsia="Calibri" w:hAnsi="Palatino Linotype" w:cs="Arial"/>
          <w:color w:val="000000" w:themeColor="text1"/>
        </w:rPr>
      </w:pPr>
    </w:p>
    <w:p w14:paraId="7A61E72B" w14:textId="7FC7C153" w:rsidR="00F73DD9" w:rsidRPr="00906D4B" w:rsidRDefault="00F73DD9" w:rsidP="00FA35C3">
      <w:pPr>
        <w:tabs>
          <w:tab w:val="left" w:pos="284"/>
        </w:tabs>
        <w:spacing w:before="240" w:after="240" w:line="360" w:lineRule="auto"/>
        <w:ind w:left="644"/>
        <w:contextualSpacing/>
        <w:jc w:val="center"/>
        <w:rPr>
          <w:rFonts w:ascii="Palatino Linotype" w:eastAsia="Calibri" w:hAnsi="Palatino Linotype" w:cs="Arial"/>
          <w:b/>
          <w:color w:val="000000" w:themeColor="text1"/>
        </w:rPr>
      </w:pPr>
      <w:r w:rsidRPr="00906D4B">
        <w:rPr>
          <w:rFonts w:ascii="Palatino Linotype" w:hAnsi="Palatino Linotype"/>
          <w:noProof/>
          <w:lang w:val="es-MX" w:eastAsia="es-MX"/>
        </w:rPr>
        <w:drawing>
          <wp:inline distT="0" distB="0" distL="0" distR="0" wp14:anchorId="66731E70" wp14:editId="69FCFDCB">
            <wp:extent cx="3159235" cy="2657475"/>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944" t="47979" r="37203" b="8870"/>
                    <a:stretch/>
                  </pic:blipFill>
                  <pic:spPr bwMode="auto">
                    <a:xfrm>
                      <a:off x="0" y="0"/>
                      <a:ext cx="3174266" cy="2670118"/>
                    </a:xfrm>
                    <a:prstGeom prst="rect">
                      <a:avLst/>
                    </a:prstGeom>
                    <a:ln>
                      <a:noFill/>
                    </a:ln>
                    <a:extLst>
                      <a:ext uri="{53640926-AAD7-44D8-BBD7-CCE9431645EC}">
                        <a14:shadowObscured xmlns:a14="http://schemas.microsoft.com/office/drawing/2010/main"/>
                      </a:ext>
                    </a:extLst>
                  </pic:spPr>
                </pic:pic>
              </a:graphicData>
            </a:graphic>
          </wp:inline>
        </w:drawing>
      </w:r>
      <w:r w:rsidRPr="00906D4B">
        <w:rPr>
          <w:rFonts w:ascii="Palatino Linotype" w:eastAsia="Calibri" w:hAnsi="Palatino Linotype" w:cs="Arial"/>
          <w:color w:val="000000" w:themeColor="text1"/>
        </w:rPr>
        <w:t>” (Sic)</w:t>
      </w:r>
    </w:p>
    <w:p w14:paraId="30495372" w14:textId="77777777" w:rsidR="003C6149" w:rsidRPr="00906D4B" w:rsidRDefault="003C6149" w:rsidP="00FA35C3">
      <w:pPr>
        <w:tabs>
          <w:tab w:val="left" w:pos="284"/>
        </w:tabs>
        <w:spacing w:before="240" w:after="240" w:line="360" w:lineRule="auto"/>
        <w:contextualSpacing/>
        <w:jc w:val="both"/>
        <w:rPr>
          <w:rFonts w:ascii="Palatino Linotype" w:eastAsia="Calibri" w:hAnsi="Palatino Linotype" w:cs="Arial"/>
          <w:i/>
          <w:color w:val="000000" w:themeColor="text1"/>
        </w:rPr>
      </w:pPr>
    </w:p>
    <w:p w14:paraId="7CAA0A7B" w14:textId="3FED6169" w:rsidR="003C6149" w:rsidRPr="00906D4B" w:rsidRDefault="00D34483" w:rsidP="00FA35C3">
      <w:pPr>
        <w:numPr>
          <w:ilvl w:val="0"/>
          <w:numId w:val="35"/>
        </w:numPr>
        <w:tabs>
          <w:tab w:val="left" w:pos="284"/>
        </w:tabs>
        <w:spacing w:before="240" w:after="240" w:line="360" w:lineRule="auto"/>
        <w:ind w:left="567" w:right="616" w:firstLine="0"/>
        <w:contextualSpacing/>
        <w:jc w:val="both"/>
        <w:rPr>
          <w:rFonts w:ascii="Palatino Linotype" w:eastAsia="Calibri" w:hAnsi="Palatino Linotype" w:cs="Arial"/>
          <w:b/>
          <w:i/>
          <w:color w:val="000000" w:themeColor="text1"/>
        </w:rPr>
      </w:pPr>
      <w:hyperlink r:id="rId10" w:history="1">
        <w:r w:rsidR="00F73DD9" w:rsidRPr="00906D4B">
          <w:rPr>
            <w:rStyle w:val="Hipervnculo"/>
            <w:rFonts w:ascii="Palatino Linotype" w:eastAsia="Calibri" w:hAnsi="Palatino Linotype" w:cs="Arial"/>
            <w:b/>
            <w:bCs/>
            <w:color w:val="000000" w:themeColor="text1"/>
            <w:u w:val="none"/>
          </w:rPr>
          <w:t>Acta de Instalación de Comité.pdf</w:t>
        </w:r>
      </w:hyperlink>
      <w:r w:rsidR="003C6149" w:rsidRPr="00906D4B">
        <w:rPr>
          <w:rFonts w:ascii="Palatino Linotype" w:eastAsia="Calibri" w:hAnsi="Palatino Linotype" w:cs="Arial"/>
          <w:b/>
          <w:color w:val="000000" w:themeColor="text1"/>
        </w:rPr>
        <w:t>:</w:t>
      </w:r>
      <w:r w:rsidR="003C6149" w:rsidRPr="00906D4B">
        <w:rPr>
          <w:rFonts w:ascii="Palatino Linotype" w:eastAsia="Calibri" w:hAnsi="Palatino Linotype" w:cs="Arial"/>
          <w:b/>
          <w:i/>
          <w:color w:val="000000" w:themeColor="text1"/>
        </w:rPr>
        <w:t xml:space="preserve"> </w:t>
      </w:r>
      <w:r w:rsidR="003C6149" w:rsidRPr="00906D4B">
        <w:rPr>
          <w:rFonts w:ascii="Palatino Linotype" w:eastAsia="Calibri" w:hAnsi="Palatino Linotype" w:cs="Arial"/>
          <w:color w:val="000000" w:themeColor="text1"/>
        </w:rPr>
        <w:t>Do</w:t>
      </w:r>
      <w:r w:rsidR="003421E7" w:rsidRPr="00906D4B">
        <w:rPr>
          <w:rFonts w:ascii="Palatino Linotype" w:eastAsia="Calibri" w:hAnsi="Palatino Linotype" w:cs="Arial"/>
          <w:color w:val="000000" w:themeColor="text1"/>
        </w:rPr>
        <w:t xml:space="preserve">cumento electrónico que en </w:t>
      </w:r>
      <w:r w:rsidR="003C6149" w:rsidRPr="00906D4B">
        <w:rPr>
          <w:rFonts w:ascii="Palatino Linotype" w:eastAsia="Calibri" w:hAnsi="Palatino Linotype" w:cs="Arial"/>
          <w:color w:val="000000" w:themeColor="text1"/>
        </w:rPr>
        <w:t xml:space="preserve">siete </w:t>
      </w:r>
      <w:r w:rsidR="003421E7" w:rsidRPr="00906D4B">
        <w:rPr>
          <w:rFonts w:ascii="Palatino Linotype" w:eastAsia="Calibri" w:hAnsi="Palatino Linotype" w:cs="Arial"/>
          <w:color w:val="000000" w:themeColor="text1"/>
        </w:rPr>
        <w:t>(07</w:t>
      </w:r>
      <w:r w:rsidR="003C6149" w:rsidRPr="00906D4B">
        <w:rPr>
          <w:rFonts w:ascii="Palatino Linotype" w:eastAsia="Calibri" w:hAnsi="Palatino Linotype" w:cs="Arial"/>
          <w:color w:val="000000" w:themeColor="text1"/>
        </w:rPr>
        <w:t>) hojas contiene el acta número CT/MET/</w:t>
      </w:r>
      <w:r w:rsidR="003421E7" w:rsidRPr="00906D4B">
        <w:rPr>
          <w:rFonts w:ascii="Palatino Linotype" w:eastAsia="Calibri" w:hAnsi="Palatino Linotype" w:cs="Arial"/>
          <w:color w:val="000000" w:themeColor="text1"/>
        </w:rPr>
        <w:t>SI/2022 de fecha dieciocho</w:t>
      </w:r>
      <w:r w:rsidR="003C6149" w:rsidRPr="00906D4B">
        <w:rPr>
          <w:rFonts w:ascii="Palatino Linotype" w:eastAsia="Calibri" w:hAnsi="Palatino Linotype" w:cs="Arial"/>
          <w:color w:val="000000" w:themeColor="text1"/>
        </w:rPr>
        <w:t xml:space="preserve"> de enero de dos mil veintidós, mediante la cual </w:t>
      </w:r>
      <w:r w:rsidR="003421E7" w:rsidRPr="00906D4B">
        <w:rPr>
          <w:rFonts w:ascii="Palatino Linotype" w:eastAsia="Calibri" w:hAnsi="Palatino Linotype" w:cs="Arial"/>
          <w:color w:val="000000" w:themeColor="text1"/>
        </w:rPr>
        <w:t>se celebra la Instalación del Comité de Transparencia del Ayuntamiento de Metepec</w:t>
      </w:r>
      <w:r w:rsidR="003C6149" w:rsidRPr="00906D4B">
        <w:rPr>
          <w:rFonts w:ascii="Palatino Linotype" w:eastAsia="Calibri" w:hAnsi="Palatino Linotype" w:cs="Arial"/>
          <w:color w:val="000000" w:themeColor="text1"/>
        </w:rPr>
        <w:t>, en la cual según se observa se tratan los siguientes puntos de la orden del día:</w:t>
      </w:r>
      <w:r w:rsidR="003C6149" w:rsidRPr="00906D4B">
        <w:rPr>
          <w:rFonts w:ascii="Palatino Linotype" w:eastAsia="Calibri" w:hAnsi="Palatino Linotype" w:cs="Arial"/>
          <w:i/>
          <w:color w:val="000000" w:themeColor="text1"/>
        </w:rPr>
        <w:t xml:space="preserve"> </w:t>
      </w:r>
    </w:p>
    <w:p w14:paraId="226110BD" w14:textId="77777777" w:rsidR="003C6149" w:rsidRPr="00906D4B" w:rsidRDefault="003C6149" w:rsidP="00FA35C3">
      <w:pPr>
        <w:tabs>
          <w:tab w:val="left" w:pos="284"/>
        </w:tabs>
        <w:spacing w:before="240" w:after="240" w:line="360" w:lineRule="auto"/>
        <w:contextualSpacing/>
        <w:jc w:val="both"/>
        <w:rPr>
          <w:rFonts w:ascii="Palatino Linotype" w:eastAsia="Calibri" w:hAnsi="Palatino Linotype" w:cs="Arial"/>
          <w:i/>
          <w:color w:val="000000" w:themeColor="text1"/>
        </w:rPr>
      </w:pPr>
    </w:p>
    <w:p w14:paraId="00CBE679" w14:textId="3B0A49A3" w:rsidR="003C6149" w:rsidRPr="00906D4B" w:rsidRDefault="003421E7" w:rsidP="00FA35C3">
      <w:pPr>
        <w:tabs>
          <w:tab w:val="left" w:pos="284"/>
        </w:tabs>
        <w:spacing w:before="240" w:after="240" w:line="360" w:lineRule="auto"/>
        <w:contextualSpacing/>
        <w:jc w:val="center"/>
        <w:rPr>
          <w:rFonts w:ascii="Palatino Linotype" w:eastAsia="Calibri" w:hAnsi="Palatino Linotype" w:cs="Arial"/>
          <w:i/>
          <w:color w:val="000000" w:themeColor="text1"/>
          <w:lang w:val="es-ES_tradnl"/>
        </w:rPr>
      </w:pPr>
      <w:r w:rsidRPr="00906D4B">
        <w:rPr>
          <w:rFonts w:ascii="Palatino Linotype" w:hAnsi="Palatino Linotype"/>
          <w:noProof/>
          <w:lang w:val="es-MX" w:eastAsia="es-MX"/>
        </w:rPr>
        <w:drawing>
          <wp:inline distT="0" distB="0" distL="0" distR="0" wp14:anchorId="14B7D127" wp14:editId="2B900BEA">
            <wp:extent cx="5462155" cy="1581150"/>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471" t="56730" r="38731" b="29993"/>
                    <a:stretch/>
                  </pic:blipFill>
                  <pic:spPr bwMode="auto">
                    <a:xfrm>
                      <a:off x="0" y="0"/>
                      <a:ext cx="5471991" cy="1583997"/>
                    </a:xfrm>
                    <a:prstGeom prst="rect">
                      <a:avLst/>
                    </a:prstGeom>
                    <a:ln>
                      <a:noFill/>
                    </a:ln>
                    <a:extLst>
                      <a:ext uri="{53640926-AAD7-44D8-BBD7-CCE9431645EC}">
                        <a14:shadowObscured xmlns:a14="http://schemas.microsoft.com/office/drawing/2010/main"/>
                      </a:ext>
                    </a:extLst>
                  </pic:spPr>
                </pic:pic>
              </a:graphicData>
            </a:graphic>
          </wp:inline>
        </w:drawing>
      </w:r>
    </w:p>
    <w:p w14:paraId="5E9E2D33" w14:textId="77777777" w:rsidR="003421E7" w:rsidRPr="00906D4B" w:rsidRDefault="003421E7" w:rsidP="00FA35C3">
      <w:pPr>
        <w:tabs>
          <w:tab w:val="left" w:pos="284"/>
        </w:tabs>
        <w:spacing w:before="240" w:after="240" w:line="360" w:lineRule="auto"/>
        <w:contextualSpacing/>
        <w:jc w:val="center"/>
        <w:rPr>
          <w:rFonts w:ascii="Palatino Linotype" w:eastAsia="Calibri" w:hAnsi="Palatino Linotype" w:cs="Arial"/>
          <w:i/>
          <w:color w:val="000000" w:themeColor="text1"/>
          <w:lang w:val="es-ES_tradnl"/>
        </w:rPr>
      </w:pPr>
    </w:p>
    <w:p w14:paraId="2FC1EDBB" w14:textId="77777777" w:rsidR="003C6149" w:rsidRPr="00906D4B" w:rsidRDefault="003C6149" w:rsidP="00FA35C3">
      <w:pPr>
        <w:tabs>
          <w:tab w:val="left" w:pos="284"/>
        </w:tabs>
        <w:spacing w:before="240" w:after="240" w:line="360" w:lineRule="auto"/>
        <w:contextualSpacing/>
        <w:jc w:val="both"/>
        <w:rPr>
          <w:rFonts w:ascii="Palatino Linotype" w:eastAsia="Calibri" w:hAnsi="Palatino Linotype" w:cs="Arial"/>
          <w:i/>
          <w:color w:val="000000" w:themeColor="text1"/>
          <w:lang w:val="es-ES_tradnl"/>
        </w:rPr>
      </w:pPr>
    </w:p>
    <w:p w14:paraId="0FAA1CB1" w14:textId="77777777" w:rsidR="003421E7" w:rsidRPr="00906D4B" w:rsidRDefault="00D34483" w:rsidP="00FA35C3">
      <w:pPr>
        <w:numPr>
          <w:ilvl w:val="0"/>
          <w:numId w:val="35"/>
        </w:numPr>
        <w:tabs>
          <w:tab w:val="left" w:pos="284"/>
        </w:tabs>
        <w:spacing w:before="240" w:after="240" w:line="360" w:lineRule="auto"/>
        <w:ind w:left="567" w:right="616" w:firstLine="0"/>
        <w:contextualSpacing/>
        <w:jc w:val="both"/>
        <w:rPr>
          <w:rFonts w:ascii="Palatino Linotype" w:eastAsia="Calibri" w:hAnsi="Palatino Linotype" w:cs="Arial"/>
          <w:b/>
          <w:i/>
          <w:color w:val="000000" w:themeColor="text1"/>
        </w:rPr>
      </w:pPr>
      <w:hyperlink r:id="rId12" w:history="1">
        <w:r w:rsidR="003421E7" w:rsidRPr="00906D4B">
          <w:rPr>
            <w:rStyle w:val="Hipervnculo"/>
            <w:rFonts w:ascii="Palatino Linotype" w:eastAsia="Calibri" w:hAnsi="Palatino Linotype" w:cs="Arial"/>
            <w:b/>
            <w:bCs/>
            <w:color w:val="000000" w:themeColor="text1"/>
            <w:u w:val="none"/>
          </w:rPr>
          <w:t>1730.PDF</w:t>
        </w:r>
      </w:hyperlink>
      <w:r w:rsidR="003421E7" w:rsidRPr="00906D4B">
        <w:rPr>
          <w:rFonts w:ascii="Palatino Linotype" w:eastAsia="Calibri" w:hAnsi="Palatino Linotype" w:cs="Arial"/>
          <w:b/>
          <w:color w:val="000000" w:themeColor="text1"/>
        </w:rPr>
        <w:t>:</w:t>
      </w:r>
      <w:r w:rsidR="003421E7" w:rsidRPr="00906D4B">
        <w:rPr>
          <w:rFonts w:ascii="Palatino Linotype" w:eastAsia="Calibri" w:hAnsi="Palatino Linotype" w:cs="Arial"/>
          <w:b/>
          <w:i/>
          <w:color w:val="000000" w:themeColor="text1"/>
        </w:rPr>
        <w:t xml:space="preserve"> </w:t>
      </w:r>
      <w:r w:rsidR="003421E7" w:rsidRPr="00906D4B">
        <w:rPr>
          <w:rFonts w:ascii="Palatino Linotype" w:eastAsia="Calibri" w:hAnsi="Palatino Linotype" w:cs="Arial"/>
          <w:color w:val="000000" w:themeColor="text1"/>
        </w:rPr>
        <w:t>Documento electrónico que en una (01) hoja contiene el oficio UT/MET/365/2022 dirigido al solicitante y suscrito por el Titular de la Unidad de Transparencia mediante el cual se refiere que :</w:t>
      </w:r>
    </w:p>
    <w:p w14:paraId="155B0F98" w14:textId="77777777" w:rsidR="003421E7" w:rsidRPr="00906D4B" w:rsidRDefault="003421E7" w:rsidP="00FA35C3">
      <w:pPr>
        <w:tabs>
          <w:tab w:val="left" w:pos="284"/>
        </w:tabs>
        <w:spacing w:before="240" w:after="240" w:line="360" w:lineRule="auto"/>
        <w:ind w:left="567" w:right="616"/>
        <w:contextualSpacing/>
        <w:jc w:val="both"/>
        <w:rPr>
          <w:rFonts w:ascii="Palatino Linotype" w:eastAsia="Calibri" w:hAnsi="Palatino Linotype" w:cs="Arial"/>
          <w:color w:val="000000" w:themeColor="text1"/>
        </w:rPr>
      </w:pPr>
    </w:p>
    <w:p w14:paraId="2F7CB7A6" w14:textId="0C1B7B6F" w:rsidR="003421E7" w:rsidRPr="00906D4B" w:rsidRDefault="003421E7" w:rsidP="00FA35C3">
      <w:pPr>
        <w:tabs>
          <w:tab w:val="left" w:pos="284"/>
        </w:tabs>
        <w:spacing w:before="240" w:after="240" w:line="360" w:lineRule="auto"/>
        <w:ind w:left="567" w:right="616"/>
        <w:contextualSpacing/>
        <w:jc w:val="both"/>
        <w:rPr>
          <w:rFonts w:ascii="Palatino Linotype" w:eastAsia="Calibri" w:hAnsi="Palatino Linotype" w:cs="Arial"/>
          <w:color w:val="000000" w:themeColor="text1"/>
        </w:rPr>
      </w:pPr>
      <w:r w:rsidRPr="00906D4B">
        <w:rPr>
          <w:rFonts w:ascii="Palatino Linotype" w:eastAsia="Calibri" w:hAnsi="Palatino Linotype" w:cs="Arial"/>
          <w:color w:val="000000" w:themeColor="text1"/>
        </w:rPr>
        <w:t>“</w:t>
      </w:r>
      <w:r w:rsidRPr="00906D4B">
        <w:rPr>
          <w:rFonts w:ascii="Palatino Linotype" w:eastAsia="Calibri" w:hAnsi="Palatino Linotype" w:cs="Arial"/>
          <w:i/>
          <w:color w:val="000000" w:themeColor="text1"/>
        </w:rPr>
        <w:t>Con fundamento en lo dispuesto por los artículos 12 y 59 de la Ley de Transparencia y Acceso a la Información Pública del Estado de México y Municipios, se informa que al realizar una búsqueda exhaustiva en los archivos que bran en esta Unidad, se localizó la información respectiva, misma que anexa al presente oficio” (Sic)</w:t>
      </w:r>
      <w:r w:rsidRPr="00906D4B">
        <w:rPr>
          <w:rFonts w:ascii="Palatino Linotype" w:eastAsia="Calibri" w:hAnsi="Palatino Linotype" w:cs="Arial"/>
          <w:color w:val="000000" w:themeColor="text1"/>
        </w:rPr>
        <w:t xml:space="preserve">  </w:t>
      </w:r>
    </w:p>
    <w:p w14:paraId="6171EB85" w14:textId="77777777" w:rsidR="003421E7" w:rsidRPr="00906D4B" w:rsidRDefault="003421E7" w:rsidP="00FA35C3">
      <w:pPr>
        <w:tabs>
          <w:tab w:val="left" w:pos="284"/>
        </w:tabs>
        <w:spacing w:before="240" w:after="240" w:line="360" w:lineRule="auto"/>
        <w:contextualSpacing/>
        <w:jc w:val="both"/>
        <w:rPr>
          <w:rFonts w:ascii="Palatino Linotype" w:eastAsia="Calibri" w:hAnsi="Palatino Linotype" w:cs="Arial"/>
          <w:color w:val="000000" w:themeColor="text1"/>
        </w:rPr>
      </w:pPr>
    </w:p>
    <w:p w14:paraId="6A653B16" w14:textId="77777777" w:rsidR="003421E7" w:rsidRPr="00906D4B" w:rsidRDefault="003421E7" w:rsidP="00FA35C3">
      <w:pPr>
        <w:tabs>
          <w:tab w:val="left" w:pos="284"/>
        </w:tabs>
        <w:spacing w:before="240" w:after="240" w:line="360" w:lineRule="auto"/>
        <w:contextualSpacing/>
        <w:jc w:val="both"/>
        <w:rPr>
          <w:rFonts w:ascii="Palatino Linotype" w:eastAsia="Calibri" w:hAnsi="Palatino Linotype" w:cs="Arial"/>
          <w:b/>
          <w:i/>
          <w:color w:val="000000" w:themeColor="text1"/>
        </w:rPr>
      </w:pPr>
    </w:p>
    <w:p w14:paraId="051E081D" w14:textId="77777777" w:rsidR="0087793F" w:rsidRPr="00906D4B" w:rsidRDefault="0087793F" w:rsidP="00FA35C3">
      <w:pPr>
        <w:spacing w:line="360" w:lineRule="auto"/>
        <w:rPr>
          <w:rFonts w:ascii="Palatino Linotype" w:eastAsiaTheme="minorEastAsia" w:hAnsi="Palatino Linotype" w:cstheme="minorBidi"/>
          <w:color w:val="000000" w:themeColor="text1"/>
          <w:lang w:val="es-MX"/>
        </w:rPr>
      </w:pPr>
    </w:p>
    <w:p w14:paraId="04F20E22" w14:textId="50E00958" w:rsidR="003421E7" w:rsidRPr="00906D4B" w:rsidRDefault="00EF29EF" w:rsidP="00FA35C3">
      <w:pPr>
        <w:pStyle w:val="Prrafodelista"/>
        <w:numPr>
          <w:ilvl w:val="0"/>
          <w:numId w:val="17"/>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906D4B">
        <w:rPr>
          <w:rFonts w:ascii="Palatino Linotype" w:eastAsiaTheme="minorEastAsia" w:hAnsi="Palatino Linotype" w:cstheme="minorBidi"/>
          <w:color w:val="000000" w:themeColor="text1"/>
          <w:lang w:val="es-MX"/>
        </w:rPr>
        <w:t>E</w:t>
      </w:r>
      <w:r w:rsidR="0087793F" w:rsidRPr="00906D4B">
        <w:rPr>
          <w:rFonts w:ascii="Palatino Linotype" w:eastAsiaTheme="minorEastAsia" w:hAnsi="Palatino Linotype" w:cstheme="minorBidi"/>
          <w:color w:val="000000" w:themeColor="text1"/>
          <w:lang w:val="es-MX"/>
        </w:rPr>
        <w:t xml:space="preserve">l </w:t>
      </w:r>
      <w:r w:rsidRPr="00906D4B">
        <w:rPr>
          <w:rFonts w:ascii="Palatino Linotype" w:eastAsiaTheme="minorEastAsia" w:hAnsi="Palatino Linotype" w:cstheme="minorBidi"/>
          <w:color w:val="000000" w:themeColor="text1"/>
          <w:lang w:val="es-MX"/>
        </w:rPr>
        <w:t>veintidós (22</w:t>
      </w:r>
      <w:r w:rsidR="0087793F" w:rsidRPr="00906D4B">
        <w:rPr>
          <w:rFonts w:ascii="Palatino Linotype" w:eastAsiaTheme="minorEastAsia" w:hAnsi="Palatino Linotype" w:cstheme="minorBidi"/>
          <w:color w:val="000000" w:themeColor="text1"/>
          <w:lang w:val="es-MX"/>
        </w:rPr>
        <w:t>) de</w:t>
      </w:r>
      <w:r w:rsidRPr="00906D4B">
        <w:rPr>
          <w:rFonts w:ascii="Palatino Linotype" w:eastAsiaTheme="minorEastAsia" w:hAnsi="Palatino Linotype" w:cstheme="minorBidi"/>
          <w:color w:val="000000" w:themeColor="text1"/>
          <w:lang w:val="es-MX"/>
        </w:rPr>
        <w:t xml:space="preserve"> abril </w:t>
      </w:r>
      <w:r w:rsidR="0087793F" w:rsidRPr="00906D4B">
        <w:rPr>
          <w:rFonts w:ascii="Palatino Linotype" w:eastAsiaTheme="minorEastAsia" w:hAnsi="Palatino Linotype" w:cstheme="minorBidi"/>
          <w:color w:val="000000" w:themeColor="text1"/>
          <w:lang w:val="es-MX"/>
        </w:rPr>
        <w:t>de dos mil</w:t>
      </w:r>
      <w:r w:rsidRPr="00906D4B">
        <w:rPr>
          <w:rFonts w:ascii="Palatino Linotype" w:eastAsiaTheme="minorEastAsia" w:hAnsi="Palatino Linotype" w:cstheme="minorBidi"/>
          <w:color w:val="000000" w:themeColor="text1"/>
          <w:lang w:val="es-MX"/>
        </w:rPr>
        <w:t xml:space="preserve"> veintidós</w:t>
      </w:r>
      <w:r w:rsidR="0087793F" w:rsidRPr="00906D4B">
        <w:rPr>
          <w:rFonts w:ascii="Palatino Linotype" w:eastAsiaTheme="minorEastAsia" w:hAnsi="Palatino Linotype" w:cstheme="minorBidi"/>
          <w:color w:val="000000" w:themeColor="text1"/>
          <w:lang w:val="es-MX"/>
        </w:rPr>
        <w:t>,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por lo que no habiendo más que hacer constar, y:</w:t>
      </w:r>
    </w:p>
    <w:p w14:paraId="3DD36643" w14:textId="77777777" w:rsidR="00EF29EF" w:rsidRPr="00906D4B" w:rsidRDefault="00EF29EF" w:rsidP="00FA35C3">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29B5CD6F" w14:textId="6BC67924" w:rsidR="00F71F04" w:rsidRPr="00906D4B" w:rsidRDefault="007F7B11" w:rsidP="00FA35C3">
      <w:pPr>
        <w:numPr>
          <w:ilvl w:val="0"/>
          <w:numId w:val="17"/>
        </w:numPr>
        <w:tabs>
          <w:tab w:val="left" w:pos="426"/>
        </w:tabs>
        <w:spacing w:line="360" w:lineRule="auto"/>
        <w:ind w:left="0" w:firstLine="0"/>
        <w:contextualSpacing/>
        <w:jc w:val="both"/>
        <w:rPr>
          <w:rFonts w:ascii="Palatino Linotype" w:eastAsiaTheme="minorEastAsia" w:hAnsi="Palatino Linotype" w:cstheme="minorBidi"/>
          <w:lang w:val="es-ES_tradnl"/>
        </w:rPr>
      </w:pPr>
      <w:bookmarkStart w:id="3" w:name="_Toc461555889"/>
      <w:bookmarkStart w:id="4" w:name="_Toc466371858"/>
      <w:r w:rsidRPr="00906D4B">
        <w:rPr>
          <w:rFonts w:ascii="Palatino Linotype" w:eastAsia="Calibri" w:hAnsi="Palatino Linotype" w:cs="Arial"/>
          <w:lang w:val="es-ES_tradnl"/>
        </w:rPr>
        <w:t>La</w:t>
      </w:r>
      <w:r w:rsidRPr="00906D4B">
        <w:rPr>
          <w:rFonts w:ascii="Palatino Linotype" w:eastAsiaTheme="minorEastAsia" w:hAnsi="Palatino Linotype" w:cstheme="minorBidi"/>
          <w:lang w:val="es-ES_tradnl"/>
        </w:rPr>
        <w:t xml:space="preserve"> Comisionada Ponente decretó el cierre del periodo de instrucción</w:t>
      </w:r>
      <w:r w:rsidRPr="00906D4B">
        <w:rPr>
          <w:rFonts w:ascii="Palatino Linotype" w:eastAsiaTheme="minorEastAsia" w:hAnsi="Palatino Linotype" w:cs="Arial"/>
          <w:lang w:val="es-ES_tradnl"/>
        </w:rPr>
        <w:t xml:space="preserve"> </w:t>
      </w:r>
      <w:r w:rsidR="00C776DD" w:rsidRPr="00906D4B">
        <w:rPr>
          <w:rFonts w:ascii="Palatino Linotype" w:eastAsiaTheme="minorEastAsia" w:hAnsi="Palatino Linotype" w:cstheme="minorBidi"/>
          <w:lang w:val="es-ES_tradnl"/>
        </w:rPr>
        <w:t>m</w:t>
      </w:r>
      <w:r w:rsidR="004855F9" w:rsidRPr="00906D4B">
        <w:rPr>
          <w:rFonts w:ascii="Palatino Linotype" w:eastAsiaTheme="minorEastAsia" w:hAnsi="Palatino Linotype" w:cstheme="minorBidi"/>
          <w:lang w:val="es-ES_tradnl"/>
        </w:rPr>
        <w:t>e</w:t>
      </w:r>
      <w:r w:rsidR="00EF29EF" w:rsidRPr="00906D4B">
        <w:rPr>
          <w:rFonts w:ascii="Palatino Linotype" w:eastAsiaTheme="minorEastAsia" w:hAnsi="Palatino Linotype" w:cstheme="minorBidi"/>
          <w:lang w:val="es-ES_tradnl"/>
        </w:rPr>
        <w:t>diante acuerdo de veinticinco (25</w:t>
      </w:r>
      <w:r w:rsidRPr="00906D4B">
        <w:rPr>
          <w:rFonts w:ascii="Palatino Linotype" w:eastAsiaTheme="minorEastAsia" w:hAnsi="Palatino Linotype" w:cstheme="minorBidi"/>
          <w:lang w:val="es-ES_tradnl"/>
        </w:rPr>
        <w:t>) de</w:t>
      </w:r>
      <w:r w:rsidR="00C776DD" w:rsidRPr="00906D4B">
        <w:rPr>
          <w:rFonts w:ascii="Palatino Linotype" w:eastAsiaTheme="minorEastAsia" w:hAnsi="Palatino Linotype" w:cstheme="minorBidi"/>
          <w:lang w:val="es-ES_tradnl"/>
        </w:rPr>
        <w:t xml:space="preserve"> abril de</w:t>
      </w:r>
      <w:r w:rsidR="00F71F04" w:rsidRPr="00906D4B">
        <w:rPr>
          <w:rFonts w:ascii="Palatino Linotype" w:eastAsiaTheme="minorEastAsia" w:hAnsi="Palatino Linotype" w:cstheme="minorBidi"/>
          <w:lang w:val="es-ES_tradnl"/>
        </w:rPr>
        <w:t xml:space="preserve"> dos mil veintidós. </w:t>
      </w:r>
    </w:p>
    <w:p w14:paraId="3084EEE5" w14:textId="77777777" w:rsidR="007F7B11" w:rsidRPr="00906D4B" w:rsidRDefault="007F7B11" w:rsidP="00FA35C3">
      <w:pPr>
        <w:spacing w:before="240" w:line="360" w:lineRule="auto"/>
        <w:jc w:val="both"/>
        <w:rPr>
          <w:rFonts w:ascii="Palatino Linotype" w:eastAsiaTheme="minorEastAsia" w:hAnsi="Palatino Linotype" w:cstheme="minorBidi"/>
          <w:lang w:val="es-ES_tradnl"/>
        </w:rPr>
      </w:pPr>
    </w:p>
    <w:p w14:paraId="76CD9171" w14:textId="77777777" w:rsidR="007F7B11" w:rsidRPr="00906D4B" w:rsidRDefault="007F7B11" w:rsidP="00FA35C3">
      <w:pPr>
        <w:keepNext/>
        <w:keepLines/>
        <w:spacing w:before="40" w:line="360" w:lineRule="auto"/>
        <w:jc w:val="center"/>
        <w:outlineLvl w:val="1"/>
        <w:rPr>
          <w:rFonts w:ascii="Palatino Linotype" w:eastAsiaTheme="majorEastAsia" w:hAnsi="Palatino Linotype" w:cstheme="majorBidi"/>
          <w:b/>
          <w:color w:val="000000" w:themeColor="text1"/>
          <w:lang w:val="es-MX" w:eastAsia="en-US"/>
        </w:rPr>
      </w:pPr>
      <w:bookmarkStart w:id="5" w:name="_Toc101351542"/>
      <w:r w:rsidRPr="00906D4B">
        <w:rPr>
          <w:rFonts w:ascii="Palatino Linotype" w:eastAsiaTheme="majorEastAsia" w:hAnsi="Palatino Linotype" w:cstheme="majorBidi"/>
          <w:b/>
          <w:color w:val="000000" w:themeColor="text1"/>
          <w:lang w:val="es-MX" w:eastAsia="en-US"/>
        </w:rPr>
        <w:t>CONSIDERANDO</w:t>
      </w:r>
      <w:bookmarkEnd w:id="3"/>
      <w:bookmarkEnd w:id="4"/>
      <w:bookmarkEnd w:id="5"/>
    </w:p>
    <w:p w14:paraId="47519C7A" w14:textId="77777777" w:rsidR="007F7B11" w:rsidRPr="00906D4B" w:rsidRDefault="007F7B11" w:rsidP="00FA35C3">
      <w:pPr>
        <w:spacing w:line="360" w:lineRule="auto"/>
        <w:rPr>
          <w:rFonts w:ascii="Palatino Linotype" w:eastAsiaTheme="minorEastAsia" w:hAnsi="Palatino Linotype" w:cstheme="minorBidi"/>
          <w:lang w:val="es-MX" w:eastAsia="en-US"/>
        </w:rPr>
      </w:pPr>
    </w:p>
    <w:p w14:paraId="20ECDB0D" w14:textId="77777777" w:rsidR="007F7B11" w:rsidRPr="00906D4B" w:rsidRDefault="007F7B11" w:rsidP="00FA35C3">
      <w:pPr>
        <w:keepNext/>
        <w:keepLines/>
        <w:spacing w:before="40" w:line="360" w:lineRule="auto"/>
        <w:outlineLvl w:val="1"/>
        <w:rPr>
          <w:rFonts w:ascii="Palatino Linotype" w:eastAsiaTheme="majorEastAsia" w:hAnsi="Palatino Linotype" w:cstheme="majorBidi"/>
          <w:b/>
          <w:lang w:val="es-MX" w:eastAsia="en-US"/>
        </w:rPr>
      </w:pPr>
      <w:bookmarkStart w:id="6" w:name="_Toc461555890"/>
      <w:bookmarkStart w:id="7" w:name="_Toc466371859"/>
      <w:bookmarkStart w:id="8" w:name="_Toc101351543"/>
      <w:r w:rsidRPr="00906D4B">
        <w:rPr>
          <w:rFonts w:ascii="Palatino Linotype" w:eastAsiaTheme="majorEastAsia" w:hAnsi="Palatino Linotype" w:cstheme="majorBidi"/>
          <w:b/>
          <w:lang w:val="es-MX" w:eastAsia="en-US"/>
        </w:rPr>
        <w:t>PRIMERO. De la competencia</w:t>
      </w:r>
      <w:bookmarkEnd w:id="6"/>
      <w:bookmarkEnd w:id="7"/>
      <w:bookmarkEnd w:id="8"/>
    </w:p>
    <w:p w14:paraId="399C3653" w14:textId="77777777" w:rsidR="007F7B11" w:rsidRPr="00906D4B" w:rsidRDefault="007F7B11" w:rsidP="00FA35C3">
      <w:pPr>
        <w:spacing w:line="360" w:lineRule="auto"/>
        <w:rPr>
          <w:rFonts w:ascii="Palatino Linotype" w:eastAsiaTheme="minorEastAsia" w:hAnsi="Palatino Linotype" w:cstheme="minorBidi"/>
          <w:lang w:val="es-MX" w:eastAsia="en-US"/>
        </w:rPr>
      </w:pPr>
    </w:p>
    <w:p w14:paraId="5385D441" w14:textId="1A5D41AE" w:rsidR="00EB08EE" w:rsidRPr="00906D4B" w:rsidRDefault="00EB08EE" w:rsidP="00FA35C3">
      <w:pPr>
        <w:pStyle w:val="Prrafodelista"/>
        <w:numPr>
          <w:ilvl w:val="0"/>
          <w:numId w:val="17"/>
        </w:numPr>
        <w:tabs>
          <w:tab w:val="left" w:pos="0"/>
        </w:tabs>
        <w:spacing w:after="160" w:line="360" w:lineRule="auto"/>
        <w:ind w:left="0" w:firstLine="0"/>
        <w:contextualSpacing/>
        <w:jc w:val="both"/>
        <w:rPr>
          <w:rFonts w:ascii="Palatino Linotype" w:eastAsia="MS Mincho" w:hAnsi="Palatino Linotype"/>
          <w:lang w:val="es-ES_tradnl"/>
        </w:rPr>
      </w:pPr>
      <w:r w:rsidRPr="00906D4B">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06D4B">
        <w:rPr>
          <w:rFonts w:ascii="Palatino Linotype" w:eastAsia="Calibri" w:hAnsi="Palatino Linotype"/>
          <w:b/>
        </w:rPr>
        <w:t>Constitución Política de los Estados Unidos Mexicanos</w:t>
      </w:r>
      <w:r w:rsidRPr="00906D4B">
        <w:rPr>
          <w:rFonts w:ascii="Palatino Linotype" w:eastAsia="Calibri" w:hAnsi="Palatino Linotype"/>
        </w:rPr>
        <w:t xml:space="preserve">; </w:t>
      </w:r>
      <w:r w:rsidRPr="00906D4B">
        <w:rPr>
          <w:rFonts w:ascii="Palatino Linotype" w:eastAsia="Calibri" w:hAnsi="Palatino Linotype" w:cs="Arial"/>
          <w:bCs/>
          <w:color w:val="222222"/>
          <w:shd w:val="clear" w:color="auto" w:fill="FFFFFF"/>
          <w:lang w:eastAsia="en-US"/>
        </w:rPr>
        <w:t>5, párrafo</w:t>
      </w:r>
      <w:r w:rsidRPr="00906D4B">
        <w:rPr>
          <w:rFonts w:ascii="Palatino Linotype" w:eastAsia="Calibri" w:hAnsi="Palatino Linotype"/>
          <w:lang w:val="es-MX" w:eastAsia="en-US"/>
        </w:rPr>
        <w:t xml:space="preserve"> trigésimo, trigésimo primero y trigésimo segundo, fracciones I, II, III, IV y V</w:t>
      </w:r>
      <w:r w:rsidRPr="00906D4B">
        <w:rPr>
          <w:rFonts w:ascii="Palatino Linotype" w:eastAsia="MS Mincho" w:hAnsi="Palatino Linotype"/>
          <w:lang w:val="es-ES_tradnl"/>
        </w:rPr>
        <w:t xml:space="preserve"> </w:t>
      </w:r>
      <w:r w:rsidRPr="00906D4B">
        <w:rPr>
          <w:rFonts w:ascii="Palatino Linotype" w:eastAsia="Calibri" w:hAnsi="Palatino Linotype"/>
        </w:rPr>
        <w:t xml:space="preserve">de la </w:t>
      </w:r>
      <w:r w:rsidRPr="00906D4B">
        <w:rPr>
          <w:rFonts w:ascii="Palatino Linotype" w:eastAsia="Calibri" w:hAnsi="Palatino Linotype"/>
          <w:b/>
        </w:rPr>
        <w:t>Constitución Política del Estado Libre y Soberano de México</w:t>
      </w:r>
      <w:r w:rsidRPr="00906D4B">
        <w:rPr>
          <w:rFonts w:ascii="Palatino Linotype" w:eastAsia="Calibri" w:hAnsi="Palatino Linotype"/>
        </w:rPr>
        <w:t xml:space="preserve">; artículos 1, 2 fracción II, 13, 29, 36 fracciones I y II, 176, 178, 179, 181 párrafo tercero y 185 </w:t>
      </w:r>
      <w:r w:rsidRPr="00906D4B">
        <w:rPr>
          <w:rFonts w:ascii="Palatino Linotype" w:eastAsia="Calibri" w:hAnsi="Palatino Linotype" w:cs="Arial"/>
        </w:rPr>
        <w:t xml:space="preserve">de la </w:t>
      </w:r>
      <w:r w:rsidRPr="00906D4B">
        <w:rPr>
          <w:rFonts w:ascii="Palatino Linotype" w:eastAsia="Calibri" w:hAnsi="Palatino Linotype" w:cs="Arial"/>
          <w:b/>
        </w:rPr>
        <w:t>Ley de Transparencia y Acceso a la Información Pública del Estado de México y Municipios</w:t>
      </w:r>
      <w:r w:rsidRPr="00906D4B">
        <w:rPr>
          <w:rFonts w:ascii="Palatino Linotype" w:eastAsia="Calibri" w:hAnsi="Palatino Linotype" w:cs="Arial"/>
        </w:rPr>
        <w:t xml:space="preserve">; </w:t>
      </w:r>
      <w:r w:rsidRPr="00906D4B">
        <w:rPr>
          <w:rFonts w:ascii="Palatino Linotype" w:eastAsia="Calibri" w:hAnsi="Palatino Linotype" w:cs="Arial"/>
          <w:b/>
        </w:rPr>
        <w:t>7, 9 fracciones I y XXIV, y 11</w:t>
      </w:r>
      <w:r w:rsidRPr="00906D4B">
        <w:rPr>
          <w:rFonts w:ascii="Palatino Linotype" w:eastAsia="Calibri" w:hAnsi="Palatino Linotype" w:cs="Arial"/>
        </w:rPr>
        <w:t xml:space="preserve"> del </w:t>
      </w:r>
      <w:r w:rsidRPr="00906D4B">
        <w:rPr>
          <w:rFonts w:ascii="Palatino Linotype" w:eastAsia="Calibri" w:hAnsi="Palatino Linotype" w:cs="Arial"/>
          <w:b/>
        </w:rPr>
        <w:t xml:space="preserve">Reglamento Interior del Instituto de </w:t>
      </w:r>
      <w:r w:rsidRPr="00906D4B">
        <w:rPr>
          <w:rFonts w:ascii="Palatino Linotype" w:eastAsia="Calibri" w:hAnsi="Palatino Linotype" w:cs="Arial"/>
          <w:b/>
        </w:rPr>
        <w:lastRenderedPageBreak/>
        <w:t>Transparencia, Acceso a la Información Pública y Protección de Datos Personales del Estado de México y Municipios.</w:t>
      </w:r>
    </w:p>
    <w:p w14:paraId="0AEE2D48" w14:textId="77777777" w:rsidR="007F7B11" w:rsidRPr="00906D4B" w:rsidRDefault="007F7B11" w:rsidP="00FA35C3">
      <w:pPr>
        <w:tabs>
          <w:tab w:val="left" w:pos="284"/>
          <w:tab w:val="left" w:pos="426"/>
        </w:tabs>
        <w:spacing w:line="360" w:lineRule="auto"/>
        <w:contextualSpacing/>
        <w:jc w:val="both"/>
        <w:rPr>
          <w:rFonts w:ascii="Palatino Linotype" w:eastAsia="Calibri" w:hAnsi="Palatino Linotype"/>
          <w:b/>
          <w:lang w:val="es-ES_tradnl"/>
        </w:rPr>
      </w:pPr>
    </w:p>
    <w:p w14:paraId="779A0BEE" w14:textId="60D9A59B" w:rsidR="00C776DD" w:rsidRPr="00906D4B" w:rsidRDefault="007F7B11" w:rsidP="00FA35C3">
      <w:pPr>
        <w:keepNext/>
        <w:keepLines/>
        <w:tabs>
          <w:tab w:val="left" w:pos="284"/>
          <w:tab w:val="left" w:pos="426"/>
        </w:tabs>
        <w:spacing w:before="40" w:line="360" w:lineRule="auto"/>
        <w:outlineLvl w:val="1"/>
        <w:rPr>
          <w:rFonts w:ascii="Palatino Linotype" w:eastAsiaTheme="majorEastAsia" w:hAnsi="Palatino Linotype" w:cstheme="majorBidi"/>
          <w:b/>
          <w:lang w:val="es-MX" w:eastAsia="en-US"/>
        </w:rPr>
      </w:pPr>
      <w:bookmarkStart w:id="9" w:name="_Toc461555891"/>
      <w:bookmarkStart w:id="10" w:name="_Toc466371860"/>
      <w:bookmarkStart w:id="11" w:name="_Toc101351544"/>
      <w:r w:rsidRPr="00906D4B">
        <w:rPr>
          <w:rFonts w:ascii="Palatino Linotype" w:eastAsiaTheme="majorEastAsia" w:hAnsi="Palatino Linotype" w:cstheme="majorBidi"/>
          <w:b/>
          <w:lang w:val="es-MX" w:eastAsia="en-US"/>
        </w:rPr>
        <w:t>SEGUNDO. De la oportunidad y procedencia.</w:t>
      </w:r>
      <w:bookmarkEnd w:id="9"/>
      <w:bookmarkEnd w:id="10"/>
      <w:bookmarkEnd w:id="11"/>
    </w:p>
    <w:p w14:paraId="68E7B4C3" w14:textId="77777777" w:rsidR="00C776DD" w:rsidRPr="00906D4B" w:rsidRDefault="00C776DD" w:rsidP="00FA35C3">
      <w:pPr>
        <w:pStyle w:val="Prrafodelista"/>
        <w:keepNext/>
        <w:keepLines/>
        <w:numPr>
          <w:ilvl w:val="0"/>
          <w:numId w:val="36"/>
        </w:numPr>
        <w:suppressAutoHyphens/>
        <w:spacing w:before="240" w:line="360" w:lineRule="auto"/>
        <w:ind w:left="0" w:firstLine="0"/>
        <w:outlineLvl w:val="0"/>
        <w:rPr>
          <w:rFonts w:ascii="Palatino Linotype" w:hAnsi="Palatino Linotype"/>
          <w:color w:val="2E74B5"/>
          <w:lang w:eastAsia="en-US"/>
        </w:rPr>
      </w:pPr>
      <w:bookmarkStart w:id="12" w:name="_Toc88563301"/>
      <w:bookmarkStart w:id="13" w:name="_Toc94140289"/>
      <w:bookmarkStart w:id="14" w:name="_Toc101351545"/>
      <w:r w:rsidRPr="00906D4B">
        <w:rPr>
          <w:rFonts w:ascii="Palatino Linotype" w:hAnsi="Palatino Linotype"/>
          <w:b/>
          <w:color w:val="000000"/>
        </w:rPr>
        <w:t>De la interposición del recurso</w:t>
      </w:r>
      <w:r w:rsidRPr="00906D4B">
        <w:rPr>
          <w:rFonts w:ascii="Palatino Linotype" w:hAnsi="Palatino Linotype"/>
          <w:color w:val="2E74B5"/>
        </w:rPr>
        <w:t>.</w:t>
      </w:r>
      <w:bookmarkEnd w:id="12"/>
      <w:bookmarkEnd w:id="13"/>
      <w:bookmarkEnd w:id="14"/>
      <w:r w:rsidRPr="00906D4B">
        <w:rPr>
          <w:rFonts w:ascii="Palatino Linotype" w:hAnsi="Palatino Linotype"/>
          <w:color w:val="2E74B5"/>
        </w:rPr>
        <w:t xml:space="preserve"> </w:t>
      </w:r>
    </w:p>
    <w:p w14:paraId="1C0E8A3D" w14:textId="77777777" w:rsidR="00C776DD" w:rsidRPr="00906D4B" w:rsidRDefault="00C776DD" w:rsidP="00FA35C3">
      <w:pPr>
        <w:spacing w:line="360" w:lineRule="auto"/>
        <w:rPr>
          <w:rFonts w:ascii="Palatino Linotype" w:hAnsi="Palatino Linotype"/>
          <w:lang w:val="es-MX" w:eastAsia="en-US"/>
        </w:rPr>
      </w:pPr>
    </w:p>
    <w:p w14:paraId="74DA0120" w14:textId="77777777" w:rsidR="00C776DD" w:rsidRPr="00906D4B" w:rsidRDefault="00C776DD" w:rsidP="00FA35C3">
      <w:pPr>
        <w:pStyle w:val="Prrafodelista"/>
        <w:numPr>
          <w:ilvl w:val="0"/>
          <w:numId w:val="13"/>
        </w:numPr>
        <w:tabs>
          <w:tab w:val="left" w:pos="426"/>
        </w:tabs>
        <w:suppressAutoHyphens/>
        <w:spacing w:after="160" w:line="360" w:lineRule="auto"/>
        <w:ind w:left="0" w:firstLine="0"/>
        <w:contextualSpacing/>
        <w:jc w:val="both"/>
        <w:rPr>
          <w:rFonts w:ascii="Palatino Linotype" w:hAnsi="Palatino Linotype" w:cs="Arial"/>
          <w:color w:val="000000"/>
          <w:lang w:val="es-ES_tradnl" w:eastAsia="en-US"/>
        </w:rPr>
      </w:pPr>
      <w:r w:rsidRPr="00906D4B">
        <w:rPr>
          <w:rFonts w:ascii="Palatino Linotype" w:eastAsia="Calibri" w:hAnsi="Palatino Linotype" w:cs="Arial"/>
          <w:lang w:eastAsia="en-US"/>
        </w:rPr>
        <w:t xml:space="preserve">Es de precisar, que la Ley de Transparencia y Acceso a la Información Pública del Estado de México y Municipios, en el artículo 178 describe la procedencia del recurso de revisión, asimismo señala que el plazo del </w:t>
      </w:r>
      <w:r w:rsidRPr="00906D4B">
        <w:rPr>
          <w:rFonts w:ascii="Palatino Linotype" w:eastAsia="Calibri" w:hAnsi="Palatino Linotype" w:cs="Arial"/>
          <w:b/>
          <w:lang w:eastAsia="en-US"/>
        </w:rPr>
        <w:t>SUJETO OBLIGADO</w:t>
      </w:r>
      <w:r w:rsidRPr="00906D4B">
        <w:rPr>
          <w:rFonts w:ascii="Palatino Linotype" w:eastAsia="Calibri" w:hAnsi="Palatino Linotype" w:cs="Arial"/>
          <w:lang w:eastAsia="en-U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6A6A26F4" w14:textId="77777777" w:rsidR="00C776DD" w:rsidRPr="00906D4B" w:rsidRDefault="00C776DD" w:rsidP="00FA35C3">
      <w:pPr>
        <w:tabs>
          <w:tab w:val="left" w:pos="426"/>
        </w:tabs>
        <w:spacing w:line="360" w:lineRule="auto"/>
        <w:contextualSpacing/>
        <w:jc w:val="both"/>
        <w:rPr>
          <w:rFonts w:ascii="Palatino Linotype" w:hAnsi="Palatino Linotype" w:cs="Arial"/>
          <w:color w:val="000000"/>
          <w:lang w:val="es-ES_tradnl"/>
        </w:rPr>
      </w:pPr>
    </w:p>
    <w:p w14:paraId="05654213" w14:textId="77777777" w:rsidR="00C776DD" w:rsidRPr="00906D4B" w:rsidRDefault="00C776DD" w:rsidP="00FA35C3">
      <w:pPr>
        <w:numPr>
          <w:ilvl w:val="0"/>
          <w:numId w:val="13"/>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906D4B">
        <w:rPr>
          <w:rFonts w:ascii="Palatino Linotype" w:eastAsia="Calibri" w:hAnsi="Palatino Linotype" w:cs="Arial"/>
        </w:rPr>
        <w:t xml:space="preserve">Por ende, se constituye la figura jurídica de la </w:t>
      </w:r>
      <w:r w:rsidRPr="00906D4B">
        <w:rPr>
          <w:rFonts w:ascii="Palatino Linotype" w:eastAsia="Calibri" w:hAnsi="Palatino Linotype" w:cs="Arial"/>
          <w:i/>
        </w:rPr>
        <w:t>negativa ficta</w:t>
      </w:r>
      <w:r w:rsidRPr="00906D4B">
        <w:rPr>
          <w:rFonts w:ascii="Palatino Linotype" w:eastAsia="Calibri" w:hAnsi="Palatino Linotype" w:cs="Arial"/>
        </w:rPr>
        <w:t xml:space="preserve">, cuya esencia es atribuir un efecto negativo al silencio de la autoridad administrativa frente a las instancias y solicitudes que hagan los particulares, lo cual encuentra sustento en lo que establece el artículo </w:t>
      </w:r>
      <w:r w:rsidRPr="00906D4B">
        <w:rPr>
          <w:rFonts w:ascii="Palatino Linotype" w:eastAsia="Calibri" w:hAnsi="Palatino Linotype" w:cs="Arial"/>
          <w:b/>
        </w:rPr>
        <w:t>178</w:t>
      </w:r>
      <w:r w:rsidRPr="00906D4B">
        <w:rPr>
          <w:rFonts w:ascii="Palatino Linotype" w:eastAsia="Calibri" w:hAnsi="Palatino Linotype" w:cs="Arial"/>
        </w:rPr>
        <w:t xml:space="preserve"> segundo párrafo de </w:t>
      </w:r>
      <w:r w:rsidRPr="00906D4B">
        <w:rPr>
          <w:rFonts w:ascii="Palatino Linotype" w:eastAsia="Calibri" w:hAnsi="Palatino Linotype" w:cs="Arial"/>
          <w:b/>
        </w:rPr>
        <w:t>Ley de Transparencia y Acceso a la Información Pública del Estado de México y Municipios</w:t>
      </w:r>
      <w:r w:rsidRPr="00906D4B">
        <w:rPr>
          <w:rFonts w:ascii="Palatino Linotype" w:eastAsia="Calibri" w:hAnsi="Palatino Linotype"/>
          <w:color w:val="000000"/>
          <w:shd w:val="clear" w:color="auto" w:fill="FFFFFF"/>
          <w:lang w:val="es-MX" w:eastAsia="en-US"/>
        </w:rPr>
        <w:t xml:space="preserve">, que dispone; ante la falta de respuesta del </w:t>
      </w:r>
      <w:r w:rsidRPr="00906D4B">
        <w:rPr>
          <w:rFonts w:ascii="Palatino Linotype" w:eastAsia="Calibri" w:hAnsi="Palatino Linotype"/>
          <w:b/>
          <w:color w:val="000000"/>
          <w:shd w:val="clear" w:color="auto" w:fill="FFFFFF"/>
          <w:lang w:val="es-MX" w:eastAsia="en-US"/>
        </w:rPr>
        <w:t>SUJETO OBLIGADO,</w:t>
      </w:r>
      <w:r w:rsidRPr="00906D4B">
        <w:rPr>
          <w:rFonts w:ascii="Palatino Linotype" w:eastAsia="Calibri" w:hAnsi="Palatino Linotype"/>
          <w:color w:val="000000"/>
          <w:shd w:val="clear" w:color="auto" w:fill="FFFFFF"/>
          <w:lang w:val="es-MX" w:eastAsia="en-US"/>
        </w:rPr>
        <w:t xml:space="preserve"> dentro de los plazos establecidos en esta Ley, a una solicitud de acceso a la información pública, el recurso </w:t>
      </w:r>
      <w:r w:rsidRPr="00906D4B">
        <w:rPr>
          <w:rFonts w:ascii="Palatino Linotype" w:eastAsia="Calibri" w:hAnsi="Palatino Linotype"/>
          <w:b/>
          <w:color w:val="000000"/>
          <w:shd w:val="clear" w:color="auto" w:fill="FFFFFF"/>
          <w:lang w:val="es-MX" w:eastAsia="en-US"/>
        </w:rPr>
        <w:t xml:space="preserve">podrá ser interpuesto en cualquier momento. </w:t>
      </w:r>
    </w:p>
    <w:p w14:paraId="18A487CE" w14:textId="77777777" w:rsidR="00C776DD" w:rsidRPr="00906D4B" w:rsidRDefault="00C776DD" w:rsidP="00FA35C3">
      <w:pPr>
        <w:tabs>
          <w:tab w:val="left" w:pos="426"/>
        </w:tabs>
        <w:spacing w:line="360" w:lineRule="auto"/>
        <w:contextualSpacing/>
        <w:rPr>
          <w:rFonts w:ascii="Palatino Linotype" w:hAnsi="Palatino Linotype" w:cs="Arial"/>
          <w:color w:val="000000"/>
          <w:lang w:val="es-ES_tradnl"/>
        </w:rPr>
      </w:pPr>
    </w:p>
    <w:p w14:paraId="7AFAA673" w14:textId="77777777" w:rsidR="00C776DD" w:rsidRPr="00906D4B" w:rsidRDefault="00C776DD" w:rsidP="00FA35C3">
      <w:pPr>
        <w:numPr>
          <w:ilvl w:val="0"/>
          <w:numId w:val="13"/>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906D4B">
        <w:rPr>
          <w:rFonts w:ascii="Palatino Linotype" w:eastAsia="Calibri" w:hAnsi="Palatino Linotype" w:cs="Arial"/>
        </w:rPr>
        <w:t xml:space="preserve">Por lo que, tratándose de la </w:t>
      </w:r>
      <w:r w:rsidRPr="00906D4B">
        <w:rPr>
          <w:rFonts w:ascii="Palatino Linotype" w:eastAsia="Calibri" w:hAnsi="Palatino Linotype" w:cs="Arial"/>
          <w:i/>
        </w:rPr>
        <w:t>negativa ficta</w:t>
      </w:r>
      <w:r w:rsidRPr="00906D4B">
        <w:rPr>
          <w:rFonts w:ascii="Palatino Linotype" w:eastAsia="Calibri" w:hAnsi="Palatino Linotype" w:cs="Arial"/>
        </w:rPr>
        <w:t xml:space="preserve"> no existe respuesta que se haga del conocimiento al particular, a partir de la cual pueda computarse el plazo legal establecido, por tal motivo es pertinente señalar que no existe plazo para la interposición de los recursos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(23) de abril de dos mil quince, relativo a la interposición del recurso de revisión en cualquier tiempo cuando exista </w:t>
      </w:r>
      <w:r w:rsidRPr="00906D4B">
        <w:rPr>
          <w:rFonts w:ascii="Palatino Linotype" w:eastAsia="Calibri" w:hAnsi="Palatino Linotype" w:cs="Arial"/>
          <w:i/>
        </w:rPr>
        <w:t>negativa ficta</w:t>
      </w:r>
      <w:r w:rsidRPr="00906D4B">
        <w:rPr>
          <w:rFonts w:ascii="Palatino Linotype" w:eastAsia="Calibri" w:hAnsi="Palatino Linotype" w:cs="Arial"/>
        </w:rPr>
        <w:t>, que señala:</w:t>
      </w:r>
    </w:p>
    <w:p w14:paraId="7CD087F4" w14:textId="77777777" w:rsidR="00C776DD" w:rsidRPr="00906D4B" w:rsidRDefault="00C776DD" w:rsidP="00FA35C3">
      <w:pPr>
        <w:spacing w:line="360" w:lineRule="auto"/>
        <w:contextualSpacing/>
        <w:jc w:val="both"/>
        <w:rPr>
          <w:rFonts w:ascii="Palatino Linotype" w:hAnsi="Palatino Linotype" w:cs="Arial"/>
          <w:color w:val="000000"/>
          <w:lang w:val="es-ES_tradnl"/>
        </w:rPr>
      </w:pPr>
    </w:p>
    <w:p w14:paraId="66FC9758" w14:textId="77777777" w:rsidR="00C776DD" w:rsidRPr="00906D4B" w:rsidRDefault="00C776DD" w:rsidP="00FA35C3">
      <w:pPr>
        <w:tabs>
          <w:tab w:val="left" w:pos="7655"/>
        </w:tabs>
        <w:spacing w:after="240" w:line="360" w:lineRule="auto"/>
        <w:ind w:left="567" w:right="567"/>
        <w:jc w:val="center"/>
        <w:rPr>
          <w:rFonts w:ascii="Palatino Linotype" w:eastAsia="Calibri" w:hAnsi="Palatino Linotype" w:cs="Arial"/>
          <w:b/>
        </w:rPr>
      </w:pPr>
      <w:r w:rsidRPr="00906D4B">
        <w:rPr>
          <w:rFonts w:ascii="Palatino Linotype" w:eastAsia="Calibri" w:hAnsi="Palatino Linotype" w:cs="Arial"/>
          <w:b/>
        </w:rPr>
        <w:t>Criterio 0001-15</w:t>
      </w:r>
    </w:p>
    <w:p w14:paraId="034706FB" w14:textId="77777777" w:rsidR="00C776DD" w:rsidRPr="00906D4B" w:rsidRDefault="00C776DD" w:rsidP="00FA35C3">
      <w:pPr>
        <w:tabs>
          <w:tab w:val="left" w:pos="7655"/>
        </w:tabs>
        <w:spacing w:before="240" w:after="240" w:line="360" w:lineRule="auto"/>
        <w:ind w:left="567" w:right="567"/>
        <w:jc w:val="both"/>
        <w:rPr>
          <w:rFonts w:ascii="Palatino Linotype" w:eastAsia="Calibri" w:hAnsi="Palatino Linotype" w:cs="Arial"/>
          <w:i/>
        </w:rPr>
      </w:pPr>
      <w:r w:rsidRPr="00906D4B">
        <w:rPr>
          <w:rFonts w:ascii="Palatino Linotype" w:eastAsia="Calibri" w:hAnsi="Palatino Linotype" w:cs="Arial"/>
          <w:b/>
          <w:i/>
        </w:rPr>
        <w:t>NEGATIVA FICTA. PLAZO PARA INTERPONER EL RECURSO DE REVISIÓN TRATÁNDOSE DE.</w:t>
      </w:r>
      <w:r w:rsidRPr="00906D4B">
        <w:rPr>
          <w:rFonts w:ascii="Palatino Linotype" w:eastAsia="Calibri" w:hAnsi="Palatino Linotype" w:cs="Arial"/>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w:t>
      </w:r>
      <w:r w:rsidRPr="00906D4B">
        <w:rPr>
          <w:rFonts w:ascii="Palatino Linotype" w:eastAsia="Calibri" w:hAnsi="Palatino Linotype" w:cs="Arial"/>
          <w:i/>
        </w:rPr>
        <w:lastRenderedPageBreak/>
        <w:t>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56E36FE6" w14:textId="77777777" w:rsidR="00C776DD" w:rsidRPr="00906D4B" w:rsidRDefault="00C776DD" w:rsidP="00FA35C3">
      <w:pPr>
        <w:tabs>
          <w:tab w:val="left" w:pos="7655"/>
        </w:tabs>
        <w:spacing w:line="360" w:lineRule="auto"/>
        <w:ind w:left="567" w:right="567"/>
        <w:jc w:val="both"/>
        <w:rPr>
          <w:rFonts w:ascii="Palatino Linotype" w:eastAsia="Calibri" w:hAnsi="Palatino Linotype" w:cs="Arial"/>
          <w:i/>
        </w:rPr>
      </w:pPr>
    </w:p>
    <w:p w14:paraId="51937CC9" w14:textId="0E2876DE" w:rsidR="00C776DD" w:rsidRPr="00906D4B" w:rsidRDefault="00C776DD" w:rsidP="00FA35C3">
      <w:pPr>
        <w:numPr>
          <w:ilvl w:val="0"/>
          <w:numId w:val="13"/>
        </w:numPr>
        <w:tabs>
          <w:tab w:val="left" w:pos="426"/>
        </w:tabs>
        <w:suppressAutoHyphens/>
        <w:spacing w:after="160" w:line="360" w:lineRule="auto"/>
        <w:ind w:left="0" w:firstLine="0"/>
        <w:contextualSpacing/>
        <w:jc w:val="both"/>
        <w:rPr>
          <w:rFonts w:ascii="Palatino Linotype" w:hAnsi="Palatino Linotype" w:cs="Arial"/>
          <w:color w:val="000000"/>
          <w:lang w:eastAsia="es-MX"/>
        </w:rPr>
      </w:pPr>
      <w:r w:rsidRPr="00906D4B">
        <w:rPr>
          <w:rFonts w:ascii="Palatino Linotype" w:hAnsi="Palatino Linotype" w:cs="Arial"/>
          <w:color w:val="000000"/>
          <w:lang w:eastAsia="es-MX"/>
        </w:rPr>
        <w:t xml:space="preserve">Lo anterior, se explica porque la </w:t>
      </w:r>
      <w:r w:rsidRPr="00906D4B">
        <w:rPr>
          <w:rFonts w:ascii="Palatino Linotype" w:hAnsi="Palatino Linotype" w:cs="Arial"/>
          <w:b/>
          <w:color w:val="000000"/>
          <w:lang w:eastAsia="es-MX"/>
        </w:rPr>
        <w:t>ausencia</w:t>
      </w:r>
      <w:r w:rsidRPr="00906D4B">
        <w:rPr>
          <w:rFonts w:ascii="Palatino Linotype" w:hAnsi="Palatino Linotype" w:cs="Arial"/>
          <w:color w:val="000000"/>
          <w:lang w:eastAsia="es-MX"/>
        </w:rPr>
        <w:t xml:space="preserve"> de una respuesta en la solicitud constituye un acto que vulnera el derecho de manera continua y actualizable cada día, en tanto no se emita la respuesta a la que esté impuesto el </w:t>
      </w:r>
      <w:r w:rsidRPr="00906D4B">
        <w:rPr>
          <w:rFonts w:ascii="Palatino Linotype" w:hAnsi="Palatino Linotype" w:cs="Arial"/>
          <w:b/>
          <w:color w:val="000000"/>
          <w:lang w:eastAsia="es-MX"/>
        </w:rPr>
        <w:t>SUJETO OBLIGADO</w:t>
      </w:r>
      <w:r w:rsidRPr="00906D4B">
        <w:rPr>
          <w:rFonts w:ascii="Palatino Linotype" w:hAnsi="Palatino Linotype" w:cs="Arial"/>
          <w:color w:val="000000"/>
          <w:lang w:eastAsia="es-MX"/>
        </w:rPr>
        <w:t>.</w:t>
      </w:r>
    </w:p>
    <w:p w14:paraId="4164EABB" w14:textId="77777777" w:rsidR="00C776DD" w:rsidRPr="00906D4B" w:rsidRDefault="00C776DD" w:rsidP="00FA35C3">
      <w:pPr>
        <w:tabs>
          <w:tab w:val="left" w:pos="426"/>
        </w:tabs>
        <w:suppressAutoHyphens/>
        <w:spacing w:after="160" w:line="360" w:lineRule="auto"/>
        <w:contextualSpacing/>
        <w:jc w:val="both"/>
        <w:rPr>
          <w:rFonts w:ascii="Palatino Linotype" w:hAnsi="Palatino Linotype" w:cs="Arial"/>
          <w:color w:val="000000"/>
          <w:lang w:eastAsia="es-MX"/>
        </w:rPr>
      </w:pPr>
    </w:p>
    <w:p w14:paraId="5899928D" w14:textId="758DCFBC" w:rsidR="000167BD" w:rsidRPr="00906D4B" w:rsidRDefault="000167BD" w:rsidP="00FA35C3">
      <w:pPr>
        <w:pStyle w:val="Ttulo1"/>
        <w:spacing w:line="360" w:lineRule="auto"/>
        <w:jc w:val="both"/>
        <w:rPr>
          <w:rFonts w:ascii="Palatino Linotype" w:eastAsia="Calibri" w:hAnsi="Palatino Linotype" w:cs="Arial"/>
          <w:sz w:val="24"/>
          <w:szCs w:val="24"/>
        </w:rPr>
      </w:pPr>
      <w:bookmarkStart w:id="15" w:name="_Toc86941038"/>
      <w:bookmarkStart w:id="16" w:name="_Toc97170672"/>
      <w:bookmarkStart w:id="17" w:name="_Toc99013132"/>
      <w:bookmarkStart w:id="18" w:name="_Toc101351546"/>
      <w:r w:rsidRPr="00906D4B">
        <w:rPr>
          <w:rFonts w:ascii="Palatino Linotype" w:hAnsi="Palatino Linotype"/>
          <w:b/>
          <w:color w:val="auto"/>
          <w:sz w:val="24"/>
          <w:szCs w:val="24"/>
        </w:rPr>
        <w:t>II. Del nombre como requisito innecesario para la tramitación del recurso.</w:t>
      </w:r>
      <w:bookmarkEnd w:id="15"/>
      <w:bookmarkEnd w:id="16"/>
      <w:bookmarkEnd w:id="17"/>
      <w:bookmarkEnd w:id="18"/>
      <w:r w:rsidRPr="00906D4B">
        <w:rPr>
          <w:rFonts w:ascii="Palatino Linotype" w:hAnsi="Palatino Linotype"/>
          <w:b/>
          <w:color w:val="auto"/>
          <w:sz w:val="24"/>
          <w:szCs w:val="24"/>
        </w:rPr>
        <w:t xml:space="preserve"> </w:t>
      </w:r>
    </w:p>
    <w:p w14:paraId="16980151" w14:textId="77777777" w:rsidR="000167BD" w:rsidRPr="00906D4B" w:rsidRDefault="000167BD" w:rsidP="00FA35C3">
      <w:pPr>
        <w:tabs>
          <w:tab w:val="left" w:pos="426"/>
        </w:tabs>
        <w:spacing w:line="360" w:lineRule="auto"/>
        <w:ind w:right="49"/>
        <w:contextualSpacing/>
        <w:jc w:val="both"/>
        <w:rPr>
          <w:rFonts w:ascii="Palatino Linotype" w:hAnsi="Palatino Linotype" w:cs="Arial"/>
          <w:b/>
        </w:rPr>
      </w:pPr>
    </w:p>
    <w:p w14:paraId="60774EF3" w14:textId="6E2A5207" w:rsidR="000167BD" w:rsidRPr="00906D4B" w:rsidRDefault="000167BD" w:rsidP="00FA35C3">
      <w:pPr>
        <w:pStyle w:val="Prrafodelista"/>
        <w:numPr>
          <w:ilvl w:val="0"/>
          <w:numId w:val="17"/>
        </w:numPr>
        <w:tabs>
          <w:tab w:val="left" w:pos="0"/>
        </w:tabs>
        <w:spacing w:after="160" w:line="360" w:lineRule="auto"/>
        <w:ind w:left="0" w:right="49" w:firstLine="0"/>
        <w:contextualSpacing/>
        <w:jc w:val="both"/>
        <w:rPr>
          <w:rFonts w:ascii="Palatino Linotype" w:hAnsi="Palatino Linotype" w:cs="Arial"/>
          <w:b/>
          <w:lang w:val="es-ES_tradnl"/>
        </w:rPr>
      </w:pPr>
      <w:r w:rsidRPr="00906D4B">
        <w:rPr>
          <w:rFonts w:ascii="Palatino Linotype" w:hAnsi="Palatino Linotype" w:cs="Arial"/>
          <w:bCs/>
          <w:lang w:val="es-ES_tradnl"/>
        </w:rPr>
        <w:t xml:space="preserve">Por </w:t>
      </w:r>
      <w:r w:rsidRPr="00906D4B">
        <w:rPr>
          <w:rFonts w:ascii="Palatino Linotype" w:hAnsi="Palatino Linotype" w:cs="Arial"/>
          <w:bCs/>
        </w:rPr>
        <w:t xml:space="preserve">otro lado, de la revisión a los expedientes electrónicos contenidos en el sistema </w:t>
      </w:r>
      <w:r w:rsidRPr="00906D4B">
        <w:rPr>
          <w:rFonts w:ascii="Palatino Linotype" w:hAnsi="Palatino Linotype" w:cs="Arial"/>
          <w:b/>
          <w:bCs/>
        </w:rPr>
        <w:t>SAIMEX,</w:t>
      </w:r>
      <w:r w:rsidRPr="00906D4B">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906D4B">
        <w:rPr>
          <w:rFonts w:ascii="Palatino Linotype" w:hAnsi="Palatino Linotype" w:cs="Arial"/>
          <w:b/>
          <w:bCs/>
        </w:rPr>
        <w:t>no señaló su nombre completo, ni se tiene certeza sobre su identidad</w:t>
      </w:r>
      <w:r w:rsidRPr="00906D4B">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5C1CA7E7" w14:textId="77777777" w:rsidR="000167BD" w:rsidRPr="00906D4B" w:rsidRDefault="000167BD" w:rsidP="00FA35C3">
      <w:pPr>
        <w:tabs>
          <w:tab w:val="left" w:pos="426"/>
        </w:tabs>
        <w:spacing w:line="360" w:lineRule="auto"/>
        <w:ind w:right="49"/>
        <w:contextualSpacing/>
        <w:jc w:val="both"/>
        <w:rPr>
          <w:rFonts w:ascii="Palatino Linotype" w:hAnsi="Palatino Linotype" w:cs="Arial"/>
          <w:b/>
        </w:rPr>
      </w:pPr>
    </w:p>
    <w:p w14:paraId="52622AC6" w14:textId="77777777" w:rsidR="000167BD" w:rsidRPr="00906D4B" w:rsidRDefault="000167BD" w:rsidP="00FA35C3">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906D4B">
        <w:rPr>
          <w:rFonts w:ascii="Palatino Linotype" w:hAnsi="Palatino Linotype" w:cs="Arial"/>
          <w:bCs/>
        </w:rPr>
        <w:lastRenderedPageBreak/>
        <w:t xml:space="preserve">Esto es así, ya que de conformidad con los artículos 6, apartado A, fracciones III y IV de la </w:t>
      </w:r>
      <w:r w:rsidRPr="00906D4B">
        <w:rPr>
          <w:rFonts w:ascii="Palatino Linotype" w:hAnsi="Palatino Linotype" w:cs="Arial"/>
          <w:b/>
          <w:bCs/>
        </w:rPr>
        <w:t>Constitución Política de los Estados Unidos Mexicanos</w:t>
      </w:r>
      <w:r w:rsidRPr="00906D4B">
        <w:rPr>
          <w:rFonts w:ascii="Palatino Linotype" w:hAnsi="Palatino Linotype" w:cs="Arial"/>
          <w:bCs/>
        </w:rPr>
        <w:t xml:space="preserve">; 5, párrafos trigésimo, trigésimo primero y trigésimo segundo, fracciones III, IV y V, de la </w:t>
      </w:r>
      <w:r w:rsidRPr="00906D4B">
        <w:rPr>
          <w:rFonts w:ascii="Palatino Linotype" w:hAnsi="Palatino Linotype" w:cs="Arial"/>
          <w:b/>
          <w:bCs/>
        </w:rPr>
        <w:t>Constitución Política del Estado Libre y Soberano de México</w:t>
      </w:r>
      <w:r w:rsidRPr="00906D4B">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B0FD050" w14:textId="77777777" w:rsidR="000167BD" w:rsidRPr="00906D4B" w:rsidRDefault="000167BD" w:rsidP="00FA35C3">
      <w:pPr>
        <w:tabs>
          <w:tab w:val="left" w:pos="426"/>
        </w:tabs>
        <w:spacing w:line="360" w:lineRule="auto"/>
        <w:ind w:right="49"/>
        <w:contextualSpacing/>
        <w:jc w:val="both"/>
        <w:rPr>
          <w:rFonts w:ascii="Palatino Linotype" w:hAnsi="Palatino Linotype" w:cs="Arial"/>
          <w:b/>
        </w:rPr>
      </w:pPr>
    </w:p>
    <w:p w14:paraId="48B7537F" w14:textId="77777777" w:rsidR="000167BD" w:rsidRPr="00906D4B" w:rsidRDefault="000167BD" w:rsidP="00FA35C3">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906D4B">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C0AFF16" w14:textId="77777777" w:rsidR="000167BD" w:rsidRPr="00906D4B" w:rsidRDefault="000167BD" w:rsidP="00FA35C3">
      <w:pPr>
        <w:tabs>
          <w:tab w:val="left" w:pos="426"/>
        </w:tabs>
        <w:spacing w:line="360" w:lineRule="auto"/>
        <w:ind w:right="49"/>
        <w:contextualSpacing/>
        <w:jc w:val="both"/>
        <w:rPr>
          <w:rFonts w:ascii="Palatino Linotype" w:hAnsi="Palatino Linotype" w:cs="Arial"/>
          <w:b/>
        </w:rPr>
      </w:pPr>
    </w:p>
    <w:p w14:paraId="0CE8C191" w14:textId="77777777" w:rsidR="000167BD" w:rsidRPr="00906D4B" w:rsidRDefault="000167BD" w:rsidP="00FA35C3">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906D4B">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58569198" w14:textId="77777777" w:rsidR="000167BD" w:rsidRPr="00906D4B" w:rsidRDefault="000167BD" w:rsidP="00FA35C3">
      <w:pPr>
        <w:tabs>
          <w:tab w:val="left" w:pos="426"/>
        </w:tabs>
        <w:spacing w:line="360" w:lineRule="auto"/>
        <w:ind w:right="49"/>
        <w:contextualSpacing/>
        <w:jc w:val="both"/>
        <w:rPr>
          <w:rFonts w:ascii="Palatino Linotype" w:hAnsi="Palatino Linotype" w:cs="Arial"/>
          <w:b/>
        </w:rPr>
      </w:pPr>
    </w:p>
    <w:p w14:paraId="0C1C5DB9" w14:textId="77777777" w:rsidR="000167BD" w:rsidRPr="00906D4B" w:rsidRDefault="000167BD" w:rsidP="00FA35C3">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906D4B">
        <w:rPr>
          <w:rFonts w:ascii="Palatino Linotype" w:hAnsi="Palatino Linotype" w:cs="Arial"/>
          <w:bCs/>
        </w:rPr>
        <w:lastRenderedPageBreak/>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7442C18" w14:textId="77777777" w:rsidR="000167BD" w:rsidRPr="00906D4B" w:rsidRDefault="000167BD" w:rsidP="00FA35C3">
      <w:pPr>
        <w:tabs>
          <w:tab w:val="left" w:pos="426"/>
        </w:tabs>
        <w:spacing w:line="360" w:lineRule="auto"/>
        <w:ind w:right="49"/>
        <w:contextualSpacing/>
        <w:jc w:val="both"/>
        <w:rPr>
          <w:rFonts w:ascii="Palatino Linotype" w:hAnsi="Palatino Linotype" w:cs="Arial"/>
          <w:b/>
        </w:rPr>
      </w:pPr>
    </w:p>
    <w:p w14:paraId="283DA2BE" w14:textId="21DF4142" w:rsidR="000167BD" w:rsidRPr="00906D4B" w:rsidRDefault="000167BD" w:rsidP="00FA35C3">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906D4B">
        <w:rPr>
          <w:rFonts w:ascii="Palatino Linotype" w:hAnsi="Palatino Linotype" w:cs="Arial"/>
          <w:bCs/>
        </w:rPr>
        <w:t xml:space="preserve">Por lo tanto, el nombre de la </w:t>
      </w:r>
      <w:r w:rsidRPr="00906D4B">
        <w:rPr>
          <w:rFonts w:ascii="Palatino Linotype" w:hAnsi="Palatino Linotype" w:cs="Arial"/>
          <w:b/>
          <w:bCs/>
        </w:rPr>
        <w:t>SOLICITANTE</w:t>
      </w:r>
      <w:r w:rsidRPr="00906D4B">
        <w:rPr>
          <w:rFonts w:ascii="Palatino Linotype" w:hAnsi="Palatino Linotype" w:cs="Arial"/>
          <w:bCs/>
        </w:rPr>
        <w:t xml:space="preserve"> y subsecuente </w:t>
      </w:r>
      <w:r w:rsidRPr="00906D4B">
        <w:rPr>
          <w:rFonts w:ascii="Palatino Linotype" w:hAnsi="Palatino Linotype" w:cs="Arial"/>
          <w:b/>
          <w:bCs/>
        </w:rPr>
        <w:t>RECURRENTE</w:t>
      </w:r>
      <w:r w:rsidRPr="00906D4B">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r w:rsidR="005C1AA4" w:rsidRPr="00906D4B">
        <w:rPr>
          <w:rFonts w:ascii="Palatino Linotype" w:hAnsi="Palatino Linotype" w:cs="Arial"/>
          <w:bCs/>
        </w:rPr>
        <w:t xml:space="preserve">Garante. </w:t>
      </w:r>
    </w:p>
    <w:p w14:paraId="589C0EE6" w14:textId="225A6B91" w:rsidR="000167BD" w:rsidRPr="00906D4B" w:rsidRDefault="000167BD" w:rsidP="00FA35C3">
      <w:pPr>
        <w:tabs>
          <w:tab w:val="left" w:pos="426"/>
        </w:tabs>
        <w:spacing w:after="160" w:line="360" w:lineRule="auto"/>
        <w:ind w:right="49"/>
        <w:contextualSpacing/>
        <w:jc w:val="both"/>
        <w:rPr>
          <w:rFonts w:ascii="Palatino Linotype" w:hAnsi="Palatino Linotype" w:cs="Arial"/>
          <w:b/>
        </w:rPr>
      </w:pPr>
    </w:p>
    <w:p w14:paraId="4D628ED6" w14:textId="0354B402" w:rsidR="003A0689" w:rsidRPr="00906D4B" w:rsidRDefault="003A0689" w:rsidP="00FA35C3">
      <w:pPr>
        <w:keepNext/>
        <w:keepLines/>
        <w:spacing w:before="240" w:line="360" w:lineRule="auto"/>
        <w:jc w:val="both"/>
        <w:outlineLvl w:val="0"/>
        <w:rPr>
          <w:rFonts w:ascii="Palatino Linotype" w:hAnsi="Palatino Linotype" w:cs="Arial"/>
          <w:b/>
        </w:rPr>
      </w:pPr>
      <w:bookmarkStart w:id="19" w:name="_Toc85137160"/>
      <w:bookmarkStart w:id="20" w:name="_Toc96526730"/>
      <w:bookmarkStart w:id="21" w:name="_Toc96549903"/>
      <w:bookmarkStart w:id="22" w:name="_Toc99013133"/>
      <w:bookmarkStart w:id="23" w:name="_Toc101351547"/>
      <w:r w:rsidRPr="00906D4B">
        <w:rPr>
          <w:rFonts w:ascii="Palatino Linotype" w:eastAsiaTheme="majorEastAsia" w:hAnsi="Palatino Linotype" w:cstheme="majorBidi"/>
          <w:b/>
        </w:rPr>
        <w:t>I</w:t>
      </w:r>
      <w:bookmarkStart w:id="24" w:name="_Toc67587987"/>
      <w:bookmarkStart w:id="25" w:name="_Toc68804763"/>
      <w:bookmarkStart w:id="26" w:name="_Toc96526731"/>
      <w:bookmarkEnd w:id="19"/>
      <w:bookmarkEnd w:id="20"/>
      <w:r w:rsidR="000A6CEB" w:rsidRPr="00906D4B">
        <w:rPr>
          <w:rFonts w:ascii="Palatino Linotype" w:eastAsiaTheme="majorEastAsia" w:hAnsi="Palatino Linotype" w:cstheme="majorBidi"/>
          <w:b/>
        </w:rPr>
        <w:t>II</w:t>
      </w:r>
      <w:r w:rsidRPr="00906D4B">
        <w:rPr>
          <w:rFonts w:ascii="Palatino Linotype" w:eastAsiaTheme="majorEastAsia" w:hAnsi="Palatino Linotype" w:cstheme="majorBidi"/>
          <w:b/>
          <w:color w:val="000000" w:themeColor="text1"/>
          <w:lang w:val="es-MX" w:eastAsia="en-US"/>
        </w:rPr>
        <w:t>. De la determinación sobre la procedibilidad del recurso.</w:t>
      </w:r>
      <w:bookmarkEnd w:id="21"/>
      <w:bookmarkEnd w:id="22"/>
      <w:bookmarkEnd w:id="23"/>
      <w:bookmarkEnd w:id="24"/>
      <w:bookmarkEnd w:id="25"/>
      <w:bookmarkEnd w:id="26"/>
      <w:r w:rsidRPr="00906D4B">
        <w:rPr>
          <w:rFonts w:ascii="Palatino Linotype" w:eastAsiaTheme="majorEastAsia" w:hAnsi="Palatino Linotype" w:cstheme="majorBidi"/>
          <w:b/>
          <w:color w:val="000000" w:themeColor="text1"/>
          <w:lang w:val="es-MX" w:eastAsia="en-US"/>
        </w:rPr>
        <w:t xml:space="preserve"> </w:t>
      </w:r>
    </w:p>
    <w:p w14:paraId="590E79CA" w14:textId="77777777" w:rsidR="003A0689" w:rsidRPr="00906D4B" w:rsidRDefault="003A0689" w:rsidP="00FA35C3">
      <w:pPr>
        <w:spacing w:line="360" w:lineRule="auto"/>
        <w:rPr>
          <w:rFonts w:ascii="Palatino Linotype" w:hAnsi="Palatino Linotype"/>
          <w:lang w:val="es-MX" w:eastAsia="en-US"/>
        </w:rPr>
      </w:pPr>
    </w:p>
    <w:p w14:paraId="63B996C5" w14:textId="35CBC272" w:rsidR="007F7B11" w:rsidRPr="00906D4B" w:rsidRDefault="003A0689" w:rsidP="00FA35C3">
      <w:pPr>
        <w:numPr>
          <w:ilvl w:val="0"/>
          <w:numId w:val="29"/>
        </w:numPr>
        <w:spacing w:after="160" w:line="360" w:lineRule="auto"/>
        <w:ind w:left="0" w:right="49" w:firstLine="0"/>
        <w:contextualSpacing/>
        <w:jc w:val="both"/>
        <w:rPr>
          <w:rFonts w:ascii="Palatino Linotype" w:hAnsi="Palatino Linotype"/>
          <w:lang w:val="es-ES_tradnl"/>
        </w:rPr>
      </w:pPr>
      <w:r w:rsidRPr="00906D4B">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3AB1CB0" w14:textId="77777777" w:rsidR="00807009" w:rsidRPr="00906D4B" w:rsidRDefault="00807009" w:rsidP="00FA35C3">
      <w:pPr>
        <w:spacing w:after="160" w:line="360" w:lineRule="auto"/>
        <w:ind w:right="49"/>
        <w:contextualSpacing/>
        <w:jc w:val="both"/>
        <w:rPr>
          <w:rFonts w:ascii="Palatino Linotype" w:hAnsi="Palatino Linotype"/>
          <w:lang w:val="es-ES_tradnl"/>
        </w:rPr>
      </w:pPr>
    </w:p>
    <w:p w14:paraId="3A105F6E" w14:textId="3C213068" w:rsidR="00064592" w:rsidRPr="00906D4B" w:rsidRDefault="00064592" w:rsidP="00FA35C3">
      <w:pPr>
        <w:keepNext/>
        <w:keepLines/>
        <w:tabs>
          <w:tab w:val="left" w:pos="284"/>
          <w:tab w:val="left" w:pos="426"/>
        </w:tabs>
        <w:spacing w:before="240" w:line="360" w:lineRule="auto"/>
        <w:jc w:val="both"/>
        <w:outlineLvl w:val="0"/>
        <w:rPr>
          <w:rFonts w:ascii="Palatino Linotype" w:eastAsiaTheme="majorEastAsia" w:hAnsi="Palatino Linotype" w:cstheme="majorBidi"/>
          <w:b/>
          <w:color w:val="000000" w:themeColor="text1"/>
          <w:lang w:val="es-MX" w:eastAsia="en-US"/>
        </w:rPr>
      </w:pPr>
      <w:bookmarkStart w:id="27" w:name="_Toc101351548"/>
      <w:bookmarkStart w:id="28" w:name="_Toc500360400"/>
      <w:bookmarkStart w:id="29" w:name="_Toc459174366"/>
      <w:bookmarkStart w:id="30" w:name="_Toc459659884"/>
      <w:bookmarkStart w:id="31" w:name="_Toc461687280"/>
      <w:bookmarkStart w:id="32" w:name="_Toc462771051"/>
      <w:bookmarkStart w:id="33" w:name="_Toc464139201"/>
      <w:bookmarkStart w:id="34" w:name="_Toc495427545"/>
      <w:bookmarkStart w:id="35" w:name="_Toc499296549"/>
      <w:r w:rsidRPr="00906D4B">
        <w:rPr>
          <w:rFonts w:ascii="Palatino Linotype" w:eastAsiaTheme="majorEastAsia" w:hAnsi="Palatino Linotype" w:cstheme="majorBidi"/>
          <w:b/>
          <w:color w:val="000000" w:themeColor="text1"/>
          <w:lang w:val="es-MX" w:eastAsia="en-US"/>
        </w:rPr>
        <w:t xml:space="preserve">TERCERO. </w:t>
      </w:r>
      <w:r w:rsidRPr="00906D4B">
        <w:rPr>
          <w:rFonts w:ascii="Palatino Linotype" w:eastAsia="MS Gothic" w:hAnsi="Palatino Linotype"/>
          <w:b/>
          <w:lang w:val="es-MX" w:eastAsia="en-US"/>
        </w:rPr>
        <w:t>Del deber de las autoridades de promover, respetar, proteger y garantizar el derecho de acceso a la información pública.</w:t>
      </w:r>
      <w:bookmarkEnd w:id="27"/>
      <w:r w:rsidRPr="00906D4B">
        <w:rPr>
          <w:rFonts w:ascii="Palatino Linotype" w:eastAsia="MS Gothic" w:hAnsi="Palatino Linotype"/>
          <w:b/>
          <w:lang w:val="es-MX" w:eastAsia="en-US"/>
        </w:rPr>
        <w:t xml:space="preserve"> </w:t>
      </w:r>
    </w:p>
    <w:p w14:paraId="2129E338" w14:textId="77777777" w:rsidR="00064592" w:rsidRPr="00906D4B" w:rsidRDefault="00064592" w:rsidP="00FA35C3">
      <w:pPr>
        <w:spacing w:line="360" w:lineRule="auto"/>
        <w:ind w:left="720"/>
        <w:contextualSpacing/>
        <w:rPr>
          <w:rFonts w:ascii="Palatino Linotype" w:eastAsia="MS Mincho" w:hAnsi="Palatino Linotype" w:cs="Arial"/>
          <w:lang w:val="es-ES_tradnl"/>
        </w:rPr>
      </w:pPr>
    </w:p>
    <w:p w14:paraId="5EFE902B" w14:textId="32DF0F08" w:rsidR="00064592" w:rsidRPr="00906D4B" w:rsidRDefault="00064592" w:rsidP="00FA35C3">
      <w:pPr>
        <w:pStyle w:val="Prrafodelista"/>
        <w:numPr>
          <w:ilvl w:val="0"/>
          <w:numId w:val="29"/>
        </w:numPr>
        <w:tabs>
          <w:tab w:val="left" w:pos="426"/>
        </w:tabs>
        <w:suppressAutoHyphens/>
        <w:spacing w:before="240" w:after="240" w:line="360" w:lineRule="auto"/>
        <w:ind w:left="0" w:firstLine="0"/>
        <w:contextualSpacing/>
        <w:jc w:val="both"/>
        <w:rPr>
          <w:rFonts w:ascii="Palatino Linotype" w:eastAsia="MS Mincho" w:hAnsi="Palatino Linotype"/>
          <w:color w:val="000000"/>
          <w:lang w:val="es-ES_tradnl"/>
        </w:rPr>
      </w:pPr>
      <w:r w:rsidRPr="00906D4B">
        <w:rPr>
          <w:rFonts w:ascii="Palatino Linotype" w:hAnsi="Palatino Linotype"/>
          <w:lang w:val="es-ES_tradnl"/>
        </w:rPr>
        <w:t xml:space="preserve">Es menester precisar que este </w:t>
      </w:r>
      <w:r w:rsidRPr="00906D4B">
        <w:rPr>
          <w:rFonts w:ascii="Palatino Linotype" w:eastAsia="MS Mincho" w:hAnsi="Palatino Linotype"/>
          <w:color w:val="000000"/>
          <w:lang w:val="es-ES_tradnl"/>
        </w:rPr>
        <w:t xml:space="preserve">Órgano Garante parte de que </w:t>
      </w:r>
      <w:r w:rsidRPr="00906D4B">
        <w:rPr>
          <w:rFonts w:ascii="Palatino Linotype" w:hAnsi="Palatino Linotype" w:cs="Arial"/>
          <w:color w:val="000000"/>
          <w:lang w:val="es-ES_tradnl" w:eastAsia="es-MX"/>
        </w:rPr>
        <w:t xml:space="preserve">el Derecho de Acceso a la Información Pública, es un derecho humano reconocido en el Pacto de Derechos </w:t>
      </w:r>
      <w:r w:rsidRPr="00906D4B">
        <w:rPr>
          <w:rFonts w:ascii="Palatino Linotype" w:hAnsi="Palatino Linotype" w:cs="Arial"/>
          <w:color w:val="000000"/>
          <w:lang w:val="es-ES_tradnl" w:eastAsia="es-MX"/>
        </w:rPr>
        <w:lastRenderedPageBreak/>
        <w:t>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906D4B">
        <w:rPr>
          <w:rFonts w:ascii="Palatino Linotype" w:hAnsi="Palatino Linotype" w:cs="Arial"/>
          <w:color w:val="000000"/>
          <w:lang w:val="es-ES_tradnl"/>
        </w:rPr>
        <w:t xml:space="preserve"> </w:t>
      </w:r>
      <w:r w:rsidRPr="00906D4B">
        <w:rPr>
          <w:rFonts w:ascii="Palatino Linotype" w:hAnsi="Palatino Linotype" w:cs="Arial"/>
          <w:b/>
          <w:color w:val="000000"/>
          <w:lang w:val="es-ES_tradnl"/>
        </w:rPr>
        <w:t>SUJETO OBLIGADO</w:t>
      </w:r>
      <w:r w:rsidRPr="00906D4B">
        <w:rPr>
          <w:rFonts w:ascii="Palatino Linotype" w:hAnsi="Palatino Linotype" w:cs="Arial"/>
          <w:color w:val="000000"/>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906D4B">
        <w:rPr>
          <w:rFonts w:ascii="Palatino Linotype" w:hAnsi="Palatino Linotype" w:cs="Arial"/>
          <w:b/>
          <w:color w:val="000000"/>
          <w:lang w:val="es-ES_tradnl"/>
        </w:rPr>
        <w:t xml:space="preserve">Constitución Política de los Estados Unidos Mexicanos </w:t>
      </w:r>
      <w:r w:rsidRPr="00906D4B">
        <w:rPr>
          <w:rFonts w:ascii="Palatino Linotype" w:hAnsi="Palatino Linotype" w:cs="Arial"/>
          <w:color w:val="000000"/>
          <w:lang w:val="es-ES_tradnl"/>
        </w:rPr>
        <w:t xml:space="preserve">al señalar la obligación de “promover, </w:t>
      </w:r>
      <w:r w:rsidRPr="00906D4B">
        <w:rPr>
          <w:rFonts w:ascii="Palatino Linotype" w:hAnsi="Palatino Linotype" w:cs="Arial"/>
          <w:b/>
          <w:color w:val="000000"/>
          <w:lang w:val="es-ES_tradnl"/>
        </w:rPr>
        <w:t>respetar</w:t>
      </w:r>
      <w:r w:rsidRPr="00906D4B">
        <w:rPr>
          <w:rFonts w:ascii="Palatino Linotype" w:hAnsi="Palatino Linotype" w:cs="Arial"/>
          <w:color w:val="000000"/>
          <w:lang w:val="es-ES_tradnl"/>
        </w:rPr>
        <w:t xml:space="preserve">, proteger y </w:t>
      </w:r>
      <w:r w:rsidRPr="00906D4B">
        <w:rPr>
          <w:rFonts w:ascii="Palatino Linotype" w:hAnsi="Palatino Linotype" w:cs="Arial"/>
          <w:b/>
          <w:color w:val="000000"/>
          <w:lang w:val="es-ES_tradnl"/>
        </w:rPr>
        <w:t>garantizar</w:t>
      </w:r>
      <w:r w:rsidRPr="00906D4B">
        <w:rPr>
          <w:rFonts w:ascii="Palatino Linotype" w:hAnsi="Palatino Linotype" w:cs="Arial"/>
          <w:color w:val="000000"/>
          <w:lang w:val="es-ES_tradnl"/>
        </w:rPr>
        <w:t xml:space="preserve"> los derechos humanos”, entre los cuales se encuentra dicho derecho. </w:t>
      </w:r>
    </w:p>
    <w:p w14:paraId="66ED9DA2" w14:textId="77777777" w:rsidR="00064592" w:rsidRPr="00906D4B" w:rsidRDefault="00064592" w:rsidP="00FA35C3">
      <w:pPr>
        <w:tabs>
          <w:tab w:val="left" w:pos="426"/>
        </w:tabs>
        <w:spacing w:line="360" w:lineRule="auto"/>
        <w:ind w:right="49"/>
        <w:contextualSpacing/>
        <w:jc w:val="both"/>
        <w:rPr>
          <w:rFonts w:ascii="Palatino Linotype" w:eastAsia="MS Mincho" w:hAnsi="Palatino Linotype"/>
          <w:color w:val="000000"/>
          <w:lang w:val="es-ES_tradnl"/>
        </w:rPr>
      </w:pPr>
    </w:p>
    <w:p w14:paraId="44C52BCA" w14:textId="77777777" w:rsidR="00064592" w:rsidRPr="00906D4B" w:rsidRDefault="00064592" w:rsidP="00FA35C3">
      <w:pPr>
        <w:numPr>
          <w:ilvl w:val="0"/>
          <w:numId w:val="29"/>
        </w:numPr>
        <w:tabs>
          <w:tab w:val="left" w:pos="426"/>
        </w:tabs>
        <w:suppressAutoHyphens/>
        <w:spacing w:before="240" w:after="240" w:line="360" w:lineRule="auto"/>
        <w:ind w:left="0" w:firstLine="0"/>
        <w:contextualSpacing/>
        <w:jc w:val="both"/>
        <w:rPr>
          <w:rFonts w:ascii="Palatino Linotype" w:hAnsi="Palatino Linotype"/>
          <w:lang w:val="es-ES_tradnl"/>
        </w:rPr>
      </w:pPr>
      <w:r w:rsidRPr="00906D4B">
        <w:rPr>
          <w:rFonts w:ascii="Palatino Linotype" w:hAnsi="Palatino Linotype"/>
          <w:lang w:val="es-ES_tradnl"/>
        </w:rPr>
        <w:t xml:space="preserve">Definiendo el Derecho de Acceso a la Información Pública como: </w:t>
      </w:r>
      <w:r w:rsidRPr="00906D4B">
        <w:rPr>
          <w:rFonts w:ascii="Palatino Linotype" w:hAnsi="Palatino Linotype"/>
          <w:i/>
          <w:color w:val="000000"/>
          <w:lang w:val="es-ES_tradnl"/>
        </w:rPr>
        <w:t>La igualdad de oportunidades para recibir, buscar e impartir información</w:t>
      </w:r>
      <w:r w:rsidRPr="00906D4B">
        <w:rPr>
          <w:rFonts w:ascii="Palatino Linotype" w:hAnsi="Palatino Linotype"/>
          <w:i/>
          <w:color w:val="000000"/>
          <w:vertAlign w:val="superscript"/>
          <w:lang w:val="es-ES_tradnl"/>
        </w:rPr>
        <w:footnoteReference w:id="1"/>
      </w:r>
      <w:r w:rsidRPr="00906D4B">
        <w:rPr>
          <w:rFonts w:ascii="Palatino Linotype" w:hAnsi="Palatino Linotype"/>
          <w:i/>
          <w:color w:val="000000"/>
          <w:lang w:val="es-ES_tradnl"/>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06D4B">
        <w:rPr>
          <w:rFonts w:ascii="Palatino Linotype" w:hAnsi="Palatino Linotype"/>
          <w:i/>
          <w:color w:val="000000"/>
          <w:vertAlign w:val="superscript"/>
          <w:lang w:val="es-ES_tradnl"/>
        </w:rPr>
        <w:footnoteReference w:id="2"/>
      </w:r>
      <w:r w:rsidRPr="00906D4B">
        <w:rPr>
          <w:rFonts w:ascii="Palatino Linotype" w:hAnsi="Palatino Linotype"/>
          <w:color w:val="000000"/>
          <w:lang w:val="es-ES_tradnl"/>
        </w:rPr>
        <w:t>que se constituye como una herramienta fundamental para ejercer</w:t>
      </w:r>
      <w:r w:rsidRPr="00906D4B">
        <w:rPr>
          <w:rFonts w:ascii="Palatino Linotype" w:hAnsi="Palatino Linotype"/>
          <w:i/>
          <w:color w:val="000000"/>
          <w:lang w:val="es-ES_tradnl"/>
        </w:rPr>
        <w:t xml:space="preserve"> el control democrático de las gestiones estatales, de forma tal que puedan cuestionar, indagar y considerar si se está dando un adecuado cumplimiento a las funciones públicas,</w:t>
      </w:r>
      <w:r w:rsidRPr="00906D4B">
        <w:rPr>
          <w:rFonts w:ascii="Palatino Linotype" w:hAnsi="Palatino Linotype"/>
          <w:i/>
          <w:color w:val="000000"/>
          <w:vertAlign w:val="superscript"/>
          <w:lang w:val="es-ES_tradnl"/>
        </w:rPr>
        <w:footnoteReference w:id="3"/>
      </w:r>
      <w:r w:rsidRPr="00906D4B">
        <w:rPr>
          <w:rFonts w:ascii="Palatino Linotype" w:hAnsi="Palatino Linotype"/>
          <w:color w:val="000000"/>
          <w:lang w:val="es-ES_tradnl"/>
        </w:rPr>
        <w:t>fomentando</w:t>
      </w:r>
      <w:r w:rsidRPr="00906D4B">
        <w:rPr>
          <w:rFonts w:ascii="Palatino Linotype" w:hAnsi="Palatino Linotype"/>
          <w:i/>
          <w:color w:val="000000"/>
          <w:lang w:val="es-ES_tradnl"/>
        </w:rPr>
        <w:t xml:space="preserve"> la transparencia de las actividades estatales y </w:t>
      </w:r>
      <w:r w:rsidRPr="00906D4B">
        <w:rPr>
          <w:rFonts w:ascii="Palatino Linotype" w:hAnsi="Palatino Linotype"/>
          <w:color w:val="000000"/>
          <w:lang w:val="es-ES_tradnl"/>
        </w:rPr>
        <w:t>promoviendo</w:t>
      </w:r>
      <w:r w:rsidRPr="00906D4B">
        <w:rPr>
          <w:rFonts w:ascii="Palatino Linotype" w:hAnsi="Palatino Linotype"/>
          <w:i/>
          <w:color w:val="000000"/>
          <w:lang w:val="es-ES_tradnl"/>
        </w:rPr>
        <w:t xml:space="preserve"> la responsabilidad de los funcionarios sobre su gestión </w:t>
      </w:r>
      <w:r w:rsidRPr="00906D4B">
        <w:rPr>
          <w:rFonts w:ascii="Palatino Linotype" w:hAnsi="Palatino Linotype"/>
          <w:i/>
          <w:color w:val="000000"/>
          <w:lang w:val="es-ES_tradnl"/>
        </w:rPr>
        <w:lastRenderedPageBreak/>
        <w:t>pública,</w:t>
      </w:r>
      <w:r w:rsidRPr="00906D4B">
        <w:rPr>
          <w:rFonts w:ascii="Palatino Linotype" w:hAnsi="Palatino Linotype"/>
          <w:i/>
          <w:color w:val="000000"/>
          <w:vertAlign w:val="superscript"/>
          <w:lang w:val="es-ES_tradnl"/>
        </w:rPr>
        <w:footnoteReference w:id="4"/>
      </w:r>
      <w:r w:rsidRPr="00906D4B">
        <w:rPr>
          <w:rFonts w:ascii="Palatino Linotype" w:hAnsi="Palatino Linotype"/>
          <w:color w:val="000000"/>
          <w:lang w:val="es-ES_tradnl"/>
        </w:rPr>
        <w:t>que permite</w:t>
      </w:r>
      <w:r w:rsidRPr="00906D4B">
        <w:rPr>
          <w:rFonts w:ascii="Palatino Linotype" w:hAnsi="Palatino Linotype"/>
          <w:i/>
          <w:color w:val="000000"/>
          <w:lang w:val="es-ES_tradnl"/>
        </w:rPr>
        <w:t xml:space="preserve"> saber qué están haciendo los gobiernos por sus pueblos, sin lo cual la verdad languidecería y la participación en el gobierno permanecería fragmentada.</w:t>
      </w:r>
    </w:p>
    <w:p w14:paraId="5B2DB95A" w14:textId="77777777" w:rsidR="00064592" w:rsidRPr="00906D4B" w:rsidRDefault="00064592" w:rsidP="00FA35C3">
      <w:pPr>
        <w:tabs>
          <w:tab w:val="left" w:pos="426"/>
        </w:tabs>
        <w:spacing w:line="360" w:lineRule="auto"/>
        <w:contextualSpacing/>
        <w:rPr>
          <w:rFonts w:ascii="Palatino Linotype" w:hAnsi="Palatino Linotype"/>
          <w:lang w:val="es-ES_tradnl"/>
        </w:rPr>
      </w:pPr>
    </w:p>
    <w:p w14:paraId="042C8ACA" w14:textId="77777777" w:rsidR="00064592" w:rsidRPr="00906D4B" w:rsidRDefault="00064592" w:rsidP="00FA35C3">
      <w:pPr>
        <w:numPr>
          <w:ilvl w:val="0"/>
          <w:numId w:val="29"/>
        </w:numPr>
        <w:tabs>
          <w:tab w:val="left" w:pos="426"/>
        </w:tabs>
        <w:suppressAutoHyphens/>
        <w:spacing w:before="240" w:after="240" w:line="360" w:lineRule="auto"/>
        <w:ind w:left="0" w:firstLine="0"/>
        <w:contextualSpacing/>
        <w:jc w:val="both"/>
        <w:rPr>
          <w:rFonts w:ascii="Palatino Linotype" w:hAnsi="Palatino Linotype"/>
          <w:i/>
          <w:lang w:val="es-ES_tradnl"/>
        </w:rPr>
      </w:pPr>
      <w:r w:rsidRPr="00906D4B">
        <w:rPr>
          <w:rFonts w:ascii="Palatino Linotype" w:hAnsi="Palatino Linotype"/>
          <w:lang w:val="es-ES_tradnl"/>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3BD519BC" w14:textId="77777777" w:rsidR="00064592" w:rsidRPr="00906D4B" w:rsidRDefault="00064592" w:rsidP="00FA35C3">
      <w:pPr>
        <w:tabs>
          <w:tab w:val="left" w:pos="426"/>
        </w:tabs>
        <w:spacing w:before="240" w:after="240" w:line="360" w:lineRule="auto"/>
        <w:contextualSpacing/>
        <w:jc w:val="both"/>
        <w:rPr>
          <w:rFonts w:ascii="Palatino Linotype" w:hAnsi="Palatino Linotype"/>
          <w:i/>
          <w:lang w:val="es-ES_tradnl"/>
        </w:rPr>
      </w:pPr>
      <w:r w:rsidRPr="00906D4B">
        <w:rPr>
          <w:rFonts w:ascii="Palatino Linotype" w:hAnsi="Palatino Linotype"/>
          <w:i/>
          <w:lang w:val="es-ES_tradnl"/>
        </w:rPr>
        <w:t xml:space="preserve"> </w:t>
      </w:r>
    </w:p>
    <w:p w14:paraId="79491D88" w14:textId="77777777" w:rsidR="00064592" w:rsidRPr="00906D4B" w:rsidRDefault="00064592" w:rsidP="00FA35C3">
      <w:pPr>
        <w:numPr>
          <w:ilvl w:val="0"/>
          <w:numId w:val="29"/>
        </w:numPr>
        <w:tabs>
          <w:tab w:val="left" w:pos="426"/>
        </w:tabs>
        <w:suppressAutoHyphens/>
        <w:spacing w:before="240" w:after="240" w:line="360" w:lineRule="auto"/>
        <w:ind w:left="0" w:firstLine="0"/>
        <w:contextualSpacing/>
        <w:jc w:val="both"/>
        <w:rPr>
          <w:rFonts w:ascii="Palatino Linotype" w:hAnsi="Palatino Linotype" w:cs="Arial"/>
          <w:lang w:val="es-ES_tradnl"/>
        </w:rPr>
      </w:pPr>
      <w:r w:rsidRPr="00906D4B">
        <w:rPr>
          <w:rFonts w:ascii="Palatino Linotype" w:hAnsi="Palatino Linotype"/>
          <w:lang w:val="es-ES_tradnl"/>
        </w:rPr>
        <w:t>Por lo tanto, derivado de lo señalado con anterioridad, la actuación</w:t>
      </w:r>
      <w:r w:rsidRPr="00906D4B">
        <w:rPr>
          <w:rFonts w:ascii="Palatino Linotype" w:hAnsi="Palatino Linotype"/>
          <w:lang w:val="es-MX"/>
        </w:rPr>
        <w:t xml:space="preserve"> del </w:t>
      </w:r>
      <w:r w:rsidRPr="00906D4B">
        <w:rPr>
          <w:rFonts w:ascii="Palatino Linotype" w:hAnsi="Palatino Linotype"/>
          <w:b/>
          <w:lang w:val="es-ES_tradnl"/>
        </w:rPr>
        <w:t xml:space="preserve">Ayuntamiento de Naucalpan de Juárez </w:t>
      </w:r>
      <w:r w:rsidRPr="00906D4B">
        <w:rPr>
          <w:rFonts w:ascii="Palatino Linotype" w:hAnsi="Palatino Linotype" w:cs="Arial"/>
          <w:lang w:val="es-ES_tradnl"/>
        </w:rPr>
        <w:t xml:space="preserve">constituye una afectación al derecho humano de acceso a la información pública de la particular, toda vez que incumple el mandato constitucional al no dar trámite a las solicitudes y por ello entregar la información ni en respuesta ni en informe justificado, dos momentos procesales que antes del cierre de instrucción de los asuntos a resolver, puede ser entregada la información para reparar el derecho afectado. </w:t>
      </w:r>
    </w:p>
    <w:p w14:paraId="04FEDB41" w14:textId="77777777" w:rsidR="00064592" w:rsidRPr="00906D4B" w:rsidRDefault="00064592" w:rsidP="00FA35C3">
      <w:pPr>
        <w:tabs>
          <w:tab w:val="left" w:pos="426"/>
        </w:tabs>
        <w:spacing w:line="360" w:lineRule="auto"/>
        <w:contextualSpacing/>
        <w:rPr>
          <w:rFonts w:ascii="Palatino Linotype" w:hAnsi="Palatino Linotype" w:cs="Arial"/>
          <w:lang w:val="es-ES_tradnl"/>
        </w:rPr>
      </w:pPr>
    </w:p>
    <w:p w14:paraId="402DEF01" w14:textId="77777777" w:rsidR="00064592" w:rsidRPr="00906D4B" w:rsidRDefault="00064592" w:rsidP="00FA35C3">
      <w:pPr>
        <w:numPr>
          <w:ilvl w:val="0"/>
          <w:numId w:val="29"/>
        </w:numPr>
        <w:tabs>
          <w:tab w:val="left" w:pos="426"/>
        </w:tabs>
        <w:suppressAutoHyphens/>
        <w:spacing w:before="240" w:after="240" w:line="360" w:lineRule="auto"/>
        <w:ind w:left="0" w:firstLine="0"/>
        <w:contextualSpacing/>
        <w:jc w:val="both"/>
        <w:rPr>
          <w:rFonts w:ascii="Palatino Linotype" w:hAnsi="Palatino Linotype"/>
          <w:lang w:val="es-ES_tradnl"/>
        </w:rPr>
      </w:pPr>
      <w:r w:rsidRPr="00906D4B">
        <w:rPr>
          <w:rFonts w:ascii="Palatino Linotype" w:hAnsi="Palatino Linotype" w:cs="Arial"/>
          <w:lang w:val="es-ES_tradnl"/>
        </w:rPr>
        <w:t xml:space="preserve">Ante tal afectación,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3D36E184" w14:textId="77777777" w:rsidR="00064592" w:rsidRPr="00906D4B" w:rsidRDefault="00064592" w:rsidP="00FA35C3">
      <w:pPr>
        <w:tabs>
          <w:tab w:val="left" w:pos="426"/>
        </w:tabs>
        <w:spacing w:before="240" w:after="240" w:line="360" w:lineRule="auto"/>
        <w:contextualSpacing/>
        <w:jc w:val="both"/>
        <w:rPr>
          <w:rFonts w:ascii="Palatino Linotype" w:hAnsi="Palatino Linotype"/>
          <w:lang w:val="es-ES_tradnl"/>
        </w:rPr>
      </w:pPr>
    </w:p>
    <w:p w14:paraId="4D21E2E7" w14:textId="46DAD997" w:rsidR="00064592" w:rsidRPr="00906D4B" w:rsidRDefault="00064592" w:rsidP="00FA35C3">
      <w:pPr>
        <w:numPr>
          <w:ilvl w:val="0"/>
          <w:numId w:val="29"/>
        </w:numPr>
        <w:tabs>
          <w:tab w:val="left" w:pos="426"/>
        </w:tabs>
        <w:suppressAutoHyphens/>
        <w:spacing w:before="240" w:after="160" w:line="360" w:lineRule="auto"/>
        <w:ind w:left="0" w:firstLine="0"/>
        <w:contextualSpacing/>
        <w:jc w:val="both"/>
        <w:rPr>
          <w:rFonts w:ascii="Palatino Linotype" w:hAnsi="Palatino Linotype"/>
          <w:lang w:val="es-ES_tradnl"/>
        </w:rPr>
      </w:pPr>
      <w:r w:rsidRPr="00906D4B">
        <w:rPr>
          <w:rFonts w:ascii="Palatino Linotype" w:hAnsi="Palatino Linotype" w:cs="Arial"/>
          <w:lang w:val="es-ES_tradnl"/>
        </w:rPr>
        <w:t xml:space="preserve"> En tal sentido, el derecho de acceso a la información constituye una garantía primaria, tal y como lo señala el artículo 150 de la Ley de Transparencia y Acceso a </w:t>
      </w:r>
      <w:r w:rsidRPr="00906D4B">
        <w:rPr>
          <w:rFonts w:ascii="Palatino Linotype" w:hAnsi="Palatino Linotype" w:cs="Arial"/>
          <w:lang w:val="es-ES_tradnl"/>
        </w:rPr>
        <w:lastRenderedPageBreak/>
        <w:t xml:space="preserve">la Información del Estado de México y Municipios, que además, establece que se regirá </w:t>
      </w:r>
      <w:r w:rsidRPr="00906D4B">
        <w:rPr>
          <w:rFonts w:ascii="Palatino Linotype" w:hAnsi="Palatino Linotype" w:cs="Arial"/>
          <w:i/>
          <w:lang w:val="es-ES_tradnl"/>
        </w:rPr>
        <w:t>por los principios de simplicidad, rapidez gratuidad del procedimiento, auxilio y orientación a los particulares</w:t>
      </w:r>
      <w:r w:rsidRPr="00906D4B">
        <w:rPr>
          <w:rFonts w:ascii="Palatino Linotype" w:hAnsi="Palatino Linotype" w:cs="Arial"/>
          <w:lang w:val="es-ES_tradnl"/>
        </w:rPr>
        <w:t>, contemplando el derecho de las personas con discapacidad y hablantes de lengua indígena.</w:t>
      </w:r>
    </w:p>
    <w:p w14:paraId="5F656165" w14:textId="77777777" w:rsidR="00064592" w:rsidRPr="00906D4B" w:rsidRDefault="00064592" w:rsidP="00FA35C3">
      <w:pPr>
        <w:tabs>
          <w:tab w:val="left" w:pos="426"/>
        </w:tabs>
        <w:suppressAutoHyphens/>
        <w:spacing w:before="240" w:after="160" w:line="360" w:lineRule="auto"/>
        <w:contextualSpacing/>
        <w:jc w:val="both"/>
        <w:rPr>
          <w:rFonts w:ascii="Palatino Linotype" w:hAnsi="Palatino Linotype"/>
          <w:lang w:val="es-ES_tradnl"/>
        </w:rPr>
      </w:pPr>
    </w:p>
    <w:p w14:paraId="0E36C468" w14:textId="54DA4AC0" w:rsidR="00113C54" w:rsidRPr="00906D4B" w:rsidRDefault="00064592" w:rsidP="00FA35C3">
      <w:pPr>
        <w:keepNext/>
        <w:keepLines/>
        <w:tabs>
          <w:tab w:val="left" w:pos="284"/>
          <w:tab w:val="left" w:pos="426"/>
        </w:tabs>
        <w:spacing w:before="240" w:line="360" w:lineRule="auto"/>
        <w:outlineLvl w:val="0"/>
        <w:rPr>
          <w:rFonts w:ascii="Palatino Linotype" w:eastAsiaTheme="majorEastAsia" w:hAnsi="Palatino Linotype" w:cstheme="majorBidi"/>
          <w:b/>
          <w:lang w:val="es-MX" w:eastAsia="en-US"/>
        </w:rPr>
      </w:pPr>
      <w:bookmarkStart w:id="36" w:name="_Toc101351549"/>
      <w:r w:rsidRPr="00906D4B">
        <w:rPr>
          <w:rFonts w:ascii="Palatino Linotype" w:eastAsiaTheme="majorEastAsia" w:hAnsi="Palatino Linotype" w:cstheme="majorBidi"/>
          <w:b/>
          <w:color w:val="000000" w:themeColor="text1"/>
          <w:lang w:val="es-MX" w:eastAsia="en-US"/>
        </w:rPr>
        <w:t xml:space="preserve">CUARTO. </w:t>
      </w:r>
      <w:r w:rsidR="007F7B11" w:rsidRPr="00906D4B">
        <w:rPr>
          <w:rFonts w:ascii="Palatino Linotype" w:eastAsiaTheme="majorEastAsia" w:hAnsi="Palatino Linotype" w:cstheme="majorBidi"/>
          <w:b/>
          <w:lang w:val="es-MX" w:eastAsia="en-US"/>
        </w:rPr>
        <w:t>De las causales del sobreseimiento.</w:t>
      </w:r>
      <w:bookmarkEnd w:id="28"/>
      <w:bookmarkEnd w:id="36"/>
    </w:p>
    <w:p w14:paraId="557279DF" w14:textId="77777777" w:rsidR="00064592" w:rsidRPr="00906D4B" w:rsidRDefault="00064592" w:rsidP="00FA35C3">
      <w:pPr>
        <w:keepNext/>
        <w:keepLines/>
        <w:tabs>
          <w:tab w:val="left" w:pos="284"/>
          <w:tab w:val="left" w:pos="426"/>
        </w:tabs>
        <w:spacing w:before="240" w:line="360" w:lineRule="auto"/>
        <w:outlineLvl w:val="0"/>
        <w:rPr>
          <w:rFonts w:ascii="Palatino Linotype" w:eastAsiaTheme="majorEastAsia" w:hAnsi="Palatino Linotype" w:cstheme="majorBidi"/>
          <w:b/>
          <w:lang w:val="es-MX" w:eastAsia="en-US"/>
        </w:rPr>
      </w:pPr>
    </w:p>
    <w:p w14:paraId="5EA96044" w14:textId="77777777" w:rsidR="00EA173E" w:rsidRPr="00906D4B" w:rsidRDefault="00113C54" w:rsidP="00FA35C3">
      <w:pPr>
        <w:numPr>
          <w:ilvl w:val="0"/>
          <w:numId w:val="29"/>
        </w:numPr>
        <w:spacing w:line="360" w:lineRule="auto"/>
        <w:ind w:left="0" w:right="49" w:firstLine="0"/>
        <w:contextualSpacing/>
        <w:jc w:val="both"/>
        <w:rPr>
          <w:rFonts w:ascii="Palatino Linotype" w:eastAsiaTheme="minorEastAsia" w:hAnsi="Palatino Linotype" w:cs="Arial"/>
          <w:lang w:val="es-ES_tradnl"/>
        </w:rPr>
      </w:pPr>
      <w:bookmarkStart w:id="37" w:name="_Toc466371865"/>
      <w:bookmarkStart w:id="38" w:name="_Toc466377653"/>
      <w:bookmarkStart w:id="39" w:name="_Toc495427547"/>
      <w:bookmarkStart w:id="40" w:name="_Toc497905366"/>
      <w:bookmarkEnd w:id="29"/>
      <w:bookmarkEnd w:id="30"/>
      <w:bookmarkEnd w:id="31"/>
      <w:bookmarkEnd w:id="32"/>
      <w:bookmarkEnd w:id="33"/>
      <w:bookmarkEnd w:id="34"/>
      <w:bookmarkEnd w:id="35"/>
      <w:r w:rsidRPr="00906D4B">
        <w:rPr>
          <w:rFonts w:ascii="Palatino Linotype" w:eastAsiaTheme="minorEastAsia" w:hAnsi="Palatino Linotype" w:cs="Arial"/>
          <w:lang w:val="es-ES_tradnl"/>
        </w:rPr>
        <w:t xml:space="preserve">El recurso revisión tiene como finalidad reparar cualquier posible afectación al derecho de acceso a la información pública en términos del Título Octavo de la Ley de </w:t>
      </w:r>
      <w:r w:rsidRPr="00906D4B">
        <w:rPr>
          <w:rFonts w:ascii="Palatino Linotype" w:eastAsia="Calibri" w:hAnsi="Palatino Linotype" w:cs="Arial"/>
          <w:lang w:val="es-ES_tradnl"/>
        </w:rPr>
        <w:t>Transparencia, Acceso a la Información Pública del Estado de México y Municipios</w:t>
      </w:r>
      <w:r w:rsidRPr="00906D4B">
        <w:rPr>
          <w:rFonts w:ascii="Palatino Linotype" w:eastAsiaTheme="minorEastAsia" w:hAnsi="Palatino Linotype" w:cs="Arial"/>
          <w:lang w:val="es-ES_tradnl"/>
        </w:rPr>
        <w:t xml:space="preserve">, y determinar la confirmación; revocación o modificación; desechamiento o </w:t>
      </w:r>
      <w:r w:rsidRPr="00906D4B">
        <w:rPr>
          <w:rFonts w:ascii="Palatino Linotype" w:eastAsiaTheme="minorEastAsia" w:hAnsi="Palatino Linotype" w:cs="Arial"/>
          <w:b/>
          <w:lang w:val="es-ES_tradnl"/>
        </w:rPr>
        <w:t>sobreseimiento</w:t>
      </w:r>
      <w:r w:rsidRPr="00906D4B">
        <w:rPr>
          <w:rFonts w:ascii="Palatino Linotype" w:eastAsiaTheme="minorEastAsia" w:hAnsi="Palatino Linotype" w:cs="Arial"/>
          <w:lang w:val="es-ES_tradnl"/>
        </w:rPr>
        <w:t xml:space="preserve">; y en su caso ordenar la entrega de la información con respecto a la respuesta emitida por el </w:t>
      </w:r>
      <w:r w:rsidRPr="00906D4B">
        <w:rPr>
          <w:rFonts w:ascii="Palatino Linotype" w:eastAsiaTheme="minorEastAsia" w:hAnsi="Palatino Linotype" w:cs="Arial"/>
          <w:b/>
          <w:lang w:val="es-ES_tradnl"/>
        </w:rPr>
        <w:t>SUJETO</w:t>
      </w:r>
      <w:r w:rsidRPr="00906D4B">
        <w:rPr>
          <w:rFonts w:ascii="Palatino Linotype" w:eastAsiaTheme="minorEastAsia" w:hAnsi="Palatino Linotype" w:cs="Arial"/>
          <w:lang w:val="es-ES_tradnl"/>
        </w:rPr>
        <w:t xml:space="preserve"> </w:t>
      </w:r>
      <w:r w:rsidRPr="00906D4B">
        <w:rPr>
          <w:rFonts w:ascii="Palatino Linotype" w:eastAsiaTheme="minorEastAsia" w:hAnsi="Palatino Linotype" w:cs="Arial"/>
          <w:b/>
          <w:lang w:val="es-ES_tradnl"/>
        </w:rPr>
        <w:t>OBLIGADO</w:t>
      </w:r>
      <w:r w:rsidRPr="00906D4B">
        <w:rPr>
          <w:rFonts w:ascii="Palatino Linotype" w:eastAsiaTheme="minorEastAsia" w:hAnsi="Palatino Linotype" w:cs="Arial"/>
          <w:lang w:val="es-ES_tradnl"/>
        </w:rPr>
        <w:t>.</w:t>
      </w:r>
    </w:p>
    <w:p w14:paraId="5DC73D6F" w14:textId="77777777" w:rsidR="00EA173E" w:rsidRPr="00906D4B" w:rsidRDefault="00EA173E" w:rsidP="00FA35C3">
      <w:pPr>
        <w:spacing w:line="360" w:lineRule="auto"/>
        <w:ind w:right="49"/>
        <w:contextualSpacing/>
        <w:jc w:val="both"/>
        <w:rPr>
          <w:rFonts w:ascii="Palatino Linotype" w:eastAsiaTheme="minorEastAsia" w:hAnsi="Palatino Linotype" w:cs="Arial"/>
          <w:lang w:val="es-ES_tradnl"/>
        </w:rPr>
      </w:pPr>
    </w:p>
    <w:p w14:paraId="3F8CA7F0" w14:textId="7C4DB351" w:rsidR="00EA173E" w:rsidRPr="00906D4B" w:rsidRDefault="000A2051" w:rsidP="00FA35C3">
      <w:pPr>
        <w:numPr>
          <w:ilvl w:val="0"/>
          <w:numId w:val="29"/>
        </w:numPr>
        <w:spacing w:line="360" w:lineRule="auto"/>
        <w:ind w:left="0" w:right="49" w:firstLine="0"/>
        <w:contextualSpacing/>
        <w:jc w:val="both"/>
        <w:rPr>
          <w:rFonts w:ascii="Palatino Linotype" w:eastAsiaTheme="minorEastAsia" w:hAnsi="Palatino Linotype" w:cs="Arial"/>
          <w:lang w:val="es-ES_tradnl"/>
        </w:rPr>
      </w:pPr>
      <w:r w:rsidRPr="00906D4B">
        <w:rPr>
          <w:rFonts w:ascii="Palatino Linotype" w:eastAsia="Calibri" w:hAnsi="Palatino Linotype" w:cs="Arial"/>
          <w:color w:val="000000" w:themeColor="text1"/>
          <w:lang w:val="es-MX" w:eastAsia="en-US"/>
        </w:rPr>
        <w:t>E</w:t>
      </w:r>
      <w:r w:rsidR="00113C54" w:rsidRPr="00906D4B">
        <w:rPr>
          <w:rFonts w:ascii="Palatino Linotype" w:eastAsia="Calibri" w:hAnsi="Palatino Linotype" w:cs="Arial"/>
          <w:color w:val="000000" w:themeColor="text1"/>
          <w:lang w:val="es-MX" w:eastAsia="en-US"/>
        </w:rPr>
        <w:t xml:space="preserve">n el caso concreto y derivado del razonamiento lógico-jurídico de las constancias que obran en el expediente electrónico al rubro indicado, es de señalar que </w:t>
      </w:r>
      <w:r w:rsidR="00EA173E" w:rsidRPr="00906D4B">
        <w:rPr>
          <w:rFonts w:ascii="Palatino Linotype" w:eastAsia="Calibri" w:hAnsi="Palatino Linotype" w:cs="Arial"/>
          <w:color w:val="000000" w:themeColor="text1"/>
          <w:lang w:val="es-MX" w:eastAsia="en-US"/>
        </w:rPr>
        <w:t xml:space="preserve">la parte </w:t>
      </w:r>
      <w:r w:rsidR="00113C54" w:rsidRPr="00906D4B">
        <w:rPr>
          <w:rFonts w:ascii="Palatino Linotype" w:eastAsiaTheme="minorEastAsia" w:hAnsi="Palatino Linotype" w:cs="Arial"/>
          <w:color w:val="000000" w:themeColor="text1"/>
          <w:lang w:val="es-ES_tradnl"/>
        </w:rPr>
        <w:t xml:space="preserve">recurrente, solicitó </w:t>
      </w:r>
      <w:r w:rsidR="00EE72FB" w:rsidRPr="00906D4B">
        <w:rPr>
          <w:rFonts w:ascii="Palatino Linotype" w:eastAsiaTheme="minorEastAsia" w:hAnsi="Palatino Linotype" w:cs="Arial"/>
          <w:color w:val="000000" w:themeColor="text1"/>
          <w:lang w:val="es-ES_tradnl"/>
        </w:rPr>
        <w:t xml:space="preserve">acceso al </w:t>
      </w:r>
      <w:r w:rsidR="00EE72FB" w:rsidRPr="00906D4B">
        <w:rPr>
          <w:rFonts w:ascii="Palatino Linotype" w:eastAsiaTheme="minorEastAsia" w:hAnsi="Palatino Linotype" w:cs="Arial"/>
          <w:i/>
          <w:color w:val="000000" w:themeColor="text1"/>
          <w:lang w:val="es-ES_tradnl"/>
        </w:rPr>
        <w:t>“</w:t>
      </w:r>
      <w:r w:rsidR="00C77499" w:rsidRPr="00906D4B">
        <w:rPr>
          <w:rFonts w:ascii="Palatino Linotype" w:eastAsiaTheme="minorEastAsia" w:hAnsi="Palatino Linotype" w:cs="Arial"/>
          <w:i/>
          <w:color w:val="000000" w:themeColor="text1"/>
          <w:lang w:val="es-ES_tradnl"/>
        </w:rPr>
        <w:t>…l</w:t>
      </w:r>
      <w:r w:rsidR="00EA173E" w:rsidRPr="00906D4B">
        <w:rPr>
          <w:rFonts w:ascii="Palatino Linotype" w:eastAsiaTheme="minorEastAsia" w:hAnsi="Palatino Linotype" w:cs="Arial"/>
          <w:i/>
          <w:color w:val="000000" w:themeColor="text1"/>
          <w:lang w:val="es-ES_tradnl"/>
        </w:rPr>
        <w:t>os nombres de los servidores públicos suplentes en términos del artículo 45, párrafo segundo de la Ley de Transparencia y Acceso a la Información Pública del Estado de México y Municipios.” (Sic)</w:t>
      </w:r>
    </w:p>
    <w:p w14:paraId="0DB58ACF" w14:textId="77777777" w:rsidR="00EA173E" w:rsidRPr="00906D4B" w:rsidRDefault="00EA173E" w:rsidP="00FA35C3">
      <w:pPr>
        <w:pStyle w:val="Prrafodelista"/>
        <w:spacing w:line="360" w:lineRule="auto"/>
        <w:rPr>
          <w:rFonts w:ascii="Palatino Linotype" w:eastAsiaTheme="minorEastAsia" w:hAnsi="Palatino Linotype" w:cstheme="minorBidi"/>
          <w:lang w:val="es-ES_tradnl"/>
        </w:rPr>
      </w:pPr>
    </w:p>
    <w:p w14:paraId="04389EED" w14:textId="12136926" w:rsidR="00807009" w:rsidRPr="00906D4B" w:rsidRDefault="00EA173E" w:rsidP="00FA35C3">
      <w:pPr>
        <w:spacing w:line="360" w:lineRule="auto"/>
        <w:ind w:right="49"/>
        <w:contextualSpacing/>
        <w:jc w:val="both"/>
        <w:rPr>
          <w:rFonts w:ascii="Palatino Linotype" w:eastAsiaTheme="minorEastAsia" w:hAnsi="Palatino Linotype" w:cs="Arial"/>
          <w:lang w:val="es-ES_tradnl"/>
        </w:rPr>
      </w:pPr>
      <w:r w:rsidRPr="00906D4B">
        <w:rPr>
          <w:rFonts w:ascii="Palatino Linotype" w:eastAsiaTheme="minorEastAsia" w:hAnsi="Palatino Linotype" w:cstheme="minorBidi"/>
          <w:lang w:val="es-ES_tradnl"/>
        </w:rPr>
        <w:t xml:space="preserve"> </w:t>
      </w:r>
    </w:p>
    <w:p w14:paraId="47E192F6" w14:textId="50237DD8" w:rsidR="00EA173E" w:rsidRPr="00906D4B" w:rsidRDefault="00FF1C38" w:rsidP="00FA35C3">
      <w:pPr>
        <w:numPr>
          <w:ilvl w:val="0"/>
          <w:numId w:val="29"/>
        </w:numPr>
        <w:spacing w:line="360" w:lineRule="auto"/>
        <w:ind w:left="0" w:right="49" w:firstLine="0"/>
        <w:contextualSpacing/>
        <w:jc w:val="both"/>
        <w:rPr>
          <w:rFonts w:ascii="Palatino Linotype" w:eastAsiaTheme="minorEastAsia" w:hAnsi="Palatino Linotype" w:cstheme="minorBidi"/>
          <w:b/>
          <w:lang w:val="es-ES_tradnl"/>
        </w:rPr>
      </w:pPr>
      <w:r w:rsidRPr="00906D4B">
        <w:rPr>
          <w:rFonts w:ascii="Palatino Linotype" w:eastAsiaTheme="minorEastAsia" w:hAnsi="Palatino Linotype" w:cs="Arial"/>
          <w:lang w:val="es-ES_tradnl"/>
        </w:rPr>
        <w:t>Inconforme con la</w:t>
      </w:r>
      <w:r w:rsidR="00843BC1" w:rsidRPr="00906D4B">
        <w:rPr>
          <w:rFonts w:ascii="Palatino Linotype" w:eastAsiaTheme="minorEastAsia" w:hAnsi="Palatino Linotype" w:cs="Arial"/>
          <w:lang w:val="es-ES_tradnl"/>
        </w:rPr>
        <w:t xml:space="preserve"> falta de </w:t>
      </w:r>
      <w:r w:rsidRPr="00906D4B">
        <w:rPr>
          <w:rFonts w:ascii="Palatino Linotype" w:eastAsiaTheme="minorEastAsia" w:hAnsi="Palatino Linotype" w:cs="Arial"/>
          <w:lang w:val="es-ES_tradnl"/>
        </w:rPr>
        <w:t xml:space="preserve">respuesta del </w:t>
      </w:r>
      <w:r w:rsidRPr="00906D4B">
        <w:rPr>
          <w:rFonts w:ascii="Palatino Linotype" w:eastAsiaTheme="minorEastAsia" w:hAnsi="Palatino Linotype" w:cs="Arial"/>
          <w:b/>
          <w:lang w:val="es-ES_tradnl"/>
        </w:rPr>
        <w:t xml:space="preserve">SUJETO OBLIGADO </w:t>
      </w:r>
      <w:r w:rsidRPr="00906D4B">
        <w:rPr>
          <w:rFonts w:ascii="Palatino Linotype" w:eastAsiaTheme="minorEastAsia" w:hAnsi="Palatino Linotype" w:cs="Arial"/>
          <w:lang w:val="es-ES_tradnl"/>
        </w:rPr>
        <w:t>el particular presentó el Recurso de R</w:t>
      </w:r>
      <w:r w:rsidR="00843BC1" w:rsidRPr="00906D4B">
        <w:rPr>
          <w:rFonts w:ascii="Palatino Linotype" w:eastAsiaTheme="minorEastAsia" w:hAnsi="Palatino Linotype" w:cs="Arial"/>
          <w:lang w:val="es-ES_tradnl"/>
        </w:rPr>
        <w:t>evisión de mérito, en el que señaló como inconformidad la negativa a otorg</w:t>
      </w:r>
      <w:r w:rsidR="00EA173E" w:rsidRPr="00906D4B">
        <w:rPr>
          <w:rFonts w:ascii="Palatino Linotype" w:eastAsiaTheme="minorEastAsia" w:hAnsi="Palatino Linotype" w:cs="Arial"/>
          <w:lang w:val="es-ES_tradnl"/>
        </w:rPr>
        <w:t xml:space="preserve">ar la respuesta a la solicitud. </w:t>
      </w:r>
    </w:p>
    <w:p w14:paraId="53C233E8" w14:textId="348383EB" w:rsidR="00943F97" w:rsidRPr="00906D4B" w:rsidRDefault="00943F97" w:rsidP="00FA35C3">
      <w:pPr>
        <w:numPr>
          <w:ilvl w:val="0"/>
          <w:numId w:val="29"/>
        </w:numPr>
        <w:spacing w:line="360" w:lineRule="auto"/>
        <w:ind w:left="0" w:right="49" w:firstLine="0"/>
        <w:contextualSpacing/>
        <w:jc w:val="both"/>
        <w:rPr>
          <w:rFonts w:ascii="Palatino Linotype" w:eastAsiaTheme="minorEastAsia" w:hAnsi="Palatino Linotype" w:cstheme="minorBidi"/>
          <w:b/>
          <w:lang w:val="es-ES_tradnl"/>
        </w:rPr>
      </w:pPr>
      <w:r w:rsidRPr="00906D4B">
        <w:rPr>
          <w:rFonts w:ascii="Palatino Linotype" w:eastAsia="Calibri" w:hAnsi="Palatino Linotype" w:cs="Arial"/>
          <w:bCs/>
          <w:lang w:val="es-MX" w:eastAsia="en-US"/>
        </w:rPr>
        <w:lastRenderedPageBreak/>
        <w:t xml:space="preserve">En ese sentido, resulta trascendente el estudio del artículo 45 de la Ley de Transparencia y Acceso a la Información del Estado de México, mismo que señala que los miembros propietarios de los Comités de Transparencia contaran con suplentes, como a continuación se observa: </w:t>
      </w:r>
    </w:p>
    <w:p w14:paraId="55EB6717" w14:textId="77777777" w:rsidR="00943F97" w:rsidRPr="00906D4B" w:rsidRDefault="00943F97" w:rsidP="00FA35C3">
      <w:pPr>
        <w:spacing w:line="360" w:lineRule="auto"/>
        <w:ind w:right="49"/>
        <w:contextualSpacing/>
        <w:jc w:val="both"/>
        <w:rPr>
          <w:rFonts w:ascii="Palatino Linotype" w:eastAsia="Calibri" w:hAnsi="Palatino Linotype" w:cs="Arial"/>
          <w:bCs/>
          <w:lang w:val="es-MX" w:eastAsia="en-US"/>
        </w:rPr>
      </w:pPr>
    </w:p>
    <w:p w14:paraId="42DEB09A" w14:textId="73D9F7C9" w:rsidR="00943F97" w:rsidRPr="00906D4B" w:rsidRDefault="00943F97" w:rsidP="00FA35C3">
      <w:pPr>
        <w:spacing w:line="360" w:lineRule="auto"/>
        <w:ind w:left="567" w:right="616"/>
        <w:contextualSpacing/>
        <w:jc w:val="both"/>
        <w:rPr>
          <w:rFonts w:ascii="Palatino Linotype" w:eastAsiaTheme="minorEastAsia" w:hAnsi="Palatino Linotype" w:cstheme="minorBidi"/>
          <w:i/>
        </w:rPr>
      </w:pPr>
      <w:r w:rsidRPr="00906D4B">
        <w:rPr>
          <w:rFonts w:ascii="Palatino Linotype" w:eastAsiaTheme="minorEastAsia" w:hAnsi="Palatino Linotype" w:cstheme="minorBidi"/>
          <w:b/>
          <w:i/>
        </w:rPr>
        <w:t xml:space="preserve">“Artículo 45. </w:t>
      </w:r>
      <w:r w:rsidRPr="00906D4B">
        <w:rPr>
          <w:rFonts w:ascii="Palatino Linotype" w:eastAsiaTheme="minorEastAsia" w:hAnsi="Palatino Linotype" w:cstheme="minorBidi"/>
          <w:i/>
        </w:rPr>
        <w:t>Cada sujeto obligado establecerá un Comité de Transparencia, colegiado e integrado por lo menos por tres miembros, debiendo de ser siempre un número impar.</w:t>
      </w:r>
    </w:p>
    <w:p w14:paraId="0D876F92" w14:textId="77777777" w:rsidR="00943F97" w:rsidRPr="00906D4B" w:rsidRDefault="00943F97" w:rsidP="00FA35C3">
      <w:pPr>
        <w:spacing w:line="360" w:lineRule="auto"/>
        <w:ind w:left="567" w:right="616"/>
        <w:contextualSpacing/>
        <w:jc w:val="both"/>
        <w:rPr>
          <w:rFonts w:ascii="Palatino Linotype" w:eastAsiaTheme="minorEastAsia" w:hAnsi="Palatino Linotype" w:cstheme="minorBidi"/>
          <w:i/>
        </w:rPr>
      </w:pPr>
    </w:p>
    <w:p w14:paraId="1FCFEE69" w14:textId="4CB51BA1" w:rsidR="00943F97" w:rsidRPr="00906D4B" w:rsidRDefault="00943F97" w:rsidP="00FA35C3">
      <w:pPr>
        <w:spacing w:line="360" w:lineRule="auto"/>
        <w:ind w:left="567" w:right="616"/>
        <w:contextualSpacing/>
        <w:jc w:val="both"/>
        <w:rPr>
          <w:rFonts w:ascii="Palatino Linotype" w:eastAsiaTheme="minorEastAsia" w:hAnsi="Palatino Linotype" w:cstheme="minorBidi"/>
          <w:i/>
        </w:rPr>
      </w:pPr>
      <w:r w:rsidRPr="00906D4B">
        <w:rPr>
          <w:rFonts w:ascii="Palatino Linotype" w:eastAsiaTheme="minorEastAsia" w:hAnsi="Palatino Linotype" w:cstheme="minorBidi"/>
          <w:i/>
        </w:rPr>
        <w:t xml:space="preserve">Los integrantes del Comité de Transparencia no podrán depender jerárquicamente entre sí, tampoco podrán reunirse dos o más de estos integrantes en una sola persona. Cuando se presente el caso, el titular del sujeto obligado tendrá que nombrar a la persona que supla al subordinado. </w:t>
      </w:r>
      <w:r w:rsidRPr="00906D4B">
        <w:rPr>
          <w:rFonts w:ascii="Palatino Linotype" w:eastAsiaTheme="minorEastAsia" w:hAnsi="Palatino Linotype" w:cstheme="minorBidi"/>
          <w:b/>
          <w:i/>
        </w:rPr>
        <w:t>Los miembros propietarios de los Comités de Transparencia contarán con los suplentes designados, de conformidad con la normatividad interna de los respectivos sujetos obligados, y deberán corresponder a personas que ocupen cargos de la jerarquía inmediata inferior a la de dichos propietarios</w:t>
      </w:r>
      <w:r w:rsidRPr="00906D4B">
        <w:rPr>
          <w:rFonts w:ascii="Palatino Linotype" w:eastAsiaTheme="minorEastAsia" w:hAnsi="Palatino Linotype" w:cstheme="minorBidi"/>
          <w:i/>
        </w:rPr>
        <w:t>.</w:t>
      </w:r>
      <w:r w:rsidR="00AA7289" w:rsidRPr="00906D4B">
        <w:rPr>
          <w:rFonts w:ascii="Palatino Linotype" w:eastAsiaTheme="minorEastAsia" w:hAnsi="Palatino Linotype" w:cstheme="minorBidi"/>
          <w:i/>
        </w:rPr>
        <w:t xml:space="preserve">” </w:t>
      </w:r>
    </w:p>
    <w:p w14:paraId="055D7656" w14:textId="77777777" w:rsidR="00AA7289" w:rsidRPr="00906D4B" w:rsidRDefault="00AA7289" w:rsidP="00FA35C3">
      <w:pPr>
        <w:spacing w:line="360" w:lineRule="auto"/>
        <w:ind w:left="567" w:right="616"/>
        <w:contextualSpacing/>
        <w:jc w:val="both"/>
        <w:rPr>
          <w:rFonts w:ascii="Palatino Linotype" w:eastAsiaTheme="minorEastAsia" w:hAnsi="Palatino Linotype" w:cstheme="minorBidi"/>
          <w:i/>
        </w:rPr>
      </w:pPr>
    </w:p>
    <w:p w14:paraId="581585A6" w14:textId="38007A38" w:rsidR="00AA7289" w:rsidRPr="00906D4B" w:rsidRDefault="00AA7289" w:rsidP="00FA35C3">
      <w:pPr>
        <w:spacing w:line="360" w:lineRule="auto"/>
        <w:ind w:left="567" w:right="616"/>
        <w:contextualSpacing/>
        <w:jc w:val="both"/>
        <w:rPr>
          <w:rFonts w:ascii="Palatino Linotype" w:eastAsiaTheme="minorEastAsia" w:hAnsi="Palatino Linotype" w:cstheme="minorBidi"/>
          <w:i/>
          <w:lang w:val="es-ES_tradnl"/>
        </w:rPr>
      </w:pPr>
      <w:r w:rsidRPr="00906D4B">
        <w:rPr>
          <w:rFonts w:ascii="Palatino Linotype" w:eastAsiaTheme="minorEastAsia" w:hAnsi="Palatino Linotype" w:cstheme="minorBidi"/>
          <w:i/>
        </w:rPr>
        <w:t>(Énfasis añadido)</w:t>
      </w:r>
    </w:p>
    <w:p w14:paraId="526A8FFC" w14:textId="77777777" w:rsidR="001654FA" w:rsidRPr="00906D4B" w:rsidRDefault="001654FA" w:rsidP="00FA35C3">
      <w:pPr>
        <w:spacing w:line="360" w:lineRule="auto"/>
        <w:rPr>
          <w:rFonts w:ascii="Palatino Linotype" w:eastAsiaTheme="minorEastAsia" w:hAnsi="Palatino Linotype" w:cstheme="minorBidi"/>
          <w:color w:val="000000" w:themeColor="text1"/>
          <w:lang w:val="es-MX"/>
        </w:rPr>
      </w:pPr>
    </w:p>
    <w:p w14:paraId="187D781B" w14:textId="23EAB9DA" w:rsidR="00507B3C" w:rsidRPr="00906D4B" w:rsidRDefault="00943F97" w:rsidP="00FA35C3">
      <w:pPr>
        <w:pStyle w:val="Prrafodelista"/>
        <w:numPr>
          <w:ilvl w:val="0"/>
          <w:numId w:val="29"/>
        </w:numPr>
        <w:spacing w:before="240" w:after="360" w:line="360" w:lineRule="auto"/>
        <w:ind w:left="0" w:firstLine="0"/>
        <w:contextualSpacing/>
        <w:jc w:val="both"/>
        <w:rPr>
          <w:rFonts w:ascii="Palatino Linotype" w:eastAsia="MS Mincho" w:hAnsi="Palatino Linotype" w:cs="Arial"/>
          <w:lang w:val="es-MX"/>
        </w:rPr>
      </w:pPr>
      <w:r w:rsidRPr="00906D4B">
        <w:rPr>
          <w:rFonts w:ascii="Palatino Linotype" w:eastAsiaTheme="minorEastAsia" w:hAnsi="Palatino Linotype" w:cstheme="minorBidi"/>
          <w:color w:val="000000" w:themeColor="text1"/>
          <w:lang w:val="es-MX"/>
        </w:rPr>
        <w:t xml:space="preserve">En ese sentido, resulta trascendente señalar que si bien la actuación del </w:t>
      </w:r>
      <w:r w:rsidRPr="00906D4B">
        <w:rPr>
          <w:rFonts w:ascii="Palatino Linotype" w:eastAsiaTheme="minorEastAsia" w:hAnsi="Palatino Linotype" w:cstheme="minorBidi"/>
          <w:b/>
          <w:color w:val="000000" w:themeColor="text1"/>
          <w:lang w:val="es-MX"/>
        </w:rPr>
        <w:t xml:space="preserve">SUJETO OBLIGADO </w:t>
      </w:r>
      <w:r w:rsidRPr="00906D4B">
        <w:rPr>
          <w:rFonts w:ascii="Palatino Linotype" w:eastAsia="MS Mincho" w:hAnsi="Palatino Linotype"/>
          <w:lang w:val="es-ES_tradnl"/>
        </w:rPr>
        <w:t xml:space="preserve">resultó desfavorable en razón de que no se </w:t>
      </w:r>
      <w:r w:rsidR="00507B3C" w:rsidRPr="00906D4B">
        <w:rPr>
          <w:rFonts w:ascii="Palatino Linotype" w:eastAsia="MS Mincho" w:hAnsi="Palatino Linotype"/>
          <w:lang w:val="es-ES_tradnl"/>
        </w:rPr>
        <w:t>otorgó respuesta a la solicitud de información</w:t>
      </w:r>
      <w:r w:rsidRPr="00906D4B">
        <w:rPr>
          <w:rFonts w:ascii="Palatino Linotype" w:eastAsia="MS Mincho" w:hAnsi="Palatino Linotype"/>
          <w:lang w:val="es-ES_tradnl"/>
        </w:rPr>
        <w:t xml:space="preserve">, a posteriori el ente recurrido en etapa de </w:t>
      </w:r>
      <w:r w:rsidRPr="00906D4B">
        <w:rPr>
          <w:rFonts w:ascii="Palatino Linotype" w:eastAsia="MS Mincho" w:hAnsi="Palatino Linotype"/>
          <w:lang w:val="es-ES_tradnl"/>
        </w:rPr>
        <w:lastRenderedPageBreak/>
        <w:t>mani</w:t>
      </w:r>
      <w:r w:rsidR="00507B3C" w:rsidRPr="00906D4B">
        <w:rPr>
          <w:rFonts w:ascii="Palatino Linotype" w:eastAsia="MS Mincho" w:hAnsi="Palatino Linotype"/>
          <w:lang w:val="es-ES_tradnl"/>
        </w:rPr>
        <w:t xml:space="preserve">festaciones, realizó entrega del </w:t>
      </w:r>
      <w:r w:rsidR="00507B3C" w:rsidRPr="00906D4B">
        <w:rPr>
          <w:rFonts w:ascii="Palatino Linotype" w:eastAsia="MS Mincho" w:hAnsi="Palatino Linotype" w:cs="Arial"/>
        </w:rPr>
        <w:t>acta número CT/MET/1RASE/2022 de fecha veintiuno de enero de dos mil veintidós, mediante la cual se celebra la Primera Sesión Extraordinaria del Comité de Transparencia del Ayuntamiento de Metepec; y el oficio UT/MET/364/2022</w:t>
      </w:r>
      <w:r w:rsidR="00AA7289" w:rsidRPr="00906D4B">
        <w:rPr>
          <w:rFonts w:ascii="Palatino Linotype" w:eastAsia="MS Mincho" w:hAnsi="Palatino Linotype" w:cs="Arial"/>
        </w:rPr>
        <w:t xml:space="preserve">,  en </w:t>
      </w:r>
      <w:r w:rsidR="00507B3C" w:rsidRPr="00906D4B">
        <w:rPr>
          <w:rFonts w:ascii="Palatino Linotype" w:eastAsia="MS Mincho" w:hAnsi="Palatino Linotype" w:cs="Arial"/>
        </w:rPr>
        <w:t xml:space="preserve">los cuales </w:t>
      </w:r>
      <w:r w:rsidR="00AA7289" w:rsidRPr="00906D4B">
        <w:rPr>
          <w:rFonts w:ascii="Palatino Linotype" w:eastAsia="MS Mincho" w:hAnsi="Palatino Linotype" w:cs="Arial"/>
        </w:rPr>
        <w:t>según se</w:t>
      </w:r>
      <w:r w:rsidR="00507B3C" w:rsidRPr="00906D4B">
        <w:rPr>
          <w:rFonts w:ascii="Palatino Linotype" w:eastAsia="MS Mincho" w:hAnsi="Palatino Linotype" w:cs="Arial"/>
        </w:rPr>
        <w:t xml:space="preserve"> observa</w:t>
      </w:r>
      <w:r w:rsidR="00AA7289" w:rsidRPr="00906D4B">
        <w:rPr>
          <w:rFonts w:ascii="Palatino Linotype" w:eastAsia="MS Mincho" w:hAnsi="Palatino Linotype" w:cs="Arial"/>
        </w:rPr>
        <w:t xml:space="preserve"> ocurrió</w:t>
      </w:r>
      <w:r w:rsidR="00507B3C" w:rsidRPr="00906D4B">
        <w:rPr>
          <w:rFonts w:ascii="Palatino Linotype" w:eastAsia="MS Mincho" w:hAnsi="Palatino Linotype" w:cs="Arial"/>
        </w:rPr>
        <w:t xml:space="preserve"> la aprobación de los Suplentes de los Integrantes del Comité de Transparencia, en los siguientes términos: </w:t>
      </w:r>
    </w:p>
    <w:p w14:paraId="48AB36B1" w14:textId="354C0407" w:rsidR="00507B3C" w:rsidRPr="00906D4B" w:rsidRDefault="00507B3C" w:rsidP="00FA35C3">
      <w:pPr>
        <w:pStyle w:val="Prrafodelista"/>
        <w:spacing w:after="360" w:line="360" w:lineRule="auto"/>
        <w:ind w:left="0"/>
        <w:rPr>
          <w:rFonts w:ascii="Palatino Linotype" w:eastAsia="MS Mincho" w:hAnsi="Palatino Linotype" w:cs="Arial"/>
          <w:i/>
        </w:rPr>
      </w:pPr>
    </w:p>
    <w:p w14:paraId="6B5DFE83" w14:textId="77777777" w:rsidR="00F73DD9" w:rsidRPr="00906D4B" w:rsidRDefault="00F73DD9" w:rsidP="00FA35C3">
      <w:pPr>
        <w:pStyle w:val="Prrafodelista"/>
        <w:spacing w:before="240" w:after="360" w:line="360" w:lineRule="auto"/>
        <w:contextualSpacing/>
        <w:jc w:val="both"/>
        <w:rPr>
          <w:rFonts w:ascii="Palatino Linotype" w:eastAsia="MS Mincho" w:hAnsi="Palatino Linotype" w:cs="Arial"/>
          <w:i/>
        </w:rPr>
      </w:pPr>
    </w:p>
    <w:p w14:paraId="2BF4DA2E" w14:textId="7EE89B63" w:rsidR="00507B3C" w:rsidRPr="00906D4B" w:rsidRDefault="00507B3C" w:rsidP="00FA35C3">
      <w:pPr>
        <w:pStyle w:val="Prrafodelista"/>
        <w:spacing w:after="360" w:line="360" w:lineRule="auto"/>
        <w:ind w:left="0"/>
        <w:jc w:val="center"/>
        <w:rPr>
          <w:rFonts w:ascii="Palatino Linotype" w:eastAsia="MS Mincho" w:hAnsi="Palatino Linotype" w:cs="Arial"/>
          <w:b/>
          <w:i/>
        </w:rPr>
      </w:pPr>
      <w:r w:rsidRPr="00906D4B">
        <w:rPr>
          <w:rFonts w:ascii="Palatino Linotype" w:eastAsia="MS Mincho" w:hAnsi="Palatino Linotype" w:cs="Arial"/>
          <w:i/>
          <w:noProof/>
          <w:lang w:val="es-MX" w:eastAsia="es-MX"/>
        </w:rPr>
        <w:drawing>
          <wp:inline distT="0" distB="0" distL="0" distR="0" wp14:anchorId="5F3BE4F9" wp14:editId="65AF40B4">
            <wp:extent cx="5854211" cy="49244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944" t="47979" r="37203" b="8870"/>
                    <a:stretch/>
                  </pic:blipFill>
                  <pic:spPr bwMode="auto">
                    <a:xfrm>
                      <a:off x="0" y="0"/>
                      <a:ext cx="5896588" cy="4960072"/>
                    </a:xfrm>
                    <a:prstGeom prst="rect">
                      <a:avLst/>
                    </a:prstGeom>
                    <a:ln>
                      <a:noFill/>
                    </a:ln>
                    <a:extLst>
                      <a:ext uri="{53640926-AAD7-44D8-BBD7-CCE9431645EC}">
                        <a14:shadowObscured xmlns:a14="http://schemas.microsoft.com/office/drawing/2010/main"/>
                      </a:ext>
                    </a:extLst>
                  </pic:spPr>
                </pic:pic>
              </a:graphicData>
            </a:graphic>
          </wp:inline>
        </w:drawing>
      </w:r>
    </w:p>
    <w:p w14:paraId="6B62DAE5" w14:textId="77777777" w:rsidR="00507B3C" w:rsidRPr="00906D4B" w:rsidRDefault="00507B3C" w:rsidP="00FA35C3">
      <w:pPr>
        <w:pStyle w:val="Prrafodelista"/>
        <w:spacing w:before="240" w:after="360" w:line="360" w:lineRule="auto"/>
        <w:ind w:left="0"/>
        <w:contextualSpacing/>
        <w:jc w:val="both"/>
        <w:rPr>
          <w:rFonts w:ascii="Palatino Linotype" w:eastAsia="MS Mincho" w:hAnsi="Palatino Linotype" w:cs="Arial"/>
          <w:i/>
          <w:lang w:val="es-MX"/>
        </w:rPr>
      </w:pPr>
    </w:p>
    <w:p w14:paraId="143594CF" w14:textId="70B987E0" w:rsidR="00507B3C" w:rsidRPr="00906D4B" w:rsidRDefault="00507B3C" w:rsidP="00FA35C3">
      <w:pPr>
        <w:pStyle w:val="Prrafodelista"/>
        <w:numPr>
          <w:ilvl w:val="0"/>
          <w:numId w:val="29"/>
        </w:numPr>
        <w:spacing w:before="240" w:after="360" w:line="360" w:lineRule="auto"/>
        <w:ind w:left="0" w:firstLine="0"/>
        <w:contextualSpacing/>
        <w:jc w:val="both"/>
        <w:rPr>
          <w:rFonts w:ascii="Palatino Linotype" w:eastAsia="MS Mincho" w:hAnsi="Palatino Linotype" w:cs="Arial"/>
          <w:i/>
          <w:lang w:val="es-MX"/>
        </w:rPr>
      </w:pPr>
      <w:r w:rsidRPr="00906D4B">
        <w:rPr>
          <w:rFonts w:ascii="Palatino Linotype" w:eastAsia="MS Mincho" w:hAnsi="Palatino Linotype"/>
          <w:lang w:val="es-ES_tradnl"/>
        </w:rPr>
        <w:t xml:space="preserve">En tal contexto, este Órgano Garante advierte que la falta de respuesta por parte del </w:t>
      </w:r>
      <w:r w:rsidR="00AA7289" w:rsidRPr="00906D4B">
        <w:rPr>
          <w:rFonts w:ascii="Palatino Linotype" w:eastAsia="MS Mincho" w:hAnsi="Palatino Linotype"/>
          <w:b/>
          <w:lang w:val="es-ES_tradnl"/>
        </w:rPr>
        <w:t xml:space="preserve">SUJETO OBLIGADO </w:t>
      </w:r>
      <w:r w:rsidR="00AA7289" w:rsidRPr="00906D4B">
        <w:rPr>
          <w:rFonts w:ascii="Palatino Linotype" w:eastAsia="MS Mincho" w:hAnsi="Palatino Linotype"/>
          <w:lang w:val="es-ES_tradnl"/>
        </w:rPr>
        <w:t>lo que trajo como consecuencia que se configurara el concepto jurídico de “negativa ficta”, h</w:t>
      </w:r>
      <w:r w:rsidRPr="00906D4B">
        <w:rPr>
          <w:rFonts w:ascii="Palatino Linotype" w:eastAsia="MS Mincho" w:hAnsi="Palatino Linotype"/>
          <w:lang w:val="es-ES_tradnl"/>
        </w:rPr>
        <w:t>a quedado insubsistente</w:t>
      </w:r>
      <w:r w:rsidR="00AA7289" w:rsidRPr="00906D4B">
        <w:rPr>
          <w:rFonts w:ascii="Palatino Linotype" w:eastAsia="MS Mincho" w:hAnsi="Palatino Linotype"/>
          <w:lang w:val="es-ES_tradnl"/>
        </w:rPr>
        <w:t>,</w:t>
      </w:r>
      <w:r w:rsidRPr="00906D4B">
        <w:rPr>
          <w:rFonts w:ascii="Palatino Linotype" w:eastAsia="MS Mincho" w:hAnsi="Palatino Linotype"/>
          <w:lang w:val="es-ES_tradnl"/>
        </w:rPr>
        <w:t xml:space="preserve"> al emitir la información solicitada en v</w:t>
      </w:r>
      <w:r w:rsidR="00AA7289" w:rsidRPr="00906D4B">
        <w:rPr>
          <w:rFonts w:ascii="Palatino Linotype" w:eastAsia="MS Mincho" w:hAnsi="Palatino Linotype"/>
          <w:lang w:val="es-ES_tradnl"/>
        </w:rPr>
        <w:t>ía de informe justificado.</w:t>
      </w:r>
      <w:r w:rsidRPr="00906D4B">
        <w:rPr>
          <w:rFonts w:ascii="Palatino Linotype" w:eastAsia="MS Mincho" w:hAnsi="Palatino Linotype"/>
          <w:lang w:val="es-ES_tradnl"/>
        </w:rPr>
        <w:t xml:space="preserve"> </w:t>
      </w:r>
      <w:r w:rsidR="00AA7289" w:rsidRPr="00906D4B">
        <w:rPr>
          <w:rFonts w:ascii="Palatino Linotype" w:eastAsia="Calibri" w:hAnsi="Palatino Linotype"/>
          <w:lang w:val="es-MX"/>
        </w:rPr>
        <w:t>P</w:t>
      </w:r>
      <w:r w:rsidRPr="00906D4B">
        <w:rPr>
          <w:rFonts w:ascii="Palatino Linotype" w:eastAsia="Calibri" w:hAnsi="Palatino Linotype"/>
          <w:lang w:val="es-MX"/>
        </w:rPr>
        <w:t xml:space="preserve">recisado lo anterior, es necesario referir que </w:t>
      </w:r>
      <w:r w:rsidRPr="00906D4B">
        <w:rPr>
          <w:rFonts w:ascii="Palatino Linotype" w:eastAsia="MS Mincho" w:hAnsi="Palatino Linotype"/>
          <w:lang w:val="es-ES_tradnl" w:eastAsia="es-ES_tradnl"/>
        </w:rPr>
        <w:t xml:space="preserve">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w:t>
      </w:r>
      <w:r w:rsidRPr="00906D4B">
        <w:rPr>
          <w:rFonts w:ascii="Palatino Linotype" w:eastAsia="MS Mincho" w:hAnsi="Palatino Linotype"/>
          <w:b/>
          <w:lang w:val="es-ES_tradnl" w:eastAsia="es-ES_tradnl"/>
        </w:rPr>
        <w:t>(SAIMEX).</w:t>
      </w:r>
    </w:p>
    <w:p w14:paraId="669A8C68" w14:textId="77777777" w:rsidR="00507B3C" w:rsidRPr="00906D4B" w:rsidRDefault="00507B3C" w:rsidP="00FA35C3">
      <w:pPr>
        <w:numPr>
          <w:ilvl w:val="0"/>
          <w:numId w:val="12"/>
        </w:numPr>
        <w:spacing w:line="360" w:lineRule="auto"/>
        <w:ind w:left="0" w:right="49" w:firstLine="0"/>
        <w:contextualSpacing/>
        <w:jc w:val="both"/>
        <w:rPr>
          <w:rFonts w:ascii="Palatino Linotype" w:eastAsia="MS Mincho" w:hAnsi="Palatino Linotype" w:cs="Arial"/>
          <w:lang w:val="es-ES_tradnl"/>
        </w:rPr>
      </w:pPr>
      <w:r w:rsidRPr="00906D4B">
        <w:rPr>
          <w:rFonts w:ascii="Palatino Linotype" w:eastAsia="MS Mincho" w:hAnsi="Palatino Linotype"/>
          <w:lang w:val="es-ES_tradnl" w:eastAsia="es-ES_tradnl"/>
        </w:rPr>
        <w:t>Sirviendo de apoyo a lo anterior por analogía, el criterio 31-10 emitido por el ahora Instituto Nacional de Transparencia, Acceso a la Información y Protección de Datos Personales, que a la letra dice:</w:t>
      </w:r>
    </w:p>
    <w:p w14:paraId="52096F5C" w14:textId="77777777" w:rsidR="00507B3C" w:rsidRPr="00906D4B" w:rsidRDefault="00507B3C" w:rsidP="00FA35C3">
      <w:pPr>
        <w:spacing w:line="360" w:lineRule="auto"/>
        <w:ind w:right="49"/>
        <w:contextualSpacing/>
        <w:jc w:val="both"/>
        <w:rPr>
          <w:rFonts w:ascii="Palatino Linotype" w:eastAsia="MS Mincho" w:hAnsi="Palatino Linotype" w:cs="Arial"/>
          <w:lang w:val="es-ES_tradnl"/>
        </w:rPr>
      </w:pPr>
    </w:p>
    <w:p w14:paraId="4F0206BF" w14:textId="77777777" w:rsidR="00507B3C" w:rsidRPr="00906D4B" w:rsidRDefault="00507B3C" w:rsidP="00FA35C3">
      <w:pPr>
        <w:widowControl w:val="0"/>
        <w:autoSpaceDE w:val="0"/>
        <w:autoSpaceDN w:val="0"/>
        <w:adjustRightInd w:val="0"/>
        <w:spacing w:before="240" w:after="240" w:line="360" w:lineRule="auto"/>
        <w:ind w:left="567" w:right="567"/>
        <w:jc w:val="both"/>
        <w:rPr>
          <w:rFonts w:ascii="Palatino Linotype" w:eastAsia="MS Mincho" w:hAnsi="Palatino Linotype"/>
          <w:i/>
          <w:lang w:val="es-ES_tradnl" w:eastAsia="es-ES_tradnl"/>
        </w:rPr>
      </w:pPr>
      <w:r w:rsidRPr="00906D4B">
        <w:rPr>
          <w:rFonts w:ascii="Palatino Linotype" w:eastAsia="MS Mincho" w:hAnsi="Palatino Linotype"/>
          <w:b/>
          <w:i/>
          <w:lang w:val="es-ES_tradnl" w:eastAsia="es-ES_tradnl"/>
        </w:rPr>
        <w:t xml:space="preserve">“El Instituto Federal de Acceso a la Información y Protección de Datos no cuenta con facultades para pronunciarse respecto de la veracidad de los documentos proporcionados por los sujetos obligados. </w:t>
      </w:r>
      <w:r w:rsidRPr="00906D4B">
        <w:rPr>
          <w:rFonts w:ascii="Palatino Linotype" w:eastAsia="MS Mincho" w:hAnsi="Palatino Linotype"/>
          <w:i/>
          <w:lang w:val="es-ES_tradnl" w:eastAsia="es-ES_tradnl"/>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w:t>
      </w:r>
      <w:r w:rsidRPr="00906D4B">
        <w:rPr>
          <w:rFonts w:ascii="Palatino Linotype" w:eastAsia="MS Mincho" w:hAnsi="Palatino Linotype"/>
          <w:i/>
          <w:lang w:val="es-ES_tradnl" w:eastAsia="es-ES_tradnl"/>
        </w:rPr>
        <w:lastRenderedPageBreak/>
        <w:t>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BC99D90" w14:textId="77777777" w:rsidR="00507B3C" w:rsidRPr="00906D4B" w:rsidRDefault="00507B3C" w:rsidP="00FA35C3">
      <w:pPr>
        <w:widowControl w:val="0"/>
        <w:numPr>
          <w:ilvl w:val="0"/>
          <w:numId w:val="12"/>
        </w:numPr>
        <w:autoSpaceDE w:val="0"/>
        <w:autoSpaceDN w:val="0"/>
        <w:adjustRightInd w:val="0"/>
        <w:spacing w:before="240" w:after="240" w:line="360" w:lineRule="auto"/>
        <w:ind w:left="0" w:firstLine="0"/>
        <w:contextualSpacing/>
        <w:jc w:val="both"/>
        <w:rPr>
          <w:rFonts w:ascii="Palatino Linotype" w:eastAsia="MS Mincho" w:hAnsi="Palatino Linotype"/>
          <w:lang w:val="es-ES_tradnl" w:eastAsia="es-ES_tradnl"/>
        </w:rPr>
      </w:pPr>
      <w:r w:rsidRPr="00906D4B">
        <w:rPr>
          <w:rFonts w:ascii="Palatino Linotype" w:eastAsia="MS Mincho" w:hAnsi="Palatino Linotype"/>
          <w:lang w:val="es-ES_tradnl" w:eastAsia="es-ES_tradnl"/>
        </w:rPr>
        <w:t xml:space="preserve">Numerales que compelen al </w:t>
      </w:r>
      <w:r w:rsidRPr="00906D4B">
        <w:rPr>
          <w:rFonts w:ascii="Palatino Linotype" w:eastAsia="MS Mincho" w:hAnsi="Palatino Linotype"/>
          <w:b/>
          <w:lang w:val="es-ES_tradnl" w:eastAsia="es-ES_tradnl"/>
        </w:rPr>
        <w:t>SUJETO OBLIGADO</w:t>
      </w:r>
      <w:r w:rsidRPr="00906D4B">
        <w:rPr>
          <w:rFonts w:ascii="Palatino Linotype" w:eastAsia="MS Mincho" w:hAnsi="Palatino Linotype"/>
          <w:lang w:val="es-ES_tradnl" w:eastAsia="es-ES_tradnl"/>
        </w:rPr>
        <w:t xml:space="preserve"> a apegarse en todo momento a los criterios ya expuestos, impidiendo a este Órgano Colegiado cuestionar la veracidad de la información.</w:t>
      </w:r>
    </w:p>
    <w:p w14:paraId="20AE5E6D" w14:textId="77777777" w:rsidR="00507B3C" w:rsidRPr="00906D4B" w:rsidRDefault="00507B3C" w:rsidP="00FA35C3">
      <w:pPr>
        <w:widowControl w:val="0"/>
        <w:autoSpaceDE w:val="0"/>
        <w:autoSpaceDN w:val="0"/>
        <w:adjustRightInd w:val="0"/>
        <w:spacing w:before="240" w:after="240" w:line="360" w:lineRule="auto"/>
        <w:contextualSpacing/>
        <w:jc w:val="both"/>
        <w:rPr>
          <w:rFonts w:ascii="Palatino Linotype" w:eastAsia="MS Mincho" w:hAnsi="Palatino Linotype"/>
          <w:lang w:val="es-ES_tradnl" w:eastAsia="es-ES_tradnl"/>
        </w:rPr>
      </w:pPr>
    </w:p>
    <w:p w14:paraId="5C694F84" w14:textId="77777777" w:rsidR="00507B3C" w:rsidRPr="00906D4B" w:rsidRDefault="00507B3C" w:rsidP="00FA35C3">
      <w:pPr>
        <w:numPr>
          <w:ilvl w:val="0"/>
          <w:numId w:val="12"/>
        </w:numPr>
        <w:spacing w:line="360" w:lineRule="auto"/>
        <w:ind w:left="0" w:firstLine="0"/>
        <w:contextualSpacing/>
        <w:jc w:val="both"/>
        <w:rPr>
          <w:rFonts w:ascii="Palatino Linotype" w:eastAsia="Calibri" w:hAnsi="Palatino Linotype"/>
        </w:rPr>
      </w:pPr>
      <w:r w:rsidRPr="00906D4B">
        <w:rPr>
          <w:rFonts w:ascii="Palatino Linotype" w:eastAsia="Calibri" w:hAnsi="Palatino Linotype"/>
          <w:lang w:val="es-MX"/>
        </w:rPr>
        <w:t xml:space="preserve">Así, </w:t>
      </w:r>
      <w:r w:rsidRPr="00906D4B">
        <w:rPr>
          <w:rFonts w:ascii="Palatino Linotype" w:eastAsia="Calibri" w:hAnsi="Palatino Linotype"/>
          <w:lang w:val="es-ES_tradnl"/>
        </w:rPr>
        <w:t xml:space="preserve">por cuanto hace a las causas de sobreseimiento contenidas en la fracción III del artículo 192 de la </w:t>
      </w:r>
      <w:r w:rsidRPr="00906D4B">
        <w:rPr>
          <w:rFonts w:ascii="Palatino Linotype" w:eastAsia="Calibri" w:hAnsi="Palatino Linotype"/>
          <w:b/>
          <w:lang w:val="es-ES_tradnl"/>
        </w:rPr>
        <w:t>Ley de Transparencia y Acceso a la Información Pública del Estado de México y Municipios</w:t>
      </w:r>
      <w:r w:rsidRPr="00906D4B">
        <w:rPr>
          <w:rFonts w:ascii="Palatino Linotype" w:eastAsia="Calibri" w:hAnsi="Palatino Linotype"/>
          <w:lang w:val="es-ES_tradnl"/>
        </w:rPr>
        <w:t xml:space="preserve">, es oportuno señalar que estos requisitos privilegian la existencia de elementos de fondo, tales como el desistimiento o fallecimiento del </w:t>
      </w:r>
      <w:r w:rsidRPr="00906D4B">
        <w:rPr>
          <w:rFonts w:ascii="Palatino Linotype" w:eastAsia="Calibri" w:hAnsi="Palatino Linotype"/>
          <w:b/>
          <w:lang w:val="es-ES_tradnl"/>
        </w:rPr>
        <w:t>RECURRENTE</w:t>
      </w:r>
      <w:r w:rsidRPr="00906D4B">
        <w:rPr>
          <w:rFonts w:ascii="Palatino Linotype" w:eastAsia="Calibri" w:hAnsi="Palatino Linotype"/>
          <w:lang w:val="es-ES_tradnl"/>
        </w:rPr>
        <w:t xml:space="preserve"> o que el </w:t>
      </w:r>
      <w:r w:rsidRPr="00906D4B">
        <w:rPr>
          <w:rFonts w:ascii="Palatino Linotype" w:eastAsia="Calibri" w:hAnsi="Palatino Linotype"/>
          <w:b/>
          <w:lang w:val="es-ES_tradnl"/>
        </w:rPr>
        <w:t>SUJETO OBLIGADO</w:t>
      </w:r>
      <w:r w:rsidRPr="00906D4B">
        <w:rPr>
          <w:rFonts w:ascii="Palatino Linotype" w:eastAsia="Calibri" w:hAnsi="Palatino Linotype"/>
          <w:lang w:val="es-ES_tradnl"/>
        </w:rPr>
        <w:t xml:space="preserve"> </w:t>
      </w:r>
      <w:r w:rsidRPr="00906D4B">
        <w:rPr>
          <w:rFonts w:ascii="Palatino Linotype" w:eastAsia="Calibri" w:hAnsi="Palatino Linotype"/>
          <w:b/>
          <w:u w:val="single"/>
          <w:lang w:val="es-ES_tradnl"/>
        </w:rPr>
        <w:t>modifique o revoque el acto</w:t>
      </w:r>
      <w:r w:rsidRPr="00906D4B">
        <w:rPr>
          <w:rFonts w:ascii="Palatino Linotype" w:eastAsia="Calibri" w:hAnsi="Palatino Linotype"/>
          <w:lang w:val="es-ES_tradnl"/>
        </w:rPr>
        <w:t>; de ahí que la actualización de alguno de éstos trae como consecuencia que el medio de impugnación se concluya sin que se analice el objeto de estudio planteado, es decir se sobresea.</w:t>
      </w:r>
    </w:p>
    <w:p w14:paraId="4F1C6593" w14:textId="77777777" w:rsidR="00507B3C" w:rsidRPr="00906D4B" w:rsidRDefault="00507B3C" w:rsidP="00FA35C3">
      <w:pPr>
        <w:spacing w:line="360" w:lineRule="auto"/>
        <w:jc w:val="both"/>
        <w:rPr>
          <w:rFonts w:ascii="Palatino Linotype" w:eastAsia="Calibri" w:hAnsi="Palatino Linotype"/>
        </w:rPr>
      </w:pPr>
    </w:p>
    <w:p w14:paraId="0F71A474" w14:textId="77777777" w:rsidR="00507B3C" w:rsidRPr="00906D4B" w:rsidRDefault="00507B3C" w:rsidP="00FA35C3">
      <w:pPr>
        <w:numPr>
          <w:ilvl w:val="0"/>
          <w:numId w:val="12"/>
        </w:numPr>
        <w:spacing w:line="360" w:lineRule="auto"/>
        <w:ind w:left="0" w:firstLine="0"/>
        <w:contextualSpacing/>
        <w:jc w:val="both"/>
        <w:rPr>
          <w:rFonts w:ascii="Palatino Linotype" w:eastAsia="Calibri" w:hAnsi="Palatino Linotype"/>
        </w:rPr>
      </w:pPr>
      <w:r w:rsidRPr="00906D4B">
        <w:rPr>
          <w:rFonts w:ascii="Palatino Linotype" w:eastAsia="Calibri" w:hAnsi="Palatino Linotype"/>
          <w:lang w:val="es-ES_tradnl"/>
        </w:rPr>
        <w:t xml:space="preserve">Para los efectos de esta resolución, es oportuno precisar los alcances jurídicos de la fracción III de la disposición legal transcrita. Así, procede el sobreseimiento del recurso de revisión cuando el </w:t>
      </w:r>
      <w:r w:rsidRPr="00906D4B">
        <w:rPr>
          <w:rFonts w:ascii="Palatino Linotype" w:eastAsia="Calibri" w:hAnsi="Palatino Linotype"/>
          <w:b/>
          <w:lang w:val="es-ES_tradnl"/>
        </w:rPr>
        <w:t>SUJETO OBLIGADO</w:t>
      </w:r>
      <w:r w:rsidRPr="00906D4B">
        <w:rPr>
          <w:rFonts w:ascii="Palatino Linotype" w:eastAsia="Calibri" w:hAnsi="Palatino Linotype"/>
          <w:lang w:val="es-ES_tradnl"/>
        </w:rPr>
        <w:t>:</w:t>
      </w:r>
    </w:p>
    <w:p w14:paraId="15BEA6C6" w14:textId="77777777" w:rsidR="00507B3C" w:rsidRPr="00906D4B" w:rsidRDefault="00507B3C" w:rsidP="00FA35C3">
      <w:pPr>
        <w:spacing w:line="360" w:lineRule="auto"/>
        <w:jc w:val="both"/>
        <w:rPr>
          <w:rFonts w:ascii="Palatino Linotype" w:eastAsia="Calibri" w:hAnsi="Palatino Linotype"/>
        </w:rPr>
      </w:pPr>
    </w:p>
    <w:p w14:paraId="4E10A8FC" w14:textId="77777777" w:rsidR="00507B3C" w:rsidRPr="00906D4B" w:rsidRDefault="00507B3C" w:rsidP="00FA35C3">
      <w:pPr>
        <w:numPr>
          <w:ilvl w:val="0"/>
          <w:numId w:val="31"/>
        </w:numPr>
        <w:spacing w:line="360" w:lineRule="auto"/>
        <w:ind w:left="567" w:right="616"/>
        <w:contextualSpacing/>
        <w:jc w:val="both"/>
        <w:rPr>
          <w:rFonts w:ascii="Palatino Linotype" w:eastAsia="MS Mincho" w:hAnsi="Palatino Linotype" w:cs="Arial"/>
          <w:lang w:val="es-ES_tradnl"/>
        </w:rPr>
      </w:pPr>
      <w:r w:rsidRPr="00906D4B">
        <w:rPr>
          <w:rFonts w:ascii="Palatino Linotype" w:eastAsia="MS Mincho" w:hAnsi="Palatino Linotype" w:cs="Arial"/>
          <w:b/>
          <w:lang w:val="es-ES_tradnl"/>
        </w:rPr>
        <w:lastRenderedPageBreak/>
        <w:t>Modifique el acto impugnado:</w:t>
      </w:r>
      <w:r w:rsidRPr="00906D4B">
        <w:rPr>
          <w:rFonts w:ascii="Palatino Linotype" w:eastAsia="MS Mincho" w:hAnsi="Palatino Linotype" w:cs="Arial"/>
          <w:lang w:val="es-ES_tradnl"/>
        </w:rPr>
        <w:t xml:space="preserve"> Se actualiza cuando el </w:t>
      </w:r>
      <w:r w:rsidRPr="00906D4B">
        <w:rPr>
          <w:rFonts w:ascii="Palatino Linotype" w:eastAsia="MS Mincho" w:hAnsi="Palatino Linotype" w:cs="Arial"/>
          <w:b/>
          <w:lang w:val="es-ES_tradnl"/>
        </w:rPr>
        <w:t>SUJETO OBLIGADO</w:t>
      </w:r>
      <w:r w:rsidRPr="00906D4B">
        <w:rPr>
          <w:rFonts w:ascii="Palatino Linotype" w:eastAsia="MS Mincho" w:hAnsi="Palatino Linotype" w:cs="Arial"/>
          <w:lang w:val="es-ES_tradnl"/>
        </w:rPr>
        <w:t xml:space="preserve"> después de haber otorgado una respuesta y hasta antes de dictada la resolución del recurso de revisión, emite una diversa en la que subsane las deficiencias que hubiera tenido.</w:t>
      </w:r>
    </w:p>
    <w:p w14:paraId="702FA815" w14:textId="77777777" w:rsidR="00507B3C" w:rsidRPr="00906D4B" w:rsidRDefault="00507B3C" w:rsidP="00FA35C3">
      <w:pPr>
        <w:spacing w:line="360" w:lineRule="auto"/>
        <w:ind w:left="1068" w:right="567"/>
        <w:contextualSpacing/>
        <w:jc w:val="both"/>
        <w:rPr>
          <w:rFonts w:ascii="Palatino Linotype" w:eastAsia="MS Mincho" w:hAnsi="Palatino Linotype" w:cs="Arial"/>
          <w:lang w:val="es-ES_tradnl"/>
        </w:rPr>
      </w:pPr>
    </w:p>
    <w:p w14:paraId="6F5013FA" w14:textId="77777777" w:rsidR="00507B3C" w:rsidRPr="00906D4B" w:rsidRDefault="00507B3C" w:rsidP="00FA35C3">
      <w:pPr>
        <w:numPr>
          <w:ilvl w:val="0"/>
          <w:numId w:val="31"/>
        </w:numPr>
        <w:spacing w:line="360" w:lineRule="auto"/>
        <w:ind w:left="567" w:right="616"/>
        <w:contextualSpacing/>
        <w:jc w:val="both"/>
        <w:rPr>
          <w:rFonts w:ascii="Palatino Linotype" w:eastAsia="MS Mincho" w:hAnsi="Palatino Linotype" w:cs="Arial"/>
          <w:lang w:val="es-ES_tradnl"/>
        </w:rPr>
      </w:pPr>
      <w:r w:rsidRPr="00906D4B">
        <w:rPr>
          <w:rFonts w:ascii="Palatino Linotype" w:eastAsia="MS Mincho" w:hAnsi="Palatino Linotype" w:cs="Arial"/>
          <w:b/>
          <w:lang w:val="es-ES_tradnl"/>
        </w:rPr>
        <w:t>Revoque el acto impugnado:</w:t>
      </w:r>
      <w:r w:rsidRPr="00906D4B">
        <w:rPr>
          <w:rFonts w:ascii="Palatino Linotype" w:eastAsia="MS Mincho" w:hAnsi="Palatino Linotype" w:cs="Arial"/>
          <w:lang w:val="es-ES_tradnl"/>
        </w:rPr>
        <w:t xml:space="preserve"> En este supuesto, el </w:t>
      </w:r>
      <w:r w:rsidRPr="00906D4B">
        <w:rPr>
          <w:rFonts w:ascii="Palatino Linotype" w:eastAsia="MS Mincho" w:hAnsi="Palatino Linotype" w:cs="Arial"/>
          <w:b/>
          <w:lang w:val="es-ES_tradnl"/>
        </w:rPr>
        <w:t>SUJETO OBLIGADO</w:t>
      </w:r>
      <w:r w:rsidRPr="00906D4B">
        <w:rPr>
          <w:rFonts w:ascii="Palatino Linotype" w:eastAsia="MS Mincho" w:hAnsi="Palatino Linotype" w:cs="Arial"/>
          <w:lang w:val="es-ES_tradnl"/>
        </w:rPr>
        <w:t xml:space="preserve"> deja sin efectos la primera respuesta y en su lugar emite otra que satisfaga lo solicitado por el particular en un primer momento.</w:t>
      </w:r>
    </w:p>
    <w:p w14:paraId="6E1B62D1" w14:textId="77777777" w:rsidR="00507B3C" w:rsidRPr="00906D4B" w:rsidRDefault="00507B3C" w:rsidP="00FA35C3">
      <w:pPr>
        <w:spacing w:line="360" w:lineRule="auto"/>
        <w:ind w:right="616"/>
        <w:contextualSpacing/>
        <w:jc w:val="both"/>
        <w:rPr>
          <w:rFonts w:ascii="Palatino Linotype" w:eastAsia="MS Mincho" w:hAnsi="Palatino Linotype" w:cs="Arial"/>
          <w:lang w:val="es-ES_tradnl"/>
        </w:rPr>
      </w:pPr>
    </w:p>
    <w:p w14:paraId="2BAAD5A7" w14:textId="77777777" w:rsidR="00507B3C" w:rsidRPr="00906D4B" w:rsidRDefault="00507B3C" w:rsidP="00FA35C3">
      <w:pPr>
        <w:numPr>
          <w:ilvl w:val="0"/>
          <w:numId w:val="40"/>
        </w:numPr>
        <w:spacing w:line="360" w:lineRule="auto"/>
        <w:ind w:left="0" w:firstLine="0"/>
        <w:contextualSpacing/>
        <w:jc w:val="both"/>
        <w:rPr>
          <w:rFonts w:ascii="Palatino Linotype" w:eastAsia="Calibri" w:hAnsi="Palatino Linotype"/>
          <w:lang w:val="es-ES_tradnl"/>
        </w:rPr>
      </w:pPr>
      <w:r w:rsidRPr="00906D4B">
        <w:rPr>
          <w:rFonts w:ascii="Palatino Linotype" w:eastAsia="Calibri" w:hAnsi="Palatino Linotype"/>
          <w:lang w:val="es-ES_tradnl"/>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53D32688" w14:textId="77777777" w:rsidR="00507B3C" w:rsidRPr="00906D4B" w:rsidRDefault="00507B3C" w:rsidP="00FA35C3">
      <w:pPr>
        <w:spacing w:line="360" w:lineRule="auto"/>
        <w:jc w:val="both"/>
        <w:rPr>
          <w:rFonts w:ascii="Palatino Linotype" w:eastAsia="Calibri" w:hAnsi="Palatino Linotype"/>
          <w:lang w:val="es-ES_tradnl"/>
        </w:rPr>
      </w:pPr>
    </w:p>
    <w:p w14:paraId="667A1874" w14:textId="77777777" w:rsidR="00507B3C" w:rsidRPr="00906D4B" w:rsidRDefault="00507B3C" w:rsidP="00FA35C3">
      <w:pPr>
        <w:numPr>
          <w:ilvl w:val="0"/>
          <w:numId w:val="40"/>
        </w:numPr>
        <w:spacing w:line="360" w:lineRule="auto"/>
        <w:ind w:left="0" w:firstLine="0"/>
        <w:contextualSpacing/>
        <w:jc w:val="both"/>
        <w:rPr>
          <w:rFonts w:ascii="Palatino Linotype" w:eastAsia="Calibri" w:hAnsi="Palatino Linotype"/>
          <w:lang w:val="es-ES_tradnl"/>
        </w:rPr>
      </w:pPr>
      <w:r w:rsidRPr="00906D4B">
        <w:rPr>
          <w:rFonts w:ascii="Palatino Linotype" w:eastAsia="Calibri" w:hAnsi="Palatino Linotype"/>
          <w:lang w:val="es-ES_tradnl"/>
        </w:rPr>
        <w:t xml:space="preserve">En el presente asunto, este Pleno advierte que el </w:t>
      </w:r>
      <w:r w:rsidRPr="00906D4B">
        <w:rPr>
          <w:rFonts w:ascii="Palatino Linotype" w:eastAsia="Calibri" w:hAnsi="Palatino Linotype"/>
          <w:b/>
          <w:lang w:val="es-ES_tradnl"/>
        </w:rPr>
        <w:t>SUJETO OBLIGADO</w:t>
      </w:r>
      <w:r w:rsidRPr="00906D4B">
        <w:rPr>
          <w:rFonts w:ascii="Palatino Linotype" w:eastAsia="Calibri" w:hAnsi="Palatino Linotype"/>
          <w:lang w:val="es-ES_tradnl"/>
        </w:rPr>
        <w:t xml:space="preserve"> con la información enviada a través del informe de justificación, </w:t>
      </w:r>
      <w:r w:rsidRPr="00906D4B">
        <w:rPr>
          <w:rFonts w:ascii="Palatino Linotype" w:eastAsia="Calibri" w:hAnsi="Palatino Linotype"/>
          <w:b/>
          <w:lang w:val="es-ES_tradnl"/>
        </w:rPr>
        <w:t>modifica</w:t>
      </w:r>
      <w:r w:rsidRPr="00906D4B">
        <w:rPr>
          <w:rFonts w:ascii="Palatino Linotype" w:eastAsia="Calibri" w:hAnsi="Palatino Linotype"/>
          <w:lang w:val="es-ES_tradnl"/>
        </w:rPr>
        <w:t xml:space="preserve"> el acto que le dio origen al recurso de revisión, lo que trae como consecuencia que el mismo quede sin materia, actualizándose de este modo, la hipótesis jurídica contenida en la fracción III del citado artículo.</w:t>
      </w:r>
    </w:p>
    <w:p w14:paraId="75090D4D" w14:textId="77777777" w:rsidR="00507B3C" w:rsidRPr="00906D4B" w:rsidRDefault="00507B3C" w:rsidP="00FA35C3">
      <w:pPr>
        <w:spacing w:line="360" w:lineRule="auto"/>
        <w:ind w:left="720"/>
        <w:contextualSpacing/>
        <w:rPr>
          <w:rFonts w:ascii="Palatino Linotype" w:eastAsia="Calibri" w:hAnsi="Palatino Linotype"/>
          <w:lang w:val="es-ES_tradnl"/>
        </w:rPr>
      </w:pPr>
    </w:p>
    <w:p w14:paraId="77504A24" w14:textId="77777777" w:rsidR="00507B3C" w:rsidRPr="00906D4B" w:rsidRDefault="00507B3C" w:rsidP="00FA35C3">
      <w:pPr>
        <w:numPr>
          <w:ilvl w:val="0"/>
          <w:numId w:val="40"/>
        </w:numPr>
        <w:spacing w:line="360" w:lineRule="auto"/>
        <w:ind w:left="0" w:firstLine="0"/>
        <w:contextualSpacing/>
        <w:jc w:val="both"/>
        <w:rPr>
          <w:rFonts w:ascii="Palatino Linotype" w:eastAsia="Calibri" w:hAnsi="Palatino Linotype"/>
          <w:lang w:val="es-ES_tradnl"/>
        </w:rPr>
      </w:pPr>
      <w:r w:rsidRPr="00906D4B">
        <w:rPr>
          <w:rFonts w:ascii="Palatino Linotype" w:eastAsia="Calibri" w:hAnsi="Palatino Linotype"/>
          <w:lang w:val="es-ES_tradnl"/>
        </w:rPr>
        <w:t xml:space="preserve">Así, el sistema de medios de impugnación en esta materia se centra en el análisis de los agravios o motivos de inconformidad, los que deben tener relación directa con el acto de autoridad que lo motiva. En consecuencia, los motivos de la </w:t>
      </w:r>
      <w:r w:rsidRPr="00906D4B">
        <w:rPr>
          <w:rFonts w:ascii="Palatino Linotype" w:eastAsia="Calibri" w:hAnsi="Palatino Linotype"/>
          <w:lang w:val="es-ES_tradnl"/>
        </w:rPr>
        <w:lastRenderedPageBreak/>
        <w:t xml:space="preserve">inconformidad deben versar sobre la respuesta de información proporcionada por los </w:t>
      </w:r>
      <w:r w:rsidRPr="00906D4B">
        <w:rPr>
          <w:rFonts w:ascii="Palatino Linotype" w:eastAsia="Calibri" w:hAnsi="Palatino Linotype"/>
          <w:b/>
          <w:lang w:val="es-ES_tradnl"/>
        </w:rPr>
        <w:t>SUJETOS OBLIGADOS</w:t>
      </w:r>
      <w:r w:rsidRPr="00906D4B">
        <w:rPr>
          <w:rFonts w:ascii="Palatino Linotype" w:eastAsia="Calibri" w:hAnsi="Palatino Linotype"/>
          <w:lang w:val="es-ES_tradnl"/>
        </w:rPr>
        <w:t xml:space="preserve"> o la negativa de entrega de la misma, derivada de la solicitud de información pública.</w:t>
      </w:r>
    </w:p>
    <w:p w14:paraId="5E393AFE" w14:textId="77777777" w:rsidR="00507B3C" w:rsidRPr="00906D4B" w:rsidRDefault="00507B3C" w:rsidP="00FA35C3">
      <w:pPr>
        <w:spacing w:line="360" w:lineRule="auto"/>
        <w:rPr>
          <w:rFonts w:ascii="Palatino Linotype" w:eastAsia="Calibri" w:hAnsi="Palatino Linotype"/>
          <w:lang w:val="es-ES_tradnl"/>
        </w:rPr>
      </w:pPr>
    </w:p>
    <w:p w14:paraId="5498FC1D" w14:textId="77777777" w:rsidR="00507B3C" w:rsidRPr="00906D4B" w:rsidRDefault="00507B3C" w:rsidP="00FA35C3">
      <w:pPr>
        <w:numPr>
          <w:ilvl w:val="0"/>
          <w:numId w:val="40"/>
        </w:numPr>
        <w:spacing w:line="360" w:lineRule="auto"/>
        <w:ind w:left="0" w:firstLine="0"/>
        <w:contextualSpacing/>
        <w:jc w:val="both"/>
        <w:rPr>
          <w:rFonts w:ascii="Palatino Linotype" w:eastAsia="Calibri" w:hAnsi="Palatino Linotype"/>
          <w:lang w:val="es-ES_tradnl"/>
        </w:rPr>
      </w:pPr>
      <w:r w:rsidRPr="00906D4B">
        <w:rPr>
          <w:rFonts w:ascii="Palatino Linotype" w:eastAsia="Calibri" w:hAnsi="Palatino Linotype"/>
          <w:lang w:val="es-ES_tradnl"/>
        </w:rPr>
        <w:t xml:space="preserve">De este modo, cuando el </w:t>
      </w:r>
      <w:r w:rsidRPr="00906D4B">
        <w:rPr>
          <w:rFonts w:ascii="Palatino Linotype" w:eastAsia="Calibri" w:hAnsi="Palatino Linotype"/>
          <w:b/>
          <w:lang w:val="es-ES_tradnl"/>
        </w:rPr>
        <w:t xml:space="preserve">SUJETO OBLIGADO, </w:t>
      </w:r>
      <w:r w:rsidRPr="00906D4B">
        <w:rPr>
          <w:rFonts w:ascii="Palatino Linotype" w:eastAsia="Calibri" w:hAnsi="Palatino Linotype"/>
          <w:lang w:val="es-ES_tradnl"/>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906D4B">
        <w:rPr>
          <w:rFonts w:ascii="Palatino Linotype" w:eastAsia="Calibri" w:hAnsi="Palatino Linotype"/>
          <w:i/>
          <w:lang w:val="es-ES_tradnl"/>
        </w:rPr>
        <w:t>litis</w:t>
      </w:r>
      <w:r w:rsidRPr="00906D4B">
        <w:rPr>
          <w:rFonts w:ascii="Palatino Linotype" w:eastAsia="Calibri" w:hAnsi="Palatino Linotype"/>
          <w:lang w:val="es-ES_tradnl"/>
        </w:rPr>
        <w:t xml:space="preserve"> planteada, debido a que la afectación en su esfera de derechos fue restituida por la propia autoridad que emitió el acto motivo de impugnación.</w:t>
      </w:r>
    </w:p>
    <w:p w14:paraId="0C0CB636" w14:textId="77777777" w:rsidR="00507B3C" w:rsidRPr="00906D4B" w:rsidRDefault="00507B3C" w:rsidP="00FA35C3">
      <w:pPr>
        <w:spacing w:line="360" w:lineRule="auto"/>
        <w:rPr>
          <w:rFonts w:ascii="Palatino Linotype" w:eastAsia="Calibri" w:hAnsi="Palatino Linotype"/>
          <w:lang w:val="es-ES_tradnl"/>
        </w:rPr>
      </w:pPr>
    </w:p>
    <w:p w14:paraId="5EB6E8A4" w14:textId="77777777" w:rsidR="00507B3C" w:rsidRPr="00906D4B" w:rsidRDefault="00507B3C" w:rsidP="00FA35C3">
      <w:pPr>
        <w:numPr>
          <w:ilvl w:val="0"/>
          <w:numId w:val="40"/>
        </w:numPr>
        <w:spacing w:line="360" w:lineRule="auto"/>
        <w:ind w:left="0" w:firstLine="0"/>
        <w:contextualSpacing/>
        <w:jc w:val="both"/>
        <w:rPr>
          <w:rFonts w:ascii="Palatino Linotype" w:eastAsia="Calibri" w:hAnsi="Palatino Linotype"/>
          <w:lang w:val="es-ES_tradnl"/>
        </w:rPr>
      </w:pPr>
      <w:r w:rsidRPr="00906D4B">
        <w:rPr>
          <w:rFonts w:ascii="Palatino Linotype" w:eastAsia="Calibri" w:hAnsi="Palatino Linotype"/>
          <w:lang w:val="es-ES_tradnl"/>
        </w:rPr>
        <w:t>Sirve de sustento a lo anterior la siguiente jurisprudencia por contradicción, cuyo rubro, texto y datos de identificación son los siguientes:</w:t>
      </w:r>
    </w:p>
    <w:p w14:paraId="2A07D02B" w14:textId="77777777" w:rsidR="00507B3C" w:rsidRPr="00906D4B" w:rsidRDefault="00507B3C" w:rsidP="00FA35C3">
      <w:pPr>
        <w:spacing w:line="360" w:lineRule="auto"/>
        <w:ind w:left="567" w:right="616"/>
        <w:contextualSpacing/>
        <w:jc w:val="both"/>
        <w:rPr>
          <w:rFonts w:ascii="Palatino Linotype" w:eastAsia="Calibri" w:hAnsi="Palatino Linotype"/>
          <w:lang w:val="es-ES_tradnl"/>
        </w:rPr>
      </w:pPr>
    </w:p>
    <w:p w14:paraId="08C9CD61" w14:textId="77777777" w:rsidR="00507B3C" w:rsidRPr="00906D4B" w:rsidRDefault="00507B3C" w:rsidP="00FA35C3">
      <w:pPr>
        <w:spacing w:line="360" w:lineRule="auto"/>
        <w:ind w:left="567" w:right="616"/>
        <w:contextualSpacing/>
        <w:jc w:val="both"/>
        <w:rPr>
          <w:rFonts w:ascii="Palatino Linotype" w:eastAsia="Calibri" w:hAnsi="Palatino Linotype"/>
          <w:i/>
          <w:lang w:val="es-ES_tradnl"/>
        </w:rPr>
      </w:pPr>
      <w:r w:rsidRPr="00906D4B">
        <w:rPr>
          <w:rFonts w:ascii="Palatino Linotype" w:eastAsia="Calibri" w:hAnsi="Palatino Linotype"/>
          <w:b/>
          <w:i/>
          <w:lang w:val="es-ES_tradnl"/>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906D4B">
        <w:rPr>
          <w:rFonts w:ascii="Palatino Linotype" w:eastAsia="Calibri" w:hAnsi="Palatino Linotype"/>
          <w:i/>
          <w:lang w:val="es-ES_tradnl"/>
        </w:rPr>
        <w:t xml:space="preserve"> De la interpretación de los artículos 73, fracción XVI y 80 de la Ley de Amparo, se concluye que la causa de improcedencia del </w:t>
      </w:r>
      <w:r w:rsidRPr="00906D4B">
        <w:rPr>
          <w:rFonts w:ascii="Palatino Linotype" w:eastAsia="Calibri" w:hAnsi="Palatino Linotype"/>
          <w:i/>
          <w:lang w:val="es-ES_tradnl"/>
        </w:rPr>
        <w:lastRenderedPageBreak/>
        <w:t>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40D8A7DA" w14:textId="77777777" w:rsidR="00507B3C" w:rsidRPr="00906D4B" w:rsidRDefault="00507B3C" w:rsidP="00FA35C3">
      <w:pPr>
        <w:spacing w:line="360" w:lineRule="auto"/>
        <w:ind w:left="708"/>
        <w:contextualSpacing/>
        <w:jc w:val="both"/>
        <w:rPr>
          <w:rFonts w:ascii="Palatino Linotype" w:eastAsia="Calibri" w:hAnsi="Palatino Linotype"/>
          <w:i/>
          <w:lang w:val="es-ES_tradnl"/>
        </w:rPr>
      </w:pPr>
    </w:p>
    <w:p w14:paraId="52AC3714" w14:textId="77777777" w:rsidR="00507B3C" w:rsidRPr="00906D4B" w:rsidRDefault="00507B3C" w:rsidP="00FA35C3">
      <w:pPr>
        <w:numPr>
          <w:ilvl w:val="0"/>
          <w:numId w:val="40"/>
        </w:numPr>
        <w:spacing w:line="360" w:lineRule="auto"/>
        <w:ind w:left="0" w:firstLine="0"/>
        <w:contextualSpacing/>
        <w:jc w:val="both"/>
        <w:rPr>
          <w:rFonts w:ascii="Palatino Linotype" w:eastAsia="Calibri" w:hAnsi="Palatino Linotype"/>
          <w:lang w:val="es-ES_tradnl"/>
        </w:rPr>
      </w:pPr>
      <w:r w:rsidRPr="00906D4B">
        <w:rPr>
          <w:rFonts w:ascii="Palatino Linotype" w:eastAsia="Calibri" w:hAnsi="Palatino Linotype"/>
          <w:lang w:val="es-ES_tradnl"/>
        </w:rPr>
        <w:t>La anterior jurisprudencia resulta aplicable al presente asunto, en dos aspectos:</w:t>
      </w:r>
    </w:p>
    <w:p w14:paraId="33C9CEC9" w14:textId="77777777" w:rsidR="00507B3C" w:rsidRPr="00906D4B" w:rsidRDefault="00507B3C" w:rsidP="00FA35C3">
      <w:pPr>
        <w:spacing w:line="360" w:lineRule="auto"/>
        <w:ind w:left="426"/>
        <w:contextualSpacing/>
        <w:jc w:val="both"/>
        <w:rPr>
          <w:rFonts w:ascii="Palatino Linotype" w:eastAsia="Calibri" w:hAnsi="Palatino Linotype"/>
          <w:lang w:val="es-ES_tradnl"/>
        </w:rPr>
      </w:pPr>
    </w:p>
    <w:p w14:paraId="600ECAA9" w14:textId="77777777" w:rsidR="00507B3C" w:rsidRPr="00906D4B" w:rsidRDefault="00507B3C" w:rsidP="00FA35C3">
      <w:pPr>
        <w:numPr>
          <w:ilvl w:val="0"/>
          <w:numId w:val="32"/>
        </w:numPr>
        <w:spacing w:line="360" w:lineRule="auto"/>
        <w:ind w:left="567" w:right="616"/>
        <w:contextualSpacing/>
        <w:jc w:val="both"/>
        <w:rPr>
          <w:rFonts w:ascii="Palatino Linotype" w:eastAsia="Calibri" w:hAnsi="Palatino Linotype"/>
          <w:lang w:val="es-ES_tradnl"/>
        </w:rPr>
      </w:pPr>
      <w:r w:rsidRPr="00906D4B">
        <w:rPr>
          <w:rFonts w:ascii="Palatino Linotype" w:eastAsia="Calibri" w:hAnsi="Palatino Linotype"/>
          <w:b/>
          <w:lang w:val="es-ES_tradnl"/>
        </w:rPr>
        <w:t>La cesación de los efectos perniciosos del acto de autoridad:</w:t>
      </w:r>
      <w:r w:rsidRPr="00906D4B">
        <w:rPr>
          <w:rFonts w:ascii="Palatino Linotype" w:eastAsia="Calibri" w:hAnsi="Palatino Linotype"/>
          <w:lang w:val="es-ES_tradnl"/>
        </w:rPr>
        <w:t xml:space="preserve"> Al respecto, la Ley de Transparencia contempla la figura jurídica del sobreseimiento cuando el </w:t>
      </w:r>
      <w:r w:rsidRPr="00906D4B">
        <w:rPr>
          <w:rFonts w:ascii="Palatino Linotype" w:eastAsia="Calibri" w:hAnsi="Palatino Linotype"/>
          <w:b/>
          <w:lang w:val="es-ES_tradnl"/>
        </w:rPr>
        <w:t>SUJETO OBLIGADO</w:t>
      </w:r>
      <w:r w:rsidRPr="00906D4B">
        <w:rPr>
          <w:rFonts w:ascii="Palatino Linotype" w:eastAsia="Calibri" w:hAnsi="Palatino Linotype"/>
          <w:lang w:val="es-ES_tradnl"/>
        </w:rPr>
        <w:t xml:space="preserve"> de </w:t>
      </w:r>
      <w:r w:rsidRPr="00906D4B">
        <w:rPr>
          <w:rFonts w:ascii="Palatino Linotype" w:eastAsia="Calibri" w:hAnsi="Palatino Linotype"/>
          <w:i/>
          <w:lang w:val="es-ES_tradnl"/>
        </w:rPr>
        <w:t>motu proprio</w:t>
      </w:r>
      <w:r w:rsidRPr="00906D4B">
        <w:rPr>
          <w:rFonts w:ascii="Palatino Linotype" w:eastAsia="Calibri" w:hAnsi="Palatino Linotype"/>
          <w:lang w:val="es-ES_tradnl"/>
        </w:rPr>
        <w:t xml:space="preserve"> modifica o revoca de tal manera el acto motivo de la impugnación que lo deja sin materia; es decir, cesan los efectos de éste y el derecho de acceso a la información pública se encuentra satisfecho.</w:t>
      </w:r>
    </w:p>
    <w:p w14:paraId="3281A6D6" w14:textId="77777777" w:rsidR="00507B3C" w:rsidRPr="00906D4B" w:rsidRDefault="00507B3C" w:rsidP="00FA35C3">
      <w:pPr>
        <w:spacing w:line="360" w:lineRule="auto"/>
        <w:ind w:left="567" w:right="616"/>
        <w:contextualSpacing/>
        <w:rPr>
          <w:rFonts w:ascii="Palatino Linotype" w:eastAsia="Calibri" w:hAnsi="Palatino Linotype"/>
          <w:lang w:val="es-ES_tradnl"/>
        </w:rPr>
      </w:pPr>
    </w:p>
    <w:p w14:paraId="32EA39BB" w14:textId="77777777" w:rsidR="00507B3C" w:rsidRPr="00906D4B" w:rsidRDefault="00507B3C" w:rsidP="00FA35C3">
      <w:pPr>
        <w:numPr>
          <w:ilvl w:val="0"/>
          <w:numId w:val="32"/>
        </w:numPr>
        <w:spacing w:line="360" w:lineRule="auto"/>
        <w:ind w:left="567" w:right="616"/>
        <w:contextualSpacing/>
        <w:jc w:val="both"/>
        <w:rPr>
          <w:rFonts w:ascii="Palatino Linotype" w:eastAsia="Calibri" w:hAnsi="Palatino Linotype"/>
          <w:lang w:val="es-ES_tradnl"/>
        </w:rPr>
      </w:pPr>
      <w:r w:rsidRPr="00906D4B">
        <w:rPr>
          <w:rFonts w:ascii="Palatino Linotype" w:eastAsia="Calibri" w:hAnsi="Palatino Linotype"/>
          <w:b/>
          <w:lang w:val="es-ES_tradnl"/>
        </w:rPr>
        <w:lastRenderedPageBreak/>
        <w:t>El momento procesal para modificar el acto impugnado:</w:t>
      </w:r>
      <w:r w:rsidRPr="00906D4B">
        <w:rPr>
          <w:rFonts w:ascii="Palatino Linotype" w:eastAsia="Calibri" w:hAnsi="Palatino Linotype"/>
          <w:lang w:val="es-ES_tradnl"/>
        </w:rPr>
        <w:t xml:space="preserve"> Para que se actualice el sobreseimiento de un recurso de revisión, el </w:t>
      </w:r>
      <w:r w:rsidRPr="00906D4B">
        <w:rPr>
          <w:rFonts w:ascii="Palatino Linotype" w:eastAsia="Calibri" w:hAnsi="Palatino Linotype"/>
          <w:b/>
          <w:lang w:val="es-ES_tradnl"/>
        </w:rPr>
        <w:t>SUJETO OBLIGADO</w:t>
      </w:r>
      <w:r w:rsidRPr="00906D4B">
        <w:rPr>
          <w:rFonts w:ascii="Palatino Linotype" w:eastAsia="Calibri" w:hAnsi="Palatino Linotype"/>
          <w:lang w:val="es-ES_tradnl"/>
        </w:rPr>
        <w:t xml:space="preserve"> puede entregar o completar la información al momento de rendir su informe de justificación o </w:t>
      </w:r>
      <w:r w:rsidRPr="00906D4B">
        <w:rPr>
          <w:rFonts w:ascii="Palatino Linotype" w:eastAsia="Calibri" w:hAnsi="Palatino Linotype"/>
          <w:b/>
          <w:u w:val="single"/>
          <w:lang w:val="es-ES_tradnl"/>
        </w:rPr>
        <w:t>posteriormente</w:t>
      </w:r>
      <w:r w:rsidRPr="00906D4B">
        <w:rPr>
          <w:rFonts w:ascii="Palatino Linotype" w:eastAsia="Calibri" w:hAnsi="Palatino Linotype"/>
          <w:lang w:val="es-ES_tradnl"/>
        </w:rPr>
        <w:t xml:space="preserve"> a éste, siempre y cuando el Pleno del Instituto no haya dictado resolución definitiva.</w:t>
      </w:r>
    </w:p>
    <w:p w14:paraId="5EB59A8A" w14:textId="77777777" w:rsidR="00507B3C" w:rsidRPr="00906D4B" w:rsidRDefault="00507B3C" w:rsidP="00FA35C3">
      <w:pPr>
        <w:spacing w:line="360" w:lineRule="auto"/>
        <w:jc w:val="both"/>
        <w:rPr>
          <w:rFonts w:ascii="Palatino Linotype" w:eastAsia="Calibri" w:hAnsi="Palatino Linotype"/>
          <w:lang w:val="es-ES_tradnl"/>
        </w:rPr>
      </w:pPr>
    </w:p>
    <w:p w14:paraId="77F697A4" w14:textId="77777777" w:rsidR="00507B3C" w:rsidRPr="00906D4B" w:rsidRDefault="00507B3C" w:rsidP="00FA35C3">
      <w:pPr>
        <w:numPr>
          <w:ilvl w:val="0"/>
          <w:numId w:val="40"/>
        </w:numPr>
        <w:spacing w:line="360" w:lineRule="auto"/>
        <w:ind w:left="0" w:firstLine="0"/>
        <w:contextualSpacing/>
        <w:jc w:val="both"/>
        <w:rPr>
          <w:rFonts w:ascii="Palatino Linotype" w:eastAsia="Calibri" w:hAnsi="Palatino Linotype"/>
          <w:lang w:val="es-ES_tradnl"/>
        </w:rPr>
      </w:pPr>
      <w:r w:rsidRPr="00906D4B">
        <w:rPr>
          <w:rFonts w:ascii="Palatino Linotype" w:eastAsia="Calibri" w:hAnsi="Palatino Linotype"/>
          <w:lang w:val="es-ES_tradnl"/>
        </w:rPr>
        <w:t xml:space="preserve">Además, de acuerdo con el procesalista Niceto Alcalá-Zamora y Castillo en su obra </w:t>
      </w:r>
      <w:r w:rsidRPr="00906D4B">
        <w:rPr>
          <w:rFonts w:ascii="Palatino Linotype" w:eastAsia="Calibri" w:hAnsi="Palatino Linotype"/>
          <w:i/>
          <w:lang w:val="es-ES_tradnl"/>
        </w:rPr>
        <w:t>“Cuestiones de Terminología Procesal”</w:t>
      </w:r>
      <w:r w:rsidRPr="00906D4B">
        <w:rPr>
          <w:rFonts w:ascii="Palatino Linotype" w:eastAsia="Calibri" w:hAnsi="Palatino Linotype"/>
          <w:lang w:val="es-ES_tradnl"/>
        </w:rPr>
        <w:t xml:space="preserve">, el sobreseimiento es </w:t>
      </w:r>
      <w:r w:rsidRPr="00906D4B">
        <w:rPr>
          <w:rFonts w:ascii="Palatino Linotype" w:eastAsia="Calibri" w:hAnsi="Palatino Linotype"/>
          <w:i/>
          <w:lang w:val="es-ES_tradnl"/>
        </w:rPr>
        <w:t>“... una resolución en forma de auto, que produce la suspensión indefinida del procedimiento penal, o que pone fin al proceso, impidiendo en ambos casos, mientras subsista, la apertura del plenario o que en él se pronuncie sentencia...”.</w:t>
      </w:r>
    </w:p>
    <w:p w14:paraId="4A2463EA" w14:textId="77777777" w:rsidR="00507B3C" w:rsidRPr="00906D4B" w:rsidRDefault="00507B3C" w:rsidP="00FA35C3">
      <w:pPr>
        <w:spacing w:line="360" w:lineRule="auto"/>
        <w:jc w:val="both"/>
        <w:rPr>
          <w:rFonts w:ascii="Palatino Linotype" w:eastAsia="Calibri" w:hAnsi="Palatino Linotype"/>
          <w:lang w:val="es-ES_tradnl"/>
        </w:rPr>
      </w:pPr>
    </w:p>
    <w:p w14:paraId="7119F33A" w14:textId="77777777" w:rsidR="00507B3C" w:rsidRPr="00906D4B" w:rsidRDefault="00507B3C" w:rsidP="00FA35C3">
      <w:pPr>
        <w:numPr>
          <w:ilvl w:val="0"/>
          <w:numId w:val="40"/>
        </w:numPr>
        <w:spacing w:line="360" w:lineRule="auto"/>
        <w:ind w:left="0" w:firstLine="0"/>
        <w:contextualSpacing/>
        <w:jc w:val="both"/>
        <w:rPr>
          <w:rFonts w:ascii="Palatino Linotype" w:eastAsia="Calibri" w:hAnsi="Palatino Linotype"/>
          <w:lang w:val="es-ES_tradnl"/>
        </w:rPr>
      </w:pPr>
      <w:r w:rsidRPr="00906D4B">
        <w:rPr>
          <w:rFonts w:ascii="Palatino Linotype" w:eastAsia="Calibri" w:hAnsi="Palatino Linotype"/>
          <w:lang w:val="es-ES_tradnl"/>
        </w:rPr>
        <w:t xml:space="preserve">Eduardo Pallares, en su artículo </w:t>
      </w:r>
      <w:r w:rsidRPr="00906D4B">
        <w:rPr>
          <w:rFonts w:ascii="Palatino Linotype" w:eastAsia="Calibri" w:hAnsi="Palatino Linotype"/>
          <w:i/>
          <w:lang w:val="es-ES_tradnl"/>
        </w:rPr>
        <w:t>“La caducidad y el sobreseimiento en el amparo”</w:t>
      </w:r>
      <w:r w:rsidRPr="00906D4B">
        <w:rPr>
          <w:rFonts w:ascii="Palatino Linotype" w:eastAsia="Calibri" w:hAnsi="Palatino Linotype"/>
          <w:lang w:val="es-ES_tradnl"/>
        </w:rPr>
        <w:t xml:space="preserve">, cita la definición de Aguilera Paz, aduciendo que se </w:t>
      </w:r>
      <w:r w:rsidRPr="00906D4B">
        <w:rPr>
          <w:rFonts w:ascii="Palatino Linotype" w:eastAsia="Calibri" w:hAnsi="Palatino Linotype"/>
          <w:i/>
          <w:lang w:val="es-ES_tradnl"/>
        </w:rPr>
        <w:t>“...entiende por sobreseimiento en el tecnicismo forense, el hecho de cesar en el procedimiento o curso de la causa, por no existir méritos bastantes para entrar en un juicio o para entablar la contienda judicial que debe ser objeto del mismo...”</w:t>
      </w:r>
      <w:r w:rsidRPr="00906D4B">
        <w:rPr>
          <w:rFonts w:ascii="Palatino Linotype" w:eastAsia="Calibri" w:hAnsi="Palatino Linotype"/>
          <w:lang w:val="es-ES_tradnl"/>
        </w:rPr>
        <w:t>. Asimismo señala que existe el sobreseimiento provisional y el definitivo</w:t>
      </w:r>
      <w:r w:rsidRPr="00906D4B">
        <w:rPr>
          <w:rFonts w:ascii="Palatino Linotype" w:eastAsia="Calibri" w:hAnsi="Palatino Linotype"/>
          <w:i/>
          <w:lang w:val="es-ES_tradnl"/>
        </w:rPr>
        <w:t>: “...el definitivo es una verdadera sentencia que pone fin al juicio, y que una vez dictada, produce cosa juzgada, mientras que el provisorio tiene por efectos suspender la prosecución de la causa...”</w:t>
      </w:r>
    </w:p>
    <w:p w14:paraId="0B94F581" w14:textId="77777777" w:rsidR="00507B3C" w:rsidRPr="00906D4B" w:rsidRDefault="00507B3C" w:rsidP="00FA35C3">
      <w:pPr>
        <w:spacing w:line="360" w:lineRule="auto"/>
        <w:jc w:val="both"/>
        <w:rPr>
          <w:rFonts w:ascii="Palatino Linotype" w:eastAsia="Calibri" w:hAnsi="Palatino Linotype"/>
          <w:lang w:val="es-ES_tradnl"/>
        </w:rPr>
      </w:pPr>
    </w:p>
    <w:p w14:paraId="6C9B0C09" w14:textId="77777777" w:rsidR="00507B3C" w:rsidRPr="00906D4B" w:rsidRDefault="00507B3C" w:rsidP="00FA35C3">
      <w:pPr>
        <w:numPr>
          <w:ilvl w:val="0"/>
          <w:numId w:val="40"/>
        </w:numPr>
        <w:spacing w:line="360" w:lineRule="auto"/>
        <w:ind w:left="0" w:firstLine="0"/>
        <w:contextualSpacing/>
        <w:jc w:val="both"/>
        <w:rPr>
          <w:rFonts w:ascii="Palatino Linotype" w:eastAsia="Calibri" w:hAnsi="Palatino Linotype"/>
          <w:lang w:val="es-ES_tradnl"/>
        </w:rPr>
      </w:pPr>
      <w:r w:rsidRPr="00906D4B">
        <w:rPr>
          <w:rFonts w:ascii="Palatino Linotype" w:eastAsia="Calibri" w:hAnsi="Palatino Linotype"/>
          <w:lang w:val="es-ES_tradnl"/>
        </w:rPr>
        <w:t xml:space="preserve">Así, para la doctrina el sobreseimiento provoca que un procedimiento se suspenda o se resuelva en definitiva </w:t>
      </w:r>
      <w:r w:rsidRPr="00906D4B">
        <w:rPr>
          <w:rFonts w:ascii="Palatino Linotype" w:eastAsia="Calibri" w:hAnsi="Palatino Linotype"/>
          <w:b/>
          <w:u w:val="single"/>
          <w:lang w:val="es-ES_tradnl"/>
        </w:rPr>
        <w:t xml:space="preserve">sin que se entre al estudio de los agravios o motivos de inconformidad. </w:t>
      </w:r>
      <w:r w:rsidRPr="00906D4B">
        <w:rPr>
          <w:rFonts w:ascii="Palatino Linotype" w:eastAsia="Calibri" w:hAnsi="Palatino Linotype"/>
          <w:lang w:val="es-ES_tradnl"/>
        </w:rPr>
        <w:t xml:space="preserve">Este mismo criterio es compartido por el más alto </w:t>
      </w:r>
      <w:r w:rsidRPr="00906D4B">
        <w:rPr>
          <w:rFonts w:ascii="Palatino Linotype" w:eastAsia="Calibri" w:hAnsi="Palatino Linotype"/>
          <w:lang w:val="es-ES_tradnl"/>
        </w:rPr>
        <w:lastRenderedPageBreak/>
        <w:t>tribunal del país en múltiples jurisprudencias, por lo que a continuación se agrega una de ellas que sirve como orientador en esta resolución:</w:t>
      </w:r>
    </w:p>
    <w:p w14:paraId="13299BA0" w14:textId="77777777" w:rsidR="00507B3C" w:rsidRPr="00906D4B" w:rsidRDefault="00507B3C" w:rsidP="00FA35C3">
      <w:pPr>
        <w:spacing w:line="360" w:lineRule="auto"/>
        <w:ind w:left="426"/>
        <w:contextualSpacing/>
        <w:jc w:val="both"/>
        <w:rPr>
          <w:rFonts w:ascii="Palatino Linotype" w:eastAsia="Calibri" w:hAnsi="Palatino Linotype"/>
          <w:lang w:val="es-ES_tradnl"/>
        </w:rPr>
      </w:pPr>
    </w:p>
    <w:p w14:paraId="3E440166" w14:textId="77777777" w:rsidR="00507B3C" w:rsidRPr="00906D4B" w:rsidRDefault="00507B3C" w:rsidP="00FA35C3">
      <w:pPr>
        <w:spacing w:line="360" w:lineRule="auto"/>
        <w:ind w:left="567" w:right="616"/>
        <w:contextualSpacing/>
        <w:jc w:val="both"/>
        <w:rPr>
          <w:rFonts w:ascii="Palatino Linotype" w:eastAsia="Calibri" w:hAnsi="Palatino Linotype"/>
          <w:i/>
          <w:lang w:val="es-AR"/>
        </w:rPr>
      </w:pPr>
      <w:r w:rsidRPr="00906D4B">
        <w:rPr>
          <w:rFonts w:ascii="Palatino Linotype" w:eastAsia="Calibri" w:hAnsi="Palatino Linotype"/>
          <w:b/>
          <w:i/>
          <w:lang w:val="es-AR"/>
        </w:rPr>
        <w:t>SOBRESEIMIENTO EN EL JUICIO DE AMPARO DIRECTO. IMPIDE EL ESTUDIO DE LAS VIOLACIONES PROCESALES PLANTEADAS EN LOS CONCEPTOS DE VIOLACIÓN. El sobreseimiento</w:t>
      </w:r>
      <w:r w:rsidRPr="00906D4B">
        <w:rPr>
          <w:rFonts w:ascii="Palatino Linotype" w:eastAsia="Calibri" w:hAnsi="Palatino Linotype"/>
          <w:i/>
          <w:lang w:val="es-AR"/>
        </w:rPr>
        <w:t xml:space="preserve"> en el juicio de amparo directo </w:t>
      </w:r>
      <w:r w:rsidRPr="00906D4B">
        <w:rPr>
          <w:rFonts w:ascii="Palatino Linotype" w:eastAsia="Calibri" w:hAnsi="Palatino Linotype"/>
          <w:b/>
          <w:i/>
          <w:lang w:val="es-AR"/>
        </w:rPr>
        <w:t>provoca la terminación de la controversia planteada</w:t>
      </w:r>
      <w:r w:rsidRPr="00906D4B">
        <w:rPr>
          <w:rFonts w:ascii="Palatino Linotype" w:eastAsia="Calibri" w:hAnsi="Palatino Linotype"/>
          <w:i/>
          <w:lang w:val="es-AR"/>
        </w:rPr>
        <w:t xml:space="preserve"> por el quejoso en la demanda de amparo</w:t>
      </w:r>
      <w:r w:rsidRPr="00906D4B">
        <w:rPr>
          <w:rFonts w:ascii="Palatino Linotype" w:eastAsia="Calibri" w:hAnsi="Palatino Linotype"/>
          <w:b/>
          <w:i/>
          <w:lang w:val="es-AR"/>
        </w:rPr>
        <w:t>, sin hacer un pronunciamiento de fondo sobre la legalidad o ilegalidad de la sentencia reclamada</w:t>
      </w:r>
      <w:r w:rsidRPr="00906D4B">
        <w:rPr>
          <w:rFonts w:ascii="Palatino Linotype" w:eastAsia="Calibri" w:hAnsi="Palatino Linotype"/>
          <w:i/>
          <w:lang w:val="es-AR"/>
        </w:rPr>
        <w:t xml:space="preserve">. </w:t>
      </w:r>
      <w:r w:rsidRPr="00906D4B">
        <w:rPr>
          <w:rFonts w:ascii="Palatino Linotype" w:eastAsia="Calibri" w:hAnsi="Palatino Linotype"/>
          <w:b/>
          <w:i/>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906D4B">
        <w:rPr>
          <w:rFonts w:ascii="Palatino Linotype" w:eastAsia="Calibri" w:hAnsi="Palatino Linotype"/>
          <w:i/>
          <w:lang w:val="es-AR"/>
        </w:rPr>
        <w:t>.</w:t>
      </w:r>
    </w:p>
    <w:p w14:paraId="51F66957" w14:textId="77777777" w:rsidR="00507B3C" w:rsidRPr="00906D4B" w:rsidRDefault="00507B3C" w:rsidP="00FA35C3">
      <w:pPr>
        <w:spacing w:line="360" w:lineRule="auto"/>
        <w:ind w:left="567" w:right="616"/>
        <w:contextualSpacing/>
        <w:jc w:val="both"/>
        <w:rPr>
          <w:rFonts w:ascii="Palatino Linotype" w:eastAsia="Calibri" w:hAnsi="Palatino Linotype"/>
          <w:i/>
          <w:lang w:val="es-AR"/>
        </w:rPr>
      </w:pPr>
      <w:r w:rsidRPr="00906D4B">
        <w:rPr>
          <w:rFonts w:ascii="Palatino Linotype" w:eastAsia="Calibri" w:hAnsi="Palatino Linotype"/>
          <w:i/>
          <w:lang w:val="es-AR"/>
        </w:rPr>
        <w:t>SÉPTIMO TRIBUNAL COLEGIADO EN MATERIA CIVIL DEL PRIMER CIRCUITO.</w:t>
      </w:r>
    </w:p>
    <w:p w14:paraId="75340CCA" w14:textId="77777777" w:rsidR="00507B3C" w:rsidRPr="00906D4B" w:rsidRDefault="00507B3C" w:rsidP="00FA35C3">
      <w:pPr>
        <w:spacing w:line="360" w:lineRule="auto"/>
        <w:ind w:left="567" w:right="616"/>
        <w:contextualSpacing/>
        <w:jc w:val="both"/>
        <w:rPr>
          <w:rFonts w:ascii="Palatino Linotype" w:eastAsia="Calibri" w:hAnsi="Palatino Linotype"/>
          <w:b/>
          <w:i/>
          <w:lang w:val="es-AR"/>
        </w:rPr>
      </w:pPr>
      <w:r w:rsidRPr="00906D4B">
        <w:rPr>
          <w:rFonts w:ascii="Palatino Linotype" w:eastAsia="Calibri" w:hAnsi="Palatino Linotype"/>
          <w:i/>
          <w:lang w:val="es-AR"/>
        </w:rPr>
        <w:t>Amparo directo 699/2008. Mariana Leticia González Steele. 13 de noviembre de 2008. Unanimidad de votos. Ponente: Sara Judith Montalvo Trejo. Secretario: Arnulfo Mateos García.</w:t>
      </w:r>
    </w:p>
    <w:p w14:paraId="68DB8795" w14:textId="77777777" w:rsidR="00507B3C" w:rsidRPr="00906D4B" w:rsidRDefault="00507B3C" w:rsidP="00FA35C3">
      <w:pPr>
        <w:spacing w:line="360" w:lineRule="auto"/>
        <w:ind w:left="567" w:right="616"/>
        <w:contextualSpacing/>
        <w:jc w:val="both"/>
        <w:rPr>
          <w:rFonts w:ascii="Palatino Linotype" w:eastAsia="Calibri" w:hAnsi="Palatino Linotype"/>
          <w:i/>
          <w:lang w:val="es-AR"/>
        </w:rPr>
      </w:pPr>
    </w:p>
    <w:p w14:paraId="48ED560A" w14:textId="77777777" w:rsidR="00507B3C" w:rsidRPr="00906D4B" w:rsidRDefault="00507B3C" w:rsidP="00FA35C3">
      <w:pPr>
        <w:spacing w:line="360" w:lineRule="auto"/>
        <w:ind w:left="567" w:right="616"/>
        <w:contextualSpacing/>
        <w:jc w:val="both"/>
        <w:rPr>
          <w:rFonts w:ascii="Palatino Linotype" w:eastAsia="Calibri" w:hAnsi="Palatino Linotype"/>
          <w:lang w:val="es-AR"/>
        </w:rPr>
      </w:pPr>
      <w:r w:rsidRPr="00906D4B">
        <w:rPr>
          <w:rFonts w:ascii="Palatino Linotype" w:eastAsia="Calibri" w:hAnsi="Palatino Linotype"/>
          <w:lang w:val="es-AR"/>
        </w:rPr>
        <w:t>(Énfasis añadido)</w:t>
      </w:r>
    </w:p>
    <w:p w14:paraId="540AA196" w14:textId="77777777" w:rsidR="00507B3C" w:rsidRPr="00906D4B" w:rsidRDefault="00507B3C" w:rsidP="00FA35C3">
      <w:pPr>
        <w:spacing w:line="360" w:lineRule="auto"/>
        <w:ind w:left="426"/>
        <w:contextualSpacing/>
        <w:jc w:val="both"/>
        <w:rPr>
          <w:rFonts w:ascii="Palatino Linotype" w:eastAsia="Calibri" w:hAnsi="Palatino Linotype"/>
          <w:lang w:val="es-ES_tradnl"/>
        </w:rPr>
      </w:pPr>
    </w:p>
    <w:p w14:paraId="36E5DD2C" w14:textId="77777777" w:rsidR="00507B3C" w:rsidRPr="00906D4B" w:rsidRDefault="00507B3C" w:rsidP="00FA35C3">
      <w:pPr>
        <w:numPr>
          <w:ilvl w:val="0"/>
          <w:numId w:val="40"/>
        </w:numPr>
        <w:spacing w:line="360" w:lineRule="auto"/>
        <w:ind w:left="0" w:firstLine="0"/>
        <w:contextualSpacing/>
        <w:jc w:val="both"/>
        <w:rPr>
          <w:rFonts w:ascii="Palatino Linotype" w:eastAsia="Calibri" w:hAnsi="Palatino Linotype"/>
          <w:lang w:val="es-ES_tradnl"/>
        </w:rPr>
      </w:pPr>
      <w:r w:rsidRPr="00906D4B">
        <w:rPr>
          <w:rFonts w:ascii="Palatino Linotype" w:eastAsia="Calibri" w:hAnsi="Palatino Linotype"/>
          <w:lang w:val="es-ES_tradnl"/>
        </w:rPr>
        <w:t xml:space="preserve">Consecuentemente, por lo que hace a los motivos de inconformidad, los mismos devienen inatendibles por actualizarse la figura del sobreseimiento, misma </w:t>
      </w:r>
      <w:r w:rsidRPr="00906D4B">
        <w:rPr>
          <w:rFonts w:ascii="Palatino Linotype" w:eastAsia="Calibri" w:hAnsi="Palatino Linotype"/>
          <w:lang w:val="es-ES_tradnl"/>
        </w:rPr>
        <w:lastRenderedPageBreak/>
        <w:t>que impide el estudio de los agravios planteados, máxime que se ha dado cumplimiento al derecho de acceso a la información.</w:t>
      </w:r>
    </w:p>
    <w:p w14:paraId="2B62A71E" w14:textId="77777777" w:rsidR="00507B3C" w:rsidRPr="00906D4B" w:rsidRDefault="00507B3C" w:rsidP="00FA35C3">
      <w:pPr>
        <w:spacing w:line="360" w:lineRule="auto"/>
        <w:jc w:val="both"/>
        <w:rPr>
          <w:rFonts w:ascii="Palatino Linotype" w:eastAsia="Calibri" w:hAnsi="Palatino Linotype"/>
          <w:lang w:val="es-ES_tradnl"/>
        </w:rPr>
      </w:pPr>
    </w:p>
    <w:p w14:paraId="02B20457" w14:textId="77777777" w:rsidR="00507B3C" w:rsidRPr="00906D4B" w:rsidRDefault="00507B3C" w:rsidP="00FA35C3">
      <w:pPr>
        <w:numPr>
          <w:ilvl w:val="0"/>
          <w:numId w:val="40"/>
        </w:numPr>
        <w:spacing w:line="360" w:lineRule="auto"/>
        <w:ind w:left="0" w:firstLine="0"/>
        <w:contextualSpacing/>
        <w:jc w:val="both"/>
        <w:rPr>
          <w:rFonts w:ascii="Palatino Linotype" w:eastAsia="Calibri" w:hAnsi="Palatino Linotype"/>
          <w:lang w:val="es-ES_tradnl"/>
        </w:rPr>
      </w:pPr>
      <w:r w:rsidRPr="00906D4B">
        <w:rPr>
          <w:rFonts w:ascii="Palatino Linotype" w:eastAsia="Calibri" w:hAnsi="Palatino Linotype"/>
          <w:lang w:val="es-ES_tradnl"/>
        </w:rPr>
        <w:t xml:space="preserve">Por lo que para que se actualice el sobreseimiento de un recurso de revisión, el </w:t>
      </w:r>
      <w:r w:rsidRPr="00906D4B">
        <w:rPr>
          <w:rFonts w:ascii="Palatino Linotype" w:eastAsia="Calibri" w:hAnsi="Palatino Linotype"/>
          <w:b/>
          <w:lang w:val="es-ES_tradnl"/>
        </w:rPr>
        <w:t>SUJETO OBLIGADO</w:t>
      </w:r>
      <w:r w:rsidRPr="00906D4B">
        <w:rPr>
          <w:rFonts w:ascii="Palatino Linotype" w:eastAsia="Calibri" w:hAnsi="Palatino Linotype"/>
          <w:lang w:val="es-ES_tradnl"/>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025D3A4D" w14:textId="77777777" w:rsidR="00507B3C" w:rsidRPr="00906D4B" w:rsidRDefault="00507B3C" w:rsidP="00FA35C3">
      <w:pPr>
        <w:spacing w:line="360" w:lineRule="auto"/>
        <w:jc w:val="both"/>
        <w:rPr>
          <w:rFonts w:ascii="Palatino Linotype" w:eastAsia="Calibri" w:hAnsi="Palatino Linotype"/>
          <w:lang w:val="es-ES_tradnl"/>
        </w:rPr>
      </w:pPr>
    </w:p>
    <w:p w14:paraId="4D925465" w14:textId="77777777" w:rsidR="00507B3C" w:rsidRPr="00906D4B" w:rsidRDefault="00507B3C" w:rsidP="00FA35C3">
      <w:pPr>
        <w:numPr>
          <w:ilvl w:val="0"/>
          <w:numId w:val="40"/>
        </w:numPr>
        <w:spacing w:line="360" w:lineRule="auto"/>
        <w:ind w:left="0" w:firstLine="0"/>
        <w:contextualSpacing/>
        <w:jc w:val="both"/>
        <w:rPr>
          <w:rFonts w:ascii="Palatino Linotype" w:eastAsia="Calibri" w:hAnsi="Palatino Linotype"/>
          <w:lang w:val="es-ES_tradnl"/>
        </w:rPr>
      </w:pPr>
      <w:r w:rsidRPr="00906D4B">
        <w:rPr>
          <w:rFonts w:ascii="Palatino Linotype" w:eastAsia="Calibri" w:hAnsi="Palatino Linotype"/>
          <w:lang w:val="es-CO"/>
        </w:rPr>
        <w:t xml:space="preserve">Bajo ese tenor y en términos del artículo 186 fracción I este Pleno determina el </w:t>
      </w:r>
      <w:r w:rsidRPr="00906D4B">
        <w:rPr>
          <w:rFonts w:ascii="Palatino Linotype" w:eastAsia="Calibri" w:hAnsi="Palatino Linotype"/>
          <w:b/>
          <w:lang w:val="es-CO"/>
        </w:rPr>
        <w:t xml:space="preserve">SOBRESEIMIENTO </w:t>
      </w:r>
      <w:r w:rsidRPr="00906D4B">
        <w:rPr>
          <w:rFonts w:ascii="Palatino Linotype" w:eastAsia="Calibri" w:hAnsi="Palatino Linotype"/>
          <w:lang w:val="es-CO"/>
        </w:rPr>
        <w:t>del presente recurso de revisión, toda vez que la afectación al derecho de acceso a la información pública establecido constitucionalmente a favor del particular, ha sido resarcida.</w:t>
      </w:r>
    </w:p>
    <w:p w14:paraId="01BC8EEB" w14:textId="77777777" w:rsidR="00507B3C" w:rsidRPr="00906D4B" w:rsidRDefault="00507B3C" w:rsidP="00FA35C3">
      <w:pPr>
        <w:spacing w:line="360" w:lineRule="auto"/>
        <w:jc w:val="both"/>
        <w:rPr>
          <w:rFonts w:ascii="Palatino Linotype" w:eastAsia="Calibri" w:hAnsi="Palatino Linotype"/>
          <w:lang w:val="es-ES_tradnl"/>
        </w:rPr>
      </w:pPr>
    </w:p>
    <w:p w14:paraId="39C36C3E" w14:textId="77777777" w:rsidR="00507B3C" w:rsidRPr="00906D4B" w:rsidRDefault="00507B3C" w:rsidP="00FA35C3">
      <w:pPr>
        <w:numPr>
          <w:ilvl w:val="0"/>
          <w:numId w:val="40"/>
        </w:numPr>
        <w:spacing w:line="360" w:lineRule="auto"/>
        <w:ind w:left="0" w:firstLine="0"/>
        <w:contextualSpacing/>
        <w:jc w:val="both"/>
        <w:rPr>
          <w:rFonts w:ascii="Palatino Linotype" w:eastAsia="Calibri" w:hAnsi="Palatino Linotype"/>
          <w:lang w:val="es-ES_tradnl"/>
        </w:rPr>
      </w:pPr>
      <w:r w:rsidRPr="00906D4B">
        <w:rPr>
          <w:rFonts w:ascii="Palatino Linotype" w:eastAsia="Calibri" w:hAnsi="Palatino Linotype"/>
          <w:lang w:val="es-ES_tradnl"/>
        </w:rPr>
        <w:t xml:space="preserve">Por lo anteriormente expuesto y fundado, este </w:t>
      </w:r>
      <w:r w:rsidRPr="00906D4B">
        <w:rPr>
          <w:rFonts w:ascii="Palatino Linotype" w:eastAsia="Calibri" w:hAnsi="Palatino Linotype"/>
          <w:b/>
          <w:bCs/>
          <w:lang w:val="es-ES_tradnl"/>
        </w:rPr>
        <w:t>ÓRGANO GARANTE</w:t>
      </w:r>
      <w:r w:rsidRPr="00906D4B">
        <w:rPr>
          <w:rFonts w:ascii="Palatino Linotype" w:eastAsia="Calibri" w:hAnsi="Palatino Linotype"/>
          <w:lang w:val="es-ES_tradnl"/>
        </w:rPr>
        <w:t xml:space="preserve"> emite los siguientes:</w:t>
      </w:r>
    </w:p>
    <w:p w14:paraId="191C5A13" w14:textId="77777777" w:rsidR="00507B3C" w:rsidRPr="00906D4B" w:rsidRDefault="00507B3C" w:rsidP="00FA35C3">
      <w:pPr>
        <w:tabs>
          <w:tab w:val="left" w:pos="426"/>
        </w:tabs>
        <w:spacing w:before="240" w:after="240" w:line="360" w:lineRule="auto"/>
        <w:ind w:right="49"/>
        <w:contextualSpacing/>
        <w:jc w:val="both"/>
        <w:rPr>
          <w:rFonts w:ascii="Palatino Linotype" w:eastAsia="MS Mincho" w:hAnsi="Palatino Linotype"/>
          <w:color w:val="000000"/>
          <w:lang w:val="es-ES_tradnl"/>
        </w:rPr>
      </w:pPr>
    </w:p>
    <w:p w14:paraId="6FB84352" w14:textId="1CF43C75" w:rsidR="00507B3C" w:rsidRPr="00906D4B" w:rsidRDefault="00507B3C" w:rsidP="00FA35C3">
      <w:pPr>
        <w:keepNext/>
        <w:keepLines/>
        <w:suppressAutoHyphens/>
        <w:spacing w:before="240" w:line="360" w:lineRule="auto"/>
        <w:outlineLvl w:val="0"/>
        <w:rPr>
          <w:rFonts w:ascii="Palatino Linotype" w:hAnsi="Palatino Linotype"/>
          <w:b/>
          <w:color w:val="000000"/>
        </w:rPr>
      </w:pPr>
      <w:bookmarkStart w:id="41" w:name="_Toc99999256"/>
      <w:bookmarkStart w:id="42" w:name="_Toc101351550"/>
      <w:r w:rsidRPr="00906D4B">
        <w:rPr>
          <w:rFonts w:ascii="Palatino Linotype" w:hAnsi="Palatino Linotype"/>
          <w:b/>
          <w:color w:val="000000"/>
        </w:rPr>
        <w:t>QUINTO. De la decisión.</w:t>
      </w:r>
      <w:bookmarkEnd w:id="41"/>
      <w:bookmarkEnd w:id="42"/>
      <w:r w:rsidRPr="00906D4B">
        <w:rPr>
          <w:rFonts w:ascii="Palatino Linotype" w:hAnsi="Palatino Linotype"/>
          <w:b/>
          <w:color w:val="000000"/>
        </w:rPr>
        <w:t xml:space="preserve"> </w:t>
      </w:r>
    </w:p>
    <w:p w14:paraId="0AFB9861" w14:textId="77777777" w:rsidR="00507B3C" w:rsidRPr="00906D4B" w:rsidRDefault="00507B3C" w:rsidP="00FA35C3">
      <w:pPr>
        <w:keepNext/>
        <w:keepLines/>
        <w:suppressAutoHyphens/>
        <w:spacing w:before="240" w:line="360" w:lineRule="auto"/>
        <w:outlineLvl w:val="0"/>
        <w:rPr>
          <w:rFonts w:ascii="Palatino Linotype" w:hAnsi="Palatino Linotype"/>
          <w:b/>
          <w:color w:val="000000"/>
        </w:rPr>
      </w:pPr>
    </w:p>
    <w:p w14:paraId="711170D1" w14:textId="77777777" w:rsidR="00507B3C" w:rsidRPr="00906D4B" w:rsidRDefault="00507B3C" w:rsidP="00FA35C3">
      <w:pPr>
        <w:numPr>
          <w:ilvl w:val="0"/>
          <w:numId w:val="41"/>
        </w:numPr>
        <w:suppressAutoHyphens/>
        <w:spacing w:before="240" w:after="240" w:line="360" w:lineRule="auto"/>
        <w:ind w:left="0" w:right="49" w:firstLine="0"/>
        <w:contextualSpacing/>
        <w:jc w:val="both"/>
        <w:rPr>
          <w:rFonts w:ascii="Palatino Linotype" w:hAnsi="Palatino Linotype" w:cs="Arial"/>
          <w:lang w:val="es-MX" w:eastAsia="es-ES_tradnl"/>
        </w:rPr>
      </w:pPr>
      <w:r w:rsidRPr="00906D4B">
        <w:rPr>
          <w:rFonts w:ascii="Palatino Linotype" w:hAnsi="Palatino Linotype" w:cs="Tahoma"/>
          <w:lang w:val="es-MX"/>
        </w:rPr>
        <w:t xml:space="preserve">Con base en todo lo expuesto, con fundamento en el artículo 186, fracción I, en relación con la fracción III del artículo 192 de la Ley de Transparencia y Acceso a la Información Pública del Estado de México y Municipios, este Instituto considera procedente </w:t>
      </w:r>
      <w:r w:rsidRPr="00906D4B">
        <w:rPr>
          <w:rFonts w:ascii="Palatino Linotype" w:hAnsi="Palatino Linotype" w:cs="Tahoma"/>
          <w:b/>
          <w:lang w:val="es-MX"/>
        </w:rPr>
        <w:t xml:space="preserve">SOBRESEER </w:t>
      </w:r>
      <w:r w:rsidRPr="00906D4B">
        <w:rPr>
          <w:rFonts w:ascii="Palatino Linotype" w:hAnsi="Palatino Linotype" w:cs="Tahoma"/>
          <w:lang w:val="es-MX"/>
        </w:rPr>
        <w:t>el presente recurso de revisión.</w:t>
      </w:r>
      <w:r w:rsidRPr="00906D4B">
        <w:rPr>
          <w:rFonts w:ascii="Palatino Linotype" w:hAnsi="Palatino Linotype" w:cs="Tahoma"/>
          <w:b/>
          <w:lang w:val="es-MX"/>
        </w:rPr>
        <w:t xml:space="preserve"> </w:t>
      </w:r>
    </w:p>
    <w:p w14:paraId="4521E8E1" w14:textId="77777777" w:rsidR="00507B3C" w:rsidRPr="00906D4B" w:rsidRDefault="00507B3C" w:rsidP="00FA35C3">
      <w:pPr>
        <w:suppressAutoHyphens/>
        <w:spacing w:before="240" w:after="240" w:line="360" w:lineRule="auto"/>
        <w:ind w:right="49"/>
        <w:contextualSpacing/>
        <w:jc w:val="both"/>
        <w:rPr>
          <w:rFonts w:ascii="Palatino Linotype" w:hAnsi="Palatino Linotype" w:cs="Arial"/>
          <w:lang w:val="es-MX" w:eastAsia="es-ES_tradnl"/>
        </w:rPr>
      </w:pPr>
    </w:p>
    <w:p w14:paraId="40EFC965" w14:textId="77777777" w:rsidR="00507B3C" w:rsidRPr="00906D4B" w:rsidRDefault="00507B3C" w:rsidP="00FA35C3">
      <w:pPr>
        <w:numPr>
          <w:ilvl w:val="0"/>
          <w:numId w:val="41"/>
        </w:numPr>
        <w:tabs>
          <w:tab w:val="left" w:pos="426"/>
        </w:tabs>
        <w:suppressAutoHyphens/>
        <w:spacing w:after="120" w:line="360" w:lineRule="auto"/>
        <w:ind w:left="0" w:right="49" w:firstLine="0"/>
        <w:jc w:val="both"/>
        <w:rPr>
          <w:rFonts w:ascii="Palatino Linotype" w:hAnsi="Palatino Linotype" w:cs="Arial"/>
          <w:color w:val="000000"/>
          <w:lang w:val="es-ES_tradnl"/>
        </w:rPr>
      </w:pPr>
      <w:r w:rsidRPr="00906D4B">
        <w:rPr>
          <w:rFonts w:ascii="Palatino Linotype" w:hAnsi="Palatino Linotype" w:cs="Arial"/>
          <w:color w:val="000000"/>
          <w:lang w:val="es-ES_tradnl"/>
        </w:rPr>
        <w:lastRenderedPageBreak/>
        <w:t xml:space="preserve">Por lo anteriormente expuesto y fundado, este </w:t>
      </w:r>
      <w:r w:rsidRPr="00906D4B">
        <w:rPr>
          <w:rFonts w:ascii="Palatino Linotype" w:hAnsi="Palatino Linotype" w:cs="Arial"/>
          <w:b/>
          <w:color w:val="000000"/>
          <w:lang w:val="es-ES_tradnl"/>
        </w:rPr>
        <w:t>ÓRGANO GARANTE</w:t>
      </w:r>
      <w:r w:rsidRPr="00906D4B">
        <w:rPr>
          <w:rFonts w:ascii="Palatino Linotype" w:hAnsi="Palatino Linotype" w:cs="Arial"/>
          <w:color w:val="000000"/>
          <w:lang w:val="es-ES_tradnl"/>
        </w:rPr>
        <w:t xml:space="preserve"> emite los siguientes: </w:t>
      </w:r>
    </w:p>
    <w:p w14:paraId="4A0DF05F" w14:textId="77777777" w:rsidR="00507B3C" w:rsidRPr="00906D4B" w:rsidRDefault="00507B3C" w:rsidP="00FA35C3">
      <w:pPr>
        <w:spacing w:line="360" w:lineRule="auto"/>
        <w:rPr>
          <w:rFonts w:ascii="Palatino Linotype" w:hAnsi="Palatino Linotype" w:cs="Arial"/>
          <w:lang w:val="es-ES_tradnl"/>
        </w:rPr>
      </w:pPr>
    </w:p>
    <w:p w14:paraId="13CB4DB2" w14:textId="77777777" w:rsidR="00507B3C" w:rsidRPr="00906D4B" w:rsidRDefault="00507B3C" w:rsidP="00FA35C3">
      <w:pPr>
        <w:keepNext/>
        <w:keepLines/>
        <w:spacing w:before="240" w:line="360" w:lineRule="auto"/>
        <w:jc w:val="center"/>
        <w:outlineLvl w:val="0"/>
        <w:rPr>
          <w:rFonts w:ascii="Palatino Linotype" w:eastAsia="MS Gothic" w:hAnsi="Palatino Linotype"/>
          <w:b/>
          <w:color w:val="000000" w:themeColor="text1"/>
          <w:lang w:val="es-MX" w:eastAsia="en-US"/>
        </w:rPr>
      </w:pPr>
      <w:bookmarkStart w:id="43" w:name="_Toc99999257"/>
      <w:bookmarkStart w:id="44" w:name="_Toc101351551"/>
      <w:r w:rsidRPr="00906D4B">
        <w:rPr>
          <w:rFonts w:ascii="Palatino Linotype" w:eastAsia="MS Gothic" w:hAnsi="Palatino Linotype"/>
          <w:b/>
          <w:color w:val="000000" w:themeColor="text1"/>
          <w:lang w:val="es-MX" w:eastAsia="en-US"/>
        </w:rPr>
        <w:t>R E S O L U T I V O S</w:t>
      </w:r>
      <w:bookmarkEnd w:id="43"/>
      <w:bookmarkEnd w:id="44"/>
    </w:p>
    <w:p w14:paraId="79706FB1" w14:textId="77777777" w:rsidR="00507B3C" w:rsidRPr="00906D4B" w:rsidRDefault="00507B3C" w:rsidP="00FA35C3">
      <w:pPr>
        <w:spacing w:line="360" w:lineRule="auto"/>
        <w:rPr>
          <w:rFonts w:ascii="Palatino Linotype" w:eastAsia="MS Mincho" w:hAnsi="Palatino Linotype"/>
          <w:lang w:val="es-MX" w:eastAsia="en-US"/>
        </w:rPr>
      </w:pPr>
    </w:p>
    <w:p w14:paraId="6979C4D2" w14:textId="5C7BC6BA" w:rsidR="00507B3C" w:rsidRPr="00906D4B" w:rsidRDefault="00507B3C" w:rsidP="00FA35C3">
      <w:pPr>
        <w:spacing w:line="360" w:lineRule="auto"/>
        <w:jc w:val="both"/>
        <w:rPr>
          <w:rFonts w:ascii="Palatino Linotype" w:eastAsia="MS Gothic" w:hAnsi="Palatino Linotype"/>
          <w:b/>
          <w:lang w:val="es-MX" w:eastAsia="en-US"/>
        </w:rPr>
      </w:pPr>
      <w:bookmarkStart w:id="45" w:name="_Toc528153793"/>
      <w:bookmarkStart w:id="46" w:name="_Toc514231051"/>
      <w:bookmarkStart w:id="47" w:name="_Toc512329343"/>
      <w:bookmarkStart w:id="48" w:name="_Toc503290282"/>
      <w:bookmarkStart w:id="49" w:name="_Toc500264545"/>
      <w:bookmarkStart w:id="50" w:name="_Toc500245736"/>
      <w:bookmarkStart w:id="51" w:name="_Toc499757019"/>
      <w:bookmarkStart w:id="52" w:name="_Toc499756976"/>
      <w:bookmarkStart w:id="53" w:name="_Toc496100164"/>
      <w:bookmarkStart w:id="54" w:name="_Toc496099787"/>
      <w:bookmarkStart w:id="55" w:name="_Toc462228127"/>
      <w:bookmarkStart w:id="56" w:name="_Toc462228047"/>
      <w:bookmarkStart w:id="57" w:name="_Toc461648680"/>
      <w:bookmarkStart w:id="58" w:name="_Toc461648588"/>
      <w:r w:rsidRPr="00906D4B">
        <w:rPr>
          <w:rFonts w:ascii="Palatino Linotype" w:eastAsia="MS Gothic" w:hAnsi="Palatino Linotype"/>
          <w:b/>
          <w:lang w:val="es-MX" w:eastAsia="en-US"/>
        </w:rPr>
        <w:t xml:space="preserve">PRIMERO. </w:t>
      </w:r>
      <w:r w:rsidRPr="00906D4B">
        <w:rPr>
          <w:rFonts w:ascii="Palatino Linotype" w:eastAsia="MS Gothic" w:hAnsi="Palatino Linotype"/>
          <w:lang w:val="es-MX" w:eastAsia="en-US"/>
        </w:rPr>
        <w:t>Se</w:t>
      </w:r>
      <w:r w:rsidRPr="00906D4B">
        <w:rPr>
          <w:rFonts w:ascii="Palatino Linotype" w:eastAsia="MS Gothic" w:hAnsi="Palatino Linotype"/>
          <w:b/>
          <w:lang w:val="es-MX" w:eastAsia="en-US"/>
        </w:rPr>
        <w:t xml:space="preserve"> SOBRESEE </w:t>
      </w:r>
      <w:r w:rsidRPr="00906D4B">
        <w:rPr>
          <w:rFonts w:ascii="Palatino Linotype" w:eastAsia="MS Gothic" w:hAnsi="Palatino Linotype"/>
          <w:lang w:val="es-MX" w:eastAsia="en-US"/>
        </w:rPr>
        <w:t xml:space="preserve">el recurso de revisión número </w:t>
      </w:r>
      <w:r w:rsidRPr="00906D4B">
        <w:rPr>
          <w:rFonts w:ascii="Palatino Linotype" w:eastAsia="MS Gothic" w:hAnsi="Palatino Linotype"/>
          <w:b/>
          <w:bCs/>
          <w:lang w:eastAsia="en-US"/>
        </w:rPr>
        <w:t>01173/INFOEM/IP/RR/2022</w:t>
      </w:r>
      <w:r w:rsidRPr="00906D4B">
        <w:rPr>
          <w:rFonts w:ascii="Palatino Linotype" w:eastAsia="MS Gothic" w:hAnsi="Palatino Linotype"/>
          <w:b/>
          <w:lang w:val="es-MX" w:eastAsia="en-US"/>
        </w:rPr>
        <w:t xml:space="preserve"> </w:t>
      </w:r>
      <w:r w:rsidRPr="00906D4B">
        <w:rPr>
          <w:rFonts w:ascii="Palatino Linotype" w:eastAsia="MS Gothic" w:hAnsi="Palatino Linotype"/>
          <w:lang w:val="es-MX" w:eastAsia="en-US"/>
        </w:rPr>
        <w:t xml:space="preserve">en razón de que, al </w:t>
      </w:r>
      <w:r w:rsidRPr="00906D4B">
        <w:rPr>
          <w:rFonts w:ascii="Palatino Linotype" w:eastAsia="MS Gothic" w:hAnsi="Palatino Linotype"/>
          <w:b/>
          <w:lang w:val="es-MX" w:eastAsia="en-US"/>
        </w:rPr>
        <w:t>MODIFICAR</w:t>
      </w:r>
      <w:r w:rsidRPr="00906D4B">
        <w:rPr>
          <w:rFonts w:ascii="Palatino Linotype" w:eastAsia="MS Gothic" w:hAnsi="Palatino Linotype"/>
          <w:lang w:val="es-MX" w:eastAsia="en-US"/>
        </w:rPr>
        <w:t xml:space="preserve"> la respuesta inicial, el recurso de revisión quedó sin materia en términos del Considerando </w:t>
      </w:r>
      <w:r w:rsidRPr="00906D4B">
        <w:rPr>
          <w:rFonts w:ascii="Palatino Linotype" w:eastAsia="MS Gothic" w:hAnsi="Palatino Linotype"/>
          <w:b/>
          <w:lang w:val="es-MX" w:eastAsia="en-US"/>
        </w:rPr>
        <w:t>CUARTO</w:t>
      </w:r>
      <w:r w:rsidRPr="00906D4B">
        <w:rPr>
          <w:rFonts w:ascii="Palatino Linotype" w:eastAsia="MS Gothic" w:hAnsi="Palatino Linotype"/>
          <w:lang w:val="es-MX" w:eastAsia="en-US"/>
        </w:rPr>
        <w:t xml:space="preserve"> de la presente resolución.    </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7F809F4D" w14:textId="77777777" w:rsidR="00507B3C" w:rsidRPr="00906D4B" w:rsidRDefault="00507B3C" w:rsidP="00FA35C3">
      <w:pPr>
        <w:spacing w:line="360" w:lineRule="auto"/>
        <w:jc w:val="both"/>
        <w:rPr>
          <w:rFonts w:ascii="Palatino Linotype" w:eastAsia="MS Mincho" w:hAnsi="Palatino Linotype"/>
          <w:lang w:val="es-ES_tradnl"/>
        </w:rPr>
      </w:pPr>
    </w:p>
    <w:p w14:paraId="046C4636" w14:textId="77777777" w:rsidR="00507B3C" w:rsidRPr="00906D4B" w:rsidRDefault="00507B3C" w:rsidP="00FA35C3">
      <w:pPr>
        <w:spacing w:line="360" w:lineRule="auto"/>
        <w:jc w:val="both"/>
        <w:rPr>
          <w:rFonts w:ascii="Palatino Linotype" w:eastAsia="Calibri" w:hAnsi="Palatino Linotype" w:cs="Arial"/>
          <w:b/>
          <w:bCs/>
        </w:rPr>
      </w:pPr>
      <w:r w:rsidRPr="00906D4B">
        <w:rPr>
          <w:rFonts w:ascii="Palatino Linotype" w:eastAsia="Calibri" w:hAnsi="Palatino Linotype" w:cs="Arial"/>
          <w:b/>
          <w:bCs/>
        </w:rPr>
        <w:t xml:space="preserve">SEGUNDO. Notifíquese </w:t>
      </w:r>
      <w:r w:rsidRPr="00906D4B">
        <w:rPr>
          <w:rFonts w:ascii="Palatino Linotype" w:eastAsia="Calibri" w:hAnsi="Palatino Linotype" w:cs="Arial"/>
          <w:bCs/>
        </w:rPr>
        <w:t xml:space="preserve">a través del Sistema de Acceso a la Información Mexiquense </w:t>
      </w:r>
      <w:r w:rsidRPr="00906D4B">
        <w:rPr>
          <w:rFonts w:ascii="Palatino Linotype" w:eastAsia="Calibri" w:hAnsi="Palatino Linotype" w:cs="Arial"/>
          <w:b/>
          <w:bCs/>
        </w:rPr>
        <w:t xml:space="preserve">(SAIMEX) </w:t>
      </w:r>
      <w:r w:rsidRPr="00906D4B">
        <w:rPr>
          <w:rFonts w:ascii="Palatino Linotype" w:eastAsia="Calibri" w:hAnsi="Palatino Linotype" w:cs="Arial"/>
          <w:bCs/>
        </w:rPr>
        <w:t>la presente resolución a la Titular de la Unidad de Transparencia del</w:t>
      </w:r>
      <w:r w:rsidRPr="00906D4B">
        <w:rPr>
          <w:rFonts w:ascii="Palatino Linotype" w:eastAsia="Calibri" w:hAnsi="Palatino Linotype" w:cs="Arial"/>
          <w:b/>
          <w:bCs/>
        </w:rPr>
        <w:t xml:space="preserve"> SUJETO OBLIGADO. </w:t>
      </w:r>
    </w:p>
    <w:p w14:paraId="48CE3532" w14:textId="77777777" w:rsidR="00507B3C" w:rsidRPr="00906D4B" w:rsidRDefault="00507B3C" w:rsidP="00FA35C3">
      <w:pPr>
        <w:spacing w:line="360" w:lineRule="auto"/>
        <w:jc w:val="both"/>
        <w:rPr>
          <w:rFonts w:ascii="Palatino Linotype" w:eastAsia="Calibri" w:hAnsi="Palatino Linotype" w:cs="Arial"/>
          <w:b/>
          <w:bCs/>
        </w:rPr>
      </w:pPr>
    </w:p>
    <w:p w14:paraId="29DBA61E" w14:textId="77777777" w:rsidR="00507B3C" w:rsidRPr="00906D4B" w:rsidRDefault="00507B3C" w:rsidP="00FA35C3">
      <w:pPr>
        <w:spacing w:line="360" w:lineRule="auto"/>
        <w:jc w:val="both"/>
        <w:rPr>
          <w:rFonts w:ascii="Palatino Linotype" w:hAnsi="Palatino Linotype"/>
          <w:color w:val="222222"/>
          <w:lang w:eastAsia="es-MX"/>
        </w:rPr>
      </w:pPr>
      <w:r w:rsidRPr="00906D4B">
        <w:rPr>
          <w:rFonts w:ascii="Palatino Linotype" w:hAnsi="Palatino Linotype" w:cs="Arial"/>
          <w:b/>
          <w:lang w:val="es-ES_tradnl"/>
        </w:rPr>
        <w:t xml:space="preserve">TERCERO. </w:t>
      </w:r>
      <w:r w:rsidRPr="00906D4B">
        <w:rPr>
          <w:rFonts w:ascii="Palatino Linotype" w:hAnsi="Palatino Linotype"/>
          <w:b/>
          <w:bCs/>
          <w:color w:val="222222"/>
        </w:rPr>
        <w:t xml:space="preserve">Notifíquese </w:t>
      </w:r>
      <w:r w:rsidRPr="00906D4B">
        <w:rPr>
          <w:rFonts w:ascii="Palatino Linotype" w:hAnsi="Palatino Linotype"/>
          <w:bCs/>
          <w:color w:val="222222"/>
        </w:rPr>
        <w:t xml:space="preserve">al </w:t>
      </w:r>
      <w:r w:rsidRPr="00906D4B">
        <w:rPr>
          <w:rFonts w:ascii="Palatino Linotype" w:eastAsia="MS Mincho" w:hAnsi="Palatino Linotype"/>
          <w:b/>
          <w:lang w:val="es-ES_tradnl"/>
        </w:rPr>
        <w:t xml:space="preserve">RECURRENTE </w:t>
      </w:r>
      <w:r w:rsidRPr="00906D4B">
        <w:rPr>
          <w:rFonts w:ascii="Palatino Linotype" w:eastAsia="Calibri" w:hAnsi="Palatino Linotype" w:cs="Arial"/>
          <w:bCs/>
        </w:rPr>
        <w:t xml:space="preserve">a través del Sistema de Acceso a la Información Mexiquense </w:t>
      </w:r>
      <w:r w:rsidRPr="00906D4B">
        <w:rPr>
          <w:rFonts w:ascii="Palatino Linotype" w:eastAsia="Calibri" w:hAnsi="Palatino Linotype" w:cs="Arial"/>
          <w:b/>
          <w:bCs/>
        </w:rPr>
        <w:t xml:space="preserve">(SAIMEX) </w:t>
      </w:r>
      <w:r w:rsidRPr="00906D4B">
        <w:rPr>
          <w:rFonts w:ascii="Palatino Linotype" w:hAnsi="Palatino Linotype"/>
          <w:color w:val="222222"/>
          <w:lang w:eastAsia="es-MX"/>
        </w:rPr>
        <w:t>la presente resolución.</w:t>
      </w:r>
    </w:p>
    <w:p w14:paraId="6A809667" w14:textId="77777777" w:rsidR="00507B3C" w:rsidRPr="00906D4B" w:rsidRDefault="00507B3C" w:rsidP="00FA35C3">
      <w:pPr>
        <w:spacing w:line="360" w:lineRule="auto"/>
        <w:jc w:val="both"/>
        <w:rPr>
          <w:rFonts w:ascii="Palatino Linotype" w:hAnsi="Palatino Linotype"/>
          <w:color w:val="222222"/>
          <w:lang w:eastAsia="es-MX"/>
        </w:rPr>
      </w:pPr>
    </w:p>
    <w:p w14:paraId="6216CE86" w14:textId="77777777" w:rsidR="00507B3C" w:rsidRPr="00906D4B" w:rsidRDefault="00507B3C" w:rsidP="00FA35C3">
      <w:pPr>
        <w:spacing w:line="360" w:lineRule="auto"/>
        <w:jc w:val="both"/>
        <w:rPr>
          <w:rFonts w:ascii="Palatino Linotype" w:eastAsia="MS Mincho" w:hAnsi="Palatino Linotype"/>
        </w:rPr>
      </w:pPr>
      <w:r w:rsidRPr="00906D4B">
        <w:rPr>
          <w:rFonts w:ascii="Palatino Linotype" w:eastAsia="MS Mincho" w:hAnsi="Palatino Linotype"/>
          <w:b/>
          <w:lang w:val="es-MX"/>
        </w:rPr>
        <w:t>CUARTO.</w:t>
      </w:r>
      <w:r w:rsidRPr="00906D4B">
        <w:rPr>
          <w:rFonts w:ascii="Palatino Linotype" w:eastAsia="MS Mincho" w:hAnsi="Palatino Linotype"/>
          <w:lang w:val="es-MX"/>
        </w:rPr>
        <w:t xml:space="preserve"> </w:t>
      </w:r>
      <w:r w:rsidRPr="00906D4B">
        <w:rPr>
          <w:rFonts w:ascii="Palatino Linotype" w:eastAsia="MS Mincho" w:hAnsi="Palatino Linotype"/>
        </w:rPr>
        <w:t xml:space="preserve">Se hace del conocimiento del </w:t>
      </w:r>
      <w:r w:rsidRPr="00906D4B">
        <w:rPr>
          <w:rFonts w:ascii="Palatino Linotype" w:eastAsia="MS Mincho" w:hAnsi="Palatino Linotype"/>
          <w:b/>
          <w:lang w:val="es-ES_tradnl"/>
        </w:rPr>
        <w:t xml:space="preserve">RECURRENTE </w:t>
      </w:r>
      <w:r w:rsidRPr="00906D4B">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906D4B">
        <w:rPr>
          <w:rFonts w:ascii="Palatino Linotype" w:eastAsia="MS Mincho" w:hAnsi="Palatino Linotype"/>
          <w:bCs/>
        </w:rPr>
        <w:t xml:space="preserve">vía juicio de amparo </w:t>
      </w:r>
      <w:r w:rsidRPr="00906D4B">
        <w:rPr>
          <w:rFonts w:ascii="Palatino Linotype" w:eastAsia="MS Mincho" w:hAnsi="Palatino Linotype"/>
        </w:rPr>
        <w:t>en los términos de las leyes aplicables.</w:t>
      </w:r>
    </w:p>
    <w:p w14:paraId="1FFDD41B" w14:textId="77777777" w:rsidR="00507B3C" w:rsidRPr="00906D4B" w:rsidRDefault="00507B3C" w:rsidP="00FA35C3">
      <w:pPr>
        <w:spacing w:line="360" w:lineRule="auto"/>
        <w:jc w:val="both"/>
        <w:rPr>
          <w:rFonts w:ascii="Palatino Linotype" w:eastAsia="MS Mincho" w:hAnsi="Palatino Linotype"/>
        </w:rPr>
      </w:pPr>
    </w:p>
    <w:p w14:paraId="01399AFC" w14:textId="77777777" w:rsidR="00906D4B" w:rsidRPr="00624AAD" w:rsidRDefault="00906D4B" w:rsidP="00906D4B">
      <w:pPr>
        <w:spacing w:before="240" w:after="240" w:line="360" w:lineRule="auto"/>
        <w:ind w:firstLine="1"/>
        <w:jc w:val="both"/>
        <w:rPr>
          <w:rFonts w:ascii="Palatino Linotype" w:hAnsi="Palatino Linotype"/>
        </w:rPr>
      </w:pPr>
      <w:bookmarkStart w:id="59" w:name="_Hlk99014733"/>
      <w:r w:rsidRPr="00906D4B">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QUINTA SESIÓN ORDINARIA CELEBRADA EL VEINTISIETE (27) DE ABRIL DE DOS MIL VEINTIDÓS, ANTE EL SECRETARIO TÉCNICO DEL PLENO ALEXIS TAPIA RAMÍREZ.</w:t>
      </w:r>
      <w:r w:rsidRPr="00624AAD">
        <w:rPr>
          <w:rFonts w:ascii="Palatino Linotype" w:hAnsi="Palatino Linotype"/>
        </w:rPr>
        <w:t xml:space="preserve"> </w:t>
      </w:r>
    </w:p>
    <w:bookmarkEnd w:id="59"/>
    <w:p w14:paraId="1F9B138F" w14:textId="77777777" w:rsidR="00507B3C" w:rsidRPr="00FA35C3" w:rsidRDefault="00507B3C" w:rsidP="00FA35C3">
      <w:pPr>
        <w:spacing w:line="360" w:lineRule="auto"/>
        <w:rPr>
          <w:rFonts w:ascii="Palatino Linotype" w:hAnsi="Palatino Linotype"/>
        </w:rPr>
      </w:pPr>
    </w:p>
    <w:p w14:paraId="038E01BD" w14:textId="77777777" w:rsidR="00507B3C" w:rsidRPr="00FA35C3" w:rsidRDefault="00507B3C" w:rsidP="00FA35C3">
      <w:pPr>
        <w:pStyle w:val="Prrafodelista"/>
        <w:spacing w:before="240" w:after="360" w:line="360" w:lineRule="auto"/>
        <w:ind w:left="0"/>
        <w:contextualSpacing/>
        <w:jc w:val="both"/>
        <w:rPr>
          <w:rFonts w:ascii="Palatino Linotype" w:eastAsia="MS Mincho" w:hAnsi="Palatino Linotype" w:cs="Arial"/>
          <w:i/>
          <w:lang w:val="es-MX"/>
        </w:rPr>
      </w:pPr>
    </w:p>
    <w:p w14:paraId="4453F8E6" w14:textId="4987DE0A" w:rsidR="00090DE6" w:rsidRPr="00FA35C3" w:rsidRDefault="00090DE6" w:rsidP="00FA35C3">
      <w:pPr>
        <w:spacing w:line="360" w:lineRule="auto"/>
        <w:rPr>
          <w:rFonts w:ascii="Palatino Linotype" w:hAnsi="Palatino Linotype"/>
        </w:rPr>
      </w:pPr>
      <w:bookmarkStart w:id="60" w:name="_GoBack"/>
      <w:bookmarkEnd w:id="37"/>
      <w:bookmarkEnd w:id="38"/>
      <w:bookmarkEnd w:id="39"/>
      <w:bookmarkEnd w:id="40"/>
      <w:bookmarkEnd w:id="60"/>
    </w:p>
    <w:sectPr w:rsidR="00090DE6" w:rsidRPr="00FA35C3" w:rsidSect="009F07F4">
      <w:headerReference w:type="default" r:id="rId13"/>
      <w:footerReference w:type="default" r:id="rId14"/>
      <w:headerReference w:type="first" r:id="rId15"/>
      <w:footerReference w:type="first" r:id="rId16"/>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53FB65" w14:textId="77777777" w:rsidR="00D34483" w:rsidRDefault="00D34483" w:rsidP="00C80F8C">
      <w:r>
        <w:separator/>
      </w:r>
    </w:p>
  </w:endnote>
  <w:endnote w:type="continuationSeparator" w:id="0">
    <w:p w14:paraId="4A42F783" w14:textId="77777777" w:rsidR="00D34483" w:rsidRDefault="00D3448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448B8A33" w:rsidR="00943F97" w:rsidRPr="00817AAB" w:rsidRDefault="00943F97"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906D4B">
      <w:rPr>
        <w:rFonts w:ascii="Palatino Linotype" w:hAnsi="Palatino Linotype" w:cs="Arial"/>
        <w:b/>
        <w:bCs/>
        <w:noProof/>
      </w:rPr>
      <w:t>26</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906D4B">
      <w:rPr>
        <w:rFonts w:ascii="Palatino Linotype" w:hAnsi="Palatino Linotype" w:cs="Arial"/>
        <w:b/>
        <w:bCs/>
        <w:noProof/>
      </w:rPr>
      <w:t>28</w:t>
    </w:r>
    <w:r w:rsidRPr="00817AAB">
      <w:rPr>
        <w:rFonts w:ascii="Palatino Linotype" w:hAnsi="Palatino Linotype" w:cs="Arial"/>
        <w:b/>
        <w:bCs/>
      </w:rPr>
      <w:fldChar w:fldCharType="end"/>
    </w:r>
  </w:p>
  <w:p w14:paraId="1192A578" w14:textId="77777777" w:rsidR="00943F97" w:rsidRDefault="00943F97" w:rsidP="00935A0D">
    <w:pPr>
      <w:pStyle w:val="Piedepgina"/>
      <w:rPr>
        <w:rFonts w:ascii="Times New Roman" w:hAnsi="Times New Roman" w:cs="Times New Roman"/>
      </w:rPr>
    </w:pPr>
  </w:p>
  <w:p w14:paraId="14A770F8" w14:textId="77777777" w:rsidR="00943F97" w:rsidRDefault="00943F97"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10121BE5" w:rsidR="00943F97" w:rsidRDefault="00943F97"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06D4B">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06D4B">
      <w:rPr>
        <w:rFonts w:ascii="Arial" w:hAnsi="Arial" w:cs="Arial"/>
        <w:b/>
        <w:bCs/>
        <w:noProof/>
        <w:sz w:val="20"/>
        <w:szCs w:val="20"/>
      </w:rPr>
      <w:t>28</w:t>
    </w:r>
    <w:r>
      <w:rPr>
        <w:rFonts w:ascii="Arial" w:hAnsi="Arial" w:cs="Arial"/>
        <w:b/>
        <w:bCs/>
        <w:sz w:val="20"/>
        <w:szCs w:val="20"/>
      </w:rPr>
      <w:fldChar w:fldCharType="end"/>
    </w:r>
  </w:p>
  <w:p w14:paraId="5D98ABD5" w14:textId="77777777" w:rsidR="00943F97" w:rsidRDefault="00943F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F06893" w14:textId="77777777" w:rsidR="00D34483" w:rsidRDefault="00D34483" w:rsidP="00C80F8C">
      <w:r>
        <w:separator/>
      </w:r>
    </w:p>
  </w:footnote>
  <w:footnote w:type="continuationSeparator" w:id="0">
    <w:p w14:paraId="26025499" w14:textId="77777777" w:rsidR="00D34483" w:rsidRDefault="00D34483" w:rsidP="00C80F8C">
      <w:r>
        <w:continuationSeparator/>
      </w:r>
    </w:p>
  </w:footnote>
  <w:footnote w:id="1">
    <w:p w14:paraId="570BD258" w14:textId="77777777" w:rsidR="00943F97" w:rsidRDefault="00943F97" w:rsidP="00064592">
      <w:pPr>
        <w:pStyle w:val="Textonotapie"/>
      </w:pPr>
      <w:r>
        <w:rPr>
          <w:rStyle w:val="Refdenotaalpie"/>
        </w:rPr>
        <w:footnoteRef/>
      </w:r>
      <w:r>
        <w:t xml:space="preserve"> Convención Americana sobre Derechos Humanos. Artículo 13.</w:t>
      </w:r>
    </w:p>
  </w:footnote>
  <w:footnote w:id="2">
    <w:p w14:paraId="7B9157A0" w14:textId="77777777" w:rsidR="00943F97" w:rsidRDefault="00943F97" w:rsidP="00064592">
      <w:pPr>
        <w:pStyle w:val="Textonotapie"/>
      </w:pPr>
      <w:r>
        <w:rPr>
          <w:rStyle w:val="Refdenotaalpie"/>
        </w:rPr>
        <w:footnoteRef/>
      </w:r>
      <w:r>
        <w:t xml:space="preserve"> Constitución Política de los Estados Unidos Mexicanos. Artículo sexto, sección A, fracción I.</w:t>
      </w:r>
    </w:p>
  </w:footnote>
  <w:footnote w:id="3">
    <w:p w14:paraId="11DB9747" w14:textId="77777777" w:rsidR="00943F97" w:rsidRDefault="00943F97" w:rsidP="00064592">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304745E7" w14:textId="77777777" w:rsidR="00943F97" w:rsidRDefault="00943F97" w:rsidP="00064592">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943F97" w14:paraId="6B4E3B81" w14:textId="77777777" w:rsidTr="00B4299A">
      <w:tc>
        <w:tcPr>
          <w:tcW w:w="2701" w:type="dxa"/>
          <w:vAlign w:val="center"/>
          <w:hideMark/>
        </w:tcPr>
        <w:p w14:paraId="0ABBC6C0" w14:textId="1226DAAF" w:rsidR="00943F97" w:rsidRPr="00B4299A" w:rsidRDefault="00943F97"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2AE0DF59" w:rsidR="00943F97" w:rsidRPr="00B4299A" w:rsidRDefault="00943F97" w:rsidP="006E011A">
          <w:pPr>
            <w:rPr>
              <w:rFonts w:ascii="Palatino Linotype" w:hAnsi="Palatino Linotype"/>
              <w:b/>
              <w:szCs w:val="22"/>
              <w:lang w:val="es-ES_tradnl"/>
            </w:rPr>
          </w:pPr>
          <w:r w:rsidRPr="007B3C1E">
            <w:rPr>
              <w:rFonts w:ascii="Palatino Linotype" w:hAnsi="Palatino Linotype"/>
              <w:b/>
              <w:szCs w:val="22"/>
              <w:lang w:val="es-ES_tradnl"/>
            </w:rPr>
            <w:t>01173/INFOEM/IP/RR/2022</w:t>
          </w:r>
        </w:p>
      </w:tc>
    </w:tr>
    <w:tr w:rsidR="00943F97" w14:paraId="31CB780F" w14:textId="77777777" w:rsidTr="00B4299A">
      <w:trPr>
        <w:trHeight w:val="228"/>
      </w:trPr>
      <w:tc>
        <w:tcPr>
          <w:tcW w:w="2701" w:type="dxa"/>
          <w:vAlign w:val="center"/>
          <w:hideMark/>
        </w:tcPr>
        <w:p w14:paraId="4F49CB4A" w14:textId="6966D32E" w:rsidR="00943F97" w:rsidRPr="00B4299A" w:rsidRDefault="00943F97"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49BD13C4" w:rsidR="00943F97" w:rsidRPr="00B4299A" w:rsidRDefault="00943F97" w:rsidP="00E176F9">
          <w:pPr>
            <w:jc w:val="both"/>
            <w:rPr>
              <w:rFonts w:ascii="Palatino Linotype" w:hAnsi="Palatino Linotype"/>
              <w:b/>
              <w:szCs w:val="22"/>
              <w:lang w:val="es-ES_tradnl"/>
            </w:rPr>
          </w:pPr>
          <w:r w:rsidRPr="007B3C1E">
            <w:rPr>
              <w:rFonts w:ascii="Palatino Linotype" w:hAnsi="Palatino Linotype"/>
              <w:b/>
              <w:szCs w:val="22"/>
              <w:lang w:val="es-ES_tradnl"/>
            </w:rPr>
            <w:t>Ayuntamiento de Metepec</w:t>
          </w:r>
        </w:p>
      </w:tc>
    </w:tr>
    <w:tr w:rsidR="00943F97" w14:paraId="69050F56" w14:textId="77777777" w:rsidTr="00B4299A">
      <w:tc>
        <w:tcPr>
          <w:tcW w:w="2701" w:type="dxa"/>
          <w:vAlign w:val="center"/>
          <w:hideMark/>
        </w:tcPr>
        <w:p w14:paraId="65C9B735" w14:textId="75C78F81" w:rsidR="00943F97" w:rsidRPr="00B4299A" w:rsidRDefault="00943F97"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943F97" w:rsidRPr="00B4299A" w:rsidRDefault="00943F97"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943F97" w:rsidRDefault="00943F97"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943F97" w:rsidRDefault="00943F97"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943F97" w:rsidRDefault="00943F97"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943F97" w14:paraId="477E149B" w14:textId="77777777" w:rsidTr="00CB57FD">
      <w:trPr>
        <w:trHeight w:val="277"/>
      </w:trPr>
      <w:tc>
        <w:tcPr>
          <w:tcW w:w="2693" w:type="dxa"/>
          <w:vAlign w:val="center"/>
          <w:hideMark/>
        </w:tcPr>
        <w:p w14:paraId="5C0586E4" w14:textId="77777777" w:rsidR="00943F97" w:rsidRPr="009B3353" w:rsidRDefault="00943F97"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740F138F" w:rsidR="00943F97" w:rsidRPr="009B3353" w:rsidRDefault="00943F97" w:rsidP="00761460">
          <w:pPr>
            <w:rPr>
              <w:rFonts w:ascii="Palatino Linotype" w:hAnsi="Palatino Linotype"/>
              <w:b/>
              <w:szCs w:val="22"/>
              <w:lang w:val="es-ES_tradnl"/>
            </w:rPr>
          </w:pPr>
          <w:r w:rsidRPr="007B3C1E">
            <w:rPr>
              <w:rFonts w:ascii="Palatino Linotype" w:hAnsi="Palatino Linotype"/>
              <w:b/>
              <w:szCs w:val="22"/>
              <w:lang w:val="es-ES_tradnl"/>
            </w:rPr>
            <w:t>01173/INFOEM/IP/RR/2022</w:t>
          </w:r>
        </w:p>
      </w:tc>
    </w:tr>
    <w:tr w:rsidR="00943F97" w14:paraId="5B5BE21C" w14:textId="77777777" w:rsidTr="00CB57FD">
      <w:tc>
        <w:tcPr>
          <w:tcW w:w="2693" w:type="dxa"/>
          <w:vAlign w:val="center"/>
          <w:hideMark/>
        </w:tcPr>
        <w:p w14:paraId="4AE96902" w14:textId="4E063913" w:rsidR="00943F97" w:rsidRPr="009B3353" w:rsidRDefault="00943F97"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10E0A3AB" w:rsidR="00943F97" w:rsidRPr="009B3353" w:rsidRDefault="00943F97" w:rsidP="002B7BCC">
          <w:pPr>
            <w:rPr>
              <w:rFonts w:ascii="Palatino Linotype" w:hAnsi="Palatino Linotype"/>
              <w:b/>
              <w:szCs w:val="22"/>
              <w:lang w:val="es-ES_tradnl"/>
            </w:rPr>
          </w:pPr>
          <w:r>
            <w:rPr>
              <w:rFonts w:ascii="Palatino Linotype" w:hAnsi="Palatino Linotype"/>
              <w:b/>
              <w:szCs w:val="22"/>
              <w:lang w:val="es-ES_tradnl"/>
            </w:rPr>
            <w:t xml:space="preserve">Sin Especificar </w:t>
          </w:r>
        </w:p>
      </w:tc>
    </w:tr>
    <w:tr w:rsidR="00943F97" w14:paraId="22601A11" w14:textId="77777777" w:rsidTr="00CB57FD">
      <w:trPr>
        <w:trHeight w:val="228"/>
      </w:trPr>
      <w:tc>
        <w:tcPr>
          <w:tcW w:w="2693" w:type="dxa"/>
          <w:vAlign w:val="center"/>
          <w:hideMark/>
        </w:tcPr>
        <w:p w14:paraId="6EFE221D" w14:textId="49C5F800" w:rsidR="00943F97" w:rsidRPr="009B3353" w:rsidRDefault="00943F97"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180F5F64" w:rsidR="00943F97" w:rsidRPr="009B3353" w:rsidRDefault="00943F97" w:rsidP="007F7B11">
          <w:pPr>
            <w:jc w:val="both"/>
            <w:rPr>
              <w:rFonts w:ascii="Palatino Linotype" w:eastAsia="Calibri" w:hAnsi="Palatino Linotype"/>
              <w:b/>
              <w:szCs w:val="22"/>
              <w:lang w:val="es-MX" w:eastAsia="en-US"/>
            </w:rPr>
          </w:pPr>
          <w:r w:rsidRPr="007B3C1E">
            <w:rPr>
              <w:rFonts w:ascii="Palatino Linotype" w:eastAsia="Calibri" w:hAnsi="Palatino Linotype"/>
              <w:b/>
              <w:szCs w:val="22"/>
              <w:lang w:val="es-MX" w:eastAsia="en-US"/>
            </w:rPr>
            <w:t>Ayuntamiento de Metepec</w:t>
          </w:r>
        </w:p>
      </w:tc>
    </w:tr>
    <w:tr w:rsidR="00943F97" w14:paraId="2D6C630E" w14:textId="77777777" w:rsidTr="00CB57FD">
      <w:tc>
        <w:tcPr>
          <w:tcW w:w="2693" w:type="dxa"/>
          <w:vAlign w:val="center"/>
          <w:hideMark/>
        </w:tcPr>
        <w:p w14:paraId="5BD4C6DB" w14:textId="7CF21504" w:rsidR="00943F97" w:rsidRPr="009B3353" w:rsidRDefault="00943F97"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943F97" w:rsidRPr="009B3353" w:rsidRDefault="00943F97"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943F97" w:rsidRDefault="00943F97"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83867"/>
    <w:multiLevelType w:val="hybridMultilevel"/>
    <w:tmpl w:val="7F86ACF2"/>
    <w:lvl w:ilvl="0" w:tplc="D9901B6C">
      <w:start w:val="2"/>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029706C3"/>
    <w:multiLevelType w:val="hybridMultilevel"/>
    <w:tmpl w:val="EFF2AA6A"/>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851C42"/>
    <w:multiLevelType w:val="hybridMultilevel"/>
    <w:tmpl w:val="A6E421E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nsid w:val="05CC199D"/>
    <w:multiLevelType w:val="hybridMultilevel"/>
    <w:tmpl w:val="7B1EB1E2"/>
    <w:lvl w:ilvl="0" w:tplc="1EA636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037354"/>
    <w:multiLevelType w:val="hybridMultilevel"/>
    <w:tmpl w:val="6B9A4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51223F"/>
    <w:multiLevelType w:val="hybridMultilevel"/>
    <w:tmpl w:val="69207F6C"/>
    <w:lvl w:ilvl="0" w:tplc="0D2CC0C6">
      <w:start w:val="6"/>
      <w:numFmt w:val="decimal"/>
      <w:lvlText w:val="%1."/>
      <w:lvlJc w:val="left"/>
      <w:pPr>
        <w:ind w:left="720" w:hanging="360"/>
      </w:pPr>
      <w:rPr>
        <w:rFonts w:hint="default"/>
        <w:b/>
        <w:i w:val="0"/>
        <w:color w:val="000000" w:themeColor="text1"/>
        <w:sz w:val="24"/>
      </w:rPr>
    </w:lvl>
    <w:lvl w:ilvl="1" w:tplc="CE0085C6">
      <w:start w:val="1"/>
      <w:numFmt w:val="lowerLetter"/>
      <w:lvlText w:val="%2)"/>
      <w:lvlJc w:val="left"/>
      <w:pPr>
        <w:ind w:left="1440" w:hanging="360"/>
      </w:pPr>
      <w:rPr>
        <w:rFonts w:hint="default"/>
        <w:b/>
      </w:rPr>
    </w:lvl>
    <w:lvl w:ilvl="2" w:tplc="DE447C6C">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EC5B1C"/>
    <w:multiLevelType w:val="hybridMultilevel"/>
    <w:tmpl w:val="3916500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1434458C"/>
    <w:multiLevelType w:val="hybridMultilevel"/>
    <w:tmpl w:val="EB2EDE4A"/>
    <w:lvl w:ilvl="0" w:tplc="7124D4A2">
      <w:start w:val="1"/>
      <w:numFmt w:val="lowerLetter"/>
      <w:lvlText w:val="%1)"/>
      <w:lvlJc w:val="left"/>
      <w:pPr>
        <w:ind w:left="900" w:hanging="360"/>
      </w:pPr>
      <w:rPr>
        <w:rFonts w:ascii="Palatino Linotype" w:hAnsi="Palatino Linotype" w:hint="default"/>
        <w:i/>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AAD23B6"/>
    <w:multiLevelType w:val="hybridMultilevel"/>
    <w:tmpl w:val="EEE46874"/>
    <w:lvl w:ilvl="0" w:tplc="B7082AA4">
      <w:start w:val="1"/>
      <w:numFmt w:val="lowerLetter"/>
      <w:lvlText w:val="%1)"/>
      <w:lvlJc w:val="left"/>
      <w:pPr>
        <w:ind w:left="900" w:hanging="360"/>
      </w:pPr>
      <w:rPr>
        <w:rFonts w:ascii="Palatino Linotype" w:hAnsi="Palatino Linotype" w:hint="default"/>
        <w:i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nsid w:val="1DC722D3"/>
    <w:multiLevelType w:val="hybridMultilevel"/>
    <w:tmpl w:val="0024A8B6"/>
    <w:lvl w:ilvl="0" w:tplc="E35AB3CA">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895182D"/>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D927D1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nsid w:val="34317490"/>
    <w:multiLevelType w:val="hybridMultilevel"/>
    <w:tmpl w:val="9F30934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37E46746"/>
    <w:multiLevelType w:val="hybridMultilevel"/>
    <w:tmpl w:val="70CA7BF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1">
    <w:nsid w:val="45977F9D"/>
    <w:multiLevelType w:val="hybridMultilevel"/>
    <w:tmpl w:val="658E9506"/>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202F9A"/>
    <w:multiLevelType w:val="hybridMultilevel"/>
    <w:tmpl w:val="D0920F2C"/>
    <w:lvl w:ilvl="0" w:tplc="43FEC28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5">
    <w:nsid w:val="564F4CEC"/>
    <w:multiLevelType w:val="hybridMultilevel"/>
    <w:tmpl w:val="C47EAE46"/>
    <w:lvl w:ilvl="0" w:tplc="0C44CDE6">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6">
    <w:nsid w:val="5A3A237C"/>
    <w:multiLevelType w:val="hybridMultilevel"/>
    <w:tmpl w:val="6A2C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2C5D45"/>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C4C6525"/>
    <w:multiLevelType w:val="hybridMultilevel"/>
    <w:tmpl w:val="B66022E2"/>
    <w:lvl w:ilvl="0" w:tplc="FEFA58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7D1AA0"/>
    <w:multiLevelType w:val="hybridMultilevel"/>
    <w:tmpl w:val="18EC76D2"/>
    <w:lvl w:ilvl="0" w:tplc="B0AC5F36">
      <w:start w:val="4"/>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0">
    <w:nsid w:val="7144154D"/>
    <w:multiLevelType w:val="hybridMultilevel"/>
    <w:tmpl w:val="D8105EC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282394F"/>
    <w:multiLevelType w:val="hybridMultilevel"/>
    <w:tmpl w:val="B90A6DCA"/>
    <w:lvl w:ilvl="0" w:tplc="7A022C44">
      <w:start w:val="1"/>
      <w:numFmt w:val="upperRoman"/>
      <w:lvlText w:val="%1."/>
      <w:lvlJc w:val="left"/>
      <w:pPr>
        <w:ind w:left="1320" w:hanging="72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3">
    <w:nsid w:val="743204EE"/>
    <w:multiLevelType w:val="hybridMultilevel"/>
    <w:tmpl w:val="6128C95A"/>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85475B5"/>
    <w:multiLevelType w:val="hybridMultilevel"/>
    <w:tmpl w:val="C8946D98"/>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732DE1"/>
    <w:multiLevelType w:val="hybridMultilevel"/>
    <w:tmpl w:val="809A16A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AB2423D"/>
    <w:multiLevelType w:val="hybridMultilevel"/>
    <w:tmpl w:val="D354D23E"/>
    <w:lvl w:ilvl="0" w:tplc="252A3006">
      <w:start w:val="1"/>
      <w:numFmt w:val="upperRoman"/>
      <w:lvlText w:val="%1."/>
      <w:lvlJc w:val="left"/>
      <w:pPr>
        <w:ind w:left="1080" w:hanging="72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num w:numId="1">
    <w:abstractNumId w:val="11"/>
  </w:num>
  <w:num w:numId="2">
    <w:abstractNumId w:val="9"/>
  </w:num>
  <w:num w:numId="3">
    <w:abstractNumId w:val="34"/>
  </w:num>
  <w:num w:numId="4">
    <w:abstractNumId w:val="33"/>
  </w:num>
  <w:num w:numId="5">
    <w:abstractNumId w:val="31"/>
  </w:num>
  <w:num w:numId="6">
    <w:abstractNumId w:val="8"/>
  </w:num>
  <w:num w:numId="7">
    <w:abstractNumId w:val="12"/>
  </w:num>
  <w:num w:numId="8">
    <w:abstractNumId w:val="25"/>
  </w:num>
  <w:num w:numId="9">
    <w:abstractNumId w:val="23"/>
  </w:num>
  <w:num w:numId="10">
    <w:abstractNumId w:val="6"/>
  </w:num>
  <w:num w:numId="11">
    <w:abstractNumId w:val="4"/>
  </w:num>
  <w:num w:numId="12">
    <w:abstractNumId w:val="15"/>
  </w:num>
  <w:num w:numId="13">
    <w:abstractNumId w:val="21"/>
  </w:num>
  <w:num w:numId="14">
    <w:abstractNumId w:val="2"/>
  </w:num>
  <w:num w:numId="15">
    <w:abstractNumId w:val="10"/>
  </w:num>
  <w:num w:numId="16">
    <w:abstractNumId w:val="7"/>
  </w:num>
  <w:num w:numId="17">
    <w:abstractNumId w:val="17"/>
  </w:num>
  <w:num w:numId="18">
    <w:abstractNumId w:val="5"/>
  </w:num>
  <w:num w:numId="19">
    <w:abstractNumId w:val="36"/>
  </w:num>
  <w:num w:numId="20">
    <w:abstractNumId w:val="27"/>
  </w:num>
  <w:num w:numId="21">
    <w:abstractNumId w:val="32"/>
  </w:num>
  <w:num w:numId="22">
    <w:abstractNumId w:val="18"/>
  </w:num>
  <w:num w:numId="23">
    <w:abstractNumId w:val="24"/>
  </w:num>
  <w:num w:numId="24">
    <w:abstractNumId w:val="22"/>
  </w:num>
  <w:num w:numId="25">
    <w:abstractNumId w:val="26"/>
  </w:num>
  <w:num w:numId="26">
    <w:abstractNumId w:val="28"/>
  </w:num>
  <w:num w:numId="27">
    <w:abstractNumId w:val="13"/>
  </w:num>
  <w:num w:numId="28">
    <w:abstractNumId w:val="29"/>
  </w:num>
  <w:num w:numId="29">
    <w:abstractNumId w:val="35"/>
  </w:num>
  <w:num w:numId="30">
    <w:abstractNumId w:val="3"/>
  </w:num>
  <w:num w:numId="31">
    <w:abstractNumId w:val="38"/>
  </w:num>
  <w:num w:numId="32">
    <w:abstractNumId w:val="16"/>
  </w:num>
  <w:num w:numId="33">
    <w:abstractNumId w:val="20"/>
  </w:num>
  <w:num w:numId="34">
    <w:abstractNumId w:val="0"/>
  </w:num>
  <w:num w:numId="35">
    <w:abstractNumId w:val="1"/>
  </w:num>
  <w:num w:numId="36">
    <w:abstractNumId w:val="37"/>
  </w:num>
  <w:num w:numId="37">
    <w:abstractNumId w:val="14"/>
  </w:num>
  <w:num w:numId="38">
    <w:abstractNumId w:val="30"/>
  </w:num>
  <w:num w:numId="39">
    <w:abstractNumId w:val="19"/>
  </w:num>
  <w:num w:numId="40">
    <w:abstractNumId w:val="20"/>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activeWritingStyle w:appName="MSWord" w:lang="es-CO"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67BD"/>
    <w:rsid w:val="00017BE1"/>
    <w:rsid w:val="00020869"/>
    <w:rsid w:val="00020A18"/>
    <w:rsid w:val="00021E5D"/>
    <w:rsid w:val="00021E8D"/>
    <w:rsid w:val="000220A1"/>
    <w:rsid w:val="000239D7"/>
    <w:rsid w:val="00023C79"/>
    <w:rsid w:val="00024227"/>
    <w:rsid w:val="0002433F"/>
    <w:rsid w:val="0002434A"/>
    <w:rsid w:val="000243F1"/>
    <w:rsid w:val="00024AE6"/>
    <w:rsid w:val="00024BA6"/>
    <w:rsid w:val="000252E9"/>
    <w:rsid w:val="00025532"/>
    <w:rsid w:val="000260E9"/>
    <w:rsid w:val="00026705"/>
    <w:rsid w:val="00026D94"/>
    <w:rsid w:val="00026F9C"/>
    <w:rsid w:val="0002747D"/>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648"/>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4592"/>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2C95"/>
    <w:rsid w:val="00083058"/>
    <w:rsid w:val="00084105"/>
    <w:rsid w:val="00084433"/>
    <w:rsid w:val="00085359"/>
    <w:rsid w:val="0008542A"/>
    <w:rsid w:val="00085C91"/>
    <w:rsid w:val="00086E2B"/>
    <w:rsid w:val="00086EAA"/>
    <w:rsid w:val="00087498"/>
    <w:rsid w:val="00087514"/>
    <w:rsid w:val="00087F38"/>
    <w:rsid w:val="00090DE6"/>
    <w:rsid w:val="00090EBA"/>
    <w:rsid w:val="00091682"/>
    <w:rsid w:val="0009456A"/>
    <w:rsid w:val="00094E67"/>
    <w:rsid w:val="0009719D"/>
    <w:rsid w:val="00097C05"/>
    <w:rsid w:val="00097EF0"/>
    <w:rsid w:val="000A015C"/>
    <w:rsid w:val="000A05A2"/>
    <w:rsid w:val="000A0D0B"/>
    <w:rsid w:val="000A1C9A"/>
    <w:rsid w:val="000A1E1F"/>
    <w:rsid w:val="000A2051"/>
    <w:rsid w:val="000A261A"/>
    <w:rsid w:val="000A351A"/>
    <w:rsid w:val="000A3A51"/>
    <w:rsid w:val="000A4EC4"/>
    <w:rsid w:val="000A515A"/>
    <w:rsid w:val="000A577A"/>
    <w:rsid w:val="000A5B28"/>
    <w:rsid w:val="000A6205"/>
    <w:rsid w:val="000A63B9"/>
    <w:rsid w:val="000A6651"/>
    <w:rsid w:val="000A6CEB"/>
    <w:rsid w:val="000A7C0E"/>
    <w:rsid w:val="000B0BF3"/>
    <w:rsid w:val="000B1236"/>
    <w:rsid w:val="000B1437"/>
    <w:rsid w:val="000B2B61"/>
    <w:rsid w:val="000B2CE3"/>
    <w:rsid w:val="000B2FE2"/>
    <w:rsid w:val="000B3FFD"/>
    <w:rsid w:val="000B4571"/>
    <w:rsid w:val="000B4E3D"/>
    <w:rsid w:val="000B5351"/>
    <w:rsid w:val="000B57CE"/>
    <w:rsid w:val="000B5A30"/>
    <w:rsid w:val="000B6982"/>
    <w:rsid w:val="000B69A8"/>
    <w:rsid w:val="000B7101"/>
    <w:rsid w:val="000B7332"/>
    <w:rsid w:val="000B7B5A"/>
    <w:rsid w:val="000C1184"/>
    <w:rsid w:val="000C11BE"/>
    <w:rsid w:val="000C16AF"/>
    <w:rsid w:val="000C1B34"/>
    <w:rsid w:val="000C3D4F"/>
    <w:rsid w:val="000C4453"/>
    <w:rsid w:val="000C485E"/>
    <w:rsid w:val="000C53E4"/>
    <w:rsid w:val="000C54A3"/>
    <w:rsid w:val="000C5528"/>
    <w:rsid w:val="000C59F1"/>
    <w:rsid w:val="000C6204"/>
    <w:rsid w:val="000C72EB"/>
    <w:rsid w:val="000C7714"/>
    <w:rsid w:val="000C7765"/>
    <w:rsid w:val="000C77C6"/>
    <w:rsid w:val="000C7C04"/>
    <w:rsid w:val="000D0395"/>
    <w:rsid w:val="000D07EC"/>
    <w:rsid w:val="000D0950"/>
    <w:rsid w:val="000D29F9"/>
    <w:rsid w:val="000D4710"/>
    <w:rsid w:val="000D4D96"/>
    <w:rsid w:val="000D5D2D"/>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F1BBF"/>
    <w:rsid w:val="000F219C"/>
    <w:rsid w:val="000F2EB3"/>
    <w:rsid w:val="000F4598"/>
    <w:rsid w:val="000F5B72"/>
    <w:rsid w:val="000F71B5"/>
    <w:rsid w:val="000F7FE2"/>
    <w:rsid w:val="001002A8"/>
    <w:rsid w:val="0010152C"/>
    <w:rsid w:val="00101832"/>
    <w:rsid w:val="00103E4C"/>
    <w:rsid w:val="00104E08"/>
    <w:rsid w:val="00106146"/>
    <w:rsid w:val="00106B32"/>
    <w:rsid w:val="00106EDD"/>
    <w:rsid w:val="00107249"/>
    <w:rsid w:val="001073CC"/>
    <w:rsid w:val="00107584"/>
    <w:rsid w:val="00107A49"/>
    <w:rsid w:val="00107BBC"/>
    <w:rsid w:val="00107FC5"/>
    <w:rsid w:val="00110202"/>
    <w:rsid w:val="00110507"/>
    <w:rsid w:val="001110FC"/>
    <w:rsid w:val="00111A41"/>
    <w:rsid w:val="00111C65"/>
    <w:rsid w:val="00111D7F"/>
    <w:rsid w:val="00112892"/>
    <w:rsid w:val="00112B9F"/>
    <w:rsid w:val="00113C54"/>
    <w:rsid w:val="00114D4B"/>
    <w:rsid w:val="00114DDF"/>
    <w:rsid w:val="001154D1"/>
    <w:rsid w:val="00115AAD"/>
    <w:rsid w:val="00116064"/>
    <w:rsid w:val="0012062D"/>
    <w:rsid w:val="00120D7C"/>
    <w:rsid w:val="00120FF3"/>
    <w:rsid w:val="001210A4"/>
    <w:rsid w:val="001219E7"/>
    <w:rsid w:val="001227CA"/>
    <w:rsid w:val="00124762"/>
    <w:rsid w:val="00124985"/>
    <w:rsid w:val="00124C77"/>
    <w:rsid w:val="00124D16"/>
    <w:rsid w:val="00126994"/>
    <w:rsid w:val="00126F04"/>
    <w:rsid w:val="00127CCA"/>
    <w:rsid w:val="00130642"/>
    <w:rsid w:val="001306E4"/>
    <w:rsid w:val="00130AA5"/>
    <w:rsid w:val="00130BA7"/>
    <w:rsid w:val="00135800"/>
    <w:rsid w:val="00135D98"/>
    <w:rsid w:val="00136083"/>
    <w:rsid w:val="001362C2"/>
    <w:rsid w:val="0013781E"/>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4DA6"/>
    <w:rsid w:val="0015502B"/>
    <w:rsid w:val="0015575F"/>
    <w:rsid w:val="00160B22"/>
    <w:rsid w:val="00160E43"/>
    <w:rsid w:val="00161160"/>
    <w:rsid w:val="00161B66"/>
    <w:rsid w:val="00161FC4"/>
    <w:rsid w:val="00162CA1"/>
    <w:rsid w:val="00163B98"/>
    <w:rsid w:val="00164BD1"/>
    <w:rsid w:val="00165138"/>
    <w:rsid w:val="001654FA"/>
    <w:rsid w:val="00166139"/>
    <w:rsid w:val="001667F0"/>
    <w:rsid w:val="00167F89"/>
    <w:rsid w:val="00167F8F"/>
    <w:rsid w:val="001701C4"/>
    <w:rsid w:val="001705A5"/>
    <w:rsid w:val="00170979"/>
    <w:rsid w:val="00170D88"/>
    <w:rsid w:val="00170E0A"/>
    <w:rsid w:val="00171D47"/>
    <w:rsid w:val="00171F21"/>
    <w:rsid w:val="00172089"/>
    <w:rsid w:val="001723BF"/>
    <w:rsid w:val="00173627"/>
    <w:rsid w:val="00174E15"/>
    <w:rsid w:val="00175060"/>
    <w:rsid w:val="0017530C"/>
    <w:rsid w:val="0017555E"/>
    <w:rsid w:val="00175974"/>
    <w:rsid w:val="00175A2B"/>
    <w:rsid w:val="00177A27"/>
    <w:rsid w:val="00177B7E"/>
    <w:rsid w:val="00181594"/>
    <w:rsid w:val="00181791"/>
    <w:rsid w:val="00182E55"/>
    <w:rsid w:val="00183275"/>
    <w:rsid w:val="00184443"/>
    <w:rsid w:val="00184BC3"/>
    <w:rsid w:val="00184FBA"/>
    <w:rsid w:val="001852E0"/>
    <w:rsid w:val="0018689B"/>
    <w:rsid w:val="00186B63"/>
    <w:rsid w:val="00186C88"/>
    <w:rsid w:val="001871B2"/>
    <w:rsid w:val="00190A74"/>
    <w:rsid w:val="00190BB9"/>
    <w:rsid w:val="001911CC"/>
    <w:rsid w:val="001919B7"/>
    <w:rsid w:val="00191ACE"/>
    <w:rsid w:val="00191DDF"/>
    <w:rsid w:val="00193909"/>
    <w:rsid w:val="00196141"/>
    <w:rsid w:val="00196EF5"/>
    <w:rsid w:val="00197DA4"/>
    <w:rsid w:val="001A0542"/>
    <w:rsid w:val="001A0598"/>
    <w:rsid w:val="001A05BA"/>
    <w:rsid w:val="001A0F86"/>
    <w:rsid w:val="001A1810"/>
    <w:rsid w:val="001A2131"/>
    <w:rsid w:val="001A25D5"/>
    <w:rsid w:val="001A29C5"/>
    <w:rsid w:val="001A2A37"/>
    <w:rsid w:val="001A2FF3"/>
    <w:rsid w:val="001A373A"/>
    <w:rsid w:val="001A466C"/>
    <w:rsid w:val="001A4E38"/>
    <w:rsid w:val="001A4F68"/>
    <w:rsid w:val="001A78F5"/>
    <w:rsid w:val="001A7913"/>
    <w:rsid w:val="001A7DE2"/>
    <w:rsid w:val="001B0C32"/>
    <w:rsid w:val="001B2379"/>
    <w:rsid w:val="001B3256"/>
    <w:rsid w:val="001B3C02"/>
    <w:rsid w:val="001B5099"/>
    <w:rsid w:val="001B6BDC"/>
    <w:rsid w:val="001B6E23"/>
    <w:rsid w:val="001B6EF0"/>
    <w:rsid w:val="001B7B33"/>
    <w:rsid w:val="001C085B"/>
    <w:rsid w:val="001C0C3F"/>
    <w:rsid w:val="001C1B7A"/>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41FB"/>
    <w:rsid w:val="001F465A"/>
    <w:rsid w:val="001F4E10"/>
    <w:rsid w:val="001F501F"/>
    <w:rsid w:val="001F5AFD"/>
    <w:rsid w:val="001F5FEF"/>
    <w:rsid w:val="001F6D50"/>
    <w:rsid w:val="0020054B"/>
    <w:rsid w:val="00201271"/>
    <w:rsid w:val="002018C2"/>
    <w:rsid w:val="00201E21"/>
    <w:rsid w:val="00201FA9"/>
    <w:rsid w:val="00203E4E"/>
    <w:rsid w:val="00204C2A"/>
    <w:rsid w:val="00205361"/>
    <w:rsid w:val="00205ADF"/>
    <w:rsid w:val="002066DF"/>
    <w:rsid w:val="00206C34"/>
    <w:rsid w:val="002070E6"/>
    <w:rsid w:val="00212FE4"/>
    <w:rsid w:val="00213228"/>
    <w:rsid w:val="0021442C"/>
    <w:rsid w:val="00214F0A"/>
    <w:rsid w:val="002155B0"/>
    <w:rsid w:val="002158CB"/>
    <w:rsid w:val="00215922"/>
    <w:rsid w:val="00220958"/>
    <w:rsid w:val="00221545"/>
    <w:rsid w:val="00221D2C"/>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DEF"/>
    <w:rsid w:val="00235FB4"/>
    <w:rsid w:val="00236540"/>
    <w:rsid w:val="00236E44"/>
    <w:rsid w:val="00237998"/>
    <w:rsid w:val="00241217"/>
    <w:rsid w:val="00241AD4"/>
    <w:rsid w:val="002423FE"/>
    <w:rsid w:val="00242C4A"/>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B57"/>
    <w:rsid w:val="00271FC2"/>
    <w:rsid w:val="00273204"/>
    <w:rsid w:val="00275423"/>
    <w:rsid w:val="00275AD6"/>
    <w:rsid w:val="00276D8F"/>
    <w:rsid w:val="00276F2E"/>
    <w:rsid w:val="0027702B"/>
    <w:rsid w:val="00277F70"/>
    <w:rsid w:val="002817BA"/>
    <w:rsid w:val="00281EF2"/>
    <w:rsid w:val="00282135"/>
    <w:rsid w:val="00283308"/>
    <w:rsid w:val="00284224"/>
    <w:rsid w:val="00285306"/>
    <w:rsid w:val="002856DC"/>
    <w:rsid w:val="0028632C"/>
    <w:rsid w:val="002864D4"/>
    <w:rsid w:val="0028674A"/>
    <w:rsid w:val="00286C23"/>
    <w:rsid w:val="00286DC8"/>
    <w:rsid w:val="00290C42"/>
    <w:rsid w:val="00291435"/>
    <w:rsid w:val="00291A1A"/>
    <w:rsid w:val="00292786"/>
    <w:rsid w:val="00293048"/>
    <w:rsid w:val="002937C6"/>
    <w:rsid w:val="00293DE5"/>
    <w:rsid w:val="00293E07"/>
    <w:rsid w:val="00295078"/>
    <w:rsid w:val="00295960"/>
    <w:rsid w:val="00295C72"/>
    <w:rsid w:val="00295D44"/>
    <w:rsid w:val="00295DE7"/>
    <w:rsid w:val="0029670A"/>
    <w:rsid w:val="0029745A"/>
    <w:rsid w:val="00297AB0"/>
    <w:rsid w:val="00297ABF"/>
    <w:rsid w:val="00297C62"/>
    <w:rsid w:val="002A0448"/>
    <w:rsid w:val="002A28FE"/>
    <w:rsid w:val="002A2F95"/>
    <w:rsid w:val="002A3A7A"/>
    <w:rsid w:val="002A43B0"/>
    <w:rsid w:val="002A5EA5"/>
    <w:rsid w:val="002A6A41"/>
    <w:rsid w:val="002A6CC7"/>
    <w:rsid w:val="002A75D4"/>
    <w:rsid w:val="002B0A1D"/>
    <w:rsid w:val="002B0EF8"/>
    <w:rsid w:val="002B1708"/>
    <w:rsid w:val="002B1960"/>
    <w:rsid w:val="002B2467"/>
    <w:rsid w:val="002B27E7"/>
    <w:rsid w:val="002B2B24"/>
    <w:rsid w:val="002B393B"/>
    <w:rsid w:val="002B3E09"/>
    <w:rsid w:val="002B45EF"/>
    <w:rsid w:val="002B45F2"/>
    <w:rsid w:val="002B4646"/>
    <w:rsid w:val="002B4950"/>
    <w:rsid w:val="002B62AF"/>
    <w:rsid w:val="002B7622"/>
    <w:rsid w:val="002B7A0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6D5"/>
    <w:rsid w:val="002F1ABA"/>
    <w:rsid w:val="002F1C4D"/>
    <w:rsid w:val="002F2653"/>
    <w:rsid w:val="002F2FB4"/>
    <w:rsid w:val="002F3910"/>
    <w:rsid w:val="002F3A84"/>
    <w:rsid w:val="002F411A"/>
    <w:rsid w:val="002F54A4"/>
    <w:rsid w:val="002F5A90"/>
    <w:rsid w:val="002F6977"/>
    <w:rsid w:val="002F700E"/>
    <w:rsid w:val="002F750C"/>
    <w:rsid w:val="002F772C"/>
    <w:rsid w:val="002F78E8"/>
    <w:rsid w:val="003002F7"/>
    <w:rsid w:val="00301F63"/>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023"/>
    <w:rsid w:val="0031395E"/>
    <w:rsid w:val="00313AFB"/>
    <w:rsid w:val="00314023"/>
    <w:rsid w:val="00314587"/>
    <w:rsid w:val="003156AE"/>
    <w:rsid w:val="00315780"/>
    <w:rsid w:val="00315891"/>
    <w:rsid w:val="00316240"/>
    <w:rsid w:val="0031687C"/>
    <w:rsid w:val="00320B63"/>
    <w:rsid w:val="0032180D"/>
    <w:rsid w:val="00321D72"/>
    <w:rsid w:val="003227E4"/>
    <w:rsid w:val="00322AE2"/>
    <w:rsid w:val="003231A8"/>
    <w:rsid w:val="00323623"/>
    <w:rsid w:val="00323995"/>
    <w:rsid w:val="00323CFF"/>
    <w:rsid w:val="00324F98"/>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1E7"/>
    <w:rsid w:val="00342AE7"/>
    <w:rsid w:val="00343A82"/>
    <w:rsid w:val="00345CBD"/>
    <w:rsid w:val="00345D3E"/>
    <w:rsid w:val="00346090"/>
    <w:rsid w:val="00347274"/>
    <w:rsid w:val="0034736C"/>
    <w:rsid w:val="00347F1F"/>
    <w:rsid w:val="00351CB7"/>
    <w:rsid w:val="003523DE"/>
    <w:rsid w:val="00352703"/>
    <w:rsid w:val="00352FCD"/>
    <w:rsid w:val="003537DE"/>
    <w:rsid w:val="00353940"/>
    <w:rsid w:val="003541CA"/>
    <w:rsid w:val="003543B2"/>
    <w:rsid w:val="00354B10"/>
    <w:rsid w:val="003555AA"/>
    <w:rsid w:val="003557C1"/>
    <w:rsid w:val="00355B75"/>
    <w:rsid w:val="00356202"/>
    <w:rsid w:val="0035716F"/>
    <w:rsid w:val="003579BC"/>
    <w:rsid w:val="0036086E"/>
    <w:rsid w:val="00360A55"/>
    <w:rsid w:val="00361B13"/>
    <w:rsid w:val="003629AE"/>
    <w:rsid w:val="00363278"/>
    <w:rsid w:val="003633DD"/>
    <w:rsid w:val="003655C3"/>
    <w:rsid w:val="00365EAA"/>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930ED"/>
    <w:rsid w:val="003A0689"/>
    <w:rsid w:val="003A0C73"/>
    <w:rsid w:val="003A11DD"/>
    <w:rsid w:val="003A19EE"/>
    <w:rsid w:val="003A2B96"/>
    <w:rsid w:val="003A3683"/>
    <w:rsid w:val="003A5891"/>
    <w:rsid w:val="003A5A6E"/>
    <w:rsid w:val="003A5E0F"/>
    <w:rsid w:val="003A6186"/>
    <w:rsid w:val="003A6534"/>
    <w:rsid w:val="003A78A7"/>
    <w:rsid w:val="003A7A6D"/>
    <w:rsid w:val="003A7E31"/>
    <w:rsid w:val="003A7F01"/>
    <w:rsid w:val="003B5CA9"/>
    <w:rsid w:val="003B62A2"/>
    <w:rsid w:val="003B6A7C"/>
    <w:rsid w:val="003B72E9"/>
    <w:rsid w:val="003C375A"/>
    <w:rsid w:val="003C4A72"/>
    <w:rsid w:val="003C4A79"/>
    <w:rsid w:val="003C4C4B"/>
    <w:rsid w:val="003C5222"/>
    <w:rsid w:val="003C5460"/>
    <w:rsid w:val="003C55F5"/>
    <w:rsid w:val="003C5A54"/>
    <w:rsid w:val="003C5B34"/>
    <w:rsid w:val="003C5BCA"/>
    <w:rsid w:val="003C6149"/>
    <w:rsid w:val="003C689A"/>
    <w:rsid w:val="003C741C"/>
    <w:rsid w:val="003D0889"/>
    <w:rsid w:val="003D1883"/>
    <w:rsid w:val="003D18A4"/>
    <w:rsid w:val="003D1DF9"/>
    <w:rsid w:val="003D1E19"/>
    <w:rsid w:val="003D1ED1"/>
    <w:rsid w:val="003D2138"/>
    <w:rsid w:val="003D25A4"/>
    <w:rsid w:val="003D30A5"/>
    <w:rsid w:val="003D489B"/>
    <w:rsid w:val="003D48A3"/>
    <w:rsid w:val="003D5101"/>
    <w:rsid w:val="003D548E"/>
    <w:rsid w:val="003D61B0"/>
    <w:rsid w:val="003E0A67"/>
    <w:rsid w:val="003E0BFB"/>
    <w:rsid w:val="003E132A"/>
    <w:rsid w:val="003E1576"/>
    <w:rsid w:val="003E2BBF"/>
    <w:rsid w:val="003E504E"/>
    <w:rsid w:val="003E5DB7"/>
    <w:rsid w:val="003E5F18"/>
    <w:rsid w:val="003E6A2E"/>
    <w:rsid w:val="003E6D0E"/>
    <w:rsid w:val="003F09F0"/>
    <w:rsid w:val="003F0CD4"/>
    <w:rsid w:val="003F13CB"/>
    <w:rsid w:val="003F2BA9"/>
    <w:rsid w:val="003F3041"/>
    <w:rsid w:val="003F3A6C"/>
    <w:rsid w:val="003F52C2"/>
    <w:rsid w:val="003F5411"/>
    <w:rsid w:val="003F58C3"/>
    <w:rsid w:val="003F5CBA"/>
    <w:rsid w:val="003F61FF"/>
    <w:rsid w:val="003F6A1E"/>
    <w:rsid w:val="003F733C"/>
    <w:rsid w:val="003F7346"/>
    <w:rsid w:val="0040233B"/>
    <w:rsid w:val="00402A30"/>
    <w:rsid w:val="004030E3"/>
    <w:rsid w:val="00403FAA"/>
    <w:rsid w:val="00404666"/>
    <w:rsid w:val="004053FB"/>
    <w:rsid w:val="004058AB"/>
    <w:rsid w:val="00405A99"/>
    <w:rsid w:val="0040710A"/>
    <w:rsid w:val="00410650"/>
    <w:rsid w:val="004106C1"/>
    <w:rsid w:val="004126F7"/>
    <w:rsid w:val="00413FC2"/>
    <w:rsid w:val="004140B9"/>
    <w:rsid w:val="00414AE6"/>
    <w:rsid w:val="00414EE8"/>
    <w:rsid w:val="00416CFB"/>
    <w:rsid w:val="00417006"/>
    <w:rsid w:val="00417703"/>
    <w:rsid w:val="0042006D"/>
    <w:rsid w:val="0042021B"/>
    <w:rsid w:val="00422DF8"/>
    <w:rsid w:val="00422FA0"/>
    <w:rsid w:val="0042327C"/>
    <w:rsid w:val="004235DA"/>
    <w:rsid w:val="00423786"/>
    <w:rsid w:val="00423D1D"/>
    <w:rsid w:val="00424241"/>
    <w:rsid w:val="00425620"/>
    <w:rsid w:val="00425AD4"/>
    <w:rsid w:val="004305D2"/>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306"/>
    <w:rsid w:val="004436A9"/>
    <w:rsid w:val="004436ED"/>
    <w:rsid w:val="00443FE0"/>
    <w:rsid w:val="004440AC"/>
    <w:rsid w:val="004443A2"/>
    <w:rsid w:val="00444919"/>
    <w:rsid w:val="00445454"/>
    <w:rsid w:val="0044547C"/>
    <w:rsid w:val="00446BB3"/>
    <w:rsid w:val="00446C36"/>
    <w:rsid w:val="004471D2"/>
    <w:rsid w:val="00450869"/>
    <w:rsid w:val="00450F57"/>
    <w:rsid w:val="00451E4C"/>
    <w:rsid w:val="00451F5B"/>
    <w:rsid w:val="00452AF2"/>
    <w:rsid w:val="00453028"/>
    <w:rsid w:val="00453918"/>
    <w:rsid w:val="004553D4"/>
    <w:rsid w:val="004556FD"/>
    <w:rsid w:val="00455768"/>
    <w:rsid w:val="00456E2C"/>
    <w:rsid w:val="00457077"/>
    <w:rsid w:val="00457FC7"/>
    <w:rsid w:val="00461796"/>
    <w:rsid w:val="00461A0A"/>
    <w:rsid w:val="00461B3D"/>
    <w:rsid w:val="00462197"/>
    <w:rsid w:val="00462417"/>
    <w:rsid w:val="004645F5"/>
    <w:rsid w:val="00464624"/>
    <w:rsid w:val="00464EB1"/>
    <w:rsid w:val="00465E62"/>
    <w:rsid w:val="00466564"/>
    <w:rsid w:val="00467700"/>
    <w:rsid w:val="004677F9"/>
    <w:rsid w:val="00467874"/>
    <w:rsid w:val="004716B0"/>
    <w:rsid w:val="004716C4"/>
    <w:rsid w:val="004723A9"/>
    <w:rsid w:val="00472460"/>
    <w:rsid w:val="00473370"/>
    <w:rsid w:val="004754E1"/>
    <w:rsid w:val="004763B5"/>
    <w:rsid w:val="00476A24"/>
    <w:rsid w:val="00476F5F"/>
    <w:rsid w:val="0047775E"/>
    <w:rsid w:val="00481ABD"/>
    <w:rsid w:val="00482683"/>
    <w:rsid w:val="00482731"/>
    <w:rsid w:val="0048286C"/>
    <w:rsid w:val="00483A0F"/>
    <w:rsid w:val="00484625"/>
    <w:rsid w:val="00484B7E"/>
    <w:rsid w:val="004855F9"/>
    <w:rsid w:val="0048589D"/>
    <w:rsid w:val="00485992"/>
    <w:rsid w:val="00487218"/>
    <w:rsid w:val="004879E2"/>
    <w:rsid w:val="00487F15"/>
    <w:rsid w:val="0049105B"/>
    <w:rsid w:val="004912A0"/>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6DF1"/>
    <w:rsid w:val="004C6E58"/>
    <w:rsid w:val="004C7629"/>
    <w:rsid w:val="004C7701"/>
    <w:rsid w:val="004C7EF2"/>
    <w:rsid w:val="004D088F"/>
    <w:rsid w:val="004D0A26"/>
    <w:rsid w:val="004D0EE4"/>
    <w:rsid w:val="004D30E1"/>
    <w:rsid w:val="004D35FC"/>
    <w:rsid w:val="004D3A15"/>
    <w:rsid w:val="004D482C"/>
    <w:rsid w:val="004D5AC0"/>
    <w:rsid w:val="004D5FEF"/>
    <w:rsid w:val="004D764F"/>
    <w:rsid w:val="004D7D33"/>
    <w:rsid w:val="004E1EBF"/>
    <w:rsid w:val="004E27AD"/>
    <w:rsid w:val="004E37B6"/>
    <w:rsid w:val="004E3AFD"/>
    <w:rsid w:val="004E44D0"/>
    <w:rsid w:val="004E4987"/>
    <w:rsid w:val="004E52D1"/>
    <w:rsid w:val="004E585B"/>
    <w:rsid w:val="004F227C"/>
    <w:rsid w:val="004F2CC0"/>
    <w:rsid w:val="004F3B64"/>
    <w:rsid w:val="004F4E3A"/>
    <w:rsid w:val="004F5243"/>
    <w:rsid w:val="004F64AD"/>
    <w:rsid w:val="004F759E"/>
    <w:rsid w:val="004F7AC2"/>
    <w:rsid w:val="00501721"/>
    <w:rsid w:val="00503053"/>
    <w:rsid w:val="00503E5E"/>
    <w:rsid w:val="00504274"/>
    <w:rsid w:val="0050583D"/>
    <w:rsid w:val="00505B26"/>
    <w:rsid w:val="0050606E"/>
    <w:rsid w:val="00506258"/>
    <w:rsid w:val="00507449"/>
    <w:rsid w:val="005079B9"/>
    <w:rsid w:val="00507B3C"/>
    <w:rsid w:val="00510866"/>
    <w:rsid w:val="00511092"/>
    <w:rsid w:val="00511602"/>
    <w:rsid w:val="005119CD"/>
    <w:rsid w:val="00513EAE"/>
    <w:rsid w:val="005164B6"/>
    <w:rsid w:val="00516E6A"/>
    <w:rsid w:val="00517053"/>
    <w:rsid w:val="005171DE"/>
    <w:rsid w:val="005206C8"/>
    <w:rsid w:val="005218EA"/>
    <w:rsid w:val="00521EE1"/>
    <w:rsid w:val="00522FA4"/>
    <w:rsid w:val="00523390"/>
    <w:rsid w:val="00523435"/>
    <w:rsid w:val="0052414D"/>
    <w:rsid w:val="00525A5B"/>
    <w:rsid w:val="0052638D"/>
    <w:rsid w:val="0053002A"/>
    <w:rsid w:val="0053153A"/>
    <w:rsid w:val="00531811"/>
    <w:rsid w:val="00531ABD"/>
    <w:rsid w:val="00535560"/>
    <w:rsid w:val="005356D8"/>
    <w:rsid w:val="00537427"/>
    <w:rsid w:val="00541397"/>
    <w:rsid w:val="005413A9"/>
    <w:rsid w:val="00541C7E"/>
    <w:rsid w:val="00542386"/>
    <w:rsid w:val="00542D8A"/>
    <w:rsid w:val="00543427"/>
    <w:rsid w:val="00543BF9"/>
    <w:rsid w:val="00544117"/>
    <w:rsid w:val="00544E0A"/>
    <w:rsid w:val="00550CA5"/>
    <w:rsid w:val="00551BA4"/>
    <w:rsid w:val="00552D59"/>
    <w:rsid w:val="00553835"/>
    <w:rsid w:val="005553D7"/>
    <w:rsid w:val="00555595"/>
    <w:rsid w:val="005556E4"/>
    <w:rsid w:val="0055597D"/>
    <w:rsid w:val="00557314"/>
    <w:rsid w:val="005603D9"/>
    <w:rsid w:val="0056136A"/>
    <w:rsid w:val="00561A82"/>
    <w:rsid w:val="00561B6E"/>
    <w:rsid w:val="005624EC"/>
    <w:rsid w:val="00562ACE"/>
    <w:rsid w:val="0056316F"/>
    <w:rsid w:val="00564598"/>
    <w:rsid w:val="00564711"/>
    <w:rsid w:val="00565483"/>
    <w:rsid w:val="0056588E"/>
    <w:rsid w:val="0057098B"/>
    <w:rsid w:val="00571391"/>
    <w:rsid w:val="005726F4"/>
    <w:rsid w:val="00572DA9"/>
    <w:rsid w:val="00573949"/>
    <w:rsid w:val="00573ECF"/>
    <w:rsid w:val="00574A4F"/>
    <w:rsid w:val="00576A50"/>
    <w:rsid w:val="005771B8"/>
    <w:rsid w:val="00577287"/>
    <w:rsid w:val="00577553"/>
    <w:rsid w:val="005777E0"/>
    <w:rsid w:val="00581562"/>
    <w:rsid w:val="0058269D"/>
    <w:rsid w:val="00583795"/>
    <w:rsid w:val="00583AE7"/>
    <w:rsid w:val="0058439D"/>
    <w:rsid w:val="00585149"/>
    <w:rsid w:val="00585C24"/>
    <w:rsid w:val="00585F8F"/>
    <w:rsid w:val="0058743A"/>
    <w:rsid w:val="005875A9"/>
    <w:rsid w:val="00590D33"/>
    <w:rsid w:val="005921E5"/>
    <w:rsid w:val="00592755"/>
    <w:rsid w:val="00593401"/>
    <w:rsid w:val="00593DB7"/>
    <w:rsid w:val="00594366"/>
    <w:rsid w:val="00594BC5"/>
    <w:rsid w:val="005954A5"/>
    <w:rsid w:val="005954E9"/>
    <w:rsid w:val="005A0040"/>
    <w:rsid w:val="005A0AF9"/>
    <w:rsid w:val="005A119B"/>
    <w:rsid w:val="005A1564"/>
    <w:rsid w:val="005A2252"/>
    <w:rsid w:val="005A232E"/>
    <w:rsid w:val="005A2689"/>
    <w:rsid w:val="005A3328"/>
    <w:rsid w:val="005A52D3"/>
    <w:rsid w:val="005A6845"/>
    <w:rsid w:val="005A7138"/>
    <w:rsid w:val="005A7C3F"/>
    <w:rsid w:val="005B00B6"/>
    <w:rsid w:val="005B087C"/>
    <w:rsid w:val="005B089A"/>
    <w:rsid w:val="005B112F"/>
    <w:rsid w:val="005B1FED"/>
    <w:rsid w:val="005B2F33"/>
    <w:rsid w:val="005B334D"/>
    <w:rsid w:val="005B3671"/>
    <w:rsid w:val="005B3B62"/>
    <w:rsid w:val="005B3D93"/>
    <w:rsid w:val="005B52FE"/>
    <w:rsid w:val="005B6938"/>
    <w:rsid w:val="005B6F32"/>
    <w:rsid w:val="005B7350"/>
    <w:rsid w:val="005C0E6F"/>
    <w:rsid w:val="005C1AA4"/>
    <w:rsid w:val="005C222C"/>
    <w:rsid w:val="005C299A"/>
    <w:rsid w:val="005C3943"/>
    <w:rsid w:val="005C3D2C"/>
    <w:rsid w:val="005C404B"/>
    <w:rsid w:val="005C4DFA"/>
    <w:rsid w:val="005C50CB"/>
    <w:rsid w:val="005C5799"/>
    <w:rsid w:val="005C5929"/>
    <w:rsid w:val="005C6B17"/>
    <w:rsid w:val="005D19E4"/>
    <w:rsid w:val="005D1DF5"/>
    <w:rsid w:val="005D45A0"/>
    <w:rsid w:val="005D6415"/>
    <w:rsid w:val="005D6831"/>
    <w:rsid w:val="005D7248"/>
    <w:rsid w:val="005D77BD"/>
    <w:rsid w:val="005D7B7C"/>
    <w:rsid w:val="005E0300"/>
    <w:rsid w:val="005E0424"/>
    <w:rsid w:val="005E1009"/>
    <w:rsid w:val="005E10E6"/>
    <w:rsid w:val="005E15A3"/>
    <w:rsid w:val="005E3346"/>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01F"/>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073"/>
    <w:rsid w:val="00622C25"/>
    <w:rsid w:val="00623DDC"/>
    <w:rsid w:val="00623EA3"/>
    <w:rsid w:val="00624BDB"/>
    <w:rsid w:val="00625AFD"/>
    <w:rsid w:val="00625E1B"/>
    <w:rsid w:val="006274A1"/>
    <w:rsid w:val="00627B5D"/>
    <w:rsid w:val="00627B60"/>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2DC5"/>
    <w:rsid w:val="00643D6C"/>
    <w:rsid w:val="006443ED"/>
    <w:rsid w:val="006445D2"/>
    <w:rsid w:val="00645887"/>
    <w:rsid w:val="0064661F"/>
    <w:rsid w:val="00647094"/>
    <w:rsid w:val="006505D9"/>
    <w:rsid w:val="00650880"/>
    <w:rsid w:val="00653030"/>
    <w:rsid w:val="0065578F"/>
    <w:rsid w:val="00655B83"/>
    <w:rsid w:val="00655F33"/>
    <w:rsid w:val="00656241"/>
    <w:rsid w:val="00656AB0"/>
    <w:rsid w:val="00656C59"/>
    <w:rsid w:val="006578C2"/>
    <w:rsid w:val="00661AC2"/>
    <w:rsid w:val="00661B36"/>
    <w:rsid w:val="00663207"/>
    <w:rsid w:val="00663F26"/>
    <w:rsid w:val="00666655"/>
    <w:rsid w:val="00666C54"/>
    <w:rsid w:val="00667C8B"/>
    <w:rsid w:val="00667D3E"/>
    <w:rsid w:val="00670657"/>
    <w:rsid w:val="006742F8"/>
    <w:rsid w:val="006747B5"/>
    <w:rsid w:val="00675974"/>
    <w:rsid w:val="00676566"/>
    <w:rsid w:val="006803E8"/>
    <w:rsid w:val="006804B2"/>
    <w:rsid w:val="00681481"/>
    <w:rsid w:val="00682656"/>
    <w:rsid w:val="00683617"/>
    <w:rsid w:val="00683EAC"/>
    <w:rsid w:val="00684313"/>
    <w:rsid w:val="006846B0"/>
    <w:rsid w:val="00684EF6"/>
    <w:rsid w:val="00686279"/>
    <w:rsid w:val="00686A8A"/>
    <w:rsid w:val="006870C8"/>
    <w:rsid w:val="006871B3"/>
    <w:rsid w:val="006878A4"/>
    <w:rsid w:val="00690415"/>
    <w:rsid w:val="0069305F"/>
    <w:rsid w:val="006937F3"/>
    <w:rsid w:val="00694CB5"/>
    <w:rsid w:val="006954F2"/>
    <w:rsid w:val="006957B8"/>
    <w:rsid w:val="00697E9E"/>
    <w:rsid w:val="006A03CD"/>
    <w:rsid w:val="006A06FE"/>
    <w:rsid w:val="006A28EE"/>
    <w:rsid w:val="006A3AA6"/>
    <w:rsid w:val="006A3BCF"/>
    <w:rsid w:val="006A42D4"/>
    <w:rsid w:val="006A48CE"/>
    <w:rsid w:val="006A4E98"/>
    <w:rsid w:val="006A737B"/>
    <w:rsid w:val="006A77F3"/>
    <w:rsid w:val="006A7829"/>
    <w:rsid w:val="006A7D53"/>
    <w:rsid w:val="006B0405"/>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C"/>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C23"/>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112A9"/>
    <w:rsid w:val="0071133D"/>
    <w:rsid w:val="00711B09"/>
    <w:rsid w:val="00711C22"/>
    <w:rsid w:val="00711D4D"/>
    <w:rsid w:val="00711DD6"/>
    <w:rsid w:val="00711E97"/>
    <w:rsid w:val="00712516"/>
    <w:rsid w:val="00713A6B"/>
    <w:rsid w:val="0071427E"/>
    <w:rsid w:val="0071646D"/>
    <w:rsid w:val="00716CE1"/>
    <w:rsid w:val="0072562F"/>
    <w:rsid w:val="00725913"/>
    <w:rsid w:val="0072655F"/>
    <w:rsid w:val="00726DD1"/>
    <w:rsid w:val="00726FA5"/>
    <w:rsid w:val="00727081"/>
    <w:rsid w:val="00727F24"/>
    <w:rsid w:val="0073002B"/>
    <w:rsid w:val="007300F7"/>
    <w:rsid w:val="00730313"/>
    <w:rsid w:val="00730BC4"/>
    <w:rsid w:val="00731D9B"/>
    <w:rsid w:val="00731DAB"/>
    <w:rsid w:val="00731F23"/>
    <w:rsid w:val="00732AE5"/>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3D5"/>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2E51"/>
    <w:rsid w:val="00764B6A"/>
    <w:rsid w:val="007652F2"/>
    <w:rsid w:val="00766B6B"/>
    <w:rsid w:val="00766D4A"/>
    <w:rsid w:val="00766D7A"/>
    <w:rsid w:val="00767857"/>
    <w:rsid w:val="00767912"/>
    <w:rsid w:val="00770E29"/>
    <w:rsid w:val="0077107A"/>
    <w:rsid w:val="007710A6"/>
    <w:rsid w:val="007714A8"/>
    <w:rsid w:val="00771B98"/>
    <w:rsid w:val="00771BF2"/>
    <w:rsid w:val="00771F5E"/>
    <w:rsid w:val="0077203A"/>
    <w:rsid w:val="0077266E"/>
    <w:rsid w:val="00773601"/>
    <w:rsid w:val="007738D8"/>
    <w:rsid w:val="007738EC"/>
    <w:rsid w:val="00773EA1"/>
    <w:rsid w:val="007753ED"/>
    <w:rsid w:val="00775CB2"/>
    <w:rsid w:val="0077600B"/>
    <w:rsid w:val="0077689F"/>
    <w:rsid w:val="0078030F"/>
    <w:rsid w:val="00780906"/>
    <w:rsid w:val="00780D17"/>
    <w:rsid w:val="00782370"/>
    <w:rsid w:val="00782DD9"/>
    <w:rsid w:val="007830E3"/>
    <w:rsid w:val="00787DB5"/>
    <w:rsid w:val="007925FB"/>
    <w:rsid w:val="0079298A"/>
    <w:rsid w:val="00793368"/>
    <w:rsid w:val="0079361A"/>
    <w:rsid w:val="00793A7B"/>
    <w:rsid w:val="00794261"/>
    <w:rsid w:val="00794305"/>
    <w:rsid w:val="00794323"/>
    <w:rsid w:val="007966AC"/>
    <w:rsid w:val="007A02EB"/>
    <w:rsid w:val="007A0327"/>
    <w:rsid w:val="007A11F1"/>
    <w:rsid w:val="007A1A5F"/>
    <w:rsid w:val="007A2132"/>
    <w:rsid w:val="007A32BE"/>
    <w:rsid w:val="007A33E2"/>
    <w:rsid w:val="007A35F6"/>
    <w:rsid w:val="007A4E83"/>
    <w:rsid w:val="007A5F1A"/>
    <w:rsid w:val="007A7693"/>
    <w:rsid w:val="007B0AA4"/>
    <w:rsid w:val="007B15EA"/>
    <w:rsid w:val="007B33CC"/>
    <w:rsid w:val="007B3C1E"/>
    <w:rsid w:val="007B5B76"/>
    <w:rsid w:val="007B6CA0"/>
    <w:rsid w:val="007B70B3"/>
    <w:rsid w:val="007B7166"/>
    <w:rsid w:val="007B755C"/>
    <w:rsid w:val="007B78B1"/>
    <w:rsid w:val="007C025F"/>
    <w:rsid w:val="007C09AA"/>
    <w:rsid w:val="007C0AFD"/>
    <w:rsid w:val="007C20AF"/>
    <w:rsid w:val="007C37F3"/>
    <w:rsid w:val="007C3D29"/>
    <w:rsid w:val="007C3E67"/>
    <w:rsid w:val="007C46DC"/>
    <w:rsid w:val="007C4965"/>
    <w:rsid w:val="007C52B5"/>
    <w:rsid w:val="007C567D"/>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AF8"/>
    <w:rsid w:val="007D7BC8"/>
    <w:rsid w:val="007E07A7"/>
    <w:rsid w:val="007E16B7"/>
    <w:rsid w:val="007E24F8"/>
    <w:rsid w:val="007E2BC3"/>
    <w:rsid w:val="007E2D8C"/>
    <w:rsid w:val="007E3963"/>
    <w:rsid w:val="007E5CB2"/>
    <w:rsid w:val="007E64E0"/>
    <w:rsid w:val="007E6A21"/>
    <w:rsid w:val="007F0999"/>
    <w:rsid w:val="007F18A3"/>
    <w:rsid w:val="007F18DF"/>
    <w:rsid w:val="007F36DE"/>
    <w:rsid w:val="007F4425"/>
    <w:rsid w:val="007F4FC6"/>
    <w:rsid w:val="007F528B"/>
    <w:rsid w:val="007F53E3"/>
    <w:rsid w:val="007F5901"/>
    <w:rsid w:val="007F5936"/>
    <w:rsid w:val="007F5E7A"/>
    <w:rsid w:val="007F60E9"/>
    <w:rsid w:val="007F61DA"/>
    <w:rsid w:val="007F62D5"/>
    <w:rsid w:val="007F6B8E"/>
    <w:rsid w:val="007F6BF7"/>
    <w:rsid w:val="007F7203"/>
    <w:rsid w:val="007F7B11"/>
    <w:rsid w:val="007F7CB2"/>
    <w:rsid w:val="00800061"/>
    <w:rsid w:val="00800475"/>
    <w:rsid w:val="00800DDC"/>
    <w:rsid w:val="0080152B"/>
    <w:rsid w:val="00801983"/>
    <w:rsid w:val="00801D34"/>
    <w:rsid w:val="008026F6"/>
    <w:rsid w:val="00803D2B"/>
    <w:rsid w:val="00804137"/>
    <w:rsid w:val="00805A48"/>
    <w:rsid w:val="008063E2"/>
    <w:rsid w:val="00806A83"/>
    <w:rsid w:val="00807009"/>
    <w:rsid w:val="00807739"/>
    <w:rsid w:val="0080791A"/>
    <w:rsid w:val="008100C2"/>
    <w:rsid w:val="00810A48"/>
    <w:rsid w:val="00811637"/>
    <w:rsid w:val="00813533"/>
    <w:rsid w:val="00814930"/>
    <w:rsid w:val="008150C8"/>
    <w:rsid w:val="00815752"/>
    <w:rsid w:val="00816985"/>
    <w:rsid w:val="00816C3B"/>
    <w:rsid w:val="00817AAB"/>
    <w:rsid w:val="008207CA"/>
    <w:rsid w:val="008223A5"/>
    <w:rsid w:val="008228A2"/>
    <w:rsid w:val="008235DE"/>
    <w:rsid w:val="0082373E"/>
    <w:rsid w:val="008246C9"/>
    <w:rsid w:val="008254D3"/>
    <w:rsid w:val="00825CA4"/>
    <w:rsid w:val="00826018"/>
    <w:rsid w:val="008266BC"/>
    <w:rsid w:val="008308C3"/>
    <w:rsid w:val="0083265B"/>
    <w:rsid w:val="0083296F"/>
    <w:rsid w:val="00832DF8"/>
    <w:rsid w:val="008331EF"/>
    <w:rsid w:val="00833271"/>
    <w:rsid w:val="00833584"/>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7F2"/>
    <w:rsid w:val="00843AB9"/>
    <w:rsid w:val="00843BC1"/>
    <w:rsid w:val="00843C46"/>
    <w:rsid w:val="008442E6"/>
    <w:rsid w:val="00844F92"/>
    <w:rsid w:val="00845A90"/>
    <w:rsid w:val="00846339"/>
    <w:rsid w:val="00846E76"/>
    <w:rsid w:val="00850422"/>
    <w:rsid w:val="00850491"/>
    <w:rsid w:val="00851F8C"/>
    <w:rsid w:val="00852759"/>
    <w:rsid w:val="008531B2"/>
    <w:rsid w:val="00854949"/>
    <w:rsid w:val="0085526B"/>
    <w:rsid w:val="00856585"/>
    <w:rsid w:val="00856E3C"/>
    <w:rsid w:val="00856F7A"/>
    <w:rsid w:val="00857279"/>
    <w:rsid w:val="0085736B"/>
    <w:rsid w:val="00857958"/>
    <w:rsid w:val="0085795F"/>
    <w:rsid w:val="00857B52"/>
    <w:rsid w:val="00861B32"/>
    <w:rsid w:val="00861DD8"/>
    <w:rsid w:val="008665F8"/>
    <w:rsid w:val="00867111"/>
    <w:rsid w:val="00867C9A"/>
    <w:rsid w:val="00867F1E"/>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7793F"/>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0965"/>
    <w:rsid w:val="0089164B"/>
    <w:rsid w:val="00891989"/>
    <w:rsid w:val="00891BF9"/>
    <w:rsid w:val="0089236D"/>
    <w:rsid w:val="00892AFC"/>
    <w:rsid w:val="00892B4E"/>
    <w:rsid w:val="00892BC4"/>
    <w:rsid w:val="008936CC"/>
    <w:rsid w:val="00893CC5"/>
    <w:rsid w:val="00893DB2"/>
    <w:rsid w:val="0089436A"/>
    <w:rsid w:val="00894491"/>
    <w:rsid w:val="0089482C"/>
    <w:rsid w:val="00895379"/>
    <w:rsid w:val="008956BD"/>
    <w:rsid w:val="00895C62"/>
    <w:rsid w:val="008964F4"/>
    <w:rsid w:val="008A0C05"/>
    <w:rsid w:val="008A0CFD"/>
    <w:rsid w:val="008A1F9B"/>
    <w:rsid w:val="008A2018"/>
    <w:rsid w:val="008A37D4"/>
    <w:rsid w:val="008A42B0"/>
    <w:rsid w:val="008A4982"/>
    <w:rsid w:val="008A567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A59"/>
    <w:rsid w:val="008B5BE2"/>
    <w:rsid w:val="008B5C38"/>
    <w:rsid w:val="008B6E93"/>
    <w:rsid w:val="008B73E6"/>
    <w:rsid w:val="008C04B3"/>
    <w:rsid w:val="008C0694"/>
    <w:rsid w:val="008C06D5"/>
    <w:rsid w:val="008C1208"/>
    <w:rsid w:val="008C3158"/>
    <w:rsid w:val="008C3963"/>
    <w:rsid w:val="008C4415"/>
    <w:rsid w:val="008C4CFE"/>
    <w:rsid w:val="008C5D8E"/>
    <w:rsid w:val="008D033C"/>
    <w:rsid w:val="008D0725"/>
    <w:rsid w:val="008D0B33"/>
    <w:rsid w:val="008D0B48"/>
    <w:rsid w:val="008D0D25"/>
    <w:rsid w:val="008D1526"/>
    <w:rsid w:val="008D2273"/>
    <w:rsid w:val="008D36D2"/>
    <w:rsid w:val="008D38EE"/>
    <w:rsid w:val="008D4B2A"/>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7A0"/>
    <w:rsid w:val="0090585F"/>
    <w:rsid w:val="00905A0D"/>
    <w:rsid w:val="0090665D"/>
    <w:rsid w:val="00906D4B"/>
    <w:rsid w:val="00911559"/>
    <w:rsid w:val="00912A8A"/>
    <w:rsid w:val="00913103"/>
    <w:rsid w:val="0091329D"/>
    <w:rsid w:val="00914FCF"/>
    <w:rsid w:val="00914FDF"/>
    <w:rsid w:val="0091599A"/>
    <w:rsid w:val="00916B08"/>
    <w:rsid w:val="00917B8D"/>
    <w:rsid w:val="00917EB1"/>
    <w:rsid w:val="00921109"/>
    <w:rsid w:val="00921436"/>
    <w:rsid w:val="009224C5"/>
    <w:rsid w:val="00923433"/>
    <w:rsid w:val="00923961"/>
    <w:rsid w:val="009239BB"/>
    <w:rsid w:val="0092433B"/>
    <w:rsid w:val="00925779"/>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7737"/>
    <w:rsid w:val="00940803"/>
    <w:rsid w:val="00940FFE"/>
    <w:rsid w:val="009411A0"/>
    <w:rsid w:val="00942B6C"/>
    <w:rsid w:val="00943B74"/>
    <w:rsid w:val="00943F97"/>
    <w:rsid w:val="0094486F"/>
    <w:rsid w:val="00944CA2"/>
    <w:rsid w:val="009458C7"/>
    <w:rsid w:val="0094714C"/>
    <w:rsid w:val="009472B3"/>
    <w:rsid w:val="00947905"/>
    <w:rsid w:val="00947F35"/>
    <w:rsid w:val="009500DD"/>
    <w:rsid w:val="00951598"/>
    <w:rsid w:val="00952919"/>
    <w:rsid w:val="00954A59"/>
    <w:rsid w:val="00955327"/>
    <w:rsid w:val="00955ADE"/>
    <w:rsid w:val="009573BD"/>
    <w:rsid w:val="0095790B"/>
    <w:rsid w:val="0096079C"/>
    <w:rsid w:val="0096089C"/>
    <w:rsid w:val="0096146C"/>
    <w:rsid w:val="00962E4E"/>
    <w:rsid w:val="00963342"/>
    <w:rsid w:val="00964C60"/>
    <w:rsid w:val="00964E79"/>
    <w:rsid w:val="00964F37"/>
    <w:rsid w:val="00965322"/>
    <w:rsid w:val="0096576D"/>
    <w:rsid w:val="00966926"/>
    <w:rsid w:val="00966C2B"/>
    <w:rsid w:val="00966FEC"/>
    <w:rsid w:val="00967C2E"/>
    <w:rsid w:val="00971134"/>
    <w:rsid w:val="009711D4"/>
    <w:rsid w:val="00971262"/>
    <w:rsid w:val="00971434"/>
    <w:rsid w:val="00972ECB"/>
    <w:rsid w:val="009737A5"/>
    <w:rsid w:val="00974437"/>
    <w:rsid w:val="00974C3A"/>
    <w:rsid w:val="00974FA3"/>
    <w:rsid w:val="009752BA"/>
    <w:rsid w:val="00975A2A"/>
    <w:rsid w:val="00975D23"/>
    <w:rsid w:val="00975EB9"/>
    <w:rsid w:val="009763B8"/>
    <w:rsid w:val="00976A12"/>
    <w:rsid w:val="00977454"/>
    <w:rsid w:val="009816F9"/>
    <w:rsid w:val="00981F51"/>
    <w:rsid w:val="009822DE"/>
    <w:rsid w:val="0098269C"/>
    <w:rsid w:val="009837CB"/>
    <w:rsid w:val="00985240"/>
    <w:rsid w:val="009858EF"/>
    <w:rsid w:val="00985D90"/>
    <w:rsid w:val="00986B3C"/>
    <w:rsid w:val="009872E2"/>
    <w:rsid w:val="0099065F"/>
    <w:rsid w:val="0099075B"/>
    <w:rsid w:val="0099083D"/>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2CB8"/>
    <w:rsid w:val="009A34EE"/>
    <w:rsid w:val="009A3ADA"/>
    <w:rsid w:val="009A491B"/>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6C33"/>
    <w:rsid w:val="009B6C5A"/>
    <w:rsid w:val="009B6EF8"/>
    <w:rsid w:val="009B7B7A"/>
    <w:rsid w:val="009C0368"/>
    <w:rsid w:val="009C3731"/>
    <w:rsid w:val="009C4F62"/>
    <w:rsid w:val="009C4FE0"/>
    <w:rsid w:val="009C5252"/>
    <w:rsid w:val="009C6175"/>
    <w:rsid w:val="009C61F1"/>
    <w:rsid w:val="009C64B7"/>
    <w:rsid w:val="009C6A35"/>
    <w:rsid w:val="009D00D1"/>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AFB"/>
    <w:rsid w:val="009E2EEE"/>
    <w:rsid w:val="009E30D5"/>
    <w:rsid w:val="009E321C"/>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37CB"/>
    <w:rsid w:val="00A0469A"/>
    <w:rsid w:val="00A04B89"/>
    <w:rsid w:val="00A04EB0"/>
    <w:rsid w:val="00A05063"/>
    <w:rsid w:val="00A075F7"/>
    <w:rsid w:val="00A076B7"/>
    <w:rsid w:val="00A076B8"/>
    <w:rsid w:val="00A11324"/>
    <w:rsid w:val="00A13008"/>
    <w:rsid w:val="00A138DC"/>
    <w:rsid w:val="00A14237"/>
    <w:rsid w:val="00A1430D"/>
    <w:rsid w:val="00A14429"/>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605"/>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7B0"/>
    <w:rsid w:val="00A53CB1"/>
    <w:rsid w:val="00A5404F"/>
    <w:rsid w:val="00A55D42"/>
    <w:rsid w:val="00A55E21"/>
    <w:rsid w:val="00A56EC5"/>
    <w:rsid w:val="00A57AFC"/>
    <w:rsid w:val="00A6004F"/>
    <w:rsid w:val="00A6220A"/>
    <w:rsid w:val="00A64A07"/>
    <w:rsid w:val="00A650DC"/>
    <w:rsid w:val="00A654F7"/>
    <w:rsid w:val="00A67754"/>
    <w:rsid w:val="00A67ED9"/>
    <w:rsid w:val="00A717E4"/>
    <w:rsid w:val="00A744CF"/>
    <w:rsid w:val="00A74B28"/>
    <w:rsid w:val="00A757D4"/>
    <w:rsid w:val="00A7641B"/>
    <w:rsid w:val="00A767EF"/>
    <w:rsid w:val="00A76B74"/>
    <w:rsid w:val="00A76FB1"/>
    <w:rsid w:val="00A77111"/>
    <w:rsid w:val="00A81037"/>
    <w:rsid w:val="00A81140"/>
    <w:rsid w:val="00A82448"/>
    <w:rsid w:val="00A84D45"/>
    <w:rsid w:val="00A8620C"/>
    <w:rsid w:val="00A8711C"/>
    <w:rsid w:val="00A900E2"/>
    <w:rsid w:val="00A90703"/>
    <w:rsid w:val="00A917E6"/>
    <w:rsid w:val="00A92027"/>
    <w:rsid w:val="00A923D1"/>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7289"/>
    <w:rsid w:val="00AA7BD5"/>
    <w:rsid w:val="00AB3F5E"/>
    <w:rsid w:val="00AB4396"/>
    <w:rsid w:val="00AB6036"/>
    <w:rsid w:val="00AB61CC"/>
    <w:rsid w:val="00AB66F0"/>
    <w:rsid w:val="00AB7491"/>
    <w:rsid w:val="00AC161D"/>
    <w:rsid w:val="00AC17F2"/>
    <w:rsid w:val="00AC20D8"/>
    <w:rsid w:val="00AC2374"/>
    <w:rsid w:val="00AC2D4B"/>
    <w:rsid w:val="00AC3EA4"/>
    <w:rsid w:val="00AC3EC5"/>
    <w:rsid w:val="00AC3F44"/>
    <w:rsid w:val="00AC46E5"/>
    <w:rsid w:val="00AC5B93"/>
    <w:rsid w:val="00AC6E31"/>
    <w:rsid w:val="00AC74AC"/>
    <w:rsid w:val="00AC7ABC"/>
    <w:rsid w:val="00AD0232"/>
    <w:rsid w:val="00AD1880"/>
    <w:rsid w:val="00AD1C3D"/>
    <w:rsid w:val="00AD1D3D"/>
    <w:rsid w:val="00AD2277"/>
    <w:rsid w:val="00AD5C04"/>
    <w:rsid w:val="00AE013D"/>
    <w:rsid w:val="00AE125E"/>
    <w:rsid w:val="00AE328D"/>
    <w:rsid w:val="00AE34E5"/>
    <w:rsid w:val="00AE4286"/>
    <w:rsid w:val="00AE45EA"/>
    <w:rsid w:val="00AE56E2"/>
    <w:rsid w:val="00AE5719"/>
    <w:rsid w:val="00AE59FD"/>
    <w:rsid w:val="00AE5B7C"/>
    <w:rsid w:val="00AE6B73"/>
    <w:rsid w:val="00AE6EC3"/>
    <w:rsid w:val="00AE73E2"/>
    <w:rsid w:val="00AF02C2"/>
    <w:rsid w:val="00AF0927"/>
    <w:rsid w:val="00AF16F8"/>
    <w:rsid w:val="00AF197C"/>
    <w:rsid w:val="00AF1B2B"/>
    <w:rsid w:val="00AF200E"/>
    <w:rsid w:val="00AF203D"/>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10510"/>
    <w:rsid w:val="00B10802"/>
    <w:rsid w:val="00B11C77"/>
    <w:rsid w:val="00B11E6A"/>
    <w:rsid w:val="00B125CC"/>
    <w:rsid w:val="00B13EF8"/>
    <w:rsid w:val="00B13F95"/>
    <w:rsid w:val="00B14E65"/>
    <w:rsid w:val="00B1522A"/>
    <w:rsid w:val="00B153AD"/>
    <w:rsid w:val="00B15C4F"/>
    <w:rsid w:val="00B169F5"/>
    <w:rsid w:val="00B16FF2"/>
    <w:rsid w:val="00B172A1"/>
    <w:rsid w:val="00B17A5B"/>
    <w:rsid w:val="00B21982"/>
    <w:rsid w:val="00B2362A"/>
    <w:rsid w:val="00B25866"/>
    <w:rsid w:val="00B25A6F"/>
    <w:rsid w:val="00B25BC6"/>
    <w:rsid w:val="00B2670A"/>
    <w:rsid w:val="00B270F3"/>
    <w:rsid w:val="00B316E2"/>
    <w:rsid w:val="00B322FC"/>
    <w:rsid w:val="00B33C2F"/>
    <w:rsid w:val="00B34D6D"/>
    <w:rsid w:val="00B35432"/>
    <w:rsid w:val="00B373AD"/>
    <w:rsid w:val="00B41343"/>
    <w:rsid w:val="00B4134E"/>
    <w:rsid w:val="00B4137E"/>
    <w:rsid w:val="00B41BE7"/>
    <w:rsid w:val="00B41C79"/>
    <w:rsid w:val="00B42775"/>
    <w:rsid w:val="00B4299A"/>
    <w:rsid w:val="00B42B2D"/>
    <w:rsid w:val="00B441CE"/>
    <w:rsid w:val="00B44DA3"/>
    <w:rsid w:val="00B47862"/>
    <w:rsid w:val="00B5061D"/>
    <w:rsid w:val="00B5114C"/>
    <w:rsid w:val="00B518F7"/>
    <w:rsid w:val="00B51A2C"/>
    <w:rsid w:val="00B52026"/>
    <w:rsid w:val="00B5328A"/>
    <w:rsid w:val="00B537D4"/>
    <w:rsid w:val="00B5510F"/>
    <w:rsid w:val="00B57587"/>
    <w:rsid w:val="00B61DD1"/>
    <w:rsid w:val="00B623CE"/>
    <w:rsid w:val="00B626C6"/>
    <w:rsid w:val="00B62CE7"/>
    <w:rsid w:val="00B63124"/>
    <w:rsid w:val="00B63188"/>
    <w:rsid w:val="00B64BF6"/>
    <w:rsid w:val="00B662AD"/>
    <w:rsid w:val="00B67E89"/>
    <w:rsid w:val="00B7062F"/>
    <w:rsid w:val="00B70AD5"/>
    <w:rsid w:val="00B71DAA"/>
    <w:rsid w:val="00B722A7"/>
    <w:rsid w:val="00B728D6"/>
    <w:rsid w:val="00B72ACE"/>
    <w:rsid w:val="00B7332C"/>
    <w:rsid w:val="00B73BC0"/>
    <w:rsid w:val="00B76233"/>
    <w:rsid w:val="00B76358"/>
    <w:rsid w:val="00B778AA"/>
    <w:rsid w:val="00B81C55"/>
    <w:rsid w:val="00B82000"/>
    <w:rsid w:val="00B82E36"/>
    <w:rsid w:val="00B84265"/>
    <w:rsid w:val="00B842F0"/>
    <w:rsid w:val="00B8497B"/>
    <w:rsid w:val="00B85D36"/>
    <w:rsid w:val="00B86A4A"/>
    <w:rsid w:val="00B86DC2"/>
    <w:rsid w:val="00B86E05"/>
    <w:rsid w:val="00B90397"/>
    <w:rsid w:val="00B90CBE"/>
    <w:rsid w:val="00B91560"/>
    <w:rsid w:val="00B91A02"/>
    <w:rsid w:val="00B91C28"/>
    <w:rsid w:val="00B91F2F"/>
    <w:rsid w:val="00B92B46"/>
    <w:rsid w:val="00B92E1C"/>
    <w:rsid w:val="00B93760"/>
    <w:rsid w:val="00B95A00"/>
    <w:rsid w:val="00B96729"/>
    <w:rsid w:val="00BA00A9"/>
    <w:rsid w:val="00BA0426"/>
    <w:rsid w:val="00BA1854"/>
    <w:rsid w:val="00BA1B7A"/>
    <w:rsid w:val="00BA2EE9"/>
    <w:rsid w:val="00BA363C"/>
    <w:rsid w:val="00BA3674"/>
    <w:rsid w:val="00BA36A5"/>
    <w:rsid w:val="00BA3CDE"/>
    <w:rsid w:val="00BA4B2C"/>
    <w:rsid w:val="00BA56BB"/>
    <w:rsid w:val="00BA6968"/>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66D6"/>
    <w:rsid w:val="00BE67A1"/>
    <w:rsid w:val="00BE6825"/>
    <w:rsid w:val="00BE732D"/>
    <w:rsid w:val="00BF0540"/>
    <w:rsid w:val="00BF0748"/>
    <w:rsid w:val="00BF212E"/>
    <w:rsid w:val="00BF25D8"/>
    <w:rsid w:val="00BF330A"/>
    <w:rsid w:val="00BF42CF"/>
    <w:rsid w:val="00BF469C"/>
    <w:rsid w:val="00BF685A"/>
    <w:rsid w:val="00BF6B39"/>
    <w:rsid w:val="00C0076A"/>
    <w:rsid w:val="00C010CF"/>
    <w:rsid w:val="00C0130F"/>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97D"/>
    <w:rsid w:val="00C16ECF"/>
    <w:rsid w:val="00C17535"/>
    <w:rsid w:val="00C1778D"/>
    <w:rsid w:val="00C20E42"/>
    <w:rsid w:val="00C22635"/>
    <w:rsid w:val="00C22842"/>
    <w:rsid w:val="00C23048"/>
    <w:rsid w:val="00C23621"/>
    <w:rsid w:val="00C23792"/>
    <w:rsid w:val="00C24BF5"/>
    <w:rsid w:val="00C24F5E"/>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84F"/>
    <w:rsid w:val="00C42ACD"/>
    <w:rsid w:val="00C4317A"/>
    <w:rsid w:val="00C45222"/>
    <w:rsid w:val="00C4591F"/>
    <w:rsid w:val="00C4622D"/>
    <w:rsid w:val="00C46263"/>
    <w:rsid w:val="00C4650F"/>
    <w:rsid w:val="00C46981"/>
    <w:rsid w:val="00C470AF"/>
    <w:rsid w:val="00C472F7"/>
    <w:rsid w:val="00C47877"/>
    <w:rsid w:val="00C47D1B"/>
    <w:rsid w:val="00C503FF"/>
    <w:rsid w:val="00C505E8"/>
    <w:rsid w:val="00C51140"/>
    <w:rsid w:val="00C5133C"/>
    <w:rsid w:val="00C51346"/>
    <w:rsid w:val="00C515D8"/>
    <w:rsid w:val="00C51B23"/>
    <w:rsid w:val="00C51E4F"/>
    <w:rsid w:val="00C53782"/>
    <w:rsid w:val="00C53985"/>
    <w:rsid w:val="00C53E72"/>
    <w:rsid w:val="00C546A6"/>
    <w:rsid w:val="00C548CF"/>
    <w:rsid w:val="00C54BE5"/>
    <w:rsid w:val="00C5658B"/>
    <w:rsid w:val="00C56625"/>
    <w:rsid w:val="00C56912"/>
    <w:rsid w:val="00C56A45"/>
    <w:rsid w:val="00C57553"/>
    <w:rsid w:val="00C57670"/>
    <w:rsid w:val="00C57C10"/>
    <w:rsid w:val="00C6012D"/>
    <w:rsid w:val="00C61018"/>
    <w:rsid w:val="00C61355"/>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499"/>
    <w:rsid w:val="00C776DD"/>
    <w:rsid w:val="00C77CD0"/>
    <w:rsid w:val="00C77FCC"/>
    <w:rsid w:val="00C80153"/>
    <w:rsid w:val="00C8083C"/>
    <w:rsid w:val="00C80F64"/>
    <w:rsid w:val="00C80F8C"/>
    <w:rsid w:val="00C8162E"/>
    <w:rsid w:val="00C81D68"/>
    <w:rsid w:val="00C828BE"/>
    <w:rsid w:val="00C82BDA"/>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4EEE"/>
    <w:rsid w:val="00C95E47"/>
    <w:rsid w:val="00C963A0"/>
    <w:rsid w:val="00C9699D"/>
    <w:rsid w:val="00C9775A"/>
    <w:rsid w:val="00C97E22"/>
    <w:rsid w:val="00CA07FF"/>
    <w:rsid w:val="00CA0F7D"/>
    <w:rsid w:val="00CA30DF"/>
    <w:rsid w:val="00CA456C"/>
    <w:rsid w:val="00CA460D"/>
    <w:rsid w:val="00CA6269"/>
    <w:rsid w:val="00CA666E"/>
    <w:rsid w:val="00CA66DF"/>
    <w:rsid w:val="00CA7476"/>
    <w:rsid w:val="00CA7C1E"/>
    <w:rsid w:val="00CA7FE3"/>
    <w:rsid w:val="00CB0565"/>
    <w:rsid w:val="00CB258D"/>
    <w:rsid w:val="00CB2A57"/>
    <w:rsid w:val="00CB57FD"/>
    <w:rsid w:val="00CB63FB"/>
    <w:rsid w:val="00CB6D69"/>
    <w:rsid w:val="00CB703A"/>
    <w:rsid w:val="00CB7E67"/>
    <w:rsid w:val="00CC0C5D"/>
    <w:rsid w:val="00CC0EE1"/>
    <w:rsid w:val="00CC1F04"/>
    <w:rsid w:val="00CC22DD"/>
    <w:rsid w:val="00CC2BF2"/>
    <w:rsid w:val="00CC30A8"/>
    <w:rsid w:val="00CC3C9F"/>
    <w:rsid w:val="00CC4A8B"/>
    <w:rsid w:val="00CC5E23"/>
    <w:rsid w:val="00CC6884"/>
    <w:rsid w:val="00CC77E3"/>
    <w:rsid w:val="00CD0985"/>
    <w:rsid w:val="00CD2AE3"/>
    <w:rsid w:val="00CD3F4F"/>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3292"/>
    <w:rsid w:val="00CF3A3D"/>
    <w:rsid w:val="00CF3D6B"/>
    <w:rsid w:val="00CF58CF"/>
    <w:rsid w:val="00CF67F8"/>
    <w:rsid w:val="00CF6971"/>
    <w:rsid w:val="00CF6B0F"/>
    <w:rsid w:val="00CF78DB"/>
    <w:rsid w:val="00CF7D1F"/>
    <w:rsid w:val="00D01EDC"/>
    <w:rsid w:val="00D0248E"/>
    <w:rsid w:val="00D027E3"/>
    <w:rsid w:val="00D035FA"/>
    <w:rsid w:val="00D03E56"/>
    <w:rsid w:val="00D049A0"/>
    <w:rsid w:val="00D07F0D"/>
    <w:rsid w:val="00D11533"/>
    <w:rsid w:val="00D11F5B"/>
    <w:rsid w:val="00D12E08"/>
    <w:rsid w:val="00D13A6B"/>
    <w:rsid w:val="00D14D6E"/>
    <w:rsid w:val="00D15398"/>
    <w:rsid w:val="00D1585E"/>
    <w:rsid w:val="00D15EDB"/>
    <w:rsid w:val="00D16EAC"/>
    <w:rsid w:val="00D17DCA"/>
    <w:rsid w:val="00D21482"/>
    <w:rsid w:val="00D217A4"/>
    <w:rsid w:val="00D236C3"/>
    <w:rsid w:val="00D24316"/>
    <w:rsid w:val="00D24764"/>
    <w:rsid w:val="00D24A5F"/>
    <w:rsid w:val="00D25ADE"/>
    <w:rsid w:val="00D269B7"/>
    <w:rsid w:val="00D2728D"/>
    <w:rsid w:val="00D278A7"/>
    <w:rsid w:val="00D31B06"/>
    <w:rsid w:val="00D31BFC"/>
    <w:rsid w:val="00D31F2E"/>
    <w:rsid w:val="00D32B38"/>
    <w:rsid w:val="00D33B5C"/>
    <w:rsid w:val="00D34483"/>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922"/>
    <w:rsid w:val="00D77B71"/>
    <w:rsid w:val="00D804E1"/>
    <w:rsid w:val="00D83994"/>
    <w:rsid w:val="00D83CE5"/>
    <w:rsid w:val="00D85008"/>
    <w:rsid w:val="00D879AC"/>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450"/>
    <w:rsid w:val="00DA299A"/>
    <w:rsid w:val="00DA31C0"/>
    <w:rsid w:val="00DA3DBD"/>
    <w:rsid w:val="00DA4C11"/>
    <w:rsid w:val="00DA559F"/>
    <w:rsid w:val="00DA5781"/>
    <w:rsid w:val="00DA5868"/>
    <w:rsid w:val="00DA63C9"/>
    <w:rsid w:val="00DA6B83"/>
    <w:rsid w:val="00DA6E68"/>
    <w:rsid w:val="00DB00B2"/>
    <w:rsid w:val="00DB19E6"/>
    <w:rsid w:val="00DB25BC"/>
    <w:rsid w:val="00DB2606"/>
    <w:rsid w:val="00DB26C3"/>
    <w:rsid w:val="00DB436D"/>
    <w:rsid w:val="00DB5812"/>
    <w:rsid w:val="00DB5868"/>
    <w:rsid w:val="00DB7C2A"/>
    <w:rsid w:val="00DC057B"/>
    <w:rsid w:val="00DC0595"/>
    <w:rsid w:val="00DC10E2"/>
    <w:rsid w:val="00DC215D"/>
    <w:rsid w:val="00DC241A"/>
    <w:rsid w:val="00DC2975"/>
    <w:rsid w:val="00DC2AAF"/>
    <w:rsid w:val="00DC3E83"/>
    <w:rsid w:val="00DC4A66"/>
    <w:rsid w:val="00DC5B57"/>
    <w:rsid w:val="00DC60C7"/>
    <w:rsid w:val="00DC6415"/>
    <w:rsid w:val="00DC7022"/>
    <w:rsid w:val="00DC752F"/>
    <w:rsid w:val="00DC7C00"/>
    <w:rsid w:val="00DD0174"/>
    <w:rsid w:val="00DD04AD"/>
    <w:rsid w:val="00DD0B9B"/>
    <w:rsid w:val="00DD0DA2"/>
    <w:rsid w:val="00DD0FEA"/>
    <w:rsid w:val="00DD1B85"/>
    <w:rsid w:val="00DD238A"/>
    <w:rsid w:val="00DD2460"/>
    <w:rsid w:val="00DD24BD"/>
    <w:rsid w:val="00DD295D"/>
    <w:rsid w:val="00DD324F"/>
    <w:rsid w:val="00DD36E9"/>
    <w:rsid w:val="00DD43B7"/>
    <w:rsid w:val="00DD4779"/>
    <w:rsid w:val="00DD4EA2"/>
    <w:rsid w:val="00DD502A"/>
    <w:rsid w:val="00DD5F20"/>
    <w:rsid w:val="00DD625F"/>
    <w:rsid w:val="00DD65CC"/>
    <w:rsid w:val="00DD6C50"/>
    <w:rsid w:val="00DD747F"/>
    <w:rsid w:val="00DE015D"/>
    <w:rsid w:val="00DE03DC"/>
    <w:rsid w:val="00DE0BC1"/>
    <w:rsid w:val="00DE1D18"/>
    <w:rsid w:val="00DE31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450A"/>
    <w:rsid w:val="00DF578F"/>
    <w:rsid w:val="00E00BFD"/>
    <w:rsid w:val="00E01862"/>
    <w:rsid w:val="00E0197E"/>
    <w:rsid w:val="00E020A1"/>
    <w:rsid w:val="00E023C9"/>
    <w:rsid w:val="00E02A38"/>
    <w:rsid w:val="00E02B90"/>
    <w:rsid w:val="00E02C5A"/>
    <w:rsid w:val="00E03758"/>
    <w:rsid w:val="00E04B3C"/>
    <w:rsid w:val="00E05C70"/>
    <w:rsid w:val="00E05C8E"/>
    <w:rsid w:val="00E07911"/>
    <w:rsid w:val="00E10D95"/>
    <w:rsid w:val="00E1303E"/>
    <w:rsid w:val="00E136DD"/>
    <w:rsid w:val="00E13E29"/>
    <w:rsid w:val="00E143B4"/>
    <w:rsid w:val="00E16244"/>
    <w:rsid w:val="00E162C7"/>
    <w:rsid w:val="00E16369"/>
    <w:rsid w:val="00E16AC1"/>
    <w:rsid w:val="00E176F9"/>
    <w:rsid w:val="00E2007F"/>
    <w:rsid w:val="00E20329"/>
    <w:rsid w:val="00E207FE"/>
    <w:rsid w:val="00E209C5"/>
    <w:rsid w:val="00E20B6F"/>
    <w:rsid w:val="00E21052"/>
    <w:rsid w:val="00E21313"/>
    <w:rsid w:val="00E2306B"/>
    <w:rsid w:val="00E24F10"/>
    <w:rsid w:val="00E2538E"/>
    <w:rsid w:val="00E30119"/>
    <w:rsid w:val="00E3149E"/>
    <w:rsid w:val="00E3163B"/>
    <w:rsid w:val="00E31DB5"/>
    <w:rsid w:val="00E31FC0"/>
    <w:rsid w:val="00E324A7"/>
    <w:rsid w:val="00E32EF4"/>
    <w:rsid w:val="00E33369"/>
    <w:rsid w:val="00E3370D"/>
    <w:rsid w:val="00E34890"/>
    <w:rsid w:val="00E35635"/>
    <w:rsid w:val="00E36E31"/>
    <w:rsid w:val="00E36F5E"/>
    <w:rsid w:val="00E37034"/>
    <w:rsid w:val="00E372AC"/>
    <w:rsid w:val="00E4041D"/>
    <w:rsid w:val="00E41A85"/>
    <w:rsid w:val="00E423B1"/>
    <w:rsid w:val="00E42620"/>
    <w:rsid w:val="00E42F9F"/>
    <w:rsid w:val="00E430A9"/>
    <w:rsid w:val="00E43B4A"/>
    <w:rsid w:val="00E45F6B"/>
    <w:rsid w:val="00E468BA"/>
    <w:rsid w:val="00E46FEC"/>
    <w:rsid w:val="00E47425"/>
    <w:rsid w:val="00E50233"/>
    <w:rsid w:val="00E523BC"/>
    <w:rsid w:val="00E52878"/>
    <w:rsid w:val="00E5288E"/>
    <w:rsid w:val="00E52A5F"/>
    <w:rsid w:val="00E53A19"/>
    <w:rsid w:val="00E5452C"/>
    <w:rsid w:val="00E54E16"/>
    <w:rsid w:val="00E54F16"/>
    <w:rsid w:val="00E5532F"/>
    <w:rsid w:val="00E55E95"/>
    <w:rsid w:val="00E56BC5"/>
    <w:rsid w:val="00E56CFE"/>
    <w:rsid w:val="00E56D08"/>
    <w:rsid w:val="00E56D19"/>
    <w:rsid w:val="00E619AC"/>
    <w:rsid w:val="00E61E9D"/>
    <w:rsid w:val="00E625A0"/>
    <w:rsid w:val="00E62DB9"/>
    <w:rsid w:val="00E62DC6"/>
    <w:rsid w:val="00E640ED"/>
    <w:rsid w:val="00E64143"/>
    <w:rsid w:val="00E64976"/>
    <w:rsid w:val="00E6514E"/>
    <w:rsid w:val="00E65A1F"/>
    <w:rsid w:val="00E65C80"/>
    <w:rsid w:val="00E66AC9"/>
    <w:rsid w:val="00E66CA0"/>
    <w:rsid w:val="00E70091"/>
    <w:rsid w:val="00E70E38"/>
    <w:rsid w:val="00E70F66"/>
    <w:rsid w:val="00E71476"/>
    <w:rsid w:val="00E72D30"/>
    <w:rsid w:val="00E733A6"/>
    <w:rsid w:val="00E7373D"/>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87F59"/>
    <w:rsid w:val="00E905A0"/>
    <w:rsid w:val="00E906D5"/>
    <w:rsid w:val="00E92E98"/>
    <w:rsid w:val="00E94560"/>
    <w:rsid w:val="00E94E45"/>
    <w:rsid w:val="00E954B7"/>
    <w:rsid w:val="00E95D22"/>
    <w:rsid w:val="00E96435"/>
    <w:rsid w:val="00EA0165"/>
    <w:rsid w:val="00EA173E"/>
    <w:rsid w:val="00EA392E"/>
    <w:rsid w:val="00EA4173"/>
    <w:rsid w:val="00EA4CD3"/>
    <w:rsid w:val="00EA56D6"/>
    <w:rsid w:val="00EA5B36"/>
    <w:rsid w:val="00EA5FD5"/>
    <w:rsid w:val="00EA6925"/>
    <w:rsid w:val="00EA6D71"/>
    <w:rsid w:val="00EA713A"/>
    <w:rsid w:val="00EB08EE"/>
    <w:rsid w:val="00EB0CEE"/>
    <w:rsid w:val="00EB1551"/>
    <w:rsid w:val="00EB1938"/>
    <w:rsid w:val="00EB1965"/>
    <w:rsid w:val="00EB1A69"/>
    <w:rsid w:val="00EB1BC0"/>
    <w:rsid w:val="00EB23EF"/>
    <w:rsid w:val="00EB29D3"/>
    <w:rsid w:val="00EB32A5"/>
    <w:rsid w:val="00EB3E96"/>
    <w:rsid w:val="00EB4AF6"/>
    <w:rsid w:val="00EB4B80"/>
    <w:rsid w:val="00EB57EC"/>
    <w:rsid w:val="00EB5BD5"/>
    <w:rsid w:val="00EB648C"/>
    <w:rsid w:val="00EC0103"/>
    <w:rsid w:val="00EC088B"/>
    <w:rsid w:val="00EC26EF"/>
    <w:rsid w:val="00EC35B4"/>
    <w:rsid w:val="00EC3643"/>
    <w:rsid w:val="00EC5949"/>
    <w:rsid w:val="00EC6134"/>
    <w:rsid w:val="00EC692E"/>
    <w:rsid w:val="00ED05A8"/>
    <w:rsid w:val="00ED12AE"/>
    <w:rsid w:val="00ED3020"/>
    <w:rsid w:val="00ED34BE"/>
    <w:rsid w:val="00ED4629"/>
    <w:rsid w:val="00ED4E84"/>
    <w:rsid w:val="00ED6699"/>
    <w:rsid w:val="00ED6A67"/>
    <w:rsid w:val="00ED7CAF"/>
    <w:rsid w:val="00ED7D9E"/>
    <w:rsid w:val="00EE03B1"/>
    <w:rsid w:val="00EE16E2"/>
    <w:rsid w:val="00EE2C63"/>
    <w:rsid w:val="00EE3DDA"/>
    <w:rsid w:val="00EE4B0B"/>
    <w:rsid w:val="00EE4D23"/>
    <w:rsid w:val="00EE5B01"/>
    <w:rsid w:val="00EE6B49"/>
    <w:rsid w:val="00EE72FB"/>
    <w:rsid w:val="00EF00D9"/>
    <w:rsid w:val="00EF079E"/>
    <w:rsid w:val="00EF07E6"/>
    <w:rsid w:val="00EF0E89"/>
    <w:rsid w:val="00EF157E"/>
    <w:rsid w:val="00EF29EF"/>
    <w:rsid w:val="00EF35FA"/>
    <w:rsid w:val="00EF3FA7"/>
    <w:rsid w:val="00EF4435"/>
    <w:rsid w:val="00EF507D"/>
    <w:rsid w:val="00EF5E29"/>
    <w:rsid w:val="00EF6D71"/>
    <w:rsid w:val="00EF71A8"/>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ABD"/>
    <w:rsid w:val="00F05DBF"/>
    <w:rsid w:val="00F05E09"/>
    <w:rsid w:val="00F06568"/>
    <w:rsid w:val="00F069F1"/>
    <w:rsid w:val="00F11950"/>
    <w:rsid w:val="00F11AAF"/>
    <w:rsid w:val="00F12151"/>
    <w:rsid w:val="00F12A0E"/>
    <w:rsid w:val="00F134AC"/>
    <w:rsid w:val="00F13EA4"/>
    <w:rsid w:val="00F157B0"/>
    <w:rsid w:val="00F16720"/>
    <w:rsid w:val="00F16E2F"/>
    <w:rsid w:val="00F172EE"/>
    <w:rsid w:val="00F179D8"/>
    <w:rsid w:val="00F17D6C"/>
    <w:rsid w:val="00F20045"/>
    <w:rsid w:val="00F20655"/>
    <w:rsid w:val="00F2098F"/>
    <w:rsid w:val="00F216D7"/>
    <w:rsid w:val="00F21EBC"/>
    <w:rsid w:val="00F22397"/>
    <w:rsid w:val="00F23DD7"/>
    <w:rsid w:val="00F240EA"/>
    <w:rsid w:val="00F2483D"/>
    <w:rsid w:val="00F2496F"/>
    <w:rsid w:val="00F252AC"/>
    <w:rsid w:val="00F25D1F"/>
    <w:rsid w:val="00F25EC1"/>
    <w:rsid w:val="00F26185"/>
    <w:rsid w:val="00F26DC3"/>
    <w:rsid w:val="00F300EF"/>
    <w:rsid w:val="00F301C6"/>
    <w:rsid w:val="00F30549"/>
    <w:rsid w:val="00F30F7B"/>
    <w:rsid w:val="00F31C27"/>
    <w:rsid w:val="00F322EA"/>
    <w:rsid w:val="00F32BCB"/>
    <w:rsid w:val="00F32EA8"/>
    <w:rsid w:val="00F3329C"/>
    <w:rsid w:val="00F34C64"/>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C13"/>
    <w:rsid w:val="00F567A8"/>
    <w:rsid w:val="00F572C0"/>
    <w:rsid w:val="00F574F8"/>
    <w:rsid w:val="00F576E4"/>
    <w:rsid w:val="00F600F2"/>
    <w:rsid w:val="00F6065B"/>
    <w:rsid w:val="00F62E09"/>
    <w:rsid w:val="00F635F7"/>
    <w:rsid w:val="00F63C1F"/>
    <w:rsid w:val="00F6662F"/>
    <w:rsid w:val="00F66E12"/>
    <w:rsid w:val="00F675BD"/>
    <w:rsid w:val="00F70118"/>
    <w:rsid w:val="00F702B4"/>
    <w:rsid w:val="00F706F1"/>
    <w:rsid w:val="00F70E4A"/>
    <w:rsid w:val="00F71F04"/>
    <w:rsid w:val="00F73DD9"/>
    <w:rsid w:val="00F743AF"/>
    <w:rsid w:val="00F75810"/>
    <w:rsid w:val="00F76A55"/>
    <w:rsid w:val="00F80496"/>
    <w:rsid w:val="00F80729"/>
    <w:rsid w:val="00F80996"/>
    <w:rsid w:val="00F81DCD"/>
    <w:rsid w:val="00F82380"/>
    <w:rsid w:val="00F84BAA"/>
    <w:rsid w:val="00F84D35"/>
    <w:rsid w:val="00F85DBC"/>
    <w:rsid w:val="00F8725D"/>
    <w:rsid w:val="00F87384"/>
    <w:rsid w:val="00F907B2"/>
    <w:rsid w:val="00F90BD9"/>
    <w:rsid w:val="00F90DE0"/>
    <w:rsid w:val="00F92058"/>
    <w:rsid w:val="00F923A7"/>
    <w:rsid w:val="00F944D7"/>
    <w:rsid w:val="00F97F78"/>
    <w:rsid w:val="00FA17C7"/>
    <w:rsid w:val="00FA2526"/>
    <w:rsid w:val="00FA35C3"/>
    <w:rsid w:val="00FA400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0D3F"/>
    <w:rsid w:val="00FC12AD"/>
    <w:rsid w:val="00FC17E0"/>
    <w:rsid w:val="00FC21B4"/>
    <w:rsid w:val="00FC2A80"/>
    <w:rsid w:val="00FC3122"/>
    <w:rsid w:val="00FC3695"/>
    <w:rsid w:val="00FC3A1C"/>
    <w:rsid w:val="00FC43E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1BD"/>
    <w:rsid w:val="00FE5219"/>
    <w:rsid w:val="00FE5747"/>
    <w:rsid w:val="00FE612F"/>
    <w:rsid w:val="00FE65CC"/>
    <w:rsid w:val="00FE6822"/>
    <w:rsid w:val="00FE6C02"/>
    <w:rsid w:val="00FE71F9"/>
    <w:rsid w:val="00FE7FBB"/>
    <w:rsid w:val="00FF0383"/>
    <w:rsid w:val="00FF0FB1"/>
    <w:rsid w:val="00FF1C38"/>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CC1F04"/>
    <w:pPr>
      <w:tabs>
        <w:tab w:val="left" w:pos="880"/>
        <w:tab w:val="right" w:leader="dot" w:pos="8828"/>
      </w:tabs>
      <w:spacing w:after="100"/>
      <w:ind w:left="180" w:hanging="180"/>
    </w:pPr>
  </w:style>
  <w:style w:type="paragraph" w:customStyle="1" w:styleId="rtejustify">
    <w:name w:val="rtejustify"/>
    <w:basedOn w:val="Normal"/>
    <w:rsid w:val="00AE328D"/>
    <w:pPr>
      <w:spacing w:before="100" w:beforeAutospacing="1" w:after="100" w:afterAutospacing="1"/>
    </w:pPr>
    <w:rPr>
      <w:lang w:val="en-US" w:eastAsia="en-US"/>
    </w:rPr>
  </w:style>
  <w:style w:type="paragraph" w:styleId="TtulodeTDC">
    <w:name w:val="TOC Heading"/>
    <w:basedOn w:val="Ttulo1"/>
    <w:next w:val="Normal"/>
    <w:uiPriority w:val="39"/>
    <w:semiHidden/>
    <w:unhideWhenUsed/>
    <w:qFormat/>
    <w:rsid w:val="007F7B1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90041">
      <w:bodyDiv w:val="1"/>
      <w:marLeft w:val="0"/>
      <w:marRight w:val="0"/>
      <w:marTop w:val="0"/>
      <w:marBottom w:val="0"/>
      <w:divBdr>
        <w:top w:val="none" w:sz="0" w:space="0" w:color="auto"/>
        <w:left w:val="none" w:sz="0" w:space="0" w:color="auto"/>
        <w:bottom w:val="none" w:sz="0" w:space="0" w:color="auto"/>
        <w:right w:val="none" w:sz="0" w:space="0" w:color="auto"/>
      </w:divBdr>
    </w:div>
    <w:div w:id="27223872">
      <w:bodyDiv w:val="1"/>
      <w:marLeft w:val="0"/>
      <w:marRight w:val="0"/>
      <w:marTop w:val="0"/>
      <w:marBottom w:val="0"/>
      <w:divBdr>
        <w:top w:val="none" w:sz="0" w:space="0" w:color="auto"/>
        <w:left w:val="none" w:sz="0" w:space="0" w:color="auto"/>
        <w:bottom w:val="none" w:sz="0" w:space="0" w:color="auto"/>
        <w:right w:val="none" w:sz="0" w:space="0" w:color="auto"/>
      </w:divBdr>
    </w:div>
    <w:div w:id="56322925">
      <w:bodyDiv w:val="1"/>
      <w:marLeft w:val="0"/>
      <w:marRight w:val="0"/>
      <w:marTop w:val="0"/>
      <w:marBottom w:val="0"/>
      <w:divBdr>
        <w:top w:val="none" w:sz="0" w:space="0" w:color="auto"/>
        <w:left w:val="none" w:sz="0" w:space="0" w:color="auto"/>
        <w:bottom w:val="none" w:sz="0" w:space="0" w:color="auto"/>
        <w:right w:val="none" w:sz="0" w:space="0" w:color="auto"/>
      </w:divBdr>
    </w:div>
    <w:div w:id="95905401">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034392">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07184253">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3157816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00529398">
      <w:bodyDiv w:val="1"/>
      <w:marLeft w:val="0"/>
      <w:marRight w:val="0"/>
      <w:marTop w:val="0"/>
      <w:marBottom w:val="0"/>
      <w:divBdr>
        <w:top w:val="none" w:sz="0" w:space="0" w:color="auto"/>
        <w:left w:val="none" w:sz="0" w:space="0" w:color="auto"/>
        <w:bottom w:val="none" w:sz="0" w:space="0" w:color="auto"/>
        <w:right w:val="none" w:sz="0" w:space="0" w:color="auto"/>
      </w:divBdr>
    </w:div>
    <w:div w:id="612400742">
      <w:bodyDiv w:val="1"/>
      <w:marLeft w:val="0"/>
      <w:marRight w:val="0"/>
      <w:marTop w:val="0"/>
      <w:marBottom w:val="0"/>
      <w:divBdr>
        <w:top w:val="none" w:sz="0" w:space="0" w:color="auto"/>
        <w:left w:val="none" w:sz="0" w:space="0" w:color="auto"/>
        <w:bottom w:val="none" w:sz="0" w:space="0" w:color="auto"/>
        <w:right w:val="none" w:sz="0" w:space="0" w:color="auto"/>
      </w:divBdr>
    </w:div>
    <w:div w:id="65629949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9627798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5862872">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00641845">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4684531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00604473">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2216637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1676507">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23025851">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05084795">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20885561">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3478281">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aimex.org.mx/saimex/solicitud/downloadAttach/1377971.pa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saimex.org.mx/saimex/solicitud/downloadAttach/1377970.pag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B89A6-23D1-44CD-B8C8-2ED8E2A2F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28</Pages>
  <Words>5590</Words>
  <Characters>30748</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2021-10-06T19:46:00Z</cp:lastPrinted>
  <dcterms:created xsi:type="dcterms:W3CDTF">2022-04-20T17:18:00Z</dcterms:created>
  <dcterms:modified xsi:type="dcterms:W3CDTF">2022-04-27T21:56:00Z</dcterms:modified>
</cp:coreProperties>
</file>