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B7DA71" w14:textId="67BA2565" w:rsidR="00721230" w:rsidRDefault="00721230" w:rsidP="00221864">
      <w:pPr>
        <w:spacing w:line="360" w:lineRule="auto"/>
        <w:jc w:val="both"/>
        <w:rPr>
          <w:rFonts w:ascii="Palatino Linotype" w:hAnsi="Palatino Linotype"/>
          <w:sz w:val="22"/>
          <w:szCs w:val="22"/>
        </w:rPr>
      </w:pPr>
      <w:bookmarkStart w:id="0" w:name="_GoBack"/>
      <w:bookmarkEnd w:id="0"/>
      <w:r w:rsidRPr="004F1BDC">
        <w:rPr>
          <w:rFonts w:ascii="Palatino Linotype" w:hAnsi="Palatino Linotype"/>
          <w:sz w:val="22"/>
          <w:szCs w:val="22"/>
        </w:rPr>
        <w:t xml:space="preserve">Resolución del Pleno del Instituto de Transparencia, </w:t>
      </w:r>
      <w:r w:rsidR="00F533F3">
        <w:rPr>
          <w:rFonts w:ascii="Palatino Linotype" w:hAnsi="Palatino Linotype"/>
          <w:sz w:val="22"/>
          <w:szCs w:val="22"/>
        </w:rPr>
        <w:t>Acceso a la Información Pública</w:t>
      </w:r>
      <w:r w:rsidRPr="004F1BDC">
        <w:rPr>
          <w:rFonts w:ascii="Palatino Linotype" w:hAnsi="Palatino Linotype"/>
          <w:sz w:val="22"/>
          <w:szCs w:val="22"/>
        </w:rPr>
        <w:t xml:space="preserve"> y Protección de Datos Personales del Estado de México y Municipios, con domicilio en Metepec, Estado de México, de fecha </w:t>
      </w:r>
      <w:r w:rsidR="004F1BDC" w:rsidRPr="004F1BDC">
        <w:rPr>
          <w:rFonts w:ascii="Palatino Linotype" w:hAnsi="Palatino Linotype"/>
          <w:sz w:val="22"/>
          <w:szCs w:val="22"/>
        </w:rPr>
        <w:t xml:space="preserve">tres de marzo de </w:t>
      </w:r>
      <w:r w:rsidRPr="004F1BDC">
        <w:rPr>
          <w:rFonts w:ascii="Palatino Linotype" w:hAnsi="Palatino Linotype"/>
          <w:sz w:val="22"/>
          <w:szCs w:val="22"/>
        </w:rPr>
        <w:t>dos mil veintidós.</w:t>
      </w:r>
    </w:p>
    <w:p w14:paraId="004C1A9F" w14:textId="77777777" w:rsidR="00317673" w:rsidRPr="004F1BDC" w:rsidRDefault="00317673" w:rsidP="00AD61EF">
      <w:pPr>
        <w:spacing w:line="360" w:lineRule="auto"/>
        <w:jc w:val="both"/>
        <w:rPr>
          <w:rFonts w:ascii="Palatino Linotype" w:hAnsi="Palatino Linotype"/>
          <w:sz w:val="22"/>
          <w:szCs w:val="22"/>
        </w:rPr>
      </w:pPr>
    </w:p>
    <w:p w14:paraId="5B4400E2" w14:textId="74378E83" w:rsidR="00721230" w:rsidRDefault="1DD209C9" w:rsidP="00221864">
      <w:pPr>
        <w:spacing w:line="360" w:lineRule="auto"/>
        <w:jc w:val="both"/>
        <w:rPr>
          <w:rFonts w:ascii="Palatino Linotype" w:hAnsi="Palatino Linotype" w:cs="Arial"/>
          <w:sz w:val="22"/>
          <w:szCs w:val="22"/>
        </w:rPr>
      </w:pPr>
      <w:r w:rsidRPr="1DD209C9">
        <w:rPr>
          <w:rFonts w:ascii="Palatino Linotype" w:hAnsi="Palatino Linotype"/>
          <w:b/>
          <w:bCs/>
          <w:sz w:val="22"/>
          <w:szCs w:val="22"/>
        </w:rPr>
        <w:t>VISTOS</w:t>
      </w:r>
      <w:r w:rsidRPr="1DD209C9">
        <w:rPr>
          <w:rFonts w:ascii="Palatino Linotype" w:hAnsi="Palatino Linotype"/>
          <w:sz w:val="22"/>
          <w:szCs w:val="22"/>
        </w:rPr>
        <w:t xml:space="preserve"> los expedientes formados con motivo de los Recursos de Revisión</w:t>
      </w:r>
      <w:r w:rsidRPr="1DD209C9">
        <w:rPr>
          <w:rFonts w:ascii="Palatino Linotype" w:hAnsi="Palatino Linotype"/>
          <w:b/>
          <w:bCs/>
          <w:color w:val="FF0000"/>
          <w:sz w:val="22"/>
          <w:szCs w:val="22"/>
        </w:rPr>
        <w:t xml:space="preserve"> </w:t>
      </w:r>
      <w:r w:rsidRPr="1DD209C9">
        <w:rPr>
          <w:rFonts w:ascii="Palatino Linotype" w:hAnsi="Palatino Linotype"/>
          <w:b/>
          <w:bCs/>
          <w:sz w:val="22"/>
          <w:szCs w:val="22"/>
        </w:rPr>
        <w:t>06467/INFOEM/IP/RR/2021 y 00023/INFOEM/IP/RR/2022</w:t>
      </w:r>
      <w:r w:rsidRPr="1DD209C9">
        <w:rPr>
          <w:rFonts w:ascii="Palatino Linotype" w:hAnsi="Palatino Linotype"/>
          <w:sz w:val="22"/>
          <w:szCs w:val="22"/>
        </w:rPr>
        <w:t xml:space="preserve">, promovidos por la </w:t>
      </w:r>
      <w:r w:rsidRPr="1DD209C9">
        <w:rPr>
          <w:rFonts w:ascii="Palatino Linotype" w:hAnsi="Palatino Linotype"/>
          <w:b/>
          <w:bCs/>
          <w:sz w:val="22"/>
          <w:szCs w:val="22"/>
        </w:rPr>
        <w:t xml:space="preserve">C. </w:t>
      </w:r>
      <w:r w:rsidRPr="1DD209C9">
        <w:rPr>
          <w:rFonts w:ascii="Palatino Linotype" w:hAnsi="Palatino Linotype"/>
          <w:sz w:val="22"/>
          <w:szCs w:val="22"/>
          <w:highlight w:val="black"/>
          <w:lang w:val="es-ES"/>
        </w:rPr>
        <w:t>XXXX</w:t>
      </w:r>
      <w:r w:rsidRPr="1DD209C9">
        <w:rPr>
          <w:rFonts w:ascii="Palatino Linotype" w:hAnsi="Palatino Linotype"/>
          <w:b/>
          <w:bCs/>
          <w:sz w:val="22"/>
          <w:szCs w:val="22"/>
          <w:lang w:val="es-ES"/>
        </w:rPr>
        <w:t xml:space="preserve">, </w:t>
      </w:r>
      <w:r w:rsidRPr="1DD209C9">
        <w:rPr>
          <w:rFonts w:ascii="Palatino Linotype" w:hAnsi="Palatino Linotype"/>
          <w:sz w:val="22"/>
          <w:szCs w:val="22"/>
          <w:lang w:val="es-ES"/>
        </w:rPr>
        <w:t>a quien en</w:t>
      </w:r>
      <w:r w:rsidRPr="1DD209C9">
        <w:rPr>
          <w:rFonts w:ascii="Palatino Linotype" w:hAnsi="Palatino Linotype" w:cs="Arial"/>
          <w:sz w:val="22"/>
          <w:szCs w:val="22"/>
        </w:rPr>
        <w:t xml:space="preserve"> lo sucesivo se le denominará </w:t>
      </w:r>
      <w:r w:rsidRPr="1DD209C9">
        <w:rPr>
          <w:rFonts w:ascii="Palatino Linotype" w:hAnsi="Palatino Linotype" w:cs="Arial"/>
          <w:b/>
          <w:bCs/>
          <w:sz w:val="22"/>
          <w:szCs w:val="22"/>
        </w:rPr>
        <w:t>LA RECURRENTE</w:t>
      </w:r>
      <w:r w:rsidRPr="1DD209C9">
        <w:rPr>
          <w:rFonts w:ascii="Palatino Linotype" w:hAnsi="Palatino Linotype"/>
          <w:sz w:val="22"/>
          <w:szCs w:val="22"/>
        </w:rPr>
        <w:t>, en contra de las respuestas emitidas por el</w:t>
      </w:r>
      <w:r w:rsidRPr="1DD209C9">
        <w:rPr>
          <w:rFonts w:ascii="Palatino Linotype" w:hAnsi="Palatino Linotype"/>
          <w:b/>
          <w:bCs/>
          <w:color w:val="000000" w:themeColor="text1"/>
          <w:sz w:val="22"/>
          <w:szCs w:val="22"/>
        </w:rPr>
        <w:t xml:space="preserve"> </w:t>
      </w:r>
      <w:r w:rsidRPr="1DD209C9">
        <w:rPr>
          <w:rFonts w:ascii="Palatino Linotype" w:hAnsi="Palatino Linotype"/>
          <w:b/>
          <w:bCs/>
          <w:sz w:val="22"/>
          <w:szCs w:val="22"/>
        </w:rPr>
        <w:t xml:space="preserve">Ayuntamiento de Ecatepec de Morelos, </w:t>
      </w:r>
      <w:r w:rsidRPr="1DD209C9">
        <w:rPr>
          <w:rFonts w:ascii="Palatino Linotype" w:hAnsi="Palatino Linotype"/>
          <w:sz w:val="22"/>
          <w:szCs w:val="22"/>
        </w:rPr>
        <w:t xml:space="preserve">a quien en lo sucesivo se le denominará </w:t>
      </w:r>
      <w:r w:rsidRPr="1DD209C9">
        <w:rPr>
          <w:rFonts w:ascii="Palatino Linotype" w:hAnsi="Palatino Linotype"/>
          <w:b/>
          <w:bCs/>
          <w:sz w:val="22"/>
          <w:szCs w:val="22"/>
        </w:rPr>
        <w:t>EL SUJETO OBLIGADO</w:t>
      </w:r>
      <w:r w:rsidRPr="1DD209C9">
        <w:rPr>
          <w:rFonts w:ascii="Palatino Linotype" w:hAnsi="Palatino Linotype"/>
          <w:sz w:val="22"/>
          <w:szCs w:val="22"/>
        </w:rPr>
        <w:t xml:space="preserve">, se procede a dictar la presente Resolución, </w:t>
      </w:r>
      <w:r w:rsidRPr="1DD209C9">
        <w:rPr>
          <w:rFonts w:ascii="Palatino Linotype" w:hAnsi="Palatino Linotype" w:cs="Arial"/>
          <w:sz w:val="22"/>
          <w:szCs w:val="22"/>
        </w:rPr>
        <w:t>con base en lo siguiente:</w:t>
      </w:r>
    </w:p>
    <w:p w14:paraId="214E84EA" w14:textId="77777777" w:rsidR="00317673" w:rsidRPr="004F1BDC" w:rsidRDefault="00317673" w:rsidP="00AD61EF">
      <w:pPr>
        <w:spacing w:line="360" w:lineRule="auto"/>
        <w:jc w:val="both"/>
        <w:rPr>
          <w:rFonts w:ascii="Palatino Linotype" w:hAnsi="Palatino Linotype" w:cs="Arial"/>
          <w:sz w:val="22"/>
          <w:szCs w:val="22"/>
        </w:rPr>
      </w:pPr>
    </w:p>
    <w:p w14:paraId="5AE2C427" w14:textId="25D83889" w:rsidR="00721230" w:rsidRDefault="00721230" w:rsidP="00221864">
      <w:pPr>
        <w:spacing w:line="360" w:lineRule="auto"/>
        <w:jc w:val="center"/>
        <w:rPr>
          <w:rFonts w:ascii="Palatino Linotype" w:hAnsi="Palatino Linotype"/>
          <w:b/>
          <w:bCs/>
          <w:spacing w:val="60"/>
        </w:rPr>
      </w:pPr>
      <w:r w:rsidRPr="004F1BDC">
        <w:rPr>
          <w:rFonts w:ascii="Palatino Linotype" w:hAnsi="Palatino Linotype"/>
          <w:b/>
          <w:bCs/>
          <w:spacing w:val="60"/>
        </w:rPr>
        <w:t>RESULTANDO</w:t>
      </w:r>
    </w:p>
    <w:p w14:paraId="72FDB782" w14:textId="77777777" w:rsidR="00317673" w:rsidRPr="004F1BDC" w:rsidRDefault="00317673" w:rsidP="00221864">
      <w:pPr>
        <w:spacing w:line="360" w:lineRule="auto"/>
        <w:jc w:val="center"/>
        <w:rPr>
          <w:rFonts w:ascii="Palatino Linotype" w:hAnsi="Palatino Linotype"/>
          <w:b/>
          <w:bCs/>
          <w:spacing w:val="60"/>
        </w:rPr>
      </w:pPr>
    </w:p>
    <w:p w14:paraId="488BF524" w14:textId="251A2D8A" w:rsidR="00721230" w:rsidRDefault="00721230" w:rsidP="00221864">
      <w:pPr>
        <w:spacing w:line="360" w:lineRule="auto"/>
        <w:jc w:val="both"/>
        <w:rPr>
          <w:rFonts w:ascii="Palatino Linotype" w:hAnsi="Palatino Linotype"/>
          <w:sz w:val="22"/>
          <w:szCs w:val="22"/>
        </w:rPr>
      </w:pPr>
      <w:r w:rsidRPr="004F1BDC">
        <w:rPr>
          <w:rFonts w:ascii="Palatino Linotype" w:hAnsi="Palatino Linotype"/>
          <w:b/>
          <w:color w:val="000000" w:themeColor="text1"/>
        </w:rPr>
        <w:t>I.</w:t>
      </w:r>
      <w:r w:rsidRPr="004F1BDC">
        <w:rPr>
          <w:rFonts w:ascii="Palatino Linotype" w:hAnsi="Palatino Linotype"/>
          <w:b/>
          <w:color w:val="000000" w:themeColor="text1"/>
          <w:sz w:val="22"/>
          <w:szCs w:val="22"/>
        </w:rPr>
        <w:t xml:space="preserve"> </w:t>
      </w:r>
      <w:r w:rsidRPr="004F1BDC">
        <w:rPr>
          <w:rFonts w:ascii="Palatino Linotype" w:hAnsi="Palatino Linotype"/>
          <w:sz w:val="22"/>
          <w:szCs w:val="22"/>
        </w:rPr>
        <w:t xml:space="preserve">En </w:t>
      </w:r>
      <w:r w:rsidRPr="004F1BDC">
        <w:rPr>
          <w:rFonts w:ascii="Palatino Linotype" w:hAnsi="Palatino Linotype" w:cs="Arial"/>
          <w:sz w:val="22"/>
          <w:szCs w:val="22"/>
        </w:rPr>
        <w:t xml:space="preserve">fecha </w:t>
      </w:r>
      <w:r w:rsidR="004F1BDC">
        <w:rPr>
          <w:rFonts w:ascii="Palatino Linotype" w:hAnsi="Palatino Linotype" w:cs="Arial"/>
          <w:sz w:val="22"/>
          <w:szCs w:val="22"/>
        </w:rPr>
        <w:t>dieciséis de noviembre de do</w:t>
      </w:r>
      <w:r w:rsidRPr="004F1BDC">
        <w:rPr>
          <w:rFonts w:ascii="Palatino Linotype" w:hAnsi="Palatino Linotype" w:cs="Arial"/>
          <w:sz w:val="22"/>
          <w:szCs w:val="22"/>
        </w:rPr>
        <w:t xml:space="preserve">s mil veintiuno, </w:t>
      </w:r>
      <w:r w:rsidRPr="004F1BDC">
        <w:rPr>
          <w:rFonts w:ascii="Palatino Linotype" w:hAnsi="Palatino Linotype" w:cs="Arial"/>
          <w:b/>
          <w:sz w:val="22"/>
          <w:szCs w:val="22"/>
        </w:rPr>
        <w:t>L</w:t>
      </w:r>
      <w:r w:rsidR="00065F80" w:rsidRPr="004F1BDC">
        <w:rPr>
          <w:rFonts w:ascii="Palatino Linotype" w:hAnsi="Palatino Linotype" w:cs="Arial"/>
          <w:b/>
          <w:sz w:val="22"/>
          <w:szCs w:val="22"/>
        </w:rPr>
        <w:t>A</w:t>
      </w:r>
      <w:r w:rsidRPr="004F1BDC">
        <w:rPr>
          <w:rFonts w:ascii="Palatino Linotype" w:hAnsi="Palatino Linotype" w:cs="Arial"/>
          <w:b/>
          <w:sz w:val="22"/>
          <w:szCs w:val="22"/>
        </w:rPr>
        <w:t xml:space="preserve"> RECURRENTE</w:t>
      </w:r>
      <w:r w:rsidRPr="004F1BDC">
        <w:rPr>
          <w:rFonts w:ascii="Palatino Linotype" w:hAnsi="Palatino Linotype"/>
          <w:sz w:val="22"/>
          <w:szCs w:val="22"/>
        </w:rPr>
        <w:t xml:space="preserve"> presentó a través de</w:t>
      </w:r>
      <w:r w:rsidR="004F1BDC">
        <w:rPr>
          <w:rFonts w:ascii="Palatino Linotype" w:hAnsi="Palatino Linotype"/>
          <w:sz w:val="22"/>
          <w:szCs w:val="22"/>
        </w:rPr>
        <w:t xml:space="preserve"> </w:t>
      </w:r>
      <w:r w:rsidRPr="004F1BDC">
        <w:rPr>
          <w:rFonts w:ascii="Palatino Linotype" w:hAnsi="Palatino Linotype"/>
          <w:sz w:val="22"/>
          <w:szCs w:val="22"/>
        </w:rPr>
        <w:t>l</w:t>
      </w:r>
      <w:r w:rsidR="004F1BDC">
        <w:rPr>
          <w:rFonts w:ascii="Palatino Linotype" w:hAnsi="Palatino Linotype"/>
          <w:sz w:val="22"/>
          <w:szCs w:val="22"/>
        </w:rPr>
        <w:t>a Plataforma Nacional de Transparencia vinculada al</w:t>
      </w:r>
      <w:r w:rsidRPr="004F1BDC">
        <w:rPr>
          <w:rFonts w:ascii="Palatino Linotype" w:hAnsi="Palatino Linotype"/>
          <w:sz w:val="22"/>
          <w:szCs w:val="22"/>
        </w:rPr>
        <w:t xml:space="preserve"> </w:t>
      </w:r>
      <w:r w:rsidRPr="004F1BDC">
        <w:rPr>
          <w:rFonts w:ascii="Palatino Linotype" w:hAnsi="Palatino Linotype" w:cs="Arial"/>
          <w:sz w:val="22"/>
          <w:szCs w:val="22"/>
        </w:rPr>
        <w:t>Sistema</w:t>
      </w:r>
      <w:r w:rsidRPr="004F1BDC">
        <w:rPr>
          <w:rFonts w:ascii="Palatino Linotype" w:hAnsi="Palatino Linotype"/>
          <w:sz w:val="22"/>
          <w:szCs w:val="22"/>
        </w:rPr>
        <w:t xml:space="preserve"> de Acceso a la Información Mexiquense, en lo subsecuente </w:t>
      </w:r>
      <w:r w:rsidRPr="004F1BDC">
        <w:rPr>
          <w:rFonts w:ascii="Palatino Linotype" w:hAnsi="Palatino Linotype"/>
          <w:b/>
          <w:sz w:val="22"/>
          <w:szCs w:val="22"/>
        </w:rPr>
        <w:t>EL SAIMEX</w:t>
      </w:r>
      <w:r w:rsidRPr="004F1BDC">
        <w:rPr>
          <w:rFonts w:ascii="Palatino Linotype" w:hAnsi="Palatino Linotype"/>
          <w:sz w:val="22"/>
          <w:szCs w:val="22"/>
        </w:rPr>
        <w:t xml:space="preserve"> ante </w:t>
      </w:r>
      <w:r w:rsidRPr="004F1BDC">
        <w:rPr>
          <w:rFonts w:ascii="Palatino Linotype" w:hAnsi="Palatino Linotype"/>
          <w:b/>
          <w:sz w:val="22"/>
          <w:szCs w:val="22"/>
        </w:rPr>
        <w:t>EL SUJETO OBLIGADO</w:t>
      </w:r>
      <w:r w:rsidRPr="004F1BDC">
        <w:rPr>
          <w:rFonts w:ascii="Palatino Linotype" w:hAnsi="Palatino Linotype"/>
          <w:sz w:val="22"/>
          <w:szCs w:val="22"/>
        </w:rPr>
        <w:t xml:space="preserve">, las solicitudes de </w:t>
      </w:r>
      <w:r w:rsidR="00F533F3">
        <w:rPr>
          <w:rFonts w:ascii="Palatino Linotype" w:hAnsi="Palatino Linotype"/>
          <w:sz w:val="22"/>
          <w:szCs w:val="22"/>
        </w:rPr>
        <w:t>acceso a la Información Pública</w:t>
      </w:r>
      <w:r w:rsidRPr="004F1BDC">
        <w:rPr>
          <w:rFonts w:ascii="Palatino Linotype" w:hAnsi="Palatino Linotype"/>
          <w:sz w:val="22"/>
          <w:szCs w:val="22"/>
        </w:rPr>
        <w:t xml:space="preserve">, a las que se les asignó los números </w:t>
      </w:r>
      <w:r w:rsidR="004F1BDC" w:rsidRPr="004F1BDC">
        <w:rPr>
          <w:rFonts w:ascii="Palatino Linotype" w:hAnsi="Palatino Linotype"/>
          <w:b/>
          <w:bCs/>
          <w:sz w:val="22"/>
          <w:szCs w:val="22"/>
        </w:rPr>
        <w:t>00876/ECATEPEC/IP/2021</w:t>
      </w:r>
      <w:r w:rsidR="004F1BDC">
        <w:rPr>
          <w:rFonts w:ascii="Palatino Linotype" w:hAnsi="Palatino Linotype"/>
          <w:sz w:val="22"/>
          <w:szCs w:val="22"/>
        </w:rPr>
        <w:t xml:space="preserve"> </w:t>
      </w:r>
      <w:r w:rsidRPr="004F1BDC">
        <w:rPr>
          <w:rFonts w:ascii="Palatino Linotype" w:hAnsi="Palatino Linotype"/>
          <w:bCs/>
          <w:sz w:val="22"/>
          <w:szCs w:val="22"/>
        </w:rPr>
        <w:t xml:space="preserve">y </w:t>
      </w:r>
      <w:r w:rsidR="002F3F03" w:rsidRPr="002F3F03">
        <w:rPr>
          <w:rFonts w:ascii="Palatino Linotype" w:hAnsi="Palatino Linotype"/>
          <w:b/>
          <w:bCs/>
          <w:sz w:val="22"/>
          <w:szCs w:val="22"/>
        </w:rPr>
        <w:t>00875/ECATEPEC/IP/2021</w:t>
      </w:r>
      <w:r w:rsidR="002F3F03">
        <w:rPr>
          <w:rFonts w:ascii="Palatino Linotype" w:hAnsi="Palatino Linotype"/>
          <w:b/>
          <w:bCs/>
          <w:sz w:val="22"/>
          <w:szCs w:val="22"/>
        </w:rPr>
        <w:t xml:space="preserve"> </w:t>
      </w:r>
      <w:r w:rsidRPr="004F1BDC">
        <w:rPr>
          <w:rFonts w:ascii="Palatino Linotype" w:hAnsi="Palatino Linotype"/>
          <w:sz w:val="22"/>
          <w:szCs w:val="22"/>
        </w:rPr>
        <w:t>mediante las cuales requirió lo siguiente:</w:t>
      </w:r>
    </w:p>
    <w:p w14:paraId="5C69D7FD" w14:textId="77777777" w:rsidR="00064D58" w:rsidRPr="004F1BDC" w:rsidRDefault="00064D58" w:rsidP="00221864">
      <w:pPr>
        <w:spacing w:line="360" w:lineRule="auto"/>
        <w:jc w:val="both"/>
        <w:rPr>
          <w:rFonts w:ascii="Palatino Linotype" w:hAnsi="Palatino Linotype"/>
          <w:sz w:val="22"/>
          <w:szCs w:val="22"/>
        </w:rPr>
      </w:pPr>
    </w:p>
    <w:tbl>
      <w:tblPr>
        <w:tblStyle w:val="Tablaconcuadrcula"/>
        <w:tblW w:w="8359" w:type="dxa"/>
        <w:jc w:val="center"/>
        <w:tblLook w:val="04A0" w:firstRow="1" w:lastRow="0" w:firstColumn="1" w:lastColumn="0" w:noHBand="0" w:noVBand="1"/>
      </w:tblPr>
      <w:tblGrid>
        <w:gridCol w:w="2189"/>
        <w:gridCol w:w="2089"/>
        <w:gridCol w:w="4081"/>
      </w:tblGrid>
      <w:tr w:rsidR="003118F1" w:rsidRPr="004F1BDC" w14:paraId="503FD4DE" w14:textId="77777777" w:rsidTr="004F1BDC">
        <w:trPr>
          <w:trHeight w:val="767"/>
          <w:jc w:val="center"/>
        </w:trPr>
        <w:tc>
          <w:tcPr>
            <w:tcW w:w="2189" w:type="dxa"/>
            <w:shd w:val="clear" w:color="auto" w:fill="000000" w:themeFill="text1"/>
            <w:vAlign w:val="center"/>
          </w:tcPr>
          <w:p w14:paraId="3C485246" w14:textId="77777777" w:rsidR="003118F1" w:rsidRPr="004F1BDC" w:rsidRDefault="003118F1" w:rsidP="00AD61EF">
            <w:pPr>
              <w:spacing w:line="360" w:lineRule="auto"/>
              <w:jc w:val="center"/>
              <w:rPr>
                <w:rFonts w:ascii="Palatino Linotype" w:hAnsi="Palatino Linotype"/>
                <w:b/>
                <w:bCs/>
                <w:color w:val="FFFFFF" w:themeColor="background1"/>
                <w:sz w:val="16"/>
                <w:szCs w:val="16"/>
              </w:rPr>
            </w:pPr>
            <w:r w:rsidRPr="004F1BDC">
              <w:rPr>
                <w:rFonts w:ascii="Palatino Linotype" w:hAnsi="Palatino Linotype"/>
                <w:b/>
                <w:bCs/>
                <w:color w:val="FFFFFF" w:themeColor="background1"/>
                <w:sz w:val="16"/>
                <w:szCs w:val="16"/>
              </w:rPr>
              <w:t>Numero de recurso</w:t>
            </w:r>
          </w:p>
        </w:tc>
        <w:tc>
          <w:tcPr>
            <w:tcW w:w="2089" w:type="dxa"/>
            <w:shd w:val="clear" w:color="auto" w:fill="000000" w:themeFill="text1"/>
            <w:vAlign w:val="center"/>
          </w:tcPr>
          <w:p w14:paraId="3D892C5C" w14:textId="77777777" w:rsidR="003118F1" w:rsidRPr="004F1BDC" w:rsidRDefault="003118F1" w:rsidP="00AD61EF">
            <w:pPr>
              <w:spacing w:line="360" w:lineRule="auto"/>
              <w:jc w:val="center"/>
              <w:rPr>
                <w:rFonts w:ascii="Palatino Linotype" w:hAnsi="Palatino Linotype"/>
                <w:b/>
                <w:bCs/>
                <w:color w:val="FFFFFF" w:themeColor="background1"/>
                <w:sz w:val="16"/>
                <w:szCs w:val="16"/>
              </w:rPr>
            </w:pPr>
            <w:r w:rsidRPr="004F1BDC">
              <w:rPr>
                <w:rFonts w:ascii="Palatino Linotype" w:hAnsi="Palatino Linotype"/>
                <w:b/>
                <w:bCs/>
                <w:color w:val="FFFFFF" w:themeColor="background1"/>
                <w:sz w:val="16"/>
                <w:szCs w:val="16"/>
              </w:rPr>
              <w:t>Número de solicitud</w:t>
            </w:r>
          </w:p>
        </w:tc>
        <w:tc>
          <w:tcPr>
            <w:tcW w:w="4081" w:type="dxa"/>
            <w:shd w:val="clear" w:color="auto" w:fill="000000" w:themeFill="text1"/>
            <w:vAlign w:val="center"/>
          </w:tcPr>
          <w:p w14:paraId="52779299" w14:textId="77777777" w:rsidR="003118F1" w:rsidRPr="004F1BDC" w:rsidRDefault="003118F1" w:rsidP="00AD61EF">
            <w:pPr>
              <w:spacing w:line="360" w:lineRule="auto"/>
              <w:jc w:val="center"/>
              <w:rPr>
                <w:rFonts w:ascii="Palatino Linotype" w:hAnsi="Palatino Linotype"/>
                <w:b/>
                <w:bCs/>
                <w:color w:val="FFFFFF" w:themeColor="background1"/>
                <w:sz w:val="16"/>
                <w:szCs w:val="16"/>
              </w:rPr>
            </w:pPr>
            <w:r w:rsidRPr="004F1BDC">
              <w:rPr>
                <w:rFonts w:ascii="Palatino Linotype" w:hAnsi="Palatino Linotype"/>
                <w:b/>
                <w:bCs/>
                <w:color w:val="FFFFFF" w:themeColor="background1"/>
                <w:sz w:val="16"/>
                <w:szCs w:val="16"/>
              </w:rPr>
              <w:t>Solicitó</w:t>
            </w:r>
          </w:p>
        </w:tc>
      </w:tr>
      <w:tr w:rsidR="00721230" w:rsidRPr="004F1BDC" w14:paraId="06176ED9" w14:textId="77777777" w:rsidTr="004F1BDC">
        <w:trPr>
          <w:trHeight w:val="767"/>
          <w:jc w:val="center"/>
        </w:trPr>
        <w:tc>
          <w:tcPr>
            <w:tcW w:w="2189" w:type="dxa"/>
            <w:vAlign w:val="center"/>
          </w:tcPr>
          <w:p w14:paraId="3BD627F5" w14:textId="6A80AF90" w:rsidR="00721230" w:rsidRPr="004F1BDC" w:rsidRDefault="004F1BDC" w:rsidP="00AD61EF">
            <w:pPr>
              <w:spacing w:line="360" w:lineRule="auto"/>
              <w:jc w:val="center"/>
              <w:rPr>
                <w:rFonts w:ascii="Palatino Linotype" w:hAnsi="Palatino Linotype" w:cs="Arial"/>
                <w:b/>
                <w:sz w:val="16"/>
                <w:szCs w:val="16"/>
                <w:lang w:val="es-ES"/>
              </w:rPr>
            </w:pPr>
            <w:bookmarkStart w:id="1" w:name="_Ref531692384"/>
            <w:bookmarkStart w:id="2" w:name="_Ref516764469"/>
            <w:r>
              <w:rPr>
                <w:rFonts w:ascii="Palatino Linotype" w:hAnsi="Palatino Linotype"/>
                <w:b/>
                <w:bCs/>
                <w:sz w:val="16"/>
                <w:szCs w:val="16"/>
              </w:rPr>
              <w:t>06467</w:t>
            </w:r>
            <w:r w:rsidR="00721230" w:rsidRPr="004F1BDC">
              <w:rPr>
                <w:rFonts w:ascii="Palatino Linotype" w:hAnsi="Palatino Linotype"/>
                <w:b/>
                <w:bCs/>
                <w:sz w:val="16"/>
                <w:szCs w:val="16"/>
              </w:rPr>
              <w:t>/INFOEM/IP/RR/2021</w:t>
            </w:r>
          </w:p>
        </w:tc>
        <w:tc>
          <w:tcPr>
            <w:tcW w:w="2089" w:type="dxa"/>
            <w:vAlign w:val="center"/>
          </w:tcPr>
          <w:p w14:paraId="21C7BDA5" w14:textId="2374FADA" w:rsidR="00721230" w:rsidRPr="004F1BDC" w:rsidRDefault="004F1BDC" w:rsidP="00AD61EF">
            <w:pPr>
              <w:spacing w:line="360" w:lineRule="auto"/>
              <w:jc w:val="center"/>
              <w:rPr>
                <w:rFonts w:ascii="Palatino Linotype" w:hAnsi="Palatino Linotype"/>
                <w:b/>
                <w:bCs/>
                <w:sz w:val="16"/>
                <w:szCs w:val="16"/>
              </w:rPr>
            </w:pPr>
            <w:r w:rsidRPr="004F1BDC">
              <w:rPr>
                <w:rFonts w:ascii="Palatino Linotype" w:hAnsi="Palatino Linotype"/>
                <w:b/>
                <w:bCs/>
                <w:sz w:val="16"/>
                <w:szCs w:val="16"/>
              </w:rPr>
              <w:t>00876/ECATEPEC/IP/2021</w:t>
            </w:r>
          </w:p>
        </w:tc>
        <w:tc>
          <w:tcPr>
            <w:tcW w:w="4081" w:type="dxa"/>
          </w:tcPr>
          <w:p w14:paraId="06C31C0A" w14:textId="3ABA8FBF" w:rsidR="00721230" w:rsidRPr="004F1BDC" w:rsidRDefault="004F1BDC" w:rsidP="00221864">
            <w:pPr>
              <w:spacing w:line="360" w:lineRule="auto"/>
              <w:jc w:val="both"/>
              <w:rPr>
                <w:rFonts w:ascii="Palatino Linotype" w:hAnsi="Palatino Linotype"/>
                <w:i/>
                <w:sz w:val="16"/>
                <w:szCs w:val="16"/>
                <w:lang w:val="es-ES"/>
              </w:rPr>
            </w:pPr>
            <w:r w:rsidRPr="004F1BDC">
              <w:rPr>
                <w:rFonts w:ascii="Palatino Linotype" w:hAnsi="Palatino Linotype"/>
                <w:i/>
                <w:sz w:val="16"/>
                <w:szCs w:val="16"/>
                <w:lang w:val="es-ES"/>
              </w:rPr>
              <w:t>Sanciones aplicadas y servidores públicos sancionados del año 2018 a la fecha. Señalar nombre, cargo de los servidores públicos y motivos de las sanciones</w:t>
            </w:r>
          </w:p>
        </w:tc>
      </w:tr>
      <w:tr w:rsidR="00721230" w:rsidRPr="004F1BDC" w14:paraId="4FC27447" w14:textId="77777777" w:rsidTr="004F1BDC">
        <w:trPr>
          <w:trHeight w:val="460"/>
          <w:jc w:val="center"/>
        </w:trPr>
        <w:tc>
          <w:tcPr>
            <w:tcW w:w="2189" w:type="dxa"/>
            <w:vAlign w:val="center"/>
          </w:tcPr>
          <w:p w14:paraId="4C042BAF" w14:textId="1F31D4DC" w:rsidR="00721230" w:rsidRPr="004F1BDC" w:rsidRDefault="00064D58" w:rsidP="00AD61EF">
            <w:pPr>
              <w:spacing w:line="360" w:lineRule="auto"/>
              <w:jc w:val="center"/>
              <w:rPr>
                <w:rFonts w:ascii="Palatino Linotype" w:hAnsi="Palatino Linotype" w:cs="Arial"/>
                <w:b/>
                <w:sz w:val="16"/>
                <w:szCs w:val="16"/>
                <w:lang w:val="es-ES"/>
              </w:rPr>
            </w:pPr>
            <w:r>
              <w:rPr>
                <w:rFonts w:ascii="Palatino Linotype" w:hAnsi="Palatino Linotype"/>
                <w:b/>
                <w:bCs/>
                <w:sz w:val="16"/>
                <w:szCs w:val="16"/>
              </w:rPr>
              <w:t>00023/INFOEM/IP/RR/2022</w:t>
            </w:r>
          </w:p>
        </w:tc>
        <w:tc>
          <w:tcPr>
            <w:tcW w:w="2089" w:type="dxa"/>
            <w:vAlign w:val="center"/>
          </w:tcPr>
          <w:p w14:paraId="570CC2E5" w14:textId="7BAD187D" w:rsidR="00721230" w:rsidRPr="004F1BDC" w:rsidRDefault="006E07BB" w:rsidP="00AD61EF">
            <w:pPr>
              <w:spacing w:line="360" w:lineRule="auto"/>
              <w:jc w:val="center"/>
              <w:rPr>
                <w:rFonts w:ascii="Palatino Linotype" w:hAnsi="Palatino Linotype"/>
                <w:b/>
                <w:bCs/>
                <w:sz w:val="16"/>
                <w:szCs w:val="16"/>
              </w:rPr>
            </w:pPr>
            <w:r w:rsidRPr="006E07BB">
              <w:rPr>
                <w:rFonts w:ascii="Palatino Linotype" w:hAnsi="Palatino Linotype"/>
                <w:b/>
                <w:bCs/>
                <w:sz w:val="16"/>
                <w:szCs w:val="16"/>
              </w:rPr>
              <w:t>00875/ECATEPEC/IP/2021</w:t>
            </w:r>
          </w:p>
        </w:tc>
        <w:tc>
          <w:tcPr>
            <w:tcW w:w="4081" w:type="dxa"/>
          </w:tcPr>
          <w:p w14:paraId="021DE40D" w14:textId="1690A286" w:rsidR="00721230" w:rsidRPr="004F1BDC" w:rsidRDefault="006E07BB" w:rsidP="00221864">
            <w:pPr>
              <w:spacing w:line="360" w:lineRule="auto"/>
              <w:jc w:val="both"/>
              <w:rPr>
                <w:rFonts w:ascii="Palatino Linotype" w:hAnsi="Palatino Linotype"/>
                <w:i/>
                <w:sz w:val="16"/>
                <w:szCs w:val="16"/>
                <w:lang w:val="es-ES"/>
              </w:rPr>
            </w:pPr>
            <w:r w:rsidRPr="006E07BB">
              <w:rPr>
                <w:rFonts w:ascii="Palatino Linotype" w:hAnsi="Palatino Linotype"/>
                <w:i/>
                <w:sz w:val="16"/>
                <w:szCs w:val="16"/>
                <w:lang w:val="es-ES"/>
              </w:rPr>
              <w:t xml:space="preserve">Solicito la siguiente información: Quejas y denuncias recibidas por incumplimiento de las obligaciones de los servidores públicos del Ayuntamiento de Ecatepec de </w:t>
            </w:r>
            <w:r w:rsidRPr="006E07BB">
              <w:rPr>
                <w:rFonts w:ascii="Palatino Linotype" w:hAnsi="Palatino Linotype"/>
                <w:i/>
                <w:sz w:val="16"/>
                <w:szCs w:val="16"/>
                <w:lang w:val="es-ES"/>
              </w:rPr>
              <w:lastRenderedPageBreak/>
              <w:t>Morelos, del año 2012 a la fecha. Desglosar información por mes en una hoja de cálculo</w:t>
            </w:r>
          </w:p>
        </w:tc>
      </w:tr>
    </w:tbl>
    <w:p w14:paraId="17EFD15C" w14:textId="77777777" w:rsidR="00317673" w:rsidRDefault="00317673" w:rsidP="00221864">
      <w:pPr>
        <w:spacing w:line="360" w:lineRule="auto"/>
        <w:ind w:right="709"/>
        <w:jc w:val="both"/>
        <w:rPr>
          <w:rFonts w:ascii="Palatino Linotype" w:hAnsi="Palatino Linotype"/>
          <w:b/>
          <w:sz w:val="22"/>
          <w:szCs w:val="22"/>
        </w:rPr>
      </w:pPr>
    </w:p>
    <w:p w14:paraId="71F3B26A" w14:textId="05C369B4" w:rsidR="00721230" w:rsidRDefault="00721230" w:rsidP="00221864">
      <w:pPr>
        <w:spacing w:line="360" w:lineRule="auto"/>
        <w:ind w:right="709"/>
        <w:jc w:val="both"/>
        <w:rPr>
          <w:rFonts w:ascii="Palatino Linotype" w:hAnsi="Palatino Linotype"/>
          <w:b/>
          <w:sz w:val="22"/>
          <w:szCs w:val="22"/>
        </w:rPr>
      </w:pPr>
      <w:r w:rsidRPr="004F1BDC">
        <w:rPr>
          <w:rFonts w:ascii="Palatino Linotype" w:hAnsi="Palatino Linotype"/>
          <w:b/>
          <w:sz w:val="22"/>
          <w:szCs w:val="22"/>
        </w:rPr>
        <w:t>Modalidad de entrega:</w:t>
      </w:r>
      <w:r w:rsidRPr="004F1BDC">
        <w:rPr>
          <w:rFonts w:ascii="Palatino Linotype" w:hAnsi="Palatino Linotype"/>
          <w:sz w:val="22"/>
          <w:szCs w:val="22"/>
        </w:rPr>
        <w:t xml:space="preserve"> Vía </w:t>
      </w:r>
      <w:bookmarkStart w:id="3" w:name="_Ref507070922"/>
      <w:bookmarkEnd w:id="1"/>
      <w:bookmarkEnd w:id="2"/>
      <w:r w:rsidR="004F1BDC" w:rsidRPr="004F1BDC">
        <w:rPr>
          <w:rFonts w:ascii="Palatino Linotype" w:hAnsi="Palatino Linotype"/>
          <w:b/>
          <w:sz w:val="22"/>
          <w:szCs w:val="22"/>
        </w:rPr>
        <w:t xml:space="preserve">EL </w:t>
      </w:r>
      <w:r w:rsidRPr="004F1BDC">
        <w:rPr>
          <w:rFonts w:ascii="Palatino Linotype" w:hAnsi="Palatino Linotype"/>
          <w:b/>
          <w:sz w:val="22"/>
          <w:szCs w:val="22"/>
        </w:rPr>
        <w:t>SAIMEX</w:t>
      </w:r>
      <w:r w:rsidR="00112552">
        <w:rPr>
          <w:rFonts w:ascii="Palatino Linotype" w:hAnsi="Palatino Linotype"/>
          <w:b/>
          <w:sz w:val="22"/>
          <w:szCs w:val="22"/>
        </w:rPr>
        <w:t>.</w:t>
      </w:r>
    </w:p>
    <w:p w14:paraId="22ADA7E8" w14:textId="77777777" w:rsidR="00317673" w:rsidRPr="004F1BDC" w:rsidRDefault="00317673" w:rsidP="00AD61EF">
      <w:pPr>
        <w:spacing w:line="360" w:lineRule="auto"/>
        <w:ind w:right="709"/>
        <w:jc w:val="both"/>
        <w:rPr>
          <w:rFonts w:ascii="Palatino Linotype" w:hAnsi="Palatino Linotype"/>
          <w:sz w:val="22"/>
          <w:szCs w:val="22"/>
        </w:rPr>
      </w:pPr>
    </w:p>
    <w:p w14:paraId="2D108F8F" w14:textId="55BFABE0" w:rsidR="00721230" w:rsidRPr="006471F3" w:rsidRDefault="00721230" w:rsidP="00AD61EF">
      <w:pPr>
        <w:spacing w:line="360" w:lineRule="auto"/>
        <w:jc w:val="both"/>
        <w:rPr>
          <w:rFonts w:ascii="Palatino Linotype" w:hAnsi="Palatino Linotype"/>
          <w:b/>
        </w:rPr>
      </w:pPr>
      <w:r w:rsidRPr="004F1BDC">
        <w:rPr>
          <w:rFonts w:ascii="Palatino Linotype" w:hAnsi="Palatino Linotype"/>
          <w:b/>
        </w:rPr>
        <w:t>II.</w:t>
      </w:r>
      <w:r>
        <w:rPr>
          <w:rFonts w:ascii="Palatino Linotype" w:hAnsi="Palatino Linotype"/>
          <w:b/>
          <w:sz w:val="28"/>
          <w:szCs w:val="28"/>
        </w:rPr>
        <w:t xml:space="preserve"> </w:t>
      </w:r>
      <w:r w:rsidRPr="004F1BDC">
        <w:rPr>
          <w:rFonts w:ascii="Palatino Linotype" w:hAnsi="Palatino Linotype" w:cs="Arial"/>
          <w:sz w:val="22"/>
          <w:szCs w:val="22"/>
        </w:rPr>
        <w:t>Con base en el detalle de seguimiento de</w:t>
      </w:r>
      <w:r w:rsidR="004F1BDC" w:rsidRPr="004F1BDC">
        <w:rPr>
          <w:rFonts w:ascii="Palatino Linotype" w:hAnsi="Palatino Linotype" w:cs="Arial"/>
          <w:sz w:val="22"/>
          <w:szCs w:val="22"/>
        </w:rPr>
        <w:t xml:space="preserve"> </w:t>
      </w:r>
      <w:r w:rsidR="004F1BDC" w:rsidRPr="004F1BDC">
        <w:rPr>
          <w:rFonts w:ascii="Palatino Linotype" w:hAnsi="Palatino Linotype" w:cs="Arial"/>
          <w:b/>
          <w:sz w:val="22"/>
          <w:szCs w:val="22"/>
        </w:rPr>
        <w:t>EL S</w:t>
      </w:r>
      <w:r w:rsidRPr="004F1BDC">
        <w:rPr>
          <w:rFonts w:ascii="Palatino Linotype" w:hAnsi="Palatino Linotype" w:cs="Arial"/>
          <w:b/>
          <w:sz w:val="22"/>
          <w:szCs w:val="22"/>
        </w:rPr>
        <w:t>AIMEX</w:t>
      </w:r>
      <w:r w:rsidR="006471F3">
        <w:rPr>
          <w:rFonts w:ascii="Palatino Linotype" w:hAnsi="Palatino Linotype" w:cs="Arial"/>
          <w:sz w:val="22"/>
          <w:szCs w:val="22"/>
        </w:rPr>
        <w:t xml:space="preserve"> del expediente electrónico formado derivado del Recurso de Revisión materia del presente estudio, </w:t>
      </w:r>
      <w:r w:rsidRPr="004F1BDC">
        <w:rPr>
          <w:rFonts w:ascii="Palatino Linotype" w:hAnsi="Palatino Linotype" w:cs="Arial"/>
          <w:sz w:val="22"/>
          <w:szCs w:val="22"/>
        </w:rPr>
        <w:t>se advierte que</w:t>
      </w:r>
      <w:r w:rsidR="00065F80" w:rsidRPr="004F1BDC">
        <w:rPr>
          <w:rFonts w:ascii="Palatino Linotype" w:hAnsi="Palatino Linotype" w:cs="Arial"/>
          <w:sz w:val="22"/>
          <w:szCs w:val="22"/>
        </w:rPr>
        <w:t xml:space="preserve"> l</w:t>
      </w:r>
      <w:r w:rsidR="004F1BDC" w:rsidRPr="004F1BDC">
        <w:rPr>
          <w:rFonts w:ascii="Palatino Linotype" w:hAnsi="Palatino Linotype" w:cs="Arial"/>
          <w:sz w:val="22"/>
          <w:szCs w:val="22"/>
        </w:rPr>
        <w:t>a</w:t>
      </w:r>
      <w:r w:rsidRPr="004F1BDC">
        <w:rPr>
          <w:rFonts w:ascii="Palatino Linotype" w:hAnsi="Palatino Linotype" w:cs="Arial"/>
          <w:sz w:val="22"/>
          <w:szCs w:val="22"/>
        </w:rPr>
        <w:t xml:space="preserve"> Titular de la Unidad de Transparencia de</w:t>
      </w:r>
      <w:r w:rsidR="00112552">
        <w:rPr>
          <w:rFonts w:ascii="Palatino Linotype" w:hAnsi="Palatino Linotype" w:cs="Arial"/>
          <w:sz w:val="22"/>
          <w:szCs w:val="22"/>
        </w:rPr>
        <w:t xml:space="preserve"> </w:t>
      </w:r>
      <w:r w:rsidR="00112552" w:rsidRPr="004F1BDC">
        <w:rPr>
          <w:rFonts w:ascii="Palatino Linotype" w:hAnsi="Palatino Linotype"/>
          <w:b/>
          <w:sz w:val="22"/>
          <w:szCs w:val="22"/>
        </w:rPr>
        <w:t>EL</w:t>
      </w:r>
      <w:r w:rsidR="00112552" w:rsidRPr="004F1BDC" w:rsidDel="00112552">
        <w:rPr>
          <w:rFonts w:ascii="Palatino Linotype" w:hAnsi="Palatino Linotype" w:cs="Arial"/>
          <w:sz w:val="22"/>
          <w:szCs w:val="22"/>
        </w:rPr>
        <w:t xml:space="preserve"> </w:t>
      </w:r>
      <w:r w:rsidRPr="004F1BDC">
        <w:rPr>
          <w:rFonts w:ascii="Palatino Linotype" w:hAnsi="Palatino Linotype" w:cs="Arial"/>
          <w:sz w:val="22"/>
          <w:szCs w:val="22"/>
        </w:rPr>
        <w:t xml:space="preserve"> </w:t>
      </w:r>
      <w:r w:rsidRPr="004F1BDC">
        <w:rPr>
          <w:rFonts w:ascii="Palatino Linotype" w:hAnsi="Palatino Linotype" w:cs="Arial"/>
          <w:b/>
          <w:sz w:val="22"/>
          <w:szCs w:val="22"/>
        </w:rPr>
        <w:t>SUJETO OBLIGADO</w:t>
      </w:r>
      <w:r w:rsidRPr="004F1BDC">
        <w:rPr>
          <w:rFonts w:ascii="Palatino Linotype" w:hAnsi="Palatino Linotype" w:cs="Arial"/>
          <w:sz w:val="22"/>
          <w:szCs w:val="22"/>
        </w:rPr>
        <w:t xml:space="preserve">, </w:t>
      </w:r>
      <w:r w:rsidR="006471F3">
        <w:rPr>
          <w:rFonts w:ascii="Palatino Linotype" w:hAnsi="Palatino Linotype" w:cs="Arial"/>
          <w:sz w:val="22"/>
          <w:szCs w:val="22"/>
        </w:rPr>
        <w:t xml:space="preserve">en atención a lo previsto </w:t>
      </w:r>
      <w:r w:rsidR="004F1BDC" w:rsidRPr="004F1BDC">
        <w:rPr>
          <w:rFonts w:ascii="Palatino Linotype" w:hAnsi="Palatino Linotype" w:cs="Arial"/>
          <w:sz w:val="22"/>
          <w:szCs w:val="22"/>
        </w:rPr>
        <w:t xml:space="preserve">en el artículo 162 de la Ley de Transparencia y </w:t>
      </w:r>
      <w:r w:rsidR="00F533F3">
        <w:rPr>
          <w:rFonts w:ascii="Palatino Linotype" w:hAnsi="Palatino Linotype" w:cs="Arial"/>
          <w:sz w:val="22"/>
          <w:szCs w:val="22"/>
        </w:rPr>
        <w:t>Acceso a la Información Pública</w:t>
      </w:r>
      <w:r w:rsidR="004F1BDC" w:rsidRPr="004F1BDC">
        <w:rPr>
          <w:rFonts w:ascii="Palatino Linotype" w:hAnsi="Palatino Linotype" w:cs="Arial"/>
          <w:sz w:val="22"/>
          <w:szCs w:val="22"/>
        </w:rPr>
        <w:t xml:space="preserve"> del Estado de México y Municipios, </w:t>
      </w:r>
      <w:r w:rsidRPr="004F1BDC">
        <w:rPr>
          <w:rFonts w:ascii="Palatino Linotype" w:hAnsi="Palatino Linotype" w:cs="Arial"/>
          <w:sz w:val="22"/>
          <w:szCs w:val="22"/>
        </w:rPr>
        <w:t>turnó el contenido de las solicitudes de información a</w:t>
      </w:r>
      <w:r w:rsidR="004F1BDC" w:rsidRPr="004F1BDC">
        <w:rPr>
          <w:rFonts w:ascii="Palatino Linotype" w:hAnsi="Palatino Linotype" w:cs="Arial"/>
          <w:sz w:val="22"/>
          <w:szCs w:val="22"/>
        </w:rPr>
        <w:t xml:space="preserve"> </w:t>
      </w:r>
      <w:r w:rsidR="00065F80" w:rsidRPr="004F1BDC">
        <w:rPr>
          <w:rFonts w:ascii="Palatino Linotype" w:hAnsi="Palatino Linotype" w:cs="Arial"/>
          <w:sz w:val="22"/>
          <w:szCs w:val="22"/>
        </w:rPr>
        <w:t>l</w:t>
      </w:r>
      <w:r w:rsidR="004F1BDC" w:rsidRPr="004F1BDC">
        <w:rPr>
          <w:rFonts w:ascii="Palatino Linotype" w:hAnsi="Palatino Linotype" w:cs="Arial"/>
          <w:sz w:val="22"/>
          <w:szCs w:val="22"/>
        </w:rPr>
        <w:t xml:space="preserve">a servidora pública que estimó competente </w:t>
      </w:r>
      <w:r w:rsidRPr="004F1BDC">
        <w:rPr>
          <w:rFonts w:ascii="Palatino Linotype" w:hAnsi="Palatino Linotype" w:cs="Arial"/>
          <w:sz w:val="22"/>
          <w:szCs w:val="22"/>
        </w:rPr>
        <w:t xml:space="preserve">a efecto de que realizará la búsqueda y localización de la información, tal y como se desprende de las siguientes imágenes: </w:t>
      </w:r>
    </w:p>
    <w:p w14:paraId="6F602EF2" w14:textId="112C9850" w:rsidR="00721230" w:rsidRDefault="004F1BDC" w:rsidP="00221864">
      <w:pPr>
        <w:pStyle w:val="Prrafodelista"/>
        <w:spacing w:line="360" w:lineRule="auto"/>
        <w:ind w:left="0"/>
        <w:contextualSpacing/>
        <w:jc w:val="center"/>
        <w:rPr>
          <w:rFonts w:ascii="Palatino Linotype" w:hAnsi="Palatino Linotype" w:cs="Arial"/>
        </w:rPr>
      </w:pPr>
      <w:r w:rsidRPr="004F1BDC">
        <w:rPr>
          <w:rFonts w:ascii="Palatino Linotype" w:hAnsi="Palatino Linotype" w:cs="Arial"/>
          <w:noProof/>
          <w:lang w:eastAsia="es-MX"/>
        </w:rPr>
        <w:drawing>
          <wp:inline distT="0" distB="0" distL="0" distR="0" wp14:anchorId="27AE2FB4" wp14:editId="3483A232">
            <wp:extent cx="5241925" cy="5143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9210" t="36550" r="16950" b="54386"/>
                    <a:stretch/>
                  </pic:blipFill>
                  <pic:spPr bwMode="auto">
                    <a:xfrm>
                      <a:off x="0" y="0"/>
                      <a:ext cx="5243535" cy="514508"/>
                    </a:xfrm>
                    <a:prstGeom prst="rect">
                      <a:avLst/>
                    </a:prstGeom>
                    <a:ln>
                      <a:noFill/>
                    </a:ln>
                    <a:extLst>
                      <a:ext uri="{53640926-AAD7-44D8-BBD7-CCE9431645EC}">
                        <a14:shadowObscured xmlns:a14="http://schemas.microsoft.com/office/drawing/2010/main"/>
                      </a:ext>
                    </a:extLst>
                  </pic:spPr>
                </pic:pic>
              </a:graphicData>
            </a:graphic>
          </wp:inline>
        </w:drawing>
      </w:r>
    </w:p>
    <w:p w14:paraId="6AD575AA" w14:textId="77777777" w:rsidR="00316882" w:rsidRDefault="00316882" w:rsidP="00221864">
      <w:pPr>
        <w:pStyle w:val="Prrafodelista"/>
        <w:spacing w:line="360" w:lineRule="auto"/>
        <w:ind w:left="0"/>
        <w:contextualSpacing/>
        <w:jc w:val="center"/>
        <w:rPr>
          <w:rFonts w:ascii="Palatino Linotype" w:hAnsi="Palatino Linotype" w:cs="Arial"/>
        </w:rPr>
      </w:pPr>
    </w:p>
    <w:p w14:paraId="76DBE0D1" w14:textId="75CCFE66" w:rsidR="006E07BB" w:rsidRDefault="006E07BB" w:rsidP="00221864">
      <w:pPr>
        <w:pStyle w:val="Prrafodelista"/>
        <w:spacing w:line="360" w:lineRule="auto"/>
        <w:ind w:left="0"/>
        <w:contextualSpacing/>
        <w:jc w:val="center"/>
        <w:rPr>
          <w:rFonts w:ascii="Palatino Linotype" w:hAnsi="Palatino Linotype" w:cs="Arial"/>
        </w:rPr>
      </w:pPr>
      <w:r w:rsidRPr="006E07BB">
        <w:rPr>
          <w:rFonts w:ascii="Palatino Linotype" w:hAnsi="Palatino Linotype" w:cs="Arial"/>
          <w:noProof/>
          <w:lang w:eastAsia="es-MX"/>
        </w:rPr>
        <w:drawing>
          <wp:inline distT="0" distB="0" distL="0" distR="0" wp14:anchorId="54487B8D" wp14:editId="7C6EF113">
            <wp:extent cx="5295900" cy="4762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401" t="36257" r="19911" b="54679"/>
                    <a:stretch/>
                  </pic:blipFill>
                  <pic:spPr bwMode="auto">
                    <a:xfrm>
                      <a:off x="0" y="0"/>
                      <a:ext cx="5298202" cy="476457"/>
                    </a:xfrm>
                    <a:prstGeom prst="rect">
                      <a:avLst/>
                    </a:prstGeom>
                    <a:ln>
                      <a:noFill/>
                    </a:ln>
                    <a:extLst>
                      <a:ext uri="{53640926-AAD7-44D8-BBD7-CCE9431645EC}">
                        <a14:shadowObscured xmlns:a14="http://schemas.microsoft.com/office/drawing/2010/main"/>
                      </a:ext>
                    </a:extLst>
                  </pic:spPr>
                </pic:pic>
              </a:graphicData>
            </a:graphic>
          </wp:inline>
        </w:drawing>
      </w:r>
    </w:p>
    <w:p w14:paraId="57F5FD7D" w14:textId="77777777" w:rsidR="00721230" w:rsidRPr="0033046D" w:rsidRDefault="00721230" w:rsidP="00AD61EF">
      <w:pPr>
        <w:spacing w:line="360" w:lineRule="auto"/>
      </w:pPr>
    </w:p>
    <w:p w14:paraId="1460B183" w14:textId="384746BC" w:rsidR="00065F80" w:rsidRPr="004F1BDC" w:rsidRDefault="00721230" w:rsidP="00221864">
      <w:pPr>
        <w:spacing w:line="360" w:lineRule="auto"/>
        <w:jc w:val="both"/>
        <w:rPr>
          <w:rFonts w:ascii="Palatino Linotype" w:hAnsi="Palatino Linotype" w:cs="Arial"/>
          <w:sz w:val="22"/>
          <w:szCs w:val="22"/>
          <w:lang w:val="es-ES_tradnl"/>
        </w:rPr>
      </w:pPr>
      <w:r w:rsidRPr="004F1BDC">
        <w:rPr>
          <w:rFonts w:ascii="Palatino Linotype" w:hAnsi="Palatino Linotype"/>
          <w:b/>
          <w:color w:val="000000" w:themeColor="text1"/>
        </w:rPr>
        <w:t>III.</w:t>
      </w:r>
      <w:r w:rsidRPr="004F1BDC">
        <w:rPr>
          <w:rFonts w:ascii="Palatino Linotype" w:hAnsi="Palatino Linotype"/>
          <w:b/>
          <w:color w:val="000000" w:themeColor="text1"/>
          <w:sz w:val="22"/>
          <w:szCs w:val="22"/>
        </w:rPr>
        <w:t xml:space="preserve"> </w:t>
      </w:r>
      <w:r w:rsidRPr="004F1BDC">
        <w:rPr>
          <w:rFonts w:ascii="Palatino Linotype" w:hAnsi="Palatino Linotype"/>
          <w:sz w:val="22"/>
          <w:szCs w:val="22"/>
        </w:rPr>
        <w:t xml:space="preserve">De las constancias que obran en </w:t>
      </w:r>
      <w:r w:rsidRPr="004F1BDC">
        <w:rPr>
          <w:rFonts w:ascii="Palatino Linotype" w:hAnsi="Palatino Linotype"/>
          <w:b/>
          <w:sz w:val="22"/>
          <w:szCs w:val="22"/>
        </w:rPr>
        <w:t>EL SAIMEX,</w:t>
      </w:r>
      <w:r w:rsidRPr="004F1BDC">
        <w:rPr>
          <w:rFonts w:ascii="Palatino Linotype" w:hAnsi="Palatino Linotype"/>
          <w:sz w:val="22"/>
          <w:szCs w:val="22"/>
        </w:rPr>
        <w:t xml:space="preserve"> se advierte que en fecha</w:t>
      </w:r>
      <w:r w:rsidR="00EA3312" w:rsidRPr="004F1BDC">
        <w:rPr>
          <w:rFonts w:ascii="Palatino Linotype" w:hAnsi="Palatino Linotype"/>
          <w:sz w:val="22"/>
          <w:szCs w:val="22"/>
        </w:rPr>
        <w:t xml:space="preserve"> </w:t>
      </w:r>
      <w:r w:rsidR="00B67078">
        <w:rPr>
          <w:rFonts w:ascii="Palatino Linotype" w:hAnsi="Palatino Linotype"/>
          <w:sz w:val="22"/>
          <w:szCs w:val="22"/>
        </w:rPr>
        <w:t xml:space="preserve">trece de diciembre de dos mil veintiuno, la Titular </w:t>
      </w:r>
      <w:r w:rsidRPr="004F1BDC">
        <w:rPr>
          <w:rFonts w:ascii="Palatino Linotype" w:hAnsi="Palatino Linotype"/>
          <w:sz w:val="22"/>
          <w:szCs w:val="22"/>
        </w:rPr>
        <w:t>de</w:t>
      </w:r>
      <w:r w:rsidRPr="004F1BDC">
        <w:rPr>
          <w:rFonts w:ascii="Palatino Linotype" w:hAnsi="Palatino Linotype" w:cs="Arial"/>
          <w:sz w:val="22"/>
          <w:szCs w:val="22"/>
          <w:lang w:val="es-ES_tradnl"/>
        </w:rPr>
        <w:t xml:space="preserve"> la Unidad de Transparencia del</w:t>
      </w:r>
      <w:r w:rsidRPr="004F1BDC">
        <w:rPr>
          <w:rFonts w:ascii="Palatino Linotype" w:hAnsi="Palatino Linotype" w:cs="Arial"/>
          <w:b/>
          <w:sz w:val="22"/>
          <w:szCs w:val="22"/>
          <w:lang w:val="es-ES_tradnl"/>
        </w:rPr>
        <w:t xml:space="preserve"> SUJETO OBLIGADO</w:t>
      </w:r>
      <w:r w:rsidRPr="004F1BDC">
        <w:rPr>
          <w:rFonts w:ascii="Palatino Linotype" w:hAnsi="Palatino Linotype" w:cs="Arial"/>
          <w:sz w:val="22"/>
          <w:szCs w:val="22"/>
          <w:lang w:val="es-ES_tradnl"/>
        </w:rPr>
        <w:t xml:space="preserve"> dio respuesta a las solicitudes de información, en los términos</w:t>
      </w:r>
      <w:r w:rsidR="00065F80" w:rsidRPr="004F1BDC">
        <w:rPr>
          <w:rFonts w:ascii="Palatino Linotype" w:hAnsi="Palatino Linotype" w:cs="Arial"/>
          <w:sz w:val="22"/>
          <w:szCs w:val="22"/>
          <w:lang w:val="es-ES_tradnl"/>
        </w:rPr>
        <w:t xml:space="preserve"> siguientes:</w:t>
      </w:r>
    </w:p>
    <w:p w14:paraId="5C86A74F" w14:textId="77777777" w:rsidR="00065F80" w:rsidRDefault="00065F80" w:rsidP="00221864">
      <w:pPr>
        <w:spacing w:line="360" w:lineRule="auto"/>
        <w:jc w:val="both"/>
        <w:rPr>
          <w:rFonts w:ascii="Palatino Linotype" w:hAnsi="Palatino Linotype" w:cs="Arial"/>
          <w:lang w:val="es-ES_tradnl"/>
        </w:rPr>
      </w:pPr>
    </w:p>
    <w:tbl>
      <w:tblPr>
        <w:tblStyle w:val="Tablaconcuadrcula"/>
        <w:tblW w:w="0" w:type="auto"/>
        <w:tblLook w:val="04A0" w:firstRow="1" w:lastRow="0" w:firstColumn="1" w:lastColumn="0" w:noHBand="0" w:noVBand="1"/>
      </w:tblPr>
      <w:tblGrid>
        <w:gridCol w:w="2277"/>
        <w:gridCol w:w="2091"/>
        <w:gridCol w:w="4743"/>
      </w:tblGrid>
      <w:tr w:rsidR="00065F80" w:rsidRPr="00B67078" w14:paraId="080E5969" w14:textId="77777777" w:rsidTr="00AC4BD1">
        <w:tc>
          <w:tcPr>
            <w:tcW w:w="2436" w:type="dxa"/>
            <w:shd w:val="clear" w:color="auto" w:fill="000000" w:themeFill="text1"/>
            <w:vAlign w:val="center"/>
          </w:tcPr>
          <w:p w14:paraId="34CD6ECC" w14:textId="77777777" w:rsidR="00065F80" w:rsidRPr="00B67078" w:rsidRDefault="00065F80" w:rsidP="00221864">
            <w:pPr>
              <w:spacing w:line="360" w:lineRule="auto"/>
              <w:jc w:val="center"/>
              <w:rPr>
                <w:rFonts w:ascii="Palatino Linotype" w:hAnsi="Palatino Linotype" w:cs="Arial"/>
                <w:b/>
                <w:color w:val="FFFFFF" w:themeColor="background1"/>
                <w:sz w:val="16"/>
                <w:szCs w:val="16"/>
                <w:lang w:val="es-ES_tradnl"/>
              </w:rPr>
            </w:pPr>
            <w:r w:rsidRPr="00B67078">
              <w:rPr>
                <w:rFonts w:ascii="Palatino Linotype" w:hAnsi="Palatino Linotype" w:cs="Arial"/>
                <w:b/>
                <w:color w:val="FFFFFF" w:themeColor="background1"/>
                <w:sz w:val="16"/>
                <w:szCs w:val="16"/>
                <w:lang w:val="es-ES_tradnl"/>
              </w:rPr>
              <w:t>Recurso</w:t>
            </w:r>
          </w:p>
        </w:tc>
        <w:tc>
          <w:tcPr>
            <w:tcW w:w="2095" w:type="dxa"/>
            <w:shd w:val="clear" w:color="auto" w:fill="000000" w:themeFill="text1"/>
            <w:vAlign w:val="center"/>
          </w:tcPr>
          <w:p w14:paraId="48204D91" w14:textId="77777777" w:rsidR="00065F80" w:rsidRPr="00B67078" w:rsidRDefault="00065F80" w:rsidP="00221864">
            <w:pPr>
              <w:spacing w:line="360" w:lineRule="auto"/>
              <w:jc w:val="center"/>
              <w:rPr>
                <w:rFonts w:ascii="Palatino Linotype" w:hAnsi="Palatino Linotype" w:cs="Arial"/>
                <w:b/>
                <w:color w:val="FFFFFF" w:themeColor="background1"/>
                <w:sz w:val="16"/>
                <w:szCs w:val="16"/>
                <w:lang w:val="es-ES_tradnl"/>
              </w:rPr>
            </w:pPr>
            <w:r w:rsidRPr="00B67078">
              <w:rPr>
                <w:rFonts w:ascii="Palatino Linotype" w:hAnsi="Palatino Linotype" w:cs="Arial"/>
                <w:b/>
                <w:color w:val="FFFFFF" w:themeColor="background1"/>
                <w:sz w:val="16"/>
                <w:szCs w:val="16"/>
                <w:lang w:val="es-ES_tradnl"/>
              </w:rPr>
              <w:t>Solicitud</w:t>
            </w:r>
          </w:p>
        </w:tc>
        <w:tc>
          <w:tcPr>
            <w:tcW w:w="4580" w:type="dxa"/>
            <w:shd w:val="clear" w:color="auto" w:fill="000000" w:themeFill="text1"/>
            <w:vAlign w:val="center"/>
          </w:tcPr>
          <w:p w14:paraId="1A4C9C21" w14:textId="77777777" w:rsidR="00065F80" w:rsidRPr="00AD61EF" w:rsidRDefault="00065F80" w:rsidP="00221864">
            <w:pPr>
              <w:spacing w:line="360" w:lineRule="auto"/>
              <w:jc w:val="center"/>
              <w:rPr>
                <w:rFonts w:ascii="Palatino Linotype" w:hAnsi="Palatino Linotype" w:cs="Arial"/>
                <w:b/>
                <w:color w:val="FFFFFF" w:themeColor="background1"/>
                <w:sz w:val="20"/>
                <w:szCs w:val="20"/>
                <w:lang w:val="es-ES_tradnl"/>
              </w:rPr>
            </w:pPr>
            <w:r w:rsidRPr="00AD61EF">
              <w:rPr>
                <w:rFonts w:ascii="Palatino Linotype" w:hAnsi="Palatino Linotype" w:cs="Arial"/>
                <w:b/>
                <w:color w:val="FFFFFF" w:themeColor="background1"/>
                <w:sz w:val="20"/>
                <w:szCs w:val="20"/>
                <w:lang w:val="es-ES_tradnl"/>
              </w:rPr>
              <w:t>Respuesta</w:t>
            </w:r>
          </w:p>
        </w:tc>
      </w:tr>
      <w:tr w:rsidR="00065F80" w:rsidRPr="00B67078" w14:paraId="47C4DF1D" w14:textId="77777777" w:rsidTr="00AC4BD1">
        <w:tc>
          <w:tcPr>
            <w:tcW w:w="2436" w:type="dxa"/>
            <w:vAlign w:val="center"/>
          </w:tcPr>
          <w:p w14:paraId="2988C632" w14:textId="72D861A5" w:rsidR="00065F80" w:rsidRPr="00B67078" w:rsidRDefault="00B67078" w:rsidP="00AD61EF">
            <w:pPr>
              <w:spacing w:line="360" w:lineRule="auto"/>
              <w:jc w:val="center"/>
              <w:rPr>
                <w:rFonts w:ascii="Palatino Linotype" w:hAnsi="Palatino Linotype" w:cs="Arial"/>
                <w:b/>
                <w:sz w:val="16"/>
                <w:szCs w:val="16"/>
                <w:lang w:val="es-ES"/>
              </w:rPr>
            </w:pPr>
            <w:r>
              <w:rPr>
                <w:rFonts w:ascii="Palatino Linotype" w:hAnsi="Palatino Linotype"/>
                <w:b/>
                <w:bCs/>
                <w:sz w:val="16"/>
                <w:szCs w:val="16"/>
              </w:rPr>
              <w:t>06467</w:t>
            </w:r>
            <w:r w:rsidR="00065F80" w:rsidRPr="00B67078">
              <w:rPr>
                <w:rFonts w:ascii="Palatino Linotype" w:hAnsi="Palatino Linotype"/>
                <w:b/>
                <w:bCs/>
                <w:sz w:val="16"/>
                <w:szCs w:val="16"/>
              </w:rPr>
              <w:t>/INFOEM/IP/RR/2021</w:t>
            </w:r>
          </w:p>
        </w:tc>
        <w:tc>
          <w:tcPr>
            <w:tcW w:w="2095" w:type="dxa"/>
            <w:vAlign w:val="center"/>
          </w:tcPr>
          <w:p w14:paraId="7F2836B7" w14:textId="7DA5994D" w:rsidR="00065F80" w:rsidRPr="00B67078" w:rsidRDefault="00B67078" w:rsidP="00AD61EF">
            <w:pPr>
              <w:spacing w:line="360" w:lineRule="auto"/>
              <w:jc w:val="center"/>
              <w:rPr>
                <w:rFonts w:ascii="Palatino Linotype" w:hAnsi="Palatino Linotype"/>
                <w:b/>
                <w:bCs/>
                <w:sz w:val="16"/>
                <w:szCs w:val="16"/>
              </w:rPr>
            </w:pPr>
            <w:r w:rsidRPr="004F1BDC">
              <w:rPr>
                <w:rFonts w:ascii="Palatino Linotype" w:hAnsi="Palatino Linotype"/>
                <w:b/>
                <w:bCs/>
                <w:sz w:val="16"/>
                <w:szCs w:val="16"/>
              </w:rPr>
              <w:t>00876/ECATEPEC/IP/2021</w:t>
            </w:r>
          </w:p>
        </w:tc>
        <w:tc>
          <w:tcPr>
            <w:tcW w:w="4580" w:type="dxa"/>
          </w:tcPr>
          <w:p w14:paraId="44C8006B" w14:textId="316EEF82" w:rsidR="00065F80" w:rsidRPr="00AD61EF" w:rsidRDefault="00FD2F89" w:rsidP="00221864">
            <w:pPr>
              <w:spacing w:line="360" w:lineRule="auto"/>
              <w:jc w:val="both"/>
              <w:rPr>
                <w:rFonts w:ascii="Palatino Linotype" w:hAnsi="Palatino Linotype" w:cs="Arial"/>
                <w:sz w:val="20"/>
                <w:szCs w:val="20"/>
                <w:lang w:val="es-ES_tradnl"/>
              </w:rPr>
            </w:pPr>
            <w:r>
              <w:rPr>
                <w:rFonts w:ascii="Palatino Linotype" w:hAnsi="Palatino Linotype" w:cs="Arial"/>
                <w:sz w:val="20"/>
                <w:szCs w:val="20"/>
                <w:lang w:val="es-ES_tradnl"/>
              </w:rPr>
              <w:t>Me</w:t>
            </w:r>
            <w:r w:rsidR="00B67078" w:rsidRPr="00AD61EF">
              <w:rPr>
                <w:rFonts w:ascii="Palatino Linotype" w:hAnsi="Palatino Linotype" w:cs="Arial"/>
                <w:sz w:val="20"/>
                <w:szCs w:val="20"/>
                <w:lang w:val="es-ES_tradnl"/>
              </w:rPr>
              <w:t xml:space="preserve">diante </w:t>
            </w:r>
            <w:r w:rsidRPr="00493966">
              <w:rPr>
                <w:rFonts w:ascii="Palatino Linotype" w:hAnsi="Palatino Linotype" w:cs="Arial"/>
                <w:sz w:val="20"/>
                <w:szCs w:val="20"/>
                <w:lang w:val="es-ES_tradnl"/>
              </w:rPr>
              <w:t xml:space="preserve">archivo electrónico denominado </w:t>
            </w:r>
            <w:hyperlink r:id="rId9" w:tgtFrame="_blank" w:history="1">
              <w:r w:rsidRPr="00493966">
                <w:rPr>
                  <w:rFonts w:ascii="Palatino Linotype" w:hAnsi="Palatino Linotype" w:cs="Arial"/>
                  <w:sz w:val="20"/>
                  <w:szCs w:val="20"/>
                  <w:lang w:val="es-ES_tradnl"/>
                </w:rPr>
                <w:t>0876-2021.pdf</w:t>
              </w:r>
            </w:hyperlink>
            <w:r w:rsidRPr="00493966">
              <w:rPr>
                <w:rFonts w:ascii="Palatino Linotype" w:hAnsi="Palatino Linotype" w:cs="Arial"/>
                <w:sz w:val="20"/>
                <w:szCs w:val="20"/>
                <w:lang w:val="es-ES_tradnl"/>
              </w:rPr>
              <w:t>,</w:t>
            </w:r>
            <w:r>
              <w:rPr>
                <w:rFonts w:ascii="Palatino Linotype" w:hAnsi="Palatino Linotype" w:cs="Arial"/>
                <w:sz w:val="20"/>
                <w:szCs w:val="20"/>
                <w:lang w:val="es-ES_tradnl"/>
              </w:rPr>
              <w:t xml:space="preserve"> </w:t>
            </w:r>
            <w:r w:rsidR="00B67078" w:rsidRPr="00AD61EF">
              <w:rPr>
                <w:rFonts w:ascii="Palatino Linotype" w:hAnsi="Palatino Linotype" w:cs="Arial"/>
                <w:sz w:val="20"/>
                <w:szCs w:val="20"/>
                <w:lang w:val="es-ES_tradnl"/>
              </w:rPr>
              <w:t>al se hizo entrega del escrito de fecha trece de diciembre de dos mil veintiuno</w:t>
            </w:r>
            <w:r>
              <w:rPr>
                <w:rFonts w:ascii="Palatino Linotype" w:hAnsi="Palatino Linotype" w:cs="Arial"/>
                <w:sz w:val="20"/>
                <w:szCs w:val="20"/>
                <w:lang w:val="es-ES_tradnl"/>
              </w:rPr>
              <w:t>,</w:t>
            </w:r>
            <w:r w:rsidR="00B67078" w:rsidRPr="00AD61EF">
              <w:rPr>
                <w:rFonts w:ascii="Palatino Linotype" w:hAnsi="Palatino Linotype" w:cs="Arial"/>
                <w:sz w:val="20"/>
                <w:szCs w:val="20"/>
                <w:lang w:val="es-ES_tradnl"/>
              </w:rPr>
              <w:t xml:space="preserve"> </w:t>
            </w:r>
            <w:r w:rsidR="003772FF" w:rsidRPr="00AD61EF">
              <w:rPr>
                <w:rFonts w:ascii="Palatino Linotype" w:hAnsi="Palatino Linotype" w:cs="Arial"/>
                <w:sz w:val="20"/>
                <w:szCs w:val="20"/>
                <w:lang w:val="es-ES_tradnl"/>
              </w:rPr>
              <w:t xml:space="preserve">mediante el cual </w:t>
            </w:r>
            <w:r w:rsidR="003772FF" w:rsidRPr="00AD61EF">
              <w:rPr>
                <w:rFonts w:ascii="Palatino Linotype" w:hAnsi="Palatino Linotype" w:cs="Arial"/>
                <w:sz w:val="20"/>
                <w:szCs w:val="20"/>
                <w:lang w:val="es-ES_tradnl"/>
              </w:rPr>
              <w:lastRenderedPageBreak/>
              <w:t xml:space="preserve">hace de conocimiento del </w:t>
            </w:r>
            <w:r>
              <w:rPr>
                <w:rFonts w:ascii="Palatino Linotype" w:hAnsi="Palatino Linotype" w:cs="Arial"/>
                <w:sz w:val="20"/>
                <w:szCs w:val="20"/>
                <w:lang w:val="es-ES_tradnl"/>
              </w:rPr>
              <w:t>P</w:t>
            </w:r>
            <w:r w:rsidR="003772FF" w:rsidRPr="00AD61EF">
              <w:rPr>
                <w:rFonts w:ascii="Palatino Linotype" w:hAnsi="Palatino Linotype" w:cs="Arial"/>
                <w:sz w:val="20"/>
                <w:szCs w:val="20"/>
                <w:lang w:val="es-ES_tradnl"/>
              </w:rPr>
              <w:t xml:space="preserve">articular la respuesta remitida por el área de </w:t>
            </w:r>
            <w:r>
              <w:rPr>
                <w:rFonts w:ascii="Palatino Linotype" w:hAnsi="Palatino Linotype" w:cs="Arial"/>
                <w:sz w:val="20"/>
                <w:szCs w:val="20"/>
                <w:lang w:val="es-ES_tradnl"/>
              </w:rPr>
              <w:t>C</w:t>
            </w:r>
            <w:r w:rsidR="003772FF" w:rsidRPr="00AD61EF">
              <w:rPr>
                <w:rFonts w:ascii="Palatino Linotype" w:hAnsi="Palatino Linotype" w:cs="Arial"/>
                <w:sz w:val="20"/>
                <w:szCs w:val="20"/>
                <w:lang w:val="es-ES_tradnl"/>
              </w:rPr>
              <w:t xml:space="preserve">ontraloría. Así como el oficio número CIM/SA/DCE/0780/2021, de fecha veintitrés de noviembre de dos mil veintiuno, firmado por la </w:t>
            </w:r>
            <w:r>
              <w:rPr>
                <w:rFonts w:ascii="Palatino Linotype" w:hAnsi="Palatino Linotype" w:cs="Arial"/>
                <w:sz w:val="20"/>
                <w:szCs w:val="20"/>
                <w:lang w:val="es-ES_tradnl"/>
              </w:rPr>
              <w:t>C</w:t>
            </w:r>
            <w:r w:rsidR="003772FF" w:rsidRPr="00AD61EF">
              <w:rPr>
                <w:rFonts w:ascii="Palatino Linotype" w:hAnsi="Palatino Linotype" w:cs="Arial"/>
                <w:sz w:val="20"/>
                <w:szCs w:val="20"/>
                <w:lang w:val="es-ES_tradnl"/>
              </w:rPr>
              <w:t xml:space="preserve">ontralora Interna Municipal, quien refirió como respuesta que el artículo 59 de la Ley General de Responsabilidades Administrativas que habla de la contratación indebida de servidores públicos; que se encuentren inhabilitados por resolución de autoridad competente o se encuentren impedidos legalmente; motivo por el cual le hizo de conocimiento la liga electrónica </w:t>
            </w:r>
            <w:r w:rsidR="003772FF" w:rsidRPr="00AD61EF">
              <w:rPr>
                <w:rStyle w:val="Hipervnculo"/>
                <w:rFonts w:ascii="Palatino Linotype" w:hAnsi="Palatino Linotype" w:cs="Arial"/>
                <w:sz w:val="18"/>
                <w:szCs w:val="18"/>
                <w:lang w:val="es-ES_tradnl"/>
              </w:rPr>
              <w:t>https://www.plataformadigitalnacional,org/sancionados</w:t>
            </w:r>
            <w:r w:rsidR="003772FF" w:rsidRPr="00AD61EF">
              <w:rPr>
                <w:rFonts w:ascii="Palatino Linotype" w:hAnsi="Palatino Linotype" w:cs="Arial"/>
                <w:sz w:val="18"/>
                <w:szCs w:val="18"/>
                <w:lang w:val="es-ES_tradnl"/>
              </w:rPr>
              <w:t>,</w:t>
            </w:r>
            <w:r w:rsidR="003772FF" w:rsidRPr="00AD61EF">
              <w:rPr>
                <w:rFonts w:ascii="Palatino Linotype" w:hAnsi="Palatino Linotype" w:cs="Arial"/>
                <w:sz w:val="20"/>
                <w:szCs w:val="20"/>
                <w:lang w:val="es-ES_tradnl"/>
              </w:rPr>
              <w:t xml:space="preserve"> </w:t>
            </w:r>
            <w:r w:rsidR="00064D58" w:rsidRPr="00AD61EF">
              <w:rPr>
                <w:rFonts w:ascii="Palatino Linotype" w:hAnsi="Palatino Linotype" w:cs="Arial"/>
                <w:sz w:val="20"/>
                <w:szCs w:val="20"/>
                <w:lang w:val="es-ES_tradnl"/>
              </w:rPr>
              <w:t>para la consulta del nombre de los servidores públicos y saber si estos fueron sancionados o no como lo solicitó la particular.</w:t>
            </w:r>
          </w:p>
        </w:tc>
      </w:tr>
      <w:tr w:rsidR="003118F1" w:rsidRPr="00B67078" w14:paraId="72E03D92" w14:textId="77777777" w:rsidTr="00AC4BD1">
        <w:tc>
          <w:tcPr>
            <w:tcW w:w="2436" w:type="dxa"/>
            <w:vAlign w:val="center"/>
          </w:tcPr>
          <w:p w14:paraId="66B037FF" w14:textId="53263181" w:rsidR="003118F1" w:rsidRPr="00B67078" w:rsidRDefault="00064D58" w:rsidP="00AD61EF">
            <w:pPr>
              <w:spacing w:line="360" w:lineRule="auto"/>
              <w:jc w:val="center"/>
              <w:rPr>
                <w:rFonts w:ascii="Palatino Linotype" w:hAnsi="Palatino Linotype" w:cs="Arial"/>
                <w:b/>
                <w:sz w:val="16"/>
                <w:szCs w:val="16"/>
                <w:lang w:val="es-ES"/>
              </w:rPr>
            </w:pPr>
            <w:r>
              <w:rPr>
                <w:rFonts w:ascii="Palatino Linotype" w:hAnsi="Palatino Linotype"/>
                <w:b/>
                <w:bCs/>
                <w:sz w:val="16"/>
                <w:szCs w:val="16"/>
              </w:rPr>
              <w:lastRenderedPageBreak/>
              <w:t>00023/INFOEM/IP/RR/2022</w:t>
            </w:r>
          </w:p>
        </w:tc>
        <w:tc>
          <w:tcPr>
            <w:tcW w:w="2095" w:type="dxa"/>
            <w:vAlign w:val="center"/>
          </w:tcPr>
          <w:p w14:paraId="11611106" w14:textId="69381B4A" w:rsidR="003118F1" w:rsidRPr="00B67078" w:rsidRDefault="006E07BB" w:rsidP="00AD61EF">
            <w:pPr>
              <w:spacing w:line="360" w:lineRule="auto"/>
              <w:jc w:val="center"/>
              <w:rPr>
                <w:rFonts w:ascii="Palatino Linotype" w:hAnsi="Palatino Linotype"/>
                <w:b/>
                <w:bCs/>
                <w:sz w:val="16"/>
                <w:szCs w:val="16"/>
              </w:rPr>
            </w:pPr>
            <w:r w:rsidRPr="006E07BB">
              <w:rPr>
                <w:rFonts w:ascii="Palatino Linotype" w:hAnsi="Palatino Linotype"/>
                <w:b/>
                <w:bCs/>
                <w:sz w:val="16"/>
                <w:szCs w:val="16"/>
              </w:rPr>
              <w:t>00875/ECATEPEC/IP/2021</w:t>
            </w:r>
          </w:p>
        </w:tc>
        <w:tc>
          <w:tcPr>
            <w:tcW w:w="4580" w:type="dxa"/>
          </w:tcPr>
          <w:p w14:paraId="53D6CF6C" w14:textId="4B99247F" w:rsidR="003118F1" w:rsidRPr="00AD61EF" w:rsidRDefault="006E07BB" w:rsidP="00221864">
            <w:pPr>
              <w:spacing w:line="360" w:lineRule="auto"/>
              <w:jc w:val="both"/>
              <w:rPr>
                <w:rFonts w:ascii="Palatino Linotype" w:hAnsi="Palatino Linotype" w:cs="Arial"/>
                <w:sz w:val="20"/>
                <w:szCs w:val="20"/>
                <w:lang w:val="es-ES_tradnl"/>
              </w:rPr>
            </w:pPr>
            <w:r w:rsidRPr="00AD61EF">
              <w:rPr>
                <w:rFonts w:ascii="Palatino Linotype" w:hAnsi="Palatino Linotype" w:cs="Arial"/>
                <w:sz w:val="20"/>
                <w:szCs w:val="20"/>
                <w:lang w:val="es-ES_tradnl"/>
              </w:rPr>
              <w:t xml:space="preserve">Remitió el archivo electrónico denominado </w:t>
            </w:r>
            <w:hyperlink r:id="rId10" w:tgtFrame="_blank" w:history="1">
              <w:r w:rsidRPr="00AD61EF">
                <w:rPr>
                  <w:rFonts w:ascii="Palatino Linotype" w:hAnsi="Palatino Linotype"/>
                  <w:sz w:val="20"/>
                  <w:szCs w:val="20"/>
                  <w:lang w:val="es-ES_tradnl"/>
                </w:rPr>
                <w:t>0875-2021.pdf</w:t>
              </w:r>
            </w:hyperlink>
            <w:r w:rsidRPr="00AD61EF">
              <w:rPr>
                <w:rFonts w:ascii="Palatino Linotype" w:hAnsi="Palatino Linotype" w:cs="Arial"/>
                <w:sz w:val="20"/>
                <w:szCs w:val="20"/>
                <w:lang w:val="es-ES_tradnl"/>
              </w:rPr>
              <w:t xml:space="preserve">, mediante el cual hizo entrega del escrito de fecha trece de diciembre de dos mil veintiuno, mediante el cual la Titular de la Unidad de </w:t>
            </w:r>
            <w:r w:rsidR="00EF23C4" w:rsidRPr="00AD61EF">
              <w:rPr>
                <w:rFonts w:ascii="Palatino Linotype" w:hAnsi="Palatino Linotype" w:cs="Arial"/>
                <w:sz w:val="20"/>
                <w:szCs w:val="20"/>
                <w:lang w:val="es-ES_tradnl"/>
              </w:rPr>
              <w:t>Transparencia</w:t>
            </w:r>
            <w:r w:rsidRPr="00AD61EF">
              <w:rPr>
                <w:rFonts w:ascii="Palatino Linotype" w:hAnsi="Palatino Linotype" w:cs="Arial"/>
                <w:sz w:val="20"/>
                <w:szCs w:val="20"/>
                <w:lang w:val="es-ES_tradnl"/>
              </w:rPr>
              <w:t xml:space="preserve"> hizo de conocimiento de la </w:t>
            </w:r>
            <w:r w:rsidR="00FA1D6E">
              <w:rPr>
                <w:rFonts w:ascii="Palatino Linotype" w:hAnsi="Palatino Linotype" w:cs="Arial"/>
                <w:sz w:val="20"/>
                <w:szCs w:val="20"/>
                <w:lang w:val="es-ES_tradnl"/>
              </w:rPr>
              <w:t>P</w:t>
            </w:r>
            <w:r w:rsidRPr="00AD61EF">
              <w:rPr>
                <w:rFonts w:ascii="Palatino Linotype" w:hAnsi="Palatino Linotype" w:cs="Arial"/>
                <w:sz w:val="20"/>
                <w:szCs w:val="20"/>
                <w:lang w:val="es-ES_tradnl"/>
              </w:rPr>
              <w:t>articular la respuesta otorgada por la Contralora Interna Municipal. Así como el oficio número CIM/SA/DCE/0777/2021, de fecha veintitrés de noviembre de dos mil veintiuno, signado por la Contralora Interna Municipal mediante el cual le informó a la solicitante que de conformidad con el artículo 140, fracción VI</w:t>
            </w:r>
            <w:r w:rsidR="00FA1D6E">
              <w:rPr>
                <w:rFonts w:ascii="Palatino Linotype" w:hAnsi="Palatino Linotype" w:cs="Arial"/>
                <w:sz w:val="20"/>
                <w:szCs w:val="20"/>
                <w:lang w:val="es-ES_tradnl"/>
              </w:rPr>
              <w:t>,</w:t>
            </w:r>
            <w:r w:rsidRPr="00AD61EF">
              <w:rPr>
                <w:rFonts w:ascii="Palatino Linotype" w:hAnsi="Palatino Linotype" w:cs="Arial"/>
                <w:sz w:val="20"/>
                <w:szCs w:val="20"/>
                <w:lang w:val="es-ES_tradnl"/>
              </w:rPr>
              <w:t xml:space="preserve"> de la Ley de Transparencia </w:t>
            </w:r>
            <w:r w:rsidRPr="00AD61EF">
              <w:rPr>
                <w:rFonts w:ascii="Palatino Linotype" w:hAnsi="Palatino Linotype" w:cs="Arial"/>
                <w:sz w:val="20"/>
                <w:szCs w:val="20"/>
                <w:lang w:val="es-ES_tradnl"/>
              </w:rPr>
              <w:lastRenderedPageBreak/>
              <w:t xml:space="preserve">y </w:t>
            </w:r>
            <w:r w:rsidR="00F533F3" w:rsidRPr="00AD61EF">
              <w:rPr>
                <w:rFonts w:ascii="Palatino Linotype" w:hAnsi="Palatino Linotype" w:cs="Arial"/>
                <w:sz w:val="20"/>
                <w:szCs w:val="20"/>
                <w:lang w:val="es-ES_tradnl"/>
              </w:rPr>
              <w:t>Acceso a la Información Pública</w:t>
            </w:r>
            <w:r w:rsidRPr="00AD61EF">
              <w:rPr>
                <w:rFonts w:ascii="Palatino Linotype" w:hAnsi="Palatino Linotype" w:cs="Arial"/>
                <w:sz w:val="20"/>
                <w:szCs w:val="20"/>
                <w:lang w:val="es-ES_tradnl"/>
              </w:rPr>
              <w:t xml:space="preserve"> del Estado de México y Municipios, no podría atender su requerimiento toda vez que se vulneraría la presunción de inocencia de los servidores p</w:t>
            </w:r>
            <w:r w:rsidR="00B85E89" w:rsidRPr="00AD61EF">
              <w:rPr>
                <w:rFonts w:ascii="Palatino Linotype" w:hAnsi="Palatino Linotype" w:cs="Arial"/>
                <w:sz w:val="20"/>
                <w:szCs w:val="20"/>
                <w:lang w:val="es-ES_tradnl"/>
              </w:rPr>
              <w:t>úblicos que se encuentran inmersos en un procedimiento administrativo de esta naturaleza.</w:t>
            </w:r>
            <w:r w:rsidRPr="00AD61EF">
              <w:rPr>
                <w:rFonts w:ascii="Palatino Linotype" w:hAnsi="Palatino Linotype" w:cs="Arial"/>
                <w:sz w:val="20"/>
                <w:szCs w:val="20"/>
                <w:lang w:val="es-ES_tradnl"/>
              </w:rPr>
              <w:t xml:space="preserve"> </w:t>
            </w:r>
          </w:p>
        </w:tc>
      </w:tr>
    </w:tbl>
    <w:p w14:paraId="07FC76CB" w14:textId="77777777" w:rsidR="00064D58" w:rsidRPr="00064D58" w:rsidRDefault="00064D58" w:rsidP="00221864">
      <w:pPr>
        <w:spacing w:line="360" w:lineRule="auto"/>
        <w:jc w:val="both"/>
        <w:rPr>
          <w:rFonts w:ascii="Palatino Linotype" w:hAnsi="Palatino Linotype"/>
          <w:b/>
          <w:color w:val="000000" w:themeColor="text1"/>
          <w:sz w:val="22"/>
          <w:szCs w:val="22"/>
        </w:rPr>
      </w:pPr>
    </w:p>
    <w:p w14:paraId="62EB04C1" w14:textId="32E5C6BE" w:rsidR="00721230" w:rsidRDefault="00721230" w:rsidP="00221864">
      <w:pPr>
        <w:spacing w:line="360" w:lineRule="auto"/>
        <w:jc w:val="both"/>
        <w:rPr>
          <w:rFonts w:ascii="Palatino Linotype" w:hAnsi="Palatino Linotype" w:cs="Arial"/>
          <w:sz w:val="22"/>
          <w:szCs w:val="22"/>
        </w:rPr>
      </w:pPr>
      <w:r w:rsidRPr="00064D58">
        <w:rPr>
          <w:rFonts w:ascii="Palatino Linotype" w:hAnsi="Palatino Linotype"/>
          <w:b/>
          <w:color w:val="000000" w:themeColor="text1"/>
        </w:rPr>
        <w:t>IV.</w:t>
      </w:r>
      <w:r w:rsidRPr="00560490">
        <w:rPr>
          <w:rFonts w:ascii="Palatino Linotype" w:hAnsi="Palatino Linotype"/>
          <w:b/>
          <w:color w:val="000000" w:themeColor="text1"/>
          <w:sz w:val="28"/>
          <w:szCs w:val="28"/>
        </w:rPr>
        <w:t xml:space="preserve"> </w:t>
      </w:r>
      <w:r w:rsidRPr="00064D58">
        <w:rPr>
          <w:rFonts w:ascii="Palatino Linotype" w:hAnsi="Palatino Linotype"/>
          <w:sz w:val="22"/>
          <w:szCs w:val="22"/>
        </w:rPr>
        <w:t xml:space="preserve">Inconforme </w:t>
      </w:r>
      <w:r w:rsidRPr="00064D58">
        <w:rPr>
          <w:rFonts w:ascii="Palatino Linotype" w:hAnsi="Palatino Linotype" w:cs="Arial"/>
          <w:sz w:val="22"/>
          <w:szCs w:val="22"/>
        </w:rPr>
        <w:t>con</w:t>
      </w:r>
      <w:r w:rsidRPr="00064D58">
        <w:rPr>
          <w:rFonts w:ascii="Palatino Linotype" w:hAnsi="Palatino Linotype"/>
          <w:sz w:val="22"/>
          <w:szCs w:val="22"/>
        </w:rPr>
        <w:t xml:space="preserve"> las respuestas proporcionadas por el </w:t>
      </w:r>
      <w:r w:rsidRPr="00064D58">
        <w:rPr>
          <w:rFonts w:ascii="Palatino Linotype" w:hAnsi="Palatino Linotype"/>
          <w:b/>
          <w:sz w:val="22"/>
          <w:szCs w:val="22"/>
        </w:rPr>
        <w:t>SUJETO OBLIGADO</w:t>
      </w:r>
      <w:r w:rsidRPr="00064D58">
        <w:rPr>
          <w:rFonts w:ascii="Palatino Linotype" w:hAnsi="Palatino Linotype"/>
          <w:sz w:val="22"/>
          <w:szCs w:val="22"/>
        </w:rPr>
        <w:t>, en fecha</w:t>
      </w:r>
      <w:r w:rsidR="00064D58">
        <w:rPr>
          <w:rFonts w:ascii="Palatino Linotype" w:hAnsi="Palatino Linotype"/>
          <w:sz w:val="22"/>
          <w:szCs w:val="22"/>
        </w:rPr>
        <w:t>s dieciséis de diciembre d</w:t>
      </w:r>
      <w:r w:rsidRPr="00064D58">
        <w:rPr>
          <w:rFonts w:ascii="Palatino Linotype" w:hAnsi="Palatino Linotype"/>
          <w:sz w:val="22"/>
          <w:szCs w:val="22"/>
        </w:rPr>
        <w:t>e dos mil veintiuno</w:t>
      </w:r>
      <w:r w:rsidR="00064D58">
        <w:rPr>
          <w:rFonts w:ascii="Palatino Linotype" w:hAnsi="Palatino Linotype"/>
          <w:sz w:val="22"/>
          <w:szCs w:val="22"/>
        </w:rPr>
        <w:t xml:space="preserve"> y </w:t>
      </w:r>
      <w:r w:rsidR="00B85E89">
        <w:rPr>
          <w:rFonts w:ascii="Palatino Linotype" w:hAnsi="Palatino Linotype"/>
          <w:sz w:val="22"/>
          <w:szCs w:val="22"/>
        </w:rPr>
        <w:t xml:space="preserve">diez de enero de dos mil veintidós </w:t>
      </w:r>
      <w:r w:rsidRPr="00064D58">
        <w:rPr>
          <w:rFonts w:ascii="Palatino Linotype" w:hAnsi="Palatino Linotype"/>
          <w:b/>
          <w:sz w:val="22"/>
          <w:szCs w:val="22"/>
        </w:rPr>
        <w:t>L</w:t>
      </w:r>
      <w:r w:rsidR="001853B7" w:rsidRPr="00064D58">
        <w:rPr>
          <w:rFonts w:ascii="Palatino Linotype" w:hAnsi="Palatino Linotype"/>
          <w:b/>
          <w:sz w:val="22"/>
          <w:szCs w:val="22"/>
        </w:rPr>
        <w:t>A</w:t>
      </w:r>
      <w:r w:rsidRPr="00064D58">
        <w:rPr>
          <w:rFonts w:ascii="Palatino Linotype" w:hAnsi="Palatino Linotype"/>
          <w:b/>
          <w:sz w:val="22"/>
          <w:szCs w:val="22"/>
        </w:rPr>
        <w:t xml:space="preserve"> RECURRENTE</w:t>
      </w:r>
      <w:r w:rsidRPr="00064D58">
        <w:rPr>
          <w:rFonts w:ascii="Palatino Linotype" w:hAnsi="Palatino Linotype"/>
          <w:sz w:val="22"/>
          <w:szCs w:val="22"/>
        </w:rPr>
        <w:t xml:space="preserve"> a través de</w:t>
      </w:r>
      <w:r w:rsidR="00064D58">
        <w:rPr>
          <w:rFonts w:ascii="Palatino Linotype" w:hAnsi="Palatino Linotype"/>
          <w:b/>
          <w:sz w:val="22"/>
          <w:szCs w:val="22"/>
        </w:rPr>
        <w:t xml:space="preserve"> EL S</w:t>
      </w:r>
      <w:r w:rsidRPr="00064D58">
        <w:rPr>
          <w:rFonts w:ascii="Palatino Linotype" w:hAnsi="Palatino Linotype"/>
          <w:b/>
          <w:sz w:val="22"/>
          <w:szCs w:val="22"/>
        </w:rPr>
        <w:t xml:space="preserve">AIMEX, </w:t>
      </w:r>
      <w:r w:rsidRPr="00064D58">
        <w:rPr>
          <w:rFonts w:ascii="Palatino Linotype" w:hAnsi="Palatino Linotype"/>
          <w:sz w:val="22"/>
          <w:szCs w:val="22"/>
        </w:rPr>
        <w:t xml:space="preserve">interpuso los </w:t>
      </w:r>
      <w:r w:rsidR="00001197">
        <w:rPr>
          <w:rFonts w:ascii="Palatino Linotype" w:hAnsi="Palatino Linotype"/>
          <w:sz w:val="22"/>
          <w:szCs w:val="22"/>
        </w:rPr>
        <w:t>Recursos de Revisión</w:t>
      </w:r>
      <w:r w:rsidRPr="00064D58">
        <w:rPr>
          <w:rFonts w:ascii="Palatino Linotype" w:hAnsi="Palatino Linotype"/>
          <w:sz w:val="22"/>
          <w:szCs w:val="22"/>
        </w:rPr>
        <w:t xml:space="preserve"> objeto del </w:t>
      </w:r>
      <w:r w:rsidRPr="00064D58">
        <w:rPr>
          <w:rFonts w:ascii="Palatino Linotype" w:hAnsi="Palatino Linotype" w:cs="Arial"/>
          <w:sz w:val="22"/>
          <w:szCs w:val="22"/>
        </w:rPr>
        <w:t>presente</w:t>
      </w:r>
      <w:r w:rsidRPr="00064D58">
        <w:rPr>
          <w:rFonts w:ascii="Palatino Linotype" w:hAnsi="Palatino Linotype"/>
          <w:sz w:val="22"/>
          <w:szCs w:val="22"/>
        </w:rPr>
        <w:t xml:space="preserve"> estudio, a los que se les asignó los números indicados en el proemio de la presente resolución, en los que s</w:t>
      </w:r>
      <w:r w:rsidRPr="00064D58">
        <w:rPr>
          <w:rFonts w:ascii="Palatino Linotype" w:hAnsi="Palatino Linotype" w:cs="Arial"/>
          <w:sz w:val="22"/>
          <w:szCs w:val="22"/>
        </w:rPr>
        <w:t>eñaló como acto impugnado, lo siguiente:</w:t>
      </w:r>
    </w:p>
    <w:p w14:paraId="1A0FE768" w14:textId="77777777" w:rsidR="00316882" w:rsidRPr="00064D58" w:rsidRDefault="00316882" w:rsidP="00221864">
      <w:pPr>
        <w:spacing w:line="360" w:lineRule="auto"/>
        <w:jc w:val="both"/>
        <w:rPr>
          <w:rFonts w:ascii="Palatino Linotype" w:hAnsi="Palatino Linotype" w:cs="Arial"/>
          <w:sz w:val="22"/>
          <w:szCs w:val="22"/>
        </w:rPr>
      </w:pPr>
    </w:p>
    <w:tbl>
      <w:tblPr>
        <w:tblStyle w:val="Tablaconcuadrcula"/>
        <w:tblW w:w="0" w:type="auto"/>
        <w:jc w:val="center"/>
        <w:tblLook w:val="04A0" w:firstRow="1" w:lastRow="0" w:firstColumn="1" w:lastColumn="0" w:noHBand="0" w:noVBand="1"/>
      </w:tblPr>
      <w:tblGrid>
        <w:gridCol w:w="2189"/>
        <w:gridCol w:w="2089"/>
        <w:gridCol w:w="4364"/>
      </w:tblGrid>
      <w:tr w:rsidR="001853B7" w:rsidRPr="00064D58" w14:paraId="194AE7CD" w14:textId="77777777" w:rsidTr="00064D58">
        <w:trPr>
          <w:jc w:val="center"/>
        </w:trPr>
        <w:tc>
          <w:tcPr>
            <w:tcW w:w="2189" w:type="dxa"/>
            <w:shd w:val="clear" w:color="auto" w:fill="000000" w:themeFill="text1"/>
            <w:vAlign w:val="center"/>
          </w:tcPr>
          <w:p w14:paraId="6D2243C4" w14:textId="77777777" w:rsidR="001853B7" w:rsidRPr="00064D58" w:rsidRDefault="001853B7" w:rsidP="00221864">
            <w:pPr>
              <w:spacing w:line="360" w:lineRule="auto"/>
              <w:jc w:val="center"/>
              <w:rPr>
                <w:rFonts w:ascii="Palatino Linotype" w:hAnsi="Palatino Linotype" w:cs="Arial"/>
                <w:b/>
                <w:color w:val="FFFFFF" w:themeColor="background1"/>
                <w:sz w:val="16"/>
                <w:szCs w:val="16"/>
                <w:lang w:val="es-ES_tradnl"/>
              </w:rPr>
            </w:pPr>
            <w:r w:rsidRPr="00064D58">
              <w:rPr>
                <w:rFonts w:ascii="Palatino Linotype" w:hAnsi="Palatino Linotype" w:cs="Arial"/>
                <w:b/>
                <w:color w:val="FFFFFF" w:themeColor="background1"/>
                <w:sz w:val="16"/>
                <w:szCs w:val="16"/>
                <w:lang w:val="es-ES_tradnl"/>
              </w:rPr>
              <w:t>Recurso</w:t>
            </w:r>
          </w:p>
        </w:tc>
        <w:tc>
          <w:tcPr>
            <w:tcW w:w="2089" w:type="dxa"/>
            <w:shd w:val="clear" w:color="auto" w:fill="000000" w:themeFill="text1"/>
            <w:vAlign w:val="center"/>
          </w:tcPr>
          <w:p w14:paraId="568EA65F" w14:textId="77777777" w:rsidR="001853B7" w:rsidRPr="00064D58" w:rsidRDefault="001853B7" w:rsidP="00221864">
            <w:pPr>
              <w:spacing w:line="360" w:lineRule="auto"/>
              <w:jc w:val="center"/>
              <w:rPr>
                <w:rFonts w:ascii="Palatino Linotype" w:hAnsi="Palatino Linotype" w:cs="Arial"/>
                <w:b/>
                <w:color w:val="FFFFFF" w:themeColor="background1"/>
                <w:sz w:val="16"/>
                <w:szCs w:val="16"/>
                <w:lang w:val="es-ES_tradnl"/>
              </w:rPr>
            </w:pPr>
            <w:r w:rsidRPr="00064D58">
              <w:rPr>
                <w:rFonts w:ascii="Palatino Linotype" w:hAnsi="Palatino Linotype" w:cs="Arial"/>
                <w:b/>
                <w:color w:val="FFFFFF" w:themeColor="background1"/>
                <w:sz w:val="16"/>
                <w:szCs w:val="16"/>
                <w:lang w:val="es-ES_tradnl"/>
              </w:rPr>
              <w:t>Solicitud</w:t>
            </w:r>
          </w:p>
        </w:tc>
        <w:tc>
          <w:tcPr>
            <w:tcW w:w="4364" w:type="dxa"/>
            <w:shd w:val="clear" w:color="auto" w:fill="000000" w:themeFill="text1"/>
            <w:vAlign w:val="center"/>
          </w:tcPr>
          <w:p w14:paraId="39916134" w14:textId="77777777" w:rsidR="001853B7" w:rsidRPr="00064D58" w:rsidRDefault="001853B7" w:rsidP="00221864">
            <w:pPr>
              <w:spacing w:line="360" w:lineRule="auto"/>
              <w:jc w:val="center"/>
              <w:rPr>
                <w:rFonts w:ascii="Palatino Linotype" w:hAnsi="Palatino Linotype" w:cs="Arial"/>
                <w:b/>
                <w:color w:val="FFFFFF" w:themeColor="background1"/>
                <w:sz w:val="16"/>
                <w:szCs w:val="16"/>
                <w:lang w:val="es-ES_tradnl"/>
              </w:rPr>
            </w:pPr>
            <w:r w:rsidRPr="00064D58">
              <w:rPr>
                <w:rFonts w:ascii="Palatino Linotype" w:hAnsi="Palatino Linotype" w:cs="Arial"/>
                <w:b/>
                <w:color w:val="FFFFFF" w:themeColor="background1"/>
                <w:sz w:val="16"/>
                <w:szCs w:val="16"/>
                <w:lang w:val="es-ES_tradnl"/>
              </w:rPr>
              <w:t>Acto Impugnado</w:t>
            </w:r>
          </w:p>
        </w:tc>
      </w:tr>
      <w:tr w:rsidR="001853B7" w:rsidRPr="00064D58" w14:paraId="1D0CFA55" w14:textId="77777777" w:rsidTr="00064D58">
        <w:trPr>
          <w:jc w:val="center"/>
        </w:trPr>
        <w:tc>
          <w:tcPr>
            <w:tcW w:w="2189" w:type="dxa"/>
            <w:vAlign w:val="center"/>
          </w:tcPr>
          <w:p w14:paraId="69AB6A21" w14:textId="71B58D4C" w:rsidR="001853B7" w:rsidRPr="00064D58" w:rsidRDefault="00064D58" w:rsidP="00221864">
            <w:pPr>
              <w:spacing w:line="360" w:lineRule="auto"/>
              <w:jc w:val="center"/>
              <w:rPr>
                <w:rFonts w:ascii="Palatino Linotype" w:hAnsi="Palatino Linotype" w:cs="Arial"/>
                <w:b/>
                <w:sz w:val="16"/>
                <w:szCs w:val="16"/>
                <w:lang w:val="es-ES"/>
              </w:rPr>
            </w:pPr>
            <w:r w:rsidRPr="00064D58">
              <w:rPr>
                <w:rFonts w:ascii="Palatino Linotype" w:hAnsi="Palatino Linotype"/>
                <w:b/>
                <w:bCs/>
                <w:sz w:val="16"/>
                <w:szCs w:val="16"/>
              </w:rPr>
              <w:t>06467</w:t>
            </w:r>
            <w:r w:rsidR="001853B7" w:rsidRPr="00064D58">
              <w:rPr>
                <w:rFonts w:ascii="Palatino Linotype" w:hAnsi="Palatino Linotype"/>
                <w:b/>
                <w:bCs/>
                <w:sz w:val="16"/>
                <w:szCs w:val="16"/>
              </w:rPr>
              <w:t>/INFOEM/IP/RR/2021</w:t>
            </w:r>
          </w:p>
        </w:tc>
        <w:tc>
          <w:tcPr>
            <w:tcW w:w="2089" w:type="dxa"/>
            <w:vAlign w:val="center"/>
          </w:tcPr>
          <w:p w14:paraId="701358D7" w14:textId="613F299E" w:rsidR="001853B7" w:rsidRPr="00064D58" w:rsidRDefault="00064D58" w:rsidP="00221864">
            <w:pPr>
              <w:spacing w:line="360" w:lineRule="auto"/>
              <w:jc w:val="center"/>
              <w:rPr>
                <w:rFonts w:ascii="Palatino Linotype" w:hAnsi="Palatino Linotype"/>
                <w:b/>
                <w:bCs/>
                <w:sz w:val="16"/>
                <w:szCs w:val="16"/>
              </w:rPr>
            </w:pPr>
            <w:r w:rsidRPr="00064D58">
              <w:rPr>
                <w:rFonts w:ascii="Palatino Linotype" w:hAnsi="Palatino Linotype"/>
                <w:b/>
                <w:bCs/>
                <w:sz w:val="16"/>
                <w:szCs w:val="16"/>
              </w:rPr>
              <w:t>00876/ECATEPEC/IP/2021</w:t>
            </w:r>
          </w:p>
        </w:tc>
        <w:tc>
          <w:tcPr>
            <w:tcW w:w="4364" w:type="dxa"/>
          </w:tcPr>
          <w:p w14:paraId="31441CAE" w14:textId="7D2071F9" w:rsidR="001853B7" w:rsidRPr="00064D58" w:rsidRDefault="00064D58" w:rsidP="00221864">
            <w:pPr>
              <w:spacing w:line="360" w:lineRule="auto"/>
              <w:jc w:val="both"/>
              <w:rPr>
                <w:rFonts w:ascii="Palatino Linotype" w:hAnsi="Palatino Linotype"/>
                <w:i/>
                <w:sz w:val="16"/>
                <w:szCs w:val="16"/>
              </w:rPr>
            </w:pPr>
            <w:r w:rsidRPr="00064D58">
              <w:rPr>
                <w:rFonts w:ascii="Palatino Linotype" w:hAnsi="Palatino Linotype"/>
                <w:i/>
                <w:sz w:val="16"/>
                <w:szCs w:val="16"/>
              </w:rPr>
              <w:t>Solicito que la información sea proporcionada por este medio conforme a lo que se requirió y teniendo en cuenta las especificaciones señaladas.</w:t>
            </w:r>
          </w:p>
        </w:tc>
      </w:tr>
      <w:tr w:rsidR="001853B7" w:rsidRPr="00064D58" w14:paraId="5FA11005" w14:textId="77777777" w:rsidTr="00064D58">
        <w:trPr>
          <w:jc w:val="center"/>
        </w:trPr>
        <w:tc>
          <w:tcPr>
            <w:tcW w:w="2189" w:type="dxa"/>
            <w:vAlign w:val="center"/>
          </w:tcPr>
          <w:p w14:paraId="15EC4E6C" w14:textId="26F74DBB" w:rsidR="001853B7" w:rsidRPr="00064D58" w:rsidRDefault="00064D58" w:rsidP="00221864">
            <w:pPr>
              <w:spacing w:line="360" w:lineRule="auto"/>
              <w:jc w:val="center"/>
              <w:rPr>
                <w:rFonts w:ascii="Palatino Linotype" w:hAnsi="Palatino Linotype" w:cs="Arial"/>
                <w:b/>
                <w:sz w:val="16"/>
                <w:szCs w:val="16"/>
                <w:lang w:val="es-ES"/>
              </w:rPr>
            </w:pPr>
            <w:r>
              <w:rPr>
                <w:rFonts w:ascii="Palatino Linotype" w:hAnsi="Palatino Linotype"/>
                <w:b/>
                <w:bCs/>
                <w:sz w:val="16"/>
                <w:szCs w:val="16"/>
              </w:rPr>
              <w:t>00023</w:t>
            </w:r>
            <w:r w:rsidR="001853B7" w:rsidRPr="00064D58">
              <w:rPr>
                <w:rFonts w:ascii="Palatino Linotype" w:hAnsi="Palatino Linotype"/>
                <w:b/>
                <w:bCs/>
                <w:sz w:val="16"/>
                <w:szCs w:val="16"/>
              </w:rPr>
              <w:t>/INFOEM/IP/RR/202</w:t>
            </w:r>
            <w:r>
              <w:rPr>
                <w:rFonts w:ascii="Palatino Linotype" w:hAnsi="Palatino Linotype"/>
                <w:b/>
                <w:bCs/>
                <w:sz w:val="16"/>
                <w:szCs w:val="16"/>
              </w:rPr>
              <w:t>2</w:t>
            </w:r>
          </w:p>
        </w:tc>
        <w:tc>
          <w:tcPr>
            <w:tcW w:w="2089" w:type="dxa"/>
            <w:vAlign w:val="center"/>
          </w:tcPr>
          <w:p w14:paraId="258939E9" w14:textId="07A5DE3F" w:rsidR="001853B7" w:rsidRPr="00064D58" w:rsidRDefault="00B85E89" w:rsidP="00221864">
            <w:pPr>
              <w:spacing w:line="360" w:lineRule="auto"/>
              <w:jc w:val="center"/>
              <w:rPr>
                <w:rFonts w:ascii="Palatino Linotype" w:hAnsi="Palatino Linotype"/>
                <w:b/>
                <w:bCs/>
                <w:sz w:val="16"/>
                <w:szCs w:val="16"/>
              </w:rPr>
            </w:pPr>
            <w:r w:rsidRPr="006E07BB">
              <w:rPr>
                <w:rFonts w:ascii="Palatino Linotype" w:hAnsi="Palatino Linotype"/>
                <w:b/>
                <w:bCs/>
                <w:sz w:val="16"/>
                <w:szCs w:val="16"/>
              </w:rPr>
              <w:t>00875/ECATEPEC/IP/2021</w:t>
            </w:r>
          </w:p>
        </w:tc>
        <w:tc>
          <w:tcPr>
            <w:tcW w:w="4364" w:type="dxa"/>
          </w:tcPr>
          <w:p w14:paraId="1C7F6DB9" w14:textId="253A79E7" w:rsidR="001853B7" w:rsidRPr="00064D58" w:rsidRDefault="00B85E89" w:rsidP="00221864">
            <w:pPr>
              <w:spacing w:line="360" w:lineRule="auto"/>
              <w:jc w:val="both"/>
              <w:rPr>
                <w:rFonts w:ascii="Palatino Linotype" w:hAnsi="Palatino Linotype"/>
                <w:i/>
                <w:sz w:val="16"/>
                <w:szCs w:val="16"/>
              </w:rPr>
            </w:pPr>
            <w:r>
              <w:rPr>
                <w:rFonts w:ascii="Palatino Linotype" w:hAnsi="Palatino Linotype"/>
                <w:i/>
                <w:sz w:val="16"/>
                <w:szCs w:val="16"/>
              </w:rPr>
              <w:t>No se proporcionó la información</w:t>
            </w:r>
          </w:p>
        </w:tc>
      </w:tr>
    </w:tbl>
    <w:p w14:paraId="3A7D2F51" w14:textId="77777777" w:rsidR="00FA1D6E" w:rsidRDefault="00FA1D6E" w:rsidP="00221864">
      <w:pPr>
        <w:spacing w:line="360" w:lineRule="auto"/>
        <w:jc w:val="both"/>
        <w:rPr>
          <w:rFonts w:ascii="Palatino Linotype" w:hAnsi="Palatino Linotype" w:cs="Arial"/>
          <w:sz w:val="22"/>
          <w:szCs w:val="22"/>
        </w:rPr>
      </w:pPr>
    </w:p>
    <w:p w14:paraId="47013FD1" w14:textId="14BD354C" w:rsidR="00064D58" w:rsidRDefault="00064D58" w:rsidP="00221864">
      <w:pPr>
        <w:spacing w:line="360" w:lineRule="auto"/>
        <w:jc w:val="both"/>
        <w:rPr>
          <w:rFonts w:ascii="Palatino Linotype" w:hAnsi="Palatino Linotype" w:cs="Arial"/>
          <w:sz w:val="22"/>
          <w:szCs w:val="22"/>
        </w:rPr>
      </w:pPr>
      <w:r w:rsidRPr="00064D58">
        <w:rPr>
          <w:rFonts w:ascii="Palatino Linotype" w:hAnsi="Palatino Linotype" w:cs="Arial"/>
          <w:sz w:val="22"/>
          <w:szCs w:val="22"/>
        </w:rPr>
        <w:t xml:space="preserve">En ese tenor, es importante resaltar que </w:t>
      </w:r>
      <w:r w:rsidRPr="00064D58">
        <w:rPr>
          <w:rFonts w:ascii="Palatino Linotype" w:hAnsi="Palatino Linotype" w:cs="Arial"/>
          <w:b/>
          <w:sz w:val="22"/>
          <w:szCs w:val="22"/>
        </w:rPr>
        <w:t xml:space="preserve">LA RECURRENTE </w:t>
      </w:r>
      <w:r w:rsidR="00EF0A17">
        <w:rPr>
          <w:rFonts w:ascii="Palatino Linotype" w:hAnsi="Palatino Linotype" w:cs="Arial"/>
          <w:sz w:val="22"/>
          <w:szCs w:val="22"/>
        </w:rPr>
        <w:t>no refirió</w:t>
      </w:r>
      <w:r w:rsidRPr="00064D58">
        <w:rPr>
          <w:rFonts w:ascii="Palatino Linotype" w:hAnsi="Palatino Linotype" w:cs="Arial"/>
          <w:sz w:val="22"/>
          <w:szCs w:val="22"/>
        </w:rPr>
        <w:t xml:space="preserve"> razones o motivos de inconformidad en ambos </w:t>
      </w:r>
      <w:r w:rsidR="00001197">
        <w:rPr>
          <w:rFonts w:ascii="Palatino Linotype" w:hAnsi="Palatino Linotype" w:cs="Arial"/>
          <w:sz w:val="22"/>
          <w:szCs w:val="22"/>
        </w:rPr>
        <w:t>Recursos de Revisión</w:t>
      </w:r>
      <w:r w:rsidRPr="00064D58">
        <w:rPr>
          <w:rFonts w:ascii="Palatino Linotype" w:hAnsi="Palatino Linotype" w:cs="Arial"/>
          <w:sz w:val="22"/>
          <w:szCs w:val="22"/>
        </w:rPr>
        <w:t>.</w:t>
      </w:r>
    </w:p>
    <w:p w14:paraId="39B26B1E" w14:textId="77777777" w:rsidR="00FA1D6E" w:rsidRPr="00064D58" w:rsidRDefault="00FA1D6E" w:rsidP="00AD61EF">
      <w:pPr>
        <w:spacing w:line="360" w:lineRule="auto"/>
        <w:jc w:val="both"/>
        <w:rPr>
          <w:rFonts w:ascii="Palatino Linotype" w:hAnsi="Palatino Linotype" w:cs="Arial"/>
          <w:sz w:val="22"/>
          <w:szCs w:val="22"/>
        </w:rPr>
      </w:pPr>
    </w:p>
    <w:p w14:paraId="1663E24C" w14:textId="5655CA7E" w:rsidR="00721230" w:rsidRDefault="00721230" w:rsidP="00221864">
      <w:pPr>
        <w:pStyle w:val="Default"/>
        <w:spacing w:line="360" w:lineRule="auto"/>
        <w:ind w:right="51"/>
        <w:jc w:val="both"/>
        <w:rPr>
          <w:rFonts w:ascii="Palatino Linotype" w:hAnsi="Palatino Linotype"/>
          <w:sz w:val="22"/>
          <w:szCs w:val="22"/>
          <w:lang w:val="es-ES_tradnl"/>
        </w:rPr>
      </w:pPr>
      <w:r w:rsidRPr="00064D58">
        <w:rPr>
          <w:rFonts w:ascii="Palatino Linotype" w:hAnsi="Palatino Linotype"/>
          <w:b/>
          <w:color w:val="000000" w:themeColor="text1"/>
        </w:rPr>
        <w:t>V.</w:t>
      </w:r>
      <w:r w:rsidRPr="00560490">
        <w:rPr>
          <w:rFonts w:ascii="Palatino Linotype" w:hAnsi="Palatino Linotype"/>
          <w:b/>
          <w:color w:val="000000" w:themeColor="text1"/>
          <w:sz w:val="28"/>
          <w:szCs w:val="28"/>
        </w:rPr>
        <w:t xml:space="preserve"> </w:t>
      </w:r>
      <w:r w:rsidRPr="00064D58">
        <w:rPr>
          <w:rFonts w:ascii="Palatino Linotype" w:hAnsi="Palatino Linotype"/>
          <w:sz w:val="22"/>
          <w:szCs w:val="22"/>
        </w:rPr>
        <w:t>En fecha</w:t>
      </w:r>
      <w:r w:rsidR="00064D58">
        <w:rPr>
          <w:rFonts w:ascii="Palatino Linotype" w:hAnsi="Palatino Linotype"/>
          <w:sz w:val="22"/>
          <w:szCs w:val="22"/>
        </w:rPr>
        <w:t>s dieciséis de diciembre d</w:t>
      </w:r>
      <w:r w:rsidR="00064D58" w:rsidRPr="00064D58">
        <w:rPr>
          <w:rFonts w:ascii="Palatino Linotype" w:hAnsi="Palatino Linotype"/>
          <w:sz w:val="22"/>
          <w:szCs w:val="22"/>
        </w:rPr>
        <w:t>e dos mil veintiuno</w:t>
      </w:r>
      <w:r w:rsidR="00064D58">
        <w:rPr>
          <w:rFonts w:ascii="Palatino Linotype" w:hAnsi="Palatino Linotype"/>
          <w:sz w:val="22"/>
          <w:szCs w:val="22"/>
        </w:rPr>
        <w:t xml:space="preserve"> y </w:t>
      </w:r>
      <w:r w:rsidR="00B85E89">
        <w:rPr>
          <w:rFonts w:ascii="Palatino Linotype" w:hAnsi="Palatino Linotype"/>
          <w:sz w:val="22"/>
          <w:szCs w:val="22"/>
        </w:rPr>
        <w:t>diez de enero de dos mil veintidós</w:t>
      </w:r>
      <w:r w:rsidRPr="00064D58">
        <w:rPr>
          <w:rFonts w:ascii="Palatino Linotype" w:hAnsi="Palatino Linotype"/>
          <w:sz w:val="22"/>
          <w:szCs w:val="22"/>
        </w:rPr>
        <w:t xml:space="preserve">, los recursos de que se trata se enviaron electrónicamente al Instituto de Transparencia, </w:t>
      </w:r>
      <w:r w:rsidR="00F533F3">
        <w:rPr>
          <w:rFonts w:ascii="Palatino Linotype" w:hAnsi="Palatino Linotype"/>
          <w:sz w:val="22"/>
          <w:szCs w:val="22"/>
        </w:rPr>
        <w:t>Acceso a la Información Pública</w:t>
      </w:r>
      <w:r w:rsidRPr="00064D58">
        <w:rPr>
          <w:rFonts w:ascii="Palatino Linotype" w:hAnsi="Palatino Linotype"/>
          <w:sz w:val="22"/>
          <w:szCs w:val="22"/>
          <w:lang w:val="es-ES_tradnl"/>
        </w:rPr>
        <w:t xml:space="preserve"> y </w:t>
      </w:r>
      <w:r w:rsidRPr="00064D58">
        <w:rPr>
          <w:rFonts w:ascii="Palatino Linotype" w:hAnsi="Palatino Linotype"/>
          <w:sz w:val="22"/>
          <w:szCs w:val="22"/>
        </w:rPr>
        <w:t>Protección</w:t>
      </w:r>
      <w:r w:rsidRPr="00064D58">
        <w:rPr>
          <w:rFonts w:ascii="Palatino Linotype" w:hAnsi="Palatino Linotype"/>
          <w:sz w:val="22"/>
          <w:szCs w:val="22"/>
          <w:lang w:val="es-ES_tradnl"/>
        </w:rPr>
        <w:t xml:space="preserve"> </w:t>
      </w:r>
      <w:r w:rsidRPr="00064D58">
        <w:rPr>
          <w:rFonts w:ascii="Palatino Linotype" w:hAnsi="Palatino Linotype"/>
          <w:sz w:val="22"/>
          <w:szCs w:val="22"/>
        </w:rPr>
        <w:t>de</w:t>
      </w:r>
      <w:r w:rsidRPr="00064D58">
        <w:rPr>
          <w:rFonts w:ascii="Palatino Linotype" w:hAnsi="Palatino Linotype"/>
          <w:sz w:val="22"/>
          <w:szCs w:val="22"/>
          <w:lang w:val="es-ES_tradnl"/>
        </w:rPr>
        <w:t xml:space="preserve"> </w:t>
      </w:r>
      <w:r w:rsidRPr="00064D58">
        <w:rPr>
          <w:rFonts w:ascii="Palatino Linotype" w:hAnsi="Palatino Linotype"/>
          <w:sz w:val="22"/>
          <w:szCs w:val="22"/>
        </w:rPr>
        <w:t>Datos</w:t>
      </w:r>
      <w:r w:rsidRPr="00064D58">
        <w:rPr>
          <w:rFonts w:ascii="Palatino Linotype" w:hAnsi="Palatino Linotype"/>
          <w:sz w:val="22"/>
          <w:szCs w:val="22"/>
          <w:lang w:val="es-ES_tradnl"/>
        </w:rPr>
        <w:t xml:space="preserve"> </w:t>
      </w:r>
      <w:r w:rsidRPr="00064D58">
        <w:rPr>
          <w:rFonts w:ascii="Palatino Linotype" w:hAnsi="Palatino Linotype"/>
          <w:sz w:val="22"/>
          <w:szCs w:val="22"/>
        </w:rPr>
        <w:t>Personales</w:t>
      </w:r>
      <w:r w:rsidRPr="00064D58">
        <w:rPr>
          <w:rFonts w:ascii="Palatino Linotype" w:hAnsi="Palatino Linotype"/>
          <w:sz w:val="22"/>
          <w:szCs w:val="22"/>
          <w:lang w:val="es-ES_tradnl"/>
        </w:rPr>
        <w:t xml:space="preserve"> </w:t>
      </w:r>
      <w:r w:rsidRPr="00064D58">
        <w:rPr>
          <w:rFonts w:ascii="Palatino Linotype" w:hAnsi="Palatino Linotype"/>
          <w:sz w:val="22"/>
          <w:szCs w:val="22"/>
        </w:rPr>
        <w:t>del</w:t>
      </w:r>
      <w:r w:rsidRPr="00064D58">
        <w:rPr>
          <w:rFonts w:ascii="Palatino Linotype" w:hAnsi="Palatino Linotype"/>
          <w:sz w:val="22"/>
          <w:szCs w:val="22"/>
          <w:lang w:val="es-ES_tradnl"/>
        </w:rPr>
        <w:t xml:space="preserve"> </w:t>
      </w:r>
      <w:r w:rsidRPr="00064D58">
        <w:rPr>
          <w:rFonts w:ascii="Palatino Linotype" w:hAnsi="Palatino Linotype"/>
          <w:sz w:val="22"/>
          <w:szCs w:val="22"/>
        </w:rPr>
        <w:t>Estado</w:t>
      </w:r>
      <w:r w:rsidRPr="00064D58">
        <w:rPr>
          <w:rFonts w:ascii="Palatino Linotype" w:hAnsi="Palatino Linotype"/>
          <w:sz w:val="22"/>
          <w:szCs w:val="22"/>
          <w:lang w:val="es-ES_tradnl"/>
        </w:rPr>
        <w:t xml:space="preserve"> de México y Municipios y con fundamento en el </w:t>
      </w:r>
      <w:r w:rsidRPr="00064D58">
        <w:rPr>
          <w:rFonts w:ascii="Palatino Linotype" w:hAnsi="Palatino Linotype"/>
          <w:sz w:val="22"/>
          <w:szCs w:val="22"/>
        </w:rPr>
        <w:t>artículo</w:t>
      </w:r>
      <w:r w:rsidRPr="00064D58">
        <w:rPr>
          <w:rFonts w:ascii="Palatino Linotype" w:hAnsi="Palatino Linotype"/>
          <w:sz w:val="22"/>
          <w:szCs w:val="22"/>
          <w:lang w:val="es-ES_tradnl"/>
        </w:rPr>
        <w:t xml:space="preserve"> 185, </w:t>
      </w:r>
      <w:r w:rsidRPr="00064D58">
        <w:rPr>
          <w:rFonts w:ascii="Palatino Linotype" w:hAnsi="Palatino Linotype"/>
          <w:sz w:val="22"/>
          <w:szCs w:val="22"/>
        </w:rPr>
        <w:t>fracción</w:t>
      </w:r>
      <w:r w:rsidRPr="00064D58">
        <w:rPr>
          <w:rFonts w:ascii="Palatino Linotype" w:hAnsi="Palatino Linotype"/>
          <w:sz w:val="22"/>
          <w:szCs w:val="22"/>
          <w:lang w:val="es-ES_tradnl"/>
        </w:rPr>
        <w:t xml:space="preserve"> I de la </w:t>
      </w:r>
      <w:r w:rsidRPr="00064D58">
        <w:rPr>
          <w:rFonts w:ascii="Palatino Linotype" w:hAnsi="Palatino Linotype"/>
          <w:sz w:val="22"/>
          <w:szCs w:val="22"/>
        </w:rPr>
        <w:t xml:space="preserve">Ley de Transparencia y </w:t>
      </w:r>
      <w:r w:rsidR="00F533F3">
        <w:rPr>
          <w:rFonts w:ascii="Palatino Linotype" w:hAnsi="Palatino Linotype"/>
          <w:sz w:val="22"/>
          <w:szCs w:val="22"/>
        </w:rPr>
        <w:t>Acceso a la Información Pública</w:t>
      </w:r>
      <w:r w:rsidRPr="00064D58">
        <w:rPr>
          <w:rFonts w:ascii="Palatino Linotype" w:hAnsi="Palatino Linotype"/>
          <w:sz w:val="22"/>
          <w:szCs w:val="22"/>
        </w:rPr>
        <w:t xml:space="preserve"> del Estado de México y Municipios</w:t>
      </w:r>
      <w:r w:rsidRPr="00064D58">
        <w:rPr>
          <w:rFonts w:ascii="Palatino Linotype" w:hAnsi="Palatino Linotype"/>
          <w:sz w:val="22"/>
          <w:szCs w:val="22"/>
          <w:lang w:val="es-ES_tradnl"/>
        </w:rPr>
        <w:t>, se turnaron, a través de</w:t>
      </w:r>
      <w:r w:rsidRPr="00064D58">
        <w:rPr>
          <w:rFonts w:ascii="Palatino Linotype" w:eastAsia="Arial Unicode MS" w:hAnsi="Palatino Linotype"/>
          <w:sz w:val="22"/>
          <w:szCs w:val="22"/>
          <w:lang w:val="es-ES_tradnl"/>
        </w:rPr>
        <w:t xml:space="preserve"> </w:t>
      </w:r>
      <w:r w:rsidR="00064D58">
        <w:rPr>
          <w:rFonts w:ascii="Palatino Linotype" w:eastAsia="Arial Unicode MS" w:hAnsi="Palatino Linotype"/>
          <w:b/>
          <w:sz w:val="22"/>
          <w:szCs w:val="22"/>
          <w:lang w:val="es-ES_tradnl"/>
        </w:rPr>
        <w:t>EL S</w:t>
      </w:r>
      <w:r w:rsidRPr="00064D58">
        <w:rPr>
          <w:rFonts w:ascii="Palatino Linotype" w:eastAsia="Arial Unicode MS" w:hAnsi="Palatino Linotype"/>
          <w:b/>
          <w:sz w:val="22"/>
          <w:szCs w:val="22"/>
          <w:lang w:val="es-ES_tradnl"/>
        </w:rPr>
        <w:t>AIMEX</w:t>
      </w:r>
      <w:r w:rsidR="001853B7" w:rsidRPr="00064D58">
        <w:rPr>
          <w:rFonts w:ascii="Palatino Linotype" w:hAnsi="Palatino Linotype"/>
          <w:sz w:val="22"/>
          <w:szCs w:val="22"/>
        </w:rPr>
        <w:t xml:space="preserve">, </w:t>
      </w:r>
      <w:r w:rsidR="001853B7" w:rsidRPr="00064D58">
        <w:rPr>
          <w:rFonts w:ascii="Palatino Linotype" w:hAnsi="Palatino Linotype"/>
          <w:sz w:val="22"/>
          <w:szCs w:val="22"/>
        </w:rPr>
        <w:lastRenderedPageBreak/>
        <w:t xml:space="preserve">el </w:t>
      </w:r>
      <w:r w:rsidR="00EF0A17">
        <w:rPr>
          <w:rFonts w:ascii="Palatino Linotype" w:hAnsi="Palatino Linotype"/>
          <w:sz w:val="22"/>
          <w:szCs w:val="22"/>
        </w:rPr>
        <w:t>R</w:t>
      </w:r>
      <w:r w:rsidR="001853B7" w:rsidRPr="00064D58">
        <w:rPr>
          <w:rFonts w:ascii="Palatino Linotype" w:hAnsi="Palatino Linotype"/>
          <w:sz w:val="22"/>
          <w:szCs w:val="22"/>
        </w:rPr>
        <w:t xml:space="preserve">ecurso de </w:t>
      </w:r>
      <w:r w:rsidR="00EF0A17">
        <w:rPr>
          <w:rFonts w:ascii="Palatino Linotype" w:hAnsi="Palatino Linotype"/>
          <w:sz w:val="22"/>
          <w:szCs w:val="22"/>
        </w:rPr>
        <w:t>R</w:t>
      </w:r>
      <w:r w:rsidR="001853B7" w:rsidRPr="00064D58">
        <w:rPr>
          <w:rFonts w:ascii="Palatino Linotype" w:hAnsi="Palatino Linotype"/>
          <w:sz w:val="22"/>
          <w:szCs w:val="22"/>
        </w:rPr>
        <w:t xml:space="preserve">evisión </w:t>
      </w:r>
      <w:r w:rsidR="00064D58">
        <w:rPr>
          <w:rFonts w:ascii="Palatino Linotype" w:hAnsi="Palatino Linotype"/>
          <w:b/>
          <w:sz w:val="22"/>
          <w:szCs w:val="22"/>
          <w:lang w:val="es-ES_tradnl"/>
        </w:rPr>
        <w:t>06467</w:t>
      </w:r>
      <w:r w:rsidR="001853B7" w:rsidRPr="00064D58">
        <w:rPr>
          <w:rFonts w:ascii="Palatino Linotype" w:hAnsi="Palatino Linotype"/>
          <w:b/>
          <w:sz w:val="22"/>
          <w:szCs w:val="22"/>
          <w:lang w:val="es-ES_tradnl"/>
        </w:rPr>
        <w:t xml:space="preserve">/INFOEM/IP/RR/2021, </w:t>
      </w:r>
      <w:r w:rsidR="001853B7" w:rsidRPr="00064D58">
        <w:rPr>
          <w:rFonts w:ascii="Palatino Linotype" w:hAnsi="Palatino Linotype"/>
          <w:sz w:val="22"/>
          <w:szCs w:val="22"/>
          <w:lang w:val="es-ES_tradnl"/>
        </w:rPr>
        <w:t>a</w:t>
      </w:r>
      <w:r w:rsidR="00064D58">
        <w:rPr>
          <w:rFonts w:ascii="Palatino Linotype" w:hAnsi="Palatino Linotype"/>
          <w:sz w:val="22"/>
          <w:szCs w:val="22"/>
          <w:lang w:val="es-ES_tradnl"/>
        </w:rPr>
        <w:t xml:space="preserve">l </w:t>
      </w:r>
      <w:r w:rsidRPr="00064D58">
        <w:rPr>
          <w:rFonts w:ascii="Palatino Linotype" w:hAnsi="Palatino Linotype"/>
          <w:b/>
          <w:sz w:val="22"/>
          <w:szCs w:val="22"/>
          <w:lang w:val="es-ES_tradnl"/>
        </w:rPr>
        <w:t>Comisionad</w:t>
      </w:r>
      <w:r w:rsidR="00064D58">
        <w:rPr>
          <w:rFonts w:ascii="Palatino Linotype" w:hAnsi="Palatino Linotype"/>
          <w:b/>
          <w:sz w:val="22"/>
          <w:szCs w:val="22"/>
          <w:lang w:val="es-ES_tradnl"/>
        </w:rPr>
        <w:t>o Luis Gustavo Parra Noriega</w:t>
      </w:r>
      <w:r w:rsidR="001853B7" w:rsidRPr="00064D58">
        <w:rPr>
          <w:rFonts w:ascii="Palatino Linotype" w:hAnsi="Palatino Linotype"/>
          <w:b/>
          <w:sz w:val="22"/>
          <w:szCs w:val="22"/>
          <w:lang w:val="es-ES_tradnl"/>
        </w:rPr>
        <w:t xml:space="preserve"> </w:t>
      </w:r>
      <w:r w:rsidR="001853B7" w:rsidRPr="00064D58">
        <w:rPr>
          <w:rFonts w:ascii="Palatino Linotype" w:hAnsi="Palatino Linotype"/>
          <w:sz w:val="22"/>
          <w:szCs w:val="22"/>
          <w:lang w:val="es-ES_tradnl"/>
        </w:rPr>
        <w:t xml:space="preserve">y el </w:t>
      </w:r>
      <w:r w:rsidR="00EF0A17">
        <w:rPr>
          <w:rFonts w:ascii="Palatino Linotype" w:hAnsi="Palatino Linotype"/>
          <w:sz w:val="22"/>
          <w:szCs w:val="22"/>
          <w:lang w:val="es-ES_tradnl"/>
        </w:rPr>
        <w:t>R</w:t>
      </w:r>
      <w:r w:rsidR="001853B7" w:rsidRPr="00064D58">
        <w:rPr>
          <w:rFonts w:ascii="Palatino Linotype" w:hAnsi="Palatino Linotype"/>
          <w:sz w:val="22"/>
          <w:szCs w:val="22"/>
          <w:lang w:val="es-ES_tradnl"/>
        </w:rPr>
        <w:t xml:space="preserve">ecurso de </w:t>
      </w:r>
      <w:r w:rsidR="00EF0A17">
        <w:rPr>
          <w:rFonts w:ascii="Palatino Linotype" w:hAnsi="Palatino Linotype"/>
          <w:sz w:val="22"/>
          <w:szCs w:val="22"/>
          <w:lang w:val="es-ES_tradnl"/>
        </w:rPr>
        <w:t>R</w:t>
      </w:r>
      <w:r w:rsidR="001853B7" w:rsidRPr="00064D58">
        <w:rPr>
          <w:rFonts w:ascii="Palatino Linotype" w:hAnsi="Palatino Linotype"/>
          <w:sz w:val="22"/>
          <w:szCs w:val="22"/>
          <w:lang w:val="es-ES_tradnl"/>
        </w:rPr>
        <w:t xml:space="preserve">evisión </w:t>
      </w:r>
      <w:r w:rsidR="00064D58">
        <w:rPr>
          <w:rFonts w:ascii="Palatino Linotype" w:hAnsi="Palatino Linotype"/>
          <w:b/>
          <w:sz w:val="22"/>
          <w:szCs w:val="22"/>
          <w:lang w:val="es-ES_tradnl"/>
        </w:rPr>
        <w:t>00023</w:t>
      </w:r>
      <w:r w:rsidR="001853B7" w:rsidRPr="00064D58">
        <w:rPr>
          <w:rFonts w:ascii="Palatino Linotype" w:hAnsi="Palatino Linotype"/>
          <w:b/>
          <w:sz w:val="22"/>
          <w:szCs w:val="22"/>
          <w:lang w:val="es-ES_tradnl"/>
        </w:rPr>
        <w:t>/INFOEM/IP/RR/202</w:t>
      </w:r>
      <w:r w:rsidR="00064D58">
        <w:rPr>
          <w:rFonts w:ascii="Palatino Linotype" w:hAnsi="Palatino Linotype"/>
          <w:b/>
          <w:sz w:val="22"/>
          <w:szCs w:val="22"/>
          <w:lang w:val="es-ES_tradnl"/>
        </w:rPr>
        <w:t>2</w:t>
      </w:r>
      <w:r w:rsidR="001853B7" w:rsidRPr="00064D58">
        <w:rPr>
          <w:rFonts w:ascii="Palatino Linotype" w:hAnsi="Palatino Linotype"/>
          <w:b/>
          <w:sz w:val="22"/>
          <w:szCs w:val="22"/>
          <w:lang w:val="es-ES_tradnl"/>
        </w:rPr>
        <w:t xml:space="preserve"> </w:t>
      </w:r>
      <w:r w:rsidR="001853B7" w:rsidRPr="00064D58">
        <w:rPr>
          <w:rFonts w:ascii="Palatino Linotype" w:hAnsi="Palatino Linotype"/>
          <w:sz w:val="22"/>
          <w:szCs w:val="22"/>
          <w:lang w:val="es-ES_tradnl"/>
        </w:rPr>
        <w:t xml:space="preserve">a la </w:t>
      </w:r>
      <w:r w:rsidR="001853B7" w:rsidRPr="00064D58">
        <w:rPr>
          <w:rFonts w:ascii="Palatino Linotype" w:hAnsi="Palatino Linotype"/>
          <w:b/>
          <w:sz w:val="22"/>
          <w:szCs w:val="22"/>
          <w:lang w:val="es-ES_tradnl"/>
        </w:rPr>
        <w:t xml:space="preserve">Comisionada María del Rosario Mejía Ayala, </w:t>
      </w:r>
      <w:r w:rsidRPr="00064D58">
        <w:rPr>
          <w:rFonts w:ascii="Palatino Linotype" w:hAnsi="Palatino Linotype"/>
          <w:sz w:val="22"/>
          <w:szCs w:val="22"/>
          <w:lang w:val="es-ES_tradnl"/>
        </w:rPr>
        <w:t>a efecto de que decretara</w:t>
      </w:r>
      <w:r w:rsidR="001853B7" w:rsidRPr="00064D58">
        <w:rPr>
          <w:rFonts w:ascii="Palatino Linotype" w:hAnsi="Palatino Linotype"/>
          <w:sz w:val="22"/>
          <w:szCs w:val="22"/>
          <w:lang w:val="es-ES_tradnl"/>
        </w:rPr>
        <w:t>n</w:t>
      </w:r>
      <w:r w:rsidRPr="00064D58">
        <w:rPr>
          <w:rFonts w:ascii="Palatino Linotype" w:hAnsi="Palatino Linotype"/>
          <w:sz w:val="22"/>
          <w:szCs w:val="22"/>
          <w:lang w:val="es-ES_tradnl"/>
        </w:rPr>
        <w:t xml:space="preserve"> su admisión o desechamiento.</w:t>
      </w:r>
    </w:p>
    <w:p w14:paraId="3446233C" w14:textId="77777777" w:rsidR="00FA1D6E" w:rsidRPr="00064D58" w:rsidRDefault="00FA1D6E" w:rsidP="00AD61EF">
      <w:pPr>
        <w:pStyle w:val="Default"/>
        <w:spacing w:line="360" w:lineRule="auto"/>
        <w:ind w:right="51"/>
        <w:jc w:val="both"/>
        <w:rPr>
          <w:rFonts w:ascii="Palatino Linotype" w:hAnsi="Palatino Linotype"/>
          <w:sz w:val="22"/>
          <w:szCs w:val="22"/>
          <w:lang w:val="es-ES_tradnl"/>
        </w:rPr>
      </w:pPr>
    </w:p>
    <w:p w14:paraId="10ED3390" w14:textId="021DED76" w:rsidR="00721230" w:rsidRDefault="00721230" w:rsidP="00221864">
      <w:pPr>
        <w:pStyle w:val="Piedepgina"/>
        <w:spacing w:line="360" w:lineRule="auto"/>
        <w:jc w:val="both"/>
        <w:rPr>
          <w:rFonts w:ascii="Palatino Linotype" w:hAnsi="Palatino Linotype" w:cs="Arial"/>
          <w:sz w:val="22"/>
          <w:szCs w:val="22"/>
        </w:rPr>
      </w:pPr>
      <w:r w:rsidRPr="00064D58">
        <w:rPr>
          <w:rFonts w:ascii="Palatino Linotype" w:hAnsi="Palatino Linotype" w:cs="Arial"/>
          <w:b/>
          <w:color w:val="000000" w:themeColor="text1"/>
        </w:rPr>
        <w:t>VI.</w:t>
      </w:r>
      <w:r w:rsidRPr="00064D58">
        <w:rPr>
          <w:rFonts w:ascii="Palatino Linotype" w:hAnsi="Palatino Linotype" w:cs="Arial"/>
          <w:b/>
          <w:color w:val="000000" w:themeColor="text1"/>
          <w:sz w:val="22"/>
          <w:szCs w:val="22"/>
        </w:rPr>
        <w:t xml:space="preserve"> </w:t>
      </w:r>
      <w:r w:rsidR="001853B7" w:rsidRPr="00064D58">
        <w:rPr>
          <w:rFonts w:ascii="Palatino Linotype" w:hAnsi="Palatino Linotype" w:cs="Arial"/>
          <w:sz w:val="22"/>
          <w:szCs w:val="22"/>
        </w:rPr>
        <w:t xml:space="preserve">En fechas </w:t>
      </w:r>
      <w:r w:rsidR="00064D58">
        <w:rPr>
          <w:rFonts w:ascii="Palatino Linotype" w:hAnsi="Palatino Linotype" w:cs="Arial"/>
          <w:sz w:val="22"/>
          <w:szCs w:val="22"/>
        </w:rPr>
        <w:t xml:space="preserve">veinte de diciembre de dos mil veintiuno y </w:t>
      </w:r>
      <w:r w:rsidR="00B85E89">
        <w:rPr>
          <w:rFonts w:ascii="Palatino Linotype" w:hAnsi="Palatino Linotype" w:cs="Arial"/>
          <w:sz w:val="22"/>
          <w:szCs w:val="22"/>
        </w:rPr>
        <w:t xml:space="preserve">trece de enero de dos mil veintidós, </w:t>
      </w:r>
      <w:r w:rsidRPr="00064D58">
        <w:rPr>
          <w:rFonts w:ascii="Palatino Linotype" w:hAnsi="Palatino Linotype" w:cs="Arial"/>
          <w:sz w:val="22"/>
          <w:szCs w:val="22"/>
        </w:rPr>
        <w:t xml:space="preserve">atento a lo dispuesto en el artículo 185, fracciones I, II y IV, de la </w:t>
      </w:r>
      <w:r w:rsidRPr="00064D58">
        <w:rPr>
          <w:rFonts w:ascii="Palatino Linotype" w:hAnsi="Palatino Linotype"/>
          <w:sz w:val="22"/>
          <w:szCs w:val="22"/>
        </w:rPr>
        <w:t xml:space="preserve">Ley de Transparencia y </w:t>
      </w:r>
      <w:r w:rsidR="00F533F3">
        <w:rPr>
          <w:rFonts w:ascii="Palatino Linotype" w:hAnsi="Palatino Linotype"/>
          <w:sz w:val="22"/>
          <w:szCs w:val="22"/>
        </w:rPr>
        <w:t>Acceso a la Información Pública</w:t>
      </w:r>
      <w:r w:rsidRPr="00064D58">
        <w:rPr>
          <w:rFonts w:ascii="Palatino Linotype" w:hAnsi="Palatino Linotype"/>
          <w:sz w:val="22"/>
          <w:szCs w:val="22"/>
        </w:rPr>
        <w:t xml:space="preserve"> del </w:t>
      </w:r>
      <w:r w:rsidRPr="00064D58">
        <w:rPr>
          <w:rFonts w:ascii="Palatino Linotype" w:hAnsi="Palatino Linotype" w:cs="Arial"/>
          <w:sz w:val="22"/>
          <w:szCs w:val="22"/>
        </w:rPr>
        <w:t>Estado</w:t>
      </w:r>
      <w:r w:rsidRPr="00064D58">
        <w:rPr>
          <w:rFonts w:ascii="Palatino Linotype" w:hAnsi="Palatino Linotype"/>
          <w:sz w:val="22"/>
          <w:szCs w:val="22"/>
        </w:rPr>
        <w:t xml:space="preserve"> de México y </w:t>
      </w:r>
      <w:r w:rsidRPr="00064D58">
        <w:rPr>
          <w:rFonts w:ascii="Palatino Linotype" w:hAnsi="Palatino Linotype" w:cs="Arial"/>
          <w:sz w:val="22"/>
          <w:szCs w:val="22"/>
        </w:rPr>
        <w:t>Municipios</w:t>
      </w:r>
      <w:r w:rsidRPr="00064D58">
        <w:rPr>
          <w:rFonts w:ascii="Palatino Linotype" w:hAnsi="Palatino Linotype"/>
          <w:sz w:val="22"/>
          <w:szCs w:val="22"/>
        </w:rPr>
        <w:t>, se a</w:t>
      </w:r>
      <w:r w:rsidRPr="00064D58">
        <w:rPr>
          <w:rFonts w:ascii="Palatino Linotype" w:hAnsi="Palatino Linotype" w:cs="Arial"/>
          <w:sz w:val="22"/>
          <w:szCs w:val="22"/>
        </w:rPr>
        <w:t xml:space="preserve">cordó la admisión a trámite de los referidos </w:t>
      </w:r>
      <w:r w:rsidR="00001197">
        <w:rPr>
          <w:rFonts w:ascii="Palatino Linotype" w:hAnsi="Palatino Linotype" w:cs="Arial"/>
          <w:sz w:val="22"/>
          <w:szCs w:val="22"/>
        </w:rPr>
        <w:t>Recursos de Revisión</w:t>
      </w:r>
      <w:r w:rsidRPr="00064D58">
        <w:rPr>
          <w:rFonts w:ascii="Palatino Linotype" w:hAnsi="Palatino Linotype" w:cs="Arial"/>
          <w:sz w:val="22"/>
          <w:szCs w:val="22"/>
        </w:rPr>
        <w:t xml:space="preserve">, así como la integración de los expedientes respectivos, mismos que se pusieron a disposición de las partes, para que en el plazo máximo de siete días hábiles, </w:t>
      </w:r>
      <w:r w:rsidRPr="00064D58">
        <w:rPr>
          <w:rFonts w:ascii="Palatino Linotype" w:hAnsi="Palatino Linotype" w:cs="Arial"/>
          <w:b/>
          <w:sz w:val="22"/>
          <w:szCs w:val="22"/>
        </w:rPr>
        <w:t>L</w:t>
      </w:r>
      <w:r w:rsidR="00140F2E" w:rsidRPr="00064D58">
        <w:rPr>
          <w:rFonts w:ascii="Palatino Linotype" w:hAnsi="Palatino Linotype" w:cs="Arial"/>
          <w:b/>
          <w:sz w:val="22"/>
          <w:szCs w:val="22"/>
        </w:rPr>
        <w:t>A</w:t>
      </w:r>
      <w:r w:rsidRPr="00064D58">
        <w:rPr>
          <w:rFonts w:ascii="Palatino Linotype" w:hAnsi="Palatino Linotype" w:cs="Arial"/>
          <w:b/>
          <w:sz w:val="22"/>
          <w:szCs w:val="22"/>
        </w:rPr>
        <w:t xml:space="preserve"> RECURRENTE</w:t>
      </w:r>
      <w:r w:rsidRPr="00064D58">
        <w:rPr>
          <w:rFonts w:ascii="Palatino Linotype" w:hAnsi="Palatino Linotype" w:cs="Arial"/>
          <w:sz w:val="22"/>
          <w:szCs w:val="22"/>
        </w:rPr>
        <w:t xml:space="preserve"> realizara manifestaciones, alegatos y ofreciera las pruebas que a su derecho conviniera y, en el caso </w:t>
      </w:r>
      <w:r w:rsidR="00FA1D6E" w:rsidRPr="00064D58">
        <w:rPr>
          <w:rFonts w:ascii="Palatino Linotype" w:hAnsi="Palatino Linotype" w:cs="Arial"/>
          <w:sz w:val="22"/>
          <w:szCs w:val="22"/>
        </w:rPr>
        <w:t>de</w:t>
      </w:r>
      <w:r w:rsidR="00FA1D6E">
        <w:rPr>
          <w:rFonts w:ascii="Palatino Linotype" w:hAnsi="Palatino Linotype" w:cs="Arial"/>
          <w:sz w:val="22"/>
          <w:szCs w:val="22"/>
        </w:rPr>
        <w:t xml:space="preserve"> </w:t>
      </w:r>
      <w:r w:rsidR="00FA1D6E" w:rsidRPr="00AD61EF">
        <w:rPr>
          <w:rFonts w:ascii="Palatino Linotype" w:hAnsi="Palatino Linotype" w:cs="Arial"/>
          <w:b/>
          <w:bCs/>
          <w:sz w:val="22"/>
          <w:szCs w:val="22"/>
        </w:rPr>
        <w:t>EL</w:t>
      </w:r>
      <w:r w:rsidR="00FA1D6E" w:rsidRPr="00064D58">
        <w:rPr>
          <w:rFonts w:ascii="Palatino Linotype" w:hAnsi="Palatino Linotype" w:cs="Arial"/>
          <w:b/>
          <w:sz w:val="22"/>
          <w:szCs w:val="22"/>
        </w:rPr>
        <w:t xml:space="preserve"> </w:t>
      </w:r>
      <w:r w:rsidRPr="00064D58">
        <w:rPr>
          <w:rFonts w:ascii="Palatino Linotype" w:hAnsi="Palatino Linotype" w:cs="Arial"/>
          <w:b/>
          <w:sz w:val="22"/>
          <w:szCs w:val="22"/>
        </w:rPr>
        <w:t>SUJETO OBLIGADO</w:t>
      </w:r>
      <w:r w:rsidRPr="00064D58">
        <w:rPr>
          <w:rFonts w:ascii="Palatino Linotype" w:hAnsi="Palatino Linotype" w:cs="Arial"/>
          <w:sz w:val="22"/>
          <w:szCs w:val="22"/>
        </w:rPr>
        <w:t>, para que exhibiera los Informes Justificados correspondientes.</w:t>
      </w:r>
    </w:p>
    <w:p w14:paraId="636E206C" w14:textId="77777777" w:rsidR="00FA1D6E" w:rsidRPr="00064D58" w:rsidRDefault="00FA1D6E" w:rsidP="00AD61EF">
      <w:pPr>
        <w:pStyle w:val="Piedepgina"/>
        <w:spacing w:line="360" w:lineRule="auto"/>
        <w:jc w:val="both"/>
        <w:rPr>
          <w:rFonts w:ascii="Palatino Linotype" w:hAnsi="Palatino Linotype" w:cs="Arial"/>
          <w:sz w:val="22"/>
          <w:szCs w:val="22"/>
        </w:rPr>
      </w:pPr>
    </w:p>
    <w:p w14:paraId="70B047C9" w14:textId="28D004C8" w:rsidR="009F6646" w:rsidRDefault="00721230" w:rsidP="00221864">
      <w:pPr>
        <w:spacing w:line="360" w:lineRule="auto"/>
        <w:jc w:val="both"/>
        <w:rPr>
          <w:rFonts w:ascii="Palatino Linotype" w:hAnsi="Palatino Linotype" w:cs="Arial"/>
          <w:sz w:val="22"/>
          <w:szCs w:val="22"/>
        </w:rPr>
      </w:pPr>
      <w:r w:rsidRPr="00064D58">
        <w:rPr>
          <w:rFonts w:ascii="Palatino Linotype" w:eastAsia="Arial Unicode MS" w:hAnsi="Palatino Linotype" w:cs="Arial"/>
          <w:b/>
          <w:color w:val="000000" w:themeColor="text1"/>
        </w:rPr>
        <w:t>VII.</w:t>
      </w:r>
      <w:r w:rsidRPr="00064D58">
        <w:rPr>
          <w:rFonts w:ascii="Palatino Linotype" w:eastAsia="Arial Unicode MS" w:hAnsi="Palatino Linotype" w:cs="Arial"/>
          <w:b/>
          <w:color w:val="000000" w:themeColor="text1"/>
          <w:sz w:val="22"/>
          <w:szCs w:val="22"/>
        </w:rPr>
        <w:t xml:space="preserve"> </w:t>
      </w:r>
      <w:r w:rsidRPr="00064D58">
        <w:rPr>
          <w:rFonts w:ascii="Palatino Linotype" w:hAnsi="Palatino Linotype" w:cs="Arial"/>
          <w:sz w:val="22"/>
          <w:szCs w:val="22"/>
        </w:rPr>
        <w:t xml:space="preserve">De las constancias que obran en </w:t>
      </w:r>
      <w:r w:rsidR="00064D58" w:rsidRPr="00064D58">
        <w:rPr>
          <w:rFonts w:ascii="Palatino Linotype" w:hAnsi="Palatino Linotype" w:cs="Arial"/>
          <w:b/>
          <w:sz w:val="22"/>
          <w:szCs w:val="22"/>
        </w:rPr>
        <w:t>EL</w:t>
      </w:r>
      <w:r w:rsidR="00064D58" w:rsidRPr="00064D58">
        <w:rPr>
          <w:rFonts w:ascii="Palatino Linotype" w:hAnsi="Palatino Linotype" w:cs="Arial"/>
          <w:sz w:val="22"/>
          <w:szCs w:val="22"/>
        </w:rPr>
        <w:t xml:space="preserve"> </w:t>
      </w:r>
      <w:r w:rsidRPr="00064D58">
        <w:rPr>
          <w:rFonts w:ascii="Palatino Linotype" w:hAnsi="Palatino Linotype" w:cs="Arial"/>
          <w:b/>
          <w:sz w:val="22"/>
          <w:szCs w:val="22"/>
        </w:rPr>
        <w:t>SAIMEX</w:t>
      </w:r>
      <w:r w:rsidRPr="00064D58">
        <w:rPr>
          <w:rFonts w:ascii="Palatino Linotype" w:hAnsi="Palatino Linotype" w:cs="Arial"/>
          <w:sz w:val="22"/>
          <w:szCs w:val="22"/>
        </w:rPr>
        <w:t>, se advierte que</w:t>
      </w:r>
      <w:r w:rsidR="00140F2E" w:rsidRPr="00064D58">
        <w:rPr>
          <w:rFonts w:ascii="Palatino Linotype" w:hAnsi="Palatino Linotype" w:cs="Arial"/>
          <w:b/>
          <w:sz w:val="22"/>
          <w:szCs w:val="22"/>
        </w:rPr>
        <w:t xml:space="preserve"> EL SUJETO OBLIGADO</w:t>
      </w:r>
      <w:r w:rsidR="00140F2E" w:rsidRPr="00064D58">
        <w:rPr>
          <w:rFonts w:ascii="Palatino Linotype" w:hAnsi="Palatino Linotype" w:cs="Arial"/>
          <w:sz w:val="22"/>
          <w:szCs w:val="22"/>
        </w:rPr>
        <w:t xml:space="preserve"> en fecha </w:t>
      </w:r>
      <w:r w:rsidR="00064D58">
        <w:rPr>
          <w:rFonts w:ascii="Palatino Linotype" w:hAnsi="Palatino Linotype" w:cs="Arial"/>
          <w:sz w:val="22"/>
          <w:szCs w:val="22"/>
        </w:rPr>
        <w:t xml:space="preserve">veintinueve de diciembre de </w:t>
      </w:r>
      <w:r w:rsidR="00140F2E" w:rsidRPr="00064D58">
        <w:rPr>
          <w:rFonts w:ascii="Palatino Linotype" w:hAnsi="Palatino Linotype" w:cs="Arial"/>
          <w:sz w:val="22"/>
          <w:szCs w:val="22"/>
        </w:rPr>
        <w:t xml:space="preserve">dos mil veintiuno, rindió </w:t>
      </w:r>
      <w:r w:rsidR="00064D58">
        <w:rPr>
          <w:rFonts w:ascii="Palatino Linotype" w:hAnsi="Palatino Linotype" w:cs="Arial"/>
          <w:sz w:val="22"/>
          <w:szCs w:val="22"/>
        </w:rPr>
        <w:t xml:space="preserve">el </w:t>
      </w:r>
      <w:r w:rsidR="00D56365">
        <w:rPr>
          <w:rFonts w:ascii="Palatino Linotype" w:hAnsi="Palatino Linotype" w:cs="Arial"/>
          <w:sz w:val="22"/>
          <w:szCs w:val="22"/>
        </w:rPr>
        <w:t>Informe Justificado</w:t>
      </w:r>
      <w:r w:rsidR="00064D58">
        <w:rPr>
          <w:rFonts w:ascii="Palatino Linotype" w:hAnsi="Palatino Linotype" w:cs="Arial"/>
          <w:sz w:val="22"/>
          <w:szCs w:val="22"/>
        </w:rPr>
        <w:t xml:space="preserve"> </w:t>
      </w:r>
      <w:r w:rsidR="00140F2E" w:rsidRPr="00064D58">
        <w:rPr>
          <w:rFonts w:ascii="Palatino Linotype" w:hAnsi="Palatino Linotype" w:cs="Arial"/>
          <w:sz w:val="22"/>
          <w:szCs w:val="22"/>
        </w:rPr>
        <w:t>correspondiente</w:t>
      </w:r>
      <w:r w:rsidR="00064D58">
        <w:rPr>
          <w:rFonts w:ascii="Palatino Linotype" w:hAnsi="Palatino Linotype" w:cs="Arial"/>
          <w:sz w:val="22"/>
          <w:szCs w:val="22"/>
        </w:rPr>
        <w:t xml:space="preserve"> al Recurso de Revisión </w:t>
      </w:r>
      <w:r w:rsidR="00064D58">
        <w:rPr>
          <w:rFonts w:ascii="Palatino Linotype" w:hAnsi="Palatino Linotype" w:cs="Arial"/>
          <w:b/>
          <w:sz w:val="22"/>
          <w:szCs w:val="22"/>
        </w:rPr>
        <w:t>06467/INFOEM/IP/RR/2021</w:t>
      </w:r>
      <w:r w:rsidR="00140F2E" w:rsidRPr="00064D58">
        <w:rPr>
          <w:rFonts w:ascii="Palatino Linotype" w:hAnsi="Palatino Linotype" w:cs="Arial"/>
          <w:sz w:val="22"/>
          <w:szCs w:val="22"/>
        </w:rPr>
        <w:t xml:space="preserve">, mediante </w:t>
      </w:r>
      <w:r w:rsidR="009F6646">
        <w:rPr>
          <w:rFonts w:ascii="Palatino Linotype" w:hAnsi="Palatino Linotype" w:cs="Arial"/>
          <w:sz w:val="22"/>
          <w:szCs w:val="22"/>
        </w:rPr>
        <w:t>dos archivos electrónicos que se describen a continuación:</w:t>
      </w:r>
    </w:p>
    <w:p w14:paraId="4F543988" w14:textId="77777777" w:rsidR="00FA1D6E" w:rsidRDefault="00FA1D6E" w:rsidP="00AD61EF">
      <w:pPr>
        <w:spacing w:line="360" w:lineRule="auto"/>
        <w:jc w:val="both"/>
        <w:rPr>
          <w:rFonts w:ascii="Palatino Linotype" w:hAnsi="Palatino Linotype" w:cs="Arial"/>
          <w:sz w:val="22"/>
          <w:szCs w:val="22"/>
        </w:rPr>
      </w:pPr>
    </w:p>
    <w:p w14:paraId="6C0A4D0F" w14:textId="0E6696C8" w:rsidR="009F6646" w:rsidRPr="00316882" w:rsidRDefault="004E6A46" w:rsidP="00AD61EF">
      <w:pPr>
        <w:pStyle w:val="Prrafodelista"/>
        <w:numPr>
          <w:ilvl w:val="0"/>
          <w:numId w:val="4"/>
        </w:numPr>
        <w:spacing w:line="360" w:lineRule="auto"/>
        <w:jc w:val="both"/>
        <w:rPr>
          <w:rFonts w:ascii="Palatino Linotype" w:hAnsi="Palatino Linotype" w:cs="Arial"/>
          <w:b/>
          <w:sz w:val="22"/>
          <w:szCs w:val="22"/>
        </w:rPr>
      </w:pPr>
      <w:hyperlink r:id="rId11" w:history="1">
        <w:r w:rsidR="009F6646" w:rsidRPr="009F6646">
          <w:rPr>
            <w:rFonts w:ascii="Palatino Linotype" w:hAnsi="Palatino Linotype"/>
            <w:b/>
            <w:sz w:val="22"/>
            <w:szCs w:val="22"/>
          </w:rPr>
          <w:t>R.R.06467-2021.pdf</w:t>
        </w:r>
      </w:hyperlink>
      <w:r w:rsidR="009F6646">
        <w:rPr>
          <w:rFonts w:ascii="Palatino Linotype" w:hAnsi="Palatino Linotype" w:cs="Arial"/>
          <w:b/>
          <w:sz w:val="22"/>
          <w:szCs w:val="22"/>
        </w:rPr>
        <w:t xml:space="preserve">: </w:t>
      </w:r>
      <w:r w:rsidR="009F6646">
        <w:rPr>
          <w:rFonts w:ascii="Palatino Linotype" w:hAnsi="Palatino Linotype" w:cs="Arial"/>
          <w:sz w:val="22"/>
          <w:szCs w:val="22"/>
        </w:rPr>
        <w:t>contiene el escrito de fecha veintinueve de diciembre de dos mil veintiuno, a través del cual la Titular de la Unidad de Transparencia hizo del conocimiento de la solicitante las manifestaciones de la Contralora Interna Municipal en torno al Recurso de Revisión en comento.</w:t>
      </w:r>
      <w:r w:rsidR="00EF0A17">
        <w:rPr>
          <w:rFonts w:ascii="Palatino Linotype" w:hAnsi="Palatino Linotype" w:cs="Arial"/>
          <w:sz w:val="22"/>
          <w:szCs w:val="22"/>
        </w:rPr>
        <w:t xml:space="preserve"> </w:t>
      </w:r>
      <w:r w:rsidR="004B1DA6">
        <w:rPr>
          <w:rFonts w:ascii="Palatino Linotype" w:hAnsi="Palatino Linotype" w:cs="Arial"/>
          <w:sz w:val="22"/>
          <w:szCs w:val="22"/>
        </w:rPr>
        <w:t>Sirve</w:t>
      </w:r>
      <w:r w:rsidR="00316882">
        <w:rPr>
          <w:rFonts w:ascii="Palatino Linotype" w:hAnsi="Palatino Linotype" w:cs="Arial"/>
          <w:sz w:val="22"/>
          <w:szCs w:val="22"/>
        </w:rPr>
        <w:t xml:space="preserve"> de sustento a lo anterior la imagen que a continuación se inserta:</w:t>
      </w:r>
    </w:p>
    <w:p w14:paraId="480250B5" w14:textId="0DF1F719" w:rsidR="00316882" w:rsidRDefault="00316882" w:rsidP="00221864">
      <w:pPr>
        <w:pStyle w:val="Prrafodelista"/>
        <w:spacing w:line="360" w:lineRule="auto"/>
        <w:ind w:left="720"/>
        <w:jc w:val="center"/>
        <w:rPr>
          <w:rFonts w:ascii="Palatino Linotype" w:hAnsi="Palatino Linotype" w:cs="Arial"/>
          <w:b/>
          <w:sz w:val="22"/>
          <w:szCs w:val="22"/>
        </w:rPr>
      </w:pPr>
      <w:r>
        <w:rPr>
          <w:noProof/>
          <w:lang w:eastAsia="es-MX"/>
        </w:rPr>
        <w:drawing>
          <wp:inline distT="0" distB="0" distL="0" distR="0" wp14:anchorId="32FD42BD" wp14:editId="52E35868">
            <wp:extent cx="4436617" cy="5782391"/>
            <wp:effectExtent l="0" t="0" r="254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016" t="16034" r="14648" b="3590"/>
                    <a:stretch/>
                  </pic:blipFill>
                  <pic:spPr bwMode="auto">
                    <a:xfrm>
                      <a:off x="0" y="0"/>
                      <a:ext cx="4463415" cy="5817318"/>
                    </a:xfrm>
                    <a:prstGeom prst="rect">
                      <a:avLst/>
                    </a:prstGeom>
                    <a:ln>
                      <a:noFill/>
                    </a:ln>
                    <a:extLst>
                      <a:ext uri="{53640926-AAD7-44D8-BBD7-CCE9431645EC}">
                        <a14:shadowObscured xmlns:a14="http://schemas.microsoft.com/office/drawing/2010/main"/>
                      </a:ext>
                    </a:extLst>
                  </pic:spPr>
                </pic:pic>
              </a:graphicData>
            </a:graphic>
          </wp:inline>
        </w:drawing>
      </w:r>
    </w:p>
    <w:p w14:paraId="16A13DD2" w14:textId="77777777" w:rsidR="00FA1D6E" w:rsidRPr="009F6646" w:rsidRDefault="00FA1D6E" w:rsidP="00AD61EF">
      <w:pPr>
        <w:pStyle w:val="Prrafodelista"/>
        <w:spacing w:line="360" w:lineRule="auto"/>
        <w:ind w:left="720"/>
        <w:jc w:val="center"/>
        <w:rPr>
          <w:rFonts w:ascii="Palatino Linotype" w:hAnsi="Palatino Linotype" w:cs="Arial"/>
          <w:b/>
          <w:sz w:val="22"/>
          <w:szCs w:val="22"/>
        </w:rPr>
      </w:pPr>
    </w:p>
    <w:p w14:paraId="0909EB64" w14:textId="10B32E1B" w:rsidR="009F6646" w:rsidRPr="00316882" w:rsidRDefault="004E6A46" w:rsidP="00AD61EF">
      <w:pPr>
        <w:pStyle w:val="Prrafodelista"/>
        <w:numPr>
          <w:ilvl w:val="0"/>
          <w:numId w:val="4"/>
        </w:numPr>
        <w:spacing w:line="360" w:lineRule="auto"/>
        <w:jc w:val="both"/>
        <w:rPr>
          <w:rFonts w:ascii="Palatino Linotype" w:hAnsi="Palatino Linotype" w:cs="Arial"/>
          <w:b/>
          <w:sz w:val="22"/>
          <w:szCs w:val="22"/>
        </w:rPr>
      </w:pPr>
      <w:hyperlink r:id="rId13" w:history="1">
        <w:r w:rsidR="009F6646" w:rsidRPr="009F6646">
          <w:rPr>
            <w:rFonts w:ascii="Palatino Linotype" w:hAnsi="Palatino Linotype"/>
            <w:b/>
            <w:sz w:val="22"/>
            <w:szCs w:val="22"/>
          </w:rPr>
          <w:t>Respuesta del área 0646-021.pdf</w:t>
        </w:r>
      </w:hyperlink>
      <w:r w:rsidR="009F6646">
        <w:rPr>
          <w:rFonts w:ascii="Palatino Linotype" w:hAnsi="Palatino Linotype" w:cs="Arial"/>
          <w:b/>
          <w:sz w:val="22"/>
          <w:szCs w:val="22"/>
        </w:rPr>
        <w:t xml:space="preserve">: </w:t>
      </w:r>
      <w:r w:rsidR="009F6646">
        <w:rPr>
          <w:rFonts w:ascii="Palatino Linotype" w:hAnsi="Palatino Linotype" w:cs="Arial"/>
          <w:sz w:val="22"/>
          <w:szCs w:val="22"/>
        </w:rPr>
        <w:t>contiene el oficio número CIM/SA/DCE/0857/2021, de fecha veinticuatro de diciembre de dos mil veintiuno, signado por la Contralora Interna Municipal, mediant</w:t>
      </w:r>
      <w:r w:rsidR="00316882">
        <w:rPr>
          <w:rFonts w:ascii="Palatino Linotype" w:hAnsi="Palatino Linotype" w:cs="Arial"/>
          <w:sz w:val="22"/>
          <w:szCs w:val="22"/>
        </w:rPr>
        <w:t>e el cual ratifica su respuesta; tal y como se aprecia a continuación:</w:t>
      </w:r>
    </w:p>
    <w:p w14:paraId="0D2CEFA3" w14:textId="73E021EC" w:rsidR="00316882" w:rsidRPr="009F6646" w:rsidRDefault="00316882" w:rsidP="00AD61EF">
      <w:pPr>
        <w:pStyle w:val="Prrafodelista"/>
        <w:spacing w:line="360" w:lineRule="auto"/>
        <w:ind w:left="720"/>
        <w:jc w:val="center"/>
        <w:rPr>
          <w:rFonts w:ascii="Palatino Linotype" w:hAnsi="Palatino Linotype" w:cs="Arial"/>
          <w:b/>
          <w:sz w:val="22"/>
          <w:szCs w:val="22"/>
        </w:rPr>
      </w:pPr>
      <w:r>
        <w:rPr>
          <w:noProof/>
          <w:lang w:eastAsia="es-MX"/>
        </w:rPr>
        <w:drawing>
          <wp:inline distT="0" distB="0" distL="0" distR="0" wp14:anchorId="788260DA" wp14:editId="20A03C3A">
            <wp:extent cx="4665994" cy="6268662"/>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1443" t="24051" r="20732" b="12429"/>
                    <a:stretch/>
                  </pic:blipFill>
                  <pic:spPr bwMode="auto">
                    <a:xfrm>
                      <a:off x="0" y="0"/>
                      <a:ext cx="4677995" cy="6284784"/>
                    </a:xfrm>
                    <a:prstGeom prst="rect">
                      <a:avLst/>
                    </a:prstGeom>
                    <a:ln>
                      <a:noFill/>
                    </a:ln>
                    <a:extLst>
                      <a:ext uri="{53640926-AAD7-44D8-BBD7-CCE9431645EC}">
                        <a14:shadowObscured xmlns:a14="http://schemas.microsoft.com/office/drawing/2010/main"/>
                      </a:ext>
                    </a:extLst>
                  </pic:spPr>
                </pic:pic>
              </a:graphicData>
            </a:graphic>
          </wp:inline>
        </w:drawing>
      </w:r>
    </w:p>
    <w:p w14:paraId="5FDD4C59" w14:textId="268DA7C7" w:rsidR="00635174" w:rsidRDefault="009C6881">
      <w:pPr>
        <w:spacing w:line="360" w:lineRule="auto"/>
        <w:jc w:val="both"/>
        <w:rPr>
          <w:rFonts w:ascii="Palatino Linotype" w:hAnsi="Palatino Linotype" w:cs="Arial"/>
          <w:sz w:val="22"/>
          <w:szCs w:val="22"/>
        </w:rPr>
      </w:pPr>
      <w:r w:rsidRPr="009F6646">
        <w:rPr>
          <w:rFonts w:ascii="Palatino Linotype" w:hAnsi="Palatino Linotype" w:cs="Arial"/>
          <w:sz w:val="22"/>
          <w:szCs w:val="22"/>
        </w:rPr>
        <w:t>Destaca en este punto que dicho informe fue</w:t>
      </w:r>
      <w:r w:rsidR="009F6646" w:rsidRPr="009F6646">
        <w:rPr>
          <w:rFonts w:ascii="Palatino Linotype" w:hAnsi="Palatino Linotype" w:cs="Arial"/>
          <w:sz w:val="22"/>
          <w:szCs w:val="22"/>
        </w:rPr>
        <w:t xml:space="preserve"> hecho</w:t>
      </w:r>
      <w:r w:rsidRPr="009F6646">
        <w:rPr>
          <w:rFonts w:ascii="Palatino Linotype" w:hAnsi="Palatino Linotype" w:cs="Arial"/>
          <w:sz w:val="22"/>
          <w:szCs w:val="22"/>
        </w:rPr>
        <w:t xml:space="preserve"> de conocimiento de la </w:t>
      </w:r>
      <w:r w:rsidR="00FA1D6E">
        <w:rPr>
          <w:rFonts w:ascii="Palatino Linotype" w:hAnsi="Palatino Linotype" w:cs="Arial"/>
          <w:sz w:val="22"/>
          <w:szCs w:val="22"/>
        </w:rPr>
        <w:t>P</w:t>
      </w:r>
      <w:r w:rsidRPr="009F6646">
        <w:rPr>
          <w:rFonts w:ascii="Palatino Linotype" w:hAnsi="Palatino Linotype" w:cs="Arial"/>
          <w:sz w:val="22"/>
          <w:szCs w:val="22"/>
        </w:rPr>
        <w:t xml:space="preserve">articular en fecha </w:t>
      </w:r>
      <w:r w:rsidR="009F6646" w:rsidRPr="009F6646">
        <w:rPr>
          <w:rFonts w:ascii="Palatino Linotype" w:hAnsi="Palatino Linotype" w:cs="Arial"/>
          <w:sz w:val="22"/>
          <w:szCs w:val="22"/>
        </w:rPr>
        <w:t xml:space="preserve">tres de febrero de dos mil veintidós. </w:t>
      </w:r>
    </w:p>
    <w:p w14:paraId="38FB0A63" w14:textId="77777777" w:rsidR="00273559" w:rsidRPr="009F6646" w:rsidRDefault="00273559" w:rsidP="00AD61EF">
      <w:pPr>
        <w:spacing w:line="360" w:lineRule="auto"/>
        <w:jc w:val="both"/>
        <w:rPr>
          <w:rFonts w:ascii="Palatino Linotype" w:hAnsi="Palatino Linotype" w:cs="Arial"/>
          <w:sz w:val="22"/>
          <w:szCs w:val="22"/>
        </w:rPr>
      </w:pPr>
    </w:p>
    <w:p w14:paraId="47C6EDD0" w14:textId="2872C886" w:rsidR="00721230" w:rsidRDefault="00635174" w:rsidP="00221864">
      <w:pPr>
        <w:spacing w:line="360" w:lineRule="auto"/>
        <w:jc w:val="both"/>
        <w:rPr>
          <w:rFonts w:ascii="Palatino Linotype" w:hAnsi="Palatino Linotype" w:cs="Arial"/>
          <w:b/>
          <w:sz w:val="22"/>
          <w:szCs w:val="22"/>
        </w:rPr>
      </w:pPr>
      <w:r w:rsidRPr="009F6646">
        <w:rPr>
          <w:rFonts w:ascii="Palatino Linotype" w:hAnsi="Palatino Linotype" w:cs="Arial"/>
          <w:sz w:val="22"/>
          <w:szCs w:val="22"/>
        </w:rPr>
        <w:t>Por su parte,</w:t>
      </w:r>
      <w:r w:rsidR="00721230" w:rsidRPr="009F6646">
        <w:rPr>
          <w:rFonts w:ascii="Palatino Linotype" w:hAnsi="Palatino Linotype" w:cs="Arial"/>
          <w:sz w:val="22"/>
          <w:szCs w:val="22"/>
        </w:rPr>
        <w:t xml:space="preserve"> </w:t>
      </w:r>
      <w:r w:rsidR="00102B07">
        <w:rPr>
          <w:rFonts w:ascii="Palatino Linotype" w:hAnsi="Palatino Linotype" w:cs="Arial"/>
          <w:b/>
          <w:bCs/>
          <w:sz w:val="22"/>
          <w:szCs w:val="22"/>
        </w:rPr>
        <w:t xml:space="preserve">EL SUJETO OBLIGADO </w:t>
      </w:r>
      <w:r w:rsidR="00102B07">
        <w:rPr>
          <w:rFonts w:ascii="Palatino Linotype" w:hAnsi="Palatino Linotype" w:cs="Arial"/>
          <w:sz w:val="22"/>
          <w:szCs w:val="22"/>
        </w:rPr>
        <w:t xml:space="preserve">y </w:t>
      </w:r>
      <w:r w:rsidR="00721230" w:rsidRPr="009F6646">
        <w:rPr>
          <w:rFonts w:ascii="Palatino Linotype" w:hAnsi="Palatino Linotype" w:cs="Arial"/>
          <w:b/>
          <w:sz w:val="22"/>
          <w:szCs w:val="22"/>
        </w:rPr>
        <w:t>L</w:t>
      </w:r>
      <w:r w:rsidR="00140F2E" w:rsidRPr="009F6646">
        <w:rPr>
          <w:rFonts w:ascii="Palatino Linotype" w:hAnsi="Palatino Linotype" w:cs="Arial"/>
          <w:b/>
          <w:sz w:val="22"/>
          <w:szCs w:val="22"/>
        </w:rPr>
        <w:t>A</w:t>
      </w:r>
      <w:r w:rsidR="00721230" w:rsidRPr="009F6646">
        <w:rPr>
          <w:rFonts w:ascii="Palatino Linotype" w:hAnsi="Palatino Linotype" w:cs="Arial"/>
          <w:b/>
          <w:sz w:val="22"/>
          <w:szCs w:val="22"/>
        </w:rPr>
        <w:t xml:space="preserve"> RECURRENTE </w:t>
      </w:r>
      <w:r w:rsidR="00102B07">
        <w:rPr>
          <w:rFonts w:ascii="Palatino Linotype" w:hAnsi="Palatino Linotype" w:cs="Arial"/>
          <w:sz w:val="22"/>
          <w:szCs w:val="22"/>
        </w:rPr>
        <w:t>fueron omisos en</w:t>
      </w:r>
      <w:r w:rsidR="00102B07" w:rsidRPr="009F6646">
        <w:rPr>
          <w:rFonts w:ascii="Palatino Linotype" w:hAnsi="Palatino Linotype" w:cs="Arial"/>
          <w:sz w:val="22"/>
          <w:szCs w:val="22"/>
        </w:rPr>
        <w:t xml:space="preserve"> present</w:t>
      </w:r>
      <w:r w:rsidR="00102B07">
        <w:rPr>
          <w:rFonts w:ascii="Palatino Linotype" w:hAnsi="Palatino Linotype" w:cs="Arial"/>
          <w:sz w:val="22"/>
          <w:szCs w:val="22"/>
        </w:rPr>
        <w:t>ar Informe Justificado, ni</w:t>
      </w:r>
      <w:r w:rsidR="00102B07" w:rsidRPr="009F6646">
        <w:rPr>
          <w:rFonts w:ascii="Palatino Linotype" w:hAnsi="Palatino Linotype" w:cs="Arial"/>
          <w:sz w:val="22"/>
          <w:szCs w:val="22"/>
        </w:rPr>
        <w:t xml:space="preserve"> </w:t>
      </w:r>
      <w:r w:rsidR="00721230" w:rsidRPr="009F6646">
        <w:rPr>
          <w:rFonts w:ascii="Palatino Linotype" w:hAnsi="Palatino Linotype" w:cs="Arial"/>
          <w:sz w:val="22"/>
          <w:szCs w:val="22"/>
        </w:rPr>
        <w:t xml:space="preserve">manifestaciones </w:t>
      </w:r>
      <w:r w:rsidR="00FA1D6E">
        <w:rPr>
          <w:rFonts w:ascii="Palatino Linotype" w:hAnsi="Palatino Linotype" w:cs="Arial"/>
          <w:sz w:val="22"/>
          <w:szCs w:val="22"/>
        </w:rPr>
        <w:t>ni</w:t>
      </w:r>
      <w:r w:rsidR="00721230" w:rsidRPr="009F6646">
        <w:rPr>
          <w:rFonts w:ascii="Palatino Linotype" w:hAnsi="Palatino Linotype" w:cs="Arial"/>
          <w:sz w:val="22"/>
          <w:szCs w:val="22"/>
        </w:rPr>
        <w:t xml:space="preserve"> alegatos, ni ofreció los medios de prueb</w:t>
      </w:r>
      <w:r w:rsidR="009C6881" w:rsidRPr="009F6646">
        <w:rPr>
          <w:rFonts w:ascii="Palatino Linotype" w:hAnsi="Palatino Linotype" w:cs="Arial"/>
          <w:sz w:val="22"/>
          <w:szCs w:val="22"/>
        </w:rPr>
        <w:t>a que a su derecho convinieran o bien manifestación a</w:t>
      </w:r>
      <w:r w:rsidR="009F6646">
        <w:rPr>
          <w:rFonts w:ascii="Palatino Linotype" w:hAnsi="Palatino Linotype" w:cs="Arial"/>
          <w:sz w:val="22"/>
          <w:szCs w:val="22"/>
        </w:rPr>
        <w:t xml:space="preserve">lguna en relación a la vista del </w:t>
      </w:r>
      <w:r w:rsidR="00D56365">
        <w:rPr>
          <w:rFonts w:ascii="Palatino Linotype" w:hAnsi="Palatino Linotype" w:cs="Arial"/>
          <w:sz w:val="22"/>
          <w:szCs w:val="22"/>
        </w:rPr>
        <w:t>Informe Justificado</w:t>
      </w:r>
      <w:r w:rsidR="009F6646">
        <w:rPr>
          <w:rFonts w:ascii="Palatino Linotype" w:hAnsi="Palatino Linotype" w:cs="Arial"/>
          <w:sz w:val="22"/>
          <w:szCs w:val="22"/>
        </w:rPr>
        <w:t xml:space="preserve"> del Recurso de Revisión </w:t>
      </w:r>
      <w:r w:rsidR="009F6646">
        <w:rPr>
          <w:rFonts w:ascii="Palatino Linotype" w:hAnsi="Palatino Linotype" w:cs="Arial"/>
          <w:b/>
          <w:sz w:val="22"/>
          <w:szCs w:val="22"/>
        </w:rPr>
        <w:t>06467/INFOEM/IP/RR/2021.</w:t>
      </w:r>
    </w:p>
    <w:p w14:paraId="11BA996B" w14:textId="77777777" w:rsidR="00FA1D6E" w:rsidRPr="009F6646" w:rsidRDefault="00FA1D6E" w:rsidP="00AD61EF">
      <w:pPr>
        <w:spacing w:line="360" w:lineRule="auto"/>
        <w:jc w:val="both"/>
        <w:rPr>
          <w:rFonts w:ascii="Palatino Linotype" w:hAnsi="Palatino Linotype" w:cs="Arial"/>
          <w:sz w:val="22"/>
          <w:szCs w:val="22"/>
        </w:rPr>
      </w:pPr>
    </w:p>
    <w:p w14:paraId="142C797C" w14:textId="4F848950" w:rsidR="00FA1D6E" w:rsidRPr="00AD61EF" w:rsidRDefault="00721230" w:rsidP="00221864">
      <w:pPr>
        <w:spacing w:line="360" w:lineRule="auto"/>
        <w:jc w:val="both"/>
        <w:rPr>
          <w:rFonts w:ascii="Palatino Linotype" w:hAnsi="Palatino Linotype" w:cs="Arial"/>
          <w:iCs/>
          <w:sz w:val="22"/>
          <w:szCs w:val="22"/>
        </w:rPr>
      </w:pPr>
      <w:r w:rsidRPr="009F6646">
        <w:rPr>
          <w:rFonts w:ascii="Palatino Linotype" w:hAnsi="Palatino Linotype"/>
          <w:b/>
          <w:color w:val="000000" w:themeColor="text1"/>
        </w:rPr>
        <w:t>VIII.</w:t>
      </w:r>
      <w:r w:rsidRPr="009F6646">
        <w:rPr>
          <w:rFonts w:ascii="Palatino Linotype" w:hAnsi="Palatino Linotype"/>
          <w:b/>
          <w:color w:val="000000" w:themeColor="text1"/>
          <w:sz w:val="22"/>
          <w:szCs w:val="22"/>
        </w:rPr>
        <w:t xml:space="preserve"> </w:t>
      </w:r>
      <w:r w:rsidRPr="009F6646">
        <w:rPr>
          <w:rFonts w:ascii="Palatino Linotype" w:hAnsi="Palatino Linotype" w:cs="Arial"/>
          <w:sz w:val="22"/>
          <w:szCs w:val="22"/>
        </w:rPr>
        <w:t xml:space="preserve">Por economía procesal y a fin de evitar la emisión de resoluciones contradictorias, el Pleno de este Instituto determinó la acumulación de los </w:t>
      </w:r>
      <w:r w:rsidR="00001197">
        <w:rPr>
          <w:rFonts w:ascii="Palatino Linotype" w:hAnsi="Palatino Linotype" w:cs="Arial"/>
          <w:sz w:val="22"/>
          <w:szCs w:val="22"/>
        </w:rPr>
        <w:t>Recursos de Revisión</w:t>
      </w:r>
      <w:r w:rsidRPr="009F6646">
        <w:rPr>
          <w:rFonts w:ascii="Palatino Linotype" w:hAnsi="Palatino Linotype" w:cs="Arial"/>
          <w:b/>
          <w:sz w:val="22"/>
          <w:szCs w:val="22"/>
        </w:rPr>
        <w:t xml:space="preserve"> </w:t>
      </w:r>
      <w:r w:rsidR="009F6646">
        <w:rPr>
          <w:rFonts w:ascii="Palatino Linotype" w:hAnsi="Palatino Linotype"/>
          <w:b/>
          <w:bCs/>
          <w:sz w:val="22"/>
          <w:szCs w:val="22"/>
        </w:rPr>
        <w:t>06467/INFOEM/IP/RR/2021 y 00023</w:t>
      </w:r>
      <w:r w:rsidRPr="009F6646">
        <w:rPr>
          <w:rFonts w:ascii="Palatino Linotype" w:hAnsi="Palatino Linotype"/>
          <w:b/>
          <w:bCs/>
          <w:sz w:val="22"/>
          <w:szCs w:val="22"/>
        </w:rPr>
        <w:t>/INFOEM/IP/RR/202</w:t>
      </w:r>
      <w:r w:rsidR="009F6646">
        <w:rPr>
          <w:rFonts w:ascii="Palatino Linotype" w:hAnsi="Palatino Linotype"/>
          <w:b/>
          <w:bCs/>
          <w:sz w:val="22"/>
          <w:szCs w:val="22"/>
        </w:rPr>
        <w:t>2</w:t>
      </w:r>
      <w:r w:rsidRPr="009F6646">
        <w:rPr>
          <w:rFonts w:ascii="Palatino Linotype" w:hAnsi="Palatino Linotype" w:cs="Arial"/>
          <w:sz w:val="22"/>
          <w:szCs w:val="22"/>
        </w:rPr>
        <w:t xml:space="preserve">, en la </w:t>
      </w:r>
      <w:r w:rsidR="009F6646">
        <w:rPr>
          <w:rFonts w:ascii="Palatino Linotype" w:hAnsi="Palatino Linotype" w:cs="Arial"/>
          <w:sz w:val="22"/>
          <w:szCs w:val="22"/>
        </w:rPr>
        <w:t>Segunda</w:t>
      </w:r>
      <w:r w:rsidR="009C6881" w:rsidRPr="009F6646">
        <w:rPr>
          <w:rFonts w:ascii="Palatino Linotype" w:hAnsi="Palatino Linotype" w:cs="Arial"/>
          <w:sz w:val="22"/>
          <w:szCs w:val="22"/>
        </w:rPr>
        <w:t xml:space="preserve"> </w:t>
      </w:r>
      <w:r w:rsidRPr="009F6646">
        <w:rPr>
          <w:rFonts w:ascii="Palatino Linotype" w:hAnsi="Palatino Linotype" w:cs="Arial"/>
          <w:sz w:val="22"/>
          <w:szCs w:val="22"/>
        </w:rPr>
        <w:t xml:space="preserve">Sesión Ordinaria, de fecha </w:t>
      </w:r>
      <w:r w:rsidR="009F6646">
        <w:rPr>
          <w:rFonts w:ascii="Palatino Linotype" w:hAnsi="Palatino Linotype" w:cs="Arial"/>
          <w:sz w:val="22"/>
          <w:szCs w:val="22"/>
        </w:rPr>
        <w:t>diecinueve de enero de dos mil veintidós</w:t>
      </w:r>
      <w:r w:rsidRPr="009F6646">
        <w:rPr>
          <w:rFonts w:ascii="Palatino Linotype" w:hAnsi="Palatino Linotype" w:cs="Arial"/>
          <w:sz w:val="22"/>
          <w:szCs w:val="22"/>
        </w:rPr>
        <w:t xml:space="preserve">, </w:t>
      </w:r>
      <w:r w:rsidR="009F6646">
        <w:rPr>
          <w:rFonts w:ascii="Palatino Linotype" w:eastAsia="MS Mincho" w:hAnsi="Palatino Linotype" w:cs="Arial"/>
          <w:sz w:val="22"/>
          <w:szCs w:val="22"/>
        </w:rPr>
        <w:t xml:space="preserve">turnándose al </w:t>
      </w:r>
      <w:r w:rsidRPr="009F6646">
        <w:rPr>
          <w:rFonts w:ascii="Palatino Linotype" w:eastAsia="MS Mincho" w:hAnsi="Palatino Linotype" w:cs="Arial"/>
          <w:b/>
          <w:sz w:val="22"/>
          <w:szCs w:val="22"/>
        </w:rPr>
        <w:t>Comisionad</w:t>
      </w:r>
      <w:r w:rsidR="009F6646">
        <w:rPr>
          <w:rFonts w:ascii="Palatino Linotype" w:eastAsia="MS Mincho" w:hAnsi="Palatino Linotype" w:cs="Arial"/>
          <w:b/>
          <w:sz w:val="22"/>
          <w:szCs w:val="22"/>
        </w:rPr>
        <w:t xml:space="preserve">o Luis </w:t>
      </w:r>
      <w:r w:rsidR="009F6646" w:rsidRPr="00102B07">
        <w:rPr>
          <w:rFonts w:ascii="Palatino Linotype" w:eastAsia="MS Mincho" w:hAnsi="Palatino Linotype" w:cs="Arial"/>
          <w:b/>
          <w:sz w:val="22"/>
          <w:szCs w:val="22"/>
        </w:rPr>
        <w:t xml:space="preserve">Gustavo Parra Noriega, </w:t>
      </w:r>
      <w:r w:rsidRPr="00102B07">
        <w:rPr>
          <w:rFonts w:ascii="Palatino Linotype" w:eastAsia="MS Mincho" w:hAnsi="Palatino Linotype" w:cs="Arial"/>
          <w:sz w:val="22"/>
          <w:szCs w:val="22"/>
        </w:rPr>
        <w:t xml:space="preserve">para que </w:t>
      </w:r>
      <w:r w:rsidRPr="00102B07">
        <w:rPr>
          <w:rFonts w:ascii="Palatino Linotype" w:hAnsi="Palatino Linotype" w:cs="Arial"/>
          <w:sz w:val="22"/>
          <w:szCs w:val="22"/>
          <w:lang w:val="es-ES_tradnl"/>
        </w:rPr>
        <w:t>formulara y presentara el proyecto de resolución correspondiente</w:t>
      </w:r>
      <w:r w:rsidR="00FA1D6E" w:rsidRPr="00102B07">
        <w:rPr>
          <w:rFonts w:ascii="Palatino Linotype" w:hAnsi="Palatino Linotype" w:cs="Arial"/>
          <w:iCs/>
          <w:sz w:val="22"/>
          <w:szCs w:val="22"/>
        </w:rPr>
        <w:t>.</w:t>
      </w:r>
    </w:p>
    <w:p w14:paraId="123BC66E" w14:textId="77777777" w:rsidR="00FA1D6E" w:rsidRDefault="00FA1D6E" w:rsidP="00221864">
      <w:pPr>
        <w:spacing w:line="360" w:lineRule="auto"/>
        <w:jc w:val="both"/>
        <w:rPr>
          <w:rFonts w:ascii="Palatino Linotype" w:hAnsi="Palatino Linotype" w:cs="Arial"/>
          <w:sz w:val="22"/>
          <w:szCs w:val="22"/>
          <w:lang w:val="es-ES_tradnl"/>
        </w:rPr>
      </w:pPr>
    </w:p>
    <w:p w14:paraId="5FAAD8B4" w14:textId="28F30199" w:rsidR="00721230" w:rsidRDefault="00721230" w:rsidP="00AD61EF">
      <w:pPr>
        <w:spacing w:line="360" w:lineRule="auto"/>
        <w:jc w:val="both"/>
        <w:rPr>
          <w:rFonts w:ascii="Palatino Linotype" w:hAnsi="Palatino Linotype" w:cs="Arial"/>
          <w:sz w:val="22"/>
          <w:szCs w:val="22"/>
          <w:lang w:val="es-ES_tradnl"/>
        </w:rPr>
      </w:pPr>
      <w:r w:rsidRPr="009F6646">
        <w:rPr>
          <w:rFonts w:ascii="Palatino Linotype" w:hAnsi="Palatino Linotype" w:cs="Arial"/>
          <w:sz w:val="22"/>
          <w:szCs w:val="22"/>
          <w:lang w:val="es-ES_tradnl"/>
        </w:rPr>
        <w:t xml:space="preserve">Asimismo, es de señalar que, los recursos de referencia fueron presentados por </w:t>
      </w:r>
      <w:r w:rsidR="0086240B" w:rsidRPr="009F6646">
        <w:rPr>
          <w:rFonts w:ascii="Palatino Linotype" w:hAnsi="Palatino Linotype" w:cs="Arial"/>
          <w:sz w:val="22"/>
          <w:szCs w:val="22"/>
          <w:lang w:val="es-ES_tradnl"/>
        </w:rPr>
        <w:t xml:space="preserve">la </w:t>
      </w:r>
      <w:r w:rsidRPr="009F6646">
        <w:rPr>
          <w:rFonts w:ascii="Palatino Linotype" w:hAnsi="Palatino Linotype" w:cs="Arial"/>
          <w:sz w:val="22"/>
          <w:szCs w:val="22"/>
          <w:lang w:val="es-ES_tradnl"/>
        </w:rPr>
        <w:t>mism</w:t>
      </w:r>
      <w:r w:rsidR="0086240B" w:rsidRPr="009F6646">
        <w:rPr>
          <w:rFonts w:ascii="Palatino Linotype" w:hAnsi="Palatino Linotype" w:cs="Arial"/>
          <w:sz w:val="22"/>
          <w:szCs w:val="22"/>
          <w:lang w:val="es-ES_tradnl"/>
        </w:rPr>
        <w:t>a</w:t>
      </w:r>
      <w:r w:rsidRPr="009F6646">
        <w:rPr>
          <w:rFonts w:ascii="Palatino Linotype" w:hAnsi="Palatino Linotype" w:cs="Arial"/>
          <w:sz w:val="22"/>
          <w:szCs w:val="22"/>
          <w:lang w:val="es-ES_tradnl"/>
        </w:rPr>
        <w:t xml:space="preserve"> </w:t>
      </w:r>
      <w:r w:rsidRPr="009F6646">
        <w:rPr>
          <w:rFonts w:ascii="Palatino Linotype" w:hAnsi="Palatino Linotype" w:cs="Arial"/>
          <w:b/>
          <w:sz w:val="22"/>
          <w:szCs w:val="22"/>
          <w:lang w:val="es-ES_tradnl"/>
        </w:rPr>
        <w:t>RECURRENTE</w:t>
      </w:r>
      <w:r w:rsidRPr="009F6646">
        <w:rPr>
          <w:rFonts w:ascii="Palatino Linotype" w:hAnsi="Palatino Linotype" w:cs="Arial"/>
          <w:sz w:val="22"/>
          <w:szCs w:val="22"/>
          <w:lang w:val="es-ES_tradnl"/>
        </w:rPr>
        <w:t xml:space="preserve"> ante el </w:t>
      </w:r>
      <w:r w:rsidRPr="009F6646">
        <w:rPr>
          <w:rFonts w:ascii="Palatino Linotype" w:hAnsi="Palatino Linotype" w:cs="Arial"/>
          <w:b/>
          <w:sz w:val="22"/>
          <w:szCs w:val="22"/>
          <w:lang w:val="es-ES_tradnl"/>
        </w:rPr>
        <w:t>SUJETO OBLIGADO</w:t>
      </w:r>
      <w:r w:rsidRPr="009F6646">
        <w:rPr>
          <w:rFonts w:ascii="Palatino Linotype" w:hAnsi="Palatino Linotype" w:cs="Arial"/>
          <w:sz w:val="22"/>
          <w:szCs w:val="22"/>
          <w:lang w:val="es-ES_tradnl"/>
        </w:rPr>
        <w:t xml:space="preserve">, aunado a que resulta conveniente su trámite de forma unificada para evitar la emisión de resoluciones contradictorias, por lo que, fue procedente que este </w:t>
      </w:r>
      <w:r w:rsidR="00CF0762">
        <w:rPr>
          <w:rFonts w:ascii="Palatino Linotype" w:hAnsi="Palatino Linotype" w:cs="Arial"/>
          <w:sz w:val="22"/>
          <w:szCs w:val="22"/>
          <w:lang w:val="es-ES_tradnl"/>
        </w:rPr>
        <w:t>Organismo</w:t>
      </w:r>
      <w:r w:rsidR="00CF0762" w:rsidRPr="009F6646">
        <w:rPr>
          <w:rFonts w:ascii="Palatino Linotype" w:hAnsi="Palatino Linotype" w:cs="Arial"/>
          <w:sz w:val="22"/>
          <w:szCs w:val="22"/>
          <w:lang w:val="es-ES_tradnl"/>
        </w:rPr>
        <w:t xml:space="preserve"> </w:t>
      </w:r>
      <w:r w:rsidRPr="009F6646">
        <w:rPr>
          <w:rFonts w:ascii="Palatino Linotype" w:hAnsi="Palatino Linotype" w:cs="Arial"/>
          <w:sz w:val="22"/>
          <w:szCs w:val="22"/>
          <w:lang w:val="es-ES_tradnl"/>
        </w:rPr>
        <w:t xml:space="preserve">Garante decretara su acumulación, de conformidad con lo dispuesto en el artículo 18 del Código de Procedimientos Administrativos del Estado de México, de aplicación supletoria en términos del artículo 195 de la Ley de Transparencia y </w:t>
      </w:r>
      <w:r w:rsidR="00F533F3">
        <w:rPr>
          <w:rFonts w:ascii="Palatino Linotype" w:hAnsi="Palatino Linotype" w:cs="Arial"/>
          <w:sz w:val="22"/>
          <w:szCs w:val="22"/>
          <w:lang w:val="es-ES_tradnl"/>
        </w:rPr>
        <w:t>Acceso a la Información Pública</w:t>
      </w:r>
      <w:r w:rsidRPr="009F6646">
        <w:rPr>
          <w:rFonts w:ascii="Palatino Linotype" w:hAnsi="Palatino Linotype" w:cs="Arial"/>
          <w:sz w:val="22"/>
          <w:szCs w:val="22"/>
          <w:lang w:val="es-ES_tradnl"/>
        </w:rPr>
        <w:t xml:space="preserve"> del Estado de México y Municipios</w:t>
      </w:r>
      <w:r w:rsidR="00CF0762">
        <w:rPr>
          <w:rFonts w:ascii="Palatino Linotype" w:hAnsi="Palatino Linotype" w:cs="Arial"/>
          <w:sz w:val="22"/>
          <w:szCs w:val="22"/>
          <w:lang w:val="es-ES_tradnl"/>
        </w:rPr>
        <w:t xml:space="preserve">, los cuales establecen que </w:t>
      </w:r>
      <w:r w:rsidRPr="009F6646">
        <w:rPr>
          <w:rFonts w:ascii="Palatino Linotype" w:hAnsi="Palatino Linotype" w:cs="Arial"/>
          <w:sz w:val="22"/>
          <w:szCs w:val="22"/>
          <w:lang w:val="es-ES_tradnl"/>
        </w:rPr>
        <w:t>dicha acumulación procede cuando:</w:t>
      </w:r>
    </w:p>
    <w:p w14:paraId="44DDBC8B" w14:textId="77777777" w:rsidR="00651921" w:rsidRPr="009F6646" w:rsidRDefault="00651921" w:rsidP="00AD61EF">
      <w:pPr>
        <w:spacing w:line="360" w:lineRule="auto"/>
        <w:ind w:right="899"/>
        <w:jc w:val="both"/>
        <w:rPr>
          <w:rFonts w:ascii="Palatino Linotype" w:hAnsi="Palatino Linotype" w:cs="Arial"/>
          <w:sz w:val="22"/>
          <w:szCs w:val="22"/>
          <w:lang w:val="es-ES_tradnl"/>
        </w:rPr>
      </w:pPr>
    </w:p>
    <w:p w14:paraId="384865C1" w14:textId="77777777" w:rsidR="00721230" w:rsidRPr="009F6646" w:rsidRDefault="00721230" w:rsidP="00221864">
      <w:pPr>
        <w:pStyle w:val="Prrafodelista"/>
        <w:spacing w:line="360" w:lineRule="auto"/>
        <w:ind w:left="851" w:right="902"/>
        <w:jc w:val="both"/>
        <w:rPr>
          <w:rFonts w:ascii="Palatino Linotype" w:hAnsi="Palatino Linotype" w:cs="Arial"/>
          <w:sz w:val="22"/>
          <w:szCs w:val="22"/>
          <w:lang w:val="es-ES_tradnl"/>
        </w:rPr>
      </w:pPr>
      <w:r w:rsidRPr="009F6646">
        <w:rPr>
          <w:rFonts w:ascii="Palatino Linotype" w:hAnsi="Palatino Linotype" w:cs="Arial"/>
          <w:sz w:val="22"/>
          <w:szCs w:val="22"/>
          <w:lang w:val="es-ES_tradnl"/>
        </w:rPr>
        <w:t>a)</w:t>
      </w:r>
      <w:r w:rsidRPr="009F6646">
        <w:rPr>
          <w:rFonts w:ascii="Palatino Linotype" w:hAnsi="Palatino Linotype" w:cs="Arial"/>
          <w:sz w:val="22"/>
          <w:szCs w:val="22"/>
          <w:lang w:val="es-ES_tradnl"/>
        </w:rPr>
        <w:tab/>
        <w:t>El solicitante y la información referida sean las mismas;</w:t>
      </w:r>
    </w:p>
    <w:p w14:paraId="4C747A53" w14:textId="77777777" w:rsidR="00721230" w:rsidRPr="009F6646" w:rsidRDefault="00721230" w:rsidP="00221864">
      <w:pPr>
        <w:pStyle w:val="Prrafodelista"/>
        <w:spacing w:line="360" w:lineRule="auto"/>
        <w:ind w:left="851" w:right="902"/>
        <w:jc w:val="both"/>
        <w:rPr>
          <w:rFonts w:ascii="Palatino Linotype" w:hAnsi="Palatino Linotype" w:cs="Arial"/>
          <w:sz w:val="22"/>
          <w:szCs w:val="22"/>
          <w:lang w:val="es-ES_tradnl"/>
        </w:rPr>
      </w:pPr>
      <w:r w:rsidRPr="009F6646">
        <w:rPr>
          <w:rFonts w:ascii="Palatino Linotype" w:hAnsi="Palatino Linotype" w:cs="Arial"/>
          <w:sz w:val="22"/>
          <w:szCs w:val="22"/>
          <w:lang w:val="es-ES_tradnl"/>
        </w:rPr>
        <w:t>b)</w:t>
      </w:r>
      <w:r w:rsidRPr="009F6646">
        <w:rPr>
          <w:rFonts w:ascii="Palatino Linotype" w:hAnsi="Palatino Linotype" w:cs="Arial"/>
          <w:sz w:val="22"/>
          <w:szCs w:val="22"/>
          <w:lang w:val="es-ES_tradnl"/>
        </w:rPr>
        <w:tab/>
        <w:t>Las partes o los actos impugnados sean iguales;</w:t>
      </w:r>
    </w:p>
    <w:p w14:paraId="2B859A7F" w14:textId="77777777" w:rsidR="00721230" w:rsidRPr="009F6646" w:rsidRDefault="00721230" w:rsidP="00221864">
      <w:pPr>
        <w:pStyle w:val="Prrafodelista"/>
        <w:spacing w:line="360" w:lineRule="auto"/>
        <w:ind w:left="851" w:right="902"/>
        <w:jc w:val="both"/>
        <w:rPr>
          <w:rFonts w:ascii="Palatino Linotype" w:hAnsi="Palatino Linotype" w:cs="Arial"/>
          <w:sz w:val="22"/>
          <w:szCs w:val="22"/>
          <w:lang w:val="es-ES_tradnl"/>
        </w:rPr>
      </w:pPr>
      <w:r w:rsidRPr="009F6646">
        <w:rPr>
          <w:rFonts w:ascii="Palatino Linotype" w:hAnsi="Palatino Linotype" w:cs="Arial"/>
          <w:sz w:val="22"/>
          <w:szCs w:val="22"/>
          <w:lang w:val="es-ES_tradnl"/>
        </w:rPr>
        <w:t>c)</w:t>
      </w:r>
      <w:r w:rsidRPr="009F6646">
        <w:rPr>
          <w:rFonts w:ascii="Palatino Linotype" w:hAnsi="Palatino Linotype" w:cs="Arial"/>
          <w:sz w:val="22"/>
          <w:szCs w:val="22"/>
          <w:lang w:val="es-ES_tradnl"/>
        </w:rPr>
        <w:tab/>
      </w:r>
      <w:r w:rsidRPr="009F6646">
        <w:rPr>
          <w:rFonts w:ascii="Palatino Linotype" w:hAnsi="Palatino Linotype" w:cs="Arial"/>
          <w:b/>
          <w:sz w:val="22"/>
          <w:szCs w:val="22"/>
          <w:lang w:val="es-ES_tradnl"/>
        </w:rPr>
        <w:t>Cuando se trate del mismo solicitante, el mismo Sujeto Obligado, aunque se trate de solicitudes diversas</w:t>
      </w:r>
      <w:r w:rsidRPr="009F6646">
        <w:rPr>
          <w:rFonts w:ascii="Palatino Linotype" w:hAnsi="Palatino Linotype" w:cs="Arial"/>
          <w:sz w:val="22"/>
          <w:szCs w:val="22"/>
          <w:lang w:val="es-ES_tradnl"/>
        </w:rPr>
        <w:t>; y</w:t>
      </w:r>
    </w:p>
    <w:p w14:paraId="3F84B388" w14:textId="77777777" w:rsidR="00721230" w:rsidRPr="009F6646" w:rsidRDefault="00721230" w:rsidP="00221864">
      <w:pPr>
        <w:pStyle w:val="Prrafodelista"/>
        <w:spacing w:line="360" w:lineRule="auto"/>
        <w:ind w:left="851" w:right="902"/>
        <w:jc w:val="both"/>
        <w:rPr>
          <w:rFonts w:ascii="Palatino Linotype" w:hAnsi="Palatino Linotype" w:cs="Arial"/>
          <w:b/>
          <w:sz w:val="22"/>
          <w:szCs w:val="22"/>
          <w:lang w:val="es-ES_tradnl"/>
        </w:rPr>
      </w:pPr>
      <w:r w:rsidRPr="009F6646">
        <w:rPr>
          <w:rFonts w:ascii="Palatino Linotype" w:hAnsi="Palatino Linotype" w:cs="Arial"/>
          <w:sz w:val="22"/>
          <w:szCs w:val="22"/>
          <w:lang w:val="es-ES_tradnl"/>
        </w:rPr>
        <w:t>d)</w:t>
      </w:r>
      <w:r w:rsidRPr="009F6646">
        <w:rPr>
          <w:rFonts w:ascii="Palatino Linotype" w:hAnsi="Palatino Linotype" w:cs="Arial"/>
          <w:sz w:val="22"/>
          <w:szCs w:val="22"/>
          <w:lang w:val="es-ES_tradnl"/>
        </w:rPr>
        <w:tab/>
      </w:r>
      <w:r w:rsidRPr="009F6646">
        <w:rPr>
          <w:rFonts w:ascii="Palatino Linotype" w:hAnsi="Palatino Linotype" w:cs="Arial"/>
          <w:b/>
          <w:sz w:val="22"/>
          <w:szCs w:val="22"/>
          <w:lang w:val="es-ES_tradnl"/>
        </w:rPr>
        <w:t>Resulte conveniente la resolución unificada de los asuntos.</w:t>
      </w:r>
    </w:p>
    <w:p w14:paraId="426555CF" w14:textId="77777777" w:rsidR="00651921" w:rsidRDefault="00651921" w:rsidP="00221864">
      <w:pPr>
        <w:spacing w:line="360" w:lineRule="auto"/>
        <w:jc w:val="both"/>
        <w:rPr>
          <w:rFonts w:ascii="Palatino Linotype" w:hAnsi="Palatino Linotype" w:cs="Arial"/>
          <w:sz w:val="22"/>
          <w:szCs w:val="22"/>
          <w:lang w:val="es-ES_tradnl"/>
        </w:rPr>
      </w:pPr>
    </w:p>
    <w:p w14:paraId="4D81A1C6" w14:textId="107061D1" w:rsidR="008C3CB4" w:rsidRDefault="00721230" w:rsidP="00AD61EF">
      <w:pPr>
        <w:spacing w:line="360" w:lineRule="auto"/>
        <w:jc w:val="both"/>
        <w:rPr>
          <w:rFonts w:ascii="Palatino Linotype" w:hAnsi="Palatino Linotype" w:cs="Arial"/>
          <w:sz w:val="22"/>
          <w:szCs w:val="22"/>
          <w:lang w:val="es-ES_tradnl"/>
        </w:rPr>
      </w:pPr>
      <w:r w:rsidRPr="009F6646">
        <w:rPr>
          <w:rFonts w:ascii="Palatino Linotype" w:hAnsi="Palatino Linotype" w:cs="Arial"/>
          <w:sz w:val="22"/>
          <w:szCs w:val="22"/>
          <w:lang w:val="es-ES_tradnl"/>
        </w:rPr>
        <w:t xml:space="preserve">Tal y como se mencionó anteriormente, los </w:t>
      </w:r>
      <w:r w:rsidR="00001197">
        <w:rPr>
          <w:rFonts w:ascii="Palatino Linotype" w:hAnsi="Palatino Linotype" w:cs="Arial"/>
          <w:sz w:val="22"/>
          <w:szCs w:val="22"/>
          <w:lang w:val="es-ES_tradnl"/>
        </w:rPr>
        <w:t>Recursos de Revisión</w:t>
      </w:r>
      <w:r w:rsidRPr="009F6646">
        <w:rPr>
          <w:rFonts w:ascii="Palatino Linotype" w:hAnsi="Palatino Linotype" w:cs="Arial"/>
          <w:sz w:val="22"/>
          <w:szCs w:val="22"/>
          <w:lang w:val="es-ES_tradnl"/>
        </w:rPr>
        <w:t xml:space="preserve"> que nos ocupan fueron interpuestos por </w:t>
      </w:r>
      <w:r w:rsidR="0086240B" w:rsidRPr="009F6646">
        <w:rPr>
          <w:rFonts w:ascii="Palatino Linotype" w:hAnsi="Palatino Linotype" w:cs="Arial"/>
          <w:sz w:val="22"/>
          <w:szCs w:val="22"/>
          <w:lang w:val="es-ES_tradnl"/>
        </w:rPr>
        <w:t>la</w:t>
      </w:r>
      <w:r w:rsidRPr="009F6646">
        <w:rPr>
          <w:rFonts w:ascii="Palatino Linotype" w:hAnsi="Palatino Linotype" w:cs="Arial"/>
          <w:sz w:val="22"/>
          <w:szCs w:val="22"/>
          <w:lang w:val="es-ES_tradnl"/>
        </w:rPr>
        <w:t xml:space="preserve"> mism</w:t>
      </w:r>
      <w:r w:rsidR="0086240B" w:rsidRPr="009F6646">
        <w:rPr>
          <w:rFonts w:ascii="Palatino Linotype" w:hAnsi="Palatino Linotype" w:cs="Arial"/>
          <w:sz w:val="22"/>
          <w:szCs w:val="22"/>
          <w:lang w:val="es-ES_tradnl"/>
        </w:rPr>
        <w:t>a</w:t>
      </w:r>
      <w:r w:rsidRPr="009F6646">
        <w:rPr>
          <w:rFonts w:ascii="Palatino Linotype" w:hAnsi="Palatino Linotype" w:cs="Arial"/>
          <w:sz w:val="22"/>
          <w:szCs w:val="22"/>
          <w:lang w:val="es-ES_tradnl"/>
        </w:rPr>
        <w:t xml:space="preserve"> </w:t>
      </w:r>
      <w:r w:rsidRPr="009F6646">
        <w:rPr>
          <w:rFonts w:ascii="Palatino Linotype" w:hAnsi="Palatino Linotype" w:cs="Arial"/>
          <w:b/>
          <w:sz w:val="22"/>
          <w:szCs w:val="22"/>
          <w:lang w:val="es-ES_tradnl"/>
        </w:rPr>
        <w:t>RECURRENTE</w:t>
      </w:r>
      <w:r w:rsidRPr="009F6646">
        <w:rPr>
          <w:rFonts w:ascii="Palatino Linotype" w:hAnsi="Palatino Linotype" w:cs="Arial"/>
          <w:sz w:val="22"/>
          <w:szCs w:val="22"/>
          <w:lang w:val="es-ES_tradnl"/>
        </w:rPr>
        <w:t xml:space="preserve"> ante el </w:t>
      </w:r>
      <w:r w:rsidRPr="009F6646">
        <w:rPr>
          <w:rFonts w:ascii="Palatino Linotype" w:hAnsi="Palatino Linotype" w:cs="Arial"/>
          <w:b/>
          <w:sz w:val="22"/>
          <w:szCs w:val="22"/>
          <w:lang w:val="es-ES_tradnl"/>
        </w:rPr>
        <w:t>SUJETO OBLIGADO</w:t>
      </w:r>
      <w:r w:rsidRPr="009F6646">
        <w:rPr>
          <w:rFonts w:ascii="Palatino Linotype" w:hAnsi="Palatino Linotype" w:cs="Arial"/>
          <w:sz w:val="22"/>
          <w:szCs w:val="22"/>
          <w:lang w:val="es-ES_tradnl"/>
        </w:rPr>
        <w:t xml:space="preserve">, además de que resulta conveniente su resolución conjunta. </w:t>
      </w:r>
    </w:p>
    <w:p w14:paraId="0BFA1659" w14:textId="77777777" w:rsidR="00651921" w:rsidRDefault="00651921" w:rsidP="00221864">
      <w:pPr>
        <w:spacing w:line="360" w:lineRule="auto"/>
        <w:jc w:val="both"/>
        <w:rPr>
          <w:rFonts w:ascii="Palatino Linotype" w:hAnsi="Palatino Linotype" w:cs="Arial"/>
          <w:sz w:val="22"/>
          <w:szCs w:val="22"/>
          <w:lang w:val="es-ES_tradnl"/>
        </w:rPr>
      </w:pPr>
    </w:p>
    <w:p w14:paraId="60E8477D" w14:textId="0D910B8C" w:rsidR="00721230" w:rsidRDefault="00721230" w:rsidP="00221864">
      <w:pPr>
        <w:spacing w:line="360" w:lineRule="auto"/>
        <w:jc w:val="both"/>
        <w:rPr>
          <w:rFonts w:ascii="Palatino Linotype" w:hAnsi="Palatino Linotype" w:cs="Arial"/>
          <w:sz w:val="22"/>
          <w:szCs w:val="22"/>
          <w:lang w:val="es-ES_tradnl"/>
        </w:rPr>
      </w:pPr>
      <w:r w:rsidRPr="009F6646">
        <w:rPr>
          <w:rFonts w:ascii="Palatino Linotype" w:hAnsi="Palatino Linotype" w:cs="Arial"/>
          <w:sz w:val="22"/>
          <w:szCs w:val="22"/>
          <w:lang w:val="es-ES_tradnl"/>
        </w:rPr>
        <w:t xml:space="preserve">Bajo este orden de ideas, se acordó procedente la acumulación de los </w:t>
      </w:r>
      <w:r w:rsidR="00001197">
        <w:rPr>
          <w:rFonts w:ascii="Palatino Linotype" w:hAnsi="Palatino Linotype" w:cs="Arial"/>
          <w:sz w:val="22"/>
          <w:szCs w:val="22"/>
          <w:lang w:val="es-ES_tradnl"/>
        </w:rPr>
        <w:t>Recursos de Revisión</w:t>
      </w:r>
      <w:r w:rsidRPr="009F6646">
        <w:rPr>
          <w:rFonts w:ascii="Palatino Linotype" w:hAnsi="Palatino Linotype" w:cs="Arial"/>
          <w:sz w:val="22"/>
          <w:szCs w:val="22"/>
          <w:lang w:val="es-ES_tradnl"/>
        </w:rPr>
        <w:t xml:space="preserve"> señalados en la presente </w:t>
      </w:r>
      <w:r w:rsidR="00651921">
        <w:rPr>
          <w:rFonts w:ascii="Palatino Linotype" w:hAnsi="Palatino Linotype" w:cs="Arial"/>
          <w:sz w:val="22"/>
          <w:szCs w:val="22"/>
          <w:lang w:val="es-ES_tradnl"/>
        </w:rPr>
        <w:t>R</w:t>
      </w:r>
      <w:r w:rsidRPr="009F6646">
        <w:rPr>
          <w:rFonts w:ascii="Palatino Linotype" w:hAnsi="Palatino Linotype" w:cs="Arial"/>
          <w:sz w:val="22"/>
          <w:szCs w:val="22"/>
          <w:lang w:val="es-ES_tradnl"/>
        </w:rPr>
        <w:t>esolución, lo anterior, con el fin de no emitir resoluciones contradictorias entre sí, en caso de resolverlos en forma separada.</w:t>
      </w:r>
    </w:p>
    <w:p w14:paraId="4AB5B1FA" w14:textId="77777777" w:rsidR="00651921" w:rsidRPr="009F6646" w:rsidRDefault="00651921" w:rsidP="00AD61EF">
      <w:pPr>
        <w:spacing w:line="360" w:lineRule="auto"/>
        <w:jc w:val="both"/>
        <w:rPr>
          <w:rFonts w:ascii="Palatino Linotype" w:hAnsi="Palatino Linotype" w:cs="Arial"/>
          <w:sz w:val="22"/>
          <w:szCs w:val="22"/>
          <w:lang w:val="es-ES_tradnl"/>
        </w:rPr>
      </w:pPr>
    </w:p>
    <w:p w14:paraId="2342AD07" w14:textId="6B740492" w:rsidR="00721230" w:rsidRPr="004F5E1A" w:rsidRDefault="00721230" w:rsidP="00AD61EF">
      <w:pPr>
        <w:spacing w:line="360" w:lineRule="auto"/>
        <w:jc w:val="both"/>
        <w:rPr>
          <w:rFonts w:ascii="Palatino Linotype" w:hAnsi="Palatino Linotype" w:cs="Arial"/>
          <w:sz w:val="22"/>
          <w:szCs w:val="22"/>
        </w:rPr>
      </w:pPr>
      <w:r w:rsidRPr="009F6646">
        <w:rPr>
          <w:rFonts w:ascii="Palatino Linotype" w:hAnsi="Palatino Linotype"/>
          <w:b/>
          <w:color w:val="000000" w:themeColor="text1"/>
        </w:rPr>
        <w:t>IX.</w:t>
      </w:r>
      <w:r w:rsidRPr="009F6646">
        <w:rPr>
          <w:rFonts w:ascii="Palatino Linotype" w:hAnsi="Palatino Linotype"/>
          <w:b/>
          <w:color w:val="000000" w:themeColor="text1"/>
          <w:sz w:val="22"/>
          <w:szCs w:val="22"/>
        </w:rPr>
        <w:t xml:space="preserve"> </w:t>
      </w:r>
      <w:r w:rsidRPr="009F6646">
        <w:rPr>
          <w:rFonts w:ascii="Palatino Linotype" w:hAnsi="Palatino Linotype" w:cs="Arial"/>
          <w:sz w:val="22"/>
          <w:szCs w:val="22"/>
        </w:rPr>
        <w:t xml:space="preserve">Una vez </w:t>
      </w:r>
      <w:r w:rsidRPr="009F6646">
        <w:rPr>
          <w:rFonts w:ascii="Palatino Linotype" w:hAnsi="Palatino Linotype" w:cs="Arial"/>
          <w:color w:val="000000" w:themeColor="text1"/>
          <w:sz w:val="22"/>
          <w:szCs w:val="22"/>
        </w:rPr>
        <w:t>analizado</w:t>
      </w:r>
      <w:r w:rsidRPr="009F6646">
        <w:rPr>
          <w:rFonts w:ascii="Palatino Linotype" w:hAnsi="Palatino Linotype" w:cs="Arial"/>
          <w:sz w:val="22"/>
          <w:szCs w:val="22"/>
        </w:rPr>
        <w:t xml:space="preserve"> el estado procesal que guardaban los expedientes, en fecha </w:t>
      </w:r>
      <w:r w:rsidR="004F5E1A">
        <w:rPr>
          <w:rFonts w:ascii="Palatino Linotype" w:hAnsi="Palatino Linotype" w:cs="Arial"/>
          <w:sz w:val="22"/>
          <w:szCs w:val="22"/>
        </w:rPr>
        <w:t xml:space="preserve">catorce de febrero de dos mil veintidós, </w:t>
      </w:r>
      <w:r w:rsidRPr="009F6646">
        <w:rPr>
          <w:rFonts w:ascii="Palatino Linotype" w:hAnsi="Palatino Linotype" w:cs="Arial"/>
          <w:sz w:val="22"/>
          <w:szCs w:val="22"/>
        </w:rPr>
        <w:t xml:space="preserve">se acordó el cierre de instrucción; así </w:t>
      </w:r>
      <w:r w:rsidRPr="009F6646">
        <w:rPr>
          <w:rFonts w:ascii="Palatino Linotype" w:hAnsi="Palatino Linotype" w:cs="Arial"/>
          <w:sz w:val="22"/>
          <w:szCs w:val="22"/>
          <w:lang w:val="es-ES_tradnl"/>
        </w:rPr>
        <w:t>como,</w:t>
      </w:r>
      <w:r w:rsidRPr="009F6646">
        <w:rPr>
          <w:rFonts w:ascii="Palatino Linotype" w:hAnsi="Palatino Linotype" w:cs="Arial"/>
          <w:sz w:val="22"/>
          <w:szCs w:val="22"/>
        </w:rPr>
        <w:t xml:space="preserve"> la remisión de los mismos a efecto </w:t>
      </w:r>
      <w:r w:rsidRPr="009F6646">
        <w:rPr>
          <w:rFonts w:ascii="Palatino Linotype" w:hAnsi="Palatino Linotype" w:cs="Arial"/>
          <w:sz w:val="22"/>
          <w:szCs w:val="22"/>
          <w:lang w:val="es-ES_tradnl"/>
        </w:rPr>
        <w:t>de</w:t>
      </w:r>
      <w:r w:rsidRPr="009F6646">
        <w:rPr>
          <w:rFonts w:ascii="Palatino Linotype" w:hAnsi="Palatino Linotype" w:cs="Arial"/>
          <w:sz w:val="22"/>
          <w:szCs w:val="22"/>
        </w:rPr>
        <w:t xml:space="preserve"> ser resueltos, de conformidad con lo establecido en el artículo 185, fracciones VI y VIII de la Ley de Transparencia y </w:t>
      </w:r>
      <w:r w:rsidR="00F533F3">
        <w:rPr>
          <w:rFonts w:ascii="Palatino Linotype" w:hAnsi="Palatino Linotype" w:cs="Arial"/>
          <w:sz w:val="22"/>
          <w:szCs w:val="22"/>
        </w:rPr>
        <w:t>Acceso a la Información Pública</w:t>
      </w:r>
      <w:r w:rsidRPr="009F6646">
        <w:rPr>
          <w:rFonts w:ascii="Palatino Linotype" w:hAnsi="Palatino Linotype" w:cs="Arial"/>
          <w:sz w:val="22"/>
          <w:szCs w:val="22"/>
        </w:rPr>
        <w:t xml:space="preserve"> de</w:t>
      </w:r>
      <w:r w:rsidR="004F5E1A">
        <w:rPr>
          <w:rFonts w:ascii="Palatino Linotype" w:hAnsi="Palatino Linotype" w:cs="Arial"/>
          <w:sz w:val="22"/>
          <w:szCs w:val="22"/>
        </w:rPr>
        <w:t>l Estado de México y Municipios</w:t>
      </w:r>
      <w:r w:rsidRPr="004F5E1A">
        <w:rPr>
          <w:rFonts w:ascii="Palatino Linotype" w:hAnsi="Palatino Linotype" w:cs="Arial"/>
          <w:color w:val="000000" w:themeColor="text1"/>
          <w:sz w:val="22"/>
          <w:szCs w:val="22"/>
        </w:rPr>
        <w:t>; y,</w:t>
      </w:r>
    </w:p>
    <w:bookmarkEnd w:id="3"/>
    <w:p w14:paraId="58A79EF4" w14:textId="77777777" w:rsidR="00651921" w:rsidRDefault="00651921" w:rsidP="00221864">
      <w:pPr>
        <w:pStyle w:val="Prrafodelista"/>
        <w:tabs>
          <w:tab w:val="left" w:pos="709"/>
        </w:tabs>
        <w:spacing w:line="360" w:lineRule="auto"/>
        <w:ind w:left="0"/>
        <w:jc w:val="center"/>
        <w:rPr>
          <w:rFonts w:ascii="Palatino Linotype" w:hAnsi="Palatino Linotype"/>
          <w:b/>
          <w:bCs/>
          <w:spacing w:val="60"/>
        </w:rPr>
      </w:pPr>
    </w:p>
    <w:p w14:paraId="4FF4A0F6" w14:textId="48A220BB" w:rsidR="00721230" w:rsidRDefault="00721230" w:rsidP="00221864">
      <w:pPr>
        <w:pStyle w:val="Prrafodelista"/>
        <w:tabs>
          <w:tab w:val="left" w:pos="709"/>
        </w:tabs>
        <w:spacing w:line="360" w:lineRule="auto"/>
        <w:ind w:left="0"/>
        <w:jc w:val="center"/>
        <w:rPr>
          <w:rFonts w:ascii="Palatino Linotype" w:hAnsi="Palatino Linotype"/>
          <w:b/>
          <w:bCs/>
          <w:spacing w:val="60"/>
        </w:rPr>
      </w:pPr>
      <w:r w:rsidRPr="004F5E1A">
        <w:rPr>
          <w:rFonts w:ascii="Palatino Linotype" w:hAnsi="Palatino Linotype"/>
          <w:b/>
          <w:bCs/>
          <w:spacing w:val="60"/>
        </w:rPr>
        <w:t>CONSIDERANDO</w:t>
      </w:r>
    </w:p>
    <w:p w14:paraId="0ECE7570" w14:textId="77777777" w:rsidR="00651921" w:rsidRPr="004F5E1A" w:rsidRDefault="00651921" w:rsidP="00221864">
      <w:pPr>
        <w:pStyle w:val="Prrafodelista"/>
        <w:tabs>
          <w:tab w:val="left" w:pos="709"/>
        </w:tabs>
        <w:spacing w:line="360" w:lineRule="auto"/>
        <w:ind w:left="0"/>
        <w:jc w:val="center"/>
        <w:rPr>
          <w:rFonts w:ascii="Palatino Linotype" w:hAnsi="Palatino Linotype"/>
          <w:b/>
          <w:bCs/>
          <w:spacing w:val="60"/>
        </w:rPr>
      </w:pPr>
    </w:p>
    <w:p w14:paraId="76CFD8C7" w14:textId="5432F987" w:rsidR="003118F1" w:rsidRDefault="00721230" w:rsidP="0022186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b/>
        </w:rPr>
      </w:pPr>
      <w:r w:rsidRPr="004F5E1A">
        <w:rPr>
          <w:rFonts w:ascii="Palatino Linotype" w:hAnsi="Palatino Linotype"/>
          <w:b/>
        </w:rPr>
        <w:t>PRIMERO. Competencia</w:t>
      </w:r>
      <w:r w:rsidRPr="004F5E1A">
        <w:rPr>
          <w:rFonts w:ascii="Palatino Linotype" w:hAnsi="Palatino Linotype"/>
        </w:rPr>
        <w:t>.</w:t>
      </w:r>
      <w:r w:rsidRPr="004F5E1A">
        <w:rPr>
          <w:rFonts w:ascii="Palatino Linotype" w:hAnsi="Palatino Linotype"/>
          <w:b/>
        </w:rPr>
        <w:t xml:space="preserve"> </w:t>
      </w:r>
    </w:p>
    <w:p w14:paraId="429B926D" w14:textId="77777777" w:rsidR="00651921" w:rsidRPr="004F5E1A" w:rsidRDefault="00651921" w:rsidP="00AD61EF">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b/>
        </w:rPr>
      </w:pPr>
    </w:p>
    <w:p w14:paraId="1EBC3B36" w14:textId="38F87C75" w:rsidR="00721230" w:rsidRDefault="00721230" w:rsidP="0022186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sz w:val="22"/>
          <w:szCs w:val="22"/>
        </w:rPr>
      </w:pPr>
      <w:r w:rsidRPr="004F5E1A">
        <w:rPr>
          <w:rFonts w:ascii="Palatino Linotype" w:hAnsi="Palatino Linotype"/>
          <w:sz w:val="22"/>
          <w:szCs w:val="22"/>
        </w:rPr>
        <w:t xml:space="preserve">Este Instituto de Transparencia, </w:t>
      </w:r>
      <w:r w:rsidR="00F533F3">
        <w:rPr>
          <w:rFonts w:ascii="Palatino Linotype" w:hAnsi="Palatino Linotype"/>
          <w:sz w:val="22"/>
          <w:szCs w:val="22"/>
        </w:rPr>
        <w:t>Acceso a la Información Pública</w:t>
      </w:r>
      <w:r w:rsidRPr="004F5E1A">
        <w:rPr>
          <w:rFonts w:ascii="Palatino Linotype" w:hAnsi="Palatino Linotype"/>
          <w:sz w:val="22"/>
          <w:szCs w:val="22"/>
        </w:rPr>
        <w:t xml:space="preserve"> y Protección de Datos Personales del Estado de México y Municipios, es competente para conocer y resolver los presentes recursos, conforme a lo dispuesto en el artículo 6, Apartado A, de la Constitución Política de los Estados Unidos Mexicanos; el artículo 5</w:t>
      </w:r>
      <w:r w:rsidR="00651921">
        <w:rPr>
          <w:rFonts w:ascii="Palatino Linotype" w:hAnsi="Palatino Linotype"/>
          <w:sz w:val="22"/>
          <w:szCs w:val="22"/>
        </w:rPr>
        <w:t>°</w:t>
      </w:r>
      <w:r w:rsidRPr="004F5E1A">
        <w:rPr>
          <w:rFonts w:ascii="Palatino Linotype" w:hAnsi="Palatino Linotype"/>
          <w:sz w:val="22"/>
          <w:szCs w:val="22"/>
        </w:rPr>
        <w:t xml:space="preserve"> párrafos trigésimo, trigésimo primero, trigésimo segundo, fracciones IV y V, de la Constitución Política del Estado Libre y Soberano de México; los artículos 2</w:t>
      </w:r>
      <w:r w:rsidR="00651921">
        <w:rPr>
          <w:rFonts w:ascii="Palatino Linotype" w:hAnsi="Palatino Linotype"/>
          <w:sz w:val="22"/>
          <w:szCs w:val="22"/>
        </w:rPr>
        <w:t>°</w:t>
      </w:r>
      <w:r w:rsidRPr="004F5E1A">
        <w:rPr>
          <w:rFonts w:ascii="Palatino Linotype" w:hAnsi="Palatino Linotype"/>
          <w:sz w:val="22"/>
          <w:szCs w:val="22"/>
        </w:rPr>
        <w:t xml:space="preserve">, fracción II, 13, 29, 36, fracciones I y II, 176, 178, 179, 181, párrafo tercero y 185, de la Ley de Transparencia y </w:t>
      </w:r>
      <w:r w:rsidR="00F533F3">
        <w:rPr>
          <w:rFonts w:ascii="Palatino Linotype" w:hAnsi="Palatino Linotype"/>
          <w:sz w:val="22"/>
          <w:szCs w:val="22"/>
        </w:rPr>
        <w:t>Acceso a la Información Pública</w:t>
      </w:r>
      <w:r w:rsidRPr="004F5E1A">
        <w:rPr>
          <w:rFonts w:ascii="Palatino Linotype" w:hAnsi="Palatino Linotype"/>
          <w:sz w:val="22"/>
          <w:szCs w:val="22"/>
        </w:rPr>
        <w:t xml:space="preserve"> del Estado de México y Municipios, y los artículos 9, fracciones I y XXIV y 11 del Reglamento Interior del Instituto de Transparencia, </w:t>
      </w:r>
      <w:r w:rsidR="00F533F3">
        <w:rPr>
          <w:rFonts w:ascii="Palatino Linotype" w:hAnsi="Palatino Linotype"/>
          <w:sz w:val="22"/>
          <w:szCs w:val="22"/>
        </w:rPr>
        <w:t>Acceso a la Información Pública</w:t>
      </w:r>
      <w:r w:rsidRPr="004F5E1A">
        <w:rPr>
          <w:rFonts w:ascii="Palatino Linotype" w:hAnsi="Palatino Linotype"/>
          <w:sz w:val="22"/>
          <w:szCs w:val="22"/>
        </w:rPr>
        <w:t xml:space="preserve"> y Protección de Datos Personales del Estado de México y Municipios</w:t>
      </w:r>
      <w:r w:rsidRPr="004F5E1A">
        <w:rPr>
          <w:rFonts w:ascii="Palatino Linotype" w:hAnsi="Palatino Linotype" w:cs="Arial"/>
          <w:sz w:val="22"/>
          <w:szCs w:val="22"/>
        </w:rPr>
        <w:t>.</w:t>
      </w:r>
    </w:p>
    <w:p w14:paraId="2FCB5B50" w14:textId="77777777" w:rsidR="00651921" w:rsidRPr="004F5E1A" w:rsidRDefault="00651921" w:rsidP="00AD61EF">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sz w:val="22"/>
          <w:szCs w:val="22"/>
        </w:rPr>
      </w:pPr>
    </w:p>
    <w:p w14:paraId="36385644" w14:textId="77777777" w:rsidR="003118F1" w:rsidRPr="004F5E1A" w:rsidRDefault="00721230" w:rsidP="00AD61EF">
      <w:pPr>
        <w:spacing w:line="360" w:lineRule="auto"/>
        <w:ind w:right="50"/>
        <w:jc w:val="both"/>
        <w:rPr>
          <w:rFonts w:ascii="Palatino Linotype" w:hAnsi="Palatino Linotype" w:cs="Arial"/>
          <w:b/>
          <w:color w:val="000000" w:themeColor="text1"/>
        </w:rPr>
      </w:pPr>
      <w:r w:rsidRPr="004F5E1A">
        <w:rPr>
          <w:rFonts w:ascii="Palatino Linotype" w:hAnsi="Palatino Linotype" w:cs="Arial"/>
          <w:b/>
          <w:color w:val="000000" w:themeColor="text1"/>
        </w:rPr>
        <w:t xml:space="preserve">SEGUNDO. </w:t>
      </w:r>
      <w:r w:rsidR="003118F1" w:rsidRPr="004F5E1A">
        <w:rPr>
          <w:rFonts w:ascii="Palatino Linotype" w:hAnsi="Palatino Linotype" w:cs="Arial"/>
          <w:b/>
          <w:color w:val="000000" w:themeColor="text1"/>
        </w:rPr>
        <w:t>Interés</w:t>
      </w:r>
      <w:r w:rsidR="0086240B" w:rsidRPr="004F5E1A">
        <w:rPr>
          <w:rFonts w:ascii="Palatino Linotype" w:hAnsi="Palatino Linotype" w:cs="Arial"/>
          <w:b/>
          <w:color w:val="000000" w:themeColor="text1"/>
        </w:rPr>
        <w:t xml:space="preserve">. </w:t>
      </w:r>
    </w:p>
    <w:p w14:paraId="63BE8C9C" w14:textId="77777777" w:rsidR="00651921" w:rsidRDefault="00651921" w:rsidP="00221864">
      <w:pPr>
        <w:spacing w:line="360" w:lineRule="auto"/>
        <w:ind w:right="50"/>
        <w:jc w:val="both"/>
        <w:rPr>
          <w:rFonts w:ascii="Palatino Linotype" w:hAnsi="Palatino Linotype" w:cs="Arial"/>
          <w:bCs/>
          <w:sz w:val="22"/>
          <w:szCs w:val="22"/>
        </w:rPr>
      </w:pPr>
    </w:p>
    <w:p w14:paraId="2A524BC4" w14:textId="7E0A146D" w:rsidR="0086240B" w:rsidRPr="004F5E1A" w:rsidRDefault="0086240B" w:rsidP="00AD61EF">
      <w:pPr>
        <w:spacing w:line="360" w:lineRule="auto"/>
        <w:ind w:right="50"/>
        <w:jc w:val="both"/>
        <w:rPr>
          <w:rFonts w:ascii="Palatino Linotype" w:hAnsi="Palatino Linotype" w:cs="Arial"/>
          <w:b/>
          <w:bCs/>
          <w:sz w:val="22"/>
          <w:szCs w:val="22"/>
        </w:rPr>
      </w:pPr>
      <w:r w:rsidRPr="004F5E1A">
        <w:rPr>
          <w:rFonts w:ascii="Palatino Linotype" w:hAnsi="Palatino Linotype" w:cs="Arial"/>
          <w:bCs/>
          <w:sz w:val="22"/>
          <w:szCs w:val="22"/>
        </w:rPr>
        <w:t xml:space="preserve">Los </w:t>
      </w:r>
      <w:r w:rsidR="00001197">
        <w:rPr>
          <w:rFonts w:ascii="Palatino Linotype" w:hAnsi="Palatino Linotype" w:cs="Arial"/>
          <w:bCs/>
          <w:sz w:val="22"/>
          <w:szCs w:val="22"/>
        </w:rPr>
        <w:t>Recursos de Revisión</w:t>
      </w:r>
      <w:r w:rsidRPr="004F5E1A">
        <w:rPr>
          <w:rFonts w:ascii="Palatino Linotype" w:hAnsi="Palatino Linotype" w:cs="Arial"/>
          <w:bCs/>
          <w:sz w:val="22"/>
          <w:szCs w:val="22"/>
        </w:rPr>
        <w:t xml:space="preserve"> fueron interpuestos por parte legítima, en atención a que se presentaron por </w:t>
      </w:r>
      <w:r w:rsidRPr="004F5E1A">
        <w:rPr>
          <w:rFonts w:ascii="Palatino Linotype" w:hAnsi="Palatino Linotype" w:cs="Arial"/>
          <w:b/>
          <w:bCs/>
          <w:sz w:val="22"/>
          <w:szCs w:val="22"/>
        </w:rPr>
        <w:t>L</w:t>
      </w:r>
      <w:r w:rsidR="004F5E1A">
        <w:rPr>
          <w:rFonts w:ascii="Palatino Linotype" w:hAnsi="Palatino Linotype" w:cs="Arial"/>
          <w:b/>
          <w:bCs/>
          <w:sz w:val="22"/>
          <w:szCs w:val="22"/>
        </w:rPr>
        <w:t>A</w:t>
      </w:r>
      <w:r w:rsidRPr="004F5E1A">
        <w:rPr>
          <w:rFonts w:ascii="Palatino Linotype" w:hAnsi="Palatino Linotype" w:cs="Arial"/>
          <w:b/>
          <w:bCs/>
          <w:sz w:val="22"/>
          <w:szCs w:val="22"/>
        </w:rPr>
        <w:t xml:space="preserve"> RECURRENTE,</w:t>
      </w:r>
      <w:r w:rsidRPr="004F5E1A">
        <w:rPr>
          <w:rFonts w:ascii="Palatino Linotype" w:hAnsi="Palatino Linotype" w:cs="Arial"/>
          <w:bCs/>
          <w:sz w:val="22"/>
          <w:szCs w:val="22"/>
        </w:rPr>
        <w:t xml:space="preserve"> quien es la misma persona que formuló la</w:t>
      </w:r>
      <w:r w:rsidR="004F5E1A">
        <w:rPr>
          <w:rFonts w:ascii="Palatino Linotype" w:hAnsi="Palatino Linotype" w:cs="Arial"/>
          <w:bCs/>
          <w:sz w:val="22"/>
          <w:szCs w:val="22"/>
        </w:rPr>
        <w:t>s</w:t>
      </w:r>
      <w:r w:rsidRPr="004F5E1A">
        <w:rPr>
          <w:rFonts w:ascii="Palatino Linotype" w:hAnsi="Palatino Linotype" w:cs="Arial"/>
          <w:bCs/>
          <w:sz w:val="22"/>
          <w:szCs w:val="22"/>
        </w:rPr>
        <w:t xml:space="preserve"> solicitud</w:t>
      </w:r>
      <w:r w:rsidR="004F5E1A">
        <w:rPr>
          <w:rFonts w:ascii="Palatino Linotype" w:hAnsi="Palatino Linotype" w:cs="Arial"/>
          <w:bCs/>
          <w:sz w:val="22"/>
          <w:szCs w:val="22"/>
        </w:rPr>
        <w:t xml:space="preserve">es </w:t>
      </w:r>
      <w:r w:rsidRPr="004F5E1A">
        <w:rPr>
          <w:rFonts w:ascii="Palatino Linotype" w:hAnsi="Palatino Linotype" w:cs="Arial"/>
          <w:bCs/>
          <w:sz w:val="22"/>
          <w:szCs w:val="22"/>
        </w:rPr>
        <w:t xml:space="preserve">de </w:t>
      </w:r>
      <w:r w:rsidR="00F533F3">
        <w:rPr>
          <w:rFonts w:ascii="Palatino Linotype" w:hAnsi="Palatino Linotype" w:cs="Arial"/>
          <w:bCs/>
          <w:sz w:val="22"/>
          <w:szCs w:val="22"/>
        </w:rPr>
        <w:t>acceso a la Información Pública</w:t>
      </w:r>
      <w:r w:rsidRPr="004F5E1A">
        <w:rPr>
          <w:rFonts w:ascii="Palatino Linotype" w:hAnsi="Palatino Linotype" w:cs="Arial"/>
          <w:bCs/>
          <w:sz w:val="22"/>
          <w:szCs w:val="22"/>
        </w:rPr>
        <w:t xml:space="preserve"> al </w:t>
      </w:r>
      <w:r w:rsidRPr="004F5E1A">
        <w:rPr>
          <w:rFonts w:ascii="Palatino Linotype" w:hAnsi="Palatino Linotype" w:cs="Arial"/>
          <w:b/>
          <w:bCs/>
          <w:sz w:val="22"/>
          <w:szCs w:val="22"/>
        </w:rPr>
        <w:t>SUJETO OBLIGADO.</w:t>
      </w:r>
    </w:p>
    <w:p w14:paraId="5AF46911" w14:textId="77777777" w:rsidR="00651921" w:rsidRDefault="00651921" w:rsidP="0022186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b/>
        </w:rPr>
      </w:pPr>
    </w:p>
    <w:p w14:paraId="3231689C" w14:textId="7A2AE732" w:rsidR="003118F1" w:rsidRPr="004F5E1A" w:rsidRDefault="00721230" w:rsidP="0022186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b/>
        </w:rPr>
      </w:pPr>
      <w:r w:rsidRPr="004F5E1A">
        <w:rPr>
          <w:rFonts w:ascii="Palatino Linotype" w:hAnsi="Palatino Linotype" w:cs="Arial"/>
          <w:b/>
        </w:rPr>
        <w:t xml:space="preserve">TERCERO. Oportunidad. </w:t>
      </w:r>
    </w:p>
    <w:p w14:paraId="2C86EA50" w14:textId="6463305C" w:rsidR="00721230" w:rsidRDefault="00721230" w:rsidP="0022186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sz w:val="22"/>
          <w:szCs w:val="22"/>
        </w:rPr>
      </w:pPr>
      <w:r w:rsidRPr="004F5E1A">
        <w:rPr>
          <w:rFonts w:ascii="Palatino Linotype" w:hAnsi="Palatino Linotype" w:cs="Arial"/>
          <w:sz w:val="22"/>
          <w:szCs w:val="22"/>
        </w:rPr>
        <w:t xml:space="preserve">Los </w:t>
      </w:r>
      <w:r w:rsidR="00001197">
        <w:rPr>
          <w:rFonts w:ascii="Palatino Linotype" w:hAnsi="Palatino Linotype" w:cs="Arial"/>
          <w:sz w:val="22"/>
          <w:szCs w:val="22"/>
        </w:rPr>
        <w:t>Recursos de Revisión</w:t>
      </w:r>
      <w:r w:rsidRPr="004F5E1A">
        <w:rPr>
          <w:rFonts w:ascii="Palatino Linotype" w:hAnsi="Palatino Linotype" w:cs="Arial"/>
          <w:sz w:val="22"/>
          <w:szCs w:val="22"/>
        </w:rPr>
        <w:t xml:space="preserve"> fueron interpuestos dentro del plazo de quince días hábiles conta</w:t>
      </w:r>
      <w:r w:rsidR="00367DB2" w:rsidRPr="004F5E1A">
        <w:rPr>
          <w:rFonts w:ascii="Palatino Linotype" w:hAnsi="Palatino Linotype" w:cs="Arial"/>
          <w:sz w:val="22"/>
          <w:szCs w:val="22"/>
        </w:rPr>
        <w:t xml:space="preserve">dos a partir del día siguiente </w:t>
      </w:r>
      <w:r w:rsidRPr="004F5E1A">
        <w:rPr>
          <w:rFonts w:ascii="Palatino Linotype" w:hAnsi="Palatino Linotype" w:cs="Arial"/>
          <w:sz w:val="22"/>
          <w:szCs w:val="22"/>
        </w:rPr>
        <w:t xml:space="preserve">en que </w:t>
      </w:r>
      <w:r w:rsidRPr="004F5E1A">
        <w:rPr>
          <w:rFonts w:ascii="Palatino Linotype" w:hAnsi="Palatino Linotype" w:cs="Arial"/>
          <w:b/>
          <w:sz w:val="22"/>
          <w:szCs w:val="22"/>
        </w:rPr>
        <w:t>L</w:t>
      </w:r>
      <w:r w:rsidR="00367DB2" w:rsidRPr="004F5E1A">
        <w:rPr>
          <w:rFonts w:ascii="Palatino Linotype" w:hAnsi="Palatino Linotype" w:cs="Arial"/>
          <w:b/>
          <w:sz w:val="22"/>
          <w:szCs w:val="22"/>
        </w:rPr>
        <w:t>A</w:t>
      </w:r>
      <w:r w:rsidRPr="004F5E1A">
        <w:rPr>
          <w:rFonts w:ascii="Palatino Linotype" w:hAnsi="Palatino Linotype" w:cs="Arial"/>
          <w:b/>
          <w:sz w:val="22"/>
          <w:szCs w:val="22"/>
        </w:rPr>
        <w:t xml:space="preserve"> RECURRENTE </w:t>
      </w:r>
      <w:r w:rsidRPr="004F5E1A">
        <w:rPr>
          <w:rFonts w:ascii="Palatino Linotype" w:hAnsi="Palatino Linotype" w:cs="Arial"/>
          <w:sz w:val="22"/>
          <w:szCs w:val="22"/>
        </w:rPr>
        <w:t xml:space="preserve">tuvo conocimiento de las respuestas impugnadas, tal y como lo prevé el artículo 178 de la Ley de Transparencia y </w:t>
      </w:r>
      <w:r w:rsidR="00F533F3">
        <w:rPr>
          <w:rFonts w:ascii="Palatino Linotype" w:hAnsi="Palatino Linotype" w:cs="Arial"/>
          <w:sz w:val="22"/>
          <w:szCs w:val="22"/>
        </w:rPr>
        <w:t>Acceso a la Información Pública</w:t>
      </w:r>
      <w:r w:rsidRPr="004F5E1A">
        <w:rPr>
          <w:rFonts w:ascii="Palatino Linotype" w:hAnsi="Palatino Linotype" w:cs="Arial"/>
          <w:sz w:val="22"/>
          <w:szCs w:val="22"/>
        </w:rPr>
        <w:t xml:space="preserve"> del Estado de México y Municipios</w:t>
      </w:r>
      <w:r w:rsidR="00651921">
        <w:rPr>
          <w:rFonts w:ascii="Palatino Linotype" w:hAnsi="Palatino Linotype" w:cs="Arial"/>
          <w:sz w:val="22"/>
          <w:szCs w:val="22"/>
        </w:rPr>
        <w:t>.</w:t>
      </w:r>
      <w:r w:rsidRPr="004F5E1A">
        <w:rPr>
          <w:rFonts w:ascii="Palatino Linotype" w:hAnsi="Palatino Linotype" w:cs="Arial"/>
          <w:sz w:val="22"/>
          <w:szCs w:val="22"/>
        </w:rPr>
        <w:t xml:space="preserve"> </w:t>
      </w:r>
    </w:p>
    <w:p w14:paraId="139EA9EE" w14:textId="77777777" w:rsidR="004F5E1A" w:rsidRPr="004F5E1A" w:rsidRDefault="004F5E1A" w:rsidP="0022186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sz w:val="22"/>
          <w:szCs w:val="22"/>
        </w:rPr>
      </w:pPr>
    </w:p>
    <w:p w14:paraId="386D3CC2" w14:textId="6393FE3E" w:rsidR="004F5E1A" w:rsidRDefault="00721230" w:rsidP="00221864">
      <w:pPr>
        <w:spacing w:line="360" w:lineRule="auto"/>
        <w:jc w:val="both"/>
        <w:rPr>
          <w:rFonts w:ascii="Palatino Linotype" w:hAnsi="Palatino Linotype"/>
          <w:bCs/>
          <w:sz w:val="22"/>
          <w:szCs w:val="22"/>
        </w:rPr>
      </w:pPr>
      <w:r w:rsidRPr="004F5E1A">
        <w:rPr>
          <w:rFonts w:ascii="Palatino Linotype" w:eastAsiaTheme="minorEastAsia" w:hAnsi="Palatino Linotype" w:cs="Arial"/>
          <w:sz w:val="22"/>
          <w:szCs w:val="22"/>
          <w:lang w:val="es-ES_tradnl"/>
        </w:rPr>
        <w:t xml:space="preserve">En efecto, atendiendo a que </w:t>
      </w:r>
      <w:r w:rsidRPr="004F5E1A">
        <w:rPr>
          <w:rFonts w:ascii="Palatino Linotype" w:eastAsiaTheme="minorEastAsia" w:hAnsi="Palatino Linotype" w:cs="Arial"/>
          <w:b/>
          <w:sz w:val="22"/>
          <w:szCs w:val="22"/>
          <w:lang w:val="es-ES_tradnl"/>
        </w:rPr>
        <w:t>EL SUJETO OBLIGADO</w:t>
      </w:r>
      <w:r w:rsidRPr="004F5E1A">
        <w:rPr>
          <w:rFonts w:ascii="Palatino Linotype" w:eastAsiaTheme="minorEastAsia" w:hAnsi="Palatino Linotype" w:cs="Arial"/>
          <w:sz w:val="22"/>
          <w:szCs w:val="22"/>
          <w:lang w:val="es-ES_tradnl"/>
        </w:rPr>
        <w:t xml:space="preserve"> notificó la</w:t>
      </w:r>
      <w:r w:rsidR="000A71AD">
        <w:rPr>
          <w:rFonts w:ascii="Palatino Linotype" w:eastAsiaTheme="minorEastAsia" w:hAnsi="Palatino Linotype" w:cs="Arial"/>
          <w:sz w:val="22"/>
          <w:szCs w:val="22"/>
          <w:lang w:val="es-ES_tradnl"/>
        </w:rPr>
        <w:t xml:space="preserve"> respuesta de a las solicitudes de información </w:t>
      </w:r>
      <w:r w:rsidR="004F5E1A">
        <w:rPr>
          <w:rFonts w:ascii="Palatino Linotype" w:hAnsi="Palatino Linotype"/>
          <w:bCs/>
          <w:sz w:val="22"/>
          <w:szCs w:val="22"/>
        </w:rPr>
        <w:t xml:space="preserve">el día </w:t>
      </w:r>
      <w:r w:rsidR="004F5E1A" w:rsidRPr="000A71AD">
        <w:rPr>
          <w:rFonts w:ascii="Palatino Linotype" w:hAnsi="Palatino Linotype"/>
          <w:b/>
          <w:bCs/>
          <w:sz w:val="22"/>
          <w:szCs w:val="22"/>
        </w:rPr>
        <w:t>trece de diciembre de dos mil veintiuno</w:t>
      </w:r>
      <w:r w:rsidR="004F5E1A">
        <w:rPr>
          <w:rFonts w:ascii="Palatino Linotype" w:hAnsi="Palatino Linotype"/>
          <w:bCs/>
          <w:sz w:val="22"/>
          <w:szCs w:val="22"/>
        </w:rPr>
        <w:t>, es que el plazo de quince días hábiles para la interposición de</w:t>
      </w:r>
      <w:r w:rsidR="000A71AD">
        <w:rPr>
          <w:rFonts w:ascii="Palatino Linotype" w:hAnsi="Palatino Linotype"/>
          <w:bCs/>
          <w:sz w:val="22"/>
          <w:szCs w:val="22"/>
        </w:rPr>
        <w:t xml:space="preserve"> </w:t>
      </w:r>
      <w:r w:rsidR="004F5E1A">
        <w:rPr>
          <w:rFonts w:ascii="Palatino Linotype" w:hAnsi="Palatino Linotype"/>
          <w:bCs/>
          <w:sz w:val="22"/>
          <w:szCs w:val="22"/>
        </w:rPr>
        <w:t>l</w:t>
      </w:r>
      <w:r w:rsidR="000A71AD">
        <w:rPr>
          <w:rFonts w:ascii="Palatino Linotype" w:hAnsi="Palatino Linotype"/>
          <w:bCs/>
          <w:sz w:val="22"/>
          <w:szCs w:val="22"/>
        </w:rPr>
        <w:t>os</w:t>
      </w:r>
      <w:r w:rsidR="004F5E1A">
        <w:rPr>
          <w:rFonts w:ascii="Palatino Linotype" w:hAnsi="Palatino Linotype"/>
          <w:bCs/>
          <w:sz w:val="22"/>
          <w:szCs w:val="22"/>
        </w:rPr>
        <w:t xml:space="preserve"> medio</w:t>
      </w:r>
      <w:r w:rsidR="000A71AD">
        <w:rPr>
          <w:rFonts w:ascii="Palatino Linotype" w:hAnsi="Palatino Linotype"/>
          <w:bCs/>
          <w:sz w:val="22"/>
          <w:szCs w:val="22"/>
        </w:rPr>
        <w:t>s</w:t>
      </w:r>
      <w:r w:rsidR="004F5E1A">
        <w:rPr>
          <w:rFonts w:ascii="Palatino Linotype" w:hAnsi="Palatino Linotype"/>
          <w:bCs/>
          <w:sz w:val="22"/>
          <w:szCs w:val="22"/>
        </w:rPr>
        <w:t xml:space="preserve"> de impugnación previsto en el artículo en cita, corrió del </w:t>
      </w:r>
      <w:r w:rsidR="004F5E1A" w:rsidRPr="004F5E1A">
        <w:rPr>
          <w:rFonts w:ascii="Palatino Linotype" w:hAnsi="Palatino Linotype"/>
          <w:b/>
          <w:bCs/>
          <w:sz w:val="22"/>
          <w:szCs w:val="22"/>
        </w:rPr>
        <w:t>catorce de diciembre de dos mil veintiuno al diecinueve de enero de dos mil veintidós</w:t>
      </w:r>
      <w:r w:rsidR="004F5E1A">
        <w:rPr>
          <w:rFonts w:ascii="Palatino Linotype" w:hAnsi="Palatino Linotype"/>
          <w:bCs/>
          <w:sz w:val="22"/>
          <w:szCs w:val="22"/>
        </w:rPr>
        <w:t>, sin contemplar en dicho có</w:t>
      </w:r>
      <w:r w:rsidR="004F5E1A" w:rsidRPr="004F5E1A">
        <w:rPr>
          <w:rFonts w:ascii="Palatino Linotype" w:hAnsi="Palatino Linotype"/>
          <w:bCs/>
          <w:sz w:val="22"/>
          <w:szCs w:val="22"/>
        </w:rPr>
        <w:t>mputo</w:t>
      </w:r>
      <w:r w:rsidR="004F5E1A">
        <w:rPr>
          <w:rFonts w:ascii="Palatino Linotype" w:hAnsi="Palatino Linotype"/>
          <w:b/>
          <w:bCs/>
          <w:sz w:val="22"/>
          <w:szCs w:val="22"/>
        </w:rPr>
        <w:t xml:space="preserve"> </w:t>
      </w:r>
      <w:r w:rsidR="004F5E1A">
        <w:rPr>
          <w:rFonts w:ascii="Palatino Linotype" w:hAnsi="Palatino Linotype"/>
          <w:bCs/>
          <w:sz w:val="22"/>
          <w:szCs w:val="22"/>
        </w:rPr>
        <w:t xml:space="preserve">los días </w:t>
      </w:r>
      <w:r w:rsidR="000A71AD">
        <w:rPr>
          <w:rFonts w:ascii="Palatino Linotype" w:hAnsi="Palatino Linotype"/>
          <w:bCs/>
          <w:sz w:val="22"/>
          <w:szCs w:val="22"/>
        </w:rPr>
        <w:t>dieciocho, diecinueve, veinticinco y veintiséis de diciembre de dos mil veintiuno, uno, dos, ocho, nueve, quince y dieciséis de enero de dos mil veintidós,</w:t>
      </w:r>
      <w:r w:rsidR="000A71AD" w:rsidRPr="004F5E1A">
        <w:rPr>
          <w:rFonts w:ascii="Palatino Linotype" w:hAnsi="Palatino Linotype" w:cs="Arial"/>
          <w:sz w:val="22"/>
          <w:szCs w:val="22"/>
        </w:rPr>
        <w:t xml:space="preserve"> </w:t>
      </w:r>
      <w:r w:rsidR="000A71AD" w:rsidRPr="000A71AD">
        <w:rPr>
          <w:rFonts w:ascii="Palatino Linotype" w:hAnsi="Palatino Linotype"/>
          <w:bCs/>
          <w:sz w:val="22"/>
          <w:szCs w:val="22"/>
        </w:rPr>
        <w:t xml:space="preserve">por corresponder a sábados y domingos, considerados como días inhábiles, en términos del artículo 3, fracción X de la Ley de Transparencia y </w:t>
      </w:r>
      <w:r w:rsidR="00F533F3">
        <w:rPr>
          <w:rFonts w:ascii="Palatino Linotype" w:hAnsi="Palatino Linotype"/>
          <w:bCs/>
          <w:sz w:val="22"/>
          <w:szCs w:val="22"/>
        </w:rPr>
        <w:t>Acceso a la Información Pública</w:t>
      </w:r>
      <w:r w:rsidR="000A71AD" w:rsidRPr="000A71AD">
        <w:rPr>
          <w:rFonts w:ascii="Palatino Linotype" w:hAnsi="Palatino Linotype"/>
          <w:bCs/>
          <w:sz w:val="22"/>
          <w:szCs w:val="22"/>
        </w:rPr>
        <w:t xml:space="preserve"> del Estado de México y Municipios; así como los días veintitrés, veinticuatro, y del veintisiete al treinta y uno de diciembre de dos mil veintiuno, así como del tres al cinco de enero de dos mil veintidós, por corresponder al segundo periodo vacacional de este Instituto y los días seis y siete de enero de dos mil veintidós por ser considerados como días inhábiles por suspensión de labores en términos del Calendario Oficial en Materia de Transparencia, </w:t>
      </w:r>
      <w:r w:rsidR="00F533F3">
        <w:rPr>
          <w:rFonts w:ascii="Palatino Linotype" w:hAnsi="Palatino Linotype"/>
          <w:bCs/>
          <w:sz w:val="22"/>
          <w:szCs w:val="22"/>
        </w:rPr>
        <w:t>Acceso a la Información Pública</w:t>
      </w:r>
      <w:r w:rsidR="000A71AD" w:rsidRPr="000A71AD">
        <w:rPr>
          <w:rFonts w:ascii="Palatino Linotype" w:hAnsi="Palatino Linotype"/>
          <w:bCs/>
          <w:sz w:val="22"/>
          <w:szCs w:val="22"/>
        </w:rPr>
        <w:t xml:space="preserve"> y Protección de Datos Personales del Estado de México y Municipios, así como de labores del Instituto para el año dos mil veintidós y enero de dos mil veintitrés, aprobado por el Pleno del Instituto en fecha quince de diciembre de dos mil veintiuno.</w:t>
      </w:r>
    </w:p>
    <w:p w14:paraId="3F8D7168" w14:textId="77777777" w:rsidR="00651921" w:rsidRPr="000A71AD" w:rsidRDefault="00651921" w:rsidP="00AD61EF">
      <w:pPr>
        <w:spacing w:line="360" w:lineRule="auto"/>
        <w:jc w:val="both"/>
        <w:rPr>
          <w:rFonts w:ascii="Palatino Linotype" w:hAnsi="Palatino Linotype"/>
          <w:bCs/>
          <w:sz w:val="22"/>
          <w:szCs w:val="22"/>
        </w:rPr>
      </w:pPr>
    </w:p>
    <w:p w14:paraId="3282A0FE" w14:textId="7C8B604F" w:rsidR="00721230" w:rsidRDefault="00721230" w:rsidP="00221864">
      <w:pPr>
        <w:spacing w:line="360" w:lineRule="auto"/>
        <w:jc w:val="both"/>
        <w:rPr>
          <w:rFonts w:ascii="Palatino Linotype" w:eastAsiaTheme="minorEastAsia" w:hAnsi="Palatino Linotype" w:cs="Arial"/>
          <w:sz w:val="22"/>
          <w:szCs w:val="22"/>
          <w:lang w:val="es-ES_tradnl"/>
        </w:rPr>
      </w:pPr>
      <w:r w:rsidRPr="004F5E1A">
        <w:rPr>
          <w:rFonts w:ascii="Palatino Linotype" w:eastAsiaTheme="minorEastAsia" w:hAnsi="Palatino Linotype" w:cs="Arial"/>
          <w:sz w:val="22"/>
          <w:szCs w:val="22"/>
          <w:lang w:val="es-ES_tradnl"/>
        </w:rPr>
        <w:t xml:space="preserve">En ese tenor, si los </w:t>
      </w:r>
      <w:r w:rsidR="00001197">
        <w:rPr>
          <w:rFonts w:ascii="Palatino Linotype" w:eastAsiaTheme="minorEastAsia" w:hAnsi="Palatino Linotype" w:cs="Arial"/>
          <w:sz w:val="22"/>
          <w:szCs w:val="22"/>
          <w:lang w:val="es-ES_tradnl"/>
        </w:rPr>
        <w:t>Recursos de Revisión</w:t>
      </w:r>
      <w:r w:rsidRPr="004F5E1A">
        <w:rPr>
          <w:rFonts w:ascii="Palatino Linotype" w:eastAsiaTheme="minorEastAsia" w:hAnsi="Palatino Linotype" w:cs="Arial"/>
          <w:sz w:val="22"/>
          <w:szCs w:val="22"/>
          <w:lang w:val="es-ES_tradnl"/>
        </w:rPr>
        <w:t xml:space="preserve"> que nos ocupan, se interpusieron el</w:t>
      </w:r>
      <w:r w:rsidRPr="004F5E1A">
        <w:rPr>
          <w:rFonts w:ascii="Palatino Linotype" w:eastAsiaTheme="minorEastAsia" w:hAnsi="Palatino Linotype" w:cs="Arial"/>
          <w:b/>
          <w:sz w:val="22"/>
          <w:szCs w:val="22"/>
          <w:lang w:val="es-ES_tradnl"/>
        </w:rPr>
        <w:t xml:space="preserve"> </w:t>
      </w:r>
      <w:r w:rsidR="000A71AD">
        <w:rPr>
          <w:rFonts w:ascii="Palatino Linotype" w:eastAsiaTheme="minorEastAsia" w:hAnsi="Palatino Linotype" w:cs="Arial"/>
          <w:b/>
          <w:sz w:val="22"/>
          <w:szCs w:val="22"/>
          <w:lang w:val="es-ES_tradnl"/>
        </w:rPr>
        <w:t xml:space="preserve">dieciséis de diciembre de dos mil veintiuno </w:t>
      </w:r>
      <w:r w:rsidR="000A71AD">
        <w:rPr>
          <w:rFonts w:ascii="Palatino Linotype" w:eastAsiaTheme="minorEastAsia" w:hAnsi="Palatino Linotype" w:cs="Arial"/>
          <w:sz w:val="22"/>
          <w:szCs w:val="22"/>
          <w:lang w:val="es-ES_tradnl"/>
        </w:rPr>
        <w:t xml:space="preserve">y </w:t>
      </w:r>
      <w:r w:rsidR="00D804A9" w:rsidRPr="004F5E1A">
        <w:rPr>
          <w:rFonts w:ascii="Palatino Linotype" w:eastAsiaTheme="minorEastAsia" w:hAnsi="Palatino Linotype" w:cs="Arial"/>
          <w:b/>
          <w:sz w:val="22"/>
          <w:szCs w:val="22"/>
          <w:lang w:val="es-ES_tradnl"/>
        </w:rPr>
        <w:t>d</w:t>
      </w:r>
      <w:r w:rsidR="000A71AD">
        <w:rPr>
          <w:rFonts w:ascii="Palatino Linotype" w:eastAsiaTheme="minorEastAsia" w:hAnsi="Palatino Linotype" w:cs="Arial"/>
          <w:b/>
          <w:sz w:val="22"/>
          <w:szCs w:val="22"/>
          <w:lang w:val="es-ES_tradnl"/>
        </w:rPr>
        <w:t xml:space="preserve">iez de enero de dos mil veintidós, </w:t>
      </w:r>
      <w:r w:rsidRPr="004F5E1A">
        <w:rPr>
          <w:rFonts w:ascii="Palatino Linotype" w:eastAsiaTheme="minorEastAsia" w:hAnsi="Palatino Linotype" w:cs="Arial"/>
          <w:sz w:val="22"/>
          <w:szCs w:val="22"/>
          <w:lang w:val="es-ES_tradnl"/>
        </w:rPr>
        <w:t>ést</w:t>
      </w:r>
      <w:r w:rsidR="00D804A9" w:rsidRPr="004F5E1A">
        <w:rPr>
          <w:rFonts w:ascii="Palatino Linotype" w:eastAsiaTheme="minorEastAsia" w:hAnsi="Palatino Linotype" w:cs="Arial"/>
          <w:sz w:val="22"/>
          <w:szCs w:val="22"/>
          <w:lang w:val="es-ES_tradnl"/>
        </w:rPr>
        <w:t>os</w:t>
      </w:r>
      <w:r w:rsidRPr="004F5E1A">
        <w:rPr>
          <w:rFonts w:ascii="Palatino Linotype" w:eastAsiaTheme="minorEastAsia" w:hAnsi="Palatino Linotype" w:cs="Arial"/>
          <w:sz w:val="22"/>
          <w:szCs w:val="22"/>
          <w:lang w:val="es-ES_tradnl"/>
        </w:rPr>
        <w:t xml:space="preserve"> se encuentra</w:t>
      </w:r>
      <w:r w:rsidR="00D804A9" w:rsidRPr="004F5E1A">
        <w:rPr>
          <w:rFonts w:ascii="Palatino Linotype" w:eastAsiaTheme="minorEastAsia" w:hAnsi="Palatino Linotype" w:cs="Arial"/>
          <w:sz w:val="22"/>
          <w:szCs w:val="22"/>
          <w:lang w:val="es-ES_tradnl"/>
        </w:rPr>
        <w:t>n</w:t>
      </w:r>
      <w:r w:rsidRPr="004F5E1A">
        <w:rPr>
          <w:rFonts w:ascii="Palatino Linotype" w:eastAsiaTheme="minorEastAsia" w:hAnsi="Palatino Linotype" w:cs="Arial"/>
          <w:sz w:val="22"/>
          <w:szCs w:val="22"/>
          <w:lang w:val="es-ES_tradnl"/>
        </w:rPr>
        <w:t xml:space="preserve"> dentro de los márgenes temporales previstos en el citado precepto legal y, por tanto, se considera</w:t>
      </w:r>
      <w:r w:rsidR="00D804A9" w:rsidRPr="004F5E1A">
        <w:rPr>
          <w:rFonts w:ascii="Palatino Linotype" w:eastAsiaTheme="minorEastAsia" w:hAnsi="Palatino Linotype" w:cs="Arial"/>
          <w:sz w:val="22"/>
          <w:szCs w:val="22"/>
          <w:lang w:val="es-ES_tradnl"/>
        </w:rPr>
        <w:t>n</w:t>
      </w:r>
      <w:r w:rsidRPr="004F5E1A">
        <w:rPr>
          <w:rFonts w:ascii="Palatino Linotype" w:eastAsiaTheme="minorEastAsia" w:hAnsi="Palatino Linotype" w:cs="Arial"/>
          <w:sz w:val="22"/>
          <w:szCs w:val="22"/>
          <w:lang w:val="es-ES_tradnl"/>
        </w:rPr>
        <w:t xml:space="preserve"> oportuno</w:t>
      </w:r>
      <w:r w:rsidR="00D804A9" w:rsidRPr="004F5E1A">
        <w:rPr>
          <w:rFonts w:ascii="Palatino Linotype" w:eastAsiaTheme="minorEastAsia" w:hAnsi="Palatino Linotype" w:cs="Arial"/>
          <w:sz w:val="22"/>
          <w:szCs w:val="22"/>
          <w:lang w:val="es-ES_tradnl"/>
        </w:rPr>
        <w:t>s</w:t>
      </w:r>
      <w:r w:rsidRPr="004F5E1A">
        <w:rPr>
          <w:rFonts w:ascii="Palatino Linotype" w:eastAsiaTheme="minorEastAsia" w:hAnsi="Palatino Linotype" w:cs="Arial"/>
          <w:sz w:val="22"/>
          <w:szCs w:val="22"/>
          <w:lang w:val="es-ES_tradnl"/>
        </w:rPr>
        <w:t>.</w:t>
      </w:r>
    </w:p>
    <w:p w14:paraId="09FAAAD7" w14:textId="77777777" w:rsidR="00651921" w:rsidRPr="004F5E1A" w:rsidRDefault="00651921" w:rsidP="00AD61EF">
      <w:pPr>
        <w:spacing w:line="360" w:lineRule="auto"/>
        <w:jc w:val="both"/>
        <w:rPr>
          <w:rFonts w:ascii="Palatino Linotype" w:eastAsiaTheme="minorEastAsia" w:hAnsi="Palatino Linotype" w:cs="Arial"/>
          <w:sz w:val="22"/>
          <w:szCs w:val="22"/>
          <w:lang w:val="es-ES_tradnl"/>
        </w:rPr>
      </w:pPr>
    </w:p>
    <w:p w14:paraId="5866F01C" w14:textId="77703534" w:rsidR="003118F1" w:rsidRPr="00DD22C4" w:rsidRDefault="00721230" w:rsidP="00221864">
      <w:pPr>
        <w:pStyle w:val="Prrafodelista"/>
        <w:spacing w:line="360" w:lineRule="auto"/>
        <w:ind w:left="0"/>
        <w:contextualSpacing/>
        <w:jc w:val="both"/>
        <w:rPr>
          <w:rFonts w:ascii="Palatino Linotype" w:hAnsi="Palatino Linotype" w:cs="Arial"/>
          <w:b/>
          <w:sz w:val="22"/>
          <w:szCs w:val="22"/>
        </w:rPr>
      </w:pPr>
      <w:r w:rsidRPr="00DD22C4">
        <w:rPr>
          <w:rFonts w:ascii="Palatino Linotype" w:hAnsi="Palatino Linotype" w:cs="Arial"/>
          <w:b/>
          <w:sz w:val="22"/>
          <w:szCs w:val="22"/>
        </w:rPr>
        <w:t xml:space="preserve">CUARTO. Procedibilidad. </w:t>
      </w:r>
    </w:p>
    <w:p w14:paraId="26B60CD8" w14:textId="6E60C086" w:rsidR="00651921" w:rsidRDefault="00651921" w:rsidP="00221864">
      <w:pPr>
        <w:pStyle w:val="Prrafodelista"/>
        <w:spacing w:line="360" w:lineRule="auto"/>
        <w:ind w:left="0"/>
        <w:contextualSpacing/>
        <w:jc w:val="both"/>
        <w:rPr>
          <w:rFonts w:ascii="Palatino Linotype" w:hAnsi="Palatino Linotype" w:cs="Arial"/>
          <w:b/>
        </w:rPr>
      </w:pPr>
    </w:p>
    <w:p w14:paraId="222B0780" w14:textId="77777777" w:rsidR="00651921" w:rsidRPr="00AD61EF" w:rsidRDefault="00651921" w:rsidP="00AD61EF">
      <w:pPr>
        <w:autoSpaceDE w:val="0"/>
        <w:autoSpaceDN w:val="0"/>
        <w:adjustRightInd w:val="0"/>
        <w:spacing w:line="360" w:lineRule="auto"/>
        <w:jc w:val="both"/>
        <w:rPr>
          <w:rFonts w:ascii="Palatino Linotype" w:hAnsi="Palatino Linotype" w:cs="Tahoma"/>
          <w:sz w:val="22"/>
          <w:szCs w:val="22"/>
          <w:lang w:val="es-ES"/>
        </w:rPr>
      </w:pPr>
      <w:r w:rsidRPr="00AD61EF">
        <w:rPr>
          <w:rFonts w:ascii="Palatino Linotype" w:hAnsi="Palatino Linotype" w:cs="Tahoma"/>
          <w:sz w:val="22"/>
          <w:szCs w:val="22"/>
          <w:lang w:val="es-ES"/>
        </w:rPr>
        <w:t xml:space="preserve">De las constancias que forma parte del Recurso de Revisión que se analiza, se advierte que previo al estudio del fondo de la </w:t>
      </w:r>
      <w:r w:rsidRPr="00AD61EF">
        <w:rPr>
          <w:rFonts w:ascii="Palatino Linotype" w:hAnsi="Palatino Linotype" w:cs="Tahoma"/>
          <w:i/>
          <w:sz w:val="22"/>
          <w:szCs w:val="22"/>
          <w:lang w:val="es-ES"/>
        </w:rPr>
        <w:t>litis</w:t>
      </w:r>
      <w:r w:rsidRPr="00AD61EF">
        <w:rPr>
          <w:rFonts w:ascii="Palatino Linotype" w:hAnsi="Palatino Linotype" w:cs="Tahoma"/>
          <w:sz w:val="22"/>
          <w:szCs w:val="22"/>
          <w:lang w:val="es-ES"/>
        </w:rPr>
        <w:t>, es necesario estudiar las causales de improcedencia y sobreseimiento que se adviertan, para determinar lo que en Derecho proceda.</w:t>
      </w:r>
    </w:p>
    <w:p w14:paraId="67CB7AAF" w14:textId="77777777" w:rsidR="00651921" w:rsidRPr="00AD61EF" w:rsidRDefault="00651921" w:rsidP="00AD61EF">
      <w:pPr>
        <w:autoSpaceDE w:val="0"/>
        <w:autoSpaceDN w:val="0"/>
        <w:adjustRightInd w:val="0"/>
        <w:spacing w:line="360" w:lineRule="auto"/>
        <w:jc w:val="both"/>
        <w:rPr>
          <w:rFonts w:ascii="Palatino Linotype" w:hAnsi="Palatino Linotype" w:cs="Tahoma"/>
          <w:sz w:val="22"/>
          <w:szCs w:val="22"/>
          <w:lang w:val="es-ES"/>
        </w:rPr>
      </w:pPr>
    </w:p>
    <w:p w14:paraId="042E8CD4" w14:textId="77777777" w:rsidR="00651921" w:rsidRPr="00AD61EF" w:rsidRDefault="00651921" w:rsidP="00AD61EF">
      <w:pPr>
        <w:spacing w:line="360" w:lineRule="auto"/>
        <w:jc w:val="both"/>
        <w:rPr>
          <w:rFonts w:ascii="Palatino Linotype" w:hAnsi="Palatino Linotype"/>
          <w:b/>
          <w:sz w:val="22"/>
          <w:szCs w:val="22"/>
          <w:lang w:val="es-ES"/>
        </w:rPr>
      </w:pPr>
      <w:r w:rsidRPr="00AD61EF">
        <w:rPr>
          <w:rFonts w:ascii="Palatino Linotype" w:hAnsi="Palatino Linotype"/>
          <w:b/>
          <w:sz w:val="22"/>
          <w:szCs w:val="22"/>
          <w:lang w:val="es-ES"/>
        </w:rPr>
        <w:t>Causales de improcedencia</w:t>
      </w:r>
    </w:p>
    <w:p w14:paraId="08DD6128" w14:textId="77777777" w:rsidR="00651921" w:rsidRPr="00AD61EF" w:rsidRDefault="00651921" w:rsidP="00AD61EF">
      <w:pPr>
        <w:spacing w:line="360" w:lineRule="auto"/>
        <w:jc w:val="both"/>
        <w:rPr>
          <w:rFonts w:ascii="Palatino Linotype" w:hAnsi="Palatino Linotype"/>
          <w:sz w:val="22"/>
          <w:szCs w:val="22"/>
        </w:rPr>
      </w:pPr>
    </w:p>
    <w:p w14:paraId="2FE50197" w14:textId="77777777" w:rsidR="00651921" w:rsidRPr="00AD61EF" w:rsidRDefault="00651921" w:rsidP="00AD61EF">
      <w:pPr>
        <w:spacing w:line="360" w:lineRule="auto"/>
        <w:jc w:val="both"/>
        <w:rPr>
          <w:rFonts w:ascii="Palatino Linotype" w:hAnsi="Palatino Linotype" w:cs="Tahoma"/>
          <w:sz w:val="22"/>
          <w:szCs w:val="22"/>
        </w:rPr>
      </w:pPr>
      <w:r w:rsidRPr="00AD61EF">
        <w:rPr>
          <w:rFonts w:ascii="Palatino Linotype" w:hAnsi="Palatino Linotype" w:cs="Tahoma"/>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7F7AD152" w14:textId="77777777" w:rsidR="00651921" w:rsidRPr="00AD61EF" w:rsidRDefault="00651921" w:rsidP="00AD61EF">
      <w:pPr>
        <w:spacing w:line="360" w:lineRule="auto"/>
        <w:jc w:val="both"/>
        <w:rPr>
          <w:rFonts w:ascii="Palatino Linotype" w:hAnsi="Palatino Linotype" w:cs="Tahoma"/>
          <w:sz w:val="22"/>
          <w:szCs w:val="22"/>
        </w:rPr>
      </w:pPr>
    </w:p>
    <w:p w14:paraId="25BD4455" w14:textId="77777777" w:rsidR="00651921" w:rsidRPr="00AD61EF" w:rsidRDefault="00651921" w:rsidP="00AD61EF">
      <w:pPr>
        <w:spacing w:line="360" w:lineRule="auto"/>
        <w:jc w:val="both"/>
        <w:rPr>
          <w:rFonts w:ascii="Palatino Linotype" w:hAnsi="Palatino Linotype" w:cs="Tahoma"/>
          <w:sz w:val="22"/>
          <w:szCs w:val="22"/>
        </w:rPr>
      </w:pPr>
      <w:r w:rsidRPr="00AD61EF">
        <w:rPr>
          <w:rFonts w:ascii="Palatino Linotype" w:hAnsi="Palatino Linotype" w:cs="Tahoma"/>
          <w:sz w:val="22"/>
          <w:szCs w:val="22"/>
        </w:rPr>
        <w:t>En el presente caso, </w:t>
      </w:r>
      <w:r w:rsidRPr="00AD61EF">
        <w:rPr>
          <w:rFonts w:ascii="Palatino Linotype" w:hAnsi="Palatino Linotype" w:cs="Tahoma"/>
          <w:b/>
          <w:bCs/>
          <w:sz w:val="22"/>
          <w:szCs w:val="22"/>
        </w:rPr>
        <w:t>no se actualiza ninguna de las causales de improcedencia</w:t>
      </w:r>
      <w:r w:rsidRPr="00AD61EF">
        <w:rPr>
          <w:rFonts w:ascii="Palatino Linotype" w:hAnsi="Palatino Linotype" w:cs="Tahoma"/>
          <w:sz w:val="22"/>
          <w:szCs w:val="22"/>
        </w:rPr>
        <w:t> establecidas en el ordenamiento jurídico previamente señalado, toda vez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68F328FF" w14:textId="77777777" w:rsidR="00651921" w:rsidRPr="00AD61EF" w:rsidRDefault="00651921" w:rsidP="00AD61EF">
      <w:pPr>
        <w:spacing w:line="360" w:lineRule="auto"/>
        <w:jc w:val="both"/>
        <w:rPr>
          <w:rFonts w:ascii="Palatino Linotype" w:hAnsi="Palatino Linotype" w:cs="Tahoma"/>
          <w:sz w:val="22"/>
          <w:szCs w:val="22"/>
        </w:rPr>
      </w:pPr>
    </w:p>
    <w:p w14:paraId="6EC5A573" w14:textId="77777777" w:rsidR="00651921" w:rsidRPr="00AD61EF" w:rsidRDefault="00651921" w:rsidP="00AD61EF">
      <w:pPr>
        <w:spacing w:line="360" w:lineRule="auto"/>
        <w:jc w:val="both"/>
        <w:rPr>
          <w:rFonts w:ascii="Palatino Linotype" w:hAnsi="Palatino Linotype" w:cs="Tahoma"/>
          <w:bCs/>
          <w:color w:val="0D0D0D" w:themeColor="text1" w:themeTint="F2"/>
          <w:sz w:val="22"/>
          <w:szCs w:val="22"/>
        </w:rPr>
      </w:pPr>
      <w:r w:rsidRPr="00AD61EF">
        <w:rPr>
          <w:rFonts w:ascii="Palatino Linotype" w:hAnsi="Palatino Linotype" w:cs="Tahoma"/>
          <w:b/>
          <w:bCs/>
          <w:color w:val="0D0D0D" w:themeColor="text1" w:themeTint="F2"/>
          <w:sz w:val="22"/>
          <w:szCs w:val="22"/>
        </w:rPr>
        <w:t>Causales de sobreseimiento.</w:t>
      </w:r>
    </w:p>
    <w:p w14:paraId="2F690EB6" w14:textId="77777777" w:rsidR="00651921" w:rsidRPr="00AD61EF" w:rsidRDefault="00651921" w:rsidP="00AD61EF">
      <w:pPr>
        <w:spacing w:line="360" w:lineRule="auto"/>
        <w:jc w:val="both"/>
        <w:rPr>
          <w:rFonts w:ascii="Palatino Linotype" w:hAnsi="Palatino Linotype" w:cs="Tahoma"/>
          <w:bCs/>
          <w:color w:val="0D0D0D" w:themeColor="text1" w:themeTint="F2"/>
          <w:sz w:val="22"/>
          <w:szCs w:val="22"/>
        </w:rPr>
      </w:pPr>
    </w:p>
    <w:p w14:paraId="6C661F2D" w14:textId="77777777" w:rsidR="00651921" w:rsidRPr="00AD61EF" w:rsidRDefault="00651921" w:rsidP="00AD61EF">
      <w:pPr>
        <w:spacing w:line="360" w:lineRule="auto"/>
        <w:jc w:val="both"/>
        <w:rPr>
          <w:rFonts w:ascii="Palatino Linotype" w:hAnsi="Palatino Linotype" w:cs="Tahoma"/>
          <w:bCs/>
          <w:color w:val="0D0D0D" w:themeColor="text1" w:themeTint="F2"/>
          <w:sz w:val="22"/>
          <w:szCs w:val="22"/>
        </w:rPr>
      </w:pPr>
      <w:r w:rsidRPr="00AD61EF">
        <w:rPr>
          <w:rFonts w:ascii="Palatino Linotype" w:hAnsi="Palatino Linotype" w:cs="Tahoma"/>
          <w:bCs/>
          <w:color w:val="0D0D0D" w:themeColor="text1" w:themeTint="F2"/>
          <w:sz w:val="22"/>
          <w:szCs w:val="22"/>
        </w:rPr>
        <w:t>Por ser de previo y especial pronunciamiento, este Instituto analiza si se actualiza alguna causal de sobreseimiento.</w:t>
      </w:r>
    </w:p>
    <w:p w14:paraId="24C6F0FE" w14:textId="77777777" w:rsidR="00651921" w:rsidRPr="00AD61EF" w:rsidRDefault="00651921" w:rsidP="00AD61EF">
      <w:pPr>
        <w:spacing w:line="360" w:lineRule="auto"/>
        <w:jc w:val="both"/>
        <w:rPr>
          <w:rFonts w:ascii="Palatino Linotype" w:hAnsi="Palatino Linotype" w:cs="Tahoma"/>
          <w:bCs/>
          <w:color w:val="0D0D0D" w:themeColor="text1" w:themeTint="F2"/>
          <w:sz w:val="22"/>
          <w:szCs w:val="22"/>
        </w:rPr>
      </w:pPr>
    </w:p>
    <w:p w14:paraId="7F180C9F" w14:textId="77777777" w:rsidR="00651921" w:rsidRPr="00AD61EF" w:rsidRDefault="00651921" w:rsidP="00AD61EF">
      <w:pPr>
        <w:spacing w:line="360" w:lineRule="auto"/>
        <w:jc w:val="both"/>
        <w:rPr>
          <w:rFonts w:ascii="Palatino Linotype" w:hAnsi="Palatino Linotype" w:cs="Tahoma"/>
          <w:sz w:val="22"/>
          <w:szCs w:val="22"/>
        </w:rPr>
      </w:pPr>
      <w:r w:rsidRPr="00AD61EF">
        <w:rPr>
          <w:rFonts w:ascii="Palatino Linotype" w:hAnsi="Palatino Linotype" w:cs="Tahoma"/>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Recurrente se haya desistido del recurso, haya fallecido, sobreviniera alguna causal de improcedencia, que el Sujeto Obligado hubiese modificado o revocado el acto impugnado o bien, haya quedado sin materia.</w:t>
      </w:r>
    </w:p>
    <w:p w14:paraId="58A9337C" w14:textId="77777777" w:rsidR="00651921" w:rsidRPr="00AD61EF" w:rsidRDefault="00651921" w:rsidP="00AD61EF">
      <w:pPr>
        <w:spacing w:line="360" w:lineRule="auto"/>
        <w:jc w:val="both"/>
        <w:rPr>
          <w:rFonts w:ascii="Palatino Linotype" w:hAnsi="Palatino Linotype" w:cs="Tahoma"/>
          <w:sz w:val="22"/>
          <w:szCs w:val="22"/>
        </w:rPr>
      </w:pPr>
    </w:p>
    <w:p w14:paraId="6E290279" w14:textId="77777777" w:rsidR="00651921" w:rsidRPr="00AD61EF" w:rsidRDefault="00651921" w:rsidP="00AD61EF">
      <w:pPr>
        <w:spacing w:line="360" w:lineRule="auto"/>
        <w:jc w:val="both"/>
        <w:rPr>
          <w:rFonts w:ascii="Palatino Linotype" w:hAnsi="Palatino Linotype" w:cs="Tahoma"/>
          <w:bCs/>
          <w:color w:val="0D0D0D" w:themeColor="text1" w:themeTint="F2"/>
          <w:sz w:val="22"/>
          <w:szCs w:val="22"/>
        </w:rPr>
      </w:pPr>
      <w:r w:rsidRPr="00AD61EF">
        <w:rPr>
          <w:rFonts w:ascii="Palatino Linotype" w:hAnsi="Palatino Linotype" w:cs="Tahoma"/>
          <w:bCs/>
          <w:color w:val="0D0D0D" w:themeColor="text1" w:themeTint="F2"/>
          <w:sz w:val="22"/>
          <w:szCs w:val="22"/>
        </w:rPr>
        <w:t xml:space="preserve">Por tales motivos, se considera procedente entrar al fondo del presente asunto. </w:t>
      </w:r>
    </w:p>
    <w:p w14:paraId="10C6CED1" w14:textId="77777777" w:rsidR="00651921" w:rsidRPr="000A71AD" w:rsidRDefault="00651921" w:rsidP="00221864">
      <w:pPr>
        <w:pStyle w:val="Prrafodelista"/>
        <w:spacing w:line="360" w:lineRule="auto"/>
        <w:ind w:left="0"/>
        <w:contextualSpacing/>
        <w:jc w:val="both"/>
        <w:rPr>
          <w:rFonts w:ascii="Palatino Linotype" w:hAnsi="Palatino Linotype" w:cs="Arial"/>
          <w:b/>
        </w:rPr>
      </w:pPr>
    </w:p>
    <w:p w14:paraId="74645E95" w14:textId="5CE5CD1C" w:rsidR="00997BF3" w:rsidRPr="00DD22C4" w:rsidRDefault="00721230" w:rsidP="00221864">
      <w:pPr>
        <w:widowControl w:val="0"/>
        <w:autoSpaceDE w:val="0"/>
        <w:autoSpaceDN w:val="0"/>
        <w:adjustRightInd w:val="0"/>
        <w:spacing w:line="360" w:lineRule="auto"/>
        <w:jc w:val="both"/>
        <w:rPr>
          <w:rFonts w:ascii="Palatino Linotype" w:hAnsi="Palatino Linotype" w:cs="Arial"/>
          <w:b/>
          <w:color w:val="000000" w:themeColor="text1"/>
          <w:sz w:val="22"/>
          <w:szCs w:val="22"/>
        </w:rPr>
      </w:pPr>
      <w:bookmarkStart w:id="4" w:name="_Ref3465962"/>
      <w:r w:rsidRPr="00DD22C4">
        <w:rPr>
          <w:rFonts w:ascii="Palatino Linotype" w:hAnsi="Palatino Linotype" w:cs="Arial"/>
          <w:b/>
          <w:sz w:val="22"/>
          <w:szCs w:val="22"/>
        </w:rPr>
        <w:t>QUINTO</w:t>
      </w:r>
      <w:r w:rsidRPr="00DD22C4">
        <w:rPr>
          <w:rFonts w:ascii="Palatino Linotype" w:hAnsi="Palatino Linotype" w:cs="Arial"/>
          <w:sz w:val="22"/>
          <w:szCs w:val="22"/>
        </w:rPr>
        <w:t xml:space="preserve">. </w:t>
      </w:r>
      <w:r w:rsidRPr="00DD22C4">
        <w:rPr>
          <w:rFonts w:ascii="Palatino Linotype" w:hAnsi="Palatino Linotype" w:cs="Arial"/>
          <w:b/>
          <w:sz w:val="22"/>
          <w:szCs w:val="22"/>
        </w:rPr>
        <w:t>Estudio y resolución del recurso</w:t>
      </w:r>
      <w:r w:rsidRPr="00DD22C4">
        <w:rPr>
          <w:rFonts w:ascii="Palatino Linotype" w:hAnsi="Palatino Linotype" w:cs="Arial"/>
          <w:b/>
          <w:color w:val="000000" w:themeColor="text1"/>
          <w:sz w:val="22"/>
          <w:szCs w:val="22"/>
        </w:rPr>
        <w:t xml:space="preserve">. </w:t>
      </w:r>
    </w:p>
    <w:p w14:paraId="76FA97E4" w14:textId="77777777" w:rsidR="00651921" w:rsidRPr="006E07BB" w:rsidRDefault="00651921" w:rsidP="00AD61EF">
      <w:pPr>
        <w:widowControl w:val="0"/>
        <w:autoSpaceDE w:val="0"/>
        <w:autoSpaceDN w:val="0"/>
        <w:adjustRightInd w:val="0"/>
        <w:spacing w:line="360" w:lineRule="auto"/>
        <w:jc w:val="both"/>
        <w:rPr>
          <w:rFonts w:ascii="Palatino Linotype" w:hAnsi="Palatino Linotype" w:cs="Arial"/>
          <w:b/>
          <w:color w:val="000000" w:themeColor="text1"/>
        </w:rPr>
      </w:pPr>
    </w:p>
    <w:p w14:paraId="498D5FCF" w14:textId="12D2EC69" w:rsidR="00997BF3" w:rsidRDefault="00997BF3" w:rsidP="00221864">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6E07BB">
        <w:rPr>
          <w:rFonts w:ascii="Palatino Linotype" w:eastAsia="Palatino Linotype" w:hAnsi="Palatino Linotype" w:cs="Palatino Linotype"/>
          <w:color w:val="000000"/>
          <w:sz w:val="22"/>
          <w:szCs w:val="22"/>
        </w:rPr>
        <w:t xml:space="preserve">El presente análisis y la emisión de la </w:t>
      </w:r>
      <w:r w:rsidR="00651921">
        <w:rPr>
          <w:rFonts w:ascii="Palatino Linotype" w:eastAsia="Palatino Linotype" w:hAnsi="Palatino Linotype" w:cs="Palatino Linotype"/>
          <w:color w:val="000000"/>
          <w:sz w:val="22"/>
          <w:szCs w:val="22"/>
        </w:rPr>
        <w:t>R</w:t>
      </w:r>
      <w:r w:rsidR="00651921" w:rsidRPr="006E07BB">
        <w:rPr>
          <w:rFonts w:ascii="Palatino Linotype" w:eastAsia="Palatino Linotype" w:hAnsi="Palatino Linotype" w:cs="Palatino Linotype"/>
          <w:color w:val="000000"/>
          <w:sz w:val="22"/>
          <w:szCs w:val="22"/>
        </w:rPr>
        <w:t xml:space="preserve">esolución </w:t>
      </w:r>
      <w:r w:rsidRPr="006E07BB">
        <w:rPr>
          <w:rFonts w:ascii="Palatino Linotype" w:eastAsia="Palatino Linotype" w:hAnsi="Palatino Linotype" w:cs="Palatino Linotype"/>
          <w:color w:val="000000"/>
          <w:sz w:val="22"/>
          <w:szCs w:val="22"/>
        </w:rPr>
        <w:t>se fundan en el contenido íntegro de las actuaciones que obran en los expedientes electrónicos d</w:t>
      </w:r>
      <w:r w:rsidR="00651921">
        <w:rPr>
          <w:rFonts w:ascii="Palatino Linotype" w:eastAsia="Palatino Linotype" w:hAnsi="Palatino Linotype" w:cs="Palatino Linotype"/>
          <w:color w:val="000000"/>
          <w:sz w:val="22"/>
          <w:szCs w:val="22"/>
        </w:rPr>
        <w:t xml:space="preserve">e </w:t>
      </w:r>
      <w:r w:rsidR="00651921" w:rsidRPr="00AD61EF">
        <w:rPr>
          <w:rFonts w:ascii="Palatino Linotype" w:eastAsia="Palatino Linotype" w:hAnsi="Palatino Linotype" w:cs="Palatino Linotype"/>
          <w:b/>
          <w:bCs/>
          <w:color w:val="000000"/>
          <w:sz w:val="22"/>
          <w:szCs w:val="22"/>
        </w:rPr>
        <w:t>EL</w:t>
      </w:r>
      <w:r w:rsidR="00651921" w:rsidRPr="006E07BB">
        <w:rPr>
          <w:rFonts w:ascii="Palatino Linotype" w:eastAsia="Palatino Linotype" w:hAnsi="Palatino Linotype" w:cs="Palatino Linotype"/>
          <w:color w:val="000000"/>
          <w:sz w:val="22"/>
          <w:szCs w:val="22"/>
        </w:rPr>
        <w:t xml:space="preserve"> </w:t>
      </w:r>
      <w:r w:rsidRPr="006E07BB">
        <w:rPr>
          <w:rFonts w:ascii="Palatino Linotype" w:eastAsia="Palatino Linotype" w:hAnsi="Palatino Linotype" w:cs="Palatino Linotype"/>
          <w:b/>
          <w:color w:val="000000"/>
          <w:sz w:val="22"/>
          <w:szCs w:val="22"/>
        </w:rPr>
        <w:t>SAIMEX</w:t>
      </w:r>
      <w:r w:rsidRPr="006E07BB">
        <w:rPr>
          <w:rFonts w:ascii="Palatino Linotype" w:eastAsia="Palatino Linotype" w:hAnsi="Palatino Linotype" w:cs="Palatino Linotype"/>
          <w:color w:val="000000"/>
          <w:sz w:val="22"/>
          <w:szCs w:val="22"/>
        </w:rPr>
        <w:t xml:space="preserve">, ello con la finalidad de que este </w:t>
      </w:r>
      <w:r w:rsidR="00651921">
        <w:rPr>
          <w:rFonts w:ascii="Palatino Linotype" w:eastAsia="Palatino Linotype" w:hAnsi="Palatino Linotype" w:cs="Palatino Linotype"/>
          <w:color w:val="000000"/>
          <w:sz w:val="22"/>
          <w:szCs w:val="22"/>
        </w:rPr>
        <w:t>Organismo</w:t>
      </w:r>
      <w:r w:rsidRPr="006E07BB">
        <w:rPr>
          <w:rFonts w:ascii="Palatino Linotype" w:eastAsia="Palatino Linotype" w:hAnsi="Palatino Linotype" w:cs="Palatino Linotype"/>
          <w:color w:val="000000"/>
          <w:sz w:val="22"/>
          <w:szCs w:val="22"/>
        </w:rPr>
        <w:t xml:space="preserve"> Garante se encuentre en la posibilidad de dictar el fallo correspondiente y conforme a derecho, tomando en consideración los elementos aportados por las partes y respetando en todo momento el principio de máxima publicidad consagrado en nuestra legislación </w:t>
      </w:r>
      <w:r w:rsidR="00B85E89" w:rsidRPr="006E07BB">
        <w:rPr>
          <w:rFonts w:ascii="Palatino Linotype" w:eastAsia="Palatino Linotype" w:hAnsi="Palatino Linotype" w:cs="Palatino Linotype"/>
          <w:color w:val="000000"/>
          <w:sz w:val="22"/>
          <w:szCs w:val="22"/>
        </w:rPr>
        <w:t>mexicana</w:t>
      </w:r>
      <w:r w:rsidRPr="006E07BB">
        <w:rPr>
          <w:rFonts w:ascii="Palatino Linotype" w:eastAsia="Palatino Linotype" w:hAnsi="Palatino Linotype" w:cs="Palatino Linotype"/>
          <w:color w:val="000000"/>
          <w:sz w:val="22"/>
          <w:szCs w:val="22"/>
        </w:rPr>
        <w:t>.</w:t>
      </w:r>
    </w:p>
    <w:p w14:paraId="30E30C4A" w14:textId="77777777" w:rsidR="00651921" w:rsidRDefault="00651921" w:rsidP="00AD61EF">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0DEA8D93" w14:textId="661E9E2A" w:rsidR="00E86CE4" w:rsidRDefault="008956B8" w:rsidP="00221864">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Derivado de</w:t>
      </w:r>
      <w:r w:rsidR="00E86CE4">
        <w:rPr>
          <w:rFonts w:ascii="Palatino Linotype" w:eastAsia="Palatino Linotype" w:hAnsi="Palatino Linotype" w:cs="Palatino Linotype"/>
          <w:color w:val="000000"/>
          <w:sz w:val="22"/>
          <w:szCs w:val="22"/>
        </w:rPr>
        <w:t xml:space="preserve"> lo anterior, es necesario recordar en que consistieron los requerimientos de la particular a </w:t>
      </w:r>
      <w:r w:rsidR="00651921" w:rsidRPr="00AD61EF">
        <w:rPr>
          <w:rFonts w:ascii="Palatino Linotype" w:eastAsia="Palatino Linotype" w:hAnsi="Palatino Linotype" w:cs="Palatino Linotype"/>
          <w:b/>
          <w:bCs/>
          <w:color w:val="000000"/>
          <w:sz w:val="22"/>
          <w:szCs w:val="22"/>
        </w:rPr>
        <w:t>EL</w:t>
      </w:r>
      <w:r w:rsidR="00651921">
        <w:rPr>
          <w:rFonts w:ascii="Palatino Linotype" w:eastAsia="Palatino Linotype" w:hAnsi="Palatino Linotype" w:cs="Palatino Linotype"/>
          <w:color w:val="000000"/>
          <w:sz w:val="22"/>
          <w:szCs w:val="22"/>
        </w:rPr>
        <w:t xml:space="preserve"> </w:t>
      </w:r>
      <w:r w:rsidR="00E86CE4">
        <w:rPr>
          <w:rFonts w:ascii="Palatino Linotype" w:eastAsia="Palatino Linotype" w:hAnsi="Palatino Linotype" w:cs="Palatino Linotype"/>
          <w:b/>
          <w:color w:val="000000"/>
          <w:sz w:val="22"/>
          <w:szCs w:val="22"/>
        </w:rPr>
        <w:t xml:space="preserve">SUJETO OBLIGADO </w:t>
      </w:r>
      <w:r w:rsidR="00E86CE4">
        <w:rPr>
          <w:rFonts w:ascii="Palatino Linotype" w:eastAsia="Palatino Linotype" w:hAnsi="Palatino Linotype" w:cs="Palatino Linotype"/>
          <w:color w:val="000000"/>
          <w:sz w:val="22"/>
          <w:szCs w:val="22"/>
        </w:rPr>
        <w:t>para determinar la materia de estudio del presente asunto:</w:t>
      </w:r>
    </w:p>
    <w:p w14:paraId="48FEE4E2" w14:textId="77777777" w:rsidR="00651921" w:rsidRDefault="00651921" w:rsidP="00AD61EF">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099124B2" w14:textId="0A85E7FE" w:rsidR="00B85E89" w:rsidRDefault="00E86CE4" w:rsidP="00DD22C4">
      <w:pPr>
        <w:pBdr>
          <w:top w:val="nil"/>
          <w:left w:val="nil"/>
          <w:bottom w:val="nil"/>
          <w:right w:val="nil"/>
          <w:between w:val="nil"/>
        </w:pBdr>
        <w:spacing w:line="360" w:lineRule="auto"/>
        <w:ind w:left="567"/>
        <w:jc w:val="both"/>
        <w:rPr>
          <w:rFonts w:ascii="Palatino Linotype" w:eastAsia="Palatino Linotype" w:hAnsi="Palatino Linotype" w:cs="Palatino Linotype"/>
          <w:color w:val="000000"/>
          <w:sz w:val="22"/>
          <w:szCs w:val="22"/>
        </w:rPr>
      </w:pPr>
      <w:r w:rsidRPr="00417AFC">
        <w:rPr>
          <w:rFonts w:ascii="Palatino Linotype" w:eastAsia="Palatino Linotype" w:hAnsi="Palatino Linotype" w:cs="Palatino Linotype"/>
          <w:color w:val="000000"/>
          <w:sz w:val="22"/>
          <w:szCs w:val="22"/>
        </w:rPr>
        <w:t xml:space="preserve">1. </w:t>
      </w:r>
      <w:r w:rsidR="00102B07">
        <w:rPr>
          <w:rFonts w:ascii="Palatino Linotype" w:eastAsia="Palatino Linotype" w:hAnsi="Palatino Linotype" w:cs="Palatino Linotype"/>
          <w:color w:val="000000"/>
          <w:sz w:val="22"/>
          <w:szCs w:val="22"/>
        </w:rPr>
        <w:t>S</w:t>
      </w:r>
      <w:r w:rsidR="008956B8" w:rsidRPr="00417AFC">
        <w:rPr>
          <w:rFonts w:ascii="Palatino Linotype" w:eastAsia="Palatino Linotype" w:hAnsi="Palatino Linotype" w:cs="Palatino Linotype"/>
          <w:color w:val="000000"/>
          <w:sz w:val="22"/>
          <w:szCs w:val="22"/>
        </w:rPr>
        <w:t>anciones aplicadas durante el periodo comprendido del 1</w:t>
      </w:r>
      <w:r w:rsidR="00102B07">
        <w:rPr>
          <w:rFonts w:ascii="Palatino Linotype" w:eastAsia="Palatino Linotype" w:hAnsi="Palatino Linotype" w:cs="Palatino Linotype"/>
          <w:color w:val="000000"/>
          <w:sz w:val="22"/>
          <w:szCs w:val="22"/>
        </w:rPr>
        <w:t>°</w:t>
      </w:r>
      <w:r w:rsidR="008956B8" w:rsidRPr="00417AFC">
        <w:rPr>
          <w:rFonts w:ascii="Palatino Linotype" w:eastAsia="Palatino Linotype" w:hAnsi="Palatino Linotype" w:cs="Palatino Linotype"/>
          <w:color w:val="000000"/>
          <w:sz w:val="22"/>
          <w:szCs w:val="22"/>
        </w:rPr>
        <w:t xml:space="preserve"> de enero de 2018 al 16 de noviembre de 2021, </w:t>
      </w:r>
      <w:r w:rsidR="00102B07">
        <w:rPr>
          <w:rFonts w:ascii="Palatino Linotype" w:eastAsia="Palatino Linotype" w:hAnsi="Palatino Linotype" w:cs="Palatino Linotype"/>
          <w:color w:val="000000"/>
          <w:sz w:val="22"/>
          <w:szCs w:val="22"/>
        </w:rPr>
        <w:t>en donde se</w:t>
      </w:r>
      <w:r w:rsidR="00102B07" w:rsidRPr="00417AFC">
        <w:rPr>
          <w:rFonts w:ascii="Palatino Linotype" w:eastAsia="Palatino Linotype" w:hAnsi="Palatino Linotype" w:cs="Palatino Linotype"/>
          <w:color w:val="000000"/>
          <w:sz w:val="22"/>
          <w:szCs w:val="22"/>
        </w:rPr>
        <w:t xml:space="preserve"> señal</w:t>
      </w:r>
      <w:r w:rsidR="00102B07">
        <w:rPr>
          <w:rFonts w:ascii="Palatino Linotype" w:eastAsia="Palatino Linotype" w:hAnsi="Palatino Linotype" w:cs="Palatino Linotype"/>
          <w:color w:val="000000"/>
          <w:sz w:val="22"/>
          <w:szCs w:val="22"/>
        </w:rPr>
        <w:t>e</w:t>
      </w:r>
      <w:r w:rsidR="008956B8" w:rsidRPr="00417AFC">
        <w:rPr>
          <w:rFonts w:ascii="Palatino Linotype" w:eastAsia="Palatino Linotype" w:hAnsi="Palatino Linotype" w:cs="Palatino Linotype"/>
          <w:color w:val="000000"/>
          <w:sz w:val="22"/>
          <w:szCs w:val="22"/>
        </w:rPr>
        <w:t>, nombre, cargo y motivo de la sanción de los servidores p</w:t>
      </w:r>
      <w:r w:rsidR="00E77655" w:rsidRPr="00417AFC">
        <w:rPr>
          <w:rFonts w:ascii="Palatino Linotype" w:eastAsia="Palatino Linotype" w:hAnsi="Palatino Linotype" w:cs="Palatino Linotype"/>
          <w:color w:val="000000"/>
          <w:sz w:val="22"/>
          <w:szCs w:val="22"/>
        </w:rPr>
        <w:t>úbicos.</w:t>
      </w:r>
    </w:p>
    <w:p w14:paraId="0A3D720B" w14:textId="77777777" w:rsidR="00102B07" w:rsidRPr="00417AFC" w:rsidRDefault="00102B07" w:rsidP="00DD22C4">
      <w:pPr>
        <w:pBdr>
          <w:top w:val="nil"/>
          <w:left w:val="nil"/>
          <w:bottom w:val="nil"/>
          <w:right w:val="nil"/>
          <w:between w:val="nil"/>
        </w:pBdr>
        <w:spacing w:line="360" w:lineRule="auto"/>
        <w:ind w:left="567"/>
        <w:jc w:val="both"/>
        <w:rPr>
          <w:rFonts w:ascii="Palatino Linotype" w:eastAsia="Palatino Linotype" w:hAnsi="Palatino Linotype" w:cs="Palatino Linotype"/>
          <w:color w:val="000000"/>
          <w:sz w:val="22"/>
          <w:szCs w:val="22"/>
        </w:rPr>
      </w:pPr>
    </w:p>
    <w:p w14:paraId="12E6CAFC" w14:textId="007E47CB" w:rsidR="00E86CE4" w:rsidRDefault="00E86CE4" w:rsidP="00DD22C4">
      <w:pPr>
        <w:pBdr>
          <w:top w:val="nil"/>
          <w:left w:val="nil"/>
          <w:bottom w:val="nil"/>
          <w:right w:val="nil"/>
          <w:between w:val="nil"/>
        </w:pBdr>
        <w:spacing w:line="360" w:lineRule="auto"/>
        <w:ind w:left="567"/>
        <w:jc w:val="both"/>
        <w:rPr>
          <w:rFonts w:ascii="Palatino Linotype" w:eastAsia="Palatino Linotype" w:hAnsi="Palatino Linotype" w:cs="Palatino Linotype"/>
          <w:color w:val="000000"/>
          <w:sz w:val="22"/>
          <w:szCs w:val="22"/>
        </w:rPr>
      </w:pPr>
      <w:r w:rsidRPr="00417AFC">
        <w:rPr>
          <w:rFonts w:ascii="Palatino Linotype" w:eastAsia="Palatino Linotype" w:hAnsi="Palatino Linotype" w:cs="Palatino Linotype"/>
          <w:color w:val="000000"/>
          <w:sz w:val="22"/>
          <w:szCs w:val="22"/>
        </w:rPr>
        <w:t xml:space="preserve">2. </w:t>
      </w:r>
      <w:r w:rsidR="00102B07">
        <w:rPr>
          <w:rFonts w:ascii="Palatino Linotype" w:eastAsia="Palatino Linotype" w:hAnsi="Palatino Linotype" w:cs="Palatino Linotype"/>
          <w:color w:val="000000"/>
          <w:sz w:val="22"/>
          <w:szCs w:val="22"/>
        </w:rPr>
        <w:t>Q</w:t>
      </w:r>
      <w:r w:rsidRPr="00417AFC">
        <w:rPr>
          <w:rFonts w:ascii="Palatino Linotype" w:eastAsia="Palatino Linotype" w:hAnsi="Palatino Linotype" w:cs="Palatino Linotype"/>
          <w:color w:val="000000"/>
          <w:sz w:val="22"/>
          <w:szCs w:val="22"/>
        </w:rPr>
        <w:t>uejas y denuncias recibidas del 1 de enero de 2012 al 16 de noviembre de 2021.</w:t>
      </w:r>
    </w:p>
    <w:p w14:paraId="1121C975" w14:textId="77777777" w:rsidR="00102B07" w:rsidRPr="00417AFC" w:rsidRDefault="00102B07" w:rsidP="00AD61EF">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05EC8DBF" w14:textId="37F81554" w:rsidR="00E77655" w:rsidRDefault="00E77655" w:rsidP="00221864">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417AFC">
        <w:rPr>
          <w:rFonts w:ascii="Palatino Linotype" w:eastAsia="Palatino Linotype" w:hAnsi="Palatino Linotype" w:cs="Palatino Linotype"/>
          <w:color w:val="000000"/>
          <w:sz w:val="22"/>
          <w:szCs w:val="22"/>
        </w:rPr>
        <w:t>En</w:t>
      </w:r>
      <w:r w:rsidR="00E86CE4" w:rsidRPr="00417AFC">
        <w:rPr>
          <w:rFonts w:ascii="Palatino Linotype" w:eastAsia="Palatino Linotype" w:hAnsi="Palatino Linotype" w:cs="Palatino Linotype"/>
          <w:color w:val="000000"/>
          <w:sz w:val="22"/>
          <w:szCs w:val="22"/>
        </w:rPr>
        <w:t xml:space="preserve"> respuesta a </w:t>
      </w:r>
      <w:r w:rsidR="00102B07">
        <w:rPr>
          <w:rFonts w:ascii="Palatino Linotype" w:eastAsia="Palatino Linotype" w:hAnsi="Palatino Linotype" w:cs="Palatino Linotype"/>
          <w:color w:val="000000"/>
          <w:sz w:val="22"/>
          <w:szCs w:val="22"/>
        </w:rPr>
        <w:t>e</w:t>
      </w:r>
      <w:r w:rsidR="00E86CE4" w:rsidRPr="00417AFC">
        <w:rPr>
          <w:rFonts w:ascii="Palatino Linotype" w:eastAsia="Palatino Linotype" w:hAnsi="Palatino Linotype" w:cs="Palatino Linotype"/>
          <w:color w:val="000000"/>
          <w:sz w:val="22"/>
          <w:szCs w:val="22"/>
        </w:rPr>
        <w:t>stos</w:t>
      </w:r>
      <w:r w:rsidRPr="00417AFC">
        <w:rPr>
          <w:rFonts w:ascii="Palatino Linotype" w:eastAsia="Palatino Linotype" w:hAnsi="Palatino Linotype" w:cs="Palatino Linotype"/>
          <w:color w:val="000000"/>
          <w:sz w:val="22"/>
          <w:szCs w:val="22"/>
        </w:rPr>
        <w:t xml:space="preserve"> requerimiento</w:t>
      </w:r>
      <w:r w:rsidR="00E86CE4" w:rsidRPr="00417AFC">
        <w:rPr>
          <w:rFonts w:ascii="Palatino Linotype" w:eastAsia="Palatino Linotype" w:hAnsi="Palatino Linotype" w:cs="Palatino Linotype"/>
          <w:color w:val="000000"/>
          <w:sz w:val="22"/>
          <w:szCs w:val="22"/>
        </w:rPr>
        <w:t>s</w:t>
      </w:r>
      <w:r w:rsidRPr="00417AFC">
        <w:rPr>
          <w:rFonts w:ascii="Palatino Linotype" w:eastAsia="Palatino Linotype" w:hAnsi="Palatino Linotype" w:cs="Palatino Linotype"/>
          <w:color w:val="000000"/>
          <w:sz w:val="22"/>
          <w:szCs w:val="22"/>
        </w:rPr>
        <w:t xml:space="preserve"> </w:t>
      </w:r>
      <w:r w:rsidRPr="00417AFC">
        <w:rPr>
          <w:rFonts w:ascii="Palatino Linotype" w:eastAsia="Palatino Linotype" w:hAnsi="Palatino Linotype" w:cs="Palatino Linotype"/>
          <w:b/>
          <w:color w:val="000000"/>
          <w:sz w:val="22"/>
          <w:szCs w:val="22"/>
        </w:rPr>
        <w:t xml:space="preserve">EL SUJETO OBLIGADO </w:t>
      </w:r>
      <w:r w:rsidRPr="00417AFC">
        <w:rPr>
          <w:rFonts w:ascii="Palatino Linotype" w:eastAsia="Palatino Linotype" w:hAnsi="Palatino Linotype" w:cs="Palatino Linotype"/>
          <w:color w:val="000000"/>
          <w:sz w:val="22"/>
          <w:szCs w:val="22"/>
        </w:rPr>
        <w:t xml:space="preserve">le indicó a la </w:t>
      </w:r>
      <w:r w:rsidR="00102B07">
        <w:rPr>
          <w:rFonts w:ascii="Palatino Linotype" w:eastAsia="Palatino Linotype" w:hAnsi="Palatino Linotype" w:cs="Palatino Linotype"/>
          <w:color w:val="000000"/>
          <w:sz w:val="22"/>
          <w:szCs w:val="22"/>
        </w:rPr>
        <w:t>P</w:t>
      </w:r>
      <w:r w:rsidRPr="00417AFC">
        <w:rPr>
          <w:rFonts w:ascii="Palatino Linotype" w:eastAsia="Palatino Linotype" w:hAnsi="Palatino Linotype" w:cs="Palatino Linotype"/>
          <w:color w:val="000000"/>
          <w:sz w:val="22"/>
          <w:szCs w:val="22"/>
        </w:rPr>
        <w:t xml:space="preserve">articular que de conformidad con lo establecido en la Ley General de Responsabilidades Administrativas en su </w:t>
      </w:r>
      <w:r w:rsidR="000E6EEE" w:rsidRPr="00417AFC">
        <w:rPr>
          <w:rFonts w:ascii="Palatino Linotype" w:eastAsia="Palatino Linotype" w:hAnsi="Palatino Linotype" w:cs="Palatino Linotype"/>
          <w:color w:val="000000"/>
          <w:sz w:val="22"/>
          <w:szCs w:val="22"/>
        </w:rPr>
        <w:t>artículo</w:t>
      </w:r>
      <w:r w:rsidRPr="00417AFC">
        <w:rPr>
          <w:rFonts w:ascii="Palatino Linotype" w:eastAsia="Palatino Linotype" w:hAnsi="Palatino Linotype" w:cs="Palatino Linotype"/>
          <w:color w:val="000000"/>
          <w:sz w:val="22"/>
          <w:szCs w:val="22"/>
        </w:rPr>
        <w:t xml:space="preserve"> 59 no puede contratarse a personas que se encuentren impedidas legalmente o inhabilitadas por resolución de autoridad competente para ocupar un empleo, cargo o comisión dentro del servicio público</w:t>
      </w:r>
      <w:r w:rsidR="00102B07">
        <w:rPr>
          <w:rFonts w:ascii="Palatino Linotype" w:eastAsia="Palatino Linotype" w:hAnsi="Palatino Linotype" w:cs="Palatino Linotype"/>
          <w:color w:val="000000"/>
          <w:sz w:val="22"/>
          <w:szCs w:val="22"/>
        </w:rPr>
        <w:t xml:space="preserve"> y la orientó a </w:t>
      </w:r>
      <w:r w:rsidRPr="00417AFC">
        <w:rPr>
          <w:rFonts w:ascii="Palatino Linotype" w:eastAsia="Palatino Linotype" w:hAnsi="Palatino Linotype" w:cs="Palatino Linotype"/>
          <w:color w:val="000000"/>
          <w:sz w:val="22"/>
          <w:szCs w:val="22"/>
        </w:rPr>
        <w:t>revisar est</w:t>
      </w:r>
      <w:r w:rsidR="000E6EEE" w:rsidRPr="00417AFC">
        <w:rPr>
          <w:rFonts w:ascii="Palatino Linotype" w:eastAsia="Palatino Linotype" w:hAnsi="Palatino Linotype" w:cs="Palatino Linotype"/>
          <w:color w:val="000000"/>
          <w:sz w:val="22"/>
          <w:szCs w:val="22"/>
        </w:rPr>
        <w:t xml:space="preserve">a información </w:t>
      </w:r>
      <w:r w:rsidRPr="00417AFC">
        <w:rPr>
          <w:rFonts w:ascii="Palatino Linotype" w:eastAsia="Palatino Linotype" w:hAnsi="Palatino Linotype" w:cs="Palatino Linotype"/>
          <w:color w:val="000000"/>
          <w:sz w:val="22"/>
          <w:szCs w:val="22"/>
        </w:rPr>
        <w:t>en la Plataforma Digital Nacional</w:t>
      </w:r>
      <w:r w:rsidR="000E6EEE" w:rsidRPr="00417AFC">
        <w:rPr>
          <w:rFonts w:ascii="Palatino Linotype" w:eastAsia="Palatino Linotype" w:hAnsi="Palatino Linotype" w:cs="Palatino Linotype"/>
          <w:color w:val="000000"/>
          <w:sz w:val="22"/>
          <w:szCs w:val="22"/>
        </w:rPr>
        <w:t xml:space="preserve">, para lo cual </w:t>
      </w:r>
      <w:r w:rsidRPr="00417AFC">
        <w:rPr>
          <w:rFonts w:ascii="Palatino Linotype" w:eastAsia="Palatino Linotype" w:hAnsi="Palatino Linotype" w:cs="Palatino Linotype"/>
          <w:color w:val="000000"/>
          <w:sz w:val="22"/>
          <w:szCs w:val="22"/>
        </w:rPr>
        <w:t>proporcionó la liga electrónica siguiente: https://www.plataformadigitalnacional,org/sancionados.</w:t>
      </w:r>
    </w:p>
    <w:p w14:paraId="14D482B5" w14:textId="75802C85" w:rsidR="00E86CE4" w:rsidRDefault="00E86CE4" w:rsidP="00221864">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417AFC">
        <w:rPr>
          <w:rFonts w:ascii="Palatino Linotype" w:eastAsia="Palatino Linotype" w:hAnsi="Palatino Linotype" w:cs="Palatino Linotype"/>
          <w:color w:val="000000"/>
          <w:sz w:val="22"/>
          <w:szCs w:val="22"/>
        </w:rPr>
        <w:t>Mientras que en relación a las quejas y denuncias advirtió que al encontrarse en trámite podría causar un perjuicio al debido proceso, motivo por el cual se encontraba impedido para poder otorgar la información solicitada.</w:t>
      </w:r>
    </w:p>
    <w:p w14:paraId="5138DBFB" w14:textId="77777777" w:rsidR="00102B07" w:rsidRPr="00417AFC" w:rsidRDefault="00102B07" w:rsidP="00AD61EF">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78DAAB10" w14:textId="04DCCE0C" w:rsidR="00973C6B" w:rsidRDefault="00E77655" w:rsidP="00221864">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417AFC">
        <w:rPr>
          <w:rFonts w:ascii="Palatino Linotype" w:eastAsia="Palatino Linotype" w:hAnsi="Palatino Linotype" w:cs="Palatino Linotype"/>
          <w:color w:val="000000"/>
          <w:sz w:val="22"/>
          <w:szCs w:val="22"/>
        </w:rPr>
        <w:t>Inconforme con la</w:t>
      </w:r>
      <w:r w:rsidR="00E86CE4" w:rsidRPr="00417AFC">
        <w:rPr>
          <w:rFonts w:ascii="Palatino Linotype" w:eastAsia="Palatino Linotype" w:hAnsi="Palatino Linotype" w:cs="Palatino Linotype"/>
          <w:color w:val="000000"/>
          <w:sz w:val="22"/>
          <w:szCs w:val="22"/>
        </w:rPr>
        <w:t>s</w:t>
      </w:r>
      <w:r w:rsidRPr="00417AFC">
        <w:rPr>
          <w:rFonts w:ascii="Palatino Linotype" w:eastAsia="Palatino Linotype" w:hAnsi="Palatino Linotype" w:cs="Palatino Linotype"/>
          <w:color w:val="000000"/>
          <w:sz w:val="22"/>
          <w:szCs w:val="22"/>
        </w:rPr>
        <w:t xml:space="preserve"> respuesta</w:t>
      </w:r>
      <w:r w:rsidR="00E86CE4" w:rsidRPr="00417AFC">
        <w:rPr>
          <w:rFonts w:ascii="Palatino Linotype" w:eastAsia="Palatino Linotype" w:hAnsi="Palatino Linotype" w:cs="Palatino Linotype"/>
          <w:color w:val="000000"/>
          <w:sz w:val="22"/>
          <w:szCs w:val="22"/>
        </w:rPr>
        <w:t>s</w:t>
      </w:r>
      <w:r w:rsidRPr="00417AFC">
        <w:rPr>
          <w:rFonts w:ascii="Palatino Linotype" w:eastAsia="Palatino Linotype" w:hAnsi="Palatino Linotype" w:cs="Palatino Linotype"/>
          <w:color w:val="000000"/>
          <w:sz w:val="22"/>
          <w:szCs w:val="22"/>
        </w:rPr>
        <w:t xml:space="preserve">, la </w:t>
      </w:r>
      <w:r w:rsidR="00102B07">
        <w:rPr>
          <w:rFonts w:ascii="Palatino Linotype" w:eastAsia="Palatino Linotype" w:hAnsi="Palatino Linotype" w:cs="Palatino Linotype"/>
          <w:color w:val="000000"/>
          <w:sz w:val="22"/>
          <w:szCs w:val="22"/>
        </w:rPr>
        <w:t>P</w:t>
      </w:r>
      <w:r w:rsidRPr="00417AFC">
        <w:rPr>
          <w:rFonts w:ascii="Palatino Linotype" w:eastAsia="Palatino Linotype" w:hAnsi="Palatino Linotype" w:cs="Palatino Linotype"/>
          <w:color w:val="000000"/>
          <w:sz w:val="22"/>
          <w:szCs w:val="22"/>
        </w:rPr>
        <w:t xml:space="preserve">articular presentó </w:t>
      </w:r>
      <w:r w:rsidR="00E86CE4" w:rsidRPr="00417AFC">
        <w:rPr>
          <w:rFonts w:ascii="Palatino Linotype" w:eastAsia="Palatino Linotype" w:hAnsi="Palatino Linotype" w:cs="Palatino Linotype"/>
          <w:color w:val="000000"/>
          <w:sz w:val="22"/>
          <w:szCs w:val="22"/>
        </w:rPr>
        <w:t>los</w:t>
      </w:r>
      <w:r w:rsidRPr="00417AFC">
        <w:rPr>
          <w:rFonts w:ascii="Palatino Linotype" w:eastAsia="Palatino Linotype" w:hAnsi="Palatino Linotype" w:cs="Palatino Linotype"/>
          <w:color w:val="000000"/>
          <w:sz w:val="22"/>
          <w:szCs w:val="22"/>
        </w:rPr>
        <w:t xml:space="preserve"> medio</w:t>
      </w:r>
      <w:r w:rsidR="002312D2" w:rsidRPr="00417AFC">
        <w:rPr>
          <w:rFonts w:ascii="Palatino Linotype" w:eastAsia="Palatino Linotype" w:hAnsi="Palatino Linotype" w:cs="Palatino Linotype"/>
          <w:color w:val="000000"/>
          <w:sz w:val="22"/>
          <w:szCs w:val="22"/>
        </w:rPr>
        <w:t>s</w:t>
      </w:r>
      <w:r w:rsidRPr="00417AFC">
        <w:rPr>
          <w:rFonts w:ascii="Palatino Linotype" w:eastAsia="Palatino Linotype" w:hAnsi="Palatino Linotype" w:cs="Palatino Linotype"/>
          <w:color w:val="000000"/>
          <w:sz w:val="22"/>
          <w:szCs w:val="22"/>
        </w:rPr>
        <w:t xml:space="preserve"> de impugnación en comento, a través del cual indicó como acto impugnado que no se le hizo entrega de la información solicitada; por lo que, le requería a</w:t>
      </w:r>
      <w:r w:rsidR="00102B07">
        <w:rPr>
          <w:rFonts w:ascii="Palatino Linotype" w:eastAsia="Palatino Linotype" w:hAnsi="Palatino Linotype" w:cs="Palatino Linotype"/>
          <w:color w:val="000000"/>
          <w:sz w:val="22"/>
          <w:szCs w:val="22"/>
        </w:rPr>
        <w:t xml:space="preserve"> </w:t>
      </w:r>
      <w:r w:rsidR="00102B07">
        <w:rPr>
          <w:rFonts w:ascii="Palatino Linotype" w:eastAsia="Palatino Linotype" w:hAnsi="Palatino Linotype" w:cs="Palatino Linotype"/>
          <w:b/>
          <w:bCs/>
          <w:color w:val="000000"/>
          <w:sz w:val="22"/>
          <w:szCs w:val="22"/>
        </w:rPr>
        <w:t>EL</w:t>
      </w:r>
      <w:r w:rsidR="00102B07" w:rsidRPr="00417AFC">
        <w:rPr>
          <w:rFonts w:ascii="Palatino Linotype" w:eastAsia="Palatino Linotype" w:hAnsi="Palatino Linotype" w:cs="Palatino Linotype"/>
          <w:color w:val="000000"/>
          <w:sz w:val="22"/>
          <w:szCs w:val="22"/>
        </w:rPr>
        <w:t xml:space="preserve"> </w:t>
      </w:r>
      <w:r w:rsidRPr="00417AFC">
        <w:rPr>
          <w:rFonts w:ascii="Palatino Linotype" w:eastAsia="Palatino Linotype" w:hAnsi="Palatino Linotype" w:cs="Palatino Linotype"/>
          <w:b/>
          <w:color w:val="000000"/>
          <w:sz w:val="22"/>
          <w:szCs w:val="22"/>
        </w:rPr>
        <w:t xml:space="preserve">SUJETO OBLIGADO </w:t>
      </w:r>
      <w:r w:rsidRPr="00417AFC">
        <w:rPr>
          <w:rFonts w:ascii="Palatino Linotype" w:eastAsia="Palatino Linotype" w:hAnsi="Palatino Linotype" w:cs="Palatino Linotype"/>
          <w:color w:val="000000"/>
          <w:sz w:val="22"/>
          <w:szCs w:val="22"/>
        </w:rPr>
        <w:t xml:space="preserve">tener en cuenta las especificaciones señaladas </w:t>
      </w:r>
      <w:r w:rsidR="00624FD3" w:rsidRPr="00417AFC">
        <w:rPr>
          <w:rFonts w:ascii="Palatino Linotype" w:eastAsia="Palatino Linotype" w:hAnsi="Palatino Linotype" w:cs="Palatino Linotype"/>
          <w:color w:val="000000"/>
          <w:sz w:val="22"/>
          <w:szCs w:val="22"/>
        </w:rPr>
        <w:t>para la entrega de la información.</w:t>
      </w:r>
      <w:r w:rsidR="00DD22C4">
        <w:rPr>
          <w:rFonts w:ascii="Palatino Linotype" w:eastAsia="Palatino Linotype" w:hAnsi="Palatino Linotype" w:cs="Palatino Linotype"/>
          <w:color w:val="000000"/>
          <w:sz w:val="22"/>
          <w:szCs w:val="22"/>
        </w:rPr>
        <w:t xml:space="preserve"> </w:t>
      </w:r>
      <w:r w:rsidR="00624FD3" w:rsidRPr="00417AFC">
        <w:rPr>
          <w:rFonts w:ascii="Palatino Linotype" w:eastAsia="Palatino Linotype" w:hAnsi="Palatino Linotype" w:cs="Palatino Linotype"/>
          <w:color w:val="000000"/>
          <w:sz w:val="22"/>
          <w:szCs w:val="22"/>
        </w:rPr>
        <w:t xml:space="preserve">Bajo ese orden de ideas, </w:t>
      </w:r>
      <w:r w:rsidR="00624FD3" w:rsidRPr="00417AFC">
        <w:rPr>
          <w:rFonts w:ascii="Palatino Linotype" w:eastAsia="Palatino Linotype" w:hAnsi="Palatino Linotype" w:cs="Palatino Linotype"/>
          <w:b/>
          <w:color w:val="000000"/>
          <w:sz w:val="22"/>
          <w:szCs w:val="22"/>
        </w:rPr>
        <w:t xml:space="preserve">EL SUJETO OBLIGADO </w:t>
      </w:r>
      <w:r w:rsidR="00624FD3" w:rsidRPr="00417AFC">
        <w:rPr>
          <w:rFonts w:ascii="Palatino Linotype" w:eastAsia="Palatino Linotype" w:hAnsi="Palatino Linotype" w:cs="Palatino Linotype"/>
          <w:color w:val="000000"/>
          <w:sz w:val="22"/>
          <w:szCs w:val="22"/>
        </w:rPr>
        <w:t xml:space="preserve">en </w:t>
      </w:r>
      <w:r w:rsidR="00D56365" w:rsidRPr="00417AFC">
        <w:rPr>
          <w:rFonts w:ascii="Palatino Linotype" w:eastAsia="Palatino Linotype" w:hAnsi="Palatino Linotype" w:cs="Palatino Linotype"/>
          <w:color w:val="000000"/>
          <w:sz w:val="22"/>
          <w:szCs w:val="22"/>
        </w:rPr>
        <w:t>Informe Justificado</w:t>
      </w:r>
      <w:r w:rsidR="00624FD3" w:rsidRPr="00417AFC">
        <w:rPr>
          <w:rFonts w:ascii="Palatino Linotype" w:eastAsia="Palatino Linotype" w:hAnsi="Palatino Linotype" w:cs="Palatino Linotype"/>
          <w:color w:val="000000"/>
          <w:sz w:val="22"/>
          <w:szCs w:val="22"/>
        </w:rPr>
        <w:t xml:space="preserve"> ratificó su respuesta, sin que </w:t>
      </w:r>
      <w:r w:rsidR="00624FD3" w:rsidRPr="00417AFC">
        <w:rPr>
          <w:rFonts w:ascii="Palatino Linotype" w:eastAsia="Palatino Linotype" w:hAnsi="Palatino Linotype" w:cs="Palatino Linotype"/>
          <w:b/>
          <w:color w:val="000000"/>
          <w:sz w:val="22"/>
          <w:szCs w:val="22"/>
        </w:rPr>
        <w:t xml:space="preserve">LA RECURRENTE </w:t>
      </w:r>
      <w:r w:rsidR="00624FD3" w:rsidRPr="00417AFC">
        <w:rPr>
          <w:rFonts w:ascii="Palatino Linotype" w:eastAsia="Palatino Linotype" w:hAnsi="Palatino Linotype" w:cs="Palatino Linotype"/>
          <w:color w:val="000000"/>
          <w:sz w:val="22"/>
          <w:szCs w:val="22"/>
        </w:rPr>
        <w:t xml:space="preserve">realizara manifestación alguna al respecto. </w:t>
      </w:r>
    </w:p>
    <w:p w14:paraId="25D965F2" w14:textId="2028C89C" w:rsidR="00DD22C4" w:rsidRDefault="00DD22C4" w:rsidP="00221864">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66BFF431" w14:textId="2AC2CBA1" w:rsidR="00273559" w:rsidRDefault="00624FD3" w:rsidP="00221864">
      <w:p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sidRPr="00417AFC">
        <w:rPr>
          <w:rFonts w:ascii="Palatino Linotype" w:eastAsia="Palatino Linotype" w:hAnsi="Palatino Linotype" w:cs="Palatino Linotype"/>
          <w:color w:val="000000"/>
          <w:sz w:val="22"/>
          <w:szCs w:val="22"/>
        </w:rPr>
        <w:t xml:space="preserve">Por lo que, ante tales manifestaciones es evidente que el derecho de </w:t>
      </w:r>
      <w:r w:rsidR="00F533F3" w:rsidRPr="00417AFC">
        <w:rPr>
          <w:rFonts w:ascii="Palatino Linotype" w:eastAsia="Palatino Linotype" w:hAnsi="Palatino Linotype" w:cs="Palatino Linotype"/>
          <w:color w:val="000000"/>
          <w:sz w:val="22"/>
          <w:szCs w:val="22"/>
        </w:rPr>
        <w:t>acceso a la Información Pública</w:t>
      </w:r>
      <w:r w:rsidRPr="00417AFC">
        <w:rPr>
          <w:rFonts w:ascii="Palatino Linotype" w:eastAsia="Palatino Linotype" w:hAnsi="Palatino Linotype" w:cs="Palatino Linotype"/>
          <w:color w:val="000000"/>
          <w:sz w:val="22"/>
          <w:szCs w:val="22"/>
        </w:rPr>
        <w:t xml:space="preserve"> de la solicitante no fue colmado a cabalidad y en consecuencia sólo podrá colmarse con la entrega de los documentos en donde conste la información que solicita; sin que ello implique el procesamiento de la información por parte del </w:t>
      </w:r>
      <w:r w:rsidRPr="00417AFC">
        <w:rPr>
          <w:rFonts w:ascii="Palatino Linotype" w:eastAsia="Palatino Linotype" w:hAnsi="Palatino Linotype" w:cs="Palatino Linotype"/>
          <w:b/>
          <w:color w:val="000000"/>
          <w:sz w:val="22"/>
          <w:szCs w:val="22"/>
        </w:rPr>
        <w:t>SUJETO OBLIGADO</w:t>
      </w:r>
      <w:r w:rsidR="00273559">
        <w:rPr>
          <w:rFonts w:ascii="Palatino Linotype" w:eastAsia="Palatino Linotype" w:hAnsi="Palatino Linotype" w:cs="Palatino Linotype"/>
          <w:b/>
          <w:color w:val="000000"/>
          <w:sz w:val="22"/>
          <w:szCs w:val="22"/>
        </w:rPr>
        <w:t>.</w:t>
      </w:r>
    </w:p>
    <w:p w14:paraId="0E0AA912" w14:textId="4A04D940" w:rsidR="00DD22C4" w:rsidRDefault="00DD22C4" w:rsidP="00221864">
      <w:p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p>
    <w:p w14:paraId="1F9D67C4" w14:textId="25808002" w:rsidR="00624FD3" w:rsidRPr="00DD22C4" w:rsidRDefault="00DD22C4" w:rsidP="00221864">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Ahora bien, </w:t>
      </w:r>
      <w:r>
        <w:rPr>
          <w:rFonts w:ascii="Palatino Linotype" w:eastAsia="Palatino Linotype" w:hAnsi="Palatino Linotype" w:cs="Palatino Linotype"/>
          <w:b/>
          <w:bCs/>
          <w:color w:val="000000"/>
          <w:sz w:val="22"/>
          <w:szCs w:val="22"/>
        </w:rPr>
        <w:t>EL RECURRENTE</w:t>
      </w:r>
      <w:r>
        <w:rPr>
          <w:rFonts w:ascii="Palatino Linotype" w:eastAsia="Palatino Linotype" w:hAnsi="Palatino Linotype" w:cs="Palatino Linotype"/>
          <w:color w:val="000000"/>
          <w:sz w:val="22"/>
          <w:szCs w:val="22"/>
        </w:rPr>
        <w:t xml:space="preserve"> solicitó las quejas y denuncia cuyo trámite puede concluir en sanción, cuando se determina que existen elementos que suponen una posible responsabilidad administrativa cometida por un servidor público y concluido el proceso administrativo se le impone un sanción, de tal suerte que para conocer la naturaleza de unas y otras es necesario </w:t>
      </w:r>
      <w:r w:rsidR="00624FD3" w:rsidRPr="00417AFC">
        <w:rPr>
          <w:rFonts w:ascii="Palatino Linotype" w:eastAsia="Palatino Linotype" w:hAnsi="Palatino Linotype" w:cs="Palatino Linotype"/>
          <w:color w:val="000000"/>
          <w:sz w:val="22"/>
          <w:szCs w:val="22"/>
        </w:rPr>
        <w:t xml:space="preserve">traer a contexto el </w:t>
      </w:r>
      <w:r w:rsidR="00624FD3" w:rsidRPr="00417AFC">
        <w:rPr>
          <w:rFonts w:ascii="Palatino Linotype" w:eastAsia="Batang" w:hAnsi="Palatino Linotype" w:cs="Tahoma"/>
          <w:bCs/>
          <w:sz w:val="22"/>
          <w:szCs w:val="22"/>
          <w:lang w:val="es-ES"/>
        </w:rPr>
        <w:t xml:space="preserve">Procedimiento de Responsabilidad Administrativa ante el </w:t>
      </w:r>
      <w:r w:rsidR="00651921">
        <w:rPr>
          <w:rFonts w:ascii="Palatino Linotype" w:eastAsia="Batang" w:hAnsi="Palatino Linotype" w:cs="Tahoma"/>
          <w:bCs/>
          <w:sz w:val="22"/>
          <w:szCs w:val="22"/>
          <w:lang w:val="es-ES"/>
        </w:rPr>
        <w:t>Organismo</w:t>
      </w:r>
      <w:r w:rsidR="00624FD3" w:rsidRPr="00417AFC">
        <w:rPr>
          <w:rFonts w:ascii="Palatino Linotype" w:eastAsia="Batang" w:hAnsi="Palatino Linotype" w:cs="Tahoma"/>
          <w:bCs/>
          <w:sz w:val="22"/>
          <w:szCs w:val="22"/>
          <w:lang w:val="es-ES"/>
        </w:rPr>
        <w:t xml:space="preserve"> Interno de Control del Municipio y en consecuencia lo establecido en </w:t>
      </w:r>
      <w:r w:rsidR="00624FD3" w:rsidRPr="00417AFC">
        <w:rPr>
          <w:rFonts w:ascii="Palatino Linotype" w:eastAsia="Calibri" w:hAnsi="Palatino Linotype" w:cs="Tahoma"/>
          <w:iCs/>
          <w:sz w:val="22"/>
          <w:szCs w:val="22"/>
          <w:lang w:val="es-ES" w:eastAsia="es-ES_tradnl"/>
        </w:rPr>
        <w:t xml:space="preserve">la Ley de Responsabilidades Administrativas del Estado de México y Municipios, en sus artículos 95, fracción II, 99, 104, 194 y 195, donde </w:t>
      </w:r>
      <w:r w:rsidR="00854BDE" w:rsidRPr="00417AFC">
        <w:rPr>
          <w:rFonts w:ascii="Palatino Linotype" w:eastAsia="Calibri" w:hAnsi="Palatino Linotype" w:cs="Tahoma"/>
          <w:iCs/>
          <w:sz w:val="22"/>
          <w:szCs w:val="22"/>
          <w:lang w:val="es-ES" w:eastAsia="es-ES_tradnl"/>
        </w:rPr>
        <w:t xml:space="preserve">citada ley </w:t>
      </w:r>
      <w:r w:rsidR="00624FD3" w:rsidRPr="00417AFC">
        <w:rPr>
          <w:rFonts w:ascii="Palatino Linotype" w:eastAsia="Calibri" w:hAnsi="Palatino Linotype" w:cs="Tahoma"/>
          <w:iCs/>
          <w:sz w:val="22"/>
          <w:szCs w:val="22"/>
          <w:lang w:val="es-ES" w:eastAsia="es-ES_tradnl"/>
        </w:rPr>
        <w:t>refiere que el proceso de posibles responsabilidades administrativas se divide en dos etapas principalmente</w:t>
      </w:r>
      <w:r w:rsidR="00854BDE" w:rsidRPr="00417AFC">
        <w:rPr>
          <w:rFonts w:ascii="Palatino Linotype" w:eastAsia="Calibri" w:hAnsi="Palatino Linotype" w:cs="Tahoma"/>
          <w:iCs/>
          <w:sz w:val="22"/>
          <w:szCs w:val="22"/>
          <w:lang w:val="es-ES" w:eastAsia="es-ES_tradnl"/>
        </w:rPr>
        <w:t xml:space="preserve"> las cuales son</w:t>
      </w:r>
      <w:r w:rsidR="00624FD3" w:rsidRPr="00417AFC">
        <w:rPr>
          <w:rFonts w:ascii="Palatino Linotype" w:eastAsia="Calibri" w:hAnsi="Palatino Linotype" w:cs="Tahoma"/>
          <w:iCs/>
          <w:sz w:val="22"/>
          <w:szCs w:val="22"/>
          <w:lang w:val="es-ES" w:eastAsia="es-ES_tradnl"/>
        </w:rPr>
        <w:t>:</w:t>
      </w:r>
    </w:p>
    <w:p w14:paraId="3B65E997" w14:textId="77777777" w:rsidR="00D3381E" w:rsidRPr="00417AFC" w:rsidRDefault="00D3381E" w:rsidP="00AD61EF">
      <w:pPr>
        <w:pBdr>
          <w:top w:val="nil"/>
          <w:left w:val="nil"/>
          <w:bottom w:val="nil"/>
          <w:right w:val="nil"/>
          <w:between w:val="nil"/>
        </w:pBdr>
        <w:spacing w:line="360" w:lineRule="auto"/>
        <w:jc w:val="both"/>
        <w:rPr>
          <w:rFonts w:ascii="Palatino Linotype" w:eastAsia="Batang" w:hAnsi="Palatino Linotype" w:cs="Tahoma"/>
          <w:bCs/>
          <w:sz w:val="22"/>
          <w:szCs w:val="22"/>
          <w:lang w:val="es-ES"/>
        </w:rPr>
      </w:pPr>
    </w:p>
    <w:p w14:paraId="19C1E21E" w14:textId="772F52CD" w:rsidR="00624FD3" w:rsidRPr="00417AFC" w:rsidRDefault="00624FD3" w:rsidP="00221864">
      <w:pPr>
        <w:pStyle w:val="Prrafodelista"/>
        <w:numPr>
          <w:ilvl w:val="0"/>
          <w:numId w:val="5"/>
        </w:numPr>
        <w:spacing w:line="360" w:lineRule="auto"/>
        <w:contextualSpacing/>
        <w:jc w:val="both"/>
        <w:rPr>
          <w:rFonts w:ascii="Palatino Linotype" w:eastAsia="Calibri" w:hAnsi="Palatino Linotype" w:cs="Tahoma"/>
          <w:b/>
          <w:iCs/>
          <w:sz w:val="22"/>
          <w:szCs w:val="22"/>
          <w:lang w:val="es-ES" w:eastAsia="es-ES_tradnl"/>
        </w:rPr>
      </w:pPr>
      <w:r w:rsidRPr="00417AFC">
        <w:rPr>
          <w:rFonts w:ascii="Palatino Linotype" w:eastAsia="Calibri" w:hAnsi="Palatino Linotype" w:cs="Tahoma"/>
          <w:b/>
          <w:iCs/>
          <w:sz w:val="22"/>
          <w:szCs w:val="22"/>
          <w:lang w:val="es-ES" w:eastAsia="es-ES_tradnl"/>
        </w:rPr>
        <w:t>Investigación:</w:t>
      </w:r>
      <w:r w:rsidRPr="00417AFC">
        <w:rPr>
          <w:rFonts w:ascii="Palatino Linotype" w:eastAsia="Calibri" w:hAnsi="Palatino Linotype" w:cs="Tahoma"/>
          <w:iCs/>
          <w:sz w:val="22"/>
          <w:szCs w:val="22"/>
          <w:lang w:val="es-ES" w:eastAsia="es-ES_tradnl"/>
        </w:rPr>
        <w:t xml:space="preserve"> </w:t>
      </w:r>
      <w:r w:rsidR="00854BDE" w:rsidRPr="00417AFC">
        <w:rPr>
          <w:rFonts w:ascii="Palatino Linotype" w:eastAsia="Calibri" w:hAnsi="Palatino Linotype" w:cs="Tahoma"/>
          <w:iCs/>
          <w:sz w:val="22"/>
          <w:szCs w:val="22"/>
          <w:lang w:val="es-ES" w:eastAsia="es-ES_tradnl"/>
        </w:rPr>
        <w:t>E</w:t>
      </w:r>
      <w:r w:rsidRPr="00417AFC">
        <w:rPr>
          <w:rFonts w:ascii="Palatino Linotype" w:eastAsia="Calibri" w:hAnsi="Palatino Linotype" w:cs="Tahoma"/>
          <w:iCs/>
          <w:sz w:val="22"/>
          <w:szCs w:val="22"/>
          <w:lang w:val="es-ES" w:eastAsia="es-ES_tradnl"/>
        </w:rPr>
        <w:t>tapa</w:t>
      </w:r>
      <w:r w:rsidR="00854BDE" w:rsidRPr="00417AFC">
        <w:rPr>
          <w:rFonts w:ascii="Palatino Linotype" w:eastAsia="Calibri" w:hAnsi="Palatino Linotype" w:cs="Tahoma"/>
          <w:iCs/>
          <w:sz w:val="22"/>
          <w:szCs w:val="22"/>
          <w:lang w:val="es-ES" w:eastAsia="es-ES_tradnl"/>
        </w:rPr>
        <w:t xml:space="preserve"> que</w:t>
      </w:r>
      <w:r w:rsidRPr="00417AFC">
        <w:rPr>
          <w:rFonts w:ascii="Palatino Linotype" w:eastAsia="Calibri" w:hAnsi="Palatino Linotype" w:cs="Tahoma"/>
          <w:iCs/>
          <w:sz w:val="22"/>
          <w:szCs w:val="22"/>
          <w:lang w:val="es-ES" w:eastAsia="es-ES_tradnl"/>
        </w:rPr>
        <w:t xml:space="preserve"> comienza de oficio o </w:t>
      </w:r>
      <w:r w:rsidRPr="00417AFC">
        <w:rPr>
          <w:rFonts w:ascii="Palatino Linotype" w:eastAsia="Calibri" w:hAnsi="Palatino Linotype" w:cs="Tahoma"/>
          <w:b/>
          <w:iCs/>
          <w:sz w:val="22"/>
          <w:szCs w:val="22"/>
          <w:lang w:val="es-ES" w:eastAsia="es-ES_tradnl"/>
        </w:rPr>
        <w:t xml:space="preserve">por la presentación de una denuncia o queja ante los </w:t>
      </w:r>
      <w:r w:rsidR="00651921">
        <w:rPr>
          <w:rFonts w:ascii="Palatino Linotype" w:eastAsia="Calibri" w:hAnsi="Palatino Linotype" w:cs="Tahoma"/>
          <w:b/>
          <w:iCs/>
          <w:sz w:val="22"/>
          <w:szCs w:val="22"/>
          <w:lang w:val="es-ES" w:eastAsia="es-ES_tradnl"/>
        </w:rPr>
        <w:t>Organismo</w:t>
      </w:r>
      <w:r w:rsidRPr="00417AFC">
        <w:rPr>
          <w:rFonts w:ascii="Palatino Linotype" w:eastAsia="Calibri" w:hAnsi="Palatino Linotype" w:cs="Tahoma"/>
          <w:b/>
          <w:iCs/>
          <w:sz w:val="22"/>
          <w:szCs w:val="22"/>
          <w:lang w:val="es-ES" w:eastAsia="es-ES_tradnl"/>
        </w:rPr>
        <w:t xml:space="preserve">s Internos de </w:t>
      </w:r>
      <w:r w:rsidR="00387D29" w:rsidRPr="00417AFC">
        <w:rPr>
          <w:rFonts w:ascii="Palatino Linotype" w:eastAsia="Calibri" w:hAnsi="Palatino Linotype" w:cs="Tahoma"/>
          <w:b/>
          <w:iCs/>
          <w:sz w:val="22"/>
          <w:szCs w:val="22"/>
          <w:lang w:val="es-ES" w:eastAsia="es-ES_tradnl"/>
        </w:rPr>
        <w:t>Control</w:t>
      </w:r>
      <w:r w:rsidR="00387D29" w:rsidRPr="00417AFC">
        <w:rPr>
          <w:rFonts w:ascii="Palatino Linotype" w:eastAsia="Calibri" w:hAnsi="Palatino Linotype" w:cs="Tahoma"/>
          <w:iCs/>
          <w:sz w:val="22"/>
          <w:szCs w:val="22"/>
          <w:lang w:val="es-ES" w:eastAsia="es-ES_tradnl"/>
        </w:rPr>
        <w:t>; Unidades</w:t>
      </w:r>
      <w:r w:rsidR="00854BDE" w:rsidRPr="00417AFC">
        <w:rPr>
          <w:rFonts w:ascii="Palatino Linotype" w:eastAsia="Calibri" w:hAnsi="Palatino Linotype" w:cs="Tahoma"/>
          <w:iCs/>
          <w:sz w:val="22"/>
          <w:szCs w:val="22"/>
          <w:lang w:val="es-ES" w:eastAsia="es-ES_tradnl"/>
        </w:rPr>
        <w:t xml:space="preserve"> que</w:t>
      </w:r>
      <w:r w:rsidRPr="00417AFC">
        <w:rPr>
          <w:rFonts w:ascii="Palatino Linotype" w:eastAsia="Calibri" w:hAnsi="Palatino Linotype" w:cs="Tahoma"/>
          <w:iCs/>
          <w:sz w:val="22"/>
          <w:szCs w:val="22"/>
          <w:lang w:val="es-ES" w:eastAsia="es-ES_tradnl"/>
        </w:rPr>
        <w:t xml:space="preserve"> deberán allegarse de la información necesaria para el esclarecimiento de los hechos,</w:t>
      </w:r>
      <w:r w:rsidR="00FF36BE" w:rsidRPr="00417AFC">
        <w:rPr>
          <w:rFonts w:ascii="Palatino Linotype" w:eastAsia="Calibri" w:hAnsi="Palatino Linotype" w:cs="Tahoma"/>
          <w:iCs/>
          <w:sz w:val="22"/>
          <w:szCs w:val="22"/>
          <w:lang w:val="es-ES" w:eastAsia="es-ES_tradnl"/>
        </w:rPr>
        <w:t xml:space="preserve"> incluyendo aquella que por disposiciones legales en la materia pueda ser considerada como reservada o confidencial, debiendo guardar la reserva de </w:t>
      </w:r>
      <w:r w:rsidR="00EF23C4" w:rsidRPr="00417AFC">
        <w:rPr>
          <w:rFonts w:ascii="Palatino Linotype" w:eastAsia="Calibri" w:hAnsi="Palatino Linotype" w:cs="Tahoma"/>
          <w:iCs/>
          <w:sz w:val="22"/>
          <w:szCs w:val="22"/>
          <w:lang w:val="es-ES" w:eastAsia="es-ES_tradnl"/>
        </w:rPr>
        <w:t>esta</w:t>
      </w:r>
      <w:r w:rsidR="00FF36BE" w:rsidRPr="00417AFC">
        <w:rPr>
          <w:rFonts w:ascii="Palatino Linotype" w:eastAsia="Calibri" w:hAnsi="Palatino Linotype" w:cs="Tahoma"/>
          <w:iCs/>
          <w:sz w:val="22"/>
          <w:szCs w:val="22"/>
          <w:lang w:val="es-ES" w:eastAsia="es-ES_tradnl"/>
        </w:rPr>
        <w:t xml:space="preserve"> al encontrarse dentro de esta etapa,</w:t>
      </w:r>
      <w:r w:rsidRPr="00417AFC">
        <w:rPr>
          <w:rFonts w:ascii="Palatino Linotype" w:eastAsia="Calibri" w:hAnsi="Palatino Linotype" w:cs="Tahoma"/>
          <w:iCs/>
          <w:sz w:val="22"/>
          <w:szCs w:val="22"/>
          <w:lang w:val="es-ES" w:eastAsia="es-ES_tradnl"/>
        </w:rPr>
        <w:t xml:space="preserve"> así como realizar visitas de verificación.</w:t>
      </w:r>
    </w:p>
    <w:p w14:paraId="3E0C549E" w14:textId="77777777" w:rsidR="00624FD3" w:rsidRPr="00417AFC" w:rsidRDefault="00624FD3" w:rsidP="00221864">
      <w:pPr>
        <w:pStyle w:val="Prrafodelista"/>
        <w:spacing w:line="360" w:lineRule="auto"/>
        <w:ind w:left="720"/>
        <w:contextualSpacing/>
        <w:jc w:val="both"/>
        <w:rPr>
          <w:rFonts w:ascii="Palatino Linotype" w:eastAsia="Calibri" w:hAnsi="Palatino Linotype" w:cs="Tahoma"/>
          <w:iCs/>
          <w:sz w:val="22"/>
          <w:szCs w:val="22"/>
          <w:lang w:val="es-ES" w:eastAsia="es-ES_tradnl"/>
        </w:rPr>
      </w:pPr>
    </w:p>
    <w:p w14:paraId="58777D69" w14:textId="6F1C6165" w:rsidR="00FF36BE" w:rsidRPr="00417AFC" w:rsidRDefault="00FF36BE" w:rsidP="00221864">
      <w:pPr>
        <w:pStyle w:val="Prrafodelista"/>
        <w:spacing w:line="360" w:lineRule="auto"/>
        <w:ind w:left="720"/>
        <w:contextualSpacing/>
        <w:jc w:val="both"/>
        <w:rPr>
          <w:rFonts w:ascii="Palatino Linotype" w:eastAsia="Calibri" w:hAnsi="Palatino Linotype" w:cs="Tahoma"/>
          <w:iCs/>
          <w:sz w:val="22"/>
          <w:szCs w:val="22"/>
          <w:lang w:val="es-ES" w:eastAsia="es-ES_tradnl"/>
        </w:rPr>
      </w:pPr>
      <w:r w:rsidRPr="00417AFC">
        <w:rPr>
          <w:rFonts w:ascii="Palatino Linotype" w:eastAsia="Calibri" w:hAnsi="Palatino Linotype" w:cs="Tahoma"/>
          <w:iCs/>
          <w:sz w:val="22"/>
          <w:szCs w:val="22"/>
          <w:lang w:val="es-ES" w:eastAsia="es-ES_tradnl"/>
        </w:rPr>
        <w:t xml:space="preserve">Quienes sean sujetos a un procedimiento de investigación deberán atender los requerimientos que la autoridad les haga </w:t>
      </w:r>
      <w:r w:rsidR="009E2ABD" w:rsidRPr="00417AFC">
        <w:rPr>
          <w:rFonts w:ascii="Palatino Linotype" w:eastAsia="Calibri" w:hAnsi="Palatino Linotype" w:cs="Tahoma"/>
          <w:iCs/>
          <w:sz w:val="22"/>
          <w:szCs w:val="22"/>
          <w:lang w:val="es-ES" w:eastAsia="es-ES_tradnl"/>
        </w:rPr>
        <w:t>quien les otorgara un plazo de cinco y hasta quince días hábiles para atender dicho requerimiento, siendo sujetos a dicho requerimiento, servidores públicos, particulares y personas jurídicas colectivas.</w:t>
      </w:r>
    </w:p>
    <w:p w14:paraId="3DD6A8F4" w14:textId="77777777" w:rsidR="009E2ABD" w:rsidRPr="00417AFC" w:rsidRDefault="009E2ABD" w:rsidP="00221864">
      <w:pPr>
        <w:pStyle w:val="Prrafodelista"/>
        <w:spacing w:line="360" w:lineRule="auto"/>
        <w:ind w:left="720"/>
        <w:contextualSpacing/>
        <w:jc w:val="both"/>
        <w:rPr>
          <w:rFonts w:ascii="Palatino Linotype" w:eastAsia="Calibri" w:hAnsi="Palatino Linotype" w:cs="Tahoma"/>
          <w:iCs/>
          <w:sz w:val="22"/>
          <w:szCs w:val="22"/>
          <w:lang w:val="es-ES" w:eastAsia="es-ES_tradnl"/>
        </w:rPr>
      </w:pPr>
    </w:p>
    <w:p w14:paraId="7A170251" w14:textId="45E22DA8" w:rsidR="00624FD3" w:rsidRPr="00417AFC" w:rsidRDefault="00624FD3" w:rsidP="00221864">
      <w:pPr>
        <w:pStyle w:val="Prrafodelista"/>
        <w:spacing w:line="360" w:lineRule="auto"/>
        <w:jc w:val="both"/>
        <w:rPr>
          <w:rFonts w:ascii="Palatino Linotype" w:eastAsia="Calibri" w:hAnsi="Palatino Linotype" w:cs="Tahoma"/>
          <w:iCs/>
          <w:sz w:val="22"/>
          <w:szCs w:val="22"/>
          <w:lang w:val="es-ES" w:eastAsia="es-ES_tradnl"/>
        </w:rPr>
      </w:pPr>
      <w:r w:rsidRPr="00417AFC">
        <w:rPr>
          <w:rFonts w:ascii="Palatino Linotype" w:eastAsia="Calibri" w:hAnsi="Palatino Linotype" w:cs="Tahoma"/>
          <w:iCs/>
          <w:sz w:val="22"/>
          <w:szCs w:val="22"/>
          <w:lang w:val="es-ES" w:eastAsia="es-ES_tradnl"/>
        </w:rPr>
        <w:t>Una vez concluidas las diligencias de investigación, procederán al análisis</w:t>
      </w:r>
      <w:r w:rsidR="00387D29" w:rsidRPr="00417AFC">
        <w:rPr>
          <w:rFonts w:ascii="Palatino Linotype" w:eastAsia="Calibri" w:hAnsi="Palatino Linotype" w:cs="Tahoma"/>
          <w:iCs/>
          <w:sz w:val="22"/>
          <w:szCs w:val="22"/>
          <w:lang w:val="es-ES" w:eastAsia="es-ES_tradnl"/>
        </w:rPr>
        <w:t xml:space="preserve"> correspondiente de cada asunto</w:t>
      </w:r>
      <w:r w:rsidRPr="00417AFC">
        <w:rPr>
          <w:rFonts w:ascii="Palatino Linotype" w:eastAsia="Calibri" w:hAnsi="Palatino Linotype" w:cs="Tahoma"/>
          <w:iCs/>
          <w:sz w:val="22"/>
          <w:szCs w:val="22"/>
          <w:lang w:val="es-ES" w:eastAsia="es-ES_tradnl"/>
        </w:rPr>
        <w:t>, así como de la información recabada, con el fin de determinar la existencia o inexistencia de actos de faltas administrativas graves o no graves y así emitir el Informe de Presunta Responsabilidad Administrativa y éste se presentará ante la autoridad substanciadora a efecto de iniciar el procedimiento de responsabilidad administrativa correspondiente.</w:t>
      </w:r>
      <w:r w:rsidR="00172A35" w:rsidRPr="00417AFC">
        <w:rPr>
          <w:rFonts w:ascii="Palatino Linotype" w:eastAsia="Calibri" w:hAnsi="Palatino Linotype" w:cs="Tahoma"/>
          <w:iCs/>
          <w:sz w:val="22"/>
          <w:szCs w:val="22"/>
          <w:lang w:val="es-ES" w:eastAsia="es-ES_tradnl"/>
        </w:rPr>
        <w:t xml:space="preserve"> </w:t>
      </w:r>
    </w:p>
    <w:p w14:paraId="5FC0E438" w14:textId="77777777" w:rsidR="00624FD3" w:rsidRPr="00417AFC" w:rsidRDefault="00624FD3" w:rsidP="00221864">
      <w:pPr>
        <w:pStyle w:val="Prrafodelista"/>
        <w:spacing w:line="360" w:lineRule="auto"/>
        <w:jc w:val="both"/>
        <w:rPr>
          <w:rFonts w:ascii="Palatino Linotype" w:eastAsia="Calibri" w:hAnsi="Palatino Linotype" w:cs="Tahoma"/>
          <w:iCs/>
          <w:sz w:val="22"/>
          <w:szCs w:val="22"/>
          <w:lang w:val="es-ES" w:eastAsia="es-ES_tradnl"/>
        </w:rPr>
      </w:pPr>
    </w:p>
    <w:p w14:paraId="06002FDC" w14:textId="77777777" w:rsidR="00624FD3" w:rsidRPr="00417AFC" w:rsidRDefault="00624FD3" w:rsidP="00221864">
      <w:pPr>
        <w:pStyle w:val="Prrafodelista"/>
        <w:spacing w:line="360" w:lineRule="auto"/>
        <w:jc w:val="both"/>
        <w:rPr>
          <w:rFonts w:ascii="Palatino Linotype" w:eastAsia="Calibri" w:hAnsi="Palatino Linotype" w:cs="Tahoma"/>
          <w:iCs/>
          <w:sz w:val="22"/>
          <w:szCs w:val="22"/>
          <w:lang w:val="es-ES" w:eastAsia="es-ES_tradnl"/>
        </w:rPr>
      </w:pPr>
      <w:r w:rsidRPr="00417AFC">
        <w:rPr>
          <w:rFonts w:ascii="Palatino Linotype" w:eastAsia="Calibri" w:hAnsi="Palatino Linotype" w:cs="Tahoma"/>
          <w:b/>
          <w:iCs/>
          <w:sz w:val="22"/>
          <w:szCs w:val="22"/>
          <w:lang w:val="es-ES" w:eastAsia="es-ES_tradnl"/>
        </w:rPr>
        <w:t>En el caso, de no haberse encontrado elementos suficientes para demostrar la existencia de la infracción, y acreditar la presunta responsabilidad, se emitirá el acuerdo de conclusión y archivo del expediente,</w:t>
      </w:r>
      <w:r w:rsidRPr="00417AFC">
        <w:rPr>
          <w:rFonts w:ascii="Palatino Linotype" w:eastAsia="Calibri" w:hAnsi="Palatino Linotype" w:cs="Tahoma"/>
          <w:iCs/>
          <w:sz w:val="22"/>
          <w:szCs w:val="22"/>
          <w:lang w:val="es-ES" w:eastAsia="es-ES_tradnl"/>
        </w:rPr>
        <w:t xml:space="preserve"> debidamente fundado y motivado.</w:t>
      </w:r>
    </w:p>
    <w:p w14:paraId="5038B388" w14:textId="77777777" w:rsidR="00624FD3" w:rsidRPr="00417AFC" w:rsidRDefault="00624FD3" w:rsidP="00221864">
      <w:pPr>
        <w:spacing w:line="360" w:lineRule="auto"/>
        <w:jc w:val="both"/>
        <w:rPr>
          <w:rFonts w:ascii="Palatino Linotype" w:eastAsia="Calibri" w:hAnsi="Palatino Linotype" w:cs="Tahoma"/>
          <w:b/>
          <w:iCs/>
          <w:sz w:val="22"/>
          <w:szCs w:val="22"/>
          <w:lang w:val="es-ES" w:eastAsia="es-ES_tradnl"/>
        </w:rPr>
      </w:pPr>
    </w:p>
    <w:p w14:paraId="2A4C537B" w14:textId="5F422AC1" w:rsidR="00624FD3" w:rsidRPr="00417AFC" w:rsidRDefault="00624FD3" w:rsidP="00221864">
      <w:pPr>
        <w:pStyle w:val="Prrafodelista"/>
        <w:numPr>
          <w:ilvl w:val="0"/>
          <w:numId w:val="5"/>
        </w:numPr>
        <w:spacing w:line="360" w:lineRule="auto"/>
        <w:contextualSpacing/>
        <w:jc w:val="both"/>
        <w:rPr>
          <w:rFonts w:ascii="Palatino Linotype" w:eastAsia="Calibri" w:hAnsi="Palatino Linotype" w:cs="Tahoma"/>
          <w:b/>
          <w:iCs/>
          <w:sz w:val="22"/>
          <w:szCs w:val="22"/>
          <w:lang w:val="es-ES" w:eastAsia="es-ES_tradnl"/>
        </w:rPr>
      </w:pPr>
      <w:r w:rsidRPr="00417AFC">
        <w:rPr>
          <w:rFonts w:ascii="Palatino Linotype" w:eastAsia="Calibri" w:hAnsi="Palatino Linotype" w:cs="Tahoma"/>
          <w:b/>
          <w:iCs/>
          <w:sz w:val="22"/>
          <w:szCs w:val="22"/>
          <w:lang w:val="es-ES" w:eastAsia="es-ES_tradnl"/>
        </w:rPr>
        <w:t xml:space="preserve">Proceso de Responsabilidad Administrativa: </w:t>
      </w:r>
      <w:r w:rsidRPr="00417AFC">
        <w:rPr>
          <w:rFonts w:ascii="Palatino Linotype" w:eastAsia="Calibri" w:hAnsi="Palatino Linotype" w:cs="Tahoma"/>
          <w:iCs/>
          <w:sz w:val="22"/>
          <w:szCs w:val="22"/>
          <w:lang w:val="es-ES" w:eastAsia="es-ES_tradnl"/>
        </w:rPr>
        <w:t xml:space="preserve">Falta grave (ante el Tribunal de Justifica Administrativa del Estado de México), falta no grave (ante el </w:t>
      </w:r>
      <w:r w:rsidR="00651921">
        <w:rPr>
          <w:rFonts w:ascii="Palatino Linotype" w:hAnsi="Palatino Linotype" w:cs="Tahoma"/>
          <w:bCs/>
          <w:iCs/>
          <w:sz w:val="22"/>
          <w:szCs w:val="22"/>
        </w:rPr>
        <w:t>Organismo</w:t>
      </w:r>
      <w:r w:rsidRPr="00417AFC">
        <w:rPr>
          <w:rFonts w:ascii="Palatino Linotype" w:hAnsi="Palatino Linotype" w:cs="Tahoma"/>
          <w:bCs/>
          <w:iCs/>
          <w:sz w:val="22"/>
          <w:szCs w:val="22"/>
        </w:rPr>
        <w:t xml:space="preserve"> Interno de Control</w:t>
      </w:r>
      <w:r w:rsidRPr="00417AFC">
        <w:rPr>
          <w:rFonts w:ascii="Palatino Linotype" w:eastAsia="Calibri" w:hAnsi="Palatino Linotype" w:cs="Tahoma"/>
          <w:iCs/>
          <w:sz w:val="22"/>
          <w:szCs w:val="22"/>
          <w:lang w:val="es-ES" w:eastAsia="es-ES_tradnl"/>
        </w:rPr>
        <w:t>), dicho procedimiento se lleva conforme a lo siguiente:</w:t>
      </w:r>
    </w:p>
    <w:p w14:paraId="13E13632" w14:textId="77777777" w:rsidR="00624FD3" w:rsidRPr="00417AFC" w:rsidRDefault="00624FD3" w:rsidP="00221864">
      <w:pPr>
        <w:pStyle w:val="Prrafodelista"/>
        <w:numPr>
          <w:ilvl w:val="0"/>
          <w:numId w:val="6"/>
        </w:numPr>
        <w:spacing w:line="360" w:lineRule="auto"/>
        <w:contextualSpacing/>
        <w:jc w:val="both"/>
        <w:rPr>
          <w:rFonts w:ascii="Palatino Linotype" w:eastAsia="Calibri" w:hAnsi="Palatino Linotype" w:cs="Tahoma"/>
          <w:b/>
          <w:iCs/>
          <w:sz w:val="22"/>
          <w:szCs w:val="22"/>
          <w:lang w:val="es-ES" w:eastAsia="es-ES_tradnl"/>
        </w:rPr>
      </w:pPr>
      <w:r w:rsidRPr="00417AFC">
        <w:rPr>
          <w:rFonts w:ascii="Palatino Linotype" w:eastAsia="Calibri" w:hAnsi="Palatino Linotype" w:cs="Tahoma"/>
          <w:iCs/>
          <w:sz w:val="22"/>
          <w:szCs w:val="22"/>
          <w:lang w:val="es-ES" w:eastAsia="es-ES_tradnl"/>
        </w:rPr>
        <w:t>Se admite el Informe de Presunta Responsabilidad Administrativa;</w:t>
      </w:r>
    </w:p>
    <w:p w14:paraId="41E8CD78" w14:textId="77777777" w:rsidR="00624FD3" w:rsidRPr="00417AFC" w:rsidRDefault="00624FD3" w:rsidP="00221864">
      <w:pPr>
        <w:pStyle w:val="Prrafodelista"/>
        <w:numPr>
          <w:ilvl w:val="0"/>
          <w:numId w:val="6"/>
        </w:numPr>
        <w:spacing w:line="360" w:lineRule="auto"/>
        <w:contextualSpacing/>
        <w:jc w:val="both"/>
        <w:rPr>
          <w:rFonts w:ascii="Palatino Linotype" w:eastAsia="Calibri" w:hAnsi="Palatino Linotype" w:cs="Tahoma"/>
          <w:b/>
          <w:iCs/>
          <w:sz w:val="22"/>
          <w:szCs w:val="22"/>
          <w:lang w:val="es-ES" w:eastAsia="es-ES_tradnl"/>
        </w:rPr>
      </w:pPr>
      <w:r w:rsidRPr="00417AFC">
        <w:rPr>
          <w:rFonts w:ascii="Palatino Linotype" w:eastAsia="Calibri" w:hAnsi="Palatino Linotype" w:cs="Tahoma"/>
          <w:iCs/>
          <w:sz w:val="22"/>
          <w:szCs w:val="22"/>
          <w:lang w:val="es-ES" w:eastAsia="es-ES_tradnl"/>
        </w:rPr>
        <w:t>Se ordena el emplazamiento, para citarlo a audiencia, así como a las partes que deban concurrir;</w:t>
      </w:r>
    </w:p>
    <w:p w14:paraId="1B1F3C01" w14:textId="77777777" w:rsidR="00624FD3" w:rsidRPr="00417AFC" w:rsidRDefault="00624FD3" w:rsidP="00221864">
      <w:pPr>
        <w:pStyle w:val="Prrafodelista"/>
        <w:numPr>
          <w:ilvl w:val="0"/>
          <w:numId w:val="6"/>
        </w:numPr>
        <w:spacing w:line="360" w:lineRule="auto"/>
        <w:contextualSpacing/>
        <w:jc w:val="both"/>
        <w:rPr>
          <w:rFonts w:ascii="Palatino Linotype" w:eastAsia="Calibri" w:hAnsi="Palatino Linotype" w:cs="Tahoma"/>
          <w:b/>
          <w:iCs/>
          <w:sz w:val="22"/>
          <w:szCs w:val="22"/>
          <w:lang w:val="es-ES" w:eastAsia="es-ES_tradnl"/>
        </w:rPr>
      </w:pPr>
      <w:r w:rsidRPr="00417AFC">
        <w:rPr>
          <w:rFonts w:ascii="Palatino Linotype" w:eastAsia="Calibri" w:hAnsi="Palatino Linotype" w:cs="Tahoma"/>
          <w:iCs/>
          <w:sz w:val="22"/>
          <w:szCs w:val="22"/>
          <w:lang w:val="es-ES" w:eastAsia="es-ES_tradnl"/>
        </w:rPr>
        <w:t>Se lleva a cabo la audiencia inicial, en donde el presunto responsable rendirá su declaración y ofrecerá las pruebas conducentes, son llamados los terceros interesados para que manifiesten lo que a su derecho convenga y entreguen pruebas. Así se concluye, dicha diligencia;</w:t>
      </w:r>
    </w:p>
    <w:p w14:paraId="184DA9D0" w14:textId="77777777" w:rsidR="00624FD3" w:rsidRPr="00417AFC" w:rsidRDefault="00624FD3" w:rsidP="00221864">
      <w:pPr>
        <w:pStyle w:val="Prrafodelista"/>
        <w:numPr>
          <w:ilvl w:val="0"/>
          <w:numId w:val="6"/>
        </w:numPr>
        <w:spacing w:line="360" w:lineRule="auto"/>
        <w:contextualSpacing/>
        <w:jc w:val="both"/>
        <w:rPr>
          <w:rFonts w:ascii="Palatino Linotype" w:eastAsia="Calibri" w:hAnsi="Palatino Linotype" w:cs="Tahoma"/>
          <w:b/>
          <w:iCs/>
          <w:sz w:val="22"/>
          <w:szCs w:val="22"/>
          <w:lang w:val="es-ES" w:eastAsia="es-ES_tradnl"/>
        </w:rPr>
      </w:pPr>
      <w:r w:rsidRPr="00417AFC">
        <w:rPr>
          <w:rFonts w:ascii="Palatino Linotype" w:eastAsia="Calibri" w:hAnsi="Palatino Linotype" w:cs="Tahoma"/>
          <w:iCs/>
          <w:sz w:val="22"/>
          <w:szCs w:val="22"/>
          <w:lang w:val="es-ES" w:eastAsia="es-ES_tradnl"/>
        </w:rPr>
        <w:t>Se admiten pruebas, se abre periodo de alegatos y posteriormente se cierra la instrucción.</w:t>
      </w:r>
    </w:p>
    <w:p w14:paraId="767853EC" w14:textId="77777777" w:rsidR="00624FD3" w:rsidRPr="00417AFC" w:rsidRDefault="00624FD3" w:rsidP="00221864">
      <w:pPr>
        <w:pStyle w:val="Prrafodelista"/>
        <w:numPr>
          <w:ilvl w:val="0"/>
          <w:numId w:val="6"/>
        </w:numPr>
        <w:spacing w:line="360" w:lineRule="auto"/>
        <w:contextualSpacing/>
        <w:jc w:val="both"/>
        <w:rPr>
          <w:rFonts w:ascii="Palatino Linotype" w:eastAsia="Calibri" w:hAnsi="Palatino Linotype" w:cs="Tahoma"/>
          <w:b/>
          <w:iCs/>
          <w:sz w:val="22"/>
          <w:szCs w:val="22"/>
          <w:lang w:val="es-ES" w:eastAsia="es-ES_tradnl"/>
        </w:rPr>
      </w:pPr>
      <w:r w:rsidRPr="00417AFC">
        <w:rPr>
          <w:rFonts w:ascii="Palatino Linotype" w:eastAsia="Calibri" w:hAnsi="Palatino Linotype" w:cs="Tahoma"/>
          <w:iCs/>
          <w:sz w:val="22"/>
          <w:szCs w:val="22"/>
          <w:lang w:val="es-ES" w:eastAsia="es-ES_tradnl"/>
        </w:rPr>
        <w:t>Se emite resolución, la cual deberá ser notificada al servidor público, al denunciante para su conocimiento y al jefe inmediato superior para efectos de ejecución.</w:t>
      </w:r>
    </w:p>
    <w:p w14:paraId="013869E4" w14:textId="77777777" w:rsidR="00624FD3" w:rsidRPr="00417AFC" w:rsidRDefault="00624FD3" w:rsidP="00221864">
      <w:pPr>
        <w:pStyle w:val="Prrafodelista"/>
        <w:spacing w:line="360" w:lineRule="auto"/>
        <w:ind w:left="1440"/>
        <w:jc w:val="both"/>
        <w:rPr>
          <w:rFonts w:ascii="Palatino Linotype" w:eastAsia="Calibri" w:hAnsi="Palatino Linotype" w:cs="Tahoma"/>
          <w:b/>
          <w:iCs/>
          <w:sz w:val="22"/>
          <w:szCs w:val="22"/>
          <w:lang w:val="es-ES" w:eastAsia="es-ES_tradnl"/>
        </w:rPr>
      </w:pPr>
    </w:p>
    <w:p w14:paraId="6C430BB2" w14:textId="086F1837" w:rsidR="00624FD3" w:rsidRPr="00417AFC" w:rsidRDefault="00624FD3" w:rsidP="00221864">
      <w:pPr>
        <w:spacing w:line="360" w:lineRule="auto"/>
        <w:jc w:val="both"/>
        <w:rPr>
          <w:rFonts w:ascii="Palatino Linotype" w:eastAsia="Batang" w:hAnsi="Palatino Linotype" w:cs="Tahoma"/>
          <w:bCs/>
          <w:sz w:val="22"/>
          <w:szCs w:val="22"/>
          <w:lang w:val="es-ES"/>
        </w:rPr>
      </w:pPr>
      <w:r w:rsidRPr="00417AFC">
        <w:rPr>
          <w:rFonts w:ascii="Palatino Linotype" w:eastAsia="Batang" w:hAnsi="Palatino Linotype" w:cs="Tahoma"/>
          <w:bCs/>
          <w:sz w:val="22"/>
          <w:szCs w:val="22"/>
          <w:lang w:val="es-ES"/>
        </w:rPr>
        <w:t xml:space="preserve">Por lo que hace a las sanciones, las mismas pueden clasificarse en aquellas que se derivan de los casos de responsabilidades administrativas graves o no graves; en este último caso, la Secretaría de la Contraloría o los </w:t>
      </w:r>
      <w:r w:rsidR="00651921">
        <w:rPr>
          <w:rFonts w:ascii="Palatino Linotype" w:eastAsia="Batang" w:hAnsi="Palatino Linotype" w:cs="Tahoma"/>
          <w:bCs/>
          <w:sz w:val="22"/>
          <w:szCs w:val="22"/>
          <w:lang w:val="es-ES"/>
        </w:rPr>
        <w:t>Organismo</w:t>
      </w:r>
      <w:r w:rsidRPr="00417AFC">
        <w:rPr>
          <w:rFonts w:ascii="Palatino Linotype" w:eastAsia="Batang" w:hAnsi="Palatino Linotype" w:cs="Tahoma"/>
          <w:bCs/>
          <w:sz w:val="22"/>
          <w:szCs w:val="22"/>
          <w:lang w:val="es-ES"/>
        </w:rPr>
        <w:t>s internos de control impondrán las sanciones administrativas siguientes:</w:t>
      </w:r>
    </w:p>
    <w:p w14:paraId="63248A86" w14:textId="77777777" w:rsidR="00624FD3" w:rsidRPr="00417AFC" w:rsidRDefault="00624FD3" w:rsidP="00221864">
      <w:pPr>
        <w:spacing w:line="360" w:lineRule="auto"/>
        <w:jc w:val="both"/>
        <w:rPr>
          <w:rFonts w:ascii="Palatino Linotype" w:eastAsia="Batang" w:hAnsi="Palatino Linotype" w:cs="Tahoma"/>
          <w:bCs/>
          <w:sz w:val="22"/>
          <w:szCs w:val="22"/>
          <w:lang w:val="es-ES"/>
        </w:rPr>
      </w:pPr>
    </w:p>
    <w:p w14:paraId="0BE31A6A" w14:textId="77777777" w:rsidR="00624FD3" w:rsidRPr="00417AFC" w:rsidRDefault="00624FD3" w:rsidP="00221864">
      <w:pPr>
        <w:spacing w:line="360" w:lineRule="auto"/>
        <w:ind w:left="567"/>
        <w:jc w:val="both"/>
        <w:rPr>
          <w:rFonts w:ascii="Palatino Linotype" w:eastAsia="Batang" w:hAnsi="Palatino Linotype" w:cs="Tahoma"/>
          <w:bCs/>
          <w:sz w:val="22"/>
          <w:szCs w:val="22"/>
          <w:lang w:val="es-ES"/>
        </w:rPr>
      </w:pPr>
      <w:r w:rsidRPr="00417AFC">
        <w:rPr>
          <w:rFonts w:ascii="Palatino Linotype" w:eastAsia="Batang" w:hAnsi="Palatino Linotype" w:cs="Tahoma"/>
          <w:bCs/>
          <w:sz w:val="22"/>
          <w:szCs w:val="22"/>
          <w:lang w:val="es-ES"/>
        </w:rPr>
        <w:t>I. Amonestación pública o privada.</w:t>
      </w:r>
    </w:p>
    <w:p w14:paraId="2278FEEB" w14:textId="77777777" w:rsidR="00624FD3" w:rsidRPr="00417AFC" w:rsidRDefault="00624FD3" w:rsidP="00221864">
      <w:pPr>
        <w:spacing w:line="360" w:lineRule="auto"/>
        <w:ind w:left="567"/>
        <w:jc w:val="both"/>
        <w:rPr>
          <w:rFonts w:ascii="Palatino Linotype" w:eastAsia="Batang" w:hAnsi="Palatino Linotype" w:cs="Tahoma"/>
          <w:bCs/>
          <w:sz w:val="22"/>
          <w:szCs w:val="22"/>
          <w:lang w:val="es-ES"/>
        </w:rPr>
      </w:pPr>
      <w:r w:rsidRPr="00417AFC">
        <w:rPr>
          <w:rFonts w:ascii="Palatino Linotype" w:eastAsia="Batang" w:hAnsi="Palatino Linotype" w:cs="Tahoma"/>
          <w:bCs/>
          <w:sz w:val="22"/>
          <w:szCs w:val="22"/>
          <w:lang w:val="es-ES"/>
        </w:rPr>
        <w:t>II. Suspensión del empleo, cargo o comisión, sin goce de sueldo por un periodo no menor de un día ni</w:t>
      </w:r>
      <w:r w:rsidRPr="00417AFC">
        <w:t xml:space="preserve"> </w:t>
      </w:r>
      <w:r w:rsidRPr="00417AFC">
        <w:rPr>
          <w:rFonts w:ascii="Palatino Linotype" w:eastAsia="Batang" w:hAnsi="Palatino Linotype" w:cs="Tahoma"/>
          <w:bCs/>
          <w:sz w:val="22"/>
          <w:szCs w:val="22"/>
          <w:lang w:val="es-ES"/>
        </w:rPr>
        <w:t>mayor a treinta días naturales.</w:t>
      </w:r>
    </w:p>
    <w:p w14:paraId="16D84FDF" w14:textId="77777777" w:rsidR="00624FD3" w:rsidRPr="00417AFC" w:rsidRDefault="00624FD3" w:rsidP="00221864">
      <w:pPr>
        <w:spacing w:line="360" w:lineRule="auto"/>
        <w:ind w:left="567"/>
        <w:jc w:val="both"/>
        <w:rPr>
          <w:rFonts w:ascii="Palatino Linotype" w:eastAsia="Batang" w:hAnsi="Palatino Linotype" w:cs="Tahoma"/>
          <w:bCs/>
          <w:sz w:val="22"/>
          <w:szCs w:val="22"/>
          <w:lang w:val="es-ES"/>
        </w:rPr>
      </w:pPr>
      <w:r w:rsidRPr="00417AFC">
        <w:rPr>
          <w:rFonts w:ascii="Palatino Linotype" w:eastAsia="Batang" w:hAnsi="Palatino Linotype" w:cs="Tahoma"/>
          <w:bCs/>
          <w:sz w:val="22"/>
          <w:szCs w:val="22"/>
          <w:lang w:val="es-ES"/>
        </w:rPr>
        <w:t>III. Destitución de su empleo, cargo o comisión.</w:t>
      </w:r>
    </w:p>
    <w:p w14:paraId="037CD0F8" w14:textId="77777777" w:rsidR="00624FD3" w:rsidRPr="00417AFC" w:rsidRDefault="00624FD3" w:rsidP="00221864">
      <w:pPr>
        <w:spacing w:line="360" w:lineRule="auto"/>
        <w:ind w:left="567"/>
        <w:jc w:val="both"/>
        <w:rPr>
          <w:rFonts w:ascii="Palatino Linotype" w:eastAsia="Batang" w:hAnsi="Palatino Linotype" w:cs="Tahoma"/>
          <w:bCs/>
          <w:sz w:val="22"/>
          <w:szCs w:val="22"/>
          <w:lang w:val="es-ES"/>
        </w:rPr>
      </w:pPr>
      <w:r w:rsidRPr="00417AFC">
        <w:rPr>
          <w:rFonts w:ascii="Palatino Linotype" w:eastAsia="Batang" w:hAnsi="Palatino Linotype" w:cs="Tahoma"/>
          <w:bCs/>
          <w:sz w:val="22"/>
          <w:szCs w:val="22"/>
          <w:lang w:val="es-ES"/>
        </w:rPr>
        <w:t>IV. Inhabilitación temporal para desempeñar empleos, cargos o comisiones en el servicio público y para participar en adquisiciones, arrendamientos, servicios u obras públicas, por un período no menor de tres meses ni mayor de un año.</w:t>
      </w:r>
    </w:p>
    <w:p w14:paraId="66695AFC" w14:textId="77777777" w:rsidR="00624FD3" w:rsidRPr="00417AFC" w:rsidRDefault="00624FD3" w:rsidP="00221864">
      <w:pPr>
        <w:spacing w:line="360" w:lineRule="auto"/>
        <w:jc w:val="both"/>
        <w:rPr>
          <w:rFonts w:ascii="Palatino Linotype" w:eastAsia="Batang" w:hAnsi="Palatino Linotype" w:cs="Tahoma"/>
          <w:bCs/>
          <w:sz w:val="22"/>
          <w:szCs w:val="22"/>
          <w:lang w:val="es-ES"/>
        </w:rPr>
      </w:pPr>
    </w:p>
    <w:p w14:paraId="72D46BC8" w14:textId="7C06F95E" w:rsidR="00624FD3" w:rsidRPr="00417AFC" w:rsidRDefault="00624FD3" w:rsidP="00221864">
      <w:pPr>
        <w:spacing w:line="360" w:lineRule="auto"/>
        <w:jc w:val="both"/>
        <w:rPr>
          <w:rFonts w:ascii="Palatino Linotype" w:eastAsia="Batang" w:hAnsi="Palatino Linotype" w:cs="Tahoma"/>
          <w:bCs/>
          <w:sz w:val="22"/>
          <w:szCs w:val="22"/>
          <w:lang w:val="es-ES"/>
        </w:rPr>
      </w:pPr>
      <w:r w:rsidRPr="00417AFC">
        <w:rPr>
          <w:rFonts w:ascii="Palatino Linotype" w:eastAsia="Batang" w:hAnsi="Palatino Linotype" w:cs="Tahoma"/>
          <w:bCs/>
          <w:sz w:val="22"/>
          <w:szCs w:val="22"/>
          <w:lang w:val="es-ES"/>
        </w:rPr>
        <w:t xml:space="preserve">Por otro lado, las </w:t>
      </w:r>
      <w:r w:rsidR="008864B7" w:rsidRPr="00417AFC">
        <w:rPr>
          <w:rFonts w:ascii="Palatino Linotype" w:eastAsia="Batang" w:hAnsi="Palatino Linotype" w:cs="Tahoma"/>
          <w:bCs/>
          <w:sz w:val="22"/>
          <w:szCs w:val="22"/>
          <w:lang w:val="es-ES"/>
        </w:rPr>
        <w:t>sanciones administrativas</w:t>
      </w:r>
      <w:r w:rsidRPr="00417AFC">
        <w:rPr>
          <w:rFonts w:ascii="Palatino Linotype" w:eastAsia="Batang" w:hAnsi="Palatino Linotype" w:cs="Tahoma"/>
          <w:bCs/>
          <w:sz w:val="22"/>
          <w:szCs w:val="22"/>
          <w:lang w:val="es-ES"/>
        </w:rPr>
        <w:t xml:space="preserve"> por la comisión de </w:t>
      </w:r>
      <w:r w:rsidR="008864B7" w:rsidRPr="00417AFC">
        <w:rPr>
          <w:rFonts w:ascii="Palatino Linotype" w:eastAsia="Batang" w:hAnsi="Palatino Linotype" w:cs="Tahoma"/>
          <w:bCs/>
          <w:sz w:val="22"/>
          <w:szCs w:val="22"/>
          <w:lang w:val="es-ES"/>
        </w:rPr>
        <w:t>faltas graves</w:t>
      </w:r>
      <w:r w:rsidRPr="00417AFC">
        <w:rPr>
          <w:rFonts w:ascii="Palatino Linotype" w:eastAsia="Batang" w:hAnsi="Palatino Linotype" w:cs="Tahoma"/>
          <w:bCs/>
          <w:sz w:val="22"/>
          <w:szCs w:val="22"/>
          <w:lang w:val="es-ES"/>
        </w:rPr>
        <w:t xml:space="preserve"> que imponga el Tribunal de Justicia Administrativa a los servidores </w:t>
      </w:r>
      <w:r w:rsidR="003168DA" w:rsidRPr="00417AFC">
        <w:rPr>
          <w:rFonts w:ascii="Palatino Linotype" w:eastAsia="Batang" w:hAnsi="Palatino Linotype" w:cs="Tahoma"/>
          <w:bCs/>
          <w:sz w:val="22"/>
          <w:szCs w:val="22"/>
          <w:lang w:val="es-ES"/>
        </w:rPr>
        <w:t>públicos</w:t>
      </w:r>
      <w:r w:rsidR="008864B7" w:rsidRPr="00417AFC">
        <w:rPr>
          <w:rFonts w:ascii="Palatino Linotype" w:eastAsia="Batang" w:hAnsi="Palatino Linotype" w:cs="Tahoma"/>
          <w:bCs/>
          <w:sz w:val="22"/>
          <w:szCs w:val="22"/>
          <w:lang w:val="es-ES"/>
        </w:rPr>
        <w:t xml:space="preserve"> consistirán</w:t>
      </w:r>
      <w:r w:rsidRPr="00417AFC">
        <w:rPr>
          <w:rFonts w:ascii="Palatino Linotype" w:eastAsia="Batang" w:hAnsi="Palatino Linotype" w:cs="Tahoma"/>
          <w:bCs/>
          <w:sz w:val="22"/>
          <w:szCs w:val="22"/>
          <w:lang w:val="es-ES"/>
        </w:rPr>
        <w:t xml:space="preserve"> en:</w:t>
      </w:r>
    </w:p>
    <w:p w14:paraId="5A37C99F" w14:textId="77777777" w:rsidR="00624FD3" w:rsidRPr="00417AFC" w:rsidRDefault="00624FD3" w:rsidP="00221864">
      <w:pPr>
        <w:spacing w:line="360" w:lineRule="auto"/>
        <w:jc w:val="both"/>
        <w:rPr>
          <w:rFonts w:ascii="Palatino Linotype" w:eastAsia="Batang" w:hAnsi="Palatino Linotype" w:cs="Tahoma"/>
          <w:bCs/>
          <w:sz w:val="22"/>
          <w:szCs w:val="22"/>
          <w:lang w:val="es-ES"/>
        </w:rPr>
      </w:pPr>
    </w:p>
    <w:p w14:paraId="293EBD3E" w14:textId="77777777" w:rsidR="00624FD3" w:rsidRPr="00417AFC" w:rsidRDefault="00624FD3" w:rsidP="00221864">
      <w:pPr>
        <w:spacing w:line="360" w:lineRule="auto"/>
        <w:ind w:left="567"/>
        <w:jc w:val="both"/>
        <w:rPr>
          <w:rFonts w:ascii="Palatino Linotype" w:eastAsia="Batang" w:hAnsi="Palatino Linotype" w:cs="Tahoma"/>
          <w:bCs/>
          <w:sz w:val="22"/>
          <w:szCs w:val="22"/>
          <w:lang w:val="es-ES"/>
        </w:rPr>
      </w:pPr>
      <w:r w:rsidRPr="00417AFC">
        <w:rPr>
          <w:rFonts w:ascii="Palatino Linotype" w:eastAsia="Batang" w:hAnsi="Palatino Linotype" w:cs="Tahoma"/>
          <w:bCs/>
          <w:sz w:val="22"/>
          <w:szCs w:val="22"/>
          <w:lang w:val="es-ES"/>
        </w:rPr>
        <w:t>I. Suspensión del empleo, cargo o comisión, sin goce de sueldo por un periodo no menor de treinta ni mayor a noventa días naturales.</w:t>
      </w:r>
    </w:p>
    <w:p w14:paraId="66EEBD40" w14:textId="77777777" w:rsidR="00624FD3" w:rsidRPr="00417AFC" w:rsidRDefault="00624FD3" w:rsidP="00221864">
      <w:pPr>
        <w:spacing w:line="360" w:lineRule="auto"/>
        <w:ind w:left="567"/>
        <w:jc w:val="both"/>
        <w:rPr>
          <w:rFonts w:ascii="Palatino Linotype" w:eastAsia="Batang" w:hAnsi="Palatino Linotype" w:cs="Tahoma"/>
          <w:bCs/>
          <w:sz w:val="22"/>
          <w:szCs w:val="22"/>
          <w:lang w:val="es-ES"/>
        </w:rPr>
      </w:pPr>
      <w:r w:rsidRPr="00417AFC">
        <w:rPr>
          <w:rFonts w:ascii="Palatino Linotype" w:eastAsia="Batang" w:hAnsi="Palatino Linotype" w:cs="Tahoma"/>
          <w:bCs/>
          <w:sz w:val="22"/>
          <w:szCs w:val="22"/>
          <w:lang w:val="es-ES"/>
        </w:rPr>
        <w:t>II. Destitución del empleo, cargo o comisión.</w:t>
      </w:r>
    </w:p>
    <w:p w14:paraId="6FDF3642" w14:textId="77777777" w:rsidR="00624FD3" w:rsidRPr="00417AFC" w:rsidRDefault="00624FD3" w:rsidP="00221864">
      <w:pPr>
        <w:spacing w:line="360" w:lineRule="auto"/>
        <w:ind w:left="567"/>
        <w:jc w:val="both"/>
        <w:rPr>
          <w:rFonts w:ascii="Palatino Linotype" w:eastAsia="Batang" w:hAnsi="Palatino Linotype" w:cs="Tahoma"/>
          <w:bCs/>
          <w:sz w:val="22"/>
          <w:szCs w:val="22"/>
          <w:lang w:val="es-ES"/>
        </w:rPr>
      </w:pPr>
      <w:r w:rsidRPr="00417AFC">
        <w:rPr>
          <w:rFonts w:ascii="Palatino Linotype" w:eastAsia="Batang" w:hAnsi="Palatino Linotype" w:cs="Tahoma"/>
          <w:bCs/>
          <w:sz w:val="22"/>
          <w:szCs w:val="22"/>
          <w:lang w:val="es-ES"/>
        </w:rPr>
        <w:t>III. Sanción económica.</w:t>
      </w:r>
    </w:p>
    <w:p w14:paraId="61318566" w14:textId="227B4E70" w:rsidR="00624FD3" w:rsidRPr="00417AFC" w:rsidRDefault="00624FD3" w:rsidP="00221864">
      <w:pPr>
        <w:spacing w:line="360" w:lineRule="auto"/>
        <w:ind w:left="567"/>
        <w:jc w:val="both"/>
        <w:rPr>
          <w:rFonts w:ascii="Palatino Linotype" w:eastAsia="Batang" w:hAnsi="Palatino Linotype" w:cs="Tahoma"/>
          <w:bCs/>
          <w:sz w:val="22"/>
          <w:szCs w:val="22"/>
          <w:lang w:val="es-ES"/>
        </w:rPr>
      </w:pPr>
      <w:r w:rsidRPr="00417AFC">
        <w:rPr>
          <w:rFonts w:ascii="Palatino Linotype" w:eastAsia="Batang" w:hAnsi="Palatino Linotype" w:cs="Tahoma"/>
          <w:bCs/>
          <w:sz w:val="22"/>
          <w:szCs w:val="22"/>
          <w:lang w:val="es-ES"/>
        </w:rPr>
        <w:t>IV. Inhabilitación temporal para desempeñar empleos, cargos o comisiones en el servicio público y para participar en adquisiciones, arrendamientos, servicios u obras públicas:</w:t>
      </w:r>
    </w:p>
    <w:p w14:paraId="43D78AF9" w14:textId="77777777" w:rsidR="00624FD3" w:rsidRPr="00417AFC" w:rsidRDefault="00624FD3" w:rsidP="00221864">
      <w:pPr>
        <w:spacing w:line="360" w:lineRule="auto"/>
        <w:ind w:left="567"/>
        <w:jc w:val="both"/>
        <w:rPr>
          <w:rFonts w:ascii="Palatino Linotype" w:eastAsia="Batang" w:hAnsi="Palatino Linotype" w:cs="Tahoma"/>
          <w:bCs/>
          <w:sz w:val="22"/>
          <w:szCs w:val="22"/>
          <w:lang w:val="es-ES"/>
        </w:rPr>
      </w:pPr>
      <w:r w:rsidRPr="00417AFC">
        <w:rPr>
          <w:rFonts w:ascii="Palatino Linotype" w:eastAsia="Batang" w:hAnsi="Palatino Linotype" w:cs="Tahoma"/>
          <w:bCs/>
          <w:sz w:val="22"/>
          <w:szCs w:val="22"/>
          <w:lang w:val="es-ES"/>
        </w:rPr>
        <w:t>Cuando no se causen daños o perjuicios, ni exista beneficio o lucro alguno, se podrán imponer de tres meses a un año de inhabilitación.</w:t>
      </w:r>
    </w:p>
    <w:p w14:paraId="3EFB4208" w14:textId="77777777" w:rsidR="00624FD3" w:rsidRPr="00417AFC" w:rsidRDefault="00624FD3" w:rsidP="00221864">
      <w:pPr>
        <w:spacing w:line="360" w:lineRule="auto"/>
        <w:jc w:val="both"/>
        <w:rPr>
          <w:rFonts w:ascii="Palatino Linotype" w:eastAsia="Batang" w:hAnsi="Palatino Linotype" w:cs="Tahoma"/>
          <w:bCs/>
          <w:sz w:val="22"/>
          <w:szCs w:val="22"/>
          <w:lang w:val="es-ES"/>
        </w:rPr>
      </w:pPr>
    </w:p>
    <w:p w14:paraId="48210300" w14:textId="537E6088" w:rsidR="00624FD3" w:rsidRPr="00417AFC" w:rsidRDefault="00624FD3" w:rsidP="00AD61EF">
      <w:pPr>
        <w:pBdr>
          <w:top w:val="nil"/>
          <w:left w:val="nil"/>
          <w:bottom w:val="nil"/>
          <w:right w:val="nil"/>
          <w:between w:val="nil"/>
        </w:pBdr>
        <w:spacing w:line="360" w:lineRule="auto"/>
        <w:jc w:val="both"/>
        <w:rPr>
          <w:rFonts w:ascii="Palatino Linotype" w:eastAsia="Batang" w:hAnsi="Palatino Linotype" w:cs="Tahoma"/>
          <w:bCs/>
          <w:sz w:val="22"/>
          <w:szCs w:val="22"/>
          <w:lang w:val="es-ES"/>
        </w:rPr>
      </w:pPr>
      <w:r w:rsidRPr="00417AFC">
        <w:rPr>
          <w:rFonts w:ascii="Palatino Linotype" w:eastAsia="Batang" w:hAnsi="Palatino Linotype" w:cs="Tahoma"/>
          <w:bCs/>
          <w:sz w:val="22"/>
          <w:szCs w:val="22"/>
          <w:lang w:val="es-ES"/>
        </w:rPr>
        <w:t xml:space="preserve">Ahora bien, la información solicitada consiste </w:t>
      </w:r>
      <w:r w:rsidR="00DC7A2D" w:rsidRPr="00417AFC">
        <w:rPr>
          <w:rFonts w:ascii="Palatino Linotype" w:eastAsia="Palatino Linotype" w:hAnsi="Palatino Linotype" w:cs="Palatino Linotype"/>
          <w:color w:val="000000"/>
          <w:sz w:val="22"/>
          <w:szCs w:val="22"/>
        </w:rPr>
        <w:t xml:space="preserve">conocer </w:t>
      </w:r>
      <w:r w:rsidR="003168DA">
        <w:rPr>
          <w:rFonts w:ascii="Palatino Linotype" w:eastAsia="Palatino Linotype" w:hAnsi="Palatino Linotype" w:cs="Palatino Linotype"/>
          <w:color w:val="000000"/>
          <w:sz w:val="22"/>
          <w:szCs w:val="22"/>
        </w:rPr>
        <w:t xml:space="preserve">las quejas y denuncias presentadas, así como </w:t>
      </w:r>
      <w:r w:rsidR="00DC7A2D" w:rsidRPr="00417AFC">
        <w:rPr>
          <w:rFonts w:ascii="Palatino Linotype" w:eastAsia="Palatino Linotype" w:hAnsi="Palatino Linotype" w:cs="Palatino Linotype"/>
          <w:color w:val="000000"/>
          <w:sz w:val="22"/>
          <w:szCs w:val="22"/>
        </w:rPr>
        <w:t xml:space="preserve">las sanciones aplicadas </w:t>
      </w:r>
      <w:r w:rsidR="003168DA">
        <w:rPr>
          <w:rFonts w:ascii="Palatino Linotype" w:eastAsia="Palatino Linotype" w:hAnsi="Palatino Linotype" w:cs="Palatino Linotype"/>
          <w:color w:val="000000"/>
          <w:sz w:val="22"/>
          <w:szCs w:val="22"/>
        </w:rPr>
        <w:t xml:space="preserve">(es de señalar que no necesariamente todas las sanciones derivan de una queja o denuncia) </w:t>
      </w:r>
      <w:r w:rsidR="00DC7A2D" w:rsidRPr="00417AFC">
        <w:rPr>
          <w:rFonts w:ascii="Palatino Linotype" w:eastAsia="Palatino Linotype" w:hAnsi="Palatino Linotype" w:cs="Palatino Linotype"/>
          <w:color w:val="000000"/>
          <w:sz w:val="22"/>
          <w:szCs w:val="22"/>
        </w:rPr>
        <w:t xml:space="preserve">durante el periodo comprendido del 1 de enero de 2018 al 16 de noviembre de 2021, </w:t>
      </w:r>
      <w:r w:rsidR="003168DA">
        <w:rPr>
          <w:rFonts w:ascii="Palatino Linotype" w:eastAsia="Palatino Linotype" w:hAnsi="Palatino Linotype" w:cs="Palatino Linotype"/>
          <w:color w:val="000000"/>
          <w:sz w:val="22"/>
          <w:szCs w:val="22"/>
        </w:rPr>
        <w:t>con</w:t>
      </w:r>
      <w:r w:rsidR="00DC7A2D" w:rsidRPr="00417AFC">
        <w:rPr>
          <w:rFonts w:ascii="Palatino Linotype" w:eastAsia="Palatino Linotype" w:hAnsi="Palatino Linotype" w:cs="Palatino Linotype"/>
          <w:color w:val="000000"/>
          <w:sz w:val="22"/>
          <w:szCs w:val="22"/>
        </w:rPr>
        <w:t xml:space="preserve"> nombre, cargo y motivo de la sanción de los servidores púbicos</w:t>
      </w:r>
      <w:r w:rsidRPr="00417AFC">
        <w:rPr>
          <w:rFonts w:ascii="Palatino Linotype" w:eastAsia="Batang" w:hAnsi="Palatino Linotype" w:cs="Tahoma"/>
          <w:bCs/>
          <w:sz w:val="22"/>
          <w:szCs w:val="22"/>
          <w:lang w:val="es-ES"/>
        </w:rPr>
        <w:t xml:space="preserve">, la cual forzosamente debe derivarse como consecuencia de un </w:t>
      </w:r>
      <w:r w:rsidR="008864B7" w:rsidRPr="00417AFC">
        <w:rPr>
          <w:rFonts w:ascii="Palatino Linotype" w:eastAsia="Batang" w:hAnsi="Palatino Linotype" w:cs="Tahoma"/>
          <w:bCs/>
          <w:sz w:val="22"/>
          <w:szCs w:val="22"/>
          <w:lang w:val="es-ES"/>
        </w:rPr>
        <w:t>procedimiento de</w:t>
      </w:r>
      <w:r w:rsidRPr="00417AFC">
        <w:rPr>
          <w:rFonts w:ascii="Palatino Linotype" w:eastAsia="Batang" w:hAnsi="Palatino Linotype" w:cs="Tahoma"/>
          <w:bCs/>
          <w:sz w:val="22"/>
          <w:szCs w:val="22"/>
          <w:lang w:val="es-ES"/>
        </w:rPr>
        <w:t xml:space="preserve"> responsabilidad administrativa concluido, por lo que se considera que se debe analizar si los procedimientos de responsabilidades </w:t>
      </w:r>
      <w:r w:rsidR="008864B7" w:rsidRPr="00417AFC">
        <w:rPr>
          <w:rFonts w:ascii="Palatino Linotype" w:eastAsia="Batang" w:hAnsi="Palatino Linotype" w:cs="Tahoma"/>
          <w:bCs/>
          <w:sz w:val="22"/>
          <w:szCs w:val="22"/>
          <w:lang w:val="es-ES"/>
        </w:rPr>
        <w:t>administrativas concluidos</w:t>
      </w:r>
      <w:r w:rsidRPr="00417AFC">
        <w:rPr>
          <w:rFonts w:ascii="Palatino Linotype" w:eastAsia="Batang" w:hAnsi="Palatino Linotype" w:cs="Tahoma"/>
          <w:bCs/>
          <w:sz w:val="22"/>
          <w:szCs w:val="22"/>
          <w:lang w:val="es-ES"/>
        </w:rPr>
        <w:t>, es decir que ya causaron estado, son públicos o reservados.</w:t>
      </w:r>
    </w:p>
    <w:p w14:paraId="0C83C934" w14:textId="77777777" w:rsidR="00AD28F9" w:rsidRDefault="00AD28F9" w:rsidP="00221864">
      <w:pPr>
        <w:spacing w:line="360" w:lineRule="auto"/>
        <w:jc w:val="both"/>
        <w:rPr>
          <w:rFonts w:ascii="Palatino Linotype" w:eastAsia="Calibri" w:hAnsi="Palatino Linotype" w:cs="Tahoma"/>
          <w:b/>
          <w:bCs/>
          <w:iCs/>
          <w:sz w:val="22"/>
          <w:szCs w:val="22"/>
          <w:lang w:val="es-ES" w:eastAsia="es-ES_tradnl"/>
        </w:rPr>
      </w:pPr>
    </w:p>
    <w:p w14:paraId="137E2D4F" w14:textId="22E37ECA" w:rsidR="00624FD3" w:rsidRPr="00417AFC" w:rsidRDefault="00624FD3" w:rsidP="00221864">
      <w:pPr>
        <w:spacing w:line="360" w:lineRule="auto"/>
        <w:jc w:val="both"/>
        <w:rPr>
          <w:rFonts w:ascii="Palatino Linotype" w:eastAsia="Calibri" w:hAnsi="Palatino Linotype" w:cs="Tahoma"/>
          <w:b/>
          <w:iCs/>
          <w:sz w:val="22"/>
          <w:szCs w:val="22"/>
          <w:lang w:val="es-ES" w:eastAsia="es-ES_tradnl"/>
        </w:rPr>
      </w:pPr>
      <w:r w:rsidRPr="00417AFC">
        <w:rPr>
          <w:rFonts w:ascii="Palatino Linotype" w:eastAsia="Calibri" w:hAnsi="Palatino Linotype" w:cs="Tahoma"/>
          <w:b/>
          <w:bCs/>
          <w:iCs/>
          <w:sz w:val="22"/>
          <w:szCs w:val="22"/>
          <w:lang w:val="es-ES" w:eastAsia="es-ES_tradnl"/>
        </w:rPr>
        <w:t>Procedimiento administrativo de responsabilidades, concluido.</w:t>
      </w:r>
    </w:p>
    <w:p w14:paraId="6A9CEB31" w14:textId="77777777" w:rsidR="00624FD3" w:rsidRPr="00417AFC" w:rsidRDefault="00624FD3" w:rsidP="00221864">
      <w:pPr>
        <w:spacing w:line="360" w:lineRule="auto"/>
        <w:jc w:val="both"/>
        <w:rPr>
          <w:rFonts w:ascii="Palatino Linotype" w:eastAsia="Calibri" w:hAnsi="Palatino Linotype" w:cs="Tahoma"/>
          <w:bCs/>
          <w:sz w:val="22"/>
          <w:szCs w:val="22"/>
          <w:lang w:val="es-ES" w:eastAsia="en-US"/>
        </w:rPr>
      </w:pPr>
    </w:p>
    <w:p w14:paraId="417702EE" w14:textId="55375134" w:rsidR="00DC7A2D" w:rsidRPr="00417AFC" w:rsidRDefault="00624FD3" w:rsidP="00221864">
      <w:pPr>
        <w:spacing w:line="360" w:lineRule="auto"/>
        <w:jc w:val="both"/>
        <w:rPr>
          <w:rFonts w:ascii="Palatino Linotype" w:hAnsi="Palatino Linotype" w:cs="Tahoma"/>
          <w:bCs/>
          <w:sz w:val="22"/>
          <w:szCs w:val="22"/>
          <w:lang w:val="es-ES"/>
        </w:rPr>
      </w:pPr>
      <w:r w:rsidRPr="00417AFC">
        <w:rPr>
          <w:rFonts w:ascii="Palatino Linotype" w:hAnsi="Palatino Linotype" w:cs="Tahoma"/>
          <w:bCs/>
          <w:sz w:val="22"/>
          <w:szCs w:val="22"/>
          <w:lang w:val="es-ES"/>
        </w:rPr>
        <w:t xml:space="preserve">Al respecto, es de indicar que únicamente procede la reserva de la información de los procedimientos en trámite, por lo que, se considera que en el supuesto, de que </w:t>
      </w:r>
      <w:r w:rsidR="00DC7A2D" w:rsidRPr="00417AFC">
        <w:rPr>
          <w:rFonts w:ascii="Palatino Linotype" w:hAnsi="Palatino Linotype" w:cs="Tahoma"/>
          <w:b/>
          <w:bCs/>
          <w:sz w:val="22"/>
          <w:szCs w:val="22"/>
          <w:lang w:val="es-ES"/>
        </w:rPr>
        <w:t>EL SUJETO OBLIGADO</w:t>
      </w:r>
      <w:r w:rsidRPr="00417AFC">
        <w:rPr>
          <w:rFonts w:ascii="Palatino Linotype" w:hAnsi="Palatino Linotype" w:cs="Tahoma"/>
          <w:bCs/>
          <w:sz w:val="22"/>
          <w:szCs w:val="22"/>
          <w:lang w:val="es-ES"/>
        </w:rPr>
        <w:t xml:space="preserve"> cuente con información de expedientes de procedimientos de responsabilidades administrativas, que se encuentren concluidos y hayan causado estado, </w:t>
      </w:r>
      <w:r w:rsidR="00863379" w:rsidRPr="00417AFC">
        <w:rPr>
          <w:rFonts w:ascii="Palatino Linotype" w:hAnsi="Palatino Linotype" w:cs="Tahoma"/>
          <w:bCs/>
          <w:sz w:val="22"/>
          <w:szCs w:val="22"/>
          <w:lang w:val="es-ES"/>
        </w:rPr>
        <w:t xml:space="preserve"> los cuales hayan sido instaurados por </w:t>
      </w:r>
      <w:r w:rsidRPr="00417AFC">
        <w:rPr>
          <w:rFonts w:ascii="Palatino Linotype" w:hAnsi="Palatino Linotype" w:cs="Tahoma"/>
          <w:bCs/>
          <w:sz w:val="22"/>
          <w:szCs w:val="22"/>
          <w:lang w:val="es-ES"/>
        </w:rPr>
        <w:t>la Ley de Responsabilidades Administrativas, procede su entrega; lo anterior toma relevancia, pues con dicha información, se transparenta el cumplimiento de las funciones de la Contraloría Municipal</w:t>
      </w:r>
      <w:r w:rsidR="00DC7A2D" w:rsidRPr="00417AFC">
        <w:rPr>
          <w:rFonts w:ascii="Palatino Linotype" w:hAnsi="Palatino Linotype" w:cs="Tahoma"/>
          <w:bCs/>
          <w:sz w:val="22"/>
          <w:szCs w:val="22"/>
          <w:lang w:val="es-ES"/>
        </w:rPr>
        <w:t xml:space="preserve">, </w:t>
      </w:r>
      <w:r w:rsidRPr="00417AFC">
        <w:rPr>
          <w:rFonts w:ascii="Palatino Linotype" w:hAnsi="Palatino Linotype" w:cs="Tahoma"/>
          <w:bCs/>
          <w:sz w:val="22"/>
          <w:szCs w:val="22"/>
          <w:lang w:val="es-ES"/>
        </w:rPr>
        <w:t>además, que existe un interés público de la ciudadanía de conocer, que los servidores públicos, cumplen o no con sus atribuciones y la normatividad que los rige, dado que conforme a la Ley de Responsabilidades Administrativas del Estado de México y Municipios, dichos trabajadores deben ceñirse a los principios de disciplina, legalidad, objetividad, profesionalismo, honradez, lealtad, imparcialidad, integridad, rendición de cuentas, eficacia y eficiencia</w:t>
      </w:r>
      <w:r w:rsidR="00DC7A2D" w:rsidRPr="00417AFC">
        <w:rPr>
          <w:rFonts w:ascii="Palatino Linotype" w:hAnsi="Palatino Linotype" w:cs="Tahoma"/>
          <w:bCs/>
          <w:sz w:val="22"/>
          <w:szCs w:val="22"/>
          <w:lang w:val="es-ES"/>
        </w:rPr>
        <w:t>.</w:t>
      </w:r>
    </w:p>
    <w:p w14:paraId="55BC6681" w14:textId="77777777" w:rsidR="00624FD3" w:rsidRPr="00417AFC" w:rsidRDefault="00624FD3" w:rsidP="00221864">
      <w:pPr>
        <w:spacing w:line="360" w:lineRule="auto"/>
        <w:jc w:val="both"/>
        <w:rPr>
          <w:rFonts w:ascii="Palatino Linotype" w:eastAsia="Calibri" w:hAnsi="Palatino Linotype" w:cs="Tahoma"/>
          <w:bCs/>
          <w:sz w:val="22"/>
          <w:szCs w:val="22"/>
          <w:lang w:val="es-ES" w:eastAsia="en-US"/>
        </w:rPr>
      </w:pPr>
    </w:p>
    <w:p w14:paraId="37B5592D" w14:textId="0452CADA" w:rsidR="00624FD3" w:rsidRPr="00417AFC" w:rsidRDefault="00624FD3" w:rsidP="00221864">
      <w:pPr>
        <w:spacing w:line="360" w:lineRule="auto"/>
        <w:jc w:val="both"/>
        <w:rPr>
          <w:rFonts w:ascii="Palatino Linotype" w:eastAsia="Calibri" w:hAnsi="Palatino Linotype" w:cs="Tahoma"/>
          <w:bCs/>
          <w:sz w:val="22"/>
          <w:szCs w:val="22"/>
          <w:lang w:val="es-ES" w:eastAsia="en-US"/>
        </w:rPr>
      </w:pPr>
      <w:r w:rsidRPr="00417AFC">
        <w:rPr>
          <w:rFonts w:ascii="Palatino Linotype" w:eastAsia="Calibri" w:hAnsi="Palatino Linotype" w:cs="Tahoma"/>
          <w:bCs/>
          <w:sz w:val="22"/>
          <w:szCs w:val="22"/>
          <w:lang w:val="es-ES" w:eastAsia="en-US"/>
        </w:rPr>
        <w:t xml:space="preserve">En ese contexto, el estudio de la publicidad de la información contenida en los expedientes de responsabilidad administrativa </w:t>
      </w:r>
      <w:r w:rsidR="00AD61EF" w:rsidRPr="00417AFC">
        <w:rPr>
          <w:rFonts w:ascii="Palatino Linotype" w:eastAsia="Calibri" w:hAnsi="Palatino Linotype" w:cs="Tahoma"/>
          <w:bCs/>
          <w:sz w:val="22"/>
          <w:szCs w:val="22"/>
          <w:lang w:val="es-ES" w:eastAsia="en-US"/>
        </w:rPr>
        <w:t>concluidos</w:t>
      </w:r>
      <w:r w:rsidRPr="00417AFC">
        <w:rPr>
          <w:rFonts w:ascii="Palatino Linotype" w:eastAsia="Calibri" w:hAnsi="Palatino Linotype" w:cs="Tahoma"/>
          <w:bCs/>
          <w:sz w:val="22"/>
          <w:szCs w:val="22"/>
          <w:lang w:val="es-ES" w:eastAsia="en-US"/>
        </w:rPr>
        <w:t xml:space="preserve"> se realizará con base </w:t>
      </w:r>
      <w:r w:rsidR="00DC7A2D" w:rsidRPr="00417AFC">
        <w:rPr>
          <w:rFonts w:ascii="Palatino Linotype" w:eastAsia="Calibri" w:hAnsi="Palatino Linotype" w:cs="Tahoma"/>
          <w:bCs/>
          <w:sz w:val="22"/>
          <w:szCs w:val="22"/>
          <w:lang w:val="es-ES" w:eastAsia="en-US"/>
        </w:rPr>
        <w:t xml:space="preserve">en la </w:t>
      </w:r>
      <w:r w:rsidRPr="00417AFC">
        <w:rPr>
          <w:rFonts w:ascii="Palatino Linotype" w:eastAsia="Calibri" w:hAnsi="Palatino Linotype" w:cs="Tahoma"/>
          <w:bCs/>
          <w:sz w:val="22"/>
          <w:szCs w:val="22"/>
          <w:lang w:val="es-ES" w:eastAsia="en-US"/>
        </w:rPr>
        <w:t>Ley de Responsabilidades Administrativas del Estado de México y Municipios, que establece lo siguiente:</w:t>
      </w:r>
    </w:p>
    <w:p w14:paraId="432AE5EB" w14:textId="77777777" w:rsidR="00624FD3" w:rsidRPr="00417AFC" w:rsidRDefault="00624FD3" w:rsidP="00221864">
      <w:pPr>
        <w:spacing w:line="360" w:lineRule="auto"/>
        <w:jc w:val="both"/>
        <w:rPr>
          <w:rFonts w:ascii="Palatino Linotype" w:eastAsia="Calibri" w:hAnsi="Palatino Linotype" w:cs="Tahoma"/>
          <w:bCs/>
          <w:sz w:val="22"/>
          <w:szCs w:val="22"/>
          <w:lang w:val="es-ES" w:eastAsia="en-US"/>
        </w:rPr>
      </w:pPr>
    </w:p>
    <w:p w14:paraId="5FC348A7" w14:textId="1A9CB1BA" w:rsidR="00624FD3" w:rsidRPr="00417AFC" w:rsidRDefault="00624FD3" w:rsidP="00221864">
      <w:pPr>
        <w:pStyle w:val="Prrafodelista"/>
        <w:numPr>
          <w:ilvl w:val="0"/>
          <w:numId w:val="8"/>
        </w:numPr>
        <w:spacing w:line="360" w:lineRule="auto"/>
        <w:contextualSpacing/>
        <w:jc w:val="both"/>
        <w:rPr>
          <w:rFonts w:ascii="Palatino Linotype" w:eastAsia="Calibri" w:hAnsi="Palatino Linotype" w:cs="Tahoma"/>
          <w:b/>
          <w:bCs/>
          <w:sz w:val="22"/>
          <w:szCs w:val="22"/>
          <w:lang w:val="es-ES" w:eastAsia="en-US"/>
        </w:rPr>
      </w:pPr>
      <w:r w:rsidRPr="00417AFC">
        <w:rPr>
          <w:rFonts w:ascii="Palatino Linotype" w:eastAsia="Calibri" w:hAnsi="Palatino Linotype" w:cs="Tahoma"/>
          <w:b/>
          <w:bCs/>
          <w:sz w:val="22"/>
          <w:szCs w:val="22"/>
          <w:lang w:val="es-ES" w:eastAsia="en-US"/>
        </w:rPr>
        <w:t xml:space="preserve">(Artículo 3, fracción III): </w:t>
      </w:r>
      <w:r w:rsidRPr="00417AFC">
        <w:rPr>
          <w:rFonts w:ascii="Palatino Linotype" w:eastAsia="Calibri" w:hAnsi="Palatino Linotype" w:cs="Tahoma"/>
          <w:bCs/>
          <w:sz w:val="22"/>
          <w:szCs w:val="22"/>
          <w:lang w:val="es-ES" w:eastAsia="en-US"/>
        </w:rPr>
        <w:t xml:space="preserve">La autoridad resolutora es la </w:t>
      </w:r>
      <w:r w:rsidR="00863379" w:rsidRPr="00417AFC">
        <w:rPr>
          <w:rFonts w:ascii="Palatino Linotype" w:eastAsia="Calibri" w:hAnsi="Palatino Linotype" w:cs="Tahoma"/>
          <w:bCs/>
          <w:sz w:val="22"/>
          <w:szCs w:val="22"/>
          <w:lang w:val="es-ES" w:eastAsia="en-US"/>
        </w:rPr>
        <w:t>U</w:t>
      </w:r>
      <w:r w:rsidRPr="00417AFC">
        <w:rPr>
          <w:rFonts w:ascii="Palatino Linotype" w:eastAsia="Calibri" w:hAnsi="Palatino Linotype" w:cs="Tahoma"/>
          <w:bCs/>
          <w:sz w:val="22"/>
          <w:szCs w:val="22"/>
          <w:lang w:val="es-ES" w:eastAsia="en-US"/>
        </w:rPr>
        <w:t xml:space="preserve">nidad de </w:t>
      </w:r>
      <w:r w:rsidR="00863379" w:rsidRPr="00417AFC">
        <w:rPr>
          <w:rFonts w:ascii="Palatino Linotype" w:eastAsia="Calibri" w:hAnsi="Palatino Linotype" w:cs="Tahoma"/>
          <w:bCs/>
          <w:sz w:val="22"/>
          <w:szCs w:val="22"/>
          <w:lang w:val="es-ES" w:eastAsia="en-US"/>
        </w:rPr>
        <w:t>R</w:t>
      </w:r>
      <w:r w:rsidRPr="00417AFC">
        <w:rPr>
          <w:rFonts w:ascii="Palatino Linotype" w:eastAsia="Calibri" w:hAnsi="Palatino Linotype" w:cs="Tahoma"/>
          <w:bCs/>
          <w:sz w:val="22"/>
          <w:szCs w:val="22"/>
          <w:lang w:val="es-ES" w:eastAsia="en-US"/>
        </w:rPr>
        <w:t xml:space="preserve">esponsabilidades, que forma parte del </w:t>
      </w:r>
      <w:r w:rsidR="00651921">
        <w:rPr>
          <w:rFonts w:ascii="Palatino Linotype" w:eastAsia="Calibri" w:hAnsi="Palatino Linotype" w:cs="Tahoma"/>
          <w:bCs/>
          <w:sz w:val="22"/>
          <w:szCs w:val="22"/>
          <w:lang w:val="es-ES" w:eastAsia="en-US"/>
        </w:rPr>
        <w:t>Organismo</w:t>
      </w:r>
      <w:r w:rsidRPr="00417AFC">
        <w:rPr>
          <w:rFonts w:ascii="Palatino Linotype" w:eastAsia="Calibri" w:hAnsi="Palatino Linotype" w:cs="Tahoma"/>
          <w:bCs/>
          <w:sz w:val="22"/>
          <w:szCs w:val="22"/>
          <w:lang w:val="es-ES" w:eastAsia="en-US"/>
        </w:rPr>
        <w:t xml:space="preserve"> </w:t>
      </w:r>
      <w:r w:rsidR="00863379" w:rsidRPr="00417AFC">
        <w:rPr>
          <w:rFonts w:ascii="Palatino Linotype" w:eastAsia="Calibri" w:hAnsi="Palatino Linotype" w:cs="Tahoma"/>
          <w:bCs/>
          <w:sz w:val="22"/>
          <w:szCs w:val="22"/>
          <w:lang w:val="es-ES" w:eastAsia="en-US"/>
        </w:rPr>
        <w:t>I</w:t>
      </w:r>
      <w:r w:rsidRPr="00417AFC">
        <w:rPr>
          <w:rFonts w:ascii="Palatino Linotype" w:eastAsia="Calibri" w:hAnsi="Palatino Linotype" w:cs="Tahoma"/>
          <w:bCs/>
          <w:sz w:val="22"/>
          <w:szCs w:val="22"/>
          <w:lang w:val="es-ES" w:eastAsia="en-US"/>
        </w:rPr>
        <w:t xml:space="preserve">nterno de </w:t>
      </w:r>
      <w:r w:rsidR="00863379" w:rsidRPr="00417AFC">
        <w:rPr>
          <w:rFonts w:ascii="Palatino Linotype" w:eastAsia="Calibri" w:hAnsi="Palatino Linotype" w:cs="Tahoma"/>
          <w:bCs/>
          <w:sz w:val="22"/>
          <w:szCs w:val="22"/>
          <w:lang w:val="es-ES" w:eastAsia="en-US"/>
        </w:rPr>
        <w:t>C</w:t>
      </w:r>
      <w:r w:rsidRPr="00417AFC">
        <w:rPr>
          <w:rFonts w:ascii="Palatino Linotype" w:eastAsia="Calibri" w:hAnsi="Palatino Linotype" w:cs="Tahoma"/>
          <w:bCs/>
          <w:sz w:val="22"/>
          <w:szCs w:val="22"/>
          <w:lang w:val="es-ES" w:eastAsia="en-US"/>
        </w:rPr>
        <w:t>ontrol (por faltas administrativa no graves) y el Tribunal de Justicia Administrativa del Estado de México (por faltas administrativas graves).</w:t>
      </w:r>
    </w:p>
    <w:p w14:paraId="61C7182A" w14:textId="77777777" w:rsidR="00624FD3" w:rsidRPr="00417AFC" w:rsidRDefault="00624FD3" w:rsidP="00221864">
      <w:pPr>
        <w:pStyle w:val="Prrafodelista"/>
        <w:spacing w:line="360" w:lineRule="auto"/>
        <w:ind w:left="780"/>
        <w:jc w:val="both"/>
        <w:rPr>
          <w:rFonts w:ascii="Palatino Linotype" w:eastAsia="Calibri" w:hAnsi="Palatino Linotype" w:cs="Tahoma"/>
          <w:b/>
          <w:bCs/>
          <w:sz w:val="22"/>
          <w:szCs w:val="22"/>
          <w:lang w:eastAsia="en-US"/>
        </w:rPr>
      </w:pPr>
    </w:p>
    <w:p w14:paraId="2DF6F9DF" w14:textId="085AFF5F" w:rsidR="00624FD3" w:rsidRPr="00417AFC" w:rsidRDefault="00624FD3" w:rsidP="00221864">
      <w:pPr>
        <w:pStyle w:val="Prrafodelista"/>
        <w:numPr>
          <w:ilvl w:val="0"/>
          <w:numId w:val="8"/>
        </w:numPr>
        <w:spacing w:line="360" w:lineRule="auto"/>
        <w:contextualSpacing/>
        <w:jc w:val="both"/>
        <w:rPr>
          <w:rFonts w:ascii="Palatino Linotype" w:eastAsia="Calibri" w:hAnsi="Palatino Linotype" w:cs="Tahoma"/>
          <w:b/>
          <w:bCs/>
          <w:sz w:val="22"/>
          <w:szCs w:val="22"/>
          <w:lang w:val="es-ES" w:eastAsia="en-US"/>
        </w:rPr>
      </w:pPr>
      <w:r w:rsidRPr="00417AFC">
        <w:rPr>
          <w:rFonts w:ascii="Palatino Linotype" w:eastAsia="Calibri" w:hAnsi="Palatino Linotype" w:cs="Tahoma"/>
          <w:b/>
          <w:bCs/>
          <w:sz w:val="22"/>
          <w:szCs w:val="22"/>
          <w:lang w:val="es-ES" w:eastAsia="en-US"/>
        </w:rPr>
        <w:t xml:space="preserve">(Artículo 10): </w:t>
      </w:r>
      <w:r w:rsidRPr="00417AFC">
        <w:rPr>
          <w:rFonts w:ascii="Palatino Linotype" w:eastAsia="Calibri" w:hAnsi="Palatino Linotype" w:cs="Tahoma"/>
          <w:bCs/>
          <w:sz w:val="22"/>
          <w:szCs w:val="22"/>
          <w:lang w:val="es-ES" w:eastAsia="en-US"/>
        </w:rPr>
        <w:t xml:space="preserve">Cuando los actos u omisiones de los servidores públicos, hayan sido </w:t>
      </w:r>
      <w:r w:rsidRPr="00417AFC">
        <w:rPr>
          <w:rFonts w:ascii="Palatino Linotype" w:eastAsia="Calibri" w:hAnsi="Palatino Linotype" w:cs="Tahoma"/>
          <w:b/>
          <w:bCs/>
          <w:sz w:val="22"/>
          <w:szCs w:val="22"/>
          <w:lang w:val="es-ES" w:eastAsia="en-US"/>
        </w:rPr>
        <w:t xml:space="preserve">calificados como faltas administrativas no graves, los </w:t>
      </w:r>
      <w:r w:rsidR="00651921">
        <w:rPr>
          <w:rFonts w:ascii="Palatino Linotype" w:eastAsia="Calibri" w:hAnsi="Palatino Linotype" w:cs="Tahoma"/>
          <w:b/>
          <w:bCs/>
          <w:sz w:val="22"/>
          <w:szCs w:val="22"/>
          <w:lang w:val="es-ES" w:eastAsia="en-US"/>
        </w:rPr>
        <w:t>Organismo</w:t>
      </w:r>
      <w:r w:rsidRPr="00417AFC">
        <w:rPr>
          <w:rFonts w:ascii="Palatino Linotype" w:eastAsia="Calibri" w:hAnsi="Palatino Linotype" w:cs="Tahoma"/>
          <w:b/>
          <w:bCs/>
          <w:sz w:val="22"/>
          <w:szCs w:val="22"/>
          <w:lang w:val="es-ES" w:eastAsia="en-US"/>
        </w:rPr>
        <w:t>s internos de control, serán los competentes para iniciar, substanciar y resolver</w:t>
      </w:r>
      <w:r w:rsidRPr="00417AFC">
        <w:rPr>
          <w:rFonts w:ascii="Palatino Linotype" w:eastAsia="Calibri" w:hAnsi="Palatino Linotype" w:cs="Tahoma"/>
          <w:bCs/>
          <w:sz w:val="22"/>
          <w:szCs w:val="22"/>
          <w:lang w:val="es-ES" w:eastAsia="en-US"/>
        </w:rPr>
        <w:t xml:space="preserve"> los procedimientos de responsabilidad administrativa.</w:t>
      </w:r>
    </w:p>
    <w:p w14:paraId="76DCA817" w14:textId="77777777" w:rsidR="00624FD3" w:rsidRPr="00417AFC" w:rsidRDefault="00624FD3" w:rsidP="00221864">
      <w:pPr>
        <w:pStyle w:val="Prrafodelista"/>
        <w:spacing w:line="360" w:lineRule="auto"/>
        <w:ind w:left="780"/>
        <w:jc w:val="both"/>
        <w:rPr>
          <w:rFonts w:ascii="Palatino Linotype" w:eastAsia="Calibri" w:hAnsi="Palatino Linotype" w:cs="Tahoma"/>
          <w:b/>
          <w:bCs/>
          <w:sz w:val="22"/>
          <w:szCs w:val="22"/>
          <w:lang w:val="es-ES" w:eastAsia="en-US"/>
        </w:rPr>
      </w:pPr>
    </w:p>
    <w:p w14:paraId="0A297085" w14:textId="77777777" w:rsidR="00624FD3" w:rsidRPr="00417AFC" w:rsidRDefault="00624FD3" w:rsidP="00221864">
      <w:pPr>
        <w:pStyle w:val="Prrafodelista"/>
        <w:numPr>
          <w:ilvl w:val="0"/>
          <w:numId w:val="8"/>
        </w:numPr>
        <w:spacing w:line="360" w:lineRule="auto"/>
        <w:contextualSpacing/>
        <w:jc w:val="both"/>
        <w:rPr>
          <w:rFonts w:ascii="Palatino Linotype" w:eastAsia="Calibri" w:hAnsi="Palatino Linotype" w:cs="Tahoma"/>
          <w:b/>
          <w:bCs/>
          <w:sz w:val="22"/>
          <w:szCs w:val="22"/>
          <w:lang w:val="es-ES" w:eastAsia="en-US"/>
        </w:rPr>
      </w:pPr>
      <w:r w:rsidRPr="00417AFC">
        <w:rPr>
          <w:rFonts w:ascii="Palatino Linotype" w:eastAsia="Calibri" w:hAnsi="Palatino Linotype" w:cs="Tahoma"/>
          <w:b/>
          <w:bCs/>
          <w:sz w:val="22"/>
          <w:szCs w:val="22"/>
          <w:lang w:val="es-ES" w:eastAsia="en-US"/>
        </w:rPr>
        <w:t xml:space="preserve">(Artículo 13): </w:t>
      </w:r>
      <w:r w:rsidRPr="00417AFC">
        <w:rPr>
          <w:rFonts w:ascii="Palatino Linotype" w:eastAsia="Calibri" w:hAnsi="Palatino Linotype" w:cs="Tahoma"/>
          <w:bCs/>
          <w:sz w:val="22"/>
          <w:szCs w:val="22"/>
          <w:lang w:val="es-ES" w:eastAsia="en-US"/>
        </w:rPr>
        <w:t xml:space="preserve">El </w:t>
      </w:r>
      <w:r w:rsidRPr="00417AFC">
        <w:rPr>
          <w:rFonts w:ascii="Palatino Linotype" w:eastAsia="Calibri" w:hAnsi="Palatino Linotype" w:cs="Tahoma"/>
          <w:b/>
          <w:bCs/>
          <w:sz w:val="22"/>
          <w:szCs w:val="22"/>
          <w:lang w:val="es-ES" w:eastAsia="en-US"/>
        </w:rPr>
        <w:t>Tribunal de Justicia Administrativa del Estado de México, es el encargado de resolver la imposición de sanciones por la comisión de faltas administrativas graves.</w:t>
      </w:r>
    </w:p>
    <w:p w14:paraId="72CE6306" w14:textId="77777777" w:rsidR="00624FD3" w:rsidRPr="00417AFC" w:rsidRDefault="00624FD3" w:rsidP="00AD61EF">
      <w:pPr>
        <w:pStyle w:val="Prrafodelista"/>
        <w:spacing w:line="360" w:lineRule="auto"/>
        <w:rPr>
          <w:rFonts w:ascii="Palatino Linotype" w:eastAsia="Calibri" w:hAnsi="Palatino Linotype" w:cs="Tahoma"/>
          <w:b/>
          <w:bCs/>
          <w:sz w:val="22"/>
          <w:szCs w:val="22"/>
          <w:lang w:val="es-ES" w:eastAsia="en-US"/>
        </w:rPr>
      </w:pPr>
    </w:p>
    <w:p w14:paraId="72B9CCAC" w14:textId="0E858493" w:rsidR="00624FD3" w:rsidRPr="00417AFC" w:rsidRDefault="00624FD3" w:rsidP="00221864">
      <w:pPr>
        <w:pStyle w:val="Prrafodelista"/>
        <w:numPr>
          <w:ilvl w:val="0"/>
          <w:numId w:val="8"/>
        </w:numPr>
        <w:spacing w:line="360" w:lineRule="auto"/>
        <w:contextualSpacing/>
        <w:jc w:val="both"/>
        <w:rPr>
          <w:rFonts w:ascii="Palatino Linotype" w:eastAsia="Calibri" w:hAnsi="Palatino Linotype" w:cs="Tahoma"/>
          <w:b/>
          <w:bCs/>
          <w:sz w:val="22"/>
          <w:szCs w:val="22"/>
          <w:lang w:val="es-ES" w:eastAsia="en-US"/>
        </w:rPr>
      </w:pPr>
      <w:r w:rsidRPr="00417AFC">
        <w:rPr>
          <w:rFonts w:ascii="Palatino Linotype" w:eastAsia="Calibri" w:hAnsi="Palatino Linotype" w:cs="Tahoma"/>
          <w:b/>
          <w:bCs/>
          <w:sz w:val="22"/>
          <w:szCs w:val="22"/>
          <w:lang w:val="es-ES" w:eastAsia="en-US"/>
        </w:rPr>
        <w:t xml:space="preserve">(Artículo 195): </w:t>
      </w:r>
      <w:r w:rsidRPr="00417AFC">
        <w:rPr>
          <w:rFonts w:ascii="Palatino Linotype" w:eastAsia="Calibri" w:hAnsi="Palatino Linotype" w:cs="Tahoma"/>
          <w:bCs/>
          <w:sz w:val="22"/>
          <w:szCs w:val="22"/>
          <w:lang w:val="es-ES" w:eastAsia="en-US"/>
        </w:rPr>
        <w:t xml:space="preserve">La autoridad substanciadora, una vez concluido la audiencia inicial de un posible procedimiento de responsabilidad administrativas graves, deberá enviar los autos originales del expediente al Tribunal de Justifica Administrativa del Estado de México; además, dicho ente, al emitir la resolución de la falta administrativa, la notificará al jefe inmediato o al Presidente Municipal, para los efectos de </w:t>
      </w:r>
      <w:r w:rsidR="00DC7A2D" w:rsidRPr="00417AFC">
        <w:rPr>
          <w:rFonts w:ascii="Palatino Linotype" w:eastAsia="Calibri" w:hAnsi="Palatino Linotype" w:cs="Tahoma"/>
          <w:bCs/>
          <w:sz w:val="22"/>
          <w:szCs w:val="22"/>
          <w:lang w:val="es-ES" w:eastAsia="en-US"/>
        </w:rPr>
        <w:t>su ejecución</w:t>
      </w:r>
      <w:r w:rsidRPr="00417AFC">
        <w:rPr>
          <w:rFonts w:ascii="Palatino Linotype" w:eastAsia="Calibri" w:hAnsi="Palatino Linotype" w:cs="Tahoma"/>
          <w:bCs/>
          <w:sz w:val="22"/>
          <w:szCs w:val="22"/>
          <w:lang w:val="es-ES" w:eastAsia="en-US"/>
        </w:rPr>
        <w:t xml:space="preserve">. </w:t>
      </w:r>
    </w:p>
    <w:p w14:paraId="5CEDC71D" w14:textId="77777777" w:rsidR="00624FD3" w:rsidRPr="00417AFC" w:rsidRDefault="00624FD3" w:rsidP="00221864">
      <w:pPr>
        <w:spacing w:line="360" w:lineRule="auto"/>
        <w:jc w:val="both"/>
        <w:rPr>
          <w:rFonts w:ascii="Palatino Linotype" w:eastAsia="Calibri" w:hAnsi="Palatino Linotype" w:cs="Tahoma"/>
          <w:bCs/>
          <w:sz w:val="22"/>
          <w:szCs w:val="22"/>
          <w:lang w:val="es-ES" w:eastAsia="en-US"/>
        </w:rPr>
      </w:pPr>
    </w:p>
    <w:p w14:paraId="28FC7B47" w14:textId="19DBE696" w:rsidR="00624FD3" w:rsidRPr="00417AFC" w:rsidRDefault="00624FD3" w:rsidP="00221864">
      <w:pPr>
        <w:spacing w:line="360" w:lineRule="auto"/>
        <w:jc w:val="both"/>
        <w:rPr>
          <w:rFonts w:ascii="Palatino Linotype" w:eastAsia="Calibri" w:hAnsi="Palatino Linotype" w:cs="Tahoma"/>
          <w:bCs/>
          <w:sz w:val="22"/>
          <w:szCs w:val="22"/>
          <w:lang w:val="es-ES" w:eastAsia="en-US"/>
        </w:rPr>
      </w:pPr>
      <w:r w:rsidRPr="00417AFC">
        <w:rPr>
          <w:rFonts w:ascii="Palatino Linotype" w:eastAsia="Calibri" w:hAnsi="Palatino Linotype" w:cs="Tahoma"/>
          <w:bCs/>
          <w:sz w:val="22"/>
          <w:szCs w:val="22"/>
          <w:lang w:val="es-ES" w:eastAsia="en-US"/>
        </w:rPr>
        <w:t xml:space="preserve">Conforme a lo citado, se logra advertir que la Contraloría Municipal cuenta con todos los documentos que conforman los expedientes de los procedimientos de responsabilidades administrativas no graves concluidos, que ya hayan causado estado </w:t>
      </w:r>
      <w:r w:rsidR="00DC7A2D" w:rsidRPr="00417AFC">
        <w:rPr>
          <w:rFonts w:ascii="Palatino Linotype" w:eastAsia="Calibri" w:hAnsi="Palatino Linotype" w:cs="Tahoma"/>
          <w:bCs/>
          <w:sz w:val="22"/>
          <w:szCs w:val="22"/>
          <w:lang w:val="es-ES" w:eastAsia="en-US"/>
        </w:rPr>
        <w:t>y,</w:t>
      </w:r>
      <w:r w:rsidRPr="00417AFC">
        <w:rPr>
          <w:rFonts w:ascii="Palatino Linotype" w:eastAsia="Calibri" w:hAnsi="Palatino Linotype" w:cs="Tahoma"/>
          <w:bCs/>
          <w:sz w:val="22"/>
          <w:szCs w:val="22"/>
          <w:lang w:val="es-ES" w:eastAsia="en-US"/>
        </w:rPr>
        <w:t xml:space="preserve"> por lo tanto, resulta procedente la entrega de la información relacionada con las sanciones impuestas.</w:t>
      </w:r>
    </w:p>
    <w:p w14:paraId="7912212A" w14:textId="77777777" w:rsidR="00624FD3" w:rsidRPr="00417AFC" w:rsidRDefault="00624FD3" w:rsidP="00221864">
      <w:pPr>
        <w:spacing w:line="360" w:lineRule="auto"/>
        <w:jc w:val="both"/>
        <w:rPr>
          <w:rFonts w:ascii="Palatino Linotype" w:eastAsia="Calibri" w:hAnsi="Palatino Linotype" w:cs="Tahoma"/>
          <w:bCs/>
          <w:sz w:val="22"/>
          <w:szCs w:val="22"/>
          <w:lang w:val="es-ES" w:eastAsia="en-US"/>
        </w:rPr>
      </w:pPr>
    </w:p>
    <w:p w14:paraId="478F484F" w14:textId="5D738715" w:rsidR="00624FD3" w:rsidRPr="00417AFC" w:rsidRDefault="00624FD3" w:rsidP="00221864">
      <w:pPr>
        <w:spacing w:line="360" w:lineRule="auto"/>
        <w:jc w:val="both"/>
        <w:rPr>
          <w:rFonts w:ascii="Palatino Linotype" w:eastAsia="Calibri" w:hAnsi="Palatino Linotype" w:cs="Tahoma"/>
          <w:bCs/>
          <w:sz w:val="22"/>
          <w:szCs w:val="22"/>
          <w:lang w:val="es-ES" w:eastAsia="en-US"/>
        </w:rPr>
      </w:pPr>
      <w:r w:rsidRPr="00417AFC">
        <w:rPr>
          <w:rFonts w:ascii="Palatino Linotype" w:eastAsia="Calibri" w:hAnsi="Palatino Linotype" w:cs="Tahoma"/>
          <w:bCs/>
          <w:sz w:val="22"/>
          <w:szCs w:val="22"/>
          <w:lang w:val="es-ES" w:eastAsia="en-US"/>
        </w:rPr>
        <w:t xml:space="preserve">Sin embargo, por lo que hace a los procedimientos terminados por faltas administrativas graves, </w:t>
      </w:r>
      <w:r w:rsidR="00DC7A2D" w:rsidRPr="00417AFC">
        <w:rPr>
          <w:rFonts w:ascii="Palatino Linotype" w:eastAsia="Calibri" w:hAnsi="Palatino Linotype" w:cs="Tahoma"/>
          <w:b/>
          <w:bCs/>
          <w:sz w:val="22"/>
          <w:szCs w:val="22"/>
          <w:lang w:val="es-ES" w:eastAsia="en-US"/>
        </w:rPr>
        <w:t>EL SUJETO OBLIGADO</w:t>
      </w:r>
      <w:r w:rsidRPr="00417AFC">
        <w:rPr>
          <w:rFonts w:ascii="Palatino Linotype" w:eastAsia="Calibri" w:hAnsi="Palatino Linotype" w:cs="Tahoma"/>
          <w:bCs/>
          <w:sz w:val="22"/>
          <w:szCs w:val="22"/>
          <w:lang w:val="es-ES" w:eastAsia="en-US"/>
        </w:rPr>
        <w:t xml:space="preserve">, por normatividad únicamente se encuentra constreñido a contar con la resolución, pues el expediente es remitido al Tribunal de Justifica Administrativa del Estado de México; no obstante, en el presente caso, no se tiene certeza de dicha situación, pues lo cierto, es que puede guardar una copia de respaldo en sus archivos; por lo que, </w:t>
      </w:r>
      <w:r w:rsidR="008B3905" w:rsidRPr="00417AFC">
        <w:rPr>
          <w:rFonts w:ascii="Palatino Linotype" w:eastAsia="Calibri" w:hAnsi="Palatino Linotype" w:cs="Tahoma"/>
          <w:bCs/>
          <w:sz w:val="22"/>
          <w:szCs w:val="22"/>
          <w:lang w:val="es-ES" w:eastAsia="en-US"/>
        </w:rPr>
        <w:t>para el caso en concreto</w:t>
      </w:r>
      <w:r w:rsidRPr="00417AFC">
        <w:rPr>
          <w:rFonts w:ascii="Palatino Linotype" w:eastAsia="Calibri" w:hAnsi="Palatino Linotype" w:cs="Tahoma"/>
          <w:bCs/>
          <w:sz w:val="22"/>
          <w:szCs w:val="22"/>
          <w:lang w:val="es-ES" w:eastAsia="en-US"/>
        </w:rPr>
        <w:t>, la Contraloría Municipal deberá entregar los documentos con los que cuente de dichos procedimientos, en donde no podrá omitir la determinación del Tribunal, para dar cumplimiento a los art</w:t>
      </w:r>
      <w:r w:rsidR="00DC7A2D" w:rsidRPr="00417AFC">
        <w:rPr>
          <w:rFonts w:ascii="Palatino Linotype" w:eastAsia="Calibri" w:hAnsi="Palatino Linotype" w:cs="Tahoma"/>
          <w:bCs/>
          <w:sz w:val="22"/>
          <w:szCs w:val="22"/>
          <w:lang w:val="es-ES" w:eastAsia="en-US"/>
        </w:rPr>
        <w:t xml:space="preserve">ículos 12 y 160 de la Ley de Transparencia y </w:t>
      </w:r>
      <w:r w:rsidR="00F533F3" w:rsidRPr="00417AFC">
        <w:rPr>
          <w:rFonts w:ascii="Palatino Linotype" w:eastAsia="Calibri" w:hAnsi="Palatino Linotype" w:cs="Tahoma"/>
          <w:bCs/>
          <w:sz w:val="22"/>
          <w:szCs w:val="22"/>
          <w:lang w:val="es-ES" w:eastAsia="en-US"/>
        </w:rPr>
        <w:t>Acceso a la Información Pública</w:t>
      </w:r>
      <w:r w:rsidR="00DC7A2D" w:rsidRPr="00417AFC">
        <w:rPr>
          <w:rFonts w:ascii="Palatino Linotype" w:eastAsia="Calibri" w:hAnsi="Palatino Linotype" w:cs="Tahoma"/>
          <w:bCs/>
          <w:sz w:val="22"/>
          <w:szCs w:val="22"/>
          <w:lang w:val="es-ES" w:eastAsia="en-US"/>
        </w:rPr>
        <w:t xml:space="preserve"> del Estado de México y Municipios</w:t>
      </w:r>
      <w:r w:rsidRPr="00417AFC">
        <w:rPr>
          <w:rFonts w:ascii="Palatino Linotype" w:eastAsia="Calibri" w:hAnsi="Palatino Linotype" w:cs="Tahoma"/>
          <w:bCs/>
          <w:sz w:val="22"/>
          <w:szCs w:val="22"/>
          <w:lang w:val="es-ES" w:eastAsia="en-US"/>
        </w:rPr>
        <w:t>.</w:t>
      </w:r>
    </w:p>
    <w:p w14:paraId="5ED5E8DF" w14:textId="77777777" w:rsidR="00624FD3" w:rsidRPr="00417AFC" w:rsidRDefault="00624FD3" w:rsidP="00221864">
      <w:pPr>
        <w:spacing w:line="360" w:lineRule="auto"/>
        <w:jc w:val="both"/>
        <w:rPr>
          <w:rFonts w:ascii="Palatino Linotype" w:eastAsia="Calibri" w:hAnsi="Palatino Linotype" w:cs="Tahoma"/>
          <w:bCs/>
          <w:sz w:val="22"/>
          <w:szCs w:val="22"/>
          <w:lang w:val="es-ES" w:eastAsia="en-US"/>
        </w:rPr>
      </w:pPr>
    </w:p>
    <w:p w14:paraId="4F539B9C" w14:textId="77777777" w:rsidR="00624FD3" w:rsidRPr="00417AFC" w:rsidRDefault="00624FD3" w:rsidP="00221864">
      <w:pPr>
        <w:spacing w:line="360" w:lineRule="auto"/>
        <w:jc w:val="both"/>
        <w:rPr>
          <w:rFonts w:ascii="Palatino Linotype" w:eastAsia="Calibri" w:hAnsi="Palatino Linotype" w:cs="Tahoma"/>
          <w:bCs/>
          <w:sz w:val="22"/>
          <w:szCs w:val="22"/>
          <w:lang w:val="es-ES" w:eastAsia="en-US"/>
        </w:rPr>
      </w:pPr>
      <w:r w:rsidRPr="00417AFC">
        <w:rPr>
          <w:rFonts w:ascii="Palatino Linotype" w:eastAsia="Calibri" w:hAnsi="Palatino Linotype" w:cs="Tahoma"/>
          <w:bCs/>
          <w:sz w:val="22"/>
          <w:szCs w:val="22"/>
          <w:lang w:val="es-ES" w:eastAsia="en-US"/>
        </w:rPr>
        <w:t>Ahora bien, toda vez que la información solicitada, se relaciona con servidores públicos en específico, los cuales pudieron haber recibido alguna sanción por posibles responsabilidades, se procede analizar si su nombre en dichos documentos es clasificado como confidencial, al poder causar un perjuicio a la vida privada de estos.</w:t>
      </w:r>
    </w:p>
    <w:p w14:paraId="55859F64" w14:textId="77777777" w:rsidR="00624FD3" w:rsidRPr="00417AFC" w:rsidRDefault="00624FD3" w:rsidP="00221864">
      <w:pPr>
        <w:spacing w:line="360" w:lineRule="auto"/>
        <w:jc w:val="both"/>
        <w:rPr>
          <w:rFonts w:ascii="Palatino Linotype" w:eastAsia="Calibri" w:hAnsi="Palatino Linotype" w:cs="Tahoma"/>
          <w:bCs/>
          <w:sz w:val="22"/>
          <w:szCs w:val="22"/>
          <w:lang w:val="es-ES" w:eastAsia="en-US"/>
        </w:rPr>
      </w:pPr>
    </w:p>
    <w:p w14:paraId="02409281" w14:textId="5F409A5A" w:rsidR="00624FD3" w:rsidRPr="00417AFC" w:rsidRDefault="00624FD3" w:rsidP="00221864">
      <w:pPr>
        <w:spacing w:line="360" w:lineRule="auto"/>
        <w:ind w:right="49"/>
        <w:jc w:val="both"/>
        <w:rPr>
          <w:rFonts w:ascii="Palatino Linotype" w:hAnsi="Palatino Linotype" w:cs="Tahoma"/>
          <w:sz w:val="22"/>
          <w:szCs w:val="22"/>
        </w:rPr>
      </w:pPr>
      <w:r w:rsidRPr="00417AFC">
        <w:rPr>
          <w:rFonts w:ascii="Palatino Linotype" w:hAnsi="Palatino Linotype" w:cs="Tahoma"/>
          <w:sz w:val="22"/>
          <w:szCs w:val="22"/>
        </w:rPr>
        <w:t xml:space="preserve">En principio, cabe mencionar que el artículo 6°, Apartado A), fracción II, de la Constitución Política de los Estados Unidos Mexicanos, prevé que </w:t>
      </w:r>
      <w:r w:rsidRPr="00417AFC">
        <w:rPr>
          <w:rFonts w:ascii="Palatino Linotype" w:hAnsi="Palatino Linotype" w:cs="Tahoma"/>
          <w:b/>
          <w:sz w:val="22"/>
          <w:szCs w:val="22"/>
        </w:rPr>
        <w:t xml:space="preserve">la información que se refiere a la vida privada y los datos </w:t>
      </w:r>
      <w:r w:rsidR="003168DA" w:rsidRPr="00417AFC">
        <w:rPr>
          <w:rFonts w:ascii="Palatino Linotype" w:hAnsi="Palatino Linotype" w:cs="Tahoma"/>
          <w:b/>
          <w:sz w:val="22"/>
          <w:szCs w:val="22"/>
        </w:rPr>
        <w:t>personales</w:t>
      </w:r>
      <w:r w:rsidRPr="00417AFC">
        <w:rPr>
          <w:rFonts w:ascii="Palatino Linotype" w:hAnsi="Palatino Linotype" w:cs="Tahoma"/>
          <w:b/>
          <w:sz w:val="22"/>
          <w:szCs w:val="22"/>
        </w:rPr>
        <w:t xml:space="preserve"> </w:t>
      </w:r>
      <w:r w:rsidRPr="00417AFC">
        <w:rPr>
          <w:rFonts w:ascii="Palatino Linotype" w:hAnsi="Palatino Linotype" w:cs="Tahoma"/>
          <w:sz w:val="22"/>
          <w:szCs w:val="22"/>
        </w:rPr>
        <w:t xml:space="preserve">será protegida en los términos y con las excepciones que fijen las leyes. </w:t>
      </w:r>
      <w:r w:rsidRPr="00417AFC">
        <w:rPr>
          <w:rFonts w:ascii="Palatino Linotype" w:hAnsi="Palatino Linotype" w:cs="Tahoma"/>
          <w:bCs/>
          <w:sz w:val="22"/>
          <w:szCs w:val="22"/>
        </w:rPr>
        <w:t xml:space="preserve">Igualmente, el segundo párrafo del artículo 16 de la </w:t>
      </w:r>
      <w:r w:rsidRPr="00417AFC">
        <w:rPr>
          <w:rFonts w:ascii="Palatino Linotype" w:hAnsi="Palatino Linotype" w:cs="Tahoma"/>
          <w:sz w:val="22"/>
          <w:szCs w:val="22"/>
        </w:rPr>
        <w:t>C</w:t>
      </w:r>
      <w:r w:rsidR="00590C81" w:rsidRPr="00417AFC">
        <w:rPr>
          <w:rFonts w:ascii="Palatino Linotype" w:hAnsi="Palatino Linotype" w:cs="Tahoma"/>
          <w:sz w:val="22"/>
          <w:szCs w:val="22"/>
        </w:rPr>
        <w:t xml:space="preserve">onstitución Política de los Estados Unidos Mexicanos que </w:t>
      </w:r>
      <w:r w:rsidRPr="00417AFC">
        <w:rPr>
          <w:rFonts w:ascii="Palatino Linotype" w:hAnsi="Palatino Linotype" w:cs="Tahoma"/>
          <w:bCs/>
          <w:sz w:val="22"/>
          <w:szCs w:val="22"/>
        </w:rPr>
        <w:t>dispone que t</w:t>
      </w:r>
      <w:r w:rsidRPr="00417AFC">
        <w:rPr>
          <w:rFonts w:ascii="Palatino Linotype" w:hAnsi="Palatino Linotype" w:cs="Tahoma"/>
          <w:sz w:val="22"/>
          <w:szCs w:val="22"/>
        </w:rPr>
        <w: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024103CF" w14:textId="77777777" w:rsidR="00624FD3" w:rsidRPr="00417AFC" w:rsidRDefault="00624FD3" w:rsidP="00221864">
      <w:pPr>
        <w:spacing w:line="360" w:lineRule="auto"/>
        <w:ind w:right="49"/>
        <w:jc w:val="both"/>
        <w:rPr>
          <w:rFonts w:ascii="Palatino Linotype" w:hAnsi="Palatino Linotype" w:cs="Tahoma"/>
          <w:sz w:val="22"/>
          <w:szCs w:val="22"/>
        </w:rPr>
      </w:pPr>
    </w:p>
    <w:p w14:paraId="133BBE5F" w14:textId="04A524A2" w:rsidR="00624FD3" w:rsidRPr="00417AFC" w:rsidRDefault="00624FD3" w:rsidP="00221864">
      <w:pPr>
        <w:spacing w:line="360" w:lineRule="auto"/>
        <w:ind w:right="-93"/>
        <w:jc w:val="both"/>
        <w:rPr>
          <w:rFonts w:ascii="Palatino Linotype" w:hAnsi="Palatino Linotype" w:cs="Tahoma"/>
          <w:sz w:val="22"/>
          <w:szCs w:val="22"/>
        </w:rPr>
      </w:pPr>
      <w:r w:rsidRPr="00417AFC">
        <w:rPr>
          <w:rFonts w:ascii="Palatino Linotype" w:eastAsia="Calibri" w:hAnsi="Palatino Linotype" w:cs="Tahoma"/>
          <w:bCs/>
          <w:sz w:val="22"/>
          <w:szCs w:val="22"/>
          <w:lang w:eastAsia="en-US"/>
        </w:rPr>
        <w:t xml:space="preserve">Acorde con lo anterior, la Ley General de Transparencia y </w:t>
      </w:r>
      <w:r w:rsidR="00F533F3" w:rsidRPr="00417AFC">
        <w:rPr>
          <w:rFonts w:ascii="Palatino Linotype" w:eastAsia="Calibri" w:hAnsi="Palatino Linotype" w:cs="Tahoma"/>
          <w:bCs/>
          <w:sz w:val="22"/>
          <w:szCs w:val="22"/>
          <w:lang w:eastAsia="en-US"/>
        </w:rPr>
        <w:t>Acceso a la Información Pública</w:t>
      </w:r>
      <w:r w:rsidRPr="00417AFC">
        <w:rPr>
          <w:rFonts w:ascii="Palatino Linotype" w:eastAsia="Calibri" w:hAnsi="Palatino Linotype" w:cs="Tahoma"/>
          <w:bCs/>
          <w:sz w:val="22"/>
          <w:szCs w:val="22"/>
          <w:lang w:eastAsia="en-US"/>
        </w:rPr>
        <w:t xml:space="preserve">, en su artículo 116, dispone que se considera información confidencial la que contenga datos personales concernientes a una persona física identificada o identificable. </w:t>
      </w:r>
      <w:r w:rsidRPr="00417AFC">
        <w:rPr>
          <w:rFonts w:ascii="Palatino Linotype" w:hAnsi="Palatino Linotype" w:cs="Tahoma"/>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76030664" w14:textId="77777777" w:rsidR="00624FD3" w:rsidRPr="00417AFC" w:rsidRDefault="00624FD3" w:rsidP="00221864">
      <w:pPr>
        <w:spacing w:line="360" w:lineRule="auto"/>
        <w:ind w:right="-93"/>
        <w:jc w:val="both"/>
        <w:rPr>
          <w:rFonts w:ascii="Palatino Linotype" w:hAnsi="Palatino Linotype" w:cs="Tahoma"/>
          <w:sz w:val="22"/>
          <w:szCs w:val="22"/>
        </w:rPr>
      </w:pPr>
    </w:p>
    <w:p w14:paraId="6D191245" w14:textId="63D5A7AF" w:rsidR="00624FD3" w:rsidRPr="00417AFC" w:rsidRDefault="00624FD3" w:rsidP="00221864">
      <w:pPr>
        <w:spacing w:line="360" w:lineRule="auto"/>
        <w:ind w:right="-93"/>
        <w:jc w:val="both"/>
        <w:rPr>
          <w:rFonts w:ascii="Palatino Linotype" w:eastAsia="Calibri" w:hAnsi="Palatino Linotype" w:cs="Tahoma"/>
          <w:bCs/>
          <w:sz w:val="22"/>
          <w:szCs w:val="22"/>
          <w:lang w:eastAsia="en-US"/>
        </w:rPr>
      </w:pPr>
      <w:r w:rsidRPr="00417AFC">
        <w:rPr>
          <w:rFonts w:ascii="Palatino Linotype" w:eastAsia="Calibri" w:hAnsi="Palatino Linotype" w:cs="Tahoma"/>
          <w:bCs/>
          <w:sz w:val="22"/>
          <w:szCs w:val="22"/>
          <w:lang w:eastAsia="en-US"/>
        </w:rPr>
        <w:t xml:space="preserve">Por su parte, el artículo 24, fracción VI, de la Ley de Transparencia y </w:t>
      </w:r>
      <w:r w:rsidR="00F533F3" w:rsidRPr="00417AFC">
        <w:rPr>
          <w:rFonts w:ascii="Palatino Linotype" w:eastAsia="Calibri" w:hAnsi="Palatino Linotype" w:cs="Tahoma"/>
          <w:bCs/>
          <w:sz w:val="22"/>
          <w:szCs w:val="22"/>
          <w:lang w:eastAsia="en-US"/>
        </w:rPr>
        <w:t>Acceso a la Información Pública</w:t>
      </w:r>
      <w:r w:rsidRPr="00417AFC">
        <w:rPr>
          <w:rFonts w:ascii="Palatino Linotype" w:eastAsia="Calibri" w:hAnsi="Palatino Linotype" w:cs="Tahoma"/>
          <w:bCs/>
          <w:sz w:val="22"/>
          <w:szCs w:val="22"/>
          <w:lang w:eastAsia="en-US"/>
        </w:rPr>
        <w:t xml:space="preserve"> del Estado de México y Municipios, precisa que los Sujetos Obligados serán los responsables de proteger y resguardar la información clasificada como reservada o confidencial.</w:t>
      </w:r>
    </w:p>
    <w:p w14:paraId="75DED713" w14:textId="77777777" w:rsidR="00624FD3" w:rsidRPr="00417AFC" w:rsidRDefault="00624FD3" w:rsidP="00221864">
      <w:pPr>
        <w:spacing w:line="360" w:lineRule="auto"/>
        <w:ind w:right="-93"/>
        <w:jc w:val="both"/>
        <w:rPr>
          <w:rFonts w:ascii="Palatino Linotype" w:eastAsia="Calibri" w:hAnsi="Palatino Linotype" w:cs="Tahoma"/>
          <w:bCs/>
          <w:sz w:val="22"/>
          <w:szCs w:val="22"/>
          <w:lang w:eastAsia="en-US"/>
        </w:rPr>
      </w:pPr>
    </w:p>
    <w:p w14:paraId="00EDF768" w14:textId="77777777" w:rsidR="00624FD3" w:rsidRPr="00417AFC" w:rsidRDefault="00624FD3" w:rsidP="00221864">
      <w:pPr>
        <w:spacing w:line="360" w:lineRule="auto"/>
        <w:ind w:right="-93"/>
        <w:jc w:val="both"/>
        <w:rPr>
          <w:rFonts w:ascii="Palatino Linotype" w:eastAsia="Calibri" w:hAnsi="Palatino Linotype" w:cs="Tahoma"/>
          <w:bCs/>
          <w:sz w:val="22"/>
          <w:szCs w:val="22"/>
          <w:lang w:eastAsia="en-US"/>
        </w:rPr>
      </w:pPr>
      <w:r w:rsidRPr="00417AFC">
        <w:rPr>
          <w:rFonts w:ascii="Palatino Linotype" w:eastAsia="Calibri" w:hAnsi="Palatino Linotype" w:cs="Tahoma"/>
          <w:bCs/>
          <w:sz w:val="22"/>
          <w:szCs w:val="22"/>
          <w:lang w:eastAsia="en-US"/>
        </w:rPr>
        <w:t xml:space="preserve">En concordancia con lo previo, el artículo 143, fracción I, de la Ley previamente citada, establece que </w:t>
      </w:r>
      <w:r w:rsidRPr="00417AFC">
        <w:rPr>
          <w:rFonts w:ascii="Palatino Linotype" w:eastAsia="Calibri" w:hAnsi="Palatino Linotype" w:cs="Tahoma"/>
          <w:sz w:val="22"/>
          <w:szCs w:val="22"/>
          <w:lang w:eastAsia="en-US"/>
        </w:rPr>
        <w:t>la información privada</w:t>
      </w:r>
      <w:r w:rsidRPr="00417AFC">
        <w:rPr>
          <w:rFonts w:ascii="Palatino Linotype" w:eastAsia="Calibri" w:hAnsi="Palatino Linotype" w:cs="Tahoma"/>
          <w:bCs/>
          <w:sz w:val="22"/>
          <w:szCs w:val="22"/>
          <w:lang w:eastAsia="en-US"/>
        </w:rPr>
        <w:t xml:space="preserve"> y los datos personales, concernientes a una persona física identificada o identificable son confidenciales.</w:t>
      </w:r>
    </w:p>
    <w:p w14:paraId="4438FBDD" w14:textId="77777777" w:rsidR="00624FD3" w:rsidRPr="00417AFC" w:rsidRDefault="00624FD3" w:rsidP="00221864">
      <w:pPr>
        <w:spacing w:line="360" w:lineRule="auto"/>
        <w:ind w:right="-93"/>
        <w:jc w:val="both"/>
        <w:rPr>
          <w:rFonts w:ascii="Palatino Linotype" w:eastAsia="Calibri" w:hAnsi="Palatino Linotype" w:cs="Tahoma"/>
          <w:bCs/>
          <w:sz w:val="22"/>
          <w:szCs w:val="22"/>
          <w:lang w:eastAsia="en-US"/>
        </w:rPr>
      </w:pPr>
    </w:p>
    <w:p w14:paraId="59233822" w14:textId="7EE0A685" w:rsidR="00624FD3" w:rsidRPr="00417AFC" w:rsidRDefault="00624FD3" w:rsidP="00221864">
      <w:pPr>
        <w:spacing w:line="360" w:lineRule="auto"/>
        <w:ind w:right="-93"/>
        <w:jc w:val="both"/>
        <w:rPr>
          <w:rFonts w:ascii="Palatino Linotype" w:eastAsia="Calibri" w:hAnsi="Palatino Linotype" w:cs="Tahoma"/>
          <w:bCs/>
          <w:sz w:val="22"/>
          <w:szCs w:val="22"/>
          <w:lang w:val="es-ES" w:eastAsia="en-US"/>
        </w:rPr>
      </w:pPr>
      <w:r w:rsidRPr="00417AFC">
        <w:rPr>
          <w:rFonts w:ascii="Palatino Linotype" w:eastAsia="Calibri" w:hAnsi="Palatino Linotype" w:cs="Tahoma"/>
          <w:bCs/>
          <w:sz w:val="22"/>
          <w:szCs w:val="22"/>
          <w:lang w:eastAsia="en-US"/>
        </w:rPr>
        <w:t xml:space="preserve">Asimismo, en el artículo 145 de la Ley de Transparencia y </w:t>
      </w:r>
      <w:r w:rsidR="00F533F3" w:rsidRPr="00417AFC">
        <w:rPr>
          <w:rFonts w:ascii="Palatino Linotype" w:eastAsia="Calibri" w:hAnsi="Palatino Linotype" w:cs="Tahoma"/>
          <w:bCs/>
          <w:sz w:val="22"/>
          <w:szCs w:val="22"/>
          <w:lang w:eastAsia="en-US"/>
        </w:rPr>
        <w:t>Acceso a la Información Pública</w:t>
      </w:r>
      <w:r w:rsidRPr="00417AFC">
        <w:rPr>
          <w:rFonts w:ascii="Palatino Linotype" w:eastAsia="Calibri" w:hAnsi="Palatino Linotype" w:cs="Tahoma"/>
          <w:bCs/>
          <w:sz w:val="22"/>
          <w:szCs w:val="22"/>
          <w:lang w:eastAsia="en-US"/>
        </w:rPr>
        <w:t xml:space="preserve"> del Estado de México y Municipios, prevé que para que los Sujetos Obligados </w:t>
      </w:r>
      <w:r w:rsidRPr="00417AFC">
        <w:rPr>
          <w:rFonts w:ascii="Palatino Linotype" w:eastAsia="Calibri" w:hAnsi="Palatino Linotype" w:cs="Tahoma"/>
          <w:bCs/>
          <w:sz w:val="22"/>
          <w:szCs w:val="22"/>
          <w:lang w:val="es-ES" w:eastAsia="en-US"/>
        </w:rPr>
        <w:t xml:space="preserve">puedan permitir el acceso a la información confidencial, requieren obtener el consentimiento de los particulares titulares de la información, excepto cuando </w:t>
      </w:r>
      <w:r w:rsidRPr="00417AFC">
        <w:rPr>
          <w:rFonts w:ascii="Palatino Linotype" w:eastAsia="Calibri" w:hAnsi="Palatino Linotype" w:cs="Tahoma"/>
          <w:b/>
          <w:bCs/>
          <w:sz w:val="22"/>
          <w:szCs w:val="22"/>
          <w:lang w:val="es-ES" w:eastAsia="en-US"/>
        </w:rPr>
        <w:t xml:space="preserve">i) </w:t>
      </w:r>
      <w:r w:rsidRPr="00417AFC">
        <w:rPr>
          <w:rFonts w:ascii="Palatino Linotype" w:eastAsia="Calibri" w:hAnsi="Palatino Linotype" w:cs="Tahoma"/>
          <w:bCs/>
          <w:sz w:val="22"/>
          <w:szCs w:val="22"/>
          <w:lang w:val="es-ES" w:eastAsia="en-US"/>
        </w:rPr>
        <w:t xml:space="preserve">la información se encuentre en registros públicos o fuentes de acceso público, </w:t>
      </w:r>
      <w:r w:rsidRPr="00417AFC">
        <w:rPr>
          <w:rFonts w:ascii="Palatino Linotype" w:eastAsia="Calibri" w:hAnsi="Palatino Linotype" w:cs="Tahoma"/>
          <w:b/>
          <w:bCs/>
          <w:sz w:val="22"/>
          <w:szCs w:val="22"/>
          <w:lang w:val="es-ES" w:eastAsia="en-US"/>
        </w:rPr>
        <w:t>ii)</w:t>
      </w:r>
      <w:r w:rsidRPr="00417AFC">
        <w:rPr>
          <w:rFonts w:ascii="Palatino Linotype" w:eastAsia="Calibri" w:hAnsi="Palatino Linotype" w:cs="Tahoma"/>
          <w:bCs/>
          <w:sz w:val="22"/>
          <w:szCs w:val="22"/>
          <w:lang w:val="es-ES" w:eastAsia="en-US"/>
        </w:rPr>
        <w:t xml:space="preserve"> por ley tenga el carácter de pública, </w:t>
      </w:r>
      <w:r w:rsidRPr="00417AFC">
        <w:rPr>
          <w:rFonts w:ascii="Palatino Linotype" w:eastAsia="Calibri" w:hAnsi="Palatino Linotype" w:cs="Tahoma"/>
          <w:b/>
          <w:bCs/>
          <w:sz w:val="22"/>
          <w:szCs w:val="22"/>
          <w:lang w:val="es-ES" w:eastAsia="en-US"/>
        </w:rPr>
        <w:t>iii)</w:t>
      </w:r>
      <w:r w:rsidRPr="00417AFC">
        <w:rPr>
          <w:rFonts w:ascii="Palatino Linotype" w:eastAsia="Calibri" w:hAnsi="Palatino Linotype" w:cs="Tahoma"/>
          <w:bCs/>
          <w:sz w:val="22"/>
          <w:szCs w:val="22"/>
          <w:lang w:val="es-ES" w:eastAsia="en-US"/>
        </w:rPr>
        <w:t xml:space="preserve"> exista una orden judicial, </w:t>
      </w:r>
      <w:r w:rsidRPr="00417AFC">
        <w:rPr>
          <w:rFonts w:ascii="Palatino Linotype" w:eastAsia="Calibri" w:hAnsi="Palatino Linotype" w:cs="Tahoma"/>
          <w:b/>
          <w:bCs/>
          <w:sz w:val="22"/>
          <w:szCs w:val="22"/>
          <w:lang w:val="es-ES" w:eastAsia="en-US"/>
        </w:rPr>
        <w:t>iv)</w:t>
      </w:r>
      <w:r w:rsidRPr="00417AFC">
        <w:rPr>
          <w:rFonts w:ascii="Palatino Linotype" w:eastAsia="Calibri" w:hAnsi="Palatino Linotype" w:cs="Tahoma"/>
          <w:bCs/>
          <w:sz w:val="22"/>
          <w:szCs w:val="22"/>
          <w:lang w:val="es-ES" w:eastAsia="en-US"/>
        </w:rPr>
        <w:t xml:space="preserve"> por razones de seguridad nacional y salubridad general o </w:t>
      </w:r>
      <w:r w:rsidRPr="00417AFC">
        <w:rPr>
          <w:rFonts w:ascii="Palatino Linotype" w:eastAsia="Calibri" w:hAnsi="Palatino Linotype" w:cs="Tahoma"/>
          <w:b/>
          <w:bCs/>
          <w:sz w:val="22"/>
          <w:szCs w:val="22"/>
          <w:lang w:val="es-ES" w:eastAsia="en-US"/>
        </w:rPr>
        <w:t>v)</w:t>
      </w:r>
      <w:r w:rsidRPr="00417AFC">
        <w:rPr>
          <w:rFonts w:ascii="Palatino Linotype" w:eastAsia="Calibri" w:hAnsi="Palatino Linotype" w:cs="Tahoma"/>
          <w:bCs/>
          <w:sz w:val="22"/>
          <w:szCs w:val="22"/>
          <w:lang w:val="es-ES" w:eastAsia="en-US"/>
        </w:rPr>
        <w:t xml:space="preserve"> para proteger los derechos de terceros o cuando se transmita entre sujetos obligados en términos de los tratados y los acuerdos interinstitucionales.</w:t>
      </w:r>
    </w:p>
    <w:p w14:paraId="372D5668" w14:textId="77777777" w:rsidR="00624FD3" w:rsidRPr="00417AFC" w:rsidRDefault="00624FD3" w:rsidP="00221864">
      <w:pPr>
        <w:spacing w:line="360" w:lineRule="auto"/>
        <w:ind w:right="-93"/>
        <w:jc w:val="both"/>
        <w:rPr>
          <w:rFonts w:ascii="Palatino Linotype" w:eastAsia="Calibri" w:hAnsi="Palatino Linotype" w:cs="Tahoma"/>
          <w:bCs/>
          <w:sz w:val="22"/>
          <w:szCs w:val="22"/>
          <w:lang w:eastAsia="en-US"/>
        </w:rPr>
      </w:pPr>
    </w:p>
    <w:p w14:paraId="61589664" w14:textId="77777777" w:rsidR="00624FD3" w:rsidRPr="00417AFC" w:rsidRDefault="00624FD3" w:rsidP="00221864">
      <w:pPr>
        <w:spacing w:line="360" w:lineRule="auto"/>
        <w:ind w:right="-93"/>
        <w:jc w:val="both"/>
        <w:rPr>
          <w:rFonts w:ascii="Palatino Linotype" w:eastAsia="Calibri" w:hAnsi="Palatino Linotype" w:cs="Tahoma"/>
          <w:bCs/>
          <w:sz w:val="22"/>
          <w:szCs w:val="22"/>
          <w:lang w:val="es-ES" w:eastAsia="en-US"/>
        </w:rPr>
      </w:pPr>
      <w:r w:rsidRPr="00417AFC">
        <w:rPr>
          <w:rFonts w:ascii="Palatino Linotype" w:eastAsia="Calibri" w:hAnsi="Palatino Linotype" w:cs="Tahoma"/>
          <w:bCs/>
          <w:sz w:val="22"/>
          <w:szCs w:val="22"/>
          <w:lang w:val="es-ES" w:eastAsia="en-US"/>
        </w:rPr>
        <w:t>En términos de lo expuesto, la documentación y aquellos datos que se consideren confidenciales, serán una limitante del derecho de acceso a la información, siempre y cuando:</w:t>
      </w:r>
    </w:p>
    <w:p w14:paraId="1E8E6687" w14:textId="77777777" w:rsidR="00624FD3" w:rsidRPr="00417AFC" w:rsidRDefault="00624FD3" w:rsidP="00221864">
      <w:pPr>
        <w:spacing w:line="360" w:lineRule="auto"/>
        <w:ind w:right="-93"/>
        <w:jc w:val="both"/>
        <w:rPr>
          <w:rFonts w:ascii="Palatino Linotype" w:eastAsia="Calibri" w:hAnsi="Palatino Linotype" w:cs="Tahoma"/>
          <w:bCs/>
          <w:sz w:val="22"/>
          <w:szCs w:val="22"/>
          <w:lang w:val="es-ES" w:eastAsia="en-US"/>
        </w:rPr>
      </w:pPr>
    </w:p>
    <w:p w14:paraId="5800079B" w14:textId="77777777" w:rsidR="00624FD3" w:rsidRPr="00417AFC" w:rsidRDefault="00624FD3" w:rsidP="00221864">
      <w:pPr>
        <w:numPr>
          <w:ilvl w:val="0"/>
          <w:numId w:val="7"/>
        </w:numPr>
        <w:spacing w:line="360" w:lineRule="auto"/>
        <w:ind w:right="-93"/>
        <w:jc w:val="both"/>
        <w:rPr>
          <w:rFonts w:ascii="Palatino Linotype" w:eastAsia="Calibri" w:hAnsi="Palatino Linotype" w:cs="Tahoma"/>
          <w:b/>
          <w:bCs/>
          <w:sz w:val="22"/>
          <w:szCs w:val="22"/>
          <w:lang w:val="es-ES" w:eastAsia="en-US"/>
        </w:rPr>
      </w:pPr>
      <w:r w:rsidRPr="00417AFC">
        <w:rPr>
          <w:rFonts w:ascii="Palatino Linotype" w:eastAsia="Calibri" w:hAnsi="Palatino Linotype" w:cs="Tahoma"/>
          <w:bCs/>
          <w:sz w:val="22"/>
          <w:szCs w:val="22"/>
          <w:lang w:val="es-ES" w:eastAsia="en-US"/>
        </w:rPr>
        <w:t>Se trate de</w:t>
      </w:r>
      <w:r w:rsidRPr="00417AFC">
        <w:rPr>
          <w:rFonts w:ascii="Palatino Linotype" w:eastAsia="Calibri" w:hAnsi="Palatino Linotype" w:cs="Tahoma"/>
          <w:b/>
          <w:bCs/>
          <w:sz w:val="22"/>
          <w:szCs w:val="22"/>
          <w:lang w:val="es-ES" w:eastAsia="en-US"/>
        </w:rPr>
        <w:t xml:space="preserve"> datos personales</w:t>
      </w:r>
      <w:r w:rsidRPr="00417AFC">
        <w:rPr>
          <w:rFonts w:ascii="Palatino Linotype" w:eastAsia="Calibri" w:hAnsi="Palatino Linotype" w:cs="Tahoma"/>
          <w:bCs/>
          <w:sz w:val="22"/>
          <w:szCs w:val="22"/>
          <w:lang w:val="es-ES" w:eastAsia="en-US"/>
        </w:rPr>
        <w:t xml:space="preserve">; esto es, información concerniente a una </w:t>
      </w:r>
      <w:r w:rsidRPr="00417AFC">
        <w:rPr>
          <w:rFonts w:ascii="Palatino Linotype" w:eastAsia="Calibri" w:hAnsi="Palatino Linotype" w:cs="Tahoma"/>
          <w:b/>
          <w:bCs/>
          <w:sz w:val="22"/>
          <w:szCs w:val="22"/>
          <w:lang w:val="es-ES" w:eastAsia="en-US"/>
        </w:rPr>
        <w:t>persona</w:t>
      </w:r>
      <w:r w:rsidRPr="00417AFC">
        <w:rPr>
          <w:rFonts w:ascii="Palatino Linotype" w:eastAsia="Calibri" w:hAnsi="Palatino Linotype" w:cs="Tahoma"/>
          <w:bCs/>
          <w:sz w:val="22"/>
          <w:szCs w:val="22"/>
          <w:lang w:val="es-ES" w:eastAsia="en-US"/>
        </w:rPr>
        <w:t xml:space="preserve"> </w:t>
      </w:r>
      <w:r w:rsidRPr="00417AFC">
        <w:rPr>
          <w:rFonts w:ascii="Palatino Linotype" w:eastAsia="Calibri" w:hAnsi="Palatino Linotype" w:cs="Tahoma"/>
          <w:b/>
          <w:bCs/>
          <w:sz w:val="22"/>
          <w:szCs w:val="22"/>
          <w:lang w:val="es-ES" w:eastAsia="en-US"/>
        </w:rPr>
        <w:t>física</w:t>
      </w:r>
      <w:r w:rsidRPr="00417AFC">
        <w:rPr>
          <w:rFonts w:ascii="Palatino Linotype" w:eastAsia="Calibri" w:hAnsi="Palatino Linotype" w:cs="Tahoma"/>
          <w:bCs/>
          <w:sz w:val="22"/>
          <w:szCs w:val="22"/>
          <w:lang w:val="es-ES" w:eastAsia="en-US"/>
        </w:rPr>
        <w:t xml:space="preserve"> y que ésta sea identificada o identificable. </w:t>
      </w:r>
    </w:p>
    <w:p w14:paraId="1430B8DA" w14:textId="77777777" w:rsidR="00624FD3" w:rsidRPr="00417AFC" w:rsidRDefault="00624FD3" w:rsidP="00221864">
      <w:pPr>
        <w:numPr>
          <w:ilvl w:val="0"/>
          <w:numId w:val="7"/>
        </w:numPr>
        <w:spacing w:line="360" w:lineRule="auto"/>
        <w:ind w:right="-93"/>
        <w:jc w:val="both"/>
        <w:rPr>
          <w:rFonts w:ascii="Palatino Linotype" w:eastAsia="Calibri" w:hAnsi="Palatino Linotype" w:cs="Tahoma"/>
          <w:bCs/>
          <w:sz w:val="22"/>
          <w:szCs w:val="22"/>
          <w:lang w:val="es-ES" w:eastAsia="en-US"/>
        </w:rPr>
      </w:pPr>
      <w:r w:rsidRPr="00417AFC">
        <w:rPr>
          <w:rFonts w:ascii="Palatino Linotype" w:eastAsia="Calibri" w:hAnsi="Palatino Linotype" w:cs="Tahoma"/>
          <w:bCs/>
          <w:sz w:val="22"/>
          <w:szCs w:val="22"/>
          <w:lang w:val="es-ES" w:eastAsia="en-US"/>
        </w:rPr>
        <w:t xml:space="preserve">Para la difusión de los datos, </w:t>
      </w:r>
      <w:r w:rsidRPr="00417AFC">
        <w:rPr>
          <w:rFonts w:ascii="Palatino Linotype" w:eastAsia="Calibri" w:hAnsi="Palatino Linotype" w:cs="Tahoma"/>
          <w:b/>
          <w:bCs/>
          <w:sz w:val="22"/>
          <w:szCs w:val="22"/>
          <w:lang w:val="es-ES" w:eastAsia="en-US"/>
        </w:rPr>
        <w:t>se requiera el consentimiento del titular</w:t>
      </w:r>
      <w:r w:rsidRPr="00417AFC">
        <w:rPr>
          <w:rFonts w:ascii="Palatino Linotype" w:eastAsia="Calibri" w:hAnsi="Palatino Linotype" w:cs="Tahoma"/>
          <w:bCs/>
          <w:sz w:val="22"/>
          <w:szCs w:val="22"/>
          <w:lang w:val="es-ES" w:eastAsia="en-US"/>
        </w:rPr>
        <w:t xml:space="preserve">. </w:t>
      </w:r>
    </w:p>
    <w:p w14:paraId="2C303A1F" w14:textId="77777777" w:rsidR="00624FD3" w:rsidRPr="00417AFC" w:rsidRDefault="00624FD3" w:rsidP="00221864">
      <w:pPr>
        <w:spacing w:line="360" w:lineRule="auto"/>
        <w:ind w:right="-93"/>
        <w:jc w:val="both"/>
        <w:rPr>
          <w:rFonts w:ascii="Palatino Linotype" w:eastAsia="Calibri" w:hAnsi="Palatino Linotype" w:cs="Tahoma"/>
          <w:bCs/>
          <w:sz w:val="22"/>
          <w:szCs w:val="22"/>
          <w:lang w:eastAsia="en-US"/>
        </w:rPr>
      </w:pPr>
    </w:p>
    <w:p w14:paraId="51327035" w14:textId="2A676291" w:rsidR="00624FD3" w:rsidRPr="00417AFC" w:rsidRDefault="00624FD3" w:rsidP="00221864">
      <w:pPr>
        <w:spacing w:line="360" w:lineRule="auto"/>
        <w:ind w:right="-93"/>
        <w:jc w:val="both"/>
        <w:rPr>
          <w:rFonts w:ascii="Palatino Linotype" w:eastAsia="Calibri" w:hAnsi="Palatino Linotype" w:cs="Tahoma"/>
          <w:bCs/>
          <w:sz w:val="22"/>
          <w:szCs w:val="22"/>
          <w:lang w:eastAsia="en-US"/>
        </w:rPr>
      </w:pPr>
      <w:r w:rsidRPr="00417AFC">
        <w:rPr>
          <w:rFonts w:ascii="Palatino Linotype" w:eastAsia="Calibri" w:hAnsi="Palatino Linotype" w:cs="Tahoma"/>
          <w:bCs/>
          <w:sz w:val="22"/>
          <w:szCs w:val="22"/>
          <w:lang w:eastAsia="en-US"/>
        </w:rPr>
        <w:t xml:space="preserve">En ese orden de ideas, de conformidad con el artículo 3°, fracción IX de la Ley de Transparencia y </w:t>
      </w:r>
      <w:r w:rsidR="00F533F3" w:rsidRPr="00417AFC">
        <w:rPr>
          <w:rFonts w:ascii="Palatino Linotype" w:eastAsia="Calibri" w:hAnsi="Palatino Linotype" w:cs="Tahoma"/>
          <w:bCs/>
          <w:sz w:val="22"/>
          <w:szCs w:val="22"/>
          <w:lang w:eastAsia="en-US"/>
        </w:rPr>
        <w:t>Acceso a la Información Pública</w:t>
      </w:r>
      <w:r w:rsidRPr="00417AFC">
        <w:rPr>
          <w:rFonts w:ascii="Palatino Linotype" w:eastAsia="Calibri" w:hAnsi="Palatino Linotype" w:cs="Tahoma"/>
          <w:bCs/>
          <w:sz w:val="22"/>
          <w:szCs w:val="22"/>
          <w:lang w:eastAsia="en-US"/>
        </w:rPr>
        <w:t xml:space="preserve">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17077CE5" w14:textId="77777777" w:rsidR="00624FD3" w:rsidRPr="00417AFC" w:rsidRDefault="00624FD3" w:rsidP="00221864">
      <w:pPr>
        <w:spacing w:line="360" w:lineRule="auto"/>
        <w:contextualSpacing/>
        <w:jc w:val="both"/>
        <w:rPr>
          <w:rFonts w:ascii="Palatino Linotype" w:eastAsia="Calibri" w:hAnsi="Palatino Linotype" w:cs="Tahoma"/>
          <w:bCs/>
          <w:sz w:val="22"/>
          <w:szCs w:val="22"/>
          <w:lang w:eastAsia="en-US"/>
        </w:rPr>
      </w:pPr>
    </w:p>
    <w:p w14:paraId="6068694E" w14:textId="31B0154C" w:rsidR="00DC7A2D" w:rsidRPr="00417AFC" w:rsidRDefault="00624FD3" w:rsidP="00221864">
      <w:pPr>
        <w:spacing w:line="360" w:lineRule="auto"/>
        <w:contextualSpacing/>
        <w:jc w:val="both"/>
        <w:rPr>
          <w:rFonts w:ascii="Palatino Linotype" w:hAnsi="Palatino Linotype" w:cs="Tahoma"/>
          <w:sz w:val="22"/>
          <w:szCs w:val="22"/>
          <w:lang w:eastAsia="es-MX"/>
        </w:rPr>
      </w:pPr>
      <w:r w:rsidRPr="00417AFC">
        <w:rPr>
          <w:rFonts w:ascii="Palatino Linotype" w:eastAsia="Calibri" w:hAnsi="Palatino Linotype" w:cs="Tahoma"/>
          <w:bCs/>
          <w:sz w:val="22"/>
          <w:szCs w:val="22"/>
          <w:lang w:eastAsia="en-US"/>
        </w:rPr>
        <w:t xml:space="preserve">Además, en el artículo 5° de dicho ordenamiento jurídico, </w:t>
      </w:r>
      <w:r w:rsidRPr="00417AFC">
        <w:rPr>
          <w:rFonts w:ascii="Palatino Linotype" w:eastAsia="Calibri" w:hAnsi="Palatino Linotype" w:cs="Tahoma"/>
          <w:b/>
          <w:bCs/>
          <w:sz w:val="22"/>
          <w:szCs w:val="22"/>
          <w:lang w:eastAsia="en-US"/>
        </w:rPr>
        <w:t xml:space="preserve">establece que es la Ley aplicable para todo tratamiento de datos personales. </w:t>
      </w:r>
      <w:r w:rsidR="00DC7A2D" w:rsidRPr="00417AFC">
        <w:rPr>
          <w:rFonts w:ascii="Palatino Linotype" w:hAnsi="Palatino Linotype" w:cs="Tahoma"/>
          <w:sz w:val="22"/>
          <w:szCs w:val="22"/>
          <w:lang w:eastAsia="es-MX"/>
        </w:rPr>
        <w:t xml:space="preserve">En ese contexto, los artículos 6°, 7°, 8° y 14 de la </w:t>
      </w:r>
      <w:r w:rsidR="00DC7A2D" w:rsidRPr="00417AFC">
        <w:rPr>
          <w:rFonts w:ascii="Palatino Linotype" w:eastAsia="Calibri" w:hAnsi="Palatino Linotype" w:cs="Tahoma"/>
          <w:bCs/>
          <w:sz w:val="22"/>
          <w:szCs w:val="22"/>
          <w:lang w:eastAsia="en-US"/>
        </w:rPr>
        <w:t>Ley de Protección de Datos Personales en Posesión de Sujetos Obligados del Estado de México y Municipios</w:t>
      </w:r>
      <w:r w:rsidR="00DC7A2D" w:rsidRPr="00417AFC">
        <w:rPr>
          <w:rFonts w:ascii="Palatino Linotype" w:hAnsi="Palatino Linotype" w:cs="Tahoma"/>
          <w:sz w:val="22"/>
          <w:szCs w:val="22"/>
          <w:lang w:eastAsia="es-MX"/>
        </w:rPr>
        <w:t xml:space="preserve">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209CCEB9" w14:textId="77777777" w:rsidR="00DC7A2D" w:rsidRPr="00417AFC" w:rsidRDefault="00DC7A2D" w:rsidP="00221864">
      <w:pPr>
        <w:spacing w:line="360" w:lineRule="auto"/>
        <w:contextualSpacing/>
        <w:jc w:val="both"/>
        <w:rPr>
          <w:rFonts w:ascii="Palatino Linotype" w:hAnsi="Palatino Linotype" w:cs="Tahoma"/>
          <w:sz w:val="22"/>
          <w:szCs w:val="22"/>
          <w:lang w:eastAsia="es-MX"/>
        </w:rPr>
      </w:pPr>
    </w:p>
    <w:p w14:paraId="3AB34C93" w14:textId="77777777" w:rsidR="00DC7A2D" w:rsidRPr="00417AFC" w:rsidRDefault="00DC7A2D" w:rsidP="00221864">
      <w:pPr>
        <w:spacing w:line="360" w:lineRule="auto"/>
        <w:jc w:val="both"/>
        <w:rPr>
          <w:rFonts w:ascii="Palatino Linotype" w:hAnsi="Palatino Linotype" w:cs="Tahoma"/>
          <w:sz w:val="22"/>
          <w:szCs w:val="22"/>
        </w:rPr>
      </w:pPr>
      <w:r w:rsidRPr="00417AFC">
        <w:rPr>
          <w:rFonts w:ascii="Palatino Linotype" w:hAnsi="Palatino Linotype" w:cs="Tahoma"/>
          <w:sz w:val="22"/>
          <w:szCs w:val="22"/>
        </w:rPr>
        <w:t>Así,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0B8D742E" w14:textId="77777777" w:rsidR="00DC7A2D" w:rsidRPr="00417AFC" w:rsidRDefault="00DC7A2D" w:rsidP="00221864">
      <w:pPr>
        <w:spacing w:line="360" w:lineRule="auto"/>
        <w:jc w:val="both"/>
        <w:rPr>
          <w:rFonts w:ascii="Palatino Linotype" w:hAnsi="Palatino Linotype" w:cs="Tahoma"/>
          <w:sz w:val="22"/>
          <w:szCs w:val="22"/>
        </w:rPr>
      </w:pPr>
    </w:p>
    <w:p w14:paraId="4CAEB4D8" w14:textId="4C6E53C6" w:rsidR="00DC7A2D" w:rsidRPr="00417AFC" w:rsidRDefault="00590C81" w:rsidP="00221864">
      <w:pPr>
        <w:spacing w:line="360" w:lineRule="auto"/>
        <w:jc w:val="both"/>
        <w:rPr>
          <w:rFonts w:ascii="Palatino Linotype" w:hAnsi="Palatino Linotype" w:cs="Tahoma"/>
          <w:sz w:val="22"/>
          <w:szCs w:val="22"/>
        </w:rPr>
      </w:pPr>
      <w:r w:rsidRPr="00417AFC">
        <w:rPr>
          <w:rFonts w:ascii="Palatino Linotype" w:hAnsi="Palatino Linotype" w:cs="Tahoma"/>
          <w:sz w:val="22"/>
          <w:szCs w:val="22"/>
        </w:rPr>
        <w:t xml:space="preserve">Por ello, </w:t>
      </w:r>
      <w:r w:rsidR="00DC7A2D" w:rsidRPr="00417AFC">
        <w:rPr>
          <w:rFonts w:ascii="Palatino Linotype" w:hAnsi="Palatino Linotype" w:cs="Tahoma"/>
          <w:sz w:val="22"/>
          <w:szCs w:val="22"/>
        </w:rPr>
        <w:t xml:space="preserve">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w:t>
      </w:r>
      <w:r w:rsidR="00DC7A2D" w:rsidRPr="00417AFC">
        <w:rPr>
          <w:rFonts w:ascii="Palatino Linotype" w:hAnsi="Palatino Linotype" w:cs="Tahoma"/>
          <w:i/>
          <w:sz w:val="22"/>
          <w:szCs w:val="22"/>
        </w:rPr>
        <w:t>versus</w:t>
      </w:r>
      <w:r w:rsidR="00DC7A2D" w:rsidRPr="00417AFC">
        <w:rPr>
          <w:rFonts w:ascii="Palatino Linotype" w:hAnsi="Palatino Linotype" w:cs="Tahoma"/>
          <w:sz w:val="22"/>
          <w:szCs w:val="22"/>
        </w:rPr>
        <w:t xml:space="preserve"> el interés público de conocer el ejercicio de atribuciones y de recursos públicos de las instituciones y es a partir de ahí, en donde las instituciones públicas deben determinar la publicidad de su información.</w:t>
      </w:r>
    </w:p>
    <w:p w14:paraId="655C9BC8" w14:textId="77777777" w:rsidR="00DC7A2D" w:rsidRPr="00417AFC" w:rsidRDefault="00DC7A2D" w:rsidP="00221864">
      <w:pPr>
        <w:spacing w:line="360" w:lineRule="auto"/>
        <w:jc w:val="both"/>
        <w:rPr>
          <w:rFonts w:ascii="Palatino Linotype" w:hAnsi="Palatino Linotype" w:cs="Tahoma"/>
          <w:sz w:val="22"/>
          <w:szCs w:val="22"/>
        </w:rPr>
      </w:pPr>
    </w:p>
    <w:p w14:paraId="2CD13547" w14:textId="77777777" w:rsidR="00DC7A2D" w:rsidRPr="00417AFC" w:rsidRDefault="00DC7A2D" w:rsidP="00221864">
      <w:pPr>
        <w:spacing w:line="360" w:lineRule="auto"/>
        <w:jc w:val="both"/>
        <w:rPr>
          <w:rFonts w:ascii="Palatino Linotype" w:hAnsi="Palatino Linotype" w:cs="Tahoma"/>
          <w:sz w:val="22"/>
          <w:szCs w:val="22"/>
        </w:rPr>
      </w:pPr>
      <w:r w:rsidRPr="00417AFC">
        <w:rPr>
          <w:rFonts w:ascii="Palatino Linotype" w:hAnsi="Palatino Linotype" w:cs="Tahoma"/>
          <w:sz w:val="22"/>
          <w:szCs w:val="22"/>
        </w:rPr>
        <w:t>De tal suerte, las instituciones públicas tienen la doble responsabilidad, por un lado, de proteger los datos personales y por otro, darles publicidad cuando la relevancia de esos datos sea de interés público.</w:t>
      </w:r>
    </w:p>
    <w:p w14:paraId="70F5B4AA" w14:textId="77777777" w:rsidR="00DC7A2D" w:rsidRPr="00417AFC" w:rsidRDefault="00DC7A2D" w:rsidP="00221864">
      <w:pPr>
        <w:spacing w:line="360" w:lineRule="auto"/>
        <w:jc w:val="both"/>
        <w:rPr>
          <w:rFonts w:ascii="Palatino Linotype" w:hAnsi="Palatino Linotype" w:cs="Tahoma"/>
          <w:sz w:val="22"/>
          <w:szCs w:val="22"/>
        </w:rPr>
      </w:pPr>
    </w:p>
    <w:p w14:paraId="1D20CFBA" w14:textId="77777777" w:rsidR="00DC7A2D" w:rsidRPr="00417AFC" w:rsidRDefault="00DC7A2D" w:rsidP="00221864">
      <w:pPr>
        <w:spacing w:line="360" w:lineRule="auto"/>
        <w:jc w:val="both"/>
        <w:rPr>
          <w:rFonts w:ascii="Palatino Linotype" w:hAnsi="Palatino Linotype" w:cs="Tahoma"/>
          <w:sz w:val="22"/>
          <w:szCs w:val="22"/>
        </w:rPr>
      </w:pPr>
      <w:r w:rsidRPr="00417AFC">
        <w:rPr>
          <w:rFonts w:ascii="Palatino Linotype" w:hAnsi="Palatino Linotype" w:cs="Tahoma"/>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0ECDD0B0" w14:textId="77777777" w:rsidR="00DC7A2D" w:rsidRPr="00417AFC" w:rsidRDefault="00DC7A2D" w:rsidP="00221864">
      <w:pPr>
        <w:spacing w:line="360" w:lineRule="auto"/>
        <w:jc w:val="both"/>
        <w:rPr>
          <w:rFonts w:ascii="Palatino Linotype" w:hAnsi="Palatino Linotype" w:cs="Tahoma"/>
          <w:sz w:val="22"/>
          <w:szCs w:val="22"/>
        </w:rPr>
      </w:pPr>
    </w:p>
    <w:p w14:paraId="08CBB9AC" w14:textId="58818A6D" w:rsidR="00DC7A2D" w:rsidRDefault="00DC7A2D" w:rsidP="00221864">
      <w:pPr>
        <w:spacing w:line="360" w:lineRule="auto"/>
        <w:contextualSpacing/>
        <w:jc w:val="both"/>
        <w:rPr>
          <w:rFonts w:ascii="Palatino Linotype" w:hAnsi="Palatino Linotype" w:cs="Tahoma"/>
          <w:sz w:val="22"/>
          <w:szCs w:val="22"/>
          <w:lang w:eastAsia="es-MX"/>
        </w:rPr>
      </w:pPr>
      <w:r w:rsidRPr="00417AFC">
        <w:rPr>
          <w:rFonts w:ascii="Palatino Linotype" w:hAnsi="Palatino Linotype" w:cs="Tahoma"/>
          <w:sz w:val="22"/>
          <w:szCs w:val="22"/>
          <w:lang w:eastAsia="es-MX"/>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0323F6A2" w14:textId="546238CE" w:rsidR="00DC7A2D" w:rsidRPr="00417AFC" w:rsidRDefault="00DC7A2D" w:rsidP="00221864">
      <w:pPr>
        <w:spacing w:line="360" w:lineRule="auto"/>
        <w:jc w:val="both"/>
        <w:rPr>
          <w:rFonts w:ascii="Palatino Linotype" w:eastAsia="Calibri" w:hAnsi="Palatino Linotype" w:cs="Tahoma"/>
          <w:iCs/>
          <w:sz w:val="22"/>
          <w:szCs w:val="22"/>
          <w:lang w:val="es-ES" w:eastAsia="es-ES_tradnl"/>
        </w:rPr>
      </w:pPr>
      <w:r w:rsidRPr="00417AFC">
        <w:rPr>
          <w:rFonts w:ascii="Palatino Linotype" w:eastAsia="Calibri" w:hAnsi="Palatino Linotype" w:cs="Tahoma"/>
          <w:iCs/>
          <w:sz w:val="22"/>
          <w:szCs w:val="22"/>
          <w:lang w:val="es-ES" w:eastAsia="es-ES_tradnl"/>
        </w:rPr>
        <w:t xml:space="preserve">Bajo ese contexto, se procede al estudio de la clasificación del nombre de servidores públicos, en procedimientos de responsabilidades, de conformidad con el </w:t>
      </w:r>
      <w:r w:rsidRPr="00417AFC">
        <w:rPr>
          <w:rFonts w:ascii="Palatino Linotype" w:eastAsia="Calibri" w:hAnsi="Palatino Linotype" w:cs="Tahoma"/>
          <w:b/>
          <w:iCs/>
          <w:sz w:val="22"/>
          <w:szCs w:val="22"/>
          <w:lang w:val="es-ES" w:eastAsia="es-ES_tradnl"/>
        </w:rPr>
        <w:t xml:space="preserve">artículo 143, fracción I, </w:t>
      </w:r>
      <w:r w:rsidRPr="00417AFC">
        <w:rPr>
          <w:rFonts w:ascii="Palatino Linotype" w:eastAsia="Calibri" w:hAnsi="Palatino Linotype" w:cs="Tahoma"/>
          <w:iCs/>
          <w:sz w:val="22"/>
          <w:szCs w:val="22"/>
          <w:lang w:val="es-ES" w:eastAsia="es-ES_tradnl"/>
        </w:rPr>
        <w:t xml:space="preserve">de la Ley de Transparencia y </w:t>
      </w:r>
      <w:r w:rsidR="00F533F3" w:rsidRPr="00417AFC">
        <w:rPr>
          <w:rFonts w:ascii="Palatino Linotype" w:eastAsia="Calibri" w:hAnsi="Palatino Linotype" w:cs="Tahoma"/>
          <w:iCs/>
          <w:sz w:val="22"/>
          <w:szCs w:val="22"/>
          <w:lang w:val="es-ES" w:eastAsia="es-ES_tradnl"/>
        </w:rPr>
        <w:t>Acceso a la Información Pública</w:t>
      </w:r>
      <w:r w:rsidRPr="00417AFC">
        <w:rPr>
          <w:rFonts w:ascii="Palatino Linotype" w:eastAsia="Calibri" w:hAnsi="Palatino Linotype" w:cs="Tahoma"/>
          <w:iCs/>
          <w:sz w:val="22"/>
          <w:szCs w:val="22"/>
          <w:lang w:val="es-ES" w:eastAsia="es-ES_tradnl"/>
        </w:rPr>
        <w:t xml:space="preserve"> del Estado de México y Municipios.</w:t>
      </w:r>
    </w:p>
    <w:p w14:paraId="15B948E5" w14:textId="77777777" w:rsidR="00DC7A2D" w:rsidRPr="00417AFC" w:rsidRDefault="00DC7A2D" w:rsidP="00221864">
      <w:pPr>
        <w:spacing w:line="360" w:lineRule="auto"/>
        <w:jc w:val="both"/>
        <w:rPr>
          <w:rFonts w:ascii="Palatino Linotype" w:eastAsia="Calibri" w:hAnsi="Palatino Linotype" w:cs="Tahoma"/>
          <w:b/>
          <w:iCs/>
          <w:sz w:val="22"/>
          <w:szCs w:val="22"/>
          <w:lang w:val="es-ES" w:eastAsia="es-ES_tradnl"/>
        </w:rPr>
      </w:pPr>
    </w:p>
    <w:p w14:paraId="002E3AD6" w14:textId="77777777" w:rsidR="00DC7A2D" w:rsidRPr="00417AFC" w:rsidRDefault="00DC7A2D" w:rsidP="00221864">
      <w:pPr>
        <w:spacing w:line="360" w:lineRule="auto"/>
        <w:jc w:val="both"/>
        <w:rPr>
          <w:rFonts w:ascii="Palatino Linotype" w:eastAsia="Calibri" w:hAnsi="Palatino Linotype" w:cs="Tahoma"/>
          <w:b/>
          <w:iCs/>
          <w:sz w:val="22"/>
          <w:szCs w:val="22"/>
          <w:lang w:val="es-ES" w:eastAsia="es-ES_tradnl"/>
        </w:rPr>
      </w:pPr>
      <w:r w:rsidRPr="00417AFC">
        <w:rPr>
          <w:rFonts w:ascii="Palatino Linotype" w:eastAsia="Calibri" w:hAnsi="Palatino Linotype" w:cs="Tahoma"/>
          <w:b/>
          <w:iCs/>
          <w:sz w:val="22"/>
          <w:szCs w:val="22"/>
          <w:lang w:val="es-ES" w:eastAsia="es-ES_tradnl"/>
        </w:rPr>
        <w:t>Procedimientos de responsabilidades administrativas, por faltas no graves.</w:t>
      </w:r>
    </w:p>
    <w:p w14:paraId="0893CC5B" w14:textId="77777777" w:rsidR="00DC7A2D" w:rsidRPr="00417AFC" w:rsidRDefault="00DC7A2D" w:rsidP="00221864">
      <w:pPr>
        <w:spacing w:line="360" w:lineRule="auto"/>
        <w:jc w:val="both"/>
        <w:rPr>
          <w:rFonts w:ascii="Palatino Linotype" w:eastAsia="Calibri" w:hAnsi="Palatino Linotype" w:cs="Tahoma"/>
          <w:b/>
          <w:iCs/>
          <w:sz w:val="22"/>
          <w:szCs w:val="22"/>
          <w:lang w:val="es-ES" w:eastAsia="es-ES_tradnl"/>
        </w:rPr>
      </w:pPr>
    </w:p>
    <w:p w14:paraId="284A4D7D" w14:textId="67339FC5" w:rsidR="00DC7A2D" w:rsidRPr="00417AFC" w:rsidRDefault="00DC7A2D" w:rsidP="00221864">
      <w:pPr>
        <w:spacing w:line="360" w:lineRule="auto"/>
        <w:jc w:val="both"/>
        <w:rPr>
          <w:rFonts w:ascii="Palatino Linotype" w:hAnsi="Palatino Linotype"/>
          <w:sz w:val="22"/>
          <w:szCs w:val="22"/>
        </w:rPr>
      </w:pPr>
      <w:r w:rsidRPr="00417AFC">
        <w:rPr>
          <w:rFonts w:ascii="Palatino Linotype" w:eastAsia="Calibri" w:hAnsi="Palatino Linotype" w:cs="Tahoma"/>
          <w:iCs/>
          <w:sz w:val="22"/>
          <w:szCs w:val="22"/>
          <w:lang w:val="es-ES" w:eastAsia="es-ES_tradnl"/>
        </w:rPr>
        <w:t xml:space="preserve">En tales circunstancias, se considera que en la especie proporcionar el nombre de los servidores públicos de responsabilidades administrativas </w:t>
      </w:r>
      <w:r w:rsidRPr="00417AFC">
        <w:rPr>
          <w:rFonts w:ascii="Palatino Linotype" w:eastAsia="Calibri" w:hAnsi="Palatino Linotype" w:cs="Tahoma"/>
          <w:b/>
          <w:iCs/>
          <w:sz w:val="22"/>
          <w:szCs w:val="22"/>
          <w:lang w:val="es-ES" w:eastAsia="es-ES_tradnl"/>
        </w:rPr>
        <w:t>por faltas no graves, podría afectar su honor, buen nombre y su imagen</w:t>
      </w:r>
      <w:r w:rsidR="00590C81" w:rsidRPr="00417AFC">
        <w:rPr>
          <w:rFonts w:ascii="Palatino Linotype" w:eastAsia="Calibri" w:hAnsi="Palatino Linotype" w:cs="Tahoma"/>
          <w:b/>
          <w:iCs/>
          <w:sz w:val="22"/>
          <w:szCs w:val="22"/>
          <w:lang w:val="es-ES" w:eastAsia="es-ES_tradnl"/>
        </w:rPr>
        <w:t xml:space="preserve">. </w:t>
      </w:r>
      <w:r w:rsidRPr="00417AFC">
        <w:rPr>
          <w:rFonts w:ascii="Palatino Linotype" w:hAnsi="Palatino Linotype"/>
          <w:sz w:val="22"/>
          <w:szCs w:val="22"/>
        </w:rPr>
        <w:t>Al respecto, la Suprema Corte de Justicia de la Nación ha reconocido como derechos fundamentales de las personas, el derecho a la intimidad y a la propia imagen, en el siguiente criterio:</w:t>
      </w:r>
    </w:p>
    <w:p w14:paraId="458B88B4" w14:textId="77777777" w:rsidR="00DC7A2D" w:rsidRPr="00417AFC" w:rsidRDefault="00DC7A2D" w:rsidP="00221864">
      <w:pPr>
        <w:spacing w:line="360" w:lineRule="auto"/>
        <w:jc w:val="both"/>
        <w:rPr>
          <w:rFonts w:ascii="Palatino Linotype" w:hAnsi="Palatino Linotype"/>
          <w:sz w:val="22"/>
          <w:szCs w:val="22"/>
        </w:rPr>
      </w:pPr>
    </w:p>
    <w:p w14:paraId="1508487F" w14:textId="77777777" w:rsidR="00DC7A2D" w:rsidRPr="00417AFC" w:rsidRDefault="00DC7A2D" w:rsidP="00221864">
      <w:pPr>
        <w:spacing w:line="360" w:lineRule="auto"/>
        <w:ind w:left="567" w:right="567"/>
        <w:jc w:val="both"/>
        <w:rPr>
          <w:rFonts w:ascii="Palatino Linotype" w:eastAsiaTheme="minorHAnsi" w:hAnsi="Palatino Linotype" w:cs="Arial"/>
          <w:b/>
          <w:i/>
          <w:color w:val="000000"/>
          <w:sz w:val="20"/>
          <w:szCs w:val="20"/>
          <w:lang w:eastAsia="es-MX"/>
        </w:rPr>
      </w:pPr>
      <w:r w:rsidRPr="00417AFC">
        <w:rPr>
          <w:rFonts w:ascii="Palatino Linotype" w:eastAsiaTheme="minorHAnsi" w:hAnsi="Palatino Linotype" w:cs="Arial"/>
          <w:bCs/>
          <w:i/>
          <w:color w:val="000000"/>
          <w:sz w:val="20"/>
          <w:szCs w:val="20"/>
          <w:lang w:eastAsia="es-MX"/>
        </w:rPr>
        <w:t>“</w:t>
      </w:r>
      <w:r w:rsidRPr="00417AFC">
        <w:rPr>
          <w:rFonts w:ascii="Palatino Linotype" w:eastAsiaTheme="minorHAnsi" w:hAnsi="Palatino Linotype" w:cs="Arial"/>
          <w:b/>
          <w:bCs/>
          <w:i/>
          <w:color w:val="000000"/>
          <w:sz w:val="20"/>
          <w:szCs w:val="20"/>
          <w:lang w:eastAsia="es-MX"/>
        </w:rPr>
        <w:t xml:space="preserve">DERECHOS A LA INTIMIDAD, PROPIA IMAGEN, IDENTIDAD PERSONAL Y SEXUAL. CONSTITUYEN DERECHOS DE DEFENSA Y GARANTÍA ESENCIAL PARA LA CONDICIÓN HUMANA.  </w:t>
      </w:r>
      <w:r w:rsidRPr="00417AFC">
        <w:rPr>
          <w:rFonts w:ascii="Palatino Linotype" w:eastAsiaTheme="minorHAnsi" w:hAnsi="Palatino Linotype" w:cs="Arial"/>
          <w:i/>
          <w:color w:val="000000"/>
          <w:sz w:val="20"/>
          <w:szCs w:val="20"/>
          <w:lang w:eastAsia="es-MX"/>
        </w:rPr>
        <w:t xml:space="preserve">Dentro de los derechos personalísimos se encuentran necesariamente comprendidos el </w:t>
      </w:r>
      <w:r w:rsidRPr="00417AFC">
        <w:rPr>
          <w:rFonts w:ascii="Palatino Linotype" w:eastAsiaTheme="minorHAnsi" w:hAnsi="Palatino Linotype" w:cs="Arial"/>
          <w:b/>
          <w:i/>
          <w:color w:val="000000"/>
          <w:sz w:val="20"/>
          <w:szCs w:val="20"/>
          <w:lang w:eastAsia="es-MX"/>
        </w:rPr>
        <w:t>derecho a la intimidad y a la propia imagen</w:t>
      </w:r>
      <w:r w:rsidRPr="00417AFC">
        <w:rPr>
          <w:rFonts w:ascii="Palatino Linotype" w:eastAsiaTheme="minorHAnsi" w:hAnsi="Palatino Linotype" w:cs="Arial"/>
          <w:i/>
          <w:color w:val="000000"/>
          <w:sz w:val="20"/>
          <w:szCs w:val="20"/>
          <w:lang w:eastAsia="es-MX"/>
        </w:rPr>
        <w:t xml:space="preserve">, así como a la </w:t>
      </w:r>
      <w:r w:rsidRPr="00417AFC">
        <w:rPr>
          <w:rFonts w:ascii="Palatino Linotype" w:eastAsiaTheme="minorHAnsi" w:hAnsi="Palatino Linotype" w:cs="Arial"/>
          <w:b/>
          <w:i/>
          <w:color w:val="000000"/>
          <w:sz w:val="20"/>
          <w:szCs w:val="20"/>
          <w:lang w:eastAsia="es-MX"/>
        </w:rPr>
        <w:t>identidad personal</w:t>
      </w:r>
      <w:r w:rsidRPr="00417AFC">
        <w:rPr>
          <w:rFonts w:ascii="Palatino Linotype" w:eastAsiaTheme="minorHAnsi" w:hAnsi="Palatino Linotype" w:cs="Arial"/>
          <w:i/>
          <w:color w:val="000000"/>
          <w:sz w:val="20"/>
          <w:szCs w:val="20"/>
          <w:lang w:eastAsia="es-MX"/>
        </w:rPr>
        <w:t xml:space="preserve"> y sexual; entendiéndose por el primero, </w:t>
      </w:r>
      <w:r w:rsidRPr="00417AFC">
        <w:rPr>
          <w:rFonts w:ascii="Palatino Linotype" w:eastAsiaTheme="minorHAnsi" w:hAnsi="Palatino Linotype" w:cs="Arial"/>
          <w:b/>
          <w:i/>
          <w:color w:val="000000"/>
          <w:sz w:val="20"/>
          <w:szCs w:val="20"/>
          <w:lang w:eastAsia="es-MX"/>
        </w:rPr>
        <w:t>el derecho del individuo a no ser conocido por otros en ciertos aspectos de su vida</w:t>
      </w:r>
      <w:r w:rsidRPr="00417AFC">
        <w:rPr>
          <w:rFonts w:ascii="Palatino Linotype" w:eastAsiaTheme="minorHAnsi" w:hAnsi="Palatino Linotype" w:cs="Arial"/>
          <w:i/>
          <w:color w:val="000000"/>
          <w:sz w:val="20"/>
          <w:szCs w:val="20"/>
          <w:lang w:eastAsia="es-MX"/>
        </w:rPr>
        <w:t xml:space="preserve"> y, </w:t>
      </w:r>
      <w:r w:rsidRPr="00417AFC">
        <w:rPr>
          <w:rFonts w:ascii="Palatino Linotype" w:eastAsiaTheme="minorHAnsi" w:hAnsi="Palatino Linotype" w:cs="Arial"/>
          <w:b/>
          <w:i/>
          <w:color w:val="000000"/>
          <w:sz w:val="20"/>
          <w:szCs w:val="20"/>
          <w:lang w:eastAsia="es-MX"/>
        </w:rPr>
        <w:t>por ende, el poder de decisión sobre la publicidad o información de datos relativos a su persona</w:t>
      </w:r>
      <w:r w:rsidRPr="00417AFC">
        <w:rPr>
          <w:rFonts w:ascii="Palatino Linotype" w:eastAsiaTheme="minorHAnsi" w:hAnsi="Palatino Linotype" w:cs="Arial"/>
          <w:i/>
          <w:color w:val="000000"/>
          <w:sz w:val="20"/>
          <w:szCs w:val="20"/>
          <w:lang w:eastAsia="es-MX"/>
        </w:rPr>
        <w:t>, familia, pensamientos o sentimientos;</w:t>
      </w:r>
      <w:r w:rsidRPr="00417AFC">
        <w:rPr>
          <w:rFonts w:ascii="Palatino Linotype" w:eastAsiaTheme="minorHAnsi" w:hAnsi="Palatino Linotype" w:cs="Arial"/>
          <w:b/>
          <w:i/>
          <w:color w:val="000000"/>
          <w:sz w:val="20"/>
          <w:szCs w:val="20"/>
          <w:lang w:eastAsia="es-MX"/>
        </w:rPr>
        <w:t xml:space="preserve"> </w:t>
      </w:r>
      <w:r w:rsidRPr="00417AFC">
        <w:rPr>
          <w:rFonts w:ascii="Palatino Linotype" w:eastAsiaTheme="minorHAnsi" w:hAnsi="Palatino Linotype" w:cs="Arial"/>
          <w:i/>
          <w:color w:val="000000"/>
          <w:sz w:val="20"/>
          <w:szCs w:val="20"/>
          <w:lang w:eastAsia="es-MX"/>
        </w:rPr>
        <w:t xml:space="preserve">a la </w:t>
      </w:r>
      <w:r w:rsidRPr="00417AFC">
        <w:rPr>
          <w:rFonts w:ascii="Palatino Linotype" w:eastAsiaTheme="minorHAnsi" w:hAnsi="Palatino Linotype" w:cs="Arial"/>
          <w:b/>
          <w:i/>
          <w:color w:val="000000"/>
          <w:sz w:val="20"/>
          <w:szCs w:val="20"/>
          <w:lang w:eastAsia="es-MX"/>
        </w:rPr>
        <w:t>propia imagen, como aquel derecho de decidir, en forma libre, sobre la manera en que elige mostrarse frente a los demás</w:t>
      </w:r>
      <w:r w:rsidRPr="00417AFC">
        <w:rPr>
          <w:rFonts w:ascii="Palatino Linotype" w:eastAsiaTheme="minorHAnsi" w:hAnsi="Palatino Linotype" w:cs="Arial"/>
          <w:i/>
          <w:color w:val="000000"/>
          <w:sz w:val="20"/>
          <w:szCs w:val="20"/>
          <w:lang w:eastAsia="es-MX"/>
        </w:rPr>
        <w:t xml:space="preserve">;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Por consiguiente, </w:t>
      </w:r>
      <w:r w:rsidRPr="00417AFC">
        <w:rPr>
          <w:rFonts w:ascii="Palatino Linotype" w:eastAsiaTheme="minorHAnsi" w:hAnsi="Palatino Linotype" w:cs="Arial"/>
          <w:b/>
          <w:i/>
          <w:color w:val="000000"/>
          <w:sz w:val="20"/>
          <w:szCs w:val="20"/>
          <w:lang w:eastAsia="es-MX"/>
        </w:rPr>
        <w:t>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por lo que, si bien no son absolutos, sólo por ley podrá justificarse su intromisión, siempre que medie un interés superior.</w:t>
      </w:r>
      <w:r w:rsidRPr="00417AFC">
        <w:rPr>
          <w:rFonts w:ascii="Palatino Linotype" w:eastAsiaTheme="minorHAnsi" w:hAnsi="Palatino Linotype" w:cs="Arial"/>
          <w:i/>
          <w:color w:val="000000"/>
          <w:sz w:val="20"/>
          <w:szCs w:val="20"/>
          <w:lang w:eastAsia="es-MX"/>
        </w:rPr>
        <w:t>”</w:t>
      </w:r>
    </w:p>
    <w:p w14:paraId="79D1E136" w14:textId="77777777" w:rsidR="00DC7A2D" w:rsidRPr="00417AFC" w:rsidRDefault="00DC7A2D" w:rsidP="00221864">
      <w:pPr>
        <w:spacing w:line="360" w:lineRule="auto"/>
        <w:jc w:val="both"/>
        <w:rPr>
          <w:rFonts w:ascii="Palatino Linotype" w:hAnsi="Palatino Linotype"/>
          <w:sz w:val="22"/>
          <w:szCs w:val="22"/>
        </w:rPr>
      </w:pPr>
      <w:r w:rsidRPr="00417AFC">
        <w:rPr>
          <w:rFonts w:ascii="Palatino Linotype" w:hAnsi="Palatino Linotype"/>
          <w:sz w:val="22"/>
          <w:szCs w:val="22"/>
        </w:rPr>
        <w:t xml:space="preserve"> </w:t>
      </w:r>
    </w:p>
    <w:p w14:paraId="03B9D3D9" w14:textId="77777777" w:rsidR="00DC7A2D" w:rsidRPr="00417AFC" w:rsidRDefault="00DC7A2D" w:rsidP="00221864">
      <w:pPr>
        <w:spacing w:line="360" w:lineRule="auto"/>
        <w:jc w:val="both"/>
        <w:rPr>
          <w:rFonts w:ascii="Palatino Linotype" w:hAnsi="Palatino Linotype"/>
          <w:sz w:val="22"/>
          <w:szCs w:val="22"/>
        </w:rPr>
      </w:pPr>
      <w:r w:rsidRPr="00417AFC">
        <w:rPr>
          <w:rFonts w:ascii="Palatino Linotype" w:hAnsi="Palatino Linotype"/>
          <w:sz w:val="22"/>
          <w:szCs w:val="22"/>
        </w:rPr>
        <w:t xml:space="preserve">En ese sentido, es derecho de todo individuo a no ser conocido por otros en ciertos aspectos de su vida y, por ende, el poder de decisión sobre la publicidad o información de datos relativos a su persona </w:t>
      </w:r>
      <w:r w:rsidRPr="00417AFC">
        <w:rPr>
          <w:rFonts w:ascii="Palatino Linotype" w:hAnsi="Palatino Linotype"/>
          <w:b/>
          <w:sz w:val="22"/>
          <w:szCs w:val="22"/>
        </w:rPr>
        <w:t>(derecho a la intimidad).</w:t>
      </w:r>
    </w:p>
    <w:p w14:paraId="0B00EFCC" w14:textId="77777777" w:rsidR="00DC7A2D" w:rsidRPr="00417AFC" w:rsidRDefault="00DC7A2D" w:rsidP="00221864">
      <w:pPr>
        <w:spacing w:line="360" w:lineRule="auto"/>
        <w:jc w:val="both"/>
        <w:rPr>
          <w:rFonts w:ascii="Palatino Linotype" w:hAnsi="Palatino Linotype"/>
          <w:sz w:val="22"/>
          <w:szCs w:val="22"/>
        </w:rPr>
      </w:pPr>
    </w:p>
    <w:p w14:paraId="3DFC0EEB" w14:textId="6CD44EF4" w:rsidR="00DC7A2D" w:rsidRDefault="00DC7A2D" w:rsidP="00221864">
      <w:pPr>
        <w:spacing w:line="360" w:lineRule="auto"/>
        <w:jc w:val="both"/>
        <w:rPr>
          <w:rFonts w:ascii="Palatino Linotype" w:hAnsi="Palatino Linotype"/>
          <w:sz w:val="22"/>
          <w:szCs w:val="22"/>
        </w:rPr>
      </w:pPr>
      <w:r w:rsidRPr="00417AFC">
        <w:rPr>
          <w:rFonts w:ascii="Palatino Linotype" w:hAnsi="Palatino Linotype"/>
          <w:sz w:val="22"/>
          <w:szCs w:val="22"/>
        </w:rPr>
        <w:t xml:space="preserve">Asimismo, el </w:t>
      </w:r>
      <w:r w:rsidRPr="00417AFC">
        <w:rPr>
          <w:rFonts w:ascii="Palatino Linotype" w:hAnsi="Palatino Linotype"/>
          <w:b/>
          <w:sz w:val="22"/>
          <w:szCs w:val="22"/>
        </w:rPr>
        <w:t>derecho a la propia imagen</w:t>
      </w:r>
      <w:r w:rsidRPr="00417AFC">
        <w:rPr>
          <w:rFonts w:ascii="Palatino Linotype" w:hAnsi="Palatino Linotype"/>
          <w:sz w:val="22"/>
          <w:szCs w:val="22"/>
        </w:rPr>
        <w:t xml:space="preserve"> es el derecho de decidir, de forma libre, sobre la manera en que elige mostrarse frente a los demás.</w:t>
      </w:r>
    </w:p>
    <w:p w14:paraId="27E5D3AA" w14:textId="77777777" w:rsidR="002F49C0" w:rsidRPr="00417AFC" w:rsidRDefault="002F49C0" w:rsidP="00221864">
      <w:pPr>
        <w:spacing w:line="360" w:lineRule="auto"/>
        <w:jc w:val="both"/>
        <w:rPr>
          <w:rFonts w:ascii="Palatino Linotype" w:hAnsi="Palatino Linotype"/>
          <w:sz w:val="22"/>
          <w:szCs w:val="22"/>
        </w:rPr>
      </w:pPr>
    </w:p>
    <w:p w14:paraId="09D534DA" w14:textId="77777777" w:rsidR="00DC7A2D" w:rsidRPr="00417AFC" w:rsidRDefault="00DC7A2D" w:rsidP="00221864">
      <w:pPr>
        <w:spacing w:line="360" w:lineRule="auto"/>
        <w:ind w:right="-1"/>
        <w:jc w:val="both"/>
        <w:rPr>
          <w:rFonts w:ascii="Palatino Linotype" w:hAnsi="Palatino Linotype"/>
          <w:sz w:val="22"/>
          <w:szCs w:val="22"/>
        </w:rPr>
      </w:pPr>
      <w:r w:rsidRPr="00417AFC">
        <w:rPr>
          <w:rFonts w:ascii="Palatino Linotype" w:hAnsi="Palatino Linotype" w:cs="Arial"/>
          <w:bCs/>
          <w:iCs/>
          <w:sz w:val="22"/>
          <w:szCs w:val="22"/>
        </w:rPr>
        <w:t xml:space="preserve">Por otro lado, en cuanto al </w:t>
      </w:r>
      <w:r w:rsidRPr="00417AFC">
        <w:rPr>
          <w:rFonts w:ascii="Palatino Linotype" w:hAnsi="Palatino Linotype" w:cs="Arial"/>
          <w:b/>
          <w:bCs/>
          <w:iCs/>
          <w:sz w:val="22"/>
          <w:szCs w:val="22"/>
        </w:rPr>
        <w:t>derecho al honor</w:t>
      </w:r>
      <w:r w:rsidRPr="00417AFC">
        <w:rPr>
          <w:rFonts w:ascii="Palatino Linotype" w:hAnsi="Palatino Linotype" w:cs="Arial"/>
          <w:bCs/>
          <w:iCs/>
          <w:sz w:val="22"/>
          <w:szCs w:val="22"/>
        </w:rPr>
        <w:t xml:space="preserve">, </w:t>
      </w:r>
      <w:r w:rsidRPr="00417AFC">
        <w:rPr>
          <w:rFonts w:ascii="Palatino Linotype" w:hAnsi="Palatino Linotype"/>
          <w:sz w:val="22"/>
          <w:szCs w:val="22"/>
        </w:rPr>
        <w:t xml:space="preserve">la jurisprudencia número 1a./J. 118/2013 (10a.), emitida por la Primera Sala de la Suprema Corte de Justicia de la Nación, publicada en la Gaceta del Semanario Judicial de la Federación, Tomo I, Libro 3, de febrero de 2014, página 470, de la Décima Época, materia constitucional, dispone: </w:t>
      </w:r>
    </w:p>
    <w:p w14:paraId="53593CC0" w14:textId="77777777" w:rsidR="00DC7A2D" w:rsidRPr="00417AFC" w:rsidRDefault="00DC7A2D" w:rsidP="00221864">
      <w:pPr>
        <w:spacing w:line="360" w:lineRule="auto"/>
        <w:ind w:right="-1"/>
        <w:jc w:val="both"/>
        <w:rPr>
          <w:rFonts w:ascii="Palatino Linotype" w:hAnsi="Palatino Linotype"/>
          <w:sz w:val="22"/>
          <w:szCs w:val="22"/>
        </w:rPr>
      </w:pPr>
    </w:p>
    <w:p w14:paraId="217C7C60" w14:textId="77777777" w:rsidR="00DC7A2D" w:rsidRPr="00417AFC" w:rsidRDefault="00DC7A2D" w:rsidP="00221864">
      <w:pPr>
        <w:autoSpaceDE w:val="0"/>
        <w:autoSpaceDN w:val="0"/>
        <w:adjustRightInd w:val="0"/>
        <w:spacing w:line="360" w:lineRule="auto"/>
        <w:ind w:left="567" w:right="567"/>
        <w:jc w:val="both"/>
        <w:rPr>
          <w:rFonts w:ascii="Palatino Linotype" w:eastAsia="Batang" w:hAnsi="Palatino Linotype" w:cs="Arial"/>
          <w:b/>
          <w:i/>
          <w:sz w:val="20"/>
          <w:szCs w:val="20"/>
        </w:rPr>
      </w:pPr>
      <w:r w:rsidRPr="00417AFC">
        <w:rPr>
          <w:rFonts w:ascii="Palatino Linotype" w:eastAsia="Batang" w:hAnsi="Palatino Linotype" w:cs="Arial"/>
          <w:i/>
          <w:sz w:val="20"/>
          <w:szCs w:val="20"/>
        </w:rPr>
        <w:t>“</w:t>
      </w:r>
      <w:r w:rsidRPr="00417AFC">
        <w:rPr>
          <w:rFonts w:ascii="Palatino Linotype" w:eastAsia="Batang" w:hAnsi="Palatino Linotype" w:cs="Arial"/>
          <w:b/>
          <w:i/>
          <w:sz w:val="20"/>
          <w:szCs w:val="20"/>
        </w:rPr>
        <w:t xml:space="preserve">DERECHO FUNDAMENTAL AL HONOR. SU DIMENSIÓN SUBJETIVA Y OBJETIVA. </w:t>
      </w:r>
      <w:r w:rsidRPr="00417AFC">
        <w:rPr>
          <w:rFonts w:ascii="Palatino Linotype" w:eastAsia="Batang" w:hAnsi="Palatino Linotype" w:cs="Arial"/>
          <w:i/>
          <w:sz w:val="20"/>
          <w:szCs w:val="20"/>
        </w:rPr>
        <w:t xml:space="preserve">A juicio de esta Primera Sala de la Suprema Corte de Justicia de la Nación, es posible definir al honor como el </w:t>
      </w:r>
      <w:r w:rsidRPr="00417AFC">
        <w:rPr>
          <w:rFonts w:ascii="Palatino Linotype" w:eastAsia="Batang" w:hAnsi="Palatino Linotype" w:cs="Arial"/>
          <w:b/>
          <w:i/>
          <w:sz w:val="20"/>
          <w:szCs w:val="20"/>
        </w:rPr>
        <w:t>concepto que la persona tiene de sí misma o que los demás se han formado de ella, en virtud de su proceder o de la expresión de su calidad ética y social.</w:t>
      </w:r>
      <w:r w:rsidRPr="00417AFC">
        <w:rPr>
          <w:rFonts w:ascii="Palatino Linotype" w:eastAsia="Batang" w:hAnsi="Palatino Linotype" w:cs="Arial"/>
          <w:i/>
          <w:sz w:val="20"/>
          <w:szCs w:val="20"/>
        </w:rPr>
        <w:t xml:space="preserve"> Todo individuo, al vivir en sociedad, tiene el derecho de ser respetado y considerado y, correlativamente, tiene la obligación de respetar a aquellos que lo rodean. En el campo jurídico esta necesidad se traduce en un derecho que involucra la facultad que tiene cada individuo de pedir que se le trate en forma decorosa y la obligación de los demás de responder a este tratamiento. Por lo general, existen dos formas de sentir y entender el honor: a) en el aspecto subjetivo o ético, el honor se basa en un sentimiento íntimo que se exterioriza por la afirmación que la persona hace de su propia dignidad; y b) en el aspecto objetivo, externo o social, como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 es decir, el derecho a que otros no condicionen negativamente la opinión que los demás hayan de formarse de nosotros.”</w:t>
      </w:r>
    </w:p>
    <w:p w14:paraId="6FA184B3" w14:textId="77777777" w:rsidR="00AD61EF" w:rsidRDefault="00AD61EF" w:rsidP="00221864">
      <w:pPr>
        <w:autoSpaceDE w:val="0"/>
        <w:autoSpaceDN w:val="0"/>
        <w:adjustRightInd w:val="0"/>
        <w:spacing w:line="360" w:lineRule="auto"/>
        <w:jc w:val="both"/>
        <w:rPr>
          <w:rFonts w:ascii="Palatino Linotype" w:eastAsia="Batang" w:hAnsi="Palatino Linotype" w:cs="Arial"/>
          <w:bCs/>
          <w:iCs/>
          <w:sz w:val="22"/>
          <w:szCs w:val="22"/>
        </w:rPr>
      </w:pPr>
    </w:p>
    <w:p w14:paraId="323928F1" w14:textId="773CB966" w:rsidR="00DC7A2D" w:rsidRPr="00417AFC" w:rsidRDefault="00DC7A2D" w:rsidP="00221864">
      <w:pPr>
        <w:autoSpaceDE w:val="0"/>
        <w:autoSpaceDN w:val="0"/>
        <w:adjustRightInd w:val="0"/>
        <w:spacing w:line="360" w:lineRule="auto"/>
        <w:jc w:val="both"/>
        <w:rPr>
          <w:rFonts w:ascii="Palatino Linotype" w:eastAsia="Batang" w:hAnsi="Palatino Linotype" w:cs="Arial"/>
          <w:sz w:val="22"/>
          <w:szCs w:val="22"/>
        </w:rPr>
      </w:pPr>
      <w:r w:rsidRPr="00417AFC">
        <w:rPr>
          <w:rFonts w:ascii="Palatino Linotype" w:eastAsia="Batang" w:hAnsi="Palatino Linotype" w:cs="Arial"/>
          <w:bCs/>
          <w:iCs/>
          <w:sz w:val="22"/>
          <w:szCs w:val="22"/>
        </w:rPr>
        <w:t xml:space="preserve">De la tesis transcrita se desprende que </w:t>
      </w:r>
      <w:r w:rsidRPr="00417AFC">
        <w:rPr>
          <w:rFonts w:ascii="Palatino Linotype" w:eastAsia="Batang" w:hAnsi="Palatino Linotype" w:cs="Arial"/>
          <w:sz w:val="22"/>
          <w:szCs w:val="22"/>
        </w:rPr>
        <w:t xml:space="preserve">el honor es el concepto que la persona tiene de sí misma o que los demás se han formado de ella, en virtud de su proceder o de la expresión de su calidad ética y social. </w:t>
      </w:r>
    </w:p>
    <w:p w14:paraId="55E47AF8" w14:textId="77777777" w:rsidR="00DC7A2D" w:rsidRPr="00417AFC" w:rsidRDefault="00DC7A2D" w:rsidP="00221864">
      <w:pPr>
        <w:autoSpaceDE w:val="0"/>
        <w:autoSpaceDN w:val="0"/>
        <w:adjustRightInd w:val="0"/>
        <w:spacing w:line="360" w:lineRule="auto"/>
        <w:jc w:val="both"/>
        <w:rPr>
          <w:rFonts w:ascii="Palatino Linotype" w:eastAsia="Batang" w:hAnsi="Palatino Linotype" w:cs="Arial"/>
          <w:sz w:val="22"/>
          <w:szCs w:val="22"/>
        </w:rPr>
      </w:pPr>
    </w:p>
    <w:p w14:paraId="394E58A2" w14:textId="77777777" w:rsidR="00DC7A2D" w:rsidRPr="00417AFC" w:rsidRDefault="00DC7A2D" w:rsidP="00221864">
      <w:pPr>
        <w:autoSpaceDE w:val="0"/>
        <w:autoSpaceDN w:val="0"/>
        <w:adjustRightInd w:val="0"/>
        <w:spacing w:line="360" w:lineRule="auto"/>
        <w:jc w:val="both"/>
        <w:rPr>
          <w:rFonts w:ascii="Palatino Linotype" w:eastAsia="Batang" w:hAnsi="Palatino Linotype" w:cs="Arial"/>
          <w:sz w:val="22"/>
          <w:szCs w:val="22"/>
        </w:rPr>
      </w:pPr>
      <w:r w:rsidRPr="00417AFC">
        <w:rPr>
          <w:rFonts w:ascii="Palatino Linotype" w:eastAsia="Batang" w:hAnsi="Palatino Linotype" w:cs="Arial"/>
          <w:sz w:val="22"/>
          <w:szCs w:val="22"/>
        </w:rPr>
        <w:t xml:space="preserve">En el campo jurídico, es un derecho humano que involucra la facultad de cada individuo de ser tratado de forma decorosa. Este derecho tiene dos elementos, el subjetivo, que se basa en un sentimiento íntimo que se exterioriza por la afirmación que la persona hace de su propia dignidad, y en un sentimiento objetivo, que es la estimación interpersonal que la persona tiene por sus cualidades morales y profesionales dentro de la comunidad. En el aspecto subjetivo, el honor es lesionado por todo aquello que lastima el sentimiento de la propia dignidad. </w:t>
      </w:r>
      <w:r w:rsidRPr="00417AFC">
        <w:rPr>
          <w:rFonts w:ascii="Palatino Linotype" w:eastAsia="Batang" w:hAnsi="Palatino Linotype" w:cs="Arial"/>
          <w:b/>
          <w:sz w:val="22"/>
          <w:szCs w:val="22"/>
        </w:rPr>
        <w:t>En el aspecto objetivo, el honor es lesionado por todo aquello que afecta a la reputación que la persona merece.</w:t>
      </w:r>
    </w:p>
    <w:p w14:paraId="0DAAFED8" w14:textId="77777777" w:rsidR="00DC7A2D" w:rsidRPr="00417AFC" w:rsidRDefault="00DC7A2D" w:rsidP="00221864">
      <w:pPr>
        <w:autoSpaceDE w:val="0"/>
        <w:autoSpaceDN w:val="0"/>
        <w:adjustRightInd w:val="0"/>
        <w:spacing w:line="360" w:lineRule="auto"/>
        <w:jc w:val="both"/>
        <w:rPr>
          <w:rFonts w:ascii="Palatino Linotype" w:eastAsia="Batang" w:hAnsi="Palatino Linotype" w:cs="Arial"/>
          <w:sz w:val="22"/>
          <w:szCs w:val="22"/>
        </w:rPr>
      </w:pPr>
    </w:p>
    <w:p w14:paraId="73FF5C96" w14:textId="70843897" w:rsidR="00DC7A2D" w:rsidRPr="00417AFC" w:rsidRDefault="00DC7A2D" w:rsidP="00221864">
      <w:pPr>
        <w:spacing w:line="360" w:lineRule="auto"/>
        <w:jc w:val="both"/>
        <w:rPr>
          <w:rFonts w:ascii="Palatino Linotype" w:hAnsi="Palatino Linotype"/>
          <w:sz w:val="22"/>
          <w:szCs w:val="22"/>
        </w:rPr>
      </w:pPr>
      <w:r w:rsidRPr="00417AFC">
        <w:rPr>
          <w:rFonts w:ascii="Palatino Linotype" w:hAnsi="Palatino Linotype"/>
          <w:sz w:val="22"/>
          <w:szCs w:val="22"/>
        </w:rPr>
        <w:t>Adicionalmente, en relación a este derecho al honor, el máximo tribual también ha señalado que aunque no esté expresamente contenido en la C</w:t>
      </w:r>
      <w:r w:rsidR="00590C81" w:rsidRPr="00417AFC">
        <w:rPr>
          <w:rFonts w:ascii="Palatino Linotype" w:hAnsi="Palatino Linotype"/>
          <w:sz w:val="22"/>
          <w:szCs w:val="22"/>
        </w:rPr>
        <w:t xml:space="preserve">onstitución Política de los Estados Unidos Mexicanos, </w:t>
      </w:r>
      <w:r w:rsidRPr="00417AFC">
        <w:rPr>
          <w:rFonts w:ascii="Palatino Linotype" w:hAnsi="Palatino Linotype"/>
          <w:sz w:val="22"/>
          <w:szCs w:val="22"/>
        </w:rPr>
        <w:t>obliga su tutela en términos de lo previsto en el artículo 1°, como se muestra en la tesis aislada número I.5o.C.4 K (10a.), emitida por Tribunales Colegiados de Circuito, publicada en el Semanario Judicial de la Federación y su Gaceta, Tomo 2, Libro XXI, de junio de 2013, página 1258, de la Décima Época, materia constitucional, de rubro y texto siguiente:</w:t>
      </w:r>
    </w:p>
    <w:p w14:paraId="268FE892" w14:textId="77777777" w:rsidR="00DC7A2D" w:rsidRPr="00417AFC" w:rsidRDefault="00DC7A2D" w:rsidP="00221864">
      <w:pPr>
        <w:spacing w:line="360" w:lineRule="auto"/>
        <w:jc w:val="both"/>
        <w:rPr>
          <w:rFonts w:ascii="Palatino Linotype" w:hAnsi="Palatino Linotype"/>
          <w:sz w:val="22"/>
          <w:szCs w:val="22"/>
        </w:rPr>
      </w:pPr>
    </w:p>
    <w:p w14:paraId="79D9E919" w14:textId="77777777" w:rsidR="00DC7A2D" w:rsidRPr="00417AFC" w:rsidRDefault="00DC7A2D" w:rsidP="00221864">
      <w:pPr>
        <w:tabs>
          <w:tab w:val="left" w:pos="8363"/>
        </w:tabs>
        <w:spacing w:line="360" w:lineRule="auto"/>
        <w:ind w:left="567" w:right="616"/>
        <w:jc w:val="both"/>
        <w:rPr>
          <w:rFonts w:ascii="Palatino Linotype" w:hAnsi="Palatino Linotype"/>
          <w:b/>
          <w:i/>
          <w:sz w:val="20"/>
          <w:szCs w:val="20"/>
        </w:rPr>
      </w:pPr>
      <w:r w:rsidRPr="00417AFC">
        <w:rPr>
          <w:rFonts w:ascii="Palatino Linotype" w:hAnsi="Palatino Linotype"/>
          <w:i/>
          <w:sz w:val="20"/>
          <w:szCs w:val="20"/>
        </w:rPr>
        <w:t>“</w:t>
      </w:r>
      <w:r w:rsidRPr="00417AFC">
        <w:rPr>
          <w:rFonts w:ascii="Palatino Linotype" w:hAnsi="Palatino Linotype"/>
          <w:b/>
          <w:i/>
          <w:sz w:val="20"/>
          <w:szCs w:val="20"/>
        </w:rPr>
        <w:t xml:space="preserve">DERECHOS AL HONOR, A LA INTIMIDAD Y A LA PROPIA IMAGEN. CONSTITUYEN DERECHOS HUMANOS QUE SE PROTEGEN A TRAVÉS DEL ACTUAL MARCO CONSTITUCIONAL. </w:t>
      </w:r>
      <w:r w:rsidRPr="00417AFC">
        <w:rPr>
          <w:rFonts w:ascii="Palatino Linotype" w:hAnsi="Palatino Linotype"/>
          <w:i/>
          <w:sz w:val="20"/>
          <w:szCs w:val="20"/>
        </w:rPr>
        <w:t>Si conforme a las características que conforman a los derechos humanos, éstos no recaen sobre cosas materiales, sino que otorgan acción para lograr que el Estado respete los derechos garantizados, y se consideran esenciales e inherentes al ser humano y derivados de su propia naturaleza, resulta lógico que los atributos de la personalidad se enlacen directamente con tales derechos, pues los mencionados atributos tienen una coincidencia con las libertades protegidas por los derechos del hombre como son los concernientes al honor, a la intimidad y a la propia imagen que constituyen derechos subjetivos del ser humano, en tanto que son inseparables de su titular, quien nace con ellos, y el Estado debe reconocerlos. Como no recaen sobre bienes materiales, sino sobre la personalidad de los individuos, son generales porque corresponden a todos los seres humanos, y no pueden considerarse renunciables, transmisibles o prescriptibles, porque son inherentes a la persona misma, es decir, son intrínsecos al sujeto quien no puede vivir sin ellos. Ahora, del contenido expreso del artículo 1o. constitucional se advierte que nuestro país actualmente adopta una protección amplia de los derechos humanos, mediante el reconocimiento claro del principio pro personae, como rector de la interpretación y aplicación de las normas jurídicas, en aquellas que favorezcan y brinden mayor protección a las personas, aunado a que también precisa de manera clara la obligación de observar los tratados internacionales firmados por el Estado Mexicano al momento de aplicar e interpretar las normas jurídicas en las que se vea involucrado este tipo de derechos, como son los señalados atributos de la personalidad conforme a la Convención Americana sobre Derechos Humanos y el Pacto Internacional de Derechos Civiles y Políticos, y en casos en los que se involucra la posible afectación por daño moral de un atributo de la personalidad -en su vertiente del derecho al honor- debe aplicarse la tutela y protección consagrada en los principios reconocidos al efecto en nuestra Carta Magna, con independencia de que no exista una referencia expresa en el texto constitucional hacia la salvaguarda concreta del citado atributo, pues la obligación de protección deriva de disposiciones contenidas en dos tipos de ordenamientos superiores -Constitución y tratados internacionales- con los que cuenta el Estado Mexicano.”</w:t>
      </w:r>
    </w:p>
    <w:p w14:paraId="37D06FE6" w14:textId="77777777" w:rsidR="00DC7A2D" w:rsidRPr="00417AFC" w:rsidRDefault="00DC7A2D" w:rsidP="00221864">
      <w:pPr>
        <w:autoSpaceDE w:val="0"/>
        <w:autoSpaceDN w:val="0"/>
        <w:adjustRightInd w:val="0"/>
        <w:spacing w:line="360" w:lineRule="auto"/>
        <w:jc w:val="both"/>
        <w:rPr>
          <w:rFonts w:ascii="Palatino Linotype" w:eastAsia="Batang" w:hAnsi="Palatino Linotype" w:cs="Arial"/>
          <w:sz w:val="22"/>
          <w:szCs w:val="22"/>
        </w:rPr>
      </w:pPr>
    </w:p>
    <w:p w14:paraId="5261A24B" w14:textId="77777777" w:rsidR="00DC7A2D" w:rsidRPr="00417AFC" w:rsidRDefault="00DC7A2D" w:rsidP="00221864">
      <w:pPr>
        <w:autoSpaceDE w:val="0"/>
        <w:autoSpaceDN w:val="0"/>
        <w:adjustRightInd w:val="0"/>
        <w:spacing w:line="360" w:lineRule="auto"/>
        <w:jc w:val="both"/>
        <w:rPr>
          <w:rFonts w:ascii="Palatino Linotype" w:eastAsia="Batang" w:hAnsi="Palatino Linotype" w:cs="Arial"/>
          <w:sz w:val="22"/>
          <w:szCs w:val="22"/>
        </w:rPr>
      </w:pPr>
      <w:r w:rsidRPr="00417AFC">
        <w:rPr>
          <w:rFonts w:ascii="Palatino Linotype" w:eastAsia="Batang" w:hAnsi="Palatino Linotype" w:cs="Arial"/>
          <w:sz w:val="22"/>
          <w:szCs w:val="22"/>
        </w:rPr>
        <w:t>Asimismo, el artículo 12 de la Declaración Universal de los Derechos Humanos</w:t>
      </w:r>
      <w:r w:rsidRPr="00417AFC">
        <w:rPr>
          <w:rFonts w:ascii="Palatino Linotype" w:eastAsia="Batang" w:hAnsi="Palatino Linotype" w:cs="Arial"/>
          <w:i/>
          <w:sz w:val="22"/>
          <w:szCs w:val="22"/>
        </w:rPr>
        <w:t xml:space="preserve"> </w:t>
      </w:r>
      <w:r w:rsidRPr="00417AFC">
        <w:rPr>
          <w:rFonts w:ascii="Palatino Linotype" w:eastAsia="Batang" w:hAnsi="Palatino Linotype" w:cs="Arial"/>
          <w:sz w:val="22"/>
          <w:szCs w:val="22"/>
        </w:rPr>
        <w:t>prevé que nadie será objeto de injerencias arbitrarias en su vida privada, su familia, su domicilio o su correspondencia, ni de ataques a su honra o a su reputación. Toda persona tiene derecho a la protección de la ley contra tales injerencias o ataques.</w:t>
      </w:r>
    </w:p>
    <w:p w14:paraId="069C0BFD" w14:textId="77777777" w:rsidR="00DC7A2D" w:rsidRPr="00417AFC" w:rsidRDefault="00DC7A2D" w:rsidP="00221864">
      <w:pPr>
        <w:autoSpaceDE w:val="0"/>
        <w:autoSpaceDN w:val="0"/>
        <w:adjustRightInd w:val="0"/>
        <w:spacing w:line="360" w:lineRule="auto"/>
        <w:jc w:val="both"/>
        <w:rPr>
          <w:rFonts w:ascii="Palatino Linotype" w:eastAsia="Batang" w:hAnsi="Palatino Linotype" w:cs="Arial"/>
          <w:sz w:val="22"/>
          <w:szCs w:val="22"/>
        </w:rPr>
      </w:pPr>
    </w:p>
    <w:p w14:paraId="2B849C3D" w14:textId="77777777" w:rsidR="00DC7A2D" w:rsidRPr="00417AFC" w:rsidRDefault="00DC7A2D" w:rsidP="00221864">
      <w:pPr>
        <w:autoSpaceDE w:val="0"/>
        <w:autoSpaceDN w:val="0"/>
        <w:adjustRightInd w:val="0"/>
        <w:spacing w:line="360" w:lineRule="auto"/>
        <w:jc w:val="both"/>
        <w:rPr>
          <w:rFonts w:ascii="Palatino Linotype" w:eastAsia="Batang" w:hAnsi="Palatino Linotype" w:cs="Arial"/>
          <w:sz w:val="22"/>
          <w:szCs w:val="22"/>
        </w:rPr>
      </w:pPr>
      <w:r w:rsidRPr="00417AFC">
        <w:rPr>
          <w:rFonts w:ascii="Palatino Linotype" w:eastAsia="Batang" w:hAnsi="Palatino Linotype" w:cs="Arial"/>
          <w:sz w:val="22"/>
          <w:szCs w:val="22"/>
        </w:rPr>
        <w:t>De igual manera, la Convención Americana sobre los Derechos Humanos, en su artículo 11, establece que toda persona tiene derecho al respeto de su honra y al reconocimiento de su dignidad; que nadie puede ser objeto de injerencias arbitrarias o abusivas en su vida privada, en la de su familia, en su domicilio o en su correspondencia, ni de ataques ilegales a su honra o reputación; y que toda persona tiene derecho a la protección de la ley contra esas injerencias o esos ataques.</w:t>
      </w:r>
    </w:p>
    <w:p w14:paraId="196A93E6" w14:textId="77777777" w:rsidR="00DC7A2D" w:rsidRPr="00417AFC" w:rsidRDefault="00DC7A2D" w:rsidP="00221864">
      <w:pPr>
        <w:autoSpaceDE w:val="0"/>
        <w:autoSpaceDN w:val="0"/>
        <w:adjustRightInd w:val="0"/>
        <w:spacing w:line="360" w:lineRule="auto"/>
        <w:jc w:val="both"/>
        <w:rPr>
          <w:rFonts w:ascii="Palatino Linotype" w:eastAsia="Batang" w:hAnsi="Palatino Linotype" w:cs="Arial"/>
          <w:sz w:val="22"/>
          <w:szCs w:val="22"/>
        </w:rPr>
      </w:pPr>
    </w:p>
    <w:p w14:paraId="28B899D3" w14:textId="3F90AE0B" w:rsidR="00DC7A2D" w:rsidRDefault="00DC7A2D" w:rsidP="00221864">
      <w:pPr>
        <w:autoSpaceDE w:val="0"/>
        <w:autoSpaceDN w:val="0"/>
        <w:adjustRightInd w:val="0"/>
        <w:spacing w:line="360" w:lineRule="auto"/>
        <w:jc w:val="both"/>
        <w:rPr>
          <w:rFonts w:ascii="Palatino Linotype" w:eastAsia="Batang" w:hAnsi="Palatino Linotype" w:cs="Arial"/>
          <w:sz w:val="22"/>
          <w:szCs w:val="22"/>
        </w:rPr>
      </w:pPr>
      <w:r w:rsidRPr="00417AFC">
        <w:rPr>
          <w:rFonts w:ascii="Palatino Linotype" w:eastAsia="Batang" w:hAnsi="Palatino Linotype" w:cs="Arial"/>
          <w:sz w:val="22"/>
          <w:szCs w:val="22"/>
        </w:rPr>
        <w:t>Finalmente, el artículo 17 del Pacto Internacional de los Derechos Civiles y Políticos señala que nadie será objeto de injerencias arbitrarias o ilegales en su vida privada, su familia, su domicilio o su correspondencia, ni de ataques ilegales a su honra y reputación; y que toda persona tiene derecho a la protección de la ley contra esas injerencias o esos ataques.</w:t>
      </w:r>
    </w:p>
    <w:p w14:paraId="2C71B10B" w14:textId="77777777" w:rsidR="003168DA" w:rsidRPr="00417AFC" w:rsidRDefault="003168DA" w:rsidP="00221864">
      <w:pPr>
        <w:autoSpaceDE w:val="0"/>
        <w:autoSpaceDN w:val="0"/>
        <w:adjustRightInd w:val="0"/>
        <w:spacing w:line="360" w:lineRule="auto"/>
        <w:jc w:val="both"/>
        <w:rPr>
          <w:rFonts w:ascii="Palatino Linotype" w:eastAsia="Batang" w:hAnsi="Palatino Linotype" w:cs="Arial"/>
          <w:sz w:val="22"/>
          <w:szCs w:val="22"/>
        </w:rPr>
      </w:pPr>
    </w:p>
    <w:p w14:paraId="7B2221C8" w14:textId="20A1ACB1" w:rsidR="00DC7A2D" w:rsidRDefault="00DC7A2D" w:rsidP="00221864">
      <w:pPr>
        <w:autoSpaceDE w:val="0"/>
        <w:autoSpaceDN w:val="0"/>
        <w:adjustRightInd w:val="0"/>
        <w:spacing w:line="360" w:lineRule="auto"/>
        <w:jc w:val="both"/>
        <w:rPr>
          <w:rFonts w:ascii="Palatino Linotype" w:eastAsia="Batang" w:hAnsi="Palatino Linotype" w:cs="Arial"/>
          <w:sz w:val="22"/>
          <w:szCs w:val="22"/>
        </w:rPr>
      </w:pPr>
      <w:r w:rsidRPr="00417AFC">
        <w:rPr>
          <w:rFonts w:ascii="Palatino Linotype" w:eastAsia="Batang" w:hAnsi="Palatino Linotype" w:cs="Arial"/>
          <w:sz w:val="22"/>
          <w:szCs w:val="22"/>
        </w:rPr>
        <w:t xml:space="preserve">En ese contexto, conforme al artículo 50 de la Ley de Responsabilidades Administrativas del Estado de México y Municipios, </w:t>
      </w:r>
      <w:r w:rsidRPr="00417AFC">
        <w:rPr>
          <w:rFonts w:ascii="Palatino Linotype" w:eastAsia="Batang" w:hAnsi="Palatino Linotype" w:cs="Arial"/>
          <w:b/>
          <w:sz w:val="22"/>
          <w:szCs w:val="22"/>
        </w:rPr>
        <w:t>establece que incurrirá en una falta administrativa no grave, aquellos servidores públicos cuyos actos y omisiones incumplan o transgredan el cumplimiento de sus funciones, atribuciones o comisiones, la atención de instrucciones, presentar en tiempo y forma las declaraciones de situación patrimonial y de intereses, el cuidado de documentación, la rendición de cuentas sobre el ejercicio de sus funciones, entre otras</w:t>
      </w:r>
      <w:r w:rsidRPr="00417AFC">
        <w:rPr>
          <w:rFonts w:ascii="Palatino Linotype" w:eastAsia="Batang" w:hAnsi="Palatino Linotype" w:cs="Arial"/>
          <w:sz w:val="22"/>
          <w:szCs w:val="22"/>
        </w:rPr>
        <w:t>.</w:t>
      </w:r>
    </w:p>
    <w:p w14:paraId="756AD6E4" w14:textId="77777777" w:rsidR="003168DA" w:rsidRPr="00417AFC" w:rsidRDefault="003168DA" w:rsidP="00221864">
      <w:pPr>
        <w:autoSpaceDE w:val="0"/>
        <w:autoSpaceDN w:val="0"/>
        <w:adjustRightInd w:val="0"/>
        <w:spacing w:line="360" w:lineRule="auto"/>
        <w:jc w:val="both"/>
        <w:rPr>
          <w:rFonts w:ascii="Palatino Linotype" w:eastAsia="Batang" w:hAnsi="Palatino Linotype" w:cs="Arial"/>
          <w:sz w:val="22"/>
          <w:szCs w:val="22"/>
        </w:rPr>
      </w:pPr>
    </w:p>
    <w:p w14:paraId="6B71767D" w14:textId="77777777" w:rsidR="00E86CE4" w:rsidRPr="00417AFC" w:rsidRDefault="00E86CE4" w:rsidP="00221864">
      <w:pPr>
        <w:autoSpaceDE w:val="0"/>
        <w:autoSpaceDN w:val="0"/>
        <w:adjustRightInd w:val="0"/>
        <w:spacing w:line="360" w:lineRule="auto"/>
        <w:jc w:val="both"/>
        <w:rPr>
          <w:rFonts w:ascii="Palatino Linotype" w:eastAsia="Batang" w:hAnsi="Palatino Linotype" w:cs="Arial"/>
          <w:sz w:val="22"/>
          <w:szCs w:val="22"/>
        </w:rPr>
      </w:pPr>
      <w:r w:rsidRPr="00417AFC">
        <w:rPr>
          <w:rFonts w:ascii="Palatino Linotype" w:eastAsia="Batang" w:hAnsi="Palatino Linotype" w:cs="Arial"/>
          <w:sz w:val="22"/>
          <w:szCs w:val="22"/>
        </w:rPr>
        <w:t>Como se logra observar, las faltas no graves, son aquellas que cometen los servidores públicos por incumplimiento a sus funciones, o bien, a sus obligaciones y, por lo tanto, las consecuencias recaen directamente en contra, de este, al no haber una afectación a terceros (personas físicas, morales, instituciones públicas u otros trabajadores), ni haber un detrimento en el erario.</w:t>
      </w:r>
    </w:p>
    <w:p w14:paraId="7ADB88FA" w14:textId="77777777" w:rsidR="00E86CE4" w:rsidRPr="00417AFC" w:rsidRDefault="00E86CE4" w:rsidP="00221864">
      <w:pPr>
        <w:autoSpaceDE w:val="0"/>
        <w:autoSpaceDN w:val="0"/>
        <w:adjustRightInd w:val="0"/>
        <w:spacing w:line="360" w:lineRule="auto"/>
        <w:jc w:val="both"/>
        <w:rPr>
          <w:rFonts w:ascii="Palatino Linotype" w:eastAsia="Batang" w:hAnsi="Palatino Linotype" w:cs="Arial"/>
          <w:sz w:val="22"/>
          <w:szCs w:val="22"/>
        </w:rPr>
      </w:pPr>
    </w:p>
    <w:p w14:paraId="5322CA7E" w14:textId="7C9C3823" w:rsidR="00E86CE4" w:rsidRPr="00417AFC" w:rsidRDefault="00E86CE4" w:rsidP="00221864">
      <w:pPr>
        <w:autoSpaceDE w:val="0"/>
        <w:autoSpaceDN w:val="0"/>
        <w:adjustRightInd w:val="0"/>
        <w:spacing w:line="360" w:lineRule="auto"/>
        <w:jc w:val="both"/>
        <w:rPr>
          <w:rFonts w:ascii="Palatino Linotype" w:eastAsia="Batang" w:hAnsi="Palatino Linotype" w:cs="Arial"/>
          <w:sz w:val="22"/>
          <w:szCs w:val="22"/>
        </w:rPr>
      </w:pPr>
      <w:r w:rsidRPr="00417AFC">
        <w:rPr>
          <w:rFonts w:ascii="Palatino Linotype" w:eastAsia="Batang" w:hAnsi="Palatino Linotype" w:cs="Arial"/>
          <w:b/>
          <w:sz w:val="22"/>
          <w:szCs w:val="22"/>
        </w:rPr>
        <w:t xml:space="preserve">Así, se puede advertir que dichas faltas, no tienen una trascendencia social, </w:t>
      </w:r>
      <w:r w:rsidRPr="00417AFC">
        <w:rPr>
          <w:rFonts w:ascii="Palatino Linotype" w:eastAsia="Batang" w:hAnsi="Palatino Linotype" w:cs="Arial"/>
          <w:sz w:val="22"/>
          <w:szCs w:val="22"/>
        </w:rPr>
        <w:t>pues no existe un daño externo, sino que únicamente la atañe al servidor público en cuestión.</w:t>
      </w:r>
    </w:p>
    <w:p w14:paraId="10228490" w14:textId="77777777" w:rsidR="005C1A17" w:rsidRPr="00417AFC" w:rsidRDefault="005C1A17" w:rsidP="00221864">
      <w:pPr>
        <w:autoSpaceDE w:val="0"/>
        <w:autoSpaceDN w:val="0"/>
        <w:adjustRightInd w:val="0"/>
        <w:spacing w:line="360" w:lineRule="auto"/>
        <w:jc w:val="both"/>
        <w:rPr>
          <w:rFonts w:ascii="Palatino Linotype" w:eastAsia="Batang" w:hAnsi="Palatino Linotype" w:cs="Arial"/>
          <w:sz w:val="22"/>
          <w:szCs w:val="22"/>
        </w:rPr>
      </w:pPr>
    </w:p>
    <w:p w14:paraId="56FCA06A" w14:textId="77777777" w:rsidR="00E86CE4" w:rsidRPr="00417AFC" w:rsidRDefault="00E86CE4" w:rsidP="00221864">
      <w:pPr>
        <w:autoSpaceDE w:val="0"/>
        <w:autoSpaceDN w:val="0"/>
        <w:adjustRightInd w:val="0"/>
        <w:spacing w:line="360" w:lineRule="auto"/>
        <w:jc w:val="both"/>
        <w:rPr>
          <w:rFonts w:ascii="Palatino Linotype" w:hAnsi="Palatino Linotype" w:cs="Arial"/>
          <w:sz w:val="22"/>
          <w:szCs w:val="22"/>
        </w:rPr>
      </w:pPr>
      <w:r w:rsidRPr="00417AFC">
        <w:rPr>
          <w:rFonts w:ascii="Palatino Linotype" w:hAnsi="Palatino Linotype" w:cs="Arial"/>
          <w:sz w:val="22"/>
          <w:szCs w:val="22"/>
        </w:rPr>
        <w:t xml:space="preserve">Por lo expuesto, se desprende que dar a conocer el nombre del servidor público de un procedimiento de responsabilidad administrativa no grave, constituye información confidencial que afecta su esfera privada, puesto que podría generar una percepción negativa de este, ocasionando un perjuicio en su </w:t>
      </w:r>
      <w:r w:rsidRPr="00417AFC">
        <w:rPr>
          <w:rFonts w:ascii="Palatino Linotype" w:hAnsi="Palatino Linotype" w:cs="Arial"/>
          <w:b/>
          <w:sz w:val="22"/>
          <w:szCs w:val="22"/>
        </w:rPr>
        <w:t>honor, intimidad y buena imagen</w:t>
      </w:r>
      <w:r w:rsidRPr="00417AFC">
        <w:rPr>
          <w:rFonts w:ascii="Palatino Linotype" w:hAnsi="Palatino Linotype" w:cs="Arial"/>
          <w:sz w:val="22"/>
          <w:szCs w:val="22"/>
        </w:rPr>
        <w:t>, pues como se precisó la afectación es para el propio servidor público, situación que no afecta a terceros.</w:t>
      </w:r>
    </w:p>
    <w:p w14:paraId="34A2D90D" w14:textId="77777777" w:rsidR="00E86CE4" w:rsidRPr="00417AFC" w:rsidRDefault="00E86CE4" w:rsidP="00221864">
      <w:pPr>
        <w:autoSpaceDE w:val="0"/>
        <w:autoSpaceDN w:val="0"/>
        <w:adjustRightInd w:val="0"/>
        <w:spacing w:line="360" w:lineRule="auto"/>
        <w:jc w:val="both"/>
        <w:rPr>
          <w:rFonts w:ascii="Palatino Linotype" w:hAnsi="Palatino Linotype" w:cs="Arial"/>
          <w:sz w:val="22"/>
          <w:szCs w:val="22"/>
        </w:rPr>
      </w:pPr>
    </w:p>
    <w:p w14:paraId="666D99B1" w14:textId="77777777" w:rsidR="00E86CE4" w:rsidRPr="00417AFC" w:rsidRDefault="00E86CE4" w:rsidP="00221864">
      <w:pPr>
        <w:autoSpaceDE w:val="0"/>
        <w:autoSpaceDN w:val="0"/>
        <w:adjustRightInd w:val="0"/>
        <w:spacing w:line="360" w:lineRule="auto"/>
        <w:jc w:val="both"/>
        <w:rPr>
          <w:rFonts w:ascii="Palatino Linotype" w:hAnsi="Palatino Linotype" w:cs="Arial"/>
          <w:sz w:val="22"/>
          <w:szCs w:val="22"/>
        </w:rPr>
      </w:pPr>
      <w:r w:rsidRPr="00417AFC">
        <w:rPr>
          <w:rFonts w:ascii="Palatino Linotype" w:hAnsi="Palatino Linotype" w:cs="Arial"/>
          <w:sz w:val="22"/>
          <w:szCs w:val="22"/>
        </w:rPr>
        <w:t xml:space="preserve">Por lo cual, dar a conocer el nombre del servidor público que haya recibido una falta administrativa no grave, la cual no causa una afectación a otros, pues como se precisó en párrafos anteriores, se trata de incumplimientos a sus funciones u obligaciones, podría generar un juicio </w:t>
      </w:r>
      <w:r w:rsidRPr="00417AFC">
        <w:rPr>
          <w:rFonts w:ascii="Palatino Linotype" w:hAnsi="Palatino Linotype" w:cs="Arial"/>
          <w:i/>
          <w:sz w:val="22"/>
          <w:szCs w:val="22"/>
        </w:rPr>
        <w:t>a priori</w:t>
      </w:r>
      <w:r w:rsidRPr="00417AFC">
        <w:rPr>
          <w:rFonts w:ascii="Palatino Linotype" w:hAnsi="Palatino Linotype" w:cs="Arial"/>
          <w:sz w:val="22"/>
          <w:szCs w:val="22"/>
        </w:rPr>
        <w:t xml:space="preserve"> por parte de la sociedad, afectando su prestigio y su buen nombre, pues la sociedad podría calificar a dicho servidor público, como ineficiente o corrupto, </w:t>
      </w:r>
      <w:r w:rsidRPr="00417AFC">
        <w:rPr>
          <w:rFonts w:ascii="Palatino Linotype" w:hAnsi="Palatino Linotype" w:cs="Arial"/>
          <w:b/>
          <w:sz w:val="22"/>
          <w:szCs w:val="22"/>
        </w:rPr>
        <w:t>lo cual daña si vida privada y profesional,</w:t>
      </w:r>
      <w:r w:rsidRPr="00417AFC">
        <w:rPr>
          <w:rFonts w:ascii="Palatino Linotype" w:hAnsi="Palatino Linotype" w:cs="Arial"/>
          <w:sz w:val="22"/>
          <w:szCs w:val="22"/>
        </w:rPr>
        <w:t xml:space="preserve"> mismas que forman parte de su intimidad; por lo que se concluye que dicha información, en caso que existiera, tiene el carácter de confidencial.</w:t>
      </w:r>
    </w:p>
    <w:p w14:paraId="15AE1091" w14:textId="77777777" w:rsidR="00E86CE4" w:rsidRPr="00417AFC" w:rsidRDefault="00E86CE4" w:rsidP="00221864">
      <w:pPr>
        <w:autoSpaceDE w:val="0"/>
        <w:autoSpaceDN w:val="0"/>
        <w:adjustRightInd w:val="0"/>
        <w:spacing w:line="360" w:lineRule="auto"/>
        <w:jc w:val="both"/>
        <w:rPr>
          <w:rFonts w:ascii="Palatino Linotype" w:hAnsi="Palatino Linotype" w:cs="Arial"/>
          <w:sz w:val="22"/>
          <w:szCs w:val="22"/>
        </w:rPr>
      </w:pPr>
    </w:p>
    <w:p w14:paraId="51BE486A" w14:textId="075805C9" w:rsidR="00E86CE4" w:rsidRPr="00417AFC" w:rsidRDefault="00E86CE4" w:rsidP="00221864">
      <w:pPr>
        <w:autoSpaceDE w:val="0"/>
        <w:autoSpaceDN w:val="0"/>
        <w:adjustRightInd w:val="0"/>
        <w:spacing w:line="360" w:lineRule="auto"/>
        <w:jc w:val="both"/>
        <w:rPr>
          <w:rFonts w:ascii="Palatino Linotype" w:hAnsi="Palatino Linotype" w:cs="Arial"/>
          <w:sz w:val="22"/>
          <w:szCs w:val="22"/>
        </w:rPr>
      </w:pPr>
      <w:r w:rsidRPr="00417AFC">
        <w:rPr>
          <w:rFonts w:ascii="Palatino Linotype" w:hAnsi="Palatino Linotype" w:cs="Arial"/>
          <w:sz w:val="22"/>
          <w:szCs w:val="22"/>
        </w:rPr>
        <w:t xml:space="preserve">Por lo cual, se considera procedente la clasificación, en términos del artículo 143, fracción I, de la Ley de Transparencia y </w:t>
      </w:r>
      <w:r w:rsidR="00F533F3" w:rsidRPr="00417AFC">
        <w:rPr>
          <w:rFonts w:ascii="Palatino Linotype" w:hAnsi="Palatino Linotype" w:cs="Arial"/>
          <w:sz w:val="22"/>
          <w:szCs w:val="22"/>
        </w:rPr>
        <w:t>Acceso a la Información Pública</w:t>
      </w:r>
      <w:r w:rsidRPr="00417AFC">
        <w:rPr>
          <w:rFonts w:ascii="Palatino Linotype" w:hAnsi="Palatino Linotype" w:cs="Arial"/>
          <w:sz w:val="22"/>
          <w:szCs w:val="22"/>
        </w:rPr>
        <w:t xml:space="preserve"> del Estado de México y Municipios, del nombre de los servidores públicos que hayan recibido alguna sanción por falta administrativa no grave.</w:t>
      </w:r>
    </w:p>
    <w:p w14:paraId="08479740" w14:textId="39EDDADF" w:rsidR="00E86CE4" w:rsidRPr="00417AFC" w:rsidRDefault="00E86CE4" w:rsidP="00221864">
      <w:pPr>
        <w:autoSpaceDE w:val="0"/>
        <w:autoSpaceDN w:val="0"/>
        <w:adjustRightInd w:val="0"/>
        <w:spacing w:line="360" w:lineRule="auto"/>
        <w:jc w:val="both"/>
        <w:rPr>
          <w:rFonts w:ascii="Palatino Linotype" w:hAnsi="Palatino Linotype" w:cs="Arial"/>
          <w:bCs/>
          <w:sz w:val="22"/>
          <w:szCs w:val="22"/>
        </w:rPr>
      </w:pPr>
    </w:p>
    <w:p w14:paraId="3EC9906B" w14:textId="226CB09A" w:rsidR="00E86CE4" w:rsidRDefault="00E86CE4" w:rsidP="00221864">
      <w:pPr>
        <w:spacing w:line="360" w:lineRule="auto"/>
        <w:ind w:right="-93"/>
        <w:jc w:val="both"/>
        <w:rPr>
          <w:rFonts w:ascii="Palatino Linotype" w:eastAsia="Calibri" w:hAnsi="Palatino Linotype" w:cs="Tahoma"/>
          <w:bCs/>
          <w:sz w:val="22"/>
          <w:szCs w:val="22"/>
          <w:lang w:eastAsia="en-US"/>
        </w:rPr>
      </w:pPr>
      <w:r w:rsidRPr="00417AFC">
        <w:rPr>
          <w:rFonts w:ascii="Palatino Linotype" w:eastAsia="Calibri" w:hAnsi="Palatino Linotype" w:cs="Tahoma"/>
          <w:bCs/>
          <w:sz w:val="22"/>
          <w:szCs w:val="22"/>
          <w:lang w:eastAsia="en-US"/>
        </w:rPr>
        <w:t xml:space="preserve">Ante tales circunstancias, se desprende que, en el caso concreto, sobreviene una </w:t>
      </w:r>
      <w:r w:rsidRPr="00417AFC">
        <w:rPr>
          <w:rFonts w:ascii="Palatino Linotype" w:eastAsia="Calibri" w:hAnsi="Palatino Linotype" w:cs="Tahoma"/>
          <w:b/>
          <w:bCs/>
          <w:sz w:val="22"/>
          <w:szCs w:val="22"/>
          <w:lang w:eastAsia="en-US"/>
        </w:rPr>
        <w:t>colisión de derechos fundamentales,</w:t>
      </w:r>
      <w:r w:rsidRPr="00417AFC">
        <w:rPr>
          <w:rFonts w:ascii="Palatino Linotype" w:eastAsia="Calibri" w:hAnsi="Palatino Linotype" w:cs="Tahoma"/>
          <w:bCs/>
          <w:sz w:val="22"/>
          <w:szCs w:val="22"/>
          <w:lang w:eastAsia="en-US"/>
        </w:rPr>
        <w:t xml:space="preserve"> esto es, por una parte, se tiene el derecho de acceso a la información del Particular para conocer la información en análisis, y por la otra, el derecho a la protección de la vida privada de un servidor público, lo cual implica dar a conocer información confidencial consistente en dar a conocer que estuvo inmerso en un procedimiento de responsabilidad administrativa de falta grave.</w:t>
      </w:r>
    </w:p>
    <w:p w14:paraId="3EBFDB3D" w14:textId="77777777" w:rsidR="00AD61EF" w:rsidRPr="00417AFC" w:rsidRDefault="00AD61EF" w:rsidP="00221864">
      <w:pPr>
        <w:spacing w:line="360" w:lineRule="auto"/>
        <w:ind w:right="-93"/>
        <w:jc w:val="both"/>
        <w:rPr>
          <w:rFonts w:ascii="Palatino Linotype" w:eastAsia="Calibri" w:hAnsi="Palatino Linotype" w:cs="Tahoma"/>
          <w:bCs/>
          <w:sz w:val="22"/>
          <w:szCs w:val="22"/>
          <w:lang w:eastAsia="en-US"/>
        </w:rPr>
      </w:pPr>
    </w:p>
    <w:p w14:paraId="4BE397BB" w14:textId="77777777" w:rsidR="00E86CE4" w:rsidRPr="00417AFC" w:rsidRDefault="00E86CE4" w:rsidP="00221864">
      <w:pPr>
        <w:spacing w:line="360" w:lineRule="auto"/>
        <w:ind w:right="-93"/>
        <w:jc w:val="both"/>
        <w:rPr>
          <w:rFonts w:ascii="Palatino Linotype" w:eastAsia="Calibri" w:hAnsi="Palatino Linotype" w:cs="Tahoma"/>
          <w:bCs/>
          <w:sz w:val="22"/>
          <w:szCs w:val="22"/>
          <w:lang w:eastAsia="en-US"/>
        </w:rPr>
      </w:pPr>
      <w:r w:rsidRPr="00417AFC">
        <w:rPr>
          <w:rFonts w:ascii="Palatino Linotype" w:eastAsia="Calibri" w:hAnsi="Palatino Linotype" w:cs="Tahoma"/>
          <w:bCs/>
          <w:sz w:val="22"/>
          <w:szCs w:val="22"/>
          <w:lang w:eastAsia="en-US"/>
        </w:rPr>
        <w:t>Sobre el particular, debe señalarse que, en un sistema jurídico racional, el contenido de ciertos derechos fundamentales no es absoluto y la colisión entre derechos fundamentales debe resolverse mediante una ponderación que determine el derecho que ha de prevalecer en el caso concretó, y no apelando a reglas de prioridad entre normas.</w:t>
      </w:r>
    </w:p>
    <w:p w14:paraId="7540D046" w14:textId="77777777" w:rsidR="00E86CE4" w:rsidRPr="00417AFC" w:rsidRDefault="00E86CE4" w:rsidP="00221864">
      <w:pPr>
        <w:spacing w:line="360" w:lineRule="auto"/>
        <w:ind w:right="-93"/>
        <w:jc w:val="both"/>
        <w:rPr>
          <w:rFonts w:ascii="Palatino Linotype" w:eastAsia="Calibri" w:hAnsi="Palatino Linotype" w:cs="Tahoma"/>
          <w:bCs/>
          <w:sz w:val="22"/>
          <w:szCs w:val="22"/>
          <w:lang w:eastAsia="en-US"/>
        </w:rPr>
      </w:pPr>
    </w:p>
    <w:p w14:paraId="52830A7C" w14:textId="21CF8B8E" w:rsidR="00E86CE4" w:rsidRDefault="00E86CE4" w:rsidP="00221864">
      <w:pPr>
        <w:spacing w:line="360" w:lineRule="auto"/>
        <w:ind w:right="-93"/>
        <w:jc w:val="both"/>
        <w:rPr>
          <w:rFonts w:ascii="Palatino Linotype" w:eastAsia="Calibri" w:hAnsi="Palatino Linotype" w:cs="Tahoma"/>
          <w:bCs/>
          <w:sz w:val="22"/>
          <w:szCs w:val="22"/>
          <w:lang w:eastAsia="en-US"/>
        </w:rPr>
      </w:pPr>
      <w:r w:rsidRPr="00417AFC">
        <w:rPr>
          <w:rFonts w:ascii="Palatino Linotype" w:eastAsia="Calibri" w:hAnsi="Palatino Linotype" w:cs="Tahoma"/>
          <w:bCs/>
          <w:sz w:val="22"/>
          <w:szCs w:val="22"/>
          <w:lang w:eastAsia="en-US"/>
        </w:rPr>
        <w:t xml:space="preserve">Por cuanto hace a la colisión entre el derecho a la información y el derecho a la intimidad o a la vida privada, el Poder Judicial de la Federación ha sostenido la </w:t>
      </w:r>
      <w:r w:rsidRPr="00417AFC">
        <w:rPr>
          <w:rFonts w:ascii="Palatino Linotype" w:eastAsia="Calibri" w:hAnsi="Palatino Linotype" w:cs="Tahoma"/>
          <w:b/>
          <w:bCs/>
          <w:sz w:val="22"/>
          <w:szCs w:val="22"/>
          <w:lang w:eastAsia="en-US"/>
        </w:rPr>
        <w:t xml:space="preserve">necesidad de resolver el conflicto apuntado mediante el ejercicio de ponderación; además, que el interés público que tenga cierta información, será concepto legitimador de las intromisiones en la intimidad o la vida privada, en donde este derecho debe ceder a favor del derecho a comunicar y recibir información, atendiendo a las circunstancias de cada caso en concreto, </w:t>
      </w:r>
      <w:r w:rsidRPr="00417AFC">
        <w:rPr>
          <w:rFonts w:ascii="Palatino Linotype" w:eastAsia="Calibri" w:hAnsi="Palatino Linotype" w:cs="Tahoma"/>
          <w:bCs/>
          <w:sz w:val="22"/>
          <w:szCs w:val="22"/>
          <w:lang w:eastAsia="en-US"/>
        </w:rPr>
        <w:t>tal y como se desprende de la tesis 1a. XLIII/2010, emitida por la Primera Sala de la Suprema Corte de Justicia de la Nación, publicada en el Semanario Judicial de la Federación y su Gaceta, Tomo XXXI, página 928, de marzo de 2010, Novena Época, materia constitucional.</w:t>
      </w:r>
    </w:p>
    <w:p w14:paraId="32299556" w14:textId="77777777" w:rsidR="002F49C0" w:rsidRPr="00417AFC" w:rsidRDefault="002F49C0" w:rsidP="00221864">
      <w:pPr>
        <w:spacing w:line="360" w:lineRule="auto"/>
        <w:ind w:right="-93"/>
        <w:jc w:val="both"/>
        <w:rPr>
          <w:rFonts w:ascii="Palatino Linotype" w:eastAsia="Calibri" w:hAnsi="Palatino Linotype" w:cs="Tahoma"/>
          <w:bCs/>
          <w:sz w:val="22"/>
          <w:szCs w:val="22"/>
          <w:lang w:eastAsia="en-US"/>
        </w:rPr>
      </w:pPr>
    </w:p>
    <w:p w14:paraId="1E1E5B89" w14:textId="508466DA" w:rsidR="00E86CE4" w:rsidRPr="00417AFC" w:rsidRDefault="00E86CE4" w:rsidP="00221864">
      <w:pPr>
        <w:spacing w:line="360" w:lineRule="auto"/>
        <w:jc w:val="both"/>
        <w:rPr>
          <w:rFonts w:ascii="Palatino Linotype" w:hAnsi="Palatino Linotype" w:cs="Tahoma"/>
          <w:bCs/>
          <w:iCs/>
          <w:sz w:val="22"/>
          <w:szCs w:val="22"/>
        </w:rPr>
      </w:pPr>
      <w:r w:rsidRPr="00417AFC">
        <w:rPr>
          <w:rFonts w:ascii="Palatino Linotype" w:eastAsia="Calibri" w:hAnsi="Palatino Linotype" w:cs="Tahoma"/>
          <w:bCs/>
          <w:sz w:val="22"/>
          <w:szCs w:val="22"/>
          <w:lang w:eastAsia="en-US"/>
        </w:rPr>
        <w:t>En ese mismo sentido y atendiendo a la naturaleza del derecho a la protección de datos personales, por analogía, este debe ceder cuando exista un interés público mayor de acuerdo a las circunstancias del caso.</w:t>
      </w:r>
      <w:r w:rsidRPr="00417AFC">
        <w:rPr>
          <w:rFonts w:ascii="Palatino Linotype" w:hAnsi="Palatino Linotype" w:cs="Tahoma"/>
          <w:bCs/>
          <w:iCs/>
          <w:sz w:val="22"/>
          <w:szCs w:val="22"/>
        </w:rPr>
        <w:t xml:space="preserve"> Señalado lo anterior, resulta necesario realizar una ponderación de los dos intereses jurídicos tutelados que convergen en la controversia que se dirime; para lo cual, el artículo </w:t>
      </w:r>
      <w:r w:rsidRPr="00417AFC">
        <w:rPr>
          <w:rFonts w:ascii="Palatino Linotype" w:eastAsia="Calibri" w:hAnsi="Palatino Linotype" w:cs="Tahoma"/>
          <w:bCs/>
          <w:sz w:val="22"/>
          <w:szCs w:val="22"/>
          <w:lang w:eastAsia="en-US"/>
        </w:rPr>
        <w:t xml:space="preserve">184 de la Ley de Transparencia y </w:t>
      </w:r>
      <w:r w:rsidR="00F533F3" w:rsidRPr="00417AFC">
        <w:rPr>
          <w:rFonts w:ascii="Palatino Linotype" w:eastAsia="Calibri" w:hAnsi="Palatino Linotype" w:cs="Tahoma"/>
          <w:bCs/>
          <w:sz w:val="22"/>
          <w:szCs w:val="22"/>
          <w:lang w:eastAsia="en-US"/>
        </w:rPr>
        <w:t>Acceso a la Información Pública</w:t>
      </w:r>
      <w:r w:rsidRPr="00417AFC">
        <w:rPr>
          <w:rFonts w:ascii="Palatino Linotype" w:eastAsia="Calibri" w:hAnsi="Palatino Linotype" w:cs="Tahoma"/>
          <w:bCs/>
          <w:sz w:val="22"/>
          <w:szCs w:val="22"/>
          <w:lang w:eastAsia="en-US"/>
        </w:rPr>
        <w:t xml:space="preserve"> del Estado de México y Municipios</w:t>
      </w:r>
      <w:r w:rsidRPr="00417AFC">
        <w:rPr>
          <w:rFonts w:ascii="Palatino Linotype" w:hAnsi="Palatino Linotype" w:cs="Tahoma"/>
          <w:bCs/>
          <w:iCs/>
          <w:sz w:val="22"/>
          <w:szCs w:val="22"/>
        </w:rPr>
        <w:t xml:space="preserve"> prevé que cuando exista una colisión de derechos, este Instituto, al resolver el </w:t>
      </w:r>
      <w:r w:rsidR="00F533F3" w:rsidRPr="00417AFC">
        <w:rPr>
          <w:rFonts w:ascii="Palatino Linotype" w:hAnsi="Palatino Linotype" w:cs="Tahoma"/>
          <w:bCs/>
          <w:iCs/>
          <w:sz w:val="22"/>
          <w:szCs w:val="22"/>
        </w:rPr>
        <w:t>Recurso de Revisión</w:t>
      </w:r>
      <w:r w:rsidRPr="00417AFC">
        <w:rPr>
          <w:rFonts w:ascii="Palatino Linotype" w:hAnsi="Palatino Linotype" w:cs="Tahoma"/>
          <w:bCs/>
          <w:iCs/>
          <w:sz w:val="22"/>
          <w:szCs w:val="22"/>
        </w:rPr>
        <w:t xml:space="preserve"> debe aplicar una prueba de interés público con base en elementos de idoneidad, necesidad y proporcionalidad. Para estos efectos, se entenderá por: </w:t>
      </w:r>
    </w:p>
    <w:p w14:paraId="0DAA5124" w14:textId="77777777" w:rsidR="00E86CE4" w:rsidRPr="00417AFC" w:rsidRDefault="00E86CE4" w:rsidP="00221864">
      <w:pPr>
        <w:spacing w:line="360" w:lineRule="auto"/>
        <w:ind w:right="49"/>
        <w:jc w:val="both"/>
        <w:rPr>
          <w:rFonts w:ascii="Palatino Linotype" w:hAnsi="Palatino Linotype" w:cs="Tahoma"/>
          <w:bCs/>
          <w:iCs/>
          <w:sz w:val="22"/>
          <w:szCs w:val="22"/>
        </w:rPr>
      </w:pPr>
    </w:p>
    <w:p w14:paraId="59F798A9" w14:textId="77777777" w:rsidR="00E86CE4" w:rsidRPr="00417AFC" w:rsidRDefault="00E86CE4" w:rsidP="00221864">
      <w:pPr>
        <w:numPr>
          <w:ilvl w:val="0"/>
          <w:numId w:val="9"/>
        </w:numPr>
        <w:spacing w:line="360" w:lineRule="auto"/>
        <w:ind w:left="426" w:right="49" w:hanging="426"/>
        <w:contextualSpacing/>
        <w:jc w:val="both"/>
        <w:rPr>
          <w:rFonts w:ascii="Palatino Linotype" w:hAnsi="Palatino Linotype" w:cs="Tahoma"/>
          <w:bCs/>
          <w:iCs/>
          <w:sz w:val="22"/>
          <w:szCs w:val="22"/>
        </w:rPr>
      </w:pPr>
      <w:r w:rsidRPr="00417AFC">
        <w:rPr>
          <w:rFonts w:ascii="Palatino Linotype" w:hAnsi="Palatino Linotype" w:cs="Tahoma"/>
          <w:b/>
          <w:bCs/>
          <w:iCs/>
          <w:sz w:val="22"/>
          <w:szCs w:val="22"/>
        </w:rPr>
        <w:t>Idoneidad:</w:t>
      </w:r>
      <w:r w:rsidRPr="00417AFC">
        <w:rPr>
          <w:rFonts w:ascii="Palatino Linotype" w:hAnsi="Palatino Linotype" w:cs="Tahoma"/>
          <w:bCs/>
          <w:iCs/>
          <w:sz w:val="22"/>
          <w:szCs w:val="22"/>
        </w:rPr>
        <w:t xml:space="preserve"> La legitimidad del derecho adoptado como preferente, que sea el adecuado para el logro de un fin constitucionalmente válido o apto para conseguir el fin pretendido;</w:t>
      </w:r>
    </w:p>
    <w:p w14:paraId="0AA86949" w14:textId="77777777" w:rsidR="00E86CE4" w:rsidRPr="00417AFC" w:rsidRDefault="00E86CE4" w:rsidP="00221864">
      <w:pPr>
        <w:spacing w:line="360" w:lineRule="auto"/>
        <w:ind w:left="426" w:right="49"/>
        <w:contextualSpacing/>
        <w:jc w:val="both"/>
        <w:rPr>
          <w:rFonts w:ascii="Palatino Linotype" w:hAnsi="Palatino Linotype" w:cs="Tahoma"/>
          <w:bCs/>
          <w:iCs/>
          <w:sz w:val="22"/>
          <w:szCs w:val="22"/>
        </w:rPr>
      </w:pPr>
    </w:p>
    <w:p w14:paraId="79DBB97B" w14:textId="77777777" w:rsidR="00E86CE4" w:rsidRPr="00417AFC" w:rsidRDefault="00E86CE4" w:rsidP="00221864">
      <w:pPr>
        <w:numPr>
          <w:ilvl w:val="0"/>
          <w:numId w:val="9"/>
        </w:numPr>
        <w:spacing w:line="360" w:lineRule="auto"/>
        <w:ind w:left="426" w:right="49" w:hanging="426"/>
        <w:contextualSpacing/>
        <w:jc w:val="both"/>
        <w:rPr>
          <w:rFonts w:ascii="Palatino Linotype" w:hAnsi="Palatino Linotype" w:cs="Tahoma"/>
          <w:bCs/>
          <w:iCs/>
          <w:sz w:val="22"/>
          <w:szCs w:val="22"/>
        </w:rPr>
      </w:pPr>
      <w:r w:rsidRPr="00417AFC">
        <w:rPr>
          <w:rFonts w:ascii="Palatino Linotype" w:hAnsi="Palatino Linotype" w:cs="Tahoma"/>
          <w:b/>
          <w:bCs/>
          <w:iCs/>
          <w:sz w:val="22"/>
          <w:szCs w:val="22"/>
        </w:rPr>
        <w:t>Necesidad:</w:t>
      </w:r>
      <w:r w:rsidRPr="00417AFC">
        <w:rPr>
          <w:rFonts w:ascii="Palatino Linotype" w:hAnsi="Palatino Linotype" w:cs="Tahoma"/>
          <w:bCs/>
          <w:iCs/>
          <w:sz w:val="22"/>
          <w:szCs w:val="22"/>
        </w:rPr>
        <w:t xml:space="preserve"> La falta de un medio alternativo menos lesivo a la apertura de la información, para satisfacer el interés público, y</w:t>
      </w:r>
    </w:p>
    <w:p w14:paraId="7D67AB13" w14:textId="77777777" w:rsidR="00E86CE4" w:rsidRPr="00417AFC" w:rsidRDefault="00E86CE4" w:rsidP="00221864">
      <w:pPr>
        <w:spacing w:line="360" w:lineRule="auto"/>
        <w:ind w:left="426" w:right="49"/>
        <w:contextualSpacing/>
        <w:jc w:val="both"/>
        <w:rPr>
          <w:rFonts w:ascii="Palatino Linotype" w:hAnsi="Palatino Linotype" w:cs="Tahoma"/>
          <w:bCs/>
          <w:iCs/>
          <w:sz w:val="22"/>
          <w:szCs w:val="22"/>
        </w:rPr>
      </w:pPr>
    </w:p>
    <w:p w14:paraId="0D1B00CD" w14:textId="77777777" w:rsidR="00E86CE4" w:rsidRPr="00417AFC" w:rsidRDefault="00E86CE4" w:rsidP="00221864">
      <w:pPr>
        <w:numPr>
          <w:ilvl w:val="0"/>
          <w:numId w:val="9"/>
        </w:numPr>
        <w:spacing w:line="360" w:lineRule="auto"/>
        <w:ind w:left="426" w:right="49" w:hanging="426"/>
        <w:contextualSpacing/>
        <w:jc w:val="both"/>
        <w:rPr>
          <w:rFonts w:ascii="Palatino Linotype" w:hAnsi="Palatino Linotype" w:cs="Tahoma"/>
          <w:bCs/>
          <w:iCs/>
          <w:sz w:val="22"/>
          <w:szCs w:val="22"/>
        </w:rPr>
      </w:pPr>
      <w:r w:rsidRPr="00417AFC">
        <w:rPr>
          <w:rFonts w:ascii="Palatino Linotype" w:hAnsi="Palatino Linotype" w:cs="Tahoma"/>
          <w:b/>
          <w:bCs/>
          <w:iCs/>
          <w:sz w:val="22"/>
          <w:szCs w:val="22"/>
        </w:rPr>
        <w:t>Proporcionalidad:</w:t>
      </w:r>
      <w:r w:rsidRPr="00417AFC">
        <w:rPr>
          <w:rFonts w:ascii="Palatino Linotype" w:hAnsi="Palatino Linotype" w:cs="Tahoma"/>
          <w:bCs/>
          <w:iCs/>
          <w:sz w:val="22"/>
          <w:szCs w:val="22"/>
        </w:rPr>
        <w:t xml:space="preserve"> El equilibrio entre perjuicio y beneficio a favor del interés público, a fin de que la decisión tomada represente un beneficio mayor al perjuicio que podría causar a la población.</w:t>
      </w:r>
    </w:p>
    <w:p w14:paraId="5FFA668D" w14:textId="77777777" w:rsidR="00E86CE4" w:rsidRPr="00417AFC" w:rsidRDefault="00E86CE4" w:rsidP="00221864">
      <w:pPr>
        <w:spacing w:line="360" w:lineRule="auto"/>
        <w:ind w:right="-93"/>
        <w:jc w:val="both"/>
        <w:rPr>
          <w:rFonts w:ascii="Palatino Linotype" w:eastAsia="Calibri" w:hAnsi="Palatino Linotype" w:cs="Tahoma"/>
          <w:bCs/>
          <w:sz w:val="22"/>
          <w:szCs w:val="22"/>
          <w:lang w:eastAsia="en-US"/>
        </w:rPr>
      </w:pPr>
    </w:p>
    <w:p w14:paraId="243D2443" w14:textId="1EC2EBCE" w:rsidR="00E86CE4" w:rsidRDefault="00E86CE4" w:rsidP="00221864">
      <w:pPr>
        <w:spacing w:line="360" w:lineRule="auto"/>
        <w:ind w:right="-1"/>
        <w:jc w:val="both"/>
        <w:rPr>
          <w:rFonts w:ascii="Palatino Linotype" w:eastAsia="Calibri" w:hAnsi="Palatino Linotype" w:cs="Tahoma"/>
          <w:sz w:val="22"/>
          <w:szCs w:val="22"/>
        </w:rPr>
      </w:pPr>
      <w:r w:rsidRPr="00417AFC">
        <w:rPr>
          <w:rFonts w:ascii="Palatino Linotype" w:eastAsia="Calibri" w:hAnsi="Palatino Linotype" w:cs="Tahoma"/>
          <w:sz w:val="22"/>
          <w:szCs w:val="22"/>
        </w:rPr>
        <w:t>En ese orden de ideas, resulta procedente analizar cada uno de los elementos referidos, partiendo de que, en el caso concreto, se estima como preferente el derecho de acceso a la información, bajo las consideraciones que se verterán a continuación.</w:t>
      </w:r>
    </w:p>
    <w:p w14:paraId="36DD04CB" w14:textId="77777777" w:rsidR="003168DA" w:rsidRPr="00417AFC" w:rsidRDefault="003168DA" w:rsidP="00221864">
      <w:pPr>
        <w:spacing w:line="360" w:lineRule="auto"/>
        <w:ind w:right="-1"/>
        <w:jc w:val="both"/>
        <w:rPr>
          <w:rFonts w:ascii="Palatino Linotype" w:eastAsia="Calibri" w:hAnsi="Palatino Linotype" w:cs="Tahoma"/>
          <w:sz w:val="22"/>
          <w:szCs w:val="22"/>
        </w:rPr>
      </w:pPr>
    </w:p>
    <w:p w14:paraId="4A39A0BF" w14:textId="77777777" w:rsidR="00E86CE4" w:rsidRPr="00417AFC" w:rsidRDefault="00E86CE4" w:rsidP="00221864">
      <w:pPr>
        <w:spacing w:line="360" w:lineRule="auto"/>
        <w:jc w:val="both"/>
        <w:rPr>
          <w:rFonts w:ascii="Palatino Linotype" w:eastAsia="Calibri" w:hAnsi="Palatino Linotype" w:cs="Tahoma"/>
          <w:b/>
          <w:iCs/>
          <w:sz w:val="22"/>
          <w:szCs w:val="22"/>
          <w:lang w:val="es-ES" w:eastAsia="es-ES_tradnl"/>
        </w:rPr>
      </w:pPr>
      <w:r w:rsidRPr="00417AFC">
        <w:rPr>
          <w:rFonts w:ascii="Palatino Linotype" w:eastAsia="Calibri" w:hAnsi="Palatino Linotype" w:cs="Tahoma"/>
          <w:b/>
          <w:bCs/>
          <w:iCs/>
          <w:sz w:val="22"/>
          <w:szCs w:val="22"/>
        </w:rPr>
        <w:t>a) Idoneidad</w:t>
      </w:r>
      <w:r w:rsidRPr="00417AFC">
        <w:rPr>
          <w:rFonts w:ascii="Palatino Linotype" w:eastAsia="Calibri" w:hAnsi="Palatino Linotype" w:cs="Tahoma"/>
          <w:bCs/>
          <w:sz w:val="22"/>
          <w:szCs w:val="22"/>
          <w:lang w:eastAsia="en-US"/>
        </w:rPr>
        <w:t>. El presente asunto representa un caso en el que el ejercicio del derecho de acceso a la información se contrapone al derecho a la vida privada; los cuales se encuentran reconocidos en el plano constitucional, en igualdad de características para los gobernados.</w:t>
      </w:r>
    </w:p>
    <w:p w14:paraId="1FD8A285" w14:textId="77777777" w:rsidR="00E86CE4" w:rsidRPr="00417AFC" w:rsidRDefault="00E86CE4" w:rsidP="00221864">
      <w:pPr>
        <w:spacing w:line="360" w:lineRule="auto"/>
        <w:jc w:val="both"/>
        <w:rPr>
          <w:rFonts w:ascii="Palatino Linotype" w:eastAsia="Calibri" w:hAnsi="Palatino Linotype" w:cs="Tahoma"/>
          <w:b/>
          <w:iCs/>
          <w:sz w:val="22"/>
          <w:szCs w:val="22"/>
          <w:lang w:val="es-ES" w:eastAsia="es-ES_tradnl"/>
        </w:rPr>
      </w:pPr>
    </w:p>
    <w:p w14:paraId="54DF87B4" w14:textId="1B7BF098" w:rsidR="00E86CE4" w:rsidRPr="00417AFC" w:rsidRDefault="00E86CE4" w:rsidP="00221864">
      <w:pPr>
        <w:spacing w:line="360" w:lineRule="auto"/>
        <w:jc w:val="both"/>
        <w:rPr>
          <w:rFonts w:ascii="Palatino Linotype" w:eastAsia="Calibri" w:hAnsi="Palatino Linotype" w:cs="Tahoma"/>
          <w:iCs/>
          <w:sz w:val="22"/>
          <w:szCs w:val="22"/>
          <w:lang w:val="es-ES" w:eastAsia="es-ES_tradnl"/>
        </w:rPr>
      </w:pPr>
      <w:r w:rsidRPr="00417AFC">
        <w:rPr>
          <w:rFonts w:ascii="Palatino Linotype" w:eastAsia="Calibri" w:hAnsi="Palatino Linotype" w:cs="Tahoma"/>
          <w:iCs/>
          <w:sz w:val="22"/>
          <w:szCs w:val="22"/>
          <w:lang w:val="es-ES" w:eastAsia="es-ES_tradnl"/>
        </w:rPr>
        <w:t xml:space="preserve">Sin embargo, en el presente caso, </w:t>
      </w:r>
      <w:r w:rsidRPr="00417AFC">
        <w:rPr>
          <w:rFonts w:ascii="Palatino Linotype" w:eastAsia="Calibri" w:hAnsi="Palatino Linotype" w:cs="Tahoma"/>
          <w:bCs/>
          <w:iCs/>
          <w:sz w:val="22"/>
          <w:szCs w:val="22"/>
          <w:lang w:val="es-ES" w:eastAsia="es-ES_tradnl"/>
        </w:rPr>
        <w:t xml:space="preserve">existen dos fines válidos para otorgar </w:t>
      </w:r>
      <w:r w:rsidRPr="00417AFC">
        <w:rPr>
          <w:rFonts w:ascii="Palatino Linotype" w:eastAsia="Calibri" w:hAnsi="Palatino Linotype" w:cs="Tahoma"/>
          <w:iCs/>
          <w:sz w:val="22"/>
          <w:szCs w:val="22"/>
          <w:lang w:val="es-ES" w:eastAsia="es-ES_tradnl"/>
        </w:rPr>
        <w:t>los expedientes de procedimientos de responsabilidades administrativas graves, en caso de existir</w:t>
      </w:r>
      <w:r w:rsidRPr="00417AFC">
        <w:rPr>
          <w:rFonts w:ascii="Palatino Linotype" w:eastAsia="Calibri" w:hAnsi="Palatino Linotype" w:cs="Tahoma"/>
          <w:bCs/>
          <w:iCs/>
          <w:sz w:val="22"/>
          <w:szCs w:val="22"/>
          <w:lang w:val="es-ES" w:eastAsia="es-ES_tradnl"/>
        </w:rPr>
        <w:t xml:space="preserve">; los cuales, </w:t>
      </w:r>
      <w:r w:rsidRPr="00417AFC">
        <w:rPr>
          <w:rFonts w:ascii="Palatino Linotype" w:eastAsia="Calibri" w:hAnsi="Palatino Linotype" w:cs="Tahoma"/>
          <w:iCs/>
          <w:sz w:val="22"/>
          <w:szCs w:val="22"/>
          <w:lang w:val="es-ES" w:eastAsia="es-ES_tradnl"/>
        </w:rPr>
        <w:t xml:space="preserve">consisten en transparentar, por un lado, el desempeño de dichos trabajadores en cuestión en el ejercicio de sus funciones, con la finalidad de calificar su actuar, ello con independencia de que tal funcionario también revista el carácter de persona física identificada e identificable, y por otro lado, la actividad desplegada por el </w:t>
      </w:r>
      <w:r w:rsidR="00651921">
        <w:rPr>
          <w:rFonts w:ascii="Palatino Linotype" w:hAnsi="Palatino Linotype" w:cs="Tahoma"/>
          <w:bCs/>
          <w:iCs/>
          <w:sz w:val="22"/>
          <w:szCs w:val="22"/>
        </w:rPr>
        <w:t>Organismo</w:t>
      </w:r>
      <w:r w:rsidRPr="00417AFC">
        <w:rPr>
          <w:rFonts w:ascii="Palatino Linotype" w:hAnsi="Palatino Linotype" w:cs="Tahoma"/>
          <w:bCs/>
          <w:iCs/>
          <w:sz w:val="22"/>
          <w:szCs w:val="22"/>
        </w:rPr>
        <w:t xml:space="preserve"> Interno de Control</w:t>
      </w:r>
      <w:r w:rsidRPr="00417AFC">
        <w:rPr>
          <w:rFonts w:ascii="Palatino Linotype" w:eastAsia="Calibri" w:hAnsi="Palatino Linotype" w:cs="Tahoma"/>
          <w:iCs/>
          <w:sz w:val="22"/>
          <w:szCs w:val="22"/>
          <w:lang w:val="es-ES" w:eastAsia="es-ES_tradnl"/>
        </w:rPr>
        <w:t xml:space="preserve"> de dicho ente y del Tribunal de Justicia Administrativa del Estado de México, en la investigación y determinación de los asuntos. Aunado, a que se relacionan dichas faltas, con posibles actos de corrupción.</w:t>
      </w:r>
    </w:p>
    <w:p w14:paraId="1E65F7DC" w14:textId="77777777" w:rsidR="00E86CE4" w:rsidRPr="00417AFC" w:rsidRDefault="00E86CE4" w:rsidP="00221864">
      <w:pPr>
        <w:spacing w:line="360" w:lineRule="auto"/>
        <w:jc w:val="both"/>
        <w:rPr>
          <w:rFonts w:ascii="Palatino Linotype" w:eastAsia="Calibri" w:hAnsi="Palatino Linotype" w:cs="Tahoma"/>
          <w:b/>
          <w:iCs/>
          <w:sz w:val="22"/>
          <w:szCs w:val="22"/>
          <w:lang w:val="es-ES" w:eastAsia="es-ES_tradnl"/>
        </w:rPr>
      </w:pPr>
    </w:p>
    <w:p w14:paraId="48E262E0" w14:textId="77777777" w:rsidR="00E86CE4" w:rsidRPr="00417AFC" w:rsidRDefault="00E86CE4" w:rsidP="00221864">
      <w:pPr>
        <w:spacing w:line="360" w:lineRule="auto"/>
        <w:jc w:val="both"/>
        <w:rPr>
          <w:rFonts w:ascii="Palatino Linotype" w:eastAsia="Calibri" w:hAnsi="Palatino Linotype" w:cs="Tahoma"/>
          <w:iCs/>
          <w:sz w:val="22"/>
          <w:szCs w:val="22"/>
          <w:lang w:val="es-ES" w:eastAsia="es-ES_tradnl"/>
        </w:rPr>
      </w:pPr>
      <w:r w:rsidRPr="00417AFC">
        <w:rPr>
          <w:rFonts w:ascii="Palatino Linotype" w:eastAsia="Calibri" w:hAnsi="Palatino Linotype" w:cs="Tahoma"/>
          <w:iCs/>
          <w:sz w:val="22"/>
          <w:szCs w:val="22"/>
          <w:lang w:val="es-ES" w:eastAsia="es-ES_tradnl"/>
        </w:rPr>
        <w:t>Ahora bien, respecto al derecho al honor y a la privacidad, es establecido que cuando se hace referencia a servidores públicos, el umbral de protección del derecho a su honor debe permitir el más amplio control ciudadano sobre el ejercicio de sus funciones, porque el funcionario público se expone voluntariamente al escrutinio de la sociedad al asumir ciertas responsabilidades profesionales -lo que conlleva naturalmente mayores riesgos de sufrir afectaciones en su honor- y porque su condición le permite tener mayor influencia social y acceder con facilidad a los medios de comunicación para dar explicaciones o reaccionar ante hechos que lo involucren.</w:t>
      </w:r>
    </w:p>
    <w:p w14:paraId="2FF80ECE" w14:textId="77777777" w:rsidR="00E86CE4" w:rsidRPr="00417AFC" w:rsidRDefault="00E86CE4" w:rsidP="00221864">
      <w:pPr>
        <w:spacing w:line="360" w:lineRule="auto"/>
        <w:jc w:val="both"/>
        <w:rPr>
          <w:rFonts w:ascii="Palatino Linotype" w:eastAsia="Calibri" w:hAnsi="Palatino Linotype" w:cs="Tahoma"/>
          <w:b/>
          <w:iCs/>
          <w:sz w:val="22"/>
          <w:szCs w:val="22"/>
          <w:lang w:val="es-ES" w:eastAsia="es-ES_tradnl"/>
        </w:rPr>
      </w:pPr>
    </w:p>
    <w:p w14:paraId="5A5CD019" w14:textId="580DBA1C" w:rsidR="00E86CE4" w:rsidRDefault="00E86CE4" w:rsidP="00221864">
      <w:pPr>
        <w:spacing w:line="360" w:lineRule="auto"/>
        <w:jc w:val="both"/>
        <w:rPr>
          <w:rFonts w:ascii="Palatino Linotype" w:eastAsia="Calibri" w:hAnsi="Palatino Linotype" w:cs="Tahoma"/>
          <w:iCs/>
          <w:sz w:val="22"/>
          <w:szCs w:val="22"/>
          <w:lang w:val="es-ES" w:eastAsia="es-ES_tradnl"/>
        </w:rPr>
      </w:pPr>
      <w:r w:rsidRPr="00417AFC">
        <w:rPr>
          <w:rFonts w:ascii="Palatino Linotype" w:eastAsia="Calibri" w:hAnsi="Palatino Linotype" w:cs="Tahoma"/>
          <w:iCs/>
          <w:sz w:val="22"/>
          <w:szCs w:val="22"/>
          <w:lang w:val="es-ES" w:eastAsia="es-ES_tradnl"/>
        </w:rPr>
        <w:t>Así, se advierte que aquellas personas con responsabilidades públicas mantienen la protección derivada del derecho al honor incluso cuando no estén actuando en carácter de particulares, pero las implicaciones de esta protección deben ser ponderadas con las que derivan del interés en un debate abierto sobre los asuntos públicos.</w:t>
      </w:r>
    </w:p>
    <w:p w14:paraId="21A9A043" w14:textId="77777777" w:rsidR="003168DA" w:rsidRPr="00417AFC" w:rsidRDefault="003168DA" w:rsidP="00221864">
      <w:pPr>
        <w:spacing w:line="360" w:lineRule="auto"/>
        <w:jc w:val="both"/>
        <w:rPr>
          <w:rFonts w:ascii="Palatino Linotype" w:eastAsia="Calibri" w:hAnsi="Palatino Linotype" w:cs="Tahoma"/>
          <w:iCs/>
          <w:sz w:val="22"/>
          <w:szCs w:val="22"/>
          <w:lang w:val="es-ES" w:eastAsia="es-ES_tradnl"/>
        </w:rPr>
      </w:pPr>
    </w:p>
    <w:p w14:paraId="109567A2" w14:textId="5D273CF3" w:rsidR="00E86CE4" w:rsidRPr="00417AFC" w:rsidRDefault="00E86CE4" w:rsidP="00221864">
      <w:pPr>
        <w:spacing w:line="360" w:lineRule="auto"/>
        <w:jc w:val="both"/>
        <w:rPr>
          <w:rFonts w:ascii="Palatino Linotype" w:eastAsia="Calibri" w:hAnsi="Palatino Linotype" w:cs="Tahoma"/>
          <w:iCs/>
          <w:sz w:val="22"/>
          <w:szCs w:val="22"/>
          <w:lang w:val="es-ES" w:eastAsia="es-ES_tradnl"/>
        </w:rPr>
      </w:pPr>
      <w:r w:rsidRPr="00417AFC">
        <w:rPr>
          <w:rFonts w:ascii="Palatino Linotype" w:eastAsia="Calibri" w:hAnsi="Palatino Linotype" w:cs="Tahoma"/>
          <w:iCs/>
          <w:sz w:val="22"/>
          <w:szCs w:val="22"/>
          <w:lang w:val="es-ES" w:eastAsia="es-ES_tradnl"/>
        </w:rPr>
        <w:t xml:space="preserve">En ese sentido, el hecho de que los servidores públicos concluyan sus </w:t>
      </w:r>
      <w:r w:rsidR="003168DA" w:rsidRPr="00417AFC">
        <w:rPr>
          <w:rFonts w:ascii="Palatino Linotype" w:eastAsia="Calibri" w:hAnsi="Palatino Linotype" w:cs="Tahoma"/>
          <w:iCs/>
          <w:sz w:val="22"/>
          <w:szCs w:val="22"/>
          <w:lang w:val="es-ES" w:eastAsia="es-ES_tradnl"/>
        </w:rPr>
        <w:t>funciones</w:t>
      </w:r>
      <w:r w:rsidRPr="00417AFC">
        <w:rPr>
          <w:rFonts w:ascii="Palatino Linotype" w:eastAsia="Calibri" w:hAnsi="Palatino Linotype" w:cs="Tahoma"/>
          <w:iCs/>
          <w:sz w:val="22"/>
          <w:szCs w:val="22"/>
          <w:lang w:val="es-ES" w:eastAsia="es-ES_tradnl"/>
        </w:rPr>
        <w:t xml:space="preserve"> no implica que termine el mayor nivel de tolerancia frente a la crítica de su desempeño, es decir, no significa que una vez que el servidor público termine su encargo, debe estar vedado publicar información </w:t>
      </w:r>
      <w:r w:rsidRPr="00417AFC">
        <w:rPr>
          <w:rFonts w:ascii="Palatino Linotype" w:eastAsia="Calibri" w:hAnsi="Palatino Linotype" w:cs="Tahoma"/>
          <w:b/>
          <w:iCs/>
          <w:sz w:val="22"/>
          <w:szCs w:val="22"/>
          <w:lang w:val="es-ES" w:eastAsia="es-ES_tradnl"/>
        </w:rPr>
        <w:t>respecto de su desempeño</w:t>
      </w:r>
      <w:r w:rsidRPr="00417AFC">
        <w:rPr>
          <w:rFonts w:ascii="Palatino Linotype" w:eastAsia="Calibri" w:hAnsi="Palatino Linotype" w:cs="Tahoma"/>
          <w:iCs/>
          <w:sz w:val="22"/>
          <w:szCs w:val="22"/>
          <w:lang w:val="es-ES" w:eastAsia="es-ES_tradnl"/>
        </w:rPr>
        <w:t xml:space="preserve"> o que se termine el mayor nivel de tolerancia que debe tener frente a la crítica, sino que ese mayor nivel de tolerancia, sólo se tiene frente a la información de interés público.</w:t>
      </w:r>
    </w:p>
    <w:p w14:paraId="4EB560D5" w14:textId="77777777" w:rsidR="00E86CE4" w:rsidRPr="00417AFC" w:rsidRDefault="00E86CE4" w:rsidP="00221864">
      <w:pPr>
        <w:spacing w:line="360" w:lineRule="auto"/>
        <w:jc w:val="both"/>
        <w:rPr>
          <w:rFonts w:ascii="Palatino Linotype" w:eastAsia="Calibri" w:hAnsi="Palatino Linotype" w:cs="Tahoma"/>
          <w:iCs/>
          <w:sz w:val="22"/>
          <w:szCs w:val="22"/>
          <w:lang w:val="es-ES" w:eastAsia="es-ES_tradnl"/>
        </w:rPr>
      </w:pPr>
    </w:p>
    <w:p w14:paraId="1F50A0F3" w14:textId="614A7E16" w:rsidR="00E86CE4" w:rsidRDefault="00E86CE4" w:rsidP="00221864">
      <w:pPr>
        <w:spacing w:line="360" w:lineRule="auto"/>
        <w:jc w:val="both"/>
        <w:rPr>
          <w:rFonts w:ascii="Palatino Linotype" w:eastAsia="Calibri" w:hAnsi="Palatino Linotype" w:cs="Tahoma"/>
          <w:bCs/>
          <w:iCs/>
          <w:sz w:val="22"/>
          <w:szCs w:val="22"/>
          <w:lang w:val="es-ES" w:eastAsia="es-ES_tradnl"/>
        </w:rPr>
      </w:pPr>
      <w:r w:rsidRPr="00417AFC">
        <w:rPr>
          <w:rFonts w:ascii="Palatino Linotype" w:eastAsia="Calibri" w:hAnsi="Palatino Linotype" w:cs="Tahoma"/>
          <w:iCs/>
          <w:sz w:val="22"/>
          <w:szCs w:val="22"/>
          <w:lang w:val="es-ES" w:eastAsia="es-ES_tradnl"/>
        </w:rPr>
        <w:t>En ese contexto</w:t>
      </w:r>
      <w:r w:rsidRPr="00417AFC">
        <w:rPr>
          <w:rFonts w:ascii="Palatino Linotype" w:eastAsia="Calibri" w:hAnsi="Palatino Linotype" w:cs="Tahoma"/>
          <w:bCs/>
          <w:iCs/>
          <w:sz w:val="22"/>
          <w:szCs w:val="22"/>
          <w:lang w:val="es-ES" w:eastAsia="es-ES_tradnl"/>
        </w:rPr>
        <w:t xml:space="preserve">, dado que la información se relaciona con el actuar de los servidores públicos adscritos al Ayuntamiento de </w:t>
      </w:r>
      <w:r w:rsidR="009E2ABD" w:rsidRPr="00417AFC">
        <w:rPr>
          <w:rFonts w:ascii="Palatino Linotype" w:eastAsia="Calibri" w:hAnsi="Palatino Linotype" w:cs="Tahoma"/>
          <w:bCs/>
          <w:iCs/>
          <w:sz w:val="22"/>
          <w:szCs w:val="22"/>
          <w:lang w:val="es-ES" w:eastAsia="es-ES_tradnl"/>
        </w:rPr>
        <w:t>Ecatepec de Morelos,</w:t>
      </w:r>
      <w:r w:rsidRPr="00417AFC">
        <w:rPr>
          <w:rFonts w:ascii="Palatino Linotype" w:eastAsia="Calibri" w:hAnsi="Palatino Linotype" w:cs="Tahoma"/>
          <w:bCs/>
          <w:iCs/>
          <w:sz w:val="22"/>
          <w:szCs w:val="22"/>
          <w:lang w:val="es-ES" w:eastAsia="es-ES_tradnl"/>
        </w:rPr>
        <w:t xml:space="preserve"> </w:t>
      </w:r>
      <w:r w:rsidRPr="00417AFC">
        <w:rPr>
          <w:rFonts w:ascii="Palatino Linotype" w:eastAsia="Calibri" w:hAnsi="Palatino Linotype" w:cs="Tahoma"/>
          <w:b/>
          <w:bCs/>
          <w:iCs/>
          <w:sz w:val="22"/>
          <w:szCs w:val="22"/>
          <w:lang w:val="es-ES" w:eastAsia="es-ES_tradnl"/>
        </w:rPr>
        <w:t>existe un interés</w:t>
      </w:r>
      <w:r w:rsidRPr="001134AE">
        <w:rPr>
          <w:rFonts w:ascii="Palatino Linotype" w:eastAsia="Calibri" w:hAnsi="Palatino Linotype" w:cs="Tahoma"/>
          <w:b/>
          <w:bCs/>
          <w:iCs/>
          <w:sz w:val="22"/>
          <w:szCs w:val="22"/>
          <w:lang w:val="es-ES" w:eastAsia="es-ES_tradnl"/>
        </w:rPr>
        <w:t xml:space="preserve"> público por conocer </w:t>
      </w:r>
      <w:r w:rsidRPr="001134AE">
        <w:rPr>
          <w:rFonts w:ascii="Palatino Linotype" w:eastAsia="Calibri" w:hAnsi="Palatino Linotype" w:cs="Tahoma"/>
          <w:iCs/>
          <w:sz w:val="22"/>
          <w:szCs w:val="22"/>
          <w:lang w:val="es-ES" w:eastAsia="es-ES_tradnl"/>
        </w:rPr>
        <w:t>el nombre del servidor público sancionado,</w:t>
      </w:r>
      <w:r w:rsidRPr="001134AE">
        <w:rPr>
          <w:rFonts w:ascii="Palatino Linotype" w:eastAsia="Calibri" w:hAnsi="Palatino Linotype" w:cs="Tahoma"/>
          <w:bCs/>
          <w:iCs/>
          <w:sz w:val="22"/>
          <w:szCs w:val="22"/>
          <w:lang w:val="es-ES" w:eastAsia="es-ES_tradnl"/>
        </w:rPr>
        <w:t xml:space="preserve"> y, por lo tanto, la información del interés del Particular no es susceptible de protección en tanto que su vinculación con una persona determinada reviste un interés público mayor de ser dado a conocer. </w:t>
      </w:r>
    </w:p>
    <w:p w14:paraId="01D40469" w14:textId="77777777" w:rsidR="00AD61EF" w:rsidRDefault="00AD61EF" w:rsidP="00221864">
      <w:pPr>
        <w:spacing w:line="360" w:lineRule="auto"/>
        <w:jc w:val="both"/>
        <w:rPr>
          <w:rFonts w:ascii="Palatino Linotype" w:eastAsia="Calibri" w:hAnsi="Palatino Linotype" w:cs="Tahoma"/>
          <w:bCs/>
          <w:iCs/>
          <w:sz w:val="22"/>
          <w:szCs w:val="22"/>
          <w:lang w:val="es-ES" w:eastAsia="es-ES_tradnl"/>
        </w:rPr>
      </w:pPr>
    </w:p>
    <w:p w14:paraId="453B0A13" w14:textId="7CC9B4E2" w:rsidR="00E86CE4" w:rsidRPr="001134AE" w:rsidRDefault="00E86CE4" w:rsidP="00221864">
      <w:pPr>
        <w:spacing w:line="360" w:lineRule="auto"/>
        <w:jc w:val="both"/>
        <w:rPr>
          <w:rFonts w:ascii="Palatino Linotype" w:eastAsia="Calibri" w:hAnsi="Palatino Linotype" w:cs="Tahoma"/>
          <w:iCs/>
          <w:sz w:val="22"/>
          <w:szCs w:val="22"/>
          <w:lang w:val="es-ES" w:eastAsia="es-ES_tradnl"/>
        </w:rPr>
      </w:pPr>
      <w:r w:rsidRPr="001134AE">
        <w:rPr>
          <w:rFonts w:ascii="Palatino Linotype" w:eastAsia="Calibri" w:hAnsi="Palatino Linotype" w:cs="Tahoma"/>
          <w:bCs/>
          <w:iCs/>
          <w:sz w:val="22"/>
          <w:szCs w:val="22"/>
          <w:lang w:val="es-ES" w:eastAsia="es-ES_tradnl"/>
        </w:rPr>
        <w:t xml:space="preserve">Lo anterior, ya que como se precisó en párrafos anteriores, </w:t>
      </w:r>
      <w:r w:rsidRPr="001134AE">
        <w:rPr>
          <w:rFonts w:ascii="Palatino Linotype" w:eastAsia="Calibri" w:hAnsi="Palatino Linotype" w:cs="Tahoma"/>
          <w:iCs/>
          <w:sz w:val="22"/>
          <w:szCs w:val="22"/>
          <w:lang w:val="es-ES" w:eastAsia="es-ES_tradnl"/>
        </w:rPr>
        <w:t xml:space="preserve">proporcionar la información de referencia, garantizaría la rendición de cuentas por parte del </w:t>
      </w:r>
      <w:r w:rsidR="00651921">
        <w:rPr>
          <w:rFonts w:ascii="Palatino Linotype" w:hAnsi="Palatino Linotype" w:cs="Tahoma"/>
          <w:bCs/>
          <w:iCs/>
          <w:sz w:val="22"/>
          <w:szCs w:val="22"/>
        </w:rPr>
        <w:t>Organismo</w:t>
      </w:r>
      <w:r w:rsidRPr="001134AE">
        <w:rPr>
          <w:rFonts w:ascii="Palatino Linotype" w:hAnsi="Palatino Linotype" w:cs="Tahoma"/>
          <w:bCs/>
          <w:iCs/>
          <w:sz w:val="22"/>
          <w:szCs w:val="22"/>
        </w:rPr>
        <w:t xml:space="preserve"> Interno de Control</w:t>
      </w:r>
      <w:r w:rsidRPr="001134AE">
        <w:rPr>
          <w:rFonts w:ascii="Palatino Linotype" w:eastAsia="Calibri" w:hAnsi="Palatino Linotype" w:cs="Tahoma"/>
          <w:iCs/>
          <w:sz w:val="22"/>
          <w:szCs w:val="22"/>
          <w:lang w:val="es-ES" w:eastAsia="es-ES_tradnl"/>
        </w:rPr>
        <w:t xml:space="preserve"> y del Tribunal de Justicia Administrativa del Estado de México, relativo a su actuación, teniendo como consecuencia que los ciudadanos tengan confianza en sus autoridades, al poder conocer el nombre de los servidores públicos que fueron sancionados por una falta grave.</w:t>
      </w:r>
    </w:p>
    <w:p w14:paraId="04FE5A24" w14:textId="77777777" w:rsidR="00E86CE4" w:rsidRPr="001134AE" w:rsidRDefault="00E86CE4" w:rsidP="00221864">
      <w:pPr>
        <w:spacing w:line="360" w:lineRule="auto"/>
        <w:jc w:val="both"/>
        <w:rPr>
          <w:rFonts w:ascii="Palatino Linotype" w:eastAsia="Calibri" w:hAnsi="Palatino Linotype" w:cs="Tahoma"/>
          <w:iCs/>
          <w:sz w:val="22"/>
          <w:szCs w:val="22"/>
          <w:lang w:val="es-ES" w:eastAsia="es-ES_tradnl"/>
        </w:rPr>
      </w:pPr>
    </w:p>
    <w:p w14:paraId="2CD4C563" w14:textId="2B1AC138" w:rsidR="00E86CE4" w:rsidRPr="001134AE" w:rsidRDefault="00E86CE4" w:rsidP="00221864">
      <w:pPr>
        <w:spacing w:line="360" w:lineRule="auto"/>
        <w:jc w:val="both"/>
        <w:rPr>
          <w:rFonts w:ascii="Palatino Linotype" w:eastAsia="Calibri" w:hAnsi="Palatino Linotype" w:cs="Tahoma"/>
          <w:iCs/>
          <w:sz w:val="22"/>
          <w:szCs w:val="22"/>
          <w:lang w:val="es-ES" w:eastAsia="es-ES_tradnl"/>
        </w:rPr>
      </w:pPr>
      <w:r w:rsidRPr="001134AE">
        <w:rPr>
          <w:rFonts w:ascii="Palatino Linotype" w:eastAsia="Calibri" w:hAnsi="Palatino Linotype" w:cs="Tahoma"/>
          <w:iCs/>
          <w:sz w:val="22"/>
          <w:szCs w:val="22"/>
          <w:lang w:val="es-ES" w:eastAsia="es-ES_tradnl"/>
        </w:rPr>
        <w:t xml:space="preserve">Además, que, con dicha información, se estaría revelando que el desempeño de </w:t>
      </w:r>
      <w:r w:rsidR="003168DA" w:rsidRPr="001134AE">
        <w:rPr>
          <w:rFonts w:ascii="Palatino Linotype" w:eastAsia="Calibri" w:hAnsi="Palatino Linotype" w:cs="Tahoma"/>
          <w:iCs/>
          <w:sz w:val="22"/>
          <w:szCs w:val="22"/>
          <w:lang w:val="es-ES" w:eastAsia="es-ES_tradnl"/>
        </w:rPr>
        <w:t>estos</w:t>
      </w:r>
      <w:r w:rsidRPr="001134AE">
        <w:rPr>
          <w:rFonts w:ascii="Palatino Linotype" w:eastAsia="Calibri" w:hAnsi="Palatino Linotype" w:cs="Tahoma"/>
          <w:iCs/>
          <w:sz w:val="22"/>
          <w:szCs w:val="22"/>
          <w:lang w:val="es-ES" w:eastAsia="es-ES_tradnl"/>
        </w:rPr>
        <w:t xml:space="preserve"> no fue conforme a derecho, asimismo, de dar a conocer que los referidos acreditaron que había cometido faltas graves e inclusive actos de corrupción.</w:t>
      </w:r>
    </w:p>
    <w:p w14:paraId="79A5242E" w14:textId="77777777" w:rsidR="00E86CE4" w:rsidRPr="001134AE" w:rsidRDefault="00E86CE4" w:rsidP="00221864">
      <w:pPr>
        <w:spacing w:line="360" w:lineRule="auto"/>
        <w:jc w:val="both"/>
        <w:rPr>
          <w:rFonts w:ascii="Palatino Linotype" w:eastAsia="Calibri" w:hAnsi="Palatino Linotype" w:cs="Tahoma"/>
          <w:iCs/>
          <w:sz w:val="22"/>
          <w:szCs w:val="22"/>
          <w:lang w:val="es-ES" w:eastAsia="es-ES_tradnl"/>
        </w:rPr>
      </w:pPr>
    </w:p>
    <w:p w14:paraId="4F69E1E9" w14:textId="77777777" w:rsidR="00E86CE4" w:rsidRPr="001134AE" w:rsidRDefault="00E86CE4" w:rsidP="00221864">
      <w:pPr>
        <w:spacing w:line="360" w:lineRule="auto"/>
        <w:jc w:val="both"/>
        <w:rPr>
          <w:rFonts w:ascii="Palatino Linotype" w:eastAsia="Calibri" w:hAnsi="Palatino Linotype" w:cs="Tahoma"/>
          <w:iCs/>
          <w:sz w:val="22"/>
          <w:szCs w:val="22"/>
          <w:lang w:val="es-ES" w:eastAsia="es-ES_tradnl"/>
        </w:rPr>
      </w:pPr>
      <w:r w:rsidRPr="001134AE">
        <w:rPr>
          <w:rFonts w:ascii="Palatino Linotype" w:eastAsia="Calibri" w:hAnsi="Palatino Linotype" w:cs="Tahoma"/>
          <w:iCs/>
          <w:sz w:val="22"/>
          <w:szCs w:val="22"/>
          <w:lang w:val="es-ES" w:eastAsia="es-ES_tradnl"/>
        </w:rPr>
        <w:t>Con base en lo anterior, se considera que el principio que se debe adoptar en el presente asunto es el que subyace en el derecho fundamental de acceso a la información, puesto que a través de éste se busca no sólo satisfacer un interés individual, sino la necesidad de la colectividad de estar en posibilidad de evaluar el desempeño de los servidores públicos y autoridades.</w:t>
      </w:r>
    </w:p>
    <w:p w14:paraId="2C0C8262" w14:textId="77777777" w:rsidR="00E86CE4" w:rsidRPr="001134AE" w:rsidRDefault="00E86CE4" w:rsidP="00221864">
      <w:pPr>
        <w:spacing w:line="360" w:lineRule="auto"/>
        <w:jc w:val="both"/>
        <w:rPr>
          <w:rFonts w:ascii="Palatino Linotype" w:eastAsia="Calibri" w:hAnsi="Palatino Linotype" w:cs="Tahoma"/>
          <w:iCs/>
          <w:sz w:val="22"/>
          <w:szCs w:val="22"/>
          <w:lang w:val="es-ES" w:eastAsia="es-ES_tradnl"/>
        </w:rPr>
      </w:pPr>
    </w:p>
    <w:p w14:paraId="76F2C22A" w14:textId="77777777" w:rsidR="00E86CE4" w:rsidRPr="001134AE" w:rsidRDefault="00E86CE4" w:rsidP="00221864">
      <w:pPr>
        <w:spacing w:line="360" w:lineRule="auto"/>
        <w:jc w:val="both"/>
        <w:rPr>
          <w:rFonts w:ascii="Palatino Linotype" w:eastAsia="Calibri" w:hAnsi="Palatino Linotype" w:cs="Tahoma"/>
          <w:iCs/>
          <w:sz w:val="22"/>
          <w:szCs w:val="22"/>
          <w:lang w:val="es-ES" w:eastAsia="es-ES_tradnl"/>
        </w:rPr>
      </w:pPr>
      <w:r w:rsidRPr="001134AE">
        <w:rPr>
          <w:rFonts w:ascii="Palatino Linotype" w:eastAsia="Calibri" w:hAnsi="Palatino Linotype" w:cs="Tahoma"/>
          <w:b/>
          <w:iCs/>
          <w:sz w:val="22"/>
          <w:szCs w:val="22"/>
          <w:lang w:val="es-ES" w:eastAsia="es-ES_tradnl"/>
        </w:rPr>
        <w:t xml:space="preserve">b) Necesidad: </w:t>
      </w:r>
      <w:r w:rsidRPr="001134AE">
        <w:rPr>
          <w:rFonts w:ascii="Palatino Linotype" w:eastAsia="Calibri" w:hAnsi="Palatino Linotype" w:cs="Tahoma"/>
          <w:iCs/>
          <w:sz w:val="22"/>
          <w:szCs w:val="22"/>
          <w:lang w:val="es-ES" w:eastAsia="es-ES_tradnl"/>
        </w:rPr>
        <w:t>Por otra parte, este Instituto observa que también se actualiza el principio de necesidad, ya que no existe un medio menos oneroso para lograr el fin válido, pues se estima necesaria la difusión, en caso de existir, de la información requerida, es decir, del nombre de los servidores públicos sancionados</w:t>
      </w:r>
      <w:r w:rsidRPr="001134AE">
        <w:rPr>
          <w:rFonts w:ascii="Palatino Linotype" w:eastAsia="Calibri" w:hAnsi="Palatino Linotype" w:cs="Tahoma"/>
          <w:bCs/>
          <w:iCs/>
          <w:sz w:val="22"/>
          <w:szCs w:val="22"/>
          <w:lang w:val="es-ES" w:eastAsia="es-ES_tradnl"/>
        </w:rPr>
        <w:t>, pues se relacionan con el ejercicio de sus funciones de los cargos ocupados</w:t>
      </w:r>
      <w:r w:rsidRPr="001134AE">
        <w:rPr>
          <w:rFonts w:ascii="Palatino Linotype" w:eastAsia="Calibri" w:hAnsi="Palatino Linotype" w:cs="Tahoma"/>
          <w:iCs/>
          <w:sz w:val="22"/>
          <w:szCs w:val="22"/>
          <w:lang w:val="es-ES" w:eastAsia="es-ES_tradnl"/>
        </w:rPr>
        <w:t>, a fin de que los ciudadanos identifiquen el tipo de desempeño efectuado por el trabajador, en el ejercicio de sus atribuciones, con la finalidad de calificar su actuar, ello con independencia de que el funcionario también revista el carácter de persona física identificada e identificable, pues, tal como se hizo alusión en el análisis que precede, la protección de sus datos personales queda supeditada al interés mayor de conocer los motivos y circunstancias que dieron origen a las posibles responsabilidades administrativas instauradas en su contra, que en su caso obren en los archivos.</w:t>
      </w:r>
    </w:p>
    <w:p w14:paraId="5A0FB9EB" w14:textId="77777777" w:rsidR="00E86CE4" w:rsidRPr="001134AE" w:rsidRDefault="00E86CE4" w:rsidP="00221864">
      <w:pPr>
        <w:spacing w:line="360" w:lineRule="auto"/>
        <w:jc w:val="both"/>
        <w:rPr>
          <w:rFonts w:ascii="Palatino Linotype" w:eastAsia="Calibri" w:hAnsi="Palatino Linotype" w:cs="Tahoma"/>
          <w:iCs/>
          <w:sz w:val="22"/>
          <w:szCs w:val="22"/>
          <w:lang w:val="es-ES" w:eastAsia="es-ES_tradnl"/>
        </w:rPr>
      </w:pPr>
    </w:p>
    <w:p w14:paraId="285C6588" w14:textId="612D2EBF" w:rsidR="00E86CE4" w:rsidRPr="001134AE" w:rsidRDefault="00E86CE4" w:rsidP="00221864">
      <w:pPr>
        <w:spacing w:line="360" w:lineRule="auto"/>
        <w:jc w:val="both"/>
        <w:rPr>
          <w:rFonts w:ascii="Palatino Linotype" w:eastAsia="Calibri" w:hAnsi="Palatino Linotype" w:cs="Tahoma"/>
          <w:iCs/>
          <w:sz w:val="22"/>
          <w:szCs w:val="22"/>
          <w:lang w:val="es-ES" w:eastAsia="es-ES_tradnl"/>
        </w:rPr>
      </w:pPr>
      <w:r w:rsidRPr="001134AE">
        <w:rPr>
          <w:rFonts w:ascii="Palatino Linotype" w:eastAsia="Calibri" w:hAnsi="Palatino Linotype" w:cs="Tahoma"/>
          <w:iCs/>
          <w:sz w:val="22"/>
          <w:szCs w:val="22"/>
          <w:lang w:val="es-ES" w:eastAsia="es-ES_tradnl"/>
        </w:rPr>
        <w:t xml:space="preserve">Además, ello permite evaluar la actuación tanto del Tribunal de Justicia Administrativa del Estado de México, como del </w:t>
      </w:r>
      <w:r w:rsidR="00651921">
        <w:rPr>
          <w:rFonts w:ascii="Palatino Linotype" w:hAnsi="Palatino Linotype" w:cs="Tahoma"/>
          <w:bCs/>
          <w:iCs/>
          <w:sz w:val="22"/>
          <w:szCs w:val="22"/>
        </w:rPr>
        <w:t>Organismo</w:t>
      </w:r>
      <w:r w:rsidRPr="001134AE">
        <w:rPr>
          <w:rFonts w:ascii="Palatino Linotype" w:hAnsi="Palatino Linotype" w:cs="Tahoma"/>
          <w:bCs/>
          <w:iCs/>
          <w:sz w:val="22"/>
          <w:szCs w:val="22"/>
        </w:rPr>
        <w:t xml:space="preserve"> Interno de Control</w:t>
      </w:r>
      <w:r w:rsidRPr="001134AE">
        <w:rPr>
          <w:rFonts w:ascii="Palatino Linotype" w:eastAsia="Calibri" w:hAnsi="Palatino Linotype" w:cs="Tahoma"/>
          <w:iCs/>
          <w:sz w:val="22"/>
          <w:szCs w:val="22"/>
          <w:lang w:val="es-ES" w:eastAsia="es-ES_tradnl"/>
        </w:rPr>
        <w:t>, pues se podrá advertir la forma en la que ejercieron las funciones que legalmente tienen conferidas.</w:t>
      </w:r>
    </w:p>
    <w:p w14:paraId="7BAFE13A" w14:textId="77777777" w:rsidR="00E86CE4" w:rsidRPr="001134AE" w:rsidRDefault="00E86CE4" w:rsidP="00221864">
      <w:pPr>
        <w:spacing w:line="360" w:lineRule="auto"/>
        <w:jc w:val="both"/>
        <w:rPr>
          <w:rFonts w:ascii="Palatino Linotype" w:eastAsia="Calibri" w:hAnsi="Palatino Linotype" w:cs="Tahoma"/>
          <w:iCs/>
          <w:sz w:val="22"/>
          <w:szCs w:val="22"/>
          <w:lang w:val="es-ES" w:eastAsia="es-ES_tradnl"/>
        </w:rPr>
      </w:pPr>
    </w:p>
    <w:p w14:paraId="25607192" w14:textId="77777777" w:rsidR="00E86CE4" w:rsidRPr="001134AE" w:rsidRDefault="00E86CE4" w:rsidP="00221864">
      <w:pPr>
        <w:spacing w:line="360" w:lineRule="auto"/>
        <w:jc w:val="both"/>
        <w:rPr>
          <w:rFonts w:ascii="Palatino Linotype" w:eastAsia="Calibri" w:hAnsi="Palatino Linotype" w:cs="Tahoma"/>
          <w:iCs/>
          <w:sz w:val="22"/>
          <w:szCs w:val="22"/>
          <w:lang w:val="es-ES" w:eastAsia="es-ES_tradnl"/>
        </w:rPr>
      </w:pPr>
      <w:r w:rsidRPr="001134AE">
        <w:rPr>
          <w:rFonts w:ascii="Palatino Linotype" w:eastAsia="Calibri" w:hAnsi="Palatino Linotype" w:cs="Tahoma"/>
          <w:iCs/>
          <w:sz w:val="22"/>
          <w:szCs w:val="22"/>
          <w:lang w:val="es-ES" w:eastAsia="es-ES_tradnl"/>
        </w:rPr>
        <w:t xml:space="preserve">Lo anterior, considerando que sólo por esta vía se podría lograr el acceso a la información correspondiente </w:t>
      </w:r>
      <w:r w:rsidRPr="001134AE">
        <w:rPr>
          <w:rFonts w:ascii="Palatino Linotype" w:eastAsia="Calibri" w:hAnsi="Palatino Linotype" w:cs="Tahoma"/>
          <w:bCs/>
          <w:iCs/>
          <w:sz w:val="22"/>
          <w:szCs w:val="22"/>
          <w:lang w:val="es-ES" w:eastAsia="es-ES_tradnl"/>
        </w:rPr>
        <w:t xml:space="preserve">a los documentos </w:t>
      </w:r>
      <w:r w:rsidRPr="001134AE">
        <w:rPr>
          <w:rFonts w:ascii="Palatino Linotype" w:eastAsia="Calibri" w:hAnsi="Palatino Linotype" w:cs="Tahoma"/>
          <w:iCs/>
          <w:sz w:val="22"/>
          <w:szCs w:val="22"/>
          <w:lang w:val="es-ES" w:eastAsia="es-ES_tradnl"/>
        </w:rPr>
        <w:t>del interés del Particular, para garantizar la rendición de cuentas sobre su actuación, así como, la de los servidores públicos sancionados.</w:t>
      </w:r>
    </w:p>
    <w:p w14:paraId="7FF1BF7C" w14:textId="77777777" w:rsidR="00E86CE4" w:rsidRPr="001134AE" w:rsidRDefault="00E86CE4" w:rsidP="00221864">
      <w:pPr>
        <w:spacing w:line="360" w:lineRule="auto"/>
        <w:jc w:val="both"/>
        <w:rPr>
          <w:rFonts w:ascii="Palatino Linotype" w:eastAsia="Calibri" w:hAnsi="Palatino Linotype" w:cs="Tahoma"/>
          <w:iCs/>
          <w:sz w:val="22"/>
          <w:szCs w:val="22"/>
          <w:lang w:val="es-ES" w:eastAsia="es-ES_tradnl"/>
        </w:rPr>
      </w:pPr>
    </w:p>
    <w:p w14:paraId="784BE2E4" w14:textId="590AA14C" w:rsidR="00E86CE4" w:rsidRDefault="00E86CE4" w:rsidP="00221864">
      <w:pPr>
        <w:spacing w:line="360" w:lineRule="auto"/>
        <w:jc w:val="both"/>
        <w:rPr>
          <w:rFonts w:ascii="Palatino Linotype" w:eastAsia="Calibri" w:hAnsi="Palatino Linotype" w:cs="Tahoma"/>
          <w:iCs/>
          <w:sz w:val="22"/>
          <w:szCs w:val="22"/>
          <w:lang w:val="es-ES" w:eastAsia="es-ES_tradnl"/>
        </w:rPr>
      </w:pPr>
      <w:r w:rsidRPr="001134AE">
        <w:rPr>
          <w:rFonts w:ascii="Palatino Linotype" w:eastAsia="Calibri" w:hAnsi="Palatino Linotype" w:cs="Tahoma"/>
          <w:iCs/>
          <w:sz w:val="22"/>
          <w:szCs w:val="22"/>
          <w:lang w:val="es-ES" w:eastAsia="es-ES_tradnl"/>
        </w:rPr>
        <w:t>Situación que se robustece, con el hecho de que el artículo 27 de la Ley General de Responsabilidades Administrativas, cuarto párrafo, específica que se hará público, las constancias de sanciones o de inhabilitación que se encuentren firmes, en contra de los servidores públicos que hayan sido sancionados por actos vinculados con faltas administrativas graves; de la misma manera, lo prevé el artículo 28, de la Ley de Responsabilidades Administrativas del Estado de México.</w:t>
      </w:r>
    </w:p>
    <w:p w14:paraId="07DABC2D" w14:textId="77777777" w:rsidR="002F49C0" w:rsidRPr="001134AE" w:rsidRDefault="002F49C0" w:rsidP="00221864">
      <w:pPr>
        <w:spacing w:line="360" w:lineRule="auto"/>
        <w:jc w:val="both"/>
        <w:rPr>
          <w:rFonts w:ascii="Palatino Linotype" w:eastAsia="Calibri" w:hAnsi="Palatino Linotype" w:cs="Tahoma"/>
          <w:iCs/>
          <w:sz w:val="22"/>
          <w:szCs w:val="22"/>
          <w:lang w:val="es-ES" w:eastAsia="es-ES_tradnl"/>
        </w:rPr>
      </w:pPr>
    </w:p>
    <w:p w14:paraId="1323941B" w14:textId="77777777" w:rsidR="00E86CE4" w:rsidRDefault="00E86CE4" w:rsidP="00221864">
      <w:pPr>
        <w:spacing w:line="360" w:lineRule="auto"/>
        <w:jc w:val="both"/>
        <w:rPr>
          <w:rFonts w:ascii="Palatino Linotype" w:eastAsia="Calibri" w:hAnsi="Palatino Linotype" w:cs="Tahoma"/>
          <w:iCs/>
          <w:sz w:val="22"/>
          <w:szCs w:val="22"/>
          <w:lang w:val="es-ES" w:eastAsia="es-ES_tradnl"/>
        </w:rPr>
      </w:pPr>
      <w:r w:rsidRPr="001134AE">
        <w:rPr>
          <w:rFonts w:ascii="Palatino Linotype" w:eastAsia="Calibri" w:hAnsi="Palatino Linotype" w:cs="Tahoma"/>
          <w:iCs/>
          <w:sz w:val="22"/>
          <w:szCs w:val="22"/>
          <w:lang w:val="es-ES" w:eastAsia="es-ES_tradnl"/>
        </w:rPr>
        <w:t>En tal virtud, por la trascendencia social de la materia del requerimiento, el derecho de acceso a la información deberá prevalecer sobre el derecho a la privacidad; aunado, a que, por disposición legal, la información relacionada con faltas graves de servidores públicos, guardan el carácter de público.</w:t>
      </w:r>
    </w:p>
    <w:p w14:paraId="56F57EB6" w14:textId="77777777" w:rsidR="00E86CE4" w:rsidRPr="001134AE" w:rsidRDefault="00E86CE4" w:rsidP="00221864">
      <w:pPr>
        <w:spacing w:line="360" w:lineRule="auto"/>
        <w:jc w:val="both"/>
        <w:rPr>
          <w:rFonts w:ascii="Palatino Linotype" w:eastAsia="Calibri" w:hAnsi="Palatino Linotype" w:cs="Tahoma"/>
          <w:iCs/>
          <w:sz w:val="22"/>
          <w:szCs w:val="22"/>
          <w:lang w:val="es-ES" w:eastAsia="es-ES_tradnl"/>
        </w:rPr>
      </w:pPr>
    </w:p>
    <w:p w14:paraId="230B0115" w14:textId="77777777" w:rsidR="00E86CE4" w:rsidRPr="001134AE" w:rsidRDefault="00E86CE4" w:rsidP="00221864">
      <w:pPr>
        <w:spacing w:line="360" w:lineRule="auto"/>
        <w:jc w:val="both"/>
        <w:rPr>
          <w:rFonts w:ascii="Palatino Linotype" w:eastAsia="Calibri" w:hAnsi="Palatino Linotype" w:cs="Tahoma"/>
          <w:iCs/>
          <w:sz w:val="22"/>
          <w:szCs w:val="22"/>
          <w:lang w:val="es-ES" w:eastAsia="es-ES_tradnl"/>
        </w:rPr>
      </w:pPr>
      <w:r w:rsidRPr="001134AE">
        <w:rPr>
          <w:rFonts w:ascii="Palatino Linotype" w:eastAsia="Calibri" w:hAnsi="Palatino Linotype" w:cs="Tahoma"/>
          <w:b/>
          <w:iCs/>
          <w:sz w:val="22"/>
          <w:szCs w:val="22"/>
          <w:lang w:val="es-ES" w:eastAsia="es-ES_tradnl"/>
        </w:rPr>
        <w:t>c) Proporcionalidad en sentido estricto:</w:t>
      </w:r>
      <w:r w:rsidRPr="001134AE">
        <w:rPr>
          <w:rFonts w:ascii="Palatino Linotype" w:eastAsia="Calibri" w:hAnsi="Palatino Linotype" w:cs="Tahoma"/>
          <w:iCs/>
          <w:sz w:val="22"/>
          <w:szCs w:val="22"/>
          <w:lang w:val="es-ES" w:eastAsia="es-ES_tradnl"/>
        </w:rPr>
        <w:t xml:space="preserve"> El sacrificio de la protección del nombre de los servidores públicos, </w:t>
      </w:r>
      <w:r w:rsidRPr="001134AE">
        <w:rPr>
          <w:rFonts w:ascii="Palatino Linotype" w:eastAsia="Calibri" w:hAnsi="Palatino Linotype" w:cs="Tahoma"/>
          <w:bCs/>
          <w:iCs/>
          <w:sz w:val="22"/>
          <w:szCs w:val="22"/>
          <w:lang w:val="es-ES" w:eastAsia="es-ES_tradnl"/>
        </w:rPr>
        <w:t xml:space="preserve">en caso de que </w:t>
      </w:r>
      <w:r w:rsidRPr="001134AE">
        <w:rPr>
          <w:rFonts w:ascii="Palatino Linotype" w:eastAsia="Calibri" w:hAnsi="Palatino Linotype" w:cs="Tahoma"/>
          <w:iCs/>
          <w:sz w:val="22"/>
          <w:szCs w:val="22"/>
          <w:lang w:val="es-ES" w:eastAsia="es-ES_tradnl"/>
        </w:rPr>
        <w:t>haya sido sujeto a proceso y cuente con una resolución condenatoria por haber cometido faltas administrativas graves, relacionadas con el desempeño de sus funciones, como medio para lograr el fin válido señalado, se justifica en razón de que se satisface el interés público en conocer el desempeño de sus funciones como trabajador gubernamental, esto es, que no actuó conforme a derecho, así como, la actividad desplegada por las autoridades correspondientes, en el trámite de dichos asuntos. Además, que como se precisó en párrafos previos, dichas faltas recaen en una afectación, para terceras personas, o bien, al erario.</w:t>
      </w:r>
    </w:p>
    <w:p w14:paraId="78354ADB" w14:textId="77777777" w:rsidR="00E86CE4" w:rsidRPr="001134AE" w:rsidRDefault="00E86CE4" w:rsidP="00221864">
      <w:pPr>
        <w:spacing w:line="360" w:lineRule="auto"/>
        <w:jc w:val="both"/>
        <w:rPr>
          <w:rFonts w:ascii="Palatino Linotype" w:eastAsia="Calibri" w:hAnsi="Palatino Linotype" w:cs="Tahoma"/>
          <w:iCs/>
          <w:sz w:val="22"/>
          <w:szCs w:val="22"/>
          <w:lang w:val="es-ES" w:eastAsia="es-ES_tradnl"/>
        </w:rPr>
      </w:pPr>
    </w:p>
    <w:p w14:paraId="2F85B7A9" w14:textId="77777777" w:rsidR="00E86CE4" w:rsidRPr="001134AE" w:rsidRDefault="00E86CE4" w:rsidP="00221864">
      <w:pPr>
        <w:spacing w:line="360" w:lineRule="auto"/>
        <w:jc w:val="both"/>
        <w:rPr>
          <w:rFonts w:ascii="Palatino Linotype" w:eastAsia="Calibri" w:hAnsi="Palatino Linotype" w:cs="Tahoma"/>
          <w:iCs/>
          <w:sz w:val="22"/>
          <w:szCs w:val="22"/>
          <w:lang w:val="es-ES" w:eastAsia="es-ES_tradnl"/>
        </w:rPr>
      </w:pPr>
      <w:r w:rsidRPr="001134AE">
        <w:rPr>
          <w:rFonts w:ascii="Palatino Linotype" w:eastAsia="Calibri" w:hAnsi="Palatino Linotype" w:cs="Tahoma"/>
          <w:iCs/>
          <w:sz w:val="22"/>
          <w:szCs w:val="22"/>
          <w:lang w:val="es-ES" w:eastAsia="es-ES_tradnl"/>
        </w:rPr>
        <w:t>De esta manera, se logra un mayor beneficio en proporción del otro derecho que se verá restringido, logrando publicitar información que es de interés público, por lo que, se advierte que el daño que se causaría con su difusión es menor a aquél que se causaría con su resguardo.</w:t>
      </w:r>
    </w:p>
    <w:p w14:paraId="37E38ADD" w14:textId="77777777" w:rsidR="00E86CE4" w:rsidRPr="001134AE" w:rsidRDefault="00E86CE4" w:rsidP="00221864">
      <w:pPr>
        <w:spacing w:line="360" w:lineRule="auto"/>
        <w:jc w:val="both"/>
        <w:rPr>
          <w:rFonts w:ascii="Palatino Linotype" w:eastAsia="Calibri" w:hAnsi="Palatino Linotype" w:cs="Tahoma"/>
          <w:iCs/>
          <w:sz w:val="22"/>
          <w:szCs w:val="22"/>
          <w:lang w:val="es-ES" w:eastAsia="es-ES_tradnl"/>
        </w:rPr>
      </w:pPr>
    </w:p>
    <w:p w14:paraId="2F530A2A" w14:textId="77777777" w:rsidR="00E86CE4" w:rsidRPr="001134AE" w:rsidRDefault="00E86CE4" w:rsidP="00221864">
      <w:pPr>
        <w:spacing w:line="360" w:lineRule="auto"/>
        <w:jc w:val="both"/>
        <w:rPr>
          <w:rFonts w:ascii="Palatino Linotype" w:eastAsia="Calibri" w:hAnsi="Palatino Linotype" w:cs="Tahoma"/>
          <w:bCs/>
          <w:iCs/>
          <w:sz w:val="22"/>
          <w:szCs w:val="22"/>
          <w:lang w:val="es-ES" w:eastAsia="es-ES_tradnl"/>
        </w:rPr>
      </w:pPr>
      <w:r w:rsidRPr="001134AE">
        <w:rPr>
          <w:rFonts w:ascii="Palatino Linotype" w:eastAsia="Calibri" w:hAnsi="Palatino Linotype" w:cs="Tahoma"/>
          <w:bCs/>
          <w:iCs/>
          <w:sz w:val="22"/>
          <w:szCs w:val="22"/>
          <w:lang w:val="es-ES" w:eastAsia="es-ES_tradnl"/>
        </w:rPr>
        <w:t>En ese orden de ideas, es posible advertir un margen de beneficio mayor al favorecer el derecho de acceso a la información, respecto del derecho a la vida privada; por lo que, la intervención que subsume este ejercicio de ponderación apunta a la obtención de mayores efectos positivos y una afectación menor en la esfera de privacidad de los servidores públicos.</w:t>
      </w:r>
    </w:p>
    <w:p w14:paraId="1FB9CAD8" w14:textId="77777777" w:rsidR="00E86CE4" w:rsidRPr="001134AE" w:rsidRDefault="00E86CE4" w:rsidP="00221864">
      <w:pPr>
        <w:spacing w:line="360" w:lineRule="auto"/>
        <w:jc w:val="both"/>
        <w:rPr>
          <w:rFonts w:ascii="Palatino Linotype" w:eastAsia="Calibri" w:hAnsi="Palatino Linotype" w:cs="Tahoma"/>
          <w:iCs/>
          <w:sz w:val="22"/>
          <w:szCs w:val="22"/>
          <w:lang w:val="es-ES" w:eastAsia="es-ES_tradnl"/>
        </w:rPr>
      </w:pPr>
    </w:p>
    <w:p w14:paraId="35A7954A" w14:textId="4BF6C4B1" w:rsidR="00E86CE4" w:rsidRDefault="00E86CE4" w:rsidP="00221864">
      <w:pPr>
        <w:spacing w:line="360" w:lineRule="auto"/>
        <w:jc w:val="both"/>
        <w:rPr>
          <w:rFonts w:ascii="Palatino Linotype" w:eastAsia="Calibri" w:hAnsi="Palatino Linotype" w:cs="Tahoma"/>
          <w:iCs/>
          <w:sz w:val="22"/>
          <w:szCs w:val="22"/>
          <w:lang w:val="es-ES" w:eastAsia="es-ES_tradnl"/>
        </w:rPr>
      </w:pPr>
      <w:r w:rsidRPr="001134AE">
        <w:rPr>
          <w:rFonts w:ascii="Palatino Linotype" w:eastAsia="Calibri" w:hAnsi="Palatino Linotype" w:cs="Tahoma"/>
          <w:iCs/>
          <w:sz w:val="22"/>
          <w:szCs w:val="22"/>
          <w:lang w:val="es-ES" w:eastAsia="es-ES_tradnl"/>
        </w:rPr>
        <w:t xml:space="preserve">Asimismo se robustece con el hecho de que la difusión de la información solicitada contribuiría a garantizar el ejercicio de acceso a la información, a favorecer la rendición de cuentas a los ciudadanos, de manera que puedan valorar el desempeño de los sujetos obligados y servidores públicos, además de fortalecer el escrutinio ciudadano sobre las actividades sustantivas de los sujetos obligados, en cumplimiento a los objetivos previstos en el artículo 2 de la Ley Federal de Transparencia y </w:t>
      </w:r>
      <w:r w:rsidR="00F533F3">
        <w:rPr>
          <w:rFonts w:ascii="Palatino Linotype" w:eastAsia="Calibri" w:hAnsi="Palatino Linotype" w:cs="Tahoma"/>
          <w:iCs/>
          <w:sz w:val="22"/>
          <w:szCs w:val="22"/>
          <w:lang w:val="es-ES" w:eastAsia="es-ES_tradnl"/>
        </w:rPr>
        <w:t>Acceso a la Información Pública</w:t>
      </w:r>
      <w:r w:rsidRPr="001134AE">
        <w:rPr>
          <w:rFonts w:ascii="Palatino Linotype" w:eastAsia="Calibri" w:hAnsi="Palatino Linotype" w:cs="Tahoma"/>
          <w:iCs/>
          <w:sz w:val="22"/>
          <w:szCs w:val="22"/>
          <w:lang w:val="es-ES" w:eastAsia="es-ES_tradnl"/>
        </w:rPr>
        <w:t>.</w:t>
      </w:r>
    </w:p>
    <w:p w14:paraId="79170308" w14:textId="77777777" w:rsidR="00E86CE4" w:rsidRPr="001134AE" w:rsidRDefault="00E86CE4" w:rsidP="00221864">
      <w:pPr>
        <w:spacing w:line="360" w:lineRule="auto"/>
        <w:jc w:val="both"/>
        <w:rPr>
          <w:rFonts w:ascii="Palatino Linotype" w:eastAsia="Calibri" w:hAnsi="Palatino Linotype" w:cs="Tahoma"/>
          <w:iCs/>
          <w:sz w:val="22"/>
          <w:szCs w:val="22"/>
          <w:lang w:val="es-ES" w:eastAsia="es-ES_tradnl"/>
        </w:rPr>
      </w:pPr>
    </w:p>
    <w:p w14:paraId="02DC513B" w14:textId="77777777" w:rsidR="00E86CE4" w:rsidRPr="001134AE" w:rsidRDefault="00E86CE4" w:rsidP="00221864">
      <w:pPr>
        <w:spacing w:line="360" w:lineRule="auto"/>
        <w:jc w:val="both"/>
        <w:rPr>
          <w:rFonts w:ascii="Palatino Linotype" w:eastAsia="Calibri" w:hAnsi="Palatino Linotype" w:cs="Tahoma"/>
          <w:b/>
          <w:iCs/>
          <w:sz w:val="22"/>
          <w:szCs w:val="22"/>
          <w:lang w:val="es-ES" w:eastAsia="es-ES_tradnl"/>
        </w:rPr>
      </w:pPr>
      <w:r w:rsidRPr="001134AE">
        <w:rPr>
          <w:rFonts w:ascii="Palatino Linotype" w:eastAsia="Calibri" w:hAnsi="Palatino Linotype" w:cs="Tahoma"/>
          <w:iCs/>
          <w:sz w:val="22"/>
          <w:szCs w:val="22"/>
          <w:lang w:val="es-ES" w:eastAsia="es-ES_tradnl"/>
        </w:rPr>
        <w:t xml:space="preserve">Por tanto, se concluye que, al tenor de la ponderación realizada, se cumple con los tres elementos para darle preminencia, en el caso concreto, </w:t>
      </w:r>
      <w:r w:rsidRPr="001134AE">
        <w:rPr>
          <w:rFonts w:ascii="Palatino Linotype" w:eastAsia="Calibri" w:hAnsi="Palatino Linotype" w:cs="Tahoma"/>
          <w:b/>
          <w:iCs/>
          <w:sz w:val="22"/>
          <w:szCs w:val="22"/>
          <w:lang w:val="es-ES" w:eastAsia="es-ES_tradnl"/>
        </w:rPr>
        <w:t>al derecho de acceso a la información.</w:t>
      </w:r>
    </w:p>
    <w:p w14:paraId="5924F9B5" w14:textId="77777777" w:rsidR="00E86CE4" w:rsidRPr="001134AE" w:rsidRDefault="00E86CE4" w:rsidP="00221864">
      <w:pPr>
        <w:spacing w:line="360" w:lineRule="auto"/>
        <w:jc w:val="both"/>
        <w:rPr>
          <w:rFonts w:ascii="Palatino Linotype" w:eastAsia="Calibri" w:hAnsi="Palatino Linotype" w:cs="Tahoma"/>
          <w:b/>
          <w:iCs/>
          <w:sz w:val="22"/>
          <w:szCs w:val="22"/>
          <w:lang w:val="es-ES" w:eastAsia="es-ES_tradnl"/>
        </w:rPr>
      </w:pPr>
    </w:p>
    <w:p w14:paraId="7A8C7436" w14:textId="77777777" w:rsidR="00E86CE4" w:rsidRPr="001134AE" w:rsidRDefault="00E86CE4" w:rsidP="00221864">
      <w:pPr>
        <w:spacing w:line="360" w:lineRule="auto"/>
        <w:jc w:val="both"/>
        <w:rPr>
          <w:rFonts w:ascii="Palatino Linotype" w:eastAsia="Calibri" w:hAnsi="Palatino Linotype" w:cs="Tahoma"/>
          <w:iCs/>
          <w:sz w:val="22"/>
          <w:szCs w:val="22"/>
          <w:lang w:eastAsia="es-ES_tradnl"/>
        </w:rPr>
      </w:pPr>
      <w:r w:rsidRPr="001134AE">
        <w:rPr>
          <w:rFonts w:ascii="Palatino Linotype" w:eastAsia="Calibri" w:hAnsi="Palatino Linotype" w:cs="Tahoma"/>
          <w:iCs/>
          <w:sz w:val="22"/>
          <w:szCs w:val="22"/>
          <w:lang w:val="es-ES" w:eastAsia="es-ES_tradnl"/>
        </w:rPr>
        <w:t xml:space="preserve">Por lo expuesto, se determina que, por lo que hace a los procedimientos de responsabilidades administrativas por faltas graves, que se encuentran relacionadas con el desempeño de sus funciones como servidores públicos, el nombre de estos guardan la naturaleza pública, en razón de que, si bien es cierto </w:t>
      </w:r>
      <w:r w:rsidRPr="001134AE">
        <w:rPr>
          <w:rFonts w:ascii="Palatino Linotype" w:eastAsia="Calibri" w:hAnsi="Palatino Linotype" w:cs="Tahoma"/>
          <w:iCs/>
          <w:sz w:val="22"/>
          <w:szCs w:val="22"/>
          <w:lang w:eastAsia="es-ES_tradnl"/>
        </w:rPr>
        <w:t xml:space="preserve">la difusión de los mismos afectaría los derechos a la confidencialidad, a la privacidad, al honor y a la propia imagen, también lo es que </w:t>
      </w:r>
      <w:r w:rsidRPr="001134AE">
        <w:rPr>
          <w:rFonts w:ascii="Palatino Linotype" w:eastAsia="Calibri" w:hAnsi="Palatino Linotype" w:cs="Tahoma"/>
          <w:b/>
          <w:iCs/>
          <w:sz w:val="22"/>
          <w:szCs w:val="22"/>
          <w:lang w:eastAsia="es-ES_tradnl"/>
        </w:rPr>
        <w:t>tratándose de asuntos relacionados con actos de corrupción, al ser faltas graves, tales prerrogativas quedan supeditadas al interés mayor de conocer tales eventualidades</w:t>
      </w:r>
      <w:r w:rsidRPr="001134AE">
        <w:rPr>
          <w:rFonts w:ascii="Palatino Linotype" w:eastAsia="Calibri" w:hAnsi="Palatino Linotype" w:cs="Tahoma"/>
          <w:iCs/>
          <w:sz w:val="22"/>
          <w:szCs w:val="22"/>
          <w:lang w:eastAsia="es-ES_tradnl"/>
        </w:rPr>
        <w:t xml:space="preserve"> y por lo tanto no precede su clasificación en términos del artículo 143, fracción I de la Ley de la materia.</w:t>
      </w:r>
    </w:p>
    <w:p w14:paraId="79533C31" w14:textId="77777777" w:rsidR="00E86CE4" w:rsidRPr="001134AE" w:rsidRDefault="00E86CE4" w:rsidP="00221864">
      <w:pPr>
        <w:spacing w:line="360" w:lineRule="auto"/>
        <w:jc w:val="both"/>
        <w:rPr>
          <w:rFonts w:ascii="Palatino Linotype" w:eastAsia="Calibri" w:hAnsi="Palatino Linotype" w:cs="Tahoma"/>
          <w:iCs/>
          <w:sz w:val="22"/>
          <w:szCs w:val="22"/>
          <w:lang w:val="es-ES" w:eastAsia="es-ES_tradnl"/>
        </w:rPr>
      </w:pPr>
    </w:p>
    <w:p w14:paraId="09391851" w14:textId="6352CC60" w:rsidR="00E86CE4" w:rsidRPr="001134AE" w:rsidRDefault="00E86CE4" w:rsidP="00221864">
      <w:pPr>
        <w:spacing w:line="360" w:lineRule="auto"/>
        <w:jc w:val="both"/>
        <w:rPr>
          <w:rFonts w:ascii="Palatino Linotype" w:eastAsia="Calibri" w:hAnsi="Palatino Linotype" w:cs="Tahoma"/>
          <w:iCs/>
          <w:sz w:val="22"/>
          <w:szCs w:val="22"/>
          <w:lang w:val="es-ES" w:eastAsia="es-ES_tradnl"/>
        </w:rPr>
      </w:pPr>
      <w:r w:rsidRPr="001134AE">
        <w:rPr>
          <w:rFonts w:ascii="Palatino Linotype" w:eastAsia="Calibri" w:hAnsi="Palatino Linotype" w:cs="Tahoma"/>
          <w:iCs/>
          <w:sz w:val="22"/>
          <w:szCs w:val="22"/>
          <w:lang w:val="es-ES" w:eastAsia="es-ES_tradnl"/>
        </w:rPr>
        <w:t>Conforme a lo anterior, se concluye que el sujeto obligado únicamente se encuentra constreñido, a proporcionar, en su caso, el nombre de servidores públicos que</w:t>
      </w:r>
      <w:r w:rsidR="00DF252E">
        <w:rPr>
          <w:rFonts w:ascii="Palatino Linotype" w:eastAsia="Calibri" w:hAnsi="Palatino Linotype" w:cs="Tahoma"/>
          <w:iCs/>
          <w:sz w:val="22"/>
          <w:szCs w:val="22"/>
          <w:lang w:val="es-ES" w:eastAsia="es-ES_tradnl"/>
        </w:rPr>
        <w:t xml:space="preserve"> hubieran sido </w:t>
      </w:r>
      <w:r w:rsidRPr="001134AE">
        <w:rPr>
          <w:rFonts w:ascii="Palatino Linotype" w:eastAsia="Calibri" w:hAnsi="Palatino Linotype" w:cs="Tahoma"/>
          <w:iCs/>
          <w:sz w:val="22"/>
          <w:szCs w:val="22"/>
          <w:lang w:val="es-ES" w:eastAsia="es-ES_tradnl"/>
        </w:rPr>
        <w:t xml:space="preserve">sancionados por faltas administrativas graves, en términos de la Ley de Responsabilidades Administrativas del Estado de México, y clasificar como confidencial, en términos del artículo 143, fracción I, de la Ley de Transparencia y </w:t>
      </w:r>
      <w:r w:rsidR="00F533F3">
        <w:rPr>
          <w:rFonts w:ascii="Palatino Linotype" w:eastAsia="Calibri" w:hAnsi="Palatino Linotype" w:cs="Tahoma"/>
          <w:iCs/>
          <w:sz w:val="22"/>
          <w:szCs w:val="22"/>
          <w:lang w:val="es-ES" w:eastAsia="es-ES_tradnl"/>
        </w:rPr>
        <w:t>Acceso a la Información Pública</w:t>
      </w:r>
      <w:r w:rsidRPr="001134AE">
        <w:rPr>
          <w:rFonts w:ascii="Palatino Linotype" w:eastAsia="Calibri" w:hAnsi="Palatino Linotype" w:cs="Tahoma"/>
          <w:iCs/>
          <w:sz w:val="22"/>
          <w:szCs w:val="22"/>
          <w:lang w:val="es-ES" w:eastAsia="es-ES_tradnl"/>
        </w:rPr>
        <w:t xml:space="preserve"> del Estado de México y Municipios, el nombre de aquellos que hayan a</w:t>
      </w:r>
      <w:r w:rsidR="00DF252E">
        <w:rPr>
          <w:rFonts w:ascii="Palatino Linotype" w:eastAsia="Calibri" w:hAnsi="Palatino Linotype" w:cs="Tahoma"/>
          <w:iCs/>
          <w:sz w:val="22"/>
          <w:szCs w:val="22"/>
          <w:lang w:val="es-ES" w:eastAsia="es-ES_tradnl"/>
        </w:rPr>
        <w:t>creditado alguna falta no grave, del mismo modo sólo podrá hacer de conocimiento de la solicitante las quejas y/o denuncias que hubieran causado estado.</w:t>
      </w:r>
    </w:p>
    <w:p w14:paraId="6E66A048" w14:textId="77777777" w:rsidR="00E86CE4" w:rsidRPr="001134AE" w:rsidRDefault="00E86CE4" w:rsidP="00221864">
      <w:pPr>
        <w:spacing w:line="360" w:lineRule="auto"/>
        <w:jc w:val="both"/>
        <w:rPr>
          <w:rFonts w:ascii="Palatino Linotype" w:hAnsi="Palatino Linotype" w:cs="Tahoma"/>
          <w:sz w:val="22"/>
          <w:szCs w:val="22"/>
          <w:lang w:val="es-ES"/>
        </w:rPr>
      </w:pPr>
    </w:p>
    <w:p w14:paraId="721FE795" w14:textId="53A3C756" w:rsidR="00E86CE4" w:rsidRDefault="00E86CE4" w:rsidP="00221864">
      <w:pPr>
        <w:spacing w:line="360" w:lineRule="auto"/>
        <w:jc w:val="both"/>
        <w:rPr>
          <w:rFonts w:ascii="Palatino Linotype" w:eastAsia="Calibri" w:hAnsi="Palatino Linotype" w:cs="Tahoma"/>
          <w:bCs/>
          <w:sz w:val="22"/>
          <w:szCs w:val="22"/>
          <w:lang w:eastAsia="en-US"/>
        </w:rPr>
      </w:pPr>
      <w:r w:rsidRPr="001134AE">
        <w:rPr>
          <w:rFonts w:ascii="Palatino Linotype" w:eastAsia="Calibri" w:hAnsi="Palatino Linotype" w:cs="Tahoma"/>
          <w:bCs/>
          <w:sz w:val="22"/>
          <w:szCs w:val="22"/>
          <w:lang w:eastAsia="en-US"/>
        </w:rPr>
        <w:t xml:space="preserve">Finalmente, no pasa desapercibido que la información que daría cuenta de lo solicitado, </w:t>
      </w:r>
      <w:r w:rsidR="00DF252E">
        <w:rPr>
          <w:rFonts w:ascii="Palatino Linotype" w:eastAsia="Calibri" w:hAnsi="Palatino Linotype" w:cs="Tahoma"/>
          <w:bCs/>
          <w:sz w:val="22"/>
          <w:szCs w:val="22"/>
          <w:lang w:eastAsia="en-US"/>
        </w:rPr>
        <w:t xml:space="preserve">son </w:t>
      </w:r>
      <w:r w:rsidRPr="001134AE">
        <w:rPr>
          <w:rFonts w:ascii="Palatino Linotype" w:eastAsia="Calibri" w:hAnsi="Palatino Linotype" w:cs="Tahoma"/>
          <w:bCs/>
          <w:sz w:val="22"/>
          <w:szCs w:val="22"/>
          <w:lang w:eastAsia="en-US"/>
        </w:rPr>
        <w:t xml:space="preserve">los expedientes y resoluciones respectivas, </w:t>
      </w:r>
      <w:r w:rsidR="00DF252E">
        <w:rPr>
          <w:rFonts w:ascii="Palatino Linotype" w:eastAsia="Calibri" w:hAnsi="Palatino Linotype" w:cs="Tahoma"/>
          <w:bCs/>
          <w:sz w:val="22"/>
          <w:szCs w:val="22"/>
          <w:lang w:eastAsia="en-US"/>
        </w:rPr>
        <w:t xml:space="preserve">mismos que </w:t>
      </w:r>
      <w:r w:rsidRPr="001134AE">
        <w:rPr>
          <w:rFonts w:ascii="Palatino Linotype" w:eastAsia="Calibri" w:hAnsi="Palatino Linotype" w:cs="Tahoma"/>
          <w:bCs/>
          <w:sz w:val="22"/>
          <w:szCs w:val="22"/>
          <w:lang w:eastAsia="en-US"/>
        </w:rPr>
        <w:t>podría</w:t>
      </w:r>
      <w:r w:rsidR="00DF252E">
        <w:rPr>
          <w:rFonts w:ascii="Palatino Linotype" w:eastAsia="Calibri" w:hAnsi="Palatino Linotype" w:cs="Tahoma"/>
          <w:bCs/>
          <w:sz w:val="22"/>
          <w:szCs w:val="22"/>
          <w:lang w:eastAsia="en-US"/>
        </w:rPr>
        <w:t>n</w:t>
      </w:r>
      <w:r w:rsidRPr="001134AE">
        <w:rPr>
          <w:rFonts w:ascii="Palatino Linotype" w:eastAsia="Calibri" w:hAnsi="Palatino Linotype" w:cs="Tahoma"/>
          <w:bCs/>
          <w:sz w:val="22"/>
          <w:szCs w:val="22"/>
          <w:lang w:eastAsia="en-US"/>
        </w:rPr>
        <w:t xml:space="preserve"> contener datos confidenciales; por lo que, en su caso, deberá entregar versión pública en la que se eliminen estos, junto con el acuerdo del Comité de Transparencia, en el que funde y motive la eliminación de la información, de conformidad con lo establecido en los artículos 49, fracciones II y VIII, 128, 132, fracción I, 138, 143 y 149 de la Ley de Transparencia y </w:t>
      </w:r>
      <w:r w:rsidR="00F533F3">
        <w:rPr>
          <w:rFonts w:ascii="Palatino Linotype" w:eastAsia="Calibri" w:hAnsi="Palatino Linotype" w:cs="Tahoma"/>
          <w:bCs/>
          <w:sz w:val="22"/>
          <w:szCs w:val="22"/>
          <w:lang w:eastAsia="en-US"/>
        </w:rPr>
        <w:t>Acceso a la Información Pública</w:t>
      </w:r>
      <w:r w:rsidRPr="001134AE">
        <w:rPr>
          <w:rFonts w:ascii="Palatino Linotype" w:eastAsia="Calibri" w:hAnsi="Palatino Linotype" w:cs="Tahoma"/>
          <w:bCs/>
          <w:sz w:val="22"/>
          <w:szCs w:val="22"/>
          <w:lang w:eastAsia="en-US"/>
        </w:rPr>
        <w:t xml:space="preserve"> de Estado de México y Municipios.</w:t>
      </w:r>
    </w:p>
    <w:p w14:paraId="6F3314B9" w14:textId="77777777" w:rsidR="00DF252E" w:rsidRDefault="00DF252E" w:rsidP="00221864">
      <w:pPr>
        <w:spacing w:line="360" w:lineRule="auto"/>
        <w:jc w:val="both"/>
        <w:rPr>
          <w:rFonts w:ascii="Palatino Linotype" w:eastAsia="Batang" w:hAnsi="Palatino Linotype" w:cs="Tahoma"/>
          <w:bCs/>
          <w:sz w:val="22"/>
          <w:szCs w:val="22"/>
          <w:lang w:val="es-ES"/>
        </w:rPr>
      </w:pPr>
    </w:p>
    <w:p w14:paraId="4AF6A4D6" w14:textId="77777777" w:rsidR="00DF252E" w:rsidRPr="00B02B15" w:rsidRDefault="00DF252E" w:rsidP="00221864">
      <w:pPr>
        <w:spacing w:line="360" w:lineRule="auto"/>
        <w:contextualSpacing/>
        <w:jc w:val="both"/>
        <w:rPr>
          <w:rFonts w:ascii="Palatino Linotype" w:hAnsi="Palatino Linotype" w:cs="Tahoma"/>
          <w:bCs/>
          <w:iCs/>
          <w:sz w:val="22"/>
          <w:szCs w:val="22"/>
        </w:rPr>
      </w:pPr>
      <w:r w:rsidRPr="00B02B15">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75CED4C1" w14:textId="3C7348FA" w:rsidR="00DF252E" w:rsidRPr="00B02B15" w:rsidRDefault="00DF252E" w:rsidP="00221864">
      <w:pPr>
        <w:spacing w:line="360" w:lineRule="auto"/>
        <w:contextualSpacing/>
        <w:jc w:val="both"/>
        <w:rPr>
          <w:rFonts w:ascii="Palatino Linotype" w:hAnsi="Palatino Linotype" w:cs="Tahoma"/>
          <w:bCs/>
          <w:iCs/>
          <w:sz w:val="22"/>
          <w:szCs w:val="22"/>
        </w:rPr>
      </w:pPr>
      <w:r w:rsidRPr="00B02B15">
        <w:rPr>
          <w:rFonts w:ascii="Palatino Linotype" w:hAnsi="Palatino Linotype" w:cs="Tahoma"/>
          <w:bCs/>
          <w:iCs/>
          <w:sz w:val="22"/>
          <w:szCs w:val="22"/>
        </w:rPr>
        <w:t xml:space="preserve">En este contexto, la confidencialidad de los datos personales tiene por objetivo establecer el límite del derecho de acceso a la información a partir del derecho a la intimidad y la vida privada de los individuos. Sobre </w:t>
      </w:r>
      <w:r>
        <w:rPr>
          <w:rFonts w:ascii="Palatino Linotype" w:hAnsi="Palatino Linotype" w:cs="Tahoma"/>
          <w:bCs/>
          <w:iCs/>
          <w:sz w:val="22"/>
          <w:szCs w:val="22"/>
        </w:rPr>
        <w:t>el Particular</w:t>
      </w:r>
      <w:r w:rsidRPr="00B02B15">
        <w:rPr>
          <w:rFonts w:ascii="Palatino Linotype" w:hAnsi="Palatino Linotype" w:cs="Tahoma"/>
          <w:bCs/>
          <w:iCs/>
          <w:sz w:val="22"/>
          <w:szCs w:val="22"/>
        </w:rPr>
        <w:t>,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1AC4D6FE" w14:textId="77777777" w:rsidR="00DF252E" w:rsidRPr="00B02B15" w:rsidRDefault="00DF252E" w:rsidP="00221864">
      <w:pPr>
        <w:spacing w:line="360" w:lineRule="auto"/>
        <w:contextualSpacing/>
        <w:jc w:val="both"/>
        <w:rPr>
          <w:rFonts w:ascii="Palatino Linotype" w:hAnsi="Palatino Linotype" w:cs="Tahoma"/>
          <w:bCs/>
          <w:iCs/>
          <w:sz w:val="22"/>
          <w:szCs w:val="22"/>
        </w:rPr>
      </w:pPr>
    </w:p>
    <w:p w14:paraId="0C7890E3" w14:textId="25E51A35" w:rsidR="00DF252E" w:rsidRDefault="00DF252E" w:rsidP="00221864">
      <w:pPr>
        <w:spacing w:line="360" w:lineRule="auto"/>
        <w:contextualSpacing/>
        <w:jc w:val="both"/>
        <w:rPr>
          <w:rFonts w:ascii="Palatino Linotype" w:hAnsi="Palatino Linotype" w:cs="Tahoma"/>
          <w:bCs/>
          <w:iCs/>
          <w:sz w:val="22"/>
          <w:szCs w:val="22"/>
        </w:rPr>
      </w:pPr>
      <w:r w:rsidRPr="00B02B15">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612B23EA" w14:textId="77777777" w:rsidR="002F49C0" w:rsidRPr="00B02B15" w:rsidRDefault="002F49C0" w:rsidP="00221864">
      <w:pPr>
        <w:spacing w:line="360" w:lineRule="auto"/>
        <w:contextualSpacing/>
        <w:jc w:val="both"/>
        <w:rPr>
          <w:rFonts w:ascii="Palatino Linotype" w:hAnsi="Palatino Linotype" w:cs="Tahoma"/>
          <w:bCs/>
          <w:iCs/>
          <w:sz w:val="22"/>
          <w:szCs w:val="22"/>
        </w:rPr>
      </w:pPr>
    </w:p>
    <w:p w14:paraId="2A0CBA8A" w14:textId="77777777" w:rsidR="00DF252E" w:rsidRPr="00B02B15" w:rsidRDefault="00DF252E" w:rsidP="00221864">
      <w:pPr>
        <w:spacing w:line="360" w:lineRule="auto"/>
        <w:contextualSpacing/>
        <w:jc w:val="both"/>
        <w:rPr>
          <w:rFonts w:ascii="Palatino Linotype" w:hAnsi="Palatino Linotype" w:cs="Tahoma"/>
          <w:bCs/>
          <w:iCs/>
          <w:sz w:val="22"/>
          <w:szCs w:val="22"/>
        </w:rPr>
      </w:pPr>
      <w:r w:rsidRPr="00B02B15">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455D0D4F" w14:textId="77777777" w:rsidR="00DF252E" w:rsidRPr="00B02B15" w:rsidRDefault="00DF252E" w:rsidP="00221864">
      <w:pPr>
        <w:spacing w:line="360" w:lineRule="auto"/>
        <w:contextualSpacing/>
        <w:jc w:val="both"/>
        <w:rPr>
          <w:rFonts w:ascii="Palatino Linotype" w:hAnsi="Palatino Linotype" w:cs="Tahoma"/>
          <w:bCs/>
          <w:iCs/>
          <w:sz w:val="22"/>
          <w:szCs w:val="22"/>
        </w:rPr>
      </w:pPr>
    </w:p>
    <w:p w14:paraId="1DD46CFD" w14:textId="77777777" w:rsidR="00DF252E" w:rsidRPr="00B02B15" w:rsidRDefault="00DF252E" w:rsidP="00221864">
      <w:pPr>
        <w:spacing w:line="360" w:lineRule="auto"/>
        <w:contextualSpacing/>
        <w:jc w:val="both"/>
        <w:rPr>
          <w:rFonts w:ascii="Palatino Linotype" w:hAnsi="Palatino Linotype" w:cs="Tahoma"/>
          <w:bCs/>
          <w:iCs/>
          <w:sz w:val="22"/>
          <w:szCs w:val="22"/>
        </w:rPr>
      </w:pPr>
      <w:r w:rsidRPr="00B02B15">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7965DEDA" w14:textId="77777777" w:rsidR="00DF252E" w:rsidRPr="00B02B15" w:rsidRDefault="00DF252E" w:rsidP="00221864">
      <w:pPr>
        <w:spacing w:line="360" w:lineRule="auto"/>
        <w:contextualSpacing/>
        <w:jc w:val="both"/>
        <w:rPr>
          <w:rFonts w:ascii="Palatino Linotype" w:hAnsi="Palatino Linotype" w:cs="Tahoma"/>
          <w:bCs/>
          <w:iCs/>
          <w:sz w:val="22"/>
          <w:szCs w:val="22"/>
        </w:rPr>
      </w:pPr>
    </w:p>
    <w:p w14:paraId="54235332" w14:textId="2999F9DF" w:rsidR="00DF252E" w:rsidRDefault="00DF252E" w:rsidP="00221864">
      <w:pPr>
        <w:spacing w:line="360" w:lineRule="auto"/>
        <w:contextualSpacing/>
        <w:jc w:val="both"/>
        <w:rPr>
          <w:rFonts w:ascii="Palatino Linotype" w:hAnsi="Palatino Linotype" w:cs="Tahoma"/>
          <w:bCs/>
          <w:iCs/>
          <w:sz w:val="22"/>
          <w:szCs w:val="22"/>
        </w:rPr>
      </w:pPr>
      <w:r w:rsidRPr="00B02B15">
        <w:rPr>
          <w:rFonts w:ascii="Palatino Linotype" w:hAnsi="Palatino Linotype" w:cs="Tahoma"/>
          <w:bCs/>
          <w:iCs/>
          <w:sz w:val="22"/>
          <w:szCs w:val="22"/>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r>
        <w:rPr>
          <w:rFonts w:ascii="Palatino Linotype" w:hAnsi="Palatino Linotype" w:cs="Tahoma"/>
          <w:bCs/>
          <w:iCs/>
          <w:sz w:val="22"/>
          <w:szCs w:val="22"/>
        </w:rPr>
        <w:t xml:space="preserve"> Por tal motivo, se deberá revisar que los documentos que contengan datos personales confidenciales se entreguen en versión pública. </w:t>
      </w:r>
    </w:p>
    <w:p w14:paraId="1313A28D" w14:textId="38102115" w:rsidR="00DF252E" w:rsidRDefault="00DF252E" w:rsidP="00221864">
      <w:pPr>
        <w:spacing w:line="360" w:lineRule="auto"/>
        <w:contextualSpacing/>
        <w:jc w:val="both"/>
        <w:rPr>
          <w:rFonts w:ascii="Palatino Linotype" w:hAnsi="Palatino Linotype" w:cs="Tahoma"/>
          <w:bCs/>
          <w:iCs/>
          <w:sz w:val="22"/>
          <w:szCs w:val="22"/>
        </w:rPr>
      </w:pPr>
    </w:p>
    <w:p w14:paraId="76F6F973" w14:textId="1D673DEA" w:rsidR="00E516C3" w:rsidRPr="00E516C3" w:rsidRDefault="00E516C3" w:rsidP="00221864">
      <w:pPr>
        <w:spacing w:line="360" w:lineRule="auto"/>
        <w:jc w:val="both"/>
        <w:rPr>
          <w:rFonts w:ascii="Palatino Linotype" w:hAnsi="Palatino Linotype" w:cs="Arial"/>
          <w:sz w:val="22"/>
          <w:szCs w:val="22"/>
        </w:rPr>
      </w:pPr>
      <w:r w:rsidRPr="00E516C3">
        <w:rPr>
          <w:rFonts w:ascii="Palatino Linotype" w:hAnsi="Palatino Linotype" w:cs="Arial"/>
          <w:sz w:val="22"/>
          <w:szCs w:val="22"/>
        </w:rPr>
        <w:t xml:space="preserve">Por otra parte, </w:t>
      </w:r>
      <w:r>
        <w:rPr>
          <w:rFonts w:ascii="Palatino Linotype" w:hAnsi="Palatino Linotype" w:cs="Arial"/>
          <w:sz w:val="22"/>
          <w:szCs w:val="22"/>
        </w:rPr>
        <w:t>no se omite resaltar que las quejas y denuncias solicitadas corresponden al año 2012 y a la fecha de la solicitud; por lo que debe entenderse que ha trascurrido un lapso de nueve años y en ese sentido conviene traer a contexto lo</w:t>
      </w:r>
      <w:r w:rsidRPr="00E516C3">
        <w:rPr>
          <w:rFonts w:ascii="Palatino Linotype" w:hAnsi="Palatino Linotype" w:cs="Arial"/>
          <w:sz w:val="22"/>
          <w:szCs w:val="22"/>
        </w:rPr>
        <w:t xml:space="preserve"> establecido en el artículo 169, de la multicitada Ley de Transparencia y </w:t>
      </w:r>
      <w:r w:rsidR="00F533F3">
        <w:rPr>
          <w:rFonts w:ascii="Palatino Linotype" w:hAnsi="Palatino Linotype" w:cs="Arial"/>
          <w:sz w:val="22"/>
          <w:szCs w:val="22"/>
        </w:rPr>
        <w:t>Acceso a la Información Pública</w:t>
      </w:r>
      <w:r w:rsidRPr="00E516C3">
        <w:rPr>
          <w:rFonts w:ascii="Palatino Linotype" w:hAnsi="Palatino Linotype" w:cs="Arial"/>
          <w:sz w:val="22"/>
          <w:szCs w:val="22"/>
        </w:rPr>
        <w:t xml:space="preserve"> del Estado de México y Municipios, relativo a que cuando la información no se encuentre en los archivos del </w:t>
      </w:r>
      <w:r w:rsidRPr="00E516C3">
        <w:rPr>
          <w:rFonts w:ascii="Palatino Linotype" w:hAnsi="Palatino Linotype" w:cs="Arial"/>
          <w:b/>
          <w:sz w:val="22"/>
          <w:szCs w:val="22"/>
        </w:rPr>
        <w:t>SUJETO OBLIGADO</w:t>
      </w:r>
      <w:r w:rsidRPr="00E516C3">
        <w:rPr>
          <w:rFonts w:ascii="Palatino Linotype" w:hAnsi="Palatino Linotype" w:cs="Arial"/>
          <w:sz w:val="22"/>
          <w:szCs w:val="22"/>
        </w:rPr>
        <w:t>, el Comité de Transparencia en consecuencia deberá proceder a la emisión de un Acuerdo de Inexistencia, debidamente fundado y motivado en el que se detallen las razones por las cuales no existe la información a través del siguiente procedimiento:</w:t>
      </w:r>
    </w:p>
    <w:p w14:paraId="7BCCB612" w14:textId="77777777" w:rsidR="00E516C3" w:rsidRPr="007C7F28" w:rsidRDefault="00E516C3" w:rsidP="00221864">
      <w:pPr>
        <w:spacing w:line="360" w:lineRule="auto"/>
        <w:jc w:val="both"/>
        <w:rPr>
          <w:rFonts w:ascii="Palatino Linotype" w:hAnsi="Palatino Linotype" w:cs="Arial"/>
          <w:highlight w:val="yellow"/>
        </w:rPr>
      </w:pPr>
    </w:p>
    <w:p w14:paraId="7771D622" w14:textId="77777777" w:rsidR="00E516C3" w:rsidRPr="00E516C3" w:rsidRDefault="00E516C3" w:rsidP="00AD61EF">
      <w:pPr>
        <w:spacing w:line="360" w:lineRule="auto"/>
        <w:ind w:left="709" w:right="757"/>
        <w:jc w:val="both"/>
        <w:rPr>
          <w:rFonts w:ascii="Palatino Linotype" w:hAnsi="Palatino Linotype" w:cs="Arial"/>
          <w:i/>
          <w:sz w:val="20"/>
          <w:szCs w:val="20"/>
        </w:rPr>
      </w:pPr>
      <w:r w:rsidRPr="00E516C3">
        <w:rPr>
          <w:rFonts w:ascii="Palatino Linotype" w:hAnsi="Palatino Linotype" w:cs="Arial"/>
          <w:i/>
          <w:sz w:val="20"/>
          <w:szCs w:val="20"/>
        </w:rPr>
        <w:t>“</w:t>
      </w:r>
      <w:r w:rsidRPr="00E516C3">
        <w:rPr>
          <w:rFonts w:ascii="Palatino Linotype" w:hAnsi="Palatino Linotype" w:cs="Arial"/>
          <w:b/>
          <w:bCs/>
          <w:i/>
          <w:sz w:val="20"/>
          <w:szCs w:val="20"/>
        </w:rPr>
        <w:t>Artículo 169.</w:t>
      </w:r>
      <w:r w:rsidRPr="00E516C3">
        <w:rPr>
          <w:rFonts w:ascii="Palatino Linotype" w:hAnsi="Palatino Linotype" w:cs="Arial"/>
          <w:i/>
          <w:sz w:val="20"/>
          <w:szCs w:val="20"/>
        </w:rPr>
        <w:t xml:space="preserve"> Cuando la información no se encuentre en los archivos del sujeto obligado, el Comité de Transparencia:</w:t>
      </w:r>
    </w:p>
    <w:p w14:paraId="6530D175" w14:textId="77777777" w:rsidR="00E516C3" w:rsidRPr="00E516C3" w:rsidRDefault="00E516C3" w:rsidP="00AD61EF">
      <w:pPr>
        <w:spacing w:line="360" w:lineRule="auto"/>
        <w:ind w:left="709" w:right="757"/>
        <w:jc w:val="both"/>
        <w:rPr>
          <w:rFonts w:ascii="Palatino Linotype" w:hAnsi="Palatino Linotype" w:cs="Arial"/>
          <w:i/>
          <w:sz w:val="20"/>
          <w:szCs w:val="20"/>
        </w:rPr>
      </w:pPr>
    </w:p>
    <w:p w14:paraId="1CE06021" w14:textId="77777777" w:rsidR="00E516C3" w:rsidRPr="00E516C3" w:rsidRDefault="00E516C3" w:rsidP="00AD61EF">
      <w:pPr>
        <w:spacing w:line="360" w:lineRule="auto"/>
        <w:ind w:left="709" w:right="757"/>
        <w:jc w:val="both"/>
        <w:rPr>
          <w:rFonts w:ascii="Palatino Linotype" w:hAnsi="Palatino Linotype" w:cs="Arial"/>
          <w:i/>
          <w:sz w:val="20"/>
          <w:szCs w:val="20"/>
        </w:rPr>
      </w:pPr>
      <w:r w:rsidRPr="00E516C3">
        <w:rPr>
          <w:rFonts w:ascii="Palatino Linotype" w:hAnsi="Palatino Linotype" w:cs="Arial"/>
          <w:b/>
          <w:bCs/>
          <w:i/>
          <w:sz w:val="20"/>
          <w:szCs w:val="20"/>
        </w:rPr>
        <w:t>I.</w:t>
      </w:r>
      <w:r w:rsidRPr="00E516C3">
        <w:rPr>
          <w:rFonts w:ascii="Palatino Linotype" w:hAnsi="Palatino Linotype" w:cs="Arial"/>
          <w:i/>
          <w:sz w:val="20"/>
          <w:szCs w:val="20"/>
        </w:rPr>
        <w:t xml:space="preserve"> Analizará el caso y tomará las medidas necesarias para localizar la información;</w:t>
      </w:r>
    </w:p>
    <w:p w14:paraId="66D497AB" w14:textId="77777777" w:rsidR="00E516C3" w:rsidRPr="00E516C3" w:rsidRDefault="00E516C3" w:rsidP="00AD61EF">
      <w:pPr>
        <w:spacing w:line="360" w:lineRule="auto"/>
        <w:ind w:left="709" w:right="757"/>
        <w:jc w:val="both"/>
        <w:rPr>
          <w:rFonts w:ascii="Palatino Linotype" w:hAnsi="Palatino Linotype" w:cs="Arial"/>
          <w:i/>
          <w:sz w:val="20"/>
          <w:szCs w:val="20"/>
        </w:rPr>
      </w:pPr>
      <w:r w:rsidRPr="00E516C3">
        <w:rPr>
          <w:rFonts w:ascii="Palatino Linotype" w:hAnsi="Palatino Linotype" w:cs="Arial"/>
          <w:b/>
          <w:bCs/>
          <w:i/>
          <w:sz w:val="20"/>
          <w:szCs w:val="20"/>
        </w:rPr>
        <w:t>II.</w:t>
      </w:r>
      <w:r w:rsidRPr="00E516C3">
        <w:rPr>
          <w:rFonts w:ascii="Palatino Linotype" w:hAnsi="Palatino Linotype" w:cs="Arial"/>
          <w:i/>
          <w:sz w:val="20"/>
          <w:szCs w:val="20"/>
        </w:rPr>
        <w:t xml:space="preserve"> Expedirá una resolución que confirme la inexistencia del documento;</w:t>
      </w:r>
    </w:p>
    <w:p w14:paraId="04CB787B" w14:textId="77777777" w:rsidR="00E516C3" w:rsidRPr="00E516C3" w:rsidRDefault="00E516C3" w:rsidP="00AD61EF">
      <w:pPr>
        <w:spacing w:line="360" w:lineRule="auto"/>
        <w:ind w:left="709" w:right="757"/>
        <w:jc w:val="both"/>
        <w:rPr>
          <w:rFonts w:ascii="Palatino Linotype" w:hAnsi="Palatino Linotype" w:cs="Arial"/>
          <w:i/>
          <w:sz w:val="20"/>
          <w:szCs w:val="20"/>
        </w:rPr>
      </w:pPr>
      <w:r w:rsidRPr="00E516C3">
        <w:rPr>
          <w:rFonts w:ascii="Palatino Linotype" w:hAnsi="Palatino Linotype" w:cs="Arial"/>
          <w:b/>
          <w:bCs/>
          <w:i/>
          <w:sz w:val="20"/>
          <w:szCs w:val="20"/>
        </w:rPr>
        <w:t>III</w:t>
      </w:r>
      <w:r w:rsidRPr="00E516C3">
        <w:rPr>
          <w:rFonts w:ascii="Palatino Linotype" w:hAnsi="Palatino Linotype" w:cs="Arial"/>
          <w:i/>
          <w:sz w:val="20"/>
          <w:szCs w:val="20"/>
        </w:rPr>
        <w:t>.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0CD9B5BE" w14:textId="1CBEFC66" w:rsidR="00E516C3" w:rsidRPr="00E516C3" w:rsidRDefault="00E516C3" w:rsidP="00AD61EF">
      <w:pPr>
        <w:spacing w:line="360" w:lineRule="auto"/>
        <w:ind w:left="709" w:right="757"/>
        <w:jc w:val="both"/>
        <w:rPr>
          <w:rFonts w:ascii="Palatino Linotype" w:hAnsi="Palatino Linotype" w:cs="Arial"/>
          <w:i/>
          <w:sz w:val="20"/>
          <w:szCs w:val="20"/>
        </w:rPr>
      </w:pPr>
      <w:r w:rsidRPr="00E516C3">
        <w:rPr>
          <w:rFonts w:ascii="Palatino Linotype" w:hAnsi="Palatino Linotype" w:cs="Arial"/>
          <w:b/>
          <w:bCs/>
          <w:i/>
          <w:sz w:val="20"/>
          <w:szCs w:val="20"/>
        </w:rPr>
        <w:t>IV.</w:t>
      </w:r>
      <w:r w:rsidRPr="00E516C3">
        <w:rPr>
          <w:rFonts w:ascii="Palatino Linotype" w:hAnsi="Palatino Linotype" w:cs="Arial"/>
          <w:i/>
          <w:sz w:val="20"/>
          <w:szCs w:val="20"/>
        </w:rPr>
        <w:t xml:space="preserve"> Notificará al </w:t>
      </w:r>
      <w:r w:rsidR="00651921">
        <w:rPr>
          <w:rFonts w:ascii="Palatino Linotype" w:hAnsi="Palatino Linotype" w:cs="Arial"/>
          <w:i/>
          <w:sz w:val="20"/>
          <w:szCs w:val="20"/>
        </w:rPr>
        <w:t>Organismo</w:t>
      </w:r>
      <w:r w:rsidRPr="00E516C3">
        <w:rPr>
          <w:rFonts w:ascii="Palatino Linotype" w:hAnsi="Palatino Linotype" w:cs="Arial"/>
          <w:i/>
          <w:sz w:val="20"/>
          <w:szCs w:val="20"/>
        </w:rPr>
        <w:t xml:space="preserve"> interno de control o equivalente del sujeto obligado quien, en su caso, deberá iniciar el procedimiento de responsabilidad administrativa que corresponda.”</w:t>
      </w:r>
    </w:p>
    <w:p w14:paraId="171DF033" w14:textId="77777777" w:rsidR="00E516C3" w:rsidRPr="00E516C3" w:rsidRDefault="00E516C3" w:rsidP="00221864">
      <w:pPr>
        <w:spacing w:line="360" w:lineRule="auto"/>
        <w:jc w:val="both"/>
        <w:rPr>
          <w:rFonts w:ascii="Palatino Linotype" w:hAnsi="Palatino Linotype" w:cs="Arial"/>
        </w:rPr>
      </w:pPr>
    </w:p>
    <w:p w14:paraId="628A2679" w14:textId="4C460E50" w:rsidR="00E516C3" w:rsidRPr="00E516C3" w:rsidRDefault="00E516C3" w:rsidP="00221864">
      <w:pPr>
        <w:spacing w:line="360" w:lineRule="auto"/>
        <w:jc w:val="both"/>
        <w:rPr>
          <w:rFonts w:ascii="Palatino Linotype" w:hAnsi="Palatino Linotype" w:cs="Arial"/>
        </w:rPr>
      </w:pPr>
      <w:r w:rsidRPr="00E516C3">
        <w:rPr>
          <w:rFonts w:ascii="Palatino Linotype" w:hAnsi="Palatino Linotype" w:cs="Arial"/>
        </w:rPr>
        <w:t xml:space="preserve">Una vez establecido lo anterior, conviene profundizar en el supuesto de la inexistencia de la información cuando por el paso del tiempo y en términos de la normatividad aplicable, </w:t>
      </w:r>
      <w:r w:rsidRPr="00E516C3">
        <w:rPr>
          <w:rFonts w:ascii="Palatino Linotype" w:hAnsi="Palatino Linotype" w:cs="Arial"/>
          <w:b/>
        </w:rPr>
        <w:t>EL SUJETO OBLIGADO</w:t>
      </w:r>
      <w:r w:rsidRPr="00E516C3">
        <w:rPr>
          <w:rFonts w:ascii="Palatino Linotype" w:hAnsi="Palatino Linotype" w:cs="Arial"/>
        </w:rPr>
        <w:t xml:space="preserve"> procede a la </w:t>
      </w:r>
      <w:r>
        <w:rPr>
          <w:rFonts w:ascii="Palatino Linotype" w:hAnsi="Palatino Linotype" w:cs="Arial"/>
        </w:rPr>
        <w:t xml:space="preserve">baja documental de lo requerido; en ese tenor, </w:t>
      </w:r>
      <w:r w:rsidRPr="00E516C3">
        <w:rPr>
          <w:rFonts w:ascii="Palatino Linotype" w:hAnsi="Palatino Linotype" w:cs="Arial"/>
        </w:rPr>
        <w:t>los Lineamientos para la Administración de Documentos en el Estado de México señala los ciclos de vida de los diversos documentos en poder de los Sujetos Obligados como se advierte a continuación:</w:t>
      </w:r>
    </w:p>
    <w:p w14:paraId="68F2DD5A" w14:textId="77777777" w:rsidR="00E516C3" w:rsidRPr="00E516C3" w:rsidRDefault="00E516C3" w:rsidP="00221864">
      <w:pPr>
        <w:spacing w:line="360" w:lineRule="auto"/>
        <w:jc w:val="both"/>
        <w:rPr>
          <w:rFonts w:ascii="Palatino Linotype" w:hAnsi="Palatino Linotype" w:cs="Arial"/>
        </w:rPr>
      </w:pPr>
    </w:p>
    <w:p w14:paraId="4822A707" w14:textId="77777777" w:rsidR="00E516C3" w:rsidRPr="00E516C3" w:rsidRDefault="00E516C3" w:rsidP="00AD61EF">
      <w:pPr>
        <w:spacing w:line="360" w:lineRule="auto"/>
        <w:ind w:left="709" w:right="757"/>
        <w:jc w:val="both"/>
        <w:rPr>
          <w:rFonts w:ascii="Palatino Linotype" w:hAnsi="Palatino Linotype" w:cs="Arial"/>
          <w:i/>
          <w:sz w:val="20"/>
          <w:szCs w:val="20"/>
        </w:rPr>
      </w:pPr>
      <w:r w:rsidRPr="00E516C3">
        <w:rPr>
          <w:rFonts w:ascii="Palatino Linotype" w:hAnsi="Palatino Linotype" w:cs="Arial"/>
          <w:i/>
          <w:sz w:val="20"/>
          <w:szCs w:val="20"/>
        </w:rPr>
        <w:t>“</w:t>
      </w:r>
      <w:r w:rsidRPr="00E516C3">
        <w:rPr>
          <w:rFonts w:ascii="Palatino Linotype" w:hAnsi="Palatino Linotype" w:cs="Arial"/>
          <w:b/>
          <w:bCs/>
          <w:i/>
          <w:sz w:val="20"/>
          <w:szCs w:val="20"/>
        </w:rPr>
        <w:t>Artículo 61.</w:t>
      </w:r>
      <w:r w:rsidRPr="00E516C3">
        <w:rPr>
          <w:rFonts w:ascii="Palatino Linotype" w:hAnsi="Palatino Linotype" w:cs="Arial"/>
          <w:i/>
          <w:sz w:val="20"/>
          <w:szCs w:val="20"/>
        </w:rPr>
        <w:t xml:space="preserve"> El ciclo de vida de los documentos de Archivo se corresponderá con las siguientes fases:</w:t>
      </w:r>
    </w:p>
    <w:p w14:paraId="746E8F82" w14:textId="77777777" w:rsidR="00E516C3" w:rsidRPr="00E516C3" w:rsidRDefault="00E516C3" w:rsidP="00AD61EF">
      <w:pPr>
        <w:spacing w:line="360" w:lineRule="auto"/>
        <w:ind w:left="709" w:right="757"/>
        <w:jc w:val="both"/>
        <w:rPr>
          <w:rFonts w:ascii="Palatino Linotype" w:hAnsi="Palatino Linotype" w:cs="Arial"/>
          <w:i/>
          <w:sz w:val="20"/>
          <w:szCs w:val="20"/>
        </w:rPr>
      </w:pPr>
    </w:p>
    <w:p w14:paraId="50845182" w14:textId="77777777" w:rsidR="00E516C3" w:rsidRPr="00E516C3" w:rsidRDefault="00E516C3" w:rsidP="00AD61EF">
      <w:pPr>
        <w:numPr>
          <w:ilvl w:val="0"/>
          <w:numId w:val="11"/>
        </w:numPr>
        <w:spacing w:line="360" w:lineRule="auto"/>
        <w:ind w:right="757"/>
        <w:contextualSpacing/>
        <w:jc w:val="both"/>
        <w:rPr>
          <w:rFonts w:ascii="Palatino Linotype" w:hAnsi="Palatino Linotype" w:cs="Arial"/>
          <w:i/>
          <w:sz w:val="20"/>
          <w:szCs w:val="20"/>
        </w:rPr>
      </w:pPr>
      <w:r w:rsidRPr="00E516C3">
        <w:rPr>
          <w:rFonts w:ascii="Palatino Linotype" w:hAnsi="Palatino Linotype" w:cs="Arial"/>
          <w:b/>
          <w:i/>
          <w:sz w:val="20"/>
          <w:szCs w:val="20"/>
        </w:rPr>
        <w:t>Fase Activa.</w:t>
      </w:r>
      <w:r w:rsidRPr="00E516C3">
        <w:rPr>
          <w:rFonts w:ascii="Palatino Linotype" w:hAnsi="Palatino Linotype" w:cs="Arial"/>
          <w:i/>
          <w:sz w:val="20"/>
          <w:szCs w:val="20"/>
        </w:rPr>
        <w:t xml:space="preserve"> Etapa en la que los documentos están en un período de tramitación y se utilizan constantemente por parte de la Unidad Administrativa que los generó o recibió, y se ubican en </w:t>
      </w:r>
      <w:r w:rsidRPr="00E516C3">
        <w:rPr>
          <w:rFonts w:ascii="Palatino Linotype" w:hAnsi="Palatino Linotype" w:cs="Arial"/>
          <w:b/>
          <w:i/>
          <w:sz w:val="20"/>
          <w:szCs w:val="20"/>
        </w:rPr>
        <w:t>el Archivo de Trámite;</w:t>
      </w:r>
    </w:p>
    <w:p w14:paraId="7F37B5A0" w14:textId="77777777" w:rsidR="00E516C3" w:rsidRPr="00E516C3" w:rsidRDefault="00E516C3" w:rsidP="00AD61EF">
      <w:pPr>
        <w:numPr>
          <w:ilvl w:val="0"/>
          <w:numId w:val="11"/>
        </w:numPr>
        <w:spacing w:line="360" w:lineRule="auto"/>
        <w:ind w:right="757"/>
        <w:contextualSpacing/>
        <w:jc w:val="both"/>
        <w:rPr>
          <w:rFonts w:ascii="Palatino Linotype" w:hAnsi="Palatino Linotype" w:cs="Arial"/>
          <w:i/>
          <w:sz w:val="20"/>
          <w:szCs w:val="20"/>
        </w:rPr>
      </w:pPr>
      <w:r w:rsidRPr="00E516C3">
        <w:rPr>
          <w:rFonts w:ascii="Palatino Linotype" w:hAnsi="Palatino Linotype" w:cs="Arial"/>
          <w:b/>
          <w:i/>
          <w:sz w:val="20"/>
          <w:szCs w:val="20"/>
        </w:rPr>
        <w:t>Fase Semiactiva</w:t>
      </w:r>
      <w:r w:rsidRPr="00E516C3">
        <w:rPr>
          <w:rFonts w:ascii="Palatino Linotype" w:hAnsi="Palatino Linotype" w:cs="Arial"/>
          <w:i/>
          <w:sz w:val="20"/>
          <w:szCs w:val="20"/>
        </w:rPr>
        <w:t xml:space="preserve">. Período en el que los documentos, una vez concluido su trámite, mantienen un valor administrativo, pero ya no son de uso frecuente por parte de la Unidad Administrativa que los generó o recibió y se resguardan en el </w:t>
      </w:r>
      <w:r w:rsidRPr="00E516C3">
        <w:rPr>
          <w:rFonts w:ascii="Palatino Linotype" w:hAnsi="Palatino Linotype" w:cs="Arial"/>
          <w:b/>
          <w:i/>
          <w:sz w:val="20"/>
          <w:szCs w:val="20"/>
        </w:rPr>
        <w:t>Archivo de Concentración</w:t>
      </w:r>
      <w:r w:rsidRPr="00E516C3">
        <w:rPr>
          <w:rFonts w:ascii="Palatino Linotype" w:hAnsi="Palatino Linotype" w:cs="Arial"/>
          <w:i/>
          <w:sz w:val="20"/>
          <w:szCs w:val="20"/>
        </w:rPr>
        <w:t>; y</w:t>
      </w:r>
    </w:p>
    <w:p w14:paraId="173FAD52" w14:textId="77777777" w:rsidR="00E516C3" w:rsidRPr="00E516C3" w:rsidRDefault="00E516C3" w:rsidP="00221864">
      <w:pPr>
        <w:spacing w:line="360" w:lineRule="auto"/>
        <w:jc w:val="both"/>
        <w:rPr>
          <w:rFonts w:ascii="Palatino Linotype" w:hAnsi="Palatino Linotype" w:cs="Arial"/>
        </w:rPr>
      </w:pPr>
    </w:p>
    <w:p w14:paraId="00E8CF60" w14:textId="77777777" w:rsidR="00E516C3" w:rsidRPr="003168DA" w:rsidRDefault="00E516C3" w:rsidP="00221864">
      <w:pPr>
        <w:spacing w:line="360" w:lineRule="auto"/>
        <w:jc w:val="both"/>
        <w:rPr>
          <w:rFonts w:ascii="Palatino Linotype" w:hAnsi="Palatino Linotype" w:cs="Arial"/>
          <w:sz w:val="22"/>
          <w:szCs w:val="22"/>
        </w:rPr>
      </w:pPr>
      <w:r w:rsidRPr="003168DA">
        <w:rPr>
          <w:rFonts w:ascii="Palatino Linotype" w:hAnsi="Palatino Linotype" w:cs="Arial"/>
          <w:sz w:val="22"/>
          <w:szCs w:val="22"/>
        </w:rPr>
        <w:t>Por su parte, los Lineamientos para la Valoración, Selección y Baja de los Documentos, Expedientes y Series de Trámite Concluido en los Archivos del Estado de México, los cuales regulan que la valoración, selección y baja de documentos deba realizarse considerando su valor primario y secundario, la frecuencia de su uso, el espacio destinado para su conservación, su antigüedad y, principalmente, mediante la formulación de un programa de gestión de documentos en el que toda acción relacionada con la disposición documental sólo tenga lugar si se garantiza que los expedientes y series de trámite concluido ya no se requieren para fines administrativos, como garantes de un derecho, como medio de prueba o para la investigación; sustento de lo anterior, lo encontramos en los artículos 4, fracciones II, III y IX, 20 y 27, fracción I, que establecen lo siguiente:</w:t>
      </w:r>
    </w:p>
    <w:p w14:paraId="7E684C45" w14:textId="77777777" w:rsidR="00E516C3" w:rsidRPr="00E516C3" w:rsidRDefault="00E516C3" w:rsidP="00221864">
      <w:pPr>
        <w:spacing w:line="360" w:lineRule="auto"/>
        <w:jc w:val="both"/>
        <w:rPr>
          <w:rFonts w:ascii="Palatino Linotype" w:hAnsi="Palatino Linotype" w:cs="Arial"/>
        </w:rPr>
      </w:pPr>
    </w:p>
    <w:p w14:paraId="0242EE54" w14:textId="77777777" w:rsidR="00E516C3" w:rsidRPr="00E516C3" w:rsidRDefault="00E516C3" w:rsidP="00AD61EF">
      <w:pPr>
        <w:spacing w:line="360" w:lineRule="auto"/>
        <w:ind w:left="709" w:right="757"/>
        <w:jc w:val="both"/>
        <w:rPr>
          <w:rFonts w:ascii="Palatino Linotype" w:hAnsi="Palatino Linotype" w:cs="Arial"/>
          <w:i/>
          <w:sz w:val="20"/>
          <w:szCs w:val="20"/>
        </w:rPr>
      </w:pPr>
      <w:r w:rsidRPr="00E516C3">
        <w:rPr>
          <w:rFonts w:ascii="Palatino Linotype" w:hAnsi="Palatino Linotype" w:cs="Arial"/>
          <w:b/>
          <w:i/>
          <w:sz w:val="20"/>
          <w:szCs w:val="20"/>
        </w:rPr>
        <w:t>II. Acta de Baja</w:t>
      </w:r>
      <w:r w:rsidRPr="00E516C3">
        <w:rPr>
          <w:rFonts w:ascii="Palatino Linotype" w:hAnsi="Palatino Linotype" w:cs="Arial"/>
          <w:i/>
          <w:sz w:val="20"/>
          <w:szCs w:val="20"/>
        </w:rPr>
        <w:t>: Acta de Baja Documental. Documento por el que el Comité de Selección Documental o el titular de la Unidad Administrativa a la cual se encuentre adscrito el Archivo de Trámite, autoriza la baja de los documentos resultantes del proceso de selección preliminar aplicado a los expedientes de trámite concluido, como paso previo a su transferencia a un Archivo de Concentración.</w:t>
      </w:r>
    </w:p>
    <w:p w14:paraId="5CBDC3E3" w14:textId="77777777" w:rsidR="00E516C3" w:rsidRPr="00E516C3" w:rsidRDefault="00E516C3" w:rsidP="00AD61EF">
      <w:pPr>
        <w:spacing w:line="360" w:lineRule="auto"/>
        <w:ind w:left="709" w:right="757"/>
        <w:jc w:val="both"/>
        <w:rPr>
          <w:rFonts w:ascii="Palatino Linotype" w:hAnsi="Palatino Linotype" w:cs="Arial"/>
          <w:i/>
          <w:sz w:val="20"/>
          <w:szCs w:val="20"/>
        </w:rPr>
      </w:pPr>
    </w:p>
    <w:p w14:paraId="7710BE38" w14:textId="77777777" w:rsidR="00E516C3" w:rsidRPr="00E516C3" w:rsidRDefault="00E516C3" w:rsidP="00AD61EF">
      <w:pPr>
        <w:spacing w:line="360" w:lineRule="auto"/>
        <w:ind w:left="709" w:right="757"/>
        <w:jc w:val="both"/>
        <w:rPr>
          <w:rFonts w:ascii="Palatino Linotype" w:hAnsi="Palatino Linotype" w:cs="Arial"/>
          <w:i/>
          <w:sz w:val="20"/>
          <w:szCs w:val="20"/>
        </w:rPr>
      </w:pPr>
      <w:r w:rsidRPr="00E516C3">
        <w:rPr>
          <w:rFonts w:ascii="Palatino Linotype" w:hAnsi="Palatino Linotype" w:cs="Arial"/>
          <w:b/>
          <w:i/>
          <w:sz w:val="20"/>
          <w:szCs w:val="20"/>
        </w:rPr>
        <w:t>III. Acuerdo</w:t>
      </w:r>
      <w:r w:rsidRPr="00E516C3">
        <w:rPr>
          <w:rFonts w:ascii="Palatino Linotype" w:hAnsi="Palatino Linotype" w:cs="Arial"/>
          <w:i/>
          <w:sz w:val="20"/>
          <w:szCs w:val="20"/>
        </w:rPr>
        <w:t xml:space="preserve">: Acuerdo de Autorización de Baja Documental. Documento a través del cual la Comisión Dictaminadora de Depuración de Documentos autoriza la baja de los documentos de trámite concluido cuyo período de conservación precaucional ya prescribió en los Archivos de Concentración y que son resultantes del proceso de selección final. </w:t>
      </w:r>
    </w:p>
    <w:p w14:paraId="28A7385A" w14:textId="77777777" w:rsidR="00221864" w:rsidRDefault="00221864" w:rsidP="00221864">
      <w:pPr>
        <w:spacing w:line="360" w:lineRule="auto"/>
        <w:ind w:left="709" w:right="757"/>
        <w:jc w:val="both"/>
        <w:rPr>
          <w:rFonts w:ascii="Palatino Linotype" w:hAnsi="Palatino Linotype" w:cs="Arial"/>
          <w:b/>
          <w:i/>
          <w:sz w:val="20"/>
          <w:szCs w:val="20"/>
        </w:rPr>
      </w:pPr>
    </w:p>
    <w:p w14:paraId="585E6A9F" w14:textId="6D672299" w:rsidR="00E516C3" w:rsidRPr="00E516C3" w:rsidRDefault="00E516C3" w:rsidP="00AD61EF">
      <w:pPr>
        <w:spacing w:line="360" w:lineRule="auto"/>
        <w:ind w:left="709" w:right="757"/>
        <w:jc w:val="both"/>
        <w:rPr>
          <w:rFonts w:ascii="Palatino Linotype" w:hAnsi="Palatino Linotype" w:cs="Arial"/>
          <w:i/>
          <w:sz w:val="20"/>
          <w:szCs w:val="20"/>
        </w:rPr>
      </w:pPr>
      <w:r w:rsidRPr="00E516C3">
        <w:rPr>
          <w:rFonts w:ascii="Palatino Linotype" w:hAnsi="Palatino Linotype" w:cs="Arial"/>
          <w:b/>
          <w:i/>
          <w:sz w:val="20"/>
          <w:szCs w:val="20"/>
        </w:rPr>
        <w:t>IX. Baja Documental</w:t>
      </w:r>
      <w:r w:rsidRPr="00E516C3">
        <w:rPr>
          <w:rFonts w:ascii="Palatino Linotype" w:hAnsi="Palatino Linotype" w:cs="Arial"/>
          <w:i/>
          <w:sz w:val="20"/>
          <w:szCs w:val="20"/>
        </w:rPr>
        <w:t>: Eliminación física de la documentación que haya prescrito en sus valores administrativos, legales, fiscales o contables, y que no contenga valores históricos, conforme a la normatividad emitida por la Comisión</w:t>
      </w:r>
    </w:p>
    <w:p w14:paraId="392D2E67" w14:textId="77777777" w:rsidR="00E516C3" w:rsidRPr="00E516C3" w:rsidRDefault="00E516C3" w:rsidP="00AD61EF">
      <w:pPr>
        <w:spacing w:line="360" w:lineRule="auto"/>
        <w:ind w:left="709" w:right="757"/>
        <w:jc w:val="both"/>
        <w:rPr>
          <w:rFonts w:ascii="Palatino Linotype" w:hAnsi="Palatino Linotype" w:cs="Arial"/>
          <w:i/>
          <w:sz w:val="20"/>
          <w:szCs w:val="20"/>
        </w:rPr>
      </w:pPr>
    </w:p>
    <w:p w14:paraId="1559FAB0" w14:textId="77777777" w:rsidR="00E516C3" w:rsidRPr="00E516C3" w:rsidRDefault="00E516C3" w:rsidP="00AD61EF">
      <w:pPr>
        <w:spacing w:line="360" w:lineRule="auto"/>
        <w:ind w:left="709" w:right="757"/>
        <w:jc w:val="both"/>
        <w:rPr>
          <w:rFonts w:ascii="Palatino Linotype" w:hAnsi="Palatino Linotype" w:cs="Arial"/>
          <w:i/>
          <w:sz w:val="20"/>
          <w:szCs w:val="20"/>
        </w:rPr>
      </w:pPr>
      <w:r w:rsidRPr="00E516C3">
        <w:rPr>
          <w:rFonts w:ascii="Palatino Linotype" w:hAnsi="Palatino Linotype" w:cs="Arial"/>
          <w:b/>
          <w:i/>
          <w:sz w:val="20"/>
          <w:szCs w:val="20"/>
        </w:rPr>
        <w:t>Artículo 20</w:t>
      </w:r>
      <w:r w:rsidRPr="00E516C3">
        <w:rPr>
          <w:rFonts w:ascii="Palatino Linotype" w:hAnsi="Palatino Linotype" w:cs="Arial"/>
          <w:i/>
          <w:sz w:val="20"/>
          <w:szCs w:val="20"/>
        </w:rPr>
        <w:t xml:space="preserve">.- Los expedientes de trámite concluido y los desclasificados se mantendrán íntegros por un periodo de </w:t>
      </w:r>
      <w:r w:rsidRPr="00E516C3">
        <w:rPr>
          <w:rFonts w:ascii="Palatino Linotype" w:hAnsi="Palatino Linotype" w:cs="Arial"/>
          <w:b/>
          <w:i/>
          <w:sz w:val="20"/>
          <w:szCs w:val="20"/>
        </w:rPr>
        <w:t>dos años en los Archivos de Trámite</w:t>
      </w:r>
      <w:r w:rsidRPr="00E516C3">
        <w:rPr>
          <w:rFonts w:ascii="Palatino Linotype" w:hAnsi="Palatino Linotype" w:cs="Arial"/>
          <w:i/>
          <w:sz w:val="20"/>
          <w:szCs w:val="20"/>
        </w:rPr>
        <w:t xml:space="preserve"> de las Unidades Administrativas. Cumplido este plazo se podrá proceder a su selección preliminar y transferencia al Archivo de Concentración. </w:t>
      </w:r>
    </w:p>
    <w:p w14:paraId="37F3008A" w14:textId="77777777" w:rsidR="00E516C3" w:rsidRPr="00E516C3" w:rsidRDefault="00E516C3" w:rsidP="00AD61EF">
      <w:pPr>
        <w:spacing w:line="360" w:lineRule="auto"/>
        <w:ind w:left="709" w:right="757"/>
        <w:jc w:val="both"/>
        <w:rPr>
          <w:rFonts w:ascii="Palatino Linotype" w:hAnsi="Palatino Linotype" w:cs="Arial"/>
          <w:i/>
          <w:sz w:val="20"/>
          <w:szCs w:val="20"/>
        </w:rPr>
      </w:pPr>
    </w:p>
    <w:p w14:paraId="0068765E" w14:textId="65E585FB" w:rsidR="00E516C3" w:rsidRPr="00E516C3" w:rsidRDefault="00E516C3" w:rsidP="00AD61EF">
      <w:pPr>
        <w:spacing w:line="360" w:lineRule="auto"/>
        <w:ind w:left="709" w:right="757"/>
        <w:jc w:val="both"/>
        <w:rPr>
          <w:rFonts w:ascii="Palatino Linotype" w:hAnsi="Palatino Linotype" w:cs="Arial"/>
          <w:i/>
          <w:sz w:val="20"/>
          <w:szCs w:val="20"/>
        </w:rPr>
      </w:pPr>
      <w:r w:rsidRPr="00E516C3">
        <w:rPr>
          <w:rFonts w:ascii="Palatino Linotype" w:hAnsi="Palatino Linotype" w:cs="Arial"/>
          <w:i/>
          <w:sz w:val="20"/>
          <w:szCs w:val="20"/>
        </w:rPr>
        <w:t xml:space="preserve">El período señalado se computará a partir del día siguiente a la fecha del documento con el cual se dé por concluido et asunto que motivó </w:t>
      </w:r>
      <w:r w:rsidR="004B1DA6">
        <w:rPr>
          <w:rFonts w:ascii="Palatino Linotype" w:hAnsi="Palatino Linotype" w:cs="Arial"/>
          <w:i/>
          <w:sz w:val="20"/>
          <w:szCs w:val="20"/>
        </w:rPr>
        <w:t>l</w:t>
      </w:r>
      <w:r w:rsidRPr="00E516C3">
        <w:rPr>
          <w:rFonts w:ascii="Palatino Linotype" w:hAnsi="Palatino Linotype" w:cs="Arial"/>
          <w:i/>
          <w:sz w:val="20"/>
          <w:szCs w:val="20"/>
        </w:rPr>
        <w:t>a integración de los expedientes.</w:t>
      </w:r>
    </w:p>
    <w:p w14:paraId="52A871DE" w14:textId="77777777" w:rsidR="004B1DA6" w:rsidRPr="00E516C3" w:rsidRDefault="004B1DA6" w:rsidP="00AD61EF">
      <w:pPr>
        <w:spacing w:line="360" w:lineRule="auto"/>
        <w:ind w:left="709" w:right="757"/>
        <w:jc w:val="both"/>
        <w:rPr>
          <w:rFonts w:ascii="Palatino Linotype" w:hAnsi="Palatino Linotype" w:cs="Arial"/>
          <w:i/>
          <w:sz w:val="20"/>
          <w:szCs w:val="20"/>
        </w:rPr>
      </w:pPr>
    </w:p>
    <w:p w14:paraId="696DF012" w14:textId="77777777" w:rsidR="00E516C3" w:rsidRPr="00E516C3" w:rsidRDefault="00E516C3" w:rsidP="00AD61EF">
      <w:pPr>
        <w:spacing w:line="360" w:lineRule="auto"/>
        <w:ind w:left="709" w:right="757"/>
        <w:jc w:val="both"/>
        <w:rPr>
          <w:rFonts w:ascii="Palatino Linotype" w:hAnsi="Palatino Linotype" w:cs="Arial"/>
          <w:i/>
          <w:sz w:val="20"/>
          <w:szCs w:val="20"/>
        </w:rPr>
      </w:pPr>
      <w:r w:rsidRPr="00E516C3">
        <w:rPr>
          <w:rFonts w:ascii="Palatino Linotype" w:hAnsi="Palatino Linotype" w:cs="Arial"/>
          <w:b/>
          <w:i/>
          <w:sz w:val="20"/>
          <w:szCs w:val="20"/>
        </w:rPr>
        <w:t>Artículo 27</w:t>
      </w:r>
      <w:r w:rsidRPr="00E516C3">
        <w:rPr>
          <w:rFonts w:ascii="Palatino Linotype" w:hAnsi="Palatino Linotype" w:cs="Arial"/>
          <w:i/>
          <w:sz w:val="20"/>
          <w:szCs w:val="20"/>
        </w:rPr>
        <w:t xml:space="preserve">.- ¡Las Unidades Administrativas al realizar la transferencia de los expedientes de trámite concluido, señalarán en el Inventario correspondiente los plazos de conservación precauciona! de éstos </w:t>
      </w:r>
      <w:r w:rsidRPr="00E516C3">
        <w:rPr>
          <w:rFonts w:ascii="Palatino Linotype" w:hAnsi="Palatino Linotype" w:cs="Arial"/>
          <w:b/>
          <w:i/>
          <w:sz w:val="20"/>
          <w:szCs w:val="20"/>
        </w:rPr>
        <w:t>en el Archivo de Concentración</w:t>
      </w:r>
      <w:r w:rsidRPr="00E516C3">
        <w:rPr>
          <w:rFonts w:ascii="Palatino Linotype" w:hAnsi="Palatino Linotype" w:cs="Arial"/>
          <w:i/>
          <w:sz w:val="20"/>
          <w:szCs w:val="20"/>
        </w:rPr>
        <w:t xml:space="preserve">. ¡Para determinar el plazo de conservación precauciona! deberán considerar el marco legal o administrativo bajo el cual se produjeron o recibieron los documentos y los siguientes periodos: </w:t>
      </w:r>
    </w:p>
    <w:p w14:paraId="399FDA33" w14:textId="77777777" w:rsidR="00E516C3" w:rsidRPr="00E516C3" w:rsidRDefault="00E516C3" w:rsidP="00AD61EF">
      <w:pPr>
        <w:spacing w:line="360" w:lineRule="auto"/>
        <w:ind w:left="709" w:right="757"/>
        <w:jc w:val="both"/>
        <w:rPr>
          <w:rFonts w:ascii="Palatino Linotype" w:hAnsi="Palatino Linotype" w:cs="Arial"/>
          <w:i/>
          <w:sz w:val="20"/>
          <w:szCs w:val="20"/>
        </w:rPr>
      </w:pPr>
    </w:p>
    <w:p w14:paraId="4482B370" w14:textId="77777777" w:rsidR="00E516C3" w:rsidRPr="00E516C3" w:rsidRDefault="00E516C3" w:rsidP="00AD61EF">
      <w:pPr>
        <w:spacing w:line="360" w:lineRule="auto"/>
        <w:ind w:left="709" w:right="757"/>
        <w:jc w:val="both"/>
        <w:rPr>
          <w:rFonts w:ascii="Palatino Linotype" w:hAnsi="Palatino Linotype" w:cs="Arial"/>
          <w:i/>
          <w:sz w:val="20"/>
          <w:szCs w:val="20"/>
        </w:rPr>
      </w:pPr>
      <w:r w:rsidRPr="00E516C3">
        <w:rPr>
          <w:rFonts w:ascii="Palatino Linotype" w:hAnsi="Palatino Linotype" w:cs="Arial"/>
          <w:b/>
          <w:i/>
          <w:sz w:val="20"/>
          <w:szCs w:val="20"/>
        </w:rPr>
        <w:t>I.</w:t>
      </w:r>
      <w:r w:rsidRPr="00E516C3">
        <w:rPr>
          <w:rFonts w:ascii="Palatino Linotype" w:hAnsi="Palatino Linotype" w:cs="Arial"/>
          <w:i/>
          <w:sz w:val="20"/>
          <w:szCs w:val="20"/>
        </w:rPr>
        <w:t xml:space="preserve"> </w:t>
      </w:r>
      <w:r w:rsidRPr="00E516C3">
        <w:rPr>
          <w:rFonts w:ascii="Palatino Linotype" w:hAnsi="Palatino Linotype" w:cs="Arial"/>
          <w:b/>
          <w:i/>
          <w:sz w:val="20"/>
          <w:szCs w:val="20"/>
        </w:rPr>
        <w:t>6 años para expedientes con información administrativa</w:t>
      </w:r>
      <w:r w:rsidRPr="00E516C3">
        <w:rPr>
          <w:rFonts w:ascii="Palatino Linotype" w:hAnsi="Palatino Linotype" w:cs="Arial"/>
          <w:i/>
          <w:sz w:val="20"/>
          <w:szCs w:val="20"/>
        </w:rPr>
        <w:t>;</w:t>
      </w:r>
    </w:p>
    <w:p w14:paraId="652AB284" w14:textId="77777777" w:rsidR="00E516C3" w:rsidRPr="00E516C3" w:rsidRDefault="00E516C3" w:rsidP="00221864">
      <w:pPr>
        <w:spacing w:line="360" w:lineRule="auto"/>
        <w:jc w:val="both"/>
        <w:rPr>
          <w:rFonts w:ascii="Palatino Linotype" w:hAnsi="Palatino Linotype" w:cs="Arial"/>
        </w:rPr>
      </w:pPr>
    </w:p>
    <w:p w14:paraId="320F6232" w14:textId="3151DF7A" w:rsidR="00E516C3" w:rsidRPr="003168DA" w:rsidRDefault="00E516C3" w:rsidP="00221864">
      <w:pPr>
        <w:spacing w:line="360" w:lineRule="auto"/>
        <w:jc w:val="both"/>
        <w:rPr>
          <w:rFonts w:ascii="Palatino Linotype" w:hAnsi="Palatino Linotype" w:cs="Arial"/>
          <w:sz w:val="22"/>
          <w:szCs w:val="22"/>
        </w:rPr>
      </w:pPr>
      <w:r w:rsidRPr="003168DA">
        <w:rPr>
          <w:rFonts w:ascii="Palatino Linotype" w:hAnsi="Palatino Linotype" w:cs="Arial"/>
          <w:sz w:val="22"/>
          <w:szCs w:val="22"/>
        </w:rPr>
        <w:t xml:space="preserve">En este sentido, los documentos requeridos a través de la solicitud de </w:t>
      </w:r>
      <w:r w:rsidR="00F533F3" w:rsidRPr="003168DA">
        <w:rPr>
          <w:rFonts w:ascii="Palatino Linotype" w:hAnsi="Palatino Linotype" w:cs="Arial"/>
          <w:sz w:val="22"/>
          <w:szCs w:val="22"/>
        </w:rPr>
        <w:t xml:space="preserve">acceso a la </w:t>
      </w:r>
      <w:r w:rsidR="00221864" w:rsidRPr="003168DA">
        <w:rPr>
          <w:rFonts w:ascii="Palatino Linotype" w:hAnsi="Palatino Linotype" w:cs="Arial"/>
          <w:sz w:val="22"/>
          <w:szCs w:val="22"/>
        </w:rPr>
        <w:t>información p</w:t>
      </w:r>
      <w:r w:rsidR="00F533F3" w:rsidRPr="003168DA">
        <w:rPr>
          <w:rFonts w:ascii="Palatino Linotype" w:hAnsi="Palatino Linotype" w:cs="Arial"/>
          <w:sz w:val="22"/>
          <w:szCs w:val="22"/>
        </w:rPr>
        <w:t>ública</w:t>
      </w:r>
      <w:r w:rsidRPr="003168DA">
        <w:rPr>
          <w:rFonts w:ascii="Palatino Linotype" w:hAnsi="Palatino Linotype" w:cs="Arial"/>
          <w:sz w:val="22"/>
          <w:szCs w:val="22"/>
        </w:rPr>
        <w:t xml:space="preserve"> según las normas y catálogos de vigencia agotaron su vida administrativa útil y no se consideran de importancia para formar parte del Archivo Histórico, se darán de baja y estarán a disposición de las autoridades competentes para los efectos procedentes; sin embargo, dichos efectos por sí no colman el derecho de acceso a la información de los ciudadanos.</w:t>
      </w:r>
    </w:p>
    <w:p w14:paraId="1336F5C1" w14:textId="77777777" w:rsidR="00E516C3" w:rsidRPr="00E516C3" w:rsidRDefault="00E516C3" w:rsidP="00221864">
      <w:pPr>
        <w:spacing w:line="360" w:lineRule="auto"/>
        <w:jc w:val="both"/>
        <w:rPr>
          <w:rFonts w:ascii="Palatino Linotype" w:hAnsi="Palatino Linotype" w:cs="Arial"/>
        </w:rPr>
      </w:pPr>
    </w:p>
    <w:p w14:paraId="3E7E9B92" w14:textId="08C57396" w:rsidR="00E516C3" w:rsidRPr="003168DA" w:rsidRDefault="00E516C3" w:rsidP="00221864">
      <w:pPr>
        <w:spacing w:line="360" w:lineRule="auto"/>
        <w:jc w:val="both"/>
        <w:rPr>
          <w:rFonts w:ascii="Palatino Linotype" w:hAnsi="Palatino Linotype" w:cs="Arial"/>
          <w:sz w:val="22"/>
          <w:szCs w:val="22"/>
        </w:rPr>
      </w:pPr>
      <w:r w:rsidRPr="003168DA">
        <w:rPr>
          <w:rFonts w:ascii="Palatino Linotype" w:hAnsi="Palatino Linotype" w:cs="Arial"/>
          <w:sz w:val="22"/>
          <w:szCs w:val="22"/>
        </w:rPr>
        <w:t xml:space="preserve">Es decir, ante la negativa de la información dada la baja de los documentos, no se colma con informar o hacer entrega al ciudadano del acta de baja, pues ésta solo hace constancia de la autorización de la baja de los documentos resultantes del proceso de selección preliminar aplicado a los expedientes de trámite concluido, más no así lo dispuesto por el artículo 169 y 170, de la Ley de Transparencia y </w:t>
      </w:r>
      <w:r w:rsidR="00F533F3" w:rsidRPr="003168DA">
        <w:rPr>
          <w:rFonts w:ascii="Palatino Linotype" w:hAnsi="Palatino Linotype" w:cs="Arial"/>
          <w:sz w:val="22"/>
          <w:szCs w:val="22"/>
        </w:rPr>
        <w:t>Acceso a la Información Pública</w:t>
      </w:r>
      <w:r w:rsidRPr="003168DA">
        <w:rPr>
          <w:rFonts w:ascii="Palatino Linotype" w:hAnsi="Palatino Linotype" w:cs="Arial"/>
          <w:sz w:val="22"/>
          <w:szCs w:val="22"/>
        </w:rPr>
        <w:t xml:space="preserve"> del Estado de México y Municipios.</w:t>
      </w:r>
    </w:p>
    <w:p w14:paraId="1A22FB32" w14:textId="77777777" w:rsidR="00E516C3" w:rsidRPr="003168DA" w:rsidRDefault="00E516C3" w:rsidP="00221864">
      <w:pPr>
        <w:spacing w:line="360" w:lineRule="auto"/>
        <w:jc w:val="both"/>
        <w:rPr>
          <w:rFonts w:ascii="Palatino Linotype" w:hAnsi="Palatino Linotype" w:cs="Arial"/>
          <w:sz w:val="22"/>
          <w:szCs w:val="22"/>
        </w:rPr>
      </w:pPr>
    </w:p>
    <w:p w14:paraId="4B0B67C2" w14:textId="77777777" w:rsidR="00E516C3" w:rsidRPr="003168DA" w:rsidRDefault="00E516C3" w:rsidP="00221864">
      <w:pPr>
        <w:spacing w:line="360" w:lineRule="auto"/>
        <w:jc w:val="both"/>
        <w:rPr>
          <w:rFonts w:ascii="Palatino Linotype" w:hAnsi="Palatino Linotype" w:cs="Arial"/>
          <w:sz w:val="22"/>
          <w:szCs w:val="22"/>
        </w:rPr>
      </w:pPr>
      <w:r w:rsidRPr="003168DA">
        <w:rPr>
          <w:rFonts w:ascii="Palatino Linotype" w:hAnsi="Palatino Linotype" w:cs="Arial"/>
          <w:sz w:val="22"/>
          <w:szCs w:val="22"/>
        </w:rPr>
        <w:t>Lo anterior es así, ya que el Acuerdo de Inexistencia por parte del Comité de Transparencia da certeza de las motivos o razones por las cuales no se localizó la información y del proceso realizado para localizar la misma, acreditando en un primer momento la búsqueda exhaustiva y razonable de la información en las áreas administrativas, lo cual se acredita con los oficios emitidos y sus respuestas por parte de los Servidores Públicos de las áreas correspondientes.</w:t>
      </w:r>
    </w:p>
    <w:p w14:paraId="0F9858F8" w14:textId="77777777" w:rsidR="00E516C3" w:rsidRPr="003168DA" w:rsidRDefault="00E516C3" w:rsidP="00221864">
      <w:pPr>
        <w:spacing w:line="360" w:lineRule="auto"/>
        <w:jc w:val="both"/>
        <w:rPr>
          <w:rFonts w:ascii="Palatino Linotype" w:hAnsi="Palatino Linotype" w:cs="Arial"/>
          <w:sz w:val="22"/>
          <w:szCs w:val="22"/>
        </w:rPr>
      </w:pPr>
    </w:p>
    <w:p w14:paraId="6299CD40" w14:textId="23FD7222" w:rsidR="00E516C3" w:rsidRPr="003168DA" w:rsidRDefault="00E516C3" w:rsidP="00221864">
      <w:pPr>
        <w:spacing w:line="360" w:lineRule="auto"/>
        <w:jc w:val="both"/>
        <w:rPr>
          <w:rFonts w:ascii="Palatino Linotype" w:hAnsi="Palatino Linotype" w:cs="Arial"/>
          <w:sz w:val="22"/>
          <w:szCs w:val="22"/>
        </w:rPr>
      </w:pPr>
      <w:r w:rsidRPr="003168DA">
        <w:rPr>
          <w:rFonts w:ascii="Palatino Linotype" w:hAnsi="Palatino Linotype" w:cs="Arial"/>
          <w:sz w:val="22"/>
          <w:szCs w:val="22"/>
        </w:rPr>
        <w:t xml:space="preserve">Por lo que, en caso de que la información no obre en los archivos del </w:t>
      </w:r>
      <w:r w:rsidRPr="003168DA">
        <w:rPr>
          <w:rFonts w:ascii="Palatino Linotype" w:hAnsi="Palatino Linotype" w:cs="Arial"/>
          <w:b/>
          <w:sz w:val="22"/>
          <w:szCs w:val="22"/>
        </w:rPr>
        <w:t>SUJETO OBLIGADO</w:t>
      </w:r>
      <w:r w:rsidRPr="003168DA">
        <w:rPr>
          <w:rFonts w:ascii="Palatino Linotype" w:hAnsi="Palatino Linotype" w:cs="Arial"/>
          <w:sz w:val="22"/>
          <w:szCs w:val="22"/>
        </w:rPr>
        <w:t xml:space="preserve"> se acredita el destino de la misma, y para el caso que nos ocupa determinar si ésta se procedió a su envío al archivo histórico o a su baja permanente; documentando las circunstancias de tiempo, modo y lugar que precedieron a la inexistencia de la información, situación que se sustenta con la referencia e integración de la debida Acta de Baja Documental, ello a fin de otorgar certeza jurídica al particular en términos de la fracción I del diverso 9 de la Ley de Transparencia y </w:t>
      </w:r>
      <w:r w:rsidR="00F533F3" w:rsidRPr="003168DA">
        <w:rPr>
          <w:rFonts w:ascii="Palatino Linotype" w:hAnsi="Palatino Linotype" w:cs="Arial"/>
          <w:sz w:val="22"/>
          <w:szCs w:val="22"/>
        </w:rPr>
        <w:t>Acceso a la Información Pública</w:t>
      </w:r>
      <w:r w:rsidRPr="003168DA">
        <w:rPr>
          <w:rFonts w:ascii="Palatino Linotype" w:hAnsi="Palatino Linotype" w:cs="Arial"/>
          <w:sz w:val="22"/>
          <w:szCs w:val="22"/>
        </w:rPr>
        <w:t xml:space="preserve"> del Estado de México y Municipios.</w:t>
      </w:r>
    </w:p>
    <w:p w14:paraId="41640211" w14:textId="77777777" w:rsidR="00E516C3" w:rsidRPr="00E516C3" w:rsidRDefault="00E516C3" w:rsidP="00221864">
      <w:pPr>
        <w:spacing w:line="360" w:lineRule="auto"/>
        <w:jc w:val="both"/>
        <w:rPr>
          <w:rFonts w:ascii="Palatino Linotype" w:hAnsi="Palatino Linotype" w:cs="Arial"/>
        </w:rPr>
      </w:pPr>
    </w:p>
    <w:p w14:paraId="34B01CA5" w14:textId="2DC36B2C" w:rsidR="00E516C3" w:rsidRDefault="00E516C3" w:rsidP="00221864">
      <w:pPr>
        <w:spacing w:line="360" w:lineRule="auto"/>
        <w:jc w:val="both"/>
        <w:rPr>
          <w:rFonts w:ascii="Palatino Linotype" w:hAnsi="Palatino Linotype" w:cs="Arial"/>
          <w:sz w:val="22"/>
          <w:szCs w:val="22"/>
        </w:rPr>
      </w:pPr>
      <w:r w:rsidRPr="003168DA">
        <w:rPr>
          <w:rFonts w:ascii="Palatino Linotype" w:hAnsi="Palatino Linotype" w:cs="Arial"/>
          <w:sz w:val="22"/>
          <w:szCs w:val="22"/>
        </w:rPr>
        <w:t>Sirve de apoyo a lo anterior por analogía el criterio 14-09 que emite el Instituto Nacional de Transparencia, Acceso a la Información y Protección de Datos Personales que a la letra dice:</w:t>
      </w:r>
    </w:p>
    <w:p w14:paraId="3CF35458" w14:textId="77777777" w:rsidR="003168DA" w:rsidRPr="003168DA" w:rsidRDefault="003168DA" w:rsidP="00221864">
      <w:pPr>
        <w:spacing w:line="360" w:lineRule="auto"/>
        <w:jc w:val="both"/>
        <w:rPr>
          <w:rFonts w:ascii="Palatino Linotype" w:hAnsi="Palatino Linotype" w:cs="Arial"/>
          <w:sz w:val="22"/>
          <w:szCs w:val="22"/>
        </w:rPr>
      </w:pPr>
    </w:p>
    <w:p w14:paraId="505C06EF" w14:textId="035247A8" w:rsidR="00E516C3" w:rsidRPr="002F3F03" w:rsidRDefault="00E516C3" w:rsidP="00221864">
      <w:pPr>
        <w:spacing w:line="360" w:lineRule="auto"/>
        <w:ind w:left="709" w:right="757"/>
        <w:jc w:val="both"/>
        <w:rPr>
          <w:rFonts w:ascii="Palatino Linotype" w:hAnsi="Palatino Linotype" w:cs="Arial"/>
          <w:i/>
          <w:sz w:val="20"/>
          <w:szCs w:val="20"/>
        </w:rPr>
      </w:pPr>
      <w:r w:rsidRPr="002F3F03">
        <w:rPr>
          <w:rFonts w:ascii="Palatino Linotype" w:hAnsi="Palatino Linotype" w:cs="Arial"/>
          <w:b/>
          <w:i/>
          <w:sz w:val="20"/>
          <w:szCs w:val="20"/>
        </w:rPr>
        <w:t>Baja documental</w:t>
      </w:r>
      <w:r w:rsidRPr="002F3F03">
        <w:rPr>
          <w:rFonts w:ascii="Palatino Linotype" w:hAnsi="Palatino Linotype" w:cs="Arial"/>
          <w:i/>
          <w:sz w:val="20"/>
          <w:szCs w:val="20"/>
        </w:rPr>
        <w:t xml:space="preserve">. Las dependencias y entidades deben proporcionar a los particulares el documento que acredite dicha situación. De conformidad con lo previsto en los artículos 24 y 46 de la Ley Federal de Transparencia y </w:t>
      </w:r>
      <w:r w:rsidR="00F533F3">
        <w:rPr>
          <w:rFonts w:ascii="Palatino Linotype" w:hAnsi="Palatino Linotype" w:cs="Arial"/>
          <w:i/>
          <w:sz w:val="20"/>
          <w:szCs w:val="20"/>
        </w:rPr>
        <w:t>Acceso a la Información Pública</w:t>
      </w:r>
      <w:r w:rsidRPr="002F3F03">
        <w:rPr>
          <w:rFonts w:ascii="Palatino Linotype" w:hAnsi="Palatino Linotype" w:cs="Arial"/>
          <w:i/>
          <w:sz w:val="20"/>
          <w:szCs w:val="20"/>
        </w:rPr>
        <w:t xml:space="preserve"> Gubernamental 70, fracción V y 78, fracción III de su Reglamento, las dependencias y entidades deberán expedir una resolución que comunique a los solicitantes la inexistencia de la información requerida, en caso de que ésta no sea localizada en los archivos de la dependencia o entidad de que se trate después de una búsqueda exhaustiva. En este supuesto, las dependencias y entidades deberán acompañar a la resolución por la que se confirma la declaración de inexistencia, el acta de baja documental, esto es, el documento mediante la cual se acredita la legal destrucción de la información solicitada, en todos aquellos casos en los que la normatividad en materia archivística prevea que la misma debe existir.</w:t>
      </w:r>
    </w:p>
    <w:p w14:paraId="6A3B84B2" w14:textId="2CA51791" w:rsidR="00DF252E" w:rsidRDefault="00DF252E" w:rsidP="00221864">
      <w:pPr>
        <w:spacing w:line="360" w:lineRule="auto"/>
        <w:jc w:val="both"/>
        <w:rPr>
          <w:rFonts w:ascii="Palatino Linotype" w:eastAsia="Batang" w:hAnsi="Palatino Linotype" w:cs="Tahoma"/>
          <w:bCs/>
          <w:sz w:val="22"/>
          <w:szCs w:val="22"/>
          <w:lang w:val="es-ES"/>
        </w:rPr>
      </w:pPr>
    </w:p>
    <w:p w14:paraId="0984E8C7" w14:textId="73D8B1DC" w:rsidR="002F49C0" w:rsidRDefault="002F49C0" w:rsidP="002F49C0">
      <w:pPr>
        <w:pBdr>
          <w:top w:val="nil"/>
          <w:left w:val="nil"/>
          <w:bottom w:val="nil"/>
          <w:right w:val="nil"/>
          <w:between w:val="nil"/>
        </w:pBdr>
        <w:spacing w:line="360" w:lineRule="auto"/>
        <w:jc w:val="both"/>
        <w:rPr>
          <w:rFonts w:ascii="Palatino Linotype" w:eastAsia="Palatino Linotype" w:hAnsi="Palatino Linotype" w:cs="Palatino Linotype"/>
          <w:bCs/>
          <w:color w:val="000000"/>
          <w:sz w:val="22"/>
          <w:szCs w:val="22"/>
        </w:rPr>
      </w:pPr>
      <w:r>
        <w:rPr>
          <w:rFonts w:ascii="Palatino Linotype" w:eastAsia="Batang" w:hAnsi="Palatino Linotype" w:cs="Tahoma"/>
          <w:bCs/>
          <w:sz w:val="22"/>
          <w:szCs w:val="22"/>
          <w:lang w:val="es-ES"/>
        </w:rPr>
        <w:t>Ahora bien</w:t>
      </w:r>
      <w:r w:rsidRPr="004B1DA6">
        <w:rPr>
          <w:rFonts w:ascii="Palatino Linotype" w:eastAsia="Batang" w:hAnsi="Palatino Linotype" w:cs="Tahoma"/>
          <w:bCs/>
          <w:sz w:val="22"/>
          <w:szCs w:val="22"/>
          <w:lang w:val="es-ES"/>
        </w:rPr>
        <w:t xml:space="preserve">, </w:t>
      </w:r>
      <w:r w:rsidRPr="00AD61EF">
        <w:rPr>
          <w:rFonts w:ascii="Palatino Linotype" w:eastAsia="Palatino Linotype" w:hAnsi="Palatino Linotype" w:cs="Palatino Linotype"/>
          <w:bCs/>
          <w:color w:val="000000"/>
          <w:sz w:val="22"/>
          <w:szCs w:val="22"/>
        </w:rPr>
        <w:t>en respuesta se indicó que se trataba de expedientes en trámite, pero es evidente que la información al haber sido solicitada desde 2012, es evidente que deben existir quejas y denuncias cuyo expediente haya quedado firme o que se hayan archivadas por falta de elementos, información que es pública por no actualizar ningún supuesto de reserva y por ende procede su entrega en versión pública en la que se eliminen datos y/o documentos confidenciales.</w:t>
      </w:r>
    </w:p>
    <w:p w14:paraId="1D762159" w14:textId="18C61DD8" w:rsidR="002F49C0" w:rsidRDefault="002F49C0" w:rsidP="002F49C0">
      <w:pPr>
        <w:pBdr>
          <w:top w:val="nil"/>
          <w:left w:val="nil"/>
          <w:bottom w:val="nil"/>
          <w:right w:val="nil"/>
          <w:between w:val="nil"/>
        </w:pBdr>
        <w:spacing w:line="360" w:lineRule="auto"/>
        <w:jc w:val="both"/>
        <w:rPr>
          <w:rFonts w:ascii="Palatino Linotype" w:eastAsia="Palatino Linotype" w:hAnsi="Palatino Linotype" w:cs="Palatino Linotype"/>
          <w:bCs/>
          <w:color w:val="000000"/>
          <w:sz w:val="22"/>
          <w:szCs w:val="22"/>
        </w:rPr>
      </w:pPr>
    </w:p>
    <w:p w14:paraId="2F3D4230" w14:textId="1B9B88A9" w:rsidR="00BD7643" w:rsidRDefault="002F49C0" w:rsidP="002F49C0">
      <w:pPr>
        <w:pBdr>
          <w:top w:val="nil"/>
          <w:left w:val="nil"/>
          <w:bottom w:val="nil"/>
          <w:right w:val="nil"/>
          <w:between w:val="nil"/>
        </w:pBdr>
        <w:spacing w:line="360" w:lineRule="auto"/>
        <w:jc w:val="both"/>
        <w:rPr>
          <w:rFonts w:ascii="Palatino Linotype" w:eastAsia="Palatino Linotype" w:hAnsi="Palatino Linotype" w:cs="Palatino Linotype"/>
          <w:bCs/>
          <w:color w:val="000000"/>
          <w:sz w:val="22"/>
          <w:szCs w:val="22"/>
        </w:rPr>
      </w:pPr>
      <w:r w:rsidRPr="00AD61EF">
        <w:rPr>
          <w:rFonts w:ascii="Palatino Linotype" w:eastAsia="Palatino Linotype" w:hAnsi="Palatino Linotype" w:cs="Palatino Linotype"/>
          <w:bCs/>
          <w:color w:val="000000"/>
          <w:sz w:val="22"/>
          <w:szCs w:val="22"/>
        </w:rPr>
        <w:t xml:space="preserve">Por </w:t>
      </w:r>
      <w:r w:rsidR="00BD7643" w:rsidRPr="00AD61EF">
        <w:rPr>
          <w:rFonts w:ascii="Palatino Linotype" w:eastAsia="Palatino Linotype" w:hAnsi="Palatino Linotype" w:cs="Palatino Linotype"/>
          <w:bCs/>
          <w:color w:val="000000"/>
          <w:sz w:val="22"/>
          <w:szCs w:val="22"/>
        </w:rPr>
        <w:t>l</w:t>
      </w:r>
      <w:r w:rsidRPr="00AD61EF">
        <w:rPr>
          <w:rFonts w:ascii="Palatino Linotype" w:eastAsia="Palatino Linotype" w:hAnsi="Palatino Linotype" w:cs="Palatino Linotype"/>
          <w:bCs/>
          <w:color w:val="000000"/>
          <w:sz w:val="22"/>
          <w:szCs w:val="22"/>
        </w:rPr>
        <w:t>o que hace a l</w:t>
      </w:r>
      <w:r w:rsidR="007A1783" w:rsidRPr="00AD61EF">
        <w:rPr>
          <w:rFonts w:ascii="Palatino Linotype" w:eastAsia="Palatino Linotype" w:hAnsi="Palatino Linotype" w:cs="Palatino Linotype"/>
          <w:bCs/>
          <w:color w:val="000000"/>
          <w:sz w:val="22"/>
          <w:szCs w:val="22"/>
        </w:rPr>
        <w:t>a</w:t>
      </w:r>
      <w:r w:rsidRPr="00AD61EF">
        <w:rPr>
          <w:rFonts w:ascii="Palatino Linotype" w:eastAsia="Palatino Linotype" w:hAnsi="Palatino Linotype" w:cs="Palatino Linotype"/>
          <w:bCs/>
          <w:color w:val="000000"/>
          <w:sz w:val="22"/>
          <w:szCs w:val="22"/>
        </w:rPr>
        <w:t xml:space="preserve">s </w:t>
      </w:r>
      <w:r w:rsidR="007A1783" w:rsidRPr="00AD61EF">
        <w:rPr>
          <w:rFonts w:ascii="Palatino Linotype" w:eastAsia="Palatino Linotype" w:hAnsi="Palatino Linotype" w:cs="Palatino Linotype"/>
          <w:bCs/>
          <w:color w:val="000000"/>
          <w:sz w:val="22"/>
          <w:szCs w:val="22"/>
        </w:rPr>
        <w:t>quejas y denuncias en trámite, porque están en etapa de investigación o porque se inició procedimiento administrativo</w:t>
      </w:r>
      <w:r w:rsidR="007A1783">
        <w:rPr>
          <w:rFonts w:ascii="Palatino Linotype" w:eastAsia="Palatino Linotype" w:hAnsi="Palatino Linotype" w:cs="Palatino Linotype"/>
          <w:bCs/>
          <w:color w:val="000000"/>
          <w:sz w:val="22"/>
          <w:szCs w:val="22"/>
        </w:rPr>
        <w:t>, se deberá estar a lo siguiente:</w:t>
      </w:r>
    </w:p>
    <w:p w14:paraId="7B829EA7" w14:textId="77777777" w:rsidR="00BD7643" w:rsidRDefault="00BD7643" w:rsidP="002F49C0">
      <w:pPr>
        <w:pBdr>
          <w:top w:val="nil"/>
          <w:left w:val="nil"/>
          <w:bottom w:val="nil"/>
          <w:right w:val="nil"/>
          <w:between w:val="nil"/>
        </w:pBdr>
        <w:spacing w:line="360" w:lineRule="auto"/>
        <w:jc w:val="both"/>
        <w:rPr>
          <w:rFonts w:ascii="Palatino Linotype" w:eastAsia="Palatino Linotype" w:hAnsi="Palatino Linotype" w:cs="Palatino Linotype"/>
          <w:bCs/>
          <w:color w:val="000000"/>
          <w:sz w:val="22"/>
          <w:szCs w:val="22"/>
        </w:rPr>
      </w:pPr>
    </w:p>
    <w:p w14:paraId="1184FB5E" w14:textId="5DF79A3F" w:rsidR="00BD7643" w:rsidRPr="004A24D4" w:rsidRDefault="002F49C0" w:rsidP="00BD7643">
      <w:pPr>
        <w:spacing w:line="360" w:lineRule="auto"/>
        <w:jc w:val="both"/>
        <w:rPr>
          <w:rFonts w:ascii="Palatino Linotype" w:hAnsi="Palatino Linotype" w:cs="Tahoma"/>
          <w:b/>
          <w:color w:val="0D0D0D" w:themeColor="text1" w:themeTint="F2"/>
          <w:sz w:val="22"/>
          <w:szCs w:val="22"/>
        </w:rPr>
      </w:pPr>
      <w:r>
        <w:rPr>
          <w:rFonts w:ascii="Palatino Linotype" w:eastAsia="Palatino Linotype" w:hAnsi="Palatino Linotype" w:cs="Palatino Linotype"/>
          <w:bCs/>
          <w:color w:val="000000"/>
          <w:sz w:val="22"/>
          <w:szCs w:val="22"/>
        </w:rPr>
        <w:t xml:space="preserve"> </w:t>
      </w:r>
      <w:r w:rsidR="00BD7643">
        <w:rPr>
          <w:rFonts w:ascii="Palatino Linotype" w:hAnsi="Palatino Linotype" w:cs="Tahoma"/>
          <w:color w:val="0D0D0D" w:themeColor="text1" w:themeTint="F2"/>
          <w:sz w:val="22"/>
          <w:szCs w:val="22"/>
        </w:rPr>
        <w:t>C</w:t>
      </w:r>
      <w:r w:rsidR="00BD7643" w:rsidRPr="004A24D4">
        <w:rPr>
          <w:rFonts w:ascii="Palatino Linotype" w:hAnsi="Palatino Linotype" w:cs="Tahoma"/>
          <w:color w:val="0D0D0D" w:themeColor="text1" w:themeTint="F2"/>
          <w:sz w:val="22"/>
          <w:szCs w:val="22"/>
        </w:rPr>
        <w:t xml:space="preserve">onforme al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00BD7643" w:rsidRPr="004A24D4">
        <w:rPr>
          <w:rFonts w:ascii="Palatino Linotype" w:hAnsi="Palatino Linotype" w:cs="Tahoma"/>
          <w:b/>
          <w:color w:val="0D0D0D" w:themeColor="text1" w:themeTint="F2"/>
          <w:sz w:val="22"/>
          <w:szCs w:val="22"/>
        </w:rPr>
        <w:t>análisis caso por caso.</w:t>
      </w:r>
    </w:p>
    <w:p w14:paraId="35ABF661" w14:textId="77777777" w:rsidR="00BD7643" w:rsidRPr="004A24D4" w:rsidRDefault="00BD7643" w:rsidP="00BD7643">
      <w:pPr>
        <w:spacing w:line="360" w:lineRule="auto"/>
        <w:jc w:val="both"/>
        <w:rPr>
          <w:rFonts w:ascii="Palatino Linotype" w:hAnsi="Palatino Linotype" w:cs="Tahoma"/>
          <w:color w:val="0D0D0D" w:themeColor="text1" w:themeTint="F2"/>
          <w:sz w:val="22"/>
          <w:szCs w:val="22"/>
        </w:rPr>
      </w:pPr>
      <w:r w:rsidRPr="004A24D4">
        <w:rPr>
          <w:rFonts w:ascii="Palatino Linotype" w:hAnsi="Palatino Linotype" w:cs="Tahoma"/>
          <w:color w:val="0D0D0D" w:themeColor="text1" w:themeTint="F2"/>
          <w:sz w:val="22"/>
          <w:szCs w:val="22"/>
        </w:rPr>
        <w:t xml:space="preserve">Además, el artículo 131 de la Ley referida, así como el Quinto de los Lineamientos Generales, establecen que los sujetos obligados </w:t>
      </w:r>
      <w:r w:rsidRPr="004A24D4">
        <w:rPr>
          <w:rFonts w:ascii="Palatino Linotype" w:hAnsi="Palatino Linotype" w:cs="Tahoma"/>
          <w:b/>
          <w:color w:val="0D0D0D" w:themeColor="text1" w:themeTint="F2"/>
          <w:sz w:val="22"/>
          <w:szCs w:val="22"/>
        </w:rPr>
        <w:t>deberán fundar y motivar</w:t>
      </w:r>
      <w:r w:rsidRPr="004A24D4">
        <w:rPr>
          <w:rFonts w:ascii="Palatino Linotype" w:hAnsi="Palatino Linotype" w:cs="Tahoma"/>
          <w:color w:val="0D0D0D" w:themeColor="text1" w:themeTint="F2"/>
          <w:sz w:val="22"/>
          <w:szCs w:val="22"/>
        </w:rPr>
        <w:t xml:space="preserve"> debidamente la clasificación de la información.</w:t>
      </w:r>
    </w:p>
    <w:p w14:paraId="2117A7AE" w14:textId="77777777" w:rsidR="00BD7643" w:rsidRPr="004A24D4" w:rsidRDefault="00BD7643" w:rsidP="00BD7643">
      <w:pPr>
        <w:spacing w:line="360" w:lineRule="auto"/>
        <w:jc w:val="both"/>
        <w:rPr>
          <w:rFonts w:ascii="Palatino Linotype" w:hAnsi="Palatino Linotype" w:cs="Tahoma"/>
          <w:b/>
          <w:color w:val="0D0D0D" w:themeColor="text1" w:themeTint="F2"/>
          <w:sz w:val="22"/>
          <w:szCs w:val="22"/>
        </w:rPr>
      </w:pPr>
    </w:p>
    <w:p w14:paraId="238879C8" w14:textId="77777777" w:rsidR="00BD7643" w:rsidRPr="004A24D4" w:rsidRDefault="00BD7643" w:rsidP="00BD7643">
      <w:pPr>
        <w:spacing w:line="360" w:lineRule="auto"/>
        <w:jc w:val="both"/>
        <w:rPr>
          <w:rFonts w:ascii="Palatino Linotype" w:hAnsi="Palatino Linotype" w:cs="Tahoma"/>
          <w:bCs/>
          <w:iCs/>
          <w:color w:val="0D0D0D" w:themeColor="text1" w:themeTint="F2"/>
          <w:sz w:val="22"/>
          <w:szCs w:val="22"/>
        </w:rPr>
      </w:pPr>
      <w:r w:rsidRPr="004A24D4">
        <w:rPr>
          <w:rFonts w:ascii="Palatino Linotype" w:hAnsi="Palatino Linotype" w:cs="Tahoma"/>
          <w:color w:val="0D0D0D" w:themeColor="text1" w:themeTint="F2"/>
          <w:sz w:val="22"/>
          <w:szCs w:val="22"/>
        </w:rPr>
        <w:t>Al respecto, e</w:t>
      </w:r>
      <w:r w:rsidRPr="004A24D4">
        <w:rPr>
          <w:rFonts w:ascii="Palatino Linotype" w:hAnsi="Palatino Linotype" w:cs="Tahoma"/>
          <w:bCs/>
          <w:iCs/>
          <w:color w:val="0D0D0D" w:themeColor="text1" w:themeTint="F2"/>
          <w:sz w:val="22"/>
          <w:szCs w:val="22"/>
        </w:rPr>
        <w:t>l Octavo de los Lineamientos Generales, precisa lo siguiente:</w:t>
      </w:r>
    </w:p>
    <w:p w14:paraId="45B4B0A4" w14:textId="77777777" w:rsidR="00BD7643" w:rsidRPr="004A24D4" w:rsidRDefault="00BD7643" w:rsidP="00BD7643">
      <w:pPr>
        <w:spacing w:line="360" w:lineRule="auto"/>
        <w:jc w:val="both"/>
        <w:rPr>
          <w:rFonts w:ascii="Palatino Linotype" w:hAnsi="Palatino Linotype" w:cs="Tahoma"/>
          <w:bCs/>
          <w:iCs/>
          <w:color w:val="0D0D0D" w:themeColor="text1" w:themeTint="F2"/>
          <w:sz w:val="22"/>
          <w:szCs w:val="22"/>
        </w:rPr>
      </w:pPr>
    </w:p>
    <w:p w14:paraId="3FE96C41" w14:textId="77777777" w:rsidR="00BD7643" w:rsidRPr="004A24D4" w:rsidRDefault="00BD7643" w:rsidP="00BD7643">
      <w:pPr>
        <w:numPr>
          <w:ilvl w:val="0"/>
          <w:numId w:val="13"/>
        </w:numPr>
        <w:spacing w:line="360" w:lineRule="auto"/>
        <w:jc w:val="both"/>
        <w:rPr>
          <w:rFonts w:ascii="Palatino Linotype" w:hAnsi="Palatino Linotype" w:cs="Tahoma"/>
          <w:bCs/>
          <w:color w:val="0D0D0D" w:themeColor="text1" w:themeTint="F2"/>
          <w:sz w:val="22"/>
          <w:szCs w:val="22"/>
        </w:rPr>
      </w:pPr>
      <w:r w:rsidRPr="004A24D4">
        <w:rPr>
          <w:rFonts w:ascii="Palatino Linotype" w:hAnsi="Palatino Linotype" w:cs="Tahoma"/>
          <w:b/>
          <w:bCs/>
          <w:color w:val="0D0D0D" w:themeColor="text1" w:themeTint="F2"/>
          <w:sz w:val="22"/>
          <w:szCs w:val="22"/>
        </w:rPr>
        <w:t>Para fundar la clasificación</w:t>
      </w:r>
      <w:r w:rsidRPr="004A24D4">
        <w:rPr>
          <w:rFonts w:ascii="Palatino Linotype" w:hAnsi="Palatino Linotype" w:cs="Tahoma"/>
          <w:bCs/>
          <w:color w:val="0D0D0D" w:themeColor="text1" w:themeTint="F2"/>
          <w:sz w:val="22"/>
          <w:szCs w:val="22"/>
        </w:rPr>
        <w:t xml:space="preserve"> de la información se deberán señalar el artículo, fracción, inciso, párrafo o numeral de la Ley aplicable;</w:t>
      </w:r>
    </w:p>
    <w:p w14:paraId="78EAC9EF" w14:textId="77777777" w:rsidR="00BD7643" w:rsidRPr="004A24D4" w:rsidRDefault="00BD7643" w:rsidP="00BD7643">
      <w:pPr>
        <w:spacing w:line="360" w:lineRule="auto"/>
        <w:jc w:val="both"/>
        <w:rPr>
          <w:rFonts w:ascii="Palatino Linotype" w:hAnsi="Palatino Linotype" w:cs="Tahoma"/>
          <w:bCs/>
          <w:color w:val="0D0D0D" w:themeColor="text1" w:themeTint="F2"/>
          <w:sz w:val="22"/>
          <w:szCs w:val="22"/>
        </w:rPr>
      </w:pPr>
    </w:p>
    <w:p w14:paraId="6251CB3C" w14:textId="77777777" w:rsidR="00BD7643" w:rsidRPr="004A24D4" w:rsidRDefault="00BD7643" w:rsidP="00BD7643">
      <w:pPr>
        <w:numPr>
          <w:ilvl w:val="0"/>
          <w:numId w:val="13"/>
        </w:numPr>
        <w:spacing w:line="360" w:lineRule="auto"/>
        <w:jc w:val="both"/>
        <w:rPr>
          <w:rFonts w:ascii="Palatino Linotype" w:hAnsi="Palatino Linotype" w:cs="Tahoma"/>
          <w:bCs/>
          <w:color w:val="0D0D0D" w:themeColor="text1" w:themeTint="F2"/>
          <w:sz w:val="22"/>
          <w:szCs w:val="22"/>
        </w:rPr>
      </w:pPr>
      <w:r w:rsidRPr="004A24D4">
        <w:rPr>
          <w:rFonts w:ascii="Palatino Linotype" w:hAnsi="Palatino Linotype" w:cs="Tahoma"/>
          <w:b/>
          <w:bCs/>
          <w:color w:val="0D0D0D" w:themeColor="text1" w:themeTint="F2"/>
          <w:sz w:val="22"/>
          <w:szCs w:val="22"/>
        </w:rPr>
        <w:t>Para motivar la clasificación</w:t>
      </w:r>
      <w:r w:rsidRPr="004A24D4">
        <w:rPr>
          <w:rFonts w:ascii="Palatino Linotype" w:hAnsi="Palatino Linotype" w:cs="Tahoma"/>
          <w:bCs/>
          <w:color w:val="0D0D0D" w:themeColor="text1" w:themeTint="F2"/>
          <w:sz w:val="22"/>
          <w:szCs w:val="22"/>
        </w:rPr>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14:paraId="76EEAEE9" w14:textId="77777777" w:rsidR="00BD7643" w:rsidRPr="004A24D4" w:rsidRDefault="00BD7643" w:rsidP="00BD7643">
      <w:pPr>
        <w:pStyle w:val="Prrafodelista"/>
        <w:spacing w:line="360" w:lineRule="auto"/>
        <w:rPr>
          <w:rFonts w:ascii="Palatino Linotype" w:hAnsi="Palatino Linotype" w:cs="Tahoma"/>
          <w:bCs/>
          <w:color w:val="0D0D0D" w:themeColor="text1" w:themeTint="F2"/>
          <w:szCs w:val="22"/>
        </w:rPr>
      </w:pPr>
    </w:p>
    <w:p w14:paraId="3DB912FC" w14:textId="77777777" w:rsidR="00BD7643" w:rsidRPr="004A24D4" w:rsidRDefault="00BD7643" w:rsidP="00BD7643">
      <w:pPr>
        <w:spacing w:line="360" w:lineRule="auto"/>
        <w:jc w:val="both"/>
        <w:rPr>
          <w:rFonts w:ascii="Palatino Linotype" w:hAnsi="Palatino Linotype" w:cs="Tahoma"/>
          <w:color w:val="0D0D0D" w:themeColor="text1" w:themeTint="F2"/>
          <w:sz w:val="22"/>
          <w:szCs w:val="22"/>
        </w:rPr>
      </w:pPr>
      <w:r w:rsidRPr="004A24D4">
        <w:rPr>
          <w:rFonts w:ascii="Palatino Linotype" w:hAnsi="Palatino Linotype" w:cs="Tahoma"/>
          <w:color w:val="0D0D0D" w:themeColor="text1" w:themeTint="F2"/>
          <w:sz w:val="22"/>
          <w:szCs w:val="22"/>
        </w:rPr>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la Tesis aislada número I. 4o. P. 56 P, Octava Época, publicada en el Semanario Judicial de la Federación, Tomo XIV, noviembre de mil novecientos noventa y cuatro, (p. 450), que establece lo siguiente:</w:t>
      </w:r>
    </w:p>
    <w:p w14:paraId="001A2E95" w14:textId="77777777" w:rsidR="00BD7643" w:rsidRPr="004A24D4" w:rsidRDefault="00BD7643" w:rsidP="00BD7643">
      <w:pPr>
        <w:spacing w:line="360" w:lineRule="auto"/>
        <w:jc w:val="both"/>
        <w:rPr>
          <w:rFonts w:ascii="Palatino Linotype" w:hAnsi="Palatino Linotype" w:cs="Tahoma"/>
          <w:color w:val="0D0D0D" w:themeColor="text1" w:themeTint="F2"/>
          <w:sz w:val="22"/>
          <w:szCs w:val="22"/>
        </w:rPr>
      </w:pPr>
    </w:p>
    <w:p w14:paraId="0779C63A" w14:textId="77777777" w:rsidR="00BD7643" w:rsidRPr="004A24D4" w:rsidRDefault="00BD7643" w:rsidP="00BD7643">
      <w:pPr>
        <w:spacing w:line="360" w:lineRule="auto"/>
        <w:ind w:left="567" w:right="567"/>
        <w:jc w:val="both"/>
        <w:rPr>
          <w:rFonts w:ascii="Palatino Linotype" w:hAnsi="Palatino Linotype" w:cs="Tahoma"/>
          <w:i/>
          <w:color w:val="0D0D0D" w:themeColor="text1" w:themeTint="F2"/>
        </w:rPr>
      </w:pPr>
      <w:r w:rsidRPr="004A24D4">
        <w:rPr>
          <w:rFonts w:ascii="Palatino Linotype" w:hAnsi="Palatino Linotype" w:cs="Tahoma"/>
          <w:b/>
          <w:i/>
          <w:color w:val="0D0D0D" w:themeColor="text1" w:themeTint="F2"/>
        </w:rPr>
        <w:t xml:space="preserve">“FUNDAMENTACION Y MOTIVACION, CONCEPTO DE. </w:t>
      </w:r>
      <w:r w:rsidRPr="004A24D4">
        <w:rPr>
          <w:rFonts w:ascii="Palatino Linotype" w:hAnsi="Palatino Linotype" w:cs="Tahoma"/>
          <w:i/>
          <w:color w:val="0D0D0D" w:themeColor="text1" w:themeTint="F2"/>
        </w:rPr>
        <w:t>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14:paraId="65B6461C" w14:textId="77777777" w:rsidR="00BD7643" w:rsidRPr="004A24D4" w:rsidRDefault="00BD7643" w:rsidP="00BD7643">
      <w:pPr>
        <w:spacing w:line="360" w:lineRule="auto"/>
        <w:jc w:val="both"/>
        <w:rPr>
          <w:rFonts w:ascii="Palatino Linotype" w:hAnsi="Palatino Linotype" w:cs="Tahoma"/>
          <w:color w:val="0D0D0D" w:themeColor="text1" w:themeTint="F2"/>
          <w:sz w:val="22"/>
          <w:szCs w:val="22"/>
        </w:rPr>
      </w:pPr>
    </w:p>
    <w:p w14:paraId="1CAC7A61" w14:textId="77777777" w:rsidR="00BD7643" w:rsidRPr="004A24D4" w:rsidRDefault="00BD7643" w:rsidP="00BD7643">
      <w:pPr>
        <w:spacing w:line="360" w:lineRule="auto"/>
        <w:jc w:val="both"/>
        <w:rPr>
          <w:rFonts w:ascii="Palatino Linotype" w:hAnsi="Palatino Linotype" w:cs="Tahoma"/>
          <w:color w:val="0D0D0D" w:themeColor="text1" w:themeTint="F2"/>
          <w:sz w:val="22"/>
          <w:szCs w:val="22"/>
        </w:rPr>
      </w:pPr>
      <w:r w:rsidRPr="004A24D4">
        <w:rPr>
          <w:rFonts w:ascii="Palatino Linotype" w:hAnsi="Palatino Linotype" w:cs="Tahoma"/>
          <w:color w:val="0D0D0D" w:themeColor="text1" w:themeTint="F2"/>
          <w:sz w:val="22"/>
          <w:szCs w:val="22"/>
        </w:rPr>
        <w:t>Conforme a lo anterior, se advierte lo siguiente:</w:t>
      </w:r>
    </w:p>
    <w:p w14:paraId="1FDF9A1B" w14:textId="77777777" w:rsidR="00BD7643" w:rsidRPr="004A24D4" w:rsidRDefault="00BD7643" w:rsidP="00BD7643">
      <w:pPr>
        <w:spacing w:line="360" w:lineRule="auto"/>
        <w:jc w:val="both"/>
        <w:rPr>
          <w:rFonts w:ascii="Palatino Linotype" w:hAnsi="Palatino Linotype" w:cs="Tahoma"/>
          <w:color w:val="0D0D0D" w:themeColor="text1" w:themeTint="F2"/>
          <w:sz w:val="22"/>
          <w:szCs w:val="22"/>
        </w:rPr>
      </w:pPr>
    </w:p>
    <w:p w14:paraId="6027C07E" w14:textId="77777777" w:rsidR="00BD7643" w:rsidRPr="004A24D4" w:rsidRDefault="00BD7643" w:rsidP="00BD7643">
      <w:pPr>
        <w:numPr>
          <w:ilvl w:val="0"/>
          <w:numId w:val="14"/>
        </w:numPr>
        <w:spacing w:line="360" w:lineRule="auto"/>
        <w:jc w:val="both"/>
        <w:rPr>
          <w:rFonts w:ascii="Palatino Linotype" w:hAnsi="Palatino Linotype" w:cs="Tahoma"/>
          <w:b/>
          <w:color w:val="0D0D0D" w:themeColor="text1" w:themeTint="F2"/>
          <w:sz w:val="22"/>
          <w:szCs w:val="22"/>
        </w:rPr>
      </w:pPr>
      <w:r w:rsidRPr="004A24D4">
        <w:rPr>
          <w:rFonts w:ascii="Palatino Linotype" w:hAnsi="Palatino Linotype" w:cs="Tahoma"/>
          <w:b/>
          <w:color w:val="0D0D0D" w:themeColor="text1" w:themeTint="F2"/>
          <w:sz w:val="22"/>
          <w:szCs w:val="22"/>
        </w:rPr>
        <w:t xml:space="preserve">Fundamentación: </w:t>
      </w:r>
      <w:r w:rsidRPr="004A24D4">
        <w:rPr>
          <w:rFonts w:ascii="Palatino Linotype" w:hAnsi="Palatino Linotype" w:cs="Tahoma"/>
          <w:color w:val="0D0D0D" w:themeColor="text1" w:themeTint="F2"/>
          <w:sz w:val="22"/>
          <w:szCs w:val="22"/>
        </w:rPr>
        <w:t>Obligación de la autoridad que emite un acto, para citar los preceptos legales, sustantivos y adjetivos, en que se apoye para la determinación tomada.</w:t>
      </w:r>
    </w:p>
    <w:p w14:paraId="701094F0" w14:textId="77777777" w:rsidR="00BD7643" w:rsidRPr="004A24D4" w:rsidRDefault="00BD7643" w:rsidP="00BD7643">
      <w:pPr>
        <w:spacing w:line="360" w:lineRule="auto"/>
        <w:ind w:left="720"/>
        <w:contextualSpacing/>
        <w:jc w:val="both"/>
        <w:rPr>
          <w:rFonts w:ascii="Palatino Linotype" w:hAnsi="Palatino Linotype" w:cs="Tahoma"/>
          <w:b/>
          <w:color w:val="0D0D0D" w:themeColor="text1" w:themeTint="F2"/>
          <w:sz w:val="22"/>
          <w:szCs w:val="22"/>
        </w:rPr>
      </w:pPr>
    </w:p>
    <w:p w14:paraId="472E9BFF" w14:textId="77777777" w:rsidR="00BD7643" w:rsidRPr="004A24D4" w:rsidRDefault="00BD7643" w:rsidP="00BD7643">
      <w:pPr>
        <w:numPr>
          <w:ilvl w:val="0"/>
          <w:numId w:val="14"/>
        </w:numPr>
        <w:spacing w:line="360" w:lineRule="auto"/>
        <w:jc w:val="both"/>
        <w:rPr>
          <w:rFonts w:ascii="Palatino Linotype" w:hAnsi="Palatino Linotype" w:cs="Tahoma"/>
          <w:b/>
          <w:color w:val="0D0D0D" w:themeColor="text1" w:themeTint="F2"/>
          <w:sz w:val="22"/>
          <w:szCs w:val="22"/>
        </w:rPr>
      </w:pPr>
      <w:r w:rsidRPr="004A24D4">
        <w:rPr>
          <w:rFonts w:ascii="Palatino Linotype" w:hAnsi="Palatino Linotype" w:cs="Tahoma"/>
          <w:b/>
          <w:color w:val="0D0D0D" w:themeColor="text1" w:themeTint="F2"/>
          <w:sz w:val="22"/>
          <w:szCs w:val="22"/>
        </w:rPr>
        <w:t xml:space="preserve">Motivación: </w:t>
      </w:r>
      <w:r w:rsidRPr="004A24D4">
        <w:rPr>
          <w:rFonts w:ascii="Palatino Linotype" w:hAnsi="Palatino Linotype" w:cs="Tahoma"/>
          <w:color w:val="0D0D0D" w:themeColor="text1" w:themeTint="F2"/>
          <w:sz w:val="22"/>
          <w:szCs w:val="22"/>
        </w:rPr>
        <w:t>Razonamientos lógico-jurídicos sobre porque se consideró en el caso en concreto, que se ajusta a la hipótesis normativa.</w:t>
      </w:r>
    </w:p>
    <w:p w14:paraId="62235330" w14:textId="77777777" w:rsidR="00BD7643" w:rsidRPr="004A24D4" w:rsidRDefault="00BD7643" w:rsidP="00BD7643">
      <w:pPr>
        <w:spacing w:line="360" w:lineRule="auto"/>
        <w:jc w:val="both"/>
        <w:rPr>
          <w:rFonts w:ascii="Palatino Linotype" w:hAnsi="Palatino Linotype" w:cs="Tahoma"/>
          <w:color w:val="0D0D0D" w:themeColor="text1" w:themeTint="F2"/>
          <w:sz w:val="22"/>
          <w:szCs w:val="22"/>
        </w:rPr>
      </w:pPr>
    </w:p>
    <w:p w14:paraId="003B3235" w14:textId="7C3EA4BD" w:rsidR="00BD7643" w:rsidRPr="004A24D4" w:rsidRDefault="00BD7643" w:rsidP="00BD7643">
      <w:pPr>
        <w:spacing w:line="360" w:lineRule="auto"/>
        <w:jc w:val="both"/>
        <w:rPr>
          <w:rFonts w:ascii="Palatino Linotype" w:hAnsi="Palatino Linotype" w:cs="Tahoma"/>
          <w:color w:val="0D0D0D" w:themeColor="text1" w:themeTint="F2"/>
          <w:sz w:val="22"/>
          <w:szCs w:val="22"/>
          <w:lang w:val="es-ES"/>
        </w:rPr>
      </w:pPr>
      <w:r w:rsidRPr="004A24D4">
        <w:rPr>
          <w:rFonts w:ascii="Palatino Linotype" w:hAnsi="Palatino Linotype" w:cs="Tahoma"/>
          <w:color w:val="0D0D0D" w:themeColor="text1" w:themeTint="F2"/>
          <w:sz w:val="22"/>
          <w:szCs w:val="22"/>
          <w:lang w:val="es-ES"/>
        </w:rPr>
        <w:t>En ese orden de ideas, el Trigésimo tercero de los Lineamientos Generales establece la forma en que se debe fundamentar y motivar la reserva de la información, es decir, a través de los siguientes pasos:</w:t>
      </w:r>
    </w:p>
    <w:p w14:paraId="7A01BF97" w14:textId="77777777" w:rsidR="00BD7643" w:rsidRPr="004A24D4" w:rsidRDefault="00BD7643" w:rsidP="00BD7643">
      <w:pPr>
        <w:spacing w:line="360" w:lineRule="auto"/>
        <w:jc w:val="both"/>
        <w:rPr>
          <w:rFonts w:ascii="Palatino Linotype" w:hAnsi="Palatino Linotype" w:cs="Tahoma"/>
          <w:color w:val="0D0D0D" w:themeColor="text1" w:themeTint="F2"/>
          <w:szCs w:val="22"/>
        </w:rPr>
      </w:pPr>
    </w:p>
    <w:p w14:paraId="302007BB" w14:textId="77777777" w:rsidR="00BD7643" w:rsidRPr="00AD61EF" w:rsidRDefault="00BD7643" w:rsidP="00BD7643">
      <w:pPr>
        <w:pStyle w:val="Prrafodelista"/>
        <w:numPr>
          <w:ilvl w:val="0"/>
          <w:numId w:val="15"/>
        </w:numPr>
        <w:spacing w:line="360" w:lineRule="auto"/>
        <w:contextualSpacing/>
        <w:jc w:val="both"/>
        <w:rPr>
          <w:rFonts w:ascii="Palatino Linotype" w:hAnsi="Palatino Linotype" w:cs="Tahoma"/>
          <w:color w:val="0D0D0D" w:themeColor="text1" w:themeTint="F2"/>
          <w:sz w:val="22"/>
          <w:szCs w:val="20"/>
        </w:rPr>
      </w:pPr>
      <w:r w:rsidRPr="00AD61EF">
        <w:rPr>
          <w:rFonts w:ascii="Palatino Linotype" w:hAnsi="Palatino Linotype" w:cs="Tahoma"/>
          <w:color w:val="0D0D0D" w:themeColor="text1" w:themeTint="F2"/>
          <w:sz w:val="22"/>
          <w:szCs w:val="20"/>
        </w:rPr>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14:paraId="57D56D2B" w14:textId="77777777" w:rsidR="00BD7643" w:rsidRPr="00AD61EF" w:rsidRDefault="00BD7643" w:rsidP="00BD7643">
      <w:pPr>
        <w:pStyle w:val="Prrafodelista"/>
        <w:spacing w:line="360" w:lineRule="auto"/>
        <w:jc w:val="both"/>
        <w:rPr>
          <w:rFonts w:ascii="Palatino Linotype" w:hAnsi="Palatino Linotype" w:cs="Tahoma"/>
          <w:color w:val="0D0D0D" w:themeColor="text1" w:themeTint="F2"/>
          <w:sz w:val="22"/>
          <w:szCs w:val="20"/>
        </w:rPr>
      </w:pPr>
    </w:p>
    <w:p w14:paraId="31C9FB77" w14:textId="77777777" w:rsidR="00BD7643" w:rsidRPr="00AD61EF" w:rsidRDefault="00BD7643" w:rsidP="00BD7643">
      <w:pPr>
        <w:pStyle w:val="Prrafodelista"/>
        <w:numPr>
          <w:ilvl w:val="0"/>
          <w:numId w:val="15"/>
        </w:numPr>
        <w:spacing w:line="360" w:lineRule="auto"/>
        <w:contextualSpacing/>
        <w:jc w:val="both"/>
        <w:rPr>
          <w:rFonts w:ascii="Palatino Linotype" w:hAnsi="Palatino Linotype" w:cs="Tahoma"/>
          <w:color w:val="0D0D0D" w:themeColor="text1" w:themeTint="F2"/>
          <w:sz w:val="22"/>
          <w:szCs w:val="20"/>
          <w:lang w:val="es-ES"/>
        </w:rPr>
      </w:pPr>
      <w:r w:rsidRPr="00AD61EF">
        <w:rPr>
          <w:rFonts w:ascii="Palatino Linotype" w:hAnsi="Palatino Linotype" w:cs="Tahoma"/>
          <w:color w:val="0D0D0D" w:themeColor="text1" w:themeTint="F2"/>
          <w:sz w:val="22"/>
          <w:szCs w:val="20"/>
          <w:lang w:val="es-ES"/>
        </w:rPr>
        <w:t>Se deberá demostrar que la publicidad de la información generaría un riesgo de perjuicio, que rebasa el interés público;</w:t>
      </w:r>
    </w:p>
    <w:p w14:paraId="2CC0CCD6" w14:textId="77777777" w:rsidR="00BD7643" w:rsidRPr="00AD61EF" w:rsidRDefault="00BD7643" w:rsidP="00BD7643">
      <w:pPr>
        <w:pStyle w:val="Prrafodelista"/>
        <w:numPr>
          <w:ilvl w:val="0"/>
          <w:numId w:val="15"/>
        </w:numPr>
        <w:spacing w:line="360" w:lineRule="auto"/>
        <w:contextualSpacing/>
        <w:jc w:val="both"/>
        <w:rPr>
          <w:rFonts w:ascii="Palatino Linotype" w:hAnsi="Palatino Linotype" w:cs="Tahoma"/>
          <w:color w:val="0D0D0D" w:themeColor="text1" w:themeTint="F2"/>
          <w:sz w:val="22"/>
          <w:szCs w:val="20"/>
          <w:lang w:val="es-ES"/>
        </w:rPr>
      </w:pPr>
      <w:r w:rsidRPr="00AD61EF">
        <w:rPr>
          <w:rFonts w:ascii="Palatino Linotype" w:hAnsi="Palatino Linotype" w:cs="Tahoma"/>
          <w:color w:val="0D0D0D" w:themeColor="text1" w:themeTint="F2"/>
          <w:sz w:val="22"/>
          <w:szCs w:val="20"/>
          <w:lang w:val="es-ES"/>
        </w:rPr>
        <w:t>Se acreditará el vínculo entre la difusión de la información y la afectación del interés jurídico tutelado;</w:t>
      </w:r>
    </w:p>
    <w:p w14:paraId="7B7F07F4" w14:textId="77777777" w:rsidR="00BD7643" w:rsidRPr="00AD61EF" w:rsidRDefault="00BD7643" w:rsidP="00BD7643">
      <w:pPr>
        <w:pStyle w:val="Prrafodelista"/>
        <w:spacing w:line="360" w:lineRule="auto"/>
        <w:rPr>
          <w:rFonts w:ascii="Palatino Linotype" w:hAnsi="Palatino Linotype" w:cs="Tahoma"/>
          <w:color w:val="0D0D0D" w:themeColor="text1" w:themeTint="F2"/>
          <w:sz w:val="22"/>
          <w:szCs w:val="20"/>
          <w:lang w:val="es-ES"/>
        </w:rPr>
      </w:pPr>
    </w:p>
    <w:p w14:paraId="53611027" w14:textId="77777777" w:rsidR="00BD7643" w:rsidRPr="00AD61EF" w:rsidRDefault="00BD7643" w:rsidP="00BD7643">
      <w:pPr>
        <w:pStyle w:val="Prrafodelista"/>
        <w:numPr>
          <w:ilvl w:val="0"/>
          <w:numId w:val="15"/>
        </w:numPr>
        <w:spacing w:line="360" w:lineRule="auto"/>
        <w:contextualSpacing/>
        <w:jc w:val="both"/>
        <w:rPr>
          <w:rFonts w:ascii="Palatino Linotype" w:hAnsi="Palatino Linotype" w:cs="Tahoma"/>
          <w:color w:val="0D0D0D" w:themeColor="text1" w:themeTint="F2"/>
          <w:sz w:val="22"/>
          <w:szCs w:val="20"/>
          <w:lang w:val="es-ES"/>
        </w:rPr>
      </w:pPr>
      <w:r w:rsidRPr="00AD61EF">
        <w:rPr>
          <w:rFonts w:ascii="Palatino Linotype" w:hAnsi="Palatino Linotype" w:cs="Tahoma"/>
          <w:color w:val="0D0D0D" w:themeColor="text1" w:themeTint="F2"/>
          <w:sz w:val="22"/>
          <w:szCs w:val="20"/>
          <w:lang w:val="es-ES"/>
        </w:rPr>
        <w:t>Se precisará las razones objetivas por las que la apertura de la información generaría una afectación, por medio del riesgo real, demostrable e identificable;</w:t>
      </w:r>
    </w:p>
    <w:p w14:paraId="4DB59364" w14:textId="77777777" w:rsidR="00BD7643" w:rsidRPr="00AD61EF" w:rsidRDefault="00BD7643" w:rsidP="00BD7643">
      <w:pPr>
        <w:pStyle w:val="Prrafodelista"/>
        <w:spacing w:line="360" w:lineRule="auto"/>
        <w:rPr>
          <w:rFonts w:ascii="Palatino Linotype" w:hAnsi="Palatino Linotype" w:cs="Tahoma"/>
          <w:color w:val="0D0D0D" w:themeColor="text1" w:themeTint="F2"/>
          <w:sz w:val="22"/>
          <w:szCs w:val="20"/>
          <w:lang w:val="es-ES"/>
        </w:rPr>
      </w:pPr>
    </w:p>
    <w:p w14:paraId="49E43A65" w14:textId="77777777" w:rsidR="00BD7643" w:rsidRPr="00AD61EF" w:rsidRDefault="00BD7643" w:rsidP="00BD7643">
      <w:pPr>
        <w:pStyle w:val="Prrafodelista"/>
        <w:numPr>
          <w:ilvl w:val="0"/>
          <w:numId w:val="15"/>
        </w:numPr>
        <w:spacing w:line="360" w:lineRule="auto"/>
        <w:contextualSpacing/>
        <w:jc w:val="both"/>
        <w:rPr>
          <w:rFonts w:ascii="Palatino Linotype" w:hAnsi="Palatino Linotype" w:cs="Tahoma"/>
          <w:color w:val="0D0D0D" w:themeColor="text1" w:themeTint="F2"/>
          <w:sz w:val="22"/>
          <w:szCs w:val="20"/>
          <w:lang w:val="es-ES"/>
        </w:rPr>
      </w:pPr>
      <w:r w:rsidRPr="00AD61EF">
        <w:rPr>
          <w:rFonts w:ascii="Palatino Linotype" w:hAnsi="Palatino Linotype" w:cs="Tahoma"/>
          <w:color w:val="0D0D0D" w:themeColor="text1" w:themeTint="F2"/>
          <w:sz w:val="22"/>
          <w:szCs w:val="20"/>
          <w:lang w:val="es-ES"/>
        </w:rPr>
        <w:t>Se deberán señalar las circunstancias de modo, tiempo y lugar del daño, y</w:t>
      </w:r>
    </w:p>
    <w:p w14:paraId="53A11114" w14:textId="77777777" w:rsidR="00BD7643" w:rsidRPr="00AD61EF" w:rsidRDefault="00BD7643" w:rsidP="00BD7643">
      <w:pPr>
        <w:pStyle w:val="Prrafodelista"/>
        <w:spacing w:line="360" w:lineRule="auto"/>
        <w:rPr>
          <w:rFonts w:ascii="Palatino Linotype" w:hAnsi="Palatino Linotype" w:cs="Tahoma"/>
          <w:color w:val="0D0D0D" w:themeColor="text1" w:themeTint="F2"/>
          <w:sz w:val="22"/>
          <w:szCs w:val="20"/>
          <w:lang w:val="es-ES"/>
        </w:rPr>
      </w:pPr>
    </w:p>
    <w:p w14:paraId="651904AE" w14:textId="77777777" w:rsidR="00BD7643" w:rsidRPr="00AD61EF" w:rsidRDefault="00BD7643" w:rsidP="00BD7643">
      <w:pPr>
        <w:pStyle w:val="Prrafodelista"/>
        <w:numPr>
          <w:ilvl w:val="0"/>
          <w:numId w:val="15"/>
        </w:numPr>
        <w:spacing w:line="360" w:lineRule="auto"/>
        <w:contextualSpacing/>
        <w:jc w:val="both"/>
        <w:rPr>
          <w:rFonts w:ascii="Palatino Linotype" w:hAnsi="Palatino Linotype" w:cs="Tahoma"/>
          <w:color w:val="0D0D0D" w:themeColor="text1" w:themeTint="F2"/>
          <w:sz w:val="22"/>
          <w:szCs w:val="20"/>
          <w:lang w:val="es-ES"/>
        </w:rPr>
      </w:pPr>
      <w:r w:rsidRPr="00AD61EF">
        <w:rPr>
          <w:rFonts w:ascii="Palatino Linotype" w:hAnsi="Palatino Linotype" w:cs="Tahoma"/>
          <w:color w:val="0D0D0D" w:themeColor="text1" w:themeTint="F2"/>
          <w:sz w:val="22"/>
          <w:szCs w:val="20"/>
          <w:lang w:val="es-ES"/>
        </w:rPr>
        <w:t>Se elegirá la opción de excepción al acceso a la información que menos restrinja, la cual será adecuada y proporcional para la protección del interés público.</w:t>
      </w:r>
    </w:p>
    <w:p w14:paraId="0373A48A" w14:textId="0BD56DF1" w:rsidR="002F49C0" w:rsidRDefault="002F49C0" w:rsidP="002F49C0">
      <w:pPr>
        <w:pBdr>
          <w:top w:val="nil"/>
          <w:left w:val="nil"/>
          <w:bottom w:val="nil"/>
          <w:right w:val="nil"/>
          <w:between w:val="nil"/>
        </w:pBdr>
        <w:spacing w:line="360" w:lineRule="auto"/>
        <w:jc w:val="both"/>
        <w:rPr>
          <w:rFonts w:ascii="Palatino Linotype" w:eastAsia="Palatino Linotype" w:hAnsi="Palatino Linotype" w:cs="Palatino Linotype"/>
          <w:bCs/>
          <w:color w:val="000000"/>
          <w:sz w:val="22"/>
          <w:szCs w:val="22"/>
        </w:rPr>
      </w:pPr>
    </w:p>
    <w:p w14:paraId="3CA34432" w14:textId="77777777" w:rsidR="00E33973" w:rsidRPr="00E33973" w:rsidRDefault="00E33973" w:rsidP="00E33973">
      <w:pPr>
        <w:spacing w:line="360" w:lineRule="auto"/>
        <w:jc w:val="both"/>
        <w:rPr>
          <w:rFonts w:ascii="Palatino Linotype" w:eastAsia="Calibri" w:hAnsi="Palatino Linotype" w:cs="Tahoma"/>
          <w:bCs/>
          <w:iCs/>
          <w:sz w:val="22"/>
          <w:szCs w:val="22"/>
          <w:lang w:val="es-ES" w:eastAsia="en-US"/>
        </w:rPr>
      </w:pPr>
      <w:r w:rsidRPr="00B77CA1">
        <w:rPr>
          <w:rFonts w:ascii="Palatino Linotype" w:eastAsia="Calibri" w:hAnsi="Palatino Linotype" w:cs="Tahoma"/>
          <w:bCs/>
          <w:iCs/>
          <w:sz w:val="22"/>
          <w:szCs w:val="22"/>
          <w:lang w:val="es-ES" w:eastAsia="en-US"/>
        </w:rPr>
        <w:t xml:space="preserve">Al respecto, el artículo 140, fracción VI de la Ley de Transparencia y Acceso a la Información Pública del Estado de México y Municipios (homólogo al artículo 113, fracción IX de la Ley General de Transparencia y Acceso a la Información Pública), establece que aquella </w:t>
      </w:r>
      <w:r w:rsidRPr="00E33973">
        <w:rPr>
          <w:rFonts w:ascii="Palatino Linotype" w:eastAsia="Calibri" w:hAnsi="Palatino Linotype" w:cs="Tahoma"/>
          <w:bCs/>
          <w:iCs/>
          <w:sz w:val="22"/>
          <w:szCs w:val="22"/>
          <w:lang w:val="es-ES" w:eastAsia="en-US"/>
        </w:rPr>
        <w:t>información que afecte o vulnere la conducción de procedimientos de responsabilidades administrativas, en tanto no hayan quedado firmes, será reservada.</w:t>
      </w:r>
    </w:p>
    <w:p w14:paraId="5E7C1285" w14:textId="77777777" w:rsidR="00E33973" w:rsidRPr="00E33973" w:rsidRDefault="00E33973" w:rsidP="00E33973">
      <w:pPr>
        <w:spacing w:line="360" w:lineRule="auto"/>
        <w:jc w:val="both"/>
        <w:rPr>
          <w:rFonts w:ascii="Palatino Linotype" w:eastAsia="Calibri" w:hAnsi="Palatino Linotype" w:cs="Tahoma"/>
          <w:bCs/>
          <w:iCs/>
          <w:sz w:val="22"/>
          <w:szCs w:val="22"/>
          <w:lang w:val="es-ES" w:eastAsia="en-US"/>
        </w:rPr>
      </w:pPr>
    </w:p>
    <w:p w14:paraId="58DF68C8" w14:textId="77777777" w:rsidR="00E33973" w:rsidRPr="00E33973" w:rsidRDefault="00E33973" w:rsidP="00E33973">
      <w:pPr>
        <w:spacing w:line="360" w:lineRule="auto"/>
        <w:jc w:val="both"/>
        <w:rPr>
          <w:rFonts w:ascii="Palatino Linotype" w:eastAsia="Calibri" w:hAnsi="Palatino Linotype" w:cs="Tahoma"/>
          <w:iCs/>
          <w:sz w:val="22"/>
          <w:szCs w:val="22"/>
          <w:lang w:val="es-ES" w:eastAsia="es-ES_tradnl"/>
        </w:rPr>
      </w:pPr>
      <w:r w:rsidRPr="00E33973">
        <w:rPr>
          <w:rFonts w:ascii="Palatino Linotype" w:eastAsia="Calibri" w:hAnsi="Palatino Linotype" w:cs="Tahoma"/>
          <w:iCs/>
          <w:sz w:val="22"/>
          <w:szCs w:val="22"/>
          <w:lang w:val="es-ES" w:eastAsia="es-ES_tradnl"/>
        </w:rPr>
        <w:t>Por su parte, el vigésimo octavo de los lineamientos antes señalados, establece lo siguiente:</w:t>
      </w:r>
    </w:p>
    <w:p w14:paraId="0DC3B326" w14:textId="77777777" w:rsidR="00E33973" w:rsidRPr="00E33973" w:rsidRDefault="00E33973" w:rsidP="00E33973">
      <w:pPr>
        <w:spacing w:line="360" w:lineRule="auto"/>
        <w:jc w:val="both"/>
        <w:rPr>
          <w:rFonts w:ascii="Palatino Linotype" w:eastAsia="Calibri" w:hAnsi="Palatino Linotype" w:cs="Tahoma"/>
          <w:iCs/>
          <w:sz w:val="22"/>
          <w:szCs w:val="22"/>
          <w:lang w:val="es-ES" w:eastAsia="es-ES_tradnl"/>
        </w:rPr>
      </w:pPr>
    </w:p>
    <w:p w14:paraId="27BC8143" w14:textId="77777777" w:rsidR="00E33973" w:rsidRPr="00AD61EF" w:rsidRDefault="00E33973" w:rsidP="00E33973">
      <w:pPr>
        <w:spacing w:line="360" w:lineRule="auto"/>
        <w:ind w:left="567" w:right="567"/>
        <w:jc w:val="both"/>
        <w:rPr>
          <w:rFonts w:ascii="Palatino Linotype" w:eastAsia="Calibri" w:hAnsi="Palatino Linotype" w:cs="Tahoma"/>
          <w:i/>
          <w:iCs/>
          <w:sz w:val="22"/>
          <w:szCs w:val="22"/>
          <w:lang w:val="es-ES" w:eastAsia="es-ES_tradnl"/>
        </w:rPr>
      </w:pPr>
      <w:r w:rsidRPr="00AD61EF">
        <w:rPr>
          <w:rFonts w:ascii="Palatino Linotype" w:eastAsia="Calibri" w:hAnsi="Palatino Linotype" w:cs="Tahoma"/>
          <w:i/>
          <w:iCs/>
          <w:sz w:val="22"/>
          <w:szCs w:val="22"/>
          <w:lang w:val="es-ES" w:eastAsia="es-ES_tradnl"/>
        </w:rPr>
        <w:t>“…</w:t>
      </w:r>
    </w:p>
    <w:p w14:paraId="05B7B39F" w14:textId="77777777" w:rsidR="00E33973" w:rsidRPr="00AD61EF" w:rsidRDefault="00E33973" w:rsidP="00E33973">
      <w:pPr>
        <w:spacing w:line="360" w:lineRule="auto"/>
        <w:ind w:left="567" w:right="567"/>
        <w:jc w:val="both"/>
        <w:rPr>
          <w:rFonts w:ascii="Palatino Linotype" w:eastAsia="Calibri" w:hAnsi="Palatino Linotype" w:cs="Tahoma"/>
          <w:i/>
          <w:iCs/>
          <w:sz w:val="22"/>
          <w:szCs w:val="22"/>
          <w:lang w:val="es-ES" w:eastAsia="es-ES_tradnl"/>
        </w:rPr>
      </w:pPr>
      <w:r w:rsidRPr="00AD61EF">
        <w:rPr>
          <w:rFonts w:ascii="Palatino Linotype" w:eastAsia="Calibri" w:hAnsi="Palatino Linotype" w:cs="Tahoma"/>
          <w:b/>
          <w:i/>
          <w:iCs/>
          <w:sz w:val="22"/>
          <w:szCs w:val="22"/>
          <w:lang w:val="es-ES" w:eastAsia="es-ES_tradnl"/>
        </w:rPr>
        <w:t>Vigésimo octavo.</w:t>
      </w:r>
      <w:r w:rsidRPr="00AD61EF">
        <w:rPr>
          <w:rFonts w:ascii="Palatino Linotype" w:eastAsia="Calibri" w:hAnsi="Palatino Linotype" w:cs="Tahoma"/>
          <w:i/>
          <w:iCs/>
          <w:sz w:val="22"/>
          <w:szCs w:val="22"/>
          <w:lang w:val="es-ES" w:eastAsia="es-ES_tradnl"/>
        </w:rPr>
        <w:t xml:space="preserve">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w:t>
      </w:r>
    </w:p>
    <w:p w14:paraId="0C4351C9" w14:textId="77777777" w:rsidR="00E33973" w:rsidRPr="00AD61EF" w:rsidRDefault="00E33973" w:rsidP="00E33973">
      <w:pPr>
        <w:spacing w:line="360" w:lineRule="auto"/>
        <w:ind w:left="567" w:right="567"/>
        <w:jc w:val="both"/>
        <w:rPr>
          <w:rFonts w:ascii="Palatino Linotype" w:eastAsia="Calibri" w:hAnsi="Palatino Linotype" w:cs="Tahoma"/>
          <w:i/>
          <w:iCs/>
          <w:sz w:val="22"/>
          <w:szCs w:val="22"/>
          <w:lang w:val="es-ES" w:eastAsia="es-ES_tradnl"/>
        </w:rPr>
      </w:pPr>
      <w:r w:rsidRPr="00AD61EF">
        <w:rPr>
          <w:rFonts w:ascii="Palatino Linotype" w:eastAsia="Calibri" w:hAnsi="Palatino Linotype" w:cs="Tahoma"/>
          <w:i/>
          <w:iCs/>
          <w:sz w:val="22"/>
          <w:szCs w:val="22"/>
          <w:lang w:val="es-ES" w:eastAsia="es-ES_tradnl"/>
        </w:rPr>
        <w:t>I. La existencia de un procedimiento de responsabilidad administrativa en trámite, y</w:t>
      </w:r>
    </w:p>
    <w:p w14:paraId="0DA53CCD" w14:textId="77777777" w:rsidR="00E33973" w:rsidRPr="00AD61EF" w:rsidRDefault="00E33973" w:rsidP="00E33973">
      <w:pPr>
        <w:spacing w:line="360" w:lineRule="auto"/>
        <w:ind w:left="567" w:right="567"/>
        <w:jc w:val="both"/>
        <w:rPr>
          <w:rFonts w:ascii="Palatino Linotype" w:eastAsia="Calibri" w:hAnsi="Palatino Linotype" w:cs="Tahoma"/>
          <w:i/>
          <w:iCs/>
          <w:sz w:val="22"/>
          <w:szCs w:val="22"/>
          <w:lang w:val="es-ES" w:eastAsia="es-ES_tradnl"/>
        </w:rPr>
      </w:pPr>
      <w:r w:rsidRPr="00AD61EF">
        <w:rPr>
          <w:rFonts w:ascii="Palatino Linotype" w:eastAsia="Calibri" w:hAnsi="Palatino Linotype" w:cs="Tahoma"/>
          <w:i/>
          <w:iCs/>
          <w:sz w:val="22"/>
          <w:szCs w:val="22"/>
          <w:lang w:val="es-ES" w:eastAsia="es-ES_tradnl"/>
        </w:rPr>
        <w:t>II. Que la información se refiera a actuaciones, diligencias y constancias propias del procedimiento de responsabilidad.</w:t>
      </w:r>
    </w:p>
    <w:p w14:paraId="171A4178" w14:textId="77777777" w:rsidR="00E33973" w:rsidRPr="00AD61EF" w:rsidRDefault="00E33973" w:rsidP="00E33973">
      <w:pPr>
        <w:spacing w:line="360" w:lineRule="auto"/>
        <w:ind w:left="567" w:right="567"/>
        <w:jc w:val="both"/>
        <w:rPr>
          <w:rFonts w:ascii="Palatino Linotype" w:eastAsia="Calibri" w:hAnsi="Palatino Linotype" w:cs="Tahoma"/>
          <w:i/>
          <w:iCs/>
          <w:sz w:val="22"/>
          <w:szCs w:val="22"/>
          <w:lang w:val="es-ES" w:eastAsia="es-ES_tradnl"/>
        </w:rPr>
      </w:pPr>
      <w:r w:rsidRPr="00AD61EF">
        <w:rPr>
          <w:rFonts w:ascii="Palatino Linotype" w:eastAsia="Calibri" w:hAnsi="Palatino Linotype" w:cs="Tahoma"/>
          <w:i/>
          <w:iCs/>
          <w:sz w:val="22"/>
          <w:szCs w:val="22"/>
          <w:lang w:val="es-ES" w:eastAsia="es-ES_tradnl"/>
        </w:rPr>
        <w:t>…”</w:t>
      </w:r>
    </w:p>
    <w:p w14:paraId="654E4686" w14:textId="77777777" w:rsidR="00E33973" w:rsidRPr="00E33973" w:rsidRDefault="00E33973" w:rsidP="00E33973">
      <w:pPr>
        <w:spacing w:line="360" w:lineRule="auto"/>
        <w:jc w:val="both"/>
        <w:rPr>
          <w:rFonts w:ascii="Palatino Linotype" w:eastAsia="Calibri" w:hAnsi="Palatino Linotype" w:cs="Tahoma"/>
          <w:iCs/>
          <w:sz w:val="22"/>
          <w:szCs w:val="22"/>
          <w:lang w:val="es-ES" w:eastAsia="es-ES_tradnl"/>
        </w:rPr>
      </w:pPr>
    </w:p>
    <w:p w14:paraId="06F469C9" w14:textId="77777777" w:rsidR="00E33973" w:rsidRPr="00E33973" w:rsidRDefault="00E33973" w:rsidP="00E33973">
      <w:pPr>
        <w:spacing w:line="360" w:lineRule="auto"/>
        <w:jc w:val="both"/>
        <w:rPr>
          <w:rFonts w:ascii="Palatino Linotype" w:eastAsia="Calibri" w:hAnsi="Palatino Linotype" w:cs="Tahoma"/>
          <w:iCs/>
          <w:sz w:val="22"/>
          <w:szCs w:val="22"/>
          <w:lang w:eastAsia="es-ES_tradnl"/>
        </w:rPr>
      </w:pPr>
      <w:r w:rsidRPr="00E33973">
        <w:rPr>
          <w:rFonts w:ascii="Palatino Linotype" w:eastAsia="Calibri" w:hAnsi="Palatino Linotype" w:cs="Tahoma"/>
          <w:iCs/>
          <w:sz w:val="22"/>
          <w:szCs w:val="22"/>
          <w:lang w:eastAsia="es-ES_tradnl"/>
        </w:rPr>
        <w:t>De lo anterior, se advierte que para que se actualice la causal de reserva que se analiza se debe acreditar i) la existencia de un procedimiento de responsabilidad administrativa en trámite, y ii) que la información se refiera a actuaciones, diligencias y constancias propias del procedimiento de responsabilidad.</w:t>
      </w:r>
    </w:p>
    <w:p w14:paraId="698AF518" w14:textId="77777777" w:rsidR="00E33973" w:rsidRPr="00E33973" w:rsidRDefault="00E33973" w:rsidP="00E33973">
      <w:pPr>
        <w:spacing w:line="360" w:lineRule="auto"/>
        <w:jc w:val="both"/>
        <w:rPr>
          <w:rFonts w:ascii="Palatino Linotype" w:eastAsia="Calibri" w:hAnsi="Palatino Linotype" w:cs="Tahoma"/>
          <w:iCs/>
          <w:sz w:val="22"/>
          <w:szCs w:val="22"/>
          <w:lang w:val="es-ES" w:eastAsia="es-ES_tradnl"/>
        </w:rPr>
      </w:pPr>
    </w:p>
    <w:p w14:paraId="7F624297" w14:textId="77777777" w:rsidR="00E33973" w:rsidRPr="00E33973" w:rsidRDefault="00E33973" w:rsidP="00E33973">
      <w:pPr>
        <w:spacing w:line="360" w:lineRule="auto"/>
        <w:jc w:val="both"/>
        <w:rPr>
          <w:rFonts w:ascii="Palatino Linotype" w:eastAsia="Calibri" w:hAnsi="Palatino Linotype" w:cs="Tahoma"/>
          <w:iCs/>
          <w:sz w:val="22"/>
          <w:szCs w:val="22"/>
          <w:lang w:val="es-ES" w:eastAsia="es-ES_tradnl"/>
        </w:rPr>
      </w:pPr>
      <w:r w:rsidRPr="00E33973">
        <w:rPr>
          <w:rFonts w:ascii="Palatino Linotype" w:eastAsia="Calibri" w:hAnsi="Palatino Linotype" w:cs="Tahoma"/>
          <w:iCs/>
          <w:sz w:val="22"/>
          <w:szCs w:val="22"/>
          <w:lang w:val="es-ES" w:eastAsia="es-ES_tradnl"/>
        </w:rPr>
        <w:t>Al respecto, resulta necesario señalar que la Ley de Responsabilidades Administrativas del Estado de México y Municipios, en sus artículos 95, fracción II, 99, 104, 194 y 195, establece que el proceso de posibles responsabilidades administrativas se divide en dos etapas principalmente:</w:t>
      </w:r>
    </w:p>
    <w:p w14:paraId="77A18A92" w14:textId="77777777" w:rsidR="00E33973" w:rsidRPr="00E33973" w:rsidRDefault="00E33973" w:rsidP="00E33973">
      <w:pPr>
        <w:spacing w:line="360" w:lineRule="auto"/>
        <w:jc w:val="both"/>
        <w:rPr>
          <w:rFonts w:ascii="Palatino Linotype" w:eastAsia="Calibri" w:hAnsi="Palatino Linotype" w:cs="Tahoma"/>
          <w:iCs/>
          <w:sz w:val="22"/>
          <w:szCs w:val="22"/>
          <w:lang w:val="es-ES" w:eastAsia="es-ES_tradnl"/>
        </w:rPr>
      </w:pPr>
    </w:p>
    <w:p w14:paraId="0B4DFCA7" w14:textId="77777777" w:rsidR="00E33973" w:rsidRPr="00AD61EF" w:rsidRDefault="00E33973" w:rsidP="00E33973">
      <w:pPr>
        <w:pStyle w:val="Prrafodelista"/>
        <w:numPr>
          <w:ilvl w:val="0"/>
          <w:numId w:val="5"/>
        </w:numPr>
        <w:spacing w:line="360" w:lineRule="auto"/>
        <w:contextualSpacing/>
        <w:jc w:val="both"/>
        <w:rPr>
          <w:rFonts w:ascii="Palatino Linotype" w:eastAsia="Calibri" w:hAnsi="Palatino Linotype" w:cs="Tahoma"/>
          <w:b/>
          <w:iCs/>
          <w:sz w:val="22"/>
          <w:szCs w:val="22"/>
          <w:lang w:val="es-ES" w:eastAsia="es-ES_tradnl"/>
        </w:rPr>
      </w:pPr>
      <w:r w:rsidRPr="00AD61EF">
        <w:rPr>
          <w:rFonts w:ascii="Palatino Linotype" w:eastAsia="Calibri" w:hAnsi="Palatino Linotype" w:cs="Tahoma"/>
          <w:b/>
          <w:iCs/>
          <w:sz w:val="22"/>
          <w:szCs w:val="22"/>
          <w:lang w:val="es-ES" w:eastAsia="es-ES_tradnl"/>
        </w:rPr>
        <w:t>Investigación:</w:t>
      </w:r>
      <w:r w:rsidRPr="00AD61EF">
        <w:rPr>
          <w:rFonts w:ascii="Palatino Linotype" w:eastAsia="Calibri" w:hAnsi="Palatino Linotype" w:cs="Tahoma"/>
          <w:iCs/>
          <w:sz w:val="22"/>
          <w:szCs w:val="22"/>
          <w:lang w:val="es-ES" w:eastAsia="es-ES_tradnl"/>
        </w:rPr>
        <w:t xml:space="preserve"> Dicha etapa comienza, de oficio o por la presentación de una denuncia o queja ante los Órganos Internos de Control; por lo que, estos deberán de allegarse de la información necesaria para el esclarecimiento de los hechos, así como realizar visitas de verificación.</w:t>
      </w:r>
    </w:p>
    <w:p w14:paraId="49E23EA7" w14:textId="77777777" w:rsidR="00E33973" w:rsidRPr="00AD61EF" w:rsidRDefault="00E33973" w:rsidP="00E33973">
      <w:pPr>
        <w:pStyle w:val="Prrafodelista"/>
        <w:spacing w:line="360" w:lineRule="auto"/>
        <w:jc w:val="both"/>
        <w:rPr>
          <w:rFonts w:ascii="Palatino Linotype" w:eastAsia="Calibri" w:hAnsi="Palatino Linotype" w:cs="Tahoma"/>
          <w:b/>
          <w:iCs/>
          <w:sz w:val="22"/>
          <w:szCs w:val="22"/>
          <w:lang w:val="es-ES" w:eastAsia="es-ES_tradnl"/>
        </w:rPr>
      </w:pPr>
    </w:p>
    <w:p w14:paraId="078A580D" w14:textId="77777777" w:rsidR="00E33973" w:rsidRPr="00AD61EF" w:rsidRDefault="00E33973" w:rsidP="00E33973">
      <w:pPr>
        <w:pStyle w:val="Prrafodelista"/>
        <w:spacing w:line="360" w:lineRule="auto"/>
        <w:jc w:val="both"/>
        <w:rPr>
          <w:rFonts w:ascii="Palatino Linotype" w:eastAsia="Calibri" w:hAnsi="Palatino Linotype" w:cs="Tahoma"/>
          <w:iCs/>
          <w:sz w:val="22"/>
          <w:szCs w:val="22"/>
          <w:lang w:val="es-ES" w:eastAsia="es-ES_tradnl"/>
        </w:rPr>
      </w:pPr>
      <w:r w:rsidRPr="00AD61EF">
        <w:rPr>
          <w:rFonts w:ascii="Palatino Linotype" w:eastAsia="Calibri" w:hAnsi="Palatino Linotype" w:cs="Tahoma"/>
          <w:iCs/>
          <w:sz w:val="22"/>
          <w:szCs w:val="22"/>
          <w:lang w:val="es-ES" w:eastAsia="es-ES_tradnl"/>
        </w:rPr>
        <w:t>Una vez concluidas las diligencias de investigación, procederán al análisis de los hechos, así como de la información recabada, con el fin de determinar la existencia o inexistencia de actos de faltas administrativas graves o no graves y así emitir el Informe de Presunta Responsabilidad Administrativa y éste se presentará ante la autoridad substanciadora a efecto de iniciar el procedimiento de responsabilidad administrativa correspondiente.</w:t>
      </w:r>
    </w:p>
    <w:p w14:paraId="616093DB" w14:textId="77777777" w:rsidR="00E33973" w:rsidRPr="00AD61EF" w:rsidRDefault="00E33973" w:rsidP="00E33973">
      <w:pPr>
        <w:pStyle w:val="Prrafodelista"/>
        <w:spacing w:line="360" w:lineRule="auto"/>
        <w:jc w:val="both"/>
        <w:rPr>
          <w:rFonts w:ascii="Palatino Linotype" w:eastAsia="Calibri" w:hAnsi="Palatino Linotype" w:cs="Tahoma"/>
          <w:iCs/>
          <w:sz w:val="22"/>
          <w:szCs w:val="22"/>
          <w:lang w:val="es-ES" w:eastAsia="es-ES_tradnl"/>
        </w:rPr>
      </w:pPr>
    </w:p>
    <w:p w14:paraId="51152E0C" w14:textId="77777777" w:rsidR="00E33973" w:rsidRPr="00AD61EF" w:rsidRDefault="00E33973" w:rsidP="00E33973">
      <w:pPr>
        <w:pStyle w:val="Prrafodelista"/>
        <w:spacing w:line="360" w:lineRule="auto"/>
        <w:jc w:val="both"/>
        <w:rPr>
          <w:rFonts w:ascii="Palatino Linotype" w:eastAsia="Calibri" w:hAnsi="Palatino Linotype" w:cs="Tahoma"/>
          <w:iCs/>
          <w:sz w:val="22"/>
          <w:szCs w:val="22"/>
          <w:lang w:val="es-ES" w:eastAsia="es-ES_tradnl"/>
        </w:rPr>
      </w:pPr>
      <w:r w:rsidRPr="00AD61EF">
        <w:rPr>
          <w:rFonts w:ascii="Palatino Linotype" w:eastAsia="Calibri" w:hAnsi="Palatino Linotype" w:cs="Tahoma"/>
          <w:iCs/>
          <w:sz w:val="22"/>
          <w:szCs w:val="22"/>
          <w:lang w:val="es-ES" w:eastAsia="es-ES_tradnl"/>
        </w:rPr>
        <w:t>En el caso, de no haberse encontrado elementos suficientes para demostrar la existencia de la infracción, y acreditar la presunta responsabilidad, se emitirá el acuerdo de conclusión y archivo del expediente, debidamente fundado y motivado.</w:t>
      </w:r>
    </w:p>
    <w:p w14:paraId="34945502" w14:textId="77777777" w:rsidR="00E33973" w:rsidRPr="00AD61EF" w:rsidRDefault="00E33973" w:rsidP="00E33973">
      <w:pPr>
        <w:spacing w:line="360" w:lineRule="auto"/>
        <w:jc w:val="both"/>
        <w:rPr>
          <w:rFonts w:ascii="Palatino Linotype" w:eastAsia="Calibri" w:hAnsi="Palatino Linotype" w:cs="Tahoma"/>
          <w:b/>
          <w:iCs/>
          <w:sz w:val="22"/>
          <w:szCs w:val="22"/>
          <w:lang w:val="es-ES" w:eastAsia="es-ES_tradnl"/>
        </w:rPr>
      </w:pPr>
    </w:p>
    <w:p w14:paraId="398DEE9D" w14:textId="77777777" w:rsidR="00E33973" w:rsidRPr="00AD61EF" w:rsidRDefault="00E33973" w:rsidP="00E33973">
      <w:pPr>
        <w:pStyle w:val="Prrafodelista"/>
        <w:numPr>
          <w:ilvl w:val="0"/>
          <w:numId w:val="5"/>
        </w:numPr>
        <w:spacing w:line="360" w:lineRule="auto"/>
        <w:contextualSpacing/>
        <w:jc w:val="both"/>
        <w:rPr>
          <w:rFonts w:ascii="Palatino Linotype" w:eastAsia="Calibri" w:hAnsi="Palatino Linotype" w:cs="Tahoma"/>
          <w:b/>
          <w:iCs/>
          <w:sz w:val="22"/>
          <w:szCs w:val="22"/>
          <w:lang w:val="es-ES" w:eastAsia="es-ES_tradnl"/>
        </w:rPr>
      </w:pPr>
      <w:r w:rsidRPr="00AD61EF">
        <w:rPr>
          <w:rFonts w:ascii="Palatino Linotype" w:eastAsia="Calibri" w:hAnsi="Palatino Linotype" w:cs="Tahoma"/>
          <w:b/>
          <w:iCs/>
          <w:sz w:val="22"/>
          <w:szCs w:val="22"/>
          <w:lang w:val="es-ES" w:eastAsia="es-ES_tradnl"/>
        </w:rPr>
        <w:t xml:space="preserve">Proceso de Responsabilidad Administrativa: </w:t>
      </w:r>
      <w:r w:rsidRPr="00AD61EF">
        <w:rPr>
          <w:rFonts w:ascii="Palatino Linotype" w:eastAsia="Calibri" w:hAnsi="Palatino Linotype" w:cs="Tahoma"/>
          <w:iCs/>
          <w:sz w:val="22"/>
          <w:szCs w:val="22"/>
          <w:lang w:val="es-ES" w:eastAsia="es-ES_tradnl"/>
        </w:rPr>
        <w:t xml:space="preserve">Falta grave (ante el Tribunal de Justifica Administrativa del Estado de México), falta no grave (ante el </w:t>
      </w:r>
      <w:r w:rsidRPr="00AD61EF">
        <w:rPr>
          <w:rFonts w:ascii="Palatino Linotype" w:hAnsi="Palatino Linotype" w:cs="Tahoma"/>
          <w:bCs/>
          <w:iCs/>
          <w:sz w:val="22"/>
          <w:szCs w:val="22"/>
          <w:lang w:val="es-ES_tradnl"/>
        </w:rPr>
        <w:t>Órgano Interno de Control</w:t>
      </w:r>
      <w:r w:rsidRPr="00AD61EF">
        <w:rPr>
          <w:rFonts w:ascii="Palatino Linotype" w:eastAsia="Calibri" w:hAnsi="Palatino Linotype" w:cs="Tahoma"/>
          <w:iCs/>
          <w:sz w:val="22"/>
          <w:szCs w:val="22"/>
          <w:lang w:val="es-ES" w:eastAsia="es-ES_tradnl"/>
        </w:rPr>
        <w:t>), dicho procedimiento se lleva conforme a lo siguiente:</w:t>
      </w:r>
    </w:p>
    <w:p w14:paraId="1507E26B" w14:textId="77777777" w:rsidR="00E33973" w:rsidRPr="00AD61EF" w:rsidRDefault="00E33973" w:rsidP="00E33973">
      <w:pPr>
        <w:pStyle w:val="Prrafodelista"/>
        <w:spacing w:line="360" w:lineRule="auto"/>
        <w:jc w:val="both"/>
        <w:rPr>
          <w:rFonts w:ascii="Palatino Linotype" w:eastAsia="Calibri" w:hAnsi="Palatino Linotype" w:cs="Tahoma"/>
          <w:b/>
          <w:iCs/>
          <w:sz w:val="22"/>
          <w:szCs w:val="22"/>
          <w:lang w:val="es-ES" w:eastAsia="es-ES_tradnl"/>
        </w:rPr>
      </w:pPr>
    </w:p>
    <w:p w14:paraId="6A85CD21" w14:textId="77777777" w:rsidR="00E33973" w:rsidRPr="00AD61EF" w:rsidRDefault="00E33973" w:rsidP="00E33973">
      <w:pPr>
        <w:pStyle w:val="Prrafodelista"/>
        <w:numPr>
          <w:ilvl w:val="0"/>
          <w:numId w:val="6"/>
        </w:numPr>
        <w:spacing w:line="360" w:lineRule="auto"/>
        <w:contextualSpacing/>
        <w:jc w:val="both"/>
        <w:rPr>
          <w:rFonts w:ascii="Palatino Linotype" w:eastAsia="Calibri" w:hAnsi="Palatino Linotype" w:cs="Tahoma"/>
          <w:b/>
          <w:iCs/>
          <w:sz w:val="22"/>
          <w:szCs w:val="22"/>
          <w:lang w:val="es-ES" w:eastAsia="es-ES_tradnl"/>
        </w:rPr>
      </w:pPr>
      <w:r w:rsidRPr="00AD61EF">
        <w:rPr>
          <w:rFonts w:ascii="Palatino Linotype" w:eastAsia="Calibri" w:hAnsi="Palatino Linotype" w:cs="Tahoma"/>
          <w:iCs/>
          <w:sz w:val="22"/>
          <w:szCs w:val="22"/>
          <w:lang w:val="es-ES" w:eastAsia="es-ES_tradnl"/>
        </w:rPr>
        <w:t>Se admite el Informe de Presunta Responsabilidad Administrativa;</w:t>
      </w:r>
    </w:p>
    <w:p w14:paraId="2A1B55EA" w14:textId="77777777" w:rsidR="00E33973" w:rsidRPr="00AD61EF" w:rsidRDefault="00E33973" w:rsidP="00E33973">
      <w:pPr>
        <w:pStyle w:val="Prrafodelista"/>
        <w:numPr>
          <w:ilvl w:val="0"/>
          <w:numId w:val="6"/>
        </w:numPr>
        <w:spacing w:line="360" w:lineRule="auto"/>
        <w:contextualSpacing/>
        <w:jc w:val="both"/>
        <w:rPr>
          <w:rFonts w:ascii="Palatino Linotype" w:eastAsia="Calibri" w:hAnsi="Palatino Linotype" w:cs="Tahoma"/>
          <w:b/>
          <w:iCs/>
          <w:sz w:val="22"/>
          <w:szCs w:val="22"/>
          <w:lang w:val="es-ES" w:eastAsia="es-ES_tradnl"/>
        </w:rPr>
      </w:pPr>
      <w:r w:rsidRPr="00AD61EF">
        <w:rPr>
          <w:rFonts w:ascii="Palatino Linotype" w:eastAsia="Calibri" w:hAnsi="Palatino Linotype" w:cs="Tahoma"/>
          <w:iCs/>
          <w:sz w:val="22"/>
          <w:szCs w:val="22"/>
          <w:lang w:val="es-ES" w:eastAsia="es-ES_tradnl"/>
        </w:rPr>
        <w:t>Se ordena el emplazamiento, para citarlo a audiencia, así como a las partes que deban concurrir;</w:t>
      </w:r>
    </w:p>
    <w:p w14:paraId="75BBAD33" w14:textId="77777777" w:rsidR="00E33973" w:rsidRPr="00AD61EF" w:rsidRDefault="00E33973" w:rsidP="00E33973">
      <w:pPr>
        <w:pStyle w:val="Prrafodelista"/>
        <w:numPr>
          <w:ilvl w:val="0"/>
          <w:numId w:val="6"/>
        </w:numPr>
        <w:spacing w:line="360" w:lineRule="auto"/>
        <w:contextualSpacing/>
        <w:jc w:val="both"/>
        <w:rPr>
          <w:rFonts w:ascii="Palatino Linotype" w:eastAsia="Calibri" w:hAnsi="Palatino Linotype" w:cs="Tahoma"/>
          <w:b/>
          <w:iCs/>
          <w:sz w:val="22"/>
          <w:szCs w:val="22"/>
          <w:lang w:val="es-ES" w:eastAsia="es-ES_tradnl"/>
        </w:rPr>
      </w:pPr>
      <w:r w:rsidRPr="00AD61EF">
        <w:rPr>
          <w:rFonts w:ascii="Palatino Linotype" w:eastAsia="Calibri" w:hAnsi="Palatino Linotype" w:cs="Tahoma"/>
          <w:iCs/>
          <w:sz w:val="22"/>
          <w:szCs w:val="22"/>
          <w:lang w:val="es-ES" w:eastAsia="es-ES_tradnl"/>
        </w:rPr>
        <w:t>Se lleva a cabo la audiencia inicial, en donde el presunto responsable rendirá su declaración y ofrecerá las pruebas conducentes, son llamados los terceros interesados para que manifiesten lo que a su derecho convenga y entreguen pruebas. Así se concluye, dicha diligencia;</w:t>
      </w:r>
    </w:p>
    <w:p w14:paraId="3BF06A66" w14:textId="77777777" w:rsidR="00E33973" w:rsidRPr="00AD61EF" w:rsidRDefault="00E33973" w:rsidP="00E33973">
      <w:pPr>
        <w:pStyle w:val="Prrafodelista"/>
        <w:numPr>
          <w:ilvl w:val="0"/>
          <w:numId w:val="6"/>
        </w:numPr>
        <w:spacing w:line="360" w:lineRule="auto"/>
        <w:contextualSpacing/>
        <w:jc w:val="both"/>
        <w:rPr>
          <w:rFonts w:ascii="Palatino Linotype" w:eastAsia="Calibri" w:hAnsi="Palatino Linotype" w:cs="Tahoma"/>
          <w:b/>
          <w:iCs/>
          <w:sz w:val="22"/>
          <w:szCs w:val="22"/>
          <w:lang w:val="es-ES" w:eastAsia="es-ES_tradnl"/>
        </w:rPr>
      </w:pPr>
      <w:r w:rsidRPr="00AD61EF">
        <w:rPr>
          <w:rFonts w:ascii="Palatino Linotype" w:eastAsia="Calibri" w:hAnsi="Palatino Linotype" w:cs="Tahoma"/>
          <w:iCs/>
          <w:sz w:val="22"/>
          <w:szCs w:val="22"/>
          <w:lang w:val="es-ES" w:eastAsia="es-ES_tradnl"/>
        </w:rPr>
        <w:t>Se admiten pruebas, se abre periodo de alegatos y posteriormente se cierra la instrucción.</w:t>
      </w:r>
    </w:p>
    <w:p w14:paraId="112EA20D" w14:textId="77777777" w:rsidR="00E33973" w:rsidRPr="00AD61EF" w:rsidRDefault="00E33973" w:rsidP="00E33973">
      <w:pPr>
        <w:pStyle w:val="Prrafodelista"/>
        <w:numPr>
          <w:ilvl w:val="0"/>
          <w:numId w:val="6"/>
        </w:numPr>
        <w:spacing w:line="360" w:lineRule="auto"/>
        <w:contextualSpacing/>
        <w:jc w:val="both"/>
        <w:rPr>
          <w:rFonts w:ascii="Palatino Linotype" w:eastAsia="Calibri" w:hAnsi="Palatino Linotype" w:cs="Tahoma"/>
          <w:b/>
          <w:iCs/>
          <w:sz w:val="22"/>
          <w:szCs w:val="22"/>
          <w:lang w:val="es-ES" w:eastAsia="es-ES_tradnl"/>
        </w:rPr>
      </w:pPr>
      <w:r w:rsidRPr="00AD61EF">
        <w:rPr>
          <w:rFonts w:ascii="Palatino Linotype" w:eastAsia="Calibri" w:hAnsi="Palatino Linotype" w:cs="Tahoma"/>
          <w:iCs/>
          <w:sz w:val="22"/>
          <w:szCs w:val="22"/>
          <w:lang w:val="es-ES" w:eastAsia="es-ES_tradnl"/>
        </w:rPr>
        <w:t>Se emite resolución, la cual deberá ser notificada al servidor público, al denunciante para su conocimiento y al jefe inmediato superior para efectos de ejecución.</w:t>
      </w:r>
    </w:p>
    <w:p w14:paraId="450B7BC7" w14:textId="77777777" w:rsidR="00E33973" w:rsidRPr="00AD61EF" w:rsidRDefault="00E33973" w:rsidP="00E33973">
      <w:pPr>
        <w:pStyle w:val="Prrafodelista"/>
        <w:spacing w:line="360" w:lineRule="auto"/>
        <w:ind w:left="1440"/>
        <w:jc w:val="both"/>
        <w:rPr>
          <w:rFonts w:ascii="Palatino Linotype" w:eastAsia="Calibri" w:hAnsi="Palatino Linotype" w:cs="Tahoma"/>
          <w:b/>
          <w:iCs/>
          <w:sz w:val="22"/>
          <w:szCs w:val="22"/>
          <w:lang w:val="es-ES" w:eastAsia="es-ES_tradnl"/>
        </w:rPr>
      </w:pPr>
    </w:p>
    <w:p w14:paraId="64985DD4" w14:textId="77777777" w:rsidR="00E33973" w:rsidRPr="00E33973" w:rsidRDefault="00E33973" w:rsidP="00E33973">
      <w:pPr>
        <w:spacing w:line="360" w:lineRule="auto"/>
        <w:jc w:val="both"/>
        <w:rPr>
          <w:rFonts w:ascii="Palatino Linotype" w:eastAsia="Calibri" w:hAnsi="Palatino Linotype" w:cs="Tahoma"/>
          <w:iCs/>
          <w:sz w:val="22"/>
          <w:szCs w:val="22"/>
          <w:lang w:val="es-ES" w:eastAsia="es-ES_tradnl"/>
        </w:rPr>
      </w:pPr>
      <w:r w:rsidRPr="00E33973">
        <w:rPr>
          <w:rFonts w:ascii="Palatino Linotype" w:eastAsia="Calibri" w:hAnsi="Palatino Linotype" w:cs="Tahoma"/>
          <w:iCs/>
          <w:sz w:val="22"/>
          <w:szCs w:val="22"/>
          <w:lang w:val="es-ES" w:eastAsia="es-ES_tradnl"/>
        </w:rPr>
        <w:t xml:space="preserve">Además, es de referir que, en la etapa de investigación, el servidor público aún no conoce que el </w:t>
      </w:r>
      <w:r w:rsidRPr="00E33973">
        <w:rPr>
          <w:rFonts w:ascii="Palatino Linotype" w:hAnsi="Palatino Linotype" w:cs="Tahoma"/>
          <w:bCs/>
          <w:iCs/>
          <w:sz w:val="22"/>
          <w:szCs w:val="22"/>
          <w:lang w:val="es-ES_tradnl"/>
        </w:rPr>
        <w:t>Órgano Interno de Control</w:t>
      </w:r>
      <w:r w:rsidRPr="00E33973">
        <w:rPr>
          <w:rFonts w:ascii="Palatino Linotype" w:eastAsia="Calibri" w:hAnsi="Palatino Linotype" w:cs="Tahoma"/>
          <w:iCs/>
          <w:sz w:val="22"/>
          <w:szCs w:val="22"/>
          <w:lang w:val="es-ES" w:eastAsia="es-ES_tradnl"/>
        </w:rPr>
        <w:t>, lo está investigando por las posibles responsabilidades; por lo que conocerá el trabajador de dicha circunstancia, hasta que se haya emitido el Informe de Presunta Responsabilidad Administrativa y se emplaza para llamarlo audiencia.</w:t>
      </w:r>
    </w:p>
    <w:p w14:paraId="770118A1" w14:textId="452893B4" w:rsidR="00E33973" w:rsidRPr="00E33973" w:rsidRDefault="00E33973" w:rsidP="00E33973">
      <w:pPr>
        <w:spacing w:line="360" w:lineRule="auto"/>
        <w:jc w:val="both"/>
        <w:rPr>
          <w:rFonts w:ascii="Palatino Linotype" w:eastAsia="Calibri" w:hAnsi="Palatino Linotype" w:cs="Tahoma"/>
          <w:iCs/>
          <w:sz w:val="22"/>
          <w:szCs w:val="22"/>
          <w:lang w:val="es-ES" w:eastAsia="es-ES_tradnl"/>
        </w:rPr>
      </w:pPr>
      <w:r w:rsidRPr="00E33973">
        <w:rPr>
          <w:rFonts w:ascii="Palatino Linotype" w:eastAsia="Calibri" w:hAnsi="Palatino Linotype" w:cs="Tahoma"/>
          <w:iCs/>
          <w:sz w:val="22"/>
          <w:szCs w:val="22"/>
          <w:lang w:val="es-ES" w:eastAsia="es-ES_tradnl"/>
        </w:rPr>
        <w:t xml:space="preserve">Conforme a lo anterior, se considera que aquellos procedimientos que se encontraban en trámite, es decir, que estuvieran en la etapa de investigación o procedimiento de responsabilidad previo a la emisión de la resolución, actualizan el primer elemento para acreditar la reserva. </w:t>
      </w:r>
    </w:p>
    <w:p w14:paraId="13D608BF" w14:textId="77777777" w:rsidR="00E33973" w:rsidRPr="00E33973" w:rsidRDefault="00E33973" w:rsidP="00E33973">
      <w:pPr>
        <w:spacing w:line="360" w:lineRule="auto"/>
        <w:jc w:val="both"/>
        <w:rPr>
          <w:rFonts w:ascii="Palatino Linotype" w:eastAsia="Calibri" w:hAnsi="Palatino Linotype" w:cs="Tahoma"/>
          <w:iCs/>
          <w:sz w:val="22"/>
          <w:szCs w:val="22"/>
          <w:lang w:val="es-ES" w:eastAsia="es-ES_tradnl"/>
        </w:rPr>
      </w:pPr>
    </w:p>
    <w:p w14:paraId="001ADA91" w14:textId="77777777" w:rsidR="00E33973" w:rsidRPr="00AD61EF" w:rsidRDefault="00E33973" w:rsidP="00E33973">
      <w:pPr>
        <w:pStyle w:val="Prrafodelista"/>
        <w:numPr>
          <w:ilvl w:val="0"/>
          <w:numId w:val="16"/>
        </w:numPr>
        <w:spacing w:line="360" w:lineRule="auto"/>
        <w:contextualSpacing/>
        <w:jc w:val="both"/>
        <w:rPr>
          <w:rFonts w:ascii="Palatino Linotype" w:eastAsia="Calibri" w:hAnsi="Palatino Linotype" w:cs="Tahoma"/>
          <w:b/>
          <w:iCs/>
          <w:sz w:val="22"/>
          <w:szCs w:val="22"/>
          <w:lang w:val="es-ES" w:eastAsia="es-ES_tradnl"/>
        </w:rPr>
      </w:pPr>
      <w:r w:rsidRPr="00AD61EF">
        <w:rPr>
          <w:rFonts w:ascii="Palatino Linotype" w:eastAsia="Calibri" w:hAnsi="Palatino Linotype" w:cs="Tahoma"/>
          <w:b/>
          <w:iCs/>
          <w:sz w:val="22"/>
          <w:szCs w:val="22"/>
          <w:lang w:eastAsia="es-ES_tradnl"/>
        </w:rPr>
        <w:t>La información se refiera a actuaciones, diligencias y constancias propias del procedimiento de responsabilidad.</w:t>
      </w:r>
    </w:p>
    <w:p w14:paraId="213FACBE" w14:textId="77777777" w:rsidR="00E33973" w:rsidRPr="00E33973" w:rsidRDefault="00E33973" w:rsidP="00E33973">
      <w:pPr>
        <w:spacing w:line="360" w:lineRule="auto"/>
        <w:rPr>
          <w:rFonts w:ascii="Palatino Linotype" w:eastAsia="Calibri" w:hAnsi="Palatino Linotype" w:cs="Tahoma"/>
          <w:iCs/>
          <w:sz w:val="22"/>
          <w:szCs w:val="22"/>
          <w:lang w:val="es-ES" w:eastAsia="es-ES_tradnl"/>
        </w:rPr>
      </w:pPr>
    </w:p>
    <w:p w14:paraId="22D2B41E" w14:textId="0398596A" w:rsidR="00E33973" w:rsidRPr="00E33973" w:rsidRDefault="00E33973" w:rsidP="00E33973">
      <w:pPr>
        <w:spacing w:line="360" w:lineRule="auto"/>
        <w:jc w:val="both"/>
        <w:rPr>
          <w:rFonts w:ascii="Palatino Linotype" w:eastAsia="Calibri" w:hAnsi="Palatino Linotype" w:cs="Tahoma"/>
          <w:iCs/>
          <w:sz w:val="22"/>
          <w:szCs w:val="22"/>
          <w:lang w:val="es-ES" w:eastAsia="es-ES_tradnl"/>
        </w:rPr>
      </w:pPr>
      <w:r w:rsidRPr="00E33973">
        <w:rPr>
          <w:rFonts w:ascii="Palatino Linotype" w:eastAsia="Calibri" w:hAnsi="Palatino Linotype" w:cs="Tahoma"/>
          <w:iCs/>
          <w:sz w:val="22"/>
          <w:szCs w:val="22"/>
          <w:lang w:val="es-ES" w:eastAsia="es-ES_tradnl"/>
        </w:rPr>
        <w:t>Ahora bien, se considera que dado que se requiere tener acceso a</w:t>
      </w:r>
      <w:r>
        <w:rPr>
          <w:rFonts w:ascii="Palatino Linotype" w:eastAsia="Calibri" w:hAnsi="Palatino Linotype" w:cs="Tahoma"/>
          <w:iCs/>
          <w:sz w:val="22"/>
          <w:szCs w:val="22"/>
          <w:lang w:val="es-ES" w:eastAsia="es-ES_tradnl"/>
        </w:rPr>
        <w:t xml:space="preserve"> quejas y denuncias </w:t>
      </w:r>
      <w:r w:rsidRPr="00E33973">
        <w:rPr>
          <w:rFonts w:ascii="Palatino Linotype" w:eastAsia="Calibri" w:hAnsi="Palatino Linotype" w:cs="Tahoma"/>
          <w:iCs/>
          <w:sz w:val="22"/>
          <w:szCs w:val="22"/>
          <w:lang w:val="es-ES" w:eastAsia="es-ES_tradnl"/>
        </w:rPr>
        <w:t xml:space="preserve"> </w:t>
      </w:r>
      <w:r>
        <w:rPr>
          <w:rFonts w:ascii="Palatino Linotype" w:eastAsia="Calibri" w:hAnsi="Palatino Linotype" w:cs="Tahoma"/>
          <w:iCs/>
          <w:sz w:val="22"/>
          <w:szCs w:val="22"/>
          <w:lang w:val="es-ES" w:eastAsia="es-ES_tradnl"/>
        </w:rPr>
        <w:t xml:space="preserve">que de ser el caso obren en </w:t>
      </w:r>
      <w:r w:rsidRPr="00E33973">
        <w:rPr>
          <w:rFonts w:ascii="Palatino Linotype" w:eastAsia="Calibri" w:hAnsi="Palatino Linotype" w:cs="Tahoma"/>
          <w:iCs/>
          <w:sz w:val="22"/>
          <w:szCs w:val="22"/>
          <w:lang w:val="es-ES" w:eastAsia="es-ES_tradnl"/>
        </w:rPr>
        <w:t>expedient</w:t>
      </w:r>
      <w:r>
        <w:rPr>
          <w:rFonts w:ascii="Palatino Linotype" w:eastAsia="Calibri" w:hAnsi="Palatino Linotype" w:cs="Tahoma"/>
          <w:iCs/>
          <w:sz w:val="22"/>
          <w:szCs w:val="22"/>
          <w:lang w:val="es-ES" w:eastAsia="es-ES_tradnl"/>
        </w:rPr>
        <w:t>es en trámite</w:t>
      </w:r>
      <w:r w:rsidRPr="00E33973">
        <w:rPr>
          <w:rFonts w:ascii="Palatino Linotype" w:eastAsia="Calibri" w:hAnsi="Palatino Linotype" w:cs="Tahoma"/>
          <w:iCs/>
          <w:sz w:val="22"/>
          <w:szCs w:val="22"/>
          <w:lang w:val="es-ES" w:eastAsia="es-ES_tradnl"/>
        </w:rPr>
        <w:t xml:space="preserve">, este </w:t>
      </w:r>
      <w:r>
        <w:rPr>
          <w:rFonts w:ascii="Palatino Linotype" w:eastAsia="Calibri" w:hAnsi="Palatino Linotype" w:cs="Tahoma"/>
          <w:iCs/>
          <w:sz w:val="22"/>
          <w:szCs w:val="22"/>
          <w:lang w:val="es-ES" w:eastAsia="es-ES_tradnl"/>
        </w:rPr>
        <w:t>forma parte de</w:t>
      </w:r>
      <w:r w:rsidRPr="00E33973">
        <w:rPr>
          <w:rFonts w:ascii="Palatino Linotype" w:eastAsia="Calibri" w:hAnsi="Palatino Linotype" w:cs="Tahoma"/>
          <w:iCs/>
          <w:sz w:val="22"/>
          <w:szCs w:val="22"/>
          <w:lang w:val="es-ES" w:eastAsia="es-ES_tradnl"/>
        </w:rPr>
        <w:t xml:space="preserve"> las actuaciones, diligencias o constancias propias del procedimiento, pues la denuncia o queja contiene el</w:t>
      </w:r>
      <w:r>
        <w:rPr>
          <w:rFonts w:ascii="Palatino Linotype" w:eastAsia="Calibri" w:hAnsi="Palatino Linotype" w:cs="Tahoma"/>
          <w:iCs/>
          <w:sz w:val="22"/>
          <w:szCs w:val="22"/>
          <w:lang w:val="es-ES" w:eastAsia="es-ES_tradnl"/>
        </w:rPr>
        <w:t xml:space="preserve"> motivo de investigación</w:t>
      </w:r>
      <w:r w:rsidRPr="00E33973">
        <w:rPr>
          <w:rFonts w:ascii="Palatino Linotype" w:eastAsia="Calibri" w:hAnsi="Palatino Linotype" w:cs="Tahoma"/>
          <w:iCs/>
          <w:sz w:val="22"/>
          <w:szCs w:val="22"/>
          <w:lang w:val="es-ES" w:eastAsia="es-ES_tradnl"/>
        </w:rPr>
        <w:t>, por lo que, es claro que por lo que hace a la información peticionada de los procedimientos de responsabilidades administrativas en trámite, actualizan el Segundo de los requisitos establecidos en los Lineamientos Generales.</w:t>
      </w:r>
    </w:p>
    <w:p w14:paraId="0854A284" w14:textId="77777777" w:rsidR="00E33973" w:rsidRPr="00E33973" w:rsidRDefault="00E33973" w:rsidP="00E33973">
      <w:pPr>
        <w:spacing w:line="360" w:lineRule="auto"/>
        <w:jc w:val="both"/>
        <w:rPr>
          <w:rFonts w:ascii="Palatino Linotype" w:eastAsia="Calibri" w:hAnsi="Palatino Linotype" w:cs="Tahoma"/>
          <w:iCs/>
          <w:sz w:val="22"/>
          <w:szCs w:val="22"/>
          <w:lang w:val="es-ES" w:eastAsia="es-ES_tradnl"/>
        </w:rPr>
      </w:pPr>
    </w:p>
    <w:p w14:paraId="31EB5D99" w14:textId="50DD70AB" w:rsidR="00E33973" w:rsidRPr="00E33973" w:rsidRDefault="00E33973" w:rsidP="00E33973">
      <w:pPr>
        <w:spacing w:line="360" w:lineRule="auto"/>
        <w:jc w:val="both"/>
        <w:rPr>
          <w:rFonts w:ascii="Palatino Linotype" w:eastAsia="Calibri" w:hAnsi="Palatino Linotype" w:cs="Tahoma"/>
          <w:iCs/>
          <w:sz w:val="22"/>
          <w:szCs w:val="22"/>
          <w:lang w:val="es-ES" w:eastAsia="es-ES_tradnl"/>
        </w:rPr>
      </w:pPr>
      <w:r w:rsidRPr="00E33973">
        <w:rPr>
          <w:rFonts w:ascii="Palatino Linotype" w:eastAsia="Calibri" w:hAnsi="Palatino Linotype" w:cs="Tahoma"/>
          <w:iCs/>
          <w:sz w:val="22"/>
          <w:szCs w:val="22"/>
          <w:lang w:val="es-ES" w:eastAsia="es-ES_tradnl"/>
        </w:rPr>
        <w:t xml:space="preserve">Por tales circunstancias, se considera que la información respecto a los procesos de responsabilidades administrativos, que estaban en trámite, </w:t>
      </w:r>
      <w:r w:rsidR="004B1DA6" w:rsidRPr="00E33973">
        <w:rPr>
          <w:rFonts w:ascii="Palatino Linotype" w:eastAsia="Calibri" w:hAnsi="Palatino Linotype" w:cs="Tahoma"/>
          <w:iCs/>
          <w:sz w:val="22"/>
          <w:szCs w:val="22"/>
          <w:lang w:val="es-ES" w:eastAsia="es-ES_tradnl"/>
        </w:rPr>
        <w:t>actualiza</w:t>
      </w:r>
      <w:r w:rsidRPr="00E33973">
        <w:rPr>
          <w:rFonts w:ascii="Palatino Linotype" w:eastAsia="Calibri" w:hAnsi="Palatino Linotype" w:cs="Tahoma"/>
          <w:iCs/>
          <w:sz w:val="22"/>
          <w:szCs w:val="22"/>
          <w:lang w:val="es-ES" w:eastAsia="es-ES_tradnl"/>
        </w:rPr>
        <w:t xml:space="preserve"> la causal de reserva establecida en el artículo 140, fracción VI, Ley de Transparencia y Acceso a la Información Pública del Estado de México y Municipios.</w:t>
      </w:r>
    </w:p>
    <w:p w14:paraId="2D72808A" w14:textId="77777777" w:rsidR="00E33973" w:rsidRPr="00E33973" w:rsidRDefault="00E33973" w:rsidP="00E33973">
      <w:pPr>
        <w:spacing w:line="360" w:lineRule="auto"/>
        <w:jc w:val="both"/>
        <w:rPr>
          <w:rFonts w:ascii="Palatino Linotype" w:eastAsia="Calibri" w:hAnsi="Palatino Linotype" w:cs="Tahoma"/>
          <w:b/>
          <w:iCs/>
          <w:sz w:val="22"/>
          <w:szCs w:val="22"/>
          <w:lang w:val="es-ES" w:eastAsia="es-ES_tradnl"/>
        </w:rPr>
      </w:pPr>
    </w:p>
    <w:p w14:paraId="1CB9EC53" w14:textId="77777777" w:rsidR="00E33973" w:rsidRPr="00E33973" w:rsidRDefault="00E33973" w:rsidP="00E33973">
      <w:pPr>
        <w:tabs>
          <w:tab w:val="left" w:pos="4962"/>
        </w:tabs>
        <w:spacing w:line="360" w:lineRule="auto"/>
        <w:jc w:val="both"/>
        <w:rPr>
          <w:rFonts w:ascii="Palatino Linotype" w:eastAsia="Calibri" w:hAnsi="Palatino Linotype" w:cs="Tahoma"/>
          <w:iCs/>
          <w:sz w:val="22"/>
          <w:szCs w:val="22"/>
          <w:lang w:val="es-ES" w:eastAsia="es-ES_tradnl"/>
        </w:rPr>
      </w:pPr>
      <w:r w:rsidRPr="00E33973">
        <w:rPr>
          <w:rFonts w:ascii="Palatino Linotype" w:eastAsia="Calibri" w:hAnsi="Palatino Linotype" w:cs="Tahoma"/>
          <w:iCs/>
          <w:sz w:val="22"/>
          <w:szCs w:val="22"/>
          <w:lang w:val="es-ES" w:eastAsia="es-ES_tradnl"/>
        </w:rPr>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23ABFCDA" w14:textId="77777777" w:rsidR="00E33973" w:rsidRPr="00E33973" w:rsidRDefault="00E33973" w:rsidP="00E33973">
      <w:pPr>
        <w:tabs>
          <w:tab w:val="left" w:pos="4962"/>
        </w:tabs>
        <w:spacing w:line="360" w:lineRule="auto"/>
        <w:jc w:val="both"/>
        <w:rPr>
          <w:rFonts w:ascii="Palatino Linotype" w:eastAsia="Calibri" w:hAnsi="Palatino Linotype" w:cs="Tahoma"/>
          <w:iCs/>
          <w:sz w:val="22"/>
          <w:szCs w:val="22"/>
          <w:lang w:val="es-ES" w:eastAsia="es-ES_tradnl"/>
        </w:rPr>
      </w:pPr>
    </w:p>
    <w:p w14:paraId="181002BA" w14:textId="77777777" w:rsidR="00E33973" w:rsidRPr="00B77CA1" w:rsidRDefault="00E33973" w:rsidP="00E33973">
      <w:pPr>
        <w:numPr>
          <w:ilvl w:val="0"/>
          <w:numId w:val="17"/>
        </w:numPr>
        <w:tabs>
          <w:tab w:val="left" w:pos="4962"/>
        </w:tabs>
        <w:spacing w:line="360" w:lineRule="auto"/>
        <w:jc w:val="both"/>
        <w:rPr>
          <w:rFonts w:ascii="Palatino Linotype" w:eastAsia="Calibri" w:hAnsi="Palatino Linotype" w:cs="Tahoma"/>
          <w:iCs/>
          <w:sz w:val="22"/>
          <w:szCs w:val="22"/>
          <w:lang w:val="es-ES_tradnl" w:eastAsia="es-ES_tradnl"/>
        </w:rPr>
      </w:pPr>
      <w:r w:rsidRPr="00E33973">
        <w:rPr>
          <w:rFonts w:ascii="Palatino Linotype" w:eastAsia="Calibri" w:hAnsi="Palatino Linotype" w:cs="Tahoma"/>
          <w:iCs/>
          <w:sz w:val="22"/>
          <w:szCs w:val="22"/>
          <w:lang w:val="es-ES_tradnl" w:eastAsia="es-ES_tradnl"/>
        </w:rPr>
        <w:t>La divulgació</w:t>
      </w:r>
      <w:r w:rsidRPr="00B77CA1">
        <w:rPr>
          <w:rFonts w:ascii="Palatino Linotype" w:eastAsia="Calibri" w:hAnsi="Palatino Linotype" w:cs="Tahoma"/>
          <w:iCs/>
          <w:sz w:val="22"/>
          <w:szCs w:val="22"/>
          <w:lang w:val="es-ES_tradnl" w:eastAsia="es-ES_tradnl"/>
        </w:rPr>
        <w:t>n de la información representa un riesgo real, demostrable e identificable de perjuicio significativo al interés público o a la seguridad nacional.</w:t>
      </w:r>
    </w:p>
    <w:p w14:paraId="394550A5" w14:textId="77777777" w:rsidR="00E33973" w:rsidRPr="00B77CA1" w:rsidRDefault="00E33973" w:rsidP="00E33973">
      <w:pPr>
        <w:tabs>
          <w:tab w:val="left" w:pos="4962"/>
        </w:tabs>
        <w:spacing w:line="360" w:lineRule="auto"/>
        <w:ind w:left="1080"/>
        <w:jc w:val="both"/>
        <w:rPr>
          <w:rFonts w:ascii="Palatino Linotype" w:eastAsia="Calibri" w:hAnsi="Palatino Linotype" w:cs="Tahoma"/>
          <w:iCs/>
          <w:sz w:val="22"/>
          <w:szCs w:val="22"/>
          <w:lang w:val="es-ES_tradnl" w:eastAsia="es-ES_tradnl"/>
        </w:rPr>
      </w:pPr>
    </w:p>
    <w:p w14:paraId="333390D3" w14:textId="77777777" w:rsidR="00E33973" w:rsidRPr="00B77CA1" w:rsidRDefault="00E33973" w:rsidP="00E33973">
      <w:pPr>
        <w:numPr>
          <w:ilvl w:val="0"/>
          <w:numId w:val="17"/>
        </w:numPr>
        <w:tabs>
          <w:tab w:val="left" w:pos="4962"/>
        </w:tabs>
        <w:spacing w:line="360" w:lineRule="auto"/>
        <w:jc w:val="both"/>
        <w:rPr>
          <w:rFonts w:ascii="Palatino Linotype" w:eastAsia="Calibri" w:hAnsi="Palatino Linotype" w:cs="Tahoma"/>
          <w:iCs/>
          <w:sz w:val="22"/>
          <w:szCs w:val="22"/>
          <w:lang w:val="es-ES_tradnl" w:eastAsia="es-ES_tradnl"/>
        </w:rPr>
      </w:pPr>
      <w:r w:rsidRPr="00B77CA1">
        <w:rPr>
          <w:rFonts w:ascii="Palatino Linotype" w:eastAsia="Calibri" w:hAnsi="Palatino Linotype" w:cs="Tahoma"/>
          <w:iCs/>
          <w:sz w:val="22"/>
          <w:szCs w:val="22"/>
          <w:lang w:val="es-ES_tradnl" w:eastAsia="es-ES_tradnl"/>
        </w:rPr>
        <w:t>El riesgo de perjuicio supera el interés público general de que se difunda.</w:t>
      </w:r>
    </w:p>
    <w:p w14:paraId="5C47C20C" w14:textId="77777777" w:rsidR="00E33973" w:rsidRPr="00B77CA1" w:rsidRDefault="00E33973" w:rsidP="00E33973">
      <w:pPr>
        <w:pStyle w:val="Prrafodelista"/>
        <w:spacing w:line="360" w:lineRule="auto"/>
        <w:rPr>
          <w:rFonts w:ascii="Palatino Linotype" w:eastAsia="Calibri" w:hAnsi="Palatino Linotype" w:cs="Tahoma"/>
          <w:iCs/>
          <w:szCs w:val="22"/>
          <w:lang w:val="es-ES_tradnl" w:eastAsia="es-ES_tradnl"/>
        </w:rPr>
      </w:pPr>
    </w:p>
    <w:p w14:paraId="47EC2691" w14:textId="77777777" w:rsidR="00E33973" w:rsidRPr="00B77CA1" w:rsidRDefault="00E33973" w:rsidP="00E33973">
      <w:pPr>
        <w:numPr>
          <w:ilvl w:val="0"/>
          <w:numId w:val="17"/>
        </w:numPr>
        <w:tabs>
          <w:tab w:val="left" w:pos="4962"/>
        </w:tabs>
        <w:spacing w:line="360" w:lineRule="auto"/>
        <w:jc w:val="both"/>
        <w:rPr>
          <w:rFonts w:ascii="Palatino Linotype" w:eastAsia="Calibri" w:hAnsi="Palatino Linotype" w:cs="Tahoma"/>
          <w:iCs/>
          <w:sz w:val="22"/>
          <w:szCs w:val="22"/>
          <w:lang w:val="es-ES_tradnl" w:eastAsia="es-ES_tradnl"/>
        </w:rPr>
      </w:pPr>
      <w:r w:rsidRPr="00B77CA1">
        <w:rPr>
          <w:rFonts w:ascii="Palatino Linotype" w:eastAsia="Calibri" w:hAnsi="Palatino Linotype" w:cs="Tahoma"/>
          <w:iCs/>
          <w:sz w:val="22"/>
          <w:szCs w:val="22"/>
          <w:lang w:val="es-ES_tradnl" w:eastAsia="es-ES_tradnl"/>
        </w:rPr>
        <w:t>Que la limitación se adecua al principio de proporcionalidad y representa el medio menos restrictivo disponible para evitar el perjuicio.</w:t>
      </w:r>
    </w:p>
    <w:p w14:paraId="49906B35" w14:textId="77777777" w:rsidR="00E33973" w:rsidRPr="00B77CA1" w:rsidRDefault="00E33973" w:rsidP="00E33973">
      <w:pPr>
        <w:tabs>
          <w:tab w:val="left" w:pos="4962"/>
        </w:tabs>
        <w:spacing w:line="360" w:lineRule="auto"/>
        <w:jc w:val="both"/>
        <w:rPr>
          <w:rFonts w:ascii="Palatino Linotype" w:eastAsia="Calibri" w:hAnsi="Palatino Linotype" w:cs="Tahoma"/>
          <w:iCs/>
          <w:sz w:val="22"/>
          <w:szCs w:val="22"/>
          <w:lang w:val="es-ES" w:eastAsia="es-ES_tradnl"/>
        </w:rPr>
      </w:pPr>
    </w:p>
    <w:p w14:paraId="446DA4A0" w14:textId="77777777" w:rsidR="00E33973" w:rsidRPr="00B77CA1" w:rsidRDefault="00E33973" w:rsidP="00E33973">
      <w:pPr>
        <w:spacing w:line="360" w:lineRule="auto"/>
        <w:jc w:val="both"/>
        <w:rPr>
          <w:rFonts w:ascii="Palatino Linotype" w:eastAsia="Calibri" w:hAnsi="Palatino Linotype" w:cs="Tahoma"/>
          <w:iCs/>
          <w:sz w:val="22"/>
          <w:szCs w:val="22"/>
          <w:lang w:eastAsia="es-ES_tradnl"/>
        </w:rPr>
      </w:pPr>
      <w:r w:rsidRPr="00B77CA1">
        <w:rPr>
          <w:rFonts w:ascii="Palatino Linotype" w:eastAsia="Calibri" w:hAnsi="Palatino Linotype" w:cs="Tahoma"/>
          <w:iCs/>
          <w:sz w:val="22"/>
          <w:szCs w:val="22"/>
          <w:lang w:eastAsia="es-ES_tradnl"/>
        </w:rPr>
        <w:t>Al respecto, este Instituto advierte lo siguiente:</w:t>
      </w:r>
    </w:p>
    <w:p w14:paraId="3D5155D5" w14:textId="77777777" w:rsidR="00E33973" w:rsidRPr="00B77CA1" w:rsidRDefault="00E33973" w:rsidP="00E33973">
      <w:pPr>
        <w:spacing w:line="360" w:lineRule="auto"/>
        <w:ind w:right="-93"/>
        <w:jc w:val="both"/>
        <w:rPr>
          <w:rFonts w:ascii="Palatino Linotype" w:hAnsi="Palatino Linotype" w:cs="Tahoma"/>
          <w:b/>
          <w:sz w:val="22"/>
          <w:szCs w:val="22"/>
        </w:rPr>
      </w:pPr>
    </w:p>
    <w:p w14:paraId="74569FB2" w14:textId="49399A72" w:rsidR="00E33973" w:rsidRPr="00625514" w:rsidRDefault="00E33973" w:rsidP="00E33973">
      <w:pPr>
        <w:numPr>
          <w:ilvl w:val="0"/>
          <w:numId w:val="18"/>
        </w:numPr>
        <w:spacing w:line="360" w:lineRule="auto"/>
        <w:contextualSpacing/>
        <w:jc w:val="both"/>
        <w:rPr>
          <w:rFonts w:ascii="Palatino Linotype" w:eastAsia="Calibri" w:hAnsi="Palatino Linotype" w:cs="Tahoma"/>
          <w:bCs/>
          <w:sz w:val="22"/>
          <w:szCs w:val="22"/>
          <w:lang w:eastAsia="en-US"/>
        </w:rPr>
      </w:pPr>
      <w:r w:rsidRPr="00625514">
        <w:rPr>
          <w:rFonts w:ascii="Palatino Linotype" w:eastAsia="Calibri" w:hAnsi="Palatino Linotype" w:cs="Tahoma"/>
          <w:bCs/>
          <w:sz w:val="22"/>
          <w:szCs w:val="22"/>
          <w:lang w:eastAsia="en-US"/>
        </w:rPr>
        <w:t xml:space="preserve">Que existe un </w:t>
      </w:r>
      <w:r w:rsidRPr="00625514">
        <w:rPr>
          <w:rFonts w:ascii="Palatino Linotype" w:eastAsia="Calibri" w:hAnsi="Palatino Linotype" w:cs="Tahoma"/>
          <w:b/>
          <w:bCs/>
          <w:sz w:val="22"/>
          <w:szCs w:val="22"/>
          <w:lang w:eastAsia="en-US"/>
        </w:rPr>
        <w:t xml:space="preserve">riesgo real, demostrable e identificable, </w:t>
      </w:r>
      <w:r w:rsidRPr="00625514">
        <w:rPr>
          <w:rFonts w:ascii="Palatino Linotype" w:eastAsia="Calibri" w:hAnsi="Palatino Linotype" w:cs="Tahoma"/>
          <w:bCs/>
          <w:sz w:val="22"/>
          <w:szCs w:val="22"/>
          <w:lang w:eastAsia="en-US"/>
        </w:rPr>
        <w:t>toda vez que dar a conocer los documentos que forman</w:t>
      </w:r>
      <w:r w:rsidR="00FB51F4">
        <w:rPr>
          <w:rFonts w:ascii="Palatino Linotype" w:eastAsia="Calibri" w:hAnsi="Palatino Linotype" w:cs="Tahoma"/>
          <w:bCs/>
          <w:sz w:val="22"/>
          <w:szCs w:val="22"/>
          <w:lang w:eastAsia="en-US"/>
        </w:rPr>
        <w:t xml:space="preserve"> parte de </w:t>
      </w:r>
      <w:r w:rsidRPr="00625514">
        <w:rPr>
          <w:rFonts w:ascii="Palatino Linotype" w:eastAsia="Calibri" w:hAnsi="Palatino Linotype" w:cs="Tahoma"/>
          <w:bCs/>
          <w:sz w:val="22"/>
          <w:szCs w:val="22"/>
          <w:lang w:eastAsia="en-US"/>
        </w:rPr>
        <w:t>los expedientes de los procedimientos de responsabilidades en trámite</w:t>
      </w:r>
      <w:r w:rsidR="00FB51F4">
        <w:rPr>
          <w:rFonts w:ascii="Palatino Linotype" w:eastAsia="Calibri" w:hAnsi="Palatino Linotype" w:cs="Tahoma"/>
          <w:bCs/>
          <w:sz w:val="22"/>
          <w:szCs w:val="22"/>
          <w:lang w:eastAsia="en-US"/>
        </w:rPr>
        <w:t>, como las quejas y denuncias</w:t>
      </w:r>
      <w:r w:rsidRPr="00625514">
        <w:rPr>
          <w:rFonts w:ascii="Palatino Linotype" w:eastAsia="Calibri" w:hAnsi="Palatino Linotype" w:cs="Tahoma"/>
          <w:bCs/>
          <w:sz w:val="22"/>
          <w:szCs w:val="22"/>
          <w:lang w:eastAsia="en-US"/>
        </w:rPr>
        <w:t>, por una parte, daría cuenta de la existencia de un procedimiento de responsabilidades en trámite y por otra, que cualquier persona, podría acceder a dicha información, que forma parte del expediente sustanciado por la Contraloría Municipal.</w:t>
      </w:r>
    </w:p>
    <w:p w14:paraId="3A396F45" w14:textId="77777777" w:rsidR="00E33973" w:rsidRPr="00012296" w:rsidRDefault="00E33973" w:rsidP="00E33973">
      <w:pPr>
        <w:spacing w:line="360" w:lineRule="auto"/>
        <w:contextualSpacing/>
        <w:jc w:val="both"/>
        <w:rPr>
          <w:rFonts w:ascii="Palatino Linotype" w:eastAsia="Calibri" w:hAnsi="Palatino Linotype" w:cs="Tahoma"/>
          <w:bCs/>
          <w:sz w:val="22"/>
          <w:szCs w:val="22"/>
          <w:lang w:eastAsia="en-US"/>
        </w:rPr>
      </w:pPr>
    </w:p>
    <w:p w14:paraId="486E6A6E" w14:textId="77777777" w:rsidR="00E33973" w:rsidRPr="00012296" w:rsidRDefault="00E33973" w:rsidP="00E33973">
      <w:pPr>
        <w:spacing w:line="360" w:lineRule="auto"/>
        <w:ind w:left="720"/>
        <w:contextualSpacing/>
        <w:jc w:val="both"/>
        <w:rPr>
          <w:rFonts w:ascii="Palatino Linotype" w:eastAsia="Calibri" w:hAnsi="Palatino Linotype" w:cs="Tahoma"/>
          <w:bCs/>
          <w:sz w:val="22"/>
          <w:szCs w:val="22"/>
          <w:lang w:eastAsia="en-US"/>
        </w:rPr>
      </w:pPr>
      <w:r w:rsidRPr="00012296">
        <w:rPr>
          <w:rFonts w:ascii="Palatino Linotype" w:eastAsia="Calibri" w:hAnsi="Palatino Linotype" w:cs="Tahoma"/>
          <w:bCs/>
          <w:sz w:val="22"/>
          <w:szCs w:val="22"/>
          <w:lang w:eastAsia="en-US"/>
        </w:rPr>
        <w:t xml:space="preserve">En ese orden de ideas, existe un </w:t>
      </w:r>
      <w:r w:rsidRPr="00012296">
        <w:rPr>
          <w:rFonts w:ascii="Palatino Linotype" w:eastAsia="Calibri" w:hAnsi="Palatino Linotype" w:cs="Tahoma"/>
          <w:b/>
          <w:sz w:val="22"/>
          <w:szCs w:val="22"/>
          <w:lang w:eastAsia="en-US"/>
        </w:rPr>
        <w:t>riesgo real,</w:t>
      </w:r>
      <w:r w:rsidRPr="00012296">
        <w:rPr>
          <w:rFonts w:ascii="Palatino Linotype" w:eastAsia="Calibri" w:hAnsi="Palatino Linotype" w:cs="Tahoma"/>
          <w:bCs/>
          <w:sz w:val="22"/>
          <w:szCs w:val="22"/>
          <w:lang w:eastAsia="en-US"/>
        </w:rPr>
        <w:t xml:space="preserve"> pues proporcionar la información podría, hacerse del conocimiento del servidor público</w:t>
      </w:r>
      <w:r>
        <w:rPr>
          <w:rFonts w:ascii="Palatino Linotype" w:eastAsia="Calibri" w:hAnsi="Palatino Linotype" w:cs="Tahoma"/>
          <w:bCs/>
          <w:sz w:val="22"/>
          <w:szCs w:val="22"/>
          <w:lang w:eastAsia="en-US"/>
        </w:rPr>
        <w:t xml:space="preserve"> investigado y lo</w:t>
      </w:r>
      <w:r w:rsidRPr="00012296">
        <w:rPr>
          <w:rFonts w:ascii="Palatino Linotype" w:eastAsia="Calibri" w:hAnsi="Palatino Linotype" w:cs="Tahoma"/>
          <w:b/>
          <w:sz w:val="22"/>
          <w:szCs w:val="22"/>
          <w:lang w:eastAsia="en-US"/>
        </w:rPr>
        <w:t xml:space="preserve"> alertarían</w:t>
      </w:r>
      <w:r>
        <w:rPr>
          <w:rFonts w:ascii="Palatino Linotype" w:eastAsia="Calibri" w:hAnsi="Palatino Linotype" w:cs="Tahoma"/>
          <w:b/>
          <w:sz w:val="22"/>
          <w:szCs w:val="22"/>
          <w:lang w:eastAsia="en-US"/>
        </w:rPr>
        <w:t>, en el supuesto, que se encuentre en la etapa de investigación</w:t>
      </w:r>
      <w:r w:rsidRPr="00012296">
        <w:rPr>
          <w:rFonts w:ascii="Palatino Linotype" w:eastAsia="Calibri" w:hAnsi="Palatino Linotype" w:cs="Tahoma"/>
          <w:bCs/>
          <w:sz w:val="22"/>
          <w:szCs w:val="22"/>
          <w:lang w:eastAsia="en-US"/>
        </w:rPr>
        <w:t>, situación que podría ocasionar que este se sustraiga del procedimiento, o busque, la manera de alterar las actuaciones realizadas por la Contraloría, obstruyendo la investigación realizada y la correcta realización del procedimiento de responsabilidades.</w:t>
      </w:r>
    </w:p>
    <w:p w14:paraId="4EF5D8EC" w14:textId="77777777" w:rsidR="00E33973" w:rsidRPr="00012296" w:rsidRDefault="00E33973" w:rsidP="00E33973">
      <w:pPr>
        <w:spacing w:line="360" w:lineRule="auto"/>
        <w:ind w:left="720"/>
        <w:contextualSpacing/>
        <w:jc w:val="both"/>
        <w:rPr>
          <w:rFonts w:ascii="Palatino Linotype" w:eastAsia="Calibri" w:hAnsi="Palatino Linotype" w:cs="Tahoma"/>
          <w:bCs/>
          <w:sz w:val="22"/>
          <w:szCs w:val="22"/>
          <w:lang w:eastAsia="en-US"/>
        </w:rPr>
      </w:pPr>
    </w:p>
    <w:p w14:paraId="488FC334" w14:textId="77777777" w:rsidR="00E33973" w:rsidRPr="00012296" w:rsidRDefault="00E33973" w:rsidP="00E33973">
      <w:pPr>
        <w:spacing w:line="360" w:lineRule="auto"/>
        <w:ind w:left="720"/>
        <w:contextualSpacing/>
        <w:jc w:val="both"/>
        <w:rPr>
          <w:rFonts w:ascii="Palatino Linotype" w:eastAsia="Calibri" w:hAnsi="Palatino Linotype" w:cs="Tahoma"/>
          <w:bCs/>
          <w:sz w:val="22"/>
          <w:szCs w:val="22"/>
          <w:lang w:eastAsia="en-US"/>
        </w:rPr>
      </w:pPr>
      <w:r w:rsidRPr="00012296">
        <w:rPr>
          <w:rFonts w:ascii="Palatino Linotype" w:eastAsia="Calibri" w:hAnsi="Palatino Linotype" w:cs="Tahoma"/>
          <w:bCs/>
          <w:sz w:val="22"/>
          <w:szCs w:val="22"/>
          <w:lang w:eastAsia="en-US"/>
        </w:rPr>
        <w:t>Por otro lado, podría afectar al posible responsable, ya que se daría a conocer la existencia de una investigación en contra, lo cual, generaría una percepción negativa de este, sin que se hubiere probado su responsabilidad o culpabilidad, lo cual dañaría, su honor y su derecho a la presunción inocencia e inclusive su actividad profesional, pues aún no se juntan los elementos necesarios para iniciar la segunda etapa del procedimiento.</w:t>
      </w:r>
    </w:p>
    <w:p w14:paraId="4E408A31" w14:textId="77777777" w:rsidR="00E33973" w:rsidRPr="00012296" w:rsidRDefault="00E33973" w:rsidP="00E33973">
      <w:pPr>
        <w:spacing w:line="360" w:lineRule="auto"/>
        <w:ind w:left="720"/>
        <w:contextualSpacing/>
        <w:jc w:val="both"/>
        <w:rPr>
          <w:rFonts w:ascii="Palatino Linotype" w:eastAsia="Calibri" w:hAnsi="Palatino Linotype" w:cs="Tahoma"/>
          <w:bCs/>
          <w:sz w:val="22"/>
          <w:szCs w:val="22"/>
          <w:lang w:eastAsia="en-US"/>
        </w:rPr>
      </w:pPr>
    </w:p>
    <w:p w14:paraId="1D024DA6" w14:textId="77777777" w:rsidR="00E33973" w:rsidRPr="00012296" w:rsidRDefault="00E33973" w:rsidP="00E33973">
      <w:pPr>
        <w:spacing w:line="360" w:lineRule="auto"/>
        <w:ind w:left="720"/>
        <w:contextualSpacing/>
        <w:jc w:val="both"/>
        <w:rPr>
          <w:rFonts w:ascii="Palatino Linotype" w:eastAsia="Calibri" w:hAnsi="Palatino Linotype" w:cs="Tahoma"/>
          <w:bCs/>
          <w:sz w:val="22"/>
          <w:szCs w:val="22"/>
          <w:lang w:val="es-ES" w:eastAsia="en-US"/>
        </w:rPr>
      </w:pPr>
      <w:r w:rsidRPr="00012296">
        <w:rPr>
          <w:rFonts w:ascii="Palatino Linotype" w:eastAsia="Calibri" w:hAnsi="Palatino Linotype" w:cs="Tahoma"/>
          <w:bCs/>
          <w:sz w:val="22"/>
          <w:szCs w:val="22"/>
          <w:lang w:eastAsia="en-US"/>
        </w:rPr>
        <w:t xml:space="preserve">Al respecto, </w:t>
      </w:r>
      <w:r w:rsidRPr="00012296">
        <w:rPr>
          <w:rFonts w:ascii="Palatino Linotype" w:eastAsia="Calibri" w:hAnsi="Palatino Linotype" w:cs="Tahoma"/>
          <w:bCs/>
          <w:iCs/>
          <w:sz w:val="22"/>
          <w:szCs w:val="22"/>
          <w:lang w:val="es-ES" w:eastAsia="en-US"/>
        </w:rPr>
        <w:t xml:space="preserve">por lo que hace al </w:t>
      </w:r>
      <w:r w:rsidRPr="00012296">
        <w:rPr>
          <w:rFonts w:ascii="Palatino Linotype" w:eastAsia="Calibri" w:hAnsi="Palatino Linotype" w:cs="Tahoma"/>
          <w:b/>
          <w:bCs/>
          <w:iCs/>
          <w:sz w:val="22"/>
          <w:szCs w:val="22"/>
          <w:lang w:val="es-ES" w:eastAsia="en-US"/>
        </w:rPr>
        <w:t>derecho al honor</w:t>
      </w:r>
      <w:r w:rsidRPr="00012296">
        <w:rPr>
          <w:rFonts w:ascii="Palatino Linotype" w:eastAsia="Calibri" w:hAnsi="Palatino Linotype" w:cs="Tahoma"/>
          <w:bCs/>
          <w:iCs/>
          <w:sz w:val="22"/>
          <w:szCs w:val="22"/>
          <w:lang w:val="es-ES" w:eastAsia="en-US"/>
        </w:rPr>
        <w:t xml:space="preserve">, </w:t>
      </w:r>
      <w:r w:rsidRPr="00012296">
        <w:rPr>
          <w:rFonts w:ascii="Palatino Linotype" w:eastAsia="Calibri" w:hAnsi="Palatino Linotype" w:cs="Tahoma"/>
          <w:bCs/>
          <w:sz w:val="22"/>
          <w:szCs w:val="22"/>
          <w:lang w:val="es-ES" w:eastAsia="en-US"/>
        </w:rPr>
        <w:t xml:space="preserve">la jurisprudencia número 1a./J. 118/2013 (10a.), emitida por la Primera Sala de la Suprema Corte de Justicia de la Nación, publicada en la Gaceta del Semanario Judicial de la Federación, Tomo I, Libro 3, de febrero de 2014, página 470, de la Décima Época, materia constitucional, dispone: </w:t>
      </w:r>
    </w:p>
    <w:p w14:paraId="7C699698" w14:textId="77777777" w:rsidR="00E33973" w:rsidRPr="00012296" w:rsidRDefault="00E33973" w:rsidP="00E33973">
      <w:pPr>
        <w:spacing w:line="360" w:lineRule="auto"/>
        <w:ind w:left="720"/>
        <w:contextualSpacing/>
        <w:jc w:val="both"/>
        <w:rPr>
          <w:rFonts w:ascii="Palatino Linotype" w:eastAsia="Calibri" w:hAnsi="Palatino Linotype" w:cs="Tahoma"/>
          <w:bCs/>
          <w:sz w:val="22"/>
          <w:szCs w:val="22"/>
          <w:lang w:val="es-ES" w:eastAsia="en-US"/>
        </w:rPr>
      </w:pPr>
    </w:p>
    <w:p w14:paraId="79C33562" w14:textId="77777777" w:rsidR="00E33973" w:rsidRPr="00AD61EF" w:rsidRDefault="00E33973" w:rsidP="00E33973">
      <w:pPr>
        <w:spacing w:line="360" w:lineRule="auto"/>
        <w:ind w:left="1134" w:right="567"/>
        <w:contextualSpacing/>
        <w:jc w:val="both"/>
        <w:rPr>
          <w:rFonts w:ascii="Palatino Linotype" w:eastAsia="Calibri" w:hAnsi="Palatino Linotype" w:cs="Tahoma"/>
          <w:b/>
          <w:bCs/>
          <w:i/>
          <w:iCs/>
          <w:sz w:val="20"/>
          <w:szCs w:val="20"/>
          <w:lang w:val="es-ES" w:eastAsia="en-US"/>
        </w:rPr>
      </w:pPr>
      <w:r w:rsidRPr="00AD61EF">
        <w:rPr>
          <w:rFonts w:ascii="Palatino Linotype" w:eastAsia="Calibri" w:hAnsi="Palatino Linotype" w:cs="Tahoma"/>
          <w:bCs/>
          <w:i/>
          <w:iCs/>
          <w:sz w:val="20"/>
          <w:szCs w:val="20"/>
          <w:lang w:val="es-ES" w:eastAsia="en-US"/>
        </w:rPr>
        <w:t>“</w:t>
      </w:r>
      <w:r w:rsidRPr="00AD61EF">
        <w:rPr>
          <w:rFonts w:ascii="Palatino Linotype" w:eastAsia="Calibri" w:hAnsi="Palatino Linotype" w:cs="Tahoma"/>
          <w:b/>
          <w:bCs/>
          <w:i/>
          <w:iCs/>
          <w:sz w:val="20"/>
          <w:szCs w:val="20"/>
          <w:lang w:val="es-ES" w:eastAsia="en-US"/>
        </w:rPr>
        <w:t xml:space="preserve">DERECHO FUNDAMENTAL AL HONOR. SU DIMENSIÓN SUBJETIVA Y OBJETIVA. </w:t>
      </w:r>
      <w:r w:rsidRPr="00AD61EF">
        <w:rPr>
          <w:rFonts w:ascii="Palatino Linotype" w:eastAsia="Calibri" w:hAnsi="Palatino Linotype" w:cs="Tahoma"/>
          <w:bCs/>
          <w:i/>
          <w:iCs/>
          <w:sz w:val="20"/>
          <w:szCs w:val="20"/>
          <w:lang w:val="es-ES" w:eastAsia="en-US"/>
        </w:rPr>
        <w:t xml:space="preserve">A juicio de esta Primera Sala de la Suprema Corte de Justicia de la Nación, es posible definir al honor como el </w:t>
      </w:r>
      <w:r w:rsidRPr="00AD61EF">
        <w:rPr>
          <w:rFonts w:ascii="Palatino Linotype" w:eastAsia="Calibri" w:hAnsi="Palatino Linotype" w:cs="Tahoma"/>
          <w:b/>
          <w:bCs/>
          <w:i/>
          <w:iCs/>
          <w:sz w:val="20"/>
          <w:szCs w:val="20"/>
          <w:lang w:val="es-ES" w:eastAsia="en-US"/>
        </w:rPr>
        <w:t>concepto que la persona tiene de sí misma o que los demás se han formado de ella, en virtud de su proceder o de la expresión de su calidad ética y social.</w:t>
      </w:r>
      <w:r w:rsidRPr="00AD61EF">
        <w:rPr>
          <w:rFonts w:ascii="Palatino Linotype" w:eastAsia="Calibri" w:hAnsi="Palatino Linotype" w:cs="Tahoma"/>
          <w:bCs/>
          <w:i/>
          <w:iCs/>
          <w:sz w:val="20"/>
          <w:szCs w:val="20"/>
          <w:lang w:val="es-ES" w:eastAsia="en-US"/>
        </w:rPr>
        <w:t xml:space="preserve"> Todo individuo, al vivir en sociedad, tiene el derecho de ser respetado y considerado y, correlativamente, tiene la obligación de respetar a aquellos que lo rodean. En el campo jurídico esta necesidad se traduce en un derecho que involucra la facultad que tiene cada individuo de pedir que se le trate en forma decorosa y la obligación de los demás de responder a este tratamiento. Por lo general, existen dos formas de sentir y entender el honor: a) en el aspecto subjetivo o ético, el honor se basa en un sentimiento íntimo que se exterioriza por la afirmación que la persona hace de su propia dignidad; y b) en el aspecto objetivo, externo o social, como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 es decir, el derecho a que otros no condicionen negativamente la opinión que los demás hayan de formarse de nosotros.”</w:t>
      </w:r>
    </w:p>
    <w:p w14:paraId="53212603" w14:textId="77777777" w:rsidR="00E33973" w:rsidRPr="00012296" w:rsidRDefault="00E33973" w:rsidP="00E33973">
      <w:pPr>
        <w:spacing w:line="360" w:lineRule="auto"/>
        <w:ind w:left="720"/>
        <w:contextualSpacing/>
        <w:jc w:val="both"/>
        <w:rPr>
          <w:rFonts w:ascii="Palatino Linotype" w:eastAsia="Calibri" w:hAnsi="Palatino Linotype" w:cs="Tahoma"/>
          <w:bCs/>
          <w:sz w:val="22"/>
          <w:szCs w:val="22"/>
          <w:lang w:val="es-ES" w:eastAsia="en-US"/>
        </w:rPr>
      </w:pPr>
      <w:r w:rsidRPr="00012296">
        <w:rPr>
          <w:rFonts w:ascii="Palatino Linotype" w:eastAsia="Calibri" w:hAnsi="Palatino Linotype" w:cs="Tahoma"/>
          <w:bCs/>
          <w:iCs/>
          <w:sz w:val="22"/>
          <w:szCs w:val="22"/>
          <w:lang w:val="es-ES" w:eastAsia="en-US"/>
        </w:rPr>
        <w:t xml:space="preserve">De la tesis transcrita se desprende que </w:t>
      </w:r>
      <w:r w:rsidRPr="00012296">
        <w:rPr>
          <w:rFonts w:ascii="Palatino Linotype" w:eastAsia="Calibri" w:hAnsi="Palatino Linotype" w:cs="Tahoma"/>
          <w:bCs/>
          <w:sz w:val="22"/>
          <w:szCs w:val="22"/>
          <w:lang w:val="es-ES" w:eastAsia="en-US"/>
        </w:rPr>
        <w:t xml:space="preserve">el honor es el concepto que la persona tiene de sí misma o que los demás se han formado de ella, en virtud de su proceder o de la expresión de su calidad ética y social. </w:t>
      </w:r>
    </w:p>
    <w:p w14:paraId="39BC3514" w14:textId="77777777" w:rsidR="00E33973" w:rsidRPr="00012296" w:rsidRDefault="00E33973" w:rsidP="00E33973">
      <w:pPr>
        <w:spacing w:line="360" w:lineRule="auto"/>
        <w:ind w:left="720"/>
        <w:contextualSpacing/>
        <w:jc w:val="both"/>
        <w:rPr>
          <w:rFonts w:ascii="Palatino Linotype" w:eastAsia="Calibri" w:hAnsi="Palatino Linotype" w:cs="Tahoma"/>
          <w:bCs/>
          <w:sz w:val="22"/>
          <w:szCs w:val="22"/>
          <w:lang w:val="es-ES" w:eastAsia="en-US"/>
        </w:rPr>
      </w:pPr>
    </w:p>
    <w:p w14:paraId="044D2101" w14:textId="77777777" w:rsidR="00E33973" w:rsidRPr="00012296" w:rsidRDefault="00E33973" w:rsidP="00E33973">
      <w:pPr>
        <w:spacing w:line="360" w:lineRule="auto"/>
        <w:ind w:left="720"/>
        <w:contextualSpacing/>
        <w:jc w:val="both"/>
        <w:rPr>
          <w:rFonts w:ascii="Palatino Linotype" w:eastAsia="Calibri" w:hAnsi="Palatino Linotype" w:cs="Tahoma"/>
          <w:bCs/>
          <w:sz w:val="22"/>
          <w:szCs w:val="22"/>
          <w:lang w:val="es-ES" w:eastAsia="en-US"/>
        </w:rPr>
      </w:pPr>
      <w:r w:rsidRPr="00012296">
        <w:rPr>
          <w:rFonts w:ascii="Palatino Linotype" w:eastAsia="Calibri" w:hAnsi="Palatino Linotype" w:cs="Tahoma"/>
          <w:bCs/>
          <w:sz w:val="22"/>
          <w:szCs w:val="22"/>
          <w:lang w:val="es-ES" w:eastAsia="en-US"/>
        </w:rPr>
        <w:t xml:space="preserve">Por lo que, en el campo jurídico, es un derecho humano que involucra la facultad de cada individuo de ser tratado de forma decorosa. Este derecho tiene dos elementos, el subjetivo, que se basa en un sentimiento íntimo que se exterioriza por la afirmación que la persona hace de su propia dignidad, y en un sentimiento objetivo, que es la estimación interpersonal que la persona tiene por sus cualidades morales y profesionales dentro de la comunidad. En el aspecto subjetivo, el honor es lesionado por todo aquello que lastima el sentimiento de la propia dignidad. </w:t>
      </w:r>
      <w:r w:rsidRPr="00012296">
        <w:rPr>
          <w:rFonts w:ascii="Palatino Linotype" w:eastAsia="Calibri" w:hAnsi="Palatino Linotype" w:cs="Tahoma"/>
          <w:b/>
          <w:bCs/>
          <w:sz w:val="22"/>
          <w:szCs w:val="22"/>
          <w:lang w:val="es-ES" w:eastAsia="en-US"/>
        </w:rPr>
        <w:t>En el aspecto objetivo, el honor es lesionado por todo aquello que afecta a la reputación que la persona merece.</w:t>
      </w:r>
    </w:p>
    <w:p w14:paraId="1DF7C396" w14:textId="77777777" w:rsidR="00E33973" w:rsidRPr="00012296" w:rsidRDefault="00E33973" w:rsidP="00E33973">
      <w:pPr>
        <w:spacing w:line="360" w:lineRule="auto"/>
        <w:ind w:left="720"/>
        <w:contextualSpacing/>
        <w:jc w:val="both"/>
        <w:rPr>
          <w:rFonts w:ascii="Palatino Linotype" w:eastAsia="Calibri" w:hAnsi="Palatino Linotype" w:cs="Tahoma"/>
          <w:bCs/>
          <w:sz w:val="22"/>
          <w:szCs w:val="22"/>
          <w:lang w:eastAsia="en-US"/>
        </w:rPr>
      </w:pPr>
    </w:p>
    <w:p w14:paraId="45170904" w14:textId="77777777" w:rsidR="00E33973" w:rsidRPr="00012296" w:rsidRDefault="00E33973" w:rsidP="00E33973">
      <w:pPr>
        <w:spacing w:line="360" w:lineRule="auto"/>
        <w:ind w:left="720"/>
        <w:contextualSpacing/>
        <w:jc w:val="both"/>
        <w:rPr>
          <w:rFonts w:ascii="Palatino Linotype" w:eastAsia="Calibri" w:hAnsi="Palatino Linotype" w:cs="Tahoma"/>
          <w:bCs/>
          <w:sz w:val="22"/>
          <w:szCs w:val="22"/>
          <w:lang w:val="es-ES" w:eastAsia="en-US"/>
        </w:rPr>
      </w:pPr>
      <w:r w:rsidRPr="00012296">
        <w:rPr>
          <w:rFonts w:ascii="Palatino Linotype" w:eastAsia="Calibri" w:hAnsi="Palatino Linotype" w:cs="Tahoma"/>
          <w:bCs/>
          <w:sz w:val="22"/>
          <w:szCs w:val="22"/>
          <w:lang w:eastAsia="en-US"/>
        </w:rPr>
        <w:t xml:space="preserve">Por otra parte, debe señalarse que conforme al artículo 20, inciso B, numeral I, de la Constitución Política del os Estados Unidos Mexicanos, un derecho que tiene toda persona imputada, es a que se presuma su inocencia mientras no se declare su responsabilidad mediante una resolución, donde compruebe su culpabilidad. Dicha situación, se encuentra regulada, de la misma manera, en </w:t>
      </w:r>
      <w:r w:rsidRPr="00012296">
        <w:rPr>
          <w:rFonts w:ascii="Palatino Linotype" w:eastAsia="Calibri" w:hAnsi="Palatino Linotype" w:cs="Tahoma"/>
          <w:bCs/>
          <w:sz w:val="22"/>
          <w:szCs w:val="22"/>
          <w:lang w:val="es-ES" w:eastAsia="en-US"/>
        </w:rPr>
        <w:t>Declaración Universal de los Derechos Humanos, así como, el Pacto Internacional de Derechos Civiles y Políticos y la Convención Americana sobre Derechos Humanos.</w:t>
      </w:r>
    </w:p>
    <w:p w14:paraId="1FC1A8C9" w14:textId="77777777" w:rsidR="00E33973" w:rsidRPr="00012296" w:rsidRDefault="00E33973" w:rsidP="00E33973">
      <w:pPr>
        <w:spacing w:line="360" w:lineRule="auto"/>
        <w:ind w:left="720"/>
        <w:contextualSpacing/>
        <w:jc w:val="both"/>
        <w:rPr>
          <w:rFonts w:ascii="Palatino Linotype" w:eastAsia="Calibri" w:hAnsi="Palatino Linotype" w:cs="Tahoma"/>
          <w:bCs/>
          <w:sz w:val="22"/>
          <w:szCs w:val="22"/>
          <w:lang w:val="es-ES" w:eastAsia="en-US"/>
        </w:rPr>
      </w:pPr>
    </w:p>
    <w:p w14:paraId="6374E1B0" w14:textId="77777777" w:rsidR="00E33973" w:rsidRPr="00012296" w:rsidRDefault="00E33973" w:rsidP="00E33973">
      <w:pPr>
        <w:spacing w:line="360" w:lineRule="auto"/>
        <w:ind w:left="720"/>
        <w:contextualSpacing/>
        <w:jc w:val="both"/>
        <w:rPr>
          <w:rFonts w:ascii="Palatino Linotype" w:eastAsia="Calibri" w:hAnsi="Palatino Linotype" w:cs="Tahoma"/>
          <w:bCs/>
          <w:sz w:val="22"/>
          <w:szCs w:val="22"/>
          <w:lang w:val="es-ES" w:eastAsia="en-US"/>
        </w:rPr>
      </w:pPr>
      <w:r w:rsidRPr="00012296">
        <w:rPr>
          <w:rFonts w:ascii="Palatino Linotype" w:eastAsia="Calibri" w:hAnsi="Palatino Linotype" w:cs="Tahoma"/>
          <w:bCs/>
          <w:sz w:val="22"/>
          <w:szCs w:val="22"/>
          <w:lang w:val="es-ES" w:eastAsia="en-US"/>
        </w:rPr>
        <w:t>En ese contexto, la tesis aislada número 2a. XXXV/2007, emitida por la Segunda Sala de la Suprema Corte de Justicia de la Nación, publicada en la Gaceta del Semanario Judicial de la Federación, Tomo XXV, de mayo de dos mil siete, página 1186, de la Novena Época, materia constitucional y penal, establece:</w:t>
      </w:r>
    </w:p>
    <w:p w14:paraId="1602FF65" w14:textId="77777777" w:rsidR="00E33973" w:rsidRPr="00012296" w:rsidRDefault="00E33973" w:rsidP="00E33973">
      <w:pPr>
        <w:spacing w:line="360" w:lineRule="auto"/>
        <w:ind w:left="720"/>
        <w:contextualSpacing/>
        <w:jc w:val="both"/>
        <w:rPr>
          <w:rFonts w:ascii="Palatino Linotype" w:eastAsia="Calibri" w:hAnsi="Palatino Linotype" w:cs="Tahoma"/>
          <w:bCs/>
          <w:sz w:val="22"/>
          <w:szCs w:val="22"/>
          <w:lang w:val="es-ES" w:eastAsia="en-US"/>
        </w:rPr>
      </w:pPr>
    </w:p>
    <w:p w14:paraId="0C0C9319" w14:textId="77777777" w:rsidR="00E33973" w:rsidRPr="00AD61EF" w:rsidRDefault="00E33973" w:rsidP="00E33973">
      <w:pPr>
        <w:spacing w:line="360" w:lineRule="auto"/>
        <w:ind w:left="1134" w:right="567"/>
        <w:contextualSpacing/>
        <w:jc w:val="both"/>
        <w:rPr>
          <w:rFonts w:ascii="Palatino Linotype" w:eastAsia="Calibri" w:hAnsi="Palatino Linotype" w:cs="Tahoma"/>
          <w:bCs/>
          <w:i/>
          <w:iCs/>
          <w:sz w:val="20"/>
          <w:szCs w:val="20"/>
          <w:lang w:val="es-ES" w:eastAsia="en-US"/>
        </w:rPr>
      </w:pPr>
      <w:r w:rsidRPr="00012296">
        <w:rPr>
          <w:rFonts w:ascii="Palatino Linotype" w:eastAsia="Calibri" w:hAnsi="Palatino Linotype" w:cs="Tahoma"/>
          <w:b/>
          <w:bCs/>
          <w:i/>
          <w:iCs/>
          <w:lang w:val="es-ES" w:eastAsia="en-US"/>
        </w:rPr>
        <w:t>“</w:t>
      </w:r>
      <w:r w:rsidRPr="00AD61EF">
        <w:rPr>
          <w:rFonts w:ascii="Palatino Linotype" w:eastAsia="Calibri" w:hAnsi="Palatino Linotype" w:cs="Tahoma"/>
          <w:b/>
          <w:bCs/>
          <w:i/>
          <w:iCs/>
          <w:sz w:val="20"/>
          <w:szCs w:val="20"/>
          <w:lang w:val="es-ES" w:eastAsia="en-US"/>
        </w:rPr>
        <w:t>PRESUNCIÓN DE INOCENCIA. ALCANCES DE ESE PRINCIPIO CONSTITUCIONAL.</w:t>
      </w:r>
      <w:r w:rsidRPr="00AD61EF">
        <w:rPr>
          <w:rFonts w:ascii="Palatino Linotype" w:eastAsia="Calibri" w:hAnsi="Palatino Linotype" w:cs="Tahoma"/>
          <w:bCs/>
          <w:i/>
          <w:iCs/>
          <w:sz w:val="20"/>
          <w:szCs w:val="20"/>
          <w:lang w:val="es-ES" w:eastAsia="en-US"/>
        </w:rPr>
        <w:t xml:space="preserve"> El principio de presunción de inocencia que en materia procesal penal impone la obligación de arrojar la carga de la prueba al acusador, es un derecho fundamental que la Constitución Política de los Estados Unidos Mexicanos reconoce y garantiza en general, cuyo alcance trasciende la órbita del debido proceso, pues con su aplicación se garantiza la protección de otros derechos fundamentales como son la dignidad humana, la libertad, la honra y el buen nombre, que podrían resultar vulnerados por actuaciones penales o disciplinarias irregulares. En consecuencia, este principio opera también en las situaciones extraprocesales y constituye el derecho a recibir la consideración y el trato de "no autor o no partícipe" en un hecho de carácter delictivo o en otro tipo de infracciones mientras no se demuestre la culpabilidad; por ende, otorga el derecho a que no se apliquen las consecuencias a los efectos jurídicos privativos vinculados a tales hechos, en cualquier materia.”</w:t>
      </w:r>
    </w:p>
    <w:p w14:paraId="5973CB8C" w14:textId="77777777" w:rsidR="00E33973" w:rsidRPr="00012296" w:rsidRDefault="00E33973" w:rsidP="00E33973">
      <w:pPr>
        <w:spacing w:line="360" w:lineRule="auto"/>
        <w:ind w:left="720"/>
        <w:contextualSpacing/>
        <w:jc w:val="both"/>
        <w:rPr>
          <w:rFonts w:ascii="Palatino Linotype" w:eastAsia="Calibri" w:hAnsi="Palatino Linotype" w:cs="Tahoma"/>
          <w:bCs/>
          <w:sz w:val="22"/>
          <w:szCs w:val="22"/>
          <w:lang w:val="es-ES" w:eastAsia="en-US"/>
        </w:rPr>
      </w:pPr>
    </w:p>
    <w:p w14:paraId="4A548CCE" w14:textId="77777777" w:rsidR="00E33973" w:rsidRPr="00012296" w:rsidRDefault="00E33973" w:rsidP="00FB51F4">
      <w:pPr>
        <w:spacing w:line="360" w:lineRule="auto"/>
        <w:contextualSpacing/>
        <w:jc w:val="both"/>
        <w:rPr>
          <w:rFonts w:ascii="Palatino Linotype" w:eastAsia="Calibri" w:hAnsi="Palatino Linotype" w:cs="Tahoma"/>
          <w:b/>
          <w:sz w:val="22"/>
          <w:szCs w:val="22"/>
          <w:lang w:val="es-ES" w:eastAsia="en-US"/>
        </w:rPr>
      </w:pPr>
      <w:r w:rsidRPr="00012296">
        <w:rPr>
          <w:rFonts w:ascii="Palatino Linotype" w:eastAsia="Calibri" w:hAnsi="Palatino Linotype" w:cs="Tahoma"/>
          <w:bCs/>
          <w:sz w:val="22"/>
          <w:szCs w:val="22"/>
          <w:lang w:val="es-ES" w:eastAsia="en-US"/>
        </w:rPr>
        <w:t xml:space="preserve">Como se observa, el Alto Tribunal sostiene que el principio de presunción de inocencia va más allá del ámbito estrictamente procesal, en aras de proteger la esfera jurídica de las personas que se ve en peligro ante actuaciones arbitrarias por parte del poder público. Así, dicho principio guarda también una faceta “extraprocesal” </w:t>
      </w:r>
      <w:r w:rsidRPr="00012296">
        <w:rPr>
          <w:rFonts w:ascii="Palatino Linotype" w:eastAsia="Calibri" w:hAnsi="Palatino Linotype" w:cs="Tahoma"/>
          <w:b/>
          <w:sz w:val="22"/>
          <w:szCs w:val="22"/>
          <w:lang w:val="es-ES" w:eastAsia="en-US"/>
        </w:rPr>
        <w:t>que se materializa a través de un trato de inocente para el inculpado mientras no se demuestre su culpabilidad.</w:t>
      </w:r>
    </w:p>
    <w:p w14:paraId="28AA9799" w14:textId="77777777" w:rsidR="00E33973" w:rsidRPr="00012296" w:rsidRDefault="00E33973" w:rsidP="00E33973">
      <w:pPr>
        <w:spacing w:line="360" w:lineRule="auto"/>
        <w:ind w:left="720"/>
        <w:contextualSpacing/>
        <w:jc w:val="both"/>
        <w:rPr>
          <w:rFonts w:ascii="Palatino Linotype" w:eastAsia="Calibri" w:hAnsi="Palatino Linotype" w:cs="Tahoma"/>
          <w:b/>
          <w:sz w:val="22"/>
          <w:szCs w:val="22"/>
          <w:lang w:val="es-ES" w:eastAsia="en-US"/>
        </w:rPr>
      </w:pPr>
    </w:p>
    <w:p w14:paraId="33869D7A" w14:textId="77777777" w:rsidR="00E33973" w:rsidRPr="00012296" w:rsidRDefault="00E33973" w:rsidP="00FB51F4">
      <w:pPr>
        <w:spacing w:line="360" w:lineRule="auto"/>
        <w:contextualSpacing/>
        <w:jc w:val="both"/>
        <w:rPr>
          <w:rFonts w:ascii="Palatino Linotype" w:eastAsia="Calibri" w:hAnsi="Palatino Linotype" w:cs="Tahoma"/>
          <w:bCs/>
          <w:sz w:val="22"/>
          <w:szCs w:val="22"/>
          <w:lang w:val="es-ES" w:eastAsia="en-US"/>
        </w:rPr>
      </w:pPr>
      <w:r w:rsidRPr="00012296">
        <w:rPr>
          <w:rFonts w:ascii="Palatino Linotype" w:eastAsia="Calibri" w:hAnsi="Palatino Linotype" w:cs="Tahoma"/>
          <w:bCs/>
          <w:sz w:val="22"/>
          <w:szCs w:val="22"/>
          <w:lang w:val="es-ES" w:eastAsia="en-US"/>
        </w:rPr>
        <w:t xml:space="preserve">Conforme a lo anterior, existe un </w:t>
      </w:r>
      <w:r w:rsidRPr="00012296">
        <w:rPr>
          <w:rFonts w:ascii="Palatino Linotype" w:eastAsia="Calibri" w:hAnsi="Palatino Linotype" w:cs="Tahoma"/>
          <w:b/>
          <w:sz w:val="22"/>
          <w:szCs w:val="22"/>
          <w:lang w:val="es-ES" w:eastAsia="en-US"/>
        </w:rPr>
        <w:t xml:space="preserve">riesgo real </w:t>
      </w:r>
      <w:r w:rsidRPr="00012296">
        <w:rPr>
          <w:rFonts w:ascii="Palatino Linotype" w:eastAsia="Calibri" w:hAnsi="Palatino Linotype" w:cs="Tahoma"/>
          <w:bCs/>
          <w:sz w:val="22"/>
          <w:szCs w:val="22"/>
          <w:lang w:val="es-ES" w:eastAsia="en-US"/>
        </w:rPr>
        <w:t>pues con la información contenida en los expedientes</w:t>
      </w:r>
      <w:r>
        <w:rPr>
          <w:rFonts w:ascii="Palatino Linotype" w:eastAsia="Calibri" w:hAnsi="Palatino Linotype" w:cs="Tahoma"/>
          <w:bCs/>
          <w:sz w:val="22"/>
          <w:szCs w:val="22"/>
          <w:lang w:val="es-ES" w:eastAsia="en-US"/>
        </w:rPr>
        <w:t xml:space="preserve"> de procedimientos de responsabilidades en trámite</w:t>
      </w:r>
      <w:r w:rsidRPr="00012296">
        <w:rPr>
          <w:rFonts w:ascii="Palatino Linotype" w:eastAsia="Calibri" w:hAnsi="Palatino Linotype" w:cs="Tahoma"/>
          <w:bCs/>
          <w:sz w:val="22"/>
          <w:szCs w:val="22"/>
          <w:lang w:val="es-ES" w:eastAsia="en-US"/>
        </w:rPr>
        <w:t>, se daría a conocer que la existencia de un procedimiento de probable responsabilidad, y la ciudadanía podría generar un juicio negativo, en contra de los servidores públicos involucrados, sin que se hayan reunido los elementos para establecer que si son probables responsables, con lo cual, se vería afectado de manera directa, su honor y derecho a la presunción de inocencia.</w:t>
      </w:r>
    </w:p>
    <w:p w14:paraId="4E542371" w14:textId="77777777" w:rsidR="00E33973" w:rsidRPr="00012296" w:rsidRDefault="00E33973" w:rsidP="00E33973">
      <w:pPr>
        <w:spacing w:line="360" w:lineRule="auto"/>
        <w:ind w:left="720"/>
        <w:contextualSpacing/>
        <w:jc w:val="both"/>
        <w:rPr>
          <w:rFonts w:ascii="Palatino Linotype" w:eastAsia="Calibri" w:hAnsi="Palatino Linotype" w:cs="Tahoma"/>
          <w:bCs/>
          <w:sz w:val="22"/>
          <w:szCs w:val="22"/>
          <w:lang w:val="es-ES" w:eastAsia="en-US"/>
        </w:rPr>
      </w:pPr>
    </w:p>
    <w:p w14:paraId="0CE082E4" w14:textId="77777777" w:rsidR="00E33973" w:rsidRPr="00012296" w:rsidRDefault="00E33973" w:rsidP="00FB51F4">
      <w:pPr>
        <w:spacing w:line="360" w:lineRule="auto"/>
        <w:contextualSpacing/>
        <w:jc w:val="both"/>
        <w:rPr>
          <w:rFonts w:ascii="Palatino Linotype" w:eastAsia="Calibri" w:hAnsi="Palatino Linotype" w:cs="Tahoma"/>
          <w:bCs/>
          <w:sz w:val="22"/>
          <w:szCs w:val="22"/>
          <w:lang w:val="es-ES" w:eastAsia="en-US"/>
        </w:rPr>
      </w:pPr>
      <w:r w:rsidRPr="00012296">
        <w:rPr>
          <w:rFonts w:ascii="Palatino Linotype" w:eastAsia="Calibri" w:hAnsi="Palatino Linotype" w:cs="Tahoma"/>
          <w:bCs/>
          <w:sz w:val="22"/>
          <w:szCs w:val="22"/>
          <w:lang w:val="es-ES" w:eastAsia="en-US"/>
        </w:rPr>
        <w:t>Inclusive, sin menoscabar lo previamente referido, los probables responsables podrían sustraerse de la Contraloría Municipal, lo cual, obstruiría de manera directa el procedimiento de responsabilidades administrativas, o bien, podría alterar el procedimiento a favor de este, al poder destruir pruebas o elementos necesarios para sustanciar el procedimiento.</w:t>
      </w:r>
    </w:p>
    <w:p w14:paraId="1C0A1A54" w14:textId="77777777" w:rsidR="00E33973" w:rsidRPr="00012296" w:rsidRDefault="00E33973" w:rsidP="00E33973">
      <w:pPr>
        <w:spacing w:line="360" w:lineRule="auto"/>
        <w:ind w:left="720"/>
        <w:contextualSpacing/>
        <w:jc w:val="both"/>
        <w:rPr>
          <w:rFonts w:ascii="Palatino Linotype" w:eastAsia="Calibri" w:hAnsi="Palatino Linotype" w:cs="Tahoma"/>
          <w:bCs/>
          <w:sz w:val="22"/>
          <w:szCs w:val="22"/>
          <w:lang w:val="es-ES" w:eastAsia="en-US"/>
        </w:rPr>
      </w:pPr>
    </w:p>
    <w:p w14:paraId="4AA0D684" w14:textId="77777777" w:rsidR="00E33973" w:rsidRPr="00012296" w:rsidRDefault="00E33973" w:rsidP="00FB51F4">
      <w:pPr>
        <w:spacing w:line="360" w:lineRule="auto"/>
        <w:contextualSpacing/>
        <w:jc w:val="both"/>
        <w:rPr>
          <w:rFonts w:ascii="Palatino Linotype" w:eastAsia="Calibri" w:hAnsi="Palatino Linotype" w:cs="Tahoma"/>
          <w:bCs/>
          <w:sz w:val="22"/>
          <w:szCs w:val="22"/>
          <w:lang w:val="es-ES" w:eastAsia="en-US"/>
        </w:rPr>
      </w:pPr>
      <w:r w:rsidRPr="00012296">
        <w:rPr>
          <w:rFonts w:ascii="Palatino Linotype" w:eastAsia="Calibri" w:hAnsi="Palatino Linotype" w:cs="Tahoma"/>
          <w:bCs/>
          <w:sz w:val="22"/>
          <w:szCs w:val="22"/>
          <w:lang w:val="es-ES" w:eastAsia="en-US"/>
        </w:rPr>
        <w:t xml:space="preserve">Asimismo, </w:t>
      </w:r>
      <w:r w:rsidRPr="00012296">
        <w:rPr>
          <w:rFonts w:ascii="Palatino Linotype" w:eastAsia="Calibri" w:hAnsi="Palatino Linotype" w:cs="Tahoma"/>
          <w:b/>
          <w:sz w:val="22"/>
          <w:szCs w:val="22"/>
          <w:lang w:val="es-ES" w:eastAsia="en-US"/>
        </w:rPr>
        <w:t>el riesgo es demostrable</w:t>
      </w:r>
      <w:r w:rsidRPr="00012296">
        <w:rPr>
          <w:rFonts w:ascii="Palatino Linotype" w:eastAsia="Calibri" w:hAnsi="Palatino Linotype" w:cs="Tahoma"/>
          <w:bCs/>
          <w:sz w:val="22"/>
          <w:szCs w:val="22"/>
          <w:lang w:val="es-ES" w:eastAsia="en-US"/>
        </w:rPr>
        <w:t xml:space="preserve">, pues de no acreditarse la clasificación, cualquier persona podría solicitar dicha información, inclusive los investigados, misma que deberá ser proporcionada; por lo que, los documentos solicitados, quedarían permanente a disposición, no solo del Solicitante, sino de la sociedad en general, lo cual ocasionaría que </w:t>
      </w:r>
      <w:r>
        <w:rPr>
          <w:rFonts w:ascii="Palatino Linotype" w:eastAsia="Calibri" w:hAnsi="Palatino Linotype" w:cs="Tahoma"/>
          <w:bCs/>
          <w:sz w:val="22"/>
          <w:szCs w:val="22"/>
          <w:lang w:val="es-ES" w:eastAsia="en-US"/>
        </w:rPr>
        <w:t>la ciudadanía</w:t>
      </w:r>
      <w:r w:rsidRPr="00012296">
        <w:rPr>
          <w:rFonts w:ascii="Palatino Linotype" w:eastAsia="Calibri" w:hAnsi="Palatino Linotype" w:cs="Tahoma"/>
          <w:bCs/>
          <w:sz w:val="22"/>
          <w:szCs w:val="22"/>
          <w:lang w:val="es-ES" w:eastAsia="en-US"/>
        </w:rPr>
        <w:t xml:space="preserve"> </w:t>
      </w:r>
      <w:r>
        <w:rPr>
          <w:rFonts w:ascii="Palatino Linotype" w:eastAsia="Calibri" w:hAnsi="Palatino Linotype" w:cs="Tahoma"/>
          <w:bCs/>
          <w:sz w:val="22"/>
          <w:szCs w:val="22"/>
          <w:lang w:val="es-ES" w:eastAsia="en-US"/>
        </w:rPr>
        <w:t>emitiera</w:t>
      </w:r>
      <w:r w:rsidRPr="00012296">
        <w:rPr>
          <w:rFonts w:ascii="Palatino Linotype" w:eastAsia="Calibri" w:hAnsi="Palatino Linotype" w:cs="Tahoma"/>
          <w:bCs/>
          <w:sz w:val="22"/>
          <w:szCs w:val="22"/>
          <w:lang w:val="es-ES" w:eastAsia="en-US"/>
        </w:rPr>
        <w:t xml:space="preserve"> un juicio de valor negativo, en contra de la probable responsable; o en su caso, este podría allegarse de los elementos necesarios, para desacreditar el procedimiento, ocasionando que la Contraloría Municipal, no resuelva de manera correcta.</w:t>
      </w:r>
    </w:p>
    <w:p w14:paraId="1752632B" w14:textId="77777777" w:rsidR="00E33973" w:rsidRPr="00012296" w:rsidRDefault="00E33973" w:rsidP="00E33973">
      <w:pPr>
        <w:spacing w:line="360" w:lineRule="auto"/>
        <w:ind w:left="720"/>
        <w:contextualSpacing/>
        <w:jc w:val="both"/>
        <w:rPr>
          <w:rFonts w:ascii="Palatino Linotype" w:eastAsia="Calibri" w:hAnsi="Palatino Linotype" w:cs="Tahoma"/>
          <w:bCs/>
          <w:sz w:val="22"/>
          <w:szCs w:val="22"/>
          <w:lang w:val="es-ES" w:eastAsia="en-US"/>
        </w:rPr>
      </w:pPr>
    </w:p>
    <w:p w14:paraId="4EB31A99" w14:textId="41E6F3B0" w:rsidR="00E33973" w:rsidRDefault="00E33973" w:rsidP="00FB51F4">
      <w:pPr>
        <w:spacing w:line="360" w:lineRule="auto"/>
        <w:contextualSpacing/>
        <w:jc w:val="both"/>
        <w:rPr>
          <w:rFonts w:ascii="Palatino Linotype" w:eastAsia="Calibri" w:hAnsi="Palatino Linotype" w:cs="Tahoma"/>
          <w:bCs/>
          <w:sz w:val="22"/>
          <w:szCs w:val="22"/>
          <w:lang w:val="es-ES" w:eastAsia="en-US"/>
        </w:rPr>
      </w:pPr>
      <w:r w:rsidRPr="00012296">
        <w:rPr>
          <w:rFonts w:ascii="Palatino Linotype" w:eastAsia="Calibri" w:hAnsi="Palatino Linotype" w:cs="Tahoma"/>
          <w:bCs/>
          <w:sz w:val="22"/>
          <w:szCs w:val="22"/>
          <w:lang w:val="es-ES" w:eastAsia="en-US"/>
        </w:rPr>
        <w:t xml:space="preserve">Finalmente, el </w:t>
      </w:r>
      <w:r w:rsidRPr="00012296">
        <w:rPr>
          <w:rFonts w:ascii="Palatino Linotype" w:eastAsia="Calibri" w:hAnsi="Palatino Linotype" w:cs="Tahoma"/>
          <w:b/>
          <w:sz w:val="22"/>
          <w:szCs w:val="22"/>
          <w:lang w:val="es-ES" w:eastAsia="en-US"/>
        </w:rPr>
        <w:t>riesgo es identificable,</w:t>
      </w:r>
      <w:r w:rsidRPr="00012296">
        <w:rPr>
          <w:rFonts w:ascii="Palatino Linotype" w:eastAsia="Calibri" w:hAnsi="Palatino Linotype" w:cs="Tahoma"/>
          <w:bCs/>
          <w:sz w:val="22"/>
          <w:szCs w:val="22"/>
          <w:lang w:val="es-ES" w:eastAsia="en-US"/>
        </w:rPr>
        <w:t xml:space="preserve"> ya que, como consecuencia de lo referido, cualquier persona podría tener acceso a los expedientes que se encuentran en </w:t>
      </w:r>
      <w:r>
        <w:rPr>
          <w:rFonts w:ascii="Palatino Linotype" w:eastAsia="Calibri" w:hAnsi="Palatino Linotype" w:cs="Tahoma"/>
          <w:bCs/>
          <w:sz w:val="22"/>
          <w:szCs w:val="22"/>
          <w:lang w:val="es-ES" w:eastAsia="en-US"/>
        </w:rPr>
        <w:t>trámite</w:t>
      </w:r>
      <w:r w:rsidRPr="00012296">
        <w:rPr>
          <w:rFonts w:ascii="Palatino Linotype" w:eastAsia="Calibri" w:hAnsi="Palatino Linotype" w:cs="Tahoma"/>
          <w:bCs/>
          <w:sz w:val="22"/>
          <w:szCs w:val="22"/>
          <w:lang w:val="es-ES" w:eastAsia="en-US"/>
        </w:rPr>
        <w:t>, divulgarlos e inclusive tomar una posible determinación, previo a que la Contraloría Municipal se allegue de todos los elementos necesarios para determinar la existencia de una probable responsabilidad, lo cual afectaría de manera directa a la probable responsable en su honor, lo cual violentaría su presunción de inocencia, o bien, podría sustraerse de la Contraloría, provocando que esta no pueda realizar sus funciones de manera correcta.</w:t>
      </w:r>
    </w:p>
    <w:p w14:paraId="541F6C78" w14:textId="77777777" w:rsidR="00FB51F4" w:rsidRPr="00012296" w:rsidRDefault="00FB51F4" w:rsidP="00FB51F4">
      <w:pPr>
        <w:spacing w:line="360" w:lineRule="auto"/>
        <w:contextualSpacing/>
        <w:jc w:val="both"/>
        <w:rPr>
          <w:rFonts w:ascii="Palatino Linotype" w:eastAsia="Calibri" w:hAnsi="Palatino Linotype" w:cs="Tahoma"/>
          <w:bCs/>
          <w:sz w:val="22"/>
          <w:szCs w:val="22"/>
          <w:lang w:val="es-ES" w:eastAsia="en-US"/>
        </w:rPr>
      </w:pPr>
    </w:p>
    <w:p w14:paraId="325ACBB1" w14:textId="77777777" w:rsidR="00E33973" w:rsidRPr="00B77CA1" w:rsidRDefault="00E33973" w:rsidP="00E33973">
      <w:pPr>
        <w:numPr>
          <w:ilvl w:val="0"/>
          <w:numId w:val="18"/>
        </w:numPr>
        <w:spacing w:line="360" w:lineRule="auto"/>
        <w:contextualSpacing/>
        <w:jc w:val="both"/>
        <w:rPr>
          <w:rFonts w:ascii="Palatino Linotype" w:eastAsia="Calibri" w:hAnsi="Palatino Linotype" w:cs="Tahoma"/>
          <w:b/>
          <w:bCs/>
          <w:sz w:val="22"/>
          <w:szCs w:val="22"/>
          <w:lang w:eastAsia="en-US"/>
        </w:rPr>
      </w:pPr>
      <w:r w:rsidRPr="00B77CA1">
        <w:rPr>
          <w:rFonts w:ascii="Palatino Linotype" w:eastAsia="Calibri" w:hAnsi="Palatino Linotype" w:cs="Tahoma"/>
          <w:b/>
          <w:bCs/>
          <w:sz w:val="22"/>
          <w:szCs w:val="22"/>
          <w:lang w:eastAsia="en-US"/>
        </w:rPr>
        <w:t>Que el riesgo de perjuicio que supone la divulgación de la información supera el interés público general</w:t>
      </w:r>
      <w:r w:rsidRPr="00B77CA1">
        <w:rPr>
          <w:rFonts w:ascii="Palatino Linotype" w:eastAsia="Calibri" w:hAnsi="Palatino Linotype" w:cs="Tahoma"/>
          <w:bCs/>
          <w:sz w:val="22"/>
          <w:szCs w:val="22"/>
          <w:lang w:eastAsia="en-US"/>
        </w:rPr>
        <w:t xml:space="preserve">, pues con dicha documentación, la Contraloría Municipal, o en su caso, el Tribunal de Justicia Administrativa del Estado de México, está analizando si el servidor público cometió una falta grave, no grave o bien, no cometió ninguna infracción, por lo que, se trata de información que darla a conocer al público, pudiera alterar el procedimiento, pues contiene todas las actuaciones que </w:t>
      </w:r>
      <w:r>
        <w:rPr>
          <w:rFonts w:ascii="Palatino Linotype" w:eastAsia="Calibri" w:hAnsi="Palatino Linotype" w:cs="Tahoma"/>
          <w:bCs/>
          <w:sz w:val="22"/>
          <w:szCs w:val="22"/>
          <w:lang w:eastAsia="en-US"/>
        </w:rPr>
        <w:t>al tres de agosto de dos mil veintiuno</w:t>
      </w:r>
      <w:r w:rsidRPr="00B77CA1">
        <w:rPr>
          <w:rFonts w:ascii="Palatino Linotype" w:eastAsia="Calibri" w:hAnsi="Palatino Linotype" w:cs="Tahoma"/>
          <w:bCs/>
          <w:sz w:val="22"/>
          <w:szCs w:val="22"/>
          <w:lang w:eastAsia="en-US"/>
        </w:rPr>
        <w:t>, se han llevado a cabo; además que las partes podrían de allegarse de mayores elementos para que tengan una resolución a favor.</w:t>
      </w:r>
    </w:p>
    <w:p w14:paraId="5F927BC0" w14:textId="77777777" w:rsidR="00FB51F4" w:rsidRDefault="00FB51F4" w:rsidP="00FB51F4">
      <w:pPr>
        <w:spacing w:line="360" w:lineRule="auto"/>
        <w:ind w:left="360"/>
        <w:contextualSpacing/>
        <w:jc w:val="both"/>
        <w:rPr>
          <w:rFonts w:ascii="Palatino Linotype" w:eastAsia="Calibri" w:hAnsi="Palatino Linotype" w:cs="Tahoma"/>
          <w:b/>
          <w:bCs/>
          <w:sz w:val="22"/>
          <w:szCs w:val="22"/>
          <w:lang w:eastAsia="en-US"/>
        </w:rPr>
      </w:pPr>
    </w:p>
    <w:p w14:paraId="53EB7ABA" w14:textId="6DA1B912" w:rsidR="00E33973" w:rsidRPr="00012296" w:rsidRDefault="00E33973" w:rsidP="00FB51F4">
      <w:pPr>
        <w:spacing w:line="360" w:lineRule="auto"/>
        <w:ind w:left="360"/>
        <w:contextualSpacing/>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Además,</w:t>
      </w:r>
      <w:r w:rsidRPr="00012296">
        <w:rPr>
          <w:rFonts w:ascii="Palatino Linotype" w:eastAsia="Calibri" w:hAnsi="Palatino Linotype" w:cs="Tahoma"/>
          <w:bCs/>
          <w:sz w:val="22"/>
          <w:szCs w:val="22"/>
          <w:lang w:eastAsia="en-US"/>
        </w:rPr>
        <w:t xml:space="preserve"> como se precisó, </w:t>
      </w:r>
      <w:r w:rsidR="00FB51F4">
        <w:rPr>
          <w:rFonts w:ascii="Palatino Linotype" w:eastAsia="Calibri" w:hAnsi="Palatino Linotype" w:cs="Tahoma"/>
          <w:bCs/>
          <w:sz w:val="22"/>
          <w:szCs w:val="22"/>
          <w:lang w:eastAsia="en-US"/>
        </w:rPr>
        <w:t>que con las quejas y denuncias que obran en la</w:t>
      </w:r>
      <w:r w:rsidRPr="00012296">
        <w:rPr>
          <w:rFonts w:ascii="Palatino Linotype" w:eastAsia="Calibri" w:hAnsi="Palatino Linotype" w:cs="Tahoma"/>
          <w:bCs/>
          <w:sz w:val="22"/>
          <w:szCs w:val="22"/>
          <w:lang w:eastAsia="en-US"/>
        </w:rPr>
        <w:t xml:space="preserve"> Contraloría</w:t>
      </w:r>
      <w:r w:rsidR="00FB51F4">
        <w:rPr>
          <w:rFonts w:ascii="Palatino Linotype" w:eastAsia="Calibri" w:hAnsi="Palatino Linotype" w:cs="Tahoma"/>
          <w:bCs/>
          <w:sz w:val="22"/>
          <w:szCs w:val="22"/>
          <w:lang w:eastAsia="en-US"/>
        </w:rPr>
        <w:t>, se</w:t>
      </w:r>
      <w:r w:rsidRPr="00012296">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daría</w:t>
      </w:r>
      <w:r w:rsidRPr="00012296">
        <w:rPr>
          <w:rFonts w:ascii="Palatino Linotype" w:eastAsia="Calibri" w:hAnsi="Palatino Linotype" w:cs="Tahoma"/>
          <w:bCs/>
          <w:sz w:val="22"/>
          <w:szCs w:val="22"/>
          <w:lang w:eastAsia="en-US"/>
        </w:rPr>
        <w:t xml:space="preserve"> a conocer de la existencia de un proceso de posibles responsabilidades, sin que se le haya </w:t>
      </w:r>
      <w:r>
        <w:rPr>
          <w:rFonts w:ascii="Palatino Linotype" w:eastAsia="Calibri" w:hAnsi="Palatino Linotype" w:cs="Tahoma"/>
          <w:bCs/>
          <w:sz w:val="22"/>
          <w:szCs w:val="22"/>
          <w:lang w:eastAsia="en-US"/>
        </w:rPr>
        <w:t>determinado la culpabilidad o inocencia del</w:t>
      </w:r>
      <w:r w:rsidRPr="00012296">
        <w:rPr>
          <w:rFonts w:ascii="Palatino Linotype" w:eastAsia="Calibri" w:hAnsi="Palatino Linotype" w:cs="Tahoma"/>
          <w:bCs/>
          <w:sz w:val="22"/>
          <w:szCs w:val="22"/>
          <w:lang w:eastAsia="en-US"/>
        </w:rPr>
        <w:t xml:space="preserve"> responsable, </w:t>
      </w:r>
      <w:r>
        <w:rPr>
          <w:rFonts w:ascii="Palatino Linotype" w:eastAsia="Calibri" w:hAnsi="Palatino Linotype" w:cs="Tahoma"/>
          <w:bCs/>
          <w:sz w:val="22"/>
          <w:szCs w:val="22"/>
          <w:lang w:eastAsia="en-US"/>
        </w:rPr>
        <w:t>lo cual afectaría su honor y buen nombre; además, que este podría alterar el procedimiento.</w:t>
      </w:r>
    </w:p>
    <w:p w14:paraId="0BD01A06" w14:textId="77777777" w:rsidR="00E33973" w:rsidRPr="00012296" w:rsidRDefault="00E33973" w:rsidP="00E33973">
      <w:pPr>
        <w:spacing w:line="360" w:lineRule="auto"/>
        <w:ind w:left="720"/>
        <w:contextualSpacing/>
        <w:jc w:val="both"/>
        <w:rPr>
          <w:rFonts w:ascii="Palatino Linotype" w:eastAsia="Calibri" w:hAnsi="Palatino Linotype" w:cs="Tahoma"/>
          <w:b/>
          <w:bCs/>
          <w:sz w:val="22"/>
          <w:szCs w:val="22"/>
          <w:lang w:eastAsia="en-US"/>
        </w:rPr>
      </w:pPr>
    </w:p>
    <w:p w14:paraId="49831399" w14:textId="77777777" w:rsidR="00E33973" w:rsidRPr="00012296" w:rsidRDefault="00E33973" w:rsidP="00FB51F4">
      <w:pPr>
        <w:spacing w:line="360" w:lineRule="auto"/>
        <w:contextualSpacing/>
        <w:jc w:val="both"/>
        <w:rPr>
          <w:rFonts w:ascii="Palatino Linotype" w:hAnsi="Palatino Linotype" w:cs="Tahoma"/>
          <w:bCs/>
          <w:sz w:val="22"/>
          <w:szCs w:val="22"/>
        </w:rPr>
      </w:pPr>
      <w:r w:rsidRPr="00012296">
        <w:rPr>
          <w:rFonts w:ascii="Palatino Linotype" w:eastAsia="Calibri" w:hAnsi="Palatino Linotype" w:cs="Tahoma"/>
          <w:bCs/>
          <w:sz w:val="22"/>
          <w:szCs w:val="22"/>
          <w:lang w:eastAsia="en-US"/>
        </w:rPr>
        <w:t>Con lo anterior, se ocasionaría que el objeto que persigue el procedimiento administrativo responsabilidades, concerniente a sancionar a los servidores públicos, que cometieron una responsabilidad administrativa, conforme a la normatividad aplicable</w:t>
      </w:r>
      <w:r>
        <w:rPr>
          <w:rFonts w:ascii="Palatino Linotype" w:hAnsi="Palatino Linotype" w:cs="Tahoma"/>
          <w:sz w:val="22"/>
          <w:szCs w:val="22"/>
        </w:rPr>
        <w:t>, no se aplicara</w:t>
      </w:r>
      <w:r w:rsidRPr="00012296">
        <w:rPr>
          <w:rFonts w:ascii="Palatino Linotype" w:hAnsi="Palatino Linotype" w:cs="Tahoma"/>
          <w:sz w:val="22"/>
          <w:szCs w:val="22"/>
        </w:rPr>
        <w:t xml:space="preserve"> de manera correcta, lo cual ocasionaría que, en su caso, no se impusiera una responsabilidad, cuando procedía, o bien, el responsable se alertara y por dicha circunstancia obstruyera el procedimiento de trámite.</w:t>
      </w:r>
    </w:p>
    <w:p w14:paraId="4493AFFF" w14:textId="77777777" w:rsidR="00E33973" w:rsidRPr="00012296" w:rsidRDefault="00E33973" w:rsidP="00E33973">
      <w:pPr>
        <w:spacing w:line="360" w:lineRule="auto"/>
        <w:ind w:left="720"/>
        <w:contextualSpacing/>
        <w:jc w:val="both"/>
        <w:rPr>
          <w:rFonts w:ascii="Palatino Linotype" w:eastAsia="Calibri" w:hAnsi="Palatino Linotype" w:cs="Tahoma"/>
          <w:bCs/>
          <w:sz w:val="22"/>
          <w:szCs w:val="22"/>
          <w:lang w:eastAsia="en-US"/>
        </w:rPr>
      </w:pPr>
    </w:p>
    <w:p w14:paraId="70D39430" w14:textId="77777777" w:rsidR="00E33973" w:rsidRPr="00012296" w:rsidRDefault="00E33973" w:rsidP="00FB51F4">
      <w:pPr>
        <w:spacing w:line="360" w:lineRule="auto"/>
        <w:contextualSpacing/>
        <w:jc w:val="both"/>
        <w:rPr>
          <w:rFonts w:ascii="Palatino Linotype" w:eastAsia="Calibri" w:hAnsi="Palatino Linotype" w:cs="Tahoma"/>
          <w:bCs/>
          <w:sz w:val="22"/>
          <w:szCs w:val="22"/>
          <w:lang w:eastAsia="en-US"/>
        </w:rPr>
      </w:pPr>
      <w:r w:rsidRPr="00012296">
        <w:rPr>
          <w:rFonts w:ascii="Palatino Linotype" w:eastAsia="Calibri" w:hAnsi="Palatino Linotype" w:cs="Tahoma"/>
          <w:bCs/>
          <w:sz w:val="22"/>
          <w:szCs w:val="22"/>
          <w:lang w:eastAsia="en-US"/>
        </w:rPr>
        <w:t xml:space="preserve">Por lo que, para salvaguardar la secrecía que existe en </w:t>
      </w:r>
      <w:r>
        <w:rPr>
          <w:rFonts w:ascii="Palatino Linotype" w:eastAsia="Calibri" w:hAnsi="Palatino Linotype" w:cs="Tahoma"/>
          <w:bCs/>
          <w:sz w:val="22"/>
          <w:szCs w:val="22"/>
          <w:lang w:eastAsia="en-US"/>
        </w:rPr>
        <w:t>las etapas de sustanciación del procedimiento de responsabilidad administrativa y que</w:t>
      </w:r>
      <w:r w:rsidRPr="00012296">
        <w:rPr>
          <w:rFonts w:ascii="Palatino Linotype" w:eastAsia="Calibri" w:hAnsi="Palatino Linotype" w:cs="Tahoma"/>
          <w:bCs/>
          <w:sz w:val="22"/>
          <w:szCs w:val="22"/>
          <w:lang w:eastAsia="en-US"/>
        </w:rPr>
        <w:t xml:space="preserve"> la Contraloría pueda ejercer de manera correcta sus atribuciones y </w:t>
      </w:r>
      <w:r>
        <w:rPr>
          <w:rFonts w:ascii="Palatino Linotype" w:eastAsia="Calibri" w:hAnsi="Palatino Linotype" w:cs="Tahoma"/>
          <w:bCs/>
          <w:sz w:val="22"/>
          <w:szCs w:val="22"/>
          <w:lang w:eastAsia="en-US"/>
        </w:rPr>
        <w:t xml:space="preserve">se allegue </w:t>
      </w:r>
      <w:r w:rsidRPr="00012296">
        <w:rPr>
          <w:rFonts w:ascii="Palatino Linotype" w:eastAsia="Calibri" w:hAnsi="Palatino Linotype" w:cs="Tahoma"/>
          <w:bCs/>
          <w:sz w:val="22"/>
          <w:szCs w:val="22"/>
          <w:lang w:eastAsia="en-US"/>
        </w:rPr>
        <w:t xml:space="preserve">de los elementos necesarios para determinar </w:t>
      </w:r>
      <w:r>
        <w:rPr>
          <w:rFonts w:ascii="Palatino Linotype" w:eastAsia="Calibri" w:hAnsi="Palatino Linotype" w:cs="Tahoma"/>
          <w:bCs/>
          <w:sz w:val="22"/>
          <w:szCs w:val="22"/>
          <w:lang w:eastAsia="en-US"/>
        </w:rPr>
        <w:t>la inocencia o culpabilidad</w:t>
      </w:r>
      <w:r w:rsidRPr="00012296">
        <w:rPr>
          <w:rFonts w:ascii="Palatino Linotype" w:eastAsia="Calibri" w:hAnsi="Palatino Linotype" w:cs="Tahoma"/>
          <w:bCs/>
          <w:sz w:val="22"/>
          <w:szCs w:val="22"/>
          <w:lang w:eastAsia="en-US"/>
        </w:rPr>
        <w:t xml:space="preserve">, se considera necesario proteger los expedientes que se encuentran en </w:t>
      </w:r>
      <w:r>
        <w:rPr>
          <w:rFonts w:ascii="Palatino Linotype" w:eastAsia="Calibri" w:hAnsi="Palatino Linotype" w:cs="Tahoma"/>
          <w:bCs/>
          <w:sz w:val="22"/>
          <w:szCs w:val="22"/>
          <w:lang w:eastAsia="en-US"/>
        </w:rPr>
        <w:t>trámite</w:t>
      </w:r>
      <w:r w:rsidRPr="00012296">
        <w:rPr>
          <w:rFonts w:ascii="Palatino Linotype" w:eastAsia="Calibri" w:hAnsi="Palatino Linotype" w:cs="Tahoma"/>
          <w:bCs/>
          <w:sz w:val="22"/>
          <w:szCs w:val="22"/>
          <w:lang w:eastAsia="en-US"/>
        </w:rPr>
        <w:t xml:space="preserve"> por parte de la Contraloría Municipal. </w:t>
      </w:r>
    </w:p>
    <w:p w14:paraId="259A981F" w14:textId="77777777" w:rsidR="00E33973" w:rsidRPr="00B77CA1" w:rsidRDefault="00E33973" w:rsidP="00E33973">
      <w:pPr>
        <w:spacing w:line="360" w:lineRule="auto"/>
        <w:ind w:left="720"/>
        <w:contextualSpacing/>
        <w:jc w:val="both"/>
        <w:rPr>
          <w:rFonts w:ascii="Palatino Linotype" w:eastAsia="Calibri" w:hAnsi="Palatino Linotype" w:cs="Tahoma"/>
          <w:b/>
          <w:bCs/>
          <w:sz w:val="22"/>
          <w:szCs w:val="22"/>
          <w:lang w:eastAsia="en-US"/>
        </w:rPr>
      </w:pPr>
    </w:p>
    <w:p w14:paraId="36CA9370" w14:textId="77777777" w:rsidR="00E33973" w:rsidRPr="00B44DFC" w:rsidRDefault="00E33973" w:rsidP="00E33973">
      <w:pPr>
        <w:numPr>
          <w:ilvl w:val="0"/>
          <w:numId w:val="18"/>
        </w:numPr>
        <w:spacing w:line="360" w:lineRule="auto"/>
        <w:contextualSpacing/>
        <w:jc w:val="both"/>
        <w:rPr>
          <w:rFonts w:ascii="Palatino Linotype" w:eastAsia="Calibri" w:hAnsi="Palatino Linotype" w:cs="Tahoma"/>
          <w:b/>
          <w:bCs/>
          <w:sz w:val="22"/>
          <w:szCs w:val="22"/>
          <w:lang w:eastAsia="en-US"/>
        </w:rPr>
      </w:pPr>
      <w:r w:rsidRPr="00B44DFC">
        <w:rPr>
          <w:rFonts w:ascii="Palatino Linotype" w:eastAsia="Calibri" w:hAnsi="Palatino Linotype" w:cs="Tahoma"/>
          <w:b/>
          <w:bCs/>
          <w:sz w:val="22"/>
          <w:szCs w:val="22"/>
          <w:lang w:eastAsia="en-US"/>
        </w:rPr>
        <w:t xml:space="preserve">Que la reserva no se traduzca en un medio restrictivo al derecho de acceso a la información, </w:t>
      </w:r>
      <w:r w:rsidRPr="00B44DFC">
        <w:rPr>
          <w:rFonts w:ascii="Palatino Linotype" w:eastAsia="Calibri" w:hAnsi="Palatino Linotype" w:cs="Tahoma"/>
          <w:bCs/>
          <w:sz w:val="22"/>
          <w:szCs w:val="22"/>
          <w:lang w:eastAsia="en-US"/>
        </w:rPr>
        <w:t xml:space="preserve">en virtud, de que en el presente caso se busca salvaguardar los derechos del presunto responsable, tales como la presunción de inocencia, el honor, la intimidad y la buena imagen, pues la ciudadanía podría generar un juicio </w:t>
      </w:r>
      <w:r w:rsidRPr="00B44DFC">
        <w:rPr>
          <w:rFonts w:ascii="Palatino Linotype" w:eastAsia="Calibri" w:hAnsi="Palatino Linotype" w:cs="Tahoma"/>
          <w:bCs/>
          <w:i/>
          <w:sz w:val="22"/>
          <w:szCs w:val="22"/>
          <w:lang w:eastAsia="en-US"/>
        </w:rPr>
        <w:t>a priori</w:t>
      </w:r>
      <w:r w:rsidRPr="00B44DFC">
        <w:rPr>
          <w:rFonts w:ascii="Palatino Linotype" w:eastAsia="Calibri" w:hAnsi="Palatino Linotype" w:cs="Tahoma"/>
          <w:bCs/>
          <w:sz w:val="22"/>
          <w:szCs w:val="22"/>
          <w:lang w:eastAsia="en-US"/>
        </w:rPr>
        <w:t>, afectando el prestigio y buen nombre del servidor público investigado; así como, la correcta actuación de la Contraloría Municipal, pues como se refirió en la etapa de investigación, se está allegando de elementos para determinar la existencia de una probable responsabilidad, sin que se le haga del conocimiento a los probables responsables.</w:t>
      </w:r>
    </w:p>
    <w:p w14:paraId="1486EFAE" w14:textId="77777777" w:rsidR="00E33973" w:rsidRPr="00012296" w:rsidRDefault="00E33973" w:rsidP="00E33973">
      <w:pPr>
        <w:spacing w:line="360" w:lineRule="auto"/>
        <w:ind w:left="720"/>
        <w:contextualSpacing/>
        <w:jc w:val="both"/>
        <w:rPr>
          <w:rFonts w:ascii="Palatino Linotype" w:eastAsia="Calibri" w:hAnsi="Palatino Linotype" w:cs="Tahoma"/>
          <w:b/>
          <w:bCs/>
          <w:sz w:val="22"/>
          <w:szCs w:val="22"/>
          <w:lang w:eastAsia="en-US"/>
        </w:rPr>
      </w:pPr>
    </w:p>
    <w:p w14:paraId="17A59E56" w14:textId="77777777" w:rsidR="00E33973" w:rsidRPr="00012296" w:rsidRDefault="00E33973" w:rsidP="00FB51F4">
      <w:pPr>
        <w:spacing w:line="360" w:lineRule="auto"/>
        <w:contextualSpacing/>
        <w:jc w:val="both"/>
        <w:rPr>
          <w:rFonts w:ascii="Palatino Linotype" w:eastAsia="Calibri" w:hAnsi="Palatino Linotype" w:cs="Tahoma"/>
          <w:sz w:val="22"/>
          <w:szCs w:val="22"/>
          <w:lang w:eastAsia="en-US"/>
        </w:rPr>
      </w:pPr>
      <w:r w:rsidRPr="00012296">
        <w:rPr>
          <w:rFonts w:ascii="Palatino Linotype" w:eastAsia="Calibri" w:hAnsi="Palatino Linotype" w:cs="Tahoma"/>
          <w:sz w:val="22"/>
          <w:szCs w:val="22"/>
          <w:lang w:eastAsia="en-US"/>
        </w:rPr>
        <w:t>Por otra parte, es de señalar que, la reserva es temporal, por lo que no traduce en un medio restrictivo al derecho de acceso a la información, pues una vez concluido el proceso, la documentación que lo conforma guardará la naturaleza de pública, es decir, una vez que la Contraloría, emita la resolución que corresponda y haya quedado firme, el expediente será accesible para cualquier persona. Además, con la clasificación de la información, se protege el honor y el derecho de presunción de inocencia de la probable responsable, en lo que se determina si existe una responsabilidad o no; o en su caso, que se sustraiga de la acción de la Contraloría Municipal.</w:t>
      </w:r>
    </w:p>
    <w:p w14:paraId="47B7FE97" w14:textId="77777777" w:rsidR="00E33973" w:rsidRPr="00860A98" w:rsidRDefault="00E33973" w:rsidP="00E33973">
      <w:pPr>
        <w:pStyle w:val="Prrafodelista"/>
        <w:spacing w:line="360" w:lineRule="auto"/>
        <w:rPr>
          <w:rFonts w:ascii="Palatino Linotype" w:eastAsia="Calibri" w:hAnsi="Palatino Linotype" w:cs="Tahoma"/>
          <w:bCs/>
          <w:szCs w:val="22"/>
          <w:lang w:eastAsia="en-US"/>
        </w:rPr>
      </w:pPr>
    </w:p>
    <w:p w14:paraId="78AECD48" w14:textId="68DBD384" w:rsidR="00E33973" w:rsidRDefault="00E33973" w:rsidP="00E33973">
      <w:pPr>
        <w:spacing w:line="360" w:lineRule="auto"/>
        <w:jc w:val="both"/>
        <w:rPr>
          <w:rFonts w:ascii="Palatino Linotype" w:eastAsia="Calibri" w:hAnsi="Palatino Linotype" w:cs="Tahoma"/>
          <w:b/>
          <w:iCs/>
          <w:sz w:val="22"/>
          <w:szCs w:val="22"/>
          <w:lang w:val="es-ES" w:eastAsia="es-ES_tradnl"/>
        </w:rPr>
      </w:pPr>
      <w:r w:rsidRPr="00860A98">
        <w:rPr>
          <w:rFonts w:ascii="Palatino Linotype" w:eastAsia="Calibri" w:hAnsi="Palatino Linotype" w:cs="Tahoma"/>
          <w:bCs/>
          <w:sz w:val="22"/>
          <w:szCs w:val="22"/>
          <w:lang w:eastAsia="en-US"/>
        </w:rPr>
        <w:t>Por tales consideraciones,</w:t>
      </w:r>
      <w:r>
        <w:rPr>
          <w:rFonts w:ascii="Palatino Linotype" w:eastAsia="Calibri" w:hAnsi="Palatino Linotype" w:cs="Tahoma"/>
          <w:bCs/>
          <w:sz w:val="22"/>
          <w:szCs w:val="22"/>
          <w:lang w:eastAsia="en-US"/>
        </w:rPr>
        <w:t xml:space="preserve"> en caso de que existan procedimientos de responsabilidades administrativas en contra servidores públicos, en trámite,</w:t>
      </w:r>
      <w:r w:rsidRPr="00860A98">
        <w:rPr>
          <w:rFonts w:ascii="Palatino Linotype" w:eastAsia="Calibri" w:hAnsi="Palatino Linotype" w:cs="Tahoma"/>
          <w:bCs/>
          <w:sz w:val="22"/>
          <w:szCs w:val="22"/>
          <w:lang w:eastAsia="en-US"/>
        </w:rPr>
        <w:t xml:space="preserve"> </w:t>
      </w:r>
      <w:r w:rsidRPr="00860A98">
        <w:rPr>
          <w:rFonts w:ascii="Palatino Linotype" w:eastAsia="Calibri" w:hAnsi="Palatino Linotype" w:cs="Tahoma"/>
          <w:b/>
          <w:bCs/>
          <w:sz w:val="22"/>
          <w:szCs w:val="22"/>
          <w:lang w:eastAsia="en-US"/>
        </w:rPr>
        <w:t>resulta procedente la reserva</w:t>
      </w:r>
      <w:r>
        <w:rPr>
          <w:rFonts w:ascii="Palatino Linotype" w:eastAsia="Calibri" w:hAnsi="Palatino Linotype" w:cs="Tahoma"/>
          <w:b/>
          <w:bCs/>
          <w:sz w:val="22"/>
          <w:szCs w:val="22"/>
          <w:lang w:eastAsia="en-US"/>
        </w:rPr>
        <w:t xml:space="preserve"> de las quejas o denuncias que formen parte </w:t>
      </w:r>
      <w:r w:rsidR="00FB51F4">
        <w:rPr>
          <w:rFonts w:ascii="Palatino Linotype" w:eastAsia="Calibri" w:hAnsi="Palatino Linotype" w:cs="Tahoma"/>
          <w:b/>
          <w:bCs/>
          <w:sz w:val="22"/>
          <w:szCs w:val="22"/>
          <w:lang w:eastAsia="en-US"/>
        </w:rPr>
        <w:t>de este</w:t>
      </w:r>
      <w:r w:rsidRPr="00860A98">
        <w:rPr>
          <w:rFonts w:ascii="Palatino Linotype" w:eastAsia="Calibri" w:hAnsi="Palatino Linotype" w:cs="Tahoma"/>
          <w:b/>
          <w:bCs/>
          <w:sz w:val="22"/>
          <w:szCs w:val="22"/>
          <w:lang w:eastAsia="en-US"/>
        </w:rPr>
        <w:t xml:space="preserve">, en términos del artículo 140, fracción </w:t>
      </w:r>
      <w:r>
        <w:rPr>
          <w:rFonts w:ascii="Palatino Linotype" w:eastAsia="Calibri" w:hAnsi="Palatino Linotype" w:cs="Tahoma"/>
          <w:b/>
          <w:bCs/>
          <w:sz w:val="22"/>
          <w:szCs w:val="22"/>
          <w:lang w:eastAsia="en-US"/>
        </w:rPr>
        <w:t>VI</w:t>
      </w:r>
      <w:r w:rsidRPr="00860A98">
        <w:rPr>
          <w:rFonts w:ascii="Palatino Linotype" w:eastAsia="Calibri" w:hAnsi="Palatino Linotype" w:cs="Tahoma"/>
          <w:b/>
          <w:bCs/>
          <w:sz w:val="22"/>
          <w:szCs w:val="22"/>
          <w:lang w:eastAsia="en-US"/>
        </w:rPr>
        <w:t xml:space="preserve">, de </w:t>
      </w:r>
      <w:r w:rsidRPr="00860A98">
        <w:rPr>
          <w:rFonts w:ascii="Palatino Linotype" w:eastAsia="Calibri" w:hAnsi="Palatino Linotype" w:cs="Tahoma"/>
          <w:b/>
          <w:iCs/>
          <w:sz w:val="22"/>
          <w:szCs w:val="22"/>
          <w:lang w:val="es-ES" w:eastAsia="es-ES_tradnl"/>
        </w:rPr>
        <w:t>de la Ley de Transparencia y Acceso a la Información Pública del</w:t>
      </w:r>
      <w:r>
        <w:rPr>
          <w:rFonts w:ascii="Palatino Linotype" w:eastAsia="Calibri" w:hAnsi="Palatino Linotype" w:cs="Tahoma"/>
          <w:b/>
          <w:iCs/>
          <w:sz w:val="22"/>
          <w:szCs w:val="22"/>
          <w:lang w:val="es-ES" w:eastAsia="es-ES_tradnl"/>
        </w:rPr>
        <w:t xml:space="preserve"> Estado de México y Municipios.</w:t>
      </w:r>
    </w:p>
    <w:p w14:paraId="42994FA3" w14:textId="77777777" w:rsidR="00FB51F4" w:rsidRPr="00125B0F" w:rsidRDefault="00FB51F4" w:rsidP="00E33973">
      <w:pPr>
        <w:spacing w:line="360" w:lineRule="auto"/>
        <w:jc w:val="both"/>
        <w:rPr>
          <w:rFonts w:ascii="Palatino Linotype" w:eastAsia="Calibri" w:hAnsi="Palatino Linotype" w:cs="Tahoma"/>
          <w:b/>
          <w:iCs/>
          <w:sz w:val="22"/>
          <w:szCs w:val="22"/>
          <w:lang w:val="es-ES" w:eastAsia="es-ES_tradnl"/>
        </w:rPr>
      </w:pPr>
    </w:p>
    <w:p w14:paraId="3850C06A" w14:textId="7AAF29CF" w:rsidR="00E33973" w:rsidRDefault="00E33973" w:rsidP="00E33973">
      <w:pPr>
        <w:autoSpaceDE w:val="0"/>
        <w:autoSpaceDN w:val="0"/>
        <w:spacing w:line="360" w:lineRule="auto"/>
        <w:jc w:val="both"/>
        <w:rPr>
          <w:rFonts w:ascii="Palatino Linotype" w:hAnsi="Palatino Linotype" w:cs="Tahoma"/>
          <w:bCs/>
          <w:sz w:val="22"/>
          <w:szCs w:val="22"/>
        </w:rPr>
      </w:pPr>
      <w:r w:rsidRPr="00B44DFC">
        <w:rPr>
          <w:rFonts w:ascii="Palatino Linotype" w:eastAsia="Calibri" w:hAnsi="Palatino Linotype" w:cs="Tahoma"/>
          <w:iCs/>
          <w:sz w:val="22"/>
          <w:szCs w:val="22"/>
          <w:lang w:val="es-ES" w:eastAsia="es-ES_tradnl"/>
        </w:rPr>
        <w:t>Finalmente,</w:t>
      </w:r>
      <w:r w:rsidRPr="00B44DFC">
        <w:rPr>
          <w:rFonts w:ascii="Palatino Linotype" w:eastAsia="Calibri" w:hAnsi="Palatino Linotype" w:cs="Tahoma"/>
          <w:b/>
          <w:iCs/>
          <w:sz w:val="22"/>
          <w:szCs w:val="22"/>
          <w:lang w:val="es-ES" w:eastAsia="es-ES_tradnl"/>
        </w:rPr>
        <w:t xml:space="preserve"> </w:t>
      </w:r>
      <w:r w:rsidRPr="00B44DFC">
        <w:rPr>
          <w:rFonts w:ascii="Palatino Linotype" w:eastAsia="Calibri" w:hAnsi="Palatino Linotype" w:cs="Tahoma"/>
          <w:bCs/>
          <w:sz w:val="22"/>
          <w:szCs w:val="22"/>
          <w:lang w:eastAsia="en-US"/>
        </w:rPr>
        <w:t xml:space="preserve">respecto al plazo de reserva, el artículo 125 de la Ley de la materia, establece </w:t>
      </w:r>
      <w:r w:rsidRPr="00B44DFC">
        <w:rPr>
          <w:rFonts w:ascii="Palatino Linotype" w:hAnsi="Palatino Linotype" w:cs="Tahoma"/>
          <w:bCs/>
          <w:sz w:val="22"/>
          <w:szCs w:val="22"/>
        </w:rPr>
        <w:t>que la información clasificada como reservada según el artículo 140 de la Ley Federal de Transparencia y Acceso a la Información Pública, podrá permanecer con tal carácter hasta por un periodo de cinco años; por lo que deberá determinar el periodo de reserva, de manera fundada y motivada.</w:t>
      </w:r>
    </w:p>
    <w:p w14:paraId="2CE3EA8E" w14:textId="6F091448" w:rsidR="004B1DA6" w:rsidRDefault="004B1DA6" w:rsidP="00E33973">
      <w:pPr>
        <w:autoSpaceDE w:val="0"/>
        <w:autoSpaceDN w:val="0"/>
        <w:spacing w:line="360" w:lineRule="auto"/>
        <w:jc w:val="both"/>
        <w:rPr>
          <w:rFonts w:ascii="Palatino Linotype" w:hAnsi="Palatino Linotype" w:cs="Tahoma"/>
          <w:bCs/>
          <w:sz w:val="22"/>
          <w:szCs w:val="22"/>
        </w:rPr>
      </w:pPr>
    </w:p>
    <w:p w14:paraId="7CC6DDC3" w14:textId="77777777" w:rsidR="004B1DA6" w:rsidRDefault="004B1DA6" w:rsidP="004B1DA6">
      <w:pPr>
        <w:widowControl w:val="0"/>
        <w:autoSpaceDE w:val="0"/>
        <w:autoSpaceDN w:val="0"/>
        <w:adjustRightInd w:val="0"/>
        <w:spacing w:line="360" w:lineRule="auto"/>
        <w:contextualSpacing/>
        <w:jc w:val="both"/>
        <w:rPr>
          <w:rFonts w:ascii="Palatino Linotype" w:hAnsi="Palatino Linotype" w:cs="Tahoma"/>
          <w:bCs/>
          <w:i/>
          <w:sz w:val="22"/>
          <w:szCs w:val="22"/>
        </w:rPr>
      </w:pPr>
      <w:r w:rsidRPr="00D30636">
        <w:rPr>
          <w:rFonts w:ascii="Palatino Linotype" w:hAnsi="Palatino Linotype" w:cs="Tahoma"/>
          <w:bCs/>
          <w:iCs/>
          <w:sz w:val="22"/>
          <w:szCs w:val="22"/>
        </w:rPr>
        <w:t xml:space="preserve">Para el caso de que </w:t>
      </w:r>
      <w:r w:rsidRPr="00D30636">
        <w:rPr>
          <w:rFonts w:ascii="Palatino Linotype" w:hAnsi="Palatino Linotype" w:cs="Tahoma"/>
          <w:b/>
          <w:bCs/>
          <w:iCs/>
          <w:sz w:val="22"/>
          <w:szCs w:val="22"/>
        </w:rPr>
        <w:t>EL SUJETO OBLIGADO</w:t>
      </w:r>
      <w:r w:rsidRPr="00D30636">
        <w:rPr>
          <w:rFonts w:ascii="Palatino Linotype" w:hAnsi="Palatino Linotype" w:cs="Tahoma"/>
          <w:bCs/>
          <w:iCs/>
          <w:sz w:val="22"/>
          <w:szCs w:val="22"/>
        </w:rPr>
        <w:t xml:space="preserve"> no cuente con toda la información que se ordena entregar en el numeral 2, derivado de la temporalidad ordenada deberá emitir deberá de emitir el acuerdo del Comité de Transparencia en el que se declare la inexistencia conforme a lo dispuesto en los artículos 49, fracciones II y XIII, 169 y 170 de la Ley de Transparencia y Acceso a la Información Pública del Estado de México y Municipios</w:t>
      </w:r>
      <w:r>
        <w:rPr>
          <w:rFonts w:ascii="Palatino Linotype" w:hAnsi="Palatino Linotype" w:cs="Tahoma"/>
          <w:bCs/>
          <w:i/>
          <w:sz w:val="22"/>
          <w:szCs w:val="22"/>
        </w:rPr>
        <w:t>.</w:t>
      </w:r>
    </w:p>
    <w:p w14:paraId="795BC6BF" w14:textId="77777777" w:rsidR="004B1DA6" w:rsidRDefault="004B1DA6" w:rsidP="004B1DA6">
      <w:pPr>
        <w:widowControl w:val="0"/>
        <w:autoSpaceDE w:val="0"/>
        <w:autoSpaceDN w:val="0"/>
        <w:adjustRightInd w:val="0"/>
        <w:spacing w:line="360" w:lineRule="auto"/>
        <w:contextualSpacing/>
        <w:jc w:val="both"/>
        <w:rPr>
          <w:rFonts w:ascii="Palatino Linotype" w:hAnsi="Palatino Linotype" w:cs="Tahoma"/>
          <w:bCs/>
          <w:i/>
          <w:sz w:val="22"/>
          <w:szCs w:val="22"/>
        </w:rPr>
      </w:pPr>
    </w:p>
    <w:p w14:paraId="143115E5" w14:textId="69D69762" w:rsidR="004B1DA6" w:rsidRDefault="004B1DA6" w:rsidP="004B1DA6">
      <w:pPr>
        <w:widowControl w:val="0"/>
        <w:autoSpaceDE w:val="0"/>
        <w:autoSpaceDN w:val="0"/>
        <w:adjustRightInd w:val="0"/>
        <w:spacing w:line="360" w:lineRule="auto"/>
        <w:contextualSpacing/>
        <w:jc w:val="both"/>
        <w:rPr>
          <w:rFonts w:ascii="Palatino Linotype" w:hAnsi="Palatino Linotype" w:cs="Tahoma"/>
          <w:iCs/>
          <w:sz w:val="22"/>
          <w:szCs w:val="22"/>
        </w:rPr>
      </w:pPr>
      <w:r>
        <w:rPr>
          <w:rFonts w:ascii="Palatino Linotype" w:hAnsi="Palatino Linotype"/>
          <w:sz w:val="22"/>
          <w:szCs w:val="22"/>
        </w:rPr>
        <w:t>P</w:t>
      </w:r>
      <w:r w:rsidRPr="00D30636">
        <w:rPr>
          <w:rFonts w:ascii="Palatino Linotype" w:hAnsi="Palatino Linotype"/>
          <w:sz w:val="22"/>
          <w:szCs w:val="22"/>
        </w:rPr>
        <w:t xml:space="preserve">ara el caso de que los documentos que se vayan a remitir supere las capacidades técnicas de </w:t>
      </w:r>
      <w:r w:rsidRPr="00D30636">
        <w:rPr>
          <w:rFonts w:ascii="Palatino Linotype" w:hAnsi="Palatino Linotype"/>
          <w:b/>
          <w:bCs/>
          <w:sz w:val="22"/>
          <w:szCs w:val="22"/>
        </w:rPr>
        <w:t>EL SAIMEX</w:t>
      </w:r>
      <w:r w:rsidRPr="00D30636">
        <w:rPr>
          <w:rFonts w:ascii="Palatino Linotype" w:hAnsi="Palatino Linotype"/>
          <w:sz w:val="22"/>
          <w:szCs w:val="22"/>
        </w:rPr>
        <w:t xml:space="preserve">, </w:t>
      </w:r>
      <w:r w:rsidRPr="004B1DA6">
        <w:rPr>
          <w:rFonts w:ascii="Palatino Linotype" w:hAnsi="Palatino Linotype" w:cs="Tahoma"/>
          <w:b/>
          <w:bCs/>
          <w:iCs/>
          <w:sz w:val="22"/>
          <w:szCs w:val="22"/>
        </w:rPr>
        <w:t xml:space="preserve">EL SUJETO OBLIGADO, </w:t>
      </w:r>
      <w:r w:rsidRPr="00AD61EF">
        <w:rPr>
          <w:rFonts w:ascii="Palatino Linotype" w:hAnsi="Palatino Linotype" w:cs="Tahoma"/>
          <w:iCs/>
          <w:sz w:val="22"/>
          <w:szCs w:val="22"/>
        </w:rPr>
        <w:t>previa verificación de la Dirección General de Informática de este Instituto,</w:t>
      </w:r>
      <w:r>
        <w:rPr>
          <w:rFonts w:ascii="Palatino Linotype" w:hAnsi="Palatino Linotype" w:cs="Tahoma"/>
          <w:b/>
          <w:bCs/>
          <w:iCs/>
          <w:sz w:val="22"/>
          <w:szCs w:val="22"/>
        </w:rPr>
        <w:t xml:space="preserve"> </w:t>
      </w:r>
      <w:r w:rsidRPr="00D30636">
        <w:rPr>
          <w:rFonts w:ascii="Palatino Linotype" w:hAnsi="Palatino Linotype" w:cs="Tahoma"/>
          <w:iCs/>
          <w:sz w:val="22"/>
          <w:szCs w:val="22"/>
        </w:rPr>
        <w:t>podrá ofrecer otras modalidades electrónicas para la entrega de la información, tales como</w:t>
      </w:r>
      <w:r w:rsidRPr="00D30636">
        <w:rPr>
          <w:rFonts w:ascii="Palatino Linotype" w:hAnsi="Palatino Linotype"/>
          <w:sz w:val="22"/>
          <w:szCs w:val="22"/>
        </w:rPr>
        <w:t xml:space="preserve"> </w:t>
      </w:r>
      <w:r w:rsidRPr="00D30636">
        <w:rPr>
          <w:rFonts w:ascii="Palatino Linotype" w:hAnsi="Palatino Linotype" w:cs="Tahoma"/>
          <w:iCs/>
          <w:sz w:val="22"/>
          <w:szCs w:val="22"/>
        </w:rPr>
        <w:t>enviar la información a su cuenta de correo electrónico; o concederle el acceso en disco compacto, con la posibilidad de envío mediante correo certificado, previo pago del costo del CD y del envío; o darle la posibilidad de obtenerla de manera gratuita si el mismo aporta el CD o la USB en la que se le proporcionarán los archivos electrónicos, o bien, habilitar una liga electrónica que deberá proporcionarle para que descargue los archivos; además de precisar que si se acredita un impedimento justificado para atender esa modalidad en relación directa con el formato en el que obra la información, se brinde la posibilidad de que debidamente fundada y motivada se ofrezca la entrega de la información en el resto de las modalidades, además, de consulta directa, como copias simples y certificadas con opción de envío a domicilio</w:t>
      </w:r>
      <w:r>
        <w:rPr>
          <w:rFonts w:ascii="Palatino Linotype" w:hAnsi="Palatino Linotype" w:cs="Tahoma"/>
          <w:iCs/>
          <w:sz w:val="22"/>
          <w:szCs w:val="22"/>
        </w:rPr>
        <w:t xml:space="preserve">; para ello, </w:t>
      </w:r>
      <w:r w:rsidRPr="00D30636">
        <w:rPr>
          <w:rFonts w:ascii="Palatino Linotype" w:hAnsi="Palatino Linotype" w:cs="Tahoma"/>
          <w:iCs/>
          <w:sz w:val="22"/>
          <w:szCs w:val="22"/>
        </w:rPr>
        <w:t>deberá indicar el procedimiento para acceder a la información.</w:t>
      </w:r>
    </w:p>
    <w:p w14:paraId="687A84F5" w14:textId="3F4B9C98" w:rsidR="005038F9" w:rsidRDefault="005038F9" w:rsidP="004B1DA6">
      <w:pPr>
        <w:widowControl w:val="0"/>
        <w:autoSpaceDE w:val="0"/>
        <w:autoSpaceDN w:val="0"/>
        <w:adjustRightInd w:val="0"/>
        <w:spacing w:line="360" w:lineRule="auto"/>
        <w:contextualSpacing/>
        <w:jc w:val="both"/>
        <w:rPr>
          <w:rFonts w:ascii="Palatino Linotype" w:hAnsi="Palatino Linotype" w:cs="Tahoma"/>
          <w:iCs/>
          <w:sz w:val="22"/>
          <w:szCs w:val="22"/>
        </w:rPr>
      </w:pPr>
    </w:p>
    <w:p w14:paraId="2B8C71CF" w14:textId="77777777" w:rsidR="005038F9" w:rsidRDefault="005038F9" w:rsidP="005038F9">
      <w:pPr>
        <w:spacing w:line="360" w:lineRule="auto"/>
        <w:jc w:val="both"/>
        <w:rPr>
          <w:rFonts w:ascii="Palatino Linotype" w:hAnsi="Palatino Linotype" w:cs="Tahoma"/>
          <w:b/>
          <w:bCs/>
          <w:sz w:val="22"/>
          <w:szCs w:val="22"/>
        </w:rPr>
      </w:pPr>
      <w:r>
        <w:rPr>
          <w:rFonts w:ascii="Palatino Linotype" w:hAnsi="Palatino Linotype" w:cs="Tahoma"/>
          <w:b/>
          <w:bCs/>
          <w:sz w:val="22"/>
          <w:szCs w:val="22"/>
        </w:rPr>
        <w:t>Ampliación de plazo para cumplimentar.</w:t>
      </w:r>
    </w:p>
    <w:p w14:paraId="45F6E419" w14:textId="77777777" w:rsidR="005038F9" w:rsidRDefault="005038F9" w:rsidP="005038F9">
      <w:pPr>
        <w:spacing w:line="360" w:lineRule="auto"/>
        <w:jc w:val="both"/>
        <w:rPr>
          <w:rFonts w:ascii="Palatino Linotype" w:hAnsi="Palatino Linotype" w:cs="Tahoma"/>
          <w:b/>
          <w:bCs/>
          <w:sz w:val="22"/>
          <w:szCs w:val="22"/>
        </w:rPr>
      </w:pPr>
    </w:p>
    <w:p w14:paraId="2B995B04" w14:textId="77016D32" w:rsidR="005038F9" w:rsidRDefault="005038F9" w:rsidP="005038F9">
      <w:pPr>
        <w:spacing w:line="360" w:lineRule="auto"/>
        <w:jc w:val="both"/>
        <w:rPr>
          <w:rFonts w:ascii="Palatino Linotype" w:hAnsi="Palatino Linotype" w:cs="Tahoma"/>
          <w:sz w:val="22"/>
          <w:szCs w:val="22"/>
        </w:rPr>
      </w:pPr>
      <w:r>
        <w:rPr>
          <w:rFonts w:ascii="Palatino Linotype" w:hAnsi="Palatino Linotype" w:cs="Tahoma"/>
          <w:sz w:val="22"/>
          <w:szCs w:val="22"/>
        </w:rPr>
        <w:t xml:space="preserve">En este orden de ideas, debe precisarse que a EL </w:t>
      </w:r>
      <w:r w:rsidRPr="005038F9">
        <w:rPr>
          <w:rFonts w:ascii="Palatino Linotype" w:hAnsi="Palatino Linotype" w:cs="Tahoma"/>
          <w:b/>
          <w:bCs/>
          <w:caps/>
          <w:sz w:val="22"/>
          <w:szCs w:val="22"/>
        </w:rPr>
        <w:t>Sujeto Obligado</w:t>
      </w:r>
      <w:r>
        <w:rPr>
          <w:rFonts w:ascii="Palatino Linotype" w:hAnsi="Palatino Linotype" w:cs="Tahoma"/>
          <w:sz w:val="22"/>
          <w:szCs w:val="22"/>
        </w:rPr>
        <w:t xml:space="preserve"> le requieren información desde el año 2012, por lo que derivado del periodo de búsqueda y el volumen de los documentos que pueden dar cuenta y que dichos documentos, deben ser procesados para la realización de las versiones públicas correspondientes, en atención al principio de imparcialidad, este Instituto considera necesario otorgar un mayor número de días para que el Ente Recurrido dé cumplimiento a la Presente. </w:t>
      </w:r>
    </w:p>
    <w:p w14:paraId="35456A51" w14:textId="77777777" w:rsidR="005038F9" w:rsidRDefault="005038F9" w:rsidP="005038F9">
      <w:pPr>
        <w:spacing w:line="360" w:lineRule="auto"/>
        <w:jc w:val="both"/>
        <w:rPr>
          <w:rFonts w:ascii="Palatino Linotype" w:hAnsi="Palatino Linotype" w:cs="Tahoma"/>
          <w:sz w:val="22"/>
          <w:szCs w:val="22"/>
        </w:rPr>
      </w:pPr>
    </w:p>
    <w:p w14:paraId="430C724D" w14:textId="02227C41" w:rsidR="005038F9" w:rsidRDefault="005038F9" w:rsidP="005038F9">
      <w:pPr>
        <w:spacing w:line="360" w:lineRule="auto"/>
        <w:jc w:val="both"/>
        <w:rPr>
          <w:rFonts w:ascii="Palatino Linotype" w:hAnsi="Palatino Linotype" w:cs="Tahoma"/>
          <w:sz w:val="22"/>
          <w:szCs w:val="22"/>
        </w:rPr>
      </w:pPr>
      <w:r>
        <w:rPr>
          <w:rFonts w:ascii="Palatino Linotype" w:hAnsi="Palatino Linotype" w:cs="Tahoma"/>
          <w:sz w:val="22"/>
          <w:szCs w:val="22"/>
        </w:rPr>
        <w:t>Por consiguiente, si bien es cierto que el numeral 186 de la Ley de la materia aplicable en esta Entidad, señala que en un plazo máximo de diez hábiles los Sujetos Obligados deberán cumplir con la entrega de la información que corresponda, no obstante, en el presente caso, al existir las razones suficientes para considerar que</w:t>
      </w:r>
      <w:r w:rsidR="00C41CDD">
        <w:rPr>
          <w:rFonts w:ascii="Palatino Linotype" w:hAnsi="Palatino Linotype" w:cs="Tahoma"/>
          <w:sz w:val="22"/>
          <w:szCs w:val="22"/>
        </w:rPr>
        <w:t xml:space="preserve"> </w:t>
      </w:r>
      <w:r>
        <w:rPr>
          <w:rFonts w:ascii="Palatino Linotype" w:hAnsi="Palatino Linotype" w:cs="Tahoma"/>
          <w:sz w:val="22"/>
          <w:szCs w:val="22"/>
        </w:rPr>
        <w:t>la búsqueda y el procesamiento de la información puede conllevar un mayor número de días para cumplir con las formalidades necesarias y que con ello, de manera óptima se resguarden los datos personales que obren en lo solicitado, es que se le otorga al Sujeto Obligado, diez días adicionales a los ya estipulados en la Ley.</w:t>
      </w:r>
    </w:p>
    <w:p w14:paraId="4F89DBBF" w14:textId="77777777" w:rsidR="005038F9" w:rsidRDefault="005038F9" w:rsidP="005038F9">
      <w:pPr>
        <w:spacing w:line="360" w:lineRule="auto"/>
        <w:jc w:val="both"/>
        <w:rPr>
          <w:rFonts w:ascii="Palatino Linotype" w:hAnsi="Palatino Linotype" w:cs="Tahoma"/>
          <w:sz w:val="22"/>
          <w:szCs w:val="22"/>
        </w:rPr>
      </w:pPr>
    </w:p>
    <w:p w14:paraId="76C01E2D" w14:textId="703282F9" w:rsidR="005038F9" w:rsidRDefault="005038F9" w:rsidP="005038F9">
      <w:pPr>
        <w:spacing w:line="360" w:lineRule="auto"/>
        <w:jc w:val="both"/>
        <w:rPr>
          <w:rFonts w:ascii="Palatino Linotype" w:hAnsi="Palatino Linotype" w:cs="Tahoma"/>
          <w:sz w:val="22"/>
          <w:szCs w:val="22"/>
        </w:rPr>
      </w:pPr>
      <w:r>
        <w:rPr>
          <w:rFonts w:ascii="Palatino Linotype" w:hAnsi="Palatino Linotype" w:cs="Tahoma"/>
          <w:sz w:val="22"/>
          <w:szCs w:val="22"/>
        </w:rPr>
        <w:t xml:space="preserve">Así entonces, el Ayuntamiento, cuenta con un total de 20 días hábiles a partir de la notificación de la presente, para la entrega de la información. </w:t>
      </w:r>
    </w:p>
    <w:p w14:paraId="52C35B25" w14:textId="77777777" w:rsidR="005038F9" w:rsidRPr="004B1DA6" w:rsidRDefault="005038F9" w:rsidP="004B1DA6">
      <w:pPr>
        <w:widowControl w:val="0"/>
        <w:autoSpaceDE w:val="0"/>
        <w:autoSpaceDN w:val="0"/>
        <w:adjustRightInd w:val="0"/>
        <w:spacing w:line="360" w:lineRule="auto"/>
        <w:contextualSpacing/>
        <w:jc w:val="both"/>
        <w:rPr>
          <w:rFonts w:ascii="Palatino Linotype" w:hAnsi="Palatino Linotype" w:cs="Tahoma"/>
          <w:i/>
          <w:sz w:val="22"/>
          <w:szCs w:val="22"/>
        </w:rPr>
      </w:pPr>
    </w:p>
    <w:p w14:paraId="189EADCC" w14:textId="0B6996BA" w:rsidR="00624FD3" w:rsidRDefault="00DF252E" w:rsidP="00221864">
      <w:pPr>
        <w:spacing w:line="360" w:lineRule="auto"/>
        <w:jc w:val="both"/>
        <w:rPr>
          <w:rFonts w:ascii="Palatino Linotype" w:hAnsi="Palatino Linotype"/>
          <w:bCs/>
          <w:sz w:val="22"/>
          <w:szCs w:val="22"/>
        </w:rPr>
      </w:pPr>
      <w:r w:rsidRPr="001134AE">
        <w:rPr>
          <w:rFonts w:ascii="Palatino Linotype" w:eastAsia="Batang" w:hAnsi="Palatino Linotype" w:cs="Tahoma"/>
          <w:bCs/>
          <w:sz w:val="22"/>
          <w:szCs w:val="22"/>
          <w:lang w:val="es-ES"/>
        </w:rPr>
        <w:t xml:space="preserve">Con base en lo expuesto, este Instituto considera procedente </w:t>
      </w:r>
      <w:r w:rsidR="002F3F03">
        <w:rPr>
          <w:rFonts w:ascii="Palatino Linotype" w:eastAsia="Batang" w:hAnsi="Palatino Linotype" w:cs="Tahoma"/>
          <w:b/>
          <w:bCs/>
          <w:sz w:val="22"/>
          <w:szCs w:val="22"/>
          <w:lang w:val="es-ES"/>
        </w:rPr>
        <w:t xml:space="preserve">REVOCAR </w:t>
      </w:r>
      <w:r w:rsidRPr="001134AE">
        <w:rPr>
          <w:rFonts w:ascii="Palatino Linotype" w:eastAsia="Batang" w:hAnsi="Palatino Linotype" w:cs="Tahoma"/>
          <w:bCs/>
          <w:sz w:val="22"/>
          <w:szCs w:val="22"/>
          <w:lang w:val="es-ES"/>
        </w:rPr>
        <w:t>la</w:t>
      </w:r>
      <w:r w:rsidR="002F3F03">
        <w:rPr>
          <w:rFonts w:ascii="Palatino Linotype" w:eastAsia="Batang" w:hAnsi="Palatino Linotype" w:cs="Tahoma"/>
          <w:bCs/>
          <w:sz w:val="22"/>
          <w:szCs w:val="22"/>
          <w:lang w:val="es-ES"/>
        </w:rPr>
        <w:t>s</w:t>
      </w:r>
      <w:r w:rsidRPr="001134AE">
        <w:rPr>
          <w:rFonts w:ascii="Palatino Linotype" w:eastAsia="Batang" w:hAnsi="Palatino Linotype" w:cs="Tahoma"/>
          <w:bCs/>
          <w:sz w:val="22"/>
          <w:szCs w:val="22"/>
          <w:lang w:val="es-ES"/>
        </w:rPr>
        <w:t xml:space="preserve"> respuesta</w:t>
      </w:r>
      <w:r w:rsidR="002F3F03">
        <w:rPr>
          <w:rFonts w:ascii="Palatino Linotype" w:eastAsia="Batang" w:hAnsi="Palatino Linotype" w:cs="Tahoma"/>
          <w:bCs/>
          <w:sz w:val="22"/>
          <w:szCs w:val="22"/>
          <w:lang w:val="es-ES"/>
        </w:rPr>
        <w:t>s</w:t>
      </w:r>
      <w:r w:rsidRPr="001134AE">
        <w:rPr>
          <w:rFonts w:ascii="Palatino Linotype" w:eastAsia="Batang" w:hAnsi="Palatino Linotype" w:cs="Tahoma"/>
          <w:bCs/>
          <w:sz w:val="22"/>
          <w:szCs w:val="22"/>
          <w:lang w:val="es-ES"/>
        </w:rPr>
        <w:t xml:space="preserve"> a </w:t>
      </w:r>
      <w:r w:rsidR="002F3F03" w:rsidRPr="001134AE">
        <w:rPr>
          <w:rFonts w:ascii="Palatino Linotype" w:eastAsia="Batang" w:hAnsi="Palatino Linotype" w:cs="Tahoma"/>
          <w:bCs/>
          <w:sz w:val="22"/>
          <w:szCs w:val="22"/>
          <w:lang w:val="es-ES"/>
        </w:rPr>
        <w:t>las solicitudes</w:t>
      </w:r>
      <w:r w:rsidRPr="001134AE">
        <w:rPr>
          <w:rFonts w:ascii="Palatino Linotype" w:eastAsia="Batang" w:hAnsi="Palatino Linotype" w:cs="Tahoma"/>
          <w:bCs/>
          <w:sz w:val="22"/>
          <w:szCs w:val="22"/>
          <w:lang w:val="es-ES"/>
        </w:rPr>
        <w:t xml:space="preserve"> de información pública</w:t>
      </w:r>
      <w:r w:rsidR="002F3F03">
        <w:rPr>
          <w:rFonts w:ascii="Palatino Linotype" w:eastAsia="Batang" w:hAnsi="Palatino Linotype" w:cs="Tahoma"/>
          <w:bCs/>
          <w:sz w:val="22"/>
          <w:szCs w:val="22"/>
          <w:lang w:val="es-ES"/>
        </w:rPr>
        <w:t xml:space="preserve"> números</w:t>
      </w:r>
      <w:r w:rsidRPr="001134AE">
        <w:rPr>
          <w:rFonts w:ascii="Palatino Linotype" w:eastAsia="Batang" w:hAnsi="Palatino Linotype" w:cs="Tahoma"/>
          <w:bCs/>
          <w:sz w:val="22"/>
          <w:szCs w:val="22"/>
          <w:lang w:val="es-ES"/>
        </w:rPr>
        <w:t xml:space="preserve"> </w:t>
      </w:r>
      <w:r w:rsidR="002F3F03" w:rsidRPr="004F1BDC">
        <w:rPr>
          <w:rFonts w:ascii="Palatino Linotype" w:hAnsi="Palatino Linotype"/>
          <w:b/>
          <w:bCs/>
          <w:sz w:val="22"/>
          <w:szCs w:val="22"/>
        </w:rPr>
        <w:t>00876/ECATEPEC/IP/2021</w:t>
      </w:r>
      <w:r w:rsidR="002F3F03">
        <w:rPr>
          <w:rFonts w:ascii="Palatino Linotype" w:hAnsi="Palatino Linotype"/>
          <w:sz w:val="22"/>
          <w:szCs w:val="22"/>
        </w:rPr>
        <w:t xml:space="preserve"> </w:t>
      </w:r>
      <w:r w:rsidR="002F3F03" w:rsidRPr="004F1BDC">
        <w:rPr>
          <w:rFonts w:ascii="Palatino Linotype" w:hAnsi="Palatino Linotype"/>
          <w:bCs/>
          <w:sz w:val="22"/>
          <w:szCs w:val="22"/>
        </w:rPr>
        <w:t xml:space="preserve">y </w:t>
      </w:r>
      <w:r w:rsidR="002F3F03" w:rsidRPr="002F3F03">
        <w:rPr>
          <w:rFonts w:ascii="Palatino Linotype" w:hAnsi="Palatino Linotype"/>
          <w:b/>
          <w:bCs/>
          <w:sz w:val="22"/>
          <w:szCs w:val="22"/>
        </w:rPr>
        <w:t>00875/ECATEPEC/IP/2021</w:t>
      </w:r>
      <w:r w:rsidR="002F3F03">
        <w:rPr>
          <w:rFonts w:ascii="Palatino Linotype" w:hAnsi="Palatino Linotype"/>
          <w:b/>
          <w:bCs/>
          <w:sz w:val="22"/>
          <w:szCs w:val="22"/>
        </w:rPr>
        <w:t xml:space="preserve">, </w:t>
      </w:r>
      <w:r w:rsidR="002F3F03">
        <w:rPr>
          <w:rFonts w:ascii="Palatino Linotype" w:hAnsi="Palatino Linotype"/>
          <w:bCs/>
          <w:sz w:val="22"/>
          <w:szCs w:val="22"/>
        </w:rPr>
        <w:t xml:space="preserve">al resultar fundadas las razones o motivos de inconformidad de la particular al señalar la negativa del </w:t>
      </w:r>
      <w:r w:rsidR="002F3F03">
        <w:rPr>
          <w:rFonts w:ascii="Palatino Linotype" w:hAnsi="Palatino Linotype"/>
          <w:b/>
          <w:bCs/>
          <w:sz w:val="22"/>
          <w:szCs w:val="22"/>
        </w:rPr>
        <w:t xml:space="preserve">SUJETO OBLIGADO </w:t>
      </w:r>
      <w:r w:rsidR="002F3F03">
        <w:rPr>
          <w:rFonts w:ascii="Palatino Linotype" w:hAnsi="Palatino Linotype"/>
          <w:bCs/>
          <w:sz w:val="22"/>
          <w:szCs w:val="22"/>
        </w:rPr>
        <w:t xml:space="preserve">para entregar la información solicitada. </w:t>
      </w:r>
    </w:p>
    <w:p w14:paraId="6CC8262C" w14:textId="77777777" w:rsidR="002F3F03" w:rsidRPr="002F3F03" w:rsidRDefault="002F3F03" w:rsidP="00221864">
      <w:pPr>
        <w:spacing w:line="360" w:lineRule="auto"/>
        <w:jc w:val="both"/>
        <w:rPr>
          <w:rFonts w:ascii="Palatino Linotype" w:eastAsia="Palatino Linotype" w:hAnsi="Palatino Linotype" w:cs="Palatino Linotype"/>
          <w:color w:val="000000"/>
          <w:sz w:val="22"/>
          <w:szCs w:val="22"/>
        </w:rPr>
      </w:pPr>
    </w:p>
    <w:p w14:paraId="6B64747C" w14:textId="683EC1E2" w:rsidR="00721230" w:rsidRPr="002F3F03" w:rsidRDefault="00721230" w:rsidP="00AD61EF">
      <w:pPr>
        <w:spacing w:line="360" w:lineRule="auto"/>
        <w:jc w:val="both"/>
        <w:rPr>
          <w:rFonts w:ascii="Palatino Linotype" w:eastAsia="Calibri" w:hAnsi="Palatino Linotype" w:cs="Arial"/>
          <w:sz w:val="22"/>
          <w:szCs w:val="22"/>
        </w:rPr>
      </w:pPr>
      <w:r w:rsidRPr="002F3F03">
        <w:rPr>
          <w:rFonts w:ascii="Palatino Linotype" w:eastAsia="Calibri" w:hAnsi="Palatino Linotype" w:cs="Arial"/>
          <w:sz w:val="22"/>
          <w:szCs w:val="22"/>
        </w:rPr>
        <w:t xml:space="preserve">Así, con fundamento en lo prescrito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w:t>
      </w:r>
      <w:r w:rsidR="00F533F3">
        <w:rPr>
          <w:rFonts w:ascii="Palatino Linotype" w:eastAsia="Calibri" w:hAnsi="Palatino Linotype" w:cs="Arial"/>
          <w:sz w:val="22"/>
          <w:szCs w:val="22"/>
        </w:rPr>
        <w:t>Acceso a la Información Pública</w:t>
      </w:r>
      <w:r w:rsidRPr="002F3F03">
        <w:rPr>
          <w:rFonts w:ascii="Palatino Linotype" w:eastAsia="Calibri" w:hAnsi="Palatino Linotype" w:cs="Arial"/>
          <w:sz w:val="22"/>
          <w:szCs w:val="22"/>
        </w:rPr>
        <w:t xml:space="preserve"> del Estado de México y Municipios, este Pleno:</w:t>
      </w:r>
    </w:p>
    <w:p w14:paraId="5F6FEA2F" w14:textId="77777777" w:rsidR="00FB51F4" w:rsidRDefault="00FB51F4">
      <w:pPr>
        <w:spacing w:line="360" w:lineRule="auto"/>
        <w:jc w:val="center"/>
        <w:rPr>
          <w:rFonts w:ascii="Palatino Linotype" w:eastAsia="Calibri" w:hAnsi="Palatino Linotype" w:cs="Arial"/>
          <w:b/>
          <w:spacing w:val="20"/>
        </w:rPr>
      </w:pPr>
    </w:p>
    <w:p w14:paraId="0E6BBC6F" w14:textId="77777777" w:rsidR="00FB51F4" w:rsidRDefault="00FB51F4">
      <w:pPr>
        <w:spacing w:line="360" w:lineRule="auto"/>
        <w:jc w:val="center"/>
        <w:rPr>
          <w:rFonts w:ascii="Palatino Linotype" w:eastAsia="Calibri" w:hAnsi="Palatino Linotype" w:cs="Arial"/>
          <w:b/>
          <w:spacing w:val="20"/>
        </w:rPr>
      </w:pPr>
    </w:p>
    <w:p w14:paraId="07D599DC" w14:textId="6378052F" w:rsidR="00721230" w:rsidRDefault="00721230">
      <w:pPr>
        <w:spacing w:line="360" w:lineRule="auto"/>
        <w:jc w:val="center"/>
        <w:rPr>
          <w:rFonts w:ascii="Palatino Linotype" w:eastAsia="Calibri" w:hAnsi="Palatino Linotype" w:cs="Arial"/>
          <w:b/>
          <w:spacing w:val="20"/>
        </w:rPr>
      </w:pPr>
      <w:r w:rsidRPr="006E07BB">
        <w:rPr>
          <w:rFonts w:ascii="Palatino Linotype" w:eastAsia="Calibri" w:hAnsi="Palatino Linotype" w:cs="Arial"/>
          <w:b/>
          <w:spacing w:val="20"/>
        </w:rPr>
        <w:t>R E S U E L V E</w:t>
      </w:r>
    </w:p>
    <w:p w14:paraId="35A14037" w14:textId="77777777" w:rsidR="00E33973" w:rsidRPr="006E07BB" w:rsidRDefault="00E33973" w:rsidP="00AD61EF">
      <w:pPr>
        <w:spacing w:line="360" w:lineRule="auto"/>
        <w:jc w:val="center"/>
        <w:rPr>
          <w:rFonts w:ascii="Palatino Linotype" w:eastAsia="Calibri" w:hAnsi="Palatino Linotype" w:cs="Arial"/>
          <w:b/>
          <w:spacing w:val="20"/>
        </w:rPr>
      </w:pPr>
    </w:p>
    <w:bookmarkEnd w:id="4"/>
    <w:p w14:paraId="4611A41F" w14:textId="6837A711" w:rsidR="002F3F03" w:rsidRPr="002F3F03" w:rsidRDefault="002F3F03" w:rsidP="00221864">
      <w:pPr>
        <w:spacing w:line="360" w:lineRule="auto"/>
        <w:jc w:val="both"/>
        <w:rPr>
          <w:rFonts w:ascii="Palatino Linotype" w:eastAsia="Batang" w:hAnsi="Palatino Linotype" w:cs="Tahoma"/>
          <w:b/>
          <w:bCs/>
          <w:sz w:val="22"/>
          <w:szCs w:val="22"/>
          <w:lang w:val="es-ES"/>
        </w:rPr>
      </w:pPr>
      <w:r w:rsidRPr="001134AE">
        <w:rPr>
          <w:rFonts w:ascii="Palatino Linotype" w:eastAsia="Batang" w:hAnsi="Palatino Linotype" w:cs="Tahoma"/>
          <w:b/>
          <w:bCs/>
          <w:sz w:val="22"/>
          <w:szCs w:val="22"/>
          <w:lang w:val="es-ES"/>
        </w:rPr>
        <w:t>PRIMERO</w:t>
      </w:r>
      <w:r w:rsidRPr="001134AE">
        <w:rPr>
          <w:rFonts w:ascii="Palatino Linotype" w:eastAsia="Batang" w:hAnsi="Palatino Linotype" w:cs="Tahoma"/>
          <w:bCs/>
          <w:sz w:val="22"/>
          <w:szCs w:val="22"/>
          <w:lang w:val="es-ES"/>
        </w:rPr>
        <w:t xml:space="preserve">. Se </w:t>
      </w:r>
      <w:r>
        <w:rPr>
          <w:rFonts w:ascii="Palatino Linotype" w:eastAsia="Batang" w:hAnsi="Palatino Linotype" w:cs="Tahoma"/>
          <w:b/>
          <w:bCs/>
          <w:sz w:val="22"/>
          <w:szCs w:val="22"/>
          <w:lang w:val="es-ES"/>
        </w:rPr>
        <w:t xml:space="preserve">REVOCAN </w:t>
      </w:r>
      <w:r w:rsidRPr="001134AE">
        <w:rPr>
          <w:rFonts w:ascii="Palatino Linotype" w:eastAsia="Batang" w:hAnsi="Palatino Linotype" w:cs="Tahoma"/>
          <w:bCs/>
          <w:sz w:val="22"/>
          <w:szCs w:val="22"/>
          <w:lang w:val="es-ES"/>
        </w:rPr>
        <w:t>la</w:t>
      </w:r>
      <w:r>
        <w:rPr>
          <w:rFonts w:ascii="Palatino Linotype" w:eastAsia="Batang" w:hAnsi="Palatino Linotype" w:cs="Tahoma"/>
          <w:bCs/>
          <w:sz w:val="22"/>
          <w:szCs w:val="22"/>
          <w:lang w:val="es-ES"/>
        </w:rPr>
        <w:t>s</w:t>
      </w:r>
      <w:r w:rsidRPr="001134AE">
        <w:rPr>
          <w:rFonts w:ascii="Palatino Linotype" w:eastAsia="Batang" w:hAnsi="Palatino Linotype" w:cs="Tahoma"/>
          <w:bCs/>
          <w:sz w:val="22"/>
          <w:szCs w:val="22"/>
          <w:lang w:val="es-ES"/>
        </w:rPr>
        <w:t xml:space="preserve"> respuesta</w:t>
      </w:r>
      <w:r>
        <w:rPr>
          <w:rFonts w:ascii="Palatino Linotype" w:eastAsia="Batang" w:hAnsi="Palatino Linotype" w:cs="Tahoma"/>
          <w:bCs/>
          <w:sz w:val="22"/>
          <w:szCs w:val="22"/>
          <w:lang w:val="es-ES"/>
        </w:rPr>
        <w:t>s</w:t>
      </w:r>
      <w:r w:rsidRPr="001134AE">
        <w:rPr>
          <w:rFonts w:ascii="Palatino Linotype" w:eastAsia="Batang" w:hAnsi="Palatino Linotype" w:cs="Tahoma"/>
          <w:bCs/>
          <w:sz w:val="22"/>
          <w:szCs w:val="22"/>
          <w:lang w:val="es-ES"/>
        </w:rPr>
        <w:t xml:space="preserve"> a</w:t>
      </w:r>
      <w:r w:rsidRPr="001134AE">
        <w:t xml:space="preserve"> </w:t>
      </w:r>
      <w:r w:rsidRPr="001134AE">
        <w:rPr>
          <w:rFonts w:ascii="Palatino Linotype" w:eastAsia="Batang" w:hAnsi="Palatino Linotype" w:cs="Tahoma"/>
          <w:bCs/>
          <w:sz w:val="22"/>
          <w:szCs w:val="22"/>
          <w:lang w:val="es-ES"/>
        </w:rPr>
        <w:t xml:space="preserve">las solicitudes de información pública </w:t>
      </w:r>
      <w:r>
        <w:rPr>
          <w:rFonts w:ascii="Palatino Linotype" w:eastAsia="Batang" w:hAnsi="Palatino Linotype" w:cs="Tahoma"/>
          <w:bCs/>
          <w:sz w:val="22"/>
          <w:szCs w:val="22"/>
          <w:lang w:val="es-ES"/>
        </w:rPr>
        <w:t xml:space="preserve">que dieron origen a los </w:t>
      </w:r>
      <w:r w:rsidR="00001197">
        <w:rPr>
          <w:rFonts w:ascii="Palatino Linotype" w:eastAsia="Batang" w:hAnsi="Palatino Linotype" w:cs="Tahoma"/>
          <w:bCs/>
          <w:sz w:val="22"/>
          <w:szCs w:val="22"/>
          <w:lang w:val="es-ES"/>
        </w:rPr>
        <w:t>Recursos de Revisión</w:t>
      </w:r>
      <w:r>
        <w:rPr>
          <w:rFonts w:ascii="Palatino Linotype" w:eastAsia="Batang" w:hAnsi="Palatino Linotype" w:cs="Tahoma"/>
          <w:bCs/>
          <w:sz w:val="22"/>
          <w:szCs w:val="22"/>
          <w:lang w:val="es-ES"/>
        </w:rPr>
        <w:t xml:space="preserve"> </w:t>
      </w:r>
      <w:r>
        <w:rPr>
          <w:rFonts w:ascii="Palatino Linotype" w:hAnsi="Palatino Linotype"/>
          <w:b/>
          <w:bCs/>
          <w:sz w:val="22"/>
          <w:szCs w:val="22"/>
        </w:rPr>
        <w:t>06467/INFOEM/IP/RR/2021 y 00023</w:t>
      </w:r>
      <w:r w:rsidRPr="004F1BDC">
        <w:rPr>
          <w:rFonts w:ascii="Palatino Linotype" w:hAnsi="Palatino Linotype"/>
          <w:b/>
          <w:bCs/>
          <w:sz w:val="22"/>
          <w:szCs w:val="22"/>
        </w:rPr>
        <w:t>/INFOEM/IP/RR/202</w:t>
      </w:r>
      <w:r>
        <w:rPr>
          <w:rFonts w:ascii="Palatino Linotype" w:hAnsi="Palatino Linotype"/>
          <w:b/>
          <w:bCs/>
          <w:sz w:val="22"/>
          <w:szCs w:val="22"/>
        </w:rPr>
        <w:t>2</w:t>
      </w:r>
      <w:r>
        <w:rPr>
          <w:rFonts w:ascii="Palatino Linotype" w:eastAsia="Batang" w:hAnsi="Palatino Linotype" w:cs="Tahoma"/>
          <w:bCs/>
          <w:sz w:val="22"/>
          <w:szCs w:val="22"/>
          <w:lang w:val="es-ES"/>
        </w:rPr>
        <w:t xml:space="preserve">, </w:t>
      </w:r>
      <w:r w:rsidRPr="001134AE">
        <w:rPr>
          <w:rFonts w:ascii="Palatino Linotype" w:eastAsia="Batang" w:hAnsi="Palatino Linotype" w:cs="Tahoma"/>
          <w:bCs/>
          <w:sz w:val="22"/>
          <w:szCs w:val="22"/>
          <w:lang w:val="es-ES"/>
        </w:rPr>
        <w:t xml:space="preserve">por resultar </w:t>
      </w:r>
      <w:r w:rsidRPr="002F3F03">
        <w:rPr>
          <w:rFonts w:ascii="Palatino Linotype" w:eastAsia="Batang" w:hAnsi="Palatino Linotype" w:cs="Tahoma"/>
          <w:b/>
          <w:bCs/>
          <w:sz w:val="22"/>
          <w:szCs w:val="22"/>
          <w:lang w:val="es-ES"/>
        </w:rPr>
        <w:t>fundadas</w:t>
      </w:r>
      <w:r w:rsidRPr="001134AE">
        <w:rPr>
          <w:rFonts w:ascii="Palatino Linotype" w:eastAsia="Batang" w:hAnsi="Palatino Linotype" w:cs="Tahoma"/>
          <w:bCs/>
          <w:sz w:val="22"/>
          <w:szCs w:val="22"/>
          <w:lang w:val="es-ES"/>
        </w:rPr>
        <w:t xml:space="preserve"> las </w:t>
      </w:r>
      <w:r>
        <w:rPr>
          <w:rFonts w:ascii="Palatino Linotype" w:eastAsia="Batang" w:hAnsi="Palatino Linotype" w:cs="Tahoma"/>
          <w:bCs/>
          <w:sz w:val="22"/>
          <w:szCs w:val="22"/>
          <w:lang w:val="es-ES"/>
        </w:rPr>
        <w:t xml:space="preserve">manifestaciones de </w:t>
      </w:r>
      <w:r>
        <w:rPr>
          <w:rFonts w:ascii="Palatino Linotype" w:eastAsia="Batang" w:hAnsi="Palatino Linotype" w:cs="Tahoma"/>
          <w:b/>
          <w:bCs/>
          <w:sz w:val="22"/>
          <w:szCs w:val="22"/>
          <w:lang w:val="es-ES"/>
        </w:rPr>
        <w:t xml:space="preserve">LA RECURRENTE, </w:t>
      </w:r>
      <w:r w:rsidRPr="001134AE">
        <w:rPr>
          <w:rFonts w:ascii="Palatino Linotype" w:eastAsia="Batang" w:hAnsi="Palatino Linotype" w:cs="Tahoma"/>
          <w:bCs/>
          <w:sz w:val="22"/>
          <w:szCs w:val="22"/>
          <w:lang w:val="es-ES"/>
        </w:rPr>
        <w:t>en términos de</w:t>
      </w:r>
      <w:r>
        <w:rPr>
          <w:rFonts w:ascii="Palatino Linotype" w:eastAsia="Batang" w:hAnsi="Palatino Linotype" w:cs="Tahoma"/>
          <w:bCs/>
          <w:sz w:val="22"/>
          <w:szCs w:val="22"/>
          <w:lang w:val="es-ES"/>
        </w:rPr>
        <w:t xml:space="preserve">l </w:t>
      </w:r>
      <w:r w:rsidRPr="001134AE">
        <w:rPr>
          <w:rFonts w:ascii="Palatino Linotype" w:eastAsia="Batang" w:hAnsi="Palatino Linotype" w:cs="Tahoma"/>
          <w:bCs/>
          <w:sz w:val="22"/>
          <w:szCs w:val="22"/>
          <w:lang w:val="es-ES"/>
        </w:rPr>
        <w:t xml:space="preserve">Considerando </w:t>
      </w:r>
      <w:r w:rsidRPr="001134AE">
        <w:rPr>
          <w:rFonts w:ascii="Palatino Linotype" w:eastAsia="Batang" w:hAnsi="Palatino Linotype" w:cs="Tahoma"/>
          <w:b/>
          <w:bCs/>
          <w:sz w:val="22"/>
          <w:szCs w:val="22"/>
          <w:lang w:val="es-ES"/>
        </w:rPr>
        <w:t>QUINTO</w:t>
      </w:r>
      <w:r>
        <w:rPr>
          <w:rFonts w:ascii="Palatino Linotype" w:eastAsia="Batang" w:hAnsi="Palatino Linotype" w:cs="Tahoma"/>
          <w:b/>
          <w:bCs/>
          <w:sz w:val="22"/>
          <w:szCs w:val="22"/>
          <w:lang w:val="es-ES"/>
        </w:rPr>
        <w:t>.</w:t>
      </w:r>
    </w:p>
    <w:p w14:paraId="2DD20B03" w14:textId="77777777" w:rsidR="002F3F03" w:rsidRPr="001134AE" w:rsidRDefault="002F3F03" w:rsidP="00221864">
      <w:pPr>
        <w:spacing w:line="360" w:lineRule="auto"/>
        <w:jc w:val="both"/>
        <w:rPr>
          <w:rFonts w:ascii="Palatino Linotype" w:eastAsia="Batang" w:hAnsi="Palatino Linotype" w:cs="Tahoma"/>
          <w:bCs/>
          <w:sz w:val="22"/>
          <w:szCs w:val="22"/>
          <w:lang w:val="es-ES"/>
        </w:rPr>
      </w:pPr>
    </w:p>
    <w:p w14:paraId="6DFD2C15" w14:textId="2ECF4D10" w:rsidR="002F3F03" w:rsidRPr="001134AE" w:rsidRDefault="002F3F03" w:rsidP="00221864">
      <w:pPr>
        <w:spacing w:line="360" w:lineRule="auto"/>
        <w:jc w:val="both"/>
        <w:rPr>
          <w:rFonts w:ascii="Palatino Linotype" w:eastAsia="Batang" w:hAnsi="Palatino Linotype" w:cs="Tahoma"/>
          <w:bCs/>
          <w:sz w:val="22"/>
          <w:szCs w:val="22"/>
          <w:lang w:val="es-ES"/>
        </w:rPr>
      </w:pPr>
      <w:r w:rsidRPr="001134AE">
        <w:rPr>
          <w:rFonts w:ascii="Palatino Linotype" w:eastAsia="Batang" w:hAnsi="Palatino Linotype" w:cs="Tahoma"/>
          <w:b/>
          <w:bCs/>
          <w:sz w:val="22"/>
          <w:szCs w:val="22"/>
          <w:lang w:val="es-ES"/>
        </w:rPr>
        <w:t xml:space="preserve">SEGUNDO. </w:t>
      </w:r>
      <w:r w:rsidRPr="001134AE">
        <w:rPr>
          <w:rFonts w:ascii="Palatino Linotype" w:eastAsia="Batang" w:hAnsi="Palatino Linotype" w:cs="Tahoma"/>
          <w:bCs/>
          <w:sz w:val="22"/>
          <w:szCs w:val="22"/>
          <w:lang w:val="es-ES"/>
        </w:rPr>
        <w:t xml:space="preserve">Se </w:t>
      </w:r>
      <w:r w:rsidRPr="002F3F03">
        <w:rPr>
          <w:rFonts w:ascii="Palatino Linotype" w:eastAsia="Batang" w:hAnsi="Palatino Linotype" w:cs="Tahoma"/>
          <w:bCs/>
          <w:sz w:val="22"/>
          <w:szCs w:val="22"/>
          <w:lang w:val="es-ES"/>
        </w:rPr>
        <w:t>ordena</w:t>
      </w:r>
      <w:r w:rsidRPr="001134AE">
        <w:rPr>
          <w:rFonts w:ascii="Palatino Linotype" w:eastAsia="Batang" w:hAnsi="Palatino Linotype" w:cs="Tahoma"/>
          <w:bCs/>
          <w:sz w:val="22"/>
          <w:szCs w:val="22"/>
          <w:lang w:val="es-ES"/>
        </w:rPr>
        <w:t xml:space="preserve"> al </w:t>
      </w:r>
      <w:r w:rsidRPr="002F3F03">
        <w:rPr>
          <w:rFonts w:ascii="Palatino Linotype" w:eastAsia="Batang" w:hAnsi="Palatino Linotype" w:cs="Tahoma"/>
          <w:b/>
          <w:bCs/>
          <w:sz w:val="22"/>
          <w:szCs w:val="22"/>
          <w:lang w:val="es-ES"/>
        </w:rPr>
        <w:t>SUJETO OBLIGADO</w:t>
      </w:r>
      <w:r w:rsidRPr="001134AE">
        <w:rPr>
          <w:rFonts w:ascii="Palatino Linotype" w:eastAsia="Batang" w:hAnsi="Palatino Linotype" w:cs="Tahoma"/>
          <w:bCs/>
          <w:sz w:val="22"/>
          <w:szCs w:val="22"/>
          <w:lang w:val="es-ES"/>
        </w:rPr>
        <w:t>, otorgue acceso vía el Sistema de Acceso a la Información Mexiquense (SAIMEX), en versión pública, de</w:t>
      </w:r>
      <w:r w:rsidRPr="001134AE">
        <w:rPr>
          <w:rFonts w:ascii="Palatino Linotype" w:eastAsia="Batang" w:hAnsi="Palatino Linotype" w:cs="Tahoma"/>
          <w:b/>
          <w:bCs/>
          <w:sz w:val="22"/>
          <w:szCs w:val="22"/>
          <w:lang w:val="es-ES"/>
        </w:rPr>
        <w:t xml:space="preserve"> </w:t>
      </w:r>
      <w:r w:rsidRPr="001134AE">
        <w:rPr>
          <w:rFonts w:ascii="Palatino Linotype" w:eastAsia="Batang" w:hAnsi="Palatino Linotype" w:cs="Tahoma"/>
          <w:bCs/>
          <w:sz w:val="22"/>
          <w:szCs w:val="22"/>
          <w:lang w:val="es-ES"/>
        </w:rPr>
        <w:t>lo siguiente:</w:t>
      </w:r>
    </w:p>
    <w:p w14:paraId="24911219" w14:textId="77777777" w:rsidR="002F3F03" w:rsidRPr="001134AE" w:rsidRDefault="002F3F03" w:rsidP="00221864">
      <w:pPr>
        <w:spacing w:line="360" w:lineRule="auto"/>
        <w:jc w:val="both"/>
        <w:rPr>
          <w:rFonts w:ascii="Palatino Linotype" w:eastAsia="Batang" w:hAnsi="Palatino Linotype" w:cs="Tahoma"/>
          <w:bCs/>
          <w:sz w:val="22"/>
          <w:szCs w:val="22"/>
          <w:lang w:val="es-ES"/>
        </w:rPr>
      </w:pPr>
    </w:p>
    <w:p w14:paraId="6E8045B3" w14:textId="16BF68A9" w:rsidR="002F3F03" w:rsidRDefault="002F3F03">
      <w:pPr>
        <w:pStyle w:val="Prrafodelista"/>
        <w:numPr>
          <w:ilvl w:val="0"/>
          <w:numId w:val="12"/>
        </w:numPr>
        <w:pBdr>
          <w:top w:val="nil"/>
          <w:left w:val="nil"/>
          <w:bottom w:val="nil"/>
          <w:right w:val="nil"/>
          <w:between w:val="nil"/>
        </w:pBdr>
        <w:spacing w:line="360" w:lineRule="auto"/>
        <w:ind w:right="899"/>
        <w:jc w:val="both"/>
        <w:rPr>
          <w:rFonts w:ascii="Palatino Linotype" w:eastAsia="Palatino Linotype" w:hAnsi="Palatino Linotype" w:cs="Palatino Linotype"/>
          <w:iCs/>
          <w:color w:val="000000"/>
          <w:sz w:val="22"/>
          <w:szCs w:val="22"/>
        </w:rPr>
      </w:pPr>
      <w:r w:rsidRPr="00AD61EF">
        <w:rPr>
          <w:rFonts w:ascii="Palatino Linotype" w:eastAsia="Batang" w:hAnsi="Palatino Linotype" w:cs="Tahoma"/>
          <w:bCs/>
          <w:iCs/>
          <w:sz w:val="22"/>
          <w:szCs w:val="22"/>
          <w:lang w:val="es-ES"/>
        </w:rPr>
        <w:t xml:space="preserve">Los documentos </w:t>
      </w:r>
      <w:r w:rsidRPr="00FB51F4">
        <w:rPr>
          <w:rFonts w:ascii="Palatino Linotype" w:eastAsia="Batang" w:hAnsi="Palatino Linotype" w:cs="Tahoma"/>
          <w:bCs/>
          <w:iCs/>
          <w:sz w:val="22"/>
          <w:szCs w:val="22"/>
          <w:lang w:val="es-ES"/>
        </w:rPr>
        <w:t xml:space="preserve">donde consten las sanciones </w:t>
      </w:r>
      <w:r w:rsidR="00CA54F3" w:rsidRPr="00FB51F4">
        <w:rPr>
          <w:rFonts w:ascii="Palatino Linotype" w:eastAsia="Palatino Linotype" w:hAnsi="Palatino Linotype" w:cs="Palatino Linotype"/>
          <w:iCs/>
          <w:color w:val="000000"/>
          <w:sz w:val="22"/>
          <w:szCs w:val="22"/>
        </w:rPr>
        <w:t xml:space="preserve">firmes </w:t>
      </w:r>
      <w:r w:rsidRPr="00FB51F4">
        <w:rPr>
          <w:rFonts w:ascii="Palatino Linotype" w:eastAsia="Palatino Linotype" w:hAnsi="Palatino Linotype" w:cs="Palatino Linotype"/>
          <w:iCs/>
          <w:color w:val="000000"/>
          <w:sz w:val="22"/>
          <w:szCs w:val="22"/>
        </w:rPr>
        <w:t>aplicadas</w:t>
      </w:r>
      <w:r w:rsidRPr="00AD61EF">
        <w:rPr>
          <w:rFonts w:ascii="Palatino Linotype" w:eastAsia="Palatino Linotype" w:hAnsi="Palatino Linotype" w:cs="Palatino Linotype"/>
          <w:iCs/>
          <w:color w:val="000000"/>
          <w:sz w:val="22"/>
          <w:szCs w:val="22"/>
        </w:rPr>
        <w:t xml:space="preserve"> a servidores públicos durante el periodo comprendido del 1</w:t>
      </w:r>
      <w:r w:rsidR="00CA54F3" w:rsidRPr="00AD61EF">
        <w:rPr>
          <w:rFonts w:ascii="Palatino Linotype" w:eastAsia="Palatino Linotype" w:hAnsi="Palatino Linotype" w:cs="Palatino Linotype"/>
          <w:iCs/>
          <w:color w:val="000000"/>
          <w:sz w:val="22"/>
          <w:szCs w:val="22"/>
        </w:rPr>
        <w:t>°</w:t>
      </w:r>
      <w:r w:rsidRPr="00AD61EF">
        <w:rPr>
          <w:rFonts w:ascii="Palatino Linotype" w:eastAsia="Palatino Linotype" w:hAnsi="Palatino Linotype" w:cs="Palatino Linotype"/>
          <w:iCs/>
          <w:color w:val="000000"/>
          <w:sz w:val="22"/>
          <w:szCs w:val="22"/>
        </w:rPr>
        <w:t xml:space="preserve"> de enero de 2018 al 16 de noviembre de 2021.</w:t>
      </w:r>
    </w:p>
    <w:p w14:paraId="6F93D536" w14:textId="77777777" w:rsidR="00CA54F3" w:rsidRPr="00AD61EF" w:rsidRDefault="00CA54F3" w:rsidP="00AD61EF">
      <w:pPr>
        <w:pStyle w:val="Prrafodelista"/>
        <w:pBdr>
          <w:top w:val="nil"/>
          <w:left w:val="nil"/>
          <w:bottom w:val="nil"/>
          <w:right w:val="nil"/>
          <w:between w:val="nil"/>
        </w:pBdr>
        <w:spacing w:line="360" w:lineRule="auto"/>
        <w:ind w:left="1211" w:right="899"/>
        <w:jc w:val="both"/>
        <w:rPr>
          <w:rFonts w:ascii="Palatino Linotype" w:eastAsia="Palatino Linotype" w:hAnsi="Palatino Linotype" w:cs="Palatino Linotype"/>
          <w:iCs/>
          <w:color w:val="000000"/>
          <w:sz w:val="22"/>
          <w:szCs w:val="22"/>
        </w:rPr>
      </w:pPr>
    </w:p>
    <w:p w14:paraId="45E50998" w14:textId="29661FDE" w:rsidR="002F3F03" w:rsidRDefault="002F3F03">
      <w:pPr>
        <w:pStyle w:val="Prrafodelista"/>
        <w:numPr>
          <w:ilvl w:val="0"/>
          <w:numId w:val="12"/>
        </w:numPr>
        <w:pBdr>
          <w:top w:val="nil"/>
          <w:left w:val="nil"/>
          <w:bottom w:val="nil"/>
          <w:right w:val="nil"/>
          <w:between w:val="nil"/>
        </w:pBdr>
        <w:spacing w:line="360" w:lineRule="auto"/>
        <w:ind w:right="899"/>
        <w:jc w:val="both"/>
        <w:rPr>
          <w:rFonts w:ascii="Palatino Linotype" w:eastAsia="Palatino Linotype" w:hAnsi="Palatino Linotype" w:cs="Palatino Linotype"/>
          <w:iCs/>
          <w:color w:val="000000"/>
          <w:sz w:val="22"/>
          <w:szCs w:val="22"/>
        </w:rPr>
      </w:pPr>
      <w:r w:rsidRPr="00AD61EF">
        <w:rPr>
          <w:rFonts w:ascii="Palatino Linotype" w:eastAsia="Palatino Linotype" w:hAnsi="Palatino Linotype" w:cs="Palatino Linotype"/>
          <w:iCs/>
          <w:color w:val="000000"/>
          <w:sz w:val="22"/>
          <w:szCs w:val="22"/>
        </w:rPr>
        <w:t xml:space="preserve">Los documentos donde consten las quejas y denuncias </w:t>
      </w:r>
      <w:r w:rsidR="00CA54F3" w:rsidRPr="00AD61EF">
        <w:rPr>
          <w:rFonts w:ascii="Palatino Linotype" w:eastAsia="Palatino Linotype" w:hAnsi="Palatino Linotype" w:cs="Palatino Linotype"/>
          <w:iCs/>
          <w:color w:val="000000"/>
          <w:sz w:val="22"/>
          <w:szCs w:val="22"/>
        </w:rPr>
        <w:t xml:space="preserve">firmes o que han causado estado </w:t>
      </w:r>
      <w:r w:rsidRPr="00AD61EF">
        <w:rPr>
          <w:rFonts w:ascii="Palatino Linotype" w:eastAsia="Palatino Linotype" w:hAnsi="Palatino Linotype" w:cs="Palatino Linotype"/>
          <w:iCs/>
          <w:color w:val="000000"/>
          <w:sz w:val="22"/>
          <w:szCs w:val="22"/>
        </w:rPr>
        <w:t>recibidas durante el periodo comprendido del 1</w:t>
      </w:r>
      <w:r w:rsidR="00CA54F3" w:rsidRPr="00AD61EF">
        <w:rPr>
          <w:rFonts w:ascii="Palatino Linotype" w:eastAsia="Palatino Linotype" w:hAnsi="Palatino Linotype" w:cs="Palatino Linotype"/>
          <w:iCs/>
          <w:color w:val="000000"/>
          <w:sz w:val="22"/>
          <w:szCs w:val="22"/>
        </w:rPr>
        <w:t>°</w:t>
      </w:r>
      <w:r w:rsidRPr="00AD61EF">
        <w:rPr>
          <w:rFonts w:ascii="Palatino Linotype" w:eastAsia="Palatino Linotype" w:hAnsi="Palatino Linotype" w:cs="Palatino Linotype"/>
          <w:iCs/>
          <w:color w:val="000000"/>
          <w:sz w:val="22"/>
          <w:szCs w:val="22"/>
        </w:rPr>
        <w:t xml:space="preserve"> de enero de 2012 al 16 de noviembre de 2021.</w:t>
      </w:r>
    </w:p>
    <w:p w14:paraId="59C7B132" w14:textId="77777777" w:rsidR="00CA54F3" w:rsidRPr="00AD61EF" w:rsidRDefault="00CA54F3" w:rsidP="00AD61EF">
      <w:pPr>
        <w:pStyle w:val="Prrafodelista"/>
        <w:rPr>
          <w:rFonts w:ascii="Palatino Linotype" w:eastAsia="Palatino Linotype" w:hAnsi="Palatino Linotype" w:cs="Palatino Linotype"/>
          <w:iCs/>
          <w:color w:val="000000"/>
          <w:sz w:val="22"/>
          <w:szCs w:val="22"/>
        </w:rPr>
      </w:pPr>
    </w:p>
    <w:p w14:paraId="14C25DC2" w14:textId="73AFA6F1" w:rsidR="00CA54F3" w:rsidRDefault="00CA54F3" w:rsidP="00CA54F3">
      <w:pPr>
        <w:pStyle w:val="Prrafodelista"/>
        <w:numPr>
          <w:ilvl w:val="0"/>
          <w:numId w:val="12"/>
        </w:numPr>
        <w:pBdr>
          <w:top w:val="nil"/>
          <w:left w:val="nil"/>
          <w:bottom w:val="nil"/>
          <w:right w:val="nil"/>
          <w:between w:val="nil"/>
        </w:pBdr>
        <w:spacing w:line="360" w:lineRule="auto"/>
        <w:ind w:right="899"/>
        <w:jc w:val="both"/>
        <w:rPr>
          <w:rFonts w:ascii="Palatino Linotype" w:eastAsia="Palatino Linotype" w:hAnsi="Palatino Linotype" w:cs="Palatino Linotype"/>
          <w:i/>
          <w:color w:val="000000"/>
          <w:sz w:val="20"/>
          <w:szCs w:val="20"/>
        </w:rPr>
      </w:pPr>
      <w:r w:rsidRPr="00AD61EF">
        <w:rPr>
          <w:rFonts w:ascii="Palatino Linotype" w:eastAsia="Palatino Linotype" w:hAnsi="Palatino Linotype" w:cs="Palatino Linotype"/>
          <w:iCs/>
          <w:color w:val="000000"/>
          <w:sz w:val="22"/>
          <w:szCs w:val="22"/>
        </w:rPr>
        <w:t>El acuerdo de clasificación como información reservada respecto de las denuncias y quejas presentadas entre el 1° de enero de 2012 al 16 de noviembre de 2021 y que a esta última fecha se encuentran en trámite, con excepción de aquellas relacionadas con actos de corrupción o violaciones graves a derechos humanos</w:t>
      </w:r>
      <w:r>
        <w:rPr>
          <w:rFonts w:ascii="Palatino Linotype" w:eastAsia="Palatino Linotype" w:hAnsi="Palatino Linotype" w:cs="Palatino Linotype"/>
          <w:i/>
          <w:color w:val="000000"/>
          <w:sz w:val="20"/>
          <w:szCs w:val="20"/>
        </w:rPr>
        <w:t>.</w:t>
      </w:r>
    </w:p>
    <w:p w14:paraId="481F65FB" w14:textId="7F9399E4" w:rsidR="00CA54F3" w:rsidRPr="002F3F03" w:rsidRDefault="00CA54F3" w:rsidP="00AD61EF">
      <w:pPr>
        <w:pStyle w:val="Prrafodelista"/>
        <w:pBdr>
          <w:top w:val="nil"/>
          <w:left w:val="nil"/>
          <w:bottom w:val="nil"/>
          <w:right w:val="nil"/>
          <w:between w:val="nil"/>
        </w:pBdr>
        <w:spacing w:line="360" w:lineRule="auto"/>
        <w:ind w:left="1211" w:right="899"/>
        <w:jc w:val="both"/>
        <w:rPr>
          <w:rFonts w:ascii="Palatino Linotype" w:eastAsia="Palatino Linotype" w:hAnsi="Palatino Linotype" w:cs="Palatino Linotype"/>
          <w:i/>
          <w:color w:val="000000"/>
          <w:sz w:val="20"/>
          <w:szCs w:val="20"/>
        </w:rPr>
      </w:pPr>
    </w:p>
    <w:p w14:paraId="09CCC96F" w14:textId="77777777" w:rsidR="00CA54F3" w:rsidRPr="00F55329" w:rsidRDefault="00CA54F3" w:rsidP="00CA54F3">
      <w:pPr>
        <w:autoSpaceDE w:val="0"/>
        <w:autoSpaceDN w:val="0"/>
        <w:adjustRightInd w:val="0"/>
        <w:spacing w:line="360" w:lineRule="auto"/>
        <w:jc w:val="both"/>
        <w:rPr>
          <w:rFonts w:ascii="Palatino Linotype" w:eastAsia="Calibri" w:hAnsi="Palatino Linotype" w:cs="Tahoma"/>
          <w:bCs/>
          <w:iCs/>
          <w:color w:val="000000"/>
          <w:sz w:val="22"/>
          <w:szCs w:val="22"/>
          <w:lang w:eastAsia="en-US"/>
        </w:rPr>
      </w:pPr>
      <w:r w:rsidRPr="007D6750">
        <w:rPr>
          <w:rFonts w:ascii="Palatino Linotype" w:hAnsi="Palatino Linotype" w:cs="Tahoma"/>
          <w:sz w:val="22"/>
          <w:szCs w:val="22"/>
          <w:lang w:val="es-ES"/>
        </w:rPr>
        <w:t>Junto con las versiones públicas que se entreguen, se deberá proporcionar el Acuerdo de Clasificación donde el Comité de Transparencia, confirme la eliminación de los datos y documentos confidenciales, de conformidad con los art</w:t>
      </w:r>
      <w:r>
        <w:rPr>
          <w:rFonts w:ascii="Palatino Linotype" w:hAnsi="Palatino Linotype" w:cs="Tahoma"/>
          <w:sz w:val="22"/>
          <w:szCs w:val="22"/>
          <w:lang w:val="es-ES"/>
        </w:rPr>
        <w:t>ículos 49, fracciones II y VIII</w:t>
      </w:r>
      <w:r w:rsidRPr="007D6750">
        <w:rPr>
          <w:rFonts w:ascii="Palatino Linotype" w:hAnsi="Palatino Linotype" w:cs="Tahoma"/>
          <w:sz w:val="22"/>
          <w:szCs w:val="22"/>
          <w:lang w:val="es-ES"/>
        </w:rPr>
        <w:t xml:space="preserve"> </w:t>
      </w:r>
      <w:r w:rsidRPr="00F55329">
        <w:rPr>
          <w:rFonts w:ascii="Palatino Linotype" w:eastAsia="Calibri" w:hAnsi="Palatino Linotype" w:cs="Tahoma"/>
          <w:bCs/>
          <w:iCs/>
          <w:color w:val="000000"/>
          <w:sz w:val="22"/>
          <w:szCs w:val="22"/>
          <w:lang w:eastAsia="en-US"/>
        </w:rPr>
        <w:t>y 132, fracción II de la Ley de Transparencia y Acceso a la Información Pública del Estado de México y Municipios.</w:t>
      </w:r>
    </w:p>
    <w:p w14:paraId="22F659F5" w14:textId="1514958D" w:rsidR="008043DC" w:rsidRPr="00CE11D4" w:rsidRDefault="008043DC" w:rsidP="00CE11D4">
      <w:pPr>
        <w:widowControl w:val="0"/>
        <w:autoSpaceDE w:val="0"/>
        <w:autoSpaceDN w:val="0"/>
        <w:adjustRightInd w:val="0"/>
        <w:spacing w:line="360" w:lineRule="auto"/>
        <w:ind w:right="899"/>
        <w:contextualSpacing/>
        <w:jc w:val="both"/>
        <w:rPr>
          <w:rFonts w:ascii="Palatino Linotype" w:hAnsi="Palatino Linotype" w:cs="Tahoma"/>
          <w:bCs/>
          <w:iCs/>
          <w:sz w:val="22"/>
          <w:szCs w:val="22"/>
        </w:rPr>
      </w:pPr>
    </w:p>
    <w:p w14:paraId="49544FBC" w14:textId="51A66F9D" w:rsidR="004B1DA6" w:rsidRPr="00AD61EF" w:rsidRDefault="008043DC" w:rsidP="004B1DA6">
      <w:pPr>
        <w:widowControl w:val="0"/>
        <w:autoSpaceDE w:val="0"/>
        <w:autoSpaceDN w:val="0"/>
        <w:adjustRightInd w:val="0"/>
        <w:spacing w:line="360" w:lineRule="auto"/>
        <w:contextualSpacing/>
        <w:jc w:val="both"/>
        <w:rPr>
          <w:rFonts w:ascii="Palatino Linotype" w:hAnsi="Palatino Linotype" w:cs="Tahoma"/>
          <w:iCs/>
          <w:sz w:val="22"/>
          <w:szCs w:val="22"/>
        </w:rPr>
      </w:pPr>
      <w:r w:rsidRPr="00AD61EF">
        <w:rPr>
          <w:rFonts w:ascii="Palatino Linotype" w:hAnsi="Palatino Linotype" w:cs="Tahoma"/>
          <w:bCs/>
          <w:iCs/>
          <w:sz w:val="22"/>
          <w:szCs w:val="22"/>
        </w:rPr>
        <w:t xml:space="preserve">Para el caso de que </w:t>
      </w:r>
      <w:r w:rsidRPr="00AD61EF">
        <w:rPr>
          <w:rFonts w:ascii="Palatino Linotype" w:hAnsi="Palatino Linotype" w:cs="Tahoma"/>
          <w:b/>
          <w:bCs/>
          <w:iCs/>
          <w:sz w:val="22"/>
          <w:szCs w:val="22"/>
        </w:rPr>
        <w:t>EL SUJETO OBLIGADO</w:t>
      </w:r>
      <w:r w:rsidRPr="00AD61EF">
        <w:rPr>
          <w:rFonts w:ascii="Palatino Linotype" w:hAnsi="Palatino Linotype" w:cs="Tahoma"/>
          <w:bCs/>
          <w:iCs/>
          <w:sz w:val="22"/>
          <w:szCs w:val="22"/>
        </w:rPr>
        <w:t xml:space="preserve"> no cuente con toda la información que se ordena entregar en el numeral 2, derivado de la temporalidad ordenada deberá emitir deberá de emitir el acuerdo del Comité de Transparencia en el que se declare la inexistencia conforme a lo dispuesto en los artículos 49, fracciones II y XIII, 169 y 170 de la Ley de Transparencia y </w:t>
      </w:r>
      <w:r w:rsidR="00F533F3" w:rsidRPr="00AD61EF">
        <w:rPr>
          <w:rFonts w:ascii="Palatino Linotype" w:hAnsi="Palatino Linotype" w:cs="Tahoma"/>
          <w:bCs/>
          <w:iCs/>
          <w:sz w:val="22"/>
          <w:szCs w:val="22"/>
        </w:rPr>
        <w:t>Acceso a la Información Pública</w:t>
      </w:r>
      <w:r w:rsidRPr="00AD61EF">
        <w:rPr>
          <w:rFonts w:ascii="Palatino Linotype" w:hAnsi="Palatino Linotype" w:cs="Tahoma"/>
          <w:bCs/>
          <w:iCs/>
          <w:sz w:val="22"/>
          <w:szCs w:val="22"/>
        </w:rPr>
        <w:t xml:space="preserve"> del Estado de México y Municipios</w:t>
      </w:r>
      <w:r w:rsidR="00CA54F3" w:rsidRPr="004B1DA6">
        <w:rPr>
          <w:rFonts w:ascii="Palatino Linotype" w:hAnsi="Palatino Linotype" w:cs="Tahoma"/>
          <w:bCs/>
          <w:i/>
          <w:sz w:val="22"/>
          <w:szCs w:val="22"/>
        </w:rPr>
        <w:t>;</w:t>
      </w:r>
      <w:r w:rsidR="00CA54F3" w:rsidRPr="00AD61EF">
        <w:rPr>
          <w:rFonts w:ascii="Palatino Linotype" w:hAnsi="Palatino Linotype"/>
          <w:sz w:val="22"/>
          <w:szCs w:val="22"/>
        </w:rPr>
        <w:t xml:space="preserve"> sin embargo, </w:t>
      </w:r>
      <w:r w:rsidR="004B1DA6">
        <w:rPr>
          <w:rFonts w:ascii="Palatino Linotype" w:hAnsi="Palatino Linotype"/>
          <w:sz w:val="22"/>
          <w:szCs w:val="22"/>
        </w:rPr>
        <w:t>p</w:t>
      </w:r>
      <w:r w:rsidR="00CA54F3" w:rsidRPr="00AD61EF">
        <w:rPr>
          <w:rFonts w:ascii="Palatino Linotype" w:hAnsi="Palatino Linotype"/>
          <w:sz w:val="22"/>
          <w:szCs w:val="22"/>
        </w:rPr>
        <w:t>ara el caso de que los documentos que se vayan a remitir supere</w:t>
      </w:r>
      <w:r w:rsidR="004B1DA6">
        <w:rPr>
          <w:rFonts w:ascii="Palatino Linotype" w:hAnsi="Palatino Linotype"/>
          <w:sz w:val="22"/>
          <w:szCs w:val="22"/>
        </w:rPr>
        <w:t>n</w:t>
      </w:r>
      <w:r w:rsidR="00CA54F3" w:rsidRPr="00AD61EF">
        <w:rPr>
          <w:rFonts w:ascii="Palatino Linotype" w:hAnsi="Palatino Linotype"/>
          <w:sz w:val="22"/>
          <w:szCs w:val="22"/>
        </w:rPr>
        <w:t xml:space="preserve"> las capacidades técnicas de </w:t>
      </w:r>
      <w:r w:rsidR="00CA54F3" w:rsidRPr="00AD61EF">
        <w:rPr>
          <w:rFonts w:ascii="Palatino Linotype" w:hAnsi="Palatino Linotype"/>
          <w:b/>
          <w:bCs/>
          <w:sz w:val="22"/>
          <w:szCs w:val="22"/>
        </w:rPr>
        <w:t>EL SAIMEX</w:t>
      </w:r>
      <w:r w:rsidR="00CA54F3" w:rsidRPr="00AD61EF">
        <w:rPr>
          <w:rFonts w:ascii="Palatino Linotype" w:hAnsi="Palatino Linotype"/>
          <w:sz w:val="22"/>
          <w:szCs w:val="22"/>
        </w:rPr>
        <w:t xml:space="preserve">, </w:t>
      </w:r>
      <w:r w:rsidR="00CA54F3" w:rsidRPr="004B1DA6">
        <w:rPr>
          <w:rFonts w:ascii="Palatino Linotype" w:hAnsi="Palatino Linotype" w:cs="Tahoma"/>
          <w:b/>
          <w:bCs/>
          <w:iCs/>
          <w:sz w:val="22"/>
          <w:szCs w:val="22"/>
        </w:rPr>
        <w:t xml:space="preserve">EL SUJETO OBLIGADO, </w:t>
      </w:r>
      <w:r w:rsidR="00CA54F3" w:rsidRPr="00AD61EF">
        <w:rPr>
          <w:rFonts w:ascii="Palatino Linotype" w:hAnsi="Palatino Linotype" w:cs="Tahoma"/>
          <w:iCs/>
          <w:sz w:val="22"/>
          <w:szCs w:val="22"/>
        </w:rPr>
        <w:t>podrá ofrecer otras modalidades electrónicas para la entrega de la información</w:t>
      </w:r>
      <w:r w:rsidR="008B3241" w:rsidRPr="00AD61EF">
        <w:rPr>
          <w:rFonts w:ascii="Palatino Linotype" w:hAnsi="Palatino Linotype" w:cs="Tahoma"/>
          <w:iCs/>
          <w:sz w:val="22"/>
          <w:szCs w:val="22"/>
        </w:rPr>
        <w:t>, tales como</w:t>
      </w:r>
      <w:r w:rsidR="004B1DA6" w:rsidRPr="00AD61EF">
        <w:rPr>
          <w:rFonts w:ascii="Palatino Linotype" w:hAnsi="Palatino Linotype"/>
          <w:sz w:val="22"/>
          <w:szCs w:val="22"/>
        </w:rPr>
        <w:t xml:space="preserve"> </w:t>
      </w:r>
      <w:r w:rsidR="004B1DA6" w:rsidRPr="00AD61EF">
        <w:rPr>
          <w:rFonts w:ascii="Palatino Linotype" w:hAnsi="Palatino Linotype" w:cs="Tahoma"/>
          <w:iCs/>
          <w:sz w:val="22"/>
          <w:szCs w:val="22"/>
        </w:rPr>
        <w:t>enviar la información a su cuenta de correo electrónico; o concederle el acceso en disco compacto, con la posibilidad de envío mediante correo certificado, previo pago del costo del CD y del envío; o darle la posibilidad de obtenerla de manera gratuita si el mismo aporta el CD o la USB en la que se le proporcionarán los archivos electrónicos, o bien, habilitar una liga electrónica que deberá proporcionarle para que descargue los archivos; además de precisar que si se acredita un impedimento justificado para atender esa modalidad en relación directa con el formato en el que obra la información, se brinde la posibilidad de que debidamente fundada y motivada se ofrezca la entrega de la información en el resto de las modalidades, además, de consulta directa, como copias simples y certificadas con opción de envío a domicilio.</w:t>
      </w:r>
    </w:p>
    <w:p w14:paraId="4283BF0E" w14:textId="77777777" w:rsidR="004B1DA6" w:rsidRPr="00AD61EF" w:rsidRDefault="004B1DA6" w:rsidP="004B1DA6">
      <w:pPr>
        <w:widowControl w:val="0"/>
        <w:autoSpaceDE w:val="0"/>
        <w:autoSpaceDN w:val="0"/>
        <w:adjustRightInd w:val="0"/>
        <w:spacing w:line="360" w:lineRule="auto"/>
        <w:contextualSpacing/>
        <w:jc w:val="both"/>
        <w:rPr>
          <w:rFonts w:ascii="Palatino Linotype" w:hAnsi="Palatino Linotype" w:cs="Tahoma"/>
          <w:iCs/>
          <w:sz w:val="22"/>
          <w:szCs w:val="22"/>
        </w:rPr>
      </w:pPr>
    </w:p>
    <w:p w14:paraId="72ABFEF6" w14:textId="7551019C" w:rsidR="008043DC" w:rsidRPr="004B1DA6" w:rsidRDefault="004B1DA6" w:rsidP="00AD61EF">
      <w:pPr>
        <w:widowControl w:val="0"/>
        <w:autoSpaceDE w:val="0"/>
        <w:autoSpaceDN w:val="0"/>
        <w:adjustRightInd w:val="0"/>
        <w:spacing w:line="360" w:lineRule="auto"/>
        <w:contextualSpacing/>
        <w:jc w:val="both"/>
        <w:rPr>
          <w:rFonts w:ascii="Palatino Linotype" w:hAnsi="Palatino Linotype" w:cs="Tahoma"/>
          <w:i/>
          <w:sz w:val="22"/>
          <w:szCs w:val="22"/>
        </w:rPr>
      </w:pPr>
      <w:r w:rsidRPr="00AD61EF">
        <w:rPr>
          <w:rFonts w:ascii="Palatino Linotype" w:hAnsi="Palatino Linotype" w:cs="Tahoma"/>
          <w:iCs/>
          <w:sz w:val="22"/>
          <w:szCs w:val="22"/>
        </w:rPr>
        <w:t>Para el caso de que acredite el cambio de modalidad electrónica, deberá indicar el procedimiento para acceder a la información.</w:t>
      </w:r>
    </w:p>
    <w:p w14:paraId="0CF6A216" w14:textId="77777777" w:rsidR="002F3F03" w:rsidRPr="001134AE" w:rsidRDefault="002F3F03" w:rsidP="00221864">
      <w:pPr>
        <w:spacing w:line="360" w:lineRule="auto"/>
        <w:jc w:val="both"/>
        <w:rPr>
          <w:rFonts w:ascii="Palatino Linotype" w:eastAsia="Batang" w:hAnsi="Palatino Linotype" w:cs="Tahoma"/>
          <w:bCs/>
          <w:szCs w:val="22"/>
          <w:lang w:val="es-ES"/>
        </w:rPr>
      </w:pPr>
    </w:p>
    <w:p w14:paraId="6CB4F02B" w14:textId="7610D486" w:rsidR="002F3F03" w:rsidRDefault="002F3F03" w:rsidP="00221864">
      <w:pPr>
        <w:spacing w:line="360" w:lineRule="auto"/>
        <w:jc w:val="both"/>
        <w:rPr>
          <w:rFonts w:ascii="Palatino Linotype" w:eastAsia="Batang" w:hAnsi="Palatino Linotype" w:cs="Tahoma"/>
          <w:bCs/>
          <w:sz w:val="22"/>
          <w:szCs w:val="22"/>
          <w:lang w:val="es-ES"/>
        </w:rPr>
      </w:pPr>
      <w:r w:rsidRPr="001134AE">
        <w:rPr>
          <w:rFonts w:ascii="Palatino Linotype" w:eastAsia="Batang" w:hAnsi="Palatino Linotype" w:cs="Tahoma"/>
          <w:b/>
          <w:bCs/>
          <w:sz w:val="22"/>
          <w:szCs w:val="22"/>
          <w:lang w:val="es-ES"/>
        </w:rPr>
        <w:t xml:space="preserve">TERCERO. NOTIFÍQUESE </w:t>
      </w:r>
      <w:r w:rsidR="008043DC">
        <w:rPr>
          <w:rFonts w:ascii="Palatino Linotype" w:eastAsia="Batang" w:hAnsi="Palatino Linotype" w:cs="Tahoma"/>
          <w:bCs/>
          <w:sz w:val="22"/>
          <w:szCs w:val="22"/>
          <w:lang w:val="es-ES"/>
        </w:rPr>
        <w:t>la presente resolución a la</w:t>
      </w:r>
      <w:r w:rsidRPr="001134AE">
        <w:rPr>
          <w:rFonts w:ascii="Palatino Linotype" w:eastAsia="Batang" w:hAnsi="Palatino Linotype" w:cs="Tahoma"/>
          <w:bCs/>
          <w:sz w:val="22"/>
          <w:szCs w:val="22"/>
          <w:lang w:val="es-ES"/>
        </w:rPr>
        <w:t xml:space="preserve"> Titular de la Unidad de Transparencia del Sujeto Obligado, para que conforme al artículo 186 último párrafo, 189 segundo párrafo y 194 de la Ley de Transparencia y </w:t>
      </w:r>
      <w:r w:rsidR="00F533F3">
        <w:rPr>
          <w:rFonts w:ascii="Palatino Linotype" w:eastAsia="Batang" w:hAnsi="Palatino Linotype" w:cs="Tahoma"/>
          <w:bCs/>
          <w:sz w:val="22"/>
          <w:szCs w:val="22"/>
          <w:lang w:val="es-ES"/>
        </w:rPr>
        <w:t>Acceso a la Información Pública</w:t>
      </w:r>
      <w:r w:rsidRPr="001134AE">
        <w:rPr>
          <w:rFonts w:ascii="Palatino Linotype" w:eastAsia="Batang" w:hAnsi="Palatino Linotype" w:cs="Tahoma"/>
          <w:bCs/>
          <w:sz w:val="22"/>
          <w:szCs w:val="22"/>
          <w:lang w:val="es-ES"/>
        </w:rPr>
        <w:t xml:space="preserve"> del Estado de México y Municipios; dé cumplimiento a lo ordenado dentro del plazo de </w:t>
      </w:r>
      <w:r w:rsidR="005038F9">
        <w:rPr>
          <w:rFonts w:ascii="Palatino Linotype" w:eastAsia="Batang" w:hAnsi="Palatino Linotype" w:cs="Tahoma"/>
          <w:bCs/>
          <w:sz w:val="22"/>
          <w:szCs w:val="22"/>
          <w:lang w:val="es-ES"/>
        </w:rPr>
        <w:t>ve</w:t>
      </w:r>
      <w:r w:rsidR="00B06DF1">
        <w:rPr>
          <w:rFonts w:ascii="Palatino Linotype" w:eastAsia="Batang" w:hAnsi="Palatino Linotype" w:cs="Tahoma"/>
          <w:bCs/>
          <w:sz w:val="22"/>
          <w:szCs w:val="22"/>
          <w:lang w:val="es-ES"/>
        </w:rPr>
        <w:t>i</w:t>
      </w:r>
      <w:r w:rsidR="005038F9">
        <w:rPr>
          <w:rFonts w:ascii="Palatino Linotype" w:eastAsia="Batang" w:hAnsi="Palatino Linotype" w:cs="Tahoma"/>
          <w:bCs/>
          <w:sz w:val="22"/>
          <w:szCs w:val="22"/>
          <w:lang w:val="es-ES"/>
        </w:rPr>
        <w:t>nte</w:t>
      </w:r>
      <w:r w:rsidRPr="001134AE">
        <w:rPr>
          <w:rFonts w:ascii="Palatino Linotype" w:eastAsia="Batang" w:hAnsi="Palatino Linotype" w:cs="Tahoma"/>
          <w:bCs/>
          <w:sz w:val="22"/>
          <w:szCs w:val="22"/>
          <w:lang w:val="es-ES"/>
        </w:rPr>
        <w:t xml:space="preserve"> días hábiles, e informe a este Instituto en un plazo de tres días hábiles siguientes sobre el cumplimiento dado a la presente.</w:t>
      </w:r>
    </w:p>
    <w:p w14:paraId="746E9B14" w14:textId="77777777" w:rsidR="002F3F03" w:rsidRPr="001134AE" w:rsidRDefault="002F3F03" w:rsidP="00221864">
      <w:pPr>
        <w:spacing w:line="360" w:lineRule="auto"/>
        <w:jc w:val="both"/>
        <w:rPr>
          <w:rFonts w:ascii="Palatino Linotype" w:eastAsia="Batang" w:hAnsi="Palatino Linotype" w:cs="Tahoma"/>
          <w:bCs/>
          <w:sz w:val="22"/>
          <w:szCs w:val="22"/>
          <w:lang w:val="es-ES"/>
        </w:rPr>
      </w:pPr>
    </w:p>
    <w:p w14:paraId="5240390A" w14:textId="02F966A8" w:rsidR="002F3F03" w:rsidRPr="001134AE" w:rsidRDefault="002F3F03" w:rsidP="00221864">
      <w:pPr>
        <w:spacing w:line="360" w:lineRule="auto"/>
        <w:jc w:val="both"/>
        <w:rPr>
          <w:rFonts w:ascii="Palatino Linotype" w:hAnsi="Palatino Linotype" w:cs="Arial"/>
          <w:bCs/>
          <w:sz w:val="22"/>
          <w:szCs w:val="22"/>
        </w:rPr>
      </w:pPr>
      <w:bookmarkStart w:id="5" w:name="_Hlk61509110"/>
      <w:r w:rsidRPr="001134AE">
        <w:rPr>
          <w:rFonts w:ascii="Palatino Linotype" w:hAnsi="Palatino Linotype" w:cs="Arial"/>
          <w:bCs/>
          <w:sz w:val="22"/>
          <w:szCs w:val="22"/>
        </w:rPr>
        <w:t xml:space="preserve">De conformidad con el artículo 198 de la Ley de Transparencia y </w:t>
      </w:r>
      <w:r w:rsidR="00F533F3">
        <w:rPr>
          <w:rFonts w:ascii="Palatino Linotype" w:hAnsi="Palatino Linotype" w:cs="Arial"/>
          <w:bCs/>
          <w:sz w:val="22"/>
          <w:szCs w:val="22"/>
        </w:rPr>
        <w:t>Acceso a la Información Pública</w:t>
      </w:r>
      <w:r w:rsidRPr="001134AE">
        <w:rPr>
          <w:rFonts w:ascii="Palatino Linotype" w:hAnsi="Palatino Linotype" w:cs="Arial"/>
          <w:bCs/>
          <w:sz w:val="22"/>
          <w:szCs w:val="22"/>
        </w:rPr>
        <w:t xml:space="preserve"> del Estado de México y Municipios, de considerarlo procedente, </w:t>
      </w:r>
      <w:r w:rsidR="008043DC" w:rsidRPr="008043DC">
        <w:rPr>
          <w:rFonts w:ascii="Palatino Linotype" w:hAnsi="Palatino Linotype" w:cs="Arial"/>
          <w:b/>
          <w:bCs/>
          <w:sz w:val="22"/>
          <w:szCs w:val="22"/>
        </w:rPr>
        <w:t>EL SUJETO OBLIGADO</w:t>
      </w:r>
      <w:r w:rsidR="008043DC" w:rsidRPr="001134AE">
        <w:rPr>
          <w:rFonts w:ascii="Palatino Linotype" w:hAnsi="Palatino Linotype" w:cs="Arial"/>
          <w:bCs/>
          <w:sz w:val="22"/>
          <w:szCs w:val="22"/>
        </w:rPr>
        <w:t xml:space="preserve"> </w:t>
      </w:r>
      <w:r w:rsidRPr="001134AE">
        <w:rPr>
          <w:rFonts w:ascii="Palatino Linotype" w:hAnsi="Palatino Linotype" w:cs="Arial"/>
          <w:bCs/>
          <w:sz w:val="22"/>
          <w:szCs w:val="22"/>
        </w:rPr>
        <w:t>de manera fundada y motivada, podrá solicitar una ampliación de plazo para el cumplimiento de la presente Resolución.</w:t>
      </w:r>
      <w:bookmarkEnd w:id="5"/>
    </w:p>
    <w:p w14:paraId="04D90855" w14:textId="77777777" w:rsidR="002F3F03" w:rsidRPr="001134AE" w:rsidRDefault="002F3F03" w:rsidP="00221864">
      <w:pPr>
        <w:spacing w:line="360" w:lineRule="auto"/>
        <w:jc w:val="both"/>
        <w:rPr>
          <w:rFonts w:ascii="Palatino Linotype" w:eastAsia="Batang" w:hAnsi="Palatino Linotype" w:cs="Tahoma"/>
          <w:bCs/>
          <w:sz w:val="22"/>
          <w:szCs w:val="22"/>
          <w:lang w:val="es-ES"/>
        </w:rPr>
      </w:pPr>
    </w:p>
    <w:p w14:paraId="1521543D" w14:textId="7264A3BB" w:rsidR="002F3F03" w:rsidRPr="001134AE" w:rsidRDefault="002F3F03" w:rsidP="00221864">
      <w:pPr>
        <w:spacing w:line="360" w:lineRule="auto"/>
        <w:jc w:val="both"/>
        <w:rPr>
          <w:rFonts w:ascii="Palatino Linotype" w:eastAsia="Batang" w:hAnsi="Palatino Linotype" w:cs="Tahoma"/>
          <w:bCs/>
          <w:sz w:val="22"/>
          <w:szCs w:val="22"/>
          <w:lang w:val="es-ES"/>
        </w:rPr>
      </w:pPr>
      <w:r w:rsidRPr="001134AE">
        <w:rPr>
          <w:rFonts w:ascii="Palatino Linotype" w:eastAsia="Batang" w:hAnsi="Palatino Linotype" w:cs="Tahoma"/>
          <w:b/>
          <w:bCs/>
          <w:sz w:val="22"/>
          <w:szCs w:val="22"/>
          <w:lang w:val="es-ES"/>
        </w:rPr>
        <w:t>CUARTO. NOTIFÍQUESE</w:t>
      </w:r>
      <w:r w:rsidRPr="001134AE">
        <w:rPr>
          <w:rFonts w:ascii="Palatino Linotype" w:eastAsia="Batang" w:hAnsi="Palatino Linotype" w:cs="Tahoma"/>
          <w:bCs/>
          <w:sz w:val="22"/>
          <w:szCs w:val="22"/>
          <w:lang w:val="es-ES"/>
        </w:rPr>
        <w:t xml:space="preserve"> a</w:t>
      </w:r>
      <w:r w:rsidR="008043DC">
        <w:rPr>
          <w:rFonts w:ascii="Palatino Linotype" w:eastAsia="Batang" w:hAnsi="Palatino Linotype" w:cs="Tahoma"/>
          <w:bCs/>
          <w:sz w:val="22"/>
          <w:szCs w:val="22"/>
          <w:lang w:val="es-ES"/>
        </w:rPr>
        <w:t xml:space="preserve"> </w:t>
      </w:r>
      <w:r w:rsidR="008043DC" w:rsidRPr="008043DC">
        <w:rPr>
          <w:rFonts w:ascii="Palatino Linotype" w:eastAsia="Batang" w:hAnsi="Palatino Linotype" w:cs="Tahoma"/>
          <w:b/>
          <w:bCs/>
          <w:sz w:val="22"/>
          <w:szCs w:val="22"/>
          <w:lang w:val="es-ES"/>
        </w:rPr>
        <w:t>LA RECURRENTE</w:t>
      </w:r>
      <w:r w:rsidR="008043DC" w:rsidRPr="001134AE">
        <w:rPr>
          <w:rFonts w:ascii="Palatino Linotype" w:eastAsia="Batang" w:hAnsi="Palatino Linotype" w:cs="Tahoma"/>
          <w:bCs/>
          <w:sz w:val="22"/>
          <w:szCs w:val="22"/>
          <w:lang w:val="es-ES"/>
        </w:rPr>
        <w:t xml:space="preserve"> </w:t>
      </w:r>
      <w:r w:rsidRPr="001134AE">
        <w:rPr>
          <w:rFonts w:ascii="Palatino Linotype" w:eastAsia="Batang" w:hAnsi="Palatino Linotype" w:cs="Tahoma"/>
          <w:bCs/>
          <w:sz w:val="22"/>
          <w:szCs w:val="22"/>
          <w:lang w:val="es-ES"/>
        </w:rPr>
        <w:t xml:space="preserve">la presente Resolución, vía Sistema de Acceso a la Información Mexiquense SAIMEX, asimismo, se hace de su conocimiento que de conformidad con lo establecido en el artículo 196 de la Ley de Transparencia y </w:t>
      </w:r>
      <w:r w:rsidR="00F533F3">
        <w:rPr>
          <w:rFonts w:ascii="Palatino Linotype" w:eastAsia="Batang" w:hAnsi="Palatino Linotype" w:cs="Tahoma"/>
          <w:bCs/>
          <w:sz w:val="22"/>
          <w:szCs w:val="22"/>
          <w:lang w:val="es-ES"/>
        </w:rPr>
        <w:t>Acceso a la Información Pública</w:t>
      </w:r>
      <w:r w:rsidRPr="001134AE">
        <w:rPr>
          <w:rFonts w:ascii="Palatino Linotype" w:eastAsia="Batang" w:hAnsi="Palatino Linotype" w:cs="Tahoma"/>
          <w:bCs/>
          <w:sz w:val="22"/>
          <w:szCs w:val="22"/>
          <w:lang w:val="es-ES"/>
        </w:rPr>
        <w:t xml:space="preserve"> del Estado de México y Municipios podrá promover el Juicio de Amparo en los términos de las leyes aplicables.</w:t>
      </w:r>
    </w:p>
    <w:p w14:paraId="27FD0F64" w14:textId="77777777" w:rsidR="002F3F03" w:rsidRDefault="002F3F03" w:rsidP="00AD61EF">
      <w:pPr>
        <w:widowControl w:val="0"/>
        <w:autoSpaceDE w:val="0"/>
        <w:autoSpaceDN w:val="0"/>
        <w:adjustRightInd w:val="0"/>
        <w:spacing w:line="360" w:lineRule="auto"/>
        <w:jc w:val="both"/>
        <w:rPr>
          <w:rFonts w:ascii="Palatino Linotype" w:hAnsi="Palatino Linotype" w:cs="Arial"/>
          <w:sz w:val="22"/>
          <w:szCs w:val="22"/>
        </w:rPr>
      </w:pPr>
    </w:p>
    <w:p w14:paraId="617F9EDA" w14:textId="71B37746" w:rsidR="00503925" w:rsidRPr="006E07BB" w:rsidRDefault="00503925" w:rsidP="00AD61EF">
      <w:pPr>
        <w:widowControl w:val="0"/>
        <w:autoSpaceDE w:val="0"/>
        <w:autoSpaceDN w:val="0"/>
        <w:adjustRightInd w:val="0"/>
        <w:spacing w:line="360" w:lineRule="auto"/>
        <w:jc w:val="both"/>
        <w:rPr>
          <w:rFonts w:ascii="Palatino Linotype" w:hAnsi="Palatino Linotype" w:cs="Arial"/>
          <w:sz w:val="22"/>
          <w:szCs w:val="22"/>
        </w:rPr>
      </w:pPr>
      <w:r w:rsidRPr="006E07BB">
        <w:rPr>
          <w:rFonts w:ascii="Palatino Linotype" w:hAnsi="Palatino Linotype" w:cs="Arial"/>
          <w:sz w:val="22"/>
          <w:szCs w:val="22"/>
        </w:rPr>
        <w:t xml:space="preserve">ASÍ LO RESUELVE, </w:t>
      </w:r>
      <w:r w:rsidRPr="004B1DA6">
        <w:rPr>
          <w:rFonts w:ascii="Palatino Linotype" w:hAnsi="Palatino Linotype" w:cs="Arial"/>
          <w:sz w:val="22"/>
          <w:szCs w:val="22"/>
        </w:rPr>
        <w:t xml:space="preserve">POR </w:t>
      </w:r>
      <w:r w:rsidRPr="00A97017">
        <w:rPr>
          <w:rFonts w:ascii="Palatino Linotype" w:hAnsi="Palatino Linotype" w:cs="Arial"/>
          <w:b/>
          <w:bCs/>
          <w:sz w:val="22"/>
          <w:szCs w:val="22"/>
        </w:rPr>
        <w:t>UNANIMIDAD</w:t>
      </w:r>
      <w:r w:rsidRPr="004B1DA6">
        <w:rPr>
          <w:rFonts w:ascii="Palatino Linotype" w:hAnsi="Palatino Linotype" w:cs="Arial"/>
          <w:sz w:val="22"/>
          <w:szCs w:val="22"/>
        </w:rPr>
        <w:t xml:space="preserve"> DE VOTOS EL PLENO DEL</w:t>
      </w:r>
      <w:r w:rsidRPr="004B1DA6">
        <w:rPr>
          <w:rFonts w:ascii="Palatino Linotype" w:eastAsia="Arial Unicode MS" w:hAnsi="Palatino Linotype" w:cs="Arial"/>
          <w:sz w:val="22"/>
          <w:szCs w:val="22"/>
        </w:rPr>
        <w:t xml:space="preserve"> INSTITUTO DE </w:t>
      </w:r>
      <w:r w:rsidRPr="004B1DA6">
        <w:rPr>
          <w:rFonts w:ascii="Palatino Linotype" w:hAnsi="Palatino Linotype"/>
          <w:sz w:val="22"/>
          <w:szCs w:val="22"/>
          <w:lang w:eastAsia="en-US"/>
        </w:rPr>
        <w:t>TRANSPARENCIA</w:t>
      </w:r>
      <w:r w:rsidRPr="004B1DA6">
        <w:rPr>
          <w:rFonts w:ascii="Palatino Linotype" w:eastAsia="Arial Unicode MS" w:hAnsi="Palatino Linotype" w:cs="Arial"/>
          <w:sz w:val="22"/>
          <w:szCs w:val="22"/>
        </w:rPr>
        <w:t xml:space="preserve">, </w:t>
      </w:r>
      <w:r w:rsidR="00F533F3" w:rsidRPr="004B1DA6">
        <w:rPr>
          <w:rFonts w:ascii="Palatino Linotype" w:eastAsia="Arial Unicode MS" w:hAnsi="Palatino Linotype" w:cs="Arial"/>
          <w:sz w:val="22"/>
          <w:szCs w:val="22"/>
        </w:rPr>
        <w:t>ACCESO A LA INFORMACIÓN PÚBLICA</w:t>
      </w:r>
      <w:r w:rsidRPr="004B1DA6">
        <w:rPr>
          <w:rFonts w:ascii="Palatino Linotype" w:eastAsia="Arial Unicode MS" w:hAnsi="Palatino Linotype" w:cs="Arial"/>
          <w:sz w:val="22"/>
          <w:szCs w:val="22"/>
        </w:rPr>
        <w:t xml:space="preserve"> Y PROTECCIÓN DE DATOS PERSONALES DEL ESTADO DE MÉXICO Y MUNICIPIOS</w:t>
      </w:r>
      <w:r w:rsidRPr="004B1DA6">
        <w:rPr>
          <w:rFonts w:ascii="Palatino Linotype" w:hAnsi="Palatino Linotype" w:cs="Arial"/>
          <w:sz w:val="22"/>
          <w:szCs w:val="22"/>
        </w:rPr>
        <w:t xml:space="preserve">, CONFORMADO POR LOS COMISIONADOS JOSÉ MARTÍNEZ VILCHIS; MARÍA DEL ROSARIO MEJÍA AYALA; SHARON CRISTINA MORALES MARTÍNEZ </w:t>
      </w:r>
      <w:r w:rsidRPr="00AD61EF">
        <w:rPr>
          <w:rFonts w:ascii="Palatino Linotype" w:hAnsi="Palatino Linotype" w:cs="Arial"/>
          <w:sz w:val="22"/>
          <w:szCs w:val="22"/>
        </w:rPr>
        <w:t>(AUSENCIA JUSTIFICADA);</w:t>
      </w:r>
      <w:r w:rsidRPr="004B1DA6">
        <w:rPr>
          <w:rFonts w:ascii="Palatino Linotype" w:hAnsi="Palatino Linotype" w:cs="Arial"/>
          <w:sz w:val="22"/>
          <w:szCs w:val="22"/>
        </w:rPr>
        <w:t xml:space="preserve"> LUIS GUSTAVO PARRA NORIEGA Y GUADAL</w:t>
      </w:r>
      <w:r w:rsidR="000310B3" w:rsidRPr="004B1DA6">
        <w:rPr>
          <w:rFonts w:ascii="Palatino Linotype" w:hAnsi="Palatino Linotype" w:cs="Arial"/>
          <w:sz w:val="22"/>
          <w:szCs w:val="22"/>
        </w:rPr>
        <w:t>UPE RAMÍREZ PEÑA</w:t>
      </w:r>
      <w:r w:rsidR="000310B3">
        <w:rPr>
          <w:rFonts w:ascii="Palatino Linotype" w:hAnsi="Palatino Linotype" w:cs="Arial"/>
          <w:sz w:val="22"/>
          <w:szCs w:val="22"/>
        </w:rPr>
        <w:t xml:space="preserve"> CON OPINIÓN PARTICULAR</w:t>
      </w:r>
      <w:r w:rsidR="000310B3" w:rsidRPr="004B1DA6">
        <w:rPr>
          <w:rFonts w:ascii="Palatino Linotype" w:hAnsi="Palatino Linotype" w:cs="Arial"/>
          <w:sz w:val="22"/>
          <w:szCs w:val="22"/>
        </w:rPr>
        <w:t xml:space="preserve">; </w:t>
      </w:r>
      <w:r w:rsidR="000310B3" w:rsidRPr="00AD61EF">
        <w:rPr>
          <w:rFonts w:ascii="Palatino Linotype" w:hAnsi="Palatino Linotype" w:cs="Arial"/>
          <w:sz w:val="22"/>
          <w:szCs w:val="22"/>
        </w:rPr>
        <w:t xml:space="preserve">EN </w:t>
      </w:r>
      <w:r w:rsidRPr="00AD61EF">
        <w:rPr>
          <w:rFonts w:ascii="Palatino Linotype" w:hAnsi="Palatino Linotype" w:cs="Arial"/>
          <w:sz w:val="22"/>
          <w:szCs w:val="22"/>
        </w:rPr>
        <w:t xml:space="preserve">LA </w:t>
      </w:r>
      <w:r w:rsidR="006E07BB" w:rsidRPr="00AD61EF">
        <w:rPr>
          <w:rFonts w:ascii="Palatino Linotype" w:hAnsi="Palatino Linotype" w:cs="Arial"/>
          <w:sz w:val="22"/>
          <w:szCs w:val="22"/>
        </w:rPr>
        <w:t xml:space="preserve">OCTAVA </w:t>
      </w:r>
      <w:r w:rsidRPr="00AD61EF">
        <w:rPr>
          <w:rFonts w:ascii="Palatino Linotype" w:hAnsi="Palatino Linotype" w:cs="Arial"/>
          <w:sz w:val="22"/>
          <w:szCs w:val="22"/>
        </w:rPr>
        <w:t xml:space="preserve">SESIÓN ORDINARIA CELEBRADA EL </w:t>
      </w:r>
      <w:r w:rsidR="006E07BB" w:rsidRPr="00AD61EF">
        <w:rPr>
          <w:rFonts w:ascii="Palatino Linotype" w:hAnsi="Palatino Linotype" w:cs="Arial"/>
          <w:sz w:val="22"/>
          <w:szCs w:val="22"/>
        </w:rPr>
        <w:t xml:space="preserve">TRES DE MARZO </w:t>
      </w:r>
      <w:r w:rsidRPr="00AD61EF">
        <w:rPr>
          <w:rFonts w:ascii="Palatino Linotype" w:hAnsi="Palatino Linotype" w:cs="Arial"/>
          <w:sz w:val="22"/>
          <w:szCs w:val="22"/>
        </w:rPr>
        <w:t>DE DOS MIL VEINTIDÓS</w:t>
      </w:r>
      <w:r w:rsidRPr="004B1DA6">
        <w:rPr>
          <w:rFonts w:ascii="Palatino Linotype" w:hAnsi="Palatino Linotype" w:cs="Arial"/>
          <w:sz w:val="22"/>
          <w:szCs w:val="22"/>
        </w:rPr>
        <w:t>,</w:t>
      </w:r>
      <w:r w:rsidRPr="006E07BB">
        <w:rPr>
          <w:rFonts w:ascii="Palatino Linotype" w:hAnsi="Palatino Linotype" w:cs="Arial"/>
          <w:sz w:val="22"/>
          <w:szCs w:val="22"/>
        </w:rPr>
        <w:t xml:space="preserve"> ANTE EL SECRETARIO TÉCNICO DEL PLENO, ALEXIS TAPIA RAMÍREZ.</w:t>
      </w:r>
    </w:p>
    <w:p w14:paraId="653C9246" w14:textId="77777777" w:rsidR="00503925" w:rsidRDefault="00503925" w:rsidP="00AD61EF">
      <w:pPr>
        <w:spacing w:line="360" w:lineRule="auto"/>
        <w:rPr>
          <w:rFonts w:ascii="Palatino Linotype" w:hAnsi="Palatino Linotype" w:cs="Arial"/>
          <w:sz w:val="16"/>
          <w:szCs w:val="16"/>
          <w:highlight w:val="yellow"/>
          <w:lang w:val="es-ES"/>
        </w:rPr>
      </w:pPr>
      <w:r>
        <w:rPr>
          <w:rFonts w:ascii="Palatino Linotype" w:hAnsi="Palatino Linotype" w:cs="Arial"/>
          <w:sz w:val="16"/>
          <w:szCs w:val="16"/>
          <w:highlight w:val="yellow"/>
          <w:lang w:val="es-ES"/>
        </w:rPr>
        <w:br w:type="page"/>
      </w:r>
    </w:p>
    <w:p w14:paraId="5FC46E01" w14:textId="77777777" w:rsidR="00503925" w:rsidRDefault="00503925" w:rsidP="00AD61EF">
      <w:pPr>
        <w:spacing w:line="360" w:lineRule="auto"/>
        <w:jc w:val="both"/>
        <w:rPr>
          <w:rFonts w:ascii="Palatino Linotype" w:hAnsi="Palatino Linotype" w:cs="Arial"/>
          <w:sz w:val="16"/>
          <w:szCs w:val="16"/>
          <w:lang w:val="es-ES"/>
        </w:rPr>
      </w:pPr>
    </w:p>
    <w:p w14:paraId="0DBD0FC2" w14:textId="77777777" w:rsidR="00721230" w:rsidRDefault="00721230" w:rsidP="00AD61EF">
      <w:pPr>
        <w:spacing w:line="360" w:lineRule="auto"/>
      </w:pPr>
    </w:p>
    <w:p w14:paraId="29122E77" w14:textId="77777777" w:rsidR="00721230" w:rsidRDefault="00721230" w:rsidP="00AD61EF">
      <w:pPr>
        <w:spacing w:line="360" w:lineRule="auto"/>
      </w:pPr>
    </w:p>
    <w:p w14:paraId="398D4C6B" w14:textId="77777777" w:rsidR="0007650C" w:rsidRDefault="0007650C" w:rsidP="00AD61EF">
      <w:pPr>
        <w:spacing w:line="360" w:lineRule="auto"/>
      </w:pPr>
    </w:p>
    <w:sectPr w:rsidR="0007650C" w:rsidSect="00541C3B">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2272C4" w14:textId="77777777" w:rsidR="004E6A46" w:rsidRDefault="004E6A46" w:rsidP="00721230">
      <w:r>
        <w:separator/>
      </w:r>
    </w:p>
  </w:endnote>
  <w:endnote w:type="continuationSeparator" w:id="0">
    <w:p w14:paraId="3C700CEE" w14:textId="77777777" w:rsidR="004E6A46" w:rsidRDefault="004E6A46" w:rsidP="00721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11E0F7" w14:textId="4EE1D9A7" w:rsidR="00E77655" w:rsidRPr="0010196A" w:rsidRDefault="00E77655" w:rsidP="00541C3B">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F5D99">
      <w:rPr>
        <w:rFonts w:ascii="Palatino Linotype" w:hAnsi="Palatino Linotype" w:cs="Arial"/>
        <w:bCs/>
        <w:noProof/>
        <w:sz w:val="22"/>
        <w:szCs w:val="22"/>
      </w:rPr>
      <w:t>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F5D99">
      <w:rPr>
        <w:rFonts w:ascii="Palatino Linotype" w:hAnsi="Palatino Linotype" w:cs="Arial"/>
        <w:bCs/>
        <w:noProof/>
        <w:sz w:val="22"/>
        <w:szCs w:val="22"/>
      </w:rPr>
      <w:t>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3D526D" w14:textId="5C899D77" w:rsidR="00E77655" w:rsidRPr="0010196A" w:rsidRDefault="00E77655" w:rsidP="00541C3B">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F5D99">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F5D99">
      <w:rPr>
        <w:rFonts w:ascii="Palatino Linotype" w:hAnsi="Palatino Linotype" w:cs="Arial"/>
        <w:bCs/>
        <w:noProof/>
        <w:sz w:val="22"/>
        <w:szCs w:val="22"/>
      </w:rPr>
      <w:t>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7876FC" w14:textId="77777777" w:rsidR="004E6A46" w:rsidRDefault="004E6A46" w:rsidP="00721230">
      <w:r>
        <w:separator/>
      </w:r>
    </w:p>
  </w:footnote>
  <w:footnote w:type="continuationSeparator" w:id="0">
    <w:p w14:paraId="272F3148" w14:textId="77777777" w:rsidR="004E6A46" w:rsidRDefault="004E6A46" w:rsidP="007212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971F1" w14:textId="77777777" w:rsidR="00E77655" w:rsidRDefault="004E6A46">
    <w:pPr>
      <w:pStyle w:val="Encabezado"/>
    </w:pPr>
    <w:r>
      <w:rPr>
        <w:noProof/>
        <w:lang w:val="es-MX" w:eastAsia="es-MX"/>
      </w:rPr>
      <w:pict w14:anchorId="06D63E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 style="position:absolute;margin-left:0;margin-top:0;width:540pt;height:10in;z-index:-25165977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5FFDD" w14:textId="77777777" w:rsidR="00E77655" w:rsidRPr="0010196A" w:rsidRDefault="004E6A46" w:rsidP="00541C3B">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643B15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 style="position:absolute;margin-left:0;margin-top:0;width:540pt;height:10in;z-index:-25165875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544"/>
      <w:gridCol w:w="2552"/>
      <w:gridCol w:w="3260"/>
    </w:tblGrid>
    <w:tr w:rsidR="00E77655" w:rsidRPr="008F2CCC" w14:paraId="4F756D40" w14:textId="77777777" w:rsidTr="00541C3B">
      <w:tc>
        <w:tcPr>
          <w:tcW w:w="3544" w:type="dxa"/>
          <w:vMerge w:val="restart"/>
        </w:tcPr>
        <w:p w14:paraId="57057B5A" w14:textId="77777777" w:rsidR="00E77655" w:rsidRPr="008F2CCC" w:rsidRDefault="00E77655" w:rsidP="00541C3B">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49B8766F" wp14:editId="44A450B9">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085A2322" w14:textId="77777777" w:rsidR="00E77655" w:rsidRPr="00664658" w:rsidRDefault="00E77655" w:rsidP="00541C3B">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260" w:type="dxa"/>
          <w:shd w:val="clear" w:color="auto" w:fill="auto"/>
          <w:vAlign w:val="center"/>
        </w:tcPr>
        <w:p w14:paraId="0502975D" w14:textId="4584B36C" w:rsidR="00E77655" w:rsidRPr="00664658" w:rsidRDefault="00E77655" w:rsidP="00541C3B">
          <w:pPr>
            <w:jc w:val="both"/>
            <w:rPr>
              <w:rFonts w:ascii="Palatino Linotype" w:hAnsi="Palatino Linotype"/>
              <w:b/>
              <w:sz w:val="22"/>
              <w:szCs w:val="22"/>
              <w:lang w:val="es-ES_tradnl"/>
            </w:rPr>
          </w:pPr>
          <w:r>
            <w:rPr>
              <w:rFonts w:ascii="Palatino Linotype" w:hAnsi="Palatino Linotype"/>
              <w:b/>
              <w:sz w:val="22"/>
              <w:szCs w:val="22"/>
              <w:lang w:val="es-ES_tradnl"/>
            </w:rPr>
            <w:t>06467</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21 y acumulado</w:t>
          </w:r>
        </w:p>
      </w:tc>
    </w:tr>
    <w:tr w:rsidR="00E77655" w:rsidRPr="008F2CCC" w14:paraId="164E5FA3" w14:textId="77777777" w:rsidTr="00541C3B">
      <w:tc>
        <w:tcPr>
          <w:tcW w:w="3544" w:type="dxa"/>
          <w:vMerge/>
        </w:tcPr>
        <w:p w14:paraId="66ED1F5E" w14:textId="77777777" w:rsidR="00E77655" w:rsidRPr="008F2CCC" w:rsidRDefault="00E77655" w:rsidP="00541C3B">
          <w:pPr>
            <w:rPr>
              <w:rFonts w:ascii="Palatino Linotype" w:hAnsi="Palatino Linotype"/>
              <w:b/>
              <w:sz w:val="22"/>
              <w:szCs w:val="22"/>
              <w:lang w:val="es-ES_tradnl"/>
            </w:rPr>
          </w:pPr>
        </w:p>
      </w:tc>
      <w:tc>
        <w:tcPr>
          <w:tcW w:w="2552" w:type="dxa"/>
          <w:shd w:val="clear" w:color="auto" w:fill="auto"/>
        </w:tcPr>
        <w:p w14:paraId="31D9414D" w14:textId="77777777" w:rsidR="00E77655" w:rsidRPr="00664658" w:rsidRDefault="00E77655" w:rsidP="00541C3B">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260" w:type="dxa"/>
          <w:shd w:val="clear" w:color="auto" w:fill="auto"/>
          <w:vAlign w:val="center"/>
        </w:tcPr>
        <w:p w14:paraId="76AAECE1" w14:textId="200E36E2" w:rsidR="00E77655" w:rsidRPr="00D41D47" w:rsidRDefault="00E77655" w:rsidP="00541C3B">
          <w:pPr>
            <w:jc w:val="both"/>
            <w:rPr>
              <w:rFonts w:ascii="Palatino Linotype" w:hAnsi="Palatino Linotype"/>
              <w:b/>
              <w:sz w:val="22"/>
              <w:szCs w:val="22"/>
              <w:lang w:val="es-ES_tradnl"/>
            </w:rPr>
          </w:pPr>
          <w:r>
            <w:rPr>
              <w:rFonts w:ascii="Palatino Linotype" w:hAnsi="Palatino Linotype"/>
              <w:b/>
              <w:sz w:val="22"/>
              <w:szCs w:val="22"/>
            </w:rPr>
            <w:t>Ayuntamiento de Ecatepec de Morelos</w:t>
          </w:r>
        </w:p>
      </w:tc>
    </w:tr>
    <w:tr w:rsidR="00E77655" w:rsidRPr="008F2CCC" w14:paraId="7162F074" w14:textId="77777777" w:rsidTr="00541C3B">
      <w:trPr>
        <w:trHeight w:val="228"/>
      </w:trPr>
      <w:tc>
        <w:tcPr>
          <w:tcW w:w="3544" w:type="dxa"/>
          <w:vMerge/>
        </w:tcPr>
        <w:p w14:paraId="57B7B945" w14:textId="77777777" w:rsidR="00E77655" w:rsidRPr="008F2CCC" w:rsidRDefault="00E77655" w:rsidP="00541C3B">
          <w:pPr>
            <w:rPr>
              <w:rFonts w:ascii="Palatino Linotype" w:hAnsi="Palatino Linotype"/>
              <w:b/>
              <w:sz w:val="22"/>
              <w:szCs w:val="22"/>
              <w:lang w:val="es-ES_tradnl"/>
            </w:rPr>
          </w:pPr>
        </w:p>
      </w:tc>
      <w:tc>
        <w:tcPr>
          <w:tcW w:w="2552" w:type="dxa"/>
          <w:shd w:val="clear" w:color="auto" w:fill="auto"/>
        </w:tcPr>
        <w:p w14:paraId="3E4B69BA" w14:textId="77777777" w:rsidR="00E77655" w:rsidRPr="00664658" w:rsidRDefault="00E77655" w:rsidP="00721230">
          <w:pPr>
            <w:rPr>
              <w:rFonts w:ascii="Palatino Linotype" w:hAnsi="Palatino Linotype"/>
              <w:b/>
              <w:sz w:val="22"/>
              <w:szCs w:val="22"/>
              <w:lang w:val="es-ES_tradnl"/>
            </w:rPr>
          </w:pPr>
          <w:r>
            <w:rPr>
              <w:rFonts w:ascii="Palatino Linotype" w:hAnsi="Palatino Linotype"/>
              <w:b/>
              <w:sz w:val="22"/>
              <w:szCs w:val="22"/>
              <w:lang w:val="es-ES_tradnl"/>
            </w:rPr>
            <w:t>Comisionado P</w:t>
          </w:r>
          <w:r w:rsidRPr="00664658">
            <w:rPr>
              <w:rFonts w:ascii="Palatino Linotype" w:hAnsi="Palatino Linotype"/>
              <w:b/>
              <w:sz w:val="22"/>
              <w:szCs w:val="22"/>
              <w:lang w:val="es-ES_tradnl"/>
            </w:rPr>
            <w:t>onente:</w:t>
          </w:r>
        </w:p>
      </w:tc>
      <w:tc>
        <w:tcPr>
          <w:tcW w:w="3260" w:type="dxa"/>
          <w:shd w:val="clear" w:color="auto" w:fill="auto"/>
        </w:tcPr>
        <w:p w14:paraId="6E23E05B" w14:textId="275FAD24" w:rsidR="00E77655" w:rsidRPr="00664658" w:rsidRDefault="00E77655" w:rsidP="00541C3B">
          <w:pPr>
            <w:jc w:val="both"/>
            <w:rPr>
              <w:rFonts w:ascii="Palatino Linotype" w:hAnsi="Palatino Linotype"/>
              <w:b/>
              <w:sz w:val="22"/>
              <w:szCs w:val="22"/>
              <w:lang w:val="es-ES_tradnl"/>
            </w:rPr>
          </w:pPr>
          <w:r>
            <w:rPr>
              <w:rFonts w:ascii="Palatino Linotype" w:hAnsi="Palatino Linotype"/>
              <w:b/>
              <w:sz w:val="22"/>
              <w:szCs w:val="22"/>
              <w:lang w:val="es-ES_tradnl"/>
            </w:rPr>
            <w:t>Luis Gustavo Parra Noriega</w:t>
          </w:r>
        </w:p>
      </w:tc>
    </w:tr>
  </w:tbl>
  <w:p w14:paraId="7BAF7378" w14:textId="77777777" w:rsidR="00E77655" w:rsidRPr="0010196A" w:rsidRDefault="00E77655" w:rsidP="00541C3B">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44E9C" w14:textId="77777777" w:rsidR="00E77655" w:rsidRPr="0010196A" w:rsidRDefault="004E6A46">
    <w:pPr>
      <w:rPr>
        <w:rFonts w:ascii="Palatino Linotype" w:hAnsi="Palatino Linotype"/>
        <w:sz w:val="28"/>
        <w:szCs w:val="28"/>
      </w:rPr>
    </w:pPr>
    <w:r>
      <w:rPr>
        <w:rFonts w:ascii="Palatino Linotype" w:hAnsi="Palatino Linotype"/>
        <w:noProof/>
        <w:sz w:val="28"/>
        <w:szCs w:val="28"/>
        <w:lang w:eastAsia="es-MX"/>
      </w:rPr>
      <w:pict w14:anchorId="6EB99F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 style="position:absolute;margin-left:0;margin-top:0;width:540pt;height:10in;z-index:-251657728;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544"/>
      <w:gridCol w:w="2552"/>
      <w:gridCol w:w="3260"/>
    </w:tblGrid>
    <w:tr w:rsidR="00E77655" w:rsidRPr="008F2CCC" w14:paraId="4C6BAB0B" w14:textId="77777777" w:rsidTr="1DD209C9">
      <w:tc>
        <w:tcPr>
          <w:tcW w:w="3544" w:type="dxa"/>
          <w:vMerge w:val="restart"/>
          <w:shd w:val="clear" w:color="auto" w:fill="auto"/>
        </w:tcPr>
        <w:p w14:paraId="2388983B" w14:textId="77777777" w:rsidR="00E77655" w:rsidRPr="008F2CCC" w:rsidRDefault="00E77655" w:rsidP="00541C3B">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621E3BA0" wp14:editId="3CE254F3">
                <wp:extent cx="1814662" cy="914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850728" cy="932574"/>
                        </a:xfrm>
                        <a:prstGeom prst="rect">
                          <a:avLst/>
                        </a:prstGeom>
                      </pic:spPr>
                    </pic:pic>
                  </a:graphicData>
                </a:graphic>
              </wp:inline>
            </w:drawing>
          </w:r>
        </w:p>
      </w:tc>
      <w:tc>
        <w:tcPr>
          <w:tcW w:w="2552" w:type="dxa"/>
          <w:shd w:val="clear" w:color="auto" w:fill="auto"/>
        </w:tcPr>
        <w:p w14:paraId="4A44D5F1" w14:textId="77777777" w:rsidR="00E77655" w:rsidRPr="00D453C3" w:rsidRDefault="00E77655" w:rsidP="00541C3B">
          <w:pPr>
            <w:rPr>
              <w:rFonts w:ascii="Palatino Linotype" w:hAnsi="Palatino Linotype"/>
              <w:b/>
              <w:sz w:val="22"/>
              <w:szCs w:val="22"/>
              <w:lang w:val="es-ES_tradnl"/>
            </w:rPr>
          </w:pPr>
          <w:r w:rsidRPr="00D453C3">
            <w:rPr>
              <w:rFonts w:ascii="Palatino Linotype" w:hAnsi="Palatino Linotype"/>
              <w:b/>
              <w:sz w:val="22"/>
              <w:szCs w:val="22"/>
              <w:lang w:val="es-ES_tradnl"/>
            </w:rPr>
            <w:t>Recurso de revisión:</w:t>
          </w:r>
        </w:p>
      </w:tc>
      <w:tc>
        <w:tcPr>
          <w:tcW w:w="3260" w:type="dxa"/>
          <w:shd w:val="clear" w:color="auto" w:fill="auto"/>
          <w:vAlign w:val="center"/>
        </w:tcPr>
        <w:p w14:paraId="4DD05578" w14:textId="30205F11" w:rsidR="00E77655" w:rsidRPr="00D453C3" w:rsidRDefault="00E77655" w:rsidP="00541C3B">
          <w:pPr>
            <w:jc w:val="both"/>
            <w:rPr>
              <w:rFonts w:ascii="Palatino Linotype" w:hAnsi="Palatino Linotype"/>
              <w:b/>
              <w:sz w:val="22"/>
              <w:szCs w:val="22"/>
              <w:lang w:val="es-ES_tradnl"/>
            </w:rPr>
          </w:pPr>
          <w:r>
            <w:rPr>
              <w:rFonts w:ascii="Palatino Linotype" w:hAnsi="Palatino Linotype"/>
              <w:b/>
              <w:sz w:val="22"/>
              <w:szCs w:val="22"/>
              <w:lang w:val="es-ES_tradnl"/>
            </w:rPr>
            <w:t>06467</w:t>
          </w:r>
          <w:r w:rsidRPr="00B36ADC">
            <w:rPr>
              <w:rFonts w:ascii="Palatino Linotype" w:hAnsi="Palatino Linotype"/>
              <w:b/>
              <w:sz w:val="22"/>
              <w:szCs w:val="22"/>
              <w:lang w:val="es-ES_tradnl"/>
            </w:rPr>
            <w:t>/INFOEM/IP/RR/202</w:t>
          </w:r>
          <w:r>
            <w:rPr>
              <w:rFonts w:ascii="Palatino Linotype" w:hAnsi="Palatino Linotype"/>
              <w:b/>
              <w:sz w:val="22"/>
              <w:szCs w:val="22"/>
              <w:lang w:val="es-ES_tradnl"/>
            </w:rPr>
            <w:t>1 y acumulado</w:t>
          </w:r>
        </w:p>
      </w:tc>
    </w:tr>
    <w:tr w:rsidR="00E77655" w:rsidRPr="008F2CCC" w14:paraId="588B083B" w14:textId="77777777" w:rsidTr="1DD209C9">
      <w:tc>
        <w:tcPr>
          <w:tcW w:w="3544" w:type="dxa"/>
          <w:vMerge/>
        </w:tcPr>
        <w:p w14:paraId="598DA5A7" w14:textId="77777777" w:rsidR="00E77655" w:rsidRPr="008F2CCC" w:rsidRDefault="00E77655" w:rsidP="00541C3B">
          <w:pPr>
            <w:rPr>
              <w:rFonts w:ascii="Palatino Linotype" w:hAnsi="Palatino Linotype"/>
              <w:b/>
              <w:sz w:val="22"/>
              <w:szCs w:val="22"/>
              <w:lang w:val="es-ES_tradnl"/>
            </w:rPr>
          </w:pPr>
        </w:p>
      </w:tc>
      <w:tc>
        <w:tcPr>
          <w:tcW w:w="2552" w:type="dxa"/>
          <w:shd w:val="clear" w:color="auto" w:fill="auto"/>
        </w:tcPr>
        <w:p w14:paraId="2A18DDA6" w14:textId="77777777" w:rsidR="00E77655" w:rsidRPr="00D453C3" w:rsidRDefault="00E77655" w:rsidP="00541C3B">
          <w:pPr>
            <w:rPr>
              <w:rFonts w:ascii="Palatino Linotype" w:hAnsi="Palatino Linotype"/>
              <w:b/>
              <w:sz w:val="22"/>
              <w:szCs w:val="22"/>
              <w:lang w:val="es-ES_tradnl"/>
            </w:rPr>
          </w:pPr>
          <w:r w:rsidRPr="00D453C3">
            <w:rPr>
              <w:rFonts w:ascii="Palatino Linotype" w:hAnsi="Palatino Linotype"/>
              <w:b/>
              <w:sz w:val="22"/>
              <w:szCs w:val="22"/>
              <w:lang w:val="es-ES_tradnl"/>
            </w:rPr>
            <w:t>Recurrente:</w:t>
          </w:r>
        </w:p>
      </w:tc>
      <w:tc>
        <w:tcPr>
          <w:tcW w:w="3260" w:type="dxa"/>
          <w:shd w:val="clear" w:color="auto" w:fill="auto"/>
          <w:vAlign w:val="center"/>
        </w:tcPr>
        <w:p w14:paraId="16FBE4F3" w14:textId="0F6D7F31" w:rsidR="00E77655" w:rsidRPr="00D453C3" w:rsidRDefault="1DD209C9" w:rsidP="1DD209C9">
          <w:pPr>
            <w:jc w:val="both"/>
            <w:rPr>
              <w:lang w:val="es-ES"/>
            </w:rPr>
          </w:pPr>
          <w:r w:rsidRPr="1DD209C9">
            <w:rPr>
              <w:rFonts w:ascii="Palatino Linotype" w:hAnsi="Palatino Linotype"/>
              <w:sz w:val="22"/>
              <w:szCs w:val="22"/>
              <w:highlight w:val="black"/>
              <w:lang w:val="es-ES"/>
            </w:rPr>
            <w:t>XXXX</w:t>
          </w:r>
        </w:p>
      </w:tc>
    </w:tr>
    <w:tr w:rsidR="00E77655" w:rsidRPr="008F2CCC" w14:paraId="4624B6F6" w14:textId="77777777" w:rsidTr="1DD209C9">
      <w:trPr>
        <w:trHeight w:val="228"/>
      </w:trPr>
      <w:tc>
        <w:tcPr>
          <w:tcW w:w="3544" w:type="dxa"/>
          <w:vMerge/>
        </w:tcPr>
        <w:p w14:paraId="68C7A3FC" w14:textId="77777777" w:rsidR="00E77655" w:rsidRPr="008F2CCC" w:rsidRDefault="00E77655" w:rsidP="00541C3B">
          <w:pPr>
            <w:rPr>
              <w:rFonts w:ascii="Palatino Linotype" w:hAnsi="Palatino Linotype"/>
              <w:b/>
              <w:sz w:val="22"/>
              <w:szCs w:val="22"/>
              <w:lang w:val="es-ES_tradnl"/>
            </w:rPr>
          </w:pPr>
        </w:p>
      </w:tc>
      <w:tc>
        <w:tcPr>
          <w:tcW w:w="2552" w:type="dxa"/>
          <w:shd w:val="clear" w:color="auto" w:fill="auto"/>
        </w:tcPr>
        <w:p w14:paraId="4DEAF19B" w14:textId="77777777" w:rsidR="00E77655" w:rsidRPr="00D453C3" w:rsidRDefault="00E77655" w:rsidP="00541C3B">
          <w:pPr>
            <w:rPr>
              <w:rFonts w:ascii="Palatino Linotype" w:hAnsi="Palatino Linotype"/>
              <w:b/>
              <w:sz w:val="22"/>
              <w:szCs w:val="22"/>
              <w:lang w:val="es-ES_tradnl"/>
            </w:rPr>
          </w:pPr>
          <w:r w:rsidRPr="00D453C3">
            <w:rPr>
              <w:rFonts w:ascii="Palatino Linotype" w:hAnsi="Palatino Linotype"/>
              <w:b/>
              <w:sz w:val="22"/>
              <w:szCs w:val="22"/>
              <w:lang w:val="es-ES_tradnl"/>
            </w:rPr>
            <w:t>Sujeto Obligado:</w:t>
          </w:r>
        </w:p>
      </w:tc>
      <w:tc>
        <w:tcPr>
          <w:tcW w:w="3260" w:type="dxa"/>
          <w:shd w:val="clear" w:color="auto" w:fill="auto"/>
          <w:vAlign w:val="center"/>
        </w:tcPr>
        <w:p w14:paraId="4943B933" w14:textId="59C8130B" w:rsidR="00E77655" w:rsidRPr="00D453C3" w:rsidRDefault="00E77655" w:rsidP="00721230">
          <w:pPr>
            <w:jc w:val="both"/>
            <w:rPr>
              <w:rFonts w:ascii="Palatino Linotype" w:hAnsi="Palatino Linotype"/>
              <w:b/>
              <w:sz w:val="22"/>
              <w:szCs w:val="22"/>
            </w:rPr>
          </w:pPr>
          <w:r>
            <w:rPr>
              <w:rFonts w:ascii="Palatino Linotype" w:hAnsi="Palatino Linotype"/>
              <w:b/>
              <w:sz w:val="22"/>
              <w:szCs w:val="22"/>
            </w:rPr>
            <w:t>Ayuntamiento de Ecatepec de Morelos</w:t>
          </w:r>
        </w:p>
      </w:tc>
    </w:tr>
    <w:tr w:rsidR="00E77655" w:rsidRPr="008F2CCC" w14:paraId="515DF227" w14:textId="77777777" w:rsidTr="1DD209C9">
      <w:trPr>
        <w:trHeight w:val="228"/>
      </w:trPr>
      <w:tc>
        <w:tcPr>
          <w:tcW w:w="3544" w:type="dxa"/>
          <w:shd w:val="clear" w:color="auto" w:fill="auto"/>
        </w:tcPr>
        <w:p w14:paraId="098BE89E" w14:textId="77777777" w:rsidR="00E77655" w:rsidRPr="008F2CCC" w:rsidRDefault="00E77655" w:rsidP="00541C3B">
          <w:pPr>
            <w:rPr>
              <w:rFonts w:ascii="Palatino Linotype" w:hAnsi="Palatino Linotype"/>
              <w:b/>
              <w:sz w:val="22"/>
              <w:szCs w:val="22"/>
              <w:lang w:val="es-ES_tradnl"/>
            </w:rPr>
          </w:pPr>
        </w:p>
      </w:tc>
      <w:tc>
        <w:tcPr>
          <w:tcW w:w="2552" w:type="dxa"/>
          <w:shd w:val="clear" w:color="auto" w:fill="auto"/>
        </w:tcPr>
        <w:p w14:paraId="5767A26E" w14:textId="77777777" w:rsidR="00E77655" w:rsidRPr="00D453C3" w:rsidRDefault="00E77655" w:rsidP="00541C3B">
          <w:pPr>
            <w:rPr>
              <w:rFonts w:ascii="Palatino Linotype" w:hAnsi="Palatino Linotype"/>
              <w:b/>
              <w:sz w:val="22"/>
              <w:szCs w:val="22"/>
              <w:lang w:val="es-ES_tradnl"/>
            </w:rPr>
          </w:pPr>
          <w:r>
            <w:rPr>
              <w:rFonts w:ascii="Palatino Linotype" w:hAnsi="Palatino Linotype"/>
              <w:b/>
              <w:sz w:val="22"/>
              <w:szCs w:val="22"/>
              <w:lang w:val="es-ES_tradnl"/>
            </w:rPr>
            <w:t>Comisionado</w:t>
          </w:r>
          <w:r w:rsidRPr="00D453C3">
            <w:rPr>
              <w:rFonts w:ascii="Palatino Linotype" w:hAnsi="Palatino Linotype"/>
              <w:b/>
              <w:sz w:val="22"/>
              <w:szCs w:val="22"/>
              <w:lang w:val="es-ES_tradnl"/>
            </w:rPr>
            <w:t xml:space="preserve"> Ponente:</w:t>
          </w:r>
        </w:p>
      </w:tc>
      <w:tc>
        <w:tcPr>
          <w:tcW w:w="3260" w:type="dxa"/>
          <w:shd w:val="clear" w:color="auto" w:fill="auto"/>
        </w:tcPr>
        <w:p w14:paraId="3DCF362B" w14:textId="4E0DCE75" w:rsidR="00E77655" w:rsidRPr="00D453C3" w:rsidRDefault="00E77655" w:rsidP="00541C3B">
          <w:pPr>
            <w:jc w:val="both"/>
            <w:rPr>
              <w:rFonts w:ascii="Palatino Linotype" w:hAnsi="Palatino Linotype"/>
              <w:b/>
              <w:sz w:val="22"/>
              <w:szCs w:val="22"/>
            </w:rPr>
          </w:pPr>
          <w:r>
            <w:rPr>
              <w:rFonts w:ascii="Palatino Linotype" w:hAnsi="Palatino Linotype"/>
              <w:b/>
              <w:sz w:val="22"/>
              <w:szCs w:val="22"/>
              <w:lang w:val="es-ES_tradnl"/>
            </w:rPr>
            <w:t>Luis Gustavo Parra Noriega</w:t>
          </w:r>
        </w:p>
      </w:tc>
    </w:tr>
  </w:tbl>
  <w:p w14:paraId="1C1F968A" w14:textId="77777777" w:rsidR="00E77655" w:rsidRPr="0010196A" w:rsidRDefault="00E77655" w:rsidP="00541C3B">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1142C"/>
    <w:multiLevelType w:val="hybridMultilevel"/>
    <w:tmpl w:val="16C4BB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FA84B4E"/>
    <w:multiLevelType w:val="hybridMultilevel"/>
    <w:tmpl w:val="67602F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44B34C5"/>
    <w:multiLevelType w:val="hybridMultilevel"/>
    <w:tmpl w:val="3D4CEA26"/>
    <w:lvl w:ilvl="0" w:tplc="B6D480E4">
      <w:start w:val="1"/>
      <w:numFmt w:val="decimal"/>
      <w:lvlText w:val="%1."/>
      <w:lvlJc w:val="left"/>
      <w:pPr>
        <w:ind w:left="1211" w:hanging="360"/>
      </w:pPr>
      <w:rPr>
        <w:rFonts w:eastAsia="Batang" w:cs="Tahoma" w:hint="default"/>
        <w:color w:val="auto"/>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nsid w:val="1C4F3F89"/>
    <w:multiLevelType w:val="hybridMultilevel"/>
    <w:tmpl w:val="507E6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CBB2B0E"/>
    <w:multiLevelType w:val="hybridMultilevel"/>
    <w:tmpl w:val="C5CCC23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EFB5E23"/>
    <w:multiLevelType w:val="hybridMultilevel"/>
    <w:tmpl w:val="4B0A34D4"/>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1">
    <w:nsid w:val="42464283"/>
    <w:multiLevelType w:val="hybridMultilevel"/>
    <w:tmpl w:val="9544CAE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97548EC"/>
    <w:multiLevelType w:val="hybridMultilevel"/>
    <w:tmpl w:val="9A344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4DBF5A17"/>
    <w:multiLevelType w:val="hybridMultilevel"/>
    <w:tmpl w:val="CBD40110"/>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FBA047E"/>
    <w:multiLevelType w:val="hybridMultilevel"/>
    <w:tmpl w:val="2FE004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A987937"/>
    <w:multiLevelType w:val="hybridMultilevel"/>
    <w:tmpl w:val="EC96D1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16"/>
  </w:num>
  <w:num w:numId="4">
    <w:abstractNumId w:val="15"/>
  </w:num>
  <w:num w:numId="5">
    <w:abstractNumId w:val="0"/>
  </w:num>
  <w:num w:numId="6">
    <w:abstractNumId w:val="6"/>
  </w:num>
  <w:num w:numId="7">
    <w:abstractNumId w:val="9"/>
  </w:num>
  <w:num w:numId="8">
    <w:abstractNumId w:val="10"/>
  </w:num>
  <w:num w:numId="9">
    <w:abstractNumId w:val="8"/>
  </w:num>
  <w:num w:numId="10">
    <w:abstractNumId w:val="5"/>
  </w:num>
  <w:num w:numId="11">
    <w:abstractNumId w:val="4"/>
  </w:num>
  <w:num w:numId="12">
    <w:abstractNumId w:val="2"/>
  </w:num>
  <w:num w:numId="13">
    <w:abstractNumId w:val="17"/>
  </w:num>
  <w:num w:numId="14">
    <w:abstractNumId w:val="3"/>
  </w:num>
  <w:num w:numId="15">
    <w:abstractNumId w:val="12"/>
  </w:num>
  <w:num w:numId="16">
    <w:abstractNumId w:val="14"/>
  </w:num>
  <w:num w:numId="17">
    <w:abstractNumId w:val="13"/>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230"/>
    <w:rsid w:val="00001197"/>
    <w:rsid w:val="000310B3"/>
    <w:rsid w:val="00043A90"/>
    <w:rsid w:val="00064D58"/>
    <w:rsid w:val="00065F80"/>
    <w:rsid w:val="0007650C"/>
    <w:rsid w:val="00096401"/>
    <w:rsid w:val="000A71AD"/>
    <w:rsid w:val="000E1965"/>
    <w:rsid w:val="000E6EEE"/>
    <w:rsid w:val="00102B07"/>
    <w:rsid w:val="00112552"/>
    <w:rsid w:val="0012519D"/>
    <w:rsid w:val="00140F2E"/>
    <w:rsid w:val="00172A35"/>
    <w:rsid w:val="001853B7"/>
    <w:rsid w:val="001A7755"/>
    <w:rsid w:val="00221864"/>
    <w:rsid w:val="002312D2"/>
    <w:rsid w:val="00273559"/>
    <w:rsid w:val="002E3200"/>
    <w:rsid w:val="002F3F03"/>
    <w:rsid w:val="002F49C0"/>
    <w:rsid w:val="003118F1"/>
    <w:rsid w:val="00316882"/>
    <w:rsid w:val="003168DA"/>
    <w:rsid w:val="00317673"/>
    <w:rsid w:val="00367DB2"/>
    <w:rsid w:val="003772FF"/>
    <w:rsid w:val="00387D29"/>
    <w:rsid w:val="00417AFC"/>
    <w:rsid w:val="00430B16"/>
    <w:rsid w:val="00470E15"/>
    <w:rsid w:val="004B1DA6"/>
    <w:rsid w:val="004E6A46"/>
    <w:rsid w:val="004F1BDC"/>
    <w:rsid w:val="004F5E1A"/>
    <w:rsid w:val="005038F9"/>
    <w:rsid w:val="00503925"/>
    <w:rsid w:val="00512034"/>
    <w:rsid w:val="00541C3B"/>
    <w:rsid w:val="00542649"/>
    <w:rsid w:val="0055175C"/>
    <w:rsid w:val="00590C81"/>
    <w:rsid w:val="005C1A17"/>
    <w:rsid w:val="00614850"/>
    <w:rsid w:val="00624FD3"/>
    <w:rsid w:val="00635174"/>
    <w:rsid w:val="006471F3"/>
    <w:rsid w:val="00651921"/>
    <w:rsid w:val="00665029"/>
    <w:rsid w:val="006859B3"/>
    <w:rsid w:val="006B5B24"/>
    <w:rsid w:val="006E07BB"/>
    <w:rsid w:val="006E5095"/>
    <w:rsid w:val="00721230"/>
    <w:rsid w:val="00734D20"/>
    <w:rsid w:val="00776398"/>
    <w:rsid w:val="007A1783"/>
    <w:rsid w:val="008043DC"/>
    <w:rsid w:val="008270C1"/>
    <w:rsid w:val="00854BDE"/>
    <w:rsid w:val="00854F15"/>
    <w:rsid w:val="0086240B"/>
    <w:rsid w:val="00863379"/>
    <w:rsid w:val="008864B7"/>
    <w:rsid w:val="00892CBD"/>
    <w:rsid w:val="008956B8"/>
    <w:rsid w:val="008B3241"/>
    <w:rsid w:val="008B3905"/>
    <w:rsid w:val="008C3CB4"/>
    <w:rsid w:val="00973C6B"/>
    <w:rsid w:val="00997BF3"/>
    <w:rsid w:val="009C6881"/>
    <w:rsid w:val="009E2ABD"/>
    <w:rsid w:val="009F6646"/>
    <w:rsid w:val="00A35839"/>
    <w:rsid w:val="00A64965"/>
    <w:rsid w:val="00A66C79"/>
    <w:rsid w:val="00A97017"/>
    <w:rsid w:val="00AC4BD1"/>
    <w:rsid w:val="00AD28F9"/>
    <w:rsid w:val="00AD61EF"/>
    <w:rsid w:val="00B06DF1"/>
    <w:rsid w:val="00B116A1"/>
    <w:rsid w:val="00B37CB3"/>
    <w:rsid w:val="00B67078"/>
    <w:rsid w:val="00B82823"/>
    <w:rsid w:val="00B85E89"/>
    <w:rsid w:val="00BD7643"/>
    <w:rsid w:val="00C40A1A"/>
    <w:rsid w:val="00C41CDD"/>
    <w:rsid w:val="00C8309A"/>
    <w:rsid w:val="00C90C24"/>
    <w:rsid w:val="00CA54F3"/>
    <w:rsid w:val="00CA6FA3"/>
    <w:rsid w:val="00CE11D4"/>
    <w:rsid w:val="00CF0762"/>
    <w:rsid w:val="00CF2CDC"/>
    <w:rsid w:val="00D3381E"/>
    <w:rsid w:val="00D5247D"/>
    <w:rsid w:val="00D56365"/>
    <w:rsid w:val="00D804A9"/>
    <w:rsid w:val="00DA6DC7"/>
    <w:rsid w:val="00DC7A2D"/>
    <w:rsid w:val="00DD22C4"/>
    <w:rsid w:val="00DF252E"/>
    <w:rsid w:val="00DF402C"/>
    <w:rsid w:val="00DF5D99"/>
    <w:rsid w:val="00E14C93"/>
    <w:rsid w:val="00E33973"/>
    <w:rsid w:val="00E45810"/>
    <w:rsid w:val="00E516C3"/>
    <w:rsid w:val="00E77655"/>
    <w:rsid w:val="00E86CE4"/>
    <w:rsid w:val="00EA3312"/>
    <w:rsid w:val="00ED3957"/>
    <w:rsid w:val="00EF0A17"/>
    <w:rsid w:val="00EF23C4"/>
    <w:rsid w:val="00EF695A"/>
    <w:rsid w:val="00F365CA"/>
    <w:rsid w:val="00F40E64"/>
    <w:rsid w:val="00F42145"/>
    <w:rsid w:val="00F533F3"/>
    <w:rsid w:val="00FA1D6E"/>
    <w:rsid w:val="00FA71E4"/>
    <w:rsid w:val="00FB51F4"/>
    <w:rsid w:val="00FD2F89"/>
    <w:rsid w:val="00FF36BE"/>
    <w:rsid w:val="1DD209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A37C191"/>
  <w15:chartTrackingRefBased/>
  <w15:docId w15:val="{458CC19B-B81B-4ACD-B506-D85FA4776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230"/>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721230"/>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rsid w:val="00721230"/>
    <w:rPr>
      <w:rFonts w:eastAsiaTheme="minorEastAsia"/>
      <w:sz w:val="24"/>
      <w:szCs w:val="24"/>
      <w:lang w:val="es-ES_tradnl" w:eastAsia="es-ES"/>
    </w:rPr>
  </w:style>
  <w:style w:type="paragraph" w:styleId="Piedepgina">
    <w:name w:val="footer"/>
    <w:basedOn w:val="Normal"/>
    <w:link w:val="PiedepginaCar"/>
    <w:uiPriority w:val="99"/>
    <w:unhideWhenUsed/>
    <w:rsid w:val="00721230"/>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721230"/>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21230"/>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21230"/>
    <w:rPr>
      <w:rFonts w:ascii="Times New Roman" w:eastAsia="Times New Roman" w:hAnsi="Times New Roman" w:cs="Times New Roman"/>
      <w:sz w:val="24"/>
      <w:szCs w:val="24"/>
      <w:lang w:eastAsia="es-ES"/>
    </w:rPr>
  </w:style>
  <w:style w:type="paragraph" w:customStyle="1" w:styleId="Default">
    <w:name w:val="Default"/>
    <w:rsid w:val="00721230"/>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21230"/>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721230"/>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721230"/>
    <w:rPr>
      <w:vertAlign w:val="superscript"/>
    </w:rPr>
  </w:style>
  <w:style w:type="table" w:styleId="Tablaconcuadrcula">
    <w:name w:val="Table Grid"/>
    <w:basedOn w:val="Tablanormal"/>
    <w:uiPriority w:val="59"/>
    <w:rsid w:val="007212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Funotente1">
    <w:name w:val="FA Fu?notente1"/>
    <w:basedOn w:val="Normal"/>
    <w:next w:val="Textonotapie"/>
    <w:uiPriority w:val="99"/>
    <w:rsid w:val="00721230"/>
    <w:rPr>
      <w:rFonts w:asciiTheme="minorHAnsi" w:eastAsia="Cambria" w:hAnsiTheme="minorHAnsi" w:cstheme="minorBidi"/>
      <w:sz w:val="20"/>
      <w:szCs w:val="20"/>
      <w:lang w:eastAsia="en-US"/>
    </w:rPr>
  </w:style>
  <w:style w:type="character" w:styleId="Hipervnculo">
    <w:name w:val="Hyperlink"/>
    <w:basedOn w:val="Fuentedeprrafopredeter"/>
    <w:uiPriority w:val="99"/>
    <w:unhideWhenUsed/>
    <w:rsid w:val="00721230"/>
    <w:rPr>
      <w:color w:val="0563C1" w:themeColor="hyperlink"/>
      <w:u w:val="single"/>
    </w:rPr>
  </w:style>
  <w:style w:type="paragraph" w:styleId="Revisin">
    <w:name w:val="Revision"/>
    <w:hidden/>
    <w:uiPriority w:val="99"/>
    <w:semiHidden/>
    <w:rsid w:val="00096401"/>
    <w:pPr>
      <w:spacing w:after="0" w:line="240" w:lineRule="auto"/>
    </w:pPr>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096401"/>
    <w:rPr>
      <w:sz w:val="16"/>
      <w:szCs w:val="16"/>
    </w:rPr>
  </w:style>
  <w:style w:type="paragraph" w:styleId="Textocomentario">
    <w:name w:val="annotation text"/>
    <w:basedOn w:val="Normal"/>
    <w:link w:val="TextocomentarioCar"/>
    <w:uiPriority w:val="99"/>
    <w:semiHidden/>
    <w:unhideWhenUsed/>
    <w:rsid w:val="00096401"/>
    <w:rPr>
      <w:sz w:val="20"/>
      <w:szCs w:val="20"/>
    </w:rPr>
  </w:style>
  <w:style w:type="character" w:customStyle="1" w:styleId="TextocomentarioCar">
    <w:name w:val="Texto comentario Car"/>
    <w:basedOn w:val="Fuentedeprrafopredeter"/>
    <w:link w:val="Textocomentario"/>
    <w:uiPriority w:val="99"/>
    <w:semiHidden/>
    <w:rsid w:val="00096401"/>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96401"/>
    <w:rPr>
      <w:b/>
      <w:bCs/>
    </w:rPr>
  </w:style>
  <w:style w:type="character" w:customStyle="1" w:styleId="AsuntodelcomentarioCar">
    <w:name w:val="Asunto del comentario Car"/>
    <w:basedOn w:val="TextocomentarioCar"/>
    <w:link w:val="Asuntodelcomentario"/>
    <w:uiPriority w:val="99"/>
    <w:semiHidden/>
    <w:rsid w:val="00096401"/>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EA331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3312"/>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79585">
      <w:bodyDiv w:val="1"/>
      <w:marLeft w:val="0"/>
      <w:marRight w:val="0"/>
      <w:marTop w:val="0"/>
      <w:marBottom w:val="0"/>
      <w:divBdr>
        <w:top w:val="none" w:sz="0" w:space="0" w:color="auto"/>
        <w:left w:val="none" w:sz="0" w:space="0" w:color="auto"/>
        <w:bottom w:val="none" w:sz="0" w:space="0" w:color="auto"/>
        <w:right w:val="none" w:sz="0" w:space="0" w:color="auto"/>
      </w:divBdr>
    </w:div>
    <w:div w:id="79483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saimex.org.mx/saimex/solicitud/downloadAttach/1300356.page"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imex.org.mx/saimex/solicitud/downloadAttach/1300357.page"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saimex.org.mx/saimex/solicitud/downloadAttach/1291424.page"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saimex.org.mx/saimex/solicitud/downloadAttach/1291425.page"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16245</Words>
  <Characters>89349</Characters>
  <Application>Microsoft Office Word</Application>
  <DocSecurity>0</DocSecurity>
  <Lines>744</Lines>
  <Paragraphs>210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USUARIO</cp:lastModifiedBy>
  <cp:revision>2</cp:revision>
  <dcterms:created xsi:type="dcterms:W3CDTF">2022-05-17T16:14:00Z</dcterms:created>
  <dcterms:modified xsi:type="dcterms:W3CDTF">2022-05-17T16:14:00Z</dcterms:modified>
</cp:coreProperties>
</file>