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15801" w14:textId="77777777" w:rsidR="001D4987" w:rsidRPr="00BF19FC" w:rsidRDefault="001D4987" w:rsidP="001D498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tres de agosto de dos mil veintidós. </w:t>
      </w:r>
    </w:p>
    <w:p w14:paraId="1699FF40" w14:textId="77777777" w:rsidR="00F3139D" w:rsidRPr="00BF19FC" w:rsidRDefault="00F3139D">
      <w:pPr>
        <w:spacing w:line="360" w:lineRule="auto"/>
        <w:jc w:val="both"/>
        <w:rPr>
          <w:rFonts w:ascii="Palatino Linotype" w:eastAsia="Palatino Linotype" w:hAnsi="Palatino Linotype" w:cs="Palatino Linotype"/>
        </w:rPr>
      </w:pPr>
    </w:p>
    <w:p w14:paraId="2CE1E868" w14:textId="0F659C54" w:rsidR="00F3139D" w:rsidRPr="00BF19FC" w:rsidRDefault="00C1343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b/>
          <w:sz w:val="28"/>
          <w:szCs w:val="28"/>
        </w:rPr>
        <w:t>VISTO</w:t>
      </w:r>
      <w:r w:rsidRPr="00BF19FC">
        <w:rPr>
          <w:rFonts w:ascii="Palatino Linotype" w:eastAsia="Palatino Linotype" w:hAnsi="Palatino Linotype" w:cs="Palatino Linotype"/>
        </w:rPr>
        <w:t xml:space="preserve"> el expediente formado con motivo del Recurso de Revisión </w:t>
      </w:r>
      <w:r w:rsidRPr="00BF19FC">
        <w:rPr>
          <w:rFonts w:ascii="Palatino Linotype" w:eastAsia="Palatino Linotype" w:hAnsi="Palatino Linotype" w:cs="Palatino Linotype"/>
          <w:b/>
        </w:rPr>
        <w:t xml:space="preserve">06927/INFOEM/IP/RR/2022, </w:t>
      </w:r>
      <w:r w:rsidRPr="00BF19FC">
        <w:rPr>
          <w:rFonts w:ascii="Palatino Linotype" w:eastAsia="Palatino Linotype" w:hAnsi="Palatino Linotype" w:cs="Palatino Linotype"/>
        </w:rPr>
        <w:t xml:space="preserve">promovido por </w:t>
      </w:r>
      <w:r w:rsidRPr="00BF19FC">
        <w:rPr>
          <w:rFonts w:ascii="Palatino Linotype" w:eastAsia="Palatino Linotype" w:hAnsi="Palatino Linotype" w:cs="Palatino Linotype"/>
          <w:b/>
        </w:rPr>
        <w:t>“</w:t>
      </w:r>
      <w:bookmarkStart w:id="0" w:name="_GoBack"/>
      <w:r w:rsidR="00CB6399">
        <w:rPr>
          <w:rFonts w:ascii="Palatino Linotype" w:eastAsia="Palatino Linotype" w:hAnsi="Palatino Linotype" w:cs="Palatino Linotype"/>
          <w:b/>
        </w:rPr>
        <w:t>XXXX XXXXXXXXX XX XXXXXXXX</w:t>
      </w:r>
      <w:bookmarkEnd w:id="0"/>
      <w:r w:rsidRPr="00BF19FC">
        <w:rPr>
          <w:rFonts w:ascii="Palatino Linotype" w:eastAsia="Palatino Linotype" w:hAnsi="Palatino Linotype" w:cs="Palatino Linotype"/>
          <w:b/>
        </w:rPr>
        <w:t>”,</w:t>
      </w:r>
      <w:r w:rsidRPr="00BF19FC">
        <w:rPr>
          <w:rFonts w:ascii="Palatino Linotype" w:eastAsia="Palatino Linotype" w:hAnsi="Palatino Linotype" w:cs="Palatino Linotype"/>
        </w:rPr>
        <w:t xml:space="preserve"> a quien en lo sucesivo se le denominara como </w:t>
      </w:r>
      <w:r w:rsidRPr="00BF19FC">
        <w:rPr>
          <w:rFonts w:ascii="Palatino Linotype" w:eastAsia="Palatino Linotype" w:hAnsi="Palatino Linotype" w:cs="Palatino Linotype"/>
          <w:b/>
        </w:rPr>
        <w:t>EL RECURRENTE,</w:t>
      </w:r>
      <w:r w:rsidRPr="00BF19FC">
        <w:rPr>
          <w:rFonts w:ascii="Palatino Linotype" w:eastAsia="Palatino Linotype" w:hAnsi="Palatino Linotype" w:cs="Palatino Linotype"/>
        </w:rPr>
        <w:t xml:space="preserve"> en contra de la respuesta del </w:t>
      </w:r>
      <w:r w:rsidRPr="00BF19FC">
        <w:rPr>
          <w:rFonts w:ascii="Palatino Linotype" w:eastAsia="Palatino Linotype" w:hAnsi="Palatino Linotype" w:cs="Palatino Linotype"/>
          <w:b/>
        </w:rPr>
        <w:t xml:space="preserve">Organismo Público Descentralizado para la Prestación de </w:t>
      </w:r>
      <w:r w:rsidR="001D4987" w:rsidRPr="00BF19FC">
        <w:rPr>
          <w:rFonts w:ascii="Palatino Linotype" w:eastAsia="Palatino Linotype" w:hAnsi="Palatino Linotype" w:cs="Palatino Linotype"/>
          <w:b/>
        </w:rPr>
        <w:t>l</w:t>
      </w:r>
      <w:r w:rsidRPr="00BF19FC">
        <w:rPr>
          <w:rFonts w:ascii="Palatino Linotype" w:eastAsia="Palatino Linotype" w:hAnsi="Palatino Linotype" w:cs="Palatino Linotype"/>
          <w:b/>
        </w:rPr>
        <w:t xml:space="preserve">os Servicios de Agua Potable Alcantarillado y Saneamiento del Municipio de Tlalnepantla de Baz, </w:t>
      </w:r>
      <w:r w:rsidRPr="00BF19FC">
        <w:rPr>
          <w:rFonts w:ascii="Palatino Linotype" w:eastAsia="Palatino Linotype" w:hAnsi="Palatino Linotype" w:cs="Palatino Linotype"/>
        </w:rPr>
        <w:t xml:space="preserve">en lo subsecuente se le denominará </w:t>
      </w:r>
      <w:r w:rsidRPr="00BF19FC">
        <w:rPr>
          <w:rFonts w:ascii="Palatino Linotype" w:eastAsia="Palatino Linotype" w:hAnsi="Palatino Linotype" w:cs="Palatino Linotype"/>
          <w:b/>
        </w:rPr>
        <w:t xml:space="preserve">EL SUJETO OBLIGADO, </w:t>
      </w:r>
      <w:r w:rsidRPr="00BF19FC">
        <w:rPr>
          <w:rFonts w:ascii="Palatino Linotype" w:eastAsia="Palatino Linotype" w:hAnsi="Palatino Linotype" w:cs="Palatino Linotype"/>
        </w:rPr>
        <w:t>se procede a dictar la presente resolución con base en lo siguiente:</w:t>
      </w:r>
    </w:p>
    <w:p w14:paraId="719DB36C" w14:textId="77777777" w:rsidR="00F3139D" w:rsidRPr="00BF19FC" w:rsidRDefault="00F3139D">
      <w:pPr>
        <w:spacing w:line="360" w:lineRule="auto"/>
        <w:jc w:val="both"/>
        <w:rPr>
          <w:rFonts w:ascii="Palatino Linotype" w:eastAsia="Palatino Linotype" w:hAnsi="Palatino Linotype" w:cs="Palatino Linotype"/>
          <w:b/>
        </w:rPr>
      </w:pPr>
    </w:p>
    <w:p w14:paraId="49F927AD" w14:textId="77777777" w:rsidR="00F3139D" w:rsidRPr="00BF19FC" w:rsidRDefault="00C13437">
      <w:pPr>
        <w:jc w:val="center"/>
        <w:rPr>
          <w:rFonts w:ascii="Palatino Linotype" w:eastAsia="Palatino Linotype" w:hAnsi="Palatino Linotype" w:cs="Palatino Linotype"/>
          <w:b/>
          <w:sz w:val="28"/>
          <w:szCs w:val="28"/>
        </w:rPr>
      </w:pPr>
      <w:r w:rsidRPr="00BF19FC">
        <w:rPr>
          <w:rFonts w:ascii="Palatino Linotype" w:eastAsia="Palatino Linotype" w:hAnsi="Palatino Linotype" w:cs="Palatino Linotype"/>
          <w:b/>
          <w:sz w:val="28"/>
          <w:szCs w:val="28"/>
        </w:rPr>
        <w:t>ANTECEDENTES</w:t>
      </w:r>
    </w:p>
    <w:p w14:paraId="7673F1FC" w14:textId="77777777" w:rsidR="00F3139D" w:rsidRPr="00BF19FC" w:rsidRDefault="00F3139D">
      <w:pPr>
        <w:rPr>
          <w:rFonts w:ascii="Palatino Linotype" w:eastAsia="Palatino Linotype" w:hAnsi="Palatino Linotype" w:cs="Palatino Linotype"/>
          <w:b/>
        </w:rPr>
      </w:pPr>
    </w:p>
    <w:p w14:paraId="59173E17" w14:textId="77777777" w:rsidR="00F3139D" w:rsidRPr="00BF19FC" w:rsidRDefault="00C13437">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BF19FC">
        <w:rPr>
          <w:rFonts w:ascii="Palatino Linotype" w:eastAsia="Palatino Linotype" w:hAnsi="Palatino Linotype" w:cs="Palatino Linotype"/>
          <w:b/>
          <w:sz w:val="28"/>
          <w:szCs w:val="28"/>
        </w:rPr>
        <w:t>I.</w:t>
      </w:r>
      <w:r w:rsidRPr="00BF19FC">
        <w:rPr>
          <w:rFonts w:ascii="Palatino Linotype" w:eastAsia="Palatino Linotype" w:hAnsi="Palatino Linotype" w:cs="Palatino Linotype"/>
          <w:b/>
        </w:rPr>
        <w:t xml:space="preserve"> </w:t>
      </w:r>
      <w:r w:rsidRPr="00BF19FC">
        <w:rPr>
          <w:rFonts w:ascii="Palatino Linotype" w:eastAsia="Palatino Linotype" w:hAnsi="Palatino Linotype" w:cs="Palatino Linotype"/>
          <w:b/>
          <w:sz w:val="28"/>
          <w:szCs w:val="28"/>
        </w:rPr>
        <w:t>De la Solicitud de Información</w:t>
      </w:r>
    </w:p>
    <w:p w14:paraId="6BB5E7C6" w14:textId="77777777" w:rsidR="00F3139D" w:rsidRPr="00BF19FC" w:rsidRDefault="00C13437">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BF19FC">
        <w:rPr>
          <w:rFonts w:ascii="Palatino Linotype" w:eastAsia="Palatino Linotype" w:hAnsi="Palatino Linotype" w:cs="Palatino Linotype"/>
        </w:rPr>
        <w:t xml:space="preserve"> En fecha uno de abril de dos mil veintidós, </w:t>
      </w:r>
      <w:r w:rsidRPr="00BF19FC">
        <w:rPr>
          <w:rFonts w:ascii="Palatino Linotype" w:eastAsia="Palatino Linotype" w:hAnsi="Palatino Linotype" w:cs="Palatino Linotype"/>
          <w:b/>
        </w:rPr>
        <w:t>EL RECURRENTE</w:t>
      </w:r>
      <w:r w:rsidRPr="00BF19FC">
        <w:rPr>
          <w:rFonts w:ascii="Palatino Linotype" w:eastAsia="Palatino Linotype" w:hAnsi="Palatino Linotype" w:cs="Palatino Linotype"/>
        </w:rPr>
        <w:t xml:space="preserve"> presentó a través del Sistema de Acceso a la Información Mexiquense, en lo subsecuente </w:t>
      </w:r>
      <w:r w:rsidRPr="00BF19FC">
        <w:rPr>
          <w:rFonts w:ascii="Palatino Linotype" w:eastAsia="Palatino Linotype" w:hAnsi="Palatino Linotype" w:cs="Palatino Linotype"/>
          <w:b/>
        </w:rPr>
        <w:t>EL SAIMEX</w:t>
      </w:r>
      <w:r w:rsidRPr="00BF19FC">
        <w:rPr>
          <w:rFonts w:ascii="Palatino Linotype" w:eastAsia="Palatino Linotype" w:hAnsi="Palatino Linotype" w:cs="Palatino Linotype"/>
        </w:rPr>
        <w:t xml:space="preserve"> ante </w:t>
      </w:r>
      <w:r w:rsidRPr="00BF19FC">
        <w:rPr>
          <w:rFonts w:ascii="Palatino Linotype" w:eastAsia="Palatino Linotype" w:hAnsi="Palatino Linotype" w:cs="Palatino Linotype"/>
          <w:b/>
        </w:rPr>
        <w:lastRenderedPageBreak/>
        <w:t>EL SUJETO OBLIGADO</w:t>
      </w:r>
      <w:r w:rsidRPr="00BF19FC">
        <w:rPr>
          <w:rFonts w:ascii="Palatino Linotype" w:eastAsia="Palatino Linotype" w:hAnsi="Palatino Linotype" w:cs="Palatino Linotype"/>
        </w:rPr>
        <w:t xml:space="preserve">, la solicitud de acceso a la información pública, a la que se le asignó el número de expediente </w:t>
      </w:r>
      <w:r w:rsidRPr="00BF19FC">
        <w:rPr>
          <w:rFonts w:ascii="Palatino Linotype" w:eastAsia="Palatino Linotype" w:hAnsi="Palatino Linotype" w:cs="Palatino Linotype"/>
          <w:b/>
        </w:rPr>
        <w:t xml:space="preserve">00161/OASTLALNE/IP/2022, </w:t>
      </w:r>
      <w:r w:rsidRPr="00BF19FC">
        <w:rPr>
          <w:rFonts w:ascii="Palatino Linotype" w:eastAsia="Palatino Linotype" w:hAnsi="Palatino Linotype" w:cs="Palatino Linotype"/>
        </w:rPr>
        <w:t>requirió, lo siguiente:</w:t>
      </w:r>
    </w:p>
    <w:p w14:paraId="3C897497" w14:textId="77777777" w:rsidR="00F3139D" w:rsidRPr="00BF19FC" w:rsidRDefault="00C13437">
      <w:pPr>
        <w:ind w:left="850" w:right="899"/>
        <w:jc w:val="both"/>
        <w:rPr>
          <w:rFonts w:ascii="Palatino Linotype" w:eastAsia="Palatino Linotype" w:hAnsi="Palatino Linotype" w:cs="Palatino Linotype"/>
          <w:sz w:val="22"/>
          <w:szCs w:val="22"/>
        </w:rPr>
      </w:pPr>
      <w:r w:rsidRPr="00BF19FC">
        <w:rPr>
          <w:rFonts w:ascii="Palatino Linotype" w:eastAsia="Palatino Linotype" w:hAnsi="Palatino Linotype" w:cs="Palatino Linotype"/>
          <w:i/>
          <w:sz w:val="22"/>
          <w:szCs w:val="22"/>
        </w:rPr>
        <w:t>“Con fundamento en el artículo 8 Carta Magna quiero conocer porque la aviadora Gabriela haydelen no se presenta a trabajar Fecha de ingreso y fecha de baja Adscripción lugar físico que debería de prestar sus cervizios recibos de nómina Gracias” (sic)</w:t>
      </w:r>
    </w:p>
    <w:p w14:paraId="004AA0CC" w14:textId="77777777" w:rsidR="00F3139D" w:rsidRPr="00BF19FC" w:rsidRDefault="00F3139D">
      <w:pPr>
        <w:tabs>
          <w:tab w:val="left" w:pos="851"/>
        </w:tabs>
        <w:ind w:right="901"/>
        <w:jc w:val="both"/>
        <w:rPr>
          <w:rFonts w:ascii="Palatino Linotype" w:eastAsia="Palatino Linotype" w:hAnsi="Palatino Linotype" w:cs="Palatino Linotype"/>
          <w:sz w:val="22"/>
          <w:szCs w:val="22"/>
        </w:rPr>
      </w:pPr>
    </w:p>
    <w:p w14:paraId="4A0760B7" w14:textId="77777777" w:rsidR="00F3139D" w:rsidRPr="00BF19FC" w:rsidRDefault="00C13437">
      <w:pPr>
        <w:widowControl w:val="0"/>
        <w:spacing w:line="360" w:lineRule="auto"/>
        <w:jc w:val="both"/>
        <w:rPr>
          <w:rFonts w:ascii="Palatino Linotype" w:eastAsia="Palatino Linotype" w:hAnsi="Palatino Linotype" w:cs="Palatino Linotype"/>
          <w:b/>
        </w:rPr>
      </w:pPr>
      <w:r w:rsidRPr="00BF19FC">
        <w:rPr>
          <w:rFonts w:ascii="Palatino Linotype" w:eastAsia="Palatino Linotype" w:hAnsi="Palatino Linotype" w:cs="Palatino Linotype"/>
          <w:b/>
        </w:rPr>
        <w:t xml:space="preserve">MODALIDAD DE ENTREGA: </w:t>
      </w:r>
      <w:r w:rsidRPr="00BF19FC">
        <w:rPr>
          <w:rFonts w:ascii="Palatino Linotype" w:eastAsia="Palatino Linotype" w:hAnsi="Palatino Linotype" w:cs="Palatino Linotype"/>
        </w:rPr>
        <w:t xml:space="preserve">Vía </w:t>
      </w:r>
      <w:r w:rsidRPr="00BF19FC">
        <w:rPr>
          <w:rFonts w:ascii="Palatino Linotype" w:eastAsia="Palatino Linotype" w:hAnsi="Palatino Linotype" w:cs="Palatino Linotype"/>
          <w:b/>
        </w:rPr>
        <w:t>SAIMEX.</w:t>
      </w:r>
    </w:p>
    <w:p w14:paraId="18162593" w14:textId="77777777" w:rsidR="00F3139D" w:rsidRPr="00BF19FC" w:rsidRDefault="00F3139D">
      <w:pPr>
        <w:pBdr>
          <w:top w:val="nil"/>
          <w:left w:val="nil"/>
          <w:bottom w:val="nil"/>
          <w:right w:val="nil"/>
          <w:between w:val="nil"/>
        </w:pBdr>
        <w:spacing w:line="360" w:lineRule="auto"/>
        <w:ind w:left="850"/>
        <w:jc w:val="both"/>
        <w:rPr>
          <w:rFonts w:ascii="Palatino Linotype" w:eastAsia="Palatino Linotype" w:hAnsi="Palatino Linotype" w:cs="Palatino Linotype"/>
        </w:rPr>
      </w:pPr>
    </w:p>
    <w:p w14:paraId="24AC3924" w14:textId="77777777" w:rsidR="00F3139D" w:rsidRPr="00BF19FC" w:rsidRDefault="00C13437">
      <w:pPr>
        <w:spacing w:line="360" w:lineRule="auto"/>
        <w:jc w:val="both"/>
        <w:rPr>
          <w:rFonts w:ascii="Palatino Linotype" w:eastAsia="Palatino Linotype" w:hAnsi="Palatino Linotype" w:cs="Palatino Linotype"/>
          <w:b/>
          <w:sz w:val="28"/>
          <w:szCs w:val="28"/>
        </w:rPr>
      </w:pPr>
      <w:r w:rsidRPr="00BF19FC">
        <w:rPr>
          <w:rFonts w:ascii="Palatino Linotype" w:eastAsia="Palatino Linotype" w:hAnsi="Palatino Linotype" w:cs="Palatino Linotype"/>
          <w:b/>
          <w:sz w:val="28"/>
          <w:szCs w:val="28"/>
        </w:rPr>
        <w:t>II. Turno de requerimiento del Sujeto Obligado</w:t>
      </w:r>
    </w:p>
    <w:p w14:paraId="7E18F184" w14:textId="77777777" w:rsidR="00F3139D" w:rsidRPr="00BF19FC" w:rsidRDefault="00C1343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De las constancias que obran en los expedientes electrónicos del SAIMEX advierte en fecha seis de abril del dos mil veintidós el turno de requerimiento hecho al servidor público habilitado que estimó competente, en términos de lo establecido por el artículo 162 de la Ley de Transparencia y Acceso a la Información Pública del Estado de México y Municipios.</w:t>
      </w:r>
    </w:p>
    <w:p w14:paraId="1DF6542F" w14:textId="77777777" w:rsidR="00F3139D" w:rsidRPr="00BF19FC" w:rsidRDefault="00C13437">
      <w:pPr>
        <w:spacing w:line="360" w:lineRule="auto"/>
        <w:jc w:val="both"/>
        <w:rPr>
          <w:rFonts w:ascii="Palatino Linotype" w:eastAsia="Palatino Linotype" w:hAnsi="Palatino Linotype" w:cs="Palatino Linotype"/>
          <w:b/>
          <w:sz w:val="28"/>
          <w:szCs w:val="28"/>
        </w:rPr>
      </w:pPr>
      <w:r w:rsidRPr="00BF19FC">
        <w:rPr>
          <w:rFonts w:ascii="Palatino Linotype" w:eastAsia="Palatino Linotype" w:hAnsi="Palatino Linotype" w:cs="Palatino Linotype"/>
          <w:b/>
          <w:sz w:val="28"/>
          <w:szCs w:val="28"/>
        </w:rPr>
        <w:t xml:space="preserve"> </w:t>
      </w:r>
    </w:p>
    <w:p w14:paraId="0E08530A" w14:textId="77777777" w:rsidR="00F3139D" w:rsidRPr="00BF19FC" w:rsidRDefault="00C13437">
      <w:pPr>
        <w:spacing w:line="360" w:lineRule="auto"/>
        <w:jc w:val="both"/>
        <w:rPr>
          <w:rFonts w:ascii="Palatino Linotype" w:eastAsia="Palatino Linotype" w:hAnsi="Palatino Linotype" w:cs="Palatino Linotype"/>
          <w:b/>
          <w:sz w:val="28"/>
          <w:szCs w:val="28"/>
        </w:rPr>
      </w:pPr>
      <w:r w:rsidRPr="00BF19FC">
        <w:rPr>
          <w:rFonts w:ascii="Palatino Linotype" w:eastAsia="Palatino Linotype" w:hAnsi="Palatino Linotype" w:cs="Palatino Linotype"/>
          <w:b/>
          <w:sz w:val="28"/>
          <w:szCs w:val="28"/>
        </w:rPr>
        <w:t>III. Respuesta del Sujeto Obligado</w:t>
      </w:r>
    </w:p>
    <w:p w14:paraId="70665071" w14:textId="77777777" w:rsidR="00F3139D" w:rsidRPr="00BF19FC" w:rsidRDefault="00C1343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De las constancias que obran en el expediente electrónico del SAIMEX se observa que en fecha veintisiete de abril de dos mil veintidós, </w:t>
      </w:r>
      <w:r w:rsidRPr="00BF19FC">
        <w:rPr>
          <w:rFonts w:ascii="Palatino Linotype" w:eastAsia="Palatino Linotype" w:hAnsi="Palatino Linotype" w:cs="Palatino Linotype"/>
          <w:b/>
        </w:rPr>
        <w:t>EL SUJETO OBLIGADO</w:t>
      </w:r>
      <w:r w:rsidRPr="00BF19FC">
        <w:rPr>
          <w:rFonts w:ascii="Palatino Linotype" w:eastAsia="Palatino Linotype" w:hAnsi="Palatino Linotype" w:cs="Palatino Linotype"/>
        </w:rPr>
        <w:t xml:space="preserve"> dio respuesta a la solicitud de acceso a la información pública en los términos siguientes: </w:t>
      </w:r>
    </w:p>
    <w:p w14:paraId="2028E687" w14:textId="77777777" w:rsidR="00F3139D" w:rsidRPr="00BF19FC" w:rsidRDefault="00F3139D">
      <w:pPr>
        <w:spacing w:line="360" w:lineRule="auto"/>
        <w:jc w:val="both"/>
        <w:rPr>
          <w:rFonts w:ascii="Palatino Linotype" w:eastAsia="Palatino Linotype" w:hAnsi="Palatino Linotype" w:cs="Palatino Linotype"/>
        </w:rPr>
      </w:pPr>
    </w:p>
    <w:p w14:paraId="5C209D09" w14:textId="77777777" w:rsidR="00F3139D" w:rsidRPr="00BF19FC" w:rsidRDefault="00C13437">
      <w:pPr>
        <w:ind w:left="850" w:right="899"/>
        <w:jc w:val="both"/>
        <w:rPr>
          <w:rFonts w:ascii="Palatino Linotype" w:eastAsia="Palatino Linotype" w:hAnsi="Palatino Linotype" w:cs="Palatino Linotype"/>
          <w:i/>
          <w:sz w:val="22"/>
          <w:szCs w:val="22"/>
        </w:rPr>
      </w:pPr>
      <w:r w:rsidRPr="00BF19FC">
        <w:rPr>
          <w:rFonts w:ascii="Palatino Linotype" w:eastAsia="Palatino Linotype" w:hAnsi="Palatino Linotype" w:cs="Palatino Linotype"/>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6A3553DC" w14:textId="77777777" w:rsidR="00F3139D" w:rsidRPr="00BF19FC" w:rsidRDefault="00C13437">
      <w:pPr>
        <w:tabs>
          <w:tab w:val="left" w:pos="6369"/>
        </w:tabs>
        <w:ind w:left="850" w:right="899"/>
        <w:jc w:val="both"/>
        <w:rPr>
          <w:rFonts w:ascii="Palatino Linotype" w:eastAsia="Palatino Linotype" w:hAnsi="Palatino Linotype" w:cs="Palatino Linotype"/>
        </w:rPr>
      </w:pPr>
      <w:r w:rsidRPr="00BF19FC">
        <w:rPr>
          <w:rFonts w:ascii="Palatino Linotype" w:eastAsia="Palatino Linotype" w:hAnsi="Palatino Linotype" w:cs="Palatino Linotype"/>
          <w:i/>
          <w:sz w:val="22"/>
          <w:szCs w:val="22"/>
        </w:rPr>
        <w:t>Le envío archivos electrónicos con respuesta a su solicitud de información con número de folio SAIMEX0161/OASTLALNE/IP/2022.”(Sic)</w:t>
      </w:r>
    </w:p>
    <w:p w14:paraId="1ADF06DA" w14:textId="77777777" w:rsidR="00F3139D" w:rsidRPr="00BF19FC" w:rsidRDefault="00F3139D">
      <w:pPr>
        <w:spacing w:line="360" w:lineRule="auto"/>
        <w:jc w:val="both"/>
        <w:rPr>
          <w:rFonts w:ascii="Palatino Linotype" w:eastAsia="Palatino Linotype" w:hAnsi="Palatino Linotype" w:cs="Palatino Linotype"/>
        </w:rPr>
      </w:pPr>
    </w:p>
    <w:p w14:paraId="79168A32" w14:textId="77777777" w:rsidR="00F3139D" w:rsidRPr="00BF19FC" w:rsidRDefault="00C1343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Adjuntando a su respuesta tres documentos, el primero de ellos de nombre “RECIBOS DE NOMINA GABRIELA HAYDELEN ENE-1RA ABRIL.pdf” que como su nombre lo señala contiene siete recibos de nómina de la servidora pública solicitada. </w:t>
      </w:r>
    </w:p>
    <w:p w14:paraId="70C0986C" w14:textId="77777777" w:rsidR="00F3139D" w:rsidRPr="00BF19FC" w:rsidRDefault="00F3139D">
      <w:pPr>
        <w:spacing w:line="360" w:lineRule="auto"/>
        <w:jc w:val="both"/>
        <w:rPr>
          <w:rFonts w:ascii="Palatino Linotype" w:eastAsia="Palatino Linotype" w:hAnsi="Palatino Linotype" w:cs="Palatino Linotype"/>
        </w:rPr>
      </w:pPr>
    </w:p>
    <w:p w14:paraId="27A4559B" w14:textId="77777777" w:rsidR="00F3139D" w:rsidRPr="00BF19FC" w:rsidRDefault="00C1343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El segundo denominado “4TA SESIÓN ORDINARIA DE COMITE TRANSPARENCIA.pdf” contiene el acta de la Cuarta Sesión Ordinaria del Comité de Transparencia del </w:t>
      </w:r>
      <w:r w:rsidRPr="00BF19FC">
        <w:rPr>
          <w:rFonts w:ascii="Palatino Linotype" w:eastAsia="Palatino Linotype" w:hAnsi="Palatino Linotype" w:cs="Palatino Linotype"/>
          <w:b/>
        </w:rPr>
        <w:t xml:space="preserve">SUJETO OBLIGADO </w:t>
      </w:r>
      <w:r w:rsidRPr="00BF19FC">
        <w:rPr>
          <w:rFonts w:ascii="Palatino Linotype" w:eastAsia="Palatino Linotype" w:hAnsi="Palatino Linotype" w:cs="Palatino Linotype"/>
        </w:rPr>
        <w:t xml:space="preserve">de fecha veinte de abril de dos mil veintidós donde fue aprobada la clasificación de los datos personales contenidos en los recibos de nómina entregados. </w:t>
      </w:r>
    </w:p>
    <w:p w14:paraId="6674E436" w14:textId="77777777" w:rsidR="00F3139D" w:rsidRPr="00BF19FC" w:rsidRDefault="00F3139D">
      <w:pPr>
        <w:spacing w:line="360" w:lineRule="auto"/>
        <w:jc w:val="both"/>
        <w:rPr>
          <w:rFonts w:ascii="Palatino Linotype" w:eastAsia="Palatino Linotype" w:hAnsi="Palatino Linotype" w:cs="Palatino Linotype"/>
        </w:rPr>
      </w:pPr>
    </w:p>
    <w:p w14:paraId="2D63E1B5" w14:textId="77777777" w:rsidR="00F3139D" w:rsidRPr="00BF19FC" w:rsidRDefault="00C1343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El tercer documento de nombre “CONTESTACION SAIMEX 161.pdf” de cuyo contenido se advierte la respuesta formal emitida por el Subdirector de Administración quien manifiesta entregar la información solicitada.  </w:t>
      </w:r>
    </w:p>
    <w:p w14:paraId="6BD69A6B" w14:textId="77777777" w:rsidR="00F3139D" w:rsidRPr="00BF19FC" w:rsidRDefault="00C1343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 </w:t>
      </w:r>
    </w:p>
    <w:p w14:paraId="22EEE785" w14:textId="77777777" w:rsidR="00F3139D" w:rsidRPr="00BF19FC" w:rsidRDefault="00F3139D">
      <w:pPr>
        <w:spacing w:line="360" w:lineRule="auto"/>
        <w:jc w:val="both"/>
        <w:rPr>
          <w:rFonts w:ascii="Palatino Linotype" w:eastAsia="Palatino Linotype" w:hAnsi="Palatino Linotype" w:cs="Palatino Linotype"/>
        </w:rPr>
      </w:pPr>
    </w:p>
    <w:p w14:paraId="42349B7A" w14:textId="77777777" w:rsidR="00F3139D" w:rsidRPr="00BF19FC" w:rsidRDefault="00C13437">
      <w:pPr>
        <w:widowControl w:val="0"/>
        <w:spacing w:line="360" w:lineRule="auto"/>
        <w:jc w:val="both"/>
        <w:rPr>
          <w:rFonts w:ascii="Palatino Linotype" w:eastAsia="Palatino Linotype" w:hAnsi="Palatino Linotype" w:cs="Palatino Linotype"/>
          <w:b/>
        </w:rPr>
      </w:pPr>
      <w:r w:rsidRPr="00BF19FC">
        <w:rPr>
          <w:rFonts w:ascii="Palatino Linotype" w:eastAsia="Palatino Linotype" w:hAnsi="Palatino Linotype" w:cs="Palatino Linotype"/>
          <w:b/>
          <w:sz w:val="28"/>
          <w:szCs w:val="28"/>
        </w:rPr>
        <w:lastRenderedPageBreak/>
        <w:t>IV. Del Recurso de Revisión</w:t>
      </w:r>
      <w:r w:rsidRPr="00BF19FC">
        <w:rPr>
          <w:rFonts w:ascii="Palatino Linotype" w:eastAsia="Palatino Linotype" w:hAnsi="Palatino Linotype" w:cs="Palatino Linotype"/>
          <w:b/>
        </w:rPr>
        <w:t>.</w:t>
      </w:r>
    </w:p>
    <w:p w14:paraId="773D8011" w14:textId="77777777" w:rsidR="00F3139D" w:rsidRPr="00BF19FC" w:rsidRDefault="00C13437">
      <w:pPr>
        <w:widowControl w:val="0"/>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Inconforme con la respuesta del</w:t>
      </w:r>
      <w:r w:rsidRPr="00BF19FC">
        <w:rPr>
          <w:rFonts w:ascii="Palatino Linotype" w:eastAsia="Palatino Linotype" w:hAnsi="Palatino Linotype" w:cs="Palatino Linotype"/>
          <w:b/>
        </w:rPr>
        <w:t xml:space="preserve"> SUJETO OBLIGADO</w:t>
      </w:r>
      <w:r w:rsidRPr="00BF19FC">
        <w:rPr>
          <w:rFonts w:ascii="Palatino Linotype" w:eastAsia="Palatino Linotype" w:hAnsi="Palatino Linotype" w:cs="Palatino Linotype"/>
        </w:rPr>
        <w:t xml:space="preserve">, el tres de mayo de dos mil veintidós, </w:t>
      </w:r>
      <w:r w:rsidRPr="00BF19FC">
        <w:rPr>
          <w:rFonts w:ascii="Palatino Linotype" w:eastAsia="Palatino Linotype" w:hAnsi="Palatino Linotype" w:cs="Palatino Linotype"/>
          <w:b/>
        </w:rPr>
        <w:t>EL RECURRENTE</w:t>
      </w:r>
      <w:r w:rsidRPr="00BF19FC">
        <w:rPr>
          <w:rFonts w:ascii="Palatino Linotype" w:eastAsia="Palatino Linotype" w:hAnsi="Palatino Linotype" w:cs="Palatino Linotype"/>
        </w:rPr>
        <w:t xml:space="preserve"> interpuso el Recurso de Revisión. El cual fue registrado en </w:t>
      </w:r>
      <w:r w:rsidRPr="00BF19FC">
        <w:rPr>
          <w:rFonts w:ascii="Palatino Linotype" w:eastAsia="Palatino Linotype" w:hAnsi="Palatino Linotype" w:cs="Palatino Linotype"/>
          <w:b/>
        </w:rPr>
        <w:t>EL SAIMEX</w:t>
      </w:r>
      <w:r w:rsidRPr="00BF19FC">
        <w:rPr>
          <w:rFonts w:ascii="Palatino Linotype" w:eastAsia="Palatino Linotype" w:hAnsi="Palatino Linotype" w:cs="Palatino Linotype"/>
        </w:rPr>
        <w:t xml:space="preserve"> y se le asignó el número de expediente </w:t>
      </w:r>
      <w:r w:rsidRPr="00BF19FC">
        <w:rPr>
          <w:rFonts w:ascii="Palatino Linotype" w:eastAsia="Palatino Linotype" w:hAnsi="Palatino Linotype" w:cs="Palatino Linotype"/>
          <w:b/>
        </w:rPr>
        <w:t xml:space="preserve">06927/INFOEM/IP/RR/2022, </w:t>
      </w:r>
      <w:r w:rsidRPr="00BF19FC">
        <w:rPr>
          <w:rFonts w:ascii="Palatino Linotype" w:eastAsia="Palatino Linotype" w:hAnsi="Palatino Linotype" w:cs="Palatino Linotype"/>
        </w:rPr>
        <w:t xml:space="preserve">donde los motivos de agravio del </w:t>
      </w:r>
      <w:r w:rsidRPr="00BF19FC">
        <w:rPr>
          <w:rFonts w:ascii="Palatino Linotype" w:eastAsia="Palatino Linotype" w:hAnsi="Palatino Linotype" w:cs="Palatino Linotype"/>
          <w:b/>
        </w:rPr>
        <w:t xml:space="preserve">RECURRENTE </w:t>
      </w:r>
      <w:r w:rsidRPr="00BF19FC">
        <w:rPr>
          <w:rFonts w:ascii="Palatino Linotype" w:eastAsia="Palatino Linotype" w:hAnsi="Palatino Linotype" w:cs="Palatino Linotype"/>
        </w:rPr>
        <w:t>fueron los siguientes:</w:t>
      </w:r>
    </w:p>
    <w:p w14:paraId="0D6709D5" w14:textId="77777777" w:rsidR="00F3139D" w:rsidRPr="00BF19FC" w:rsidRDefault="00F3139D">
      <w:pPr>
        <w:widowControl w:val="0"/>
        <w:spacing w:line="360" w:lineRule="auto"/>
        <w:jc w:val="both"/>
        <w:rPr>
          <w:rFonts w:ascii="Palatino Linotype" w:eastAsia="Palatino Linotype" w:hAnsi="Palatino Linotype" w:cs="Palatino Linotype"/>
        </w:rPr>
      </w:pPr>
    </w:p>
    <w:p w14:paraId="44F0FB62" w14:textId="77777777" w:rsidR="00F3139D" w:rsidRPr="00BF19FC" w:rsidRDefault="00C13437">
      <w:pPr>
        <w:spacing w:line="360" w:lineRule="auto"/>
        <w:ind w:left="-57" w:right="-57"/>
        <w:jc w:val="both"/>
        <w:rPr>
          <w:rFonts w:ascii="Palatino Linotype" w:eastAsia="Palatino Linotype" w:hAnsi="Palatino Linotype" w:cs="Palatino Linotype"/>
          <w:b/>
          <w:u w:val="single"/>
        </w:rPr>
      </w:pPr>
      <w:r w:rsidRPr="00BF19FC">
        <w:rPr>
          <w:rFonts w:ascii="Palatino Linotype" w:eastAsia="Palatino Linotype" w:hAnsi="Palatino Linotype" w:cs="Palatino Linotype"/>
          <w:b/>
          <w:u w:val="single"/>
        </w:rPr>
        <w:t>Acto Impugnado:</w:t>
      </w:r>
      <w:r w:rsidRPr="00BF19FC">
        <w:rPr>
          <w:b/>
          <w:u w:val="single"/>
        </w:rPr>
        <w:t xml:space="preserve"> </w:t>
      </w:r>
    </w:p>
    <w:p w14:paraId="6BE8B19F" w14:textId="77777777" w:rsidR="00F3139D" w:rsidRPr="00BF19FC" w:rsidRDefault="00C13437">
      <w:pPr>
        <w:tabs>
          <w:tab w:val="left" w:pos="709"/>
        </w:tabs>
        <w:spacing w:before="66"/>
        <w:ind w:left="850" w:right="899"/>
        <w:jc w:val="both"/>
        <w:rPr>
          <w:rFonts w:ascii="Palatino Linotype" w:eastAsia="Palatino Linotype" w:hAnsi="Palatino Linotype" w:cs="Palatino Linotype"/>
          <w:i/>
          <w:sz w:val="22"/>
          <w:szCs w:val="22"/>
        </w:rPr>
      </w:pPr>
      <w:r w:rsidRPr="00BF19FC">
        <w:rPr>
          <w:rFonts w:ascii="Palatino Linotype" w:eastAsia="Palatino Linotype" w:hAnsi="Palatino Linotype" w:cs="Palatino Linotype"/>
          <w:i/>
          <w:sz w:val="22"/>
          <w:szCs w:val="22"/>
        </w:rPr>
        <w:t>“el zujeto obligado no entrega toda la informacion solicitada”(sic)</w:t>
      </w:r>
    </w:p>
    <w:p w14:paraId="58F3047D" w14:textId="77777777" w:rsidR="00F3139D" w:rsidRPr="00BF19FC" w:rsidRDefault="00F3139D">
      <w:pPr>
        <w:ind w:right="899"/>
        <w:jc w:val="both"/>
        <w:rPr>
          <w:rFonts w:ascii="Palatino Linotype" w:eastAsia="Palatino Linotype" w:hAnsi="Palatino Linotype" w:cs="Palatino Linotype"/>
        </w:rPr>
      </w:pPr>
    </w:p>
    <w:p w14:paraId="7E00269E" w14:textId="77777777" w:rsidR="00F3139D" w:rsidRPr="00BF19FC" w:rsidRDefault="00C13437">
      <w:pPr>
        <w:spacing w:line="360" w:lineRule="auto"/>
        <w:ind w:right="49"/>
        <w:jc w:val="both"/>
        <w:rPr>
          <w:rFonts w:ascii="Palatino Linotype" w:eastAsia="Palatino Linotype" w:hAnsi="Palatino Linotype" w:cs="Palatino Linotype"/>
          <w:b/>
          <w:u w:val="single"/>
        </w:rPr>
      </w:pPr>
      <w:r w:rsidRPr="00BF19FC">
        <w:rPr>
          <w:rFonts w:ascii="Palatino Linotype" w:eastAsia="Palatino Linotype" w:hAnsi="Palatino Linotype" w:cs="Palatino Linotype"/>
          <w:b/>
          <w:u w:val="single"/>
        </w:rPr>
        <w:t>Razones o motivos de inconformidad:</w:t>
      </w:r>
    </w:p>
    <w:p w14:paraId="66D67B39" w14:textId="77777777" w:rsidR="00F3139D" w:rsidRPr="00BF19FC" w:rsidRDefault="00C13437">
      <w:pPr>
        <w:tabs>
          <w:tab w:val="left" w:pos="709"/>
        </w:tabs>
        <w:spacing w:before="66"/>
        <w:ind w:left="850" w:right="899"/>
        <w:jc w:val="both"/>
        <w:rPr>
          <w:rFonts w:ascii="Palatino Linotype" w:eastAsia="Palatino Linotype" w:hAnsi="Palatino Linotype" w:cs="Palatino Linotype"/>
          <w:b/>
          <w:u w:val="single"/>
        </w:rPr>
      </w:pPr>
      <w:r w:rsidRPr="00BF19FC">
        <w:rPr>
          <w:rFonts w:ascii="Palatino Linotype" w:eastAsia="Palatino Linotype" w:hAnsi="Palatino Linotype" w:cs="Palatino Linotype"/>
          <w:i/>
          <w:sz w:val="22"/>
          <w:szCs w:val="22"/>
        </w:rPr>
        <w:t>“se deben de pronunciar en todas y cada uno de los aspectos solicitados. no refieren donde presta sus serviios. convalidan que es una aviadora ya que no se presenta a trabajar. finquen las denuncias penales correspondientes ante el OSFEM”(sic)</w:t>
      </w:r>
    </w:p>
    <w:p w14:paraId="4D42356A" w14:textId="77777777" w:rsidR="00F3139D" w:rsidRPr="00BF19FC" w:rsidRDefault="00F3139D">
      <w:pPr>
        <w:spacing w:line="360" w:lineRule="auto"/>
        <w:jc w:val="both"/>
        <w:rPr>
          <w:rFonts w:ascii="Palatino Linotype" w:eastAsia="Palatino Linotype" w:hAnsi="Palatino Linotype" w:cs="Palatino Linotype"/>
          <w:b/>
          <w:sz w:val="28"/>
          <w:szCs w:val="28"/>
        </w:rPr>
      </w:pPr>
    </w:p>
    <w:p w14:paraId="0007F915" w14:textId="77777777" w:rsidR="00F3139D" w:rsidRPr="00BF19FC" w:rsidRDefault="00C13437">
      <w:pPr>
        <w:spacing w:line="360" w:lineRule="auto"/>
        <w:jc w:val="both"/>
        <w:rPr>
          <w:rFonts w:ascii="Palatino Linotype" w:eastAsia="Palatino Linotype" w:hAnsi="Palatino Linotype" w:cs="Palatino Linotype"/>
          <w:b/>
          <w:sz w:val="28"/>
          <w:szCs w:val="28"/>
        </w:rPr>
      </w:pPr>
      <w:r w:rsidRPr="00BF19FC">
        <w:rPr>
          <w:rFonts w:ascii="Palatino Linotype" w:eastAsia="Palatino Linotype" w:hAnsi="Palatino Linotype" w:cs="Palatino Linotype"/>
          <w:b/>
          <w:sz w:val="28"/>
          <w:szCs w:val="28"/>
        </w:rPr>
        <w:t xml:space="preserve">V. Del turno del Recurso de Revisión. </w:t>
      </w:r>
    </w:p>
    <w:p w14:paraId="4CEB3860" w14:textId="77777777" w:rsidR="00F3139D" w:rsidRPr="00BF19FC" w:rsidRDefault="00C1343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El tres de mayo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BF19FC">
        <w:rPr>
          <w:rFonts w:ascii="Palatino Linotype" w:eastAsia="Palatino Linotype" w:hAnsi="Palatino Linotype" w:cs="Palatino Linotype"/>
          <w:b/>
        </w:rPr>
        <w:t>Comisionada Sharon Cristina Morales Martínez</w:t>
      </w:r>
      <w:r w:rsidRPr="00BF19FC">
        <w:rPr>
          <w:rFonts w:ascii="Palatino Linotype" w:eastAsia="Palatino Linotype" w:hAnsi="Palatino Linotype" w:cs="Palatino Linotype"/>
        </w:rPr>
        <w:t>; a efecto de decretar su admisión o desechamiento.</w:t>
      </w:r>
    </w:p>
    <w:p w14:paraId="76DE98FC" w14:textId="77777777" w:rsidR="00F3139D" w:rsidRPr="00BF19FC" w:rsidRDefault="00F3139D">
      <w:pPr>
        <w:spacing w:line="360" w:lineRule="auto"/>
        <w:jc w:val="both"/>
        <w:rPr>
          <w:rFonts w:ascii="Palatino Linotype" w:eastAsia="Palatino Linotype" w:hAnsi="Palatino Linotype" w:cs="Palatino Linotype"/>
        </w:rPr>
      </w:pPr>
    </w:p>
    <w:p w14:paraId="549FE86B" w14:textId="77777777" w:rsidR="00F3139D" w:rsidRPr="00BF19FC" w:rsidRDefault="00C13437">
      <w:pPr>
        <w:tabs>
          <w:tab w:val="center" w:pos="4252"/>
          <w:tab w:val="right" w:pos="8504"/>
        </w:tabs>
        <w:spacing w:line="360" w:lineRule="auto"/>
        <w:jc w:val="both"/>
        <w:rPr>
          <w:rFonts w:ascii="Palatino Linotype" w:eastAsia="Palatino Linotype" w:hAnsi="Palatino Linotype" w:cs="Palatino Linotype"/>
          <w:b/>
        </w:rPr>
      </w:pPr>
      <w:r w:rsidRPr="00BF19FC">
        <w:rPr>
          <w:rFonts w:ascii="Palatino Linotype" w:eastAsia="Palatino Linotype" w:hAnsi="Palatino Linotype" w:cs="Palatino Linotype"/>
          <w:b/>
        </w:rPr>
        <w:t>a) Admisión del Recurso de Revisión</w:t>
      </w:r>
    </w:p>
    <w:p w14:paraId="15A427DE" w14:textId="77777777" w:rsidR="00F3139D" w:rsidRPr="00BF19FC" w:rsidRDefault="00C13437">
      <w:pPr>
        <w:tabs>
          <w:tab w:val="center" w:pos="4252"/>
          <w:tab w:val="right" w:pos="8504"/>
        </w:tabs>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De las constancias que obran en el expediente electrónico del</w:t>
      </w:r>
      <w:r w:rsidRPr="00BF19FC">
        <w:rPr>
          <w:rFonts w:ascii="Palatino Linotype" w:eastAsia="Palatino Linotype" w:hAnsi="Palatino Linotype" w:cs="Palatino Linotype"/>
          <w:b/>
        </w:rPr>
        <w:t xml:space="preserve"> SAIMEX</w:t>
      </w:r>
      <w:r w:rsidRPr="00BF19FC">
        <w:rPr>
          <w:rFonts w:ascii="Palatino Linotype" w:eastAsia="Palatino Linotype" w:hAnsi="Palatino Linotype" w:cs="Palatino Linotype"/>
        </w:rPr>
        <w:t xml:space="preserve">, se advierte que en fecha diez de mayo de dos mil veintidós, se acordó la admisión a trámite del Recurso de Revisión que nos ocupa; así como la integración del expediente respectivo, mismo que se puso a disposición de las partes, para que en un plazo máximo de siete días hábiles </w:t>
      </w:r>
      <w:r w:rsidRPr="00BF19FC">
        <w:rPr>
          <w:rFonts w:ascii="Palatino Linotype" w:eastAsia="Palatino Linotype" w:hAnsi="Palatino Linotype" w:cs="Palatino Linotype"/>
          <w:b/>
        </w:rPr>
        <w:t xml:space="preserve">EL RECURRENTE </w:t>
      </w:r>
      <w:r w:rsidRPr="00BF19FC">
        <w:rPr>
          <w:rFonts w:ascii="Palatino Linotype" w:eastAsia="Palatino Linotype" w:hAnsi="Palatino Linotype" w:cs="Palatino Linotype"/>
        </w:rPr>
        <w:t xml:space="preserve">manifestara lo que a su derecho conviniera, a efecto de presentar pruebas y alegatos; así como, para que </w:t>
      </w:r>
      <w:r w:rsidRPr="00BF19FC">
        <w:rPr>
          <w:rFonts w:ascii="Palatino Linotype" w:eastAsia="Palatino Linotype" w:hAnsi="Palatino Linotype" w:cs="Palatino Linotype"/>
          <w:b/>
        </w:rPr>
        <w:t xml:space="preserve">EL SUJETO OBLIGADO </w:t>
      </w:r>
      <w:r w:rsidRPr="00BF19FC">
        <w:rPr>
          <w:rFonts w:ascii="Palatino Linotype" w:eastAsia="Palatino Linotype" w:hAnsi="Palatino Linotype" w:cs="Palatino Linotype"/>
        </w:rPr>
        <w:t>rindiera el correspondiente</w:t>
      </w:r>
      <w:r w:rsidRPr="00BF19FC">
        <w:rPr>
          <w:rFonts w:ascii="Palatino Linotype" w:eastAsia="Palatino Linotype" w:hAnsi="Palatino Linotype" w:cs="Palatino Linotype"/>
          <w:b/>
        </w:rPr>
        <w:t xml:space="preserve"> </w:t>
      </w:r>
      <w:r w:rsidRPr="00BF19FC">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559A1EB4" w14:textId="77777777" w:rsidR="00F3139D" w:rsidRPr="00BF19FC" w:rsidRDefault="00F3139D">
      <w:pPr>
        <w:tabs>
          <w:tab w:val="center" w:pos="4252"/>
          <w:tab w:val="right" w:pos="8504"/>
        </w:tabs>
        <w:spacing w:line="360" w:lineRule="auto"/>
        <w:jc w:val="both"/>
        <w:rPr>
          <w:rFonts w:ascii="Palatino Linotype" w:eastAsia="Palatino Linotype" w:hAnsi="Palatino Linotype" w:cs="Palatino Linotype"/>
        </w:rPr>
      </w:pPr>
    </w:p>
    <w:p w14:paraId="1498BBEE" w14:textId="77777777" w:rsidR="00F3139D" w:rsidRPr="00BF19FC" w:rsidRDefault="00C13437">
      <w:pPr>
        <w:spacing w:line="360" w:lineRule="auto"/>
        <w:jc w:val="both"/>
        <w:rPr>
          <w:rFonts w:ascii="Palatino Linotype" w:eastAsia="Palatino Linotype" w:hAnsi="Palatino Linotype" w:cs="Palatino Linotype"/>
          <w:b/>
        </w:rPr>
      </w:pPr>
      <w:r w:rsidRPr="00BF19FC">
        <w:rPr>
          <w:rFonts w:ascii="Palatino Linotype" w:eastAsia="Palatino Linotype" w:hAnsi="Palatino Linotype" w:cs="Palatino Linotype"/>
          <w:b/>
        </w:rPr>
        <w:t>b) Informe Justificado</w:t>
      </w:r>
    </w:p>
    <w:p w14:paraId="426E5973" w14:textId="77777777" w:rsidR="00F3139D" w:rsidRPr="00BF19FC" w:rsidRDefault="00C13437">
      <w:pPr>
        <w:widowControl w:val="0"/>
        <w:tabs>
          <w:tab w:val="left" w:pos="0"/>
        </w:tabs>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Conforme a las constancias que obran en el expediente del </w:t>
      </w:r>
      <w:r w:rsidRPr="00BF19FC">
        <w:rPr>
          <w:rFonts w:ascii="Palatino Linotype" w:eastAsia="Palatino Linotype" w:hAnsi="Palatino Linotype" w:cs="Palatino Linotype"/>
          <w:b/>
        </w:rPr>
        <w:t>SAIMEX,</w:t>
      </w:r>
      <w:r w:rsidRPr="00BF19FC">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BF19FC">
        <w:rPr>
          <w:rFonts w:ascii="Palatino Linotype" w:eastAsia="Palatino Linotype" w:hAnsi="Palatino Linotype" w:cs="Palatino Linotype"/>
          <w:b/>
        </w:rPr>
        <w:t>EL</w:t>
      </w:r>
      <w:r w:rsidRPr="00BF19FC">
        <w:rPr>
          <w:rFonts w:ascii="Palatino Linotype" w:eastAsia="Palatino Linotype" w:hAnsi="Palatino Linotype" w:cs="Palatino Linotype"/>
        </w:rPr>
        <w:t xml:space="preserve"> </w:t>
      </w:r>
      <w:r w:rsidRPr="00BF19FC">
        <w:rPr>
          <w:rFonts w:ascii="Palatino Linotype" w:eastAsia="Palatino Linotype" w:hAnsi="Palatino Linotype" w:cs="Palatino Linotype"/>
          <w:b/>
        </w:rPr>
        <w:t>RECURRENTE</w:t>
      </w:r>
      <w:r w:rsidRPr="00BF19FC">
        <w:rPr>
          <w:rFonts w:ascii="Palatino Linotype" w:eastAsia="Palatino Linotype" w:hAnsi="Palatino Linotype" w:cs="Palatino Linotype"/>
        </w:rPr>
        <w:t xml:space="preserve"> no presentó manifestaciones que a su derecho convinieran.  </w:t>
      </w:r>
    </w:p>
    <w:p w14:paraId="1E6A6F44" w14:textId="77777777" w:rsidR="00F3139D" w:rsidRPr="00BF19FC" w:rsidRDefault="00F3139D">
      <w:pPr>
        <w:widowControl w:val="0"/>
        <w:tabs>
          <w:tab w:val="left" w:pos="0"/>
        </w:tabs>
        <w:spacing w:line="360" w:lineRule="auto"/>
        <w:jc w:val="both"/>
        <w:rPr>
          <w:rFonts w:ascii="Palatino Linotype" w:eastAsia="Palatino Linotype" w:hAnsi="Palatino Linotype" w:cs="Palatino Linotype"/>
        </w:rPr>
      </w:pPr>
    </w:p>
    <w:p w14:paraId="743B390D" w14:textId="77777777" w:rsidR="00F3139D" w:rsidRPr="00BF19FC" w:rsidRDefault="00C13437">
      <w:pPr>
        <w:widowControl w:val="0"/>
        <w:tabs>
          <w:tab w:val="left" w:pos="0"/>
        </w:tabs>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Por su parte, </w:t>
      </w:r>
      <w:r w:rsidRPr="00BF19FC">
        <w:rPr>
          <w:rFonts w:ascii="Palatino Linotype" w:eastAsia="Palatino Linotype" w:hAnsi="Palatino Linotype" w:cs="Palatino Linotype"/>
          <w:b/>
        </w:rPr>
        <w:t>EL SUJETO OBLIGADO</w:t>
      </w:r>
      <w:r w:rsidRPr="00BF19FC">
        <w:rPr>
          <w:rFonts w:ascii="Palatino Linotype" w:eastAsia="Palatino Linotype" w:hAnsi="Palatino Linotype" w:cs="Palatino Linotype"/>
        </w:rPr>
        <w:t xml:space="preserve"> remitió dos documentos, de los cuales </w:t>
      </w:r>
      <w:r w:rsidRPr="00BF19FC">
        <w:rPr>
          <w:rFonts w:ascii="Palatino Linotype" w:eastAsia="Palatino Linotype" w:hAnsi="Palatino Linotype" w:cs="Palatino Linotype"/>
        </w:rPr>
        <w:lastRenderedPageBreak/>
        <w:t xml:space="preserve">solamente uno fue puesto a disposición del particular, toda vez que el archivo restante no guarda relación con el presente asunto, pues corresponde a una solicitud de información diversa. </w:t>
      </w:r>
    </w:p>
    <w:p w14:paraId="1F088E27" w14:textId="77777777" w:rsidR="00F3139D" w:rsidRPr="00BF19FC" w:rsidRDefault="00F3139D">
      <w:pPr>
        <w:widowControl w:val="0"/>
        <w:tabs>
          <w:tab w:val="left" w:pos="0"/>
        </w:tabs>
        <w:spacing w:line="360" w:lineRule="auto"/>
        <w:jc w:val="both"/>
        <w:rPr>
          <w:rFonts w:ascii="Palatino Linotype" w:eastAsia="Palatino Linotype" w:hAnsi="Palatino Linotype" w:cs="Palatino Linotype"/>
        </w:rPr>
      </w:pPr>
    </w:p>
    <w:p w14:paraId="26422D56" w14:textId="77777777" w:rsidR="00F3139D" w:rsidRPr="00BF19FC" w:rsidRDefault="00C13437">
      <w:pPr>
        <w:widowControl w:val="0"/>
        <w:tabs>
          <w:tab w:val="left" w:pos="0"/>
        </w:tabs>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En cuanto al archivo denominado “CONTESTACION RR 6927 SAIMEX 161.pdf” el cual fue puesto a disposición del particular y de cuyo contenido se advierte que el ente recurrido confirma su respuesta y se pronuncia respecto del lugar de trabajo de la servidora pública señalando que por sus funciones no tiene un lugar de trabajo establecido.  </w:t>
      </w:r>
    </w:p>
    <w:p w14:paraId="53D1F470" w14:textId="77777777" w:rsidR="00F3139D" w:rsidRPr="00BF19FC" w:rsidRDefault="00F3139D">
      <w:pPr>
        <w:widowControl w:val="0"/>
        <w:tabs>
          <w:tab w:val="left" w:pos="0"/>
        </w:tabs>
        <w:spacing w:line="360" w:lineRule="auto"/>
        <w:jc w:val="both"/>
        <w:rPr>
          <w:rFonts w:ascii="Palatino Linotype" w:eastAsia="Palatino Linotype" w:hAnsi="Palatino Linotype" w:cs="Palatino Linotype"/>
        </w:rPr>
      </w:pPr>
    </w:p>
    <w:p w14:paraId="389B4F5E" w14:textId="77777777" w:rsidR="00F3139D" w:rsidRPr="00BF19FC" w:rsidRDefault="00C13437">
      <w:pPr>
        <w:widowControl w:val="0"/>
        <w:tabs>
          <w:tab w:val="left" w:pos="0"/>
        </w:tabs>
        <w:spacing w:line="360" w:lineRule="auto"/>
        <w:jc w:val="both"/>
        <w:rPr>
          <w:rFonts w:ascii="Palatino Linotype" w:eastAsia="Palatino Linotype" w:hAnsi="Palatino Linotype" w:cs="Palatino Linotype"/>
          <w:b/>
        </w:rPr>
      </w:pPr>
      <w:r w:rsidRPr="00BF19FC">
        <w:rPr>
          <w:rFonts w:ascii="Palatino Linotype" w:eastAsia="Palatino Linotype" w:hAnsi="Palatino Linotype" w:cs="Palatino Linotype"/>
          <w:b/>
        </w:rPr>
        <w:t xml:space="preserve">c) De la ampliación </w:t>
      </w:r>
    </w:p>
    <w:p w14:paraId="3940AB75" w14:textId="77777777" w:rsidR="00F3139D" w:rsidRPr="00BF19FC" w:rsidRDefault="00C1343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En fecha veintitrés de junio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00FE66F9" w14:textId="77777777" w:rsidR="00F3139D" w:rsidRPr="00BF19FC" w:rsidRDefault="00F3139D">
      <w:pPr>
        <w:shd w:val="clear" w:color="auto" w:fill="FFFFFF"/>
        <w:spacing w:line="392" w:lineRule="auto"/>
        <w:jc w:val="both"/>
        <w:rPr>
          <w:rFonts w:ascii="Palatino Linotype" w:eastAsia="Palatino Linotype" w:hAnsi="Palatino Linotype" w:cs="Palatino Linotype"/>
        </w:rPr>
      </w:pPr>
    </w:p>
    <w:p w14:paraId="3AC10C2A" w14:textId="77777777" w:rsidR="00F3139D" w:rsidRPr="00BF19FC" w:rsidRDefault="00C13437">
      <w:pPr>
        <w:shd w:val="clear" w:color="auto" w:fill="FFFFFF"/>
        <w:spacing w:line="392"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w:t>
      </w:r>
      <w:r w:rsidRPr="00BF19FC">
        <w:rPr>
          <w:rFonts w:ascii="Palatino Linotype" w:eastAsia="Palatino Linotype" w:hAnsi="Palatino Linotype" w:cs="Palatino Linotype"/>
        </w:rPr>
        <w:lastRenderedPageBreak/>
        <w:t>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AFC7975" w14:textId="77777777" w:rsidR="00F3139D" w:rsidRPr="00BF19FC" w:rsidRDefault="00C13437">
      <w:pPr>
        <w:shd w:val="clear" w:color="auto" w:fill="FFFFFF"/>
        <w:spacing w:line="392"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 </w:t>
      </w:r>
    </w:p>
    <w:p w14:paraId="62CC4668" w14:textId="77777777" w:rsidR="00F3139D" w:rsidRPr="00BF19FC" w:rsidRDefault="00C13437">
      <w:pPr>
        <w:shd w:val="clear" w:color="auto" w:fill="FFFFFF"/>
        <w:spacing w:line="392"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1B5F9DE" w14:textId="77777777" w:rsidR="00F3139D" w:rsidRPr="00BF19FC" w:rsidRDefault="00C13437">
      <w:pPr>
        <w:shd w:val="clear" w:color="auto" w:fill="FFFFFF"/>
        <w:spacing w:line="392"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 </w:t>
      </w:r>
    </w:p>
    <w:p w14:paraId="4D3F9DAD" w14:textId="77777777" w:rsidR="00F3139D" w:rsidRPr="00BF19FC" w:rsidRDefault="00C13437">
      <w:pPr>
        <w:shd w:val="clear" w:color="auto" w:fill="FFFFFF"/>
        <w:spacing w:line="392"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C90E27F" w14:textId="77777777" w:rsidR="00F3139D" w:rsidRPr="00BF19FC" w:rsidRDefault="00C13437">
      <w:pPr>
        <w:shd w:val="clear" w:color="auto" w:fill="FFFFFF"/>
        <w:spacing w:line="392"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 </w:t>
      </w:r>
    </w:p>
    <w:p w14:paraId="7D4DE425" w14:textId="77777777" w:rsidR="00F3139D" w:rsidRPr="00BF19FC" w:rsidRDefault="00C13437">
      <w:pPr>
        <w:shd w:val="clear" w:color="auto" w:fill="FFFFFF"/>
        <w:spacing w:line="392"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036609E" w14:textId="77777777" w:rsidR="00F3139D" w:rsidRPr="00BF19FC" w:rsidRDefault="00C13437">
      <w:pPr>
        <w:shd w:val="clear" w:color="auto" w:fill="FFFFFF"/>
        <w:spacing w:line="392"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 </w:t>
      </w:r>
    </w:p>
    <w:p w14:paraId="31256CEF" w14:textId="77777777" w:rsidR="00F3139D" w:rsidRPr="00BF19FC" w:rsidRDefault="00C13437">
      <w:pPr>
        <w:shd w:val="clear" w:color="auto" w:fill="FFFFFF"/>
        <w:spacing w:line="392"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Por ello, excepcionalmente, si un asunto es resuelto con posterioridad a los plazos señalados por la norma debe analizarse la razonabilidad de dicha dilación atendiendo a los siguientes criterios:  </w:t>
      </w:r>
    </w:p>
    <w:p w14:paraId="03D0D702" w14:textId="77777777" w:rsidR="00F3139D" w:rsidRPr="00BF19FC" w:rsidRDefault="00C13437">
      <w:pPr>
        <w:shd w:val="clear" w:color="auto" w:fill="FFFFFF"/>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 </w:t>
      </w:r>
    </w:p>
    <w:p w14:paraId="7DD51475" w14:textId="77777777" w:rsidR="00F3139D" w:rsidRPr="00BF19FC" w:rsidRDefault="00C13437">
      <w:pPr>
        <w:shd w:val="clear" w:color="auto" w:fill="FFFFFF"/>
        <w:spacing w:before="200" w:after="200" w:line="360" w:lineRule="auto"/>
        <w:ind w:left="992"/>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a) Complejidad del Asunto: La complejidad de la prueba, la pluralidad de sujetos procesales, el tiempo transcurrido, las características y contexto del recurso. </w:t>
      </w:r>
    </w:p>
    <w:p w14:paraId="727EB733" w14:textId="77777777" w:rsidR="00F3139D" w:rsidRPr="00BF19FC" w:rsidRDefault="00C13437">
      <w:pPr>
        <w:shd w:val="clear" w:color="auto" w:fill="FFFFFF"/>
        <w:spacing w:before="200" w:after="200" w:line="360" w:lineRule="auto"/>
        <w:ind w:left="992"/>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b) Actividad Procesal del interesado. Acciones u omisiones del interesado. </w:t>
      </w:r>
    </w:p>
    <w:p w14:paraId="0247128C" w14:textId="77777777" w:rsidR="00F3139D" w:rsidRPr="00BF19FC" w:rsidRDefault="00C13437">
      <w:pPr>
        <w:shd w:val="clear" w:color="auto" w:fill="FFFFFF"/>
        <w:spacing w:before="200" w:after="200" w:line="360" w:lineRule="auto"/>
        <w:ind w:left="992"/>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c) Conducta de la Autoridad: Las Acciones u omisiones realizadas en el procedimiento. Así como si la autoridad actuó con la debida diligencia. </w:t>
      </w:r>
    </w:p>
    <w:p w14:paraId="7B9F3170" w14:textId="77777777" w:rsidR="00F3139D" w:rsidRPr="00BF19FC" w:rsidRDefault="00C13437">
      <w:pPr>
        <w:shd w:val="clear" w:color="auto" w:fill="FFFFFF"/>
        <w:spacing w:line="360" w:lineRule="auto"/>
        <w:ind w:left="992"/>
        <w:jc w:val="both"/>
        <w:rPr>
          <w:rFonts w:ascii="Palatino Linotype" w:eastAsia="Palatino Linotype" w:hAnsi="Palatino Linotype" w:cs="Palatino Linotype"/>
        </w:rPr>
      </w:pPr>
      <w:r w:rsidRPr="00BF19FC">
        <w:rPr>
          <w:rFonts w:ascii="Palatino Linotype" w:eastAsia="Palatino Linotype" w:hAnsi="Palatino Linotype" w:cs="Palatino Linotype"/>
        </w:rPr>
        <w:t>d) La afectación generada en la situación jurídica de la persona involucrada en el proceso: Violación a sus derechos humanos.</w:t>
      </w:r>
    </w:p>
    <w:p w14:paraId="253898D1" w14:textId="77777777" w:rsidR="00F3139D" w:rsidRPr="00BF19FC" w:rsidRDefault="00C13437">
      <w:pPr>
        <w:shd w:val="clear" w:color="auto" w:fill="FFFFFF"/>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 </w:t>
      </w:r>
    </w:p>
    <w:p w14:paraId="074B4F8A" w14:textId="77777777" w:rsidR="00F3139D" w:rsidRPr="00BF19FC" w:rsidRDefault="00C13437">
      <w:pPr>
        <w:shd w:val="clear" w:color="auto" w:fill="FFFFFF"/>
        <w:spacing w:line="392"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F370ACA" w14:textId="77777777" w:rsidR="00F3139D" w:rsidRPr="00BF19FC" w:rsidRDefault="00C13437">
      <w:pPr>
        <w:shd w:val="clear" w:color="auto" w:fill="FFFFFF"/>
        <w:spacing w:line="392"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 </w:t>
      </w:r>
    </w:p>
    <w:p w14:paraId="2DA5E749" w14:textId="77777777" w:rsidR="00F3139D" w:rsidRPr="00BF19FC" w:rsidRDefault="00C13437">
      <w:pPr>
        <w:shd w:val="clear" w:color="auto" w:fill="FFFFFF"/>
        <w:spacing w:line="392"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Argumento que encuentra sustento en la jurisprudencia P./J. 32/92 emitida por el Pleno de la Suprema Corte de Justicia de la Nación del rubro </w:t>
      </w:r>
      <w:r w:rsidRPr="00BF19F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BF19FC">
        <w:rPr>
          <w:rFonts w:ascii="Palatino Linotype" w:eastAsia="Palatino Linotype" w:hAnsi="Palatino Linotype" w:cs="Palatino Linotype"/>
        </w:rPr>
        <w:t>, visible en la Gaceta del Semanario Judicial de la Federación con el registro digital 205635.</w:t>
      </w:r>
    </w:p>
    <w:p w14:paraId="50A6B7C1" w14:textId="77777777" w:rsidR="00F3139D" w:rsidRPr="00BF19FC" w:rsidRDefault="00C13437">
      <w:pPr>
        <w:shd w:val="clear" w:color="auto" w:fill="FFFFFF"/>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 </w:t>
      </w:r>
    </w:p>
    <w:p w14:paraId="26E457F5" w14:textId="77777777" w:rsidR="00F3139D" w:rsidRPr="00BF19FC" w:rsidRDefault="00C13437">
      <w:pPr>
        <w:shd w:val="clear" w:color="auto" w:fill="FFFFFF"/>
        <w:spacing w:line="392"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BF19FC">
        <w:rPr>
          <w:rFonts w:ascii="Palatino Linotype" w:eastAsia="Palatino Linotype" w:hAnsi="Palatino Linotype" w:cs="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10F1A9D" w14:textId="77777777" w:rsidR="00F3139D" w:rsidRPr="00BF19FC" w:rsidRDefault="00C13437">
      <w:pPr>
        <w:shd w:val="clear" w:color="auto" w:fill="FFFFFF"/>
        <w:spacing w:line="392"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 </w:t>
      </w:r>
    </w:p>
    <w:p w14:paraId="5B7CACE2" w14:textId="77777777" w:rsidR="00F3139D" w:rsidRPr="00BF19FC" w:rsidRDefault="00C13437">
      <w:pPr>
        <w:shd w:val="clear" w:color="auto" w:fill="FFFFFF"/>
        <w:spacing w:line="392"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9014E9D" w14:textId="77777777" w:rsidR="00F3139D" w:rsidRPr="00BF19FC" w:rsidRDefault="00C13437">
      <w:pPr>
        <w:shd w:val="clear" w:color="auto" w:fill="FFFFFF"/>
        <w:spacing w:line="392"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 </w:t>
      </w:r>
    </w:p>
    <w:p w14:paraId="2231C82F" w14:textId="77777777" w:rsidR="00F3139D" w:rsidRPr="00BF19FC" w:rsidRDefault="00C13437">
      <w:pPr>
        <w:shd w:val="clear" w:color="auto" w:fill="FFFFFF"/>
        <w:spacing w:line="392"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AD9832C" w14:textId="77777777" w:rsidR="00F3139D" w:rsidRPr="00BF19FC" w:rsidRDefault="00C13437">
      <w:pPr>
        <w:shd w:val="clear" w:color="auto" w:fill="FFFFFF"/>
        <w:spacing w:line="392"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 </w:t>
      </w:r>
    </w:p>
    <w:p w14:paraId="358A0F7E" w14:textId="77777777" w:rsidR="00F3139D" w:rsidRPr="00BF19FC" w:rsidRDefault="00C13437">
      <w:pPr>
        <w:shd w:val="clear" w:color="auto" w:fill="FFFFFF"/>
        <w:spacing w:line="392" w:lineRule="auto"/>
        <w:jc w:val="both"/>
        <w:rPr>
          <w:rFonts w:ascii="Palatino Linotype" w:eastAsia="Palatino Linotype" w:hAnsi="Palatino Linotype" w:cs="Palatino Linotype"/>
        </w:rPr>
      </w:pPr>
      <w:r w:rsidRPr="00BF19FC">
        <w:rPr>
          <w:rFonts w:ascii="Palatino Linotype" w:eastAsia="Palatino Linotype" w:hAnsi="Palatino Linotype" w:cs="Palatino Linotype"/>
          <w:i/>
        </w:rPr>
        <w:t>“PLAZO RAZONABLE PARA RESOLVER. DIMENSIÓN Y EFECTOS DE ESTE CONCEPTO CUANDO SE ADUCE EXCESIVA CARGA DE TRABAJO.”</w:t>
      </w:r>
      <w:r w:rsidRPr="00BF19FC">
        <w:rPr>
          <w:rFonts w:ascii="Palatino Linotype" w:eastAsia="Palatino Linotype" w:hAnsi="Palatino Linotype" w:cs="Palatino Linotype"/>
        </w:rPr>
        <w:t xml:space="preserve"> consultable en el Seminario Judicial de la Federación y su gaceta, con el registro digital 2002351.</w:t>
      </w:r>
    </w:p>
    <w:p w14:paraId="0C812CD1" w14:textId="77777777" w:rsidR="00F3139D" w:rsidRPr="00BF19FC" w:rsidRDefault="00C13437">
      <w:pPr>
        <w:shd w:val="clear" w:color="auto" w:fill="FFFFFF"/>
        <w:spacing w:line="392" w:lineRule="auto"/>
        <w:jc w:val="both"/>
        <w:rPr>
          <w:rFonts w:ascii="Palatino Linotype" w:eastAsia="Palatino Linotype" w:hAnsi="Palatino Linotype" w:cs="Palatino Linotype"/>
          <w:b/>
        </w:rPr>
      </w:pPr>
      <w:r w:rsidRPr="00BF19FC">
        <w:rPr>
          <w:rFonts w:ascii="Palatino Linotype" w:eastAsia="Palatino Linotype" w:hAnsi="Palatino Linotype" w:cs="Palatino Linotype"/>
          <w:b/>
        </w:rPr>
        <w:t xml:space="preserve"> </w:t>
      </w:r>
    </w:p>
    <w:p w14:paraId="52A111CF" w14:textId="77777777" w:rsidR="00F3139D" w:rsidRPr="00BF19FC" w:rsidRDefault="00C13437">
      <w:pPr>
        <w:shd w:val="clear" w:color="auto" w:fill="FFFFFF"/>
        <w:spacing w:line="392" w:lineRule="auto"/>
        <w:jc w:val="both"/>
        <w:rPr>
          <w:rFonts w:ascii="Palatino Linotype" w:eastAsia="Palatino Linotype" w:hAnsi="Palatino Linotype" w:cs="Palatino Linotype"/>
        </w:rPr>
      </w:pPr>
      <w:r w:rsidRPr="00BF19FC">
        <w:rPr>
          <w:rFonts w:ascii="Palatino Linotype" w:eastAsia="Palatino Linotype" w:hAnsi="Palatino Linotype" w:cs="Palatino Linotype"/>
          <w:i/>
        </w:rPr>
        <w:lastRenderedPageBreak/>
        <w:t>“PLAZO RAZONABLE PARA RESOLVER. CONCEPTO Y ELEMENTOS QUE LO INTEGRAN A LA LUZ DEL DERECHO INTERNACIONAL DE LOS DERECHOS HUMANOS.”</w:t>
      </w:r>
      <w:r w:rsidRPr="00BF19FC">
        <w:rPr>
          <w:rFonts w:ascii="Palatino Linotype" w:eastAsia="Palatino Linotype" w:hAnsi="Palatino Linotype" w:cs="Palatino Linotype"/>
        </w:rPr>
        <w:t>, visible en el Seminario Judicial de la Federación y su gaceta, con el registro digital 2002350.</w:t>
      </w:r>
    </w:p>
    <w:p w14:paraId="083521C5" w14:textId="77777777" w:rsidR="00F3139D" w:rsidRPr="00BF19FC" w:rsidRDefault="00C13437">
      <w:pPr>
        <w:shd w:val="clear" w:color="auto" w:fill="FFFFFF"/>
        <w:spacing w:line="392" w:lineRule="auto"/>
        <w:jc w:val="both"/>
        <w:rPr>
          <w:rFonts w:ascii="Palatino Linotype" w:eastAsia="Palatino Linotype" w:hAnsi="Palatino Linotype" w:cs="Palatino Linotype"/>
          <w:b/>
        </w:rPr>
      </w:pPr>
      <w:r w:rsidRPr="00BF19FC">
        <w:rPr>
          <w:rFonts w:ascii="Palatino Linotype" w:eastAsia="Palatino Linotype" w:hAnsi="Palatino Linotype" w:cs="Palatino Linotype"/>
          <w:b/>
        </w:rPr>
        <w:t xml:space="preserve"> </w:t>
      </w:r>
    </w:p>
    <w:p w14:paraId="795D47CC" w14:textId="77777777" w:rsidR="00F3139D" w:rsidRPr="00BF19FC" w:rsidRDefault="00C13437">
      <w:pPr>
        <w:shd w:val="clear" w:color="auto" w:fill="FFFFFF"/>
        <w:spacing w:line="392"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A985705" w14:textId="77777777" w:rsidR="00F3139D" w:rsidRPr="00BF19FC" w:rsidRDefault="00F3139D">
      <w:pPr>
        <w:spacing w:line="360" w:lineRule="auto"/>
        <w:jc w:val="both"/>
        <w:rPr>
          <w:rFonts w:ascii="Palatino Linotype" w:eastAsia="Palatino Linotype" w:hAnsi="Palatino Linotype" w:cs="Palatino Linotype"/>
        </w:rPr>
      </w:pPr>
    </w:p>
    <w:p w14:paraId="114F22AD" w14:textId="77777777" w:rsidR="00F3139D" w:rsidRPr="00BF19FC" w:rsidRDefault="00C13437">
      <w:pPr>
        <w:spacing w:line="360" w:lineRule="auto"/>
        <w:jc w:val="both"/>
        <w:rPr>
          <w:rFonts w:ascii="Palatino Linotype" w:eastAsia="Palatino Linotype" w:hAnsi="Palatino Linotype" w:cs="Palatino Linotype"/>
          <w:b/>
        </w:rPr>
      </w:pPr>
      <w:r w:rsidRPr="00BF19FC">
        <w:rPr>
          <w:rFonts w:ascii="Palatino Linotype" w:eastAsia="Palatino Linotype" w:hAnsi="Palatino Linotype" w:cs="Palatino Linotype"/>
          <w:b/>
        </w:rPr>
        <w:t>d) Cierre de Instrucción</w:t>
      </w:r>
    </w:p>
    <w:p w14:paraId="23F201BE" w14:textId="77777777" w:rsidR="00F3139D" w:rsidRPr="00BF19FC" w:rsidRDefault="00C1343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Por lo que, una vez analizado el estado procesal que guarda el expediente, en fecha quince de julio de dos mil veintidós, la </w:t>
      </w:r>
      <w:r w:rsidRPr="00BF19FC">
        <w:rPr>
          <w:rFonts w:ascii="Palatino Linotype" w:eastAsia="Palatino Linotype" w:hAnsi="Palatino Linotype" w:cs="Palatino Linotype"/>
          <w:b/>
        </w:rPr>
        <w:t xml:space="preserve">Comisionada Sharon Cristina Morales Martínez </w:t>
      </w:r>
      <w:r w:rsidRPr="00BF19FC">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1639A706" w14:textId="77777777" w:rsidR="00F3139D" w:rsidRPr="00BF19FC" w:rsidRDefault="00F3139D">
      <w:pPr>
        <w:spacing w:line="360" w:lineRule="auto"/>
        <w:jc w:val="both"/>
        <w:rPr>
          <w:rFonts w:ascii="Palatino Linotype" w:eastAsia="Palatino Linotype" w:hAnsi="Palatino Linotype" w:cs="Palatino Linotype"/>
        </w:rPr>
      </w:pPr>
    </w:p>
    <w:p w14:paraId="3CC95238" w14:textId="77777777" w:rsidR="00F3139D" w:rsidRPr="00BF19FC" w:rsidRDefault="00F3139D">
      <w:pPr>
        <w:jc w:val="center"/>
        <w:rPr>
          <w:rFonts w:ascii="Palatino Linotype" w:eastAsia="Palatino Linotype" w:hAnsi="Palatino Linotype" w:cs="Palatino Linotype"/>
          <w:b/>
          <w:sz w:val="28"/>
          <w:szCs w:val="28"/>
        </w:rPr>
      </w:pPr>
    </w:p>
    <w:p w14:paraId="1263FB4C" w14:textId="77777777" w:rsidR="00F3139D" w:rsidRPr="00BF19FC" w:rsidRDefault="00F3139D">
      <w:pPr>
        <w:jc w:val="center"/>
        <w:rPr>
          <w:rFonts w:ascii="Palatino Linotype" w:eastAsia="Palatino Linotype" w:hAnsi="Palatino Linotype" w:cs="Palatino Linotype"/>
          <w:b/>
          <w:sz w:val="28"/>
          <w:szCs w:val="28"/>
        </w:rPr>
      </w:pPr>
    </w:p>
    <w:p w14:paraId="20AC5AFE" w14:textId="77777777" w:rsidR="00F3139D" w:rsidRPr="00BF19FC" w:rsidRDefault="00F3139D">
      <w:pPr>
        <w:jc w:val="center"/>
        <w:rPr>
          <w:rFonts w:ascii="Palatino Linotype" w:eastAsia="Palatino Linotype" w:hAnsi="Palatino Linotype" w:cs="Palatino Linotype"/>
          <w:b/>
          <w:sz w:val="28"/>
          <w:szCs w:val="28"/>
        </w:rPr>
      </w:pPr>
    </w:p>
    <w:p w14:paraId="0F2B8796" w14:textId="77777777" w:rsidR="00F3139D" w:rsidRPr="00BF19FC" w:rsidRDefault="00C13437">
      <w:pPr>
        <w:jc w:val="center"/>
        <w:rPr>
          <w:rFonts w:ascii="Palatino Linotype" w:eastAsia="Palatino Linotype" w:hAnsi="Palatino Linotype" w:cs="Palatino Linotype"/>
          <w:b/>
          <w:sz w:val="28"/>
          <w:szCs w:val="28"/>
        </w:rPr>
      </w:pPr>
      <w:r w:rsidRPr="00BF19FC">
        <w:rPr>
          <w:rFonts w:ascii="Palatino Linotype" w:eastAsia="Palatino Linotype" w:hAnsi="Palatino Linotype" w:cs="Palatino Linotype"/>
          <w:b/>
          <w:sz w:val="28"/>
          <w:szCs w:val="28"/>
        </w:rPr>
        <w:lastRenderedPageBreak/>
        <w:t>CONSIDERANDO</w:t>
      </w:r>
    </w:p>
    <w:p w14:paraId="13FD39A5" w14:textId="77777777" w:rsidR="00F3139D" w:rsidRPr="00BF19FC" w:rsidRDefault="00F3139D">
      <w:pPr>
        <w:jc w:val="center"/>
        <w:rPr>
          <w:rFonts w:ascii="Palatino Linotype" w:eastAsia="Palatino Linotype" w:hAnsi="Palatino Linotype" w:cs="Palatino Linotype"/>
          <w:b/>
          <w:sz w:val="28"/>
          <w:szCs w:val="28"/>
        </w:rPr>
      </w:pPr>
    </w:p>
    <w:p w14:paraId="74993299" w14:textId="77777777" w:rsidR="00F3139D" w:rsidRPr="00BF19FC" w:rsidRDefault="00C13437">
      <w:pPr>
        <w:widowControl w:val="0"/>
        <w:tabs>
          <w:tab w:val="left" w:pos="1701"/>
        </w:tabs>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b/>
          <w:sz w:val="28"/>
          <w:szCs w:val="28"/>
        </w:rPr>
        <w:t>PRIMERO.</w:t>
      </w:r>
      <w:r w:rsidRPr="00BF19FC">
        <w:rPr>
          <w:rFonts w:ascii="Palatino Linotype" w:eastAsia="Palatino Linotype" w:hAnsi="Palatino Linotype" w:cs="Palatino Linotype"/>
          <w:b/>
        </w:rPr>
        <w:t xml:space="preserve"> Competencia</w:t>
      </w:r>
      <w:r w:rsidRPr="00BF19FC">
        <w:rPr>
          <w:rFonts w:ascii="Palatino Linotype" w:eastAsia="Palatino Linotype" w:hAnsi="Palatino Linotype" w:cs="Palatino Linotype"/>
        </w:rPr>
        <w:t>.</w:t>
      </w:r>
      <w:r w:rsidRPr="00BF19FC">
        <w:rPr>
          <w:rFonts w:ascii="Palatino Linotype" w:eastAsia="Palatino Linotype" w:hAnsi="Palatino Linotype" w:cs="Palatino Linotype"/>
          <w:b/>
        </w:rPr>
        <w:t xml:space="preserve"> </w:t>
      </w:r>
    </w:p>
    <w:p w14:paraId="3437189C" w14:textId="77777777" w:rsidR="00F3139D" w:rsidRPr="00BF19FC" w:rsidRDefault="00C13437">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BF19FC">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0B7EA6B" w14:textId="77777777" w:rsidR="00F3139D" w:rsidRPr="00BF19FC" w:rsidRDefault="00F3139D">
      <w:pPr>
        <w:spacing w:line="360" w:lineRule="auto"/>
        <w:jc w:val="both"/>
        <w:rPr>
          <w:rFonts w:ascii="Palatino Linotype" w:eastAsia="Palatino Linotype" w:hAnsi="Palatino Linotype" w:cs="Palatino Linotype"/>
          <w:b/>
          <w:sz w:val="28"/>
          <w:szCs w:val="28"/>
        </w:rPr>
      </w:pPr>
    </w:p>
    <w:p w14:paraId="6AA8EB3A" w14:textId="77777777" w:rsidR="00F3139D" w:rsidRPr="00BF19FC" w:rsidRDefault="00C13437">
      <w:pPr>
        <w:spacing w:line="360" w:lineRule="auto"/>
        <w:jc w:val="both"/>
        <w:rPr>
          <w:rFonts w:ascii="Palatino Linotype" w:eastAsia="Palatino Linotype" w:hAnsi="Palatino Linotype" w:cs="Palatino Linotype"/>
          <w:b/>
        </w:rPr>
      </w:pPr>
      <w:r w:rsidRPr="00BF19FC">
        <w:rPr>
          <w:rFonts w:ascii="Palatino Linotype" w:eastAsia="Palatino Linotype" w:hAnsi="Palatino Linotype" w:cs="Palatino Linotype"/>
          <w:b/>
          <w:sz w:val="28"/>
          <w:szCs w:val="28"/>
        </w:rPr>
        <w:t>SEGUNDO</w:t>
      </w:r>
      <w:r w:rsidRPr="00BF19FC">
        <w:rPr>
          <w:rFonts w:ascii="Palatino Linotype" w:eastAsia="Palatino Linotype" w:hAnsi="Palatino Linotype" w:cs="Palatino Linotype"/>
          <w:b/>
        </w:rPr>
        <w:t xml:space="preserve">. Interés. </w:t>
      </w:r>
    </w:p>
    <w:p w14:paraId="6D550089" w14:textId="77777777" w:rsidR="00F3139D" w:rsidRPr="00BF19FC" w:rsidRDefault="00C13437">
      <w:pPr>
        <w:spacing w:line="360" w:lineRule="auto"/>
        <w:jc w:val="both"/>
        <w:rPr>
          <w:rFonts w:ascii="Palatino Linotype" w:eastAsia="Palatino Linotype" w:hAnsi="Palatino Linotype" w:cs="Palatino Linotype"/>
          <w:b/>
          <w:color w:val="000000"/>
        </w:rPr>
      </w:pPr>
      <w:r w:rsidRPr="00BF19FC">
        <w:rPr>
          <w:rFonts w:ascii="Palatino Linotype" w:eastAsia="Palatino Linotype" w:hAnsi="Palatino Linotype" w:cs="Palatino Linotype"/>
        </w:rPr>
        <w:t>El</w:t>
      </w:r>
      <w:r w:rsidRPr="00BF19FC">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BF19FC">
        <w:rPr>
          <w:rFonts w:ascii="Palatino Linotype" w:eastAsia="Palatino Linotype" w:hAnsi="Palatino Linotype" w:cs="Palatino Linotype"/>
          <w:b/>
        </w:rPr>
        <w:t>EL</w:t>
      </w:r>
      <w:r w:rsidRPr="00BF19FC">
        <w:rPr>
          <w:rFonts w:ascii="Palatino Linotype" w:eastAsia="Palatino Linotype" w:hAnsi="Palatino Linotype" w:cs="Palatino Linotype"/>
          <w:b/>
          <w:color w:val="000000"/>
        </w:rPr>
        <w:t xml:space="preserve"> RECURRENTE,</w:t>
      </w:r>
      <w:r w:rsidRPr="00BF19FC">
        <w:rPr>
          <w:rFonts w:ascii="Palatino Linotype" w:eastAsia="Palatino Linotype" w:hAnsi="Palatino Linotype" w:cs="Palatino Linotype"/>
          <w:color w:val="000000"/>
        </w:rPr>
        <w:t xml:space="preserve"> quien es la misma persona que formuló la solicitud de acceso a la información pública al </w:t>
      </w:r>
      <w:r w:rsidRPr="00BF19FC">
        <w:rPr>
          <w:rFonts w:ascii="Palatino Linotype" w:eastAsia="Palatino Linotype" w:hAnsi="Palatino Linotype" w:cs="Palatino Linotype"/>
          <w:b/>
          <w:color w:val="000000"/>
        </w:rPr>
        <w:t xml:space="preserve">SUJETO OBLIGADO, </w:t>
      </w:r>
      <w:r w:rsidRPr="00BF19FC">
        <w:rPr>
          <w:rFonts w:ascii="Palatino Linotype" w:eastAsia="Palatino Linotype" w:hAnsi="Palatino Linotype" w:cs="Palatino Linotype"/>
          <w:color w:val="000000"/>
        </w:rPr>
        <w:t xml:space="preserve">pues para ello, es necesario que el particular ingrese al </w:t>
      </w:r>
      <w:r w:rsidRPr="00BF19FC">
        <w:rPr>
          <w:rFonts w:ascii="Palatino Linotype" w:eastAsia="Palatino Linotype" w:hAnsi="Palatino Linotype" w:cs="Palatino Linotype"/>
          <w:b/>
          <w:color w:val="000000"/>
        </w:rPr>
        <w:t xml:space="preserve">SAIMEX </w:t>
      </w:r>
      <w:r w:rsidRPr="00BF19FC">
        <w:rPr>
          <w:rFonts w:ascii="Palatino Linotype" w:eastAsia="Palatino Linotype" w:hAnsi="Palatino Linotype" w:cs="Palatino Linotype"/>
          <w:color w:val="000000"/>
        </w:rPr>
        <w:t>mediante la utilización de su clave de usuario y contraseña.</w:t>
      </w:r>
    </w:p>
    <w:p w14:paraId="71027A42" w14:textId="77777777" w:rsidR="00F3139D" w:rsidRPr="00BF19FC" w:rsidRDefault="00F3139D">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071924CD" w14:textId="77777777" w:rsidR="00F3139D" w:rsidRPr="00BF19FC" w:rsidRDefault="00C13437">
      <w:pPr>
        <w:tabs>
          <w:tab w:val="center" w:pos="4252"/>
          <w:tab w:val="right" w:pos="8504"/>
        </w:tabs>
        <w:spacing w:line="360" w:lineRule="auto"/>
        <w:ind w:left="-57"/>
        <w:jc w:val="both"/>
        <w:rPr>
          <w:rFonts w:ascii="Palatino Linotype" w:eastAsia="Palatino Linotype" w:hAnsi="Palatino Linotype" w:cs="Palatino Linotype"/>
          <w:color w:val="000000"/>
        </w:rPr>
      </w:pPr>
      <w:r w:rsidRPr="00BF19FC">
        <w:rPr>
          <w:rFonts w:ascii="Palatino Linotype" w:eastAsia="Palatino Linotype" w:hAnsi="Palatino Linotype" w:cs="Palatino Linotype"/>
          <w:b/>
          <w:sz w:val="28"/>
          <w:szCs w:val="28"/>
        </w:rPr>
        <w:t>TERCERO.</w:t>
      </w:r>
      <w:r w:rsidRPr="00BF19FC">
        <w:rPr>
          <w:rFonts w:ascii="Palatino Linotype" w:eastAsia="Palatino Linotype" w:hAnsi="Palatino Linotype" w:cs="Palatino Linotype"/>
        </w:rPr>
        <w:t xml:space="preserve"> </w:t>
      </w:r>
      <w:r w:rsidRPr="00BF19FC">
        <w:rPr>
          <w:rFonts w:ascii="Palatino Linotype" w:eastAsia="Palatino Linotype" w:hAnsi="Palatino Linotype" w:cs="Palatino Linotype"/>
          <w:b/>
          <w:color w:val="000000"/>
        </w:rPr>
        <w:t>Oportunidad</w:t>
      </w:r>
      <w:r w:rsidRPr="00BF19FC">
        <w:rPr>
          <w:rFonts w:ascii="Palatino Linotype" w:eastAsia="Palatino Linotype" w:hAnsi="Palatino Linotype" w:cs="Palatino Linotype"/>
          <w:color w:val="000000"/>
        </w:rPr>
        <w:t xml:space="preserve">. </w:t>
      </w:r>
    </w:p>
    <w:p w14:paraId="6AA57276" w14:textId="77777777" w:rsidR="00F3139D" w:rsidRPr="00BF19FC" w:rsidRDefault="00C13437">
      <w:pPr>
        <w:widowControl w:val="0"/>
        <w:tabs>
          <w:tab w:val="left" w:pos="1701"/>
        </w:tabs>
        <w:spacing w:line="360" w:lineRule="auto"/>
        <w:ind w:right="49"/>
        <w:jc w:val="both"/>
        <w:rPr>
          <w:rFonts w:ascii="Palatino Linotype" w:eastAsia="Palatino Linotype" w:hAnsi="Palatino Linotype" w:cs="Palatino Linotype"/>
          <w:b/>
        </w:rPr>
      </w:pPr>
      <w:r w:rsidRPr="00BF19FC">
        <w:rPr>
          <w:rFonts w:ascii="Palatino Linotype" w:eastAsia="Palatino Linotype" w:hAnsi="Palatino Linotype" w:cs="Palatino Linotype"/>
        </w:rPr>
        <w:t xml:space="preserve">El Recurso de Revisión fue interpuesto dentro del plazo de quince días hábiles, contados a partir del día siguiente al que </w:t>
      </w:r>
      <w:r w:rsidRPr="00BF19FC">
        <w:rPr>
          <w:rFonts w:ascii="Palatino Linotype" w:eastAsia="Palatino Linotype" w:hAnsi="Palatino Linotype" w:cs="Palatino Linotype"/>
          <w:b/>
        </w:rPr>
        <w:t xml:space="preserve">EL RECURRENTE </w:t>
      </w:r>
      <w:r w:rsidRPr="00BF19FC">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6824F63A" w14:textId="77777777" w:rsidR="00F3139D" w:rsidRPr="00BF19FC" w:rsidRDefault="00F3139D">
      <w:pPr>
        <w:ind w:left="720" w:right="709"/>
        <w:jc w:val="both"/>
        <w:rPr>
          <w:rFonts w:ascii="Palatino Linotype" w:eastAsia="Palatino Linotype" w:hAnsi="Palatino Linotype" w:cs="Palatino Linotype"/>
          <w:i/>
          <w:sz w:val="22"/>
          <w:szCs w:val="22"/>
        </w:rPr>
      </w:pPr>
    </w:p>
    <w:p w14:paraId="6D06F558" w14:textId="77777777" w:rsidR="00F3139D" w:rsidRPr="00BF19FC" w:rsidRDefault="00C13437">
      <w:pPr>
        <w:ind w:left="851" w:right="899"/>
        <w:jc w:val="both"/>
        <w:rPr>
          <w:rFonts w:ascii="Palatino Linotype" w:eastAsia="Palatino Linotype" w:hAnsi="Palatino Linotype" w:cs="Palatino Linotype"/>
          <w:i/>
          <w:sz w:val="22"/>
          <w:szCs w:val="22"/>
        </w:rPr>
      </w:pPr>
      <w:r w:rsidRPr="00BF19FC">
        <w:rPr>
          <w:rFonts w:ascii="Palatino Linotype" w:eastAsia="Palatino Linotype" w:hAnsi="Palatino Linotype" w:cs="Palatino Linotype"/>
          <w:i/>
          <w:sz w:val="22"/>
          <w:szCs w:val="22"/>
        </w:rPr>
        <w:t>“</w:t>
      </w:r>
      <w:r w:rsidRPr="00BF19FC">
        <w:rPr>
          <w:rFonts w:ascii="Palatino Linotype" w:eastAsia="Palatino Linotype" w:hAnsi="Palatino Linotype" w:cs="Palatino Linotype"/>
          <w:b/>
          <w:i/>
          <w:sz w:val="22"/>
          <w:szCs w:val="22"/>
        </w:rPr>
        <w:t>Artículo 178.</w:t>
      </w:r>
      <w:r w:rsidRPr="00BF19FC">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F2ED9" w14:textId="77777777" w:rsidR="00F3139D" w:rsidRPr="00BF19FC" w:rsidRDefault="00F3139D">
      <w:pPr>
        <w:ind w:left="851" w:right="899"/>
        <w:jc w:val="both"/>
        <w:rPr>
          <w:rFonts w:ascii="Palatino Linotype" w:eastAsia="Palatino Linotype" w:hAnsi="Palatino Linotype" w:cs="Palatino Linotype"/>
          <w:i/>
          <w:sz w:val="22"/>
          <w:szCs w:val="22"/>
        </w:rPr>
      </w:pPr>
    </w:p>
    <w:p w14:paraId="5EB51AAA" w14:textId="77777777" w:rsidR="00F3139D" w:rsidRPr="00BF19FC" w:rsidRDefault="00C13437">
      <w:pPr>
        <w:ind w:left="851" w:right="899"/>
        <w:jc w:val="both"/>
        <w:rPr>
          <w:rFonts w:ascii="Palatino Linotype" w:eastAsia="Palatino Linotype" w:hAnsi="Palatino Linotype" w:cs="Palatino Linotype"/>
          <w:i/>
          <w:sz w:val="22"/>
          <w:szCs w:val="22"/>
        </w:rPr>
      </w:pPr>
      <w:r w:rsidRPr="00BF19FC">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4CCD1CF" w14:textId="77777777" w:rsidR="00F3139D" w:rsidRPr="00BF19FC" w:rsidRDefault="00F3139D">
      <w:pPr>
        <w:ind w:left="851" w:right="899"/>
        <w:jc w:val="both"/>
        <w:rPr>
          <w:rFonts w:ascii="Palatino Linotype" w:eastAsia="Palatino Linotype" w:hAnsi="Palatino Linotype" w:cs="Palatino Linotype"/>
          <w:i/>
          <w:sz w:val="22"/>
          <w:szCs w:val="22"/>
        </w:rPr>
      </w:pPr>
    </w:p>
    <w:p w14:paraId="2099DB2D" w14:textId="77777777" w:rsidR="00F3139D" w:rsidRPr="00BF19FC" w:rsidRDefault="00C13437">
      <w:pPr>
        <w:ind w:left="851" w:right="899"/>
        <w:jc w:val="both"/>
        <w:rPr>
          <w:rFonts w:ascii="Palatino Linotype" w:eastAsia="Palatino Linotype" w:hAnsi="Palatino Linotype" w:cs="Palatino Linotype"/>
          <w:i/>
          <w:sz w:val="22"/>
          <w:szCs w:val="22"/>
        </w:rPr>
      </w:pPr>
      <w:r w:rsidRPr="00BF19FC">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497A132E" w14:textId="77777777" w:rsidR="00F3139D" w:rsidRPr="00BF19FC" w:rsidRDefault="00F3139D">
      <w:pPr>
        <w:ind w:left="720" w:right="709"/>
        <w:jc w:val="both"/>
        <w:rPr>
          <w:rFonts w:ascii="Palatino Linotype" w:eastAsia="Palatino Linotype" w:hAnsi="Palatino Linotype" w:cs="Palatino Linotype"/>
          <w:i/>
          <w:sz w:val="22"/>
          <w:szCs w:val="22"/>
        </w:rPr>
      </w:pPr>
    </w:p>
    <w:p w14:paraId="6B3EB0A3" w14:textId="77777777" w:rsidR="00F3139D" w:rsidRPr="00BF19FC" w:rsidRDefault="00C13437">
      <w:pPr>
        <w:spacing w:line="360" w:lineRule="auto"/>
        <w:jc w:val="both"/>
        <w:rPr>
          <w:rFonts w:ascii="Palatino Linotype" w:eastAsia="Palatino Linotype" w:hAnsi="Palatino Linotype" w:cs="Palatino Linotype"/>
        </w:rPr>
      </w:pPr>
      <w:bookmarkStart w:id="4" w:name="_heading=h.2et92p0" w:colFirst="0" w:colLast="0"/>
      <w:bookmarkEnd w:id="4"/>
      <w:r w:rsidRPr="00BF19FC">
        <w:rPr>
          <w:rFonts w:ascii="Palatino Linotype" w:eastAsia="Palatino Linotype" w:hAnsi="Palatino Linotype" w:cs="Palatino Linotype"/>
        </w:rPr>
        <w:t xml:space="preserve">En esa tesitura, atendiendo a que </w:t>
      </w:r>
      <w:r w:rsidRPr="00BF19FC">
        <w:rPr>
          <w:rFonts w:ascii="Palatino Linotype" w:eastAsia="Palatino Linotype" w:hAnsi="Palatino Linotype" w:cs="Palatino Linotype"/>
          <w:b/>
        </w:rPr>
        <w:t>EL SUJETO OBLIGADO</w:t>
      </w:r>
      <w:r w:rsidRPr="00BF19FC">
        <w:rPr>
          <w:rFonts w:ascii="Palatino Linotype" w:eastAsia="Palatino Linotype" w:hAnsi="Palatino Linotype" w:cs="Palatino Linotype"/>
        </w:rPr>
        <w:t xml:space="preserve"> notificó la respuesta a la solicitud de acceso a la información pública el día</w:t>
      </w:r>
      <w:r w:rsidRPr="00BF19FC">
        <w:rPr>
          <w:rFonts w:ascii="Palatino Linotype" w:eastAsia="Palatino Linotype" w:hAnsi="Palatino Linotype" w:cs="Palatino Linotype"/>
          <w:b/>
        </w:rPr>
        <w:t xml:space="preserve"> veintisiete de abril de dos mil veintidós</w:t>
      </w:r>
      <w:r w:rsidRPr="00BF19FC">
        <w:rPr>
          <w:rFonts w:ascii="Palatino Linotype" w:eastAsia="Palatino Linotype" w:hAnsi="Palatino Linotype" w:cs="Palatino Linotype"/>
        </w:rPr>
        <w:t xml:space="preserve">, así el plazo de quince días hábiles que el artículo 178 de la Ley de la materia otorga al </w:t>
      </w:r>
      <w:r w:rsidRPr="00BF19FC">
        <w:rPr>
          <w:rFonts w:ascii="Palatino Linotype" w:eastAsia="Palatino Linotype" w:hAnsi="Palatino Linotype" w:cs="Palatino Linotype"/>
          <w:b/>
        </w:rPr>
        <w:t xml:space="preserve"> RECURRENTE</w:t>
      </w:r>
      <w:r w:rsidRPr="00BF19FC">
        <w:rPr>
          <w:rFonts w:ascii="Palatino Linotype" w:eastAsia="Palatino Linotype" w:hAnsi="Palatino Linotype" w:cs="Palatino Linotype"/>
        </w:rPr>
        <w:t xml:space="preserve"> para presentar el respectivo Recurso de Revisión, transcurrió </w:t>
      </w:r>
      <w:r w:rsidRPr="00BF19FC">
        <w:rPr>
          <w:rFonts w:ascii="Palatino Linotype" w:eastAsia="Palatino Linotype" w:hAnsi="Palatino Linotype" w:cs="Palatino Linotype"/>
        </w:rPr>
        <w:lastRenderedPageBreak/>
        <w:t xml:space="preserve">del </w:t>
      </w:r>
      <w:r w:rsidRPr="00BF19FC">
        <w:rPr>
          <w:rFonts w:ascii="Palatino Linotype" w:eastAsia="Palatino Linotype" w:hAnsi="Palatino Linotype" w:cs="Palatino Linotype"/>
          <w:b/>
        </w:rPr>
        <w:t>veintiocho de abril</w:t>
      </w:r>
      <w:r w:rsidRPr="00BF19FC">
        <w:rPr>
          <w:rFonts w:ascii="Palatino Linotype" w:eastAsia="Palatino Linotype" w:hAnsi="Palatino Linotype" w:cs="Palatino Linotype"/>
        </w:rPr>
        <w:t xml:space="preserve"> </w:t>
      </w:r>
      <w:r w:rsidRPr="00BF19FC">
        <w:rPr>
          <w:rFonts w:ascii="Palatino Linotype" w:eastAsia="Palatino Linotype" w:hAnsi="Palatino Linotype" w:cs="Palatino Linotype"/>
          <w:b/>
        </w:rPr>
        <w:t xml:space="preserve">al diecinueve de mayo de dos mil veintidós, </w:t>
      </w:r>
      <w:r w:rsidRPr="00BF19FC">
        <w:rPr>
          <w:rFonts w:ascii="Palatino Linotype" w:eastAsia="Palatino Linotype" w:hAnsi="Palatino Linotype" w:cs="Palatino Linotype"/>
        </w:rPr>
        <w:t>sin contemplar en el cómputo el día treinta de abril así como uno, siete, ocho, catorce y quince de mayo, por corresponder a sábados y domingos, considerados como días inhábiles, en términos del artículo 3, fracción X de la Ley de Transparencia y Acceso a la Información Pública del Estado de México y Municipios. Exceptuando además de dicho plazo el día cinco de mayo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BF19FC">
        <w:rPr>
          <w:rFonts w:ascii="Palatino Linotype" w:eastAsia="Palatino Linotype" w:hAnsi="Palatino Linotype" w:cs="Palatino Linotype"/>
          <w:vertAlign w:val="superscript"/>
        </w:rPr>
        <w:footnoteReference w:id="1"/>
      </w:r>
      <w:r w:rsidRPr="00BF19FC">
        <w:rPr>
          <w:rFonts w:ascii="Palatino Linotype" w:eastAsia="Palatino Linotype" w:hAnsi="Palatino Linotype" w:cs="Palatino Linotype"/>
        </w:rPr>
        <w:t>.</w:t>
      </w:r>
    </w:p>
    <w:p w14:paraId="5F0B50C1" w14:textId="77777777" w:rsidR="00F3139D" w:rsidRPr="00BF19FC" w:rsidRDefault="00F3139D">
      <w:pPr>
        <w:spacing w:line="360" w:lineRule="auto"/>
        <w:jc w:val="both"/>
        <w:rPr>
          <w:rFonts w:ascii="Palatino Linotype" w:eastAsia="Palatino Linotype" w:hAnsi="Palatino Linotype" w:cs="Palatino Linotype"/>
        </w:rPr>
      </w:pPr>
      <w:bookmarkStart w:id="5" w:name="_heading=h.orkc3o7h9xbv" w:colFirst="0" w:colLast="0"/>
      <w:bookmarkEnd w:id="5"/>
    </w:p>
    <w:p w14:paraId="5025D98C" w14:textId="77777777" w:rsidR="00F3139D" w:rsidRPr="00BF19FC" w:rsidRDefault="00C13437">
      <w:pPr>
        <w:spacing w:line="360" w:lineRule="auto"/>
        <w:ind w:left="-5" w:hanging="10"/>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En ese tenor, se advierte que </w:t>
      </w:r>
      <w:r w:rsidRPr="00BF19FC">
        <w:rPr>
          <w:rFonts w:ascii="Palatino Linotype" w:eastAsia="Palatino Linotype" w:hAnsi="Palatino Linotype" w:cs="Palatino Linotype"/>
          <w:b/>
        </w:rPr>
        <w:t>EL RECURRENTE</w:t>
      </w:r>
      <w:r w:rsidRPr="00BF19FC">
        <w:rPr>
          <w:rFonts w:ascii="Palatino Linotype" w:eastAsia="Palatino Linotype" w:hAnsi="Palatino Linotype" w:cs="Palatino Linotype"/>
        </w:rPr>
        <w:t xml:space="preserve"> presentó el medio de impugnación, el  día tres de mayo de dos mil veintidós, luego entonces debe considerarse en tiempo.</w:t>
      </w:r>
    </w:p>
    <w:p w14:paraId="5717BD1B" w14:textId="77777777" w:rsidR="00F3139D" w:rsidRPr="00BF19FC" w:rsidRDefault="00F3139D">
      <w:pPr>
        <w:spacing w:line="360" w:lineRule="auto"/>
        <w:ind w:left="-5" w:hanging="10"/>
        <w:jc w:val="both"/>
        <w:rPr>
          <w:rFonts w:ascii="Palatino Linotype" w:eastAsia="Palatino Linotype" w:hAnsi="Palatino Linotype" w:cs="Palatino Linotype"/>
        </w:rPr>
      </w:pPr>
    </w:p>
    <w:p w14:paraId="44BE8834" w14:textId="77777777" w:rsidR="00F3139D" w:rsidRPr="00BF19FC" w:rsidRDefault="00C13437">
      <w:pPr>
        <w:spacing w:line="360" w:lineRule="auto"/>
        <w:ind w:right="49"/>
        <w:jc w:val="both"/>
        <w:rPr>
          <w:rFonts w:ascii="Palatino Linotype" w:eastAsia="Palatino Linotype" w:hAnsi="Palatino Linotype" w:cs="Palatino Linotype"/>
          <w:b/>
        </w:rPr>
      </w:pPr>
      <w:r w:rsidRPr="00BF19FC">
        <w:rPr>
          <w:rFonts w:ascii="Palatino Linotype" w:eastAsia="Palatino Linotype" w:hAnsi="Palatino Linotype" w:cs="Palatino Linotype"/>
          <w:b/>
          <w:sz w:val="28"/>
          <w:szCs w:val="28"/>
        </w:rPr>
        <w:t>CUARTO</w:t>
      </w:r>
      <w:r w:rsidRPr="00BF19FC">
        <w:rPr>
          <w:rFonts w:ascii="Palatino Linotype" w:eastAsia="Palatino Linotype" w:hAnsi="Palatino Linotype" w:cs="Palatino Linotype"/>
          <w:b/>
        </w:rPr>
        <w:t xml:space="preserve">. Procedibilidad. </w:t>
      </w:r>
    </w:p>
    <w:p w14:paraId="5C7C1319" w14:textId="77777777" w:rsidR="00F3139D" w:rsidRPr="00BF19FC" w:rsidRDefault="00C13437">
      <w:pPr>
        <w:spacing w:line="360" w:lineRule="auto"/>
        <w:ind w:right="49"/>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w:t>
      </w:r>
      <w:r w:rsidRPr="00BF19FC">
        <w:rPr>
          <w:rFonts w:ascii="Palatino Linotype" w:eastAsia="Palatino Linotype" w:hAnsi="Palatino Linotype" w:cs="Palatino Linotype"/>
        </w:rPr>
        <w:lastRenderedPageBreak/>
        <w:t xml:space="preserve">Estado de México y Municipios, que prevé cuando las solicitudes se presenten de manera electrónica no es requisito indispensable el proporcionar el nombre, tal como se muestra a continuación: </w:t>
      </w:r>
    </w:p>
    <w:p w14:paraId="1EF5889D" w14:textId="77777777" w:rsidR="00F3139D" w:rsidRPr="00BF19FC" w:rsidRDefault="00F3139D">
      <w:pPr>
        <w:ind w:right="49"/>
        <w:jc w:val="both"/>
        <w:rPr>
          <w:rFonts w:ascii="Palatino Linotype" w:eastAsia="Palatino Linotype" w:hAnsi="Palatino Linotype" w:cs="Palatino Linotype"/>
        </w:rPr>
      </w:pPr>
    </w:p>
    <w:p w14:paraId="4C86C367" w14:textId="77777777" w:rsidR="00F3139D" w:rsidRPr="00BF19FC" w:rsidRDefault="00C13437">
      <w:pPr>
        <w:tabs>
          <w:tab w:val="left" w:pos="851"/>
        </w:tabs>
        <w:ind w:left="851" w:right="901"/>
        <w:jc w:val="both"/>
        <w:rPr>
          <w:rFonts w:ascii="Palatino Linotype" w:eastAsia="Palatino Linotype" w:hAnsi="Palatino Linotype" w:cs="Palatino Linotype"/>
          <w:b/>
          <w:i/>
          <w:sz w:val="22"/>
          <w:szCs w:val="22"/>
        </w:rPr>
      </w:pPr>
      <w:r w:rsidRPr="00BF19FC">
        <w:rPr>
          <w:rFonts w:ascii="Palatino Linotype" w:eastAsia="Palatino Linotype" w:hAnsi="Palatino Linotype" w:cs="Palatino Linotype"/>
          <w:b/>
          <w:i/>
          <w:sz w:val="22"/>
          <w:szCs w:val="22"/>
        </w:rPr>
        <w:t xml:space="preserve">“Artículo 180. </w:t>
      </w:r>
      <w:r w:rsidRPr="00BF19FC">
        <w:rPr>
          <w:rFonts w:ascii="Palatino Linotype" w:eastAsia="Palatino Linotype" w:hAnsi="Palatino Linotype" w:cs="Palatino Linotype"/>
          <w:i/>
          <w:sz w:val="22"/>
          <w:szCs w:val="22"/>
        </w:rPr>
        <w:t>El Recurso de Revisión contendrá:</w:t>
      </w:r>
      <w:r w:rsidRPr="00BF19FC">
        <w:rPr>
          <w:rFonts w:ascii="Palatino Linotype" w:eastAsia="Palatino Linotype" w:hAnsi="Palatino Linotype" w:cs="Palatino Linotype"/>
          <w:b/>
          <w:i/>
          <w:sz w:val="22"/>
          <w:szCs w:val="22"/>
        </w:rPr>
        <w:t xml:space="preserve"> </w:t>
      </w:r>
    </w:p>
    <w:p w14:paraId="6903347C" w14:textId="77777777" w:rsidR="00F3139D" w:rsidRPr="00BF19FC" w:rsidRDefault="00C13437">
      <w:pPr>
        <w:tabs>
          <w:tab w:val="left" w:pos="851"/>
        </w:tabs>
        <w:ind w:left="851" w:right="901"/>
        <w:jc w:val="both"/>
        <w:rPr>
          <w:rFonts w:ascii="Palatino Linotype" w:eastAsia="Palatino Linotype" w:hAnsi="Palatino Linotype" w:cs="Palatino Linotype"/>
          <w:b/>
          <w:i/>
          <w:sz w:val="22"/>
          <w:szCs w:val="22"/>
        </w:rPr>
      </w:pPr>
      <w:r w:rsidRPr="00BF19FC">
        <w:rPr>
          <w:rFonts w:ascii="Palatino Linotype" w:eastAsia="Palatino Linotype" w:hAnsi="Palatino Linotype" w:cs="Palatino Linotype"/>
          <w:b/>
          <w:i/>
          <w:sz w:val="22"/>
          <w:szCs w:val="22"/>
        </w:rPr>
        <w:t>…</w:t>
      </w:r>
    </w:p>
    <w:p w14:paraId="3B0172BB" w14:textId="77777777" w:rsidR="00F3139D" w:rsidRPr="00BF19FC" w:rsidRDefault="00C13437">
      <w:pPr>
        <w:tabs>
          <w:tab w:val="left" w:pos="851"/>
        </w:tabs>
        <w:ind w:left="851" w:right="901"/>
        <w:jc w:val="both"/>
        <w:rPr>
          <w:rFonts w:ascii="Palatino Linotype" w:eastAsia="Palatino Linotype" w:hAnsi="Palatino Linotype" w:cs="Palatino Linotype"/>
          <w:i/>
          <w:sz w:val="22"/>
          <w:szCs w:val="22"/>
        </w:rPr>
      </w:pPr>
      <w:r w:rsidRPr="00BF19FC">
        <w:rPr>
          <w:rFonts w:ascii="Palatino Linotype" w:eastAsia="Palatino Linotype" w:hAnsi="Palatino Linotype" w:cs="Palatino Linotype"/>
          <w:b/>
          <w:i/>
          <w:sz w:val="22"/>
          <w:szCs w:val="22"/>
        </w:rPr>
        <w:t xml:space="preserve">II. El nombre del solicitante que recurre </w:t>
      </w:r>
      <w:r w:rsidRPr="00BF19FC">
        <w:rPr>
          <w:rFonts w:ascii="Palatino Linotype" w:eastAsia="Palatino Linotype" w:hAnsi="Palatino Linotype" w:cs="Palatino Linotype"/>
          <w:i/>
          <w:sz w:val="22"/>
          <w:szCs w:val="22"/>
        </w:rPr>
        <w:t>o de su representante y, en su caso, …</w:t>
      </w:r>
    </w:p>
    <w:p w14:paraId="419B492C" w14:textId="77777777" w:rsidR="00F3139D" w:rsidRPr="00BF19FC" w:rsidRDefault="00C13437">
      <w:pPr>
        <w:tabs>
          <w:tab w:val="left" w:pos="851"/>
        </w:tabs>
        <w:ind w:left="851" w:right="901"/>
        <w:jc w:val="both"/>
        <w:rPr>
          <w:rFonts w:ascii="Palatino Linotype" w:eastAsia="Palatino Linotype" w:hAnsi="Palatino Linotype" w:cs="Palatino Linotype"/>
          <w:b/>
          <w:i/>
          <w:sz w:val="22"/>
          <w:szCs w:val="22"/>
        </w:rPr>
      </w:pPr>
      <w:r w:rsidRPr="00BF19FC">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BF19FC">
        <w:rPr>
          <w:rFonts w:ascii="Palatino Linotype" w:eastAsia="Palatino Linotype" w:hAnsi="Palatino Linotype" w:cs="Palatino Linotype"/>
          <w:i/>
          <w:sz w:val="22"/>
          <w:szCs w:val="22"/>
        </w:rPr>
        <w:t>, IV, VII y VIII.</w:t>
      </w:r>
      <w:r w:rsidRPr="00BF19FC">
        <w:rPr>
          <w:rFonts w:ascii="Palatino Linotype" w:eastAsia="Palatino Linotype" w:hAnsi="Palatino Linotype" w:cs="Palatino Linotype"/>
          <w:b/>
          <w:i/>
          <w:sz w:val="22"/>
          <w:szCs w:val="22"/>
        </w:rPr>
        <w:t>”</w:t>
      </w:r>
    </w:p>
    <w:p w14:paraId="7D5303A2" w14:textId="77777777" w:rsidR="00F3139D" w:rsidRPr="00BF19FC" w:rsidRDefault="00C13437">
      <w:pPr>
        <w:tabs>
          <w:tab w:val="left" w:pos="851"/>
        </w:tabs>
        <w:ind w:left="851" w:right="901"/>
        <w:jc w:val="both"/>
        <w:rPr>
          <w:rFonts w:ascii="Palatino Linotype" w:eastAsia="Palatino Linotype" w:hAnsi="Palatino Linotype" w:cs="Palatino Linotype"/>
          <w:i/>
          <w:sz w:val="22"/>
          <w:szCs w:val="22"/>
        </w:rPr>
      </w:pPr>
      <w:r w:rsidRPr="00BF19FC">
        <w:rPr>
          <w:rFonts w:ascii="Palatino Linotype" w:eastAsia="Palatino Linotype" w:hAnsi="Palatino Linotype" w:cs="Palatino Linotype"/>
          <w:i/>
          <w:sz w:val="22"/>
          <w:szCs w:val="22"/>
        </w:rPr>
        <w:t>(Énfasis añadido)</w:t>
      </w:r>
    </w:p>
    <w:p w14:paraId="74BF5835" w14:textId="77777777" w:rsidR="00F3139D" w:rsidRPr="00BF19FC" w:rsidRDefault="00F3139D">
      <w:pPr>
        <w:tabs>
          <w:tab w:val="left" w:pos="851"/>
        </w:tabs>
        <w:ind w:right="901"/>
        <w:jc w:val="both"/>
        <w:rPr>
          <w:rFonts w:ascii="Palatino Linotype" w:eastAsia="Palatino Linotype" w:hAnsi="Palatino Linotype" w:cs="Palatino Linotype"/>
          <w:i/>
          <w:sz w:val="22"/>
          <w:szCs w:val="22"/>
        </w:rPr>
      </w:pPr>
    </w:p>
    <w:p w14:paraId="6BA7DAEB" w14:textId="77777777" w:rsidR="00F3139D" w:rsidRPr="00BF19FC" w:rsidRDefault="00C13437">
      <w:pPr>
        <w:spacing w:line="360" w:lineRule="auto"/>
        <w:jc w:val="both"/>
        <w:rPr>
          <w:rFonts w:ascii="Palatino Linotype" w:eastAsia="Palatino Linotype" w:hAnsi="Palatino Linotype" w:cs="Palatino Linotype"/>
          <w:b/>
        </w:rPr>
      </w:pPr>
      <w:r w:rsidRPr="00BF19FC">
        <w:rPr>
          <w:rFonts w:ascii="Palatino Linotype" w:eastAsia="Palatino Linotype" w:hAnsi="Palatino Linotype" w:cs="Palatino Linotype"/>
        </w:rPr>
        <w:t>Por lo que, derivado que el Recurso de Revisión materia del presente asunto, se interpuso de manera electrónica, no es necesario que contenga determinados requisitos, entre ellos, el nombre del</w:t>
      </w:r>
      <w:r w:rsidRPr="00BF19FC">
        <w:rPr>
          <w:rFonts w:ascii="Palatino Linotype" w:eastAsia="Palatino Linotype" w:hAnsi="Palatino Linotype" w:cs="Palatino Linotype"/>
          <w:b/>
        </w:rPr>
        <w:t xml:space="preserve">  RECURRENTE;</w:t>
      </w:r>
      <w:r w:rsidRPr="00BF19FC">
        <w:rPr>
          <w:rFonts w:ascii="Palatino Linotype" w:eastAsia="Palatino Linotype" w:hAnsi="Palatino Linotype" w:cs="Palatino Linotype"/>
        </w:rPr>
        <w:t xml:space="preserve"> por lo que, en el presente caso, al haber sido presentado el Recurso de Revisión vía </w:t>
      </w:r>
      <w:r w:rsidRPr="00BF19FC">
        <w:rPr>
          <w:rFonts w:ascii="Palatino Linotype" w:eastAsia="Palatino Linotype" w:hAnsi="Palatino Linotype" w:cs="Palatino Linotype"/>
          <w:b/>
        </w:rPr>
        <w:t>SAIMEX</w:t>
      </w:r>
      <w:r w:rsidRPr="00BF19FC">
        <w:rPr>
          <w:rFonts w:ascii="Palatino Linotype" w:eastAsia="Palatino Linotype" w:hAnsi="Palatino Linotype" w:cs="Palatino Linotype"/>
        </w:rPr>
        <w:t>, dicho requisito resulta innecesario.</w:t>
      </w:r>
    </w:p>
    <w:p w14:paraId="21865858" w14:textId="77777777" w:rsidR="00F3139D" w:rsidRPr="00BF19FC" w:rsidRDefault="00F3139D">
      <w:pPr>
        <w:spacing w:line="360" w:lineRule="auto"/>
        <w:jc w:val="both"/>
        <w:rPr>
          <w:rFonts w:ascii="Palatino Linotype" w:eastAsia="Palatino Linotype" w:hAnsi="Palatino Linotype" w:cs="Palatino Linotype"/>
        </w:rPr>
      </w:pPr>
    </w:p>
    <w:p w14:paraId="39F7DBE5" w14:textId="77777777" w:rsidR="00F3139D" w:rsidRPr="00BF19FC" w:rsidRDefault="00C1343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BF19FC">
        <w:rPr>
          <w:rFonts w:ascii="Palatino Linotype" w:eastAsia="Palatino Linotype" w:hAnsi="Palatino Linotype" w:cs="Palatino Linotype"/>
          <w:b/>
          <w:u w:val="single"/>
        </w:rPr>
        <w:t xml:space="preserve">el nombre no es un requisito </w:t>
      </w:r>
      <w:r w:rsidRPr="00BF19FC">
        <w:rPr>
          <w:rFonts w:ascii="Palatino Linotype" w:eastAsia="Palatino Linotype" w:hAnsi="Palatino Linotype" w:cs="Palatino Linotype"/>
          <w:b/>
          <w:i/>
          <w:u w:val="single"/>
        </w:rPr>
        <w:t>sine qua non</w:t>
      </w:r>
      <w:r w:rsidRPr="00BF19FC">
        <w:rPr>
          <w:rFonts w:ascii="Palatino Linotype" w:eastAsia="Palatino Linotype" w:hAnsi="Palatino Linotype" w:cs="Palatino Linotype"/>
        </w:rPr>
        <w:t xml:space="preserve"> para que los particulares ejerzan el derecho </w:t>
      </w:r>
      <w:r w:rsidRPr="00BF19FC">
        <w:rPr>
          <w:rFonts w:ascii="Palatino Linotype" w:eastAsia="Palatino Linotype" w:hAnsi="Palatino Linotype" w:cs="Palatino Linotype"/>
        </w:rPr>
        <w:lastRenderedPageBreak/>
        <w:t>de acceso a la información pública, pues por el contrario la Ley de la materia prevé en su artículo 155, párrafo segundo la posibilidad de que las solicitudes de información sean anónimas, al utilizar un nombre incompleto o, inclusive un seudónimo.</w:t>
      </w:r>
    </w:p>
    <w:p w14:paraId="74BBB54F" w14:textId="77777777" w:rsidR="00F3139D" w:rsidRPr="00BF19FC" w:rsidRDefault="00F3139D">
      <w:pPr>
        <w:spacing w:line="360" w:lineRule="auto"/>
        <w:jc w:val="both"/>
        <w:rPr>
          <w:rFonts w:ascii="Palatino Linotype" w:eastAsia="Palatino Linotype" w:hAnsi="Palatino Linotype" w:cs="Palatino Linotype"/>
        </w:rPr>
      </w:pPr>
    </w:p>
    <w:p w14:paraId="60277EB9" w14:textId="77777777" w:rsidR="00F3139D" w:rsidRPr="00BF19FC" w:rsidRDefault="00C13437">
      <w:pPr>
        <w:spacing w:line="360" w:lineRule="auto"/>
        <w:jc w:val="both"/>
        <w:rPr>
          <w:rFonts w:ascii="Palatino Linotype" w:eastAsia="Palatino Linotype" w:hAnsi="Palatino Linotype" w:cs="Palatino Linotype"/>
          <w:sz w:val="22"/>
          <w:szCs w:val="22"/>
        </w:rPr>
      </w:pPr>
      <w:r w:rsidRPr="00BF19FC">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635761E" w14:textId="77777777" w:rsidR="00F3139D" w:rsidRPr="00BF19FC" w:rsidRDefault="00F3139D">
      <w:pPr>
        <w:tabs>
          <w:tab w:val="left" w:pos="851"/>
        </w:tabs>
        <w:spacing w:line="360" w:lineRule="auto"/>
        <w:ind w:left="851" w:right="901"/>
        <w:jc w:val="both"/>
        <w:rPr>
          <w:rFonts w:ascii="Palatino Linotype" w:eastAsia="Palatino Linotype" w:hAnsi="Palatino Linotype" w:cs="Palatino Linotype"/>
          <w:sz w:val="22"/>
          <w:szCs w:val="22"/>
        </w:rPr>
      </w:pPr>
    </w:p>
    <w:p w14:paraId="2C0140DB" w14:textId="77777777" w:rsidR="00F3139D" w:rsidRPr="00BF19FC" w:rsidRDefault="00C1343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Asimismo, se estima que el requisito relativo al nombre del </w:t>
      </w:r>
      <w:r w:rsidRPr="00BF19FC">
        <w:rPr>
          <w:rFonts w:ascii="Palatino Linotype" w:eastAsia="Palatino Linotype" w:hAnsi="Palatino Linotype" w:cs="Palatino Linotype"/>
          <w:b/>
        </w:rPr>
        <w:t>RECURRENTE</w:t>
      </w:r>
      <w:r w:rsidRPr="00BF19FC">
        <w:rPr>
          <w:rFonts w:ascii="Palatino Linotype" w:eastAsia="Palatino Linotype" w:hAnsi="Palatino Linotype" w:cs="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w:t>
      </w:r>
      <w:r w:rsidRPr="00BF19FC">
        <w:rPr>
          <w:rFonts w:ascii="Palatino Linotype" w:eastAsia="Palatino Linotype" w:hAnsi="Palatino Linotype" w:cs="Palatino Linotype"/>
        </w:rPr>
        <w:lastRenderedPageBreak/>
        <w:t xml:space="preserve">Revisión, circunstancia que se acredita en las constancias electrónicas del expediente, de las que se desprende que </w:t>
      </w:r>
      <w:r w:rsidRPr="00BF19FC">
        <w:rPr>
          <w:rFonts w:ascii="Palatino Linotype" w:eastAsia="Palatino Linotype" w:hAnsi="Palatino Linotype" w:cs="Palatino Linotype"/>
          <w:b/>
        </w:rPr>
        <w:t>EL RECURRENTE</w:t>
      </w:r>
      <w:r w:rsidRPr="00BF19FC">
        <w:rPr>
          <w:rFonts w:ascii="Palatino Linotype" w:eastAsia="Palatino Linotype" w:hAnsi="Palatino Linotype" w:cs="Palatino Linotype"/>
        </w:rPr>
        <w:t xml:space="preserve"> es la misma persona que realizó la solicitud de acceso a la información pública que ahora se impugna.</w:t>
      </w:r>
    </w:p>
    <w:p w14:paraId="4721D0DF" w14:textId="77777777" w:rsidR="00F3139D" w:rsidRPr="00BF19FC" w:rsidRDefault="00F3139D">
      <w:pPr>
        <w:tabs>
          <w:tab w:val="left" w:pos="851"/>
        </w:tabs>
        <w:spacing w:line="360" w:lineRule="auto"/>
        <w:ind w:left="851" w:right="901"/>
        <w:jc w:val="both"/>
        <w:rPr>
          <w:rFonts w:ascii="Palatino Linotype" w:eastAsia="Palatino Linotype" w:hAnsi="Palatino Linotype" w:cs="Palatino Linotype"/>
          <w:sz w:val="22"/>
          <w:szCs w:val="22"/>
        </w:rPr>
      </w:pPr>
    </w:p>
    <w:p w14:paraId="7756E781" w14:textId="77777777" w:rsidR="00F3139D" w:rsidRPr="00BF19FC" w:rsidRDefault="00C1343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5BFC40AA" w14:textId="77777777" w:rsidR="00F3139D" w:rsidRPr="00BF19FC" w:rsidRDefault="00F3139D">
      <w:pPr>
        <w:spacing w:line="360" w:lineRule="auto"/>
        <w:jc w:val="both"/>
        <w:rPr>
          <w:rFonts w:ascii="Palatino Linotype" w:eastAsia="Palatino Linotype" w:hAnsi="Palatino Linotype" w:cs="Palatino Linotype"/>
        </w:rPr>
      </w:pPr>
    </w:p>
    <w:p w14:paraId="77499CE3" w14:textId="77777777" w:rsidR="00F3139D" w:rsidRPr="00BF19FC" w:rsidRDefault="00C13437">
      <w:pPr>
        <w:spacing w:line="360" w:lineRule="auto"/>
        <w:jc w:val="both"/>
        <w:rPr>
          <w:rFonts w:ascii="Palatino Linotype" w:eastAsia="Palatino Linotype" w:hAnsi="Palatino Linotype" w:cs="Palatino Linotype"/>
          <w:b/>
        </w:rPr>
      </w:pPr>
      <w:r w:rsidRPr="00BF19FC">
        <w:rPr>
          <w:rFonts w:ascii="Palatino Linotype" w:eastAsia="Palatino Linotype" w:hAnsi="Palatino Linotype" w:cs="Palatino Linotype"/>
          <w:b/>
          <w:sz w:val="28"/>
          <w:szCs w:val="28"/>
        </w:rPr>
        <w:t>QUINTO</w:t>
      </w:r>
      <w:r w:rsidRPr="00BF19FC">
        <w:rPr>
          <w:rFonts w:ascii="Palatino Linotype" w:eastAsia="Palatino Linotype" w:hAnsi="Palatino Linotype" w:cs="Palatino Linotype"/>
          <w:b/>
        </w:rPr>
        <w:t xml:space="preserve">. Estudio y resolución del asunto. </w:t>
      </w:r>
    </w:p>
    <w:p w14:paraId="5E149637" w14:textId="77777777" w:rsidR="00F3139D" w:rsidRPr="00BF19FC" w:rsidRDefault="00C13437">
      <w:pPr>
        <w:tabs>
          <w:tab w:val="left" w:pos="709"/>
        </w:tabs>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En primera instancia es importante precisar que, </w:t>
      </w:r>
      <w:r w:rsidRPr="00BF19FC">
        <w:rPr>
          <w:rFonts w:ascii="Palatino Linotype" w:eastAsia="Palatino Linotype" w:hAnsi="Palatino Linotype" w:cs="Palatino Linotype"/>
          <w:b/>
        </w:rPr>
        <w:t>EL RECURRENTE</w:t>
      </w:r>
      <w:r w:rsidRPr="00BF19FC">
        <w:rPr>
          <w:rFonts w:ascii="Palatino Linotype" w:eastAsia="Palatino Linotype" w:hAnsi="Palatino Linotype" w:cs="Palatino Linotype"/>
        </w:rPr>
        <w:t xml:space="preserve"> solicitó al </w:t>
      </w:r>
      <w:r w:rsidRPr="00BF19FC">
        <w:rPr>
          <w:rFonts w:ascii="Palatino Linotype" w:eastAsia="Palatino Linotype" w:hAnsi="Palatino Linotype" w:cs="Palatino Linotype"/>
          <w:b/>
        </w:rPr>
        <w:t>SUJETO OBLIGADO</w:t>
      </w:r>
      <w:r w:rsidRPr="00BF19FC">
        <w:rPr>
          <w:rFonts w:ascii="Palatino Linotype" w:eastAsia="Palatino Linotype" w:hAnsi="Palatino Linotype" w:cs="Palatino Linotype"/>
        </w:rPr>
        <w:t xml:space="preserve"> lo que a continuación se desagrega: </w:t>
      </w:r>
    </w:p>
    <w:p w14:paraId="56D3AF98" w14:textId="77777777" w:rsidR="00F3139D" w:rsidRPr="00BF19FC" w:rsidRDefault="00C13437">
      <w:pPr>
        <w:numPr>
          <w:ilvl w:val="0"/>
          <w:numId w:val="1"/>
        </w:numPr>
        <w:tabs>
          <w:tab w:val="left" w:pos="709"/>
        </w:tabs>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Porque la servidor público referido no se presenta a trabajar </w:t>
      </w:r>
    </w:p>
    <w:p w14:paraId="12043E7A" w14:textId="77777777" w:rsidR="00F3139D" w:rsidRPr="00BF19FC" w:rsidRDefault="00C13437">
      <w:pPr>
        <w:numPr>
          <w:ilvl w:val="0"/>
          <w:numId w:val="1"/>
        </w:numPr>
        <w:tabs>
          <w:tab w:val="left" w:pos="709"/>
        </w:tabs>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Fecha de ingreso y fecha de baja </w:t>
      </w:r>
    </w:p>
    <w:p w14:paraId="47DD8325" w14:textId="77777777" w:rsidR="00F3139D" w:rsidRPr="00BF19FC" w:rsidRDefault="00C13437">
      <w:pPr>
        <w:numPr>
          <w:ilvl w:val="0"/>
          <w:numId w:val="1"/>
        </w:numPr>
        <w:tabs>
          <w:tab w:val="left" w:pos="709"/>
        </w:tabs>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Adscripción lugar físico que debería de prestar sus servicios </w:t>
      </w:r>
    </w:p>
    <w:p w14:paraId="17FCFE75" w14:textId="77777777" w:rsidR="00F3139D" w:rsidRPr="00BF19FC" w:rsidRDefault="00C13437">
      <w:pPr>
        <w:numPr>
          <w:ilvl w:val="0"/>
          <w:numId w:val="1"/>
        </w:numPr>
        <w:tabs>
          <w:tab w:val="left" w:pos="709"/>
        </w:tabs>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 Recibos de nómina </w:t>
      </w:r>
    </w:p>
    <w:p w14:paraId="5FBA8413" w14:textId="77777777" w:rsidR="00F3139D" w:rsidRPr="00BF19FC" w:rsidRDefault="00C1343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lastRenderedPageBreak/>
        <w:t xml:space="preserve">A lo cual </w:t>
      </w:r>
      <w:r w:rsidRPr="00BF19FC">
        <w:rPr>
          <w:rFonts w:ascii="Palatino Linotype" w:eastAsia="Palatino Linotype" w:hAnsi="Palatino Linotype" w:cs="Palatino Linotype"/>
          <w:b/>
        </w:rPr>
        <w:t>EL SUJETO OBLIGADO</w:t>
      </w:r>
      <w:r w:rsidRPr="00BF19FC">
        <w:rPr>
          <w:rFonts w:ascii="Palatino Linotype" w:eastAsia="Palatino Linotype" w:hAnsi="Palatino Linotype" w:cs="Palatino Linotype"/>
        </w:rPr>
        <w:t xml:space="preserve"> dio respuesta adjuntando tres documentos, el primero de ellos de nombre “RECIBOS DE NOMINA GABRIELA HAYDELEN ENE-1RA ABRIL.pdf” que como su nombre lo señala contiene siete recibos de nómina de la servidora pública solicitada. </w:t>
      </w:r>
    </w:p>
    <w:p w14:paraId="1169C83D" w14:textId="77777777" w:rsidR="00F3139D" w:rsidRPr="00BF19FC" w:rsidRDefault="00F3139D">
      <w:pPr>
        <w:spacing w:line="360" w:lineRule="auto"/>
        <w:jc w:val="both"/>
        <w:rPr>
          <w:rFonts w:ascii="Palatino Linotype" w:eastAsia="Palatino Linotype" w:hAnsi="Palatino Linotype" w:cs="Palatino Linotype"/>
        </w:rPr>
      </w:pPr>
    </w:p>
    <w:p w14:paraId="22337EE4" w14:textId="77777777" w:rsidR="00F3139D" w:rsidRPr="00BF19FC" w:rsidRDefault="00C1343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El segundo denominado “4TA SESIÓN ORDINARIA DE COMITE TRANSPARENCIA.pdf” contiene el acta de la Cuarta Sesión Ordinaria del Comité de Transparencia del </w:t>
      </w:r>
      <w:r w:rsidRPr="00BF19FC">
        <w:rPr>
          <w:rFonts w:ascii="Palatino Linotype" w:eastAsia="Palatino Linotype" w:hAnsi="Palatino Linotype" w:cs="Palatino Linotype"/>
          <w:b/>
        </w:rPr>
        <w:t xml:space="preserve">SUJETO OBLIGADO </w:t>
      </w:r>
      <w:r w:rsidRPr="00BF19FC">
        <w:rPr>
          <w:rFonts w:ascii="Palatino Linotype" w:eastAsia="Palatino Linotype" w:hAnsi="Palatino Linotype" w:cs="Palatino Linotype"/>
        </w:rPr>
        <w:t xml:space="preserve">de fecha veinte de abril de dos mil veintidós donde fue aprobada la clasificación de los datos personales contenidos en los recibos de nómina entregados. </w:t>
      </w:r>
    </w:p>
    <w:p w14:paraId="2C97A32E" w14:textId="77777777" w:rsidR="00F3139D" w:rsidRPr="00BF19FC" w:rsidRDefault="00F3139D">
      <w:pPr>
        <w:spacing w:line="360" w:lineRule="auto"/>
        <w:jc w:val="both"/>
        <w:rPr>
          <w:rFonts w:ascii="Palatino Linotype" w:eastAsia="Palatino Linotype" w:hAnsi="Palatino Linotype" w:cs="Palatino Linotype"/>
        </w:rPr>
      </w:pPr>
    </w:p>
    <w:p w14:paraId="505BF7F2" w14:textId="77777777" w:rsidR="00F3139D" w:rsidRPr="00BF19FC" w:rsidRDefault="00C1343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El tercer documento de nombre “CONTESTACION SAIMEX 161.pdf” de cuyo contenido se advierte la respuesta formal emitida por el Subdirector de Administración quien manifiesta entregar la información solicitada.  </w:t>
      </w:r>
    </w:p>
    <w:p w14:paraId="7343EFC1" w14:textId="77777777" w:rsidR="00F3139D" w:rsidRPr="00BF19FC" w:rsidRDefault="00F3139D">
      <w:pPr>
        <w:spacing w:line="360" w:lineRule="auto"/>
        <w:jc w:val="both"/>
        <w:rPr>
          <w:rFonts w:ascii="Palatino Linotype" w:eastAsia="Palatino Linotype" w:hAnsi="Palatino Linotype" w:cs="Palatino Linotype"/>
        </w:rPr>
      </w:pPr>
    </w:p>
    <w:p w14:paraId="1051AE16" w14:textId="77777777" w:rsidR="00F3139D" w:rsidRPr="00BF19FC" w:rsidRDefault="00C1343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No conforme con la respuesta el particular interpuso el presente Recurso de Revisión, señalando en donde de forma medular se inconforma de que no le fue entregada  toda la información pues no se señala el lugar de trabajo de la servidor público. Lo que en consecuencia actualiza la causal de procedencia del Recurso de Revisión establecida en el artículo 179 fracción V que establece: </w:t>
      </w:r>
    </w:p>
    <w:p w14:paraId="289035EB" w14:textId="77777777" w:rsidR="00F3139D" w:rsidRPr="00BF19FC" w:rsidRDefault="00C13437">
      <w:pPr>
        <w:ind w:left="850" w:right="899"/>
        <w:jc w:val="both"/>
        <w:rPr>
          <w:rFonts w:ascii="Palatino Linotype" w:eastAsia="Palatino Linotype" w:hAnsi="Palatino Linotype" w:cs="Palatino Linotype"/>
          <w:i/>
          <w:sz w:val="22"/>
          <w:szCs w:val="22"/>
        </w:rPr>
      </w:pPr>
      <w:r w:rsidRPr="00BF19FC">
        <w:rPr>
          <w:rFonts w:ascii="Palatino Linotype" w:eastAsia="Palatino Linotype" w:hAnsi="Palatino Linotype" w:cs="Palatino Linotype"/>
          <w:b/>
          <w:i/>
          <w:sz w:val="22"/>
          <w:szCs w:val="22"/>
        </w:rPr>
        <w:lastRenderedPageBreak/>
        <w:t>“Artículo 179.</w:t>
      </w:r>
      <w:r w:rsidRPr="00BF19F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3F714D7D" w14:textId="77777777" w:rsidR="00F3139D" w:rsidRPr="00BF19FC" w:rsidRDefault="00C13437">
      <w:pPr>
        <w:ind w:left="850" w:right="899"/>
        <w:jc w:val="both"/>
        <w:rPr>
          <w:rFonts w:ascii="Palatino Linotype" w:eastAsia="Palatino Linotype" w:hAnsi="Palatino Linotype" w:cs="Palatino Linotype"/>
          <w:b/>
          <w:i/>
          <w:sz w:val="22"/>
          <w:szCs w:val="22"/>
        </w:rPr>
      </w:pPr>
      <w:r w:rsidRPr="00BF19FC">
        <w:rPr>
          <w:rFonts w:ascii="Palatino Linotype" w:eastAsia="Palatino Linotype" w:hAnsi="Palatino Linotype" w:cs="Palatino Linotype"/>
          <w:b/>
          <w:i/>
          <w:sz w:val="22"/>
          <w:szCs w:val="22"/>
        </w:rPr>
        <w:t>V. La entrega de información incompleta;”</w:t>
      </w:r>
    </w:p>
    <w:p w14:paraId="78B69B6F" w14:textId="77777777" w:rsidR="00F3139D" w:rsidRPr="00BF19FC" w:rsidRDefault="00C13437">
      <w:pPr>
        <w:ind w:left="850" w:right="899"/>
        <w:jc w:val="both"/>
        <w:rPr>
          <w:rFonts w:ascii="Palatino Linotype" w:eastAsia="Palatino Linotype" w:hAnsi="Palatino Linotype" w:cs="Palatino Linotype"/>
        </w:rPr>
      </w:pPr>
      <w:r w:rsidRPr="00BF19FC">
        <w:rPr>
          <w:rFonts w:ascii="Palatino Linotype" w:eastAsia="Palatino Linotype" w:hAnsi="Palatino Linotype" w:cs="Palatino Linotype"/>
          <w:b/>
          <w:i/>
          <w:sz w:val="22"/>
          <w:szCs w:val="22"/>
        </w:rPr>
        <w:t>(énfasis añadido)</w:t>
      </w:r>
    </w:p>
    <w:p w14:paraId="1075E82A" w14:textId="77777777" w:rsidR="00F3139D" w:rsidRPr="00BF19FC" w:rsidRDefault="00F3139D">
      <w:pPr>
        <w:tabs>
          <w:tab w:val="left" w:pos="709"/>
        </w:tabs>
        <w:spacing w:line="360" w:lineRule="auto"/>
        <w:ind w:right="49"/>
        <w:jc w:val="both"/>
        <w:rPr>
          <w:rFonts w:ascii="Palatino Linotype" w:eastAsia="Palatino Linotype" w:hAnsi="Palatino Linotype" w:cs="Palatino Linotype"/>
        </w:rPr>
      </w:pPr>
    </w:p>
    <w:p w14:paraId="16584A09" w14:textId="77777777" w:rsidR="00F3139D" w:rsidRPr="00BF19FC" w:rsidRDefault="00C13437">
      <w:pPr>
        <w:tabs>
          <w:tab w:val="left" w:pos="709"/>
        </w:tabs>
        <w:spacing w:line="360" w:lineRule="auto"/>
        <w:ind w:right="49"/>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Luego entonces, resulta procedente analizar las constancias que integran el expediente electrónico del SAIMEX para determinar si con la información aportada por </w:t>
      </w:r>
      <w:r w:rsidRPr="00BF19FC">
        <w:rPr>
          <w:rFonts w:ascii="Palatino Linotype" w:eastAsia="Palatino Linotype" w:hAnsi="Palatino Linotype" w:cs="Palatino Linotype"/>
          <w:b/>
        </w:rPr>
        <w:t>EL SUJETO OBLIGADO</w:t>
      </w:r>
      <w:r w:rsidRPr="00BF19FC">
        <w:rPr>
          <w:rFonts w:ascii="Palatino Linotype" w:eastAsia="Palatino Linotype" w:hAnsi="Palatino Linotype" w:cs="Palatino Linotype"/>
        </w:rPr>
        <w:t xml:space="preserve"> se puede tener por atendido el derecho de Acceso a la Información pública del particular. </w:t>
      </w:r>
    </w:p>
    <w:p w14:paraId="541CE647" w14:textId="77777777" w:rsidR="00F3139D" w:rsidRPr="00BF19FC" w:rsidRDefault="00F3139D">
      <w:pPr>
        <w:tabs>
          <w:tab w:val="left" w:pos="709"/>
        </w:tabs>
        <w:spacing w:line="360" w:lineRule="auto"/>
        <w:ind w:right="49"/>
        <w:jc w:val="both"/>
        <w:rPr>
          <w:rFonts w:ascii="Palatino Linotype" w:eastAsia="Palatino Linotype" w:hAnsi="Palatino Linotype" w:cs="Palatino Linotype"/>
        </w:rPr>
      </w:pPr>
    </w:p>
    <w:p w14:paraId="73BB15AB" w14:textId="77777777" w:rsidR="00F3139D" w:rsidRPr="00BF19FC" w:rsidRDefault="00C13437">
      <w:pPr>
        <w:tabs>
          <w:tab w:val="left" w:pos="709"/>
        </w:tabs>
        <w:spacing w:line="360" w:lineRule="auto"/>
        <w:ind w:right="49"/>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En primer lugar, de las manifestaciones vertidas por el particular se observa que su inconformidad versa sobre que no le fue entregado la información relativa al lugar de trabajo de la servidora pública, sin que se aprecie pronunciamiento respecto de los demás elementos solicitados ni de la respuesta a los mismos. </w:t>
      </w:r>
    </w:p>
    <w:p w14:paraId="6B3B4631" w14:textId="77777777" w:rsidR="00F3139D" w:rsidRPr="00BF19FC" w:rsidRDefault="00F3139D">
      <w:pPr>
        <w:spacing w:line="360" w:lineRule="auto"/>
        <w:jc w:val="both"/>
        <w:rPr>
          <w:rFonts w:ascii="Palatino Linotype" w:eastAsia="Palatino Linotype" w:hAnsi="Palatino Linotype" w:cs="Palatino Linotype"/>
        </w:rPr>
      </w:pPr>
    </w:p>
    <w:p w14:paraId="5C00B66B" w14:textId="77777777" w:rsidR="00F3139D" w:rsidRPr="00BF19FC" w:rsidRDefault="00C1343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De tal forma que, la parte de la respuesta que no fue impugnada debe declararse consentida, toda vez que al no realizar manifestaciones de inconformidad; no pueden producirse efectos jurídicos tendentes a revocar, confirmar o modificar el acto reclamado, ya que no realizó manifestación alguna al respecto. </w:t>
      </w:r>
    </w:p>
    <w:p w14:paraId="22630103" w14:textId="77777777" w:rsidR="00F3139D" w:rsidRPr="00BF19FC" w:rsidRDefault="00C13437">
      <w:pPr>
        <w:spacing w:before="280" w:after="280"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lastRenderedPageBreak/>
        <w:t>Sirve de sustento, la tesis jurisprudencial número VI.3o.C. J/60, publicada en el Semanario Judicial de la Federación y su Gaceta bajo el número de registro 176,608 que a la letra dice:</w:t>
      </w:r>
    </w:p>
    <w:p w14:paraId="4B2A9745" w14:textId="77777777" w:rsidR="00F3139D" w:rsidRPr="00BF19FC" w:rsidRDefault="00C13437">
      <w:pPr>
        <w:tabs>
          <w:tab w:val="left" w:pos="851"/>
        </w:tabs>
        <w:ind w:left="851" w:right="616"/>
        <w:jc w:val="both"/>
        <w:rPr>
          <w:rFonts w:ascii="Palatino Linotype" w:eastAsia="Palatino Linotype" w:hAnsi="Palatino Linotype" w:cs="Palatino Linotype"/>
          <w:i/>
          <w:sz w:val="22"/>
          <w:szCs w:val="22"/>
        </w:rPr>
      </w:pPr>
      <w:r w:rsidRPr="00BF19FC">
        <w:rPr>
          <w:rFonts w:ascii="Palatino Linotype" w:eastAsia="Palatino Linotype" w:hAnsi="Palatino Linotype" w:cs="Palatino Linotype"/>
          <w:b/>
          <w:i/>
          <w:sz w:val="22"/>
          <w:szCs w:val="22"/>
        </w:rPr>
        <w:t xml:space="preserve">“ACTOS CONSENTIDOS. SON LOS QUE NO SE IMPUGNAN MEDIANTE EL RECURSO IDÓNEO. </w:t>
      </w:r>
      <w:r w:rsidRPr="00BF19FC">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BFA2156" w14:textId="77777777" w:rsidR="00F3139D" w:rsidRPr="00BF19FC" w:rsidRDefault="00C13437">
      <w:pPr>
        <w:spacing w:before="280" w:after="280"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De la interpretación del criterio antes citado, se advierte que cuando el particular impugnó la respuesta del </w:t>
      </w:r>
      <w:r w:rsidRPr="00BF19FC">
        <w:rPr>
          <w:rFonts w:ascii="Palatino Linotype" w:eastAsia="Palatino Linotype" w:hAnsi="Palatino Linotype" w:cs="Palatino Linotype"/>
          <w:b/>
        </w:rPr>
        <w:t>SUJETO OBLIGADO</w:t>
      </w:r>
      <w:r w:rsidRPr="00BF19FC">
        <w:rPr>
          <w:rFonts w:ascii="Palatino Linotype" w:eastAsia="Palatino Linotype" w:hAnsi="Palatino Linotype" w:cs="Palatino Linotype"/>
        </w:rPr>
        <w:t xml:space="preserve">, no expresó razón o motivo de inconformidad en contra de todos los rubros solicitados, por tanto, estos deben declararse atendidos, pues se entiende que </w:t>
      </w:r>
      <w:r w:rsidRPr="00BF19FC">
        <w:rPr>
          <w:rFonts w:ascii="Palatino Linotype" w:eastAsia="Palatino Linotype" w:hAnsi="Palatino Linotype" w:cs="Palatino Linotype"/>
          <w:b/>
        </w:rPr>
        <w:t>EL RECURRENTE</w:t>
      </w:r>
      <w:r w:rsidRPr="00BF19FC">
        <w:rPr>
          <w:rFonts w:ascii="Palatino Linotype" w:eastAsia="Palatino Linotype" w:hAnsi="Palatino Linotype" w:cs="Palatino Linotype"/>
        </w:rPr>
        <w:t xml:space="preserve"> está conforme con la respuesta proporcionada por </w:t>
      </w:r>
      <w:r w:rsidRPr="00BF19FC">
        <w:rPr>
          <w:rFonts w:ascii="Palatino Linotype" w:eastAsia="Palatino Linotype" w:hAnsi="Palatino Linotype" w:cs="Palatino Linotype"/>
          <w:b/>
        </w:rPr>
        <w:t>EL SUJETO OBLIGADO,</w:t>
      </w:r>
      <w:r w:rsidRPr="00BF19FC">
        <w:rPr>
          <w:rFonts w:ascii="Palatino Linotype" w:eastAsia="Palatino Linotype" w:hAnsi="Palatino Linotype" w:cs="Palatino Linotype"/>
        </w:rPr>
        <w:t xml:space="preserve"> al no contravenir la misma. </w:t>
      </w:r>
    </w:p>
    <w:p w14:paraId="05DDAFF8" w14:textId="77777777" w:rsidR="00F3139D" w:rsidRPr="00BF19FC" w:rsidRDefault="00C13437">
      <w:pPr>
        <w:spacing w:before="280" w:after="280"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14:paraId="24B47AC3" w14:textId="77777777" w:rsidR="00F3139D" w:rsidRPr="00BF19FC" w:rsidRDefault="00C13437">
      <w:pPr>
        <w:tabs>
          <w:tab w:val="left" w:pos="7937"/>
          <w:tab w:val="left" w:pos="8222"/>
        </w:tabs>
        <w:ind w:left="851" w:right="901"/>
        <w:jc w:val="both"/>
        <w:rPr>
          <w:rFonts w:ascii="Palatino Linotype" w:eastAsia="Palatino Linotype" w:hAnsi="Palatino Linotype" w:cs="Palatino Linotype"/>
          <w:i/>
          <w:sz w:val="22"/>
          <w:szCs w:val="22"/>
        </w:rPr>
      </w:pPr>
      <w:r w:rsidRPr="00BF19FC">
        <w:rPr>
          <w:rFonts w:ascii="Palatino Linotype" w:eastAsia="Palatino Linotype" w:hAnsi="Palatino Linotype" w:cs="Palatino Linotype"/>
          <w:b/>
          <w:i/>
          <w:sz w:val="22"/>
          <w:szCs w:val="22"/>
        </w:rPr>
        <w:t xml:space="preserve">“REVISIÓN EN AMPARO. LOS RESOLUTIVOS NO COMBATIDOS DEBEN DECLARARSE FIRMES. </w:t>
      </w:r>
      <w:r w:rsidRPr="00BF19FC">
        <w:rPr>
          <w:rFonts w:ascii="Palatino Linotype" w:eastAsia="Palatino Linotype" w:hAnsi="Palatino Linotype" w:cs="Palatino Linotype"/>
          <w:i/>
          <w:sz w:val="22"/>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w:t>
      </w:r>
      <w:r w:rsidRPr="00BF19FC">
        <w:rPr>
          <w:rFonts w:ascii="Palatino Linotype" w:eastAsia="Palatino Linotype" w:hAnsi="Palatino Linotype" w:cs="Palatino Linotype"/>
          <w:i/>
          <w:sz w:val="22"/>
          <w:szCs w:val="22"/>
        </w:rPr>
        <w:lastRenderedPageBreak/>
        <w:t>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AD65120" w14:textId="77777777" w:rsidR="00F3139D" w:rsidRPr="00BF19FC" w:rsidRDefault="00C13437">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En consecuencia, la información relativa a los requerimientos identificados con los numerales 1,2 y 4 relativos a, porque la servidora pública referida no se presenta a trabajar, fecha de ingreso, fecha de baja y recibos de nómina. Se consideran un acto consentido y, por tanto, este Órgano Resolutor no entrará al estudio del mismo por las razones hasta aquí expuestas. </w:t>
      </w:r>
    </w:p>
    <w:p w14:paraId="4AF2FAA3" w14:textId="77777777" w:rsidR="00F3139D" w:rsidRPr="00BF19FC" w:rsidRDefault="00C1343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Una vez hecha la precisión anterior, se procede al análisis de la parte de la solicitud sobre la cual </w:t>
      </w:r>
      <w:r w:rsidRPr="00BF19FC">
        <w:rPr>
          <w:rFonts w:ascii="Palatino Linotype" w:eastAsia="Palatino Linotype" w:hAnsi="Palatino Linotype" w:cs="Palatino Linotype"/>
          <w:b/>
        </w:rPr>
        <w:t>EL RECURRENTE</w:t>
      </w:r>
      <w:r w:rsidRPr="00BF19FC">
        <w:rPr>
          <w:rFonts w:ascii="Palatino Linotype" w:eastAsia="Palatino Linotype" w:hAnsi="Palatino Linotype" w:cs="Palatino Linotype"/>
        </w:rPr>
        <w:t xml:space="preserve"> manifiesta su inconformidad, siendo ello lo referente al punto 3: lugar de adscripción en donde presta sus servicios. </w:t>
      </w:r>
    </w:p>
    <w:p w14:paraId="66861A07" w14:textId="77777777" w:rsidR="00F3139D" w:rsidRPr="00BF19FC" w:rsidRDefault="00F3139D">
      <w:pPr>
        <w:spacing w:line="360" w:lineRule="auto"/>
        <w:jc w:val="both"/>
        <w:rPr>
          <w:rFonts w:ascii="Palatino Linotype" w:eastAsia="Palatino Linotype" w:hAnsi="Palatino Linotype" w:cs="Palatino Linotype"/>
        </w:rPr>
      </w:pPr>
    </w:p>
    <w:p w14:paraId="41A15E14" w14:textId="77777777" w:rsidR="00F3139D" w:rsidRPr="00BF19FC" w:rsidRDefault="00C13437">
      <w:pPr>
        <w:tabs>
          <w:tab w:val="left" w:pos="709"/>
        </w:tabs>
        <w:spacing w:line="360" w:lineRule="auto"/>
        <w:ind w:right="49"/>
        <w:jc w:val="both"/>
        <w:rPr>
          <w:rFonts w:ascii="Palatino Linotype" w:eastAsia="Palatino Linotype" w:hAnsi="Palatino Linotype" w:cs="Palatino Linotype"/>
        </w:rPr>
      </w:pPr>
      <w:r w:rsidRPr="00BF19FC">
        <w:rPr>
          <w:rFonts w:ascii="Palatino Linotype" w:eastAsia="Palatino Linotype" w:hAnsi="Palatino Linotype" w:cs="Palatino Linotype"/>
        </w:rPr>
        <w:t>En tal sentido,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6A2EF71" w14:textId="77777777" w:rsidR="00F3139D" w:rsidRPr="00BF19FC" w:rsidRDefault="00C13437">
      <w:pPr>
        <w:spacing w:before="240"/>
        <w:ind w:left="709" w:right="760"/>
        <w:jc w:val="both"/>
        <w:rPr>
          <w:rFonts w:ascii="Palatino Linotype" w:eastAsia="Palatino Linotype" w:hAnsi="Palatino Linotype" w:cs="Palatino Linotype"/>
          <w:i/>
          <w:sz w:val="22"/>
          <w:szCs w:val="22"/>
        </w:rPr>
      </w:pPr>
      <w:r w:rsidRPr="00BF19FC">
        <w:rPr>
          <w:rFonts w:ascii="Palatino Linotype" w:eastAsia="Palatino Linotype" w:hAnsi="Palatino Linotype" w:cs="Palatino Linotype"/>
          <w:i/>
          <w:sz w:val="22"/>
          <w:szCs w:val="22"/>
        </w:rPr>
        <w:lastRenderedPageBreak/>
        <w:t>“</w:t>
      </w:r>
      <w:r w:rsidRPr="00BF19FC">
        <w:rPr>
          <w:rFonts w:ascii="Palatino Linotype" w:eastAsia="Palatino Linotype" w:hAnsi="Palatino Linotype" w:cs="Palatino Linotype"/>
          <w:b/>
          <w:i/>
          <w:sz w:val="22"/>
          <w:szCs w:val="22"/>
        </w:rPr>
        <w:t>Artículo 4</w:t>
      </w:r>
      <w:r w:rsidRPr="00BF19F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3C8BB83" w14:textId="77777777" w:rsidR="00F3139D" w:rsidRPr="00BF19FC" w:rsidRDefault="00C13437">
      <w:pPr>
        <w:ind w:left="709" w:right="760"/>
        <w:jc w:val="both"/>
        <w:rPr>
          <w:rFonts w:ascii="Palatino Linotype" w:eastAsia="Palatino Linotype" w:hAnsi="Palatino Linotype" w:cs="Palatino Linotype"/>
          <w:i/>
          <w:sz w:val="22"/>
          <w:szCs w:val="22"/>
        </w:rPr>
      </w:pPr>
      <w:r w:rsidRPr="00BF19F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F19F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CE54ED" w14:textId="77777777" w:rsidR="00F3139D" w:rsidRPr="00BF19FC" w:rsidRDefault="00C13437">
      <w:pPr>
        <w:ind w:left="709" w:right="760"/>
        <w:jc w:val="both"/>
        <w:rPr>
          <w:rFonts w:ascii="Palatino Linotype" w:eastAsia="Palatino Linotype" w:hAnsi="Palatino Linotype" w:cs="Palatino Linotype"/>
          <w:i/>
          <w:sz w:val="22"/>
          <w:szCs w:val="22"/>
        </w:rPr>
      </w:pPr>
      <w:r w:rsidRPr="00BF19F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F19FC">
        <w:rPr>
          <w:rFonts w:ascii="Palatino Linotype" w:eastAsia="Palatino Linotype" w:hAnsi="Palatino Linotype" w:cs="Palatino Linotype"/>
          <w:i/>
          <w:sz w:val="22"/>
          <w:szCs w:val="22"/>
        </w:rPr>
        <w:t>.”(Sic)</w:t>
      </w:r>
    </w:p>
    <w:p w14:paraId="049CD4C1" w14:textId="77777777" w:rsidR="00F3139D" w:rsidRPr="00BF19FC" w:rsidRDefault="00F3139D">
      <w:pPr>
        <w:spacing w:line="360" w:lineRule="auto"/>
        <w:jc w:val="both"/>
        <w:rPr>
          <w:rFonts w:ascii="Palatino Linotype" w:eastAsia="Palatino Linotype" w:hAnsi="Palatino Linotype" w:cs="Palatino Linotype"/>
        </w:rPr>
      </w:pPr>
    </w:p>
    <w:p w14:paraId="0F9A9CA0" w14:textId="77777777" w:rsidR="00F3139D" w:rsidRPr="00BF19FC" w:rsidRDefault="00C1343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977558E" w14:textId="77777777" w:rsidR="00F3139D" w:rsidRPr="00BF19FC" w:rsidRDefault="00F3139D">
      <w:pPr>
        <w:spacing w:line="360" w:lineRule="auto"/>
        <w:jc w:val="both"/>
        <w:rPr>
          <w:rFonts w:ascii="Palatino Linotype" w:eastAsia="Palatino Linotype" w:hAnsi="Palatino Linotype" w:cs="Palatino Linotype"/>
        </w:rPr>
      </w:pPr>
    </w:p>
    <w:p w14:paraId="321A019A" w14:textId="77777777" w:rsidR="00F3139D" w:rsidRPr="00BF19FC" w:rsidRDefault="00C13437">
      <w:pPr>
        <w:ind w:left="567" w:right="758"/>
        <w:jc w:val="both"/>
        <w:rPr>
          <w:rFonts w:ascii="Palatino Linotype" w:eastAsia="Palatino Linotype" w:hAnsi="Palatino Linotype" w:cs="Palatino Linotype"/>
          <w:i/>
          <w:sz w:val="22"/>
          <w:szCs w:val="22"/>
        </w:rPr>
      </w:pPr>
      <w:r w:rsidRPr="00BF19FC">
        <w:rPr>
          <w:rFonts w:ascii="Palatino Linotype" w:eastAsia="Palatino Linotype" w:hAnsi="Palatino Linotype" w:cs="Palatino Linotype"/>
          <w:b/>
          <w:i/>
          <w:sz w:val="22"/>
          <w:szCs w:val="22"/>
        </w:rPr>
        <w:t>“Artículo 12.-</w:t>
      </w:r>
      <w:r w:rsidRPr="00BF19F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ABC42B2" w14:textId="77777777" w:rsidR="00F3139D" w:rsidRPr="00BF19FC" w:rsidRDefault="00F3139D">
      <w:pPr>
        <w:ind w:left="567" w:right="758"/>
        <w:jc w:val="both"/>
        <w:rPr>
          <w:rFonts w:ascii="Palatino Linotype" w:eastAsia="Palatino Linotype" w:hAnsi="Palatino Linotype" w:cs="Palatino Linotype"/>
          <w:i/>
          <w:sz w:val="22"/>
          <w:szCs w:val="22"/>
        </w:rPr>
      </w:pPr>
    </w:p>
    <w:p w14:paraId="135760A9" w14:textId="77777777" w:rsidR="00F3139D" w:rsidRPr="00BF19FC" w:rsidRDefault="00C13437">
      <w:pPr>
        <w:ind w:left="567" w:right="758"/>
        <w:jc w:val="both"/>
        <w:rPr>
          <w:rFonts w:ascii="Palatino Linotype" w:eastAsia="Palatino Linotype" w:hAnsi="Palatino Linotype" w:cs="Palatino Linotype"/>
          <w:i/>
          <w:sz w:val="22"/>
          <w:szCs w:val="22"/>
        </w:rPr>
      </w:pPr>
      <w:r w:rsidRPr="00BF19F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F19FC">
        <w:rPr>
          <w:rFonts w:ascii="Palatino Linotype" w:eastAsia="Palatino Linotype" w:hAnsi="Palatino Linotype" w:cs="Palatino Linotype"/>
          <w:i/>
          <w:sz w:val="22"/>
          <w:szCs w:val="22"/>
        </w:rPr>
        <w:t xml:space="preserve">. </w:t>
      </w:r>
      <w:r w:rsidRPr="00BF19FC">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1A23FD80" w14:textId="77777777" w:rsidR="00F3139D" w:rsidRPr="00BF19FC" w:rsidRDefault="00F3139D">
      <w:pPr>
        <w:spacing w:line="360" w:lineRule="auto"/>
        <w:ind w:right="-93"/>
        <w:jc w:val="both"/>
        <w:rPr>
          <w:rFonts w:ascii="Palatino Linotype" w:eastAsia="Palatino Linotype" w:hAnsi="Palatino Linotype" w:cs="Palatino Linotype"/>
        </w:rPr>
      </w:pPr>
    </w:p>
    <w:p w14:paraId="71C0E3A0" w14:textId="77777777" w:rsidR="00F3139D" w:rsidRPr="00BF19FC" w:rsidRDefault="00C13437">
      <w:pPr>
        <w:spacing w:line="360" w:lineRule="auto"/>
        <w:ind w:right="-93"/>
        <w:jc w:val="both"/>
        <w:rPr>
          <w:rFonts w:ascii="Palatino Linotype" w:eastAsia="Palatino Linotype" w:hAnsi="Palatino Linotype" w:cs="Palatino Linotype"/>
        </w:rPr>
      </w:pPr>
      <w:r w:rsidRPr="00BF19FC">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0FE95FF2" w14:textId="77777777" w:rsidR="00F3139D" w:rsidRPr="00BF19FC" w:rsidRDefault="00F3139D">
      <w:pPr>
        <w:spacing w:line="360" w:lineRule="auto"/>
        <w:ind w:right="-93"/>
        <w:jc w:val="both"/>
        <w:rPr>
          <w:rFonts w:ascii="Palatino Linotype" w:eastAsia="Palatino Linotype" w:hAnsi="Palatino Linotype" w:cs="Palatino Linotype"/>
        </w:rPr>
      </w:pPr>
    </w:p>
    <w:p w14:paraId="07129345" w14:textId="77777777" w:rsidR="00F3139D" w:rsidRPr="00BF19FC" w:rsidRDefault="00C13437">
      <w:pPr>
        <w:spacing w:line="360" w:lineRule="auto"/>
        <w:jc w:val="both"/>
        <w:rPr>
          <w:rFonts w:ascii="Palatino Linotype" w:eastAsia="Palatino Linotype" w:hAnsi="Palatino Linotype" w:cs="Palatino Linotype"/>
          <w:b/>
        </w:rPr>
      </w:pPr>
      <w:r w:rsidRPr="00BF19FC">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BF19FC">
        <w:rPr>
          <w:rFonts w:ascii="Palatino Linotype" w:eastAsia="Palatino Linotype" w:hAnsi="Palatino Linotype" w:cs="Palatino Linotype"/>
          <w:b/>
        </w:rPr>
        <w:t xml:space="preserve"> </w:t>
      </w:r>
    </w:p>
    <w:p w14:paraId="6EA87510" w14:textId="77777777" w:rsidR="00F3139D" w:rsidRPr="00BF19FC" w:rsidRDefault="00F3139D">
      <w:pPr>
        <w:ind w:left="851" w:right="850"/>
        <w:jc w:val="both"/>
        <w:rPr>
          <w:rFonts w:ascii="Palatino Linotype" w:eastAsia="Palatino Linotype" w:hAnsi="Palatino Linotype" w:cs="Palatino Linotype"/>
        </w:rPr>
      </w:pPr>
    </w:p>
    <w:p w14:paraId="4F9FCD17" w14:textId="77777777" w:rsidR="00F3139D" w:rsidRPr="00BF19FC" w:rsidRDefault="00C13437">
      <w:pPr>
        <w:ind w:left="851" w:right="901"/>
        <w:jc w:val="both"/>
        <w:rPr>
          <w:rFonts w:ascii="Palatino Linotype" w:eastAsia="Palatino Linotype" w:hAnsi="Palatino Linotype" w:cs="Palatino Linotype"/>
          <w:i/>
          <w:sz w:val="22"/>
          <w:szCs w:val="22"/>
        </w:rPr>
      </w:pPr>
      <w:r w:rsidRPr="00BF19FC">
        <w:rPr>
          <w:rFonts w:ascii="Palatino Linotype" w:eastAsia="Palatino Linotype" w:hAnsi="Palatino Linotype" w:cs="Palatino Linotype"/>
          <w:i/>
          <w:sz w:val="22"/>
          <w:szCs w:val="22"/>
        </w:rPr>
        <w:t>“</w:t>
      </w:r>
      <w:r w:rsidRPr="00BF19FC">
        <w:rPr>
          <w:rFonts w:ascii="Palatino Linotype" w:eastAsia="Palatino Linotype" w:hAnsi="Palatino Linotype" w:cs="Palatino Linotype"/>
          <w:b/>
          <w:i/>
          <w:sz w:val="22"/>
          <w:szCs w:val="22"/>
        </w:rPr>
        <w:t>No existe obligación de elaborar documentos ad hoc para atender las solicitudes de acceso a la información.</w:t>
      </w:r>
      <w:r w:rsidRPr="00BF19F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w:t>
      </w:r>
      <w:r w:rsidRPr="00BF19FC">
        <w:rPr>
          <w:rFonts w:ascii="Palatino Linotype" w:eastAsia="Palatino Linotype" w:hAnsi="Palatino Linotype" w:cs="Palatino Linotype"/>
          <w:i/>
          <w:sz w:val="22"/>
          <w:szCs w:val="22"/>
        </w:rPr>
        <w:lastRenderedPageBreak/>
        <w:t>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408BC2F2" w14:textId="77777777" w:rsidR="00F3139D" w:rsidRPr="00BF19FC" w:rsidRDefault="00F3139D">
      <w:pPr>
        <w:spacing w:line="360" w:lineRule="auto"/>
        <w:ind w:right="-93"/>
        <w:jc w:val="both"/>
        <w:rPr>
          <w:rFonts w:ascii="Palatino Linotype" w:eastAsia="Palatino Linotype" w:hAnsi="Palatino Linotype" w:cs="Palatino Linotype"/>
        </w:rPr>
      </w:pPr>
    </w:p>
    <w:p w14:paraId="4CC2A4B7" w14:textId="77777777" w:rsidR="00F3139D" w:rsidRPr="00BF19FC" w:rsidRDefault="00C1343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En esa tesitura, el artículo 24 en su último párrafo de la Ley de Transparencia y Acceso a la Información Pública del Estado de México y Municipios,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235E269" w14:textId="77777777" w:rsidR="00F3139D" w:rsidRPr="00BF19FC" w:rsidRDefault="00F3139D">
      <w:pPr>
        <w:spacing w:line="360" w:lineRule="auto"/>
        <w:jc w:val="both"/>
        <w:rPr>
          <w:rFonts w:ascii="Palatino Linotype" w:eastAsia="Palatino Linotype" w:hAnsi="Palatino Linotype" w:cs="Palatino Linotype"/>
        </w:rPr>
      </w:pPr>
    </w:p>
    <w:p w14:paraId="483BBF7E" w14:textId="77777777" w:rsidR="00F3139D" w:rsidRPr="00BF19FC" w:rsidRDefault="00C13437">
      <w:pPr>
        <w:spacing w:line="360" w:lineRule="auto"/>
        <w:ind w:right="49"/>
        <w:jc w:val="both"/>
        <w:rPr>
          <w:rFonts w:ascii="Palatino Linotype" w:eastAsia="Palatino Linotype" w:hAnsi="Palatino Linotype" w:cs="Palatino Linotype"/>
        </w:rPr>
      </w:pPr>
      <w:r w:rsidRPr="00BF19FC">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72E2D73" w14:textId="77777777" w:rsidR="00F3139D" w:rsidRPr="00BF19FC" w:rsidRDefault="00F3139D">
      <w:pPr>
        <w:spacing w:line="360" w:lineRule="auto"/>
        <w:ind w:right="49"/>
        <w:jc w:val="both"/>
        <w:rPr>
          <w:rFonts w:ascii="Palatino Linotype" w:eastAsia="Palatino Linotype" w:hAnsi="Palatino Linotype" w:cs="Palatino Linotype"/>
        </w:rPr>
      </w:pPr>
    </w:p>
    <w:p w14:paraId="0192651B" w14:textId="77777777" w:rsidR="00F3139D" w:rsidRPr="00BF19FC" w:rsidRDefault="00C1343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w:t>
      </w:r>
      <w:r w:rsidRPr="00BF19FC">
        <w:rPr>
          <w:rFonts w:ascii="Palatino Linotype" w:eastAsia="Palatino Linotype" w:hAnsi="Palatino Linotype" w:cs="Palatino Linotype"/>
        </w:rPr>
        <w:lastRenderedPageBreak/>
        <w:t xml:space="preserve">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83D657E" w14:textId="77777777" w:rsidR="00F3139D" w:rsidRPr="00BF19FC" w:rsidRDefault="00F3139D">
      <w:pPr>
        <w:ind w:left="851" w:right="899"/>
        <w:jc w:val="both"/>
        <w:rPr>
          <w:rFonts w:ascii="Palatino Linotype" w:eastAsia="Palatino Linotype" w:hAnsi="Palatino Linotype" w:cs="Palatino Linotype"/>
          <w:i/>
          <w:sz w:val="22"/>
          <w:szCs w:val="22"/>
        </w:rPr>
      </w:pPr>
    </w:p>
    <w:p w14:paraId="166B84D1" w14:textId="77777777" w:rsidR="00F3139D" w:rsidRPr="00BF19FC" w:rsidRDefault="00C13437">
      <w:pPr>
        <w:ind w:left="851" w:right="899"/>
        <w:jc w:val="both"/>
        <w:rPr>
          <w:rFonts w:ascii="Palatino Linotype" w:eastAsia="Palatino Linotype" w:hAnsi="Palatino Linotype" w:cs="Palatino Linotype"/>
          <w:i/>
          <w:sz w:val="22"/>
          <w:szCs w:val="22"/>
        </w:rPr>
      </w:pPr>
      <w:r w:rsidRPr="00BF19FC">
        <w:rPr>
          <w:rFonts w:ascii="Palatino Linotype" w:eastAsia="Palatino Linotype" w:hAnsi="Palatino Linotype" w:cs="Palatino Linotype"/>
          <w:i/>
          <w:sz w:val="22"/>
          <w:szCs w:val="22"/>
        </w:rPr>
        <w:t>“</w:t>
      </w:r>
      <w:r w:rsidRPr="00BF19FC">
        <w:rPr>
          <w:rFonts w:ascii="Palatino Linotype" w:eastAsia="Palatino Linotype" w:hAnsi="Palatino Linotype" w:cs="Palatino Linotype"/>
          <w:b/>
          <w:i/>
          <w:sz w:val="22"/>
          <w:szCs w:val="22"/>
        </w:rPr>
        <w:t xml:space="preserve">Artículo 3. </w:t>
      </w:r>
      <w:r w:rsidRPr="00BF19FC">
        <w:rPr>
          <w:rFonts w:ascii="Palatino Linotype" w:eastAsia="Palatino Linotype" w:hAnsi="Palatino Linotype" w:cs="Palatino Linotype"/>
          <w:i/>
          <w:sz w:val="22"/>
          <w:szCs w:val="22"/>
        </w:rPr>
        <w:t>Para los efectos de la presente Ley se entenderá por:</w:t>
      </w:r>
    </w:p>
    <w:p w14:paraId="35D31666" w14:textId="77777777" w:rsidR="00F3139D" w:rsidRPr="00BF19FC" w:rsidRDefault="00C13437">
      <w:pPr>
        <w:ind w:left="851" w:right="899"/>
        <w:jc w:val="both"/>
        <w:rPr>
          <w:rFonts w:ascii="Palatino Linotype" w:eastAsia="Palatino Linotype" w:hAnsi="Palatino Linotype" w:cs="Palatino Linotype"/>
          <w:i/>
          <w:sz w:val="22"/>
          <w:szCs w:val="22"/>
        </w:rPr>
      </w:pPr>
      <w:r w:rsidRPr="00BF19FC">
        <w:rPr>
          <w:rFonts w:ascii="Palatino Linotype" w:eastAsia="Palatino Linotype" w:hAnsi="Palatino Linotype" w:cs="Palatino Linotype"/>
          <w:i/>
          <w:sz w:val="22"/>
          <w:szCs w:val="22"/>
        </w:rPr>
        <w:t>…</w:t>
      </w:r>
    </w:p>
    <w:p w14:paraId="7E0F240A" w14:textId="77777777" w:rsidR="00F3139D" w:rsidRPr="00BF19FC" w:rsidRDefault="00C13437">
      <w:pPr>
        <w:ind w:left="851" w:right="899"/>
        <w:jc w:val="both"/>
        <w:rPr>
          <w:rFonts w:ascii="Palatino Linotype" w:eastAsia="Palatino Linotype" w:hAnsi="Palatino Linotype" w:cs="Palatino Linotype"/>
          <w:i/>
          <w:sz w:val="22"/>
          <w:szCs w:val="22"/>
        </w:rPr>
      </w:pPr>
      <w:r w:rsidRPr="00BF19FC">
        <w:rPr>
          <w:rFonts w:ascii="Palatino Linotype" w:eastAsia="Palatino Linotype" w:hAnsi="Palatino Linotype" w:cs="Palatino Linotype"/>
          <w:b/>
          <w:i/>
          <w:sz w:val="22"/>
          <w:szCs w:val="22"/>
        </w:rPr>
        <w:t>XI. Documento:</w:t>
      </w:r>
      <w:r w:rsidRPr="00BF19FC">
        <w:rPr>
          <w:rFonts w:ascii="Palatino Linotype" w:eastAsia="Palatino Linotype" w:hAnsi="Palatino Linotype" w:cs="Palatino Linotype"/>
          <w:i/>
          <w:sz w:val="22"/>
          <w:szCs w:val="22"/>
        </w:rPr>
        <w:t xml:space="preserve"> Los expedientes, reportes, estudios, actas</w:t>
      </w:r>
      <w:r w:rsidRPr="00BF19FC">
        <w:rPr>
          <w:rFonts w:ascii="Palatino Linotype" w:eastAsia="Palatino Linotype" w:hAnsi="Palatino Linotype" w:cs="Palatino Linotype"/>
          <w:b/>
          <w:i/>
          <w:sz w:val="22"/>
          <w:szCs w:val="22"/>
        </w:rPr>
        <w:t>,</w:t>
      </w:r>
      <w:r w:rsidRPr="00BF19F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5E67D6F" w14:textId="77777777" w:rsidR="00F3139D" w:rsidRPr="00BF19FC" w:rsidRDefault="00F3139D">
      <w:pPr>
        <w:ind w:left="851" w:right="899"/>
        <w:jc w:val="both"/>
        <w:rPr>
          <w:rFonts w:ascii="Palatino Linotype" w:eastAsia="Palatino Linotype" w:hAnsi="Palatino Linotype" w:cs="Palatino Linotype"/>
          <w:sz w:val="22"/>
          <w:szCs w:val="22"/>
        </w:rPr>
      </w:pPr>
    </w:p>
    <w:p w14:paraId="1666D116" w14:textId="77777777" w:rsidR="00F3139D" w:rsidRPr="00BF19FC" w:rsidRDefault="00C1343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16FF098" w14:textId="77777777" w:rsidR="00F3139D" w:rsidRPr="00BF19FC" w:rsidRDefault="00F3139D">
      <w:pPr>
        <w:ind w:left="851" w:right="899"/>
        <w:jc w:val="both"/>
        <w:rPr>
          <w:rFonts w:ascii="Palatino Linotype" w:eastAsia="Palatino Linotype" w:hAnsi="Palatino Linotype" w:cs="Palatino Linotype"/>
        </w:rPr>
      </w:pPr>
    </w:p>
    <w:p w14:paraId="3E6DA227" w14:textId="77777777" w:rsidR="00F3139D" w:rsidRPr="00BF19FC" w:rsidRDefault="00C13437">
      <w:pPr>
        <w:ind w:left="851" w:right="899"/>
        <w:jc w:val="both"/>
        <w:rPr>
          <w:rFonts w:ascii="Palatino Linotype" w:eastAsia="Palatino Linotype" w:hAnsi="Palatino Linotype" w:cs="Palatino Linotype"/>
          <w:b/>
          <w:i/>
          <w:sz w:val="22"/>
          <w:szCs w:val="22"/>
        </w:rPr>
      </w:pPr>
      <w:r w:rsidRPr="00BF19FC">
        <w:rPr>
          <w:rFonts w:ascii="Palatino Linotype" w:eastAsia="Palatino Linotype" w:hAnsi="Palatino Linotype" w:cs="Palatino Linotype"/>
          <w:b/>
          <w:sz w:val="22"/>
          <w:szCs w:val="22"/>
        </w:rPr>
        <w:t>“</w:t>
      </w:r>
      <w:r w:rsidRPr="00BF19FC">
        <w:rPr>
          <w:rFonts w:ascii="Palatino Linotype" w:eastAsia="Palatino Linotype" w:hAnsi="Palatino Linotype" w:cs="Palatino Linotype"/>
          <w:b/>
          <w:i/>
          <w:sz w:val="22"/>
          <w:szCs w:val="22"/>
        </w:rPr>
        <w:t>CRITERIO 0002-11</w:t>
      </w:r>
    </w:p>
    <w:p w14:paraId="0EF28F15" w14:textId="77777777" w:rsidR="00F3139D" w:rsidRPr="00BF19FC" w:rsidRDefault="00C13437">
      <w:pPr>
        <w:ind w:left="851" w:right="899"/>
        <w:jc w:val="both"/>
        <w:rPr>
          <w:rFonts w:ascii="Palatino Linotype" w:eastAsia="Palatino Linotype" w:hAnsi="Palatino Linotype" w:cs="Palatino Linotype"/>
          <w:i/>
          <w:sz w:val="22"/>
          <w:szCs w:val="22"/>
        </w:rPr>
      </w:pPr>
      <w:r w:rsidRPr="00BF19FC">
        <w:rPr>
          <w:rFonts w:ascii="Palatino Linotype" w:eastAsia="Palatino Linotype" w:hAnsi="Palatino Linotype" w:cs="Palatino Linotype"/>
          <w:b/>
          <w:i/>
          <w:sz w:val="22"/>
          <w:szCs w:val="22"/>
        </w:rPr>
        <w:lastRenderedPageBreak/>
        <w:t>INFORMACIÓN PÚBLICA, CONCEPTO DE, EN MATERIA DE TRANSPARENCIA. INTERPRETACIÓN SISTEMÁTICA DE LOS ARTÍCULOS 2°, FRACCIÓN V, XV, Y XVI, 3°, 4°, 11 Y 41.</w:t>
      </w:r>
      <w:r w:rsidRPr="00BF19F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A67E090" w14:textId="77777777" w:rsidR="00F3139D" w:rsidRPr="00BF19FC" w:rsidRDefault="00C13437">
      <w:pPr>
        <w:ind w:left="851" w:right="899"/>
        <w:jc w:val="both"/>
        <w:rPr>
          <w:rFonts w:ascii="Palatino Linotype" w:eastAsia="Palatino Linotype" w:hAnsi="Palatino Linotype" w:cs="Palatino Linotype"/>
          <w:i/>
          <w:sz w:val="22"/>
          <w:szCs w:val="22"/>
        </w:rPr>
      </w:pPr>
      <w:r w:rsidRPr="00BF19F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E1EB62D" w14:textId="77777777" w:rsidR="00F3139D" w:rsidRPr="00BF19FC" w:rsidRDefault="00C13437">
      <w:pPr>
        <w:ind w:left="851" w:right="899"/>
        <w:jc w:val="both"/>
        <w:rPr>
          <w:rFonts w:ascii="Palatino Linotype" w:eastAsia="Palatino Linotype" w:hAnsi="Palatino Linotype" w:cs="Palatino Linotype"/>
          <w:i/>
          <w:sz w:val="22"/>
          <w:szCs w:val="22"/>
        </w:rPr>
      </w:pPr>
      <w:r w:rsidRPr="00BF19F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B3FA93A" w14:textId="77777777" w:rsidR="00F3139D" w:rsidRPr="00BF19FC" w:rsidRDefault="00C13437">
      <w:pPr>
        <w:ind w:left="851" w:right="899"/>
        <w:jc w:val="both"/>
        <w:rPr>
          <w:rFonts w:ascii="Palatino Linotype" w:eastAsia="Palatino Linotype" w:hAnsi="Palatino Linotype" w:cs="Palatino Linotype"/>
          <w:b/>
          <w:i/>
          <w:sz w:val="22"/>
          <w:szCs w:val="22"/>
        </w:rPr>
      </w:pPr>
      <w:r w:rsidRPr="00BF19FC">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44BD77C" w14:textId="77777777" w:rsidR="00F3139D" w:rsidRPr="00BF19FC" w:rsidRDefault="00C13437">
      <w:pPr>
        <w:ind w:left="851" w:right="899"/>
        <w:jc w:val="both"/>
        <w:rPr>
          <w:rFonts w:ascii="Palatino Linotype" w:eastAsia="Palatino Linotype" w:hAnsi="Palatino Linotype" w:cs="Palatino Linotype"/>
          <w:b/>
          <w:i/>
          <w:sz w:val="22"/>
          <w:szCs w:val="22"/>
        </w:rPr>
      </w:pPr>
      <w:r w:rsidRPr="00BF19FC">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0C96797B" w14:textId="77777777" w:rsidR="00F3139D" w:rsidRPr="00BF19FC" w:rsidRDefault="00F3139D">
      <w:pPr>
        <w:spacing w:line="360" w:lineRule="auto"/>
        <w:ind w:right="-93"/>
        <w:jc w:val="both"/>
        <w:rPr>
          <w:rFonts w:ascii="Palatino Linotype" w:eastAsia="Palatino Linotype" w:hAnsi="Palatino Linotype" w:cs="Palatino Linotype"/>
        </w:rPr>
      </w:pPr>
    </w:p>
    <w:p w14:paraId="03BF1777" w14:textId="77777777" w:rsidR="00F3139D" w:rsidRPr="00BF19FC" w:rsidRDefault="00C13437">
      <w:pPr>
        <w:spacing w:before="280" w:after="280"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Una vez establecido lo anterior, se observa que en su respuesta primigenia </w:t>
      </w:r>
      <w:r w:rsidRPr="00BF19FC">
        <w:rPr>
          <w:rFonts w:ascii="Palatino Linotype" w:eastAsia="Palatino Linotype" w:hAnsi="Palatino Linotype" w:cs="Palatino Linotype"/>
          <w:b/>
        </w:rPr>
        <w:t>EL SUJETO OBLIGADO</w:t>
      </w:r>
      <w:r w:rsidRPr="00BF19FC">
        <w:rPr>
          <w:rFonts w:ascii="Palatino Linotype" w:eastAsia="Palatino Linotype" w:hAnsi="Palatino Linotype" w:cs="Palatino Linotype"/>
        </w:rPr>
        <w:t xml:space="preserve"> fue omiso en pronunciarse respecto del requerimiento elaborado por el particular, tendiente a conocer el lugar donde la servidora pública presta sus servicios. </w:t>
      </w:r>
    </w:p>
    <w:p w14:paraId="54F3D10C" w14:textId="77777777" w:rsidR="00F3139D" w:rsidRPr="00BF19FC" w:rsidRDefault="00C13437">
      <w:pPr>
        <w:spacing w:before="280" w:after="280"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No obstante, una vez abierta la etapa de manifestaciones, el ente recurrido presentó su Informe Justificado en el cual señala lo que a continuación se muestra: </w:t>
      </w:r>
    </w:p>
    <w:p w14:paraId="28A7A8A1" w14:textId="77777777" w:rsidR="00F3139D" w:rsidRPr="00BF19FC" w:rsidRDefault="00C13437">
      <w:pPr>
        <w:spacing w:before="280" w:after="280"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noProof/>
        </w:rPr>
        <w:lastRenderedPageBreak/>
        <w:drawing>
          <wp:inline distT="114300" distB="114300" distL="114300" distR="114300" wp14:anchorId="4738D496" wp14:editId="6A406C43">
            <wp:extent cx="5791200" cy="2117946"/>
            <wp:effectExtent l="0" t="0" r="0" b="0"/>
            <wp:docPr id="36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t="33822"/>
                    <a:stretch>
                      <a:fillRect/>
                    </a:stretch>
                  </pic:blipFill>
                  <pic:spPr>
                    <a:xfrm>
                      <a:off x="0" y="0"/>
                      <a:ext cx="5791200" cy="2117946"/>
                    </a:xfrm>
                    <a:prstGeom prst="rect">
                      <a:avLst/>
                    </a:prstGeom>
                    <a:ln/>
                  </pic:spPr>
                </pic:pic>
              </a:graphicData>
            </a:graphic>
          </wp:inline>
        </w:drawing>
      </w:r>
      <w:r w:rsidRPr="00BF19FC">
        <w:rPr>
          <w:rFonts w:ascii="Palatino Linotype" w:eastAsia="Palatino Linotype" w:hAnsi="Palatino Linotype" w:cs="Palatino Linotype"/>
        </w:rPr>
        <w:t xml:space="preserve"> </w:t>
      </w:r>
    </w:p>
    <w:p w14:paraId="42FCF836" w14:textId="77777777" w:rsidR="00F3139D" w:rsidRPr="00BF19FC" w:rsidRDefault="00C13437">
      <w:pPr>
        <w:spacing w:before="280" w:after="280"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De la imagen anterior, se puede apreciar que el Subdirector de Administración se pronuncia señalando que la servidora pública referida es la Jefa del Departamento de Patrimonio y Servicios Generales del Organismo Público Descentralizado para la Prestación de Los Servicios de Agua Potable Alcantarillado y Saneamiento del Municipio de Tlalnepantla de Baz, quien no se encuentra adscrita a un lugar en específico ya que debido a sus actividades trabaja en las diversas instalaciones del Organismo.  </w:t>
      </w:r>
    </w:p>
    <w:p w14:paraId="7DCB13A5" w14:textId="77777777" w:rsidR="00F3139D" w:rsidRPr="00BF19FC" w:rsidRDefault="00C13437">
      <w:pPr>
        <w:spacing w:before="280" w:after="280"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Sobre lo anterior cabe mencionar que existe información que por disposición de ley debe ser publicada de forma obligatoria para todos los Sujetos Obligados siendo esta la establecida en las fracciones del artículo 92 de la Ley de Transparencia y Acceso a la Información Pública del Estado de México y Municipio, dentro de las cuales obra el directorio de los servidores públicos que laboran en las instalaciones de los Sujetos </w:t>
      </w:r>
      <w:r w:rsidRPr="00BF19FC">
        <w:rPr>
          <w:rFonts w:ascii="Palatino Linotype" w:eastAsia="Palatino Linotype" w:hAnsi="Palatino Linotype" w:cs="Palatino Linotype"/>
        </w:rPr>
        <w:lastRenderedPageBreak/>
        <w:t xml:space="preserve">Obligados, tal y como se aprecia a continuación de la fracción VII del artículo en comento, que  a la letra dice: </w:t>
      </w:r>
    </w:p>
    <w:p w14:paraId="72BD8D96" w14:textId="77777777" w:rsidR="00F3139D" w:rsidRPr="00BF19FC" w:rsidRDefault="00C13437">
      <w:pPr>
        <w:spacing w:before="280" w:after="280" w:line="360" w:lineRule="auto"/>
        <w:ind w:firstLine="720"/>
        <w:jc w:val="both"/>
        <w:rPr>
          <w:rFonts w:ascii="Palatino Linotype" w:eastAsia="Palatino Linotype" w:hAnsi="Palatino Linotype" w:cs="Palatino Linotype"/>
          <w:b/>
          <w:i/>
          <w:sz w:val="22"/>
          <w:szCs w:val="22"/>
        </w:rPr>
      </w:pPr>
      <w:r w:rsidRPr="00BF19FC">
        <w:rPr>
          <w:rFonts w:ascii="Palatino Linotype" w:eastAsia="Palatino Linotype" w:hAnsi="Palatino Linotype" w:cs="Palatino Linotype"/>
          <w:i/>
          <w:sz w:val="22"/>
          <w:szCs w:val="22"/>
        </w:rPr>
        <w:t>“</w:t>
      </w:r>
      <w:r w:rsidRPr="00BF19FC">
        <w:rPr>
          <w:rFonts w:ascii="Palatino Linotype" w:eastAsia="Palatino Linotype" w:hAnsi="Palatino Linotype" w:cs="Palatino Linotype"/>
          <w:b/>
          <w:i/>
          <w:sz w:val="22"/>
          <w:szCs w:val="22"/>
        </w:rPr>
        <w:t xml:space="preserve">Capítulo II </w:t>
      </w:r>
    </w:p>
    <w:p w14:paraId="6CED9C04" w14:textId="77777777" w:rsidR="00F3139D" w:rsidRPr="00BF19FC" w:rsidRDefault="00C13437">
      <w:pPr>
        <w:ind w:left="850" w:right="899"/>
        <w:jc w:val="both"/>
        <w:rPr>
          <w:rFonts w:ascii="Palatino Linotype" w:eastAsia="Palatino Linotype" w:hAnsi="Palatino Linotype" w:cs="Palatino Linotype"/>
          <w:b/>
          <w:i/>
          <w:sz w:val="22"/>
          <w:szCs w:val="22"/>
        </w:rPr>
      </w:pPr>
      <w:r w:rsidRPr="00BF19FC">
        <w:rPr>
          <w:rFonts w:ascii="Palatino Linotype" w:eastAsia="Palatino Linotype" w:hAnsi="Palatino Linotype" w:cs="Palatino Linotype"/>
          <w:b/>
          <w:i/>
          <w:sz w:val="22"/>
          <w:szCs w:val="22"/>
        </w:rPr>
        <w:t>De las Obligaciones de Transparencia Comunes</w:t>
      </w:r>
    </w:p>
    <w:p w14:paraId="72872E46" w14:textId="77777777" w:rsidR="00F3139D" w:rsidRPr="00BF19FC" w:rsidRDefault="00C13437">
      <w:pPr>
        <w:spacing w:before="280" w:after="280"/>
        <w:ind w:left="850" w:right="899"/>
        <w:jc w:val="both"/>
        <w:rPr>
          <w:rFonts w:ascii="Palatino Linotype" w:eastAsia="Palatino Linotype" w:hAnsi="Palatino Linotype" w:cs="Palatino Linotype"/>
          <w:i/>
          <w:sz w:val="22"/>
          <w:szCs w:val="22"/>
        </w:rPr>
      </w:pPr>
      <w:r w:rsidRPr="00BF19FC">
        <w:rPr>
          <w:rFonts w:ascii="Palatino Linotype" w:eastAsia="Palatino Linotype" w:hAnsi="Palatino Linotype" w:cs="Palatino Linotype"/>
          <w:b/>
          <w:i/>
          <w:sz w:val="22"/>
          <w:szCs w:val="22"/>
        </w:rPr>
        <w:t xml:space="preserve">Artículo 92. </w:t>
      </w:r>
      <w:r w:rsidRPr="00BF19FC">
        <w:rPr>
          <w:rFonts w:ascii="Palatino Linotype" w:eastAsia="Palatino Linotype" w:hAnsi="Palatino Linotype" w:cs="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7073821" w14:textId="77777777" w:rsidR="00F3139D" w:rsidRPr="00BF19FC" w:rsidRDefault="00C13437">
      <w:pPr>
        <w:spacing w:before="280" w:after="280"/>
        <w:ind w:left="850" w:right="899"/>
        <w:jc w:val="both"/>
        <w:rPr>
          <w:rFonts w:ascii="Palatino Linotype" w:eastAsia="Palatino Linotype" w:hAnsi="Palatino Linotype" w:cs="Palatino Linotype"/>
          <w:i/>
          <w:sz w:val="22"/>
          <w:szCs w:val="22"/>
        </w:rPr>
      </w:pPr>
      <w:r w:rsidRPr="00BF19FC">
        <w:rPr>
          <w:rFonts w:ascii="Palatino Linotype" w:eastAsia="Palatino Linotype" w:hAnsi="Palatino Linotype" w:cs="Palatino Linotype"/>
          <w:b/>
          <w:i/>
          <w:sz w:val="22"/>
          <w:szCs w:val="22"/>
        </w:rPr>
        <w:t>VII. El directorio de todos los servidores públicos, a partir del nivel de jefe de departamento o su equivalente o de menor nivel,</w:t>
      </w:r>
      <w:r w:rsidRPr="00BF19FC">
        <w:rPr>
          <w:rFonts w:ascii="Palatino Linotype" w:eastAsia="Palatino Linotype" w:hAnsi="Palatino Linotype" w:cs="Palatino Linotype"/>
          <w:i/>
          <w:sz w:val="22"/>
          <w:szCs w:val="22"/>
        </w:rPr>
        <w:t xml:space="preserve"> cuando se brinde atención al público, manejen o apliquen recursos públicos, realicen actos de autoridad o presten servicios profesionales bajo el régimen de confianza u honorarios y personal de base. </w:t>
      </w:r>
      <w:r w:rsidRPr="00BF19FC">
        <w:rPr>
          <w:rFonts w:ascii="Palatino Linotype" w:eastAsia="Palatino Linotype" w:hAnsi="Palatino Linotype" w:cs="Palatino Linotype"/>
          <w:b/>
          <w:i/>
          <w:sz w:val="22"/>
          <w:szCs w:val="22"/>
        </w:rPr>
        <w:t>El directorio deberá incluir</w:t>
      </w:r>
      <w:r w:rsidRPr="00BF19FC">
        <w:rPr>
          <w:rFonts w:ascii="Palatino Linotype" w:eastAsia="Palatino Linotype" w:hAnsi="Palatino Linotype" w:cs="Palatino Linotype"/>
          <w:i/>
          <w:sz w:val="22"/>
          <w:szCs w:val="22"/>
        </w:rPr>
        <w:t xml:space="preserve">, al menos el nombre, cargo o nombramiento oficial asignado, nivel del puesto en la estructura orgánica, fecha de alta en el cargo, número telefónico, </w:t>
      </w:r>
      <w:r w:rsidRPr="00BF19FC">
        <w:rPr>
          <w:rFonts w:ascii="Palatino Linotype" w:eastAsia="Palatino Linotype" w:hAnsi="Palatino Linotype" w:cs="Palatino Linotype"/>
          <w:b/>
          <w:i/>
          <w:sz w:val="22"/>
          <w:szCs w:val="22"/>
        </w:rPr>
        <w:t>domicilio para recibir correspondencia</w:t>
      </w:r>
      <w:r w:rsidRPr="00BF19FC">
        <w:rPr>
          <w:rFonts w:ascii="Palatino Linotype" w:eastAsia="Palatino Linotype" w:hAnsi="Palatino Linotype" w:cs="Palatino Linotype"/>
          <w:i/>
          <w:sz w:val="22"/>
          <w:szCs w:val="22"/>
        </w:rPr>
        <w:t xml:space="preserve"> y dirección de correo electrónico oficiales, datos que deberán señalarse de forma independiente por dependencia y entidad pública de cada sujeto obligado;“</w:t>
      </w:r>
    </w:p>
    <w:p w14:paraId="7B0117D6" w14:textId="77777777" w:rsidR="00F3139D" w:rsidRPr="00BF19FC" w:rsidRDefault="00C13437">
      <w:pPr>
        <w:tabs>
          <w:tab w:val="left" w:pos="709"/>
        </w:tabs>
        <w:ind w:left="850" w:right="899"/>
        <w:jc w:val="both"/>
        <w:rPr>
          <w:rFonts w:ascii="Palatino Linotype" w:eastAsia="Palatino Linotype" w:hAnsi="Palatino Linotype" w:cs="Palatino Linotype"/>
          <w:i/>
          <w:sz w:val="22"/>
          <w:szCs w:val="22"/>
        </w:rPr>
      </w:pPr>
      <w:r w:rsidRPr="00BF19FC">
        <w:rPr>
          <w:rFonts w:ascii="Palatino Linotype" w:eastAsia="Palatino Linotype" w:hAnsi="Palatino Linotype" w:cs="Palatino Linotype"/>
          <w:i/>
          <w:sz w:val="22"/>
          <w:szCs w:val="22"/>
        </w:rPr>
        <w:t>(énfasis añadido)</w:t>
      </w:r>
    </w:p>
    <w:p w14:paraId="73FC6260" w14:textId="77777777" w:rsidR="00F3139D" w:rsidRPr="00BF19FC" w:rsidRDefault="00F3139D">
      <w:pPr>
        <w:ind w:left="851" w:right="899"/>
        <w:jc w:val="both"/>
        <w:rPr>
          <w:rFonts w:ascii="Palatino Linotype" w:eastAsia="Palatino Linotype" w:hAnsi="Palatino Linotype" w:cs="Palatino Linotype"/>
          <w:i/>
          <w:sz w:val="22"/>
          <w:szCs w:val="22"/>
        </w:rPr>
      </w:pPr>
    </w:p>
    <w:p w14:paraId="345703F9" w14:textId="77777777" w:rsidR="00F3139D" w:rsidRPr="00BF19FC" w:rsidRDefault="00C13437">
      <w:pPr>
        <w:spacing w:before="280" w:after="280" w:line="360" w:lineRule="auto"/>
        <w:jc w:val="both"/>
        <w:rPr>
          <w:rFonts w:ascii="Palatino Linotype" w:eastAsia="Palatino Linotype" w:hAnsi="Palatino Linotype" w:cs="Palatino Linotype"/>
        </w:rPr>
      </w:pPr>
      <w:bookmarkStart w:id="6" w:name="_heading=h.30j0zll" w:colFirst="0" w:colLast="0"/>
      <w:bookmarkEnd w:id="6"/>
      <w:r w:rsidRPr="00BF19FC">
        <w:rPr>
          <w:rFonts w:ascii="Palatino Linotype" w:eastAsia="Palatino Linotype" w:hAnsi="Palatino Linotype" w:cs="Palatino Linotype"/>
        </w:rPr>
        <w:t xml:space="preserve">Del precepto anterior se puede apreciar que dentro de la información que los Sujetos Obligados deberán poner a disposición de los particulares está el directorio de los </w:t>
      </w:r>
      <w:r w:rsidRPr="00BF19FC">
        <w:rPr>
          <w:rFonts w:ascii="Palatino Linotype" w:eastAsia="Palatino Linotype" w:hAnsi="Palatino Linotype" w:cs="Palatino Linotype"/>
        </w:rPr>
        <w:lastRenderedPageBreak/>
        <w:t xml:space="preserve">servidores públicos, el mismo que deberá contener por lo menos la dirección para recibir correspondencia, entre otros. </w:t>
      </w:r>
    </w:p>
    <w:p w14:paraId="09402E1E" w14:textId="77777777" w:rsidR="00F3139D" w:rsidRPr="00BF19FC" w:rsidRDefault="00C13437">
      <w:pPr>
        <w:spacing w:before="280" w:after="280" w:line="360" w:lineRule="auto"/>
        <w:jc w:val="both"/>
        <w:rPr>
          <w:rFonts w:ascii="Palatino Linotype" w:eastAsia="Palatino Linotype" w:hAnsi="Palatino Linotype" w:cs="Palatino Linotype"/>
        </w:rPr>
      </w:pPr>
      <w:bookmarkStart w:id="7" w:name="_heading=h.t2dk9wpx7b47" w:colFirst="0" w:colLast="0"/>
      <w:bookmarkEnd w:id="7"/>
      <w:r w:rsidRPr="00BF19FC">
        <w:rPr>
          <w:rFonts w:ascii="Palatino Linotype" w:eastAsia="Palatino Linotype" w:hAnsi="Palatino Linotype" w:cs="Palatino Linotype"/>
        </w:rPr>
        <w:t xml:space="preserve">Con lo que, si bien es cierto, </w:t>
      </w:r>
      <w:r w:rsidRPr="00BF19FC">
        <w:rPr>
          <w:rFonts w:ascii="Palatino Linotype" w:eastAsia="Palatino Linotype" w:hAnsi="Palatino Linotype" w:cs="Palatino Linotype"/>
          <w:b/>
        </w:rPr>
        <w:t>EL SUJETO OBLIGADO</w:t>
      </w:r>
      <w:r w:rsidRPr="00BF19FC">
        <w:rPr>
          <w:rFonts w:ascii="Palatino Linotype" w:eastAsia="Palatino Linotype" w:hAnsi="Palatino Linotype" w:cs="Palatino Linotype"/>
        </w:rPr>
        <w:t xml:space="preserve"> refirió que por sus atribuciones la persona solicitada no tiene un lugar físico para presentar sus servicios, lo cierto también es que al ser la Jefa de un Departamento, debe contar con una dirección física oficial a la cual se encuentra adscrita para efectos de recibir notificaciones y correspondencia distinta a la electrónica. </w:t>
      </w:r>
    </w:p>
    <w:p w14:paraId="7E35F363" w14:textId="77777777" w:rsidR="00F3139D" w:rsidRPr="00BF19FC" w:rsidRDefault="00C13437">
      <w:pPr>
        <w:spacing w:before="280" w:after="280" w:line="360" w:lineRule="auto"/>
        <w:jc w:val="both"/>
        <w:rPr>
          <w:rFonts w:ascii="Palatino Linotype" w:eastAsia="Palatino Linotype" w:hAnsi="Palatino Linotype" w:cs="Palatino Linotype"/>
        </w:rPr>
      </w:pPr>
      <w:bookmarkStart w:id="8" w:name="_heading=h.gebuxlyg49k5" w:colFirst="0" w:colLast="0"/>
      <w:bookmarkEnd w:id="8"/>
      <w:r w:rsidRPr="00BF19FC">
        <w:rPr>
          <w:rFonts w:ascii="Palatino Linotype" w:eastAsia="Palatino Linotype" w:hAnsi="Palatino Linotype" w:cs="Palatino Linotype"/>
        </w:rPr>
        <w:t>Luego entonces, a efecto de privilegiar el derecho de acceso a la información pública y gar</w:t>
      </w:r>
      <w:r w:rsidR="001D4987" w:rsidRPr="00BF19FC">
        <w:rPr>
          <w:rFonts w:ascii="Palatino Linotype" w:eastAsia="Palatino Linotype" w:hAnsi="Palatino Linotype" w:cs="Palatino Linotype"/>
        </w:rPr>
        <w:t>antizar el principio de certeza</w:t>
      </w:r>
      <w:r w:rsidRPr="00BF19FC">
        <w:rPr>
          <w:rFonts w:ascii="Palatino Linotype" w:eastAsia="Palatino Linotype" w:hAnsi="Palatino Linotype" w:cs="Palatino Linotype"/>
        </w:rPr>
        <w:t xml:space="preserve">, este Instituto determina </w:t>
      </w:r>
      <w:r w:rsidRPr="00BF19FC">
        <w:rPr>
          <w:rFonts w:ascii="Palatino Linotype" w:eastAsia="Palatino Linotype" w:hAnsi="Palatino Linotype" w:cs="Palatino Linotype"/>
          <w:b/>
        </w:rPr>
        <w:t xml:space="preserve">MODIFICAR </w:t>
      </w:r>
      <w:r w:rsidRPr="00BF19FC">
        <w:rPr>
          <w:rFonts w:ascii="Palatino Linotype" w:eastAsia="Palatino Linotype" w:hAnsi="Palatino Linotype" w:cs="Palatino Linotype"/>
        </w:rPr>
        <w:t xml:space="preserve">la respuesta del </w:t>
      </w:r>
      <w:r w:rsidRPr="00BF19FC">
        <w:rPr>
          <w:rFonts w:ascii="Palatino Linotype" w:eastAsia="Palatino Linotype" w:hAnsi="Palatino Linotype" w:cs="Palatino Linotype"/>
          <w:b/>
        </w:rPr>
        <w:t>SUJETO OBLIGADO</w:t>
      </w:r>
      <w:r w:rsidRPr="00BF19FC">
        <w:rPr>
          <w:rFonts w:ascii="Palatino Linotype" w:eastAsia="Palatino Linotype" w:hAnsi="Palatino Linotype" w:cs="Palatino Linotype"/>
        </w:rPr>
        <w:t xml:space="preserve"> por resultar parcialmente fundadas las razones o motivos de inconformidad vertidos por el </w:t>
      </w:r>
      <w:r w:rsidRPr="00BF19FC">
        <w:rPr>
          <w:rFonts w:ascii="Palatino Linotype" w:eastAsia="Palatino Linotype" w:hAnsi="Palatino Linotype" w:cs="Palatino Linotype"/>
          <w:b/>
        </w:rPr>
        <w:t>RECURRENTE</w:t>
      </w:r>
      <w:r w:rsidRPr="00BF19FC">
        <w:rPr>
          <w:rFonts w:ascii="Palatino Linotype" w:eastAsia="Palatino Linotype" w:hAnsi="Palatino Linotype" w:cs="Palatino Linotype"/>
        </w:rPr>
        <w:t xml:space="preserve"> en el presente Recurso de Revisión y se ordena al </w:t>
      </w:r>
      <w:r w:rsidRPr="00BF19FC">
        <w:rPr>
          <w:rFonts w:ascii="Palatino Linotype" w:eastAsia="Palatino Linotype" w:hAnsi="Palatino Linotype" w:cs="Palatino Linotype"/>
          <w:b/>
        </w:rPr>
        <w:t xml:space="preserve">SUJETO OBLIGADO, </w:t>
      </w:r>
      <w:r w:rsidRPr="00BF19FC">
        <w:rPr>
          <w:rFonts w:ascii="Palatino Linotype" w:eastAsia="Palatino Linotype" w:hAnsi="Palatino Linotype" w:cs="Palatino Linotype"/>
        </w:rPr>
        <w:t>haga entrega del soporte documental donde conste el lugar de adscripción y/o domicilio o direcc</w:t>
      </w:r>
      <w:r w:rsidR="001D4987" w:rsidRPr="00BF19FC">
        <w:rPr>
          <w:rFonts w:ascii="Palatino Linotype" w:eastAsia="Palatino Linotype" w:hAnsi="Palatino Linotype" w:cs="Palatino Linotype"/>
        </w:rPr>
        <w:t xml:space="preserve">ión donde presta sus servicios </w:t>
      </w:r>
      <w:r w:rsidRPr="00BF19FC">
        <w:rPr>
          <w:rFonts w:ascii="Palatino Linotype" w:eastAsia="Palatino Linotype" w:hAnsi="Palatino Linotype" w:cs="Palatino Linotype"/>
        </w:rPr>
        <w:t>la servidora pública referida en la solicitud de información materia del presente recurso,  vigente al primero de abril de dos mil veintidós</w:t>
      </w:r>
    </w:p>
    <w:p w14:paraId="76C70988" w14:textId="77777777" w:rsidR="00F3139D" w:rsidRPr="00BF19FC" w:rsidRDefault="00C13437">
      <w:pPr>
        <w:spacing w:before="280" w:after="280" w:line="360" w:lineRule="auto"/>
        <w:jc w:val="both"/>
        <w:rPr>
          <w:rFonts w:ascii="Palatino Linotype" w:eastAsia="Palatino Linotype" w:hAnsi="Palatino Linotype" w:cs="Palatino Linotype"/>
          <w:i/>
        </w:rPr>
      </w:pPr>
      <w:bookmarkStart w:id="9" w:name="_heading=h.pzhg1tea0v7" w:colFirst="0" w:colLast="0"/>
      <w:bookmarkEnd w:id="9"/>
      <w:r w:rsidRPr="00BF19FC">
        <w:rPr>
          <w:rFonts w:ascii="Palatino Linotype" w:eastAsia="Palatino Linotype" w:hAnsi="Palatino Linotype" w:cs="Palatino Linotype"/>
        </w:rPr>
        <w:t>No se omite comentar que con respecto a la parte del Recurso de Revisión donde señala: “c</w:t>
      </w:r>
      <w:r w:rsidRPr="00BF19FC">
        <w:rPr>
          <w:rFonts w:ascii="Palatino Linotype" w:eastAsia="Palatino Linotype" w:hAnsi="Palatino Linotype" w:cs="Palatino Linotype"/>
          <w:i/>
        </w:rPr>
        <w:t>onvalidan que es una aviadora y</w:t>
      </w:r>
      <w:r w:rsidR="003F1A9B" w:rsidRPr="00BF19FC">
        <w:rPr>
          <w:rFonts w:ascii="Palatino Linotype" w:eastAsia="Palatino Linotype" w:hAnsi="Palatino Linotype" w:cs="Palatino Linotype"/>
          <w:i/>
        </w:rPr>
        <w:t>a que no se presenta a trabajar,</w:t>
      </w:r>
      <w:r w:rsidRPr="00BF19FC">
        <w:rPr>
          <w:rFonts w:ascii="Palatino Linotype" w:eastAsia="Palatino Linotype" w:hAnsi="Palatino Linotype" w:cs="Palatino Linotype"/>
          <w:i/>
        </w:rPr>
        <w:t xml:space="preserve"> finquen las denuncias penales correspondientes ante el OSFEM” (Sic)</w:t>
      </w:r>
    </w:p>
    <w:p w14:paraId="4CC5AE40" w14:textId="77777777" w:rsidR="00F3139D" w:rsidRPr="00BF19FC" w:rsidRDefault="00F3139D">
      <w:pPr>
        <w:spacing w:line="360" w:lineRule="auto"/>
        <w:jc w:val="both"/>
        <w:rPr>
          <w:rFonts w:ascii="Palatino Linotype" w:eastAsia="Palatino Linotype" w:hAnsi="Palatino Linotype" w:cs="Palatino Linotype"/>
          <w:i/>
        </w:rPr>
      </w:pPr>
    </w:p>
    <w:p w14:paraId="56BAB33A" w14:textId="77777777" w:rsidR="00F3139D" w:rsidRPr="00BF19FC" w:rsidRDefault="00C1343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 xml:space="preserve">Es importante señalar que el Recurso de Revisión no es la vía para realizar investigaciones o calificar conductas administrativas,  aunado a ello de las constancias que obran en el expediente electrónico del SAIMEX no hay elementos para determinar que </w:t>
      </w:r>
      <w:r w:rsidRPr="00BF19FC">
        <w:rPr>
          <w:rFonts w:ascii="Palatino Linotype" w:eastAsia="Palatino Linotype" w:hAnsi="Palatino Linotype" w:cs="Palatino Linotype"/>
          <w:b/>
        </w:rPr>
        <w:t xml:space="preserve">EL SUJETO OBLIGADO </w:t>
      </w:r>
      <w:r w:rsidRPr="00BF19FC">
        <w:rPr>
          <w:rFonts w:ascii="Palatino Linotype" w:eastAsia="Palatino Linotype" w:hAnsi="Palatino Linotype" w:cs="Palatino Linotype"/>
        </w:rPr>
        <w:t xml:space="preserve">haya actuado con negligencia o dolo, razón por la cual este Instituto no puede pronunciarse sobre dichas manifestaciones, sin perjuicio de que el particular pueda presentar las denuncias o quejas que a su derecho convengan ante la instancia correspondiente.  </w:t>
      </w:r>
    </w:p>
    <w:p w14:paraId="537A9A13" w14:textId="77777777" w:rsidR="00F3139D" w:rsidRPr="00BF19FC" w:rsidRDefault="00F3139D">
      <w:pPr>
        <w:spacing w:line="360" w:lineRule="auto"/>
        <w:jc w:val="both"/>
        <w:rPr>
          <w:rFonts w:ascii="Palatino Linotype" w:eastAsia="Palatino Linotype" w:hAnsi="Palatino Linotype" w:cs="Palatino Linotype"/>
        </w:rPr>
      </w:pPr>
    </w:p>
    <w:p w14:paraId="2175BB39" w14:textId="77777777" w:rsidR="00F3139D" w:rsidRPr="00BF19FC" w:rsidRDefault="00C1343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rPr>
        <w:t>Así, con fundamento en lo previsto en los artículos 5, párrafos trigésimos, trigésimos primero y trigésimos segundos,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3C9C37E6" w14:textId="77777777" w:rsidR="00F3139D" w:rsidRPr="00BF19FC" w:rsidRDefault="00F3139D">
      <w:pPr>
        <w:spacing w:line="360" w:lineRule="auto"/>
        <w:jc w:val="center"/>
        <w:rPr>
          <w:rFonts w:ascii="Palatino Linotype" w:eastAsia="Palatino Linotype" w:hAnsi="Palatino Linotype" w:cs="Palatino Linotype"/>
          <w:b/>
          <w:sz w:val="26"/>
          <w:szCs w:val="26"/>
        </w:rPr>
      </w:pPr>
    </w:p>
    <w:p w14:paraId="50194340" w14:textId="77777777" w:rsidR="00F3139D" w:rsidRPr="00BF19FC" w:rsidRDefault="00C13437">
      <w:pPr>
        <w:spacing w:line="360" w:lineRule="auto"/>
        <w:jc w:val="center"/>
        <w:rPr>
          <w:rFonts w:ascii="Palatino Linotype" w:eastAsia="Palatino Linotype" w:hAnsi="Palatino Linotype" w:cs="Palatino Linotype"/>
          <w:b/>
          <w:sz w:val="26"/>
          <w:szCs w:val="26"/>
        </w:rPr>
      </w:pPr>
      <w:r w:rsidRPr="00BF19FC">
        <w:rPr>
          <w:rFonts w:ascii="Palatino Linotype" w:eastAsia="Palatino Linotype" w:hAnsi="Palatino Linotype" w:cs="Palatino Linotype"/>
          <w:b/>
          <w:sz w:val="26"/>
          <w:szCs w:val="26"/>
        </w:rPr>
        <w:t>RESUELVE</w:t>
      </w:r>
    </w:p>
    <w:p w14:paraId="7435E023" w14:textId="77777777" w:rsidR="00F3139D" w:rsidRPr="00BF19FC" w:rsidRDefault="00C13437">
      <w:pPr>
        <w:spacing w:line="360" w:lineRule="auto"/>
        <w:ind w:right="49"/>
        <w:jc w:val="both"/>
        <w:rPr>
          <w:rFonts w:ascii="Palatino Linotype" w:eastAsia="Palatino Linotype" w:hAnsi="Palatino Linotype" w:cs="Palatino Linotype"/>
        </w:rPr>
      </w:pPr>
      <w:r w:rsidRPr="00BF19FC">
        <w:rPr>
          <w:rFonts w:ascii="Palatino Linotype" w:eastAsia="Palatino Linotype" w:hAnsi="Palatino Linotype" w:cs="Palatino Linotype"/>
          <w:b/>
        </w:rPr>
        <w:t>PRIMERO.</w:t>
      </w:r>
      <w:r w:rsidRPr="00BF19FC">
        <w:rPr>
          <w:rFonts w:ascii="Palatino Linotype" w:eastAsia="Palatino Linotype" w:hAnsi="Palatino Linotype" w:cs="Palatino Linotype"/>
        </w:rPr>
        <w:t xml:space="preserve"> Resultan </w:t>
      </w:r>
      <w:r w:rsidRPr="00BF19FC">
        <w:rPr>
          <w:rFonts w:ascii="Palatino Linotype" w:eastAsia="Palatino Linotype" w:hAnsi="Palatino Linotype" w:cs="Palatino Linotype"/>
          <w:b/>
        </w:rPr>
        <w:t>parcialmente fundadas</w:t>
      </w:r>
      <w:r w:rsidRPr="00BF19FC">
        <w:rPr>
          <w:rFonts w:ascii="Palatino Linotype" w:eastAsia="Palatino Linotype" w:hAnsi="Palatino Linotype" w:cs="Palatino Linotype"/>
        </w:rPr>
        <w:t xml:space="preserve"> las manifestaciones hechas valer por </w:t>
      </w:r>
      <w:r w:rsidRPr="00BF19FC">
        <w:rPr>
          <w:rFonts w:ascii="Palatino Linotype" w:eastAsia="Palatino Linotype" w:hAnsi="Palatino Linotype" w:cs="Palatino Linotype"/>
          <w:b/>
        </w:rPr>
        <w:t>EL RECURRENTE</w:t>
      </w:r>
      <w:r w:rsidRPr="00BF19FC">
        <w:rPr>
          <w:rFonts w:ascii="Palatino Linotype" w:eastAsia="Palatino Linotype" w:hAnsi="Palatino Linotype" w:cs="Palatino Linotype"/>
        </w:rPr>
        <w:t xml:space="preserve"> en el recurso de revisión </w:t>
      </w:r>
      <w:r w:rsidRPr="00BF19FC">
        <w:rPr>
          <w:rFonts w:ascii="Palatino Linotype" w:eastAsia="Palatino Linotype" w:hAnsi="Palatino Linotype" w:cs="Palatino Linotype"/>
          <w:b/>
        </w:rPr>
        <w:t>06927/INFOEM/IP/RR/2022</w:t>
      </w:r>
      <w:r w:rsidRPr="00BF19FC">
        <w:rPr>
          <w:rFonts w:ascii="Palatino Linotype" w:eastAsia="Palatino Linotype" w:hAnsi="Palatino Linotype" w:cs="Palatino Linotype"/>
        </w:rPr>
        <w:t xml:space="preserve">, en términos del considerando </w:t>
      </w:r>
      <w:r w:rsidRPr="00BF19FC">
        <w:rPr>
          <w:rFonts w:ascii="Palatino Linotype" w:eastAsia="Palatino Linotype" w:hAnsi="Palatino Linotype" w:cs="Palatino Linotype"/>
          <w:b/>
        </w:rPr>
        <w:t>QUINTO</w:t>
      </w:r>
      <w:r w:rsidRPr="00BF19FC">
        <w:rPr>
          <w:rFonts w:ascii="Palatino Linotype" w:eastAsia="Palatino Linotype" w:hAnsi="Palatino Linotype" w:cs="Palatino Linotype"/>
        </w:rPr>
        <w:t>.</w:t>
      </w:r>
    </w:p>
    <w:p w14:paraId="51E4A283" w14:textId="77777777" w:rsidR="00F3139D" w:rsidRPr="00BF19FC" w:rsidRDefault="00F3139D">
      <w:pPr>
        <w:spacing w:line="360" w:lineRule="auto"/>
        <w:ind w:right="49"/>
        <w:jc w:val="both"/>
        <w:rPr>
          <w:rFonts w:ascii="Palatino Linotype" w:eastAsia="Palatino Linotype" w:hAnsi="Palatino Linotype" w:cs="Palatino Linotype"/>
        </w:rPr>
      </w:pPr>
    </w:p>
    <w:p w14:paraId="4B3B68E9" w14:textId="77777777" w:rsidR="00F3139D" w:rsidRPr="00BF19FC" w:rsidRDefault="00C13437">
      <w:pPr>
        <w:spacing w:line="360" w:lineRule="auto"/>
        <w:jc w:val="both"/>
        <w:rPr>
          <w:rFonts w:ascii="Palatino Linotype" w:eastAsia="Palatino Linotype" w:hAnsi="Palatino Linotype" w:cs="Palatino Linotype"/>
          <w:i/>
          <w:sz w:val="22"/>
          <w:szCs w:val="22"/>
        </w:rPr>
      </w:pPr>
      <w:r w:rsidRPr="00BF19FC">
        <w:rPr>
          <w:rFonts w:ascii="Palatino Linotype" w:eastAsia="Palatino Linotype" w:hAnsi="Palatino Linotype" w:cs="Palatino Linotype"/>
          <w:b/>
        </w:rPr>
        <w:lastRenderedPageBreak/>
        <w:t xml:space="preserve">SEGUNDO. </w:t>
      </w:r>
      <w:r w:rsidRPr="00BF19FC">
        <w:rPr>
          <w:rFonts w:ascii="Palatino Linotype" w:eastAsia="Palatino Linotype" w:hAnsi="Palatino Linotype" w:cs="Palatino Linotype"/>
        </w:rPr>
        <w:t xml:space="preserve">Se </w:t>
      </w:r>
      <w:r w:rsidRPr="00BF19FC">
        <w:rPr>
          <w:rFonts w:ascii="Palatino Linotype" w:eastAsia="Palatino Linotype" w:hAnsi="Palatino Linotype" w:cs="Palatino Linotype"/>
          <w:b/>
        </w:rPr>
        <w:t xml:space="preserve">MODIFICA </w:t>
      </w:r>
      <w:r w:rsidRPr="00BF19FC">
        <w:rPr>
          <w:rFonts w:ascii="Palatino Linotype" w:eastAsia="Palatino Linotype" w:hAnsi="Palatino Linotype" w:cs="Palatino Linotype"/>
        </w:rPr>
        <w:t xml:space="preserve">la respuesta emitida por </w:t>
      </w:r>
      <w:r w:rsidRPr="00BF19FC">
        <w:rPr>
          <w:rFonts w:ascii="Palatino Linotype" w:eastAsia="Palatino Linotype" w:hAnsi="Palatino Linotype" w:cs="Palatino Linotype"/>
          <w:b/>
        </w:rPr>
        <w:t>EL</w:t>
      </w:r>
      <w:r w:rsidRPr="00BF19FC">
        <w:rPr>
          <w:rFonts w:ascii="Palatino Linotype" w:eastAsia="Palatino Linotype" w:hAnsi="Palatino Linotype" w:cs="Palatino Linotype"/>
        </w:rPr>
        <w:t xml:space="preserve"> </w:t>
      </w:r>
      <w:r w:rsidRPr="00BF19FC">
        <w:rPr>
          <w:rFonts w:ascii="Palatino Linotype" w:eastAsia="Palatino Linotype" w:hAnsi="Palatino Linotype" w:cs="Palatino Linotype"/>
          <w:b/>
        </w:rPr>
        <w:t>SUJETO OBLIGADO</w:t>
      </w:r>
      <w:r w:rsidRPr="00BF19FC">
        <w:rPr>
          <w:rFonts w:ascii="Palatino Linotype" w:eastAsia="Palatino Linotype" w:hAnsi="Palatino Linotype" w:cs="Palatino Linotype"/>
        </w:rPr>
        <w:t xml:space="preserve"> y se ordena que en términos del Considerando </w:t>
      </w:r>
      <w:r w:rsidRPr="00BF19FC">
        <w:rPr>
          <w:rFonts w:ascii="Palatino Linotype" w:eastAsia="Palatino Linotype" w:hAnsi="Palatino Linotype" w:cs="Palatino Linotype"/>
          <w:b/>
        </w:rPr>
        <w:t>Quinto</w:t>
      </w:r>
      <w:r w:rsidRPr="00BF19FC">
        <w:rPr>
          <w:rFonts w:ascii="Palatino Linotype" w:eastAsia="Palatino Linotype" w:hAnsi="Palatino Linotype" w:cs="Palatino Linotype"/>
        </w:rPr>
        <w:t xml:space="preserve"> haga entrega al Recurrente mediante el Sistema de Acceso a la Información Mexiquense (SAIMEX) de lo siguiente: </w:t>
      </w:r>
    </w:p>
    <w:p w14:paraId="41348D02" w14:textId="77777777" w:rsidR="00F3139D" w:rsidRPr="00BF19FC" w:rsidRDefault="00C13437">
      <w:pPr>
        <w:ind w:left="850" w:right="899"/>
        <w:jc w:val="both"/>
        <w:rPr>
          <w:rFonts w:ascii="Palatino Linotype" w:eastAsia="Palatino Linotype" w:hAnsi="Palatino Linotype" w:cs="Palatino Linotype"/>
          <w:b/>
          <w:i/>
          <w:sz w:val="20"/>
          <w:szCs w:val="20"/>
        </w:rPr>
      </w:pPr>
      <w:r w:rsidRPr="00BF19FC">
        <w:rPr>
          <w:rFonts w:ascii="Palatino Linotype" w:eastAsia="Palatino Linotype" w:hAnsi="Palatino Linotype" w:cs="Palatino Linotype"/>
          <w:i/>
          <w:sz w:val="22"/>
          <w:szCs w:val="22"/>
        </w:rPr>
        <w:t xml:space="preserve">El soporte documental donde conste el lugar de adscripción y/o domicilio o dirección donde presta sus servicios la servidora pública referida en la solicitud de información materia del presente recurso,  vigente al primero de abril de dos mil veintidós.  </w:t>
      </w:r>
    </w:p>
    <w:p w14:paraId="181261D1" w14:textId="77777777" w:rsidR="00F3139D" w:rsidRPr="00BF19FC" w:rsidRDefault="00F3139D">
      <w:pPr>
        <w:tabs>
          <w:tab w:val="left" w:pos="709"/>
        </w:tabs>
        <w:ind w:left="850" w:right="899"/>
        <w:jc w:val="both"/>
        <w:rPr>
          <w:rFonts w:ascii="Palatino Linotype" w:eastAsia="Palatino Linotype" w:hAnsi="Palatino Linotype" w:cs="Palatino Linotype"/>
          <w:i/>
          <w:sz w:val="20"/>
          <w:szCs w:val="20"/>
        </w:rPr>
      </w:pPr>
    </w:p>
    <w:p w14:paraId="143F4B79" w14:textId="77777777" w:rsidR="00F3139D" w:rsidRPr="00BF19FC" w:rsidRDefault="00F3139D">
      <w:pPr>
        <w:tabs>
          <w:tab w:val="left" w:pos="709"/>
        </w:tabs>
        <w:ind w:left="850" w:right="899"/>
        <w:jc w:val="both"/>
        <w:rPr>
          <w:rFonts w:ascii="Palatino Linotype" w:eastAsia="Palatino Linotype" w:hAnsi="Palatino Linotype" w:cs="Palatino Linotype"/>
          <w:i/>
          <w:sz w:val="20"/>
          <w:szCs w:val="20"/>
        </w:rPr>
      </w:pPr>
    </w:p>
    <w:p w14:paraId="5B3F0B71" w14:textId="77777777" w:rsidR="00F3139D" w:rsidRPr="00BF19FC" w:rsidRDefault="00C1343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b/>
        </w:rPr>
        <w:t>TERCERO.</w:t>
      </w:r>
      <w:r w:rsidRPr="00BF19FC">
        <w:rPr>
          <w:rFonts w:ascii="Palatino Linotype" w:eastAsia="Palatino Linotype" w:hAnsi="Palatino Linotype" w:cs="Palatino Linotype"/>
        </w:rPr>
        <w:t xml:space="preserve"> </w:t>
      </w:r>
      <w:r w:rsidRPr="00BF19FC">
        <w:rPr>
          <w:rFonts w:ascii="Palatino Linotype" w:eastAsia="Palatino Linotype" w:hAnsi="Palatino Linotype" w:cs="Palatino Linotype"/>
          <w:b/>
        </w:rPr>
        <w:t xml:space="preserve">NOTIFÍQUESE </w:t>
      </w:r>
      <w:r w:rsidRPr="00BF19FC">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CA6C785" w14:textId="77777777" w:rsidR="00F3139D" w:rsidRPr="00BF19FC" w:rsidRDefault="00F3139D">
      <w:pPr>
        <w:spacing w:line="360" w:lineRule="auto"/>
        <w:jc w:val="both"/>
        <w:rPr>
          <w:rFonts w:ascii="Palatino Linotype" w:eastAsia="Palatino Linotype" w:hAnsi="Palatino Linotype" w:cs="Palatino Linotype"/>
          <w:sz w:val="22"/>
          <w:szCs w:val="22"/>
        </w:rPr>
      </w:pPr>
    </w:p>
    <w:p w14:paraId="4540E826" w14:textId="77777777" w:rsidR="00F3139D" w:rsidRPr="00BF19FC" w:rsidRDefault="00C1343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b/>
        </w:rPr>
        <w:t xml:space="preserve">CUARTO. </w:t>
      </w:r>
      <w:r w:rsidRPr="00BF19FC">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616C16F" w14:textId="77777777" w:rsidR="00F3139D" w:rsidRPr="00BF19FC" w:rsidRDefault="00F3139D">
      <w:pPr>
        <w:spacing w:line="360" w:lineRule="auto"/>
        <w:jc w:val="both"/>
        <w:rPr>
          <w:rFonts w:ascii="Palatino Linotype" w:eastAsia="Palatino Linotype" w:hAnsi="Palatino Linotype" w:cs="Palatino Linotype"/>
          <w:sz w:val="22"/>
          <w:szCs w:val="22"/>
        </w:rPr>
      </w:pPr>
    </w:p>
    <w:p w14:paraId="1207B20B" w14:textId="77777777" w:rsidR="00F3139D" w:rsidRPr="00BF19FC" w:rsidRDefault="00C13437">
      <w:pPr>
        <w:spacing w:line="360" w:lineRule="auto"/>
        <w:jc w:val="both"/>
        <w:rPr>
          <w:rFonts w:ascii="Palatino Linotype" w:eastAsia="Palatino Linotype" w:hAnsi="Palatino Linotype" w:cs="Palatino Linotype"/>
        </w:rPr>
      </w:pPr>
      <w:r w:rsidRPr="00BF19FC">
        <w:rPr>
          <w:rFonts w:ascii="Palatino Linotype" w:eastAsia="Palatino Linotype" w:hAnsi="Palatino Linotype" w:cs="Palatino Linotype"/>
          <w:b/>
        </w:rPr>
        <w:t>QUINTO.</w:t>
      </w:r>
      <w:r w:rsidRPr="00BF19FC">
        <w:rPr>
          <w:rFonts w:ascii="Palatino Linotype" w:eastAsia="Palatino Linotype" w:hAnsi="Palatino Linotype" w:cs="Palatino Linotype"/>
        </w:rPr>
        <w:t xml:space="preserve"> </w:t>
      </w:r>
      <w:r w:rsidRPr="00BF19FC">
        <w:rPr>
          <w:rFonts w:ascii="Palatino Linotype" w:eastAsia="Palatino Linotype" w:hAnsi="Palatino Linotype" w:cs="Palatino Linotype"/>
          <w:b/>
        </w:rPr>
        <w:t>NOTIFÍQUESE</w:t>
      </w:r>
      <w:r w:rsidRPr="00BF19FC">
        <w:rPr>
          <w:rFonts w:ascii="Palatino Linotype" w:eastAsia="Palatino Linotype" w:hAnsi="Palatino Linotype" w:cs="Palatino Linotype"/>
        </w:rPr>
        <w:t xml:space="preserve"> al Recurrente la presente Resolución, a través del Sistema de Acceso a la Información Mexiquense (SAIMEX), asimismo, se hace de su </w:t>
      </w:r>
      <w:r w:rsidRPr="00BF19FC">
        <w:rPr>
          <w:rFonts w:ascii="Palatino Linotype" w:eastAsia="Palatino Linotype" w:hAnsi="Palatino Linotype" w:cs="Palatino Linotype"/>
        </w:rPr>
        <w:lastRenderedPageBreak/>
        <w:t>conocimiento que de conformidad con lo establecido en el artículo 196 de la Ley de Transparencia y Acceso a la Información Pública del Estado de México y Municipios, podrá promover el Juicio de Amparo en los términos de las leyes aplicables.</w:t>
      </w:r>
    </w:p>
    <w:p w14:paraId="4C4606FE" w14:textId="77777777" w:rsidR="00F3139D" w:rsidRPr="00BF19FC" w:rsidRDefault="00F3139D">
      <w:pPr>
        <w:spacing w:line="360" w:lineRule="auto"/>
        <w:jc w:val="both"/>
        <w:rPr>
          <w:rFonts w:ascii="Palatino Linotype" w:eastAsia="Palatino Linotype" w:hAnsi="Palatino Linotype" w:cs="Palatino Linotype"/>
        </w:rPr>
      </w:pPr>
    </w:p>
    <w:p w14:paraId="3587248D" w14:textId="77777777" w:rsidR="001D4987" w:rsidRPr="00BF19FC" w:rsidRDefault="001D4987" w:rsidP="001D4987">
      <w:pPr>
        <w:widowControl w:val="0"/>
        <w:autoSpaceDE w:val="0"/>
        <w:autoSpaceDN w:val="0"/>
        <w:adjustRightInd w:val="0"/>
        <w:spacing w:line="360" w:lineRule="auto"/>
        <w:jc w:val="both"/>
        <w:rPr>
          <w:rFonts w:ascii="Palatino Linotype" w:hAnsi="Palatino Linotype" w:cs="Arial"/>
        </w:rPr>
      </w:pPr>
      <w:r w:rsidRPr="00BF19FC">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DE AGOSTO DE DOS MIL VEINTIDÓS, ANTE EL SECRETARIO TÉCNICO DEL PLENO, ALEXIS TAPIA RAMÍREZ. </w:t>
      </w:r>
    </w:p>
    <w:p w14:paraId="1C920CBE" w14:textId="77777777" w:rsidR="00F3139D" w:rsidRDefault="00C13437">
      <w:pPr>
        <w:spacing w:line="360" w:lineRule="auto"/>
        <w:jc w:val="both"/>
        <w:rPr>
          <w:rFonts w:ascii="Palatino Linotype" w:eastAsia="Palatino Linotype" w:hAnsi="Palatino Linotype" w:cs="Palatino Linotype"/>
          <w:sz w:val="14"/>
          <w:szCs w:val="14"/>
        </w:rPr>
      </w:pPr>
      <w:r w:rsidRPr="00BF19FC">
        <w:rPr>
          <w:rFonts w:ascii="Palatino Linotype" w:eastAsia="Palatino Linotype" w:hAnsi="Palatino Linotype" w:cs="Palatino Linotype"/>
          <w:sz w:val="14"/>
          <w:szCs w:val="14"/>
        </w:rPr>
        <w:t>SCMM/BLA/DEMF/PMRE</w:t>
      </w:r>
    </w:p>
    <w:p w14:paraId="29FF8E7F" w14:textId="77777777" w:rsidR="00F3139D" w:rsidRDefault="00C13437">
      <w:pPr>
        <w:rPr>
          <w:rFonts w:ascii="Palatino Linotype" w:eastAsia="Palatino Linotype" w:hAnsi="Palatino Linotype" w:cs="Palatino Linotype"/>
        </w:rPr>
      </w:pPr>
      <w:r>
        <w:br w:type="page"/>
      </w:r>
    </w:p>
    <w:p w14:paraId="4C0A5DD3" w14:textId="77777777" w:rsidR="00F3139D" w:rsidRDefault="00F3139D">
      <w:pPr>
        <w:spacing w:line="360" w:lineRule="auto"/>
        <w:jc w:val="both"/>
        <w:rPr>
          <w:rFonts w:ascii="Palatino Linotype" w:eastAsia="Palatino Linotype" w:hAnsi="Palatino Linotype" w:cs="Palatino Linotype"/>
        </w:rPr>
      </w:pPr>
    </w:p>
    <w:p w14:paraId="44BE50A0" w14:textId="77777777" w:rsidR="00F3139D" w:rsidRDefault="00F3139D">
      <w:pPr>
        <w:spacing w:line="360" w:lineRule="auto"/>
        <w:jc w:val="both"/>
        <w:rPr>
          <w:rFonts w:ascii="Palatino Linotype" w:eastAsia="Palatino Linotype" w:hAnsi="Palatino Linotype" w:cs="Palatino Linotype"/>
        </w:rPr>
      </w:pPr>
    </w:p>
    <w:p w14:paraId="5427F652" w14:textId="77777777" w:rsidR="00F3139D" w:rsidRDefault="00F3139D">
      <w:pPr>
        <w:spacing w:line="360" w:lineRule="auto"/>
        <w:jc w:val="both"/>
        <w:rPr>
          <w:rFonts w:ascii="Palatino Linotype" w:eastAsia="Palatino Linotype" w:hAnsi="Palatino Linotype" w:cs="Palatino Linotype"/>
        </w:rPr>
      </w:pPr>
    </w:p>
    <w:p w14:paraId="1C218CB8" w14:textId="77777777" w:rsidR="00F3139D" w:rsidRDefault="00F3139D">
      <w:pPr>
        <w:spacing w:line="360" w:lineRule="auto"/>
        <w:jc w:val="both"/>
        <w:rPr>
          <w:rFonts w:ascii="Palatino Linotype" w:eastAsia="Palatino Linotype" w:hAnsi="Palatino Linotype" w:cs="Palatino Linotype"/>
        </w:rPr>
      </w:pPr>
    </w:p>
    <w:p w14:paraId="4E203C05" w14:textId="77777777" w:rsidR="00F3139D" w:rsidRDefault="00F3139D">
      <w:pPr>
        <w:spacing w:line="360" w:lineRule="auto"/>
        <w:jc w:val="both"/>
        <w:rPr>
          <w:rFonts w:ascii="Palatino Linotype" w:eastAsia="Palatino Linotype" w:hAnsi="Palatino Linotype" w:cs="Palatino Linotype"/>
        </w:rPr>
      </w:pPr>
    </w:p>
    <w:p w14:paraId="45AB691A" w14:textId="77777777" w:rsidR="00F3139D" w:rsidRDefault="00F3139D">
      <w:pPr>
        <w:spacing w:line="360" w:lineRule="auto"/>
        <w:jc w:val="both"/>
        <w:rPr>
          <w:rFonts w:ascii="Palatino Linotype" w:eastAsia="Palatino Linotype" w:hAnsi="Palatino Linotype" w:cs="Palatino Linotype"/>
        </w:rPr>
      </w:pPr>
    </w:p>
    <w:p w14:paraId="5BEBE9C1" w14:textId="77777777" w:rsidR="00F3139D" w:rsidRDefault="00F3139D">
      <w:pPr>
        <w:spacing w:line="360" w:lineRule="auto"/>
        <w:jc w:val="both"/>
        <w:rPr>
          <w:rFonts w:ascii="Palatino Linotype" w:eastAsia="Palatino Linotype" w:hAnsi="Palatino Linotype" w:cs="Palatino Linotype"/>
        </w:rPr>
      </w:pPr>
    </w:p>
    <w:p w14:paraId="04736CC1" w14:textId="77777777" w:rsidR="00F3139D" w:rsidRDefault="00F3139D">
      <w:pPr>
        <w:spacing w:line="360" w:lineRule="auto"/>
        <w:jc w:val="both"/>
        <w:rPr>
          <w:rFonts w:ascii="Palatino Linotype" w:eastAsia="Palatino Linotype" w:hAnsi="Palatino Linotype" w:cs="Palatino Linotype"/>
        </w:rPr>
      </w:pPr>
    </w:p>
    <w:p w14:paraId="5B1FE135" w14:textId="77777777" w:rsidR="00F3139D" w:rsidRDefault="00F3139D">
      <w:pPr>
        <w:spacing w:line="360" w:lineRule="auto"/>
        <w:jc w:val="both"/>
        <w:rPr>
          <w:rFonts w:ascii="Palatino Linotype" w:eastAsia="Palatino Linotype" w:hAnsi="Palatino Linotype" w:cs="Palatino Linotype"/>
        </w:rPr>
      </w:pPr>
    </w:p>
    <w:p w14:paraId="710F97D3" w14:textId="77777777" w:rsidR="00F3139D" w:rsidRDefault="00F3139D">
      <w:pPr>
        <w:spacing w:line="360" w:lineRule="auto"/>
        <w:jc w:val="both"/>
        <w:rPr>
          <w:rFonts w:ascii="Palatino Linotype" w:eastAsia="Palatino Linotype" w:hAnsi="Palatino Linotype" w:cs="Palatino Linotype"/>
        </w:rPr>
      </w:pPr>
    </w:p>
    <w:p w14:paraId="7E40773B" w14:textId="77777777" w:rsidR="00F3139D" w:rsidRDefault="00F3139D">
      <w:pPr>
        <w:spacing w:line="360" w:lineRule="auto"/>
        <w:jc w:val="both"/>
        <w:rPr>
          <w:rFonts w:ascii="Palatino Linotype" w:eastAsia="Palatino Linotype" w:hAnsi="Palatino Linotype" w:cs="Palatino Linotype"/>
        </w:rPr>
      </w:pPr>
    </w:p>
    <w:p w14:paraId="0A2AFCC3" w14:textId="77777777" w:rsidR="00F3139D" w:rsidRDefault="00F3139D">
      <w:pPr>
        <w:spacing w:line="360" w:lineRule="auto"/>
        <w:jc w:val="both"/>
        <w:rPr>
          <w:rFonts w:ascii="Palatino Linotype" w:eastAsia="Palatino Linotype" w:hAnsi="Palatino Linotype" w:cs="Palatino Linotype"/>
        </w:rPr>
      </w:pPr>
    </w:p>
    <w:p w14:paraId="2E2F6EBA" w14:textId="77777777" w:rsidR="00F3139D" w:rsidRDefault="00F3139D">
      <w:pPr>
        <w:spacing w:line="360" w:lineRule="auto"/>
        <w:jc w:val="both"/>
        <w:rPr>
          <w:rFonts w:ascii="Palatino Linotype" w:eastAsia="Palatino Linotype" w:hAnsi="Palatino Linotype" w:cs="Palatino Linotype"/>
        </w:rPr>
      </w:pPr>
    </w:p>
    <w:p w14:paraId="6CB79DA6" w14:textId="77777777" w:rsidR="00F3139D" w:rsidRDefault="00F3139D">
      <w:pPr>
        <w:spacing w:line="360" w:lineRule="auto"/>
        <w:jc w:val="both"/>
        <w:rPr>
          <w:rFonts w:ascii="Palatino Linotype" w:eastAsia="Palatino Linotype" w:hAnsi="Palatino Linotype" w:cs="Palatino Linotype"/>
        </w:rPr>
      </w:pPr>
    </w:p>
    <w:p w14:paraId="5B27DF77" w14:textId="77777777" w:rsidR="00F3139D" w:rsidRDefault="00F3139D">
      <w:pPr>
        <w:spacing w:line="360" w:lineRule="auto"/>
        <w:jc w:val="both"/>
        <w:rPr>
          <w:rFonts w:ascii="Palatino Linotype" w:eastAsia="Palatino Linotype" w:hAnsi="Palatino Linotype" w:cs="Palatino Linotype"/>
        </w:rPr>
      </w:pPr>
    </w:p>
    <w:p w14:paraId="23B4C34E" w14:textId="77777777" w:rsidR="00F3139D" w:rsidRDefault="00F3139D">
      <w:pPr>
        <w:spacing w:line="360" w:lineRule="auto"/>
        <w:jc w:val="both"/>
        <w:rPr>
          <w:rFonts w:ascii="Palatino Linotype" w:eastAsia="Palatino Linotype" w:hAnsi="Palatino Linotype" w:cs="Palatino Linotype"/>
        </w:rPr>
      </w:pPr>
    </w:p>
    <w:p w14:paraId="68B55077" w14:textId="77777777" w:rsidR="00F3139D" w:rsidRDefault="00F3139D">
      <w:pPr>
        <w:spacing w:line="360" w:lineRule="auto"/>
        <w:jc w:val="both"/>
        <w:rPr>
          <w:rFonts w:ascii="Palatino Linotype" w:eastAsia="Palatino Linotype" w:hAnsi="Palatino Linotype" w:cs="Palatino Linotype"/>
        </w:rPr>
      </w:pPr>
    </w:p>
    <w:p w14:paraId="0EDCC9DD" w14:textId="77777777" w:rsidR="00F3139D" w:rsidRDefault="00F3139D">
      <w:pPr>
        <w:spacing w:line="360" w:lineRule="auto"/>
        <w:jc w:val="both"/>
        <w:rPr>
          <w:rFonts w:ascii="Palatino Linotype" w:eastAsia="Palatino Linotype" w:hAnsi="Palatino Linotype" w:cs="Palatino Linotype"/>
        </w:rPr>
      </w:pPr>
    </w:p>
    <w:sectPr w:rsidR="00F3139D">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D1464" w14:textId="77777777" w:rsidR="00160D35" w:rsidRDefault="00160D35">
      <w:r>
        <w:separator/>
      </w:r>
    </w:p>
  </w:endnote>
  <w:endnote w:type="continuationSeparator" w:id="0">
    <w:p w14:paraId="61FD5D2E" w14:textId="77777777" w:rsidR="00160D35" w:rsidRDefault="0016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20B06000405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panose1 w:val="020B0604020202020204"/>
    <w:charset w:val="00"/>
    <w:family w:val="roman"/>
    <w:notTrueType/>
    <w:pitch w:val="default"/>
  </w:font>
  <w:font w:name="DejaVu Sans">
    <w:altName w:val="Times New Roman"/>
    <w:panose1 w:val="020B0604020202020204"/>
    <w:charset w:val="00"/>
    <w:family w:val="roman"/>
    <w:notTrueType/>
    <w:pitch w:val="default"/>
  </w:font>
  <w:font w:name="Lohit Hindi">
    <w:altName w:val="Times New Roman"/>
    <w:panose1 w:val="020B0604020202020204"/>
    <w:charset w:val="00"/>
    <w:family w:val="roman"/>
    <w:notTrueType/>
    <w:pitch w:val="default"/>
  </w:font>
  <w:font w:name="Helvetica">
    <w:panose1 w:val="00000000000000000000"/>
    <w:charset w:val="00"/>
    <w:family w:val="swiss"/>
    <w:pitch w:val="variable"/>
    <w:sig w:usb0="E0002EFF" w:usb1="C000785B" w:usb2="00000009" w:usb3="00000000" w:csb0="000001FF" w:csb1="00000000"/>
  </w:font>
  <w:font w:name="palatino">
    <w:altName w:val="Book Antiqua"/>
    <w:panose1 w:val="00000000000000000000"/>
    <w:charset w:val="4D"/>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04C56" w14:textId="77777777" w:rsidR="00F3139D" w:rsidRDefault="00C1343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F19FC">
      <w:rPr>
        <w:rFonts w:ascii="Palatino Linotype" w:eastAsia="Palatino Linotype" w:hAnsi="Palatino Linotype" w:cs="Palatino Linotype"/>
        <w:noProof/>
        <w:color w:val="000000"/>
        <w:sz w:val="22"/>
        <w:szCs w:val="22"/>
      </w:rPr>
      <w:t>27</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F19FC">
      <w:rPr>
        <w:rFonts w:ascii="Palatino Linotype" w:eastAsia="Palatino Linotype" w:hAnsi="Palatino Linotype" w:cs="Palatino Linotype"/>
        <w:noProof/>
        <w:color w:val="000000"/>
        <w:sz w:val="22"/>
        <w:szCs w:val="22"/>
      </w:rPr>
      <w:t>33</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73DC7" w14:textId="77777777" w:rsidR="00F3139D" w:rsidRDefault="00C13437">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F19F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F19FC">
      <w:rPr>
        <w:rFonts w:ascii="Palatino Linotype" w:eastAsia="Palatino Linotype" w:hAnsi="Palatino Linotype" w:cs="Palatino Linotype"/>
        <w:noProof/>
        <w:color w:val="000000"/>
        <w:sz w:val="22"/>
        <w:szCs w:val="22"/>
      </w:rPr>
      <w:t>33</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9B238" w14:textId="77777777" w:rsidR="00160D35" w:rsidRDefault="00160D35">
      <w:r>
        <w:separator/>
      </w:r>
    </w:p>
  </w:footnote>
  <w:footnote w:type="continuationSeparator" w:id="0">
    <w:p w14:paraId="054BAECF" w14:textId="77777777" w:rsidR="00160D35" w:rsidRDefault="00160D35">
      <w:r>
        <w:continuationSeparator/>
      </w:r>
    </w:p>
  </w:footnote>
  <w:footnote w:id="1">
    <w:p w14:paraId="25755497" w14:textId="77777777" w:rsidR="00F3139D" w:rsidRDefault="00C13437">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564A3" w14:textId="77777777" w:rsidR="00F3139D" w:rsidRDefault="00160D35">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6FEED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7728;mso-wrap-edited:f;mso-width-percent:0;mso-height-percent:0;mso-position-horizontal:center;mso-position-horizontal-relative:margin;mso-position-vertical:center;mso-position-vertical-relative:margin;mso-width-percent:0;mso-height-percent:0">
          <v:imagedata r:id="rId1" o:title="imag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3951A" w14:textId="77777777" w:rsidR="00F3139D" w:rsidRDefault="00160D3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37D998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9776;mso-wrap-edited:f;mso-width-percent:0;mso-height-percent:0;mso-position-horizontal:center;mso-position-horizontal-relative:margin;mso-position-vertical:center;mso-position-vertical-relative:margin;mso-width-percent:0;mso-height-percent:0">
          <v:imagedata r:id="rId1" o:title="image3"/>
          <w10:wrap anchorx="margin" anchory="margin"/>
        </v:shape>
      </w:pict>
    </w:r>
  </w:p>
  <w:tbl>
    <w:tblPr>
      <w:tblStyle w:val="afffffff0"/>
      <w:tblW w:w="9534" w:type="dxa"/>
      <w:tblInd w:w="-142" w:type="dxa"/>
      <w:tblLayout w:type="fixed"/>
      <w:tblLook w:val="0400" w:firstRow="0" w:lastRow="0" w:firstColumn="0" w:lastColumn="0" w:noHBand="0" w:noVBand="1"/>
    </w:tblPr>
    <w:tblGrid>
      <w:gridCol w:w="3261"/>
      <w:gridCol w:w="2551"/>
      <w:gridCol w:w="3722"/>
    </w:tblGrid>
    <w:tr w:rsidR="00F3139D" w14:paraId="4A7729F7" w14:textId="77777777">
      <w:tc>
        <w:tcPr>
          <w:tcW w:w="3261" w:type="dxa"/>
          <w:vMerge w:val="restart"/>
        </w:tcPr>
        <w:p w14:paraId="671BF9C2" w14:textId="77777777" w:rsidR="00F3139D" w:rsidRDefault="00C13437">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31AF2726" wp14:editId="277DB6DF">
                <wp:extent cx="1692162" cy="852673"/>
                <wp:effectExtent l="0" t="0" r="0" b="0"/>
                <wp:docPr id="3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37497639" w14:textId="77777777" w:rsidR="00F3139D" w:rsidRDefault="00C1343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18492E05" w14:textId="77777777" w:rsidR="00F3139D" w:rsidRDefault="00C13437">
          <w:pPr>
            <w:jc w:val="both"/>
            <w:rPr>
              <w:rFonts w:ascii="Palatino Linotype" w:eastAsia="Palatino Linotype" w:hAnsi="Palatino Linotype" w:cs="Palatino Linotype"/>
              <w:b/>
            </w:rPr>
          </w:pPr>
          <w:r>
            <w:rPr>
              <w:rFonts w:ascii="Palatino Linotype" w:eastAsia="Palatino Linotype" w:hAnsi="Palatino Linotype" w:cs="Palatino Linotype"/>
              <w:b/>
            </w:rPr>
            <w:t>06927/INFOEM/IP/RR/2022</w:t>
          </w:r>
        </w:p>
      </w:tc>
    </w:tr>
    <w:tr w:rsidR="00F3139D" w14:paraId="6FC1C452" w14:textId="77777777">
      <w:tc>
        <w:tcPr>
          <w:tcW w:w="3261" w:type="dxa"/>
          <w:vMerge/>
        </w:tcPr>
        <w:p w14:paraId="5891D2C1" w14:textId="77777777" w:rsidR="00F3139D" w:rsidRDefault="00F3139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D4F10C6" w14:textId="77777777" w:rsidR="00F3139D" w:rsidRDefault="00C1343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0D4373E5" w14:textId="77777777" w:rsidR="00F3139D" w:rsidRDefault="00C13437">
          <w:pPr>
            <w:jc w:val="both"/>
            <w:rPr>
              <w:rFonts w:ascii="Palatino Linotype" w:eastAsia="Palatino Linotype" w:hAnsi="Palatino Linotype" w:cs="Palatino Linotype"/>
              <w:b/>
            </w:rPr>
          </w:pPr>
          <w:r>
            <w:rPr>
              <w:rFonts w:ascii="Palatino Linotype" w:eastAsia="Palatino Linotype" w:hAnsi="Palatino Linotype" w:cs="Palatino Linotype"/>
              <w:b/>
            </w:rPr>
            <w:t>Organismo Público Descent</w:t>
          </w:r>
          <w:r w:rsidR="001D4987">
            <w:rPr>
              <w:rFonts w:ascii="Palatino Linotype" w:eastAsia="Palatino Linotype" w:hAnsi="Palatino Linotype" w:cs="Palatino Linotype"/>
              <w:b/>
            </w:rPr>
            <w:t>ralizado para la Prestación de l</w:t>
          </w:r>
          <w:r>
            <w:rPr>
              <w:rFonts w:ascii="Palatino Linotype" w:eastAsia="Palatino Linotype" w:hAnsi="Palatino Linotype" w:cs="Palatino Linotype"/>
              <w:b/>
            </w:rPr>
            <w:t>os Servicios de Agua Potable Alcantarillado y Saneamiento del Municipio de Tlalnepantla de Baz</w:t>
          </w:r>
        </w:p>
      </w:tc>
    </w:tr>
    <w:tr w:rsidR="00F3139D" w14:paraId="1FCDD004" w14:textId="77777777">
      <w:trPr>
        <w:trHeight w:val="790"/>
      </w:trPr>
      <w:tc>
        <w:tcPr>
          <w:tcW w:w="3261" w:type="dxa"/>
          <w:vMerge/>
        </w:tcPr>
        <w:p w14:paraId="77957D77" w14:textId="77777777" w:rsidR="00F3139D" w:rsidRDefault="00F3139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3CFB2BDA" w14:textId="77777777" w:rsidR="00F3139D" w:rsidRDefault="00C1343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0ACE1A26" w14:textId="77777777" w:rsidR="00F3139D" w:rsidRDefault="00C13437">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5B1E360" w14:textId="77777777" w:rsidR="00F3139D" w:rsidRDefault="00F3139D">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5C8BD" w14:textId="77777777" w:rsidR="00F3139D" w:rsidRDefault="00160D35">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CDD4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8752;mso-wrap-edited:f;mso-width-percent:0;mso-height-percent:0;mso-position-horizontal:center;mso-position-horizontal-relative:margin;mso-position-vertical:center;mso-position-vertical-relative:margin;mso-width-percent:0;mso-height-percent:0">
          <v:imagedata r:id="rId1" o:title="image3"/>
          <w10:wrap anchorx="margin" anchory="margin"/>
        </v:shape>
      </w:pict>
    </w:r>
  </w:p>
  <w:tbl>
    <w:tblPr>
      <w:tblStyle w:val="afffffff1"/>
      <w:tblW w:w="9900" w:type="dxa"/>
      <w:tblInd w:w="-833" w:type="dxa"/>
      <w:tblLayout w:type="fixed"/>
      <w:tblLook w:val="0400" w:firstRow="0" w:lastRow="0" w:firstColumn="0" w:lastColumn="0" w:noHBand="0" w:noVBand="1"/>
    </w:tblPr>
    <w:tblGrid>
      <w:gridCol w:w="3805"/>
      <w:gridCol w:w="3000"/>
      <w:gridCol w:w="3095"/>
    </w:tblGrid>
    <w:tr w:rsidR="00F3139D" w14:paraId="1542B8B8" w14:textId="77777777">
      <w:tc>
        <w:tcPr>
          <w:tcW w:w="3805" w:type="dxa"/>
          <w:vMerge w:val="restart"/>
          <w:shd w:val="clear" w:color="auto" w:fill="auto"/>
        </w:tcPr>
        <w:p w14:paraId="1B62BF4C" w14:textId="77777777" w:rsidR="00F3139D" w:rsidRDefault="00C13437">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04F0318" wp14:editId="2236A56F">
                <wp:extent cx="1692162" cy="852673"/>
                <wp:effectExtent l="0" t="0" r="0" b="0"/>
                <wp:docPr id="3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365188C6" w14:textId="77777777" w:rsidR="00F3139D" w:rsidRDefault="00C1343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70F8D650" w14:textId="77777777" w:rsidR="00F3139D" w:rsidRDefault="00C1343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06927/INFOEM/IP/RR/2022 </w:t>
          </w:r>
        </w:p>
      </w:tc>
    </w:tr>
    <w:tr w:rsidR="00F3139D" w14:paraId="619742DE" w14:textId="77777777">
      <w:tc>
        <w:tcPr>
          <w:tcW w:w="3805" w:type="dxa"/>
          <w:vMerge/>
          <w:shd w:val="clear" w:color="auto" w:fill="auto"/>
        </w:tcPr>
        <w:p w14:paraId="3BB535D9" w14:textId="77777777" w:rsidR="00F3139D" w:rsidRDefault="00F3139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1DF98DB" w14:textId="77777777" w:rsidR="00F3139D" w:rsidRDefault="00C13437">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69F7C6EC" w14:textId="3D42E36A" w:rsidR="00F3139D" w:rsidRPr="00CB6399" w:rsidRDefault="00CB6399">
          <w:pPr>
            <w:jc w:val="both"/>
            <w:rPr>
              <w:rFonts w:ascii="Palatino Linotype" w:eastAsia="Palatino Linotype" w:hAnsi="Palatino Linotype" w:cs="Palatino Linotype"/>
            </w:rPr>
          </w:pPr>
          <w:r>
            <w:rPr>
              <w:rFonts w:ascii="Palatino Linotype" w:eastAsia="Palatino Linotype" w:hAnsi="Palatino Linotype" w:cs="Palatino Linotype"/>
            </w:rPr>
            <w:t>XXXX XXXXXXXXX XX XXXXXXXX</w:t>
          </w:r>
        </w:p>
      </w:tc>
    </w:tr>
    <w:tr w:rsidR="00F3139D" w14:paraId="006128FE" w14:textId="77777777">
      <w:trPr>
        <w:trHeight w:val="228"/>
      </w:trPr>
      <w:tc>
        <w:tcPr>
          <w:tcW w:w="3805" w:type="dxa"/>
          <w:vMerge/>
          <w:shd w:val="clear" w:color="auto" w:fill="auto"/>
        </w:tcPr>
        <w:p w14:paraId="02ED3783" w14:textId="77777777" w:rsidR="00F3139D" w:rsidRDefault="00F3139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1774F8A" w14:textId="77777777" w:rsidR="00F3139D" w:rsidRDefault="00C1343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39334EC2" w14:textId="77777777" w:rsidR="00F3139D" w:rsidRDefault="00C13437">
          <w:pPr>
            <w:jc w:val="both"/>
            <w:rPr>
              <w:rFonts w:ascii="Palatino Linotype" w:eastAsia="Palatino Linotype" w:hAnsi="Palatino Linotype" w:cs="Palatino Linotype"/>
              <w:b/>
            </w:rPr>
          </w:pPr>
          <w:r>
            <w:rPr>
              <w:rFonts w:ascii="Palatino Linotype" w:eastAsia="Palatino Linotype" w:hAnsi="Palatino Linotype" w:cs="Palatino Linotype"/>
              <w:b/>
            </w:rPr>
            <w:t>Organismo Público Descent</w:t>
          </w:r>
          <w:r w:rsidR="001D4987">
            <w:rPr>
              <w:rFonts w:ascii="Palatino Linotype" w:eastAsia="Palatino Linotype" w:hAnsi="Palatino Linotype" w:cs="Palatino Linotype"/>
              <w:b/>
            </w:rPr>
            <w:t>ralizado para la Prestación de l</w:t>
          </w:r>
          <w:r>
            <w:rPr>
              <w:rFonts w:ascii="Palatino Linotype" w:eastAsia="Palatino Linotype" w:hAnsi="Palatino Linotype" w:cs="Palatino Linotype"/>
              <w:b/>
            </w:rPr>
            <w:t>os Servicios de Agua Potable Alcantarillado y Saneamiento del Municipio de Tlalnepantla de Baz</w:t>
          </w:r>
        </w:p>
      </w:tc>
    </w:tr>
    <w:tr w:rsidR="00F3139D" w14:paraId="5DD59646" w14:textId="77777777">
      <w:tc>
        <w:tcPr>
          <w:tcW w:w="3805" w:type="dxa"/>
          <w:vMerge/>
          <w:shd w:val="clear" w:color="auto" w:fill="auto"/>
        </w:tcPr>
        <w:p w14:paraId="2A6E5AD0" w14:textId="77777777" w:rsidR="00F3139D" w:rsidRDefault="00F3139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69E9C6D" w14:textId="77777777" w:rsidR="00F3139D" w:rsidRDefault="00C1343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6DE3F908" w14:textId="77777777" w:rsidR="00F3139D" w:rsidRDefault="00C1343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65F2EAB2" w14:textId="77777777" w:rsidR="00F3139D" w:rsidRDefault="00F3139D">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472E8"/>
    <w:multiLevelType w:val="multilevel"/>
    <w:tmpl w:val="04DA8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39D"/>
    <w:rsid w:val="00160D35"/>
    <w:rsid w:val="001D4987"/>
    <w:rsid w:val="003F1A9B"/>
    <w:rsid w:val="007C038E"/>
    <w:rsid w:val="00BF19FC"/>
    <w:rsid w:val="00C13437"/>
    <w:rsid w:val="00CB6399"/>
    <w:rsid w:val="00F313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986AEB"/>
  <w15:docId w15:val="{D5C8E594-8684-4FF8-BF6E-0D9925CB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9"/>
    <w:tblPr>
      <w:tblStyleRowBandSize w:val="1"/>
      <w:tblStyleColBandSize w:val="1"/>
      <w:tblCellMar>
        <w:top w:w="100" w:type="dxa"/>
        <w:left w:w="100" w:type="dxa"/>
        <w:bottom w:w="100" w:type="dxa"/>
        <w:right w:w="100" w:type="dxa"/>
      </w:tblCellMar>
    </w:tblPr>
  </w:style>
  <w:style w:type="table" w:customStyle="1" w:styleId="a0">
    <w:basedOn w:val="TableNormalff9"/>
    <w:tblPr>
      <w:tblStyleRowBandSize w:val="1"/>
      <w:tblStyleColBandSize w:val="1"/>
      <w:tblCellMar>
        <w:left w:w="115" w:type="dxa"/>
        <w:right w:w="115" w:type="dxa"/>
      </w:tblCellMar>
    </w:tblPr>
  </w:style>
  <w:style w:type="table" w:customStyle="1" w:styleId="a1">
    <w:basedOn w:val="TableNormalff9"/>
    <w:tblPr>
      <w:tblStyleRowBandSize w:val="1"/>
      <w:tblStyleColBandSize w:val="1"/>
      <w:tblCellMar>
        <w:left w:w="115" w:type="dxa"/>
        <w:right w:w="115" w:type="dxa"/>
      </w:tblCellMar>
    </w:tblPr>
  </w:style>
  <w:style w:type="table" w:customStyle="1" w:styleId="a2">
    <w:basedOn w:val="TableNormalff9"/>
    <w:tblPr>
      <w:tblStyleRowBandSize w:val="1"/>
      <w:tblStyleColBandSize w:val="1"/>
      <w:tblCellMar>
        <w:left w:w="115" w:type="dxa"/>
        <w:right w:w="115" w:type="dxa"/>
      </w:tblCellMar>
    </w:tblPr>
  </w:style>
  <w:style w:type="table" w:customStyle="1" w:styleId="a3">
    <w:basedOn w:val="TableNormalff9"/>
    <w:tblPr>
      <w:tblStyleRowBandSize w:val="1"/>
      <w:tblStyleColBandSize w:val="1"/>
      <w:tblCellMar>
        <w:left w:w="115" w:type="dxa"/>
        <w:right w:w="115" w:type="dxa"/>
      </w:tblCellMar>
    </w:tblPr>
  </w:style>
  <w:style w:type="table" w:customStyle="1" w:styleId="a4">
    <w:basedOn w:val="TableNormalff9"/>
    <w:tblPr>
      <w:tblStyleRowBandSize w:val="1"/>
      <w:tblStyleColBandSize w:val="1"/>
      <w:tblCellMar>
        <w:left w:w="115" w:type="dxa"/>
        <w:right w:w="115" w:type="dxa"/>
      </w:tblCellMar>
    </w:tblPr>
  </w:style>
  <w:style w:type="table" w:customStyle="1" w:styleId="a5">
    <w:basedOn w:val="TableNormalff9"/>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9"/>
    <w:tblPr>
      <w:tblStyleRowBandSize w:val="1"/>
      <w:tblStyleColBandSize w:val="1"/>
      <w:tblCellMar>
        <w:left w:w="115" w:type="dxa"/>
        <w:right w:w="115" w:type="dxa"/>
      </w:tblCellMar>
    </w:tblPr>
  </w:style>
  <w:style w:type="table" w:customStyle="1" w:styleId="a7">
    <w:basedOn w:val="TableNormalff9"/>
    <w:tblPr>
      <w:tblStyleRowBandSize w:val="1"/>
      <w:tblStyleColBandSize w:val="1"/>
      <w:tblCellMar>
        <w:left w:w="115" w:type="dxa"/>
        <w:right w:w="115" w:type="dxa"/>
      </w:tblCellMar>
    </w:tblPr>
  </w:style>
  <w:style w:type="table" w:customStyle="1" w:styleId="a8">
    <w:basedOn w:val="TableNormalff9"/>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9"/>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6"/>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8"/>
    <w:tblPr>
      <w:tblStyleRowBandSize w:val="1"/>
      <w:tblStyleColBandSize w:val="1"/>
      <w:tblCellMar>
        <w:left w:w="115" w:type="dxa"/>
        <w:right w:w="115" w:type="dxa"/>
      </w:tblCellMar>
    </w:tblPr>
  </w:style>
  <w:style w:type="table" w:customStyle="1" w:styleId="afff3">
    <w:basedOn w:val="TableNormalf8"/>
    <w:tblPr>
      <w:tblStyleRowBandSize w:val="1"/>
      <w:tblStyleColBandSize w:val="1"/>
      <w:tblCellMar>
        <w:top w:w="100" w:type="dxa"/>
        <w:left w:w="100" w:type="dxa"/>
        <w:bottom w:w="100" w:type="dxa"/>
        <w:right w:w="100" w:type="dxa"/>
      </w:tblCellMar>
    </w:tblPr>
  </w:style>
  <w:style w:type="table" w:customStyle="1" w:styleId="afff4">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8"/>
    <w:tblPr>
      <w:tblStyleRowBandSize w:val="1"/>
      <w:tblStyleColBandSize w:val="1"/>
      <w:tblCellMar>
        <w:top w:w="100" w:type="dxa"/>
        <w:left w:w="100" w:type="dxa"/>
        <w:bottom w:w="100" w:type="dxa"/>
        <w:right w:w="100" w:type="dxa"/>
      </w:tblCellMar>
    </w:tblPr>
  </w:style>
  <w:style w:type="table" w:customStyle="1" w:styleId="afff7">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8"/>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8"/>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qEL4XYyYsuolv9ti0baljY0kcg==">AMUW2mWNt897iu38iIX/dVEroXqUoZFegx3LXsfGPSAC9uIdf0NWMaflAS8I1564SYj94HgX3bz5qbNemEYeSxv3cE7G0bSs5DQEgtb9bky/3zmGL8w+L53nB4TSAwWSCFCiyMN+EzDUQTX1JOaTMY9rcjcvByKkP+U2Ga/2lJV2s0mSmOvKtNugIfxUZVfuFdH5e9lA8rJvXe9sL1/PgTal8j+DmeSmbxc8Tiau/Ex7wuciaUMrEQ7ThJ/Gcyi7KefD7v+iPhMCHPd6d56iuODh3qbaR90E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33</Pages>
  <Words>6247</Words>
  <Characters>34359</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Microsoft Office User</cp:lastModifiedBy>
  <cp:revision>6</cp:revision>
  <cp:lastPrinted>2022-08-05T03:32:00Z</cp:lastPrinted>
  <dcterms:created xsi:type="dcterms:W3CDTF">2022-07-14T16:21:00Z</dcterms:created>
  <dcterms:modified xsi:type="dcterms:W3CDTF">2022-08-18T17:35:00Z</dcterms:modified>
</cp:coreProperties>
</file>