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175791" w14:textId="113965C6"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siete de </w:t>
      </w:r>
      <w:r w:rsidR="00EB46F5" w:rsidRPr="00C623E0">
        <w:rPr>
          <w:rFonts w:ascii="Palatino Linotype" w:eastAsia="Palatino Linotype" w:hAnsi="Palatino Linotype" w:cs="Palatino Linotype"/>
        </w:rPr>
        <w:t>septiembre</w:t>
      </w:r>
      <w:r w:rsidRPr="00C623E0">
        <w:rPr>
          <w:rFonts w:ascii="Palatino Linotype" w:eastAsia="Palatino Linotype" w:hAnsi="Palatino Linotype" w:cs="Palatino Linotype"/>
        </w:rPr>
        <w:t xml:space="preserve"> de dos mil veintidós. </w:t>
      </w:r>
    </w:p>
    <w:p w14:paraId="678735F5" w14:textId="06E2F113"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VISTO</w:t>
      </w:r>
      <w:r w:rsidRPr="00C623E0">
        <w:rPr>
          <w:rFonts w:ascii="Palatino Linotype" w:eastAsia="Palatino Linotype" w:hAnsi="Palatino Linotype" w:cs="Palatino Linotype"/>
        </w:rPr>
        <w:t xml:space="preserve"> el expediente formado con motivo del recurso de revisión </w:t>
      </w:r>
      <w:r w:rsidRPr="00C623E0">
        <w:rPr>
          <w:rFonts w:ascii="Palatino Linotype" w:eastAsia="Palatino Linotype" w:hAnsi="Palatino Linotype" w:cs="Palatino Linotype"/>
          <w:b/>
        </w:rPr>
        <w:t>0</w:t>
      </w:r>
      <w:r w:rsidR="00EB46F5" w:rsidRPr="00C623E0">
        <w:rPr>
          <w:rFonts w:ascii="Palatino Linotype" w:eastAsia="Palatino Linotype" w:hAnsi="Palatino Linotype" w:cs="Palatino Linotype"/>
          <w:b/>
        </w:rPr>
        <w:t>6709</w:t>
      </w:r>
      <w:r w:rsidRPr="00C623E0">
        <w:rPr>
          <w:rFonts w:ascii="Palatino Linotype" w:eastAsia="Palatino Linotype" w:hAnsi="Palatino Linotype" w:cs="Palatino Linotype"/>
          <w:b/>
        </w:rPr>
        <w:t>/INFOEM/IP/RR/2022</w:t>
      </w:r>
      <w:r w:rsidRPr="00C623E0">
        <w:rPr>
          <w:rFonts w:ascii="Palatino Linotype" w:eastAsia="Palatino Linotype" w:hAnsi="Palatino Linotype" w:cs="Palatino Linotype"/>
        </w:rPr>
        <w:t>, interpuesto por</w:t>
      </w:r>
      <w:r w:rsidRPr="00C623E0">
        <w:rPr>
          <w:rFonts w:ascii="Palatino Linotype" w:eastAsia="Palatino Linotype" w:hAnsi="Palatino Linotype" w:cs="Palatino Linotype"/>
          <w:b/>
        </w:rPr>
        <w:t xml:space="preserve"> un particular que no proporcionó nombre o seudónimo, </w:t>
      </w:r>
      <w:r w:rsidRPr="00C623E0">
        <w:rPr>
          <w:rFonts w:ascii="Palatino Linotype" w:eastAsia="Palatino Linotype" w:hAnsi="Palatino Linotype" w:cs="Palatino Linotype"/>
        </w:rPr>
        <w:t>en lo sucesivo</w:t>
      </w:r>
      <w:r w:rsidRPr="00C623E0">
        <w:rPr>
          <w:rFonts w:ascii="Palatino Linotype" w:eastAsia="Palatino Linotype" w:hAnsi="Palatino Linotype" w:cs="Palatino Linotype"/>
          <w:b/>
        </w:rPr>
        <w:t xml:space="preserve"> </w:t>
      </w:r>
      <w:r w:rsidRPr="00C623E0">
        <w:rPr>
          <w:rFonts w:ascii="Palatino Linotype" w:eastAsia="Palatino Linotype" w:hAnsi="Palatino Linotype" w:cs="Palatino Linotype"/>
        </w:rPr>
        <w:t xml:space="preserve">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en contra de la respuesta a su solicitud por parte del </w:t>
      </w:r>
      <w:r w:rsidRPr="00C623E0">
        <w:rPr>
          <w:rFonts w:ascii="Palatino Linotype" w:eastAsia="Palatino Linotype" w:hAnsi="Palatino Linotype" w:cs="Palatino Linotype"/>
          <w:b/>
        </w:rPr>
        <w:t>Ayuntamiento de T</w:t>
      </w:r>
      <w:r w:rsidR="00EB46F5" w:rsidRPr="00C623E0">
        <w:rPr>
          <w:rFonts w:ascii="Palatino Linotype" w:eastAsia="Palatino Linotype" w:hAnsi="Palatino Linotype" w:cs="Palatino Linotype"/>
          <w:b/>
        </w:rPr>
        <w:t>oluca</w:t>
      </w:r>
      <w:r w:rsidRPr="00C623E0">
        <w:rPr>
          <w:rFonts w:ascii="Palatino Linotype" w:eastAsia="Palatino Linotype" w:hAnsi="Palatino Linotype" w:cs="Palatino Linotype"/>
          <w:b/>
        </w:rPr>
        <w:t xml:space="preserve">, </w:t>
      </w:r>
      <w:r w:rsidRPr="00C623E0">
        <w:rPr>
          <w:rFonts w:ascii="Palatino Linotype" w:eastAsia="Palatino Linotype" w:hAnsi="Palatino Linotype" w:cs="Palatino Linotype"/>
        </w:rPr>
        <w:t xml:space="preserve">en lo sucesivo el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 xml:space="preserve">se procede a dictar la presente resolución con base en los siguientes: </w:t>
      </w:r>
    </w:p>
    <w:p w14:paraId="492DE181" w14:textId="77777777" w:rsidR="003805A1" w:rsidRPr="00C623E0" w:rsidRDefault="007A61DC">
      <w:pPr>
        <w:spacing w:before="240" w:after="240" w:line="360" w:lineRule="auto"/>
        <w:jc w:val="center"/>
        <w:rPr>
          <w:rFonts w:ascii="Palatino Linotype" w:eastAsia="Palatino Linotype" w:hAnsi="Palatino Linotype" w:cs="Palatino Linotype"/>
          <w:b/>
        </w:rPr>
      </w:pPr>
      <w:r w:rsidRPr="00C623E0">
        <w:rPr>
          <w:rFonts w:ascii="Palatino Linotype" w:eastAsia="Palatino Linotype" w:hAnsi="Palatino Linotype" w:cs="Palatino Linotype"/>
          <w:b/>
        </w:rPr>
        <w:t>I. A N T E C E D E N T E S</w:t>
      </w:r>
    </w:p>
    <w:p w14:paraId="0030E21E" w14:textId="3B23EAE2"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1. Solicitud de acceso a la información.</w:t>
      </w:r>
      <w:r w:rsidRPr="00C623E0">
        <w:rPr>
          <w:rFonts w:ascii="Palatino Linotype" w:eastAsia="Palatino Linotype" w:hAnsi="Palatino Linotype" w:cs="Palatino Linotype"/>
        </w:rPr>
        <w:t xml:space="preserve"> Con fecha </w:t>
      </w:r>
      <w:r w:rsidR="0004400E" w:rsidRPr="00C623E0">
        <w:rPr>
          <w:rFonts w:ascii="Palatino Linotype" w:eastAsia="Palatino Linotype" w:hAnsi="Palatino Linotype" w:cs="Palatino Linotype"/>
          <w:b/>
        </w:rPr>
        <w:t>catorce</w:t>
      </w:r>
      <w:r w:rsidRPr="00C623E0">
        <w:rPr>
          <w:rFonts w:ascii="Palatino Linotype" w:eastAsia="Palatino Linotype" w:hAnsi="Palatino Linotype" w:cs="Palatino Linotype"/>
          <w:b/>
        </w:rPr>
        <w:t xml:space="preserve"> de marzo de dos mil veintidós,</w:t>
      </w:r>
      <w:r w:rsidRPr="00C623E0">
        <w:rPr>
          <w:rFonts w:ascii="Palatino Linotype" w:eastAsia="Palatino Linotype" w:hAnsi="Palatino Linotype" w:cs="Palatino Linotype"/>
        </w:rPr>
        <w:t xml:space="preserve"> la parte </w:t>
      </w:r>
      <w:r w:rsidRPr="00C623E0">
        <w:rPr>
          <w:rFonts w:ascii="Palatino Linotype" w:eastAsia="Palatino Linotype" w:hAnsi="Palatino Linotype" w:cs="Palatino Linotype"/>
          <w:b/>
        </w:rPr>
        <w:t xml:space="preserve">Recurrente </w:t>
      </w:r>
      <w:r w:rsidRPr="00C623E0">
        <w:rPr>
          <w:rFonts w:ascii="Palatino Linotype" w:eastAsia="Palatino Linotype" w:hAnsi="Palatino Linotype" w:cs="Palatino Linotype"/>
        </w:rPr>
        <w:t xml:space="preserve">presentó, través del Sistema de Acceso a la Información Mexiquense, en lo subsecuente el </w:t>
      </w:r>
      <w:r w:rsidRPr="00C623E0">
        <w:rPr>
          <w:rFonts w:ascii="Palatino Linotype" w:eastAsia="Palatino Linotype" w:hAnsi="Palatino Linotype" w:cs="Palatino Linotype"/>
          <w:b/>
        </w:rPr>
        <w:t>SAIMEX,</w:t>
      </w:r>
      <w:r w:rsidRPr="00C623E0">
        <w:rPr>
          <w:rFonts w:ascii="Palatino Linotype" w:eastAsia="Palatino Linotype" w:hAnsi="Palatino Linotype" w:cs="Palatino Linotype"/>
        </w:rPr>
        <w:t xml:space="preserve"> ante 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la solicitud de acceso a la información pública, a la que se le asignó el número</w:t>
      </w:r>
      <w:r w:rsidRPr="00C623E0">
        <w:rPr>
          <w:rFonts w:ascii="Palatino Linotype" w:eastAsia="Palatino Linotype" w:hAnsi="Palatino Linotype" w:cs="Palatino Linotype"/>
          <w:b/>
        </w:rPr>
        <w:t xml:space="preserve"> </w:t>
      </w:r>
      <w:r w:rsidR="0004400E" w:rsidRPr="00C623E0">
        <w:rPr>
          <w:rFonts w:ascii="Palatino Linotype" w:eastAsia="Palatino Linotype" w:hAnsi="Palatino Linotype" w:cs="Palatino Linotype"/>
          <w:b/>
        </w:rPr>
        <w:t>00675/TOLUCA/IP/2022</w:t>
      </w:r>
      <w:r w:rsidRPr="00C623E0">
        <w:rPr>
          <w:rFonts w:ascii="Palatino Linotype" w:eastAsia="Palatino Linotype" w:hAnsi="Palatino Linotype" w:cs="Palatino Linotype"/>
          <w:b/>
        </w:rPr>
        <w:t xml:space="preserve">, </w:t>
      </w:r>
      <w:r w:rsidRPr="00C623E0">
        <w:rPr>
          <w:rFonts w:ascii="Palatino Linotype" w:eastAsia="Palatino Linotype" w:hAnsi="Palatino Linotype" w:cs="Palatino Linotype"/>
        </w:rPr>
        <w:t xml:space="preserve">mediante la cual requirió la información siguiente: </w:t>
      </w:r>
    </w:p>
    <w:p w14:paraId="6E5F3A9D" w14:textId="728C13C8" w:rsidR="003805A1" w:rsidRPr="00C623E0" w:rsidRDefault="007A61DC">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C623E0">
        <w:rPr>
          <w:rFonts w:ascii="Palatino Linotype" w:eastAsia="Palatino Linotype" w:hAnsi="Palatino Linotype" w:cs="Palatino Linotype"/>
          <w:i/>
          <w:sz w:val="22"/>
          <w:szCs w:val="22"/>
        </w:rPr>
        <w:t>“</w:t>
      </w:r>
      <w:r w:rsidR="0004400E" w:rsidRPr="00C623E0">
        <w:rPr>
          <w:rFonts w:ascii="Palatino Linotype" w:eastAsia="Palatino Linotype" w:hAnsi="Palatino Linotype" w:cs="Palatino Linotype"/>
          <w:i/>
          <w:sz w:val="22"/>
          <w:szCs w:val="22"/>
        </w:rPr>
        <w:t>adjunto solicitud</w:t>
      </w:r>
      <w:r w:rsidRPr="00C623E0">
        <w:rPr>
          <w:rFonts w:ascii="Palatino Linotype" w:eastAsia="Palatino Linotype" w:hAnsi="Palatino Linotype" w:cs="Palatino Linotype"/>
          <w:i/>
          <w:sz w:val="22"/>
          <w:szCs w:val="22"/>
        </w:rPr>
        <w:t>.” (sic)</w:t>
      </w:r>
    </w:p>
    <w:p w14:paraId="56588F33" w14:textId="0260F820" w:rsidR="003805A1" w:rsidRPr="00C623E0" w:rsidRDefault="007A61DC" w:rsidP="0004400E">
      <w:pPr>
        <w:spacing w:before="240" w:after="240" w:line="360" w:lineRule="auto"/>
        <w:ind w:right="49"/>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adjuntó </w:t>
      </w:r>
      <w:r w:rsidR="0004400E" w:rsidRPr="00C623E0">
        <w:rPr>
          <w:rFonts w:ascii="Palatino Linotype" w:eastAsia="Palatino Linotype" w:hAnsi="Palatino Linotype" w:cs="Palatino Linotype"/>
        </w:rPr>
        <w:t>el archivo “</w:t>
      </w:r>
      <w:r w:rsidR="0004400E" w:rsidRPr="00C623E0">
        <w:rPr>
          <w:rFonts w:ascii="Palatino Linotype" w:eastAsia="Palatino Linotype" w:hAnsi="Palatino Linotype" w:cs="Palatino Linotype"/>
          <w:i/>
          <w:iCs/>
        </w:rPr>
        <w:t>entrega recepción.pdf</w:t>
      </w:r>
      <w:r w:rsidR="0004400E" w:rsidRPr="00C623E0">
        <w:rPr>
          <w:rFonts w:ascii="Palatino Linotype" w:eastAsia="Palatino Linotype" w:hAnsi="Palatino Linotype" w:cs="Palatino Linotype"/>
        </w:rPr>
        <w:t>”, cuyo contenido es el siguiente:</w:t>
      </w:r>
    </w:p>
    <w:p w14:paraId="5D1B9F31" w14:textId="0CBC0359" w:rsidR="00C60058" w:rsidRPr="00C623E0" w:rsidRDefault="00C60058" w:rsidP="00C60058">
      <w:pPr>
        <w:spacing w:before="240" w:after="240" w:line="360" w:lineRule="auto"/>
        <w:ind w:right="49"/>
        <w:jc w:val="center"/>
        <w:rPr>
          <w:rFonts w:ascii="Palatino Linotype" w:eastAsia="Palatino Linotype" w:hAnsi="Palatino Linotype" w:cs="Palatino Linotype"/>
        </w:rPr>
      </w:pPr>
      <w:r w:rsidRPr="00C623E0">
        <w:rPr>
          <w:rFonts w:ascii="Palatino Linotype" w:eastAsia="Palatino Linotype" w:hAnsi="Palatino Linotype" w:cs="Palatino Linotype"/>
          <w:noProof/>
        </w:rPr>
        <w:lastRenderedPageBreak/>
        <w:drawing>
          <wp:inline distT="0" distB="0" distL="0" distR="0" wp14:anchorId="61607C53" wp14:editId="32EB6CDC">
            <wp:extent cx="4500000" cy="14881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000" cy="1488187"/>
                    </a:xfrm>
                    <a:prstGeom prst="rect">
                      <a:avLst/>
                    </a:prstGeom>
                    <a:noFill/>
                    <a:ln>
                      <a:noFill/>
                    </a:ln>
                  </pic:spPr>
                </pic:pic>
              </a:graphicData>
            </a:graphic>
          </wp:inline>
        </w:drawing>
      </w:r>
    </w:p>
    <w:p w14:paraId="1E7A6AA0" w14:textId="0030D7F0"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Modalidad de Entrega:</w:t>
      </w:r>
      <w:r w:rsidRPr="00C623E0">
        <w:rPr>
          <w:rFonts w:ascii="Palatino Linotype" w:eastAsia="Palatino Linotype" w:hAnsi="Palatino Linotype" w:cs="Palatino Linotype"/>
        </w:rPr>
        <w:t xml:space="preserve"> A través de SAIMEX.</w:t>
      </w:r>
    </w:p>
    <w:p w14:paraId="3C20662B" w14:textId="5295C5F2" w:rsidR="00FD431B" w:rsidRPr="00C623E0" w:rsidRDefault="00FD431B" w:rsidP="00FD431B">
      <w:pPr>
        <w:spacing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2. Solicitud de Aclaración. </w:t>
      </w:r>
      <w:r w:rsidRPr="00C623E0">
        <w:rPr>
          <w:rFonts w:ascii="Palatino Linotype" w:eastAsia="Palatino Linotype" w:hAnsi="Palatino Linotype" w:cs="Palatino Linotype"/>
        </w:rPr>
        <w:t xml:space="preserve">Con fecha </w:t>
      </w:r>
      <w:r w:rsidR="00746EC0" w:rsidRPr="00C623E0">
        <w:rPr>
          <w:rFonts w:ascii="Palatino Linotype" w:eastAsia="Palatino Linotype" w:hAnsi="Palatino Linotype" w:cs="Palatino Linotype"/>
          <w:b/>
        </w:rPr>
        <w:t>veintidós</w:t>
      </w:r>
      <w:r w:rsidRPr="00C623E0">
        <w:rPr>
          <w:rFonts w:ascii="Palatino Linotype" w:eastAsia="Palatino Linotype" w:hAnsi="Palatino Linotype" w:cs="Palatino Linotype"/>
          <w:b/>
        </w:rPr>
        <w:t xml:space="preserve"> de marzo de dos mil veintidós</w:t>
      </w:r>
      <w:r w:rsidRPr="00C623E0">
        <w:rPr>
          <w:rFonts w:ascii="Palatino Linotype" w:eastAsia="Palatino Linotype" w:hAnsi="Palatino Linotype" w:cs="Palatino Linotype"/>
        </w:rPr>
        <w:t xml:space="preserve">, el </w:t>
      </w:r>
      <w:r w:rsidRPr="00C623E0">
        <w:rPr>
          <w:rFonts w:ascii="Palatino Linotype" w:eastAsia="Palatino Linotype" w:hAnsi="Palatino Linotype" w:cs="Palatino Linotype"/>
          <w:b/>
          <w:bCs/>
        </w:rPr>
        <w:t>Sujeto Obligado</w:t>
      </w:r>
      <w:r w:rsidRPr="00C623E0">
        <w:rPr>
          <w:rFonts w:ascii="Palatino Linotype" w:eastAsia="Palatino Linotype" w:hAnsi="Palatino Linotype" w:cs="Palatino Linotype"/>
        </w:rPr>
        <w:t xml:space="preserve"> requirió a la parte </w:t>
      </w:r>
      <w:r w:rsidRPr="00C623E0">
        <w:rPr>
          <w:rFonts w:ascii="Palatino Linotype" w:eastAsia="Palatino Linotype" w:hAnsi="Palatino Linotype" w:cs="Palatino Linotype"/>
          <w:b/>
        </w:rPr>
        <w:t xml:space="preserve">Recurrente </w:t>
      </w:r>
      <w:r w:rsidRPr="00C623E0">
        <w:rPr>
          <w:rFonts w:ascii="Palatino Linotype" w:eastAsia="Palatino Linotype" w:hAnsi="Palatino Linotype" w:cs="Palatino Linotype"/>
        </w:rPr>
        <w:t>aclarara la solicitud de información pública planteadas, en los siguientes términos:</w:t>
      </w:r>
    </w:p>
    <w:p w14:paraId="60CA55F1" w14:textId="77777777" w:rsidR="00FD431B" w:rsidRPr="00C623E0" w:rsidRDefault="00FD431B" w:rsidP="00FD431B">
      <w:pPr>
        <w:spacing w:before="240" w:after="24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4D4FF529" w14:textId="77777777" w:rsidR="00FD431B" w:rsidRPr="00C623E0" w:rsidRDefault="00FD431B" w:rsidP="00FD431B">
      <w:pPr>
        <w:spacing w:before="240" w:after="24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Se adjunta oficio para solicitar aclaración de la solicitud, al peticionario.</w:t>
      </w:r>
    </w:p>
    <w:p w14:paraId="05AB1BF4" w14:textId="4C821D67" w:rsidR="00FD431B" w:rsidRPr="00C623E0" w:rsidRDefault="00FD431B" w:rsidP="00FD431B">
      <w:pPr>
        <w:spacing w:before="240" w:after="240"/>
        <w:ind w:left="851" w:right="902"/>
        <w:jc w:val="both"/>
        <w:rPr>
          <w:rFonts w:ascii="Palatino Linotype" w:eastAsia="Palatino Linotype" w:hAnsi="Palatino Linotype" w:cs="Palatino Linotype"/>
          <w:b/>
          <w:i/>
          <w:sz w:val="22"/>
          <w:szCs w:val="22"/>
        </w:rPr>
      </w:pPr>
      <w:r w:rsidRPr="00C623E0">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14:paraId="0BA1BCA8" w14:textId="3EAC17EA" w:rsidR="001050AA" w:rsidRPr="00C623E0" w:rsidRDefault="001050AA" w:rsidP="00FD431B">
      <w:pPr>
        <w:spacing w:before="240" w:after="240" w:line="360" w:lineRule="auto"/>
        <w:jc w:val="both"/>
        <w:rPr>
          <w:rFonts w:ascii="Palatino Linotype" w:eastAsia="Palatino Linotype" w:hAnsi="Palatino Linotype" w:cs="Palatino Linotype"/>
          <w:bCs/>
        </w:rPr>
      </w:pPr>
      <w:r w:rsidRPr="00C623E0">
        <w:rPr>
          <w:rFonts w:ascii="Palatino Linotype" w:eastAsia="Palatino Linotype" w:hAnsi="Palatino Linotype" w:cs="Palatino Linotype"/>
          <w:bCs/>
        </w:rPr>
        <w:t xml:space="preserve">El </w:t>
      </w:r>
      <w:r w:rsidRPr="00C623E0">
        <w:rPr>
          <w:rFonts w:ascii="Palatino Linotype" w:eastAsia="Palatino Linotype" w:hAnsi="Palatino Linotype" w:cs="Palatino Linotype"/>
          <w:b/>
        </w:rPr>
        <w:t>Sujeto Obligado</w:t>
      </w:r>
      <w:r w:rsidR="0089022B" w:rsidRPr="00C623E0">
        <w:rPr>
          <w:rFonts w:ascii="Palatino Linotype" w:eastAsia="Palatino Linotype" w:hAnsi="Palatino Linotype" w:cs="Palatino Linotype"/>
          <w:b/>
        </w:rPr>
        <w:t xml:space="preserve"> </w:t>
      </w:r>
      <w:r w:rsidR="00C90D43" w:rsidRPr="00C623E0">
        <w:rPr>
          <w:rFonts w:ascii="Palatino Linotype" w:eastAsia="Palatino Linotype" w:hAnsi="Palatino Linotype" w:cs="Palatino Linotype"/>
          <w:bCs/>
        </w:rPr>
        <w:t xml:space="preserve">adjuntó el </w:t>
      </w:r>
      <w:r w:rsidR="00B041EF" w:rsidRPr="00C623E0">
        <w:rPr>
          <w:rFonts w:ascii="Palatino Linotype" w:eastAsia="Palatino Linotype" w:hAnsi="Palatino Linotype" w:cs="Palatino Linotype"/>
          <w:bCs/>
        </w:rPr>
        <w:t>archivo “</w:t>
      </w:r>
      <w:r w:rsidR="00B041EF" w:rsidRPr="00C623E0">
        <w:rPr>
          <w:rFonts w:ascii="Palatino Linotype" w:eastAsia="Palatino Linotype" w:hAnsi="Palatino Linotype" w:cs="Palatino Linotype"/>
          <w:bCs/>
          <w:i/>
          <w:iCs/>
        </w:rPr>
        <w:t>Acuerdo de Aclaración Parcial_00675_2022.pdf</w:t>
      </w:r>
      <w:r w:rsidR="00B041EF" w:rsidRPr="00C623E0">
        <w:rPr>
          <w:rFonts w:ascii="Palatino Linotype" w:eastAsia="Palatino Linotype" w:hAnsi="Palatino Linotype" w:cs="Palatino Linotype"/>
          <w:bCs/>
        </w:rPr>
        <w:t xml:space="preserve">”, que contiene </w:t>
      </w:r>
      <w:r w:rsidR="00173EDE" w:rsidRPr="00C623E0">
        <w:rPr>
          <w:rFonts w:ascii="Palatino Linotype" w:eastAsia="Palatino Linotype" w:hAnsi="Palatino Linotype" w:cs="Palatino Linotype"/>
          <w:bCs/>
        </w:rPr>
        <w:t>el A</w:t>
      </w:r>
      <w:r w:rsidR="00B041EF" w:rsidRPr="00C623E0">
        <w:rPr>
          <w:rFonts w:ascii="Palatino Linotype" w:eastAsia="Palatino Linotype" w:hAnsi="Palatino Linotype" w:cs="Palatino Linotype"/>
          <w:bCs/>
        </w:rPr>
        <w:t>cuerdo de aclaración parcial,</w:t>
      </w:r>
      <w:r w:rsidR="00173EDE" w:rsidRPr="00C623E0">
        <w:rPr>
          <w:rFonts w:ascii="Palatino Linotype" w:eastAsia="Palatino Linotype" w:hAnsi="Palatino Linotype" w:cs="Palatino Linotype"/>
          <w:bCs/>
        </w:rPr>
        <w:t xml:space="preserve"> de fecha veintidós de marzo de dos mil veintidós, </w:t>
      </w:r>
      <w:r w:rsidR="00CF1E79" w:rsidRPr="00C623E0">
        <w:rPr>
          <w:rFonts w:ascii="Palatino Linotype" w:eastAsia="Palatino Linotype" w:hAnsi="Palatino Linotype" w:cs="Palatino Linotype"/>
          <w:bCs/>
        </w:rPr>
        <w:t xml:space="preserve">mediante el cual, el </w:t>
      </w:r>
      <w:r w:rsidR="00CF1E79" w:rsidRPr="00C623E0">
        <w:rPr>
          <w:rFonts w:ascii="Palatino Linotype" w:eastAsia="Palatino Linotype" w:hAnsi="Palatino Linotype" w:cs="Palatino Linotype"/>
          <w:b/>
        </w:rPr>
        <w:t xml:space="preserve">Sujeto Obligado, </w:t>
      </w:r>
      <w:r w:rsidR="00D45359" w:rsidRPr="00C623E0">
        <w:rPr>
          <w:rFonts w:ascii="Palatino Linotype" w:eastAsia="Palatino Linotype" w:hAnsi="Palatino Linotype" w:cs="Palatino Linotype"/>
          <w:bCs/>
        </w:rPr>
        <w:t xml:space="preserve">con fundamento en el artículo 159 de la Ley de Transparencia y Acceso a la Información Pública del Estado de México y Municipios, </w:t>
      </w:r>
      <w:r w:rsidR="00661FE0" w:rsidRPr="00C623E0">
        <w:rPr>
          <w:rFonts w:ascii="Palatino Linotype" w:eastAsia="Palatino Linotype" w:hAnsi="Palatino Linotype" w:cs="Palatino Linotype"/>
          <w:bCs/>
        </w:rPr>
        <w:t xml:space="preserve">requirió </w:t>
      </w:r>
      <w:r w:rsidR="00441D39" w:rsidRPr="00C623E0">
        <w:rPr>
          <w:rFonts w:ascii="Palatino Linotype" w:eastAsia="Palatino Linotype" w:hAnsi="Palatino Linotype" w:cs="Palatino Linotype"/>
          <w:bCs/>
        </w:rPr>
        <w:t xml:space="preserve">a la persona </w:t>
      </w:r>
      <w:r w:rsidR="0064151E" w:rsidRPr="00C623E0">
        <w:rPr>
          <w:rFonts w:ascii="Palatino Linotype" w:eastAsia="Palatino Linotype" w:hAnsi="Palatino Linotype" w:cs="Palatino Linotype"/>
          <w:bCs/>
        </w:rPr>
        <w:t xml:space="preserve">solicitante </w:t>
      </w:r>
      <w:r w:rsidR="00661FE0" w:rsidRPr="00C623E0">
        <w:rPr>
          <w:rFonts w:ascii="Palatino Linotype" w:eastAsia="Palatino Linotype" w:hAnsi="Palatino Linotype" w:cs="Palatino Linotype"/>
          <w:bCs/>
        </w:rPr>
        <w:t xml:space="preserve">especificara a que se refería por secretarías, a efecto de que pudiera </w:t>
      </w:r>
      <w:r w:rsidR="009C01CF" w:rsidRPr="00C623E0">
        <w:rPr>
          <w:rFonts w:ascii="Palatino Linotype" w:eastAsia="Palatino Linotype" w:hAnsi="Palatino Linotype" w:cs="Palatino Linotype"/>
          <w:bCs/>
        </w:rPr>
        <w:t xml:space="preserve">realizar la búsqueda exhaustiva de la información </w:t>
      </w:r>
      <w:r w:rsidR="000112DE" w:rsidRPr="00C623E0">
        <w:rPr>
          <w:rFonts w:ascii="Palatino Linotype" w:eastAsia="Palatino Linotype" w:hAnsi="Palatino Linotype" w:cs="Palatino Linotype"/>
          <w:bCs/>
        </w:rPr>
        <w:t xml:space="preserve">que solicita y estar en aptitud de responder </w:t>
      </w:r>
      <w:r w:rsidR="000112DE" w:rsidRPr="00C623E0">
        <w:rPr>
          <w:rFonts w:ascii="Palatino Linotype" w:eastAsia="Palatino Linotype" w:hAnsi="Palatino Linotype" w:cs="Palatino Linotype"/>
          <w:bCs/>
        </w:rPr>
        <w:lastRenderedPageBreak/>
        <w:t>de forma veraz y</w:t>
      </w:r>
      <w:r w:rsidR="0031466F" w:rsidRPr="00C623E0">
        <w:rPr>
          <w:rFonts w:ascii="Palatino Linotype" w:eastAsia="Palatino Linotype" w:hAnsi="Palatino Linotype" w:cs="Palatino Linotype"/>
          <w:bCs/>
        </w:rPr>
        <w:t xml:space="preserve"> eficiente</w:t>
      </w:r>
      <w:r w:rsidR="001E1652" w:rsidRPr="00C623E0">
        <w:rPr>
          <w:rFonts w:ascii="Palatino Linotype" w:eastAsia="Palatino Linotype" w:hAnsi="Palatino Linotype" w:cs="Palatino Linotype"/>
          <w:bCs/>
        </w:rPr>
        <w:t>, apercibiéndole que en caso de no desahogar el referido requerimiento</w:t>
      </w:r>
      <w:r w:rsidR="00746EC0" w:rsidRPr="00C623E0">
        <w:rPr>
          <w:rFonts w:ascii="Palatino Linotype" w:eastAsia="Palatino Linotype" w:hAnsi="Palatino Linotype" w:cs="Palatino Linotype"/>
          <w:bCs/>
        </w:rPr>
        <w:t xml:space="preserve"> parcial</w:t>
      </w:r>
      <w:r w:rsidR="001E1652" w:rsidRPr="00C623E0">
        <w:rPr>
          <w:rFonts w:ascii="Palatino Linotype" w:eastAsia="Palatino Linotype" w:hAnsi="Palatino Linotype" w:cs="Palatino Linotype"/>
          <w:bCs/>
        </w:rPr>
        <w:t xml:space="preserve"> en el plazo de 10 días, a solicitud se tendría por no presentada</w:t>
      </w:r>
      <w:r w:rsidR="00746EC0" w:rsidRPr="00C623E0">
        <w:rPr>
          <w:rFonts w:ascii="Palatino Linotype" w:eastAsia="Palatino Linotype" w:hAnsi="Palatino Linotype" w:cs="Palatino Linotype"/>
          <w:bCs/>
        </w:rPr>
        <w:t xml:space="preserve"> -respecto del requerimiento parcial-</w:t>
      </w:r>
      <w:r w:rsidR="002D0438" w:rsidRPr="00C623E0">
        <w:rPr>
          <w:rFonts w:ascii="Palatino Linotype" w:eastAsia="Palatino Linotype" w:hAnsi="Palatino Linotype" w:cs="Palatino Linotype"/>
          <w:bCs/>
        </w:rPr>
        <w:t>, quedando a salvo sus derechos para volver a presentarla misma.</w:t>
      </w:r>
    </w:p>
    <w:p w14:paraId="14C6F29E" w14:textId="09C2112C" w:rsidR="002D0438" w:rsidRPr="00C623E0" w:rsidRDefault="00FD431B" w:rsidP="00FD431B">
      <w:pPr>
        <w:spacing w:before="240" w:after="240" w:line="360" w:lineRule="auto"/>
        <w:jc w:val="both"/>
        <w:rPr>
          <w:rFonts w:ascii="Palatino Linotype" w:hAnsi="Palatino Linotype" w:cs="Arial"/>
        </w:rPr>
      </w:pPr>
      <w:r w:rsidRPr="00C623E0">
        <w:rPr>
          <w:rFonts w:ascii="Palatino Linotype" w:eastAsia="Palatino Linotype" w:hAnsi="Palatino Linotype" w:cs="Palatino Linotype"/>
          <w:b/>
        </w:rPr>
        <w:t>3.</w:t>
      </w:r>
      <w:r w:rsidRPr="00C623E0">
        <w:rPr>
          <w:rFonts w:ascii="Palatino Linotype" w:hAnsi="Palatino Linotype" w:cs="Arial"/>
          <w:b/>
        </w:rPr>
        <w:t xml:space="preserve"> Aclaración. </w:t>
      </w:r>
      <w:r w:rsidRPr="00C623E0">
        <w:rPr>
          <w:rFonts w:ascii="Palatino Linotype" w:hAnsi="Palatino Linotype" w:cs="Arial"/>
        </w:rPr>
        <w:t xml:space="preserve">De las constancias que obran en el expediente en el que se actúa, se advierte que </w:t>
      </w:r>
      <w:r w:rsidR="002D0438" w:rsidRPr="00C623E0">
        <w:rPr>
          <w:rFonts w:ascii="Palatino Linotype" w:hAnsi="Palatino Linotype" w:cs="Arial"/>
        </w:rPr>
        <w:t xml:space="preserve">la persona solicitante no </w:t>
      </w:r>
      <w:r w:rsidR="00881925" w:rsidRPr="00C623E0">
        <w:rPr>
          <w:rFonts w:ascii="Palatino Linotype" w:hAnsi="Palatino Linotype" w:cs="Arial"/>
        </w:rPr>
        <w:t xml:space="preserve">desahogó el requerimiento de información en el plazo establecido para tal efecto. </w:t>
      </w:r>
    </w:p>
    <w:p w14:paraId="59594075" w14:textId="414191FC" w:rsidR="003805A1" w:rsidRPr="00C623E0" w:rsidRDefault="00746EC0">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4</w:t>
      </w:r>
      <w:r w:rsidR="00FD431B" w:rsidRPr="00C623E0">
        <w:rPr>
          <w:rFonts w:ascii="Palatino Linotype" w:eastAsia="Palatino Linotype" w:hAnsi="Palatino Linotype" w:cs="Palatino Linotype"/>
          <w:b/>
        </w:rPr>
        <w:t xml:space="preserve">. </w:t>
      </w:r>
      <w:r w:rsidR="007A61DC" w:rsidRPr="00C623E0">
        <w:rPr>
          <w:rFonts w:ascii="Palatino Linotype" w:eastAsia="Palatino Linotype" w:hAnsi="Palatino Linotype" w:cs="Palatino Linotype"/>
          <w:b/>
        </w:rPr>
        <w:t xml:space="preserve">Respuesta. </w:t>
      </w:r>
      <w:r w:rsidR="007A61DC" w:rsidRPr="00C623E0">
        <w:rPr>
          <w:rFonts w:ascii="Palatino Linotype" w:eastAsia="Palatino Linotype" w:hAnsi="Palatino Linotype" w:cs="Palatino Linotype"/>
        </w:rPr>
        <w:t>Con fecha</w:t>
      </w:r>
      <w:r w:rsidR="007A61DC" w:rsidRPr="00C623E0">
        <w:rPr>
          <w:rFonts w:ascii="Palatino Linotype" w:eastAsia="Palatino Linotype" w:hAnsi="Palatino Linotype" w:cs="Palatino Linotype"/>
          <w:b/>
        </w:rPr>
        <w:t xml:space="preserve"> cinco de abril de dos mil veintidós</w:t>
      </w:r>
      <w:r w:rsidR="007A61DC" w:rsidRPr="00C623E0">
        <w:rPr>
          <w:rFonts w:ascii="Palatino Linotype" w:eastAsia="Palatino Linotype" w:hAnsi="Palatino Linotype" w:cs="Palatino Linotype"/>
        </w:rPr>
        <w:t xml:space="preserve">, el </w:t>
      </w:r>
      <w:r w:rsidR="007A61DC" w:rsidRPr="00C623E0">
        <w:rPr>
          <w:rFonts w:ascii="Palatino Linotype" w:eastAsia="Palatino Linotype" w:hAnsi="Palatino Linotype" w:cs="Palatino Linotype"/>
          <w:b/>
        </w:rPr>
        <w:t xml:space="preserve">Sujeto Obligado </w:t>
      </w:r>
      <w:r w:rsidR="007A61DC" w:rsidRPr="00C623E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4667A15" w14:textId="77777777" w:rsidR="00C21458" w:rsidRPr="00C623E0" w:rsidRDefault="007A61DC" w:rsidP="00C21458">
      <w:pPr>
        <w:spacing w:before="240" w:after="24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r w:rsidR="00C21458" w:rsidRPr="00C623E0">
        <w:rPr>
          <w:rFonts w:ascii="Palatino Linotype" w:eastAsia="Palatino Linotype" w:hAnsi="Palatino Linotype" w:cs="Palatino Linotype"/>
          <w:i/>
          <w:sz w:val="22"/>
          <w:szCs w:val="22"/>
        </w:rPr>
        <w:t>le contestamos que:</w:t>
      </w:r>
    </w:p>
    <w:p w14:paraId="46C8B030" w14:textId="460D6F33" w:rsidR="003805A1" w:rsidRPr="00C623E0" w:rsidRDefault="00C21458" w:rsidP="00C21458">
      <w:pPr>
        <w:spacing w:before="240" w:after="24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En atención a la solicitud de información número 00675/TOLUCA/IP/2022, me permito adjuntar al presente la respuesta correspondiente. Sin más por el momento, le envío un cordial saludo.</w:t>
      </w:r>
      <w:r w:rsidR="007A61DC" w:rsidRPr="00C623E0">
        <w:rPr>
          <w:rFonts w:ascii="Palatino Linotype" w:eastAsia="Palatino Linotype" w:hAnsi="Palatino Linotype" w:cs="Palatino Linotype"/>
          <w:i/>
          <w:sz w:val="22"/>
          <w:szCs w:val="22"/>
        </w:rPr>
        <w:t>..” (sic)</w:t>
      </w:r>
    </w:p>
    <w:p w14:paraId="1D1A47F0" w14:textId="77777777" w:rsidR="000B7725" w:rsidRPr="00C623E0" w:rsidRDefault="007A61DC" w:rsidP="00C21458">
      <w:pPr>
        <w:spacing w:before="240" w:after="240" w:line="360" w:lineRule="auto"/>
        <w:ind w:right="49"/>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adjuntó </w:t>
      </w:r>
      <w:r w:rsidR="00C21458" w:rsidRPr="00C623E0">
        <w:rPr>
          <w:rFonts w:ascii="Palatino Linotype" w:eastAsia="Palatino Linotype" w:hAnsi="Palatino Linotype" w:cs="Palatino Linotype"/>
        </w:rPr>
        <w:t xml:space="preserve">los </w:t>
      </w:r>
      <w:r w:rsidRPr="00C623E0">
        <w:rPr>
          <w:rFonts w:ascii="Palatino Linotype" w:eastAsia="Palatino Linotype" w:hAnsi="Palatino Linotype" w:cs="Palatino Linotype"/>
        </w:rPr>
        <w:t>archivos</w:t>
      </w:r>
      <w:r w:rsidR="00C21458" w:rsidRPr="00C623E0">
        <w:rPr>
          <w:rFonts w:ascii="Palatino Linotype" w:eastAsia="Palatino Linotype" w:hAnsi="Palatino Linotype" w:cs="Palatino Linotype"/>
        </w:rPr>
        <w:t xml:space="preserve">: </w:t>
      </w:r>
    </w:p>
    <w:p w14:paraId="1C89E263" w14:textId="53B0C110" w:rsidR="000B7725" w:rsidRPr="00C623E0" w:rsidRDefault="000B7725" w:rsidP="00C21458">
      <w:pPr>
        <w:spacing w:before="240" w:after="240" w:line="360" w:lineRule="auto"/>
        <w:ind w:right="49"/>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 </w:t>
      </w:r>
      <w:r w:rsidR="00C21458" w:rsidRPr="00C623E0">
        <w:rPr>
          <w:rFonts w:ascii="Palatino Linotype" w:eastAsia="Palatino Linotype" w:hAnsi="Palatino Linotype" w:cs="Palatino Linotype"/>
          <w:i/>
          <w:iCs/>
        </w:rPr>
        <w:t xml:space="preserve">“Saimex 00675.pdf” </w:t>
      </w:r>
      <w:r w:rsidRPr="00C623E0">
        <w:rPr>
          <w:rFonts w:ascii="Palatino Linotype" w:eastAsia="Palatino Linotype" w:hAnsi="Palatino Linotype" w:cs="Palatino Linotype"/>
        </w:rPr>
        <w:t>que contiene el escrito de fecha cinco de abril de dos mil veintidós, mediante el cual la Titular de la Unidad de Transparencia comunica a la persona solicitante, el pronunciamiento vertido por el Contralor Municipal, quien</w:t>
      </w:r>
      <w:r w:rsidR="003E7E55" w:rsidRPr="00C623E0">
        <w:rPr>
          <w:rFonts w:ascii="Palatino Linotype" w:eastAsia="Palatino Linotype" w:hAnsi="Palatino Linotype" w:cs="Palatino Linotype"/>
        </w:rPr>
        <w:t xml:space="preserve">, </w:t>
      </w:r>
      <w:r w:rsidRPr="00C623E0">
        <w:rPr>
          <w:rFonts w:ascii="Palatino Linotype" w:eastAsia="Palatino Linotype" w:hAnsi="Palatino Linotype" w:cs="Palatino Linotype"/>
        </w:rPr>
        <w:t>después de realizar una búsqueda exhaustiva y minucios</w:t>
      </w:r>
      <w:r w:rsidR="003E7E55" w:rsidRPr="00C623E0">
        <w:rPr>
          <w:rFonts w:ascii="Palatino Linotype" w:eastAsia="Palatino Linotype" w:hAnsi="Palatino Linotype" w:cs="Palatino Linotype"/>
        </w:rPr>
        <w:t xml:space="preserve">a para dar atención a la solicitud, señaló que la información había sido reservada por un periodo de tres años, de conformidad con la Centésima Sexagésima Quinta Sesión Extraordinaria 2022, del Comité de Transparencia, manifestando que el expediente se encontraba </w:t>
      </w:r>
      <w:r w:rsidR="003E7E55" w:rsidRPr="00C623E0">
        <w:rPr>
          <w:rFonts w:ascii="Palatino Linotype" w:eastAsia="Palatino Linotype" w:hAnsi="Palatino Linotype" w:cs="Palatino Linotype"/>
        </w:rPr>
        <w:lastRenderedPageBreak/>
        <w:t>en proceso de investigación y sustanciación, a fin de generar la resolución y se deslinden las responsabilidades a que haya lugar.</w:t>
      </w:r>
    </w:p>
    <w:p w14:paraId="1C1BF73C" w14:textId="3336DCAD" w:rsidR="003805A1" w:rsidRPr="00C623E0" w:rsidRDefault="000B7725" w:rsidP="00C21458">
      <w:pPr>
        <w:spacing w:before="240" w:after="240" w:line="360" w:lineRule="auto"/>
        <w:ind w:right="49"/>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 </w:t>
      </w:r>
      <w:r w:rsidR="00C21458" w:rsidRPr="00C623E0">
        <w:rPr>
          <w:rFonts w:ascii="Palatino Linotype" w:eastAsia="Palatino Linotype" w:hAnsi="Palatino Linotype" w:cs="Palatino Linotype"/>
          <w:i/>
          <w:iCs/>
        </w:rPr>
        <w:t xml:space="preserve">“Centésima Sexagésima Quinta Extraordinaria 22.pdf”, </w:t>
      </w:r>
      <w:r w:rsidR="003E7E55" w:rsidRPr="00C623E0">
        <w:rPr>
          <w:rFonts w:ascii="Palatino Linotype" w:eastAsia="Palatino Linotype" w:hAnsi="Palatino Linotype" w:cs="Palatino Linotype"/>
        </w:rPr>
        <w:t>que contiene el Acta de la Centésima Sexagésima Quinta Sesión Extraordinaria 2022, del Comité de Transparencia, celebrada el veinticuatro de marzo de dos mil veintidós, mediante la cual, como punto 3 del orden del día</w:t>
      </w:r>
      <w:r w:rsidR="00917A42" w:rsidRPr="00C623E0">
        <w:rPr>
          <w:rFonts w:ascii="Palatino Linotype" w:eastAsia="Palatino Linotype" w:hAnsi="Palatino Linotype" w:cs="Palatino Linotype"/>
        </w:rPr>
        <w:t>, se sometió ante los integrantes del Comité, el análisis y aprobación de la propuesta de clasificación como información reservada en su totalidad, de la información referente al acta y la documentación e información que integran el expediente de entrega recepción, en virtud de dar respuesta a la Solicitud de Información número 00675/TOLUCA/IP/2022, presentada por el Servidor Público Habilitado de la Contraloría Municipal.</w:t>
      </w:r>
    </w:p>
    <w:p w14:paraId="77E86B72" w14:textId="0BBD069B" w:rsidR="003805A1" w:rsidRPr="00C623E0" w:rsidRDefault="007A61DC">
      <w:pPr>
        <w:spacing w:before="240" w:after="240" w:line="360" w:lineRule="auto"/>
        <w:ind w:right="49"/>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3. Interposición del recurso de revisión. </w:t>
      </w:r>
      <w:r w:rsidRPr="00C623E0">
        <w:rPr>
          <w:rFonts w:ascii="Palatino Linotype" w:eastAsia="Palatino Linotype" w:hAnsi="Palatino Linotype" w:cs="Palatino Linotype"/>
        </w:rPr>
        <w:t xml:space="preserve">Inconforme con los términos de la respuesta emitida por parte del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el </w:t>
      </w:r>
      <w:r w:rsidR="004863D0" w:rsidRPr="00C623E0">
        <w:rPr>
          <w:rFonts w:ascii="Palatino Linotype" w:eastAsia="Palatino Linotype" w:hAnsi="Palatino Linotype" w:cs="Palatino Linotype"/>
          <w:b/>
        </w:rPr>
        <w:t>veintiséis</w:t>
      </w:r>
      <w:r w:rsidRPr="00C623E0">
        <w:rPr>
          <w:rFonts w:ascii="Palatino Linotype" w:eastAsia="Palatino Linotype" w:hAnsi="Palatino Linotype" w:cs="Palatino Linotype"/>
          <w:b/>
        </w:rPr>
        <w:t xml:space="preserve"> de abril de dos mil veintidós,</w:t>
      </w:r>
      <w:r w:rsidRPr="00C623E0">
        <w:rPr>
          <w:rFonts w:ascii="Palatino Linotype" w:eastAsia="Palatino Linotype" w:hAnsi="Palatino Linotype" w:cs="Palatino Linotype"/>
        </w:rPr>
        <w:t xml:space="preserve">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interpuso el recurso de revisión a través de </w:t>
      </w:r>
      <w:r w:rsidRPr="00C623E0">
        <w:rPr>
          <w:rFonts w:ascii="Palatino Linotype" w:eastAsia="Palatino Linotype" w:hAnsi="Palatino Linotype" w:cs="Palatino Linotype"/>
          <w:b/>
        </w:rPr>
        <w:t xml:space="preserve">SAIMEX, </w:t>
      </w:r>
      <w:r w:rsidRPr="00C623E0">
        <w:rPr>
          <w:rFonts w:ascii="Palatino Linotype" w:eastAsia="Palatino Linotype" w:hAnsi="Palatino Linotype" w:cs="Palatino Linotype"/>
        </w:rPr>
        <w:t>en donde se manifestó de la siguiente manera:</w:t>
      </w:r>
    </w:p>
    <w:p w14:paraId="2A6EEC87" w14:textId="77777777" w:rsidR="003805A1" w:rsidRPr="00C623E0" w:rsidRDefault="007A61DC">
      <w:pPr>
        <w:tabs>
          <w:tab w:val="left" w:pos="2745"/>
        </w:tabs>
        <w:spacing w:before="240" w:after="240" w:line="360" w:lineRule="auto"/>
        <w:jc w:val="both"/>
        <w:rPr>
          <w:rFonts w:ascii="Palatino Linotype" w:eastAsia="Palatino Linotype" w:hAnsi="Palatino Linotype" w:cs="Palatino Linotype"/>
          <w:b/>
        </w:rPr>
      </w:pPr>
      <w:r w:rsidRPr="00C623E0">
        <w:rPr>
          <w:rFonts w:ascii="Palatino Linotype" w:eastAsia="Palatino Linotype" w:hAnsi="Palatino Linotype" w:cs="Palatino Linotype"/>
          <w:b/>
        </w:rPr>
        <w:t xml:space="preserve">Acto impugnado: </w:t>
      </w:r>
    </w:p>
    <w:p w14:paraId="7C74B11C" w14:textId="70324756" w:rsidR="003805A1" w:rsidRPr="00C623E0" w:rsidRDefault="007A61DC">
      <w:pPr>
        <w:tabs>
          <w:tab w:val="left" w:pos="2745"/>
        </w:tabs>
        <w:spacing w:before="240" w:after="240"/>
        <w:ind w:left="851" w:right="900"/>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r w:rsidR="004863D0" w:rsidRPr="00C623E0">
        <w:rPr>
          <w:rFonts w:ascii="Palatino Linotype" w:eastAsia="Palatino Linotype" w:hAnsi="Palatino Linotype" w:cs="Palatino Linotype"/>
          <w:i/>
          <w:sz w:val="22"/>
          <w:szCs w:val="22"/>
        </w:rPr>
        <w:t>Reservó la información -que debería ser pública- por 3 años</w:t>
      </w:r>
      <w:r w:rsidRPr="00C623E0">
        <w:rPr>
          <w:rFonts w:ascii="Palatino Linotype" w:eastAsia="Palatino Linotype" w:hAnsi="Palatino Linotype" w:cs="Palatino Linotype"/>
          <w:i/>
          <w:sz w:val="22"/>
          <w:szCs w:val="22"/>
        </w:rPr>
        <w:t>” (sic)</w:t>
      </w:r>
    </w:p>
    <w:p w14:paraId="23BB769C" w14:textId="77777777" w:rsidR="003805A1" w:rsidRPr="00C623E0" w:rsidRDefault="007A61DC">
      <w:pPr>
        <w:spacing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Y Razones o motivos de inconformidad</w:t>
      </w:r>
      <w:r w:rsidRPr="00C623E0">
        <w:rPr>
          <w:rFonts w:ascii="Palatino Linotype" w:eastAsia="Palatino Linotype" w:hAnsi="Palatino Linotype" w:cs="Palatino Linotype"/>
        </w:rPr>
        <w:t>:</w:t>
      </w:r>
    </w:p>
    <w:p w14:paraId="69C206D3" w14:textId="21F28B11" w:rsidR="003805A1" w:rsidRPr="00C623E0" w:rsidRDefault="007A61DC">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C623E0">
        <w:rPr>
          <w:rFonts w:ascii="Palatino Linotype" w:eastAsia="Palatino Linotype" w:hAnsi="Palatino Linotype" w:cs="Palatino Linotype"/>
          <w:i/>
          <w:sz w:val="22"/>
          <w:szCs w:val="22"/>
        </w:rPr>
        <w:t xml:space="preserve"> “</w:t>
      </w:r>
      <w:r w:rsidR="004863D0" w:rsidRPr="00C623E0">
        <w:rPr>
          <w:rFonts w:ascii="Palatino Linotype" w:eastAsia="Palatino Linotype" w:hAnsi="Palatino Linotype" w:cs="Palatino Linotype"/>
          <w:i/>
          <w:sz w:val="22"/>
          <w:szCs w:val="22"/>
        </w:rPr>
        <w:t>adjunto recurso</w:t>
      </w:r>
      <w:r w:rsidRPr="00C623E0">
        <w:rPr>
          <w:rFonts w:ascii="Palatino Linotype" w:eastAsia="Palatino Linotype" w:hAnsi="Palatino Linotype" w:cs="Palatino Linotype"/>
          <w:i/>
          <w:sz w:val="22"/>
          <w:szCs w:val="22"/>
        </w:rPr>
        <w:t>” (sic)</w:t>
      </w:r>
    </w:p>
    <w:p w14:paraId="538CC9C8" w14:textId="0A84FA0D" w:rsidR="003805A1" w:rsidRPr="00C623E0" w:rsidRDefault="007A61DC">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Anexos: </w:t>
      </w:r>
      <w:r w:rsidRPr="00C623E0">
        <w:rPr>
          <w:rFonts w:ascii="Palatino Linotype" w:eastAsia="Palatino Linotype" w:hAnsi="Palatino Linotype" w:cs="Palatino Linotype"/>
        </w:rPr>
        <w:t xml:space="preserve">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adjuntó </w:t>
      </w:r>
      <w:r w:rsidR="004863D0" w:rsidRPr="00C623E0">
        <w:rPr>
          <w:rFonts w:ascii="Palatino Linotype" w:eastAsia="Palatino Linotype" w:hAnsi="Palatino Linotype" w:cs="Palatino Linotype"/>
        </w:rPr>
        <w:t xml:space="preserve">el </w:t>
      </w:r>
      <w:r w:rsidRPr="00C623E0">
        <w:rPr>
          <w:rFonts w:ascii="Palatino Linotype" w:eastAsia="Palatino Linotype" w:hAnsi="Palatino Linotype" w:cs="Palatino Linotype"/>
        </w:rPr>
        <w:t>archivo</w:t>
      </w:r>
      <w:r w:rsidR="004863D0" w:rsidRPr="00C623E0">
        <w:rPr>
          <w:rFonts w:ascii="Palatino Linotype" w:eastAsia="Palatino Linotype" w:hAnsi="Palatino Linotype" w:cs="Palatino Linotype"/>
        </w:rPr>
        <w:t>: “</w:t>
      </w:r>
      <w:r w:rsidR="004863D0" w:rsidRPr="00C623E0">
        <w:rPr>
          <w:rFonts w:ascii="Palatino Linotype" w:eastAsia="Palatino Linotype" w:hAnsi="Palatino Linotype" w:cs="Palatino Linotype"/>
          <w:i/>
          <w:iCs/>
        </w:rPr>
        <w:t>RR entrega.pdf</w:t>
      </w:r>
      <w:r w:rsidR="004863D0" w:rsidRPr="00C623E0">
        <w:rPr>
          <w:rFonts w:ascii="Palatino Linotype" w:eastAsia="Palatino Linotype" w:hAnsi="Palatino Linotype" w:cs="Palatino Linotype"/>
        </w:rPr>
        <w:t xml:space="preserve">”, </w:t>
      </w:r>
      <w:r w:rsidR="00236E4E" w:rsidRPr="00C623E0">
        <w:rPr>
          <w:rFonts w:ascii="Palatino Linotype" w:eastAsia="Palatino Linotype" w:hAnsi="Palatino Linotype" w:cs="Palatino Linotype"/>
        </w:rPr>
        <w:t>que cuyo contenido es el siguiente:</w:t>
      </w:r>
    </w:p>
    <w:p w14:paraId="2A796BD6" w14:textId="1D1F8BE8" w:rsidR="00236E4E" w:rsidRPr="00C623E0" w:rsidRDefault="00236E4E" w:rsidP="00236E4E">
      <w:pPr>
        <w:spacing w:before="240" w:after="240" w:line="360" w:lineRule="auto"/>
        <w:ind w:right="51"/>
        <w:jc w:val="center"/>
        <w:rPr>
          <w:rFonts w:ascii="Palatino Linotype" w:eastAsia="Palatino Linotype" w:hAnsi="Palatino Linotype" w:cs="Palatino Linotype"/>
        </w:rPr>
      </w:pPr>
      <w:r w:rsidRPr="00C623E0">
        <w:rPr>
          <w:rFonts w:ascii="Palatino Linotype" w:eastAsia="Palatino Linotype" w:hAnsi="Palatino Linotype" w:cs="Palatino Linotype"/>
          <w:noProof/>
        </w:rPr>
        <w:lastRenderedPageBreak/>
        <w:drawing>
          <wp:inline distT="0" distB="0" distL="0" distR="0" wp14:anchorId="652E8F09" wp14:editId="1FC32999">
            <wp:extent cx="4742180" cy="292417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2180" cy="2924175"/>
                    </a:xfrm>
                    <a:prstGeom prst="rect">
                      <a:avLst/>
                    </a:prstGeom>
                    <a:noFill/>
                    <a:ln>
                      <a:noFill/>
                    </a:ln>
                  </pic:spPr>
                </pic:pic>
              </a:graphicData>
            </a:graphic>
          </wp:inline>
        </w:drawing>
      </w:r>
    </w:p>
    <w:p w14:paraId="5B25E488" w14:textId="77777777" w:rsidR="003805A1" w:rsidRPr="00C623E0" w:rsidRDefault="007A61DC">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4. Turno. </w:t>
      </w:r>
      <w:r w:rsidRPr="00C623E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C623E0">
        <w:rPr>
          <w:rFonts w:ascii="Palatino Linotype" w:eastAsia="Palatino Linotype" w:hAnsi="Palatino Linotype" w:cs="Palatino Linotype"/>
          <w:b/>
        </w:rPr>
        <w:t xml:space="preserve">Guadalupe Ramírez Peña, </w:t>
      </w:r>
      <w:r w:rsidRPr="00C623E0">
        <w:rPr>
          <w:rFonts w:ascii="Palatino Linotype" w:eastAsia="Palatino Linotype" w:hAnsi="Palatino Linotype" w:cs="Palatino Linotype"/>
        </w:rPr>
        <w:t>a efecto de que analizara sobre su admisión o su desechamiento.</w:t>
      </w:r>
    </w:p>
    <w:p w14:paraId="57BD1E4E" w14:textId="452B7DB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5. Admisión del Recurso de revisión.</w:t>
      </w:r>
      <w:r w:rsidRPr="00C623E0">
        <w:rPr>
          <w:rFonts w:ascii="Palatino Linotype" w:eastAsia="Palatino Linotype" w:hAnsi="Palatino Linotype" w:cs="Palatino Linotype"/>
        </w:rPr>
        <w:t xml:space="preserve"> Con fecha</w:t>
      </w:r>
      <w:r w:rsidRPr="00C623E0">
        <w:rPr>
          <w:rFonts w:ascii="Palatino Linotype" w:eastAsia="Palatino Linotype" w:hAnsi="Palatino Linotype" w:cs="Palatino Linotype"/>
          <w:b/>
        </w:rPr>
        <w:t xml:space="preserve"> veint</w:t>
      </w:r>
      <w:r w:rsidR="00236E4E" w:rsidRPr="00C623E0">
        <w:rPr>
          <w:rFonts w:ascii="Palatino Linotype" w:eastAsia="Palatino Linotype" w:hAnsi="Palatino Linotype" w:cs="Palatino Linotype"/>
          <w:b/>
        </w:rPr>
        <w:t>inueve</w:t>
      </w:r>
      <w:r w:rsidRPr="00C623E0">
        <w:rPr>
          <w:rFonts w:ascii="Palatino Linotype" w:eastAsia="Palatino Linotype" w:hAnsi="Palatino Linotype" w:cs="Palatino Linotype"/>
          <w:b/>
        </w:rPr>
        <w:t xml:space="preserve"> de abril de dos mil veintidós, </w:t>
      </w:r>
      <w:r w:rsidRPr="00C623E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presentara su informe justificado.</w:t>
      </w:r>
    </w:p>
    <w:p w14:paraId="3A6A73FB" w14:textId="40D8531E" w:rsidR="001C06B5" w:rsidRPr="00C623E0" w:rsidRDefault="007A61DC" w:rsidP="001C06B5">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C623E0">
        <w:rPr>
          <w:rFonts w:ascii="Palatino Linotype" w:eastAsia="Palatino Linotype" w:hAnsi="Palatino Linotype" w:cs="Palatino Linotype"/>
          <w:b/>
        </w:rPr>
        <w:lastRenderedPageBreak/>
        <w:t xml:space="preserve">6. </w:t>
      </w:r>
      <w:r w:rsidR="001C06B5" w:rsidRPr="00C623E0">
        <w:rPr>
          <w:rFonts w:ascii="Palatino Linotype" w:eastAsia="Palatino Linotype" w:hAnsi="Palatino Linotype" w:cs="Palatino Linotype"/>
          <w:b/>
        </w:rPr>
        <w:t>Manifestaciones</w:t>
      </w:r>
      <w:r w:rsidR="001C06B5" w:rsidRPr="00C623E0">
        <w:rPr>
          <w:rFonts w:ascii="Palatino Linotype" w:eastAsia="Palatino Linotype" w:hAnsi="Palatino Linotype" w:cs="Palatino Linotype"/>
        </w:rPr>
        <w:t>. De las constancias que integran el expediente electrónico en que se actúa se advierte que en fecha</w:t>
      </w:r>
      <w:r w:rsidR="001C06B5" w:rsidRPr="00C623E0">
        <w:rPr>
          <w:rFonts w:ascii="Palatino Linotype" w:eastAsia="Palatino Linotype" w:hAnsi="Palatino Linotype" w:cs="Palatino Linotype"/>
          <w:b/>
        </w:rPr>
        <w:t xml:space="preserve"> doce de mayo de dos mil veintidós, </w:t>
      </w:r>
      <w:r w:rsidR="001C06B5" w:rsidRPr="00C623E0">
        <w:rPr>
          <w:rFonts w:ascii="Palatino Linotype" w:eastAsia="Palatino Linotype" w:hAnsi="Palatino Linotype" w:cs="Palatino Linotype"/>
        </w:rPr>
        <w:t xml:space="preserve">el </w:t>
      </w:r>
      <w:r w:rsidR="001C06B5" w:rsidRPr="00C623E0">
        <w:rPr>
          <w:rFonts w:ascii="Palatino Linotype" w:eastAsia="Palatino Linotype" w:hAnsi="Palatino Linotype" w:cs="Palatino Linotype"/>
          <w:b/>
        </w:rPr>
        <w:t>Sujeto Obligado</w:t>
      </w:r>
      <w:r w:rsidR="001C06B5" w:rsidRPr="00C623E0">
        <w:rPr>
          <w:rFonts w:ascii="Palatino Linotype" w:eastAsia="Palatino Linotype" w:hAnsi="Palatino Linotype" w:cs="Palatino Linotype"/>
        </w:rPr>
        <w:t xml:space="preserve"> remitió su informe justificado, mediante el cual, en lo medular, ratificó la respuesta proporcionada en primera instancia, no obstante, se hizo del conocimiento de la parte </w:t>
      </w:r>
      <w:r w:rsidR="001C06B5" w:rsidRPr="00C623E0">
        <w:rPr>
          <w:rFonts w:ascii="Palatino Linotype" w:eastAsia="Palatino Linotype" w:hAnsi="Palatino Linotype" w:cs="Palatino Linotype"/>
          <w:b/>
          <w:bCs/>
        </w:rPr>
        <w:t>Recurrente</w:t>
      </w:r>
      <w:r w:rsidR="001C06B5" w:rsidRPr="00C623E0">
        <w:rPr>
          <w:rFonts w:ascii="Palatino Linotype" w:eastAsia="Palatino Linotype" w:hAnsi="Palatino Linotype" w:cs="Palatino Linotype"/>
        </w:rPr>
        <w:t>, a efecto de que manifestara lo que a su derecho estimara conveniente</w:t>
      </w:r>
      <w:r w:rsidR="00C3791C" w:rsidRPr="00C623E0">
        <w:rPr>
          <w:rFonts w:ascii="Palatino Linotype" w:eastAsia="Palatino Linotype" w:hAnsi="Palatino Linotype" w:cs="Palatino Linotype"/>
        </w:rPr>
        <w:t>, siendo omisa en ejercer dicha prerrogativa.</w:t>
      </w:r>
    </w:p>
    <w:p w14:paraId="5C9FB896" w14:textId="4CDF1200" w:rsidR="003805A1" w:rsidRPr="00C623E0" w:rsidRDefault="007A61DC" w:rsidP="001C06B5">
      <w:pPr>
        <w:spacing w:before="240" w:after="240" w:line="360" w:lineRule="auto"/>
        <w:jc w:val="both"/>
        <w:rPr>
          <w:rFonts w:ascii="Palatino Linotype" w:eastAsia="Palatino Linotype" w:hAnsi="Palatino Linotype" w:cs="Palatino Linotype"/>
          <w:b/>
        </w:rPr>
      </w:pPr>
      <w:r w:rsidRPr="00C623E0">
        <w:rPr>
          <w:rFonts w:ascii="Palatino Linotype" w:eastAsia="Palatino Linotype" w:hAnsi="Palatino Linotype" w:cs="Palatino Linotype"/>
          <w:b/>
        </w:rPr>
        <w:t xml:space="preserve">7. Cierre de instrucción. </w:t>
      </w:r>
      <w:r w:rsidRPr="00C623E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C3791C" w:rsidRPr="00C623E0">
        <w:rPr>
          <w:rFonts w:ascii="Palatino Linotype" w:eastAsia="Palatino Linotype" w:hAnsi="Palatino Linotype" w:cs="Palatino Linotype"/>
          <w:b/>
        </w:rPr>
        <w:t>diez de junio</w:t>
      </w:r>
      <w:r w:rsidRPr="00C623E0">
        <w:rPr>
          <w:rFonts w:ascii="Palatino Linotype" w:eastAsia="Palatino Linotype" w:hAnsi="Palatino Linotype" w:cs="Palatino Linotype"/>
          <w:b/>
        </w:rPr>
        <w:t xml:space="preserve"> de dos mil veintidós</w:t>
      </w:r>
      <w:r w:rsidRPr="00C623E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679335F" w14:textId="5F46821B" w:rsidR="003805A1" w:rsidRPr="00C623E0" w:rsidRDefault="007A61DC">
      <w:pPr>
        <w:spacing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8. Ampliación del término para resolver</w:t>
      </w:r>
      <w:r w:rsidRPr="00C623E0">
        <w:rPr>
          <w:rFonts w:ascii="Palatino Linotype" w:eastAsia="Palatino Linotype" w:hAnsi="Palatino Linotype" w:cs="Palatino Linotype"/>
        </w:rPr>
        <w:t xml:space="preserve">. En fecha </w:t>
      </w:r>
      <w:r w:rsidR="00C3791C" w:rsidRPr="00C623E0">
        <w:rPr>
          <w:rFonts w:ascii="Palatino Linotype" w:eastAsia="Palatino Linotype" w:hAnsi="Palatino Linotype" w:cs="Palatino Linotype"/>
          <w:b/>
        </w:rPr>
        <w:t xml:space="preserve">catorce de </w:t>
      </w:r>
      <w:r w:rsidRPr="00C623E0">
        <w:rPr>
          <w:rFonts w:ascii="Palatino Linotype" w:eastAsia="Palatino Linotype" w:hAnsi="Palatino Linotype" w:cs="Palatino Linotype"/>
          <w:b/>
        </w:rPr>
        <w:t>junio de dos mil veintidós</w:t>
      </w:r>
      <w:r w:rsidRPr="00C623E0">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22B4BE65"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AF8FE57"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41F453"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646C7C7"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6AFCE7" w14:textId="77777777" w:rsidR="003805A1" w:rsidRPr="00C623E0" w:rsidRDefault="007A61DC">
      <w:pPr>
        <w:spacing w:before="240" w:after="240" w:line="360" w:lineRule="auto"/>
        <w:jc w:val="both"/>
        <w:rPr>
          <w:rFonts w:ascii="Palatino Linotype" w:eastAsia="Palatino Linotype" w:hAnsi="Palatino Linotype" w:cs="Palatino Linotype"/>
          <w:strike/>
        </w:rPr>
      </w:pPr>
      <w:r w:rsidRPr="00C623E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774FB11" w14:textId="77777777" w:rsidR="003805A1" w:rsidRPr="00C623E0" w:rsidRDefault="007A61DC">
      <w:pPr>
        <w:numPr>
          <w:ilvl w:val="0"/>
          <w:numId w:val="1"/>
        </w:num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DD08A26" w14:textId="77777777" w:rsidR="003805A1" w:rsidRPr="00C623E0" w:rsidRDefault="007A61DC">
      <w:pPr>
        <w:numPr>
          <w:ilvl w:val="0"/>
          <w:numId w:val="1"/>
        </w:num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Actividad Procesal del interesado. Acciones u omisiones del interesado.</w:t>
      </w:r>
    </w:p>
    <w:p w14:paraId="5450BEE0" w14:textId="77777777" w:rsidR="003805A1" w:rsidRPr="00C623E0" w:rsidRDefault="007A61DC">
      <w:pPr>
        <w:numPr>
          <w:ilvl w:val="0"/>
          <w:numId w:val="1"/>
        </w:num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38B786DE" w14:textId="77777777" w:rsidR="003805A1" w:rsidRPr="00C623E0" w:rsidRDefault="007A61DC">
      <w:pPr>
        <w:spacing w:before="240" w:after="240" w:line="360" w:lineRule="auto"/>
        <w:ind w:left="567"/>
        <w:jc w:val="both"/>
        <w:rPr>
          <w:rFonts w:ascii="Palatino Linotype" w:eastAsia="Palatino Linotype" w:hAnsi="Palatino Linotype" w:cs="Palatino Linotype"/>
        </w:rPr>
      </w:pPr>
      <w:r w:rsidRPr="00C623E0">
        <w:rPr>
          <w:rFonts w:ascii="Palatino Linotype" w:eastAsia="Palatino Linotype" w:hAnsi="Palatino Linotype" w:cs="Palatino Linotype"/>
        </w:rPr>
        <w:t>d) La afectación generada en la situación jurídica de la persona involucrada en el proceso: Violación a sus derechos humanos.</w:t>
      </w:r>
    </w:p>
    <w:p w14:paraId="73BDD746"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F89675" w14:textId="77777777" w:rsidR="003805A1" w:rsidRPr="00C623E0" w:rsidRDefault="007A61DC">
      <w:pPr>
        <w:spacing w:before="240" w:after="240" w:line="360" w:lineRule="auto"/>
        <w:jc w:val="both"/>
        <w:rPr>
          <w:rFonts w:ascii="Palatino Linotype" w:eastAsia="Palatino Linotype" w:hAnsi="Palatino Linotype" w:cs="Palatino Linotype"/>
          <w:b/>
        </w:rPr>
      </w:pPr>
      <w:r w:rsidRPr="00C623E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623E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623E0">
        <w:rPr>
          <w:rFonts w:ascii="Palatino Linotype" w:eastAsia="Palatino Linotype" w:hAnsi="Palatino Linotype" w:cs="Palatino Linotype"/>
        </w:rPr>
        <w:t>, visible en la Gaceta del Seminario Judicial de la Federación con el registro digital 205635.</w:t>
      </w:r>
    </w:p>
    <w:p w14:paraId="5FB0F46C"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C623E0">
        <w:rPr>
          <w:rFonts w:ascii="Palatino Linotype" w:eastAsia="Palatino Linotype" w:hAnsi="Palatino Linotype" w:cs="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229DBEFC"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8B484AB" w14:textId="77777777" w:rsidR="003805A1" w:rsidRPr="00C623E0" w:rsidRDefault="007A61DC" w:rsidP="00901C6A">
      <w:pPr>
        <w:spacing w:before="120" w:after="120"/>
        <w:ind w:left="851" w:right="902"/>
        <w:jc w:val="both"/>
        <w:rPr>
          <w:rFonts w:ascii="Palatino Linotype" w:eastAsia="Palatino Linotype" w:hAnsi="Palatino Linotype" w:cs="Palatino Linotype"/>
          <w:sz w:val="22"/>
          <w:szCs w:val="22"/>
        </w:rPr>
      </w:pPr>
      <w:r w:rsidRPr="00C623E0">
        <w:rPr>
          <w:rFonts w:ascii="Palatino Linotype" w:eastAsia="Palatino Linotype" w:hAnsi="Palatino Linotype" w:cs="Palatino Linotype"/>
        </w:rPr>
        <w:t xml:space="preserve"> </w:t>
      </w: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b/>
          <w:i/>
          <w:sz w:val="22"/>
          <w:szCs w:val="22"/>
        </w:rPr>
        <w:t>PLAZO RAZONABLE PARA RESOLVER. DIMENSIÓN Y EFECTOS DE ESTE CONCEPTO CUANDO SE ADUCE EXCESIVA CARGA DE TRABAJO</w:t>
      </w: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sz w:val="22"/>
          <w:szCs w:val="22"/>
        </w:rPr>
        <w:t xml:space="preserve"> consultable en el Seminario Judicial de la Federación y su gaceta, con el registro digital 2002351.</w:t>
      </w:r>
    </w:p>
    <w:p w14:paraId="605253A9" w14:textId="77777777" w:rsidR="003805A1" w:rsidRPr="00C623E0" w:rsidRDefault="007A61DC" w:rsidP="00901C6A">
      <w:pPr>
        <w:spacing w:before="120" w:after="120"/>
        <w:ind w:left="851" w:right="902"/>
        <w:jc w:val="both"/>
        <w:rPr>
          <w:rFonts w:ascii="Palatino Linotype" w:eastAsia="Palatino Linotype" w:hAnsi="Palatino Linotype" w:cs="Palatino Linotype"/>
          <w:sz w:val="22"/>
          <w:szCs w:val="22"/>
        </w:rPr>
      </w:pP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sz w:val="22"/>
          <w:szCs w:val="22"/>
        </w:rPr>
        <w:t>, visible en el Seminario Judicial de la Federación y su gaceta, con el registro digital 2002350.</w:t>
      </w:r>
    </w:p>
    <w:p w14:paraId="5160556F"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7BA5165"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1D19A3C" w14:textId="77777777" w:rsidR="003805A1" w:rsidRPr="00C623E0" w:rsidRDefault="007A61DC">
      <w:pPr>
        <w:widowControl w:val="0"/>
        <w:spacing w:before="240" w:after="240" w:line="360" w:lineRule="auto"/>
        <w:jc w:val="center"/>
        <w:rPr>
          <w:rFonts w:ascii="Palatino Linotype" w:eastAsia="Palatino Linotype" w:hAnsi="Palatino Linotype" w:cs="Palatino Linotype"/>
          <w:b/>
        </w:rPr>
      </w:pPr>
      <w:r w:rsidRPr="00C623E0">
        <w:rPr>
          <w:rFonts w:ascii="Palatino Linotype" w:eastAsia="Palatino Linotype" w:hAnsi="Palatino Linotype" w:cs="Palatino Linotype"/>
          <w:b/>
        </w:rPr>
        <w:t>II. C O N S I D E R A N D O S</w:t>
      </w:r>
    </w:p>
    <w:p w14:paraId="2116C418"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Primero. Competencia.</w:t>
      </w:r>
      <w:r w:rsidRPr="00C623E0">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C623E0">
        <w:rPr>
          <w:rFonts w:ascii="Palatino Linotype" w:eastAsia="Palatino Linotype" w:hAnsi="Palatino Linotype" w:cs="Palatino Linotype"/>
        </w:rPr>
        <w:lastRenderedPageBreak/>
        <w:t>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6D8D76" w14:textId="77777777" w:rsidR="003805A1" w:rsidRPr="00C623E0" w:rsidRDefault="007A61DC">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C623E0">
        <w:rPr>
          <w:rFonts w:ascii="Palatino Linotype" w:eastAsia="Palatino Linotype" w:hAnsi="Palatino Linotype" w:cs="Palatino Linotype"/>
          <w:b/>
        </w:rPr>
        <w:t>Segundo. Oportunidad y Procedibilidad del Recurso de Revisión</w:t>
      </w:r>
      <w:r w:rsidRPr="00C623E0">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w:t>
      </w:r>
      <w:bookmarkStart w:id="4" w:name="_GoBack"/>
      <w:bookmarkEnd w:id="4"/>
      <w:r w:rsidRPr="00C623E0">
        <w:rPr>
          <w:rFonts w:ascii="Palatino Linotype" w:eastAsia="Palatino Linotype" w:hAnsi="Palatino Linotype" w:cs="Palatino Linotype"/>
        </w:rPr>
        <w:t>artículos 178 y 180 de la Ley de Transparencia y Acceso a la Información Pública del Estado de México y Municipios.</w:t>
      </w:r>
    </w:p>
    <w:p w14:paraId="62D898F2" w14:textId="4B3232E2"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 xml:space="preserve">remitió la respuesta a la solicitud de información el día </w:t>
      </w:r>
      <w:r w:rsidRPr="00C623E0">
        <w:rPr>
          <w:rFonts w:ascii="Palatino Linotype" w:eastAsia="Palatino Linotype" w:hAnsi="Palatino Linotype" w:cs="Palatino Linotype"/>
          <w:b/>
        </w:rPr>
        <w:t xml:space="preserve">cinco de abril de dos mil veintidós, </w:t>
      </w:r>
      <w:r w:rsidRPr="00C623E0">
        <w:rPr>
          <w:rFonts w:ascii="Palatino Linotype" w:eastAsia="Palatino Linotype" w:hAnsi="Palatino Linotype" w:cs="Palatino Linotype"/>
        </w:rPr>
        <w:t xml:space="preserve">mientras que el recurso de revisión interpuesto por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se tuvo por presentado el día</w:t>
      </w:r>
      <w:r w:rsidR="00901C6A" w:rsidRPr="00C623E0">
        <w:rPr>
          <w:rFonts w:ascii="Palatino Linotype" w:eastAsia="Palatino Linotype" w:hAnsi="Palatino Linotype" w:cs="Palatino Linotype"/>
        </w:rPr>
        <w:t xml:space="preserve"> </w:t>
      </w:r>
      <w:r w:rsidR="00901C6A" w:rsidRPr="00C623E0">
        <w:rPr>
          <w:rFonts w:ascii="Palatino Linotype" w:eastAsia="Palatino Linotype" w:hAnsi="Palatino Linotype" w:cs="Palatino Linotype"/>
          <w:b/>
          <w:bCs/>
        </w:rPr>
        <w:t>veintiséis de abril</w:t>
      </w:r>
      <w:r w:rsidRPr="00C623E0">
        <w:rPr>
          <w:rFonts w:ascii="Palatino Linotype" w:eastAsia="Palatino Linotype" w:hAnsi="Palatino Linotype" w:cs="Palatino Linotype"/>
          <w:b/>
        </w:rPr>
        <w:t xml:space="preserve"> de dos mil veintidós</w:t>
      </w:r>
      <w:r w:rsidRPr="00C623E0">
        <w:rPr>
          <w:rFonts w:ascii="Palatino Linotype" w:eastAsia="Palatino Linotype" w:hAnsi="Palatino Linotype" w:cs="Palatino Linotype"/>
        </w:rPr>
        <w:t xml:space="preserve">, esto es, al </w:t>
      </w:r>
      <w:r w:rsidR="00901C6A" w:rsidRPr="00C623E0">
        <w:rPr>
          <w:rFonts w:ascii="Palatino Linotype" w:eastAsia="Palatino Linotype" w:hAnsi="Palatino Linotype" w:cs="Palatino Linotype"/>
        </w:rPr>
        <w:t xml:space="preserve">décimo </w:t>
      </w:r>
      <w:r w:rsidRPr="00C623E0">
        <w:rPr>
          <w:rFonts w:ascii="Palatino Linotype" w:eastAsia="Palatino Linotype" w:hAnsi="Palatino Linotype" w:cs="Palatino Linotype"/>
        </w:rPr>
        <w:t xml:space="preserve">día </w:t>
      </w:r>
      <w:r w:rsidR="00901C6A" w:rsidRPr="00C623E0">
        <w:rPr>
          <w:rFonts w:ascii="Palatino Linotype" w:eastAsia="Palatino Linotype" w:hAnsi="Palatino Linotype" w:cs="Palatino Linotype"/>
        </w:rPr>
        <w:t xml:space="preserve">hábil </w:t>
      </w:r>
      <w:r w:rsidRPr="00C623E0">
        <w:rPr>
          <w:rFonts w:ascii="Palatino Linotype" w:eastAsia="Palatino Linotype" w:hAnsi="Palatino Linotype" w:cs="Palatino Linotype"/>
        </w:rPr>
        <w:t>posterior en que tuvo conocimiento de la respuesta impugnada.</w:t>
      </w:r>
    </w:p>
    <w:p w14:paraId="2A7054C8" w14:textId="77777777" w:rsidR="003805A1" w:rsidRPr="00C623E0" w:rsidRDefault="007A61DC">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C623E0">
        <w:rPr>
          <w:rFonts w:ascii="Palatino Linotype" w:eastAsia="Palatino Linotype" w:hAnsi="Palatino Linotype" w:cs="Palatino Linotype"/>
        </w:rPr>
        <w:t xml:space="preserve">En este sentido, al considerar la fecha en que se formuló la solicitud y la fecha en que respondió a ésta 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así como la fecha en que se interpuso el recurso </w:t>
      </w:r>
      <w:r w:rsidRPr="00C623E0">
        <w:rPr>
          <w:rFonts w:ascii="Palatino Linotype" w:eastAsia="Palatino Linotype" w:hAnsi="Palatino Linotype" w:cs="Palatino Linotype"/>
        </w:rPr>
        <w:lastRenderedPageBreak/>
        <w:t>de revisión, se concluye que el presente recurso de revisión se encuentra dentro de los márgenes temporales previstos las disposiciones legales referidas.</w:t>
      </w:r>
    </w:p>
    <w:p w14:paraId="32714BEE"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7ACA0B"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A efecto de sustentar lo anterior, es de suma importancia mencionar que si bien la persona solicitante </w:t>
      </w:r>
      <w:r w:rsidRPr="00C623E0">
        <w:rPr>
          <w:rFonts w:ascii="Palatino Linotype" w:eastAsia="Palatino Linotype" w:hAnsi="Palatino Linotype" w:cs="Palatino Linotype"/>
          <w:b/>
        </w:rPr>
        <w:t xml:space="preserve">no proporcionó un nombre </w:t>
      </w:r>
      <w:r w:rsidRPr="00C623E0">
        <w:rPr>
          <w:rFonts w:ascii="Palatino Linotype" w:eastAsia="Palatino Linotype" w:hAnsi="Palatino Linotype" w:cs="Palatino Linotype"/>
        </w:rPr>
        <w:t>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4A5E701" w14:textId="77777777" w:rsidR="003805A1" w:rsidRPr="00C623E0" w:rsidRDefault="007A61DC">
      <w:pPr>
        <w:spacing w:before="120" w:after="120"/>
        <w:ind w:left="851" w:right="902"/>
        <w:jc w:val="both"/>
        <w:rPr>
          <w:rFonts w:ascii="Palatino Linotype" w:eastAsia="Palatino Linotype" w:hAnsi="Palatino Linotype" w:cs="Palatino Linotype"/>
          <w:sz w:val="22"/>
          <w:szCs w:val="22"/>
        </w:rPr>
      </w:pP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b/>
          <w:i/>
          <w:sz w:val="22"/>
          <w:szCs w:val="22"/>
        </w:rPr>
        <w:t>Las solicitudes anónimas</w:t>
      </w:r>
      <w:r w:rsidRPr="00C623E0">
        <w:rPr>
          <w:rFonts w:ascii="Palatino Linotype" w:eastAsia="Palatino Linotype" w:hAnsi="Palatino Linotype" w:cs="Palatino Linotype"/>
          <w:i/>
          <w:sz w:val="22"/>
          <w:szCs w:val="22"/>
        </w:rPr>
        <w:t xml:space="preserve">, con nombre incompleto o seudónimo </w:t>
      </w:r>
      <w:r w:rsidRPr="00C623E0">
        <w:rPr>
          <w:rFonts w:ascii="Palatino Linotype" w:eastAsia="Palatino Linotype" w:hAnsi="Palatino Linotype" w:cs="Palatino Linotype"/>
          <w:b/>
          <w:i/>
          <w:sz w:val="22"/>
          <w:szCs w:val="22"/>
        </w:rPr>
        <w:t>serán procedentes para su trámite por parte del sujeto obligado ante quien se presente</w:t>
      </w:r>
      <w:r w:rsidRPr="00C623E0">
        <w:rPr>
          <w:rFonts w:ascii="Palatino Linotype" w:eastAsia="Palatino Linotype" w:hAnsi="Palatino Linotype" w:cs="Palatino Linotype"/>
          <w:i/>
          <w:sz w:val="22"/>
          <w:szCs w:val="22"/>
        </w:rPr>
        <w:t>. No podrá requerirse información adicional con motivo del nombre proporcionado por el solicitante."</w:t>
      </w:r>
    </w:p>
    <w:p w14:paraId="4B9BF77D"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el mismo tenor, el propio artículo 180 de la Ley de Transparencia local citado, en su último párrafo establece que cuando el recurso se interponga de manera electrónica, no será indispensable que contenga determinados requisitos, entre ellos, el nombre de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por lo que, en el presente caso, al haber sido presentado el recurso de revisión vía SAIMEX, dicho requisito resulta innecesario.</w:t>
      </w:r>
    </w:p>
    <w:p w14:paraId="3972665B" w14:textId="5FCE28B3"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en sus motivos de inconformidad, de acuerdo al artículo 179, fracción I</w:t>
      </w:r>
      <w:r w:rsidR="00BB3B6C" w:rsidRPr="00C623E0">
        <w:rPr>
          <w:rFonts w:ascii="Palatino Linotype" w:eastAsia="Palatino Linotype" w:hAnsi="Palatino Linotype" w:cs="Palatino Linotype"/>
        </w:rPr>
        <w:t>I</w:t>
      </w:r>
      <w:r w:rsidRPr="00C623E0">
        <w:rPr>
          <w:rFonts w:ascii="Palatino Linotype" w:eastAsia="Palatino Linotype" w:hAnsi="Palatino Linotype" w:cs="Palatino Linotype"/>
        </w:rPr>
        <w:t xml:space="preserve"> del ordenamiento legal citado, que a la letra dice: </w:t>
      </w:r>
    </w:p>
    <w:p w14:paraId="74CD72C5" w14:textId="77777777" w:rsidR="003805A1" w:rsidRPr="00C623E0" w:rsidRDefault="007A61DC">
      <w:pPr>
        <w:tabs>
          <w:tab w:val="left" w:pos="7936"/>
        </w:tabs>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b/>
          <w:i/>
          <w:sz w:val="22"/>
          <w:szCs w:val="22"/>
        </w:rPr>
        <w:t>Artículo 179.</w:t>
      </w:r>
      <w:r w:rsidRPr="00C623E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8B8D4E0" w14:textId="77777777" w:rsidR="003805A1" w:rsidRPr="00C623E0" w:rsidRDefault="007A61DC">
      <w:pPr>
        <w:tabs>
          <w:tab w:val="left" w:pos="7936"/>
        </w:tabs>
        <w:spacing w:before="120" w:after="120"/>
        <w:ind w:left="1134"/>
        <w:jc w:val="both"/>
        <w:rPr>
          <w:rFonts w:ascii="Palatino Linotype" w:eastAsia="Palatino Linotype" w:hAnsi="Palatino Linotype" w:cs="Palatino Linotype"/>
          <w:i/>
          <w:strike/>
          <w:sz w:val="22"/>
          <w:szCs w:val="22"/>
        </w:rPr>
      </w:pPr>
      <w:r w:rsidRPr="00C623E0">
        <w:rPr>
          <w:rFonts w:ascii="Palatino Linotype" w:eastAsia="Palatino Linotype" w:hAnsi="Palatino Linotype" w:cs="Palatino Linotype"/>
          <w:i/>
          <w:sz w:val="22"/>
          <w:szCs w:val="22"/>
        </w:rPr>
        <w:t>...</w:t>
      </w:r>
    </w:p>
    <w:p w14:paraId="7EBD871E" w14:textId="307987BE" w:rsidR="00160312" w:rsidRPr="00C623E0" w:rsidRDefault="00BB3B6C" w:rsidP="00BB3B6C">
      <w:pPr>
        <w:tabs>
          <w:tab w:val="left" w:pos="7936"/>
        </w:tabs>
        <w:spacing w:before="120" w:after="120"/>
        <w:ind w:left="1134" w:right="900"/>
        <w:jc w:val="both"/>
        <w:rPr>
          <w:rFonts w:ascii="Palatino Linotype" w:eastAsia="Palatino Linotype" w:hAnsi="Palatino Linotype" w:cs="Palatino Linotype"/>
          <w:b/>
          <w:i/>
          <w:strike/>
          <w:sz w:val="22"/>
          <w:szCs w:val="22"/>
        </w:rPr>
      </w:pPr>
      <w:r w:rsidRPr="00C623E0">
        <w:rPr>
          <w:rFonts w:ascii="Palatino Linotype" w:hAnsi="Palatino Linotype"/>
          <w:b/>
          <w:i/>
          <w:sz w:val="22"/>
          <w:szCs w:val="22"/>
        </w:rPr>
        <w:t>II</w:t>
      </w:r>
      <w:r w:rsidRPr="00C623E0">
        <w:rPr>
          <w:rFonts w:ascii="Palatino Linotype" w:hAnsi="Palatino Linotype"/>
          <w:i/>
          <w:sz w:val="22"/>
          <w:szCs w:val="22"/>
        </w:rPr>
        <w:t>. La clasificación de la información;</w:t>
      </w:r>
      <w:r w:rsidRPr="00C623E0">
        <w:rPr>
          <w:rFonts w:ascii="Palatino Linotype" w:eastAsia="Palatino Linotype" w:hAnsi="Palatino Linotype" w:cs="Palatino Linotype"/>
          <w:b/>
          <w:i/>
          <w:strike/>
          <w:sz w:val="22"/>
          <w:szCs w:val="22"/>
        </w:rPr>
        <w:t xml:space="preserve"> </w:t>
      </w:r>
    </w:p>
    <w:p w14:paraId="5049C0CD"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Tercero. Materia de la revisión. </w:t>
      </w:r>
      <w:r w:rsidRPr="00C623E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C623E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C623E0">
        <w:rPr>
          <w:rFonts w:ascii="Palatino Linotype" w:eastAsia="Palatino Linotype" w:hAnsi="Palatino Linotype" w:cs="Palatino Linotype"/>
        </w:rPr>
        <w:t xml:space="preserve">de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o en su defecto, en caso de ser procedente, ordenar la entrega de información oportuna.</w:t>
      </w:r>
    </w:p>
    <w:p w14:paraId="387659A8" w14:textId="5FD6E5D6" w:rsidR="003805A1" w:rsidRPr="00C623E0" w:rsidRDefault="007A61DC">
      <w:pPr>
        <w:spacing w:before="240" w:after="240" w:line="360" w:lineRule="auto"/>
        <w:ind w:right="51"/>
        <w:jc w:val="both"/>
        <w:rPr>
          <w:rFonts w:ascii="Palatino Linotype" w:hAnsi="Palatino Linotype"/>
        </w:rPr>
      </w:pPr>
      <w:bookmarkStart w:id="6" w:name="_heading=h.2et92p0" w:colFirst="0" w:colLast="0"/>
      <w:bookmarkEnd w:id="6"/>
      <w:r w:rsidRPr="00C623E0">
        <w:rPr>
          <w:rFonts w:ascii="Palatino Linotype" w:eastAsia="Palatino Linotype" w:hAnsi="Palatino Linotype" w:cs="Palatino Linotype"/>
          <w:b/>
        </w:rPr>
        <w:t xml:space="preserve">Cuarto. Estudio del asunto. </w:t>
      </w:r>
      <w:r w:rsidRPr="00C623E0">
        <w:rPr>
          <w:rFonts w:ascii="Palatino Linotype" w:eastAsia="Palatino Linotype" w:hAnsi="Palatino Linotype" w:cs="Palatino Linotype"/>
        </w:rPr>
        <w:t xml:space="preserve">Del análisis de la solicitud de información, motivo del recurso de revisión que ahora se resuelve se advierte que la parte </w:t>
      </w:r>
      <w:r w:rsidRPr="00C623E0">
        <w:rPr>
          <w:rFonts w:ascii="Palatino Linotype" w:eastAsia="Palatino Linotype" w:hAnsi="Palatino Linotype" w:cs="Palatino Linotype"/>
          <w:b/>
        </w:rPr>
        <w:t>Recurrente</w:t>
      </w:r>
      <w:r w:rsidRPr="00C623E0">
        <w:rPr>
          <w:rFonts w:ascii="Palatino Linotype" w:eastAsia="Palatino Linotype" w:hAnsi="Palatino Linotype" w:cs="Palatino Linotype"/>
        </w:rPr>
        <w:t xml:space="preserve"> requirió al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le proporcione, información consistente en lo siguiente</w:t>
      </w:r>
      <w:r w:rsidRPr="00C623E0">
        <w:rPr>
          <w:rFonts w:ascii="Palatino Linotype" w:hAnsi="Palatino Linotype"/>
        </w:rPr>
        <w:t>:</w:t>
      </w:r>
    </w:p>
    <w:p w14:paraId="3AF3BA7E" w14:textId="25603E19" w:rsidR="00411CF0" w:rsidRPr="00C623E0" w:rsidRDefault="00411CF0" w:rsidP="000431A8">
      <w:pPr>
        <w:pStyle w:val="Prrafodelista"/>
        <w:numPr>
          <w:ilvl w:val="0"/>
          <w:numId w:val="3"/>
        </w:numPr>
        <w:spacing w:before="120" w:after="120" w:line="360" w:lineRule="auto"/>
        <w:ind w:left="425" w:right="51" w:firstLine="0"/>
        <w:contextualSpacing w:val="0"/>
        <w:jc w:val="both"/>
        <w:rPr>
          <w:rFonts w:ascii="Palatino Linotype" w:hAnsi="Palatino Linotype"/>
        </w:rPr>
      </w:pPr>
      <w:r w:rsidRPr="00C623E0">
        <w:rPr>
          <w:rFonts w:ascii="Palatino Linotype" w:hAnsi="Palatino Linotype"/>
        </w:rPr>
        <w:t>El acta de entrega recepción que entregó Juan Rodolfo Sánchez Gómez</w:t>
      </w:r>
    </w:p>
    <w:p w14:paraId="334646A5" w14:textId="783B02AC" w:rsidR="00411CF0" w:rsidRPr="00C623E0" w:rsidRDefault="00411CF0" w:rsidP="000431A8">
      <w:pPr>
        <w:pStyle w:val="Prrafodelista"/>
        <w:numPr>
          <w:ilvl w:val="0"/>
          <w:numId w:val="3"/>
        </w:numPr>
        <w:spacing w:before="120" w:after="120" w:line="360" w:lineRule="auto"/>
        <w:ind w:left="425" w:right="51" w:firstLine="0"/>
        <w:contextualSpacing w:val="0"/>
        <w:jc w:val="both"/>
        <w:rPr>
          <w:rFonts w:ascii="Palatino Linotype" w:hAnsi="Palatino Linotype"/>
        </w:rPr>
      </w:pPr>
      <w:r w:rsidRPr="00C623E0">
        <w:rPr>
          <w:rFonts w:ascii="Palatino Linotype" w:hAnsi="Palatino Linotype"/>
        </w:rPr>
        <w:t>La documentación e información que integra el expediente de entrega recepción.</w:t>
      </w:r>
    </w:p>
    <w:p w14:paraId="2A10FDBC" w14:textId="6BE8ADF6" w:rsidR="00411CF0" w:rsidRPr="00C623E0" w:rsidRDefault="00411CF0" w:rsidP="000431A8">
      <w:pPr>
        <w:pStyle w:val="Prrafodelista"/>
        <w:numPr>
          <w:ilvl w:val="0"/>
          <w:numId w:val="3"/>
        </w:numPr>
        <w:spacing w:before="120" w:after="120" w:line="360" w:lineRule="auto"/>
        <w:ind w:left="425" w:right="51" w:firstLine="0"/>
        <w:contextualSpacing w:val="0"/>
        <w:jc w:val="both"/>
        <w:rPr>
          <w:rFonts w:ascii="Palatino Linotype" w:hAnsi="Palatino Linotype"/>
        </w:rPr>
      </w:pPr>
      <w:r w:rsidRPr="00C623E0">
        <w:rPr>
          <w:rFonts w:ascii="Palatino Linotype" w:hAnsi="Palatino Linotype"/>
        </w:rPr>
        <w:t>Reportes ejecutivos institucionales generados por las Secretarías</w:t>
      </w:r>
      <w:r w:rsidR="00A130F2" w:rsidRPr="00C623E0">
        <w:rPr>
          <w:rFonts w:ascii="Palatino Linotype" w:hAnsi="Palatino Linotype"/>
        </w:rPr>
        <w:t>.</w:t>
      </w:r>
    </w:p>
    <w:p w14:paraId="7100C515" w14:textId="13799C76" w:rsidR="000431A8" w:rsidRPr="00C623E0" w:rsidRDefault="00411CF0" w:rsidP="000431A8">
      <w:pPr>
        <w:pStyle w:val="Prrafodelista"/>
        <w:numPr>
          <w:ilvl w:val="0"/>
          <w:numId w:val="3"/>
        </w:numPr>
        <w:spacing w:before="240" w:after="240" w:line="360" w:lineRule="auto"/>
        <w:ind w:left="425" w:right="51" w:firstLine="0"/>
        <w:contextualSpacing w:val="0"/>
        <w:jc w:val="both"/>
        <w:rPr>
          <w:rFonts w:ascii="Palatino Linotype" w:eastAsia="Palatino Linotype" w:hAnsi="Palatino Linotype" w:cs="Palatino Linotype"/>
        </w:rPr>
      </w:pPr>
      <w:r w:rsidRPr="00C623E0">
        <w:rPr>
          <w:rFonts w:ascii="Palatino Linotype" w:hAnsi="Palatino Linotype"/>
        </w:rPr>
        <w:t>Anexos</w:t>
      </w:r>
      <w:r w:rsidR="000431A8" w:rsidRPr="00C623E0">
        <w:rPr>
          <w:rFonts w:ascii="Palatino Linotype" w:hAnsi="Palatino Linotype"/>
        </w:rPr>
        <w:t>.</w:t>
      </w:r>
    </w:p>
    <w:p w14:paraId="0F330C7C" w14:textId="77777777" w:rsidR="000431A8" w:rsidRPr="00C623E0" w:rsidRDefault="000431A8" w:rsidP="000431A8">
      <w:pPr>
        <w:spacing w:before="240" w:after="240" w:line="360" w:lineRule="auto"/>
        <w:jc w:val="both"/>
        <w:rPr>
          <w:rFonts w:ascii="Palatino Linotype" w:hAnsi="Palatino Linotype"/>
          <w:iCs/>
        </w:rPr>
      </w:pPr>
      <w:r w:rsidRPr="00C623E0">
        <w:rPr>
          <w:rFonts w:ascii="Palatino Linotype" w:hAnsi="Palatino Linotype" w:cs="Arial"/>
        </w:rPr>
        <w:lastRenderedPageBreak/>
        <w:t xml:space="preserve">En ejercicio de la </w:t>
      </w:r>
      <w:r w:rsidRPr="00C623E0">
        <w:rPr>
          <w:rFonts w:ascii="Palatino Linotype" w:hAnsi="Palatino Linotype"/>
        </w:rPr>
        <w:t xml:space="preserve">facultad conferida en el artículo 159, primer párrafo de la </w:t>
      </w:r>
      <w:r w:rsidRPr="00C623E0">
        <w:rPr>
          <w:rFonts w:ascii="Palatino Linotype" w:hAnsi="Palatino Linotype"/>
          <w:iCs/>
        </w:rPr>
        <w:t>Ley de Transparencia y Acceso a la Información Pública del Estado de México</w:t>
      </w:r>
      <w:r w:rsidRPr="00C623E0">
        <w:rPr>
          <w:rFonts w:ascii="Palatino Linotype" w:hAnsi="Palatino Linotype"/>
          <w:i/>
        </w:rPr>
        <w:t xml:space="preserve">, </w:t>
      </w:r>
      <w:r w:rsidRPr="00C623E0">
        <w:rPr>
          <w:rFonts w:ascii="Palatino Linotype" w:hAnsi="Palatino Linotype"/>
          <w:iCs/>
        </w:rPr>
        <w:t>mismo que se inserta a continuación para mayor referencia:</w:t>
      </w:r>
    </w:p>
    <w:p w14:paraId="3472A86B" w14:textId="77777777" w:rsidR="000431A8" w:rsidRPr="00C623E0" w:rsidRDefault="000431A8" w:rsidP="000431A8">
      <w:pPr>
        <w:spacing w:before="120" w:after="120"/>
        <w:ind w:left="851" w:right="902"/>
        <w:jc w:val="both"/>
        <w:rPr>
          <w:rFonts w:ascii="Palatino Linotype" w:hAnsi="Palatino Linotype"/>
          <w:i/>
          <w:sz w:val="22"/>
          <w:szCs w:val="22"/>
        </w:rPr>
      </w:pPr>
      <w:r w:rsidRPr="00C623E0">
        <w:rPr>
          <w:rFonts w:ascii="Palatino Linotype" w:hAnsi="Palatino Linotype"/>
          <w:i/>
          <w:sz w:val="22"/>
          <w:szCs w:val="22"/>
        </w:rPr>
        <w:t>“</w:t>
      </w:r>
      <w:r w:rsidRPr="00C623E0">
        <w:rPr>
          <w:rFonts w:ascii="Palatino Linotype" w:hAnsi="Palatino Linotype"/>
          <w:b/>
          <w:bCs/>
          <w:i/>
          <w:sz w:val="22"/>
          <w:szCs w:val="22"/>
        </w:rPr>
        <w:t>Artículo 159.</w:t>
      </w:r>
      <w:r w:rsidRPr="00C623E0">
        <w:rPr>
          <w:rFonts w:ascii="Palatino Linotype" w:hAnsi="Palatino Linotype"/>
          <w:i/>
          <w:sz w:val="22"/>
          <w:szCs w:val="22"/>
        </w:rPr>
        <w:t xml:space="preserve"> </w:t>
      </w:r>
      <w:r w:rsidRPr="00C623E0">
        <w:rPr>
          <w:rFonts w:ascii="Palatino Linotype" w:hAnsi="Palatino Linotype"/>
          <w:b/>
          <w:bCs/>
          <w:i/>
          <w:sz w:val="22"/>
          <w:szCs w:val="22"/>
        </w:rPr>
        <w:t>Cuando los detalles proporcionados para localizar los documentos resulten insuficientes, incompletos</w:t>
      </w:r>
      <w:r w:rsidRPr="00C623E0">
        <w:rPr>
          <w:rFonts w:ascii="Palatino Linotype" w:hAnsi="Palatino Linotype"/>
          <w:i/>
          <w:sz w:val="22"/>
          <w:szCs w:val="22"/>
        </w:rPr>
        <w:t xml:space="preserve"> o sean erróneos, </w:t>
      </w:r>
      <w:r w:rsidRPr="00C623E0">
        <w:rPr>
          <w:rFonts w:ascii="Palatino Linotype" w:hAnsi="Palatino Linotype"/>
          <w:b/>
          <w:bCs/>
          <w:i/>
          <w:sz w:val="22"/>
          <w:szCs w:val="22"/>
        </w:rPr>
        <w:t>la Unidad de Transparencia podrá requerir al solicitante</w:t>
      </w:r>
      <w:r w:rsidRPr="00C623E0">
        <w:rPr>
          <w:rFonts w:ascii="Palatino Linotype" w:hAnsi="Palatino Linotype"/>
          <w:i/>
          <w:sz w:val="22"/>
          <w:szCs w:val="22"/>
        </w:rPr>
        <w:t>, por una sola vez y dentro de un plazo que no podrá exceder de cinco días hábiles contados a partir de la presentación de la solicitud</w:t>
      </w:r>
      <w:r w:rsidRPr="00C623E0">
        <w:rPr>
          <w:rFonts w:ascii="Palatino Linotype" w:hAnsi="Palatino Linotype"/>
          <w:b/>
          <w:bCs/>
          <w:i/>
          <w:sz w:val="22"/>
          <w:szCs w:val="22"/>
        </w:rPr>
        <w:t>, para que</w:t>
      </w:r>
      <w:r w:rsidRPr="00C623E0">
        <w:rPr>
          <w:rFonts w:ascii="Palatino Linotype" w:hAnsi="Palatino Linotype"/>
          <w:i/>
          <w:sz w:val="22"/>
          <w:szCs w:val="22"/>
        </w:rPr>
        <w:t xml:space="preserve">, en un término de hasta diez días hábiles, </w:t>
      </w:r>
      <w:r w:rsidRPr="00C623E0">
        <w:rPr>
          <w:rFonts w:ascii="Palatino Linotype" w:hAnsi="Palatino Linotype"/>
          <w:b/>
          <w:bCs/>
          <w:i/>
          <w:sz w:val="22"/>
          <w:szCs w:val="22"/>
        </w:rPr>
        <w:t>indique otros elementos que complementen, corrijan o amplíen los datos proporcionados o bien, precise uno o varios requerimientos de información</w:t>
      </w:r>
      <w:r w:rsidRPr="00C623E0">
        <w:rPr>
          <w:rFonts w:ascii="Palatino Linotype" w:hAnsi="Palatino Linotype"/>
          <w:i/>
          <w:sz w:val="22"/>
          <w:szCs w:val="22"/>
        </w:rPr>
        <w:t>.”</w:t>
      </w:r>
    </w:p>
    <w:p w14:paraId="4E0E4D33" w14:textId="0337F5F5" w:rsidR="000431A8" w:rsidRPr="00C623E0" w:rsidRDefault="000431A8" w:rsidP="000431A8">
      <w:pPr>
        <w:spacing w:before="240" w:after="240" w:line="360" w:lineRule="auto"/>
        <w:jc w:val="both"/>
        <w:rPr>
          <w:rFonts w:ascii="Palatino Linotype" w:hAnsi="Palatino Linotype"/>
        </w:rPr>
      </w:pPr>
      <w:r w:rsidRPr="00C623E0">
        <w:rPr>
          <w:rFonts w:ascii="Palatino Linotype" w:hAnsi="Palatino Linotype"/>
        </w:rPr>
        <w:t>El</w:t>
      </w:r>
      <w:r w:rsidRPr="00C623E0">
        <w:rPr>
          <w:rFonts w:ascii="Palatino Linotype" w:hAnsi="Palatino Linotype"/>
          <w:b/>
          <w:bCs/>
        </w:rPr>
        <w:t xml:space="preserve"> Sujeto Obligado,</w:t>
      </w:r>
      <w:r w:rsidRPr="00C623E0">
        <w:rPr>
          <w:rFonts w:ascii="Palatino Linotype" w:hAnsi="Palatino Linotype"/>
        </w:rPr>
        <w:t xml:space="preserve"> a través de la Titular de la Unidad de Transparencia, requirió a la persona solicitante, al quinto día hábil posterior a la presentación de la solicitud de información, a efecto de que, dentro de los diez días hábiles siguientes, aclarara y/o especificara a que se refería con secretarías, con la finalidad de que </w:t>
      </w:r>
      <w:r w:rsidRPr="00C623E0">
        <w:rPr>
          <w:rFonts w:ascii="Palatino Linotype" w:eastAsia="Palatino Linotype" w:hAnsi="Palatino Linotype" w:cs="Palatino Linotype"/>
          <w:bCs/>
        </w:rPr>
        <w:t>aptitud de responder de forma veraz y eficiente la solicitud de información.</w:t>
      </w:r>
    </w:p>
    <w:p w14:paraId="47389279" w14:textId="058768D8" w:rsidR="00B35706" w:rsidRPr="00C623E0" w:rsidRDefault="00B35706" w:rsidP="000431A8">
      <w:pPr>
        <w:spacing w:before="240" w:after="240" w:line="360" w:lineRule="auto"/>
        <w:ind w:right="51"/>
        <w:jc w:val="both"/>
        <w:rPr>
          <w:rFonts w:ascii="Palatino Linotype" w:hAnsi="Palatino Linotype"/>
        </w:rPr>
      </w:pPr>
      <w:r w:rsidRPr="00C623E0">
        <w:rPr>
          <w:rFonts w:ascii="Palatino Linotype" w:hAnsi="Palatino Linotype"/>
        </w:rPr>
        <w:t>Como se señaló en los antecedentes del presente recurso, la persona solicitante no desahogó el requerimiento de información adicional</w:t>
      </w:r>
      <w:r w:rsidR="00C07FE6" w:rsidRPr="00C623E0">
        <w:rPr>
          <w:rFonts w:ascii="Palatino Linotype" w:hAnsi="Palatino Linotype"/>
        </w:rPr>
        <w:t>.</w:t>
      </w:r>
    </w:p>
    <w:p w14:paraId="05B0B9AC" w14:textId="6B44F7DB" w:rsidR="000431A8" w:rsidRPr="00C623E0" w:rsidRDefault="007A61DC" w:rsidP="000431A8">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respuesta, el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 xml:space="preserve">a través de la Unidad de Transparencia, hizo del conocimiento de la persona solicitante </w:t>
      </w:r>
      <w:r w:rsidR="000431A8" w:rsidRPr="00C623E0">
        <w:rPr>
          <w:rFonts w:ascii="Palatino Linotype" w:eastAsia="Palatino Linotype" w:hAnsi="Palatino Linotype" w:cs="Palatino Linotype"/>
        </w:rPr>
        <w:t>el</w:t>
      </w:r>
      <w:r w:rsidR="00C07FE6" w:rsidRPr="00C623E0">
        <w:rPr>
          <w:rFonts w:ascii="Palatino Linotype" w:eastAsia="Palatino Linotype" w:hAnsi="Palatino Linotype" w:cs="Palatino Linotype"/>
        </w:rPr>
        <w:t xml:space="preserve"> pronunciamiento vertido por el Contralor Municipal, quien, después de realizar una búsqueda exhaustiva y minuciosa para dar atención a la solicitud, señaló que la información había sido reservada por un periodo de tres años, de conformidad con la Centésima Sexagésima Quinta Sesión Extraordinaria 2022, del Comité de Transparencia, manifestando que el expediente se encontraba en proceso de investigación y sustanciación, a fin de generar la resolución y se deslinden las responsabilidades a que haya lugar.</w:t>
      </w:r>
    </w:p>
    <w:p w14:paraId="7BD4DBEF" w14:textId="77777777" w:rsidR="00D61963" w:rsidRPr="00C623E0" w:rsidRDefault="007A61DC">
      <w:pPr>
        <w:spacing w:before="240" w:after="240" w:line="360" w:lineRule="auto"/>
        <w:jc w:val="both"/>
        <w:rPr>
          <w:rFonts w:ascii="Palatino Linotype" w:hAnsi="Palatino Linotype"/>
        </w:rPr>
      </w:pPr>
      <w:r w:rsidRPr="00C623E0">
        <w:rPr>
          <w:rFonts w:ascii="Palatino Linotype" w:eastAsia="Palatino Linotype" w:hAnsi="Palatino Linotype" w:cs="Palatino Linotype"/>
        </w:rPr>
        <w:lastRenderedPageBreak/>
        <w:t xml:space="preserve">Conocida la respuesta por la persona solicitante, al no estar conforme con los términos de la misma, interpuso el recurso de revisión que nos ocupa, mediante el cual </w:t>
      </w:r>
      <w:r w:rsidR="004214ED" w:rsidRPr="00C623E0">
        <w:rPr>
          <w:rFonts w:ascii="Palatino Linotype" w:eastAsia="Palatino Linotype" w:hAnsi="Palatino Linotype" w:cs="Palatino Linotype"/>
        </w:rPr>
        <w:t xml:space="preserve">se inconformó por la clasificación de la información presentada por el Sujeto Obligado, señalando que se </w:t>
      </w:r>
      <w:r w:rsidR="004214ED" w:rsidRPr="00C623E0">
        <w:rPr>
          <w:rFonts w:ascii="Palatino Linotype" w:hAnsi="Palatino Linotype"/>
        </w:rPr>
        <w:t xml:space="preserve">reservó el expediente de entrega recepción del exalcalde por tres años por encontrarse en investigación; sin embargo, a su consideración, se trata de un expediente que es de carácter público, </w:t>
      </w:r>
      <w:r w:rsidR="00D61963" w:rsidRPr="00C623E0">
        <w:rPr>
          <w:rFonts w:ascii="Palatino Linotype" w:hAnsi="Palatino Linotype"/>
        </w:rPr>
        <w:t xml:space="preserve">toda vez que no se </w:t>
      </w:r>
      <w:r w:rsidR="004214ED" w:rsidRPr="00C623E0">
        <w:rPr>
          <w:rFonts w:ascii="Palatino Linotype" w:hAnsi="Palatino Linotype"/>
        </w:rPr>
        <w:t xml:space="preserve">está solicitando información relacionada a la investigación ni sobre las observaciones específicas en dichos documentos. </w:t>
      </w:r>
    </w:p>
    <w:p w14:paraId="3659B4B4" w14:textId="51C0B35C" w:rsidR="00D61963" w:rsidRPr="00C623E0" w:rsidRDefault="00D61963">
      <w:pPr>
        <w:spacing w:before="240" w:after="240" w:line="360" w:lineRule="auto"/>
        <w:jc w:val="both"/>
      </w:pPr>
      <w:r w:rsidRPr="00C623E0">
        <w:rPr>
          <w:rFonts w:ascii="Palatino Linotype" w:hAnsi="Palatino Linotype"/>
        </w:rPr>
        <w:t xml:space="preserve">Asimismo, </w:t>
      </w:r>
      <w:r w:rsidRPr="00C623E0">
        <w:rPr>
          <w:rFonts w:ascii="Palatino Linotype" w:eastAsia="Palatino Linotype" w:hAnsi="Palatino Linotype" w:cs="Palatino Linotype"/>
        </w:rPr>
        <w:t xml:space="preserve">no escapa de la óptica que la parte </w:t>
      </w:r>
      <w:r w:rsidRPr="00C623E0">
        <w:rPr>
          <w:rFonts w:ascii="Palatino Linotype" w:eastAsia="Palatino Linotype" w:hAnsi="Palatino Linotype" w:cs="Palatino Linotype"/>
          <w:b/>
          <w:bCs/>
        </w:rPr>
        <w:t>Recurrente</w:t>
      </w:r>
      <w:r w:rsidRPr="00C623E0">
        <w:rPr>
          <w:rFonts w:ascii="Palatino Linotype" w:eastAsia="Palatino Linotype" w:hAnsi="Palatino Linotype" w:cs="Palatino Linotype"/>
        </w:rPr>
        <w:t xml:space="preserve"> </w:t>
      </w:r>
      <w:r w:rsidRPr="00C623E0">
        <w:rPr>
          <w:rFonts w:ascii="Palatino Linotype" w:hAnsi="Palatino Linotype"/>
        </w:rPr>
        <w:t xml:space="preserve">realizó diversos planteamientos como parte de su recurso de revisión, tales como </w:t>
      </w:r>
      <w:r w:rsidRPr="00C623E0">
        <w:rPr>
          <w:rFonts w:ascii="Palatino Linotype" w:hAnsi="Palatino Linotype"/>
          <w:i/>
          <w:iCs/>
        </w:rPr>
        <w:t>“Por otro lado, queda evidenciado que se trata de documentación que está relacionado con actos de corrupción, por lo que, siguiendo el artículo 115 de la ley general de Transparencia y Acceso a la Información Pública Federal, le recuerdo que: “No podrá invocarse el carácter de reservado cuando: II. Se trate de información relacionada con actos de corrupción de acuerdo con las leyes aplicables”</w:t>
      </w:r>
      <w:r w:rsidR="008B1C89" w:rsidRPr="00C623E0">
        <w:rPr>
          <w:rFonts w:ascii="Palatino Linotype" w:hAnsi="Palatino Linotype"/>
          <w:i/>
          <w:iCs/>
        </w:rPr>
        <w:t xml:space="preserve"> (sic) </w:t>
      </w:r>
      <w:r w:rsidRPr="00C623E0">
        <w:rPr>
          <w:rFonts w:ascii="Palatino Linotype" w:hAnsi="Palatino Linotype" w:cs="Arial"/>
          <w:bCs/>
        </w:rPr>
        <w:t xml:space="preserve">ante lo cual se puntualiza 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w:t>
      </w:r>
      <w:r w:rsidRPr="00C623E0">
        <w:rPr>
          <w:rFonts w:ascii="Palatino Linotype" w:eastAsia="Arial Unicode MS" w:hAnsi="Palatino Linotype" w:cs="Arial"/>
        </w:rPr>
        <w:t xml:space="preserve">toda vez que, no constituyen el ejercicio de un derecho de acceso a la información pública, sino más bien el ejercicio de </w:t>
      </w:r>
      <w:r w:rsidRPr="00C623E0">
        <w:rPr>
          <w:rFonts w:ascii="Palatino Linotype" w:hAnsi="Palatino Linotype" w:cs="Arial"/>
          <w:szCs w:val="20"/>
        </w:rPr>
        <w:t xml:space="preserve">un derecho de expresión, </w:t>
      </w:r>
      <w:r w:rsidRPr="00C623E0">
        <w:rPr>
          <w:rFonts w:ascii="Palatino Linotype" w:hAnsi="Palatino Linotype" w:cs="Arial"/>
        </w:rPr>
        <w:t>cuya finalidad consiste en dar mayor énfasis a sus motivos de inconformidad. En este sentido, se trata de manifestaciones sobre las cuales este Instituto no está facultado para pronunciarse.</w:t>
      </w:r>
    </w:p>
    <w:p w14:paraId="621B1BA3" w14:textId="77777777" w:rsidR="008B1C89"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Así, admitido el presente recurso de revisión, en términos del artículo 185 fracción II</w:t>
      </w:r>
      <w:r w:rsidRPr="00C623E0">
        <w:rPr>
          <w:rFonts w:ascii="Palatino Linotype" w:eastAsia="Palatino Linotype" w:hAnsi="Palatino Linotype" w:cs="Palatino Linotype"/>
          <w:vertAlign w:val="superscript"/>
        </w:rPr>
        <w:footnoteReference w:id="1"/>
      </w:r>
      <w:r w:rsidRPr="00C623E0">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r w:rsidR="008B1C89" w:rsidRPr="00C623E0">
        <w:rPr>
          <w:rFonts w:ascii="Palatino Linotype" w:eastAsia="Palatino Linotype" w:hAnsi="Palatino Linotype" w:cs="Palatino Linotype"/>
        </w:rPr>
        <w:t>.</w:t>
      </w:r>
    </w:p>
    <w:p w14:paraId="4F9E242C" w14:textId="32336F10" w:rsidR="003805A1" w:rsidRPr="00C623E0" w:rsidRDefault="008B1C89">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tal sentido, el </w:t>
      </w:r>
      <w:r w:rsidRPr="00C623E0">
        <w:rPr>
          <w:rFonts w:ascii="Palatino Linotype" w:eastAsia="Palatino Linotype" w:hAnsi="Palatino Linotype" w:cs="Palatino Linotype"/>
          <w:b/>
          <w:bCs/>
        </w:rPr>
        <w:t>Sujeto Obligado</w:t>
      </w:r>
      <w:r w:rsidR="007A61DC" w:rsidRPr="00C623E0">
        <w:rPr>
          <w:rFonts w:ascii="Palatino Linotype" w:eastAsia="Palatino Linotype" w:hAnsi="Palatino Linotype" w:cs="Palatino Linotype"/>
        </w:rPr>
        <w:t xml:space="preserve">, </w:t>
      </w:r>
      <w:r w:rsidRPr="00C623E0">
        <w:rPr>
          <w:rFonts w:ascii="Palatino Linotype" w:eastAsia="Palatino Linotype" w:hAnsi="Palatino Linotype" w:cs="Palatino Linotype"/>
        </w:rPr>
        <w:t xml:space="preserve">remitió su informe justificado, mediante el cual, en lo sustancial, ratificó la respuesta proporcionada en primera instancia, mientras que la parte </w:t>
      </w:r>
      <w:r w:rsidRPr="00C623E0">
        <w:rPr>
          <w:rFonts w:ascii="Palatino Linotype" w:eastAsia="Palatino Linotype" w:hAnsi="Palatino Linotype" w:cs="Palatino Linotype"/>
          <w:b/>
          <w:bCs/>
        </w:rPr>
        <w:t>Recurrente</w:t>
      </w:r>
      <w:r w:rsidRPr="00C623E0">
        <w:rPr>
          <w:rFonts w:ascii="Palatino Linotype" w:eastAsia="Palatino Linotype" w:hAnsi="Palatino Linotype" w:cs="Palatino Linotype"/>
        </w:rPr>
        <w:t xml:space="preserve"> </w:t>
      </w:r>
      <w:r w:rsidR="007A61DC" w:rsidRPr="00C623E0">
        <w:rPr>
          <w:rFonts w:ascii="Palatino Linotype" w:eastAsia="Palatino Linotype" w:hAnsi="Palatino Linotype" w:cs="Palatino Linotype"/>
        </w:rPr>
        <w:t>omisa en ejercer dicha prerrogativa, como se señaló anteriormente.</w:t>
      </w:r>
    </w:p>
    <w:p w14:paraId="74CCDE12" w14:textId="77777777" w:rsidR="00740140" w:rsidRPr="00C623E0" w:rsidRDefault="00740140" w:rsidP="00740140">
      <w:pPr>
        <w:spacing w:before="240" w:after="240" w:line="360" w:lineRule="auto"/>
        <w:ind w:right="51"/>
        <w:jc w:val="both"/>
        <w:rPr>
          <w:rFonts w:ascii="Palatino Linotype" w:hAnsi="Palatino Linotype"/>
        </w:rPr>
      </w:pPr>
      <w:r w:rsidRPr="00C623E0">
        <w:rPr>
          <w:rFonts w:ascii="Palatino Linotype" w:hAnsi="Palatino Linotype"/>
        </w:rPr>
        <w:t>En este tenor, en primer lugar  es conveniente mencionar que de conformidad con el articulo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solo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72705BBC" w14:textId="77777777" w:rsidR="00740140" w:rsidRPr="00C623E0" w:rsidRDefault="00740140" w:rsidP="00740140">
      <w:pPr>
        <w:spacing w:before="240" w:after="240" w:line="360" w:lineRule="auto"/>
        <w:jc w:val="both"/>
        <w:rPr>
          <w:rFonts w:ascii="Palatino Linotype" w:hAnsi="Palatino Linotype"/>
        </w:rPr>
      </w:pPr>
      <w:r w:rsidRPr="00C623E0">
        <w:rPr>
          <w:rFonts w:ascii="Palatino Linotype" w:hAnsi="Palatino Linotype"/>
        </w:rPr>
        <w:lastRenderedPageBreak/>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5B7C3D99" w14:textId="77777777" w:rsidR="00740140" w:rsidRPr="00C623E0" w:rsidRDefault="00740140" w:rsidP="00740140">
      <w:pPr>
        <w:spacing w:line="360" w:lineRule="auto"/>
        <w:jc w:val="both"/>
        <w:rPr>
          <w:rFonts w:ascii="Palatino Linotype" w:hAnsi="Palatino Linotype"/>
        </w:rPr>
      </w:pPr>
      <w:r w:rsidRPr="00C623E0">
        <w:rPr>
          <w:rFonts w:ascii="Palatino Linotype" w:hAnsi="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853EBA0" w14:textId="77777777" w:rsidR="00740140" w:rsidRPr="00C623E0" w:rsidRDefault="00740140" w:rsidP="00740140">
      <w:pPr>
        <w:ind w:left="851" w:right="899"/>
        <w:jc w:val="both"/>
        <w:rPr>
          <w:rFonts w:ascii="Palatino Linotype" w:hAnsi="Palatino Linotype"/>
          <w:i/>
          <w:sz w:val="22"/>
          <w:szCs w:val="22"/>
        </w:rPr>
      </w:pPr>
    </w:p>
    <w:p w14:paraId="5683392F" w14:textId="77777777" w:rsidR="00740140" w:rsidRPr="00C623E0" w:rsidRDefault="00740140" w:rsidP="00740140">
      <w:pPr>
        <w:ind w:left="851" w:right="899"/>
        <w:jc w:val="both"/>
        <w:rPr>
          <w:rFonts w:ascii="Palatino Linotype" w:hAnsi="Palatino Linotype"/>
          <w:i/>
          <w:sz w:val="22"/>
          <w:szCs w:val="22"/>
        </w:rPr>
      </w:pPr>
      <w:r w:rsidRPr="00C623E0">
        <w:rPr>
          <w:rFonts w:ascii="Palatino Linotype" w:hAnsi="Palatino Linotype"/>
          <w:i/>
          <w:sz w:val="22"/>
          <w:szCs w:val="22"/>
        </w:rPr>
        <w:t>“</w:t>
      </w:r>
      <w:r w:rsidRPr="00C623E0">
        <w:rPr>
          <w:rFonts w:ascii="Palatino Linotype" w:hAnsi="Palatino Linotype"/>
          <w:b/>
          <w:i/>
          <w:sz w:val="22"/>
          <w:szCs w:val="22"/>
        </w:rPr>
        <w:t xml:space="preserve">Artículo 3. </w:t>
      </w:r>
      <w:r w:rsidRPr="00C623E0">
        <w:rPr>
          <w:rFonts w:ascii="Palatino Linotype" w:hAnsi="Palatino Linotype"/>
          <w:i/>
          <w:sz w:val="22"/>
          <w:szCs w:val="22"/>
        </w:rPr>
        <w:t>Para los efectos de la presente Ley se entenderá por:</w:t>
      </w:r>
    </w:p>
    <w:p w14:paraId="033594AC" w14:textId="77777777" w:rsidR="00740140" w:rsidRPr="00C623E0" w:rsidRDefault="00740140" w:rsidP="00740140">
      <w:pPr>
        <w:ind w:left="1134" w:right="899"/>
        <w:jc w:val="both"/>
        <w:rPr>
          <w:rFonts w:ascii="Palatino Linotype" w:hAnsi="Palatino Linotype"/>
          <w:i/>
          <w:sz w:val="22"/>
          <w:szCs w:val="22"/>
        </w:rPr>
      </w:pPr>
      <w:r w:rsidRPr="00C623E0">
        <w:rPr>
          <w:rFonts w:ascii="Palatino Linotype" w:hAnsi="Palatino Linotype"/>
          <w:i/>
          <w:sz w:val="22"/>
          <w:szCs w:val="22"/>
        </w:rPr>
        <w:t>…</w:t>
      </w:r>
    </w:p>
    <w:p w14:paraId="399540BC" w14:textId="77777777" w:rsidR="00740140" w:rsidRPr="00C623E0" w:rsidRDefault="00740140" w:rsidP="00740140">
      <w:pPr>
        <w:ind w:left="1134" w:right="899"/>
        <w:jc w:val="both"/>
        <w:rPr>
          <w:rFonts w:ascii="Palatino Linotype" w:hAnsi="Palatino Linotype"/>
          <w:i/>
          <w:sz w:val="22"/>
          <w:szCs w:val="22"/>
        </w:rPr>
      </w:pPr>
      <w:r w:rsidRPr="00C623E0">
        <w:rPr>
          <w:rFonts w:ascii="Palatino Linotype" w:hAnsi="Palatino Linotype"/>
          <w:b/>
          <w:i/>
          <w:sz w:val="22"/>
          <w:szCs w:val="22"/>
        </w:rPr>
        <w:t>XI. Documento:</w:t>
      </w:r>
      <w:r w:rsidRPr="00C623E0">
        <w:rPr>
          <w:rFonts w:ascii="Palatino Linotype" w:hAnsi="Palatino Linotype"/>
          <w:i/>
          <w:sz w:val="22"/>
          <w:szCs w:val="22"/>
        </w:rPr>
        <w:t xml:space="preserve"> Los expedientes, reportes, estudios, actas</w:t>
      </w:r>
      <w:r w:rsidRPr="00C623E0">
        <w:rPr>
          <w:rFonts w:ascii="Palatino Linotype" w:hAnsi="Palatino Linotype"/>
          <w:b/>
          <w:i/>
          <w:sz w:val="22"/>
          <w:szCs w:val="22"/>
        </w:rPr>
        <w:t>,</w:t>
      </w:r>
      <w:r w:rsidRPr="00C623E0">
        <w:rPr>
          <w:rFonts w:ascii="Palatino Linotype" w:hAnsi="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DE13342" w14:textId="77777777" w:rsidR="00740140" w:rsidRPr="00C623E0" w:rsidRDefault="00740140" w:rsidP="00740140">
      <w:pPr>
        <w:ind w:left="851" w:right="899"/>
        <w:jc w:val="both"/>
        <w:rPr>
          <w:rFonts w:ascii="Palatino Linotype" w:hAnsi="Palatino Linotype"/>
          <w:sz w:val="22"/>
          <w:szCs w:val="22"/>
        </w:rPr>
      </w:pPr>
    </w:p>
    <w:p w14:paraId="337835FB" w14:textId="77777777" w:rsidR="00740140" w:rsidRPr="00C623E0" w:rsidRDefault="00740140" w:rsidP="00740140">
      <w:pPr>
        <w:spacing w:line="360" w:lineRule="auto"/>
        <w:jc w:val="both"/>
        <w:rPr>
          <w:rFonts w:ascii="Palatino Linotype" w:hAnsi="Palatino Linotype"/>
        </w:rPr>
      </w:pPr>
      <w:r w:rsidRPr="00C623E0">
        <w:rPr>
          <w:rFonts w:ascii="Palatino Linotype" w:hAnsi="Palatino Linotype"/>
        </w:rPr>
        <w:t xml:space="preserve">Siendo aplicable, el Criterio de interpretación en el orden administrativo número 0002-11, emitido por Acuerdo del Pleno del Instituto de Transparencia y Acceso a la </w:t>
      </w:r>
      <w:r w:rsidRPr="00C623E0">
        <w:rPr>
          <w:rFonts w:ascii="Palatino Linotype" w:hAnsi="Palatino Linotype"/>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14:paraId="25BBB135" w14:textId="77777777" w:rsidR="00740140" w:rsidRPr="00C623E0" w:rsidRDefault="00740140" w:rsidP="00740140">
      <w:pPr>
        <w:ind w:left="851" w:right="899"/>
        <w:jc w:val="both"/>
        <w:rPr>
          <w:rFonts w:ascii="Palatino Linotype" w:hAnsi="Palatino Linotype"/>
        </w:rPr>
      </w:pPr>
    </w:p>
    <w:p w14:paraId="2C89FB9F" w14:textId="77777777" w:rsidR="00740140" w:rsidRPr="00C623E0" w:rsidRDefault="00740140" w:rsidP="00740140">
      <w:pPr>
        <w:ind w:left="851" w:right="899"/>
        <w:jc w:val="both"/>
        <w:rPr>
          <w:rFonts w:ascii="Palatino Linotype" w:hAnsi="Palatino Linotype"/>
          <w:b/>
          <w:i/>
          <w:sz w:val="22"/>
          <w:szCs w:val="22"/>
        </w:rPr>
      </w:pPr>
      <w:r w:rsidRPr="00C623E0">
        <w:rPr>
          <w:rFonts w:ascii="Palatino Linotype" w:hAnsi="Palatino Linotype"/>
          <w:b/>
          <w:sz w:val="22"/>
          <w:szCs w:val="22"/>
        </w:rPr>
        <w:t>“</w:t>
      </w:r>
      <w:r w:rsidRPr="00C623E0">
        <w:rPr>
          <w:rFonts w:ascii="Palatino Linotype" w:hAnsi="Palatino Linotype"/>
          <w:b/>
          <w:i/>
          <w:sz w:val="22"/>
          <w:szCs w:val="22"/>
        </w:rPr>
        <w:t>CRITERIO 0002-11</w:t>
      </w:r>
    </w:p>
    <w:p w14:paraId="4486D389" w14:textId="77777777" w:rsidR="00740140" w:rsidRPr="00C623E0" w:rsidRDefault="00740140" w:rsidP="00740140">
      <w:pPr>
        <w:ind w:left="851" w:right="899"/>
        <w:jc w:val="both"/>
        <w:rPr>
          <w:rFonts w:ascii="Palatino Linotype" w:hAnsi="Palatino Linotype"/>
          <w:i/>
          <w:sz w:val="22"/>
          <w:szCs w:val="22"/>
        </w:rPr>
      </w:pPr>
      <w:r w:rsidRPr="00C623E0">
        <w:rPr>
          <w:rFonts w:ascii="Palatino Linotype" w:hAnsi="Palatino Linotype"/>
          <w:b/>
          <w:i/>
          <w:sz w:val="22"/>
          <w:szCs w:val="22"/>
        </w:rPr>
        <w:t>INFORMACIÓN PÚBLICA, CONCEPTO DE, EN MATERIA DE TRANSPARENCIA. INTERPRETACIÓN SISTEMÁTICA DE LOS ARTÍCULOS 2°, FRACCIÓN V, XV, Y XVI, 3°, 4°, 11 Y 41.</w:t>
      </w:r>
      <w:r w:rsidRPr="00C623E0">
        <w:rPr>
          <w:rFonts w:ascii="Palatino Linotype" w:hAnsi="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6E0145" w14:textId="77777777" w:rsidR="00740140" w:rsidRPr="00C623E0" w:rsidRDefault="00740140" w:rsidP="00740140">
      <w:pPr>
        <w:ind w:left="851" w:right="899"/>
        <w:jc w:val="both"/>
        <w:rPr>
          <w:rFonts w:ascii="Palatino Linotype" w:hAnsi="Palatino Linotype"/>
          <w:i/>
          <w:sz w:val="22"/>
          <w:szCs w:val="22"/>
        </w:rPr>
      </w:pPr>
      <w:r w:rsidRPr="00C623E0">
        <w:rPr>
          <w:rFonts w:ascii="Palatino Linotype" w:hAnsi="Palatino Linotype"/>
          <w:i/>
          <w:sz w:val="22"/>
          <w:szCs w:val="22"/>
        </w:rPr>
        <w:t>En consecuencia el acceso a la información se refiere a que se cumplan cualquiera de los siguientes tres supuestos:</w:t>
      </w:r>
    </w:p>
    <w:p w14:paraId="2E336705" w14:textId="77777777" w:rsidR="00740140" w:rsidRPr="00C623E0" w:rsidRDefault="00740140" w:rsidP="00740140">
      <w:pPr>
        <w:ind w:left="851" w:right="899"/>
        <w:jc w:val="both"/>
        <w:rPr>
          <w:rFonts w:ascii="Palatino Linotype" w:hAnsi="Palatino Linotype"/>
          <w:i/>
          <w:sz w:val="22"/>
          <w:szCs w:val="22"/>
        </w:rPr>
      </w:pPr>
      <w:r w:rsidRPr="00C623E0">
        <w:rPr>
          <w:rFonts w:ascii="Palatino Linotype" w:hAnsi="Palatino Linotype"/>
          <w:i/>
          <w:sz w:val="22"/>
          <w:szCs w:val="22"/>
        </w:rPr>
        <w:t>1) Que se trate de información registrada en cualquier soporte documental, que en ejercicio de las atribuciones conferidas, sea generada por los Sujetos Obligados;</w:t>
      </w:r>
    </w:p>
    <w:p w14:paraId="0503F214" w14:textId="77777777" w:rsidR="00740140" w:rsidRPr="00C623E0" w:rsidRDefault="00740140" w:rsidP="00740140">
      <w:pPr>
        <w:ind w:left="851" w:right="899"/>
        <w:jc w:val="both"/>
        <w:rPr>
          <w:rFonts w:ascii="Palatino Linotype" w:hAnsi="Palatino Linotype"/>
          <w:b/>
          <w:i/>
          <w:sz w:val="22"/>
          <w:szCs w:val="22"/>
        </w:rPr>
      </w:pPr>
      <w:r w:rsidRPr="00C623E0">
        <w:rPr>
          <w:rFonts w:ascii="Palatino Linotype" w:hAnsi="Palatino Linotype"/>
          <w:b/>
          <w:i/>
          <w:sz w:val="22"/>
          <w:szCs w:val="22"/>
        </w:rPr>
        <w:t>2) Que se trate de información registrada en cualquier soporte documental, que en ejercicio de las atribuciones conferidas, sea administrada por los Sujetos Obligados, y</w:t>
      </w:r>
    </w:p>
    <w:p w14:paraId="036A92C8" w14:textId="77777777" w:rsidR="00740140" w:rsidRPr="00C623E0" w:rsidRDefault="00740140" w:rsidP="00740140">
      <w:pPr>
        <w:ind w:left="851" w:right="899"/>
        <w:jc w:val="both"/>
        <w:rPr>
          <w:rFonts w:ascii="Palatino Linotype" w:hAnsi="Palatino Linotype"/>
          <w:b/>
          <w:i/>
          <w:sz w:val="22"/>
          <w:szCs w:val="22"/>
        </w:rPr>
      </w:pPr>
      <w:r w:rsidRPr="00C623E0">
        <w:rPr>
          <w:rFonts w:ascii="Palatino Linotype" w:hAnsi="Palatino Linotype"/>
          <w:b/>
          <w:i/>
          <w:sz w:val="22"/>
          <w:szCs w:val="22"/>
        </w:rPr>
        <w:t xml:space="preserve">3) Que se trate de información registrada en cualquier soporte documental, que en ejercicio de las atribuciones conferidas, se encuentre en posesión de los Sujetos Obligados.” </w:t>
      </w:r>
    </w:p>
    <w:p w14:paraId="2A8DA7E6" w14:textId="77777777" w:rsidR="00740140" w:rsidRPr="00C623E0" w:rsidRDefault="00740140" w:rsidP="00740140">
      <w:pPr>
        <w:spacing w:before="240" w:after="240" w:line="360" w:lineRule="auto"/>
        <w:ind w:right="51"/>
        <w:jc w:val="both"/>
        <w:rPr>
          <w:rFonts w:ascii="Palatino Linotype" w:hAnsi="Palatino Linotype"/>
        </w:rPr>
      </w:pPr>
      <w:r w:rsidRPr="00C623E0">
        <w:rPr>
          <w:rFonts w:ascii="Palatino Linotype" w:hAnsi="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76EE099" w14:textId="77777777" w:rsidR="00740140" w:rsidRPr="00C623E0" w:rsidRDefault="00740140" w:rsidP="00740140">
      <w:pPr>
        <w:spacing w:before="240" w:after="240" w:line="360" w:lineRule="auto"/>
        <w:jc w:val="both"/>
        <w:rPr>
          <w:rFonts w:ascii="Palatino Linotype" w:hAnsi="Palatino Linotype"/>
        </w:rPr>
      </w:pPr>
      <w:r w:rsidRPr="00C623E0">
        <w:rPr>
          <w:rFonts w:ascii="Palatino Linotype" w:hAnsi="Palatino Linotype"/>
        </w:rPr>
        <w:lastRenderedPageBreak/>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C24337B" w14:textId="45676FF4" w:rsidR="00DE0DFF" w:rsidRPr="00C623E0" w:rsidRDefault="004B1881">
      <w:pPr>
        <w:spacing w:before="240" w:after="240" w:line="360" w:lineRule="auto"/>
        <w:ind w:right="49"/>
        <w:jc w:val="both"/>
        <w:rPr>
          <w:rFonts w:ascii="Palatino Linotype" w:hAnsi="Palatino Linotype"/>
        </w:rPr>
      </w:pPr>
      <w:r w:rsidRPr="00C623E0">
        <w:rPr>
          <w:rFonts w:ascii="Palatino Linotype" w:eastAsia="Palatino Linotype" w:hAnsi="Palatino Linotype" w:cs="Palatino Linotype"/>
        </w:rPr>
        <w:t xml:space="preserve">Ahora bien, </w:t>
      </w:r>
      <w:r w:rsidRPr="00C623E0">
        <w:rPr>
          <w:rFonts w:ascii="Palatino Linotype" w:eastAsia="Palatino Linotype" w:hAnsi="Palatino Linotype" w:cs="Palatino Linotype"/>
          <w:b/>
          <w:u w:val="single"/>
        </w:rPr>
        <w:t>por cuanto hace a los puntos 1 y 2</w:t>
      </w:r>
      <w:r w:rsidR="006631C1" w:rsidRPr="00C623E0">
        <w:rPr>
          <w:rFonts w:ascii="Palatino Linotype" w:eastAsia="Palatino Linotype" w:hAnsi="Palatino Linotype" w:cs="Palatino Linotype"/>
          <w:b/>
          <w:u w:val="single"/>
        </w:rPr>
        <w:t xml:space="preserve">, </w:t>
      </w:r>
      <w:r w:rsidR="00160312" w:rsidRPr="00C623E0">
        <w:rPr>
          <w:rFonts w:ascii="Palatino Linotype" w:eastAsia="Palatino Linotype" w:hAnsi="Palatino Linotype" w:cs="Palatino Linotype"/>
        </w:rPr>
        <w:t>mediante</w:t>
      </w:r>
      <w:r w:rsidR="006631C1" w:rsidRPr="00C623E0">
        <w:rPr>
          <w:rFonts w:ascii="Palatino Linotype" w:eastAsia="Palatino Linotype" w:hAnsi="Palatino Linotype" w:cs="Palatino Linotype"/>
        </w:rPr>
        <w:t xml:space="preserve"> los cuales la persona solicitante requirió </w:t>
      </w:r>
      <w:r w:rsidR="001701BF" w:rsidRPr="00C623E0">
        <w:rPr>
          <w:rFonts w:ascii="Palatino Linotype" w:eastAsia="Palatino Linotype" w:hAnsi="Palatino Linotype" w:cs="Palatino Linotype"/>
          <w:b/>
          <w:u w:val="single"/>
        </w:rPr>
        <w:t>el acta de entrega recepción que entrego el presidente municipal saliente de la anterior administración</w:t>
      </w:r>
      <w:r w:rsidR="00BB3B6C" w:rsidRPr="00C623E0">
        <w:rPr>
          <w:rFonts w:ascii="Palatino Linotype" w:eastAsia="Palatino Linotype" w:hAnsi="Palatino Linotype" w:cs="Palatino Linotype"/>
          <w:b/>
          <w:u w:val="single"/>
        </w:rPr>
        <w:t xml:space="preserve"> 2019-2021</w:t>
      </w:r>
      <w:r w:rsidR="001701BF" w:rsidRPr="00C623E0">
        <w:rPr>
          <w:rFonts w:ascii="Palatino Linotype" w:eastAsia="Palatino Linotype" w:hAnsi="Palatino Linotype" w:cs="Palatino Linotype"/>
          <w:b/>
          <w:u w:val="single"/>
        </w:rPr>
        <w:t xml:space="preserve">, así como la </w:t>
      </w:r>
      <w:r w:rsidRPr="00C623E0">
        <w:rPr>
          <w:rFonts w:ascii="Palatino Linotype" w:hAnsi="Palatino Linotype"/>
          <w:b/>
          <w:u w:val="single"/>
        </w:rPr>
        <w:t xml:space="preserve">documentación e información que integra </w:t>
      </w:r>
      <w:r w:rsidR="001701BF" w:rsidRPr="00C623E0">
        <w:rPr>
          <w:rFonts w:ascii="Palatino Linotype" w:hAnsi="Palatino Linotype"/>
          <w:b/>
          <w:u w:val="single"/>
        </w:rPr>
        <w:t>dicho</w:t>
      </w:r>
      <w:r w:rsidRPr="00C623E0">
        <w:rPr>
          <w:rFonts w:ascii="Palatino Linotype" w:hAnsi="Palatino Linotype"/>
          <w:b/>
          <w:u w:val="single"/>
        </w:rPr>
        <w:t xml:space="preserve"> expediente</w:t>
      </w:r>
      <w:r w:rsidR="001701BF" w:rsidRPr="00C623E0">
        <w:rPr>
          <w:rFonts w:ascii="Palatino Linotype" w:hAnsi="Palatino Linotype"/>
          <w:b/>
          <w:u w:val="single"/>
        </w:rPr>
        <w:t xml:space="preserve">, </w:t>
      </w:r>
      <w:r w:rsidR="001701BF" w:rsidRPr="00C623E0">
        <w:rPr>
          <w:rFonts w:ascii="Palatino Linotype" w:hAnsi="Palatino Linotype"/>
        </w:rPr>
        <w:t xml:space="preserve">es de señalar que </w:t>
      </w:r>
      <w:r w:rsidR="007A61DC" w:rsidRPr="00C623E0">
        <w:rPr>
          <w:rFonts w:ascii="Palatino Linotype" w:eastAsia="Palatino Linotype" w:hAnsi="Palatino Linotype" w:cs="Palatino Linotype"/>
        </w:rPr>
        <w:t xml:space="preserve">de las constancias que integran el expediente electrónico relacionado con el recurso de revisión materia de estudio, se colige que el </w:t>
      </w:r>
      <w:r w:rsidR="007A61DC" w:rsidRPr="00C623E0">
        <w:rPr>
          <w:rFonts w:ascii="Palatino Linotype" w:eastAsia="Palatino Linotype" w:hAnsi="Palatino Linotype" w:cs="Palatino Linotype"/>
          <w:b/>
        </w:rPr>
        <w:t>Sujeto Obligado</w:t>
      </w:r>
      <w:r w:rsidR="007A61DC" w:rsidRPr="00C623E0">
        <w:rPr>
          <w:rFonts w:ascii="Palatino Linotype" w:eastAsia="Palatino Linotype" w:hAnsi="Palatino Linotype" w:cs="Palatino Linotype"/>
        </w:rPr>
        <w:t xml:space="preserve"> no niega la competencia para conocer de la información solicitada, sino por el contrario, con la respuesta pronunciada asevera que es competente para conocer de la solicitud de información</w:t>
      </w:r>
      <w:r w:rsidR="00DE0DFF" w:rsidRPr="00C623E0">
        <w:rPr>
          <w:rFonts w:ascii="Palatino Linotype" w:eastAsia="Palatino Linotype" w:hAnsi="Palatino Linotype" w:cs="Palatino Linotype"/>
          <w:i/>
          <w:sz w:val="20"/>
          <w:szCs w:val="20"/>
        </w:rPr>
        <w:t>.</w:t>
      </w:r>
    </w:p>
    <w:p w14:paraId="6411F6DD" w14:textId="4AD95064" w:rsidR="001701BF" w:rsidRPr="00C623E0" w:rsidRDefault="00DE0DFF" w:rsidP="00DE0DFF">
      <w:pPr>
        <w:spacing w:before="240" w:after="240" w:line="360" w:lineRule="auto"/>
        <w:ind w:right="49"/>
        <w:jc w:val="both"/>
        <w:rPr>
          <w:rFonts w:ascii="Palatino Linotype" w:hAnsi="Palatino Linotype"/>
        </w:rPr>
      </w:pPr>
      <w:r w:rsidRPr="00C623E0">
        <w:rPr>
          <w:rFonts w:ascii="Palatino Linotype" w:eastAsia="Palatino Linotype" w:hAnsi="Palatino Linotype" w:cs="Palatino Linotype"/>
        </w:rPr>
        <w:t>L</w:t>
      </w:r>
      <w:r w:rsidR="007A61DC" w:rsidRPr="00C623E0">
        <w:rPr>
          <w:rFonts w:ascii="Palatino Linotype" w:eastAsia="Palatino Linotype" w:hAnsi="Palatino Linotype" w:cs="Palatino Linotype"/>
        </w:rPr>
        <w:t xml:space="preserve">o anterior es así, </w:t>
      </w:r>
      <w:r w:rsidRPr="00C623E0">
        <w:rPr>
          <w:rFonts w:ascii="Palatino Linotype" w:hAnsi="Palatino Linotype"/>
        </w:rPr>
        <w:t>toda vez que con las manifestaciones hechas valer por el Contralor Municipal este no niega</w:t>
      </w:r>
      <w:r w:rsidR="001701BF" w:rsidRPr="00C623E0">
        <w:rPr>
          <w:rFonts w:ascii="Palatino Linotype" w:hAnsi="Palatino Linotype"/>
        </w:rPr>
        <w:t xml:space="preserve"> </w:t>
      </w:r>
      <w:r w:rsidRPr="00C623E0">
        <w:rPr>
          <w:rFonts w:ascii="Palatino Linotype" w:hAnsi="Palatino Linotype"/>
        </w:rPr>
        <w:t xml:space="preserve">contar con la información </w:t>
      </w:r>
      <w:r w:rsidR="00740140" w:rsidRPr="00C623E0">
        <w:rPr>
          <w:rFonts w:ascii="Palatino Linotype" w:hAnsi="Palatino Linotype"/>
        </w:rPr>
        <w:t xml:space="preserve">solicitada, </w:t>
      </w:r>
      <w:r w:rsidRPr="00C623E0">
        <w:rPr>
          <w:rFonts w:ascii="Palatino Linotype" w:hAnsi="Palatino Linotype"/>
        </w:rPr>
        <w:t>sino por el contrario, asume</w:t>
      </w:r>
      <w:r w:rsidR="00740140" w:rsidRPr="00C623E0">
        <w:rPr>
          <w:rFonts w:ascii="Palatino Linotype" w:hAnsi="Palatino Linotype"/>
        </w:rPr>
        <w:t xml:space="preserve"> </w:t>
      </w:r>
      <w:r w:rsidRPr="00C623E0">
        <w:rPr>
          <w:rFonts w:ascii="Palatino Linotype" w:hAnsi="Palatino Linotype"/>
        </w:rPr>
        <w:t xml:space="preserve">que la tiene de manera explícita, tan es así que se restringió el derecho de acceso a la información al pretender clasificarla, con fundamento en </w:t>
      </w:r>
      <w:r w:rsidR="001701BF" w:rsidRPr="00C623E0">
        <w:rPr>
          <w:rFonts w:ascii="Palatino Linotype" w:hAnsi="Palatino Linotype"/>
        </w:rPr>
        <w:t xml:space="preserve">los artículos </w:t>
      </w:r>
      <w:r w:rsidR="001701BF" w:rsidRPr="00C623E0">
        <w:rPr>
          <w:rFonts w:ascii="Palatino Linotype" w:hAnsi="Palatino Linotype"/>
        </w:rPr>
        <w:lastRenderedPageBreak/>
        <w:t xml:space="preserve">104, fracciones I y II, 113, fracciones I y V de la Ley General de Transparencia y Acceso a la Información Pública, </w:t>
      </w:r>
      <w:r w:rsidR="002B0ABC" w:rsidRPr="00C623E0">
        <w:rPr>
          <w:rFonts w:ascii="Palatino Linotype" w:hAnsi="Palatino Linotype"/>
        </w:rPr>
        <w:t>129, fracciones I y II, y 140 de la Ley de Transparencia y Acceso a la Información Pública del Estado de México y Municipios</w:t>
      </w:r>
      <w:r w:rsidR="00A71DFD" w:rsidRPr="00C623E0">
        <w:rPr>
          <w:rFonts w:ascii="Palatino Linotype" w:hAnsi="Palatino Linotype"/>
        </w:rPr>
        <w:t>.</w:t>
      </w:r>
    </w:p>
    <w:p w14:paraId="47E2FC52" w14:textId="77777777" w:rsidR="00DE0DFF" w:rsidRPr="00C623E0" w:rsidRDefault="00DE0DFF" w:rsidP="00DE0DFF">
      <w:pPr>
        <w:spacing w:before="240" w:after="240" w:line="360" w:lineRule="auto"/>
        <w:jc w:val="both"/>
        <w:rPr>
          <w:rFonts w:ascii="Palatino Linotype" w:hAnsi="Palatino Linotype"/>
        </w:rPr>
      </w:pPr>
      <w:r w:rsidRPr="00C623E0">
        <w:rPr>
          <w:rFonts w:ascii="Palatino Linotype" w:hAnsi="Palatino Linotype"/>
        </w:rPr>
        <w:t>A efecto de robustecer lo anterior, sirve de sustento el criterio orientador 29/10 emitido por el Instituto Nacional de Transparencia, Acceso a la Información y Protección de Datos Personales, INAI</w:t>
      </w:r>
      <w:r w:rsidRPr="00C623E0">
        <w:rPr>
          <w:rFonts w:ascii="Palatino Linotype" w:hAnsi="Palatino Linotype"/>
          <w:b/>
        </w:rPr>
        <w:t xml:space="preserve">, </w:t>
      </w:r>
      <w:r w:rsidRPr="00C623E0">
        <w:rPr>
          <w:rFonts w:ascii="Palatino Linotype" w:hAnsi="Palatino Linotype"/>
        </w:rPr>
        <w:t xml:space="preserve">el cual refiere lo siguiente: </w:t>
      </w:r>
    </w:p>
    <w:p w14:paraId="69F6B878" w14:textId="77777777" w:rsidR="00DE0DFF" w:rsidRPr="00C623E0" w:rsidRDefault="00DE0DFF" w:rsidP="00DE0DFF">
      <w:pPr>
        <w:spacing w:before="67"/>
        <w:ind w:left="851" w:right="900"/>
        <w:jc w:val="both"/>
        <w:rPr>
          <w:rFonts w:ascii="Palatino Linotype" w:hAnsi="Palatino Linotype"/>
          <w:i/>
          <w:sz w:val="22"/>
          <w:szCs w:val="22"/>
        </w:rPr>
      </w:pPr>
      <w:r w:rsidRPr="00C623E0">
        <w:rPr>
          <w:rFonts w:ascii="Palatino Linotype" w:hAnsi="Palatino Linotype"/>
          <w:b/>
          <w:i/>
          <w:sz w:val="22"/>
          <w:szCs w:val="22"/>
        </w:rPr>
        <w:t xml:space="preserve">“La clasificación y la inexistencia de información son conceptos que no pueden coexistir. </w:t>
      </w:r>
      <w:r w:rsidRPr="00C623E0">
        <w:rPr>
          <w:rFonts w:ascii="Palatino Linotype" w:hAnsi="Palatino Linotype"/>
          <w:i/>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w:t>
      </w:r>
      <w:r w:rsidRPr="00C623E0">
        <w:rPr>
          <w:rFonts w:ascii="Palatino Linotype" w:hAnsi="Palatino Linotype"/>
          <w:b/>
          <w:i/>
          <w:sz w:val="22"/>
          <w:szCs w:val="22"/>
        </w:rPr>
        <w:t>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C623E0">
        <w:rPr>
          <w:rFonts w:ascii="Palatino Linotype" w:hAnsi="Palatino Linotype"/>
          <w:i/>
          <w:sz w:val="22"/>
          <w:szCs w:val="22"/>
        </w:rPr>
        <w:t>.”</w:t>
      </w:r>
    </w:p>
    <w:p w14:paraId="07EE083D" w14:textId="1C45A8AC" w:rsidR="00A71DFD" w:rsidRPr="00C623E0" w:rsidRDefault="00DE0DFF" w:rsidP="00D47C09">
      <w:pPr>
        <w:spacing w:before="240" w:after="240" w:line="360" w:lineRule="auto"/>
        <w:jc w:val="both"/>
        <w:rPr>
          <w:rFonts w:ascii="Palatino Linotype" w:hAnsi="Palatino Linotype"/>
        </w:rPr>
      </w:pPr>
      <w:r w:rsidRPr="00C623E0">
        <w:rPr>
          <w:rFonts w:ascii="Palatino Linotype" w:hAnsi="Palatino Linotype"/>
        </w:rPr>
        <w:t xml:space="preserve">De esta manera, se procede al análisis de la información proporcionada por el </w:t>
      </w:r>
      <w:r w:rsidRPr="00C623E0">
        <w:rPr>
          <w:rFonts w:ascii="Palatino Linotype" w:hAnsi="Palatino Linotype"/>
          <w:b/>
        </w:rPr>
        <w:t>Sujeto Obligado,</w:t>
      </w:r>
      <w:r w:rsidRPr="00C623E0">
        <w:rPr>
          <w:rFonts w:ascii="Palatino Linotype" w:hAnsi="Palatino Linotype"/>
        </w:rPr>
        <w:t xml:space="preserve"> a efecto de determinar si es suficiente para tener por colmado el derecho de acceso a la información de la parte </w:t>
      </w:r>
      <w:r w:rsidRPr="00C623E0">
        <w:rPr>
          <w:rFonts w:ascii="Palatino Linotype" w:hAnsi="Palatino Linotype"/>
          <w:b/>
          <w:bCs/>
        </w:rPr>
        <w:t>Recurrente,</w:t>
      </w:r>
      <w:r w:rsidRPr="00C623E0">
        <w:rPr>
          <w:rFonts w:ascii="Palatino Linotype" w:hAnsi="Palatino Linotype"/>
        </w:rPr>
        <w:t xml:space="preserve"> o en su defecto ordenar la entrega del o los documentos que lo satisfagan.</w:t>
      </w:r>
    </w:p>
    <w:p w14:paraId="6B7363B9" w14:textId="77777777" w:rsidR="00C5170B" w:rsidRPr="00C623E0" w:rsidRDefault="00C5170B" w:rsidP="00C5170B">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En esta tesitura, por cuanto hace a los motivos de inconformidad, debe mencionarse que el derecho de acceso a la información puede ser restringido de manera </w:t>
      </w:r>
      <w:r w:rsidRPr="00C623E0">
        <w:rPr>
          <w:rFonts w:ascii="Palatino Linotype" w:eastAsia="Palatino Linotype" w:hAnsi="Palatino Linotype" w:cs="Palatino Linotype"/>
        </w:rPr>
        <w:lastRenderedPageBreak/>
        <w:t>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44C5A76B" w14:textId="77777777" w:rsidR="00C5170B" w:rsidRPr="00C623E0" w:rsidRDefault="00C5170B" w:rsidP="00C5170B">
      <w:pPr>
        <w:ind w:left="851" w:right="900"/>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 xml:space="preserve">“Artículo 91. </w:t>
      </w:r>
      <w:r w:rsidRPr="00C623E0">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908410B" w14:textId="1FB3B6F1" w:rsidR="00C5170B" w:rsidRPr="00C623E0" w:rsidRDefault="00C5170B" w:rsidP="00C5170B">
      <w:pPr>
        <w:spacing w:before="240" w:after="240" w:line="360" w:lineRule="auto"/>
        <w:jc w:val="both"/>
        <w:rPr>
          <w:rFonts w:ascii="Palatino Linotype" w:hAnsi="Palatino Linotype"/>
        </w:rPr>
      </w:pPr>
      <w:r w:rsidRPr="00C623E0">
        <w:rPr>
          <w:rFonts w:ascii="Palatino Linotype" w:hAnsi="Palatino Linotype"/>
        </w:rPr>
        <w:t>Siendo importante mencionar que la restricción al derecho de acceso a la información implica necesariamente una clasificación, la cual debe entenderse como el proceso mediante el cual el Sujeto Obligado determina que la información en su poder, actualiza alguno de los supuestos de reserva o confidencialidad, de conformidad con las normas aplicables.</w:t>
      </w:r>
    </w:p>
    <w:p w14:paraId="6DB48D68" w14:textId="60CAE257" w:rsidR="00C5170B" w:rsidRPr="00C623E0" w:rsidRDefault="00C5170B" w:rsidP="00C5170B">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Así, se entiende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C623E0">
        <w:rPr>
          <w:rFonts w:ascii="Palatino Linotype" w:eastAsia="Palatino Linotype" w:hAnsi="Palatino Linotype" w:cs="Palatino Linotype"/>
          <w:sz w:val="18"/>
          <w:szCs w:val="18"/>
        </w:rPr>
        <w:t xml:space="preserve">. </w:t>
      </w:r>
    </w:p>
    <w:p w14:paraId="5DBF5324" w14:textId="13E9BF5B" w:rsidR="00475C05" w:rsidRPr="00C623E0" w:rsidRDefault="00D47C09" w:rsidP="00475C05">
      <w:pPr>
        <w:spacing w:before="240" w:after="240" w:line="360" w:lineRule="auto"/>
        <w:jc w:val="both"/>
        <w:rPr>
          <w:rFonts w:ascii="Palatino Linotype" w:eastAsia="Palatino Linotype" w:hAnsi="Palatino Linotype" w:cs="Palatino Linotype"/>
        </w:rPr>
      </w:pPr>
      <w:r w:rsidRPr="00C623E0">
        <w:rPr>
          <w:rFonts w:ascii="Palatino Linotype" w:hAnsi="Palatino Linotype"/>
        </w:rPr>
        <w:t>En lo que concierne a la información</w:t>
      </w:r>
      <w:r w:rsidR="00475C05" w:rsidRPr="00C623E0">
        <w:rPr>
          <w:rFonts w:ascii="Palatino Linotype" w:hAnsi="Palatino Linotype"/>
        </w:rPr>
        <w:t xml:space="preserve"> clasificada como</w:t>
      </w:r>
      <w:r w:rsidRPr="00C623E0">
        <w:rPr>
          <w:rFonts w:ascii="Palatino Linotype" w:hAnsi="Palatino Linotype"/>
        </w:rPr>
        <w:t xml:space="preserve"> reservada</w:t>
      </w:r>
      <w:r w:rsidR="00475C05" w:rsidRPr="00C623E0">
        <w:rPr>
          <w:rFonts w:ascii="Palatino Linotype" w:hAnsi="Palatino Linotype"/>
        </w:rPr>
        <w:t>,</w:t>
      </w:r>
      <w:r w:rsidR="00AE1FF3" w:rsidRPr="00C623E0">
        <w:rPr>
          <w:rFonts w:ascii="Palatino Linotype" w:hAnsi="Palatino Linotype"/>
        </w:rPr>
        <w:t xml:space="preserve"> </w:t>
      </w:r>
      <w:r w:rsidR="00475C05" w:rsidRPr="00C623E0">
        <w:rPr>
          <w:rFonts w:ascii="Palatino Linotype" w:hAnsi="Palatino Linotype"/>
        </w:rPr>
        <w:t xml:space="preserve">para que el acceso a la información pública pueda ser restringido, </w:t>
      </w:r>
      <w:r w:rsidR="00475C05" w:rsidRPr="00C623E0">
        <w:rPr>
          <w:rFonts w:ascii="Palatino Linotype" w:eastAsia="Palatino Linotype" w:hAnsi="Palatino Linotype" w:cs="Palatino Linotype"/>
        </w:rPr>
        <w:t xml:space="preserve">se deben actualizar los supuestos establecidos en el </w:t>
      </w:r>
      <w:r w:rsidR="003F11AC" w:rsidRPr="00C623E0">
        <w:rPr>
          <w:rFonts w:ascii="Palatino Linotype" w:eastAsia="Palatino Linotype" w:hAnsi="Palatino Linotype" w:cs="Palatino Linotype"/>
        </w:rPr>
        <w:t>a</w:t>
      </w:r>
      <w:r w:rsidR="00475C05" w:rsidRPr="00C623E0">
        <w:rPr>
          <w:rFonts w:ascii="Palatino Linotype" w:eastAsia="Palatino Linotype" w:hAnsi="Palatino Linotype" w:cs="Palatino Linotype"/>
        </w:rPr>
        <w:t>rtículo 113 de la</w:t>
      </w:r>
      <w:r w:rsidR="00475C05" w:rsidRPr="00C623E0">
        <w:rPr>
          <w:rFonts w:ascii="Palatino Linotype" w:eastAsia="Calibri" w:hAnsi="Palatino Linotype" w:cs="Calibri"/>
        </w:rPr>
        <w:t xml:space="preserve"> </w:t>
      </w:r>
      <w:r w:rsidR="00475C05" w:rsidRPr="00C623E0">
        <w:rPr>
          <w:rFonts w:ascii="Palatino Linotype" w:eastAsia="Palatino Linotype" w:hAnsi="Palatino Linotype" w:cs="Palatino Linotype"/>
        </w:rPr>
        <w:t xml:space="preserve">y Ley General De Transparencia Acceso a la Información Pública </w:t>
      </w:r>
      <w:r w:rsidR="003F11AC" w:rsidRPr="00C623E0">
        <w:rPr>
          <w:rFonts w:ascii="Palatino Linotype" w:eastAsia="Palatino Linotype" w:hAnsi="Palatino Linotype" w:cs="Palatino Linotype"/>
        </w:rPr>
        <w:t xml:space="preserve">y el </w:t>
      </w:r>
      <w:r w:rsidR="00475C05" w:rsidRPr="00C623E0">
        <w:rPr>
          <w:rFonts w:ascii="Palatino Linotype" w:eastAsia="Palatino Linotype" w:hAnsi="Palatino Linotype" w:cs="Palatino Linotype"/>
        </w:rPr>
        <w:t xml:space="preserve">artículo 140 de la Ley de Transparencia y Acceso a la </w:t>
      </w:r>
      <w:r w:rsidR="00475C05" w:rsidRPr="00C623E0">
        <w:rPr>
          <w:rFonts w:ascii="Palatino Linotype" w:eastAsia="Palatino Linotype" w:hAnsi="Palatino Linotype" w:cs="Palatino Linotype"/>
        </w:rPr>
        <w:lastRenderedPageBreak/>
        <w:t>Información Pública del Estado de México y Municipios, que a la letra señalan lo siguiente:</w:t>
      </w:r>
    </w:p>
    <w:p w14:paraId="0FE567CB" w14:textId="77777777" w:rsidR="00475C05" w:rsidRPr="00C623E0" w:rsidRDefault="00475C05" w:rsidP="005778DE">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“Artículo 113.</w:t>
      </w:r>
      <w:r w:rsidRPr="00C623E0">
        <w:rPr>
          <w:rFonts w:ascii="Palatino Linotype" w:eastAsia="Palatino Linotype" w:hAnsi="Palatino Linotype" w:cs="Palatino Linotype"/>
          <w:i/>
          <w:sz w:val="22"/>
          <w:szCs w:val="22"/>
        </w:rPr>
        <w:t xml:space="preserve"> Como información reservada podrá clasificarse aquella cuya publicación:</w:t>
      </w:r>
    </w:p>
    <w:p w14:paraId="6ECB96CF"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 xml:space="preserve"> I.</w:t>
      </w:r>
      <w:r w:rsidRPr="00C623E0">
        <w:rPr>
          <w:rFonts w:ascii="Palatino Linotype" w:eastAsia="Palatino Linotype" w:hAnsi="Palatino Linotype" w:cs="Palatino Linotype"/>
          <w:i/>
          <w:sz w:val="22"/>
          <w:szCs w:val="22"/>
        </w:rPr>
        <w:t xml:space="preserve"> Comprometa la seguridad nacional, la seguridad pública o la defensa nacional y cuente con un propósito genuino y un efecto demostrable; </w:t>
      </w:r>
    </w:p>
    <w:p w14:paraId="136568A8"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w:t>
      </w:r>
      <w:r w:rsidRPr="00C623E0">
        <w:rPr>
          <w:rFonts w:ascii="Palatino Linotype" w:eastAsia="Palatino Linotype" w:hAnsi="Palatino Linotype" w:cs="Palatino Linotype"/>
          <w:i/>
          <w:sz w:val="22"/>
          <w:szCs w:val="22"/>
        </w:rPr>
        <w:t xml:space="preserve"> Pueda menoscabar la conducción de las negociaciones y relaciones internacionales; </w:t>
      </w:r>
      <w:r w:rsidRPr="00C623E0">
        <w:rPr>
          <w:rFonts w:ascii="Palatino Linotype" w:eastAsia="Palatino Linotype" w:hAnsi="Palatino Linotype" w:cs="Palatino Linotype"/>
          <w:i/>
          <w:sz w:val="22"/>
          <w:szCs w:val="22"/>
        </w:rPr>
        <w:br/>
      </w:r>
      <w:r w:rsidRPr="00C623E0">
        <w:rPr>
          <w:rFonts w:ascii="Palatino Linotype" w:eastAsia="Palatino Linotype" w:hAnsi="Palatino Linotype" w:cs="Palatino Linotype"/>
          <w:b/>
          <w:i/>
          <w:sz w:val="22"/>
          <w:szCs w:val="22"/>
        </w:rPr>
        <w:t>III.</w:t>
      </w:r>
      <w:r w:rsidRPr="00C623E0">
        <w:rPr>
          <w:rFonts w:ascii="Palatino Linotype" w:eastAsia="Palatino Linotype" w:hAnsi="Palatino Linotype" w:cs="Palatino Linotype"/>
          <w:i/>
          <w:sz w:val="22"/>
          <w:szCs w:val="22"/>
        </w:rPr>
        <w:t xml:space="preserve"> Se entregue al Estado mexicano expresamente con ese carácter o el de confidencial por otro u otros sujetos de derecho internacional, excepto cuando se trate de violaciones graves de derechos humanos o delitos de lesa humanidad de conformidad con el derecho internacional; </w:t>
      </w:r>
    </w:p>
    <w:p w14:paraId="346CA669"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IV.</w:t>
      </w:r>
      <w:r w:rsidRPr="00C623E0">
        <w:rPr>
          <w:rFonts w:ascii="Palatino Linotype" w:eastAsia="Palatino Linotype" w:hAnsi="Palatino Linotype" w:cs="Palatino Linotype"/>
          <w:i/>
          <w:sz w:val="22"/>
          <w:szCs w:val="22"/>
        </w:rPr>
        <w:t xml:space="preserve">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 </w:t>
      </w:r>
    </w:p>
    <w:p w14:paraId="4738D885"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w:t>
      </w:r>
      <w:r w:rsidRPr="00C623E0">
        <w:rPr>
          <w:rFonts w:ascii="Palatino Linotype" w:eastAsia="Palatino Linotype" w:hAnsi="Palatino Linotype" w:cs="Palatino Linotype"/>
          <w:i/>
          <w:sz w:val="22"/>
          <w:szCs w:val="22"/>
        </w:rPr>
        <w:t xml:space="preserve"> Pueda poner en riesgo la vida, seguridad o salud de una persona física; </w:t>
      </w:r>
    </w:p>
    <w:p w14:paraId="6AD74001"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w:t>
      </w:r>
      <w:r w:rsidRPr="00C623E0">
        <w:rPr>
          <w:rFonts w:ascii="Palatino Linotype" w:eastAsia="Palatino Linotype" w:hAnsi="Palatino Linotype" w:cs="Palatino Linotype"/>
          <w:i/>
          <w:sz w:val="22"/>
          <w:szCs w:val="22"/>
        </w:rPr>
        <w:t xml:space="preserve">. Obstruya las actividades de verificación, inspección y auditoría relativas al cumplimiento de las leyes o afecte la recaudación de contribuciones; </w:t>
      </w:r>
    </w:p>
    <w:p w14:paraId="5EBF5076"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VII.</w:t>
      </w:r>
      <w:r w:rsidRPr="00C623E0">
        <w:rPr>
          <w:rFonts w:ascii="Palatino Linotype" w:eastAsia="Palatino Linotype" w:hAnsi="Palatino Linotype" w:cs="Palatino Linotype"/>
          <w:i/>
          <w:sz w:val="22"/>
          <w:szCs w:val="22"/>
        </w:rPr>
        <w:t xml:space="preserve"> Obstruya la prevención o persecución de los delitos; </w:t>
      </w:r>
    </w:p>
    <w:p w14:paraId="6C7EA07F"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VIII.</w:t>
      </w:r>
      <w:r w:rsidRPr="00C623E0">
        <w:rPr>
          <w:rFonts w:ascii="Palatino Linotype" w:eastAsia="Palatino Linotype" w:hAnsi="Palatino Linotype" w:cs="Palatino Linotype"/>
          <w:i/>
          <w:sz w:val="22"/>
          <w:szCs w:val="22"/>
        </w:rPr>
        <w:t xml:space="preserve"> La que contenga las opiniones, recomendaciones o puntos de vista que formen parte del proceso deliberativo de los servidores públicos, hasta en tanto no sea adoptada la decisión definitiva, la cual deberá estar documentada; </w:t>
      </w:r>
    </w:p>
    <w:p w14:paraId="50E01BFA"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IX.</w:t>
      </w:r>
      <w:r w:rsidRPr="00C623E0">
        <w:rPr>
          <w:rFonts w:ascii="Palatino Linotype" w:eastAsia="Palatino Linotype" w:hAnsi="Palatino Linotype" w:cs="Palatino Linotype"/>
          <w:i/>
          <w:sz w:val="22"/>
          <w:szCs w:val="22"/>
        </w:rPr>
        <w:t xml:space="preserve"> Obstruya los procedimientos para fincar responsabilidad a los Servidores Públicos, en tanto no se haya dictado la resolución administrativa; </w:t>
      </w:r>
    </w:p>
    <w:p w14:paraId="409E18C4"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w:t>
      </w:r>
      <w:r w:rsidRPr="00C623E0">
        <w:rPr>
          <w:rFonts w:ascii="Palatino Linotype" w:eastAsia="Palatino Linotype" w:hAnsi="Palatino Linotype" w:cs="Palatino Linotype"/>
          <w:i/>
          <w:sz w:val="22"/>
          <w:szCs w:val="22"/>
        </w:rPr>
        <w:t xml:space="preserve"> Afecte los derechos del debido proceso; </w:t>
      </w:r>
    </w:p>
    <w:p w14:paraId="0C28F3F8"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XI.</w:t>
      </w:r>
      <w:r w:rsidRPr="00C623E0">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causado estado;</w:t>
      </w:r>
    </w:p>
    <w:p w14:paraId="1A241FA0" w14:textId="77777777" w:rsidR="00475C05" w:rsidRPr="00C623E0" w:rsidRDefault="00475C05" w:rsidP="005778DE">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lastRenderedPageBreak/>
        <w:t>Artículo 140</w:t>
      </w:r>
      <w:r w:rsidRPr="00C623E0">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 </w:t>
      </w:r>
    </w:p>
    <w:p w14:paraId="76DE0F3E"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w:t>
      </w:r>
      <w:r w:rsidRPr="00C623E0">
        <w:rPr>
          <w:rFonts w:ascii="Palatino Linotype" w:eastAsia="Palatino Linotype" w:hAnsi="Palatino Linotype" w:cs="Palatino Linotype"/>
          <w:i/>
          <w:sz w:val="22"/>
          <w:szCs w:val="22"/>
        </w:rPr>
        <w:t xml:space="preserve">. Comprometa la seguridad pública y cuente con un propósito genuino y un efecto demostrable; </w:t>
      </w:r>
    </w:p>
    <w:p w14:paraId="3FFBC0B9"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w:t>
      </w:r>
      <w:r w:rsidRPr="00C623E0">
        <w:rPr>
          <w:rFonts w:ascii="Palatino Linotype" w:eastAsia="Palatino Linotype" w:hAnsi="Palatino Linotype" w:cs="Palatino Linotype"/>
          <w:i/>
          <w:sz w:val="22"/>
          <w:szCs w:val="22"/>
        </w:rPr>
        <w:t xml:space="preserve"> Pueda menoscabar la conducción de las negociaciones y relaciones internacionales; </w:t>
      </w:r>
    </w:p>
    <w:p w14:paraId="381D5525"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III.</w:t>
      </w:r>
      <w:r w:rsidRPr="00C623E0">
        <w:rPr>
          <w:rFonts w:ascii="Palatino Linotype" w:eastAsia="Palatino Linotype" w:hAnsi="Palatino Linotype" w:cs="Palatino Linotype"/>
          <w:i/>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58584169"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IV.</w:t>
      </w:r>
      <w:r w:rsidRPr="00C623E0">
        <w:rPr>
          <w:rFonts w:ascii="Palatino Linotype" w:eastAsia="Palatino Linotype" w:hAnsi="Palatino Linotype" w:cs="Palatino Linotype"/>
          <w:i/>
          <w:sz w:val="22"/>
          <w:szCs w:val="22"/>
        </w:rPr>
        <w:t xml:space="preserve"> Ponga en riesgo la vida, la seguridad o la salud de una persona física; </w:t>
      </w:r>
    </w:p>
    <w:p w14:paraId="4CD2323C"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w:t>
      </w:r>
      <w:r w:rsidRPr="00C623E0">
        <w:rPr>
          <w:rFonts w:ascii="Palatino Linotype" w:eastAsia="Palatino Linotype" w:hAnsi="Palatino Linotype" w:cs="Palatino Linotype"/>
          <w:i/>
          <w:sz w:val="22"/>
          <w:szCs w:val="22"/>
        </w:rPr>
        <w:t xml:space="preserve">. Aquella cuya divulgación obstruya o pueda causar un serio perjuicio a: </w:t>
      </w:r>
    </w:p>
    <w:p w14:paraId="36DE0083" w14:textId="77777777" w:rsidR="00475C05" w:rsidRPr="00C623E0" w:rsidRDefault="00475C05" w:rsidP="005778DE">
      <w:pPr>
        <w:spacing w:before="120" w:after="120"/>
        <w:ind w:left="1418"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 xml:space="preserve">1. Las actividades de fiscalización, verificación, inspección, comprobación y auditoría sobre el cumplimiento de las Leyes; o </w:t>
      </w:r>
    </w:p>
    <w:p w14:paraId="7DC67DD3" w14:textId="77777777" w:rsidR="00475C05" w:rsidRPr="00C623E0" w:rsidRDefault="00475C05" w:rsidP="005778DE">
      <w:pPr>
        <w:spacing w:before="120" w:after="120"/>
        <w:ind w:left="1418"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 xml:space="preserve">2. La recaudación de las contribuciones. </w:t>
      </w:r>
    </w:p>
    <w:p w14:paraId="42D5F87F"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w:t>
      </w:r>
      <w:r w:rsidRPr="00C623E0">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5AAE8E5"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VII.</w:t>
      </w:r>
      <w:r w:rsidRPr="00C623E0">
        <w:rPr>
          <w:rFonts w:ascii="Palatino Linotype" w:eastAsia="Palatino Linotype" w:hAnsi="Palatino Linotype" w:cs="Palatino Linotype"/>
          <w:i/>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28B55AFB"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VIII.</w:t>
      </w:r>
      <w:r w:rsidRPr="00C623E0">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50701517"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IX</w:t>
      </w:r>
      <w:r w:rsidRPr="00C623E0">
        <w:rPr>
          <w:rFonts w:ascii="Palatino Linotype" w:eastAsia="Palatino Linotype" w:hAnsi="Palatino Linotype" w:cs="Palatino Linotype"/>
          <w:i/>
          <w:sz w:val="22"/>
          <w:szCs w:val="22"/>
        </w:rPr>
        <w:t xml:space="preserve">. Se encuentre contenida dentro de las investigaciones de hechos que la Ley señale como delitos y se tramiten ante el Ministerio Público; </w:t>
      </w:r>
    </w:p>
    <w:p w14:paraId="76E5FF40"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w:t>
      </w:r>
      <w:r w:rsidRPr="00C623E0">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w:t>
      </w:r>
      <w:r w:rsidRPr="00C623E0">
        <w:rPr>
          <w:rFonts w:ascii="Palatino Linotype" w:eastAsia="Palatino Linotype" w:hAnsi="Palatino Linotype" w:cs="Palatino Linotype"/>
          <w:i/>
          <w:sz w:val="22"/>
          <w:szCs w:val="22"/>
        </w:rPr>
        <w:lastRenderedPageBreak/>
        <w:t xml:space="preserve">que esté directamente relacionado con procesos o procedimientos administrativos o judiciales que no hayan quedado firmes; </w:t>
      </w:r>
    </w:p>
    <w:p w14:paraId="707E29AA" w14:textId="77777777" w:rsidR="00475C05" w:rsidRPr="00C623E0" w:rsidRDefault="00475C05" w:rsidP="005778DE">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BCC0949" w14:textId="6B861E6D" w:rsidR="00475C05" w:rsidRPr="00C623E0" w:rsidRDefault="00475C05" w:rsidP="003F11AC">
      <w:pPr>
        <w:spacing w:before="120" w:after="120"/>
        <w:ind w:left="1134"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XI.</w:t>
      </w:r>
      <w:r w:rsidRPr="00C623E0">
        <w:rPr>
          <w:rFonts w:ascii="Palatino Linotype" w:eastAsia="Palatino Linotype" w:hAnsi="Palatino Linotype" w:cs="Palatino Linotype"/>
          <w:i/>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2D8CFF66" w14:textId="44B2096A" w:rsidR="00475C05" w:rsidRPr="00C623E0" w:rsidRDefault="00475C05" w:rsidP="00475C05">
      <w:pPr>
        <w:spacing w:after="160" w:line="360" w:lineRule="auto"/>
        <w:jc w:val="both"/>
        <w:rPr>
          <w:rFonts w:eastAsia="Palatino Linotype" w:cs="Palatino Linotype"/>
        </w:rPr>
      </w:pPr>
      <w:r w:rsidRPr="00C623E0">
        <w:rPr>
          <w:rFonts w:ascii="Palatino Linotype" w:eastAsia="Palatino Linotype" w:hAnsi="Palatino Linotype" w:cs="Palatino Linotype"/>
        </w:rPr>
        <w:t xml:space="preserve">Es así que, si bien es cierto el derecho de acceso a la información pública se satisface en aquellos casos en que se entregue el soporte documental en que conste la información requerida, también lo es que el derecho de acceso a la información pública puede ser restringido cuando se trate de información clasificada como </w:t>
      </w:r>
      <w:r w:rsidRPr="00C623E0">
        <w:rPr>
          <w:rFonts w:ascii="Palatino Linotype" w:eastAsia="Palatino Linotype" w:hAnsi="Palatino Linotype" w:cs="Palatino Linotype"/>
          <w:b/>
        </w:rPr>
        <w:t>Reservada</w:t>
      </w:r>
      <w:r w:rsidRPr="00C623E0">
        <w:rPr>
          <w:rFonts w:ascii="Palatino Linotype" w:eastAsia="Palatino Linotype" w:hAnsi="Palatino Linotype" w:cs="Palatino Linotype"/>
        </w:rPr>
        <w:t>, delimitando una serie de hipótesis de hecho en las cuales descansa la posibilidad de reserva de información, por lo que dentro la información que generen, posean o administren los Sujetos Obligados, se considerará reservada cuando su divulgación obstruya o pueda causar un serio perjuicio a las actividades de fiscalización, verificación, inspección, comprobación y auditoría sobre el cumplimiento de las Leyes, vulnere la conducción de l</w:t>
      </w:r>
      <w:r w:rsidR="00160312" w:rsidRPr="00C623E0">
        <w:rPr>
          <w:rFonts w:ascii="Palatino Linotype" w:eastAsia="Palatino Linotype" w:hAnsi="Palatino Linotype" w:cs="Palatino Linotype"/>
        </w:rPr>
        <w:t>os expedientes judiciales o que el</w:t>
      </w:r>
      <w:r w:rsidRPr="00C623E0">
        <w:rPr>
          <w:rFonts w:ascii="Palatino Linotype" w:eastAsia="Palatino Linotype" w:hAnsi="Palatino Linotype" w:cs="Palatino Linotype"/>
        </w:rPr>
        <w:t xml:space="preserve"> daño que pueda producirse con la publicación de la información sea mayor que el interés público de conocer la información de referencia, siempre que esté directamente relacionado con procesos o procedimientos administrativos o judiciales que no hayan quedado firmes</w:t>
      </w:r>
      <w:r w:rsidRPr="00C623E0">
        <w:rPr>
          <w:rFonts w:eastAsia="Palatino Linotype" w:cs="Palatino Linotype"/>
        </w:rPr>
        <w:t>.</w:t>
      </w:r>
    </w:p>
    <w:p w14:paraId="329D2D2A" w14:textId="77777777" w:rsidR="00D47C09" w:rsidRPr="00C623E0" w:rsidRDefault="00D47C09" w:rsidP="00D47C09">
      <w:pPr>
        <w:spacing w:line="360" w:lineRule="auto"/>
        <w:jc w:val="both"/>
        <w:rPr>
          <w:rFonts w:ascii="Palatino Linotype" w:hAnsi="Palatino Linotype"/>
        </w:rPr>
      </w:pPr>
      <w:r w:rsidRPr="00C623E0">
        <w:rPr>
          <w:rFonts w:ascii="Palatino Linotype" w:hAnsi="Palatino Linotype"/>
        </w:rPr>
        <w:t xml:space="preserve">No obstante, en términos generales, las Leyes de la materia disponen que, para proceder a realizar la reserva de la información, no basta que se refiera a alguno de los supuestos que enmarque, en este caso, el artículo 140 de la Ley de Transparencia y Acceso a la Información Pública del Estado de México y Municipios, sino que, es </w:t>
      </w:r>
      <w:r w:rsidRPr="00C623E0">
        <w:rPr>
          <w:rFonts w:ascii="Palatino Linotype" w:hAnsi="Palatino Linotype"/>
        </w:rPr>
        <w:lastRenderedPageBreak/>
        <w:t>necesario que la autoridad demuestre que la divulgación de la información, puede causar un daño al interés público protegido.</w:t>
      </w:r>
    </w:p>
    <w:p w14:paraId="52DA65E5" w14:textId="77777777" w:rsidR="00D47C09" w:rsidRPr="00C623E0" w:rsidRDefault="00D47C09" w:rsidP="00D47C09">
      <w:pPr>
        <w:spacing w:line="360" w:lineRule="auto"/>
        <w:jc w:val="both"/>
        <w:rPr>
          <w:rFonts w:ascii="Palatino Linotype" w:hAnsi="Palatino Linotype"/>
          <w:sz w:val="10"/>
          <w:szCs w:val="10"/>
        </w:rPr>
      </w:pPr>
    </w:p>
    <w:p w14:paraId="1F83E087" w14:textId="00CAAA63" w:rsidR="00D47C09" w:rsidRPr="00C623E0" w:rsidRDefault="00D47C09" w:rsidP="00D47C09">
      <w:pPr>
        <w:spacing w:line="360" w:lineRule="auto"/>
        <w:jc w:val="both"/>
        <w:rPr>
          <w:rFonts w:ascii="Palatino Linotype" w:hAnsi="Palatino Linotype"/>
        </w:rPr>
      </w:pPr>
      <w:r w:rsidRPr="00C623E0">
        <w:rPr>
          <w:rFonts w:ascii="Palatino Linotype" w:hAnsi="Palatino Linotype"/>
        </w:rPr>
        <w:t xml:space="preserve">Dicha valoración, debe realizarse caso por caso, a través de lo que se conoce como la llamada </w:t>
      </w:r>
      <w:r w:rsidRPr="00C623E0">
        <w:rPr>
          <w:rFonts w:ascii="Palatino Linotype" w:hAnsi="Palatino Linotype"/>
          <w:i/>
        </w:rPr>
        <w:t>“prueba de daño”</w:t>
      </w:r>
      <w:r w:rsidRPr="00C623E0">
        <w:rPr>
          <w:rFonts w:ascii="Palatino Linotype" w:hAnsi="Palatino Linotype"/>
        </w:rPr>
        <w:t xml:space="preserve">, que consiste en exponer los argumentos y razones, basados en elementos objetivos o verificables, a partir de los cuales se derive que la divulgación de información, en particular, puede afectar, poner en riesgo o dañar el interés protegido, ello conforme a los artículos 129 y 134, último párrafo de la Ley de Transparencia y Acceso a la Información Pública del Estado de México y Municipios, en relación con los diversos 104 y 108, último párrafo, de la Ley General de Transparencia y Acceso a la Información </w:t>
      </w:r>
      <w:r w:rsidR="00160312" w:rsidRPr="00C623E0">
        <w:rPr>
          <w:rFonts w:ascii="Palatino Linotype" w:hAnsi="Palatino Linotype"/>
        </w:rPr>
        <w:t>Pública; asimismo, es</w:t>
      </w:r>
      <w:r w:rsidRPr="00C623E0">
        <w:rPr>
          <w:rFonts w:ascii="Palatino Linotype" w:hAnsi="Palatino Linotype"/>
        </w:rPr>
        <w:t xml:space="preserve">ta no debe basarse en meras especulaciones o suposiciones, sino en elementos objetivos que deban evaluar que existe un riego actual e inminente. </w:t>
      </w:r>
    </w:p>
    <w:p w14:paraId="214968D2" w14:textId="77777777" w:rsidR="00D47C09" w:rsidRPr="00C623E0" w:rsidRDefault="00D47C09" w:rsidP="00D47C09">
      <w:pPr>
        <w:spacing w:line="360" w:lineRule="auto"/>
        <w:jc w:val="both"/>
        <w:rPr>
          <w:rFonts w:ascii="Palatino Linotype" w:hAnsi="Palatino Linotype"/>
          <w:sz w:val="10"/>
          <w:szCs w:val="10"/>
        </w:rPr>
      </w:pPr>
    </w:p>
    <w:p w14:paraId="18470899" w14:textId="77777777" w:rsidR="00D47C09" w:rsidRPr="00C623E0" w:rsidRDefault="00D47C09" w:rsidP="00D47C09">
      <w:pPr>
        <w:spacing w:line="360" w:lineRule="auto"/>
        <w:jc w:val="both"/>
        <w:rPr>
          <w:rFonts w:ascii="Palatino Linotype" w:hAnsi="Palatino Linotype"/>
        </w:rPr>
      </w:pPr>
      <w:r w:rsidRPr="00C623E0">
        <w:rPr>
          <w:rFonts w:ascii="Palatino Linotype" w:hAnsi="Palatino Linotype"/>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782193EB" w14:textId="77777777" w:rsidR="00D47C09" w:rsidRPr="00C623E0" w:rsidRDefault="00D47C09" w:rsidP="00D47C09">
      <w:pPr>
        <w:spacing w:line="360" w:lineRule="auto"/>
        <w:jc w:val="both"/>
        <w:rPr>
          <w:rFonts w:ascii="Palatino Linotype" w:hAnsi="Palatino Linotype"/>
          <w:sz w:val="10"/>
          <w:szCs w:val="10"/>
        </w:rPr>
      </w:pPr>
    </w:p>
    <w:p w14:paraId="3B34A35F" w14:textId="77777777" w:rsidR="00D47C09" w:rsidRPr="00C623E0" w:rsidRDefault="00D47C09" w:rsidP="00D47C09">
      <w:pPr>
        <w:ind w:left="851" w:right="902"/>
        <w:jc w:val="both"/>
        <w:rPr>
          <w:rFonts w:ascii="Palatino Linotype" w:hAnsi="Palatino Linotype"/>
          <w:i/>
          <w:sz w:val="22"/>
          <w:szCs w:val="22"/>
        </w:rPr>
      </w:pPr>
      <w:r w:rsidRPr="00C623E0">
        <w:rPr>
          <w:rFonts w:ascii="Palatino Linotype" w:hAnsi="Palatino Linotype"/>
          <w:b/>
          <w:i/>
          <w:sz w:val="22"/>
          <w:szCs w:val="22"/>
        </w:rPr>
        <w:t>“Segundo.</w:t>
      </w:r>
      <w:r w:rsidRPr="00C623E0">
        <w:rPr>
          <w:rFonts w:ascii="Palatino Linotype" w:hAnsi="Palatino Linotype"/>
          <w:i/>
          <w:sz w:val="22"/>
          <w:szCs w:val="22"/>
        </w:rPr>
        <w:t xml:space="preserve"> Para efectos de los presentes Lineamientos Generales, se entenderá por: </w:t>
      </w:r>
    </w:p>
    <w:p w14:paraId="6D6C36DF" w14:textId="77777777" w:rsidR="00D47C09" w:rsidRPr="00C623E0" w:rsidRDefault="00D47C09" w:rsidP="00D47C09">
      <w:pPr>
        <w:ind w:left="1134" w:right="902"/>
        <w:jc w:val="both"/>
        <w:rPr>
          <w:rFonts w:ascii="Palatino Linotype" w:hAnsi="Palatino Linotype"/>
          <w:b/>
          <w:i/>
          <w:sz w:val="22"/>
          <w:szCs w:val="22"/>
        </w:rPr>
      </w:pPr>
      <w:r w:rsidRPr="00C623E0">
        <w:rPr>
          <w:rFonts w:ascii="Palatino Linotype" w:hAnsi="Palatino Linotype"/>
          <w:b/>
          <w:i/>
          <w:sz w:val="22"/>
          <w:szCs w:val="22"/>
        </w:rPr>
        <w:t>...</w:t>
      </w:r>
    </w:p>
    <w:p w14:paraId="6B81EE2A" w14:textId="77777777" w:rsidR="00D47C09" w:rsidRPr="00C623E0" w:rsidRDefault="00D47C09" w:rsidP="00D47C09">
      <w:pPr>
        <w:ind w:left="1134" w:right="902"/>
        <w:jc w:val="both"/>
        <w:rPr>
          <w:rFonts w:ascii="Palatino Linotype" w:hAnsi="Palatino Linotype"/>
          <w:b/>
          <w:i/>
          <w:sz w:val="22"/>
          <w:szCs w:val="22"/>
        </w:rPr>
      </w:pPr>
      <w:r w:rsidRPr="00C623E0">
        <w:rPr>
          <w:rFonts w:ascii="Palatino Linotype" w:hAnsi="Palatino Linotype"/>
          <w:b/>
          <w:i/>
          <w:sz w:val="22"/>
          <w:szCs w:val="22"/>
        </w:rPr>
        <w:t>XIII.    Prueba de daño</w:t>
      </w:r>
      <w:r w:rsidRPr="00C623E0">
        <w:rPr>
          <w:rFonts w:ascii="Palatino Linotype" w:hAnsi="Palatino Linotype"/>
          <w:i/>
          <w:sz w:val="22"/>
          <w:szCs w:val="22"/>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C623E0">
        <w:rPr>
          <w:rFonts w:ascii="Palatino Linotype" w:hAnsi="Palatino Linotype"/>
          <w:b/>
          <w:i/>
          <w:sz w:val="22"/>
          <w:szCs w:val="22"/>
        </w:rPr>
        <w:t>”</w:t>
      </w:r>
    </w:p>
    <w:p w14:paraId="729AA37C" w14:textId="77777777" w:rsidR="00D47C09" w:rsidRPr="00C623E0" w:rsidRDefault="00D47C09" w:rsidP="00D47C09">
      <w:pPr>
        <w:spacing w:line="360" w:lineRule="auto"/>
        <w:jc w:val="both"/>
        <w:rPr>
          <w:rFonts w:ascii="Palatino Linotype" w:hAnsi="Palatino Linotype"/>
          <w:sz w:val="10"/>
          <w:szCs w:val="10"/>
        </w:rPr>
      </w:pPr>
    </w:p>
    <w:p w14:paraId="047E450B"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lastRenderedPageBreak/>
        <w:t>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y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 siendo que, además, el Sujeto Obligado debe, en todo momento, aplicar una prueba de daño.</w:t>
      </w:r>
    </w:p>
    <w:p w14:paraId="7B2B6C7E"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De este modo, conforme al artículo 132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4BEE1223" w14:textId="77777777" w:rsidR="00D47C09" w:rsidRPr="00C623E0" w:rsidRDefault="00D47C09" w:rsidP="00D47C09">
      <w:pPr>
        <w:spacing w:line="360" w:lineRule="auto"/>
        <w:jc w:val="both"/>
        <w:rPr>
          <w:rFonts w:ascii="Palatino Linotype" w:hAnsi="Palatino Linotype"/>
          <w:sz w:val="10"/>
          <w:szCs w:val="10"/>
        </w:rPr>
      </w:pPr>
    </w:p>
    <w:p w14:paraId="073AA601" w14:textId="77777777" w:rsidR="00D47C09" w:rsidRPr="00C623E0" w:rsidRDefault="00D47C09" w:rsidP="00D47C09">
      <w:pPr>
        <w:numPr>
          <w:ilvl w:val="0"/>
          <w:numId w:val="6"/>
        </w:numPr>
        <w:spacing w:line="360" w:lineRule="auto"/>
        <w:ind w:left="851"/>
        <w:jc w:val="both"/>
        <w:rPr>
          <w:rFonts w:ascii="Palatino Linotype" w:hAnsi="Palatino Linotype"/>
        </w:rPr>
      </w:pPr>
      <w:r w:rsidRPr="00C623E0">
        <w:rPr>
          <w:rFonts w:ascii="Palatino Linotype" w:hAnsi="Palatino Linotype"/>
        </w:rPr>
        <w:t>Se reciba una solicitud de acceso a la información.</w:t>
      </w:r>
    </w:p>
    <w:p w14:paraId="6FFF2D4E" w14:textId="77777777" w:rsidR="00D47C09" w:rsidRPr="00C623E0" w:rsidRDefault="00D47C09" w:rsidP="00D47C09">
      <w:pPr>
        <w:numPr>
          <w:ilvl w:val="0"/>
          <w:numId w:val="6"/>
        </w:numPr>
        <w:spacing w:line="360" w:lineRule="auto"/>
        <w:ind w:left="851"/>
        <w:jc w:val="both"/>
        <w:rPr>
          <w:rFonts w:ascii="Palatino Linotype" w:hAnsi="Palatino Linotype"/>
        </w:rPr>
      </w:pPr>
      <w:r w:rsidRPr="00C623E0">
        <w:rPr>
          <w:rFonts w:ascii="Palatino Linotype" w:hAnsi="Palatino Linotype"/>
        </w:rPr>
        <w:t>Se determine mediante resolución de autoridad competente.</w:t>
      </w:r>
    </w:p>
    <w:p w14:paraId="2B7A0B57" w14:textId="77777777" w:rsidR="00D47C09" w:rsidRPr="00C623E0" w:rsidRDefault="00D47C09" w:rsidP="00D47C09">
      <w:pPr>
        <w:numPr>
          <w:ilvl w:val="0"/>
          <w:numId w:val="6"/>
        </w:numPr>
        <w:spacing w:line="360" w:lineRule="auto"/>
        <w:ind w:left="851"/>
        <w:jc w:val="both"/>
        <w:rPr>
          <w:rFonts w:ascii="Palatino Linotype" w:hAnsi="Palatino Linotype"/>
        </w:rPr>
      </w:pPr>
      <w:r w:rsidRPr="00C623E0">
        <w:rPr>
          <w:rFonts w:ascii="Palatino Linotype" w:hAnsi="Palatino Linotype"/>
        </w:rPr>
        <w:t>Se generen versiones públicas para dar cumplimiento a las obligaciones de transparencia previstas en la Ley.</w:t>
      </w:r>
    </w:p>
    <w:p w14:paraId="0411C1C8" w14:textId="77777777" w:rsidR="00D47C09" w:rsidRPr="00C623E0" w:rsidRDefault="00D47C09" w:rsidP="00D47C09">
      <w:pPr>
        <w:spacing w:line="360" w:lineRule="auto"/>
        <w:jc w:val="both"/>
        <w:rPr>
          <w:rFonts w:ascii="Palatino Linotype" w:hAnsi="Palatino Linotype"/>
          <w:sz w:val="10"/>
          <w:szCs w:val="10"/>
        </w:rPr>
      </w:pPr>
    </w:p>
    <w:p w14:paraId="3843B979" w14:textId="77777777" w:rsidR="00D47C09" w:rsidRPr="00C623E0" w:rsidRDefault="00D47C09" w:rsidP="00D47C09">
      <w:pPr>
        <w:spacing w:line="360" w:lineRule="auto"/>
        <w:jc w:val="both"/>
        <w:rPr>
          <w:rFonts w:ascii="Palatino Linotype" w:hAnsi="Palatino Linotype"/>
        </w:rPr>
      </w:pPr>
      <w:r w:rsidRPr="00C623E0">
        <w:rPr>
          <w:rFonts w:ascii="Palatino Linotype" w:hAnsi="Palatino Linotype"/>
        </w:rPr>
        <w:lastRenderedPageBreak/>
        <w:t>Situación que se robustece con el artículo 141 de la misma Ley, que señala que las causales de reserva previstas, se deberán fundar y motivar, a través de la aplicación de la prueba de daño.</w:t>
      </w:r>
    </w:p>
    <w:p w14:paraId="192F2A0E" w14:textId="77777777" w:rsidR="00D47C09" w:rsidRPr="00C623E0" w:rsidRDefault="00D47C09" w:rsidP="00D47C09">
      <w:pPr>
        <w:spacing w:line="360" w:lineRule="auto"/>
        <w:jc w:val="both"/>
        <w:rPr>
          <w:rFonts w:ascii="Palatino Linotype" w:hAnsi="Palatino Linotype"/>
          <w:sz w:val="10"/>
          <w:szCs w:val="10"/>
        </w:rPr>
      </w:pPr>
    </w:p>
    <w:p w14:paraId="416D1F6C" w14:textId="77777777" w:rsidR="00D47C09" w:rsidRPr="00C623E0" w:rsidRDefault="00D47C09" w:rsidP="00D47C09">
      <w:pPr>
        <w:spacing w:line="360" w:lineRule="auto"/>
        <w:jc w:val="both"/>
        <w:rPr>
          <w:rFonts w:ascii="Palatino Linotype" w:hAnsi="Palatino Linotype"/>
        </w:rPr>
      </w:pPr>
      <w:r w:rsidRPr="00C623E0">
        <w:rPr>
          <w:rFonts w:ascii="Palatino Linotype" w:hAnsi="Palatino Linotype"/>
        </w:rPr>
        <w:t>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a saber:</w:t>
      </w:r>
    </w:p>
    <w:p w14:paraId="125B3EE4" w14:textId="77777777" w:rsidR="00D47C09" w:rsidRPr="00C623E0" w:rsidRDefault="00D47C09" w:rsidP="00D47C09">
      <w:pPr>
        <w:spacing w:before="240" w:after="240"/>
        <w:ind w:left="851" w:right="900"/>
        <w:jc w:val="both"/>
        <w:rPr>
          <w:rFonts w:ascii="Palatino Linotype" w:hAnsi="Palatino Linotype"/>
          <w:i/>
          <w:sz w:val="22"/>
          <w:szCs w:val="22"/>
        </w:rPr>
      </w:pPr>
      <w:r w:rsidRPr="00C623E0">
        <w:rPr>
          <w:rFonts w:ascii="Palatino Linotype" w:hAnsi="Palatino Linotype"/>
          <w:b/>
          <w:i/>
          <w:sz w:val="22"/>
          <w:szCs w:val="22"/>
        </w:rPr>
        <w:t>“Artículo 129</w:t>
      </w:r>
      <w:r w:rsidRPr="00C623E0">
        <w:rPr>
          <w:rFonts w:ascii="Palatino Linotype" w:hAnsi="Palatino Linotype"/>
          <w:i/>
          <w:sz w:val="22"/>
          <w:szCs w:val="22"/>
        </w:rPr>
        <w:t>. En la aplicación de la prueba de daño, el sujeto obligado deberá precisar las razones objetivas por las que la apertura de la información generaría una afectación, justificando que:</w:t>
      </w:r>
    </w:p>
    <w:p w14:paraId="51885D56" w14:textId="77777777" w:rsidR="00D47C09" w:rsidRPr="00C623E0" w:rsidRDefault="00D47C09" w:rsidP="00D47C09">
      <w:pPr>
        <w:spacing w:before="240" w:after="240"/>
        <w:ind w:left="1134" w:right="900"/>
        <w:jc w:val="both"/>
        <w:rPr>
          <w:rFonts w:ascii="Palatino Linotype" w:hAnsi="Palatino Linotype"/>
          <w:i/>
          <w:sz w:val="22"/>
          <w:szCs w:val="22"/>
        </w:rPr>
      </w:pPr>
      <w:r w:rsidRPr="00C623E0">
        <w:rPr>
          <w:rFonts w:ascii="Palatino Linotype" w:hAnsi="Palatino Linotype"/>
          <w:b/>
          <w:bCs/>
          <w:i/>
          <w:sz w:val="22"/>
          <w:szCs w:val="22"/>
        </w:rPr>
        <w:t>I</w:t>
      </w:r>
      <w:r w:rsidRPr="00C623E0">
        <w:rPr>
          <w:rFonts w:ascii="Palatino Linotype" w:hAnsi="Palatino Linotype"/>
          <w:i/>
          <w:sz w:val="22"/>
          <w:szCs w:val="22"/>
        </w:rPr>
        <w:t xml:space="preserve">. La divulgación de la información representa un riesgo real, demostrable e identificable del perjuicio significativo al interés público o a la seguridad pública; </w:t>
      </w:r>
    </w:p>
    <w:p w14:paraId="77718208" w14:textId="77777777" w:rsidR="00D47C09" w:rsidRPr="00C623E0" w:rsidRDefault="00D47C09" w:rsidP="00D47C09">
      <w:pPr>
        <w:spacing w:before="240" w:after="240"/>
        <w:ind w:left="1134" w:right="900"/>
        <w:jc w:val="both"/>
        <w:rPr>
          <w:rFonts w:ascii="Palatino Linotype" w:hAnsi="Palatino Linotype"/>
          <w:i/>
          <w:sz w:val="22"/>
          <w:szCs w:val="22"/>
        </w:rPr>
      </w:pPr>
      <w:r w:rsidRPr="00C623E0">
        <w:rPr>
          <w:rFonts w:ascii="Palatino Linotype" w:hAnsi="Palatino Linotype"/>
          <w:b/>
          <w:bCs/>
          <w:i/>
          <w:sz w:val="22"/>
          <w:szCs w:val="22"/>
        </w:rPr>
        <w:t>II.</w:t>
      </w:r>
      <w:r w:rsidRPr="00C623E0">
        <w:rPr>
          <w:rFonts w:ascii="Palatino Linotype" w:hAnsi="Palatino Linotype"/>
          <w:i/>
          <w:sz w:val="22"/>
          <w:szCs w:val="22"/>
        </w:rPr>
        <w:t xml:space="preserve"> El riesgo de perjuicio que supondría la divulgación supera el interés público general de que se difunda; y</w:t>
      </w:r>
    </w:p>
    <w:p w14:paraId="58966C48" w14:textId="77777777" w:rsidR="00D47C09" w:rsidRPr="00C623E0" w:rsidRDefault="00D47C09" w:rsidP="00D47C09">
      <w:pPr>
        <w:spacing w:before="240" w:after="240"/>
        <w:ind w:left="1134" w:right="900"/>
        <w:jc w:val="both"/>
        <w:rPr>
          <w:rFonts w:ascii="Palatino Linotype" w:hAnsi="Palatino Linotype"/>
          <w:i/>
          <w:sz w:val="22"/>
          <w:szCs w:val="22"/>
        </w:rPr>
      </w:pPr>
      <w:r w:rsidRPr="00C623E0">
        <w:rPr>
          <w:rFonts w:ascii="Palatino Linotype" w:hAnsi="Palatino Linotype"/>
          <w:b/>
          <w:bCs/>
          <w:i/>
          <w:sz w:val="22"/>
          <w:szCs w:val="22"/>
        </w:rPr>
        <w:t>III.</w:t>
      </w:r>
      <w:r w:rsidRPr="00C623E0">
        <w:rPr>
          <w:rFonts w:ascii="Palatino Linotype" w:hAnsi="Palatino Linotype"/>
          <w:i/>
          <w:sz w:val="22"/>
          <w:szCs w:val="22"/>
        </w:rPr>
        <w:t xml:space="preserve"> La limitación se adecua al principio de proporcionalidad y representa el medio menos restrictivo disponible representa el medio menos restrictivo disponible para evitar el perjuicio.”</w:t>
      </w:r>
    </w:p>
    <w:p w14:paraId="1DC4FE45" w14:textId="47C2DC09" w:rsidR="00D47C09" w:rsidRPr="00C623E0" w:rsidRDefault="00D47C09" w:rsidP="00D47C09">
      <w:pPr>
        <w:pBdr>
          <w:top w:val="nil"/>
          <w:left w:val="nil"/>
          <w:bottom w:val="nil"/>
          <w:right w:val="nil"/>
          <w:between w:val="nil"/>
        </w:pBdr>
        <w:spacing w:before="240" w:after="240" w:line="360" w:lineRule="auto"/>
        <w:jc w:val="both"/>
        <w:rPr>
          <w:rFonts w:ascii="Palatino Linotype" w:hAnsi="Palatino Linotype"/>
        </w:rPr>
      </w:pPr>
      <w:r w:rsidRPr="00C623E0">
        <w:rPr>
          <w:rFonts w:ascii="Palatino Linotype" w:hAnsi="Palatino Linotype"/>
        </w:rPr>
        <w:t xml:space="preserve">Al respecto, debe entenderse que la primera fracción consiste en verificar que existe un riesgo de publicar determinada información para el interés público o la seguridad pública, no implica, por el contrario, argumentar individualmente un riesgo real, demostrable e identificable, pues se entraría en una dinámica usar argumentos repetitivos en categorías de definición vaga. Por lo que el segundo paso de la prueba de daño es que, una vez que se acreditó el riesgo de hacer pública la información, es necesario ponderarlo con el interés público general de que se difunda esa </w:t>
      </w:r>
      <w:r w:rsidRPr="00C623E0">
        <w:rPr>
          <w:rFonts w:ascii="Palatino Linotype" w:hAnsi="Palatino Linotype"/>
        </w:rPr>
        <w:lastRenderedPageBreak/>
        <w:t xml:space="preserve">información, demostrando que el primero </w:t>
      </w:r>
      <w:r w:rsidRPr="00C623E0">
        <w:rPr>
          <w:rFonts w:ascii="Palatino Linotype" w:hAnsi="Palatino Linotype"/>
          <w:sz w:val="22"/>
        </w:rPr>
        <w:t xml:space="preserve">-el riesgo al divulgarse- </w:t>
      </w:r>
      <w:r w:rsidRPr="00C623E0">
        <w:rPr>
          <w:rFonts w:ascii="Palatino Linotype" w:hAnsi="Palatino Linotype"/>
        </w:rPr>
        <w:t xml:space="preserve">supera al segundo </w:t>
      </w:r>
      <w:r w:rsidRPr="00C623E0">
        <w:rPr>
          <w:rFonts w:ascii="Palatino Linotype" w:hAnsi="Palatino Linotype"/>
          <w:sz w:val="22"/>
        </w:rPr>
        <w:t>-el interés de que se conozca-</w:t>
      </w:r>
      <w:r w:rsidRPr="00C623E0">
        <w:rPr>
          <w:rFonts w:ascii="Palatino Linotype" w:hAnsi="Palatino Linotype"/>
        </w:rPr>
        <w:t>. Mientras que la tercera fracción es una guía de cómo realizar dicha ponderación a través del principio de proporcionalidad. Es decir, se debe determinar, en resumen, la idoneidad, necesidad y proporcionalidad de la reserva de la información frente al interés público de divulgarla. Además, se deben explorar las alternativas a través de las cuales se puede conseguir un menor daño a los intereses en pugna, o verificar que el medio que se eligió para reservar la información es el más benigno.</w:t>
      </w:r>
    </w:p>
    <w:p w14:paraId="19802268" w14:textId="1E77CBB9" w:rsidR="003F11AC" w:rsidRPr="00C623E0" w:rsidRDefault="003F11AC" w:rsidP="00D47C09">
      <w:pPr>
        <w:pBdr>
          <w:top w:val="nil"/>
          <w:left w:val="nil"/>
          <w:bottom w:val="nil"/>
          <w:right w:val="nil"/>
          <w:between w:val="nil"/>
        </w:pBdr>
        <w:spacing w:before="240" w:after="240" w:line="360" w:lineRule="auto"/>
        <w:jc w:val="both"/>
        <w:rPr>
          <w:rFonts w:ascii="Palatino Linotype" w:hAnsi="Palatino Linotype"/>
        </w:rPr>
      </w:pPr>
      <w:r w:rsidRPr="00C623E0">
        <w:rPr>
          <w:rFonts w:ascii="Palatino Linotype" w:hAnsi="Palatino Linotype"/>
        </w:rPr>
        <w:t xml:space="preserve">En el mismo tenor </w:t>
      </w:r>
      <w:r w:rsidR="00931827" w:rsidRPr="00C623E0">
        <w:rPr>
          <w:rFonts w:ascii="Palatino Linotype" w:hAnsi="Palatino Linotype"/>
        </w:rPr>
        <w:t>el numeral Trigésimo Tercero de los Lineamientos Generales en Materia de Clasificación y Desclasificación de la Información, dispone lo siguiente:</w:t>
      </w:r>
    </w:p>
    <w:p w14:paraId="77890E6F" w14:textId="6D1BBB47" w:rsidR="00931827" w:rsidRPr="00C623E0" w:rsidRDefault="00931827" w:rsidP="00931827">
      <w:pPr>
        <w:pBdr>
          <w:top w:val="nil"/>
          <w:left w:val="nil"/>
          <w:bottom w:val="nil"/>
          <w:right w:val="nil"/>
          <w:between w:val="nil"/>
        </w:pBdr>
        <w:spacing w:before="120" w:after="120"/>
        <w:ind w:left="851" w:right="758"/>
        <w:jc w:val="both"/>
        <w:rPr>
          <w:rFonts w:ascii="Palatino Linotype" w:hAnsi="Palatino Linotype"/>
          <w:i/>
          <w:iCs/>
          <w:sz w:val="22"/>
          <w:szCs w:val="22"/>
        </w:rPr>
      </w:pPr>
      <w:r w:rsidRPr="00C623E0">
        <w:rPr>
          <w:rFonts w:ascii="Palatino Linotype" w:hAnsi="Palatino Linotype"/>
          <w:i/>
          <w:iCs/>
          <w:sz w:val="22"/>
          <w:szCs w:val="22"/>
        </w:rPr>
        <w:t>“</w:t>
      </w:r>
      <w:r w:rsidRPr="00C623E0">
        <w:rPr>
          <w:rFonts w:ascii="Palatino Linotype" w:hAnsi="Palatino Linotype"/>
          <w:b/>
          <w:bCs/>
          <w:i/>
          <w:iCs/>
          <w:sz w:val="22"/>
          <w:szCs w:val="22"/>
        </w:rPr>
        <w:t>Trigésimo tercero</w:t>
      </w:r>
      <w:r w:rsidRPr="00C623E0">
        <w:rPr>
          <w:rFonts w:ascii="Palatino Linotype" w:hAnsi="Palatino Linotype"/>
          <w:i/>
          <w:iCs/>
          <w:sz w:val="22"/>
          <w:szCs w:val="22"/>
        </w:rPr>
        <w:t>. Para la aplicación de la prueba de daño a la que hace referencia el artículo 104 de la Ley General, los sujetos obligados atenderán lo siguiente:</w:t>
      </w:r>
    </w:p>
    <w:p w14:paraId="5FFBB77A" w14:textId="19A99EBF"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t xml:space="preserve">I. </w:t>
      </w:r>
      <w:r w:rsidRPr="00C623E0">
        <w:rPr>
          <w:rFonts w:ascii="Palatino Linotype" w:hAnsi="Palatino Linotype"/>
          <w:i/>
          <w:iCs/>
          <w:sz w:val="22"/>
          <w:szCs w:val="22"/>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p w14:paraId="56BAA699" w14:textId="3ABC30B3"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t>II</w:t>
      </w:r>
      <w:r w:rsidRPr="00C623E0">
        <w:rPr>
          <w:rFonts w:ascii="Palatino Linotype" w:hAnsi="Palatino Linotype"/>
          <w:i/>
          <w:iCs/>
          <w:sz w:val="22"/>
          <w:szCs w:val="22"/>
        </w:rPr>
        <w:t>. Mediante la ponderación de los intereses en conflicto, los sujetos obligados deberán demostrar que la publicidad de la información solicitada generaría un riesgo de perjuicio y por lo tanto, tendrán que acreditar que este último rebasa el interés público protegido por la reserva;</w:t>
      </w:r>
    </w:p>
    <w:p w14:paraId="51962F45" w14:textId="6FD1BFCB"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t>III.</w:t>
      </w:r>
      <w:r w:rsidRPr="00C623E0">
        <w:rPr>
          <w:rFonts w:ascii="Palatino Linotype" w:hAnsi="Palatino Linotype"/>
          <w:i/>
          <w:iCs/>
          <w:sz w:val="22"/>
          <w:szCs w:val="22"/>
        </w:rPr>
        <w:t xml:space="preserve"> Se debe de acreditar el vínculo entre la difusión de la información y la afectación del interés jurídico tutelado de que se trate;</w:t>
      </w:r>
    </w:p>
    <w:p w14:paraId="09A0554B" w14:textId="7FE445E9"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t>IV.</w:t>
      </w:r>
      <w:r w:rsidRPr="00C623E0">
        <w:rPr>
          <w:rFonts w:ascii="Palatino Linotype" w:hAnsi="Palatino Linotype"/>
          <w:i/>
          <w:iCs/>
          <w:sz w:val="22"/>
          <w:szCs w:val="22"/>
        </w:rPr>
        <w:t xml:space="preserve"> Precisar las razones objetivas por las que la apertura de la información generaría una afectación, a través de los elementos de un riesgo real, demostrable e identificable;</w:t>
      </w:r>
    </w:p>
    <w:p w14:paraId="66F4CEF3" w14:textId="77CBBB6C"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t>V</w:t>
      </w:r>
      <w:r w:rsidRPr="00C623E0">
        <w:rPr>
          <w:rFonts w:ascii="Palatino Linotype" w:hAnsi="Palatino Linotype"/>
          <w:i/>
          <w:iCs/>
          <w:sz w:val="22"/>
          <w:szCs w:val="22"/>
        </w:rPr>
        <w:t>. En la motivación de la clasificación, el sujeto obligado deberá acreditar las circunstancias de modo, tiempo y lugar del daño, y</w:t>
      </w:r>
    </w:p>
    <w:p w14:paraId="1CF621E4" w14:textId="5E5F8AF8" w:rsidR="00931827" w:rsidRPr="00C623E0" w:rsidRDefault="00931827" w:rsidP="00931827">
      <w:pPr>
        <w:pBdr>
          <w:top w:val="nil"/>
          <w:left w:val="nil"/>
          <w:bottom w:val="nil"/>
          <w:right w:val="nil"/>
          <w:between w:val="nil"/>
        </w:pBdr>
        <w:tabs>
          <w:tab w:val="left" w:pos="1701"/>
        </w:tabs>
        <w:spacing w:before="120" w:after="120"/>
        <w:ind w:left="1134" w:right="760"/>
        <w:jc w:val="both"/>
        <w:rPr>
          <w:rFonts w:ascii="Palatino Linotype" w:hAnsi="Palatino Linotype"/>
          <w:i/>
          <w:iCs/>
          <w:sz w:val="22"/>
          <w:szCs w:val="22"/>
        </w:rPr>
      </w:pPr>
      <w:r w:rsidRPr="00C623E0">
        <w:rPr>
          <w:rFonts w:ascii="Palatino Linotype" w:hAnsi="Palatino Linotype"/>
          <w:b/>
          <w:bCs/>
          <w:i/>
          <w:iCs/>
          <w:sz w:val="22"/>
          <w:szCs w:val="22"/>
        </w:rPr>
        <w:lastRenderedPageBreak/>
        <w:t>VI</w:t>
      </w:r>
      <w:r w:rsidRPr="00C623E0">
        <w:rPr>
          <w:rFonts w:ascii="Palatino Linotype" w:hAnsi="Palatino Linotype"/>
          <w:i/>
          <w:iCs/>
          <w:sz w:val="22"/>
          <w:szCs w:val="22"/>
        </w:rPr>
        <w:t>. Deberán elegir la opción de excepción al acceso a la información que menos lo restrinja, la cual será adecuada y proporcional para la protección del interés público, y deberá interferir lo menos posible en el ejercicio efectivo del derecho de acceso a la información.”</w:t>
      </w:r>
    </w:p>
    <w:p w14:paraId="295B5710"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De tal manera, las limitaciones al acceso a la información deben sustentarse en una adecuada clasificación que debe distinguir y tomar en cuenta qué información puede generar un daño desproporcionado o innecesario a valores jurídicamente protegidos.</w:t>
      </w:r>
    </w:p>
    <w:p w14:paraId="3027CAEB"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Lo anterior, encuentra sustento en la Tesis de la Décima Época, publicada en la Gaceta del Semanario Judicial de la Federación, sección Tribunales Colegiados de Circuito, Libro 5, de fecha abril de 2014, pág. 1523, Registro, 2, 006,299. I.1o.A.E.3 K (10a.), que literalmente señala:</w:t>
      </w:r>
    </w:p>
    <w:p w14:paraId="01A06581" w14:textId="77777777" w:rsidR="00D47C09" w:rsidRPr="00C623E0" w:rsidRDefault="00D47C09" w:rsidP="00D47C09">
      <w:pPr>
        <w:spacing w:line="360" w:lineRule="auto"/>
        <w:jc w:val="both"/>
        <w:rPr>
          <w:rFonts w:ascii="Palatino Linotype" w:hAnsi="Palatino Linotype"/>
          <w:sz w:val="10"/>
          <w:szCs w:val="10"/>
        </w:rPr>
      </w:pPr>
    </w:p>
    <w:p w14:paraId="0162A7F6" w14:textId="77777777" w:rsidR="00D47C09" w:rsidRPr="00C623E0" w:rsidRDefault="00D47C09" w:rsidP="00D47C09">
      <w:pPr>
        <w:ind w:left="851" w:right="902"/>
        <w:jc w:val="both"/>
        <w:rPr>
          <w:rFonts w:ascii="Palatino Linotype" w:hAnsi="Palatino Linotype"/>
          <w:i/>
          <w:sz w:val="22"/>
          <w:szCs w:val="22"/>
        </w:rPr>
      </w:pPr>
      <w:r w:rsidRPr="00C623E0">
        <w:rPr>
          <w:rFonts w:ascii="Palatino Linotype" w:hAnsi="Palatino Linotype"/>
          <w:i/>
          <w:sz w:val="22"/>
          <w:szCs w:val="22"/>
        </w:rPr>
        <w:t>“</w:t>
      </w:r>
      <w:r w:rsidRPr="00C623E0">
        <w:rPr>
          <w:rFonts w:ascii="Palatino Linotype"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C623E0">
        <w:rPr>
          <w:rFonts w:ascii="Palatino Linotype"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40D22E48" w14:textId="77777777" w:rsidR="00D47C09" w:rsidRPr="00C623E0" w:rsidRDefault="00D47C09" w:rsidP="00D47C09">
      <w:pPr>
        <w:spacing w:line="360" w:lineRule="auto"/>
        <w:jc w:val="both"/>
        <w:rPr>
          <w:rFonts w:ascii="Palatino Linotype" w:hAnsi="Palatino Linotype"/>
          <w:sz w:val="10"/>
          <w:szCs w:val="10"/>
        </w:rPr>
      </w:pPr>
    </w:p>
    <w:p w14:paraId="5A46620C"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lastRenderedPageBreak/>
        <w:t>Prueba de daño, que cobra relevancia puesto que sí ésta no arroja resultados contundentes sobre un posible peligro, deberá de publicarse o difundirse la información.</w:t>
      </w:r>
    </w:p>
    <w:p w14:paraId="592C4870"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12E3E7FA"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De este modo, es necesario que el Sujeto Obligado,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4C471BE4"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 xml:space="preserve">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w:t>
      </w:r>
      <w:r w:rsidRPr="00C623E0">
        <w:rPr>
          <w:rFonts w:ascii="Palatino Linotype" w:hAnsi="Palatino Linotype"/>
        </w:rPr>
        <w:lastRenderedPageBreak/>
        <w:t>o circunstancias especiales que lo llevaron a concluir que el caso particular se ajusta al supuesto previsto por la norma legal invocada como fundamento.</w:t>
      </w:r>
    </w:p>
    <w:p w14:paraId="5F05CAE6" w14:textId="77777777" w:rsidR="00D47C09" w:rsidRPr="00C623E0" w:rsidRDefault="00D47C09" w:rsidP="00D47C09">
      <w:pPr>
        <w:spacing w:before="240" w:after="240" w:line="360" w:lineRule="auto"/>
        <w:jc w:val="both"/>
        <w:rPr>
          <w:rFonts w:ascii="Palatino Linotype" w:hAnsi="Palatino Linotype"/>
        </w:rPr>
      </w:pPr>
      <w:r w:rsidRPr="00C623E0">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14:paraId="7C45C7EC" w14:textId="77777777" w:rsidR="00D47C09" w:rsidRPr="00C623E0" w:rsidRDefault="00D47C09" w:rsidP="00D47C09">
      <w:pPr>
        <w:spacing w:line="360" w:lineRule="auto"/>
        <w:jc w:val="both"/>
        <w:rPr>
          <w:rFonts w:ascii="Palatino Linotype" w:hAnsi="Palatino Linotype"/>
        </w:rPr>
      </w:pPr>
      <w:r w:rsidRPr="00C623E0">
        <w:rPr>
          <w:rFonts w:ascii="Palatino Linotype" w:hAnsi="Palatino Linotype"/>
        </w:rPr>
        <w:t>Sirve de sustento a lo anterior, la Tesis jurisprudencial número I.4º.A. J/43, publicada en el Semanario Judicial de la Federación y su Gaceta, bajo el número de registro 175,082; que a la letra dice:</w:t>
      </w:r>
    </w:p>
    <w:p w14:paraId="1C1397EE" w14:textId="77777777" w:rsidR="00D47C09" w:rsidRPr="00C623E0" w:rsidRDefault="00D47C09" w:rsidP="00D47C09">
      <w:pPr>
        <w:spacing w:line="360" w:lineRule="auto"/>
        <w:jc w:val="both"/>
        <w:rPr>
          <w:rFonts w:ascii="Palatino Linotype" w:hAnsi="Palatino Linotype"/>
          <w:sz w:val="10"/>
          <w:szCs w:val="10"/>
        </w:rPr>
      </w:pPr>
    </w:p>
    <w:p w14:paraId="36B84E38" w14:textId="77777777" w:rsidR="00D47C09" w:rsidRPr="00C623E0" w:rsidRDefault="00D47C09" w:rsidP="00D47C09">
      <w:pPr>
        <w:ind w:left="851" w:right="902"/>
        <w:jc w:val="both"/>
        <w:rPr>
          <w:rFonts w:ascii="Palatino Linotype" w:hAnsi="Palatino Linotype"/>
          <w:i/>
          <w:sz w:val="22"/>
          <w:szCs w:val="22"/>
        </w:rPr>
      </w:pPr>
      <w:r w:rsidRPr="00C623E0">
        <w:rPr>
          <w:rFonts w:ascii="Palatino Linotype" w:hAnsi="Palatino Linotype"/>
          <w:i/>
          <w:sz w:val="22"/>
          <w:szCs w:val="22"/>
        </w:rPr>
        <w:t>“</w:t>
      </w:r>
      <w:r w:rsidRPr="00C623E0">
        <w:rPr>
          <w:rFonts w:ascii="Palatino Linotype" w:hAnsi="Palatino Linotype"/>
          <w:b/>
          <w:i/>
          <w:sz w:val="22"/>
          <w:szCs w:val="22"/>
        </w:rPr>
        <w:t>FUNDAMENTACIÓN Y MOTIVACIÓN. EL ASPECTO FORMAL DE LA GARANTÍA Y SU FINALIDAD SE TRADUCEN EN EXPLICAR, JUSTIFICAR, POSIBILITAR LA DEFENSA Y COMUNICAR LA DECISIÓN. </w:t>
      </w:r>
      <w:r w:rsidRPr="00C623E0">
        <w:rPr>
          <w:rFonts w:ascii="Palatino Linotype" w:hAnsi="Palatino Linotype"/>
          <w:i/>
          <w:sz w:val="22"/>
          <w:szCs w:val="22"/>
        </w:rPr>
        <w:t>El contenido formal de la garantía de legalidad prevista en el artículo 16 constitucional relativa a la fundamentación y motivación tiene como propósito primordial y ratio que el justiciable </w:t>
      </w:r>
      <w:r w:rsidRPr="00C623E0">
        <w:rPr>
          <w:rFonts w:ascii="Palatino Linotype" w:hAnsi="Palatino Linotype"/>
          <w:b/>
          <w:i/>
          <w:sz w:val="22"/>
          <w:szCs w:val="22"/>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C623E0">
        <w:rPr>
          <w:rFonts w:ascii="Palatino Linotype" w:hAnsi="Palatino Linotype"/>
          <w:i/>
          <w:sz w:val="22"/>
          <w:szCs w:val="22"/>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C623E0">
        <w:rPr>
          <w:rFonts w:ascii="Palatino Linotype" w:hAnsi="Palatino Linotype"/>
          <w:b/>
          <w:i/>
          <w:sz w:val="22"/>
          <w:szCs w:val="22"/>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C623E0">
        <w:rPr>
          <w:rFonts w:ascii="Palatino Linotype" w:hAnsi="Palatino Linotype"/>
          <w:i/>
          <w:sz w:val="22"/>
          <w:szCs w:val="22"/>
        </w:rPr>
        <w:t> del que se deduzca la relación de pertenencia lógica de los hechos al derecho invocado, que es la subsunción.”</w:t>
      </w:r>
    </w:p>
    <w:p w14:paraId="3F260893" w14:textId="6679FADA" w:rsidR="00BB5BBD" w:rsidRPr="00C623E0" w:rsidRDefault="00BB5BBD" w:rsidP="00BB5BBD">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De igual forma, tomando en consideración los términos de la respuesta proporcionada a las solicitudes,  tiene aplicación</w:t>
      </w:r>
      <w:r w:rsidR="00BB3B6C" w:rsidRPr="00C623E0">
        <w:rPr>
          <w:rFonts w:ascii="Palatino Linotype" w:eastAsia="Palatino Linotype" w:hAnsi="Palatino Linotype" w:cs="Palatino Linotype"/>
        </w:rPr>
        <w:t xml:space="preserve">, a manera de referencia, </w:t>
      </w:r>
      <w:r w:rsidRPr="00C623E0">
        <w:rPr>
          <w:rFonts w:ascii="Palatino Linotype" w:eastAsia="Palatino Linotype" w:hAnsi="Palatino Linotype" w:cs="Palatino Linotype"/>
        </w:rPr>
        <w:t xml:space="preserve">lo establecido en los </w:t>
      </w:r>
      <w:r w:rsidRPr="00C623E0">
        <w:rPr>
          <w:rFonts w:ascii="Palatino Linotype" w:eastAsia="Palatino Linotype" w:hAnsi="Palatino Linotype" w:cs="Palatino Linotype"/>
          <w:i/>
        </w:rPr>
        <w:t>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C623E0">
        <w:rPr>
          <w:rFonts w:ascii="Palatino Linotype" w:eastAsia="Palatino Linotype" w:hAnsi="Palatino Linotype" w:cs="Palatino Linotype"/>
        </w:rPr>
        <w:t>, en su numeral CUARENTA Y SEIS y CUARENTA Y SIETE, a saber:</w:t>
      </w:r>
    </w:p>
    <w:p w14:paraId="3123B889" w14:textId="77777777" w:rsidR="00BB5BBD" w:rsidRPr="00C623E0" w:rsidRDefault="00BB5BBD" w:rsidP="00BB5BBD">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“CUARENTA Y SEIS</w:t>
      </w:r>
      <w:r w:rsidRPr="00C623E0">
        <w:rPr>
          <w:rFonts w:ascii="Palatino Linotype" w:eastAsia="Palatino Linotype" w:hAnsi="Palatino Linotype" w:cs="Palatino Linotype"/>
          <w:i/>
          <w:sz w:val="22"/>
          <w:szCs w:val="22"/>
        </w:rPr>
        <w:t>.- En el supuesto de que la información estuviera clasificada, el responsable de la Unidad de Información deberá turnar la solicitud al Comité de Información para su análisis y resolución.</w:t>
      </w:r>
    </w:p>
    <w:p w14:paraId="426B1E09" w14:textId="1221C48B" w:rsidR="00BB5BBD" w:rsidRPr="00C623E0" w:rsidRDefault="00BB5BBD" w:rsidP="00BB5BBD">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67C84CAE" w14:textId="5D92AB29" w:rsidR="00BB5BBD" w:rsidRPr="00C623E0" w:rsidRDefault="00BB5BBD" w:rsidP="00F61D63">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CUARENTA Y SIETE.</w:t>
      </w:r>
      <w:r w:rsidRPr="00C623E0">
        <w:rPr>
          <w:rFonts w:ascii="Palatino Linotype" w:eastAsia="Palatino Linotype" w:hAnsi="Palatino Linotype" w:cs="Palatino Linotype"/>
          <w:i/>
          <w:sz w:val="22"/>
          <w:szCs w:val="22"/>
        </w:rPr>
        <w:t>- La resolución que emita el Comité de Información pa</w:t>
      </w:r>
      <w:r w:rsidR="00F61D63" w:rsidRPr="00C623E0">
        <w:rPr>
          <w:rFonts w:ascii="Palatino Linotype" w:eastAsia="Palatino Linotype" w:hAnsi="Palatino Linotype" w:cs="Palatino Linotype"/>
          <w:i/>
          <w:sz w:val="22"/>
          <w:szCs w:val="22"/>
        </w:rPr>
        <w:t xml:space="preserve">ra </w:t>
      </w:r>
      <w:r w:rsidRPr="00C623E0">
        <w:rPr>
          <w:rFonts w:ascii="Palatino Linotype" w:eastAsia="Palatino Linotype" w:hAnsi="Palatino Linotype" w:cs="Palatino Linotype"/>
          <w:i/>
          <w:sz w:val="22"/>
          <w:szCs w:val="22"/>
        </w:rPr>
        <w:t>la confirmación de la clasificación de la in</w:t>
      </w:r>
      <w:r w:rsidR="00F61D63" w:rsidRPr="00C623E0">
        <w:rPr>
          <w:rFonts w:ascii="Palatino Linotype" w:eastAsia="Palatino Linotype" w:hAnsi="Palatino Linotype" w:cs="Palatino Linotype"/>
          <w:i/>
          <w:sz w:val="22"/>
          <w:szCs w:val="22"/>
        </w:rPr>
        <w:t xml:space="preserve">formación como reservada deberá </w:t>
      </w:r>
      <w:r w:rsidRPr="00C623E0">
        <w:rPr>
          <w:rFonts w:ascii="Palatino Linotype" w:eastAsia="Palatino Linotype" w:hAnsi="Palatino Linotype" w:cs="Palatino Linotype"/>
          <w:i/>
          <w:sz w:val="22"/>
          <w:szCs w:val="22"/>
        </w:rPr>
        <w:t>precisar:</w:t>
      </w:r>
    </w:p>
    <w:p w14:paraId="0A32A23B" w14:textId="77777777"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a)</w:t>
      </w:r>
      <w:r w:rsidRPr="00C623E0">
        <w:rPr>
          <w:rFonts w:ascii="Palatino Linotype" w:eastAsia="Palatino Linotype" w:hAnsi="Palatino Linotype" w:cs="Palatino Linotype"/>
          <w:i/>
          <w:sz w:val="22"/>
          <w:szCs w:val="22"/>
        </w:rPr>
        <w:t xml:space="preserve"> Lugar y fecha de la resolución;</w:t>
      </w:r>
    </w:p>
    <w:p w14:paraId="53865DF1" w14:textId="77777777"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b)</w:t>
      </w:r>
      <w:r w:rsidRPr="00C623E0">
        <w:rPr>
          <w:rFonts w:ascii="Palatino Linotype" w:eastAsia="Palatino Linotype" w:hAnsi="Palatino Linotype" w:cs="Palatino Linotype"/>
          <w:i/>
          <w:sz w:val="22"/>
          <w:szCs w:val="22"/>
        </w:rPr>
        <w:t xml:space="preserve"> El nombre del solicitante;</w:t>
      </w:r>
    </w:p>
    <w:p w14:paraId="64CEBC57" w14:textId="77777777"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c)</w:t>
      </w:r>
      <w:r w:rsidRPr="00C623E0">
        <w:rPr>
          <w:rFonts w:ascii="Palatino Linotype" w:eastAsia="Palatino Linotype" w:hAnsi="Palatino Linotype" w:cs="Palatino Linotype"/>
          <w:i/>
          <w:sz w:val="22"/>
          <w:szCs w:val="22"/>
        </w:rPr>
        <w:t xml:space="preserve"> La información solicitada;</w:t>
      </w:r>
    </w:p>
    <w:p w14:paraId="64D8329A" w14:textId="24DC56FC" w:rsidR="00BB5BBD" w:rsidRPr="00C623E0" w:rsidRDefault="00BB5BBD" w:rsidP="00F61D63">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d)</w:t>
      </w:r>
      <w:r w:rsidRPr="00C623E0">
        <w:rPr>
          <w:rFonts w:ascii="Palatino Linotype" w:eastAsia="Palatino Linotype" w:hAnsi="Palatino Linotype" w:cs="Palatino Linotype"/>
          <w:i/>
          <w:sz w:val="22"/>
          <w:szCs w:val="22"/>
        </w:rPr>
        <w:t xml:space="preserve"> El razonamiento lógico que demuestre</w:t>
      </w:r>
      <w:r w:rsidR="00F61D63" w:rsidRPr="00C623E0">
        <w:rPr>
          <w:rFonts w:ascii="Palatino Linotype" w:eastAsia="Palatino Linotype" w:hAnsi="Palatino Linotype" w:cs="Palatino Linotype"/>
          <w:i/>
          <w:sz w:val="22"/>
          <w:szCs w:val="22"/>
        </w:rPr>
        <w:t xml:space="preserve"> que la información encuadra en </w:t>
      </w:r>
      <w:r w:rsidRPr="00C623E0">
        <w:rPr>
          <w:rFonts w:ascii="Palatino Linotype" w:eastAsia="Palatino Linotype" w:hAnsi="Palatino Linotype" w:cs="Palatino Linotype"/>
          <w:i/>
          <w:sz w:val="22"/>
          <w:szCs w:val="22"/>
        </w:rPr>
        <w:t xml:space="preserve">alguna de las hipótesis previstas en la Ley, </w:t>
      </w:r>
      <w:r w:rsidR="00F61D63" w:rsidRPr="00C623E0">
        <w:rPr>
          <w:rFonts w:ascii="Palatino Linotype" w:eastAsia="Palatino Linotype" w:hAnsi="Palatino Linotype" w:cs="Palatino Linotype"/>
          <w:i/>
          <w:sz w:val="22"/>
          <w:szCs w:val="22"/>
        </w:rPr>
        <w:t xml:space="preserve">debiéndose invocar el artículo, </w:t>
      </w:r>
      <w:r w:rsidRPr="00C623E0">
        <w:rPr>
          <w:rFonts w:ascii="Palatino Linotype" w:eastAsia="Palatino Linotype" w:hAnsi="Palatino Linotype" w:cs="Palatino Linotype"/>
          <w:i/>
          <w:sz w:val="22"/>
          <w:szCs w:val="22"/>
        </w:rPr>
        <w:t>fracción, y supuesto que se actualiza;</w:t>
      </w:r>
    </w:p>
    <w:p w14:paraId="551A2E69" w14:textId="77777777"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e)</w:t>
      </w:r>
      <w:r w:rsidRPr="00C623E0">
        <w:rPr>
          <w:rFonts w:ascii="Palatino Linotype" w:eastAsia="Palatino Linotype" w:hAnsi="Palatino Linotype" w:cs="Palatino Linotype"/>
          <w:i/>
          <w:sz w:val="22"/>
          <w:szCs w:val="22"/>
        </w:rPr>
        <w:t xml:space="preserve"> El periodo por el cual se encuentra clasificada la información solicitada;</w:t>
      </w:r>
    </w:p>
    <w:p w14:paraId="2191AA3C" w14:textId="418A0A61" w:rsidR="00BB5BBD" w:rsidRPr="00C623E0" w:rsidRDefault="00BB5BBD" w:rsidP="00F61D63">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f)</w:t>
      </w:r>
      <w:r w:rsidRPr="00C623E0">
        <w:rPr>
          <w:rFonts w:ascii="Palatino Linotype" w:eastAsia="Palatino Linotype" w:hAnsi="Palatino Linotype" w:cs="Palatino Linotype"/>
          <w:i/>
          <w:sz w:val="22"/>
          <w:szCs w:val="22"/>
        </w:rPr>
        <w:t xml:space="preserve"> Los elementos objetivos que permitan determinar si la difusi</w:t>
      </w:r>
      <w:r w:rsidR="00F61D63" w:rsidRPr="00C623E0">
        <w:rPr>
          <w:rFonts w:ascii="Palatino Linotype" w:eastAsia="Palatino Linotype" w:hAnsi="Palatino Linotype" w:cs="Palatino Linotype"/>
          <w:i/>
          <w:sz w:val="22"/>
          <w:szCs w:val="22"/>
        </w:rPr>
        <w:t xml:space="preserve">ón de la </w:t>
      </w:r>
      <w:r w:rsidRPr="00C623E0">
        <w:rPr>
          <w:rFonts w:ascii="Palatino Linotype" w:eastAsia="Palatino Linotype" w:hAnsi="Palatino Linotype" w:cs="Palatino Linotype"/>
          <w:i/>
          <w:sz w:val="22"/>
          <w:szCs w:val="22"/>
        </w:rPr>
        <w:t>información causaría un daño presen</w:t>
      </w:r>
      <w:r w:rsidR="00F61D63" w:rsidRPr="00C623E0">
        <w:rPr>
          <w:rFonts w:ascii="Palatino Linotype" w:eastAsia="Palatino Linotype" w:hAnsi="Palatino Linotype" w:cs="Palatino Linotype"/>
          <w:i/>
          <w:sz w:val="22"/>
          <w:szCs w:val="22"/>
        </w:rPr>
        <w:t xml:space="preserve">te, probable y específico a los </w:t>
      </w:r>
      <w:r w:rsidRPr="00C623E0">
        <w:rPr>
          <w:rFonts w:ascii="Palatino Linotype" w:eastAsia="Palatino Linotype" w:hAnsi="Palatino Linotype" w:cs="Palatino Linotype"/>
          <w:i/>
          <w:sz w:val="22"/>
          <w:szCs w:val="22"/>
        </w:rPr>
        <w:t>intereses jurídicos tutelados en los supuest</w:t>
      </w:r>
      <w:r w:rsidR="00F61D63" w:rsidRPr="00C623E0">
        <w:rPr>
          <w:rFonts w:ascii="Palatino Linotype" w:eastAsia="Palatino Linotype" w:hAnsi="Palatino Linotype" w:cs="Palatino Linotype"/>
          <w:i/>
          <w:sz w:val="22"/>
          <w:szCs w:val="22"/>
        </w:rPr>
        <w:t xml:space="preserve">os de excepción previstos en el </w:t>
      </w:r>
      <w:r w:rsidRPr="00C623E0">
        <w:rPr>
          <w:rFonts w:ascii="Palatino Linotype" w:eastAsia="Palatino Linotype" w:hAnsi="Palatino Linotype" w:cs="Palatino Linotype"/>
          <w:i/>
          <w:sz w:val="22"/>
          <w:szCs w:val="22"/>
        </w:rPr>
        <w:t>artículo 20 de la Ley;</w:t>
      </w:r>
    </w:p>
    <w:p w14:paraId="046926C0" w14:textId="550CC8F9" w:rsidR="00BB5BBD" w:rsidRPr="00C623E0" w:rsidRDefault="00BB5BBD" w:rsidP="00F61D63">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g)</w:t>
      </w:r>
      <w:r w:rsidRPr="00C623E0">
        <w:rPr>
          <w:rFonts w:ascii="Palatino Linotype" w:eastAsia="Palatino Linotype" w:hAnsi="Palatino Linotype" w:cs="Palatino Linotype"/>
          <w:i/>
          <w:sz w:val="22"/>
          <w:szCs w:val="22"/>
        </w:rPr>
        <w:t xml:space="preserve"> El número del acuerdo emitido por el</w:t>
      </w:r>
      <w:r w:rsidR="00F61D63" w:rsidRPr="00C623E0">
        <w:rPr>
          <w:rFonts w:ascii="Palatino Linotype" w:eastAsia="Palatino Linotype" w:hAnsi="Palatino Linotype" w:cs="Palatino Linotype"/>
          <w:i/>
          <w:sz w:val="22"/>
          <w:szCs w:val="22"/>
        </w:rPr>
        <w:t xml:space="preserve"> Comité de Información mediante </w:t>
      </w:r>
      <w:r w:rsidRPr="00C623E0">
        <w:rPr>
          <w:rFonts w:ascii="Palatino Linotype" w:eastAsia="Palatino Linotype" w:hAnsi="Palatino Linotype" w:cs="Palatino Linotype"/>
          <w:i/>
          <w:sz w:val="22"/>
          <w:szCs w:val="22"/>
        </w:rPr>
        <w:t>el cual se clasificó la información;</w:t>
      </w:r>
    </w:p>
    <w:p w14:paraId="4E4BE396" w14:textId="5FEFF4B9" w:rsidR="00BB5BBD" w:rsidRPr="00C623E0" w:rsidRDefault="00BB5BBD" w:rsidP="00F61D63">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lastRenderedPageBreak/>
        <w:t>h)</w:t>
      </w:r>
      <w:r w:rsidRPr="00C623E0">
        <w:rPr>
          <w:rFonts w:ascii="Palatino Linotype" w:eastAsia="Palatino Linotype" w:hAnsi="Palatino Linotype" w:cs="Palatino Linotype"/>
          <w:i/>
          <w:sz w:val="22"/>
          <w:szCs w:val="22"/>
        </w:rPr>
        <w:t xml:space="preserve"> El informe al solicitante de que tiene el </w:t>
      </w:r>
      <w:r w:rsidR="00F61D63" w:rsidRPr="00C623E0">
        <w:rPr>
          <w:rFonts w:ascii="Palatino Linotype" w:eastAsia="Palatino Linotype" w:hAnsi="Palatino Linotype" w:cs="Palatino Linotype"/>
          <w:i/>
          <w:sz w:val="22"/>
          <w:szCs w:val="22"/>
        </w:rPr>
        <w:t xml:space="preserve">derecho a interponer el recurso </w:t>
      </w:r>
      <w:r w:rsidRPr="00C623E0">
        <w:rPr>
          <w:rFonts w:ascii="Palatino Linotype" w:eastAsia="Palatino Linotype" w:hAnsi="Palatino Linotype" w:cs="Palatino Linotype"/>
          <w:i/>
          <w:sz w:val="22"/>
          <w:szCs w:val="22"/>
        </w:rPr>
        <w:t>de revisión respectivo, en el término de 15</w:t>
      </w:r>
      <w:r w:rsidR="00F61D63" w:rsidRPr="00C623E0">
        <w:rPr>
          <w:rFonts w:ascii="Palatino Linotype" w:eastAsia="Palatino Linotype" w:hAnsi="Palatino Linotype" w:cs="Palatino Linotype"/>
          <w:i/>
          <w:sz w:val="22"/>
          <w:szCs w:val="22"/>
        </w:rPr>
        <w:t xml:space="preserve"> días hábiles contados a partir </w:t>
      </w:r>
      <w:r w:rsidRPr="00C623E0">
        <w:rPr>
          <w:rFonts w:ascii="Palatino Linotype" w:eastAsia="Palatino Linotype" w:hAnsi="Palatino Linotype" w:cs="Palatino Linotype"/>
          <w:i/>
          <w:sz w:val="22"/>
          <w:szCs w:val="22"/>
        </w:rPr>
        <w:t>del día siguiente de que haya surtido sus efectos la notificación de dicho</w:t>
      </w:r>
      <w:r w:rsidR="00F61D63" w:rsidRPr="00C623E0">
        <w:rPr>
          <w:rFonts w:ascii="Palatino Linotype" w:eastAsia="Palatino Linotype" w:hAnsi="Palatino Linotype" w:cs="Palatino Linotype"/>
          <w:i/>
          <w:sz w:val="22"/>
          <w:szCs w:val="22"/>
        </w:rPr>
        <w:t xml:space="preserve"> </w:t>
      </w:r>
      <w:r w:rsidRPr="00C623E0">
        <w:rPr>
          <w:rFonts w:ascii="Palatino Linotype" w:eastAsia="Palatino Linotype" w:hAnsi="Palatino Linotype" w:cs="Palatino Linotype"/>
          <w:i/>
          <w:sz w:val="22"/>
          <w:szCs w:val="22"/>
        </w:rPr>
        <w:t>acuerdo;</w:t>
      </w:r>
    </w:p>
    <w:p w14:paraId="5066C70F" w14:textId="77777777"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bCs/>
          <w:i/>
          <w:sz w:val="22"/>
          <w:szCs w:val="22"/>
        </w:rPr>
        <w:t>i)</w:t>
      </w:r>
      <w:r w:rsidRPr="00C623E0">
        <w:rPr>
          <w:rFonts w:ascii="Palatino Linotype" w:eastAsia="Palatino Linotype" w:hAnsi="Palatino Linotype" w:cs="Palatino Linotype"/>
          <w:i/>
          <w:sz w:val="22"/>
          <w:szCs w:val="22"/>
        </w:rPr>
        <w:t xml:space="preserve"> Los nombres y firmas autógrafas de los integrantes del Comité de</w:t>
      </w:r>
    </w:p>
    <w:p w14:paraId="15139A23" w14:textId="335F8E10" w:rsidR="00BB5BBD" w:rsidRPr="00C623E0" w:rsidRDefault="00BB5BBD" w:rsidP="00BB5BBD">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Información.”</w:t>
      </w:r>
    </w:p>
    <w:p w14:paraId="30C3310F" w14:textId="77777777" w:rsidR="001B2D4D" w:rsidRPr="00C623E0" w:rsidRDefault="00BB5BBD">
      <w:pPr>
        <w:spacing w:before="240" w:after="240" w:line="360" w:lineRule="auto"/>
        <w:ind w:right="51"/>
        <w:jc w:val="both"/>
        <w:rPr>
          <w:rFonts w:ascii="Palatino Linotype" w:hAnsi="Palatino Linotype"/>
          <w:bCs/>
        </w:rPr>
      </w:pPr>
      <w:r w:rsidRPr="00C623E0">
        <w:rPr>
          <w:rFonts w:ascii="Palatino Linotype" w:hAnsi="Palatino Linotype"/>
        </w:rPr>
        <w:t>E</w:t>
      </w:r>
      <w:r w:rsidR="00D47C09" w:rsidRPr="00C623E0">
        <w:rPr>
          <w:rFonts w:ascii="Palatino Linotype" w:hAnsi="Palatino Linotype"/>
        </w:rPr>
        <w:t xml:space="preserve">n el caso concreto, el </w:t>
      </w:r>
      <w:r w:rsidR="00D47C09" w:rsidRPr="00C623E0">
        <w:rPr>
          <w:rFonts w:ascii="Palatino Linotype" w:hAnsi="Palatino Linotype"/>
          <w:b/>
        </w:rPr>
        <w:t xml:space="preserve">Sujeto Obligado </w:t>
      </w:r>
      <w:r w:rsidR="00D47C09" w:rsidRPr="00C623E0">
        <w:rPr>
          <w:rFonts w:ascii="Palatino Linotype" w:hAnsi="Palatino Linotype"/>
          <w:bCs/>
        </w:rPr>
        <w:t xml:space="preserve">remitió el Acta </w:t>
      </w:r>
      <w:r w:rsidR="00416E94" w:rsidRPr="00C623E0">
        <w:rPr>
          <w:rFonts w:ascii="Palatino Linotype" w:hAnsi="Palatino Linotype"/>
          <w:bCs/>
        </w:rPr>
        <w:t xml:space="preserve">de la Centésima Sexagésima Quinta Sesión Extraordinaria 2022 del Comité de Transparencia, mediante la cual se sometió a consideración de los integrantes el análisis y aprobación en su caso </w:t>
      </w:r>
      <w:r w:rsidR="00EB2B72" w:rsidRPr="00C623E0">
        <w:rPr>
          <w:rFonts w:ascii="Palatino Linotype" w:hAnsi="Palatino Linotype"/>
          <w:bCs/>
        </w:rPr>
        <w:t xml:space="preserve">de la propuesta de clasificación presentada por el Contralor Municipal, </w:t>
      </w:r>
      <w:r w:rsidR="001B2D4D" w:rsidRPr="00C623E0">
        <w:rPr>
          <w:rFonts w:ascii="Palatino Linotype" w:hAnsi="Palatino Linotype"/>
          <w:bCs/>
        </w:rPr>
        <w:t>por lo que a continuación se efectuará el análisis de dicho documento con la finalidad de determinar si cumplió con las formalidades precisadas en líneas anteriores:</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C623E0" w:rsidRPr="00C623E0" w14:paraId="5BC0E4E6" w14:textId="77777777" w:rsidTr="00160312">
        <w:tc>
          <w:tcPr>
            <w:tcW w:w="2263" w:type="dxa"/>
            <w:vAlign w:val="center"/>
          </w:tcPr>
          <w:p w14:paraId="74EB02E2" w14:textId="77777777" w:rsidR="001B2D4D" w:rsidRPr="00C623E0" w:rsidRDefault="001B2D4D"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REQUISITOS</w:t>
            </w:r>
          </w:p>
        </w:tc>
        <w:tc>
          <w:tcPr>
            <w:tcW w:w="5245" w:type="dxa"/>
            <w:vAlign w:val="center"/>
          </w:tcPr>
          <w:p w14:paraId="76DA8CC3" w14:textId="77777777" w:rsidR="001B2D4D" w:rsidRPr="00C623E0" w:rsidRDefault="001B2D4D"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ACUERDO</w:t>
            </w:r>
          </w:p>
        </w:tc>
        <w:tc>
          <w:tcPr>
            <w:tcW w:w="1320" w:type="dxa"/>
            <w:vAlign w:val="center"/>
          </w:tcPr>
          <w:p w14:paraId="39570E00" w14:textId="77777777" w:rsidR="001B2D4D" w:rsidRPr="00C623E0" w:rsidRDefault="001B2D4D"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¿CUMPLE?</w:t>
            </w:r>
          </w:p>
        </w:tc>
      </w:tr>
      <w:tr w:rsidR="00C623E0" w:rsidRPr="00C623E0" w14:paraId="6FFCCA59" w14:textId="77777777" w:rsidTr="00160312">
        <w:trPr>
          <w:trHeight w:val="1794"/>
        </w:trPr>
        <w:tc>
          <w:tcPr>
            <w:tcW w:w="2263" w:type="dxa"/>
            <w:vAlign w:val="center"/>
          </w:tcPr>
          <w:p w14:paraId="121A2FA9" w14:textId="285F10E7" w:rsidR="001B2D4D" w:rsidRPr="00C623E0" w:rsidRDefault="001B2D4D"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Lugar y fecha de la resolución</w:t>
            </w:r>
            <w:r w:rsidR="001E06BC" w:rsidRPr="00C623E0">
              <w:rPr>
                <w:rFonts w:ascii="Palatino Linotype" w:eastAsia="Palatino Linotype" w:hAnsi="Palatino Linotype" w:cs="Palatino Linotype"/>
                <w:sz w:val="20"/>
                <w:szCs w:val="20"/>
              </w:rPr>
              <w:t>.</w:t>
            </w:r>
          </w:p>
        </w:tc>
        <w:tc>
          <w:tcPr>
            <w:tcW w:w="5245" w:type="dxa"/>
            <w:vAlign w:val="center"/>
          </w:tcPr>
          <w:p w14:paraId="11A333A6" w14:textId="4B4CFCDE" w:rsidR="001B2D4D" w:rsidRPr="00C623E0" w:rsidRDefault="008700AA" w:rsidP="00160312">
            <w:pPr>
              <w:spacing w:before="240" w:after="240" w:line="360" w:lineRule="auto"/>
              <w:jc w:val="center"/>
              <w:rPr>
                <w:rFonts w:ascii="Palatino Linotype" w:eastAsia="Palatino Linotype" w:hAnsi="Palatino Linotype" w:cs="Palatino Linotype"/>
              </w:rPr>
            </w:pPr>
            <w:r w:rsidRPr="00C623E0">
              <w:object w:dxaOrig="9780" w:dyaOrig="1155" w14:anchorId="0C536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9.25pt" o:ole="">
                  <v:imagedata r:id="rId10" o:title=""/>
                </v:shape>
                <o:OLEObject Type="Embed" ProgID="PBrush" ShapeID="_x0000_i1025" DrawAspect="Content" ObjectID="_1725790194" r:id="rId11"/>
              </w:object>
            </w:r>
          </w:p>
        </w:tc>
        <w:tc>
          <w:tcPr>
            <w:tcW w:w="1320" w:type="dxa"/>
            <w:vAlign w:val="center"/>
          </w:tcPr>
          <w:p w14:paraId="3D012532" w14:textId="77777777" w:rsidR="001B2D4D" w:rsidRPr="00C623E0" w:rsidRDefault="001B2D4D" w:rsidP="00160312">
            <w:pPr>
              <w:spacing w:before="240" w:after="240" w:line="360" w:lineRule="auto"/>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SI</w:t>
            </w:r>
          </w:p>
        </w:tc>
      </w:tr>
      <w:tr w:rsidR="00C623E0" w:rsidRPr="00C623E0" w14:paraId="7282F427" w14:textId="77777777" w:rsidTr="00160312">
        <w:tc>
          <w:tcPr>
            <w:tcW w:w="2263" w:type="dxa"/>
            <w:vAlign w:val="center"/>
          </w:tcPr>
          <w:p w14:paraId="4FEBBAB5" w14:textId="62184941" w:rsidR="001B2D4D" w:rsidRPr="00C623E0" w:rsidRDefault="001B2D4D"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Número de solicitud de información</w:t>
            </w:r>
            <w:r w:rsidR="001E06BC" w:rsidRPr="00C623E0">
              <w:rPr>
                <w:rFonts w:ascii="Palatino Linotype" w:eastAsia="Palatino Linotype" w:hAnsi="Palatino Linotype" w:cs="Palatino Linotype"/>
                <w:sz w:val="20"/>
                <w:szCs w:val="20"/>
              </w:rPr>
              <w:t>.</w:t>
            </w:r>
          </w:p>
        </w:tc>
        <w:tc>
          <w:tcPr>
            <w:tcW w:w="5245" w:type="dxa"/>
            <w:vAlign w:val="center"/>
          </w:tcPr>
          <w:p w14:paraId="21668DB1" w14:textId="0F5CC64E" w:rsidR="001B2D4D" w:rsidRPr="00C623E0" w:rsidRDefault="008700AA" w:rsidP="00160312">
            <w:pPr>
              <w:spacing w:before="240" w:after="240" w:line="360" w:lineRule="auto"/>
              <w:jc w:val="center"/>
              <w:rPr>
                <w:rFonts w:ascii="Palatino Linotype" w:eastAsia="Palatino Linotype" w:hAnsi="Palatino Linotype" w:cs="Palatino Linotype"/>
              </w:rPr>
            </w:pPr>
            <w:r w:rsidRPr="00C623E0">
              <w:object w:dxaOrig="9855" w:dyaOrig="2655" w14:anchorId="42B69046">
                <v:shape id="_x0000_i1026" type="#_x0000_t75" style="width:252pt;height:67.5pt" o:ole="">
                  <v:imagedata r:id="rId12" o:title=""/>
                </v:shape>
                <o:OLEObject Type="Embed" ProgID="PBrush" ShapeID="_x0000_i1026" DrawAspect="Content" ObjectID="_1725790195" r:id="rId13"/>
              </w:object>
            </w:r>
          </w:p>
        </w:tc>
        <w:tc>
          <w:tcPr>
            <w:tcW w:w="1320" w:type="dxa"/>
            <w:vAlign w:val="center"/>
          </w:tcPr>
          <w:p w14:paraId="76569444" w14:textId="77777777" w:rsidR="001B2D4D" w:rsidRPr="00C623E0" w:rsidRDefault="001B2D4D" w:rsidP="00160312">
            <w:pPr>
              <w:spacing w:before="240" w:after="240" w:line="360" w:lineRule="auto"/>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SI</w:t>
            </w:r>
          </w:p>
        </w:tc>
      </w:tr>
      <w:tr w:rsidR="00C623E0" w:rsidRPr="00C623E0" w14:paraId="4E11E882" w14:textId="77777777" w:rsidTr="00160312">
        <w:tc>
          <w:tcPr>
            <w:tcW w:w="2263" w:type="dxa"/>
            <w:vAlign w:val="center"/>
          </w:tcPr>
          <w:p w14:paraId="24DD7B53" w14:textId="58BF2C90" w:rsidR="001B2D4D" w:rsidRPr="00C623E0" w:rsidRDefault="001B2D4D"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lastRenderedPageBreak/>
              <w:t>Información solicitada</w:t>
            </w:r>
            <w:r w:rsidR="001E06BC" w:rsidRPr="00C623E0">
              <w:rPr>
                <w:rFonts w:ascii="Palatino Linotype" w:eastAsia="Palatino Linotype" w:hAnsi="Palatino Linotype" w:cs="Palatino Linotype"/>
                <w:sz w:val="20"/>
                <w:szCs w:val="20"/>
              </w:rPr>
              <w:t>.</w:t>
            </w:r>
          </w:p>
        </w:tc>
        <w:tc>
          <w:tcPr>
            <w:tcW w:w="5245" w:type="dxa"/>
            <w:vAlign w:val="center"/>
          </w:tcPr>
          <w:p w14:paraId="5FD0DC11" w14:textId="6B2D5041" w:rsidR="001B2D4D" w:rsidRPr="00C623E0" w:rsidRDefault="008700AA" w:rsidP="00160312">
            <w:pPr>
              <w:spacing w:before="240" w:after="240" w:line="360" w:lineRule="auto"/>
              <w:jc w:val="center"/>
              <w:rPr>
                <w:rFonts w:ascii="Palatino Linotype" w:eastAsia="Palatino Linotype" w:hAnsi="Palatino Linotype" w:cs="Palatino Linotype"/>
              </w:rPr>
            </w:pPr>
            <w:r w:rsidRPr="00C623E0">
              <w:object w:dxaOrig="9855" w:dyaOrig="2655" w14:anchorId="3A25A41B">
                <v:shape id="_x0000_i1027" type="#_x0000_t75" style="width:252pt;height:67.5pt" o:ole="">
                  <v:imagedata r:id="rId12" o:title=""/>
                </v:shape>
                <o:OLEObject Type="Embed" ProgID="PBrush" ShapeID="_x0000_i1027" DrawAspect="Content" ObjectID="_1725790196" r:id="rId14"/>
              </w:object>
            </w:r>
          </w:p>
        </w:tc>
        <w:tc>
          <w:tcPr>
            <w:tcW w:w="1320" w:type="dxa"/>
            <w:vAlign w:val="center"/>
          </w:tcPr>
          <w:p w14:paraId="6A976BDD" w14:textId="77777777" w:rsidR="001B2D4D" w:rsidRPr="00C623E0" w:rsidRDefault="001B2D4D" w:rsidP="00160312">
            <w:pPr>
              <w:spacing w:before="240" w:after="240" w:line="360" w:lineRule="auto"/>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b/>
                <w:sz w:val="20"/>
                <w:szCs w:val="20"/>
              </w:rPr>
              <w:t>SI</w:t>
            </w:r>
          </w:p>
        </w:tc>
      </w:tr>
      <w:tr w:rsidR="00C623E0" w:rsidRPr="00C623E0" w14:paraId="6187ED51" w14:textId="77777777" w:rsidTr="00160312">
        <w:tc>
          <w:tcPr>
            <w:tcW w:w="2263" w:type="dxa"/>
            <w:vAlign w:val="center"/>
          </w:tcPr>
          <w:p w14:paraId="0035FD6F" w14:textId="76268245" w:rsidR="001B2D4D" w:rsidRPr="00C623E0" w:rsidRDefault="001B2D4D" w:rsidP="00DC4D99">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El razonamiento lógico que demuestre que la información encuadra en alguna de las hipótesis previstas en la Ley, debiéndose invocar el artículo de la Ley,</w:t>
            </w:r>
            <w:r w:rsidR="00DC4D99" w:rsidRPr="00C623E0">
              <w:rPr>
                <w:rFonts w:ascii="Palatino Linotype" w:eastAsia="Palatino Linotype" w:hAnsi="Palatino Linotype" w:cs="Palatino Linotype"/>
                <w:sz w:val="20"/>
                <w:szCs w:val="20"/>
              </w:rPr>
              <w:t xml:space="preserve"> </w:t>
            </w:r>
            <w:r w:rsidRPr="00C623E0">
              <w:rPr>
                <w:rFonts w:ascii="Palatino Linotype" w:eastAsia="Palatino Linotype" w:hAnsi="Palatino Linotype" w:cs="Palatino Linotype"/>
                <w:sz w:val="20"/>
                <w:szCs w:val="20"/>
              </w:rPr>
              <w:t>fracción, y supuesto que se actualiza.</w:t>
            </w:r>
          </w:p>
        </w:tc>
        <w:tc>
          <w:tcPr>
            <w:tcW w:w="5245" w:type="dxa"/>
            <w:vAlign w:val="center"/>
          </w:tcPr>
          <w:p w14:paraId="32483FED" w14:textId="5BB128C4" w:rsidR="001B2D4D" w:rsidRPr="00C623E0" w:rsidRDefault="00B50B4E" w:rsidP="00160312">
            <w:pPr>
              <w:spacing w:before="240" w:after="240" w:line="360" w:lineRule="auto"/>
              <w:jc w:val="both"/>
            </w:pPr>
            <w:r w:rsidRPr="00C623E0">
              <w:object w:dxaOrig="9885" w:dyaOrig="3390" w14:anchorId="32F38CCF">
                <v:shape id="_x0000_i1028" type="#_x0000_t75" style="width:251.25pt;height:86.25pt" o:ole="">
                  <v:imagedata r:id="rId15" o:title=""/>
                </v:shape>
                <o:OLEObject Type="Embed" ProgID="PBrush" ShapeID="_x0000_i1028" DrawAspect="Content" ObjectID="_1725790197" r:id="rId16"/>
              </w:object>
            </w:r>
          </w:p>
          <w:p w14:paraId="3675CA09" w14:textId="6FF30F1F" w:rsidR="00617A72" w:rsidRPr="00C623E0" w:rsidRDefault="00B2723A" w:rsidP="00160312">
            <w:pPr>
              <w:spacing w:before="240" w:after="240" w:line="360" w:lineRule="auto"/>
              <w:jc w:val="both"/>
            </w:pPr>
            <w:r w:rsidRPr="00C623E0">
              <w:object w:dxaOrig="5310" w:dyaOrig="4230" w14:anchorId="7716CCB4">
                <v:shape id="_x0000_i1029" type="#_x0000_t75" style="width:251.25pt;height:200.25pt" o:ole="">
                  <v:imagedata r:id="rId17" o:title=""/>
                </v:shape>
                <o:OLEObject Type="Embed" ProgID="PBrush" ShapeID="_x0000_i1029" DrawAspect="Content" ObjectID="_1725790198" r:id="rId18"/>
              </w:object>
            </w:r>
          </w:p>
          <w:p w14:paraId="18C92E35" w14:textId="568DCAF1" w:rsidR="001B2D4D" w:rsidRPr="00C623E0" w:rsidRDefault="001B2D4D" w:rsidP="00160312">
            <w:pPr>
              <w:spacing w:before="240" w:after="240" w:line="360" w:lineRule="auto"/>
              <w:jc w:val="both"/>
            </w:pPr>
          </w:p>
          <w:p w14:paraId="78FE7793" w14:textId="726CDCC9" w:rsidR="001B2D4D" w:rsidRPr="00C623E0" w:rsidRDefault="001B2D4D" w:rsidP="00160312">
            <w:pPr>
              <w:spacing w:before="240" w:after="240" w:line="360" w:lineRule="auto"/>
              <w:jc w:val="both"/>
            </w:pPr>
          </w:p>
          <w:p w14:paraId="553E37D0" w14:textId="555EFFC2" w:rsidR="001B2D4D" w:rsidRPr="00C623E0" w:rsidRDefault="001B2D4D" w:rsidP="00160312">
            <w:pPr>
              <w:spacing w:before="240" w:after="240" w:line="360" w:lineRule="auto"/>
              <w:jc w:val="both"/>
            </w:pPr>
          </w:p>
        </w:tc>
        <w:tc>
          <w:tcPr>
            <w:tcW w:w="1320" w:type="dxa"/>
            <w:vAlign w:val="center"/>
          </w:tcPr>
          <w:p w14:paraId="4EF018AD" w14:textId="77777777" w:rsidR="001B2D4D" w:rsidRPr="00C623E0" w:rsidRDefault="001B2D4D" w:rsidP="00160312">
            <w:pPr>
              <w:spacing w:before="240" w:after="240" w:line="360" w:lineRule="auto"/>
              <w:jc w:val="center"/>
              <w:rPr>
                <w:rFonts w:ascii="Palatino Linotype" w:eastAsia="Palatino Linotype" w:hAnsi="Palatino Linotype" w:cs="Palatino Linotype"/>
                <w:b/>
                <w:sz w:val="12"/>
                <w:szCs w:val="12"/>
              </w:rPr>
            </w:pPr>
            <w:r w:rsidRPr="00C623E0">
              <w:rPr>
                <w:rFonts w:ascii="Palatino Linotype" w:eastAsia="Palatino Linotype" w:hAnsi="Palatino Linotype" w:cs="Palatino Linotype"/>
                <w:b/>
                <w:sz w:val="12"/>
                <w:szCs w:val="12"/>
              </w:rPr>
              <w:t>PARCIALMENTE</w:t>
            </w:r>
          </w:p>
          <w:p w14:paraId="6BEF9730" w14:textId="43CDCB12" w:rsidR="001B2D4D" w:rsidRPr="00C623E0" w:rsidRDefault="001B2D4D" w:rsidP="00354581">
            <w:pPr>
              <w:spacing w:before="240" w:after="240"/>
              <w:jc w:val="center"/>
              <w:rPr>
                <w:rFonts w:ascii="Palatino Linotype" w:eastAsia="Palatino Linotype" w:hAnsi="Palatino Linotype" w:cs="Palatino Linotype"/>
                <w:sz w:val="18"/>
                <w:szCs w:val="18"/>
              </w:rPr>
            </w:pPr>
            <w:r w:rsidRPr="00C623E0">
              <w:rPr>
                <w:rFonts w:ascii="Palatino Linotype" w:eastAsia="Palatino Linotype" w:hAnsi="Palatino Linotype" w:cs="Palatino Linotype"/>
                <w:sz w:val="18"/>
                <w:szCs w:val="18"/>
              </w:rPr>
              <w:t>En virtud de que</w:t>
            </w:r>
            <w:r w:rsidR="00354581" w:rsidRPr="00C623E0">
              <w:rPr>
                <w:rFonts w:ascii="Palatino Linotype" w:eastAsia="Palatino Linotype" w:hAnsi="Palatino Linotype" w:cs="Palatino Linotype"/>
                <w:sz w:val="18"/>
                <w:szCs w:val="18"/>
              </w:rPr>
              <w:t>,</w:t>
            </w:r>
            <w:r w:rsidR="00B2723A" w:rsidRPr="00C623E0">
              <w:rPr>
                <w:rFonts w:ascii="Palatino Linotype" w:eastAsia="Palatino Linotype" w:hAnsi="Palatino Linotype" w:cs="Palatino Linotype"/>
                <w:sz w:val="18"/>
                <w:szCs w:val="18"/>
              </w:rPr>
              <w:t xml:space="preserve"> </w:t>
            </w:r>
            <w:r w:rsidRPr="00C623E0">
              <w:rPr>
                <w:rFonts w:ascii="Palatino Linotype" w:eastAsia="Palatino Linotype" w:hAnsi="Palatino Linotype" w:cs="Palatino Linotype"/>
                <w:sz w:val="18"/>
                <w:szCs w:val="18"/>
              </w:rPr>
              <w:t xml:space="preserve">si bien se señala como fundamento </w:t>
            </w:r>
            <w:r w:rsidR="00B50B4E" w:rsidRPr="00C623E0">
              <w:rPr>
                <w:rFonts w:ascii="Palatino Linotype" w:eastAsia="Palatino Linotype" w:hAnsi="Palatino Linotype" w:cs="Palatino Linotype"/>
                <w:sz w:val="18"/>
                <w:szCs w:val="18"/>
              </w:rPr>
              <w:t xml:space="preserve">los </w:t>
            </w:r>
            <w:r w:rsidRPr="00C623E0">
              <w:rPr>
                <w:rFonts w:ascii="Palatino Linotype" w:eastAsia="Palatino Linotype" w:hAnsi="Palatino Linotype" w:cs="Palatino Linotype"/>
                <w:sz w:val="18"/>
                <w:szCs w:val="18"/>
              </w:rPr>
              <w:t>artículo</w:t>
            </w:r>
            <w:r w:rsidR="00B50B4E" w:rsidRPr="00C623E0">
              <w:rPr>
                <w:rFonts w:ascii="Palatino Linotype" w:eastAsia="Palatino Linotype" w:hAnsi="Palatino Linotype" w:cs="Palatino Linotype"/>
                <w:sz w:val="18"/>
                <w:szCs w:val="18"/>
              </w:rPr>
              <w:t xml:space="preserve">s 113, fracciones </w:t>
            </w:r>
            <w:r w:rsidR="00354581" w:rsidRPr="00C623E0">
              <w:rPr>
                <w:rFonts w:ascii="Palatino Linotype" w:eastAsia="Palatino Linotype" w:hAnsi="Palatino Linotype" w:cs="Palatino Linotype"/>
                <w:sz w:val="18"/>
                <w:szCs w:val="18"/>
              </w:rPr>
              <w:t xml:space="preserve">I y V de la Ley </w:t>
            </w:r>
            <w:r w:rsidR="00320BA4" w:rsidRPr="00C623E0">
              <w:rPr>
                <w:rFonts w:ascii="Palatino Linotype" w:eastAsia="Palatino Linotype" w:hAnsi="Palatino Linotype" w:cs="Palatino Linotype"/>
                <w:sz w:val="18"/>
                <w:szCs w:val="18"/>
              </w:rPr>
              <w:t>General</w:t>
            </w:r>
            <w:r w:rsidR="00354581" w:rsidRPr="00C623E0">
              <w:rPr>
                <w:rFonts w:ascii="Palatino Linotype" w:eastAsia="Palatino Linotype" w:hAnsi="Palatino Linotype" w:cs="Palatino Linotype"/>
                <w:sz w:val="18"/>
                <w:szCs w:val="18"/>
              </w:rPr>
              <w:t xml:space="preserve"> y 140</w:t>
            </w:r>
            <w:r w:rsidRPr="00C623E0">
              <w:rPr>
                <w:rFonts w:ascii="Palatino Linotype" w:eastAsia="Palatino Linotype" w:hAnsi="Palatino Linotype" w:cs="Palatino Linotype"/>
                <w:sz w:val="18"/>
                <w:szCs w:val="18"/>
              </w:rPr>
              <w:t>, fracci</w:t>
            </w:r>
            <w:r w:rsidR="00B2723A" w:rsidRPr="00C623E0">
              <w:rPr>
                <w:rFonts w:ascii="Palatino Linotype" w:eastAsia="Palatino Linotype" w:hAnsi="Palatino Linotype" w:cs="Palatino Linotype"/>
                <w:sz w:val="18"/>
                <w:szCs w:val="18"/>
              </w:rPr>
              <w:t>ones VI, VIII y</w:t>
            </w:r>
            <w:r w:rsidRPr="00C623E0">
              <w:rPr>
                <w:rFonts w:ascii="Palatino Linotype" w:eastAsia="Palatino Linotype" w:hAnsi="Palatino Linotype" w:cs="Palatino Linotype"/>
                <w:sz w:val="18"/>
                <w:szCs w:val="18"/>
              </w:rPr>
              <w:t xml:space="preserve"> </w:t>
            </w:r>
            <w:r w:rsidR="00B50B4E" w:rsidRPr="00C623E0">
              <w:rPr>
                <w:rFonts w:ascii="Palatino Linotype" w:eastAsia="Palatino Linotype" w:hAnsi="Palatino Linotype" w:cs="Palatino Linotype"/>
                <w:sz w:val="18"/>
                <w:szCs w:val="18"/>
              </w:rPr>
              <w:t>X</w:t>
            </w:r>
            <w:r w:rsidRPr="00C623E0">
              <w:rPr>
                <w:rFonts w:ascii="Palatino Linotype" w:eastAsia="Palatino Linotype" w:hAnsi="Palatino Linotype" w:cs="Palatino Linotype"/>
                <w:sz w:val="18"/>
                <w:szCs w:val="18"/>
              </w:rPr>
              <w:t xml:space="preserve"> de la Ley </w:t>
            </w:r>
            <w:r w:rsidR="00354581" w:rsidRPr="00C623E0">
              <w:rPr>
                <w:rFonts w:ascii="Palatino Linotype" w:eastAsia="Palatino Linotype" w:hAnsi="Palatino Linotype" w:cs="Palatino Linotype"/>
                <w:sz w:val="18"/>
                <w:szCs w:val="18"/>
              </w:rPr>
              <w:t>Local</w:t>
            </w:r>
            <w:r w:rsidRPr="00C623E0">
              <w:rPr>
                <w:rFonts w:ascii="Palatino Linotype" w:eastAsia="Palatino Linotype" w:hAnsi="Palatino Linotype" w:cs="Palatino Linotype"/>
                <w:sz w:val="18"/>
                <w:szCs w:val="18"/>
              </w:rPr>
              <w:t>, no motivó</w:t>
            </w:r>
            <w:r w:rsidR="00B2723A" w:rsidRPr="00C623E0">
              <w:rPr>
                <w:rFonts w:ascii="Palatino Linotype" w:eastAsia="Palatino Linotype" w:hAnsi="Palatino Linotype" w:cs="Palatino Linotype"/>
                <w:sz w:val="18"/>
                <w:szCs w:val="18"/>
              </w:rPr>
              <w:t xml:space="preserve"> ni justificó </w:t>
            </w:r>
            <w:r w:rsidRPr="00C623E0">
              <w:rPr>
                <w:rFonts w:ascii="Palatino Linotype" w:eastAsia="Palatino Linotype" w:hAnsi="Palatino Linotype" w:cs="Palatino Linotype"/>
                <w:sz w:val="18"/>
                <w:szCs w:val="18"/>
              </w:rPr>
              <w:t>por qué el caso concreto se ajustaba a la norma jurídica legal invocada</w:t>
            </w:r>
            <w:r w:rsidR="00D671F9" w:rsidRPr="00C623E0">
              <w:rPr>
                <w:rFonts w:ascii="Palatino Linotype" w:eastAsia="Palatino Linotype" w:hAnsi="Palatino Linotype" w:cs="Palatino Linotype"/>
                <w:sz w:val="18"/>
                <w:szCs w:val="18"/>
              </w:rPr>
              <w:t>.</w:t>
            </w:r>
          </w:p>
        </w:tc>
      </w:tr>
      <w:tr w:rsidR="00C623E0" w:rsidRPr="00C623E0" w14:paraId="32529D2C" w14:textId="77777777" w:rsidTr="00160312">
        <w:tc>
          <w:tcPr>
            <w:tcW w:w="2263" w:type="dxa"/>
            <w:vAlign w:val="center"/>
          </w:tcPr>
          <w:p w14:paraId="00B0C9A4" w14:textId="0669EABD" w:rsidR="001E06BC" w:rsidRPr="00C623E0" w:rsidRDefault="001E06BC" w:rsidP="001B2D4D">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lastRenderedPageBreak/>
              <w:t>Periodo por el cual se encuentra clasificada la información solicitada.</w:t>
            </w:r>
          </w:p>
        </w:tc>
        <w:tc>
          <w:tcPr>
            <w:tcW w:w="5245" w:type="dxa"/>
            <w:vAlign w:val="center"/>
          </w:tcPr>
          <w:p w14:paraId="19345B44" w14:textId="3C0A843F" w:rsidR="001E06BC" w:rsidRPr="00C623E0" w:rsidRDefault="00320BA4" w:rsidP="00160312">
            <w:pPr>
              <w:spacing w:before="240" w:after="240" w:line="360" w:lineRule="auto"/>
              <w:jc w:val="both"/>
            </w:pPr>
            <w:r w:rsidRPr="00C623E0">
              <w:object w:dxaOrig="8460" w:dyaOrig="1740" w14:anchorId="14D5D8DC">
                <v:shape id="_x0000_i1030" type="#_x0000_t75" style="width:250.5pt;height:51pt" o:ole="">
                  <v:imagedata r:id="rId19" o:title=""/>
                </v:shape>
                <o:OLEObject Type="Embed" ProgID="PBrush" ShapeID="_x0000_i1030" DrawAspect="Content" ObjectID="_1725790199" r:id="rId20"/>
              </w:object>
            </w:r>
          </w:p>
        </w:tc>
        <w:tc>
          <w:tcPr>
            <w:tcW w:w="1320" w:type="dxa"/>
            <w:vAlign w:val="center"/>
          </w:tcPr>
          <w:p w14:paraId="089E0C82" w14:textId="28821161" w:rsidR="001E06BC" w:rsidRPr="00C623E0" w:rsidRDefault="00320BA4" w:rsidP="00160312">
            <w:pPr>
              <w:spacing w:before="240" w:after="240" w:line="360" w:lineRule="auto"/>
              <w:jc w:val="center"/>
              <w:rPr>
                <w:rFonts w:ascii="Palatino Linotype" w:eastAsia="Palatino Linotype" w:hAnsi="Palatino Linotype" w:cs="Palatino Linotype"/>
                <w:b/>
                <w:sz w:val="12"/>
                <w:szCs w:val="12"/>
              </w:rPr>
            </w:pPr>
            <w:r w:rsidRPr="00C623E0">
              <w:rPr>
                <w:rFonts w:ascii="Palatino Linotype" w:eastAsia="Palatino Linotype" w:hAnsi="Palatino Linotype" w:cs="Palatino Linotype"/>
                <w:b/>
                <w:sz w:val="20"/>
                <w:szCs w:val="20"/>
              </w:rPr>
              <w:t>SI</w:t>
            </w:r>
          </w:p>
        </w:tc>
      </w:tr>
      <w:tr w:rsidR="00C623E0" w:rsidRPr="00C623E0" w14:paraId="738F8963" w14:textId="77777777" w:rsidTr="00160312">
        <w:tc>
          <w:tcPr>
            <w:tcW w:w="2263" w:type="dxa"/>
            <w:vAlign w:val="center"/>
          </w:tcPr>
          <w:p w14:paraId="39BFEBA4" w14:textId="4AC8AB19" w:rsidR="001E06BC" w:rsidRPr="00C623E0" w:rsidRDefault="001E06BC" w:rsidP="001E06BC">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Elementos objetivos que permitan determinar si la difusión de la</w:t>
            </w:r>
            <w:r w:rsidR="00BB3B6C" w:rsidRPr="00C623E0">
              <w:rPr>
                <w:rFonts w:ascii="Palatino Linotype" w:eastAsia="Palatino Linotype" w:hAnsi="Palatino Linotype" w:cs="Palatino Linotype"/>
                <w:sz w:val="20"/>
                <w:szCs w:val="20"/>
              </w:rPr>
              <w:t xml:space="preserve"> </w:t>
            </w:r>
            <w:r w:rsidRPr="00C623E0">
              <w:rPr>
                <w:rFonts w:ascii="Palatino Linotype" w:eastAsia="Palatino Linotype" w:hAnsi="Palatino Linotype" w:cs="Palatino Linotype"/>
                <w:sz w:val="20"/>
                <w:szCs w:val="20"/>
              </w:rPr>
              <w:t xml:space="preserve">información causaría un daño presente, probable y específico a los intereses jurídicos tutelados en los supuestos de excepción previstos en el artículo </w:t>
            </w:r>
            <w:r w:rsidR="00006C2F" w:rsidRPr="00C623E0">
              <w:rPr>
                <w:rFonts w:ascii="Palatino Linotype" w:eastAsia="Palatino Linotype" w:hAnsi="Palatino Linotype" w:cs="Palatino Linotype"/>
                <w:sz w:val="20"/>
                <w:szCs w:val="20"/>
              </w:rPr>
              <w:t>140</w:t>
            </w:r>
            <w:r w:rsidRPr="00C623E0">
              <w:rPr>
                <w:rFonts w:ascii="Palatino Linotype" w:eastAsia="Palatino Linotype" w:hAnsi="Palatino Linotype" w:cs="Palatino Linotype"/>
                <w:sz w:val="20"/>
                <w:szCs w:val="20"/>
              </w:rPr>
              <w:t xml:space="preserve"> de la Ley</w:t>
            </w:r>
            <w:r w:rsidR="00006C2F" w:rsidRPr="00C623E0">
              <w:rPr>
                <w:rFonts w:ascii="Palatino Linotype" w:eastAsia="Palatino Linotype" w:hAnsi="Palatino Linotype" w:cs="Palatino Linotype"/>
                <w:sz w:val="20"/>
                <w:szCs w:val="20"/>
              </w:rPr>
              <w:t>.</w:t>
            </w:r>
          </w:p>
          <w:p w14:paraId="326215BC" w14:textId="235D5393" w:rsidR="00435D91" w:rsidRPr="00C623E0" w:rsidRDefault="00435D91" w:rsidP="001E06BC">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(prueba de daño)</w:t>
            </w:r>
          </w:p>
        </w:tc>
        <w:tc>
          <w:tcPr>
            <w:tcW w:w="5245" w:type="dxa"/>
            <w:vAlign w:val="center"/>
          </w:tcPr>
          <w:p w14:paraId="5F33A797" w14:textId="77777777" w:rsidR="00617A72" w:rsidRPr="00C623E0" w:rsidRDefault="00320BA4" w:rsidP="00617A72">
            <w:pPr>
              <w:spacing w:before="240" w:after="240" w:line="360" w:lineRule="auto"/>
              <w:jc w:val="both"/>
            </w:pPr>
            <w:r w:rsidRPr="00C623E0">
              <w:object w:dxaOrig="10050" w:dyaOrig="8070" w14:anchorId="60B464DB">
                <v:shape id="_x0000_i1031" type="#_x0000_t75" style="width:250.5pt;height:47.25pt" o:ole="">
                  <v:imagedata r:id="rId21" o:title="" cropbottom="49765f"/>
                </v:shape>
                <o:OLEObject Type="Embed" ProgID="PBrush" ShapeID="_x0000_i1031" DrawAspect="Content" ObjectID="_1725790200" r:id="rId22"/>
              </w:object>
            </w:r>
            <w:r w:rsidRPr="00C623E0">
              <w:object w:dxaOrig="10050" w:dyaOrig="8070" w14:anchorId="586DE923">
                <v:shape id="_x0000_i1032" type="#_x0000_t75" style="width:250.5pt;height:39pt" o:ole="">
                  <v:imagedata r:id="rId21" o:title="" croptop="53310f" cropbottom="-570f"/>
                </v:shape>
                <o:OLEObject Type="Embed" ProgID="PBrush" ShapeID="_x0000_i1032" DrawAspect="Content" ObjectID="_1725790201" r:id="rId23"/>
              </w:object>
            </w:r>
          </w:p>
          <w:p w14:paraId="240BB095" w14:textId="6914D4C6" w:rsidR="00320BA4" w:rsidRPr="00C623E0" w:rsidRDefault="00617A72" w:rsidP="00617A72">
            <w:pPr>
              <w:spacing w:before="240" w:after="240" w:line="360" w:lineRule="auto"/>
              <w:jc w:val="both"/>
            </w:pPr>
            <w:r w:rsidRPr="00C623E0">
              <w:object w:dxaOrig="9975" w:dyaOrig="8025" w14:anchorId="159976A3">
                <v:shape id="_x0000_i1033" type="#_x0000_t75" style="width:249pt;height:200.25pt" o:ole="">
                  <v:imagedata r:id="rId24" o:title=""/>
                </v:shape>
                <o:OLEObject Type="Embed" ProgID="PBrush" ShapeID="_x0000_i1033" DrawAspect="Content" ObjectID="_1725790202" r:id="rId25"/>
              </w:object>
            </w:r>
          </w:p>
          <w:p w14:paraId="32376326" w14:textId="77777777" w:rsidR="00617A72" w:rsidRPr="00C623E0" w:rsidRDefault="00617A72" w:rsidP="00617A72">
            <w:pPr>
              <w:spacing w:before="240" w:after="240" w:line="360" w:lineRule="auto"/>
              <w:jc w:val="both"/>
            </w:pPr>
            <w:r w:rsidRPr="00C623E0">
              <w:object w:dxaOrig="10035" w:dyaOrig="2565" w14:anchorId="57362D3D">
                <v:shape id="_x0000_i1034" type="#_x0000_t75" style="width:252pt;height:63.75pt" o:ole="">
                  <v:imagedata r:id="rId26" o:title=""/>
                </v:shape>
                <o:OLEObject Type="Embed" ProgID="PBrush" ShapeID="_x0000_i1034" DrawAspect="Content" ObjectID="_1725790203" r:id="rId27"/>
              </w:object>
            </w:r>
          </w:p>
          <w:p w14:paraId="77E8AD47" w14:textId="434E0D41" w:rsidR="00617A72" w:rsidRPr="00C623E0" w:rsidRDefault="00617A72" w:rsidP="00617A72">
            <w:pPr>
              <w:spacing w:before="240" w:after="240" w:line="360" w:lineRule="auto"/>
              <w:jc w:val="both"/>
            </w:pPr>
            <w:r w:rsidRPr="00C623E0">
              <w:object w:dxaOrig="9975" w:dyaOrig="2895" w14:anchorId="34F3626F">
                <v:shape id="_x0000_i1035" type="#_x0000_t75" style="width:249pt;height:72.75pt" o:ole="">
                  <v:imagedata r:id="rId28" o:title=""/>
                </v:shape>
                <o:OLEObject Type="Embed" ProgID="PBrush" ShapeID="_x0000_i1035" DrawAspect="Content" ObjectID="_1725790204" r:id="rId29"/>
              </w:object>
            </w:r>
          </w:p>
        </w:tc>
        <w:tc>
          <w:tcPr>
            <w:tcW w:w="1320" w:type="dxa"/>
            <w:vAlign w:val="center"/>
          </w:tcPr>
          <w:p w14:paraId="16EFE89D" w14:textId="6E25E60C" w:rsidR="009E10EE" w:rsidRPr="00C623E0" w:rsidRDefault="009E10EE" w:rsidP="00160312">
            <w:pPr>
              <w:spacing w:before="240" w:after="240" w:line="360" w:lineRule="auto"/>
              <w:jc w:val="center"/>
              <w:rPr>
                <w:rFonts w:ascii="Palatino Linotype" w:eastAsia="Palatino Linotype" w:hAnsi="Palatino Linotype" w:cs="Palatino Linotype"/>
                <w:b/>
                <w:sz w:val="18"/>
                <w:szCs w:val="18"/>
              </w:rPr>
            </w:pPr>
            <w:r w:rsidRPr="00C623E0">
              <w:rPr>
                <w:rFonts w:ascii="Palatino Linotype" w:eastAsia="Palatino Linotype" w:hAnsi="Palatino Linotype" w:cs="Palatino Linotype"/>
                <w:b/>
                <w:sz w:val="18"/>
                <w:szCs w:val="18"/>
              </w:rPr>
              <w:lastRenderedPageBreak/>
              <w:t>NO</w:t>
            </w:r>
          </w:p>
          <w:p w14:paraId="344C70C8" w14:textId="7713FDDF" w:rsidR="001E06BC" w:rsidRPr="00C623E0" w:rsidRDefault="009E10EE" w:rsidP="009E10EE">
            <w:pPr>
              <w:spacing w:before="240" w:after="240"/>
              <w:jc w:val="center"/>
              <w:rPr>
                <w:rFonts w:ascii="Palatino Linotype" w:eastAsia="Palatino Linotype" w:hAnsi="Palatino Linotype" w:cs="Palatino Linotype"/>
                <w:bCs/>
                <w:sz w:val="12"/>
                <w:szCs w:val="12"/>
              </w:rPr>
            </w:pPr>
            <w:r w:rsidRPr="00C623E0">
              <w:rPr>
                <w:rFonts w:ascii="Palatino Linotype" w:eastAsia="Palatino Linotype" w:hAnsi="Palatino Linotype" w:cs="Palatino Linotype"/>
                <w:bCs/>
                <w:sz w:val="16"/>
                <w:szCs w:val="16"/>
              </w:rPr>
              <w:t>N</w:t>
            </w:r>
            <w:r w:rsidR="0081711B" w:rsidRPr="00C623E0">
              <w:rPr>
                <w:rFonts w:ascii="Palatino Linotype" w:eastAsia="Palatino Linotype" w:hAnsi="Palatino Linotype" w:cs="Palatino Linotype"/>
                <w:bCs/>
                <w:sz w:val="16"/>
                <w:szCs w:val="16"/>
              </w:rPr>
              <w:t>o acreditó de manera fehaciente como la divulgación de</w:t>
            </w:r>
            <w:r w:rsidRPr="00C623E0">
              <w:rPr>
                <w:rFonts w:ascii="Palatino Linotype" w:eastAsia="Palatino Linotype" w:hAnsi="Palatino Linotype" w:cs="Palatino Linotype"/>
                <w:bCs/>
                <w:sz w:val="16"/>
                <w:szCs w:val="16"/>
              </w:rPr>
              <w:t>l acta de entrega recepción del ex presidente municipal y los documentos que integran el expediente respectivo, concretamente, representa</w:t>
            </w:r>
            <w:r w:rsidR="0081711B" w:rsidRPr="00C623E0">
              <w:rPr>
                <w:rFonts w:ascii="Palatino Linotype" w:eastAsia="Palatino Linotype" w:hAnsi="Palatino Linotype" w:cs="Palatino Linotype"/>
                <w:bCs/>
                <w:sz w:val="16"/>
                <w:szCs w:val="16"/>
              </w:rPr>
              <w:t xml:space="preserve"> un riesgo real, demostrable e identificable, ni se estableció que el perjuicio supera el interés público general que pudiera existir sobre la información requerida</w:t>
            </w:r>
            <w:r w:rsidRPr="00C623E0">
              <w:rPr>
                <w:rFonts w:ascii="Palatino Linotype" w:eastAsia="Palatino Linotype" w:hAnsi="Palatino Linotype" w:cs="Palatino Linotype"/>
                <w:bCs/>
                <w:sz w:val="16"/>
                <w:szCs w:val="16"/>
              </w:rPr>
              <w:t>.</w:t>
            </w:r>
          </w:p>
        </w:tc>
      </w:tr>
      <w:tr w:rsidR="00C623E0" w:rsidRPr="00C623E0" w14:paraId="74A944A0" w14:textId="77777777" w:rsidTr="00160312">
        <w:tc>
          <w:tcPr>
            <w:tcW w:w="2263" w:type="dxa"/>
            <w:vAlign w:val="center"/>
          </w:tcPr>
          <w:p w14:paraId="36A83762" w14:textId="11A20E91" w:rsidR="001B2D4D" w:rsidRPr="00C623E0" w:rsidRDefault="001B2D4D"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lastRenderedPageBreak/>
              <w:t>Número de acuerdo emitido</w:t>
            </w:r>
            <w:r w:rsidR="00006C2F" w:rsidRPr="00C623E0">
              <w:rPr>
                <w:rFonts w:ascii="Palatino Linotype" w:eastAsia="Palatino Linotype" w:hAnsi="Palatino Linotype" w:cs="Palatino Linotype"/>
                <w:sz w:val="20"/>
                <w:szCs w:val="20"/>
              </w:rPr>
              <w:t xml:space="preserve"> por el Comité mediante el cual se clasificó la información.</w:t>
            </w:r>
          </w:p>
        </w:tc>
        <w:tc>
          <w:tcPr>
            <w:tcW w:w="5245" w:type="dxa"/>
            <w:vAlign w:val="center"/>
          </w:tcPr>
          <w:p w14:paraId="6E618736" w14:textId="0FE8C396" w:rsidR="001B2D4D" w:rsidRPr="00C623E0" w:rsidRDefault="00320BA4" w:rsidP="00160312">
            <w:pPr>
              <w:spacing w:before="240" w:after="240" w:line="360" w:lineRule="auto"/>
              <w:jc w:val="center"/>
              <w:rPr>
                <w:rFonts w:ascii="Palatino Linotype" w:eastAsia="Palatino Linotype" w:hAnsi="Palatino Linotype" w:cs="Palatino Linotype"/>
              </w:rPr>
            </w:pPr>
            <w:r w:rsidRPr="00C623E0">
              <w:object w:dxaOrig="8610" w:dyaOrig="870" w14:anchorId="4FD447B1">
                <v:shape id="_x0000_i1036" type="#_x0000_t75" style="width:251.25pt;height:25.5pt" o:ole="">
                  <v:imagedata r:id="rId30" o:title=""/>
                </v:shape>
                <o:OLEObject Type="Embed" ProgID="PBrush" ShapeID="_x0000_i1036" DrawAspect="Content" ObjectID="_1725790205" r:id="rId31"/>
              </w:object>
            </w:r>
          </w:p>
        </w:tc>
        <w:tc>
          <w:tcPr>
            <w:tcW w:w="1320" w:type="dxa"/>
            <w:vAlign w:val="center"/>
          </w:tcPr>
          <w:p w14:paraId="2E8D0FF0" w14:textId="41A5E38D" w:rsidR="001B2D4D" w:rsidRPr="00C623E0" w:rsidRDefault="00320BA4" w:rsidP="00160312">
            <w:pPr>
              <w:spacing w:before="240" w:after="240" w:line="360" w:lineRule="auto"/>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b/>
                <w:sz w:val="20"/>
                <w:szCs w:val="20"/>
              </w:rPr>
              <w:t>SI</w:t>
            </w:r>
          </w:p>
        </w:tc>
      </w:tr>
      <w:tr w:rsidR="00C623E0" w:rsidRPr="00C623E0" w14:paraId="56670363" w14:textId="77777777" w:rsidTr="00160312">
        <w:tc>
          <w:tcPr>
            <w:tcW w:w="2263" w:type="dxa"/>
            <w:vAlign w:val="center"/>
          </w:tcPr>
          <w:p w14:paraId="7991CB24" w14:textId="77777777" w:rsidR="001B2D4D" w:rsidRPr="00C623E0" w:rsidRDefault="001B2D4D"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Nombres y firmas de los integrantes del Comité</w:t>
            </w:r>
          </w:p>
        </w:tc>
        <w:tc>
          <w:tcPr>
            <w:tcW w:w="5245" w:type="dxa"/>
            <w:vAlign w:val="center"/>
          </w:tcPr>
          <w:p w14:paraId="692B0CE7" w14:textId="128AE522" w:rsidR="001B2D4D" w:rsidRPr="00C623E0" w:rsidRDefault="009E10EE" w:rsidP="00160312">
            <w:pPr>
              <w:spacing w:before="240" w:after="240" w:line="360" w:lineRule="auto"/>
              <w:jc w:val="center"/>
            </w:pPr>
            <w:r w:rsidRPr="00C623E0">
              <w:object w:dxaOrig="6375" w:dyaOrig="8325" w14:anchorId="0321941D">
                <v:shape id="_x0000_i1037" type="#_x0000_t75" style="width:250.5pt;height:328.5pt" o:ole="">
                  <v:imagedata r:id="rId32" o:title=""/>
                </v:shape>
                <o:OLEObject Type="Embed" ProgID="PBrush" ShapeID="_x0000_i1037" DrawAspect="Content" ObjectID="_1725790206" r:id="rId33"/>
              </w:object>
            </w:r>
          </w:p>
        </w:tc>
        <w:tc>
          <w:tcPr>
            <w:tcW w:w="1320" w:type="dxa"/>
            <w:vAlign w:val="center"/>
          </w:tcPr>
          <w:p w14:paraId="339AD841" w14:textId="770E79C9" w:rsidR="001B2D4D" w:rsidRPr="00C623E0" w:rsidRDefault="00AF2045" w:rsidP="00160312">
            <w:pPr>
              <w:spacing w:before="240" w:after="240" w:line="360" w:lineRule="auto"/>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SI</w:t>
            </w:r>
          </w:p>
        </w:tc>
      </w:tr>
    </w:tbl>
    <w:p w14:paraId="2C7475F8" w14:textId="09198BA4" w:rsidR="00335A88" w:rsidRPr="00C623E0" w:rsidRDefault="009E10EE"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Como se advierte,</w:t>
      </w:r>
      <w:r w:rsidR="00AF2045" w:rsidRPr="00C623E0">
        <w:rPr>
          <w:rFonts w:ascii="Palatino Linotype" w:eastAsia="Palatino Linotype" w:hAnsi="Palatino Linotype" w:cs="Palatino Linotype"/>
        </w:rPr>
        <w:t xml:space="preserve"> el </w:t>
      </w:r>
      <w:r w:rsidR="00AF2045" w:rsidRPr="00C623E0">
        <w:rPr>
          <w:rFonts w:ascii="Palatino Linotype" w:eastAsia="Palatino Linotype" w:hAnsi="Palatino Linotype" w:cs="Palatino Linotype"/>
          <w:b/>
          <w:bCs/>
        </w:rPr>
        <w:t xml:space="preserve">Sujeto Obligado </w:t>
      </w:r>
      <w:r w:rsidR="00AF2045" w:rsidRPr="00C623E0">
        <w:rPr>
          <w:rFonts w:ascii="Palatino Linotype" w:eastAsia="Palatino Linotype" w:hAnsi="Palatino Linotype" w:cs="Palatino Linotype"/>
        </w:rPr>
        <w:t xml:space="preserve">pretendió clasificar el acta de entrega recepción del presidente municipal saliente de la administración 2019-2021, así como los documentos que integran el expediente respectivo, bajo el argumento de que a </w:t>
      </w:r>
      <w:r w:rsidR="00AF2045" w:rsidRPr="00C623E0">
        <w:rPr>
          <w:rFonts w:ascii="Palatino Linotype" w:eastAsia="Palatino Linotype" w:hAnsi="Palatino Linotype" w:cs="Palatino Linotype"/>
        </w:rPr>
        <w:lastRenderedPageBreak/>
        <w:t xml:space="preserve">la fecha de respuesta se encontraba abierto el periodo </w:t>
      </w:r>
      <w:r w:rsidR="00335A88" w:rsidRPr="00C623E0">
        <w:rPr>
          <w:rFonts w:ascii="Palatino Linotype" w:eastAsia="Palatino Linotype" w:hAnsi="Palatino Linotype" w:cs="Palatino Linotype"/>
        </w:rPr>
        <w:t>para la entrega y atención de observaciones por parte de los servidores públicos entrantes, de las que han derivado procesos administrativos cuya resolución no ha quedado firme, considerando que la entrega de la misma puede vulnerar u obstruir la conducción del proceso hasta en tanto no se haya dictado resolución administrativa, sin embargo, no demostró la</w:t>
      </w:r>
      <w:r w:rsidR="00115C02" w:rsidRPr="00C623E0">
        <w:rPr>
          <w:rFonts w:ascii="Palatino Linotype" w:eastAsia="Palatino Linotype" w:hAnsi="Palatino Linotype" w:cs="Palatino Linotype"/>
        </w:rPr>
        <w:t xml:space="preserve"> existencia de un procedimiento seguido en forma de juicio, así como la</w:t>
      </w:r>
      <w:r w:rsidR="00335A88" w:rsidRPr="00C623E0">
        <w:rPr>
          <w:rFonts w:ascii="Palatino Linotype" w:eastAsia="Palatino Linotype" w:hAnsi="Palatino Linotype" w:cs="Palatino Linotype"/>
        </w:rPr>
        <w:t xml:space="preserve"> conexidad entre el supuesto que planteó y el precepto legal que invocó, toda vez que no debe perderse de vista que se acogió a las fracciones VI, VIII y X del </w:t>
      </w:r>
      <w:r w:rsidR="00F61D63" w:rsidRPr="00C623E0">
        <w:rPr>
          <w:rFonts w:ascii="Palatino Linotype" w:eastAsia="Palatino Linotype" w:hAnsi="Palatino Linotype" w:cs="Palatino Linotype"/>
        </w:rPr>
        <w:t>artículo</w:t>
      </w:r>
      <w:r w:rsidR="00335A88" w:rsidRPr="00C623E0">
        <w:rPr>
          <w:rFonts w:ascii="Palatino Linotype" w:eastAsia="Palatino Linotype" w:hAnsi="Palatino Linotype" w:cs="Palatino Linotype"/>
        </w:rPr>
        <w:t xml:space="preserve"> 140 de la Ley de la Materia, mism</w:t>
      </w:r>
      <w:r w:rsidR="00B37ED2" w:rsidRPr="00C623E0">
        <w:rPr>
          <w:rFonts w:ascii="Palatino Linotype" w:eastAsia="Palatino Linotype" w:hAnsi="Palatino Linotype" w:cs="Palatino Linotype"/>
        </w:rPr>
        <w:t>a</w:t>
      </w:r>
      <w:r w:rsidR="00335A88" w:rsidRPr="00C623E0">
        <w:rPr>
          <w:rFonts w:ascii="Palatino Linotype" w:eastAsia="Palatino Linotype" w:hAnsi="Palatino Linotype" w:cs="Palatino Linotype"/>
        </w:rPr>
        <w:t>s que se insertan a continuación para un mejor entendimiento:</w:t>
      </w:r>
    </w:p>
    <w:p w14:paraId="368F5F34" w14:textId="4E185493" w:rsidR="00B37ED2" w:rsidRPr="00C623E0" w:rsidRDefault="00335A88"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sz w:val="22"/>
          <w:szCs w:val="22"/>
        </w:rPr>
        <w:t xml:space="preserve"> </w:t>
      </w:r>
      <w:r w:rsidR="00AF2045" w:rsidRPr="00C623E0">
        <w:rPr>
          <w:rFonts w:ascii="Palatino Linotype" w:eastAsia="Palatino Linotype" w:hAnsi="Palatino Linotype" w:cs="Palatino Linotype"/>
          <w:sz w:val="22"/>
          <w:szCs w:val="22"/>
        </w:rPr>
        <w:t xml:space="preserve"> </w:t>
      </w:r>
      <w:r w:rsidR="00B37ED2" w:rsidRPr="00C623E0">
        <w:rPr>
          <w:rFonts w:ascii="Palatino Linotype" w:eastAsia="Palatino Linotype" w:hAnsi="Palatino Linotype" w:cs="Palatino Linotype"/>
          <w:sz w:val="22"/>
          <w:szCs w:val="22"/>
        </w:rPr>
        <w:t>“</w:t>
      </w:r>
      <w:r w:rsidR="00B37ED2" w:rsidRPr="00C623E0">
        <w:rPr>
          <w:rFonts w:ascii="Palatino Linotype" w:eastAsia="Palatino Linotype" w:hAnsi="Palatino Linotype" w:cs="Palatino Linotype"/>
          <w:b/>
          <w:i/>
          <w:sz w:val="22"/>
          <w:szCs w:val="22"/>
        </w:rPr>
        <w:t>VI</w:t>
      </w:r>
      <w:r w:rsidR="00B37ED2" w:rsidRPr="00C623E0">
        <w:rPr>
          <w:rFonts w:ascii="Palatino Linotype" w:eastAsia="Palatino Linotype" w:hAnsi="Palatino Linotype" w:cs="Palatino Linotype"/>
          <w:i/>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1671580F" w14:textId="328637F2" w:rsidR="00B37ED2" w:rsidRPr="00C623E0" w:rsidRDefault="00B37ED2"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0FFB24EB" w14:textId="77777777" w:rsidR="00B37ED2" w:rsidRPr="00C623E0" w:rsidRDefault="00B37ED2"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VIII.</w:t>
      </w:r>
      <w:r w:rsidRPr="00C623E0">
        <w:rPr>
          <w:rFonts w:ascii="Palatino Linotype" w:eastAsia="Palatino Linotype" w:hAnsi="Palatino Linotype" w:cs="Palatino Linotype"/>
          <w:i/>
          <w:sz w:val="22"/>
          <w:szCs w:val="22"/>
        </w:rPr>
        <w:t xml:space="preserve"> Vulnere la conducción de los expedientes judiciales o de los procedimientos administrativos seguidos en forma de juicio, en tanto no hayan quedado firmes; </w:t>
      </w:r>
    </w:p>
    <w:p w14:paraId="621D0FFC" w14:textId="16F6084F" w:rsidR="00B37ED2" w:rsidRPr="00C623E0" w:rsidRDefault="00B37ED2"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3BFDE977" w14:textId="77777777" w:rsidR="00B37ED2" w:rsidRPr="00C623E0" w:rsidRDefault="00B37ED2"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w:t>
      </w:r>
      <w:r w:rsidRPr="00C623E0">
        <w:rPr>
          <w:rFonts w:ascii="Palatino Linotype" w:eastAsia="Palatino Linotype" w:hAnsi="Palatino Linotype" w:cs="Palatino Linotype"/>
          <w:i/>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16F25D5D" w14:textId="1AEB4DD9" w:rsidR="00B37ED2" w:rsidRPr="00C623E0" w:rsidRDefault="00B37ED2" w:rsidP="00B37ED2">
      <w:pPr>
        <w:spacing w:before="120" w:after="120"/>
        <w:ind w:left="851" w:right="851"/>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6C520E4" w14:textId="76E29667" w:rsidR="005159FA" w:rsidRPr="00C623E0" w:rsidRDefault="00115C02"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Respecto de la prueba de daño, se menciona que la misma no cumplió con las disposic</w:t>
      </w:r>
      <w:r w:rsidR="005159FA" w:rsidRPr="00C623E0">
        <w:rPr>
          <w:rFonts w:ascii="Palatino Linotype" w:eastAsia="Palatino Linotype" w:hAnsi="Palatino Linotype" w:cs="Palatino Linotype"/>
        </w:rPr>
        <w:t xml:space="preserve">iones establecidas en la normatividad aplicable, ya que al no haberse demostrado la existencia de un procedimiento seguido </w:t>
      </w:r>
      <w:r w:rsidR="00BB3B6C" w:rsidRPr="00C623E0">
        <w:rPr>
          <w:rFonts w:ascii="Palatino Linotype" w:eastAsia="Palatino Linotype" w:hAnsi="Palatino Linotype" w:cs="Palatino Linotype"/>
        </w:rPr>
        <w:t xml:space="preserve">en forma de juicio, </w:t>
      </w:r>
      <w:r w:rsidR="005159FA" w:rsidRPr="00C623E0">
        <w:rPr>
          <w:rFonts w:ascii="Palatino Linotype" w:eastAsia="Palatino Linotype" w:hAnsi="Palatino Linotype" w:cs="Palatino Linotype"/>
        </w:rPr>
        <w:t>no se acreditó c</w:t>
      </w:r>
      <w:r w:rsidR="00BB3B6C" w:rsidRPr="00C623E0">
        <w:rPr>
          <w:rFonts w:ascii="Palatino Linotype" w:eastAsia="Palatino Linotype" w:hAnsi="Palatino Linotype" w:cs="Palatino Linotype"/>
        </w:rPr>
        <w:t>ó</w:t>
      </w:r>
      <w:r w:rsidR="005159FA" w:rsidRPr="00C623E0">
        <w:rPr>
          <w:rFonts w:ascii="Palatino Linotype" w:eastAsia="Palatino Linotype" w:hAnsi="Palatino Linotype" w:cs="Palatino Linotype"/>
        </w:rPr>
        <w:t xml:space="preserve">mo la divulgación del acta de entrega recepción </w:t>
      </w:r>
      <w:r w:rsidR="00BB3B6C" w:rsidRPr="00C623E0">
        <w:rPr>
          <w:rFonts w:ascii="Palatino Linotype" w:eastAsia="Palatino Linotype" w:hAnsi="Palatino Linotype" w:cs="Palatino Linotype"/>
        </w:rPr>
        <w:t xml:space="preserve">solicita </w:t>
      </w:r>
      <w:r w:rsidR="005159FA" w:rsidRPr="00C623E0">
        <w:rPr>
          <w:rFonts w:ascii="Palatino Linotype" w:eastAsia="Palatino Linotype" w:hAnsi="Palatino Linotype" w:cs="Palatino Linotype"/>
        </w:rPr>
        <w:t xml:space="preserve">y los documentos que integran el expediente respectivo, concretamente, representa un riesgo real, demostrable e identificable, ni se estableció que el perjuicio supera el interés público general que pudiera existir sobre la información requerida, asimismo, </w:t>
      </w:r>
      <w:r w:rsidR="00F61D63" w:rsidRPr="00C623E0">
        <w:rPr>
          <w:rFonts w:ascii="Palatino Linotype" w:eastAsia="Palatino Linotype" w:hAnsi="Palatino Linotype" w:cs="Palatino Linotype"/>
        </w:rPr>
        <w:t xml:space="preserve">se </w:t>
      </w:r>
      <w:r w:rsidR="009C5BC9" w:rsidRPr="00C623E0">
        <w:rPr>
          <w:rFonts w:ascii="Palatino Linotype" w:eastAsia="Palatino Linotype" w:hAnsi="Palatino Linotype" w:cs="Palatino Linotype"/>
        </w:rPr>
        <w:t xml:space="preserve">advirtió que no cumplió con los </w:t>
      </w:r>
      <w:r w:rsidR="005159FA" w:rsidRPr="00C623E0">
        <w:rPr>
          <w:rFonts w:ascii="Palatino Linotype" w:eastAsia="Palatino Linotype" w:hAnsi="Palatino Linotype" w:cs="Palatino Linotype"/>
        </w:rPr>
        <w:t xml:space="preserve">elementos que establece el numeral Trigésimo tercero de los Lineamientos para la clasificación y desclasificación de la información, </w:t>
      </w:r>
      <w:r w:rsidR="009C5BC9" w:rsidRPr="00C623E0">
        <w:rPr>
          <w:rFonts w:ascii="Palatino Linotype" w:eastAsia="Palatino Linotype" w:hAnsi="Palatino Linotype" w:cs="Palatino Linotype"/>
        </w:rPr>
        <w:t>citado c</w:t>
      </w:r>
      <w:r w:rsidR="00BB3B6C" w:rsidRPr="00C623E0">
        <w:rPr>
          <w:rFonts w:ascii="Palatino Linotype" w:eastAsia="Palatino Linotype" w:hAnsi="Palatino Linotype" w:cs="Palatino Linotype"/>
        </w:rPr>
        <w:t>on antelación, como se muestra en el siguiente analisis</w:t>
      </w:r>
      <w:r w:rsidR="009C5BC9" w:rsidRPr="00C623E0">
        <w:rPr>
          <w:rFonts w:ascii="Palatino Linotype" w:eastAsia="Palatino Linotype" w:hAnsi="Palatino Linotype" w:cs="Palatino Linotype"/>
        </w:rPr>
        <w:t>:</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5245"/>
        <w:gridCol w:w="1320"/>
      </w:tblGrid>
      <w:tr w:rsidR="00C623E0" w:rsidRPr="00C623E0" w14:paraId="2131E7A3" w14:textId="77777777" w:rsidTr="00160312">
        <w:tc>
          <w:tcPr>
            <w:tcW w:w="2263" w:type="dxa"/>
            <w:vAlign w:val="center"/>
          </w:tcPr>
          <w:p w14:paraId="7BBC1D88" w14:textId="6040187C" w:rsidR="00DE1070" w:rsidRPr="00C623E0" w:rsidRDefault="00DE1070"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ELEMENTO</w:t>
            </w:r>
          </w:p>
        </w:tc>
        <w:tc>
          <w:tcPr>
            <w:tcW w:w="5245" w:type="dxa"/>
            <w:vAlign w:val="center"/>
          </w:tcPr>
          <w:p w14:paraId="7AC5E4FC" w14:textId="21AF1CEB" w:rsidR="00DE1070" w:rsidRPr="00C623E0" w:rsidRDefault="00DE1070"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PRUEBA DE DAÑO</w:t>
            </w:r>
          </w:p>
        </w:tc>
        <w:tc>
          <w:tcPr>
            <w:tcW w:w="1320" w:type="dxa"/>
            <w:vAlign w:val="center"/>
          </w:tcPr>
          <w:p w14:paraId="14EE9E0C" w14:textId="77777777" w:rsidR="00DE1070" w:rsidRPr="00C623E0" w:rsidRDefault="00DE1070" w:rsidP="00160312">
            <w:pPr>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¿CUMPLE?</w:t>
            </w:r>
          </w:p>
        </w:tc>
      </w:tr>
      <w:tr w:rsidR="00C623E0" w:rsidRPr="00C623E0" w14:paraId="225E3D44" w14:textId="77777777" w:rsidTr="00160312">
        <w:trPr>
          <w:trHeight w:val="1794"/>
        </w:trPr>
        <w:tc>
          <w:tcPr>
            <w:tcW w:w="2263" w:type="dxa"/>
            <w:vAlign w:val="center"/>
          </w:tcPr>
          <w:p w14:paraId="12901150" w14:textId="4768493A" w:rsidR="00DE1070" w:rsidRPr="00C623E0" w:rsidRDefault="00DE1070"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Se deberá citar la fracción y, en su caso, la causal aplicable del artículo 113 de la Ley General, vinculándola con el Lineamiento específico del presente ordenamiento y, cuando corresponda, el supuesto normativo que expresamente le otorga el carácter de información reservada;</w:t>
            </w:r>
          </w:p>
        </w:tc>
        <w:tc>
          <w:tcPr>
            <w:tcW w:w="5245" w:type="dxa"/>
            <w:vAlign w:val="center"/>
          </w:tcPr>
          <w:p w14:paraId="3BF4ED46" w14:textId="5E750803" w:rsidR="00DE1070" w:rsidRPr="00C623E0" w:rsidRDefault="00DE1070" w:rsidP="00160312">
            <w:pPr>
              <w:spacing w:before="240" w:after="240" w:line="360" w:lineRule="auto"/>
              <w:jc w:val="center"/>
              <w:rPr>
                <w:rFonts w:ascii="Palatino Linotype" w:eastAsia="Palatino Linotype" w:hAnsi="Palatino Linotype" w:cs="Palatino Linotype"/>
              </w:rPr>
            </w:pPr>
            <w:r w:rsidRPr="00C623E0">
              <w:object w:dxaOrig="9975" w:dyaOrig="8025" w14:anchorId="002625A7">
                <v:shape id="_x0000_i1038" type="#_x0000_t75" style="width:249pt;height:140.25pt" o:ole="">
                  <v:imagedata r:id="rId24" o:title="" croptop="19625f"/>
                </v:shape>
                <o:OLEObject Type="Embed" ProgID="PBrush" ShapeID="_x0000_i1038" DrawAspect="Content" ObjectID="_1725790207" r:id="rId34"/>
              </w:object>
            </w:r>
          </w:p>
        </w:tc>
        <w:tc>
          <w:tcPr>
            <w:tcW w:w="1320" w:type="dxa"/>
            <w:vAlign w:val="center"/>
          </w:tcPr>
          <w:p w14:paraId="6775417F" w14:textId="3AD9DA80" w:rsidR="00DE1070" w:rsidRPr="00C623E0" w:rsidRDefault="00473FDE" w:rsidP="00DE1070">
            <w:pPr>
              <w:spacing w:before="240" w:after="240" w:line="360" w:lineRule="auto"/>
              <w:jc w:val="center"/>
              <w:rPr>
                <w:rFonts w:ascii="Palatino Linotype" w:eastAsia="Palatino Linotype" w:hAnsi="Palatino Linotype" w:cs="Palatino Linotype"/>
                <w:b/>
                <w:sz w:val="12"/>
                <w:szCs w:val="12"/>
              </w:rPr>
            </w:pPr>
            <w:r w:rsidRPr="00C623E0">
              <w:rPr>
                <w:rFonts w:ascii="Palatino Linotype" w:eastAsia="Palatino Linotype" w:hAnsi="Palatino Linotype" w:cs="Palatino Linotype"/>
                <w:b/>
                <w:sz w:val="12"/>
                <w:szCs w:val="12"/>
              </w:rPr>
              <w:t>PARCIALMENTE</w:t>
            </w:r>
          </w:p>
          <w:p w14:paraId="52A038B1" w14:textId="3656CCFE" w:rsidR="00473FDE" w:rsidRPr="00C623E0" w:rsidRDefault="00473FDE" w:rsidP="002A249F">
            <w:pPr>
              <w:spacing w:before="240" w:after="240"/>
              <w:jc w:val="center"/>
              <w:rPr>
                <w:rFonts w:ascii="Palatino Linotype" w:eastAsia="Palatino Linotype" w:hAnsi="Palatino Linotype" w:cs="Palatino Linotype"/>
                <w:bCs/>
                <w:sz w:val="12"/>
                <w:szCs w:val="12"/>
              </w:rPr>
            </w:pPr>
            <w:r w:rsidRPr="00C623E0">
              <w:rPr>
                <w:rFonts w:ascii="Palatino Linotype" w:eastAsia="Palatino Linotype" w:hAnsi="Palatino Linotype" w:cs="Palatino Linotype"/>
                <w:bCs/>
                <w:sz w:val="12"/>
                <w:szCs w:val="12"/>
              </w:rPr>
              <w:t xml:space="preserve">Si bien se citan las causales del </w:t>
            </w:r>
            <w:r w:rsidR="00BB3B6C" w:rsidRPr="00C623E0">
              <w:rPr>
                <w:rFonts w:ascii="Palatino Linotype" w:eastAsia="Palatino Linotype" w:hAnsi="Palatino Linotype" w:cs="Palatino Linotype"/>
                <w:bCs/>
                <w:sz w:val="12"/>
                <w:szCs w:val="12"/>
              </w:rPr>
              <w:t>artículo</w:t>
            </w:r>
            <w:r w:rsidRPr="00C623E0">
              <w:rPr>
                <w:rFonts w:ascii="Palatino Linotype" w:eastAsia="Palatino Linotype" w:hAnsi="Palatino Linotype" w:cs="Palatino Linotype"/>
                <w:bCs/>
                <w:sz w:val="12"/>
                <w:szCs w:val="12"/>
              </w:rPr>
              <w:t xml:space="preserve"> 1</w:t>
            </w:r>
            <w:r w:rsidR="002A249F" w:rsidRPr="00C623E0">
              <w:rPr>
                <w:rFonts w:ascii="Palatino Linotype" w:eastAsia="Palatino Linotype" w:hAnsi="Palatino Linotype" w:cs="Palatino Linotype"/>
                <w:bCs/>
                <w:sz w:val="12"/>
                <w:szCs w:val="12"/>
              </w:rPr>
              <w:t>40, se considera que no son aplicables al caso concreto, toda vez que no se demostró la existencia de procedimientos seguidos en firma de juicio relacionados con la materia de la solicitud.</w:t>
            </w:r>
          </w:p>
          <w:p w14:paraId="3E3F6DA6" w14:textId="0D62FF20" w:rsidR="00DE1070" w:rsidRPr="00C623E0" w:rsidRDefault="00DE1070" w:rsidP="00160312">
            <w:pPr>
              <w:spacing w:before="240" w:after="240" w:line="360" w:lineRule="auto"/>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12"/>
                <w:szCs w:val="12"/>
              </w:rPr>
              <w:t xml:space="preserve"> </w:t>
            </w:r>
          </w:p>
        </w:tc>
      </w:tr>
      <w:tr w:rsidR="00C623E0" w:rsidRPr="00C623E0" w14:paraId="0519793F" w14:textId="77777777" w:rsidTr="00160312">
        <w:tc>
          <w:tcPr>
            <w:tcW w:w="2263" w:type="dxa"/>
            <w:vAlign w:val="center"/>
          </w:tcPr>
          <w:p w14:paraId="2C5CA4BE" w14:textId="7722C0D3" w:rsidR="00DE1070" w:rsidRPr="00C623E0" w:rsidRDefault="00DE1070"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 xml:space="preserve">Mediante la ponderación de los intereses en conflicto, los sujetos obligados deberán demostrar que la publicidad de la información solicitada generaría un riesgo de perjuicio y por lo </w:t>
            </w:r>
            <w:r w:rsidRPr="00C623E0">
              <w:rPr>
                <w:rFonts w:ascii="Palatino Linotype" w:eastAsia="Palatino Linotype" w:hAnsi="Palatino Linotype" w:cs="Palatino Linotype"/>
                <w:sz w:val="20"/>
                <w:szCs w:val="20"/>
              </w:rPr>
              <w:lastRenderedPageBreak/>
              <w:t>tanto, tendrán que acreditar que este último rebasa el interés público protegido por la reserva;</w:t>
            </w:r>
          </w:p>
        </w:tc>
        <w:tc>
          <w:tcPr>
            <w:tcW w:w="5245" w:type="dxa"/>
            <w:vAlign w:val="center"/>
          </w:tcPr>
          <w:p w14:paraId="63096369" w14:textId="76FB90F7" w:rsidR="00DE1070" w:rsidRPr="00C623E0" w:rsidRDefault="00473FDE" w:rsidP="007053AE">
            <w:pPr>
              <w:spacing w:before="240" w:after="240" w:line="360" w:lineRule="auto"/>
              <w:jc w:val="center"/>
              <w:rPr>
                <w:rFonts w:ascii="Palatino Linotype" w:hAnsi="Palatino Linotype"/>
                <w:sz w:val="18"/>
                <w:szCs w:val="18"/>
              </w:rPr>
            </w:pPr>
            <w:r w:rsidRPr="00C623E0">
              <w:rPr>
                <w:rFonts w:ascii="Palatino Linotype" w:hAnsi="Palatino Linotype"/>
                <w:sz w:val="18"/>
                <w:szCs w:val="18"/>
              </w:rPr>
              <w:lastRenderedPageBreak/>
              <w:t>No se advierte ponderación de los intereses en conflicto.</w:t>
            </w:r>
          </w:p>
          <w:p w14:paraId="7A37A961" w14:textId="352477D1" w:rsidR="00DE1070" w:rsidRPr="00C623E0" w:rsidRDefault="00DE1070" w:rsidP="00160312">
            <w:pPr>
              <w:spacing w:before="240" w:after="240" w:line="360" w:lineRule="auto"/>
              <w:jc w:val="both"/>
            </w:pPr>
          </w:p>
        </w:tc>
        <w:tc>
          <w:tcPr>
            <w:tcW w:w="1320" w:type="dxa"/>
            <w:vAlign w:val="center"/>
          </w:tcPr>
          <w:p w14:paraId="4469E034" w14:textId="77777777" w:rsidR="00DE1070" w:rsidRPr="00C623E0" w:rsidRDefault="00DE1070" w:rsidP="00160312">
            <w:pPr>
              <w:spacing w:before="240" w:after="240" w:line="360" w:lineRule="auto"/>
              <w:jc w:val="center"/>
              <w:rPr>
                <w:rFonts w:ascii="Palatino Linotype" w:eastAsia="Palatino Linotype" w:hAnsi="Palatino Linotype" w:cs="Palatino Linotype"/>
                <w:b/>
                <w:sz w:val="18"/>
                <w:szCs w:val="18"/>
              </w:rPr>
            </w:pPr>
            <w:r w:rsidRPr="00C623E0">
              <w:rPr>
                <w:rFonts w:ascii="Palatino Linotype" w:eastAsia="Palatino Linotype" w:hAnsi="Palatino Linotype" w:cs="Palatino Linotype"/>
                <w:b/>
                <w:sz w:val="18"/>
                <w:szCs w:val="18"/>
              </w:rPr>
              <w:t>NO</w:t>
            </w:r>
          </w:p>
          <w:p w14:paraId="2CCB0F5F" w14:textId="45F08204" w:rsidR="00DE1070" w:rsidRPr="00C623E0" w:rsidRDefault="00DE1070" w:rsidP="00160312">
            <w:pPr>
              <w:spacing w:before="240" w:after="240"/>
              <w:jc w:val="center"/>
              <w:rPr>
                <w:rFonts w:ascii="Palatino Linotype" w:eastAsia="Palatino Linotype" w:hAnsi="Palatino Linotype" w:cs="Palatino Linotype"/>
                <w:bCs/>
                <w:sz w:val="18"/>
                <w:szCs w:val="18"/>
              </w:rPr>
            </w:pPr>
          </w:p>
        </w:tc>
      </w:tr>
      <w:tr w:rsidR="00C623E0" w:rsidRPr="00C623E0" w14:paraId="479BC6D7" w14:textId="77777777" w:rsidTr="00160312">
        <w:tc>
          <w:tcPr>
            <w:tcW w:w="2263" w:type="dxa"/>
            <w:vAlign w:val="center"/>
          </w:tcPr>
          <w:p w14:paraId="3D4D0F2C" w14:textId="27437882" w:rsidR="00DE1070" w:rsidRPr="00C623E0" w:rsidRDefault="00473FDE"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lastRenderedPageBreak/>
              <w:t>Se debe de acreditar el vínculo entre la difusión de la información y la afectación del interés jurídico tutelado de que se trate;</w:t>
            </w:r>
          </w:p>
        </w:tc>
        <w:tc>
          <w:tcPr>
            <w:tcW w:w="5245" w:type="dxa"/>
            <w:vAlign w:val="center"/>
          </w:tcPr>
          <w:p w14:paraId="504BE80B" w14:textId="28F57747" w:rsidR="00DE1070" w:rsidRPr="00C623E0" w:rsidRDefault="007053AE" w:rsidP="00160312">
            <w:pPr>
              <w:spacing w:before="240" w:after="240" w:line="360" w:lineRule="auto"/>
              <w:jc w:val="center"/>
              <w:rPr>
                <w:rFonts w:ascii="Palatino Linotype" w:eastAsia="Palatino Linotype" w:hAnsi="Palatino Linotype" w:cs="Palatino Linotype"/>
              </w:rPr>
            </w:pPr>
            <w:r w:rsidRPr="00C623E0">
              <w:rPr>
                <w:rFonts w:ascii="Palatino Linotype" w:hAnsi="Palatino Linotype"/>
                <w:sz w:val="18"/>
                <w:szCs w:val="18"/>
              </w:rPr>
              <w:t xml:space="preserve">No se advierte el </w:t>
            </w:r>
            <w:r w:rsidR="00F61D63" w:rsidRPr="00C623E0">
              <w:rPr>
                <w:rFonts w:ascii="Palatino Linotype" w:hAnsi="Palatino Linotype"/>
                <w:sz w:val="18"/>
                <w:szCs w:val="18"/>
              </w:rPr>
              <w:t>vínculo</w:t>
            </w:r>
            <w:r w:rsidRPr="00C623E0">
              <w:rPr>
                <w:rFonts w:ascii="Palatino Linotype" w:hAnsi="Palatino Linotype"/>
                <w:sz w:val="18"/>
                <w:szCs w:val="18"/>
              </w:rPr>
              <w:t xml:space="preserve"> entre la difusión de la información solicitada y la afectación del interés jurídicamente tutelado.</w:t>
            </w:r>
          </w:p>
        </w:tc>
        <w:tc>
          <w:tcPr>
            <w:tcW w:w="1320" w:type="dxa"/>
            <w:vAlign w:val="center"/>
          </w:tcPr>
          <w:p w14:paraId="0B11DEC4" w14:textId="067BE1CC" w:rsidR="00DE1070" w:rsidRPr="00C623E0" w:rsidRDefault="007053AE" w:rsidP="00160312">
            <w:pPr>
              <w:spacing w:before="240" w:after="240" w:line="360" w:lineRule="auto"/>
              <w:jc w:val="center"/>
              <w:rPr>
                <w:rFonts w:ascii="Palatino Linotype" w:eastAsia="Palatino Linotype" w:hAnsi="Palatino Linotype" w:cs="Palatino Linotype"/>
                <w:sz w:val="18"/>
                <w:szCs w:val="18"/>
              </w:rPr>
            </w:pPr>
            <w:r w:rsidRPr="00C623E0">
              <w:rPr>
                <w:rFonts w:ascii="Palatino Linotype" w:eastAsia="Palatino Linotype" w:hAnsi="Palatino Linotype" w:cs="Palatino Linotype"/>
                <w:b/>
                <w:sz w:val="18"/>
                <w:szCs w:val="18"/>
              </w:rPr>
              <w:t>NO</w:t>
            </w:r>
          </w:p>
        </w:tc>
      </w:tr>
      <w:tr w:rsidR="00C623E0" w:rsidRPr="00C623E0" w14:paraId="5F43177E" w14:textId="77777777" w:rsidTr="00160312">
        <w:tc>
          <w:tcPr>
            <w:tcW w:w="2263" w:type="dxa"/>
            <w:vAlign w:val="center"/>
          </w:tcPr>
          <w:p w14:paraId="3E280471" w14:textId="0B3001D2" w:rsidR="00DE1070" w:rsidRPr="00C623E0" w:rsidRDefault="00473FDE"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Precisar las razones objetivas por las que la apertura de la información generaría una afectación, a través de los elementos de un riesgo real, demostrable e identificable;</w:t>
            </w:r>
          </w:p>
        </w:tc>
        <w:tc>
          <w:tcPr>
            <w:tcW w:w="5245" w:type="dxa"/>
            <w:vAlign w:val="center"/>
          </w:tcPr>
          <w:p w14:paraId="203F30D4" w14:textId="1D8CF232" w:rsidR="00DE1070" w:rsidRPr="00C623E0" w:rsidRDefault="00340B81" w:rsidP="00160312">
            <w:pPr>
              <w:spacing w:before="240" w:after="240" w:line="360" w:lineRule="auto"/>
              <w:jc w:val="center"/>
              <w:rPr>
                <w:rFonts w:ascii="Palatino Linotype" w:eastAsia="Palatino Linotype" w:hAnsi="Palatino Linotype" w:cs="Palatino Linotype"/>
              </w:rPr>
            </w:pPr>
            <w:r w:rsidRPr="00C623E0">
              <w:rPr>
                <w:rFonts w:ascii="Palatino Linotype" w:hAnsi="Palatino Linotype"/>
                <w:sz w:val="18"/>
                <w:szCs w:val="18"/>
              </w:rPr>
              <w:t>No se advierten las razones que justifiquen que la publicidad de la información solicitada genera una afectación al bien jurídicamente tutelado, a través de la acreditación de un riesgo real, demostrable e identificable.</w:t>
            </w:r>
          </w:p>
        </w:tc>
        <w:tc>
          <w:tcPr>
            <w:tcW w:w="1320" w:type="dxa"/>
            <w:vAlign w:val="center"/>
          </w:tcPr>
          <w:p w14:paraId="3340FD53" w14:textId="77777777" w:rsidR="00DE1070" w:rsidRPr="00C623E0" w:rsidRDefault="00DE1070" w:rsidP="00160312">
            <w:pPr>
              <w:spacing w:before="240" w:after="240" w:line="360" w:lineRule="auto"/>
              <w:jc w:val="center"/>
              <w:rPr>
                <w:rFonts w:ascii="Palatino Linotype" w:eastAsia="Palatino Linotype" w:hAnsi="Palatino Linotype" w:cs="Palatino Linotype"/>
                <w:sz w:val="18"/>
                <w:szCs w:val="18"/>
              </w:rPr>
            </w:pPr>
            <w:r w:rsidRPr="00C623E0">
              <w:rPr>
                <w:rFonts w:ascii="Palatino Linotype" w:eastAsia="Palatino Linotype" w:hAnsi="Palatino Linotype" w:cs="Palatino Linotype"/>
                <w:b/>
                <w:sz w:val="18"/>
                <w:szCs w:val="18"/>
              </w:rPr>
              <w:t>NO</w:t>
            </w:r>
          </w:p>
        </w:tc>
      </w:tr>
      <w:tr w:rsidR="00C623E0" w:rsidRPr="00C623E0" w14:paraId="1DE061A5" w14:textId="77777777" w:rsidTr="00160312">
        <w:tc>
          <w:tcPr>
            <w:tcW w:w="2263" w:type="dxa"/>
            <w:vAlign w:val="center"/>
          </w:tcPr>
          <w:p w14:paraId="2BE91B69" w14:textId="532F46AF" w:rsidR="00DE1070" w:rsidRPr="00C623E0" w:rsidRDefault="00473FDE" w:rsidP="00160312">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En la motivación de la clasificación, el sujeto obligado deberá acreditar las circunstancias de modo, tiempo y lugar del daño, y</w:t>
            </w:r>
          </w:p>
        </w:tc>
        <w:tc>
          <w:tcPr>
            <w:tcW w:w="5245" w:type="dxa"/>
            <w:vAlign w:val="center"/>
          </w:tcPr>
          <w:p w14:paraId="28CD4E6F" w14:textId="6090800E" w:rsidR="00DE1070" w:rsidRPr="00C623E0" w:rsidRDefault="009F2FEC" w:rsidP="00160312">
            <w:pPr>
              <w:spacing w:before="240" w:after="240" w:line="360" w:lineRule="auto"/>
              <w:jc w:val="center"/>
            </w:pPr>
            <w:r w:rsidRPr="00C623E0">
              <w:object w:dxaOrig="10035" w:dyaOrig="2565" w14:anchorId="4DB2D48A">
                <v:shape id="_x0000_i1039" type="#_x0000_t75" style="width:252pt;height:63.75pt" o:ole="">
                  <v:imagedata r:id="rId26" o:title=""/>
                </v:shape>
                <o:OLEObject Type="Embed" ProgID="PBrush" ShapeID="_x0000_i1039" DrawAspect="Content" ObjectID="_1725790208" r:id="rId35"/>
              </w:object>
            </w:r>
          </w:p>
        </w:tc>
        <w:tc>
          <w:tcPr>
            <w:tcW w:w="1320" w:type="dxa"/>
            <w:vAlign w:val="center"/>
          </w:tcPr>
          <w:p w14:paraId="2DEEF7F9" w14:textId="374A9B85" w:rsidR="00DE1070" w:rsidRPr="00C623E0" w:rsidRDefault="009F2FEC" w:rsidP="00160312">
            <w:pPr>
              <w:spacing w:before="240" w:after="240" w:line="360" w:lineRule="auto"/>
              <w:jc w:val="center"/>
              <w:rPr>
                <w:rFonts w:ascii="Palatino Linotype" w:eastAsia="Palatino Linotype" w:hAnsi="Palatino Linotype" w:cs="Palatino Linotype"/>
                <w:b/>
                <w:sz w:val="18"/>
                <w:szCs w:val="18"/>
              </w:rPr>
            </w:pPr>
            <w:r w:rsidRPr="00C623E0">
              <w:rPr>
                <w:rFonts w:ascii="Palatino Linotype" w:eastAsia="Palatino Linotype" w:hAnsi="Palatino Linotype" w:cs="Palatino Linotype"/>
                <w:b/>
                <w:sz w:val="18"/>
                <w:szCs w:val="18"/>
              </w:rPr>
              <w:t>NO</w:t>
            </w:r>
          </w:p>
          <w:p w14:paraId="73B74D58" w14:textId="74BB39EC" w:rsidR="009F2FEC" w:rsidRPr="00C623E0" w:rsidRDefault="009F2FEC" w:rsidP="009F2FEC">
            <w:pPr>
              <w:spacing w:before="240" w:after="240"/>
              <w:jc w:val="center"/>
              <w:rPr>
                <w:rFonts w:ascii="Palatino Linotype" w:eastAsia="Palatino Linotype" w:hAnsi="Palatino Linotype" w:cs="Palatino Linotype"/>
                <w:bCs/>
                <w:sz w:val="12"/>
                <w:szCs w:val="12"/>
              </w:rPr>
            </w:pPr>
            <w:r w:rsidRPr="00C623E0">
              <w:rPr>
                <w:rFonts w:ascii="Palatino Linotype" w:eastAsia="Palatino Linotype" w:hAnsi="Palatino Linotype" w:cs="Palatino Linotype"/>
                <w:bCs/>
                <w:sz w:val="12"/>
                <w:szCs w:val="12"/>
              </w:rPr>
              <w:t>No se demostró la existencia de procedimientos seguidos en firma de juicio relacionados con la materia de la solicitud.</w:t>
            </w:r>
          </w:p>
          <w:p w14:paraId="443D0360" w14:textId="77777777" w:rsidR="009F2FEC" w:rsidRPr="00C623E0" w:rsidRDefault="009F2FEC" w:rsidP="00160312">
            <w:pPr>
              <w:spacing w:before="240" w:after="240" w:line="360" w:lineRule="auto"/>
              <w:jc w:val="center"/>
              <w:rPr>
                <w:rFonts w:ascii="Palatino Linotype" w:eastAsia="Palatino Linotype" w:hAnsi="Palatino Linotype" w:cs="Palatino Linotype"/>
                <w:b/>
                <w:sz w:val="18"/>
                <w:szCs w:val="18"/>
              </w:rPr>
            </w:pPr>
          </w:p>
          <w:p w14:paraId="6746B025" w14:textId="1041232C" w:rsidR="009F2FEC" w:rsidRPr="00C623E0" w:rsidRDefault="009F2FEC" w:rsidP="00160312">
            <w:pPr>
              <w:spacing w:before="240" w:after="240" w:line="360" w:lineRule="auto"/>
              <w:jc w:val="center"/>
              <w:rPr>
                <w:rFonts w:ascii="Palatino Linotype" w:eastAsia="Palatino Linotype" w:hAnsi="Palatino Linotype" w:cs="Palatino Linotype"/>
                <w:b/>
                <w:sz w:val="18"/>
                <w:szCs w:val="18"/>
              </w:rPr>
            </w:pPr>
          </w:p>
        </w:tc>
      </w:tr>
      <w:tr w:rsidR="00C623E0" w:rsidRPr="00C623E0" w14:paraId="3B955A1E" w14:textId="77777777" w:rsidTr="00160312">
        <w:tc>
          <w:tcPr>
            <w:tcW w:w="2263" w:type="dxa"/>
            <w:vAlign w:val="center"/>
          </w:tcPr>
          <w:p w14:paraId="424105BB" w14:textId="7F394AC1" w:rsidR="00473FDE" w:rsidRPr="00C623E0" w:rsidRDefault="00473FDE" w:rsidP="00BB3B6C">
            <w:pPr>
              <w:widowControl w:val="0"/>
              <w:jc w:val="center"/>
              <w:rPr>
                <w:rFonts w:ascii="Palatino Linotype" w:eastAsia="Palatino Linotype" w:hAnsi="Palatino Linotype" w:cs="Palatino Linotype"/>
                <w:sz w:val="20"/>
                <w:szCs w:val="20"/>
              </w:rPr>
            </w:pPr>
            <w:r w:rsidRPr="00C623E0">
              <w:rPr>
                <w:rFonts w:ascii="Palatino Linotype" w:eastAsia="Palatino Linotype" w:hAnsi="Palatino Linotype" w:cs="Palatino Linotype"/>
                <w:sz w:val="20"/>
                <w:szCs w:val="20"/>
              </w:rPr>
              <w:t xml:space="preserve">Deberán elegir la opción de excepción al acceso a la información que menos lo restrinja, la cual será adecuada y proporcional para la protección del interés </w:t>
            </w:r>
            <w:r w:rsidRPr="00C623E0">
              <w:rPr>
                <w:rFonts w:ascii="Palatino Linotype" w:eastAsia="Palatino Linotype" w:hAnsi="Palatino Linotype" w:cs="Palatino Linotype"/>
                <w:sz w:val="20"/>
                <w:szCs w:val="20"/>
              </w:rPr>
              <w:lastRenderedPageBreak/>
              <w:t>público, y deberá interferir lo menos</w:t>
            </w:r>
            <w:r w:rsidR="00BB3B6C" w:rsidRPr="00C623E0">
              <w:rPr>
                <w:rFonts w:ascii="Palatino Linotype" w:eastAsia="Palatino Linotype" w:hAnsi="Palatino Linotype" w:cs="Palatino Linotype"/>
                <w:sz w:val="20"/>
                <w:szCs w:val="20"/>
              </w:rPr>
              <w:t xml:space="preserve"> </w:t>
            </w:r>
            <w:r w:rsidRPr="00C623E0">
              <w:rPr>
                <w:rFonts w:ascii="Palatino Linotype" w:eastAsia="Palatino Linotype" w:hAnsi="Palatino Linotype" w:cs="Palatino Linotype"/>
                <w:sz w:val="20"/>
                <w:szCs w:val="20"/>
              </w:rPr>
              <w:t>posible en el ejercicio efectivo del derecho de acceso a la información.</w:t>
            </w:r>
          </w:p>
        </w:tc>
        <w:tc>
          <w:tcPr>
            <w:tcW w:w="5245" w:type="dxa"/>
            <w:vAlign w:val="center"/>
          </w:tcPr>
          <w:p w14:paraId="5385B0EC" w14:textId="4CD3F0CC" w:rsidR="00473FDE" w:rsidRPr="00C623E0" w:rsidRDefault="001D529A" w:rsidP="00160312">
            <w:pPr>
              <w:spacing w:before="240" w:after="240" w:line="360" w:lineRule="auto"/>
              <w:jc w:val="center"/>
            </w:pPr>
            <w:r w:rsidRPr="00C623E0">
              <w:object w:dxaOrig="9975" w:dyaOrig="2895" w14:anchorId="678AA474">
                <v:shape id="_x0000_i1040" type="#_x0000_t75" style="width:249pt;height:72.75pt" o:ole="">
                  <v:imagedata r:id="rId28" o:title=""/>
                </v:shape>
                <o:OLEObject Type="Embed" ProgID="PBrush" ShapeID="_x0000_i1040" DrawAspect="Content" ObjectID="_1725790209" r:id="rId36"/>
              </w:object>
            </w:r>
          </w:p>
        </w:tc>
        <w:tc>
          <w:tcPr>
            <w:tcW w:w="1320" w:type="dxa"/>
            <w:vAlign w:val="center"/>
          </w:tcPr>
          <w:p w14:paraId="0DEEFAE2" w14:textId="77777777" w:rsidR="00473FDE" w:rsidRPr="00C623E0" w:rsidRDefault="001D529A" w:rsidP="00160312">
            <w:pPr>
              <w:spacing w:before="240" w:after="240" w:line="360" w:lineRule="auto"/>
              <w:jc w:val="center"/>
              <w:rPr>
                <w:rFonts w:ascii="Palatino Linotype" w:eastAsia="Palatino Linotype" w:hAnsi="Palatino Linotype" w:cs="Palatino Linotype"/>
                <w:b/>
                <w:sz w:val="20"/>
                <w:szCs w:val="20"/>
              </w:rPr>
            </w:pPr>
            <w:r w:rsidRPr="00C623E0">
              <w:rPr>
                <w:rFonts w:ascii="Palatino Linotype" w:eastAsia="Palatino Linotype" w:hAnsi="Palatino Linotype" w:cs="Palatino Linotype"/>
                <w:b/>
                <w:sz w:val="20"/>
                <w:szCs w:val="20"/>
              </w:rPr>
              <w:t>NO</w:t>
            </w:r>
          </w:p>
          <w:p w14:paraId="4AE12D58" w14:textId="0651F65F" w:rsidR="001D529A" w:rsidRPr="00C623E0" w:rsidRDefault="009447AD" w:rsidP="00340B81">
            <w:pPr>
              <w:spacing w:before="120" w:after="120"/>
              <w:jc w:val="center"/>
              <w:rPr>
                <w:rFonts w:ascii="Palatino Linotype" w:eastAsia="Palatino Linotype" w:hAnsi="Palatino Linotype" w:cs="Palatino Linotype"/>
                <w:bCs/>
                <w:sz w:val="20"/>
                <w:szCs w:val="20"/>
              </w:rPr>
            </w:pPr>
            <w:r w:rsidRPr="00C623E0">
              <w:rPr>
                <w:rFonts w:ascii="Palatino Linotype" w:eastAsia="Palatino Linotype" w:hAnsi="Palatino Linotype" w:cs="Palatino Linotype"/>
                <w:bCs/>
                <w:sz w:val="12"/>
                <w:szCs w:val="12"/>
              </w:rPr>
              <w:t xml:space="preserve">No se advierte el examen de los subprincipios de idoneidad, necesidad, y proporcionalidad en sentido estricto, con la finalidad de demostrar que la </w:t>
            </w:r>
            <w:r w:rsidRPr="00C623E0">
              <w:rPr>
                <w:rFonts w:ascii="Palatino Linotype" w:eastAsia="Palatino Linotype" w:hAnsi="Palatino Linotype" w:cs="Palatino Linotype"/>
                <w:bCs/>
                <w:sz w:val="12"/>
                <w:szCs w:val="12"/>
              </w:rPr>
              <w:lastRenderedPageBreak/>
              <w:t xml:space="preserve">limitación al derecho de acceso a la información, a través de la clasificación, es el medio menos restrictivo </w:t>
            </w:r>
            <w:r w:rsidR="00340B81" w:rsidRPr="00C623E0">
              <w:rPr>
                <w:rFonts w:ascii="Palatino Linotype" w:eastAsia="Palatino Linotype" w:hAnsi="Palatino Linotype" w:cs="Palatino Linotype"/>
                <w:bCs/>
                <w:sz w:val="12"/>
                <w:szCs w:val="12"/>
              </w:rPr>
              <w:t xml:space="preserve">o más benigno </w:t>
            </w:r>
            <w:r w:rsidRPr="00C623E0">
              <w:rPr>
                <w:rFonts w:ascii="Palatino Linotype" w:eastAsia="Palatino Linotype" w:hAnsi="Palatino Linotype" w:cs="Palatino Linotype"/>
                <w:bCs/>
                <w:sz w:val="12"/>
                <w:szCs w:val="12"/>
              </w:rPr>
              <w:t>disponible para evitar el perjuicio.</w:t>
            </w:r>
          </w:p>
        </w:tc>
      </w:tr>
    </w:tbl>
    <w:p w14:paraId="3CB1E7BC" w14:textId="71C7BCE3" w:rsidR="00340B81" w:rsidRPr="00C623E0" w:rsidRDefault="00340B81" w:rsidP="00340B81">
      <w:pPr>
        <w:spacing w:before="280" w:after="28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 xml:space="preserve">Derivado de lo anterior, es evidente que el derecho de acceso a la información del particular no puede tenerse por atendido, toda vez que 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no justificó debidamente la restricción al mismo.</w:t>
      </w:r>
    </w:p>
    <w:p w14:paraId="40C8269D" w14:textId="4AB362A3" w:rsidR="009C5BC9" w:rsidRPr="00C623E0" w:rsidRDefault="008E7384"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Aunado a lo anterior, tomando en consideración la naturaleza de la información que es tema hoy de estudio, este Organismo Garante estima que la misma no actualiza algún supuesto de clasificación como información reservada, por las razones que a continuación se señalan:</w:t>
      </w:r>
    </w:p>
    <w:p w14:paraId="5EDBEF10" w14:textId="77777777" w:rsidR="008E7384" w:rsidRPr="00C623E0" w:rsidRDefault="008E7384" w:rsidP="008E7384">
      <w:pPr>
        <w:pStyle w:val="NormalWeb"/>
        <w:spacing w:line="360" w:lineRule="auto"/>
        <w:jc w:val="both"/>
        <w:rPr>
          <w:rFonts w:ascii="Palatino Linotype" w:hAnsi="Palatino Linotype" w:cs="Arial"/>
        </w:rPr>
      </w:pPr>
      <w:r w:rsidRPr="00C623E0">
        <w:rPr>
          <w:rFonts w:ascii="Palatino Linotype" w:eastAsia="Palatino Linotype" w:hAnsi="Palatino Linotype" w:cs="Palatino Linotype"/>
        </w:rPr>
        <w:t xml:space="preserve">En primer lugar, </w:t>
      </w:r>
      <w:r w:rsidRPr="00C623E0">
        <w:rPr>
          <w:rFonts w:ascii="Palatino Linotype" w:hAnsi="Palatino Linotype" w:cs="Arial"/>
        </w:rPr>
        <w:t xml:space="preserve">es importante </w:t>
      </w:r>
      <w:r w:rsidRPr="00C623E0">
        <w:rPr>
          <w:rFonts w:ascii="Palatino Linotype" w:hAnsi="Palatino Linotype"/>
        </w:rPr>
        <w:t>traer a colación el contenido del artículo 3°, fracciones I y IX, del Reglamento para los procesos de Entrega y Recepción y Rendición de Cuentas de la Administración Pública del Estado de México, que establece lo siguiente:</w:t>
      </w:r>
    </w:p>
    <w:p w14:paraId="366F2F93" w14:textId="77777777" w:rsidR="008E7384" w:rsidRPr="00C623E0" w:rsidRDefault="008E7384" w:rsidP="008E7384">
      <w:pPr>
        <w:pStyle w:val="NormalWeb"/>
        <w:numPr>
          <w:ilvl w:val="0"/>
          <w:numId w:val="7"/>
        </w:numPr>
        <w:spacing w:line="360" w:lineRule="auto"/>
        <w:ind w:left="426" w:firstLine="0"/>
        <w:jc w:val="both"/>
        <w:rPr>
          <w:rFonts w:ascii="Palatino Linotype" w:hAnsi="Palatino Linotype" w:cs="Arial"/>
        </w:rPr>
      </w:pPr>
      <w:r w:rsidRPr="00C623E0">
        <w:rPr>
          <w:rFonts w:ascii="Palatino Linotype" w:hAnsi="Palatino Linotype"/>
          <w:b/>
        </w:rPr>
        <w:t>Acta Administrativa</w:t>
      </w:r>
      <w:r w:rsidRPr="00C623E0">
        <w:rPr>
          <w:rFonts w:ascii="Palatino Linotype" w:hAnsi="Palatino Linotype"/>
        </w:rPr>
        <w:t xml:space="preserve">: Documento que debe presentar la persona servidora pública que concluye sus labores, en el que consta la Entrega y Recepción. </w:t>
      </w:r>
    </w:p>
    <w:p w14:paraId="6280F06B" w14:textId="77777777" w:rsidR="008E7384" w:rsidRPr="00C623E0" w:rsidRDefault="008E7384" w:rsidP="008E7384">
      <w:pPr>
        <w:pStyle w:val="NormalWeb"/>
        <w:numPr>
          <w:ilvl w:val="0"/>
          <w:numId w:val="7"/>
        </w:numPr>
        <w:spacing w:line="360" w:lineRule="auto"/>
        <w:ind w:left="426" w:firstLine="0"/>
        <w:jc w:val="both"/>
        <w:rPr>
          <w:rFonts w:ascii="Palatino Linotype" w:hAnsi="Palatino Linotype" w:cs="Arial"/>
        </w:rPr>
      </w:pPr>
      <w:r w:rsidRPr="00C623E0">
        <w:rPr>
          <w:rFonts w:ascii="Palatino Linotype" w:hAnsi="Palatino Linotype"/>
          <w:b/>
        </w:rPr>
        <w:t>Entrega y Recepción</w:t>
      </w:r>
      <w:r w:rsidRPr="00C623E0">
        <w:rPr>
          <w:rFonts w:ascii="Palatino Linotype" w:hAnsi="Palatino Linotype"/>
        </w:rPr>
        <w:t>: Proceso administrativo por el que una persona servidora pública, que concluye su empleo, cargo o comisión hace entrega y rinde cuentas de los recursos asignados, de los programas, proyectos, asuntos y acciones a su cargo, así como, de la información documental que tenga a su disposición, a quien reciba (superior jerárquico, encargado o su sustitución).</w:t>
      </w:r>
    </w:p>
    <w:p w14:paraId="079426CB" w14:textId="77777777" w:rsidR="008E7384" w:rsidRPr="00C623E0" w:rsidRDefault="008E7384" w:rsidP="008E7384">
      <w:pPr>
        <w:pStyle w:val="NormalWeb"/>
        <w:spacing w:line="360" w:lineRule="auto"/>
        <w:jc w:val="both"/>
        <w:rPr>
          <w:rFonts w:ascii="Palatino Linotype" w:hAnsi="Palatino Linotype"/>
        </w:rPr>
      </w:pPr>
      <w:r w:rsidRPr="00C623E0">
        <w:rPr>
          <w:rFonts w:ascii="Palatino Linotype" w:hAnsi="Palatino Linotype" w:cs="Arial"/>
        </w:rPr>
        <w:lastRenderedPageBreak/>
        <w:t xml:space="preserve">Por su parte, los Lineamientos que norman la entrega recepción de los Ayuntamientos, sus Dependencias y Organismos Descentralizados Municipales del Estado de México, establecen que la entrega recepción es </w:t>
      </w:r>
      <w:r w:rsidRPr="00C623E0">
        <w:rPr>
          <w:rFonts w:ascii="Palatino Linotype" w:hAnsi="Palatino Linotype"/>
        </w:rPr>
        <w:t>procedimiento administrativo de interés público de cumplimiento obligatorio y formal, mediante el cual un servidor público obligado que concluye su función, hace entrega del despacho a su cargo al servidor público entrante con la información de carácter económica, financiera, patrimonial, presupuestal, programática y administrativa, así como con todos aquellos documentos e información vinculados a las atribuciones, funciones, facultades y actividades de la unidad administrativa.</w:t>
      </w:r>
    </w:p>
    <w:p w14:paraId="59A0FF21" w14:textId="77777777" w:rsidR="008E7384" w:rsidRPr="00C623E0" w:rsidRDefault="008E7384" w:rsidP="008E7384">
      <w:pPr>
        <w:pStyle w:val="NormalWeb"/>
        <w:spacing w:line="360" w:lineRule="auto"/>
        <w:jc w:val="both"/>
        <w:rPr>
          <w:rFonts w:ascii="Palatino Linotype" w:hAnsi="Palatino Linotype" w:cs="Arial"/>
        </w:rPr>
      </w:pPr>
      <w:r w:rsidRPr="00C623E0">
        <w:rPr>
          <w:rFonts w:ascii="Palatino Linotype" w:hAnsi="Palatino Linotype"/>
        </w:rPr>
        <w:t xml:space="preserve">En tal sentido, también establece que </w:t>
      </w:r>
      <w:r w:rsidRPr="00C623E0">
        <w:rPr>
          <w:rFonts w:ascii="Palatino Linotype" w:hAnsi="Palatino Linotype" w:cs="Arial"/>
        </w:rPr>
        <w:t>las actas de entrega recepción son el documento jurídico que formaliza el acto de entrega-recepción, en el que se establecen los datos de los participantes, la relación de la información y el soporte documental de la gestión municipal, observaciones, firmas y anexos, y clasifican, de conformidad con el artículo 2 de los Lineamientos, en :</w:t>
      </w:r>
    </w:p>
    <w:p w14:paraId="10687679" w14:textId="77777777" w:rsidR="008E7384" w:rsidRPr="00C623E0" w:rsidRDefault="008E7384" w:rsidP="008E7384">
      <w:pPr>
        <w:pStyle w:val="NormalWeb"/>
        <w:spacing w:line="360" w:lineRule="auto"/>
        <w:ind w:left="284"/>
        <w:jc w:val="both"/>
        <w:rPr>
          <w:rFonts w:ascii="Palatino Linotype" w:hAnsi="Palatino Linotype"/>
        </w:rPr>
      </w:pPr>
      <w:r w:rsidRPr="00C623E0">
        <w:rPr>
          <w:rFonts w:ascii="Palatino Linotype" w:hAnsi="Palatino Linotype"/>
          <w:b/>
        </w:rPr>
        <w:t>a. Acta final o de conclusión de gestión constitucional (AER-1):</w:t>
      </w:r>
      <w:r w:rsidRPr="00C623E0">
        <w:rPr>
          <w:rFonts w:ascii="Palatino Linotype" w:hAnsi="Palatino Linotype"/>
        </w:rPr>
        <w:t xml:space="preserve"> Instrumento jurídico que se debe utilizar por los servidores públicos al término de un empleo, cargo o comisión, cualquiera que sea el motivo; o la que deben efectuar los servidores públicos, dentro de los términos establecidos, posterior a la culminación del periodo constitucional municipal. </w:t>
      </w:r>
    </w:p>
    <w:p w14:paraId="1295BF80" w14:textId="77777777" w:rsidR="008E7384" w:rsidRPr="00C623E0" w:rsidRDefault="008E7384" w:rsidP="008E7384">
      <w:pPr>
        <w:pStyle w:val="NormalWeb"/>
        <w:spacing w:line="360" w:lineRule="auto"/>
        <w:ind w:left="284"/>
        <w:jc w:val="both"/>
        <w:rPr>
          <w:rFonts w:ascii="Palatino Linotype" w:hAnsi="Palatino Linotype"/>
        </w:rPr>
      </w:pPr>
      <w:r w:rsidRPr="00C623E0">
        <w:rPr>
          <w:rFonts w:ascii="Palatino Linotype" w:hAnsi="Palatino Linotype"/>
          <w:b/>
        </w:rPr>
        <w:t>b. Acta extraordinaria (AER-2):</w:t>
      </w:r>
      <w:r w:rsidRPr="00C623E0">
        <w:rPr>
          <w:rFonts w:ascii="Palatino Linotype" w:hAnsi="Palatino Linotype"/>
        </w:rPr>
        <w:t xml:space="preserve"> Instrumento jurídico que se debe utilizar en los actos de entrega-recepción para la presentación de información por fallecimiento de la persona titular de una unidad administrativa, incapacidad física, legal, </w:t>
      </w:r>
      <w:r w:rsidRPr="00C623E0">
        <w:rPr>
          <w:rFonts w:ascii="Palatino Linotype" w:hAnsi="Palatino Linotype"/>
        </w:rPr>
        <w:lastRenderedPageBreak/>
        <w:t>inasistencia del servidor público saliente, cuando éste se negara a firmar o por otra causa que tenga como consecuencia la transmisión de dicho poder.</w:t>
      </w:r>
    </w:p>
    <w:p w14:paraId="15E0462D" w14:textId="77777777" w:rsidR="008E7384" w:rsidRPr="00C623E0" w:rsidRDefault="008E7384" w:rsidP="008E7384">
      <w:pPr>
        <w:pStyle w:val="NormalWeb"/>
        <w:spacing w:line="360" w:lineRule="auto"/>
        <w:jc w:val="both"/>
        <w:rPr>
          <w:rFonts w:ascii="Palatino Linotype" w:hAnsi="Palatino Linotype"/>
        </w:rPr>
      </w:pPr>
      <w:r w:rsidRPr="00C623E0">
        <w:rPr>
          <w:rFonts w:ascii="Palatino Linotype" w:hAnsi="Palatino Linotype"/>
        </w:rPr>
        <w:t>Además, el artículo 4, fracción III, inciso a, de los Lineamientos citados, establece que los servidores públicos entrantes y salientes de unidades administrativas, entre las cuales se encuentra el Sujeto Obligado; deben generar el procedimiento administrativo de entrega-recepción.</w:t>
      </w:r>
    </w:p>
    <w:p w14:paraId="57F0FA6C" w14:textId="77777777" w:rsidR="008E7384" w:rsidRPr="00C623E0" w:rsidRDefault="008E7384" w:rsidP="008E7384">
      <w:pPr>
        <w:pStyle w:val="NormalWeb"/>
        <w:spacing w:line="360" w:lineRule="auto"/>
        <w:jc w:val="both"/>
        <w:rPr>
          <w:rFonts w:ascii="Palatino Linotype" w:hAnsi="Palatino Linotype"/>
        </w:rPr>
      </w:pPr>
      <w:r w:rsidRPr="00C623E0">
        <w:rPr>
          <w:rFonts w:ascii="Palatino Linotype" w:hAnsi="Palatino Linotype"/>
        </w:rPr>
        <w:t>Por su parte el artículo 6, fracciones I y II de los Lineamientos, el Síndico participará en la entrega-recepción de la persona titular del Órgano Interno de Control Municipal; mientras que la persona titular del Órgano Interno de Control Municipal participará en la entrega-recepción de los servidores públicos titulares o encargados de despacho de las dependencias y de los servidores públicos del municipio que, por la naturaleza e importancia de sus funciones, deban realizar el acto de entrega-recepción, asimismo, el artículo  9 de los lineamientos establece que las personas titulares de los Órganos Internos de Control deben resguardar toda la documentación e información que se genere con motivo de los actos de entrega-recepción y/o actas administrativas, en términos de la Ley General de Archivos y demás disposiciones legales aplicables.</w:t>
      </w:r>
    </w:p>
    <w:p w14:paraId="52C3E56A" w14:textId="77777777" w:rsidR="008E7384" w:rsidRPr="00C623E0" w:rsidRDefault="008E7384" w:rsidP="008E7384">
      <w:pPr>
        <w:pStyle w:val="NormalWeb"/>
        <w:spacing w:line="360" w:lineRule="auto"/>
        <w:jc w:val="both"/>
        <w:rPr>
          <w:rFonts w:ascii="Palatino Linotype" w:hAnsi="Palatino Linotype"/>
        </w:rPr>
      </w:pPr>
      <w:r w:rsidRPr="00C623E0">
        <w:rPr>
          <w:rFonts w:ascii="Palatino Linotype" w:hAnsi="Palatino Linotype"/>
        </w:rPr>
        <w:t>Mientras que el artículo 13, de los Lineamientos que regulan la entrega-recepción de la Administración Pública Municipal del Estado de México, precisa que el procedimiento administrativo de entrega-recepción, se realizará cuando el servidor público culmine con el periodo constitucional municipal, o cuando se ausente o separe del empleo, cargo o comisión.</w:t>
      </w:r>
    </w:p>
    <w:p w14:paraId="4044E7BA" w14:textId="77777777" w:rsidR="008E7384" w:rsidRPr="00C623E0" w:rsidRDefault="008E7384" w:rsidP="008E7384">
      <w:pPr>
        <w:pStyle w:val="NormalWeb"/>
        <w:spacing w:line="360" w:lineRule="auto"/>
        <w:jc w:val="both"/>
        <w:rPr>
          <w:rFonts w:ascii="Palatino Linotype" w:hAnsi="Palatino Linotype"/>
        </w:rPr>
      </w:pPr>
      <w:r w:rsidRPr="00C623E0">
        <w:rPr>
          <w:rFonts w:ascii="Palatino Linotype" w:hAnsi="Palatino Linotype"/>
        </w:rPr>
        <w:lastRenderedPageBreak/>
        <w:t xml:space="preserve">De igual forma, es oportuno mencionar que el acta de entrega recepción describe los siguientes rubros, </w:t>
      </w:r>
    </w:p>
    <w:p w14:paraId="2E7AAAB4" w14:textId="77777777" w:rsidR="008E7384" w:rsidRPr="00C623E0" w:rsidRDefault="008E7384" w:rsidP="008E7384">
      <w:pPr>
        <w:pStyle w:val="NormalWeb"/>
        <w:spacing w:before="0" w:beforeAutospacing="0" w:after="0" w:afterAutospacing="0"/>
        <w:ind w:left="851" w:right="902"/>
        <w:jc w:val="both"/>
        <w:rPr>
          <w:rFonts w:ascii="Palatino Linotype" w:hAnsi="Palatino Linotype"/>
          <w:i/>
          <w:sz w:val="22"/>
          <w:szCs w:val="22"/>
        </w:rPr>
      </w:pPr>
      <w:r w:rsidRPr="00C623E0">
        <w:rPr>
          <w:rFonts w:ascii="Palatino Linotype" w:hAnsi="Palatino Linotype"/>
          <w:i/>
          <w:sz w:val="22"/>
          <w:szCs w:val="22"/>
        </w:rPr>
        <w:t>“</w:t>
      </w:r>
      <w:r w:rsidRPr="00C623E0">
        <w:rPr>
          <w:rFonts w:ascii="Palatino Linotype" w:hAnsi="Palatino Linotype"/>
          <w:b/>
          <w:i/>
          <w:sz w:val="22"/>
          <w:szCs w:val="22"/>
        </w:rPr>
        <w:t>Artículo 20.</w:t>
      </w:r>
      <w:r w:rsidRPr="00C623E0">
        <w:rPr>
          <w:rFonts w:ascii="Palatino Linotype" w:hAnsi="Palatino Linotype"/>
          <w:i/>
          <w:sz w:val="22"/>
          <w:szCs w:val="22"/>
        </w:rPr>
        <w:t xml:space="preserve"> El acta de entrega-recepción describe los rubros siguientes: </w:t>
      </w:r>
    </w:p>
    <w:p w14:paraId="32F396F4"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I.</w:t>
      </w:r>
      <w:r w:rsidRPr="00C623E0">
        <w:rPr>
          <w:rFonts w:ascii="Palatino Linotype" w:hAnsi="Palatino Linotype"/>
          <w:i/>
          <w:sz w:val="22"/>
          <w:szCs w:val="22"/>
        </w:rPr>
        <w:t xml:space="preserve"> Información de la oficina que se entrega; </w:t>
      </w:r>
    </w:p>
    <w:p w14:paraId="45F2E722"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II</w:t>
      </w:r>
      <w:r w:rsidRPr="00C623E0">
        <w:rPr>
          <w:rFonts w:ascii="Palatino Linotype" w:hAnsi="Palatino Linotype"/>
          <w:i/>
          <w:sz w:val="22"/>
          <w:szCs w:val="22"/>
        </w:rPr>
        <w:t xml:space="preserve">. Información de evaluación programática; </w:t>
      </w:r>
    </w:p>
    <w:p w14:paraId="1299CAB0"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III.</w:t>
      </w:r>
      <w:r w:rsidRPr="00C623E0">
        <w:rPr>
          <w:rFonts w:ascii="Palatino Linotype" w:hAnsi="Palatino Linotype"/>
          <w:i/>
          <w:sz w:val="22"/>
          <w:szCs w:val="22"/>
        </w:rPr>
        <w:t xml:space="preserve"> Información administrativa; </w:t>
      </w:r>
    </w:p>
    <w:p w14:paraId="3101726B"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IV.</w:t>
      </w:r>
      <w:r w:rsidRPr="00C623E0">
        <w:rPr>
          <w:rFonts w:ascii="Palatino Linotype" w:hAnsi="Palatino Linotype"/>
          <w:i/>
          <w:sz w:val="22"/>
          <w:szCs w:val="22"/>
        </w:rPr>
        <w:t xml:space="preserve"> Información financiera; </w:t>
      </w:r>
    </w:p>
    <w:p w14:paraId="1F8F3A5B"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V.</w:t>
      </w:r>
      <w:r w:rsidRPr="00C623E0">
        <w:rPr>
          <w:rFonts w:ascii="Palatino Linotype" w:hAnsi="Palatino Linotype"/>
          <w:i/>
          <w:sz w:val="22"/>
          <w:szCs w:val="22"/>
        </w:rPr>
        <w:t xml:space="preserve"> Información laboral; </w:t>
      </w:r>
    </w:p>
    <w:p w14:paraId="54BE7379"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VI.</w:t>
      </w:r>
      <w:r w:rsidRPr="00C623E0">
        <w:rPr>
          <w:rFonts w:ascii="Palatino Linotype" w:hAnsi="Palatino Linotype"/>
          <w:i/>
          <w:sz w:val="22"/>
          <w:szCs w:val="22"/>
        </w:rPr>
        <w:t xml:space="preserve"> Información catastral; </w:t>
      </w:r>
    </w:p>
    <w:p w14:paraId="2960CE90"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VII</w:t>
      </w:r>
      <w:r w:rsidRPr="00C623E0">
        <w:rPr>
          <w:rFonts w:ascii="Palatino Linotype" w:hAnsi="Palatino Linotype"/>
          <w:i/>
          <w:sz w:val="22"/>
          <w:szCs w:val="22"/>
        </w:rPr>
        <w:t xml:space="preserve">. Información de obras públicas; </w:t>
      </w:r>
    </w:p>
    <w:p w14:paraId="01E1297B"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VIII.</w:t>
      </w:r>
      <w:r w:rsidRPr="00C623E0">
        <w:rPr>
          <w:rFonts w:ascii="Palatino Linotype" w:hAnsi="Palatino Linotype"/>
          <w:i/>
          <w:sz w:val="22"/>
          <w:szCs w:val="22"/>
        </w:rPr>
        <w:t xml:space="preserve"> Información general de la entidad fiscalizable; </w:t>
      </w:r>
    </w:p>
    <w:p w14:paraId="36010BE1"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IX.</w:t>
      </w:r>
      <w:r w:rsidRPr="00C623E0">
        <w:rPr>
          <w:rFonts w:ascii="Palatino Linotype" w:hAnsi="Palatino Linotype"/>
          <w:i/>
          <w:sz w:val="22"/>
          <w:szCs w:val="22"/>
        </w:rPr>
        <w:t xml:space="preserve"> Información patrimonial de la entidad fiscalizable, e </w:t>
      </w:r>
    </w:p>
    <w:p w14:paraId="6131996B" w14:textId="77777777" w:rsidR="008E7384" w:rsidRPr="00C623E0" w:rsidRDefault="008E7384" w:rsidP="008E7384">
      <w:pPr>
        <w:pStyle w:val="NormalWeb"/>
        <w:spacing w:before="120" w:beforeAutospacing="0" w:after="120" w:afterAutospacing="0"/>
        <w:ind w:left="1134" w:right="902"/>
        <w:jc w:val="both"/>
        <w:rPr>
          <w:rFonts w:ascii="Palatino Linotype" w:hAnsi="Palatino Linotype"/>
          <w:i/>
          <w:sz w:val="22"/>
          <w:szCs w:val="22"/>
        </w:rPr>
      </w:pPr>
      <w:r w:rsidRPr="00C623E0">
        <w:rPr>
          <w:rFonts w:ascii="Palatino Linotype" w:hAnsi="Palatino Linotype"/>
          <w:b/>
          <w:i/>
          <w:sz w:val="22"/>
          <w:szCs w:val="22"/>
        </w:rPr>
        <w:t>X.</w:t>
      </w:r>
      <w:r w:rsidRPr="00C623E0">
        <w:rPr>
          <w:rFonts w:ascii="Palatino Linotype" w:hAnsi="Palatino Linotype"/>
          <w:i/>
          <w:sz w:val="22"/>
          <w:szCs w:val="22"/>
        </w:rPr>
        <w:t xml:space="preserve"> Información adicional.”</w:t>
      </w:r>
    </w:p>
    <w:p w14:paraId="0906F4FC" w14:textId="205A3D7D" w:rsidR="000437AB" w:rsidRPr="00C623E0" w:rsidRDefault="00434B31" w:rsidP="000437AB">
      <w:pPr>
        <w:pStyle w:val="NormalWeb"/>
        <w:spacing w:line="360" w:lineRule="auto"/>
        <w:jc w:val="both"/>
        <w:rPr>
          <w:rFonts w:ascii="Palatino Linotype" w:hAnsi="Palatino Linotype"/>
        </w:rPr>
      </w:pPr>
      <w:r w:rsidRPr="00C623E0">
        <w:rPr>
          <w:rFonts w:ascii="Palatino Linotype" w:eastAsia="Palatino Linotype" w:hAnsi="Palatino Linotype" w:cs="Palatino Linotype"/>
        </w:rPr>
        <w:t xml:space="preserve">En el caso que nos ocupa, </w:t>
      </w:r>
      <w:r w:rsidR="000437AB" w:rsidRPr="00C623E0">
        <w:rPr>
          <w:rFonts w:ascii="Palatino Linotype" w:eastAsia="Palatino Linotype" w:hAnsi="Palatino Linotype" w:cs="Palatino Linotype"/>
        </w:rPr>
        <w:t>el fundamento</w:t>
      </w:r>
      <w:r w:rsidRPr="00C623E0">
        <w:rPr>
          <w:rFonts w:ascii="Palatino Linotype" w:eastAsia="Palatino Linotype" w:hAnsi="Palatino Linotype" w:cs="Palatino Linotype"/>
        </w:rPr>
        <w:t xml:space="preserve"> principal del </w:t>
      </w:r>
      <w:r w:rsidRPr="00C623E0">
        <w:rPr>
          <w:rFonts w:ascii="Palatino Linotype" w:eastAsia="Palatino Linotype" w:hAnsi="Palatino Linotype" w:cs="Palatino Linotype"/>
          <w:b/>
          <w:bCs/>
        </w:rPr>
        <w:t xml:space="preserve">Sujeto Obligado </w:t>
      </w:r>
      <w:r w:rsidRPr="00C623E0">
        <w:rPr>
          <w:rFonts w:ascii="Palatino Linotype" w:eastAsia="Palatino Linotype" w:hAnsi="Palatino Linotype" w:cs="Palatino Linotype"/>
        </w:rPr>
        <w:t xml:space="preserve">para restringir el derecho de acceso a la información, </w:t>
      </w:r>
      <w:r w:rsidR="00DD244F" w:rsidRPr="00C623E0">
        <w:rPr>
          <w:rFonts w:ascii="Palatino Linotype" w:eastAsia="Palatino Linotype" w:hAnsi="Palatino Linotype" w:cs="Palatino Linotype"/>
        </w:rPr>
        <w:t>lo fue que</w:t>
      </w:r>
      <w:r w:rsidR="000437AB" w:rsidRPr="00C623E0">
        <w:rPr>
          <w:rFonts w:ascii="Palatino Linotype" w:eastAsia="Palatino Linotype" w:hAnsi="Palatino Linotype" w:cs="Palatino Linotype"/>
        </w:rPr>
        <w:t xml:space="preserve"> la entrega de</w:t>
      </w:r>
      <w:r w:rsidR="00DD244F" w:rsidRPr="00C623E0">
        <w:rPr>
          <w:rFonts w:ascii="Palatino Linotype" w:eastAsia="Palatino Linotype" w:hAnsi="Palatino Linotype" w:cs="Palatino Linotype"/>
        </w:rPr>
        <w:t xml:space="preserve"> los documentos solicitado</w:t>
      </w:r>
      <w:r w:rsidR="000437AB" w:rsidRPr="00C623E0">
        <w:rPr>
          <w:rFonts w:ascii="Palatino Linotype" w:eastAsia="Palatino Linotype" w:hAnsi="Palatino Linotype" w:cs="Palatino Linotype"/>
        </w:rPr>
        <w:t xml:space="preserve">s podría vulnerar a conducción de los expedientes judiciales o de los procedimientos administrativos seguidos en forma de juicio, </w:t>
      </w:r>
      <w:r w:rsidR="000437AB" w:rsidRPr="00C623E0">
        <w:rPr>
          <w:rFonts w:ascii="Palatino Linotype" w:hAnsi="Palatino Linotype"/>
        </w:rPr>
        <w:t>en tanto no hayan causado estado.</w:t>
      </w:r>
    </w:p>
    <w:p w14:paraId="2912CE2A"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En ese sentido, los Lineamientos Generales para la Clasificación y Desclasificación prevén lo siguiente: </w:t>
      </w:r>
    </w:p>
    <w:p w14:paraId="517BE897" w14:textId="77777777" w:rsidR="000437AB" w:rsidRPr="00C623E0" w:rsidRDefault="000437AB" w:rsidP="000437AB">
      <w:pPr>
        <w:pStyle w:val="NormalWeb"/>
        <w:spacing w:before="120" w:beforeAutospacing="0" w:after="120" w:afterAutospacing="0"/>
        <w:ind w:left="851" w:right="900"/>
        <w:jc w:val="both"/>
        <w:rPr>
          <w:rFonts w:ascii="Palatino Linotype" w:hAnsi="Palatino Linotype"/>
          <w:i/>
          <w:iCs/>
          <w:sz w:val="22"/>
          <w:szCs w:val="22"/>
        </w:rPr>
      </w:pPr>
      <w:r w:rsidRPr="00C623E0">
        <w:rPr>
          <w:rFonts w:ascii="Palatino Linotype" w:hAnsi="Palatino Linotype"/>
          <w:i/>
          <w:iCs/>
          <w:sz w:val="22"/>
          <w:szCs w:val="22"/>
        </w:rPr>
        <w:t>“</w:t>
      </w:r>
      <w:r w:rsidRPr="00C623E0">
        <w:rPr>
          <w:rFonts w:ascii="Palatino Linotype" w:hAnsi="Palatino Linotype"/>
          <w:b/>
          <w:bCs/>
          <w:i/>
          <w:iCs/>
          <w:sz w:val="22"/>
          <w:szCs w:val="22"/>
        </w:rPr>
        <w:t>Trigésimo.</w:t>
      </w:r>
      <w:r w:rsidRPr="00C623E0">
        <w:rPr>
          <w:rFonts w:ascii="Palatino Linotype" w:hAnsi="Palatino Linotype"/>
          <w:i/>
          <w:iCs/>
          <w:sz w:val="22"/>
          <w:szCs w:val="22"/>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 </w:t>
      </w:r>
    </w:p>
    <w:p w14:paraId="1996BFB3" w14:textId="77777777" w:rsidR="000437AB" w:rsidRPr="00C623E0" w:rsidRDefault="000437AB" w:rsidP="000437AB">
      <w:pPr>
        <w:pStyle w:val="NormalWeb"/>
        <w:spacing w:before="120" w:beforeAutospacing="0" w:after="120" w:afterAutospacing="0"/>
        <w:ind w:left="1134" w:right="900"/>
        <w:jc w:val="both"/>
        <w:rPr>
          <w:rFonts w:ascii="Palatino Linotype" w:hAnsi="Palatino Linotype"/>
          <w:i/>
          <w:iCs/>
          <w:sz w:val="22"/>
          <w:szCs w:val="22"/>
        </w:rPr>
      </w:pPr>
      <w:r w:rsidRPr="00C623E0">
        <w:rPr>
          <w:rFonts w:ascii="Palatino Linotype" w:hAnsi="Palatino Linotype"/>
          <w:b/>
          <w:bCs/>
          <w:i/>
          <w:iCs/>
          <w:sz w:val="22"/>
          <w:szCs w:val="22"/>
        </w:rPr>
        <w:lastRenderedPageBreak/>
        <w:t>I</w:t>
      </w:r>
      <w:r w:rsidRPr="00C623E0">
        <w:rPr>
          <w:rFonts w:ascii="Palatino Linotype" w:hAnsi="Palatino Linotype"/>
          <w:i/>
          <w:iCs/>
          <w:sz w:val="22"/>
          <w:szCs w:val="22"/>
        </w:rPr>
        <w:t>. La existencia de un juicio o procedimiento administrativo materialmente jurisdiccional, que se encuentre en trámite, y</w:t>
      </w:r>
    </w:p>
    <w:p w14:paraId="4744FD82" w14:textId="77777777" w:rsidR="000437AB" w:rsidRPr="00C623E0" w:rsidRDefault="000437AB" w:rsidP="000437AB">
      <w:pPr>
        <w:pStyle w:val="NormalWeb"/>
        <w:spacing w:before="120" w:beforeAutospacing="0" w:after="120" w:afterAutospacing="0"/>
        <w:ind w:left="1134" w:right="900"/>
        <w:jc w:val="both"/>
        <w:rPr>
          <w:rFonts w:ascii="Palatino Linotype" w:hAnsi="Palatino Linotype"/>
          <w:i/>
          <w:iCs/>
          <w:sz w:val="22"/>
          <w:szCs w:val="22"/>
        </w:rPr>
      </w:pPr>
      <w:r w:rsidRPr="00C623E0">
        <w:rPr>
          <w:rFonts w:ascii="Palatino Linotype" w:hAnsi="Palatino Linotype"/>
          <w:b/>
          <w:bCs/>
          <w:i/>
          <w:iCs/>
          <w:sz w:val="22"/>
          <w:szCs w:val="22"/>
        </w:rPr>
        <w:t>II.</w:t>
      </w:r>
      <w:r w:rsidRPr="00C623E0">
        <w:rPr>
          <w:rFonts w:ascii="Palatino Linotype" w:hAnsi="Palatino Linotype"/>
          <w:i/>
          <w:iCs/>
          <w:sz w:val="22"/>
          <w:szCs w:val="22"/>
        </w:rPr>
        <w:t xml:space="preserve"> Que la información solicitada se refiera a actuaciones, diligencias o constancias propias del procedimiento. </w:t>
      </w:r>
    </w:p>
    <w:p w14:paraId="3CBE4901" w14:textId="77777777" w:rsidR="000437AB" w:rsidRPr="00C623E0" w:rsidRDefault="000437AB" w:rsidP="000437AB">
      <w:pPr>
        <w:pStyle w:val="NormalWeb"/>
        <w:spacing w:before="120" w:beforeAutospacing="0" w:after="120" w:afterAutospacing="0"/>
        <w:ind w:left="851" w:right="900"/>
        <w:jc w:val="both"/>
        <w:rPr>
          <w:rFonts w:ascii="Palatino Linotype" w:hAnsi="Palatino Linotype"/>
          <w:i/>
          <w:iCs/>
          <w:sz w:val="22"/>
          <w:szCs w:val="22"/>
        </w:rPr>
      </w:pPr>
      <w:r w:rsidRPr="00C623E0">
        <w:rPr>
          <w:rFonts w:ascii="Palatino Linotype" w:hAnsi="Palatino Linotype"/>
          <w:i/>
          <w:iCs/>
          <w:sz w:val="22"/>
          <w:szCs w:val="22"/>
        </w:rPr>
        <w:t xml:space="preserve">Para los efectos del primer párrafo de este numeral, se considera procedimiento seguido en forma de juicio a aquel formalmente administrativo, pero materialmente jurisdiccional; esto es, en el que concurran los siguientes elementos: </w:t>
      </w:r>
    </w:p>
    <w:p w14:paraId="6B0390F7" w14:textId="77777777" w:rsidR="000437AB" w:rsidRPr="00C623E0" w:rsidRDefault="000437AB" w:rsidP="000437AB">
      <w:pPr>
        <w:pStyle w:val="NormalWeb"/>
        <w:spacing w:before="120" w:beforeAutospacing="0" w:after="120" w:afterAutospacing="0"/>
        <w:ind w:left="1134" w:right="900"/>
        <w:jc w:val="both"/>
        <w:rPr>
          <w:rFonts w:ascii="Palatino Linotype" w:hAnsi="Palatino Linotype"/>
          <w:i/>
          <w:iCs/>
          <w:sz w:val="22"/>
          <w:szCs w:val="22"/>
        </w:rPr>
      </w:pPr>
      <w:r w:rsidRPr="00C623E0">
        <w:rPr>
          <w:rFonts w:ascii="Palatino Linotype" w:hAnsi="Palatino Linotype"/>
          <w:b/>
          <w:bCs/>
          <w:i/>
          <w:iCs/>
          <w:sz w:val="22"/>
          <w:szCs w:val="22"/>
        </w:rPr>
        <w:t>1</w:t>
      </w:r>
      <w:r w:rsidRPr="00C623E0">
        <w:rPr>
          <w:rFonts w:ascii="Palatino Linotype" w:hAnsi="Palatino Linotype"/>
          <w:i/>
          <w:iCs/>
          <w:sz w:val="22"/>
          <w:szCs w:val="22"/>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02DD3943" w14:textId="77777777" w:rsidR="000437AB" w:rsidRPr="00C623E0" w:rsidRDefault="000437AB" w:rsidP="000437AB">
      <w:pPr>
        <w:pStyle w:val="NormalWeb"/>
        <w:spacing w:before="120" w:beforeAutospacing="0" w:after="120" w:afterAutospacing="0"/>
        <w:ind w:left="1134" w:right="900"/>
        <w:jc w:val="both"/>
        <w:rPr>
          <w:rFonts w:ascii="Palatino Linotype" w:hAnsi="Palatino Linotype"/>
          <w:i/>
          <w:iCs/>
          <w:sz w:val="22"/>
          <w:szCs w:val="22"/>
        </w:rPr>
      </w:pPr>
      <w:r w:rsidRPr="00C623E0">
        <w:rPr>
          <w:rFonts w:ascii="Palatino Linotype" w:hAnsi="Palatino Linotype"/>
          <w:b/>
          <w:bCs/>
          <w:i/>
          <w:iCs/>
          <w:sz w:val="22"/>
          <w:szCs w:val="22"/>
        </w:rPr>
        <w:t>2.</w:t>
      </w:r>
      <w:r w:rsidRPr="00C623E0">
        <w:rPr>
          <w:rFonts w:ascii="Palatino Linotype" w:hAnsi="Palatino Linotype"/>
          <w:i/>
          <w:iCs/>
          <w:sz w:val="22"/>
          <w:szCs w:val="22"/>
        </w:rPr>
        <w:t xml:space="preserve"> Que se cumplan las formalidades esenciales del procedimiento. </w:t>
      </w:r>
    </w:p>
    <w:p w14:paraId="7BEA779C" w14:textId="77777777" w:rsidR="000437AB" w:rsidRPr="00C623E0" w:rsidRDefault="000437AB" w:rsidP="000437AB">
      <w:pPr>
        <w:pStyle w:val="NormalWeb"/>
        <w:spacing w:before="120" w:beforeAutospacing="0" w:after="120" w:afterAutospacing="0"/>
        <w:ind w:left="851" w:right="900"/>
        <w:jc w:val="both"/>
        <w:rPr>
          <w:rFonts w:ascii="Palatino Linotype" w:hAnsi="Palatino Linotype"/>
          <w:i/>
          <w:iCs/>
          <w:sz w:val="22"/>
          <w:szCs w:val="22"/>
        </w:rPr>
      </w:pPr>
      <w:r w:rsidRPr="00C623E0">
        <w:rPr>
          <w:rFonts w:ascii="Palatino Linotype" w:hAnsi="Palatino Linotype"/>
          <w:i/>
          <w:iCs/>
          <w:sz w:val="22"/>
          <w:szCs w:val="22"/>
        </w:rPr>
        <w:t xml:space="preserve">No serán objeto de reserva las resoluciones interlocutorias o definitivas que se dicten dentro de los procedimientos o con las que se concluya el mismo. En estos casos deberá otorgarse acceso a la resolución en versión pública, testando la información clasificada.” </w:t>
      </w:r>
    </w:p>
    <w:p w14:paraId="6CFB8552"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De la normatividad citada, se desprende que el supuesto de clasificación invocado por el </w:t>
      </w:r>
      <w:r w:rsidRPr="00C623E0">
        <w:rPr>
          <w:rFonts w:ascii="Palatino Linotype" w:hAnsi="Palatino Linotype"/>
          <w:b/>
          <w:bCs/>
        </w:rPr>
        <w:t>Sujeto Obligado</w:t>
      </w:r>
      <w:r w:rsidRPr="00C623E0">
        <w:rPr>
          <w:rFonts w:ascii="Palatino Linotype" w:hAnsi="Palatino Linotype"/>
        </w:rPr>
        <w:t>, prevé que como información reservada podrá clasificarse aquella que vulnere la conducción de los expedientes judiciales o de los procedimientos administrativos seguidos en forma de juicio, en tanto no hayan causado estado. Por lo cual, para considerar que se actualiza dicha causal es necesario que se configuren los siguientes elementos:</w:t>
      </w:r>
    </w:p>
    <w:p w14:paraId="0836900E"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1) La existencia de un juicio o procedimiento administrativo materialmente jurisdiccional, que se encuentre en trámite, y </w:t>
      </w:r>
    </w:p>
    <w:p w14:paraId="304126E7"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2) Que la información solicitada se refiera a actuaciones, diligencias o constancias propias del procedimiento.</w:t>
      </w:r>
    </w:p>
    <w:p w14:paraId="4E7E4023"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lastRenderedPageBreak/>
        <w:t xml:space="preserve">Con base en lo expuesto, se advierte que la información susceptible de clasificarse como reservada bajo el supuesto aludido por el sujeto obligado, es aquella cuya difusión vulnere la conducción de los expedientes judiciales o procedimientos administrativos seguidos en forma de juicio, en tanto no hayan causado estado. </w:t>
      </w:r>
    </w:p>
    <w:p w14:paraId="75DAF1C3" w14:textId="30E19158"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Sin embargo, el </w:t>
      </w:r>
      <w:r w:rsidRPr="00C623E0">
        <w:rPr>
          <w:rFonts w:ascii="Palatino Linotype" w:hAnsi="Palatino Linotype"/>
          <w:b/>
          <w:bCs/>
        </w:rPr>
        <w:t>Sujeto Obligado</w:t>
      </w:r>
      <w:r w:rsidRPr="00C623E0">
        <w:rPr>
          <w:rFonts w:ascii="Palatino Linotype" w:hAnsi="Palatino Linotype"/>
        </w:rPr>
        <w:t>, no proporcionó ningún elemento para acreditar que el acta requerida y los documentos que confirman el expediente de la misma, se encontrara en un procedimiento específico de auditoría o verif</w:t>
      </w:r>
      <w:r w:rsidR="00BB3B6C" w:rsidRPr="00C623E0">
        <w:rPr>
          <w:rFonts w:ascii="Palatino Linotype" w:hAnsi="Palatino Linotype"/>
        </w:rPr>
        <w:t>icación u homólogo, en trámite.</w:t>
      </w:r>
    </w:p>
    <w:p w14:paraId="5C6F5ED9" w14:textId="5783C9A0"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Asimismo, omitió proporcionar información o datos sobre la existencia de dichos procedimientos, no precisó de manera clara que Actas son las que se encontraban en los supuestos anteriores, ni aportó ningún elemento para acreditar de algún procedimiento administrativo en trámite; por lo que, es claro que no se acredita el primer requisito para acreditar la clasificación de la información.</w:t>
      </w:r>
    </w:p>
    <w:p w14:paraId="37968665"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Tampoco se acredita que la información se refiera a actuaciones, diligencias o constancias propias del procedimiento, pues para poder actualizar este, debe de existir algún procedimiento en trámite, situación que no avaló el </w:t>
      </w:r>
      <w:r w:rsidRPr="00C623E0">
        <w:rPr>
          <w:rFonts w:ascii="Palatino Linotype" w:hAnsi="Palatino Linotype"/>
          <w:b/>
          <w:bCs/>
        </w:rPr>
        <w:t>Sujeto Obligado</w:t>
      </w:r>
      <w:r w:rsidRPr="00C623E0">
        <w:rPr>
          <w:rFonts w:ascii="Palatino Linotype" w:hAnsi="Palatino Linotype"/>
        </w:rPr>
        <w:t>, ni la Contraloría o Comité de Transparencia.</w:t>
      </w:r>
    </w:p>
    <w:p w14:paraId="24AEA92F" w14:textId="77777777"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 xml:space="preserve">Además, que las actas de entrega-recepción, no dan cuenta por si solas de la existencia de un procedimiento administrativo en trámite o que esta forme parte de las documentales de dicho procedimiento; pues conforme al artículo 20 de los Lineamientos que regulan la entrega recepción de la Administración Pública Municipal del Estado de México, dichos documentos se conforman de la </w:t>
      </w:r>
      <w:r w:rsidRPr="00C623E0">
        <w:rPr>
          <w:rFonts w:ascii="Palatino Linotype" w:hAnsi="Palatino Linotype"/>
        </w:rPr>
        <w:lastRenderedPageBreak/>
        <w:t xml:space="preserve">información de la oficina que se entrega, de evaluación programática, administrativa, financiera, laboral, catastral, de obras públicas, entre otras. </w:t>
      </w:r>
    </w:p>
    <w:p w14:paraId="5B9D3768" w14:textId="05FC4990" w:rsidR="000437AB" w:rsidRPr="00C623E0" w:rsidRDefault="000437AB" w:rsidP="000437AB">
      <w:pPr>
        <w:pStyle w:val="NormalWeb"/>
        <w:spacing w:line="360" w:lineRule="auto"/>
        <w:jc w:val="both"/>
        <w:rPr>
          <w:rFonts w:ascii="Palatino Linotype" w:hAnsi="Palatino Linotype"/>
        </w:rPr>
      </w:pPr>
      <w:r w:rsidRPr="00C623E0">
        <w:rPr>
          <w:rFonts w:ascii="Palatino Linotype" w:hAnsi="Palatino Linotype"/>
        </w:rPr>
        <w:t>Conforme a lo anterior, se logra observar que las actas de entrega-recepción, por si solas, no dan cuenta de que derivado a estas se haya iniciado algún procedimiento administrativo, o que forme parte de este; por lo que, de ninguna manera se pueden acreditar los dos requisitos establecidos para actualizar la causal de reserva; con dicha situación, se ratifica que resulta improcedente la reserva en términos, del artículo 140, fracciones VI, VIII</w:t>
      </w:r>
      <w:r w:rsidR="00F8388F" w:rsidRPr="00C623E0">
        <w:rPr>
          <w:rFonts w:ascii="Palatino Linotype" w:hAnsi="Palatino Linotype"/>
        </w:rPr>
        <w:t xml:space="preserve"> y X</w:t>
      </w:r>
      <w:r w:rsidRPr="00C623E0">
        <w:rPr>
          <w:rFonts w:ascii="Palatino Linotype" w:hAnsi="Palatino Linotype"/>
        </w:rPr>
        <w:t xml:space="preserve"> de la Ley de Transparencia y Acceso a la Información Pública del Estado de México y Municipios, aludida por el </w:t>
      </w:r>
      <w:r w:rsidRPr="00C623E0">
        <w:rPr>
          <w:rFonts w:ascii="Palatino Linotype" w:hAnsi="Palatino Linotype"/>
          <w:b/>
          <w:bCs/>
        </w:rPr>
        <w:t>Sujeto Obligado</w:t>
      </w:r>
      <w:r w:rsidRPr="00C623E0">
        <w:rPr>
          <w:rFonts w:ascii="Palatino Linotype" w:hAnsi="Palatino Linotype"/>
        </w:rPr>
        <w:t>.</w:t>
      </w:r>
    </w:p>
    <w:p w14:paraId="41870238" w14:textId="409598F1" w:rsidR="005D0920" w:rsidRPr="00C623E0" w:rsidRDefault="005D0920" w:rsidP="005D0920">
      <w:pPr>
        <w:pStyle w:val="NormalWeb"/>
        <w:spacing w:line="360" w:lineRule="auto"/>
        <w:jc w:val="both"/>
        <w:rPr>
          <w:rFonts w:ascii="Palatino Linotype" w:hAnsi="Palatino Linotype"/>
        </w:rPr>
      </w:pPr>
      <w:r w:rsidRPr="00C623E0">
        <w:rPr>
          <w:rFonts w:ascii="Palatino Linotype" w:hAnsi="Palatino Linotype"/>
        </w:rPr>
        <w:t xml:space="preserve">Por lo expuesto, se considera que el </w:t>
      </w:r>
      <w:r w:rsidRPr="00C623E0">
        <w:rPr>
          <w:rFonts w:ascii="Palatino Linotype" w:hAnsi="Palatino Linotype"/>
          <w:b/>
          <w:bCs/>
        </w:rPr>
        <w:t>Sujeto Obligado</w:t>
      </w:r>
      <w:r w:rsidRPr="00C623E0">
        <w:rPr>
          <w:rFonts w:ascii="Palatino Linotype" w:hAnsi="Palatino Linotype"/>
        </w:rPr>
        <w:t>, para atender los requerimientos de información en análisis, deberá entregar los documentos donde conste la información peticionada;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C7584E9" w14:textId="17F24ECB" w:rsidR="00AF2045" w:rsidRPr="00C623E0" w:rsidRDefault="00E265EA"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Por otro lado, </w:t>
      </w:r>
      <w:r w:rsidRPr="00C623E0">
        <w:rPr>
          <w:rFonts w:ascii="Palatino Linotype" w:eastAsia="Palatino Linotype" w:hAnsi="Palatino Linotype" w:cs="Palatino Linotype"/>
          <w:b/>
          <w:u w:val="single"/>
        </w:rPr>
        <w:t xml:space="preserve">respecto de los puntos 3 y 4, mediante los cuales se requirió la entrega de los </w:t>
      </w:r>
      <w:r w:rsidR="00FA402B" w:rsidRPr="00C623E0">
        <w:rPr>
          <w:rFonts w:ascii="Palatino Linotype" w:eastAsia="Palatino Linotype" w:hAnsi="Palatino Linotype" w:cs="Palatino Linotype"/>
          <w:b/>
          <w:u w:val="single"/>
        </w:rPr>
        <w:t>r</w:t>
      </w:r>
      <w:r w:rsidRPr="00C623E0">
        <w:rPr>
          <w:rFonts w:ascii="Palatino Linotype" w:eastAsia="Palatino Linotype" w:hAnsi="Palatino Linotype" w:cs="Palatino Linotype"/>
          <w:b/>
          <w:u w:val="single"/>
        </w:rPr>
        <w:t>eportes ejecutivos institucionales generados por las Secretarías</w:t>
      </w:r>
      <w:r w:rsidR="00FA402B" w:rsidRPr="00C623E0">
        <w:rPr>
          <w:rFonts w:ascii="Palatino Linotype" w:eastAsia="Palatino Linotype" w:hAnsi="Palatino Linotype" w:cs="Palatino Linotype"/>
          <w:b/>
          <w:u w:val="single"/>
        </w:rPr>
        <w:t xml:space="preserve"> y los anexos</w:t>
      </w:r>
      <w:r w:rsidR="00FA402B" w:rsidRPr="00C623E0">
        <w:rPr>
          <w:rFonts w:ascii="Palatino Linotype" w:eastAsia="Palatino Linotype" w:hAnsi="Palatino Linotype" w:cs="Palatino Linotype"/>
        </w:rPr>
        <w:t xml:space="preserve">, es oportuno referir que atendiendo a la estructura orgánica del </w:t>
      </w:r>
      <w:r w:rsidR="00FA402B" w:rsidRPr="00C623E0">
        <w:rPr>
          <w:rFonts w:ascii="Palatino Linotype" w:eastAsia="Palatino Linotype" w:hAnsi="Palatino Linotype" w:cs="Palatino Linotype"/>
          <w:b/>
          <w:bCs/>
        </w:rPr>
        <w:t xml:space="preserve">Sujeto Obligado, </w:t>
      </w:r>
      <w:r w:rsidR="007A592F" w:rsidRPr="00C623E0">
        <w:rPr>
          <w:rFonts w:ascii="Palatino Linotype" w:eastAsia="Palatino Linotype" w:hAnsi="Palatino Linotype" w:cs="Palatino Linotype"/>
        </w:rPr>
        <w:t>contemplada en el artículo 2</w:t>
      </w:r>
      <w:r w:rsidR="00FD4673" w:rsidRPr="00C623E0">
        <w:rPr>
          <w:rFonts w:ascii="Palatino Linotype" w:eastAsia="Palatino Linotype" w:hAnsi="Palatino Linotype" w:cs="Palatino Linotype"/>
        </w:rPr>
        <w:t>3</w:t>
      </w:r>
      <w:r w:rsidR="007A592F" w:rsidRPr="00C623E0">
        <w:rPr>
          <w:rFonts w:ascii="Palatino Linotype" w:eastAsia="Palatino Linotype" w:hAnsi="Palatino Linotype" w:cs="Palatino Linotype"/>
        </w:rPr>
        <w:t xml:space="preserve"> del Bando Municipal de Toluca, </w:t>
      </w:r>
      <w:r w:rsidR="0043543D" w:rsidRPr="00C623E0">
        <w:rPr>
          <w:rFonts w:ascii="Palatino Linotype" w:eastAsia="Palatino Linotype" w:hAnsi="Palatino Linotype" w:cs="Palatino Linotype"/>
        </w:rPr>
        <w:t xml:space="preserve">y 3.2 del Código Reglamentario, </w:t>
      </w:r>
      <w:r w:rsidR="00FD4673" w:rsidRPr="00C623E0">
        <w:rPr>
          <w:rFonts w:ascii="Palatino Linotype" w:eastAsia="Palatino Linotype" w:hAnsi="Palatino Linotype" w:cs="Palatino Linotype"/>
        </w:rPr>
        <w:t>este se integra por las siguientes áreas:</w:t>
      </w:r>
    </w:p>
    <w:p w14:paraId="2FF2F870" w14:textId="51CAF217" w:rsidR="00FD4673" w:rsidRPr="00C623E0" w:rsidRDefault="00FD4673" w:rsidP="00FD4673">
      <w:pPr>
        <w:spacing w:before="120" w:after="120"/>
        <w:ind w:left="851" w:right="902"/>
        <w:jc w:val="both"/>
        <w:rPr>
          <w:rFonts w:ascii="Palatino Linotype" w:hAnsi="Palatino Linotype"/>
          <w:i/>
          <w:iCs/>
          <w:sz w:val="22"/>
          <w:szCs w:val="22"/>
        </w:rPr>
      </w:pPr>
      <w:r w:rsidRPr="00C623E0">
        <w:rPr>
          <w:rFonts w:ascii="Palatino Linotype" w:hAnsi="Palatino Linotype"/>
          <w:i/>
          <w:iCs/>
          <w:sz w:val="22"/>
          <w:szCs w:val="22"/>
        </w:rPr>
        <w:lastRenderedPageBreak/>
        <w:t>“</w:t>
      </w:r>
      <w:r w:rsidRPr="00C623E0">
        <w:rPr>
          <w:rFonts w:ascii="Palatino Linotype" w:hAnsi="Palatino Linotype"/>
          <w:b/>
          <w:bCs/>
          <w:i/>
          <w:iCs/>
          <w:sz w:val="22"/>
          <w:szCs w:val="22"/>
        </w:rPr>
        <w:t>I. DEPENDENCIAS</w:t>
      </w:r>
      <w:r w:rsidRPr="00C623E0">
        <w:rPr>
          <w:rFonts w:ascii="Palatino Linotype" w:hAnsi="Palatino Linotype"/>
          <w:i/>
          <w:iCs/>
          <w:sz w:val="22"/>
          <w:szCs w:val="22"/>
        </w:rPr>
        <w:t xml:space="preserve">: </w:t>
      </w:r>
    </w:p>
    <w:p w14:paraId="665E0649"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1. Tesorería Municipal; </w:t>
      </w:r>
    </w:p>
    <w:p w14:paraId="43EC7A31"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2. Contraloría; </w:t>
      </w:r>
    </w:p>
    <w:p w14:paraId="5FE6CE9D"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3. Dirección General de Gobierno;</w:t>
      </w:r>
    </w:p>
    <w:p w14:paraId="0C974D32"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4. Dirección General de Seguridad y Protección; </w:t>
      </w:r>
    </w:p>
    <w:p w14:paraId="79DE8D53"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5. Dirección General de Administración; </w:t>
      </w:r>
    </w:p>
    <w:p w14:paraId="6B04776C"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6. Dirección General de Medio Ambiente; </w:t>
      </w:r>
    </w:p>
    <w:p w14:paraId="61176A29"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7. Dirección General de Servicios Públicos; </w:t>
      </w:r>
    </w:p>
    <w:p w14:paraId="5EF70BFE"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8. Dirección General de Desarrollo Urbano, Ordenamiento Territorial y Obras Públicas; </w:t>
      </w:r>
    </w:p>
    <w:p w14:paraId="33B62B75"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9. Derogado; </w:t>
      </w:r>
    </w:p>
    <w:p w14:paraId="23BB870D"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10. Dirección General de Desarrollo Económico; y </w:t>
      </w:r>
    </w:p>
    <w:p w14:paraId="7A3500B9" w14:textId="6C38B026"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11. Dirección General de Desarrollo Social.</w:t>
      </w:r>
    </w:p>
    <w:p w14:paraId="120C4A9B" w14:textId="77777777" w:rsidR="00FD4673" w:rsidRPr="00C623E0" w:rsidRDefault="00FD4673" w:rsidP="00FD4673">
      <w:pPr>
        <w:spacing w:before="120" w:after="120"/>
        <w:ind w:left="851" w:right="902"/>
        <w:jc w:val="both"/>
        <w:rPr>
          <w:rFonts w:ascii="Palatino Linotype" w:hAnsi="Palatino Linotype"/>
          <w:i/>
          <w:iCs/>
          <w:sz w:val="22"/>
          <w:szCs w:val="22"/>
        </w:rPr>
      </w:pPr>
      <w:r w:rsidRPr="00C623E0">
        <w:rPr>
          <w:rFonts w:ascii="Palatino Linotype" w:hAnsi="Palatino Linotype"/>
          <w:b/>
          <w:bCs/>
          <w:i/>
          <w:iCs/>
          <w:sz w:val="22"/>
          <w:szCs w:val="22"/>
        </w:rPr>
        <w:t>II. ÓRGANO DESCONCENTRADO</w:t>
      </w:r>
      <w:r w:rsidRPr="00C623E0">
        <w:rPr>
          <w:rFonts w:ascii="Palatino Linotype" w:hAnsi="Palatino Linotype"/>
          <w:i/>
          <w:iCs/>
          <w:sz w:val="22"/>
          <w:szCs w:val="22"/>
        </w:rPr>
        <w:t xml:space="preserve">: </w:t>
      </w:r>
    </w:p>
    <w:p w14:paraId="43A7E16C"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1. Unidad de Asuntos Internos.</w:t>
      </w:r>
    </w:p>
    <w:p w14:paraId="464C54C7" w14:textId="3084FB1A" w:rsidR="00FD4673" w:rsidRPr="00C623E0" w:rsidRDefault="00FD4673" w:rsidP="00FD4673">
      <w:pPr>
        <w:spacing w:before="120" w:after="120"/>
        <w:ind w:left="851" w:right="902"/>
        <w:jc w:val="both"/>
        <w:rPr>
          <w:rFonts w:ascii="Palatino Linotype" w:hAnsi="Palatino Linotype"/>
          <w:b/>
          <w:bCs/>
          <w:i/>
          <w:iCs/>
          <w:sz w:val="22"/>
          <w:szCs w:val="22"/>
        </w:rPr>
      </w:pPr>
      <w:r w:rsidRPr="00C623E0">
        <w:rPr>
          <w:rFonts w:ascii="Palatino Linotype" w:hAnsi="Palatino Linotype"/>
          <w:b/>
          <w:bCs/>
          <w:i/>
          <w:iCs/>
          <w:sz w:val="22"/>
          <w:szCs w:val="22"/>
        </w:rPr>
        <w:t xml:space="preserve">III. ORGANISMOS DESCENTRALIZADOS: </w:t>
      </w:r>
    </w:p>
    <w:p w14:paraId="09DAF9B2"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1. Sistema Municipal para el Desarrollo Integral de la Familia de Toluca; </w:t>
      </w:r>
    </w:p>
    <w:p w14:paraId="08F8E221"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2. Instituto Municipal de Cultura Física y Deporte de Toluca; </w:t>
      </w:r>
    </w:p>
    <w:p w14:paraId="7F260EF4" w14:textId="34F3D32B"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3. Instituto Municipal de la Mujer de Toluca; y</w:t>
      </w:r>
    </w:p>
    <w:p w14:paraId="785FDD5B" w14:textId="77777777"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 xml:space="preserve">4. Organismo Agua y Saneamiento de Toluca. </w:t>
      </w:r>
    </w:p>
    <w:p w14:paraId="11E854BF" w14:textId="77777777" w:rsidR="00FD4673" w:rsidRPr="00C623E0" w:rsidRDefault="00FD4673" w:rsidP="00FD4673">
      <w:pPr>
        <w:spacing w:before="120" w:after="120"/>
        <w:ind w:left="851" w:right="902"/>
        <w:jc w:val="both"/>
        <w:rPr>
          <w:rFonts w:ascii="Palatino Linotype" w:hAnsi="Palatino Linotype"/>
          <w:i/>
          <w:iCs/>
          <w:sz w:val="22"/>
          <w:szCs w:val="22"/>
        </w:rPr>
      </w:pPr>
      <w:r w:rsidRPr="00C623E0">
        <w:rPr>
          <w:rFonts w:ascii="Palatino Linotype" w:hAnsi="Palatino Linotype"/>
          <w:b/>
          <w:bCs/>
          <w:i/>
          <w:iCs/>
          <w:sz w:val="22"/>
          <w:szCs w:val="22"/>
        </w:rPr>
        <w:t>IV. ÓRGANO AUTÓNOMO</w:t>
      </w:r>
      <w:r w:rsidRPr="00C623E0">
        <w:rPr>
          <w:rFonts w:ascii="Palatino Linotype" w:hAnsi="Palatino Linotype"/>
          <w:i/>
          <w:iCs/>
          <w:sz w:val="22"/>
          <w:szCs w:val="22"/>
        </w:rPr>
        <w:t xml:space="preserve">: </w:t>
      </w:r>
    </w:p>
    <w:p w14:paraId="55CA8502" w14:textId="256DDA42" w:rsidR="00FD4673" w:rsidRPr="00C623E0" w:rsidRDefault="00FD4673" w:rsidP="00FD4673">
      <w:pPr>
        <w:spacing w:before="120" w:after="120"/>
        <w:ind w:left="1134" w:right="902"/>
        <w:jc w:val="both"/>
        <w:rPr>
          <w:rFonts w:ascii="Palatino Linotype" w:hAnsi="Palatino Linotype"/>
          <w:i/>
          <w:iCs/>
          <w:sz w:val="22"/>
          <w:szCs w:val="22"/>
        </w:rPr>
      </w:pPr>
      <w:r w:rsidRPr="00C623E0">
        <w:rPr>
          <w:rFonts w:ascii="Palatino Linotype" w:hAnsi="Palatino Linotype"/>
          <w:i/>
          <w:iCs/>
          <w:sz w:val="22"/>
          <w:szCs w:val="22"/>
        </w:rPr>
        <w:t>1. Defensoría Municipal de los Derechos Humanos de Toluca.”</w:t>
      </w:r>
    </w:p>
    <w:p w14:paraId="3431396F" w14:textId="4674E4B8" w:rsidR="00AF2045" w:rsidRPr="00C623E0" w:rsidRDefault="00FD4673"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Siendo importante mencionar, que</w:t>
      </w:r>
      <w:r w:rsidR="00AA7869" w:rsidRPr="00C623E0">
        <w:rPr>
          <w:rFonts w:ascii="Palatino Linotype" w:eastAsia="Palatino Linotype" w:hAnsi="Palatino Linotype" w:cs="Palatino Linotype"/>
        </w:rPr>
        <w:t>,</w:t>
      </w:r>
      <w:r w:rsidRPr="00C623E0">
        <w:rPr>
          <w:rFonts w:ascii="Palatino Linotype" w:eastAsia="Palatino Linotype" w:hAnsi="Palatino Linotype" w:cs="Palatino Linotype"/>
        </w:rPr>
        <w:t xml:space="preserve"> de conformidad con el Padrón de Sujetos Obligados </w:t>
      </w:r>
      <w:r w:rsidR="00AA7869" w:rsidRPr="00C623E0">
        <w:rPr>
          <w:rFonts w:ascii="Palatino Linotype" w:eastAsia="Palatino Linotype" w:hAnsi="Palatino Linotype" w:cs="Palatino Linotype"/>
        </w:rPr>
        <w:t xml:space="preserve">en materia de Trasparencia aprobado por el Pleno de este Instituto, el </w:t>
      </w:r>
      <w:r w:rsidR="00AA7869" w:rsidRPr="00C623E0">
        <w:rPr>
          <w:rFonts w:ascii="Palatino Linotype" w:hAnsi="Palatino Linotype"/>
        </w:rPr>
        <w:t>Sistema Municipal para el Desarrollo Integral de la Familia y el Organismo Agua y Saneamiento de Toluca, son Sujetos Obligados in</w:t>
      </w:r>
      <w:r w:rsidR="00BB3B6C" w:rsidRPr="00C623E0">
        <w:rPr>
          <w:rFonts w:ascii="Palatino Linotype" w:hAnsi="Palatino Linotype"/>
        </w:rPr>
        <w:t xml:space="preserve">dependientes </w:t>
      </w:r>
      <w:r w:rsidR="00AA7869" w:rsidRPr="00C623E0">
        <w:rPr>
          <w:rFonts w:ascii="Palatino Linotype" w:hAnsi="Palatino Linotype"/>
        </w:rPr>
        <w:t>del Ayuntamiento.</w:t>
      </w:r>
    </w:p>
    <w:p w14:paraId="02BBCDC4" w14:textId="06369616" w:rsidR="00AA7869" w:rsidRPr="00C623E0" w:rsidRDefault="00AA7869"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 xml:space="preserve">Derivado de lo anterior, se advierte que la estructura orgánica, del </w:t>
      </w:r>
      <w:r w:rsidRPr="00C623E0">
        <w:rPr>
          <w:rFonts w:ascii="Palatino Linotype" w:eastAsia="Palatino Linotype" w:hAnsi="Palatino Linotype" w:cs="Palatino Linotype"/>
          <w:b/>
          <w:bCs/>
        </w:rPr>
        <w:t>Sujeto Obligado</w:t>
      </w:r>
      <w:r w:rsidRPr="00C623E0">
        <w:rPr>
          <w:rFonts w:ascii="Palatino Linotype" w:eastAsia="Palatino Linotype" w:hAnsi="Palatino Linotype" w:cs="Palatino Linotype"/>
        </w:rPr>
        <w:t xml:space="preserve"> está compuesta por Direcciones, no así por Secretarías, razón por la cual, en observancia del </w:t>
      </w:r>
      <w:r w:rsidR="00F61D63" w:rsidRPr="00C623E0">
        <w:rPr>
          <w:rFonts w:ascii="Palatino Linotype" w:eastAsia="Palatino Linotype" w:hAnsi="Palatino Linotype" w:cs="Palatino Linotype"/>
        </w:rPr>
        <w:t>artículo</w:t>
      </w:r>
      <w:r w:rsidRPr="00C623E0">
        <w:rPr>
          <w:rFonts w:ascii="Palatino Linotype" w:eastAsia="Palatino Linotype" w:hAnsi="Palatino Linotype" w:cs="Palatino Linotype"/>
        </w:rPr>
        <w:t xml:space="preserve"> 159 de la ley de la materia, la Unidad de Transparencia </w:t>
      </w:r>
      <w:r w:rsidR="00000C88" w:rsidRPr="00C623E0">
        <w:rPr>
          <w:rFonts w:ascii="Palatino Linotype" w:eastAsia="Palatino Linotype" w:hAnsi="Palatino Linotype" w:cs="Palatino Linotype"/>
        </w:rPr>
        <w:t xml:space="preserve">requirió a la persona solicitante a efecto de que especificara a que Secretarías se refería, con la finalidad de estar en condiciones de realizar la búsqueda de la información solicitada, </w:t>
      </w:r>
      <w:r w:rsidR="00FF021F" w:rsidRPr="00C623E0">
        <w:rPr>
          <w:rFonts w:ascii="Palatino Linotype" w:eastAsia="Palatino Linotype" w:hAnsi="Palatino Linotype" w:cs="Palatino Linotype"/>
        </w:rPr>
        <w:t>sin embargo, esta fue omisa en desahogar el requerimiento de información.</w:t>
      </w:r>
    </w:p>
    <w:p w14:paraId="62E71CEB" w14:textId="698B6EA4" w:rsidR="00FF021F" w:rsidRPr="00C623E0" w:rsidRDefault="00FF021F"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En tal sentido, cobra relevancia el contenido de los párrafos tercero y cuarto del artículo 159 de la Ley de la Materia, que dispone lo siguiente:</w:t>
      </w:r>
    </w:p>
    <w:p w14:paraId="5CBB9CEB" w14:textId="7145B5CD" w:rsidR="00FF021F" w:rsidRPr="00C623E0" w:rsidRDefault="00FF021F" w:rsidP="00FF021F">
      <w:pPr>
        <w:spacing w:before="120" w:after="120"/>
        <w:ind w:left="851" w:right="902"/>
        <w:jc w:val="both"/>
        <w:rPr>
          <w:rFonts w:ascii="Palatino Linotype" w:eastAsia="Palatino Linotype" w:hAnsi="Palatino Linotype" w:cs="Palatino Linotype"/>
          <w:i/>
          <w:iCs/>
          <w:sz w:val="22"/>
          <w:szCs w:val="22"/>
        </w:rPr>
      </w:pPr>
      <w:r w:rsidRPr="00C623E0">
        <w:rPr>
          <w:rFonts w:ascii="Palatino Linotype" w:eastAsia="Palatino Linotype" w:hAnsi="Palatino Linotype" w:cs="Palatino Linotype"/>
          <w:i/>
          <w:iCs/>
          <w:sz w:val="22"/>
          <w:szCs w:val="22"/>
        </w:rPr>
        <w:t>“</w:t>
      </w:r>
      <w:r w:rsidRPr="00C623E0">
        <w:rPr>
          <w:rFonts w:ascii="Palatino Linotype" w:hAnsi="Palatino Linotype"/>
          <w:b/>
          <w:bCs/>
          <w:i/>
          <w:iCs/>
          <w:sz w:val="22"/>
          <w:szCs w:val="22"/>
        </w:rPr>
        <w:t>Artículo 159</w:t>
      </w:r>
      <w:r w:rsidRPr="00C623E0">
        <w:rPr>
          <w:rFonts w:ascii="Palatino Linotype" w:hAnsi="Palatino Linotype"/>
          <w:i/>
          <w:iCs/>
          <w:sz w:val="22"/>
          <w:szCs w:val="22"/>
        </w:rPr>
        <w:t>...</w:t>
      </w:r>
    </w:p>
    <w:p w14:paraId="6A3627A4" w14:textId="22777B22" w:rsidR="00FF021F" w:rsidRPr="00C623E0" w:rsidRDefault="00FF021F" w:rsidP="00FF021F">
      <w:pPr>
        <w:spacing w:before="120" w:after="120"/>
        <w:ind w:left="851" w:right="902"/>
        <w:jc w:val="both"/>
        <w:rPr>
          <w:rFonts w:ascii="Palatino Linotype" w:eastAsia="Palatino Linotype" w:hAnsi="Palatino Linotype" w:cs="Palatino Linotype"/>
          <w:i/>
          <w:iCs/>
          <w:sz w:val="22"/>
          <w:szCs w:val="22"/>
        </w:rPr>
      </w:pPr>
      <w:r w:rsidRPr="00C623E0">
        <w:rPr>
          <w:rFonts w:ascii="Palatino Linotype" w:hAnsi="Palatino Linotype"/>
          <w:i/>
          <w:iCs/>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71AE9EBB" w14:textId="25207BB2" w:rsidR="00FF021F" w:rsidRPr="00C623E0" w:rsidRDefault="00FF021F" w:rsidP="00FF021F">
      <w:pPr>
        <w:spacing w:before="120" w:after="120"/>
        <w:ind w:left="851" w:right="902"/>
        <w:jc w:val="both"/>
        <w:rPr>
          <w:rFonts w:ascii="Palatino Linotype" w:eastAsia="Palatino Linotype" w:hAnsi="Palatino Linotype" w:cs="Palatino Linotype"/>
          <w:i/>
          <w:iCs/>
          <w:sz w:val="22"/>
          <w:szCs w:val="22"/>
        </w:rPr>
      </w:pPr>
      <w:r w:rsidRPr="00C623E0">
        <w:rPr>
          <w:rFonts w:ascii="Palatino Linotype" w:hAnsi="Palatino Linotype"/>
          <w:i/>
          <w:iCs/>
          <w:sz w:val="22"/>
          <w:szCs w:val="22"/>
        </w:rPr>
        <w:t>En el caso de requerimientos parciales no desahogados, se tendrá por presentada la solicitud por lo que respecta a los contenidos de información que no formaron parte del requerimiento.</w:t>
      </w:r>
      <w:r w:rsidRPr="00C623E0">
        <w:rPr>
          <w:rFonts w:ascii="Palatino Linotype" w:eastAsia="Palatino Linotype" w:hAnsi="Palatino Linotype" w:cs="Palatino Linotype"/>
          <w:i/>
          <w:iCs/>
          <w:sz w:val="22"/>
          <w:szCs w:val="22"/>
        </w:rPr>
        <w:t>”</w:t>
      </w:r>
    </w:p>
    <w:p w14:paraId="770AE255" w14:textId="442A125F" w:rsidR="00AA7869" w:rsidRPr="00C623E0" w:rsidRDefault="00FF021F" w:rsidP="009E10EE">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Del precepto citado se desprende que, en los casos en los que los </w:t>
      </w:r>
      <w:r w:rsidRPr="00C623E0">
        <w:rPr>
          <w:rFonts w:ascii="Palatino Linotype" w:eastAsia="Palatino Linotype" w:hAnsi="Palatino Linotype" w:cs="Palatino Linotype"/>
          <w:b/>
          <w:bCs/>
        </w:rPr>
        <w:t xml:space="preserve">Sujetos Obligados </w:t>
      </w:r>
      <w:r w:rsidRPr="00C623E0">
        <w:rPr>
          <w:rFonts w:ascii="Palatino Linotype" w:eastAsia="Palatino Linotype" w:hAnsi="Palatino Linotype" w:cs="Palatino Linotype"/>
        </w:rPr>
        <w:t xml:space="preserve">requieran a las personas solicitantes, que proporcionen más detalles, </w:t>
      </w:r>
      <w:r w:rsidR="001745FE" w:rsidRPr="00C623E0">
        <w:rPr>
          <w:rFonts w:ascii="Palatino Linotype" w:eastAsia="Palatino Linotype" w:hAnsi="Palatino Linotype" w:cs="Palatino Linotype"/>
        </w:rPr>
        <w:t>con la finalidad de localizar la información que es de su interés, derivado de haber proporcionado información insuficiente, incompleta o errónea mediante la solicitud, que permita identificar de manera clara la información a la que pretenden acceder, y estas no des</w:t>
      </w:r>
      <w:r w:rsidR="007734F2" w:rsidRPr="00C623E0">
        <w:rPr>
          <w:rFonts w:ascii="Palatino Linotype" w:eastAsia="Palatino Linotype" w:hAnsi="Palatino Linotype" w:cs="Palatino Linotype"/>
        </w:rPr>
        <w:t xml:space="preserve">ahoguen el requerimiento; </w:t>
      </w:r>
      <w:r w:rsidR="001745FE" w:rsidRPr="00C623E0">
        <w:rPr>
          <w:rFonts w:ascii="Palatino Linotype" w:eastAsia="Palatino Linotype" w:hAnsi="Palatino Linotype" w:cs="Palatino Linotype"/>
        </w:rPr>
        <w:t>si es posible identificar elementos que permitan identificar la información que se solicita, se deberá proporcionar</w:t>
      </w:r>
      <w:r w:rsidR="007734F2" w:rsidRPr="00C623E0">
        <w:rPr>
          <w:rFonts w:ascii="Palatino Linotype" w:eastAsia="Palatino Linotype" w:hAnsi="Palatino Linotype" w:cs="Palatino Linotype"/>
        </w:rPr>
        <w:t xml:space="preserve">, sin embargo, </w:t>
      </w:r>
      <w:r w:rsidR="00004756" w:rsidRPr="00C623E0">
        <w:rPr>
          <w:rFonts w:ascii="Palatino Linotype" w:eastAsia="Palatino Linotype" w:hAnsi="Palatino Linotype" w:cs="Palatino Linotype"/>
        </w:rPr>
        <w:t xml:space="preserve">en caso contrario, es decir que no sea posible identificar la información que se solicita, la solicitud se tendrá por no presentada, respecto de los requerimientos que no </w:t>
      </w:r>
      <w:r w:rsidR="00004756" w:rsidRPr="00C623E0">
        <w:rPr>
          <w:rFonts w:ascii="Palatino Linotype" w:eastAsia="Palatino Linotype" w:hAnsi="Palatino Linotype" w:cs="Palatino Linotype"/>
        </w:rPr>
        <w:lastRenderedPageBreak/>
        <w:t xml:space="preserve">hubieran sido  desahogados, </w:t>
      </w:r>
      <w:r w:rsidR="001745FE" w:rsidRPr="00C623E0">
        <w:rPr>
          <w:rFonts w:ascii="Palatino Linotype" w:eastAsia="Palatino Linotype" w:hAnsi="Palatino Linotype" w:cs="Palatino Linotype"/>
        </w:rPr>
        <w:t>quedando a salvo los derechos de la persona solicitante a efecto de que pueda presentar una nueva solicitud de información</w:t>
      </w:r>
      <w:r w:rsidR="00004756" w:rsidRPr="00C623E0">
        <w:rPr>
          <w:rFonts w:ascii="Palatino Linotype" w:eastAsia="Palatino Linotype" w:hAnsi="Palatino Linotype" w:cs="Palatino Linotype"/>
        </w:rPr>
        <w:t>.</w:t>
      </w:r>
    </w:p>
    <w:p w14:paraId="78CDA879" w14:textId="7BCC6B43" w:rsidR="00A71DFD" w:rsidRPr="00C623E0" w:rsidRDefault="00004756">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rPr>
        <w:t>De manera que, en el caso concreto, se estim</w:t>
      </w:r>
      <w:r w:rsidR="007734F2" w:rsidRPr="00C623E0">
        <w:rPr>
          <w:rFonts w:ascii="Palatino Linotype" w:eastAsia="Palatino Linotype" w:hAnsi="Palatino Linotype" w:cs="Palatino Linotype"/>
        </w:rPr>
        <w:t>a que la solicitud presentada</w:t>
      </w:r>
      <w:r w:rsidRPr="00C623E0">
        <w:rPr>
          <w:rFonts w:ascii="Palatino Linotype" w:eastAsia="Palatino Linotype" w:hAnsi="Palatino Linotype" w:cs="Palatino Linotype"/>
        </w:rPr>
        <w:t xml:space="preserve"> no contaba con los elementos suficientes que permitieran al </w:t>
      </w:r>
      <w:r w:rsidRPr="00C623E0">
        <w:rPr>
          <w:rFonts w:ascii="Palatino Linotype" w:eastAsia="Palatino Linotype" w:hAnsi="Palatino Linotype" w:cs="Palatino Linotype"/>
          <w:b/>
          <w:bCs/>
        </w:rPr>
        <w:t xml:space="preserve">Sujeto Obligado </w:t>
      </w:r>
      <w:r w:rsidRPr="00C623E0">
        <w:rPr>
          <w:rFonts w:ascii="Palatino Linotype" w:eastAsia="Palatino Linotype" w:hAnsi="Palatino Linotype" w:cs="Palatino Linotype"/>
        </w:rPr>
        <w:t>identificar la información que se solicitó a través de los puntos 3 y 4, asimismo, toda vez que la</w:t>
      </w:r>
      <w:r w:rsidR="00F61D63" w:rsidRPr="00C623E0">
        <w:rPr>
          <w:rFonts w:ascii="Palatino Linotype" w:eastAsia="Palatino Linotype" w:hAnsi="Palatino Linotype" w:cs="Palatino Linotype"/>
        </w:rPr>
        <w:t xml:space="preserve"> persona solicitante no desahogó</w:t>
      </w:r>
      <w:r w:rsidRPr="00C623E0">
        <w:rPr>
          <w:rFonts w:ascii="Palatino Linotype" w:eastAsia="Palatino Linotype" w:hAnsi="Palatino Linotype" w:cs="Palatino Linotype"/>
        </w:rPr>
        <w:t xml:space="preserve"> el requerimiento de información adicional hecho por el </w:t>
      </w:r>
      <w:r w:rsidRPr="00C623E0">
        <w:rPr>
          <w:rFonts w:ascii="Palatino Linotype" w:eastAsia="Palatino Linotype" w:hAnsi="Palatino Linotype" w:cs="Palatino Linotype"/>
          <w:b/>
          <w:bCs/>
        </w:rPr>
        <w:t>Sujeto Obligado</w:t>
      </w:r>
      <w:r w:rsidRPr="00C623E0">
        <w:rPr>
          <w:rFonts w:ascii="Palatino Linotype" w:eastAsia="Palatino Linotype" w:hAnsi="Palatino Linotype" w:cs="Palatino Linotype"/>
        </w:rPr>
        <w:t xml:space="preserve">,  </w:t>
      </w:r>
      <w:r w:rsidR="007E762F" w:rsidRPr="00C623E0">
        <w:rPr>
          <w:rFonts w:ascii="Palatino Linotype" w:eastAsia="Palatino Linotype" w:hAnsi="Palatino Linotype" w:cs="Palatino Linotype"/>
        </w:rPr>
        <w:t>es procedente tener por no presentados los requerimientos de información en análisis, dejando a salvo los derechos de la persona solicitante, a efecto de que, de considerarlo oportuno a sus intereses, pueda presentar una nueva solicitud de información respecto de la información que es de su interés.</w:t>
      </w:r>
    </w:p>
    <w:p w14:paraId="4024E166" w14:textId="36E98ED6" w:rsidR="003805A1" w:rsidRPr="00C623E0" w:rsidRDefault="007A61DC">
      <w:pPr>
        <w:spacing w:before="240" w:after="240" w:line="360" w:lineRule="auto"/>
        <w:ind w:right="51"/>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De lo hasta aquí expuesto, se concluye que los motivos de inconformidad de la parte </w:t>
      </w:r>
      <w:r w:rsidRPr="00C623E0">
        <w:rPr>
          <w:rFonts w:ascii="Palatino Linotype" w:eastAsia="Palatino Linotype" w:hAnsi="Palatino Linotype" w:cs="Palatino Linotype"/>
          <w:b/>
        </w:rPr>
        <w:t xml:space="preserve">Recurrente </w:t>
      </w:r>
      <w:r w:rsidRPr="00C623E0">
        <w:rPr>
          <w:rFonts w:ascii="Palatino Linotype" w:eastAsia="Palatino Linotype" w:hAnsi="Palatino Linotype" w:cs="Palatino Linotype"/>
        </w:rPr>
        <w:t xml:space="preserve">devienen </w:t>
      </w:r>
      <w:r w:rsidR="007E762F" w:rsidRPr="00C623E0">
        <w:rPr>
          <w:rFonts w:ascii="Palatino Linotype" w:eastAsia="Palatino Linotype" w:hAnsi="Palatino Linotype" w:cs="Palatino Linotype"/>
        </w:rPr>
        <w:t xml:space="preserve">parcialmente </w:t>
      </w:r>
      <w:r w:rsidRPr="00C623E0">
        <w:rPr>
          <w:rFonts w:ascii="Palatino Linotype" w:eastAsia="Palatino Linotype" w:hAnsi="Palatino Linotype" w:cs="Palatino Linotype"/>
        </w:rPr>
        <w:t xml:space="preserve">fundados, siendo procedente </w:t>
      </w:r>
      <w:r w:rsidR="007734F2" w:rsidRPr="00C623E0">
        <w:rPr>
          <w:rFonts w:ascii="Palatino Linotype" w:eastAsia="Palatino Linotype" w:hAnsi="Palatino Linotype" w:cs="Palatino Linotype"/>
          <w:i/>
        </w:rPr>
        <w:t xml:space="preserve">Revocar </w:t>
      </w:r>
      <w:r w:rsidRPr="00C623E0">
        <w:rPr>
          <w:rFonts w:ascii="Palatino Linotype" w:eastAsia="Palatino Linotype" w:hAnsi="Palatino Linotype" w:cs="Palatino Linotype"/>
        </w:rPr>
        <w:t xml:space="preserve">la respuesta proporcionada por el </w:t>
      </w:r>
      <w:r w:rsidRPr="00C623E0">
        <w:rPr>
          <w:rFonts w:ascii="Palatino Linotype" w:eastAsia="Palatino Linotype" w:hAnsi="Palatino Linotype" w:cs="Palatino Linotype"/>
          <w:b/>
        </w:rPr>
        <w:t xml:space="preserve">Sujeto Obligado </w:t>
      </w:r>
      <w:r w:rsidRPr="00C623E0">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61E7CF69"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Quinto. Versión Pública.</w:t>
      </w:r>
      <w:r w:rsidRPr="00C623E0">
        <w:rPr>
          <w:rFonts w:ascii="Palatino Linotype" w:eastAsia="Palatino Linotype" w:hAnsi="Palatino Linotype" w:cs="Palatino Linotype"/>
          <w:sz w:val="28"/>
          <w:szCs w:val="28"/>
        </w:rPr>
        <w:t xml:space="preserve"> </w:t>
      </w:r>
      <w:r w:rsidRPr="00C623E0">
        <w:rPr>
          <w:rFonts w:ascii="Palatino Linotype" w:eastAsia="Palatino Linotype" w:hAnsi="Palatino Linotype" w:cs="Palatino Linotype"/>
        </w:rPr>
        <w:t>Finalmente, debe señalarse que de ser el caso en que los documentos que vayan a ser entregados por el</w:t>
      </w:r>
      <w:r w:rsidRPr="00C623E0">
        <w:rPr>
          <w:rFonts w:ascii="Palatino Linotype" w:eastAsia="Palatino Linotype" w:hAnsi="Palatino Linotype" w:cs="Palatino Linotype"/>
          <w:b/>
        </w:rPr>
        <w:t xml:space="preserve"> </w:t>
      </w:r>
      <w:r w:rsidRPr="00C623E0">
        <w:rPr>
          <w:rFonts w:ascii="Palatino Linotype" w:eastAsia="Palatino Linotype" w:hAnsi="Palatino Linotype" w:cs="Palatino Linotype"/>
        </w:rPr>
        <w:t xml:space="preserve">sujeto obligado, para dar cumplimiento a la presente resolución, contengan datos que deban ser clasificados, 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150CCDC8"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lastRenderedPageBreak/>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273F34F2"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r w:rsidRPr="00C623E0">
        <w:rPr>
          <w:rFonts w:ascii="Palatino Linotype" w:eastAsia="Palatino Linotype" w:hAnsi="Palatino Linotype" w:cs="Palatino Linotype"/>
          <w:b/>
          <w:i/>
          <w:sz w:val="22"/>
          <w:szCs w:val="22"/>
        </w:rPr>
        <w:t>Artículo 3</w:t>
      </w:r>
      <w:r w:rsidRPr="00C623E0">
        <w:rPr>
          <w:rFonts w:ascii="Palatino Linotype" w:eastAsia="Palatino Linotype" w:hAnsi="Palatino Linotype" w:cs="Palatino Linotype"/>
          <w:i/>
          <w:sz w:val="22"/>
          <w:szCs w:val="22"/>
        </w:rPr>
        <w:t>. Para los efectos de la presente Ley se entenderá por:</w:t>
      </w:r>
    </w:p>
    <w:p w14:paraId="3EDEDFBC"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073A1581"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IX. Datos personales</w:t>
      </w:r>
      <w:r w:rsidRPr="00C623E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A57A00C"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XX. Información clasificada</w:t>
      </w:r>
      <w:r w:rsidRPr="00C623E0">
        <w:rPr>
          <w:rFonts w:ascii="Palatino Linotype" w:eastAsia="Palatino Linotype" w:hAnsi="Palatino Linotype" w:cs="Palatino Linotype"/>
          <w:i/>
          <w:sz w:val="22"/>
          <w:szCs w:val="22"/>
        </w:rPr>
        <w:t>: Aquella considerada por la presente Ley como reservada o confidencial;</w:t>
      </w:r>
    </w:p>
    <w:p w14:paraId="6EA3D050"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 xml:space="preserve">XXI. Información confidencial: </w:t>
      </w:r>
      <w:r w:rsidRPr="00C623E0">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7B72BE"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XLV. Versión pública:</w:t>
      </w:r>
      <w:r w:rsidRPr="00C623E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3EDA93C"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6F821DD6"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Artículo 91.</w:t>
      </w:r>
      <w:r w:rsidRPr="00C623E0">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DBFA00A"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Artículo 132.</w:t>
      </w:r>
      <w:r w:rsidRPr="00C623E0">
        <w:rPr>
          <w:rFonts w:ascii="Palatino Linotype" w:eastAsia="Palatino Linotype" w:hAnsi="Palatino Linotype" w:cs="Palatino Linotype"/>
          <w:i/>
          <w:sz w:val="22"/>
          <w:szCs w:val="22"/>
        </w:rPr>
        <w:t xml:space="preserve"> La clasificación de la información se llevará a cabo en el momento en que:</w:t>
      </w:r>
    </w:p>
    <w:p w14:paraId="6B6B7EDD"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w:t>
      </w:r>
      <w:r w:rsidRPr="00C623E0">
        <w:rPr>
          <w:rFonts w:ascii="Palatino Linotype" w:eastAsia="Palatino Linotype" w:hAnsi="Palatino Linotype" w:cs="Palatino Linotype"/>
          <w:i/>
          <w:sz w:val="22"/>
          <w:szCs w:val="22"/>
        </w:rPr>
        <w:t>. Se reciba una solicitud de acceso a la información;</w:t>
      </w:r>
    </w:p>
    <w:p w14:paraId="15EEDF65"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w:t>
      </w:r>
      <w:r w:rsidRPr="00C623E0">
        <w:rPr>
          <w:rFonts w:ascii="Palatino Linotype" w:eastAsia="Palatino Linotype" w:hAnsi="Palatino Linotype" w:cs="Palatino Linotype"/>
          <w:i/>
          <w:sz w:val="22"/>
          <w:szCs w:val="22"/>
        </w:rPr>
        <w:t xml:space="preserve"> Se determine mediante resolución de autoridad competente; o</w:t>
      </w:r>
    </w:p>
    <w:p w14:paraId="07FCE9F4"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III.</w:t>
      </w:r>
      <w:r w:rsidRPr="00C623E0">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0CA7FB54"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w:t>
      </w:r>
    </w:p>
    <w:p w14:paraId="23617625"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Artículo 143</w:t>
      </w:r>
      <w:r w:rsidRPr="00C623E0">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CFE3EDB"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lastRenderedPageBreak/>
        <w:t>I.</w:t>
      </w:r>
      <w:r w:rsidRPr="00C623E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0BE5A75"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w:t>
      </w:r>
      <w:r w:rsidRPr="00C623E0">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1A120EE"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III.</w:t>
      </w:r>
      <w:r w:rsidRPr="00C623E0">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2D792FFD"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D32DB79"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31A6D46"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7DEF8BC"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6FF92A1F"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“Quincuagésimo sexto</w:t>
      </w:r>
      <w:r w:rsidRPr="00C623E0">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4D1E1B2"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lastRenderedPageBreak/>
        <w:t>Quincuagésimo séptimo</w:t>
      </w:r>
      <w:r w:rsidRPr="00C623E0">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42CC3C03"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w:t>
      </w:r>
      <w:r w:rsidRPr="00C623E0">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0270A78"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w:t>
      </w:r>
      <w:r w:rsidRPr="00C623E0">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64C96D17" w14:textId="77777777" w:rsidR="003805A1" w:rsidRPr="00C623E0" w:rsidRDefault="007A61DC">
      <w:pPr>
        <w:spacing w:before="120" w:after="120"/>
        <w:ind w:left="1134"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III.</w:t>
      </w:r>
      <w:r w:rsidRPr="00C623E0">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E6B00D8"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0A0C311E" w14:textId="77777777" w:rsidR="003805A1" w:rsidRPr="00C623E0" w:rsidRDefault="007A61DC">
      <w:pPr>
        <w:spacing w:before="120" w:after="120"/>
        <w:ind w:left="851" w:right="902"/>
        <w:jc w:val="both"/>
        <w:rPr>
          <w:rFonts w:ascii="Palatino Linotype" w:eastAsia="Palatino Linotype" w:hAnsi="Palatino Linotype" w:cs="Palatino Linotype"/>
          <w:i/>
          <w:sz w:val="22"/>
          <w:szCs w:val="22"/>
        </w:rPr>
      </w:pPr>
      <w:r w:rsidRPr="00C623E0">
        <w:rPr>
          <w:rFonts w:ascii="Palatino Linotype" w:eastAsia="Palatino Linotype" w:hAnsi="Palatino Linotype" w:cs="Palatino Linotype"/>
          <w:b/>
          <w:i/>
          <w:sz w:val="22"/>
          <w:szCs w:val="22"/>
        </w:rPr>
        <w:t>Quincuagésimo octavo</w:t>
      </w:r>
      <w:r w:rsidRPr="00C623E0">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0C50CCA"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2886065" w14:textId="1C65C263"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C623E0" w:rsidRPr="00C623E0" w14:paraId="07BE38F1" w14:textId="77777777" w:rsidTr="001603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3530F159" w14:textId="77777777" w:rsidR="001E3DFF" w:rsidRPr="00C623E0" w:rsidRDefault="001E3DFF" w:rsidP="00160312">
            <w:pPr>
              <w:jc w:val="center"/>
              <w:rPr>
                <w:rFonts w:ascii="Palatino Linotype" w:hAnsi="Palatino Linotype"/>
                <w:sz w:val="12"/>
                <w:szCs w:val="12"/>
              </w:rPr>
            </w:pPr>
            <w:r w:rsidRPr="00C623E0">
              <w:rPr>
                <w:rFonts w:ascii="Palatino Linotype" w:hAnsi="Palatino Linotype"/>
                <w:sz w:val="12"/>
                <w:szCs w:val="12"/>
              </w:rPr>
              <w:lastRenderedPageBreak/>
              <w:t>Parcial</w:t>
            </w:r>
          </w:p>
        </w:tc>
        <w:tc>
          <w:tcPr>
            <w:tcW w:w="4414" w:type="dxa"/>
            <w:gridSpan w:val="2"/>
          </w:tcPr>
          <w:p w14:paraId="31A7A6FE" w14:textId="77777777" w:rsidR="001E3DFF" w:rsidRPr="00C623E0" w:rsidRDefault="001E3DFF" w:rsidP="00160312">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Total</w:t>
            </w:r>
          </w:p>
        </w:tc>
      </w:tr>
      <w:tr w:rsidR="00C623E0" w:rsidRPr="00C623E0" w14:paraId="56C613D2"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79B20C9" w14:textId="77777777" w:rsidR="001E3DFF" w:rsidRPr="00C623E0" w:rsidRDefault="001E3DFF" w:rsidP="00160312">
            <w:pPr>
              <w:jc w:val="center"/>
              <w:rPr>
                <w:rFonts w:ascii="Palatino Linotype" w:hAnsi="Palatino Linotype"/>
                <w:sz w:val="12"/>
                <w:szCs w:val="12"/>
              </w:rPr>
            </w:pPr>
            <w:r w:rsidRPr="00C623E0">
              <w:rPr>
                <w:rFonts w:ascii="Palatino Linotype" w:hAnsi="Palatino Linotype"/>
                <w:sz w:val="12"/>
                <w:szCs w:val="12"/>
              </w:rPr>
              <w:t>Concepto</w:t>
            </w:r>
          </w:p>
        </w:tc>
        <w:tc>
          <w:tcPr>
            <w:tcW w:w="3421" w:type="dxa"/>
          </w:tcPr>
          <w:p w14:paraId="05459172" w14:textId="77777777" w:rsidR="001E3DFF" w:rsidRPr="00C623E0" w:rsidRDefault="001E3DFF" w:rsidP="0016031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Dónde</w:t>
            </w:r>
          </w:p>
        </w:tc>
        <w:tc>
          <w:tcPr>
            <w:tcW w:w="968" w:type="dxa"/>
          </w:tcPr>
          <w:p w14:paraId="58E96E65" w14:textId="77777777" w:rsidR="001E3DFF" w:rsidRPr="00C623E0" w:rsidRDefault="001E3DFF" w:rsidP="0016031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Concepto</w:t>
            </w:r>
          </w:p>
        </w:tc>
        <w:tc>
          <w:tcPr>
            <w:tcW w:w="3446" w:type="dxa"/>
          </w:tcPr>
          <w:p w14:paraId="0E3D0A70" w14:textId="77777777" w:rsidR="001E3DFF" w:rsidRPr="00C623E0" w:rsidRDefault="001E3DFF" w:rsidP="00160312">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Dónde</w:t>
            </w:r>
          </w:p>
        </w:tc>
      </w:tr>
      <w:tr w:rsidR="00C623E0" w:rsidRPr="00C623E0" w14:paraId="1D0828F1" w14:textId="77777777" w:rsidTr="00160312">
        <w:tc>
          <w:tcPr>
            <w:cnfStyle w:val="001000000000" w:firstRow="0" w:lastRow="0" w:firstColumn="1" w:lastColumn="0" w:oddVBand="0" w:evenVBand="0" w:oddHBand="0" w:evenHBand="0" w:firstRowFirstColumn="0" w:firstRowLastColumn="0" w:lastRowFirstColumn="0" w:lastRowLastColumn="0"/>
            <w:tcW w:w="8828" w:type="dxa"/>
            <w:gridSpan w:val="4"/>
          </w:tcPr>
          <w:p w14:paraId="07F354C8" w14:textId="77777777" w:rsidR="001E3DFF" w:rsidRPr="00C623E0" w:rsidRDefault="001E3DFF" w:rsidP="00160312">
            <w:pPr>
              <w:jc w:val="center"/>
              <w:rPr>
                <w:rFonts w:ascii="Palatino Linotype" w:hAnsi="Palatino Linotype"/>
                <w:sz w:val="12"/>
                <w:szCs w:val="12"/>
              </w:rPr>
            </w:pPr>
            <w:r w:rsidRPr="00C623E0">
              <w:rPr>
                <w:rFonts w:ascii="Palatino Linotype" w:hAnsi="Palatino Linotype"/>
                <w:sz w:val="12"/>
                <w:szCs w:val="12"/>
              </w:rPr>
              <w:t>Sello oficial o logotipo del sujeto obligado</w:t>
            </w:r>
          </w:p>
        </w:tc>
      </w:tr>
      <w:tr w:rsidR="00C623E0" w:rsidRPr="00C623E0" w14:paraId="740C6576"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176670"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Fecha de clasificación</w:t>
            </w:r>
          </w:p>
        </w:tc>
        <w:tc>
          <w:tcPr>
            <w:tcW w:w="3421" w:type="dxa"/>
          </w:tcPr>
          <w:p w14:paraId="65C1BC10"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anotará la fecha en la que el Comité de Transparencia confirmó la clasificación del documento, en su caso.</w:t>
            </w:r>
          </w:p>
        </w:tc>
        <w:tc>
          <w:tcPr>
            <w:tcW w:w="968" w:type="dxa"/>
          </w:tcPr>
          <w:p w14:paraId="5458A8CC"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Fecha de clasificación</w:t>
            </w:r>
          </w:p>
        </w:tc>
        <w:tc>
          <w:tcPr>
            <w:tcW w:w="3446" w:type="dxa"/>
          </w:tcPr>
          <w:p w14:paraId="68508508"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anotará la fecha en la que el Comité de Transparencia confirmó la clasificación del documento, en su caso.</w:t>
            </w:r>
          </w:p>
        </w:tc>
      </w:tr>
      <w:tr w:rsidR="00C623E0" w:rsidRPr="00C623E0" w14:paraId="3CEA3E65"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1A9D4CBE"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Área</w:t>
            </w:r>
          </w:p>
        </w:tc>
        <w:tc>
          <w:tcPr>
            <w:tcW w:w="3421" w:type="dxa"/>
          </w:tcPr>
          <w:p w14:paraId="1F95C5A7"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área del cual es titular quien clasifica.</w:t>
            </w:r>
          </w:p>
        </w:tc>
        <w:tc>
          <w:tcPr>
            <w:tcW w:w="968" w:type="dxa"/>
          </w:tcPr>
          <w:p w14:paraId="4FCC6D16"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Área</w:t>
            </w:r>
          </w:p>
        </w:tc>
        <w:tc>
          <w:tcPr>
            <w:tcW w:w="3446" w:type="dxa"/>
          </w:tcPr>
          <w:p w14:paraId="7081C187"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área de la cual es el titular quien clasifica.</w:t>
            </w:r>
          </w:p>
        </w:tc>
      </w:tr>
      <w:tr w:rsidR="00C623E0" w:rsidRPr="00C623E0" w14:paraId="521AAB74"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688754"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Información reservada</w:t>
            </w:r>
          </w:p>
        </w:tc>
        <w:tc>
          <w:tcPr>
            <w:tcW w:w="3421" w:type="dxa"/>
          </w:tcPr>
          <w:p w14:paraId="221C64CE"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653EAA9"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Reservado</w:t>
            </w:r>
          </w:p>
        </w:tc>
        <w:tc>
          <w:tcPr>
            <w:tcW w:w="3446" w:type="dxa"/>
          </w:tcPr>
          <w:p w14:paraId="4C5E20BC"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Leyenda de información RESERVADA.</w:t>
            </w:r>
          </w:p>
        </w:tc>
      </w:tr>
      <w:tr w:rsidR="00C623E0" w:rsidRPr="00C623E0" w14:paraId="553005C3"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64307534"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Fundamento legal</w:t>
            </w:r>
          </w:p>
        </w:tc>
        <w:tc>
          <w:tcPr>
            <w:tcW w:w="3421" w:type="dxa"/>
          </w:tcPr>
          <w:p w14:paraId="320D3398"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3F8110AE"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Periodo de reserva</w:t>
            </w:r>
          </w:p>
        </w:tc>
        <w:tc>
          <w:tcPr>
            <w:tcW w:w="3446" w:type="dxa"/>
          </w:tcPr>
          <w:p w14:paraId="5569C178"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C623E0" w:rsidRPr="00C623E0" w14:paraId="5E4A57A0"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E59FCA2"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Ampliación del periodo de reserva</w:t>
            </w:r>
          </w:p>
        </w:tc>
        <w:tc>
          <w:tcPr>
            <w:tcW w:w="3421" w:type="dxa"/>
          </w:tcPr>
          <w:p w14:paraId="4D3D90D1"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DE98415"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Fundamento legal</w:t>
            </w:r>
          </w:p>
        </w:tc>
        <w:tc>
          <w:tcPr>
            <w:tcW w:w="3446" w:type="dxa"/>
          </w:tcPr>
          <w:p w14:paraId="127CF186"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o de los ordenamientos jurídicos, el o los artículos, fracción(es), párrafo(s) con base en los cuales se sustenta la reserva.</w:t>
            </w:r>
          </w:p>
        </w:tc>
      </w:tr>
      <w:tr w:rsidR="00C623E0" w:rsidRPr="00C623E0" w14:paraId="1D14CAF3"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65108CEF"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Confidencial</w:t>
            </w:r>
          </w:p>
        </w:tc>
        <w:tc>
          <w:tcPr>
            <w:tcW w:w="3421" w:type="dxa"/>
          </w:tcPr>
          <w:p w14:paraId="46FB97AC"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3CF67C13"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Ampliación del periodo de reserva</w:t>
            </w:r>
          </w:p>
        </w:tc>
        <w:tc>
          <w:tcPr>
            <w:tcW w:w="3446" w:type="dxa"/>
          </w:tcPr>
          <w:p w14:paraId="5702AF88"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C623E0" w:rsidRPr="00C623E0" w14:paraId="4D53A972"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1BA9E40"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Fundamento legal</w:t>
            </w:r>
          </w:p>
        </w:tc>
        <w:tc>
          <w:tcPr>
            <w:tcW w:w="3421" w:type="dxa"/>
          </w:tcPr>
          <w:p w14:paraId="2F55CC27"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985B1EA"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Confidencial</w:t>
            </w:r>
          </w:p>
        </w:tc>
        <w:tc>
          <w:tcPr>
            <w:tcW w:w="3446" w:type="dxa"/>
          </w:tcPr>
          <w:p w14:paraId="690704E5"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Leyenda de información CONFIDENCIAL.</w:t>
            </w:r>
          </w:p>
        </w:tc>
      </w:tr>
      <w:tr w:rsidR="00C623E0" w:rsidRPr="00C623E0" w14:paraId="4B89435A"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1D98559B"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Rúbrica del titular del área</w:t>
            </w:r>
          </w:p>
        </w:tc>
        <w:tc>
          <w:tcPr>
            <w:tcW w:w="3421" w:type="dxa"/>
          </w:tcPr>
          <w:p w14:paraId="7818D0F4"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Rúbrica autógrafa de quien clasifica.</w:t>
            </w:r>
          </w:p>
        </w:tc>
        <w:tc>
          <w:tcPr>
            <w:tcW w:w="968" w:type="dxa"/>
          </w:tcPr>
          <w:p w14:paraId="6B1522F0"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Fundamento legal</w:t>
            </w:r>
          </w:p>
        </w:tc>
        <w:tc>
          <w:tcPr>
            <w:tcW w:w="3446" w:type="dxa"/>
          </w:tcPr>
          <w:p w14:paraId="24EA4C99"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C623E0" w:rsidRPr="00C623E0" w14:paraId="1349BDCC"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BE9AF41"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Fecha de desclasificación</w:t>
            </w:r>
          </w:p>
        </w:tc>
        <w:tc>
          <w:tcPr>
            <w:tcW w:w="3421" w:type="dxa"/>
          </w:tcPr>
          <w:p w14:paraId="7EF54F77"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anotará la fecha en que se desclasifica el documento.</w:t>
            </w:r>
          </w:p>
        </w:tc>
        <w:tc>
          <w:tcPr>
            <w:tcW w:w="968" w:type="dxa"/>
          </w:tcPr>
          <w:p w14:paraId="23F67601"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Rúbrica del titular del área</w:t>
            </w:r>
          </w:p>
        </w:tc>
        <w:tc>
          <w:tcPr>
            <w:tcW w:w="3446" w:type="dxa"/>
          </w:tcPr>
          <w:p w14:paraId="4119BBE3"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Rúbrica autógrafa de quien clasifica.</w:t>
            </w:r>
          </w:p>
        </w:tc>
      </w:tr>
      <w:tr w:rsidR="00C623E0" w:rsidRPr="00C623E0" w14:paraId="39CB1474"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0F02F5C8" w14:textId="77777777" w:rsidR="001E3DFF" w:rsidRPr="00C623E0" w:rsidRDefault="001E3DFF" w:rsidP="00160312">
            <w:pPr>
              <w:jc w:val="both"/>
              <w:rPr>
                <w:rFonts w:ascii="Palatino Linotype" w:hAnsi="Palatino Linotype"/>
                <w:sz w:val="12"/>
                <w:szCs w:val="12"/>
              </w:rPr>
            </w:pPr>
            <w:r w:rsidRPr="00C623E0">
              <w:rPr>
                <w:rFonts w:ascii="Palatino Linotype" w:hAnsi="Palatino Linotype"/>
                <w:sz w:val="12"/>
                <w:szCs w:val="12"/>
              </w:rPr>
              <w:t>Rúbrica y cargo del servidor público</w:t>
            </w:r>
          </w:p>
        </w:tc>
        <w:tc>
          <w:tcPr>
            <w:tcW w:w="3421" w:type="dxa"/>
          </w:tcPr>
          <w:p w14:paraId="7F9BB5BF"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Rúbrica autógrafa de quien desclasifica.</w:t>
            </w:r>
          </w:p>
        </w:tc>
        <w:tc>
          <w:tcPr>
            <w:tcW w:w="968" w:type="dxa"/>
          </w:tcPr>
          <w:p w14:paraId="13985427"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Fecha de desclasificación</w:t>
            </w:r>
          </w:p>
        </w:tc>
        <w:tc>
          <w:tcPr>
            <w:tcW w:w="3446" w:type="dxa"/>
          </w:tcPr>
          <w:p w14:paraId="55E12812"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Se anotará la fecha en que se desclasifica.</w:t>
            </w:r>
          </w:p>
        </w:tc>
      </w:tr>
      <w:tr w:rsidR="00C623E0" w:rsidRPr="00C623E0" w14:paraId="44A951B6" w14:textId="77777777" w:rsidTr="001603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EDC7EC8" w14:textId="77777777" w:rsidR="001E3DFF" w:rsidRPr="00C623E0" w:rsidRDefault="001E3DFF" w:rsidP="00160312">
            <w:pPr>
              <w:jc w:val="both"/>
              <w:rPr>
                <w:rFonts w:ascii="Palatino Linotype" w:hAnsi="Palatino Linotype"/>
                <w:sz w:val="12"/>
                <w:szCs w:val="12"/>
              </w:rPr>
            </w:pPr>
          </w:p>
        </w:tc>
        <w:tc>
          <w:tcPr>
            <w:tcW w:w="3421" w:type="dxa"/>
          </w:tcPr>
          <w:p w14:paraId="2BF893ED"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7A4FB9B2"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Partes o secciones reservadas o confidenciales</w:t>
            </w:r>
          </w:p>
        </w:tc>
        <w:tc>
          <w:tcPr>
            <w:tcW w:w="3446" w:type="dxa"/>
          </w:tcPr>
          <w:p w14:paraId="5F93D042" w14:textId="77777777" w:rsidR="001E3DFF" w:rsidRPr="00C623E0" w:rsidRDefault="001E3DFF" w:rsidP="00160312">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En caso que una vez desclasificado el expediente, subsistanpartes o secciones del mismo reservadas o confidenciales, se señalará este hecho.</w:t>
            </w:r>
          </w:p>
        </w:tc>
      </w:tr>
      <w:tr w:rsidR="00C623E0" w:rsidRPr="00C623E0" w14:paraId="6D1212A0" w14:textId="77777777" w:rsidTr="00160312">
        <w:tc>
          <w:tcPr>
            <w:cnfStyle w:val="001000000000" w:firstRow="0" w:lastRow="0" w:firstColumn="1" w:lastColumn="0" w:oddVBand="0" w:evenVBand="0" w:oddHBand="0" w:evenHBand="0" w:firstRowFirstColumn="0" w:firstRowLastColumn="0" w:lastRowFirstColumn="0" w:lastRowLastColumn="0"/>
            <w:tcW w:w="993" w:type="dxa"/>
          </w:tcPr>
          <w:p w14:paraId="2EB095E0" w14:textId="77777777" w:rsidR="001E3DFF" w:rsidRPr="00C623E0" w:rsidRDefault="001E3DFF" w:rsidP="00160312">
            <w:pPr>
              <w:jc w:val="both"/>
              <w:rPr>
                <w:rFonts w:ascii="Palatino Linotype" w:hAnsi="Palatino Linotype"/>
                <w:sz w:val="12"/>
                <w:szCs w:val="12"/>
              </w:rPr>
            </w:pPr>
          </w:p>
        </w:tc>
        <w:tc>
          <w:tcPr>
            <w:tcW w:w="3421" w:type="dxa"/>
          </w:tcPr>
          <w:p w14:paraId="47727549"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0D0A533B"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C623E0">
              <w:rPr>
                <w:rFonts w:ascii="Palatino Linotype" w:hAnsi="Palatino Linotype"/>
                <w:b/>
                <w:sz w:val="12"/>
                <w:szCs w:val="12"/>
              </w:rPr>
              <w:t>Rúbrica y cargo del servidor público</w:t>
            </w:r>
          </w:p>
        </w:tc>
        <w:tc>
          <w:tcPr>
            <w:tcW w:w="3446" w:type="dxa"/>
          </w:tcPr>
          <w:p w14:paraId="6027AC83" w14:textId="77777777" w:rsidR="001E3DFF" w:rsidRPr="00C623E0" w:rsidRDefault="001E3DFF" w:rsidP="00160312">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C623E0">
              <w:rPr>
                <w:rFonts w:ascii="Palatino Linotype" w:hAnsi="Palatino Linotype"/>
                <w:sz w:val="12"/>
                <w:szCs w:val="12"/>
              </w:rPr>
              <w:t>Rúbrica autógrafa de quien desclasifica.</w:t>
            </w:r>
          </w:p>
        </w:tc>
      </w:tr>
    </w:tbl>
    <w:p w14:paraId="5A77B408" w14:textId="77777777" w:rsidR="003805A1" w:rsidRPr="00C623E0" w:rsidRDefault="007A61DC">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D427C23" w14:textId="77777777" w:rsidR="003805A1" w:rsidRPr="00C623E0" w:rsidRDefault="007A61DC">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C623E0">
        <w:rPr>
          <w:rFonts w:ascii="Palatino Linotype" w:eastAsia="Palatino Linotype" w:hAnsi="Palatino Linotype" w:cs="Palatino Linotype"/>
          <w:b/>
        </w:rPr>
        <w:t>III. R E S U E L V E:</w:t>
      </w:r>
    </w:p>
    <w:p w14:paraId="3AA10D67" w14:textId="5D59209D" w:rsidR="003805A1" w:rsidRPr="00C623E0" w:rsidRDefault="007A61DC">
      <w:pPr>
        <w:spacing w:before="240" w:after="240" w:line="360" w:lineRule="auto"/>
        <w:jc w:val="both"/>
        <w:rPr>
          <w:rFonts w:ascii="Palatino Linotype" w:eastAsia="Palatino Linotype" w:hAnsi="Palatino Linotype" w:cs="Palatino Linotype"/>
          <w:b/>
        </w:rPr>
      </w:pPr>
      <w:bookmarkStart w:id="7" w:name="_heading=h.4d34og8" w:colFirst="0" w:colLast="0"/>
      <w:bookmarkEnd w:id="7"/>
      <w:r w:rsidRPr="00C623E0">
        <w:rPr>
          <w:rFonts w:ascii="Palatino Linotype" w:eastAsia="Palatino Linotype" w:hAnsi="Palatino Linotype" w:cs="Palatino Linotype"/>
          <w:b/>
        </w:rPr>
        <w:t xml:space="preserve">Primero. </w:t>
      </w:r>
      <w:r w:rsidRPr="00C623E0">
        <w:rPr>
          <w:rFonts w:ascii="Palatino Linotype" w:eastAsia="Palatino Linotype" w:hAnsi="Palatino Linotype" w:cs="Palatino Linotype"/>
        </w:rPr>
        <w:t>Resultan</w:t>
      </w:r>
      <w:r w:rsidRPr="00C623E0">
        <w:rPr>
          <w:rFonts w:ascii="Palatino Linotype" w:eastAsia="Palatino Linotype" w:hAnsi="Palatino Linotype" w:cs="Palatino Linotype"/>
          <w:b/>
        </w:rPr>
        <w:t xml:space="preserve"> </w:t>
      </w:r>
      <w:r w:rsidR="007E762F" w:rsidRPr="00C623E0">
        <w:rPr>
          <w:rFonts w:ascii="Palatino Linotype" w:eastAsia="Palatino Linotype" w:hAnsi="Palatino Linotype" w:cs="Palatino Linotype"/>
          <w:b/>
        </w:rPr>
        <w:t xml:space="preserve">parcialmente </w:t>
      </w:r>
      <w:r w:rsidRPr="00C623E0">
        <w:rPr>
          <w:rFonts w:ascii="Palatino Linotype" w:eastAsia="Palatino Linotype" w:hAnsi="Palatino Linotype" w:cs="Palatino Linotype"/>
          <w:b/>
        </w:rPr>
        <w:t>fundados</w:t>
      </w:r>
      <w:r w:rsidRPr="00C623E0">
        <w:rPr>
          <w:rFonts w:ascii="Palatino Linotype" w:eastAsia="Palatino Linotype" w:hAnsi="Palatino Linotype" w:cs="Palatino Linotype"/>
        </w:rPr>
        <w:t xml:space="preserve"> los motivos de inconformidad hechos valer por la parte </w:t>
      </w:r>
      <w:r w:rsidRPr="00C623E0">
        <w:rPr>
          <w:rFonts w:ascii="Palatino Linotype" w:eastAsia="Palatino Linotype" w:hAnsi="Palatino Linotype" w:cs="Palatino Linotype"/>
          <w:b/>
        </w:rPr>
        <w:t xml:space="preserve">Recurrente </w:t>
      </w:r>
      <w:r w:rsidRPr="00C623E0">
        <w:rPr>
          <w:rFonts w:ascii="Palatino Linotype" w:eastAsia="Palatino Linotype" w:hAnsi="Palatino Linotype" w:cs="Palatino Linotype"/>
        </w:rPr>
        <w:t xml:space="preserve">en el recurso de revisión </w:t>
      </w:r>
      <w:r w:rsidRPr="00C623E0">
        <w:rPr>
          <w:rFonts w:ascii="Palatino Linotype" w:eastAsia="Palatino Linotype" w:hAnsi="Palatino Linotype" w:cs="Palatino Linotype"/>
          <w:b/>
        </w:rPr>
        <w:t>0</w:t>
      </w:r>
      <w:r w:rsidR="007E762F" w:rsidRPr="00C623E0">
        <w:rPr>
          <w:rFonts w:ascii="Palatino Linotype" w:eastAsia="Palatino Linotype" w:hAnsi="Palatino Linotype" w:cs="Palatino Linotype"/>
          <w:b/>
        </w:rPr>
        <w:t>6709</w:t>
      </w:r>
      <w:r w:rsidRPr="00C623E0">
        <w:rPr>
          <w:rFonts w:ascii="Palatino Linotype" w:eastAsia="Palatino Linotype" w:hAnsi="Palatino Linotype" w:cs="Palatino Linotype"/>
          <w:b/>
        </w:rPr>
        <w:t xml:space="preserve">/INFOEM/IP/RR/2022, </w:t>
      </w:r>
      <w:r w:rsidRPr="00C623E0">
        <w:rPr>
          <w:rFonts w:ascii="Palatino Linotype" w:eastAsia="Palatino Linotype" w:hAnsi="Palatino Linotype" w:cs="Palatino Linotype"/>
        </w:rPr>
        <w:lastRenderedPageBreak/>
        <w:t xml:space="preserve">por lo que, en términos del Considerando </w:t>
      </w:r>
      <w:r w:rsidRPr="00C623E0">
        <w:rPr>
          <w:rFonts w:ascii="Palatino Linotype" w:eastAsia="Palatino Linotype" w:hAnsi="Palatino Linotype" w:cs="Palatino Linotype"/>
          <w:b/>
        </w:rPr>
        <w:t>Cuarto</w:t>
      </w:r>
      <w:r w:rsidRPr="00C623E0">
        <w:rPr>
          <w:rFonts w:ascii="Palatino Linotype" w:eastAsia="Palatino Linotype" w:hAnsi="Palatino Linotype" w:cs="Palatino Linotype"/>
        </w:rPr>
        <w:t xml:space="preserve"> de la presente resolución, se</w:t>
      </w:r>
      <w:r w:rsidRPr="00C623E0">
        <w:rPr>
          <w:rFonts w:ascii="Palatino Linotype" w:eastAsia="Palatino Linotype" w:hAnsi="Palatino Linotype" w:cs="Palatino Linotype"/>
          <w:b/>
        </w:rPr>
        <w:t xml:space="preserve"> Revoca </w:t>
      </w:r>
      <w:r w:rsidRPr="00C623E0">
        <w:rPr>
          <w:rFonts w:ascii="Palatino Linotype" w:eastAsia="Palatino Linotype" w:hAnsi="Palatino Linotype" w:cs="Palatino Linotype"/>
        </w:rPr>
        <w:t>la respuesta</w:t>
      </w:r>
      <w:r w:rsidRPr="00C623E0">
        <w:rPr>
          <w:rFonts w:ascii="Palatino Linotype" w:eastAsia="Palatino Linotype" w:hAnsi="Palatino Linotype" w:cs="Palatino Linotype"/>
          <w:b/>
        </w:rPr>
        <w:t xml:space="preserve"> </w:t>
      </w:r>
      <w:r w:rsidRPr="00C623E0">
        <w:rPr>
          <w:rFonts w:ascii="Palatino Linotype" w:eastAsia="Palatino Linotype" w:hAnsi="Palatino Linotype" w:cs="Palatino Linotype"/>
        </w:rPr>
        <w:t xml:space="preserve">del </w:t>
      </w:r>
      <w:r w:rsidRPr="00C623E0">
        <w:rPr>
          <w:rFonts w:ascii="Palatino Linotype" w:eastAsia="Palatino Linotype" w:hAnsi="Palatino Linotype" w:cs="Palatino Linotype"/>
          <w:b/>
        </w:rPr>
        <w:t>Sujeto Obligado.</w:t>
      </w:r>
    </w:p>
    <w:p w14:paraId="4F8BF538"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Segundo. </w:t>
      </w:r>
      <w:r w:rsidRPr="00C623E0">
        <w:rPr>
          <w:rFonts w:ascii="Palatino Linotype" w:eastAsia="Palatino Linotype" w:hAnsi="Palatino Linotype" w:cs="Palatino Linotype"/>
        </w:rPr>
        <w:t xml:space="preserve">Se </w:t>
      </w:r>
      <w:r w:rsidRPr="00C623E0">
        <w:rPr>
          <w:rFonts w:ascii="Palatino Linotype" w:eastAsia="Palatino Linotype" w:hAnsi="Palatino Linotype" w:cs="Palatino Linotype"/>
          <w:b/>
        </w:rPr>
        <w:t>Ordena</w:t>
      </w:r>
      <w:r w:rsidRPr="00C623E0">
        <w:rPr>
          <w:rFonts w:ascii="Palatino Linotype" w:eastAsia="Palatino Linotype" w:hAnsi="Palatino Linotype" w:cs="Palatino Linotype"/>
        </w:rPr>
        <w:t xml:space="preserve"> al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en términos de los Considerandos </w:t>
      </w:r>
      <w:r w:rsidRPr="00C623E0">
        <w:rPr>
          <w:rFonts w:ascii="Palatino Linotype" w:eastAsia="Palatino Linotype" w:hAnsi="Palatino Linotype" w:cs="Palatino Linotype"/>
          <w:b/>
        </w:rPr>
        <w:t xml:space="preserve">Cuarto </w:t>
      </w:r>
      <w:r w:rsidRPr="00C623E0">
        <w:rPr>
          <w:rFonts w:ascii="Palatino Linotype" w:eastAsia="Palatino Linotype" w:hAnsi="Palatino Linotype" w:cs="Palatino Linotype"/>
        </w:rPr>
        <w:t xml:space="preserve">y </w:t>
      </w:r>
      <w:r w:rsidRPr="00C623E0">
        <w:rPr>
          <w:rFonts w:ascii="Palatino Linotype" w:eastAsia="Palatino Linotype" w:hAnsi="Palatino Linotype" w:cs="Palatino Linotype"/>
          <w:b/>
        </w:rPr>
        <w:t xml:space="preserve">Quinto </w:t>
      </w:r>
      <w:r w:rsidRPr="00C623E0">
        <w:rPr>
          <w:rFonts w:ascii="Palatino Linotype" w:eastAsia="Palatino Linotype" w:hAnsi="Palatino Linotype" w:cs="Palatino Linotype"/>
        </w:rPr>
        <w:t>de esta resolución, haga entrega, vía SAIMEX, en versión pública de ser necesario, de lo siguiente:</w:t>
      </w:r>
    </w:p>
    <w:p w14:paraId="66D56F2D" w14:textId="77777777" w:rsidR="00010DBA" w:rsidRPr="00C623E0" w:rsidRDefault="007A61DC" w:rsidP="00010DBA">
      <w:pPr>
        <w:spacing w:before="280" w:after="280" w:line="360" w:lineRule="auto"/>
        <w:ind w:left="284" w:right="49"/>
        <w:jc w:val="both"/>
        <w:rPr>
          <w:rFonts w:ascii="Palatino Linotype" w:eastAsia="Palatino Linotype" w:hAnsi="Palatino Linotype" w:cs="Palatino Linotype"/>
        </w:rPr>
      </w:pPr>
      <w:bookmarkStart w:id="8" w:name="_heading=h.17dp8vu" w:colFirst="0" w:colLast="0"/>
      <w:bookmarkEnd w:id="8"/>
      <w:r w:rsidRPr="00C623E0">
        <w:rPr>
          <w:rFonts w:ascii="Palatino Linotype" w:eastAsia="Palatino Linotype" w:hAnsi="Palatino Linotype" w:cs="Palatino Linotype"/>
        </w:rPr>
        <w:t>1.</w:t>
      </w:r>
      <w:r w:rsidR="00F22CE5" w:rsidRPr="00C623E0">
        <w:rPr>
          <w:rFonts w:ascii="Palatino Linotype" w:eastAsia="Palatino Linotype" w:hAnsi="Palatino Linotype" w:cs="Palatino Linotype"/>
        </w:rPr>
        <w:t xml:space="preserve"> Acta de entrega recepción del presidente municipal saliente de la administración pública 2019-2021</w:t>
      </w:r>
      <w:r w:rsidRPr="00C623E0">
        <w:rPr>
          <w:rFonts w:ascii="Palatino Linotype" w:eastAsia="Palatino Linotype" w:hAnsi="Palatino Linotype" w:cs="Palatino Linotype"/>
        </w:rPr>
        <w:t>.</w:t>
      </w:r>
    </w:p>
    <w:p w14:paraId="40131F8E" w14:textId="1BA642FA" w:rsidR="00010DBA" w:rsidRPr="00C623E0" w:rsidRDefault="00010DBA" w:rsidP="00010DBA">
      <w:pPr>
        <w:spacing w:before="280" w:after="280" w:line="360" w:lineRule="auto"/>
        <w:ind w:left="284" w:right="49"/>
        <w:jc w:val="both"/>
        <w:rPr>
          <w:rFonts w:ascii="Palatino Linotype" w:eastAsia="Palatino Linotype" w:hAnsi="Palatino Linotype" w:cs="Palatino Linotype"/>
        </w:rPr>
      </w:pPr>
      <w:r w:rsidRPr="00C623E0">
        <w:rPr>
          <w:rFonts w:ascii="Palatino Linotype" w:eastAsia="Palatino Linotype" w:hAnsi="Palatino Linotype" w:cs="Palatino Linotype"/>
        </w:rPr>
        <w:t xml:space="preserve">2. </w:t>
      </w:r>
      <w:r w:rsidRPr="00C623E0">
        <w:rPr>
          <w:rFonts w:ascii="Palatino Linotype" w:hAnsi="Palatino Linotype"/>
        </w:rPr>
        <w:t>Documentación e información que integra</w:t>
      </w:r>
      <w:r w:rsidR="00B3795A" w:rsidRPr="00C623E0">
        <w:rPr>
          <w:rFonts w:ascii="Palatino Linotype" w:hAnsi="Palatino Linotype"/>
        </w:rPr>
        <w:t>n</w:t>
      </w:r>
      <w:r w:rsidRPr="00C623E0">
        <w:rPr>
          <w:rFonts w:ascii="Palatino Linotype" w:hAnsi="Palatino Linotype"/>
        </w:rPr>
        <w:t xml:space="preserve"> el expediente de entrega recepción</w:t>
      </w:r>
      <w:r w:rsidR="007734F2" w:rsidRPr="00C623E0">
        <w:rPr>
          <w:rFonts w:ascii="Palatino Linotype" w:hAnsi="Palatino Linotype"/>
        </w:rPr>
        <w:t xml:space="preserve"> señalado en el punto anterior</w:t>
      </w:r>
      <w:r w:rsidRPr="00C623E0">
        <w:rPr>
          <w:rFonts w:ascii="Palatino Linotype" w:hAnsi="Palatino Linotype"/>
        </w:rPr>
        <w:t>.</w:t>
      </w:r>
    </w:p>
    <w:p w14:paraId="2DCF13B8" w14:textId="77777777" w:rsidR="003805A1" w:rsidRPr="00C623E0" w:rsidRDefault="007A61DC">
      <w:pPr>
        <w:spacing w:before="280" w:after="280"/>
        <w:ind w:left="284" w:right="49"/>
        <w:jc w:val="both"/>
        <w:rPr>
          <w:rFonts w:ascii="Palatino Linotype" w:eastAsia="Palatino Linotype" w:hAnsi="Palatino Linotype" w:cs="Palatino Linotype"/>
          <w:i/>
          <w:sz w:val="20"/>
          <w:szCs w:val="20"/>
        </w:rPr>
      </w:pPr>
      <w:bookmarkStart w:id="9" w:name="_heading=h.26in1rg" w:colFirst="0" w:colLast="0"/>
      <w:bookmarkEnd w:id="9"/>
      <w:r w:rsidRPr="00C623E0">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C623E0">
        <w:rPr>
          <w:rFonts w:ascii="Palatino Linotype" w:eastAsia="Palatino Linotype" w:hAnsi="Palatino Linotype" w:cs="Palatino Linotype"/>
          <w:b/>
          <w:i/>
          <w:sz w:val="20"/>
          <w:szCs w:val="20"/>
        </w:rPr>
        <w:t>Recurrente</w:t>
      </w:r>
      <w:r w:rsidRPr="00C623E0">
        <w:rPr>
          <w:rFonts w:ascii="Palatino Linotype" w:eastAsia="Palatino Linotype" w:hAnsi="Palatino Linotype" w:cs="Palatino Linotype"/>
          <w:i/>
          <w:sz w:val="20"/>
          <w:szCs w:val="20"/>
        </w:rPr>
        <w:t>, mismo que igualmente hará de su conocimiento.</w:t>
      </w:r>
    </w:p>
    <w:p w14:paraId="7C34539B" w14:textId="77777777" w:rsidR="003805A1" w:rsidRPr="00C623E0" w:rsidRDefault="007A61DC">
      <w:pPr>
        <w:spacing w:before="240" w:after="240" w:line="360" w:lineRule="auto"/>
        <w:jc w:val="both"/>
        <w:rPr>
          <w:rFonts w:ascii="Palatino Linotype" w:eastAsia="Palatino Linotype" w:hAnsi="Palatino Linotype" w:cs="Palatino Linotype"/>
          <w:b/>
        </w:rPr>
      </w:pPr>
      <w:r w:rsidRPr="00C623E0">
        <w:rPr>
          <w:rFonts w:ascii="Palatino Linotype" w:eastAsia="Palatino Linotype" w:hAnsi="Palatino Linotype" w:cs="Palatino Linotype"/>
          <w:b/>
        </w:rPr>
        <w:t xml:space="preserve">Tercero. Notifíquese, </w:t>
      </w:r>
      <w:r w:rsidRPr="00C623E0">
        <w:rPr>
          <w:rFonts w:ascii="Palatino Linotype" w:eastAsia="Palatino Linotype" w:hAnsi="Palatino Linotype" w:cs="Palatino Linotype"/>
        </w:rPr>
        <w:t>vía</w:t>
      </w:r>
      <w:r w:rsidRPr="00C623E0">
        <w:rPr>
          <w:rFonts w:ascii="Palatino Linotype" w:eastAsia="Palatino Linotype" w:hAnsi="Palatino Linotype" w:cs="Palatino Linotype"/>
          <w:b/>
        </w:rPr>
        <w:t xml:space="preserve"> SAIMEX, </w:t>
      </w:r>
      <w:r w:rsidRPr="00C623E0">
        <w:rPr>
          <w:rFonts w:ascii="Palatino Linotype" w:eastAsia="Palatino Linotype" w:hAnsi="Palatino Linotype" w:cs="Palatino Linotype"/>
        </w:rPr>
        <w:t xml:space="preserve">al Responsable de la Unidad de Transparencia del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C623E0">
        <w:rPr>
          <w:rFonts w:ascii="Palatino Linotype" w:eastAsia="Palatino Linotype" w:hAnsi="Palatino Linotype" w:cs="Palatino Linotype"/>
          <w:b/>
        </w:rPr>
        <w:t>.</w:t>
      </w:r>
    </w:p>
    <w:p w14:paraId="7E78525F" w14:textId="77777777" w:rsidR="003805A1" w:rsidRPr="00C623E0" w:rsidRDefault="007A61DC">
      <w:pPr>
        <w:spacing w:before="240" w:after="240" w:line="360" w:lineRule="auto"/>
        <w:jc w:val="both"/>
        <w:rPr>
          <w:rFonts w:ascii="Palatino Linotype" w:eastAsia="Palatino Linotype" w:hAnsi="Palatino Linotype" w:cs="Palatino Linotype"/>
        </w:rPr>
      </w:pPr>
      <w:bookmarkStart w:id="10" w:name="_heading=h.3dy6vkm" w:colFirst="0" w:colLast="0"/>
      <w:bookmarkEnd w:id="10"/>
      <w:r w:rsidRPr="00C623E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C623E0">
        <w:rPr>
          <w:rFonts w:ascii="Palatino Linotype" w:eastAsia="Palatino Linotype" w:hAnsi="Palatino Linotype" w:cs="Palatino Linotype"/>
        </w:rPr>
        <w:lastRenderedPageBreak/>
        <w:t xml:space="preserve">procedente, el </w:t>
      </w:r>
      <w:r w:rsidRPr="00C623E0">
        <w:rPr>
          <w:rFonts w:ascii="Palatino Linotype" w:eastAsia="Palatino Linotype" w:hAnsi="Palatino Linotype" w:cs="Palatino Linotype"/>
          <w:b/>
        </w:rPr>
        <w:t>Sujeto Obligado</w:t>
      </w:r>
      <w:r w:rsidRPr="00C623E0">
        <w:rPr>
          <w:rFonts w:ascii="Palatino Linotype" w:eastAsia="Palatino Linotype" w:hAnsi="Palatino Linotype" w:cs="Palatino Linotype"/>
        </w:rPr>
        <w:t xml:space="preserve"> de manera fundada y motivada, podrá solicitar una ampliación de plazo para el cumplimiento de la presente resolución.</w:t>
      </w:r>
    </w:p>
    <w:p w14:paraId="68FD0A75" w14:textId="77777777" w:rsidR="003805A1" w:rsidRPr="00C623E0" w:rsidRDefault="007A61DC">
      <w:pPr>
        <w:spacing w:before="240" w:after="240"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b/>
        </w:rPr>
        <w:t xml:space="preserve">Cuarto.  Notifíquese, </w:t>
      </w:r>
      <w:r w:rsidRPr="00C623E0">
        <w:rPr>
          <w:rFonts w:ascii="Palatino Linotype" w:eastAsia="Palatino Linotype" w:hAnsi="Palatino Linotype" w:cs="Palatino Linotype"/>
        </w:rPr>
        <w:t xml:space="preserve">vía </w:t>
      </w:r>
      <w:r w:rsidRPr="00C623E0">
        <w:rPr>
          <w:rFonts w:ascii="Palatino Linotype" w:eastAsia="Palatino Linotype" w:hAnsi="Palatino Linotype" w:cs="Palatino Linotype"/>
          <w:b/>
        </w:rPr>
        <w:t>SAIMEX</w:t>
      </w:r>
      <w:r w:rsidRPr="00C623E0">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4E8725C3" w14:textId="09409D84" w:rsidR="003805A1" w:rsidRPr="00C623E0" w:rsidRDefault="007A61DC">
      <w:pPr>
        <w:spacing w:line="360" w:lineRule="auto"/>
        <w:jc w:val="both"/>
        <w:rPr>
          <w:rFonts w:ascii="Palatino Linotype" w:eastAsia="Palatino Linotype" w:hAnsi="Palatino Linotype" w:cs="Palatino Linotype"/>
        </w:rPr>
      </w:pPr>
      <w:bookmarkStart w:id="11" w:name="_heading=h.3rdcrjn" w:colFirst="0" w:colLast="0"/>
      <w:bookmarkEnd w:id="11"/>
      <w:r w:rsidRPr="00C623E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06703" w:rsidRPr="00C623E0">
        <w:rPr>
          <w:rFonts w:ascii="Palatino Linotype" w:eastAsia="Palatino Linotype" w:hAnsi="Palatino Linotype" w:cs="Palatino Linotype"/>
        </w:rPr>
        <w:t>TRIGÉSIMO SEGUNDA</w:t>
      </w:r>
      <w:r w:rsidRPr="00C623E0">
        <w:rPr>
          <w:rFonts w:ascii="Palatino Linotype" w:eastAsia="Palatino Linotype" w:hAnsi="Palatino Linotype" w:cs="Palatino Linotype"/>
        </w:rPr>
        <w:t xml:space="preserve"> SESIÓN ORDINARIA CELEBRADA EL </w:t>
      </w:r>
      <w:r w:rsidR="00906703" w:rsidRPr="00C623E0">
        <w:rPr>
          <w:rFonts w:ascii="Palatino Linotype" w:eastAsia="Palatino Linotype" w:hAnsi="Palatino Linotype" w:cs="Palatino Linotype"/>
        </w:rPr>
        <w:t xml:space="preserve">SIETE DE SSEPTIEMBRE </w:t>
      </w:r>
      <w:r w:rsidRPr="00C623E0">
        <w:rPr>
          <w:rFonts w:ascii="Palatino Linotype" w:eastAsia="Palatino Linotype" w:hAnsi="Palatino Linotype" w:cs="Palatino Linotype"/>
        </w:rPr>
        <w:t>DE DOS MIL VEINTIDÓS, ANTE EL SECRETARIO TÉCNICO DEL PLENO ALEXIS TAPIA RAMÍREZ.</w:t>
      </w:r>
    </w:p>
    <w:p w14:paraId="31C07BF6" w14:textId="2A19E9E9" w:rsidR="003805A1" w:rsidRPr="00C623E0" w:rsidRDefault="001E3DFF">
      <w:pPr>
        <w:spacing w:line="360" w:lineRule="auto"/>
        <w:jc w:val="both"/>
        <w:rPr>
          <w:rFonts w:ascii="Palatino Linotype" w:eastAsia="Palatino Linotype" w:hAnsi="Palatino Linotype" w:cs="Palatino Linotype"/>
        </w:rPr>
      </w:pPr>
      <w:r w:rsidRPr="00C623E0">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F2F5853" wp14:editId="2046B667">
                <wp:simplePos x="0" y="0"/>
                <wp:positionH relativeFrom="margin">
                  <wp:align>right</wp:align>
                </wp:positionH>
                <wp:positionV relativeFrom="paragraph">
                  <wp:posOffset>55673</wp:posOffset>
                </wp:positionV>
                <wp:extent cx="5506948" cy="2208944"/>
                <wp:effectExtent l="38100" t="38100" r="74930" b="96520"/>
                <wp:wrapNone/>
                <wp:docPr id="1" name="Conector recto 1"/>
                <wp:cNvGraphicFramePr/>
                <a:graphic xmlns:a="http://schemas.openxmlformats.org/drawingml/2006/main">
                  <a:graphicData uri="http://schemas.microsoft.com/office/word/2010/wordprocessingShape">
                    <wps:wsp>
                      <wps:cNvCnPr/>
                      <wps:spPr>
                        <a:xfrm>
                          <a:off x="0" y="0"/>
                          <a:ext cx="5506948" cy="220894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6B409"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pt,4.4pt" to="816pt,1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5uuQEAALkDAAAOAAAAZHJzL2Uyb0RvYy54bWysU02P0zAQvSPxHyzfadKou9qNmu6hK7gg&#10;qID9AV5n3Fj4S2PTpP+esdNmEaA9IC52bL/3Zt7MZPswWcNOgFF71/H1quYMnPS9dseOP317/+6O&#10;s5iE64XxDjp+hsgfdm/fbMfQQuMHb3pARiIutmPo+JBSaKsqygGsiCsfwNGj8mhFoiMeqx7FSOrW&#10;VE1d31ajxz6glxAj3T7Oj3xX9JUCmT4rFSEx03HKLZUVy/qc12q3Fe0RRRi0vKQh/iELK7SjoIvU&#10;o0iC/UD9h5TVEn30Kq2kt5VXSksoHsjNuv7NzddBBCheqDgxLGWK/09WfjodkOmeeseZE5ZatKdG&#10;yeSRYd7YOtdoDLEl6N4d8HKK4YDZ8KTQ5p2ssKnU9bzUFabEJF3e3NS39xuaBElvTVPf3W82WbV6&#10;oQeM6QN4y/JHx4122bhoxeljTDP0CiFeTmdOoHyls4EMNu4LKDJDIZvCLmMEe4PsJGgA+u/FDIUt&#10;yExR2piFVL9OumAzDcpoLcT168QFXSJ6lxai1c7j38hpuqaqZvzV9ew12372/bm0o5SD5qMU9DLL&#10;eQB/PRf6yx+3+wkAAP//AwBQSwMEFAAGAAgAAAAhABJZMp/bAAAABgEAAA8AAABkcnMvZG93bnJl&#10;di54bWxMz8FOwzAMBuA7Eu8QGYkLYilDa6tSd0IIDki7sCHOWWOSiiapmmwNb485wdH6rd+f2212&#10;ozjTHIfgEe5WBQjyfdCDNwjvh5fbGkRMyms1Bk8I3xRh211etKrRYfFvdN4nI7jEx0Yh2JSmRsrY&#10;W3IqrsJEnrPPMDuVeJyN1LNauNyNcl0UpXRq8HzBqomeLPVf+5ND6LPMN/ZZm8VUr3qnYv0hNzvE&#10;66v8+AAiUU5/y/DLZzp0bDqGk9dRjAj8SEKomc9hXVZrEEeE+01Zgexa+Z/f/QAAAP//AwBQSwEC&#10;LQAUAAYACAAAACEAtoM4kv4AAADhAQAAEwAAAAAAAAAAAAAAAAAAAAAAW0NvbnRlbnRfVHlwZXNd&#10;LnhtbFBLAQItABQABgAIAAAAIQA4/SH/1gAAAJQBAAALAAAAAAAAAAAAAAAAAC8BAABfcmVscy8u&#10;cmVsc1BLAQItABQABgAIAAAAIQAs325uuQEAALkDAAAOAAAAAAAAAAAAAAAAAC4CAABkcnMvZTJv&#10;RG9jLnhtbFBLAQItABQABgAIAAAAIQASWTKf2wAAAAYBAAAPAAAAAAAAAAAAAAAAABMEAABkcnMv&#10;ZG93bnJldi54bWxQSwUGAAAAAAQABADzAAAAGwUAAAAA&#10;" strokecolor="black [3200]" strokeweight="2pt">
                <v:shadow on="t" color="black" opacity="24903f" origin=",.5" offset="0,.55556mm"/>
                <w10:wrap anchorx="margin"/>
              </v:line>
            </w:pict>
          </mc:Fallback>
        </mc:AlternateContent>
      </w:r>
    </w:p>
    <w:p w14:paraId="40606934" w14:textId="77777777" w:rsidR="003805A1" w:rsidRPr="00C623E0" w:rsidRDefault="003805A1">
      <w:pPr>
        <w:rPr>
          <w:rFonts w:ascii="Palatino Linotype" w:eastAsia="Palatino Linotype" w:hAnsi="Palatino Linotype" w:cs="Palatino Linotype"/>
        </w:rPr>
      </w:pPr>
    </w:p>
    <w:p w14:paraId="4DB0CBC1" w14:textId="77777777" w:rsidR="003805A1" w:rsidRPr="00C623E0" w:rsidRDefault="003805A1">
      <w:pPr>
        <w:spacing w:line="360" w:lineRule="auto"/>
        <w:jc w:val="both"/>
        <w:rPr>
          <w:rFonts w:ascii="Palatino Linotype" w:eastAsia="Palatino Linotype" w:hAnsi="Palatino Linotype" w:cs="Palatino Linotype"/>
        </w:rPr>
      </w:pPr>
    </w:p>
    <w:p w14:paraId="1285791E" w14:textId="77777777" w:rsidR="003805A1" w:rsidRPr="00C623E0" w:rsidRDefault="003805A1">
      <w:pPr>
        <w:spacing w:line="360" w:lineRule="auto"/>
        <w:jc w:val="both"/>
        <w:rPr>
          <w:rFonts w:ascii="Palatino Linotype" w:eastAsia="Palatino Linotype" w:hAnsi="Palatino Linotype" w:cs="Palatino Linotype"/>
        </w:rPr>
      </w:pPr>
    </w:p>
    <w:p w14:paraId="25842ABF" w14:textId="77777777" w:rsidR="003805A1" w:rsidRPr="00C623E0" w:rsidRDefault="003805A1">
      <w:pPr>
        <w:spacing w:line="360" w:lineRule="auto"/>
        <w:jc w:val="both"/>
        <w:rPr>
          <w:rFonts w:ascii="Palatino Linotype" w:eastAsia="Palatino Linotype" w:hAnsi="Palatino Linotype" w:cs="Palatino Linotype"/>
        </w:rPr>
      </w:pPr>
    </w:p>
    <w:p w14:paraId="5A68B9BA" w14:textId="77777777" w:rsidR="003805A1" w:rsidRPr="00C623E0" w:rsidRDefault="003805A1">
      <w:pPr>
        <w:spacing w:line="360" w:lineRule="auto"/>
        <w:jc w:val="both"/>
        <w:rPr>
          <w:rFonts w:ascii="Palatino Linotype" w:eastAsia="Palatino Linotype" w:hAnsi="Palatino Linotype" w:cs="Palatino Linotype"/>
        </w:rPr>
      </w:pPr>
    </w:p>
    <w:p w14:paraId="7EA9F453" w14:textId="77777777" w:rsidR="003805A1" w:rsidRPr="00C623E0" w:rsidRDefault="003805A1">
      <w:pPr>
        <w:spacing w:line="360" w:lineRule="auto"/>
        <w:jc w:val="both"/>
        <w:rPr>
          <w:rFonts w:ascii="Palatino Linotype" w:eastAsia="Palatino Linotype" w:hAnsi="Palatino Linotype" w:cs="Palatino Linotype"/>
        </w:rPr>
      </w:pPr>
    </w:p>
    <w:p w14:paraId="590F1999" w14:textId="77777777" w:rsidR="003805A1" w:rsidRPr="00C623E0" w:rsidRDefault="003805A1">
      <w:pPr>
        <w:spacing w:line="360" w:lineRule="auto"/>
        <w:jc w:val="both"/>
        <w:rPr>
          <w:rFonts w:ascii="Palatino Linotype" w:eastAsia="Palatino Linotype" w:hAnsi="Palatino Linotype" w:cs="Palatino Linotype"/>
        </w:rPr>
      </w:pPr>
    </w:p>
    <w:p w14:paraId="3355EFC1" w14:textId="77777777" w:rsidR="003805A1" w:rsidRPr="00C623E0" w:rsidRDefault="003805A1">
      <w:pPr>
        <w:spacing w:line="360" w:lineRule="auto"/>
        <w:jc w:val="both"/>
        <w:rPr>
          <w:rFonts w:ascii="Palatino Linotype" w:eastAsia="Palatino Linotype" w:hAnsi="Palatino Linotype" w:cs="Palatino Linotype"/>
        </w:rPr>
      </w:pPr>
    </w:p>
    <w:p w14:paraId="02DB8B8B" w14:textId="77777777" w:rsidR="003805A1" w:rsidRPr="00C623E0" w:rsidRDefault="003805A1">
      <w:pPr>
        <w:spacing w:line="360" w:lineRule="auto"/>
        <w:jc w:val="both"/>
        <w:rPr>
          <w:rFonts w:ascii="Palatino Linotype" w:eastAsia="Palatino Linotype" w:hAnsi="Palatino Linotype" w:cs="Palatino Linotype"/>
        </w:rPr>
      </w:pPr>
    </w:p>
    <w:p w14:paraId="3B851176" w14:textId="77777777" w:rsidR="003805A1" w:rsidRPr="00C623E0" w:rsidRDefault="003805A1">
      <w:pPr>
        <w:spacing w:line="360" w:lineRule="auto"/>
        <w:jc w:val="both"/>
        <w:rPr>
          <w:rFonts w:ascii="Palatino Linotype" w:eastAsia="Palatino Linotype" w:hAnsi="Palatino Linotype" w:cs="Palatino Linotype"/>
        </w:rPr>
      </w:pPr>
    </w:p>
    <w:p w14:paraId="7AFBBE06" w14:textId="77777777" w:rsidR="003805A1" w:rsidRPr="00C623E0" w:rsidRDefault="003805A1">
      <w:pPr>
        <w:spacing w:line="360" w:lineRule="auto"/>
        <w:jc w:val="both"/>
        <w:rPr>
          <w:rFonts w:ascii="Palatino Linotype" w:eastAsia="Palatino Linotype" w:hAnsi="Palatino Linotype" w:cs="Palatino Linotype"/>
        </w:rPr>
      </w:pPr>
    </w:p>
    <w:p w14:paraId="26B5DB13" w14:textId="77777777" w:rsidR="003805A1" w:rsidRPr="00C623E0" w:rsidRDefault="003805A1">
      <w:pPr>
        <w:spacing w:line="360" w:lineRule="auto"/>
        <w:jc w:val="both"/>
        <w:rPr>
          <w:rFonts w:ascii="Palatino Linotype" w:eastAsia="Palatino Linotype" w:hAnsi="Palatino Linotype" w:cs="Palatino Linotype"/>
        </w:rPr>
      </w:pPr>
    </w:p>
    <w:p w14:paraId="29A23B26" w14:textId="77777777" w:rsidR="003805A1" w:rsidRPr="00C623E0" w:rsidRDefault="003805A1">
      <w:pPr>
        <w:spacing w:line="360" w:lineRule="auto"/>
        <w:jc w:val="both"/>
        <w:rPr>
          <w:rFonts w:ascii="Palatino Linotype" w:eastAsia="Palatino Linotype" w:hAnsi="Palatino Linotype" w:cs="Palatino Linotype"/>
        </w:rPr>
      </w:pPr>
    </w:p>
    <w:p w14:paraId="4FC3F313" w14:textId="77777777" w:rsidR="003805A1" w:rsidRPr="00C623E0" w:rsidRDefault="003805A1">
      <w:pPr>
        <w:spacing w:line="360" w:lineRule="auto"/>
        <w:jc w:val="both"/>
        <w:rPr>
          <w:rFonts w:ascii="Palatino Linotype" w:eastAsia="Palatino Linotype" w:hAnsi="Palatino Linotype" w:cs="Palatino Linotype"/>
        </w:rPr>
      </w:pPr>
    </w:p>
    <w:p w14:paraId="2B510AAD" w14:textId="77777777" w:rsidR="003805A1" w:rsidRPr="00C623E0" w:rsidRDefault="003805A1">
      <w:pPr>
        <w:spacing w:line="360" w:lineRule="auto"/>
        <w:jc w:val="both"/>
        <w:rPr>
          <w:rFonts w:ascii="Palatino Linotype" w:eastAsia="Palatino Linotype" w:hAnsi="Palatino Linotype" w:cs="Palatino Linotype"/>
        </w:rPr>
      </w:pPr>
    </w:p>
    <w:p w14:paraId="5F136277" w14:textId="77777777" w:rsidR="003805A1" w:rsidRPr="00C623E0" w:rsidRDefault="003805A1">
      <w:pPr>
        <w:spacing w:line="360" w:lineRule="auto"/>
        <w:jc w:val="both"/>
        <w:rPr>
          <w:rFonts w:ascii="Palatino Linotype" w:eastAsia="Palatino Linotype" w:hAnsi="Palatino Linotype" w:cs="Palatino Linotype"/>
        </w:rPr>
      </w:pPr>
    </w:p>
    <w:p w14:paraId="05B56459" w14:textId="77777777" w:rsidR="003805A1" w:rsidRPr="00C623E0" w:rsidRDefault="003805A1">
      <w:pPr>
        <w:spacing w:line="360" w:lineRule="auto"/>
        <w:jc w:val="both"/>
        <w:rPr>
          <w:rFonts w:ascii="Palatino Linotype" w:eastAsia="Palatino Linotype" w:hAnsi="Palatino Linotype" w:cs="Palatino Linotype"/>
        </w:rPr>
      </w:pPr>
    </w:p>
    <w:p w14:paraId="1AD75A24" w14:textId="77777777" w:rsidR="003805A1" w:rsidRPr="00C623E0" w:rsidRDefault="003805A1">
      <w:pPr>
        <w:spacing w:line="360" w:lineRule="auto"/>
        <w:jc w:val="both"/>
        <w:rPr>
          <w:rFonts w:ascii="Palatino Linotype" w:eastAsia="Palatino Linotype" w:hAnsi="Palatino Linotype" w:cs="Palatino Linotype"/>
        </w:rPr>
      </w:pPr>
    </w:p>
    <w:p w14:paraId="52A9C635" w14:textId="77777777" w:rsidR="003805A1" w:rsidRPr="00C623E0" w:rsidRDefault="003805A1">
      <w:pPr>
        <w:spacing w:line="360" w:lineRule="auto"/>
        <w:jc w:val="both"/>
        <w:rPr>
          <w:rFonts w:ascii="Palatino Linotype" w:eastAsia="Palatino Linotype" w:hAnsi="Palatino Linotype" w:cs="Palatino Linotype"/>
        </w:rPr>
      </w:pPr>
    </w:p>
    <w:p w14:paraId="5625C2C2" w14:textId="77777777" w:rsidR="003805A1" w:rsidRPr="00C623E0" w:rsidRDefault="003805A1">
      <w:pPr>
        <w:spacing w:line="360" w:lineRule="auto"/>
        <w:jc w:val="both"/>
        <w:rPr>
          <w:rFonts w:ascii="Palatino Linotype" w:eastAsia="Palatino Linotype" w:hAnsi="Palatino Linotype" w:cs="Palatino Linotype"/>
        </w:rPr>
      </w:pPr>
    </w:p>
    <w:p w14:paraId="01AD6EB6" w14:textId="77777777" w:rsidR="003805A1" w:rsidRPr="00C623E0" w:rsidRDefault="003805A1">
      <w:pPr>
        <w:spacing w:line="360" w:lineRule="auto"/>
        <w:jc w:val="both"/>
        <w:rPr>
          <w:rFonts w:ascii="Palatino Linotype" w:eastAsia="Palatino Linotype" w:hAnsi="Palatino Linotype" w:cs="Palatino Linotype"/>
        </w:rPr>
      </w:pPr>
    </w:p>
    <w:sectPr w:rsidR="003805A1" w:rsidRPr="00C623E0">
      <w:headerReference w:type="default" r:id="rId37"/>
      <w:footerReference w:type="default" r:id="rId38"/>
      <w:headerReference w:type="first" r:id="rId39"/>
      <w:footerReference w:type="first" r:id="rId4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D1577" w14:textId="77777777" w:rsidR="00C64E41" w:rsidRDefault="00C64E41">
      <w:r>
        <w:separator/>
      </w:r>
    </w:p>
  </w:endnote>
  <w:endnote w:type="continuationSeparator" w:id="0">
    <w:p w14:paraId="02CC1CF4" w14:textId="77777777" w:rsidR="00C64E41" w:rsidRDefault="00C64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9BBE2" w14:textId="77777777" w:rsidR="00BB3B6C" w:rsidRDefault="00BB3B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22E41">
      <w:rPr>
        <w:rFonts w:ascii="Palatino Linotype" w:eastAsia="Palatino Linotype" w:hAnsi="Palatino Linotype" w:cs="Palatino Linotype"/>
        <w:b/>
        <w:noProof/>
        <w:color w:val="000000"/>
        <w:sz w:val="20"/>
        <w:szCs w:val="20"/>
      </w:rPr>
      <w:t>10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22E41">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61D991A9" w14:textId="77777777" w:rsidR="00BB3B6C" w:rsidRDefault="00BB3B6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39D80B" w14:textId="77777777" w:rsidR="00BB3B6C" w:rsidRDefault="00BB3B6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22E4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22E41">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7522132E" w14:textId="77777777" w:rsidR="00BB3B6C" w:rsidRDefault="00BB3B6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E1704" w14:textId="77777777" w:rsidR="00C64E41" w:rsidRDefault="00C64E41">
      <w:r>
        <w:separator/>
      </w:r>
    </w:p>
  </w:footnote>
  <w:footnote w:type="continuationSeparator" w:id="0">
    <w:p w14:paraId="78F76889" w14:textId="77777777" w:rsidR="00C64E41" w:rsidRDefault="00C64E41">
      <w:r>
        <w:continuationSeparator/>
      </w:r>
    </w:p>
  </w:footnote>
  <w:footnote w:id="1">
    <w:p w14:paraId="6FF45BCC" w14:textId="77777777" w:rsidR="00BB3B6C" w:rsidRDefault="00BB3B6C">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C729661" w14:textId="77777777" w:rsidR="00BB3B6C" w:rsidRDefault="00BB3B6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F63D" w14:textId="77777777" w:rsidR="00BB3B6C" w:rsidRDefault="00BB3B6C">
    <w:pPr>
      <w:rPr>
        <w:rFonts w:ascii="Cambria" w:eastAsia="Cambria" w:hAnsi="Cambria" w:cs="Cambria"/>
        <w:color w:val="000000"/>
      </w:rPr>
    </w:pPr>
    <w:r>
      <w:rPr>
        <w:noProof/>
      </w:rPr>
      <w:drawing>
        <wp:anchor distT="0" distB="0" distL="0" distR="0" simplePos="0" relativeHeight="251658240" behindDoc="1" locked="0" layoutInCell="1" hidden="0" allowOverlap="1" wp14:anchorId="2AA97CA9" wp14:editId="432039FC">
          <wp:simplePos x="0" y="0"/>
          <wp:positionH relativeFrom="column">
            <wp:posOffset>-1080126</wp:posOffset>
          </wp:positionH>
          <wp:positionV relativeFrom="paragraph">
            <wp:posOffset>-488306</wp:posOffset>
          </wp:positionV>
          <wp:extent cx="7809865" cy="10165715"/>
          <wp:effectExtent l="0" t="0" r="0" b="0"/>
          <wp:wrapNone/>
          <wp:docPr id="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BB3B6C" w14:paraId="26292142" w14:textId="77777777">
      <w:tc>
        <w:tcPr>
          <w:tcW w:w="2489" w:type="dxa"/>
          <w:shd w:val="clear" w:color="auto" w:fill="auto"/>
        </w:tcPr>
        <w:p w14:paraId="067F6C30"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16621BC" w14:textId="413D8779" w:rsidR="00BB3B6C" w:rsidRDefault="00BB3B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06709INFOEM/IP/RR/2022</w:t>
          </w:r>
        </w:p>
      </w:tc>
    </w:tr>
    <w:tr w:rsidR="00BB3B6C" w14:paraId="071C94CD" w14:textId="77777777">
      <w:trPr>
        <w:trHeight w:val="228"/>
      </w:trPr>
      <w:tc>
        <w:tcPr>
          <w:tcW w:w="2489" w:type="dxa"/>
          <w:shd w:val="clear" w:color="auto" w:fill="auto"/>
          <w:vAlign w:val="center"/>
        </w:tcPr>
        <w:p w14:paraId="12EDB367"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4082267" w14:textId="236F7645" w:rsidR="00BB3B6C" w:rsidRDefault="00BB3B6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B3B6C" w14:paraId="042584C2" w14:textId="77777777">
      <w:tc>
        <w:tcPr>
          <w:tcW w:w="2489" w:type="dxa"/>
          <w:shd w:val="clear" w:color="auto" w:fill="auto"/>
          <w:vAlign w:val="center"/>
        </w:tcPr>
        <w:p w14:paraId="6E85259B" w14:textId="77777777" w:rsidR="00BB3B6C" w:rsidRDefault="00BB3B6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500A0CD" w14:textId="77777777" w:rsidR="00BB3B6C" w:rsidRDefault="00BB3B6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E62C75E" w14:textId="77777777" w:rsidR="00BB3B6C" w:rsidRDefault="00BB3B6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A1426" w14:textId="77777777" w:rsidR="00BB3B6C" w:rsidRDefault="00BB3B6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BB3B6C" w14:paraId="1016AE95" w14:textId="77777777">
      <w:tc>
        <w:tcPr>
          <w:tcW w:w="2551" w:type="dxa"/>
          <w:shd w:val="clear" w:color="auto" w:fill="auto"/>
          <w:vAlign w:val="center"/>
        </w:tcPr>
        <w:p w14:paraId="05D3CCCD"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9648388" w14:textId="21AA159C" w:rsidR="00BB3B6C" w:rsidRDefault="00BB3B6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06709/INFOEM/IP/RR/2022</w:t>
          </w:r>
        </w:p>
      </w:tc>
    </w:tr>
    <w:tr w:rsidR="00BB3B6C" w14:paraId="16E86E51" w14:textId="77777777">
      <w:trPr>
        <w:trHeight w:val="130"/>
      </w:trPr>
      <w:tc>
        <w:tcPr>
          <w:tcW w:w="2551" w:type="dxa"/>
          <w:shd w:val="clear" w:color="auto" w:fill="auto"/>
          <w:vAlign w:val="center"/>
        </w:tcPr>
        <w:p w14:paraId="51344A1E"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E0C3F62" w14:textId="77777777" w:rsidR="00BB3B6C" w:rsidRDefault="00BB3B6C">
          <w:pPr>
            <w:ind w:left="-45"/>
            <w:jc w:val="both"/>
            <w:rPr>
              <w:rFonts w:ascii="Palatino Linotype" w:eastAsia="Palatino Linotype" w:hAnsi="Palatino Linotype" w:cs="Palatino Linotype"/>
              <w:b/>
              <w:sz w:val="22"/>
              <w:szCs w:val="22"/>
            </w:rPr>
          </w:pPr>
        </w:p>
      </w:tc>
    </w:tr>
    <w:tr w:rsidR="00BB3B6C" w14:paraId="5D067706" w14:textId="77777777">
      <w:trPr>
        <w:trHeight w:val="228"/>
      </w:trPr>
      <w:tc>
        <w:tcPr>
          <w:tcW w:w="2551" w:type="dxa"/>
          <w:shd w:val="clear" w:color="auto" w:fill="auto"/>
          <w:vAlign w:val="center"/>
        </w:tcPr>
        <w:p w14:paraId="6DDCD97D"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C9075DD" w14:textId="4C6457EB" w:rsidR="00BB3B6C" w:rsidRDefault="00BB3B6C">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BB3B6C" w14:paraId="2EF5D38D" w14:textId="77777777">
      <w:tc>
        <w:tcPr>
          <w:tcW w:w="2551" w:type="dxa"/>
          <w:shd w:val="clear" w:color="auto" w:fill="auto"/>
          <w:vAlign w:val="center"/>
        </w:tcPr>
        <w:p w14:paraId="5C1115EB" w14:textId="77777777" w:rsidR="00BB3B6C" w:rsidRDefault="00BB3B6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682B210" w14:textId="77777777" w:rsidR="00BB3B6C" w:rsidRDefault="00BB3B6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C1837E" w14:textId="77777777" w:rsidR="00BB3B6C" w:rsidRDefault="00BB3B6C">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65D432D" wp14:editId="02E6EBE5">
          <wp:simplePos x="0" y="0"/>
          <wp:positionH relativeFrom="column">
            <wp:posOffset>-1089651</wp:posOffset>
          </wp:positionH>
          <wp:positionV relativeFrom="paragraph">
            <wp:posOffset>-1169661</wp:posOffset>
          </wp:positionV>
          <wp:extent cx="7809865" cy="10165715"/>
          <wp:effectExtent l="0" t="0" r="0" b="0"/>
          <wp:wrapNone/>
          <wp:docPr id="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3425"/>
    <w:multiLevelType w:val="hybridMultilevel"/>
    <w:tmpl w:val="5926786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
    <w:nsid w:val="1F14051F"/>
    <w:multiLevelType w:val="hybridMultilevel"/>
    <w:tmpl w:val="7612F006"/>
    <w:lvl w:ilvl="0" w:tplc="82206F20">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4A135F"/>
    <w:multiLevelType w:val="multilevel"/>
    <w:tmpl w:val="CD085D8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2FD77D6C"/>
    <w:multiLevelType w:val="hybridMultilevel"/>
    <w:tmpl w:val="59267860"/>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
    <w:nsid w:val="38844ECC"/>
    <w:multiLevelType w:val="multilevel"/>
    <w:tmpl w:val="3C90D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5DE5DE2"/>
    <w:multiLevelType w:val="hybridMultilevel"/>
    <w:tmpl w:val="DE0AC9AC"/>
    <w:lvl w:ilvl="0" w:tplc="7AA80D20">
      <w:numFmt w:val="bullet"/>
      <w:lvlText w:val="•"/>
      <w:lvlJc w:val="left"/>
      <w:pPr>
        <w:ind w:left="786" w:hanging="360"/>
      </w:pPr>
      <w:rPr>
        <w:rFonts w:ascii="Palatino Linotype" w:eastAsia="Times New Roman" w:hAnsi="Palatino Linotype" w:cs="Times New Roman"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nsid w:val="69273A7A"/>
    <w:multiLevelType w:val="hybridMultilevel"/>
    <w:tmpl w:val="5926786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77710B2B"/>
    <w:multiLevelType w:val="multilevel"/>
    <w:tmpl w:val="3A6CA8E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7"/>
  </w:num>
  <w:num w:numId="3">
    <w:abstractNumId w:val="6"/>
  </w:num>
  <w:num w:numId="4">
    <w:abstractNumId w:val="5"/>
  </w:num>
  <w:num w:numId="5">
    <w:abstractNumId w:val="0"/>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5A1"/>
    <w:rsid w:val="00000C88"/>
    <w:rsid w:val="00004756"/>
    <w:rsid w:val="00006C2F"/>
    <w:rsid w:val="00010DBA"/>
    <w:rsid w:val="000112DE"/>
    <w:rsid w:val="000431A8"/>
    <w:rsid w:val="000437AB"/>
    <w:rsid w:val="0004400E"/>
    <w:rsid w:val="000B645E"/>
    <w:rsid w:val="000B7725"/>
    <w:rsid w:val="001050AA"/>
    <w:rsid w:val="00115C02"/>
    <w:rsid w:val="001417C8"/>
    <w:rsid w:val="00160312"/>
    <w:rsid w:val="001701BF"/>
    <w:rsid w:val="00173EDE"/>
    <w:rsid w:val="001745FE"/>
    <w:rsid w:val="00197E54"/>
    <w:rsid w:val="001A2550"/>
    <w:rsid w:val="001B2D4D"/>
    <w:rsid w:val="001C06B5"/>
    <w:rsid w:val="001D529A"/>
    <w:rsid w:val="001E06BC"/>
    <w:rsid w:val="001E1652"/>
    <w:rsid w:val="001E3DFF"/>
    <w:rsid w:val="0022750F"/>
    <w:rsid w:val="00236E4E"/>
    <w:rsid w:val="002A249F"/>
    <w:rsid w:val="002B0ABC"/>
    <w:rsid w:val="002D0438"/>
    <w:rsid w:val="002F1214"/>
    <w:rsid w:val="0031466F"/>
    <w:rsid w:val="00320BA4"/>
    <w:rsid w:val="00322E41"/>
    <w:rsid w:val="00335A88"/>
    <w:rsid w:val="00340B81"/>
    <w:rsid w:val="00354581"/>
    <w:rsid w:val="003805A1"/>
    <w:rsid w:val="003A6F67"/>
    <w:rsid w:val="003E7E55"/>
    <w:rsid w:val="003F11AC"/>
    <w:rsid w:val="00411CF0"/>
    <w:rsid w:val="00416E94"/>
    <w:rsid w:val="004214ED"/>
    <w:rsid w:val="00434B31"/>
    <w:rsid w:val="0043543D"/>
    <w:rsid w:val="00435D91"/>
    <w:rsid w:val="00441D39"/>
    <w:rsid w:val="00473FDE"/>
    <w:rsid w:val="00475C05"/>
    <w:rsid w:val="004863D0"/>
    <w:rsid w:val="004B1881"/>
    <w:rsid w:val="005159FA"/>
    <w:rsid w:val="005266BD"/>
    <w:rsid w:val="005544A4"/>
    <w:rsid w:val="005778DE"/>
    <w:rsid w:val="005D0920"/>
    <w:rsid w:val="005F1524"/>
    <w:rsid w:val="00617A72"/>
    <w:rsid w:val="0064151E"/>
    <w:rsid w:val="00661FE0"/>
    <w:rsid w:val="006631C1"/>
    <w:rsid w:val="007053AE"/>
    <w:rsid w:val="00740140"/>
    <w:rsid w:val="00746EC0"/>
    <w:rsid w:val="007734F2"/>
    <w:rsid w:val="007A592F"/>
    <w:rsid w:val="007A61DC"/>
    <w:rsid w:val="007B35C6"/>
    <w:rsid w:val="007E762F"/>
    <w:rsid w:val="008107F9"/>
    <w:rsid w:val="0081711B"/>
    <w:rsid w:val="00846A7F"/>
    <w:rsid w:val="0085088F"/>
    <w:rsid w:val="008700AA"/>
    <w:rsid w:val="00881925"/>
    <w:rsid w:val="008855AD"/>
    <w:rsid w:val="0089022B"/>
    <w:rsid w:val="008B1C89"/>
    <w:rsid w:val="008E7384"/>
    <w:rsid w:val="00901C6A"/>
    <w:rsid w:val="00906703"/>
    <w:rsid w:val="00917A42"/>
    <w:rsid w:val="00926B68"/>
    <w:rsid w:val="00927BC3"/>
    <w:rsid w:val="00931827"/>
    <w:rsid w:val="009447AD"/>
    <w:rsid w:val="00952AEC"/>
    <w:rsid w:val="009C01CF"/>
    <w:rsid w:val="009C5BC9"/>
    <w:rsid w:val="009E10EE"/>
    <w:rsid w:val="009F2FEC"/>
    <w:rsid w:val="00A130F2"/>
    <w:rsid w:val="00A71DFD"/>
    <w:rsid w:val="00A84535"/>
    <w:rsid w:val="00AA7869"/>
    <w:rsid w:val="00AE1FF3"/>
    <w:rsid w:val="00AF2045"/>
    <w:rsid w:val="00B041EF"/>
    <w:rsid w:val="00B2723A"/>
    <w:rsid w:val="00B35706"/>
    <w:rsid w:val="00B3795A"/>
    <w:rsid w:val="00B37ED2"/>
    <w:rsid w:val="00B50B4E"/>
    <w:rsid w:val="00BA28C8"/>
    <w:rsid w:val="00BB3B6C"/>
    <w:rsid w:val="00BB5BBD"/>
    <w:rsid w:val="00BE4E13"/>
    <w:rsid w:val="00C07FE6"/>
    <w:rsid w:val="00C21458"/>
    <w:rsid w:val="00C3791C"/>
    <w:rsid w:val="00C5170B"/>
    <w:rsid w:val="00C60058"/>
    <w:rsid w:val="00C623E0"/>
    <w:rsid w:val="00C64E41"/>
    <w:rsid w:val="00C90D43"/>
    <w:rsid w:val="00CF1E79"/>
    <w:rsid w:val="00D45359"/>
    <w:rsid w:val="00D477BD"/>
    <w:rsid w:val="00D47C09"/>
    <w:rsid w:val="00D61963"/>
    <w:rsid w:val="00D671F9"/>
    <w:rsid w:val="00DC4D99"/>
    <w:rsid w:val="00DD244F"/>
    <w:rsid w:val="00DE0DFF"/>
    <w:rsid w:val="00DE1070"/>
    <w:rsid w:val="00E265EA"/>
    <w:rsid w:val="00E32D3E"/>
    <w:rsid w:val="00E81F68"/>
    <w:rsid w:val="00EB2B72"/>
    <w:rsid w:val="00EB46F5"/>
    <w:rsid w:val="00F22CE5"/>
    <w:rsid w:val="00F2747C"/>
    <w:rsid w:val="00F40593"/>
    <w:rsid w:val="00F61D63"/>
    <w:rsid w:val="00F8388F"/>
    <w:rsid w:val="00FA04FA"/>
    <w:rsid w:val="00FA402B"/>
    <w:rsid w:val="00FB64A0"/>
    <w:rsid w:val="00FD431B"/>
    <w:rsid w:val="00FD4673"/>
    <w:rsid w:val="00FF02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679A8B62"/>
  <w15:docId w15:val="{74BA7188-8ECB-4C97-81A3-6CDC92CE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top w:w="0" w:type="dxa"/>
        <w:left w:w="115" w:type="dxa"/>
        <w:bottom w:w="0" w:type="dxa"/>
        <w:right w:w="115" w:type="dxa"/>
      </w:tblCellMar>
    </w:tblPr>
  </w:style>
  <w:style w:type="table" w:customStyle="1" w:styleId="7">
    <w:name w:val="7"/>
    <w:basedOn w:val="TableNormal10"/>
    <w:tblPr>
      <w:tblStyleRowBandSize w:val="1"/>
      <w:tblStyleColBandSize w:val="1"/>
      <w:tblCellMar>
        <w:top w:w="0" w:type="dxa"/>
        <w:left w:w="115" w:type="dxa"/>
        <w:bottom w:w="0" w:type="dxa"/>
        <w:right w:w="115" w:type="dxa"/>
      </w:tblCellMar>
    </w:tblPr>
  </w:style>
  <w:style w:type="table" w:customStyle="1" w:styleId="6">
    <w:name w:val="6"/>
    <w:basedOn w:val="TableNormal20"/>
    <w:tblPr>
      <w:tblStyleRowBandSize w:val="1"/>
      <w:tblStyleColBandSize w:val="1"/>
      <w:tblCellMar>
        <w:top w:w="0" w:type="dxa"/>
        <w:left w:w="115" w:type="dxa"/>
        <w:bottom w:w="0" w:type="dxa"/>
        <w:right w:w="115" w:type="dxa"/>
      </w:tblCellMar>
    </w:tblPr>
  </w:style>
  <w:style w:type="table" w:customStyle="1" w:styleId="5">
    <w:name w:val="5"/>
    <w:basedOn w:val="TableNormal20"/>
    <w:tblPr>
      <w:tblStyleRowBandSize w:val="1"/>
      <w:tblStyleColBandSize w:val="1"/>
      <w:tblCellMar>
        <w:top w:w="0" w:type="dxa"/>
        <w:left w:w="115" w:type="dxa"/>
        <w:bottom w:w="0" w:type="dxa"/>
        <w:right w:w="115" w:type="dxa"/>
      </w:tblCellMar>
    </w:tblPr>
  </w:style>
  <w:style w:type="table" w:customStyle="1" w:styleId="4">
    <w:name w:val="4"/>
    <w:basedOn w:val="TableNormal30"/>
    <w:tblPr>
      <w:tblStyleRowBandSize w:val="1"/>
      <w:tblStyleColBandSize w:val="1"/>
      <w:tblCellMar>
        <w:top w:w="0" w:type="dxa"/>
        <w:left w:w="115" w:type="dxa"/>
        <w:bottom w:w="0" w:type="dxa"/>
        <w:right w:w="115" w:type="dxa"/>
      </w:tblCellMar>
    </w:tblPr>
  </w:style>
  <w:style w:type="table" w:customStyle="1" w:styleId="3">
    <w:name w:val="3"/>
    <w:basedOn w:val="TableNormal30"/>
    <w:tblPr>
      <w:tblStyleRowBandSize w:val="1"/>
      <w:tblStyleColBandSize w:val="1"/>
      <w:tblCellMar>
        <w:top w:w="0" w:type="dxa"/>
        <w:left w:w="115" w:type="dxa"/>
        <w:bottom w:w="0"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top w:w="0" w:type="dxa"/>
        <w:left w:w="115" w:type="dxa"/>
        <w:bottom w:w="0" w:type="dxa"/>
        <w:right w:w="115" w:type="dxa"/>
      </w:tblCellMar>
    </w:tblPr>
  </w:style>
  <w:style w:type="table" w:customStyle="1" w:styleId="1">
    <w:name w:val="1"/>
    <w:basedOn w:val="TableNormal4"/>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2"/>
    <w:tblPr>
      <w:tblStyleRowBandSize w:val="1"/>
      <w:tblStyleColBandSize w:val="1"/>
      <w:tblCellMar>
        <w:top w:w="0" w:type="dxa"/>
        <w:left w:w="115" w:type="dxa"/>
        <w:bottom w:w="0" w:type="dxa"/>
        <w:right w:w="115" w:type="dxa"/>
      </w:tblCellMar>
    </w:tblPr>
  </w:style>
  <w:style w:type="table" w:customStyle="1" w:styleId="a3">
    <w:basedOn w:val="TableNormal2"/>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a6">
    <w:basedOn w:val="TableNormal1"/>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973733">
      <w:bodyDiv w:val="1"/>
      <w:marLeft w:val="0"/>
      <w:marRight w:val="0"/>
      <w:marTop w:val="0"/>
      <w:marBottom w:val="0"/>
      <w:divBdr>
        <w:top w:val="none" w:sz="0" w:space="0" w:color="auto"/>
        <w:left w:val="none" w:sz="0" w:space="0" w:color="auto"/>
        <w:bottom w:val="none" w:sz="0" w:space="0" w:color="auto"/>
        <w:right w:val="none" w:sz="0" w:space="0" w:color="auto"/>
      </w:divBdr>
    </w:div>
    <w:div w:id="964966233">
      <w:bodyDiv w:val="1"/>
      <w:marLeft w:val="0"/>
      <w:marRight w:val="0"/>
      <w:marTop w:val="0"/>
      <w:marBottom w:val="0"/>
      <w:divBdr>
        <w:top w:val="none" w:sz="0" w:space="0" w:color="auto"/>
        <w:left w:val="none" w:sz="0" w:space="0" w:color="auto"/>
        <w:bottom w:val="none" w:sz="0" w:space="0" w:color="auto"/>
        <w:right w:val="none" w:sz="0" w:space="0" w:color="auto"/>
      </w:divBdr>
      <w:divsChild>
        <w:div w:id="451675052">
          <w:marLeft w:val="0"/>
          <w:marRight w:val="0"/>
          <w:marTop w:val="0"/>
          <w:marBottom w:val="82"/>
          <w:divBdr>
            <w:top w:val="none" w:sz="0" w:space="0" w:color="auto"/>
            <w:left w:val="none" w:sz="0" w:space="0" w:color="auto"/>
            <w:bottom w:val="none" w:sz="0" w:space="0" w:color="auto"/>
            <w:right w:val="none" w:sz="0" w:space="0" w:color="auto"/>
          </w:divBdr>
        </w:div>
        <w:div w:id="1535733567">
          <w:marLeft w:val="864"/>
          <w:marRight w:val="0"/>
          <w:marTop w:val="0"/>
          <w:marBottom w:val="82"/>
          <w:divBdr>
            <w:top w:val="none" w:sz="0" w:space="0" w:color="auto"/>
            <w:left w:val="none" w:sz="0" w:space="0" w:color="auto"/>
            <w:bottom w:val="none" w:sz="0" w:space="0" w:color="auto"/>
            <w:right w:val="none" w:sz="0" w:space="0" w:color="auto"/>
          </w:divBdr>
        </w:div>
        <w:div w:id="1762295368">
          <w:marLeft w:val="864"/>
          <w:marRight w:val="0"/>
          <w:marTop w:val="0"/>
          <w:marBottom w:val="82"/>
          <w:divBdr>
            <w:top w:val="none" w:sz="0" w:space="0" w:color="auto"/>
            <w:left w:val="none" w:sz="0" w:space="0" w:color="auto"/>
            <w:bottom w:val="none" w:sz="0" w:space="0" w:color="auto"/>
            <w:right w:val="none" w:sz="0" w:space="0" w:color="auto"/>
          </w:divBdr>
        </w:div>
        <w:div w:id="1206018262">
          <w:marLeft w:val="864"/>
          <w:marRight w:val="0"/>
          <w:marTop w:val="0"/>
          <w:marBottom w:val="82"/>
          <w:divBdr>
            <w:top w:val="none" w:sz="0" w:space="0" w:color="auto"/>
            <w:left w:val="none" w:sz="0" w:space="0" w:color="auto"/>
            <w:bottom w:val="none" w:sz="0" w:space="0" w:color="auto"/>
            <w:right w:val="none" w:sz="0" w:space="0" w:color="auto"/>
          </w:divBdr>
        </w:div>
        <w:div w:id="160780764">
          <w:marLeft w:val="864"/>
          <w:marRight w:val="0"/>
          <w:marTop w:val="0"/>
          <w:marBottom w:val="82"/>
          <w:divBdr>
            <w:top w:val="none" w:sz="0" w:space="0" w:color="auto"/>
            <w:left w:val="none" w:sz="0" w:space="0" w:color="auto"/>
            <w:bottom w:val="none" w:sz="0" w:space="0" w:color="auto"/>
            <w:right w:val="none" w:sz="0" w:space="0" w:color="auto"/>
          </w:divBdr>
        </w:div>
        <w:div w:id="1935018769">
          <w:marLeft w:val="864"/>
          <w:marRight w:val="0"/>
          <w:marTop w:val="0"/>
          <w:marBottom w:val="82"/>
          <w:divBdr>
            <w:top w:val="none" w:sz="0" w:space="0" w:color="auto"/>
            <w:left w:val="none" w:sz="0" w:space="0" w:color="auto"/>
            <w:bottom w:val="none" w:sz="0" w:space="0" w:color="auto"/>
            <w:right w:val="none" w:sz="0" w:space="0" w:color="auto"/>
          </w:divBdr>
        </w:div>
        <w:div w:id="283268708">
          <w:marLeft w:val="864"/>
          <w:marRight w:val="0"/>
          <w:marTop w:val="0"/>
          <w:marBottom w:val="82"/>
          <w:divBdr>
            <w:top w:val="none" w:sz="0" w:space="0" w:color="auto"/>
            <w:left w:val="none" w:sz="0" w:space="0" w:color="auto"/>
            <w:bottom w:val="none" w:sz="0" w:space="0" w:color="auto"/>
            <w:right w:val="none" w:sz="0" w:space="0" w:color="auto"/>
          </w:divBdr>
        </w:div>
        <w:div w:id="1339502573">
          <w:marLeft w:val="864"/>
          <w:marRight w:val="0"/>
          <w:marTop w:val="0"/>
          <w:marBottom w:val="82"/>
          <w:divBdr>
            <w:top w:val="none" w:sz="0" w:space="0" w:color="auto"/>
            <w:left w:val="none" w:sz="0" w:space="0" w:color="auto"/>
            <w:bottom w:val="none" w:sz="0" w:space="0" w:color="auto"/>
            <w:right w:val="none" w:sz="0" w:space="0" w:color="auto"/>
          </w:divBdr>
        </w:div>
        <w:div w:id="805899074">
          <w:marLeft w:val="864"/>
          <w:marRight w:val="0"/>
          <w:marTop w:val="0"/>
          <w:marBottom w:val="82"/>
          <w:divBdr>
            <w:top w:val="none" w:sz="0" w:space="0" w:color="auto"/>
            <w:left w:val="none" w:sz="0" w:space="0" w:color="auto"/>
            <w:bottom w:val="none" w:sz="0" w:space="0" w:color="auto"/>
            <w:right w:val="none" w:sz="0" w:space="0" w:color="auto"/>
          </w:divBdr>
        </w:div>
        <w:div w:id="1550921906">
          <w:marLeft w:val="864"/>
          <w:marRight w:val="0"/>
          <w:marTop w:val="0"/>
          <w:marBottom w:val="82"/>
          <w:divBdr>
            <w:top w:val="none" w:sz="0" w:space="0" w:color="auto"/>
            <w:left w:val="none" w:sz="0" w:space="0" w:color="auto"/>
            <w:bottom w:val="none" w:sz="0" w:space="0" w:color="auto"/>
            <w:right w:val="none" w:sz="0" w:space="0" w:color="auto"/>
          </w:divBdr>
        </w:div>
        <w:div w:id="1149903570">
          <w:marLeft w:val="864"/>
          <w:marRight w:val="0"/>
          <w:marTop w:val="0"/>
          <w:marBottom w:val="82"/>
          <w:divBdr>
            <w:top w:val="none" w:sz="0" w:space="0" w:color="auto"/>
            <w:left w:val="none" w:sz="0" w:space="0" w:color="auto"/>
            <w:bottom w:val="none" w:sz="0" w:space="0" w:color="auto"/>
            <w:right w:val="none" w:sz="0" w:space="0" w:color="auto"/>
          </w:divBdr>
        </w:div>
        <w:div w:id="1497766549">
          <w:marLeft w:val="864"/>
          <w:marRight w:val="0"/>
          <w:marTop w:val="0"/>
          <w:marBottom w:val="82"/>
          <w:divBdr>
            <w:top w:val="none" w:sz="0" w:space="0" w:color="auto"/>
            <w:left w:val="none" w:sz="0" w:space="0" w:color="auto"/>
            <w:bottom w:val="none" w:sz="0" w:space="0" w:color="auto"/>
            <w:right w:val="none" w:sz="0" w:space="0" w:color="auto"/>
          </w:divBdr>
        </w:div>
        <w:div w:id="1483424722">
          <w:marLeft w:val="0"/>
          <w:marRight w:val="0"/>
          <w:marTop w:val="0"/>
          <w:marBottom w:val="82"/>
          <w:divBdr>
            <w:top w:val="none" w:sz="0" w:space="0" w:color="auto"/>
            <w:left w:val="none" w:sz="0" w:space="0" w:color="auto"/>
            <w:bottom w:val="none" w:sz="0" w:space="0" w:color="auto"/>
            <w:right w:val="none" w:sz="0" w:space="0" w:color="auto"/>
          </w:divBdr>
        </w:div>
        <w:div w:id="1607301347">
          <w:marLeft w:val="0"/>
          <w:marRight w:val="0"/>
          <w:marTop w:val="0"/>
          <w:marBottom w:val="82"/>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oleObject" Target="embeddings/oleObject16.bin"/><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5.bin"/><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pbNWwjTOtl1KJkYFbBNb5PkeJA==">AMUW2mWcdFX+sH7vOMHSjKc+id9ynpWzxK3azFGoiEuwUU7tYB0KB3xOqrBk0sApvQWgtI32g4XK3EwzrdIrmdYq3k9XWcsmATynRDhZGafWa/gD18Q9Am5+R0NuTzA/wlndW6ALpozmESffuK7DNNKkwx4ypjJE9wLgpGx6/266xgLjUCKe1XNvgwOpMJoDSHBgVtnkhshJMDF769tJ60uW6bWvSg8bJBnHdEFGPhqCoW1Q8hvOOUp3VgHCZ630lpKaf5IgDSDGo1wGE5NoLZeEZ+82uLhR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13751</Words>
  <Characters>75632</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dcterms:created xsi:type="dcterms:W3CDTF">2022-09-27T18:23:00Z</dcterms:created>
  <dcterms:modified xsi:type="dcterms:W3CDTF">2022-09-27T18:23:00Z</dcterms:modified>
</cp:coreProperties>
</file>