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76442" w14:textId="75448C9B" w:rsidR="000C0FEC" w:rsidRPr="00145E1B" w:rsidRDefault="006D5803" w:rsidP="00D57651">
      <w:pPr>
        <w:shd w:val="clear" w:color="auto" w:fill="FFFFFF"/>
        <w:spacing w:after="0" w:line="360" w:lineRule="auto"/>
        <w:jc w:val="both"/>
        <w:rPr>
          <w:rFonts w:ascii="Palatino Linotype" w:eastAsia="Times New Roman" w:hAnsi="Palatino Linotype" w:cs="Arial"/>
          <w:color w:val="000000"/>
          <w:sz w:val="23"/>
          <w:szCs w:val="23"/>
          <w:lang w:eastAsia="es-MX"/>
        </w:rPr>
      </w:pPr>
      <w:r w:rsidRPr="00145E1B">
        <w:rPr>
          <w:rFonts w:ascii="Palatino Linotype" w:eastAsia="Times New Roman" w:hAnsi="Palatino Linotype" w:cs="Arial"/>
          <w:color w:val="000000"/>
          <w:sz w:val="23"/>
          <w:szCs w:val="23"/>
          <w:lang w:eastAsia="es-MX"/>
        </w:rPr>
        <w:t>Resolución del Pleno del Instituto de Transparencia, Acceso a la Información Pública y Protección de Datos Personales del Estado de México y Municipios, con domicilio en Metepec, Estado de México, a</w:t>
      </w:r>
      <w:r w:rsidR="00145E1B" w:rsidRPr="00145E1B">
        <w:rPr>
          <w:rFonts w:ascii="Palatino Linotype" w:eastAsia="Times New Roman" w:hAnsi="Palatino Linotype" w:cs="Arial"/>
          <w:color w:val="000000"/>
          <w:sz w:val="23"/>
          <w:szCs w:val="23"/>
          <w:lang w:eastAsia="es-MX"/>
        </w:rPr>
        <w:t xml:space="preserve"> dos de marzo de </w:t>
      </w:r>
      <w:r w:rsidR="00812314">
        <w:rPr>
          <w:rFonts w:ascii="Palatino Linotype" w:eastAsia="Times New Roman" w:hAnsi="Palatino Linotype" w:cs="Arial"/>
          <w:color w:val="000000"/>
          <w:sz w:val="23"/>
          <w:szCs w:val="23"/>
          <w:lang w:eastAsia="es-MX"/>
        </w:rPr>
        <w:t>tres</w:t>
      </w:r>
      <w:r w:rsidR="00145E1B" w:rsidRPr="00145E1B">
        <w:rPr>
          <w:rFonts w:ascii="Palatino Linotype" w:eastAsia="Times New Roman" w:hAnsi="Palatino Linotype" w:cs="Arial"/>
          <w:color w:val="000000"/>
          <w:sz w:val="23"/>
          <w:szCs w:val="23"/>
          <w:lang w:eastAsia="es-MX"/>
        </w:rPr>
        <w:t xml:space="preserve"> mil veintidós</w:t>
      </w:r>
      <w:r w:rsidR="001A5573" w:rsidRPr="00145E1B">
        <w:rPr>
          <w:rFonts w:ascii="Palatino Linotype" w:eastAsia="Times New Roman" w:hAnsi="Palatino Linotype" w:cs="Arial"/>
          <w:color w:val="000000"/>
          <w:sz w:val="23"/>
          <w:szCs w:val="23"/>
          <w:lang w:eastAsia="es-MX"/>
        </w:rPr>
        <w:t>.</w:t>
      </w:r>
    </w:p>
    <w:p w14:paraId="1042E075" w14:textId="04BDDA06" w:rsidR="006D5803" w:rsidRPr="00145E1B" w:rsidRDefault="006D5803" w:rsidP="00D57651">
      <w:pPr>
        <w:shd w:val="clear" w:color="auto" w:fill="FFFFFF"/>
        <w:spacing w:after="0" w:line="360" w:lineRule="auto"/>
        <w:jc w:val="both"/>
        <w:rPr>
          <w:rFonts w:ascii="Palatino Linotype" w:eastAsia="Times New Roman" w:hAnsi="Palatino Linotype" w:cs="Arial"/>
          <w:color w:val="000000"/>
          <w:sz w:val="23"/>
          <w:szCs w:val="23"/>
          <w:lang w:eastAsia="es-MX"/>
        </w:rPr>
      </w:pPr>
    </w:p>
    <w:p w14:paraId="3C07271E" w14:textId="75E81FA5" w:rsidR="001A5573" w:rsidRPr="00145E1B" w:rsidRDefault="006D5803" w:rsidP="00D57651">
      <w:pPr>
        <w:tabs>
          <w:tab w:val="left" w:pos="1701"/>
        </w:tabs>
        <w:spacing w:after="0" w:line="360" w:lineRule="auto"/>
        <w:jc w:val="both"/>
        <w:rPr>
          <w:rFonts w:ascii="Palatino Linotype" w:hAnsi="Palatino Linotype" w:cs="Arial"/>
          <w:sz w:val="23"/>
          <w:szCs w:val="23"/>
        </w:rPr>
      </w:pPr>
      <w:r w:rsidRPr="00145E1B">
        <w:rPr>
          <w:rFonts w:ascii="Palatino Linotype" w:hAnsi="Palatino Linotype" w:cs="Arial"/>
          <w:b/>
          <w:sz w:val="23"/>
          <w:szCs w:val="23"/>
        </w:rPr>
        <w:t>VISTO</w:t>
      </w:r>
      <w:r w:rsidRPr="00145E1B">
        <w:rPr>
          <w:rFonts w:ascii="Palatino Linotype" w:hAnsi="Palatino Linotype" w:cs="Arial"/>
          <w:sz w:val="23"/>
          <w:szCs w:val="23"/>
        </w:rPr>
        <w:t xml:space="preserve"> el expediente electrónico formado con motivo del recurso de revisión número </w:t>
      </w:r>
      <w:r w:rsidR="003A241D" w:rsidRPr="00145E1B">
        <w:rPr>
          <w:rFonts w:ascii="Palatino Linotype" w:hAnsi="Palatino Linotype" w:cs="Arial"/>
          <w:b/>
          <w:sz w:val="23"/>
          <w:szCs w:val="23"/>
        </w:rPr>
        <w:t>0</w:t>
      </w:r>
      <w:r w:rsidR="00145E1B">
        <w:rPr>
          <w:rFonts w:ascii="Palatino Linotype" w:hAnsi="Palatino Linotype" w:cs="Arial"/>
          <w:b/>
          <w:sz w:val="23"/>
          <w:szCs w:val="23"/>
        </w:rPr>
        <w:t>0405/INFOEM/IP/RR/2022</w:t>
      </w:r>
      <w:r w:rsidRPr="00145E1B">
        <w:rPr>
          <w:rFonts w:ascii="Palatino Linotype" w:hAnsi="Palatino Linotype" w:cs="Arial"/>
          <w:b/>
          <w:sz w:val="23"/>
          <w:szCs w:val="23"/>
        </w:rPr>
        <w:t xml:space="preserve">, </w:t>
      </w:r>
      <w:r w:rsidRPr="00145E1B">
        <w:rPr>
          <w:rFonts w:ascii="Palatino Linotype" w:hAnsi="Palatino Linotype" w:cs="Arial"/>
          <w:sz w:val="23"/>
          <w:szCs w:val="23"/>
        </w:rPr>
        <w:t>interpuesto por</w:t>
      </w:r>
      <w:r w:rsidR="00145E1B">
        <w:rPr>
          <w:rFonts w:ascii="Palatino Linotype" w:hAnsi="Palatino Linotype" w:cs="Arial"/>
          <w:sz w:val="23"/>
          <w:szCs w:val="23"/>
        </w:rPr>
        <w:t xml:space="preserve"> persona registrada como </w:t>
      </w:r>
      <w:r w:rsidR="00C56931">
        <w:rPr>
          <w:rFonts w:ascii="Palatino Linotype" w:hAnsi="Palatino Linotype" w:cs="Arial"/>
          <w:b/>
          <w:sz w:val="23"/>
          <w:szCs w:val="23"/>
        </w:rPr>
        <w:t>xxxx</w:t>
      </w:r>
      <w:r w:rsidR="001A5573" w:rsidRPr="00145E1B">
        <w:rPr>
          <w:rFonts w:ascii="Palatino Linotype" w:hAnsi="Palatino Linotype" w:cs="Arial"/>
          <w:b/>
          <w:bCs/>
          <w:sz w:val="23"/>
          <w:szCs w:val="23"/>
        </w:rPr>
        <w:t xml:space="preserve">, </w:t>
      </w:r>
      <w:r w:rsidR="001A5573" w:rsidRPr="00145E1B">
        <w:rPr>
          <w:rFonts w:ascii="Palatino Linotype" w:hAnsi="Palatino Linotype" w:cs="Arial"/>
          <w:sz w:val="23"/>
          <w:szCs w:val="23"/>
        </w:rPr>
        <w:t xml:space="preserve">en lo sucesivo </w:t>
      </w:r>
      <w:r w:rsidR="001A5573" w:rsidRPr="00145E1B">
        <w:rPr>
          <w:rFonts w:ascii="Palatino Linotype" w:hAnsi="Palatino Linotype" w:cs="Arial"/>
          <w:b/>
          <w:bCs/>
          <w:sz w:val="23"/>
          <w:szCs w:val="23"/>
        </w:rPr>
        <w:t xml:space="preserve">El Recurrente, </w:t>
      </w:r>
      <w:r w:rsidR="001A5573" w:rsidRPr="00145E1B">
        <w:rPr>
          <w:rFonts w:ascii="Palatino Linotype" w:hAnsi="Palatino Linotype" w:cs="Arial"/>
          <w:sz w:val="23"/>
          <w:szCs w:val="23"/>
        </w:rPr>
        <w:t>en con</w:t>
      </w:r>
      <w:r w:rsidR="00145E1B">
        <w:rPr>
          <w:rFonts w:ascii="Palatino Linotype" w:hAnsi="Palatino Linotype" w:cs="Arial"/>
          <w:sz w:val="23"/>
          <w:szCs w:val="23"/>
        </w:rPr>
        <w:t>tra de la</w:t>
      </w:r>
      <w:r w:rsidR="000461D6">
        <w:rPr>
          <w:rFonts w:ascii="Palatino Linotype" w:hAnsi="Palatino Linotype" w:cs="Arial"/>
          <w:sz w:val="23"/>
          <w:szCs w:val="23"/>
        </w:rPr>
        <w:t xml:space="preserve"> falta de</w:t>
      </w:r>
      <w:r w:rsidR="00145E1B">
        <w:rPr>
          <w:rFonts w:ascii="Palatino Linotype" w:hAnsi="Palatino Linotype" w:cs="Arial"/>
          <w:sz w:val="23"/>
          <w:szCs w:val="23"/>
        </w:rPr>
        <w:t xml:space="preserve"> respuesta del </w:t>
      </w:r>
      <w:r w:rsidR="00145E1B" w:rsidRPr="00145E1B">
        <w:rPr>
          <w:rFonts w:ascii="Palatino Linotype" w:hAnsi="Palatino Linotype" w:cs="Arial"/>
          <w:b/>
          <w:bCs/>
          <w:sz w:val="23"/>
          <w:szCs w:val="23"/>
        </w:rPr>
        <w:t>Ayuntamiento de Tepotzotlán</w:t>
      </w:r>
      <w:r w:rsidR="001A5573" w:rsidRPr="00145E1B">
        <w:rPr>
          <w:rFonts w:ascii="Palatino Linotype" w:hAnsi="Palatino Linotype" w:cs="Arial"/>
          <w:b/>
          <w:bCs/>
          <w:sz w:val="23"/>
          <w:szCs w:val="23"/>
        </w:rPr>
        <w:t xml:space="preserve">, </w:t>
      </w:r>
      <w:r w:rsidR="001A5573" w:rsidRPr="00145E1B">
        <w:rPr>
          <w:rFonts w:ascii="Palatino Linotype" w:hAnsi="Palatino Linotype" w:cs="Arial"/>
          <w:sz w:val="23"/>
          <w:szCs w:val="23"/>
        </w:rPr>
        <w:t xml:space="preserve">en lo sucesivo </w:t>
      </w:r>
      <w:r w:rsidR="001A5573" w:rsidRPr="00145E1B">
        <w:rPr>
          <w:rFonts w:ascii="Palatino Linotype" w:hAnsi="Palatino Linotype" w:cs="Arial"/>
          <w:b/>
          <w:bCs/>
          <w:sz w:val="23"/>
          <w:szCs w:val="23"/>
        </w:rPr>
        <w:t xml:space="preserve">El Sujeto Obligado, </w:t>
      </w:r>
      <w:r w:rsidR="001A5573" w:rsidRPr="00145E1B">
        <w:rPr>
          <w:rFonts w:ascii="Palatino Linotype" w:hAnsi="Palatino Linotype" w:cs="Arial"/>
          <w:sz w:val="23"/>
          <w:szCs w:val="23"/>
        </w:rPr>
        <w:t xml:space="preserve">se procede a dictar la presente resolución. </w:t>
      </w:r>
    </w:p>
    <w:p w14:paraId="0514452A" w14:textId="77777777" w:rsidR="001A5573" w:rsidRPr="00145E1B" w:rsidRDefault="001A5573" w:rsidP="00D57651">
      <w:pPr>
        <w:tabs>
          <w:tab w:val="left" w:pos="1701"/>
        </w:tabs>
        <w:spacing w:after="0" w:line="360" w:lineRule="auto"/>
        <w:jc w:val="both"/>
        <w:rPr>
          <w:rFonts w:ascii="Palatino Linotype" w:hAnsi="Palatino Linotype" w:cs="Arial"/>
        </w:rPr>
      </w:pPr>
    </w:p>
    <w:p w14:paraId="22CF085C" w14:textId="77777777" w:rsidR="006D5803" w:rsidRPr="00145E1B" w:rsidRDefault="006D5803" w:rsidP="00D57651">
      <w:pPr>
        <w:pStyle w:val="infoemcitas"/>
        <w:spacing w:before="0" w:after="0"/>
        <w:jc w:val="center"/>
        <w:rPr>
          <w:b/>
          <w:bCs/>
          <w:i w:val="0"/>
          <w:iCs/>
          <w:sz w:val="26"/>
          <w:szCs w:val="26"/>
        </w:rPr>
      </w:pPr>
      <w:r w:rsidRPr="00145E1B">
        <w:rPr>
          <w:b/>
          <w:bCs/>
          <w:i w:val="0"/>
          <w:iCs/>
          <w:sz w:val="26"/>
          <w:szCs w:val="26"/>
        </w:rPr>
        <w:t>A N T E C E D E N T E S   D E L   A S U N T O</w:t>
      </w:r>
    </w:p>
    <w:p w14:paraId="2ACAC2B0" w14:textId="77777777" w:rsidR="000C0FEC" w:rsidRPr="00145E1B" w:rsidRDefault="000C0FEC" w:rsidP="00D57651">
      <w:pPr>
        <w:pStyle w:val="infoemcitas"/>
        <w:spacing w:before="0" w:after="0"/>
        <w:jc w:val="center"/>
        <w:rPr>
          <w:b/>
          <w:bCs/>
          <w:i w:val="0"/>
          <w:iCs/>
          <w:szCs w:val="28"/>
        </w:rPr>
      </w:pPr>
    </w:p>
    <w:p w14:paraId="7B8068B7" w14:textId="77777777" w:rsidR="006D5803" w:rsidRPr="00852AB8" w:rsidRDefault="006D5803" w:rsidP="00D57651">
      <w:pPr>
        <w:spacing w:after="0" w:line="360" w:lineRule="auto"/>
        <w:jc w:val="both"/>
        <w:rPr>
          <w:rFonts w:ascii="Palatino Linotype" w:hAnsi="Palatino Linotype"/>
          <w:sz w:val="26"/>
          <w:szCs w:val="26"/>
        </w:rPr>
      </w:pPr>
      <w:r w:rsidRPr="00852AB8">
        <w:rPr>
          <w:rFonts w:ascii="Palatino Linotype" w:hAnsi="Palatino Linotype" w:cs="Arial"/>
          <w:b/>
          <w:sz w:val="26"/>
          <w:szCs w:val="26"/>
        </w:rPr>
        <w:t>PRIMERO.</w:t>
      </w:r>
      <w:r w:rsidRPr="00852AB8">
        <w:rPr>
          <w:rFonts w:ascii="Palatino Linotype" w:hAnsi="Palatino Linotype" w:cs="Arial"/>
          <w:sz w:val="26"/>
          <w:szCs w:val="26"/>
        </w:rPr>
        <w:t xml:space="preserve"> </w:t>
      </w:r>
      <w:r w:rsidRPr="00852AB8">
        <w:rPr>
          <w:rFonts w:ascii="Palatino Linotype" w:hAnsi="Palatino Linotype"/>
          <w:b/>
          <w:sz w:val="26"/>
          <w:szCs w:val="26"/>
        </w:rPr>
        <w:t>De la Solicitud de Información.</w:t>
      </w:r>
    </w:p>
    <w:p w14:paraId="5B80B191" w14:textId="291FD9E5" w:rsidR="001A5573" w:rsidRPr="00145E1B" w:rsidRDefault="006D5803" w:rsidP="00D57651">
      <w:pPr>
        <w:spacing w:after="0" w:line="360" w:lineRule="auto"/>
        <w:jc w:val="both"/>
        <w:rPr>
          <w:rFonts w:ascii="Palatino Linotype" w:hAnsi="Palatino Linotype" w:cs="Arial"/>
          <w:sz w:val="23"/>
          <w:szCs w:val="23"/>
        </w:rPr>
      </w:pPr>
      <w:r w:rsidRPr="00145E1B">
        <w:rPr>
          <w:rFonts w:ascii="Palatino Linotype" w:hAnsi="Palatino Linotype" w:cs="Arial"/>
          <w:sz w:val="23"/>
          <w:szCs w:val="23"/>
        </w:rPr>
        <w:t>Con fecha</w:t>
      </w:r>
      <w:r w:rsidR="00E138CC" w:rsidRPr="00145E1B">
        <w:rPr>
          <w:rFonts w:ascii="Palatino Linotype" w:hAnsi="Palatino Linotype" w:cs="Arial"/>
          <w:sz w:val="23"/>
          <w:szCs w:val="23"/>
        </w:rPr>
        <w:t xml:space="preserve"> </w:t>
      </w:r>
      <w:r w:rsidR="00852AB8">
        <w:rPr>
          <w:rFonts w:ascii="Palatino Linotype" w:hAnsi="Palatino Linotype" w:cs="Arial"/>
          <w:sz w:val="23"/>
          <w:szCs w:val="23"/>
        </w:rPr>
        <w:t xml:space="preserve">trece de diciembre </w:t>
      </w:r>
      <w:r w:rsidR="001A5573" w:rsidRPr="00145E1B">
        <w:rPr>
          <w:rFonts w:ascii="Palatino Linotype" w:hAnsi="Palatino Linotype" w:cs="Arial"/>
          <w:sz w:val="23"/>
          <w:szCs w:val="23"/>
        </w:rPr>
        <w:t xml:space="preserve">de dos mil veintiuno, </w:t>
      </w:r>
      <w:r w:rsidR="001A5573" w:rsidRPr="00145E1B">
        <w:rPr>
          <w:rFonts w:ascii="Palatino Linotype" w:hAnsi="Palatino Linotype" w:cs="Arial"/>
          <w:b/>
          <w:bCs/>
          <w:sz w:val="23"/>
          <w:szCs w:val="23"/>
        </w:rPr>
        <w:t xml:space="preserve">El Recurrente, </w:t>
      </w:r>
      <w:r w:rsidR="003A241D" w:rsidRPr="00145E1B">
        <w:rPr>
          <w:rFonts w:ascii="Palatino Linotype" w:hAnsi="Palatino Linotype" w:cs="Arial"/>
          <w:sz w:val="23"/>
          <w:szCs w:val="23"/>
        </w:rPr>
        <w:t>presentó a través del Sistema de Acceso de Información Mexiquense</w:t>
      </w:r>
      <w:r w:rsidR="000C0FEC" w:rsidRPr="00145E1B">
        <w:rPr>
          <w:rFonts w:ascii="Palatino Linotype" w:hAnsi="Palatino Linotype" w:cs="Arial"/>
          <w:sz w:val="23"/>
          <w:szCs w:val="23"/>
        </w:rPr>
        <w:t xml:space="preserve">, en lo sucesivo </w:t>
      </w:r>
      <w:r w:rsidR="000C0FEC" w:rsidRPr="00145E1B">
        <w:rPr>
          <w:rFonts w:ascii="Palatino Linotype" w:hAnsi="Palatino Linotype" w:cs="Arial"/>
          <w:b/>
          <w:sz w:val="23"/>
          <w:szCs w:val="23"/>
        </w:rPr>
        <w:t>SAIMEX,</w:t>
      </w:r>
      <w:r w:rsidR="003A241D" w:rsidRPr="00145E1B">
        <w:rPr>
          <w:rFonts w:ascii="Palatino Linotype" w:hAnsi="Palatino Linotype" w:cs="Arial"/>
          <w:sz w:val="23"/>
          <w:szCs w:val="23"/>
        </w:rPr>
        <w:t xml:space="preserve"> ante </w:t>
      </w:r>
      <w:r w:rsidR="003A241D" w:rsidRPr="00145E1B">
        <w:rPr>
          <w:rFonts w:ascii="Palatino Linotype" w:hAnsi="Palatino Linotype" w:cs="Arial"/>
          <w:b/>
          <w:sz w:val="23"/>
          <w:szCs w:val="23"/>
        </w:rPr>
        <w:t>El Sujeto Obligado</w:t>
      </w:r>
      <w:r w:rsidR="003A241D" w:rsidRPr="00145E1B">
        <w:rPr>
          <w:rFonts w:ascii="Palatino Linotype" w:hAnsi="Palatino Linotype" w:cs="Arial"/>
          <w:sz w:val="23"/>
          <w:szCs w:val="23"/>
        </w:rPr>
        <w:t>, solicitud de acceso a la información pública, registra</w:t>
      </w:r>
      <w:r w:rsidR="00852AB8">
        <w:rPr>
          <w:rFonts w:ascii="Palatino Linotype" w:hAnsi="Palatino Linotype" w:cs="Arial"/>
          <w:sz w:val="23"/>
          <w:szCs w:val="23"/>
        </w:rPr>
        <w:t>da bajo el número de expediente</w:t>
      </w:r>
      <w:r w:rsidR="00852AB8" w:rsidRPr="00852AB8">
        <w:rPr>
          <w:rFonts w:ascii="Palatino Linotype" w:hAnsi="Palatino Linotype" w:cs="Arial"/>
          <w:b/>
          <w:bCs/>
          <w:sz w:val="23"/>
          <w:szCs w:val="23"/>
        </w:rPr>
        <w:t xml:space="preserve"> 00245/TEPOTZOT/IP/2021</w:t>
      </w:r>
      <w:r w:rsidR="001A5573" w:rsidRPr="00145E1B">
        <w:rPr>
          <w:rFonts w:ascii="Palatino Linotype" w:hAnsi="Palatino Linotype" w:cs="Arial"/>
          <w:b/>
          <w:bCs/>
          <w:sz w:val="23"/>
          <w:szCs w:val="23"/>
        </w:rPr>
        <w:t xml:space="preserve">, </w:t>
      </w:r>
      <w:r w:rsidR="001A5573" w:rsidRPr="00145E1B">
        <w:rPr>
          <w:rFonts w:ascii="Palatino Linotype" w:hAnsi="Palatino Linotype" w:cs="Arial"/>
          <w:sz w:val="23"/>
          <w:szCs w:val="23"/>
        </w:rPr>
        <w:t xml:space="preserve">mediante la cual solicitó información en el tenor siguiente: </w:t>
      </w:r>
    </w:p>
    <w:p w14:paraId="3F9BAE28" w14:textId="77777777" w:rsidR="000C0FEC" w:rsidRPr="00145E1B" w:rsidRDefault="000C0FEC" w:rsidP="00D57651">
      <w:pPr>
        <w:spacing w:after="0" w:line="360" w:lineRule="auto"/>
        <w:jc w:val="both"/>
        <w:rPr>
          <w:rFonts w:ascii="Palatino Linotype" w:hAnsi="Palatino Linotype" w:cs="Arial"/>
          <w:sz w:val="20"/>
        </w:rPr>
      </w:pPr>
    </w:p>
    <w:p w14:paraId="6C7F95B2" w14:textId="68556877" w:rsidR="001A5573" w:rsidRPr="00145E1B" w:rsidRDefault="001A5573" w:rsidP="000461D6">
      <w:pPr>
        <w:pStyle w:val="Citas"/>
        <w:spacing w:before="0" w:after="0" w:line="240" w:lineRule="auto"/>
        <w:ind w:left="567" w:right="567"/>
        <w:rPr>
          <w:b/>
          <w:bCs/>
          <w:sz w:val="21"/>
          <w:szCs w:val="21"/>
        </w:rPr>
      </w:pPr>
      <w:r w:rsidRPr="00145E1B">
        <w:rPr>
          <w:sz w:val="21"/>
          <w:szCs w:val="21"/>
        </w:rPr>
        <w:t>“</w:t>
      </w:r>
      <w:r w:rsidR="00852AB8" w:rsidRPr="00852AB8">
        <w:rPr>
          <w:sz w:val="21"/>
          <w:szCs w:val="21"/>
        </w:rPr>
        <w:t xml:space="preserve">de ANA LAURA GONZALEZ , SINDICO MUNICIPAL, ME PROPORCIONE EL NUMERO DE EXPEDIENTE QUE SE INTEGRE POR LA INVESTIGACIÓN DE ENCUBRIMIENTO POR PARTE DEL CONTRALOR MUNICIPAL ROBERTO AGUIRRE SOLIS, QUIEN ADEMAS NO ESTA CERTIFICADO, HACIA IVAN LEE SANCHEZ, QUIEN NO TUVO LA CAPACIDAD DE LLEVAR ACABO LOS PROCEDIMIENTOS DE RESPONSABILIDAD ADMINISTRATIVA Y EN CONSECUENCIA DEJO IMPUNE LA FALTAS COMETIDAS POR LOS SERVIDORES PUBLICOS, COMO EL MISMO CONTRALOR LO INFORMA AL DECIR QUE SE RADICARON 258 EXPEDIENTES Y SOLO TURNO AL LICENCIADO RESOLUTOR 26 EXPEDIENTES. ADEMAS DE QUE LOS OFICIOS SON DE MESES POSTERIORES DE FECHARLOS A QUE SE RECIBIERAN PARA RESOLUCIÓN. COMETIENDO CON ELLO EL SUBSTANCIADOR TAMBIÉN ENCUBRIMIENTO HACIA LOS </w:t>
      </w:r>
      <w:r w:rsidR="00852AB8" w:rsidRPr="00852AB8">
        <w:rPr>
          <w:sz w:val="21"/>
          <w:szCs w:val="21"/>
        </w:rPr>
        <w:lastRenderedPageBreak/>
        <w:t>INFRACTORES. LO QUE PRUEBO CON LOS OFICIOS QUE ADJUNTO, COMO LO INFORMA SIETE DE ELLOS SON POR DAÑO A LA HACIENDA PUBLICA Y ESOS NO FUERON PASADOS PARA YA QUE SE RESOLVIERAN, EL CONTRALOR AL RECIBIR LOS INFORMES MENSUALES NUNCA LO SUPERVISO O PEOR AUN DESCONOCE CUAL ES SU FUNCIÓN, DE NO INICIAR PROCEDIMIENTO COMO SINDICO MUNICIPAL SE CONVERTIRÁ TAMBIÉN EN ENCUBRIDORA DEL CONTRALOR Y SERA MOTIVO DE REMITIR MI DENUNCIA A LA CONTRALORIA DE LOS DIPUTADOS, PARA QUE CONOZCAN DE SU OMISIÓN. DE IVAN LEE SANCHEZ , SOLICITO ACREDITE CON FORME A LA LEY REGLAMENTARIA DEL ARTÍCULO 5° CONSTITUCIONAL, QUE TIENE LA AUTORIZACIÓN PROVISIONAL PARA EJERCER COMO PASANTE EN DERECHO. YA QUE DE NO CONTAR CON ELLA ESTA COMETIENDO USURPACIÓN DE PROFESIÓN AL FIRMAR COMO PASANTE EN DERECHO, Y SE TENDRÁ QUE DAR VISTA A LA FISCALIA. DEL PRESIDENTE MUNICIPAL INFORME EL MOTIVO POR EL CUAL SEÑALO EN LA SOLICITUD DE INFORMACIÓN 199 QUE NO HABÍA NINGÚN PROBLEMA CON EL SUBSTANCIADOR CUANDO NO DIO INFORMACIÓN A LO SOLICITADO Y AQUÍ LE ADJUNTO LAS PRUEBAS DE QUE ENCUBRIÓ A LOS MALOS TRABAJADORES, USTED SIEMPRE HA SIDO UN H</w:t>
      </w:r>
      <w:r w:rsidR="00852AB8">
        <w:rPr>
          <w:sz w:val="21"/>
          <w:szCs w:val="21"/>
        </w:rPr>
        <w:t>OMBRE TRABAJADOR Y TRANSPARENTE</w:t>
      </w:r>
      <w:r w:rsidRPr="00852AB8">
        <w:rPr>
          <w:sz w:val="21"/>
          <w:szCs w:val="21"/>
        </w:rPr>
        <w:t xml:space="preserve">” </w:t>
      </w:r>
      <w:r w:rsidRPr="00852AB8">
        <w:rPr>
          <w:bCs/>
          <w:sz w:val="21"/>
          <w:szCs w:val="21"/>
        </w:rPr>
        <w:t>[Sic]</w:t>
      </w:r>
      <w:r w:rsidRPr="00145E1B">
        <w:rPr>
          <w:b/>
          <w:bCs/>
          <w:sz w:val="21"/>
          <w:szCs w:val="21"/>
        </w:rPr>
        <w:t xml:space="preserve"> </w:t>
      </w:r>
    </w:p>
    <w:p w14:paraId="527514AA" w14:textId="77777777" w:rsidR="000C0FEC" w:rsidRPr="00145E1B" w:rsidRDefault="000C0FEC" w:rsidP="00D57651">
      <w:pPr>
        <w:pStyle w:val="Citas"/>
        <w:spacing w:before="0" w:after="0"/>
        <w:rPr>
          <w:b/>
          <w:bCs/>
        </w:rPr>
      </w:pPr>
    </w:p>
    <w:p w14:paraId="284BBE4E" w14:textId="26A8168D" w:rsidR="006D5803" w:rsidRDefault="006D5803" w:rsidP="00D57651">
      <w:pPr>
        <w:spacing w:after="0" w:line="360" w:lineRule="auto"/>
        <w:ind w:right="850"/>
        <w:jc w:val="both"/>
        <w:rPr>
          <w:rFonts w:ascii="Palatino Linotype" w:eastAsia="Times New Roman" w:hAnsi="Palatino Linotype" w:cs="Times New Roman"/>
          <w:sz w:val="23"/>
          <w:szCs w:val="23"/>
          <w:lang w:val="es-ES_tradnl" w:eastAsia="es-ES"/>
        </w:rPr>
      </w:pPr>
      <w:r w:rsidRPr="00145E1B">
        <w:rPr>
          <w:rFonts w:ascii="Palatino Linotype" w:eastAsia="Times New Roman" w:hAnsi="Palatino Linotype" w:cs="Times New Roman"/>
          <w:b/>
          <w:sz w:val="23"/>
          <w:szCs w:val="23"/>
          <w:lang w:val="es-ES_tradnl" w:eastAsia="es-ES"/>
        </w:rPr>
        <w:t>Modalidad de entrega:</w:t>
      </w:r>
      <w:r w:rsidRPr="00145E1B">
        <w:rPr>
          <w:rFonts w:ascii="Palatino Linotype" w:eastAsia="Times New Roman" w:hAnsi="Palatino Linotype" w:cs="Times New Roman"/>
          <w:sz w:val="23"/>
          <w:szCs w:val="23"/>
          <w:lang w:val="es-ES_tradnl" w:eastAsia="es-ES"/>
        </w:rPr>
        <w:t xml:space="preserve"> A través del </w:t>
      </w:r>
      <w:r w:rsidRPr="00145E1B">
        <w:rPr>
          <w:rFonts w:ascii="Palatino Linotype" w:eastAsia="Times New Roman" w:hAnsi="Palatino Linotype" w:cs="Times New Roman"/>
          <w:b/>
          <w:sz w:val="23"/>
          <w:szCs w:val="23"/>
          <w:lang w:val="es-ES_tradnl" w:eastAsia="es-ES"/>
        </w:rPr>
        <w:t>SAIMEX</w:t>
      </w:r>
      <w:r w:rsidR="000461D6">
        <w:rPr>
          <w:rFonts w:ascii="Palatino Linotype" w:eastAsia="Times New Roman" w:hAnsi="Palatino Linotype" w:cs="Times New Roman"/>
          <w:sz w:val="23"/>
          <w:szCs w:val="23"/>
          <w:lang w:val="es-ES_tradnl" w:eastAsia="es-ES"/>
        </w:rPr>
        <w:t>.</w:t>
      </w:r>
    </w:p>
    <w:p w14:paraId="28DFA420" w14:textId="77777777" w:rsidR="000461D6" w:rsidRDefault="000461D6" w:rsidP="00D57651">
      <w:pPr>
        <w:spacing w:after="0" w:line="360" w:lineRule="auto"/>
        <w:ind w:right="850"/>
        <w:jc w:val="both"/>
        <w:rPr>
          <w:rFonts w:ascii="Palatino Linotype" w:eastAsia="Times New Roman" w:hAnsi="Palatino Linotype" w:cs="Times New Roman"/>
          <w:sz w:val="23"/>
          <w:szCs w:val="23"/>
          <w:lang w:val="es-ES_tradnl" w:eastAsia="es-ES"/>
        </w:rPr>
      </w:pPr>
    </w:p>
    <w:p w14:paraId="1975D82C" w14:textId="7E6DB7CA" w:rsidR="000461D6" w:rsidRPr="00145E1B" w:rsidRDefault="000461D6" w:rsidP="000461D6">
      <w:pPr>
        <w:spacing w:after="0" w:line="360" w:lineRule="auto"/>
        <w:jc w:val="both"/>
        <w:rPr>
          <w:rFonts w:ascii="Palatino Linotype" w:eastAsia="Times New Roman" w:hAnsi="Palatino Linotype" w:cs="Times New Roman"/>
          <w:sz w:val="23"/>
          <w:szCs w:val="23"/>
          <w:lang w:val="es-ES_tradnl" w:eastAsia="es-ES"/>
        </w:rPr>
      </w:pPr>
      <w:r>
        <w:rPr>
          <w:rFonts w:ascii="Palatino Linotype" w:eastAsia="Times New Roman" w:hAnsi="Palatino Linotype" w:cs="Times New Roman"/>
          <w:sz w:val="23"/>
          <w:szCs w:val="23"/>
          <w:lang w:val="es-ES_tradnl" w:eastAsia="es-ES"/>
        </w:rPr>
        <w:t xml:space="preserve">Corre adjunto a la solicitud anterior, el archivo electrónico denominado: </w:t>
      </w:r>
      <w:r w:rsidRPr="00AF0067">
        <w:rPr>
          <w:rFonts w:ascii="Palatino Linotype" w:eastAsia="Times New Roman" w:hAnsi="Palatino Linotype" w:cs="Times New Roman"/>
          <w:i/>
          <w:sz w:val="23"/>
          <w:szCs w:val="23"/>
          <w:lang w:val="es-ES_tradnl" w:eastAsia="es-ES"/>
        </w:rPr>
        <w:t>“T autoridad substanciadora a autoridad resolutora_page-0001.jpg”</w:t>
      </w:r>
      <w:r>
        <w:rPr>
          <w:rFonts w:ascii="Palatino Linotype" w:eastAsia="Times New Roman" w:hAnsi="Palatino Linotype" w:cs="Times New Roman"/>
          <w:sz w:val="23"/>
          <w:szCs w:val="23"/>
          <w:lang w:val="es-ES_tradnl" w:eastAsia="es-ES"/>
        </w:rPr>
        <w:t>, del cual se desprende el oficio número CIM/TEP/AS/048/2020, de fecha treinta de octubre de dos mil veinte</w:t>
      </w:r>
      <w:r w:rsidR="00311616">
        <w:rPr>
          <w:rFonts w:ascii="Palatino Linotype" w:eastAsia="Times New Roman" w:hAnsi="Palatino Linotype" w:cs="Times New Roman"/>
          <w:sz w:val="23"/>
          <w:szCs w:val="23"/>
          <w:lang w:val="es-ES_tradnl" w:eastAsia="es-ES"/>
        </w:rPr>
        <w:t>,</w:t>
      </w:r>
      <w:r>
        <w:rPr>
          <w:rFonts w:ascii="Palatino Linotype" w:eastAsia="Times New Roman" w:hAnsi="Palatino Linotype" w:cs="Times New Roman"/>
          <w:sz w:val="23"/>
          <w:szCs w:val="23"/>
          <w:lang w:val="es-ES_tradnl" w:eastAsia="es-ES"/>
        </w:rPr>
        <w:t xml:space="preserve"> signado</w:t>
      </w:r>
      <w:r w:rsidR="00311616">
        <w:rPr>
          <w:rFonts w:ascii="Palatino Linotype" w:eastAsia="Times New Roman" w:hAnsi="Palatino Linotype" w:cs="Times New Roman"/>
          <w:sz w:val="23"/>
          <w:szCs w:val="23"/>
          <w:lang w:val="es-ES_tradnl" w:eastAsia="es-ES"/>
        </w:rPr>
        <w:t xml:space="preserve"> por la Autoridad S</w:t>
      </w:r>
      <w:r>
        <w:rPr>
          <w:rFonts w:ascii="Palatino Linotype" w:eastAsia="Times New Roman" w:hAnsi="Palatino Linotype" w:cs="Times New Roman"/>
          <w:sz w:val="23"/>
          <w:szCs w:val="23"/>
          <w:lang w:val="es-ES_tradnl" w:eastAsia="es-ES"/>
        </w:rPr>
        <w:t xml:space="preserve">ubstanciadora </w:t>
      </w:r>
      <w:r w:rsidR="00311616">
        <w:rPr>
          <w:rFonts w:ascii="Palatino Linotype" w:eastAsia="Times New Roman" w:hAnsi="Palatino Linotype" w:cs="Times New Roman"/>
          <w:sz w:val="23"/>
          <w:szCs w:val="23"/>
          <w:lang w:val="es-ES_tradnl" w:eastAsia="es-ES"/>
        </w:rPr>
        <w:t>adscrita a la Contraloría Interna del Ayuntamiento de Tepotzotlán, Estado de México, a través de la cual remite expediente constante de 40 fojas útiles, derivado de la presentación extemporánea en la declaración de situación patrimonial y de interese inicial, para la emisión de la resolución correspondiente.</w:t>
      </w:r>
    </w:p>
    <w:p w14:paraId="70A69951" w14:textId="77777777" w:rsidR="000C0FEC" w:rsidRPr="00145E1B" w:rsidRDefault="000C0FEC" w:rsidP="00D57651">
      <w:pPr>
        <w:spacing w:after="0" w:line="360" w:lineRule="auto"/>
        <w:ind w:right="850"/>
        <w:jc w:val="both"/>
        <w:rPr>
          <w:rFonts w:ascii="Palatino Linotype" w:eastAsia="Times New Roman" w:hAnsi="Palatino Linotype" w:cs="Times New Roman"/>
          <w:sz w:val="23"/>
          <w:szCs w:val="23"/>
          <w:lang w:val="es-ES_tradnl" w:eastAsia="es-ES"/>
        </w:rPr>
      </w:pPr>
    </w:p>
    <w:p w14:paraId="7CD08A2D" w14:textId="16024246" w:rsidR="006D5803" w:rsidRPr="00852AB8" w:rsidRDefault="006D5803" w:rsidP="00D57651">
      <w:pPr>
        <w:spacing w:after="0" w:line="360" w:lineRule="auto"/>
        <w:jc w:val="both"/>
        <w:rPr>
          <w:rFonts w:ascii="Palatino Linotype" w:hAnsi="Palatino Linotype" w:cs="Arial"/>
          <w:b/>
          <w:sz w:val="26"/>
          <w:szCs w:val="26"/>
        </w:rPr>
      </w:pPr>
      <w:r w:rsidRPr="00852AB8">
        <w:rPr>
          <w:rFonts w:ascii="Palatino Linotype" w:hAnsi="Palatino Linotype" w:cs="Arial"/>
          <w:b/>
          <w:sz w:val="26"/>
          <w:szCs w:val="26"/>
        </w:rPr>
        <w:t xml:space="preserve">SEGUNDO. De la </w:t>
      </w:r>
      <w:r w:rsidR="000461D6">
        <w:rPr>
          <w:rFonts w:ascii="Palatino Linotype" w:hAnsi="Palatino Linotype" w:cs="Arial"/>
          <w:b/>
          <w:sz w:val="26"/>
          <w:szCs w:val="26"/>
        </w:rPr>
        <w:t xml:space="preserve">falta de respuesta </w:t>
      </w:r>
      <w:r w:rsidRPr="00852AB8">
        <w:rPr>
          <w:rFonts w:ascii="Palatino Linotype" w:hAnsi="Palatino Linotype" w:cs="Arial"/>
          <w:b/>
          <w:sz w:val="26"/>
          <w:szCs w:val="26"/>
        </w:rPr>
        <w:t>del Sujeto Obligado.</w:t>
      </w:r>
    </w:p>
    <w:p w14:paraId="5E565883" w14:textId="77777777" w:rsidR="00311616" w:rsidRDefault="00311616" w:rsidP="00A04CA5">
      <w:pPr>
        <w:spacing w:after="0" w:line="276" w:lineRule="auto"/>
        <w:jc w:val="both"/>
        <w:rPr>
          <w:rFonts w:ascii="Palatino Linotype" w:hAnsi="Palatino Linotype" w:cs="Arial"/>
          <w:sz w:val="23"/>
          <w:szCs w:val="23"/>
        </w:rPr>
      </w:pPr>
      <w:r w:rsidRPr="00311616">
        <w:rPr>
          <w:rFonts w:ascii="Palatino Linotype" w:hAnsi="Palatino Linotype" w:cs="Arial"/>
          <w:sz w:val="23"/>
          <w:szCs w:val="23"/>
        </w:rPr>
        <w:t>De las constancias que obran en el Sistema de Acceso a la Información Mexiquense (SAIMEX), se advierte que el Sujeto Obligado no dio respuesta a la solicitud de información, como se muestra en la siguiente imagen:</w:t>
      </w:r>
    </w:p>
    <w:p w14:paraId="41DDA9E6" w14:textId="77777777" w:rsidR="00311616" w:rsidRDefault="00311616" w:rsidP="00A04CA5">
      <w:pPr>
        <w:spacing w:after="0" w:line="276" w:lineRule="auto"/>
        <w:jc w:val="both"/>
        <w:rPr>
          <w:rFonts w:ascii="Palatino Linotype" w:hAnsi="Palatino Linotype" w:cs="Arial"/>
          <w:sz w:val="23"/>
          <w:szCs w:val="23"/>
        </w:rPr>
      </w:pPr>
    </w:p>
    <w:p w14:paraId="6FCBB92A" w14:textId="2CBB19DF" w:rsidR="00311616" w:rsidRDefault="00C56931" w:rsidP="00A04CA5">
      <w:pPr>
        <w:spacing w:after="0" w:line="276" w:lineRule="auto"/>
        <w:jc w:val="both"/>
        <w:rPr>
          <w:rFonts w:ascii="Palatino Linotype" w:hAnsi="Palatino Linotype" w:cs="Arial"/>
          <w:sz w:val="23"/>
          <w:szCs w:val="23"/>
        </w:rPr>
      </w:pPr>
      <w:r>
        <w:rPr>
          <w:rFonts w:ascii="Palatino Linotype" w:hAnsi="Palatino Linotype" w:cs="Arial"/>
          <w:noProof/>
          <w:sz w:val="23"/>
          <w:szCs w:val="23"/>
          <w:lang w:eastAsia="es-MX"/>
        </w:rPr>
        <w:lastRenderedPageBreak/>
        <w:drawing>
          <wp:inline distT="0" distB="0" distL="0" distR="0" wp14:anchorId="573A3ACD" wp14:editId="6829F579">
            <wp:extent cx="5753100" cy="2876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76550"/>
                    </a:xfrm>
                    <a:prstGeom prst="rect">
                      <a:avLst/>
                    </a:prstGeom>
                    <a:noFill/>
                    <a:ln>
                      <a:noFill/>
                    </a:ln>
                  </pic:spPr>
                </pic:pic>
              </a:graphicData>
            </a:graphic>
          </wp:inline>
        </w:drawing>
      </w:r>
    </w:p>
    <w:p w14:paraId="38464A02" w14:textId="77777777" w:rsidR="00311616" w:rsidRPr="00B61B70" w:rsidRDefault="00311616" w:rsidP="00A04CA5">
      <w:pPr>
        <w:spacing w:after="0" w:line="276" w:lineRule="auto"/>
        <w:jc w:val="both"/>
        <w:rPr>
          <w:rFonts w:ascii="Palatino Linotype" w:hAnsi="Palatino Linotype"/>
          <w:sz w:val="24"/>
          <w:szCs w:val="24"/>
        </w:rPr>
      </w:pPr>
    </w:p>
    <w:p w14:paraId="2026E400" w14:textId="7BBF57AC" w:rsidR="006D5803" w:rsidRPr="00852AB8" w:rsidRDefault="00B61B70" w:rsidP="00D57651">
      <w:pPr>
        <w:spacing w:after="0" w:line="360" w:lineRule="auto"/>
        <w:jc w:val="both"/>
        <w:rPr>
          <w:rFonts w:ascii="Palatino Linotype" w:hAnsi="Palatino Linotype" w:cs="Arial"/>
          <w:b/>
          <w:sz w:val="26"/>
          <w:szCs w:val="26"/>
        </w:rPr>
      </w:pPr>
      <w:r>
        <w:rPr>
          <w:rFonts w:ascii="Palatino Linotype" w:hAnsi="Palatino Linotype" w:cs="Arial"/>
          <w:b/>
          <w:sz w:val="26"/>
          <w:szCs w:val="26"/>
        </w:rPr>
        <w:t>TERCERO</w:t>
      </w:r>
      <w:r w:rsidR="00AF0067" w:rsidRPr="00852AB8">
        <w:rPr>
          <w:rFonts w:ascii="Palatino Linotype" w:hAnsi="Palatino Linotype" w:cs="Arial"/>
          <w:b/>
          <w:sz w:val="26"/>
          <w:szCs w:val="26"/>
        </w:rPr>
        <w:t>.</w:t>
      </w:r>
      <w:r w:rsidR="00AF0067">
        <w:rPr>
          <w:rFonts w:ascii="Palatino Linotype" w:hAnsi="Palatino Linotype" w:cs="Arial"/>
          <w:b/>
          <w:sz w:val="26"/>
          <w:szCs w:val="26"/>
        </w:rPr>
        <w:t xml:space="preserve"> </w:t>
      </w:r>
      <w:r w:rsidR="006D5803" w:rsidRPr="00852AB8">
        <w:rPr>
          <w:rFonts w:ascii="Palatino Linotype" w:hAnsi="Palatino Linotype"/>
          <w:b/>
          <w:sz w:val="26"/>
          <w:szCs w:val="26"/>
        </w:rPr>
        <w:t>Del recurso de revisión.</w:t>
      </w:r>
    </w:p>
    <w:p w14:paraId="47B4AC44" w14:textId="57456FA3" w:rsidR="001A5573" w:rsidRPr="00DE343C" w:rsidRDefault="006D5803" w:rsidP="00DE343C">
      <w:pPr>
        <w:spacing w:after="0" w:line="360" w:lineRule="auto"/>
        <w:jc w:val="both"/>
        <w:rPr>
          <w:rFonts w:ascii="Palatino Linotype" w:hAnsi="Palatino Linotype" w:cs="Arial"/>
          <w:sz w:val="23"/>
          <w:szCs w:val="23"/>
        </w:rPr>
      </w:pPr>
      <w:r w:rsidRPr="00DE343C">
        <w:rPr>
          <w:rFonts w:ascii="Palatino Linotype" w:hAnsi="Palatino Linotype" w:cs="Arial"/>
          <w:sz w:val="23"/>
          <w:szCs w:val="23"/>
        </w:rPr>
        <w:t xml:space="preserve">Inconforme con la </w:t>
      </w:r>
      <w:r w:rsidR="00D57651" w:rsidRPr="00DE343C">
        <w:rPr>
          <w:rFonts w:ascii="Palatino Linotype" w:hAnsi="Palatino Linotype" w:cs="Arial"/>
          <w:sz w:val="23"/>
          <w:szCs w:val="23"/>
        </w:rPr>
        <w:t>respuesta del</w:t>
      </w:r>
      <w:r w:rsidRPr="00DE343C">
        <w:rPr>
          <w:rFonts w:ascii="Palatino Linotype" w:hAnsi="Palatino Linotype" w:cs="Arial"/>
          <w:b/>
          <w:sz w:val="23"/>
          <w:szCs w:val="23"/>
        </w:rPr>
        <w:t xml:space="preserve"> Sujeto Obligado, </w:t>
      </w:r>
      <w:r w:rsidR="005B1C46" w:rsidRPr="00DE343C">
        <w:rPr>
          <w:rFonts w:ascii="Palatino Linotype" w:hAnsi="Palatino Linotype" w:cs="Arial"/>
          <w:b/>
          <w:sz w:val="23"/>
          <w:szCs w:val="23"/>
        </w:rPr>
        <w:t>El</w:t>
      </w:r>
      <w:r w:rsidRPr="00DE343C">
        <w:rPr>
          <w:rFonts w:ascii="Palatino Linotype" w:hAnsi="Palatino Linotype" w:cs="Arial"/>
          <w:b/>
          <w:sz w:val="23"/>
          <w:szCs w:val="23"/>
        </w:rPr>
        <w:t xml:space="preserve"> Recurrente </w:t>
      </w:r>
      <w:r w:rsidRPr="00DE343C">
        <w:rPr>
          <w:rFonts w:ascii="Palatino Linotype" w:hAnsi="Palatino Linotype" w:cs="Arial"/>
          <w:sz w:val="23"/>
          <w:szCs w:val="23"/>
        </w:rPr>
        <w:t>interpuso el recurso de revisión, en</w:t>
      </w:r>
      <w:r w:rsidR="00B61B70" w:rsidRPr="00DE343C">
        <w:rPr>
          <w:rFonts w:ascii="Palatino Linotype" w:hAnsi="Palatino Linotype" w:cs="Arial"/>
          <w:sz w:val="23"/>
          <w:szCs w:val="23"/>
        </w:rPr>
        <w:t xml:space="preserve"> fecha treinta de enero de dos mil veintidós </w:t>
      </w:r>
      <w:r w:rsidR="001A5573" w:rsidRPr="00DE343C">
        <w:rPr>
          <w:rFonts w:ascii="Palatino Linotype" w:hAnsi="Palatino Linotype" w:cs="Arial"/>
          <w:sz w:val="23"/>
          <w:szCs w:val="23"/>
        </w:rPr>
        <w:t xml:space="preserve">, el cual fue registrado con el expediente número </w:t>
      </w:r>
      <w:r w:rsidR="00B61B70" w:rsidRPr="00DE343C">
        <w:rPr>
          <w:rFonts w:ascii="Palatino Linotype" w:hAnsi="Palatino Linotype" w:cs="Arial"/>
          <w:b/>
          <w:bCs/>
          <w:sz w:val="23"/>
          <w:szCs w:val="23"/>
        </w:rPr>
        <w:t>00405/INFOEM/IP/RR/2022</w:t>
      </w:r>
      <w:r w:rsidR="001A5573" w:rsidRPr="00DE343C">
        <w:rPr>
          <w:rFonts w:ascii="Palatino Linotype" w:hAnsi="Palatino Linotype" w:cs="Arial"/>
          <w:b/>
          <w:bCs/>
          <w:sz w:val="23"/>
          <w:szCs w:val="23"/>
        </w:rPr>
        <w:t xml:space="preserve">, </w:t>
      </w:r>
      <w:r w:rsidR="001A5573" w:rsidRPr="00DE343C">
        <w:rPr>
          <w:rFonts w:ascii="Palatino Linotype" w:hAnsi="Palatino Linotype" w:cs="Arial"/>
          <w:sz w:val="23"/>
          <w:szCs w:val="23"/>
        </w:rPr>
        <w:t xml:space="preserve">en el cual arguye las siguientes manifestaciones: </w:t>
      </w:r>
    </w:p>
    <w:p w14:paraId="1AEAC665" w14:textId="77777777" w:rsidR="00D57651" w:rsidRPr="00145E1B" w:rsidRDefault="00D57651" w:rsidP="00D57651">
      <w:pPr>
        <w:spacing w:after="0" w:line="360" w:lineRule="auto"/>
        <w:jc w:val="both"/>
        <w:rPr>
          <w:rFonts w:ascii="Palatino Linotype" w:hAnsi="Palatino Linotype" w:cs="Arial"/>
          <w:szCs w:val="24"/>
        </w:rPr>
      </w:pPr>
    </w:p>
    <w:p w14:paraId="668C328E" w14:textId="77777777" w:rsidR="006D5803" w:rsidRPr="00DE343C" w:rsidRDefault="006D5803" w:rsidP="00DE343C">
      <w:pPr>
        <w:spacing w:after="0" w:line="240" w:lineRule="auto"/>
        <w:ind w:left="567" w:right="567"/>
        <w:jc w:val="both"/>
        <w:rPr>
          <w:rFonts w:ascii="Palatino Linotype" w:hAnsi="Palatino Linotype" w:cs="Arial"/>
          <w:b/>
          <w:sz w:val="21"/>
          <w:szCs w:val="21"/>
        </w:rPr>
      </w:pPr>
      <w:r w:rsidRPr="00DE343C">
        <w:rPr>
          <w:rFonts w:ascii="Palatino Linotype" w:hAnsi="Palatino Linotype" w:cs="Arial"/>
          <w:b/>
          <w:sz w:val="21"/>
          <w:szCs w:val="21"/>
        </w:rPr>
        <w:t>Acto Impugnado:</w:t>
      </w:r>
    </w:p>
    <w:p w14:paraId="3BC9C032" w14:textId="77777777" w:rsidR="00D57651" w:rsidRPr="00DE343C" w:rsidRDefault="00D57651" w:rsidP="00DE343C">
      <w:pPr>
        <w:spacing w:after="0" w:line="240" w:lineRule="auto"/>
        <w:ind w:left="567" w:right="567"/>
        <w:jc w:val="both"/>
        <w:rPr>
          <w:rFonts w:ascii="Palatino Linotype" w:hAnsi="Palatino Linotype" w:cs="Arial"/>
          <w:sz w:val="21"/>
          <w:szCs w:val="21"/>
        </w:rPr>
      </w:pPr>
    </w:p>
    <w:p w14:paraId="2B7C4F06" w14:textId="147AD01D" w:rsidR="006D5803" w:rsidRPr="00DE343C" w:rsidRDefault="00E138CC" w:rsidP="00DE343C">
      <w:pPr>
        <w:pStyle w:val="Citas"/>
        <w:spacing w:before="0" w:after="0" w:line="240" w:lineRule="auto"/>
        <w:ind w:left="567" w:right="567"/>
        <w:rPr>
          <w:sz w:val="21"/>
          <w:szCs w:val="21"/>
        </w:rPr>
      </w:pPr>
      <w:r w:rsidRPr="00DE343C">
        <w:rPr>
          <w:sz w:val="21"/>
          <w:szCs w:val="21"/>
        </w:rPr>
        <w:t>“</w:t>
      </w:r>
      <w:r w:rsidR="00B61B70" w:rsidRPr="00DE343C">
        <w:rPr>
          <w:sz w:val="21"/>
          <w:szCs w:val="21"/>
        </w:rPr>
        <w:t>no dieron respuesta a ka solicitud de información en tiempo y forma negando con ello el derecho humano de acceso a la información pública</w:t>
      </w:r>
      <w:r w:rsidR="001A5573" w:rsidRPr="00DE343C">
        <w:rPr>
          <w:sz w:val="21"/>
          <w:szCs w:val="21"/>
        </w:rPr>
        <w:t>”</w:t>
      </w:r>
      <w:r w:rsidR="00B61B70" w:rsidRPr="00DE343C">
        <w:rPr>
          <w:sz w:val="21"/>
          <w:szCs w:val="21"/>
        </w:rPr>
        <w:t xml:space="preserve">. </w:t>
      </w:r>
      <w:r w:rsidR="006D5803" w:rsidRPr="00DE343C">
        <w:rPr>
          <w:sz w:val="21"/>
          <w:szCs w:val="21"/>
        </w:rPr>
        <w:t>[Sic]</w:t>
      </w:r>
    </w:p>
    <w:p w14:paraId="5AF0600F" w14:textId="77777777" w:rsidR="006D5803" w:rsidRPr="00DE343C" w:rsidRDefault="006D5803" w:rsidP="00DE343C">
      <w:pPr>
        <w:pStyle w:val="infoemcitas"/>
        <w:spacing w:before="0" w:after="0"/>
        <w:ind w:left="567" w:right="567"/>
        <w:rPr>
          <w:sz w:val="21"/>
          <w:szCs w:val="21"/>
        </w:rPr>
      </w:pPr>
    </w:p>
    <w:p w14:paraId="52A21935" w14:textId="77777777" w:rsidR="006D5803" w:rsidRPr="00DE343C" w:rsidRDefault="006D5803" w:rsidP="00DE343C">
      <w:pPr>
        <w:spacing w:after="0" w:line="240" w:lineRule="auto"/>
        <w:ind w:left="567" w:right="567"/>
        <w:jc w:val="both"/>
        <w:rPr>
          <w:rFonts w:ascii="Palatino Linotype" w:hAnsi="Palatino Linotype" w:cs="Arial"/>
          <w:b/>
          <w:sz w:val="21"/>
          <w:szCs w:val="21"/>
        </w:rPr>
      </w:pPr>
      <w:r w:rsidRPr="00DE343C">
        <w:rPr>
          <w:rFonts w:ascii="Palatino Linotype" w:hAnsi="Palatino Linotype" w:cs="Arial"/>
          <w:b/>
          <w:sz w:val="21"/>
          <w:szCs w:val="21"/>
        </w:rPr>
        <w:t>Razones o Motivos de Inconformidad:</w:t>
      </w:r>
    </w:p>
    <w:p w14:paraId="60B450A0" w14:textId="77777777" w:rsidR="00D57651" w:rsidRPr="00DE343C" w:rsidRDefault="00D57651" w:rsidP="00DE343C">
      <w:pPr>
        <w:spacing w:after="0" w:line="240" w:lineRule="auto"/>
        <w:ind w:left="567" w:right="567"/>
        <w:jc w:val="both"/>
        <w:rPr>
          <w:rFonts w:ascii="Palatino Linotype" w:hAnsi="Palatino Linotype" w:cs="Arial"/>
          <w:b/>
          <w:sz w:val="21"/>
          <w:szCs w:val="21"/>
        </w:rPr>
      </w:pPr>
    </w:p>
    <w:p w14:paraId="1B610F1E" w14:textId="4F152F27" w:rsidR="00E138CC" w:rsidRPr="00DE343C" w:rsidRDefault="00E138CC" w:rsidP="00DE343C">
      <w:pPr>
        <w:pStyle w:val="Citas"/>
        <w:spacing w:before="0" w:after="0" w:line="240" w:lineRule="auto"/>
        <w:ind w:left="567" w:right="567"/>
        <w:rPr>
          <w:b/>
          <w:sz w:val="21"/>
          <w:szCs w:val="21"/>
        </w:rPr>
      </w:pPr>
      <w:r w:rsidRPr="00DE343C">
        <w:rPr>
          <w:sz w:val="21"/>
          <w:szCs w:val="21"/>
        </w:rPr>
        <w:t>“</w:t>
      </w:r>
      <w:r w:rsidR="00B61B70" w:rsidRPr="00DE343C">
        <w:rPr>
          <w:sz w:val="21"/>
          <w:szCs w:val="21"/>
        </w:rPr>
        <w:t>el sujeto obligado no dio contestación a la solicitud de información en tiempo y forma, por lo que se puede presumir que se esta solapando a un funcionarios públicos corruptos, por parte de la administración al tener dentro de su nomina a personas que usurpan profesiones y que solapan actos de corrupción</w:t>
      </w:r>
      <w:r w:rsidR="00E61E5F" w:rsidRPr="00DE343C">
        <w:rPr>
          <w:sz w:val="21"/>
          <w:szCs w:val="21"/>
        </w:rPr>
        <w:t>”</w:t>
      </w:r>
      <w:r w:rsidRPr="00DE343C">
        <w:rPr>
          <w:sz w:val="21"/>
          <w:szCs w:val="21"/>
        </w:rPr>
        <w:t xml:space="preserve"> [Sic]</w:t>
      </w:r>
    </w:p>
    <w:p w14:paraId="6A29FDDD" w14:textId="77777777" w:rsidR="00672783" w:rsidRPr="00145E1B" w:rsidRDefault="00672783" w:rsidP="00B61B70">
      <w:pPr>
        <w:pStyle w:val="Citas"/>
        <w:spacing w:before="0" w:after="0"/>
        <w:ind w:left="0"/>
        <w:rPr>
          <w:b/>
          <w:sz w:val="20"/>
        </w:rPr>
      </w:pPr>
    </w:p>
    <w:p w14:paraId="6B14606C" w14:textId="01B5C521" w:rsidR="006D5803" w:rsidRPr="00852AB8" w:rsidRDefault="00B61B70" w:rsidP="00D57651">
      <w:pPr>
        <w:spacing w:after="0" w:line="360" w:lineRule="auto"/>
        <w:jc w:val="both"/>
        <w:rPr>
          <w:rFonts w:ascii="Palatino Linotype" w:hAnsi="Palatino Linotype" w:cs="Arial"/>
          <w:b/>
          <w:sz w:val="26"/>
          <w:szCs w:val="26"/>
        </w:rPr>
      </w:pPr>
      <w:r>
        <w:rPr>
          <w:rFonts w:ascii="Palatino Linotype" w:hAnsi="Palatino Linotype" w:cs="Arial"/>
          <w:b/>
          <w:sz w:val="26"/>
          <w:szCs w:val="26"/>
        </w:rPr>
        <w:t>CUARTO</w:t>
      </w:r>
      <w:r w:rsidR="00AF0067" w:rsidRPr="00852AB8">
        <w:rPr>
          <w:rFonts w:ascii="Palatino Linotype" w:hAnsi="Palatino Linotype" w:cs="Arial"/>
          <w:b/>
          <w:sz w:val="26"/>
          <w:szCs w:val="26"/>
        </w:rPr>
        <w:t xml:space="preserve">. </w:t>
      </w:r>
      <w:r w:rsidR="006D5803" w:rsidRPr="00852AB8">
        <w:rPr>
          <w:rFonts w:ascii="Palatino Linotype" w:hAnsi="Palatino Linotype" w:cs="Arial"/>
          <w:b/>
          <w:sz w:val="26"/>
          <w:szCs w:val="26"/>
        </w:rPr>
        <w:t>Del turno del recurso de revisión.</w:t>
      </w:r>
    </w:p>
    <w:p w14:paraId="07C3FD4F" w14:textId="3CF6AB97" w:rsidR="006D5803" w:rsidRPr="00DE343C" w:rsidRDefault="006D5803" w:rsidP="00D57651">
      <w:pPr>
        <w:spacing w:after="0" w:line="360" w:lineRule="auto"/>
        <w:jc w:val="both"/>
        <w:rPr>
          <w:rFonts w:ascii="Palatino Linotype" w:hAnsi="Palatino Linotype" w:cs="Arial"/>
          <w:sz w:val="23"/>
          <w:szCs w:val="23"/>
        </w:rPr>
      </w:pPr>
      <w:r w:rsidRPr="00DE343C">
        <w:rPr>
          <w:rFonts w:ascii="Palatino Linotype" w:hAnsi="Palatino Linotype" w:cs="Arial"/>
          <w:sz w:val="23"/>
          <w:szCs w:val="23"/>
        </w:rPr>
        <w:lastRenderedPageBreak/>
        <w:t xml:space="preserve">Medio de impugnación que le fue turnado </w:t>
      </w:r>
      <w:r w:rsidR="001A5573" w:rsidRPr="00DE343C">
        <w:rPr>
          <w:rFonts w:ascii="Palatino Linotype" w:hAnsi="Palatino Linotype" w:cs="Arial"/>
          <w:sz w:val="23"/>
          <w:szCs w:val="23"/>
        </w:rPr>
        <w:t>al</w:t>
      </w:r>
      <w:r w:rsidRPr="00DE343C">
        <w:rPr>
          <w:rFonts w:ascii="Palatino Linotype" w:hAnsi="Palatino Linotype" w:cs="Arial"/>
          <w:sz w:val="23"/>
          <w:szCs w:val="23"/>
        </w:rPr>
        <w:t xml:space="preserve"> Comisionad</w:t>
      </w:r>
      <w:r w:rsidR="001A5573" w:rsidRPr="00DE343C">
        <w:rPr>
          <w:rFonts w:ascii="Palatino Linotype" w:hAnsi="Palatino Linotype" w:cs="Arial"/>
          <w:sz w:val="23"/>
          <w:szCs w:val="23"/>
        </w:rPr>
        <w:t>o</w:t>
      </w:r>
      <w:r w:rsidRPr="00DE343C">
        <w:rPr>
          <w:rFonts w:ascii="Palatino Linotype" w:hAnsi="Palatino Linotype" w:cs="Arial"/>
          <w:sz w:val="23"/>
          <w:szCs w:val="23"/>
        </w:rPr>
        <w:t xml:space="preserve"> </w:t>
      </w:r>
      <w:r w:rsidR="001A5573" w:rsidRPr="00DE343C">
        <w:rPr>
          <w:rFonts w:ascii="Palatino Linotype" w:hAnsi="Palatino Linotype" w:cs="Arial"/>
          <w:b/>
          <w:bCs/>
          <w:sz w:val="23"/>
          <w:szCs w:val="23"/>
        </w:rPr>
        <w:t xml:space="preserve">José Martínez Vilchis, </w:t>
      </w:r>
      <w:r w:rsidRPr="00DE343C">
        <w:rPr>
          <w:rFonts w:ascii="Palatino Linotype" w:hAnsi="Palatino Linotype" w:cs="Arial"/>
          <w:sz w:val="23"/>
          <w:szCs w:val="23"/>
        </w:rPr>
        <w:t>por medio del sistema electrónico en términos del arábigo 185 fracción I de la Ley de Transparencia y Acceso a la información Pública del Estado de México y Municipios, del cual recayó acuerdo de admisión en fecha</w:t>
      </w:r>
      <w:r w:rsidR="00F471AE" w:rsidRPr="00DE343C">
        <w:rPr>
          <w:rFonts w:ascii="Palatino Linotype" w:hAnsi="Palatino Linotype" w:cs="Arial"/>
          <w:sz w:val="23"/>
          <w:szCs w:val="23"/>
        </w:rPr>
        <w:t xml:space="preserve"> </w:t>
      </w:r>
      <w:r w:rsidR="00B61B70" w:rsidRPr="00DE343C">
        <w:rPr>
          <w:rFonts w:ascii="Palatino Linotype" w:hAnsi="Palatino Linotype" w:cs="Arial"/>
          <w:sz w:val="23"/>
          <w:szCs w:val="23"/>
        </w:rPr>
        <w:t>treinta y uno de enero de dos mil veintidós</w:t>
      </w:r>
      <w:r w:rsidR="00F74F02" w:rsidRPr="00DE343C">
        <w:rPr>
          <w:rFonts w:ascii="Palatino Linotype" w:hAnsi="Palatino Linotype" w:cs="Arial"/>
          <w:sz w:val="23"/>
          <w:szCs w:val="23"/>
        </w:rPr>
        <w:t>,</w:t>
      </w:r>
      <w:r w:rsidR="00B61B70" w:rsidRPr="00DE343C">
        <w:rPr>
          <w:rFonts w:ascii="Palatino Linotype" w:hAnsi="Palatino Linotype" w:cs="Arial"/>
          <w:sz w:val="23"/>
          <w:szCs w:val="23"/>
        </w:rPr>
        <w:t xml:space="preserve"> </w:t>
      </w:r>
      <w:r w:rsidRPr="00DE343C">
        <w:rPr>
          <w:rFonts w:ascii="Palatino Linotype" w:hAnsi="Palatino Linotype" w:cs="Arial"/>
          <w:sz w:val="23"/>
          <w:szCs w:val="23"/>
        </w:rPr>
        <w:t>determinándose en él, un plazo de siete días para que las partes manifestaran lo que a su derecho corresponda en términos del numeral ya citado.</w:t>
      </w:r>
    </w:p>
    <w:p w14:paraId="5E6D7CFD" w14:textId="77777777" w:rsidR="005C3CD1" w:rsidRPr="00145E1B" w:rsidRDefault="005C3CD1" w:rsidP="00D57651">
      <w:pPr>
        <w:spacing w:after="0" w:line="360" w:lineRule="auto"/>
        <w:jc w:val="both"/>
        <w:rPr>
          <w:rFonts w:ascii="Palatino Linotype" w:hAnsi="Palatino Linotype" w:cs="Arial"/>
          <w:szCs w:val="24"/>
        </w:rPr>
      </w:pPr>
    </w:p>
    <w:p w14:paraId="04D96CBC" w14:textId="4BD27F29" w:rsidR="006D5803" w:rsidRPr="00852AB8" w:rsidRDefault="00F74F02" w:rsidP="00D57651">
      <w:pPr>
        <w:spacing w:after="0" w:line="360" w:lineRule="auto"/>
        <w:jc w:val="both"/>
        <w:rPr>
          <w:rFonts w:ascii="Palatino Linotype" w:hAnsi="Palatino Linotype" w:cs="Arial"/>
          <w:b/>
          <w:sz w:val="26"/>
          <w:szCs w:val="26"/>
        </w:rPr>
      </w:pPr>
      <w:r>
        <w:rPr>
          <w:rFonts w:ascii="Palatino Linotype" w:hAnsi="Palatino Linotype" w:cs="Arial"/>
          <w:b/>
          <w:sz w:val="26"/>
          <w:szCs w:val="26"/>
        </w:rPr>
        <w:t>QUINTO</w:t>
      </w:r>
      <w:r w:rsidR="00AF0067" w:rsidRPr="00852AB8">
        <w:rPr>
          <w:rFonts w:ascii="Palatino Linotype" w:hAnsi="Palatino Linotype" w:cs="Arial"/>
          <w:b/>
          <w:sz w:val="26"/>
          <w:szCs w:val="26"/>
        </w:rPr>
        <w:t xml:space="preserve">. </w:t>
      </w:r>
      <w:r w:rsidR="006D5803" w:rsidRPr="00852AB8">
        <w:rPr>
          <w:rFonts w:ascii="Palatino Linotype" w:hAnsi="Palatino Linotype" w:cs="Arial"/>
          <w:b/>
          <w:sz w:val="26"/>
          <w:szCs w:val="26"/>
        </w:rPr>
        <w:t>De la etapa de instrucción.</w:t>
      </w:r>
    </w:p>
    <w:p w14:paraId="2F3E5BFD" w14:textId="51E36ED0" w:rsidR="00B70C92" w:rsidRPr="00DE343C" w:rsidRDefault="00C07683" w:rsidP="00D57651">
      <w:pPr>
        <w:spacing w:after="0" w:line="360" w:lineRule="auto"/>
        <w:jc w:val="both"/>
        <w:rPr>
          <w:rFonts w:ascii="Palatino Linotype" w:hAnsi="Palatino Linotype" w:cs="Arial"/>
          <w:sz w:val="23"/>
          <w:szCs w:val="23"/>
        </w:rPr>
      </w:pPr>
      <w:r w:rsidRPr="00DE343C">
        <w:rPr>
          <w:rFonts w:ascii="Palatino Linotype" w:hAnsi="Palatino Linotype" w:cs="Arial"/>
          <w:sz w:val="23"/>
          <w:szCs w:val="23"/>
        </w:rPr>
        <w:t xml:space="preserve">De las constancias que obran en el expediente electrónico del </w:t>
      </w:r>
      <w:r w:rsidRPr="00DE343C">
        <w:rPr>
          <w:rFonts w:ascii="Palatino Linotype" w:hAnsi="Palatino Linotype" w:cs="Arial"/>
          <w:b/>
          <w:bCs/>
          <w:sz w:val="23"/>
          <w:szCs w:val="23"/>
        </w:rPr>
        <w:t xml:space="preserve">SAIMEX, </w:t>
      </w:r>
      <w:r w:rsidRPr="00DE343C">
        <w:rPr>
          <w:rFonts w:ascii="Palatino Linotype" w:hAnsi="Palatino Linotype" w:cs="Arial"/>
          <w:sz w:val="23"/>
          <w:szCs w:val="23"/>
        </w:rPr>
        <w:t>se advierte que</w:t>
      </w:r>
      <w:r w:rsidR="00F74F02" w:rsidRPr="00DE343C">
        <w:rPr>
          <w:rFonts w:ascii="Palatino Linotype" w:hAnsi="Palatino Linotype" w:cs="Arial"/>
          <w:sz w:val="23"/>
          <w:szCs w:val="23"/>
        </w:rPr>
        <w:t xml:space="preserve"> en fecha uno de febrero de dos mil veintidós,</w:t>
      </w:r>
      <w:r w:rsidRPr="00DE343C">
        <w:rPr>
          <w:rFonts w:ascii="Palatino Linotype" w:hAnsi="Palatino Linotype" w:cs="Arial"/>
          <w:sz w:val="23"/>
          <w:szCs w:val="23"/>
        </w:rPr>
        <w:t xml:space="preserve"> </w:t>
      </w:r>
      <w:r w:rsidRPr="00DE343C">
        <w:rPr>
          <w:rFonts w:ascii="Palatino Linotype" w:hAnsi="Palatino Linotype" w:cs="Arial"/>
          <w:b/>
          <w:bCs/>
          <w:sz w:val="23"/>
          <w:szCs w:val="23"/>
        </w:rPr>
        <w:t xml:space="preserve">El Sujeto Obligado </w:t>
      </w:r>
      <w:r w:rsidRPr="00DE343C">
        <w:rPr>
          <w:rFonts w:ascii="Palatino Linotype" w:hAnsi="Palatino Linotype" w:cs="Arial"/>
          <w:sz w:val="23"/>
          <w:szCs w:val="23"/>
        </w:rPr>
        <w:t xml:space="preserve">presentó </w:t>
      </w:r>
      <w:r w:rsidR="00B70C92" w:rsidRPr="00DE343C">
        <w:rPr>
          <w:rFonts w:ascii="Palatino Linotype" w:hAnsi="Palatino Linotype" w:cs="Arial"/>
          <w:sz w:val="23"/>
          <w:szCs w:val="23"/>
        </w:rPr>
        <w:t>informe justificado</w:t>
      </w:r>
      <w:r w:rsidRPr="00DE343C">
        <w:rPr>
          <w:rFonts w:ascii="Palatino Linotype" w:hAnsi="Palatino Linotype" w:cs="Arial"/>
          <w:sz w:val="23"/>
          <w:szCs w:val="23"/>
        </w:rPr>
        <w:t xml:space="preserve"> </w:t>
      </w:r>
      <w:r w:rsidR="00B70C92" w:rsidRPr="00DE343C">
        <w:rPr>
          <w:rFonts w:ascii="Palatino Linotype" w:hAnsi="Palatino Linotype" w:cs="Arial"/>
          <w:sz w:val="23"/>
          <w:szCs w:val="23"/>
        </w:rPr>
        <w:t>a través de</w:t>
      </w:r>
      <w:r w:rsidR="00F74F02" w:rsidRPr="00DE343C">
        <w:rPr>
          <w:rFonts w:ascii="Palatino Linotype" w:hAnsi="Palatino Linotype" w:cs="Arial"/>
          <w:sz w:val="23"/>
          <w:szCs w:val="23"/>
        </w:rPr>
        <w:t xml:space="preserve"> </w:t>
      </w:r>
      <w:r w:rsidR="00B70C92" w:rsidRPr="00DE343C">
        <w:rPr>
          <w:rFonts w:ascii="Palatino Linotype" w:hAnsi="Palatino Linotype" w:cs="Arial"/>
          <w:sz w:val="23"/>
          <w:szCs w:val="23"/>
        </w:rPr>
        <w:t>l</w:t>
      </w:r>
      <w:r w:rsidR="00F74F02" w:rsidRPr="00DE343C">
        <w:rPr>
          <w:rFonts w:ascii="Palatino Linotype" w:hAnsi="Palatino Linotype" w:cs="Arial"/>
          <w:sz w:val="23"/>
          <w:szCs w:val="23"/>
        </w:rPr>
        <w:t>os</w:t>
      </w:r>
      <w:r w:rsidR="00B70C92" w:rsidRPr="00DE343C">
        <w:rPr>
          <w:rFonts w:ascii="Palatino Linotype" w:hAnsi="Palatino Linotype" w:cs="Arial"/>
          <w:sz w:val="23"/>
          <w:szCs w:val="23"/>
        </w:rPr>
        <w:t xml:space="preserve"> documento</w:t>
      </w:r>
      <w:r w:rsidR="00F74F02" w:rsidRPr="00DE343C">
        <w:rPr>
          <w:rFonts w:ascii="Palatino Linotype" w:hAnsi="Palatino Linotype" w:cs="Arial"/>
          <w:sz w:val="23"/>
          <w:szCs w:val="23"/>
        </w:rPr>
        <w:t>s</w:t>
      </w:r>
      <w:r w:rsidR="00B70C92" w:rsidRPr="00DE343C">
        <w:rPr>
          <w:rFonts w:ascii="Palatino Linotype" w:hAnsi="Palatino Linotype" w:cs="Arial"/>
          <w:sz w:val="23"/>
          <w:szCs w:val="23"/>
        </w:rPr>
        <w:t xml:space="preserve"> electrónico</w:t>
      </w:r>
      <w:r w:rsidR="00F74F02" w:rsidRPr="00DE343C">
        <w:rPr>
          <w:rFonts w:ascii="Palatino Linotype" w:hAnsi="Palatino Linotype" w:cs="Arial"/>
          <w:sz w:val="23"/>
          <w:szCs w:val="23"/>
        </w:rPr>
        <w:t>s</w:t>
      </w:r>
      <w:r w:rsidR="00B70C92" w:rsidRPr="00DE343C">
        <w:rPr>
          <w:rFonts w:ascii="Palatino Linotype" w:hAnsi="Palatino Linotype" w:cs="Arial"/>
          <w:sz w:val="23"/>
          <w:szCs w:val="23"/>
        </w:rPr>
        <w:t xml:space="preserve"> siguiente</w:t>
      </w:r>
      <w:r w:rsidR="00F74F02" w:rsidRPr="00DE343C">
        <w:rPr>
          <w:rFonts w:ascii="Palatino Linotype" w:hAnsi="Palatino Linotype" w:cs="Arial"/>
          <w:sz w:val="23"/>
          <w:szCs w:val="23"/>
        </w:rPr>
        <w:t>s</w:t>
      </w:r>
      <w:r w:rsidR="00B70C92" w:rsidRPr="00DE343C">
        <w:rPr>
          <w:rFonts w:ascii="Palatino Linotype" w:hAnsi="Palatino Linotype" w:cs="Arial"/>
          <w:sz w:val="23"/>
          <w:szCs w:val="23"/>
        </w:rPr>
        <w:t>:</w:t>
      </w:r>
    </w:p>
    <w:p w14:paraId="1D1EF7CF" w14:textId="77777777" w:rsidR="00F74F02" w:rsidRDefault="00F74F02" w:rsidP="00D57651">
      <w:pPr>
        <w:spacing w:after="0" w:line="360" w:lineRule="auto"/>
        <w:jc w:val="both"/>
        <w:rPr>
          <w:rFonts w:ascii="Palatino Linotype" w:hAnsi="Palatino Linotype" w:cs="Arial"/>
          <w:szCs w:val="24"/>
        </w:rPr>
      </w:pPr>
    </w:p>
    <w:p w14:paraId="28F366FE" w14:textId="1ABA5F21" w:rsidR="00494AEC" w:rsidRPr="00DE343C" w:rsidRDefault="00F74F02" w:rsidP="00494AEC">
      <w:pPr>
        <w:spacing w:after="0" w:line="276" w:lineRule="auto"/>
        <w:jc w:val="both"/>
        <w:rPr>
          <w:rFonts w:ascii="Palatino Linotype" w:hAnsi="Palatino Linotype" w:cs="Arial"/>
          <w:sz w:val="23"/>
          <w:szCs w:val="23"/>
        </w:rPr>
      </w:pPr>
      <w:r w:rsidRPr="00DE343C">
        <w:rPr>
          <w:rFonts w:ascii="Palatino Linotype" w:hAnsi="Palatino Linotype" w:cs="Arial"/>
          <w:i/>
          <w:sz w:val="23"/>
          <w:szCs w:val="23"/>
        </w:rPr>
        <w:t>“</w:t>
      </w:r>
      <w:r w:rsidR="002922AD" w:rsidRPr="00DE343C">
        <w:rPr>
          <w:rFonts w:ascii="Palatino Linotype" w:hAnsi="Palatino Linotype" w:cs="Arial"/>
          <w:i/>
          <w:sz w:val="23"/>
          <w:szCs w:val="23"/>
        </w:rPr>
        <w:t xml:space="preserve">SA-4782-2021.pdf”, </w:t>
      </w:r>
      <w:r w:rsidR="002922AD" w:rsidRPr="00DE343C">
        <w:rPr>
          <w:rFonts w:ascii="Palatino Linotype" w:hAnsi="Palatino Linotype" w:cs="Arial"/>
          <w:sz w:val="23"/>
          <w:szCs w:val="23"/>
        </w:rPr>
        <w:t xml:space="preserve">del cual se desprende el oficio </w:t>
      </w:r>
      <w:r w:rsidR="00494AEC" w:rsidRPr="00DE343C">
        <w:rPr>
          <w:rFonts w:ascii="Palatino Linotype" w:hAnsi="Palatino Linotype" w:cs="Arial"/>
          <w:sz w:val="23"/>
          <w:szCs w:val="23"/>
        </w:rPr>
        <w:t>número SA-4782-2021, de fecha veintiuno de diciembre de dos mil veintiuno, signado por el Secretario del Ayuntamiento, cuyo contenido de interés se muestra en la siguiente imagen:</w:t>
      </w:r>
    </w:p>
    <w:p w14:paraId="5EC06DB4" w14:textId="77777777" w:rsidR="00494AEC" w:rsidRDefault="00494AEC" w:rsidP="002922AD">
      <w:pPr>
        <w:spacing w:after="0" w:line="360" w:lineRule="auto"/>
        <w:jc w:val="both"/>
        <w:rPr>
          <w:rFonts w:ascii="Palatino Linotype" w:hAnsi="Palatino Linotype" w:cs="Arial"/>
          <w:szCs w:val="24"/>
        </w:rPr>
      </w:pPr>
    </w:p>
    <w:p w14:paraId="2B95F7C9" w14:textId="711E4886" w:rsidR="00494AEC" w:rsidRDefault="00494AEC" w:rsidP="002922AD">
      <w:pPr>
        <w:spacing w:after="0" w:line="360" w:lineRule="auto"/>
        <w:jc w:val="both"/>
        <w:rPr>
          <w:rFonts w:ascii="Palatino Linotype" w:hAnsi="Palatino Linotype" w:cs="Arial"/>
          <w:szCs w:val="24"/>
        </w:rPr>
      </w:pPr>
      <w:r>
        <w:rPr>
          <w:rFonts w:ascii="Palatino Linotype" w:hAnsi="Palatino Linotype" w:cs="Arial"/>
          <w:noProof/>
          <w:szCs w:val="24"/>
          <w:lang w:eastAsia="es-MX"/>
        </w:rPr>
        <w:drawing>
          <wp:inline distT="0" distB="0" distL="0" distR="0" wp14:anchorId="03F1BE92" wp14:editId="3716649A">
            <wp:extent cx="5753100" cy="22383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238375"/>
                    </a:xfrm>
                    <a:prstGeom prst="rect">
                      <a:avLst/>
                    </a:prstGeom>
                    <a:noFill/>
                    <a:ln>
                      <a:noFill/>
                    </a:ln>
                  </pic:spPr>
                </pic:pic>
              </a:graphicData>
            </a:graphic>
          </wp:inline>
        </w:drawing>
      </w:r>
    </w:p>
    <w:p w14:paraId="334FB0F0" w14:textId="77777777" w:rsidR="00494AEC" w:rsidRDefault="00494AEC" w:rsidP="002922AD">
      <w:pPr>
        <w:spacing w:after="0" w:line="360" w:lineRule="auto"/>
        <w:jc w:val="both"/>
        <w:rPr>
          <w:rFonts w:ascii="Palatino Linotype" w:hAnsi="Palatino Linotype" w:cs="Arial"/>
          <w:szCs w:val="24"/>
        </w:rPr>
      </w:pPr>
    </w:p>
    <w:p w14:paraId="6E5B2E71" w14:textId="2CA04B74" w:rsidR="002922AD" w:rsidRPr="00DE343C" w:rsidRDefault="002922AD" w:rsidP="002922AD">
      <w:pPr>
        <w:spacing w:after="0" w:line="360" w:lineRule="auto"/>
        <w:jc w:val="both"/>
        <w:rPr>
          <w:rFonts w:ascii="Palatino Linotype" w:hAnsi="Palatino Linotype" w:cs="Arial"/>
          <w:sz w:val="23"/>
          <w:szCs w:val="23"/>
        </w:rPr>
      </w:pPr>
      <w:r w:rsidRPr="00DE343C">
        <w:rPr>
          <w:rFonts w:ascii="Palatino Linotype" w:hAnsi="Palatino Linotype" w:cs="Arial"/>
          <w:i/>
          <w:sz w:val="23"/>
          <w:szCs w:val="23"/>
        </w:rPr>
        <w:lastRenderedPageBreak/>
        <w:t>“SM-262-2021.pdf”</w:t>
      </w:r>
      <w:r w:rsidR="00B60F06" w:rsidRPr="00DE343C">
        <w:rPr>
          <w:rFonts w:ascii="Palatino Linotype" w:hAnsi="Palatino Linotype" w:cs="Arial"/>
          <w:i/>
          <w:sz w:val="23"/>
          <w:szCs w:val="23"/>
        </w:rPr>
        <w:t xml:space="preserve">, </w:t>
      </w:r>
      <w:r w:rsidR="00B60F06" w:rsidRPr="00DE343C">
        <w:rPr>
          <w:rFonts w:ascii="Palatino Linotype" w:hAnsi="Palatino Linotype" w:cs="Arial"/>
          <w:sz w:val="23"/>
          <w:szCs w:val="23"/>
        </w:rPr>
        <w:t>del cual deriva el oficio SM/262/2021, de fecha veintidós de diciembre de dos mil veintiuno, signado por el Síndico Municipal, adscrito al Sujeto Obligado, cuyo contenido de importancia se muestra en la siguiente imagen:</w:t>
      </w:r>
    </w:p>
    <w:p w14:paraId="0960E1B9" w14:textId="77777777" w:rsidR="00B60F06" w:rsidRPr="00DE343C" w:rsidRDefault="00B60F06" w:rsidP="002922AD">
      <w:pPr>
        <w:spacing w:after="0" w:line="360" w:lineRule="auto"/>
        <w:jc w:val="both"/>
        <w:rPr>
          <w:rFonts w:ascii="Palatino Linotype" w:hAnsi="Palatino Linotype" w:cs="Arial"/>
          <w:sz w:val="23"/>
          <w:szCs w:val="23"/>
        </w:rPr>
      </w:pPr>
    </w:p>
    <w:p w14:paraId="64C01A05" w14:textId="54124FFE" w:rsidR="00B60F06" w:rsidRDefault="00B60F06" w:rsidP="00DE343C">
      <w:pPr>
        <w:spacing w:after="0" w:line="360" w:lineRule="auto"/>
        <w:jc w:val="center"/>
        <w:rPr>
          <w:rFonts w:ascii="Palatino Linotype" w:hAnsi="Palatino Linotype" w:cs="Arial"/>
          <w:szCs w:val="24"/>
        </w:rPr>
      </w:pPr>
      <w:r>
        <w:rPr>
          <w:rFonts w:ascii="Palatino Linotype" w:hAnsi="Palatino Linotype" w:cs="Arial"/>
          <w:noProof/>
          <w:szCs w:val="24"/>
          <w:lang w:eastAsia="es-MX"/>
        </w:rPr>
        <w:drawing>
          <wp:inline distT="0" distB="0" distL="0" distR="0" wp14:anchorId="391007BD" wp14:editId="55501085">
            <wp:extent cx="5591175" cy="757812"/>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313" cy="760948"/>
                    </a:xfrm>
                    <a:prstGeom prst="rect">
                      <a:avLst/>
                    </a:prstGeom>
                    <a:noFill/>
                    <a:ln>
                      <a:noFill/>
                    </a:ln>
                  </pic:spPr>
                </pic:pic>
              </a:graphicData>
            </a:graphic>
          </wp:inline>
        </w:drawing>
      </w:r>
    </w:p>
    <w:p w14:paraId="29568ECB" w14:textId="77777777" w:rsidR="00D84B6C" w:rsidRPr="00145E1B" w:rsidRDefault="00D84B6C" w:rsidP="00D57651">
      <w:pPr>
        <w:spacing w:after="0" w:line="360" w:lineRule="auto"/>
        <w:jc w:val="both"/>
        <w:rPr>
          <w:rFonts w:ascii="Palatino Linotype" w:hAnsi="Palatino Linotype" w:cs="Arial"/>
          <w:szCs w:val="24"/>
        </w:rPr>
      </w:pPr>
    </w:p>
    <w:p w14:paraId="667A8FD9" w14:textId="77777777" w:rsidR="00B60F06" w:rsidRPr="00852AB8" w:rsidRDefault="00B60F06" w:rsidP="00B60F06">
      <w:pPr>
        <w:spacing w:after="0" w:line="360" w:lineRule="auto"/>
        <w:jc w:val="both"/>
        <w:rPr>
          <w:rFonts w:ascii="Palatino Linotype" w:hAnsi="Palatino Linotype" w:cs="Arial"/>
          <w:b/>
          <w:sz w:val="26"/>
          <w:szCs w:val="26"/>
        </w:rPr>
      </w:pPr>
      <w:r>
        <w:rPr>
          <w:rFonts w:ascii="Palatino Linotype" w:hAnsi="Palatino Linotype" w:cs="Arial"/>
          <w:b/>
          <w:sz w:val="26"/>
          <w:szCs w:val="26"/>
        </w:rPr>
        <w:t>SEXTO</w:t>
      </w:r>
      <w:r w:rsidR="00AF0067" w:rsidRPr="00852AB8">
        <w:rPr>
          <w:rFonts w:ascii="Palatino Linotype" w:hAnsi="Palatino Linotype" w:cs="Arial"/>
          <w:b/>
          <w:sz w:val="26"/>
          <w:szCs w:val="26"/>
        </w:rPr>
        <w:t>.</w:t>
      </w:r>
      <w:r w:rsidR="00AF0067">
        <w:rPr>
          <w:rFonts w:ascii="Palatino Linotype" w:hAnsi="Palatino Linotype" w:cs="Arial"/>
          <w:b/>
          <w:sz w:val="26"/>
          <w:szCs w:val="26"/>
        </w:rPr>
        <w:t xml:space="preserve"> </w:t>
      </w:r>
      <w:r w:rsidRPr="00852AB8">
        <w:rPr>
          <w:rFonts w:ascii="Palatino Linotype" w:hAnsi="Palatino Linotype" w:cs="Arial"/>
          <w:b/>
          <w:sz w:val="26"/>
          <w:szCs w:val="26"/>
        </w:rPr>
        <w:t xml:space="preserve">Del cierre de instrucción. </w:t>
      </w:r>
    </w:p>
    <w:p w14:paraId="06ED556C" w14:textId="32ABBAAC" w:rsidR="00B60F06" w:rsidRPr="00DE343C" w:rsidRDefault="00B60F06" w:rsidP="00B60F06">
      <w:pPr>
        <w:spacing w:after="0" w:line="360" w:lineRule="auto"/>
        <w:jc w:val="both"/>
        <w:rPr>
          <w:rFonts w:ascii="Palatino Linotype" w:hAnsi="Palatino Linotype" w:cs="Arial"/>
          <w:sz w:val="23"/>
          <w:szCs w:val="23"/>
        </w:rPr>
      </w:pPr>
      <w:r w:rsidRPr="00DE343C">
        <w:rPr>
          <w:rFonts w:ascii="Palatino Linotype" w:hAnsi="Palatino Linotype" w:cs="Arial"/>
          <w:sz w:val="23"/>
          <w:szCs w:val="23"/>
        </w:rPr>
        <w:t>Por lo que una vez transcurrido el plazo establecido para que las partes manifestaran lo que a su derecho conviniera, en fecha once de febrero de dos mil veintidós se decretó el cierre de instrucción en términos del artículo 185 fracción VI de la Ley de Transparencia y Acceso a la Información Pública del Estado de México y Municipios, iniciando el término legal para dictar resolución definitiva del asunto.</w:t>
      </w:r>
    </w:p>
    <w:p w14:paraId="59F2BEB0" w14:textId="77777777" w:rsidR="00B60F06" w:rsidRPr="00812314" w:rsidRDefault="00B60F06" w:rsidP="00D57651">
      <w:pPr>
        <w:spacing w:after="0" w:line="360" w:lineRule="auto"/>
        <w:jc w:val="both"/>
        <w:rPr>
          <w:rFonts w:ascii="Palatino Linotype" w:hAnsi="Palatino Linotype" w:cs="Arial"/>
          <w:b/>
          <w:sz w:val="14"/>
          <w:szCs w:val="26"/>
        </w:rPr>
      </w:pPr>
    </w:p>
    <w:p w14:paraId="063649D1" w14:textId="0125237E" w:rsidR="00D84B6C" w:rsidRPr="00852AB8" w:rsidRDefault="00B60F06" w:rsidP="00D57651">
      <w:pPr>
        <w:spacing w:after="0" w:line="360" w:lineRule="auto"/>
        <w:jc w:val="both"/>
        <w:rPr>
          <w:rFonts w:ascii="Palatino Linotype" w:hAnsi="Palatino Linotype" w:cs="Arial"/>
          <w:b/>
          <w:sz w:val="26"/>
          <w:szCs w:val="26"/>
        </w:rPr>
      </w:pPr>
      <w:r>
        <w:rPr>
          <w:rFonts w:ascii="Palatino Linotype" w:hAnsi="Palatino Linotype" w:cs="Arial"/>
          <w:b/>
          <w:sz w:val="26"/>
          <w:szCs w:val="26"/>
        </w:rPr>
        <w:t xml:space="preserve">SEPTIMO. </w:t>
      </w:r>
      <w:r w:rsidR="00D84B6C" w:rsidRPr="00852AB8">
        <w:rPr>
          <w:rFonts w:ascii="Palatino Linotype" w:hAnsi="Palatino Linotype" w:cs="Arial"/>
          <w:b/>
          <w:sz w:val="26"/>
          <w:szCs w:val="26"/>
        </w:rPr>
        <w:t>Del desistimiento del recurso de revisión.</w:t>
      </w:r>
    </w:p>
    <w:p w14:paraId="6BBA79EA" w14:textId="06327093" w:rsidR="00D84B6C" w:rsidRPr="00DE343C" w:rsidRDefault="00D84B6C" w:rsidP="00D57651">
      <w:pPr>
        <w:spacing w:after="0" w:line="360" w:lineRule="auto"/>
        <w:jc w:val="both"/>
        <w:rPr>
          <w:rFonts w:ascii="Palatino Linotype" w:hAnsi="Palatino Linotype"/>
          <w:sz w:val="23"/>
          <w:szCs w:val="23"/>
        </w:rPr>
      </w:pPr>
      <w:r w:rsidRPr="00DE343C">
        <w:rPr>
          <w:rFonts w:ascii="Palatino Linotype" w:hAnsi="Palatino Linotype"/>
          <w:sz w:val="23"/>
          <w:szCs w:val="23"/>
        </w:rPr>
        <w:t xml:space="preserve">El día </w:t>
      </w:r>
      <w:r w:rsidR="001852AE" w:rsidRPr="00DE343C">
        <w:rPr>
          <w:rFonts w:ascii="Palatino Linotype" w:hAnsi="Palatino Linotype"/>
          <w:sz w:val="23"/>
          <w:szCs w:val="23"/>
        </w:rPr>
        <w:t xml:space="preserve">diecisiete de febrero </w:t>
      </w:r>
      <w:r w:rsidRPr="00DE343C">
        <w:rPr>
          <w:rFonts w:ascii="Palatino Linotype" w:hAnsi="Palatino Linotype"/>
          <w:sz w:val="23"/>
          <w:szCs w:val="23"/>
        </w:rPr>
        <w:t xml:space="preserve">del año en curso, en el detalle de seguimiento de solicitud, se aprecia que el hoy </w:t>
      </w:r>
      <w:r w:rsidRPr="00DE343C">
        <w:rPr>
          <w:rFonts w:ascii="Palatino Linotype" w:hAnsi="Palatino Linotype"/>
          <w:b/>
          <w:sz w:val="23"/>
          <w:szCs w:val="23"/>
        </w:rPr>
        <w:t>Recurrente</w:t>
      </w:r>
      <w:r w:rsidRPr="00DE343C">
        <w:rPr>
          <w:rFonts w:ascii="Palatino Linotype" w:hAnsi="Palatino Linotype"/>
          <w:sz w:val="23"/>
          <w:szCs w:val="23"/>
        </w:rPr>
        <w:t xml:space="preserve"> se desistió del recurso de revisión que nos ocupa,</w:t>
      </w:r>
      <w:r w:rsidR="001852AE" w:rsidRPr="00DE343C">
        <w:rPr>
          <w:rFonts w:ascii="Palatino Linotype" w:hAnsi="Palatino Linotype"/>
          <w:sz w:val="23"/>
          <w:szCs w:val="23"/>
        </w:rPr>
        <w:t xml:space="preserve"> </w:t>
      </w:r>
      <w:r w:rsidRPr="00DE343C">
        <w:rPr>
          <w:rFonts w:ascii="Palatino Linotype" w:hAnsi="Palatino Linotype"/>
          <w:sz w:val="23"/>
          <w:szCs w:val="23"/>
        </w:rPr>
        <w:t>expresando lo siguiente:</w:t>
      </w:r>
    </w:p>
    <w:p w14:paraId="0D0758AE" w14:textId="77777777" w:rsidR="001852AE" w:rsidRPr="00DE343C" w:rsidRDefault="001852AE" w:rsidP="001852AE">
      <w:pPr>
        <w:pStyle w:val="INFOEM"/>
        <w:spacing w:before="0" w:after="0" w:line="240" w:lineRule="auto"/>
        <w:jc w:val="right"/>
        <w:rPr>
          <w:sz w:val="21"/>
          <w:szCs w:val="21"/>
        </w:rPr>
      </w:pPr>
    </w:p>
    <w:p w14:paraId="0DBB7834" w14:textId="77777777" w:rsidR="001852AE" w:rsidRPr="00DE343C" w:rsidRDefault="00D84B6C" w:rsidP="001852AE">
      <w:pPr>
        <w:pStyle w:val="INFOEM"/>
        <w:spacing w:before="0" w:after="0" w:line="240" w:lineRule="auto"/>
        <w:jc w:val="right"/>
        <w:rPr>
          <w:sz w:val="21"/>
          <w:szCs w:val="21"/>
        </w:rPr>
      </w:pPr>
      <w:r w:rsidRPr="00DE343C">
        <w:rPr>
          <w:sz w:val="21"/>
          <w:szCs w:val="21"/>
        </w:rPr>
        <w:t>“</w:t>
      </w:r>
      <w:r w:rsidR="001852AE" w:rsidRPr="00DE343C">
        <w:rPr>
          <w:sz w:val="21"/>
          <w:szCs w:val="21"/>
        </w:rPr>
        <w:t>Tepotzotlán, México a 17 de Febrero de 2022</w:t>
      </w:r>
    </w:p>
    <w:p w14:paraId="6BFF255A" w14:textId="1F366388" w:rsidR="001852AE" w:rsidRPr="00DE343C" w:rsidRDefault="001852AE" w:rsidP="001852AE">
      <w:pPr>
        <w:pStyle w:val="INFOEM"/>
        <w:spacing w:before="0" w:after="0" w:line="240" w:lineRule="auto"/>
        <w:jc w:val="right"/>
        <w:rPr>
          <w:sz w:val="21"/>
          <w:szCs w:val="21"/>
        </w:rPr>
      </w:pPr>
      <w:r w:rsidRPr="00DE343C">
        <w:rPr>
          <w:sz w:val="21"/>
          <w:szCs w:val="21"/>
        </w:rPr>
        <w:t xml:space="preserve">Nombre del solicitante: </w:t>
      </w:r>
      <w:r w:rsidR="00C56931">
        <w:rPr>
          <w:sz w:val="21"/>
          <w:szCs w:val="21"/>
        </w:rPr>
        <w:t>xxxxxx</w:t>
      </w:r>
    </w:p>
    <w:p w14:paraId="3648CBF5" w14:textId="77777777" w:rsidR="001852AE" w:rsidRPr="00DE343C" w:rsidRDefault="001852AE" w:rsidP="001852AE">
      <w:pPr>
        <w:pStyle w:val="INFOEM"/>
        <w:spacing w:before="0" w:after="0" w:line="240" w:lineRule="auto"/>
        <w:jc w:val="right"/>
        <w:rPr>
          <w:sz w:val="21"/>
          <w:szCs w:val="21"/>
        </w:rPr>
      </w:pPr>
      <w:r w:rsidRPr="00DE343C">
        <w:rPr>
          <w:sz w:val="21"/>
          <w:szCs w:val="21"/>
        </w:rPr>
        <w:t>Folio de la solicitud: 00245/TEPOTZOT/IP/2021</w:t>
      </w:r>
    </w:p>
    <w:p w14:paraId="6DE1B039" w14:textId="77777777" w:rsidR="001852AE" w:rsidRPr="00DE343C" w:rsidRDefault="001852AE" w:rsidP="001852AE">
      <w:pPr>
        <w:pStyle w:val="INFOEM"/>
        <w:spacing w:before="0" w:after="0" w:line="240" w:lineRule="auto"/>
        <w:jc w:val="left"/>
        <w:rPr>
          <w:sz w:val="21"/>
          <w:szCs w:val="21"/>
        </w:rPr>
      </w:pPr>
    </w:p>
    <w:p w14:paraId="21C53CF7" w14:textId="2E08B0C9" w:rsidR="001852AE" w:rsidRPr="00DE343C" w:rsidRDefault="00C56931" w:rsidP="001852AE">
      <w:pPr>
        <w:pStyle w:val="INFOEM"/>
        <w:spacing w:before="0" w:after="0" w:line="240" w:lineRule="auto"/>
        <w:jc w:val="left"/>
        <w:rPr>
          <w:sz w:val="21"/>
          <w:szCs w:val="21"/>
        </w:rPr>
      </w:pPr>
      <w:r>
        <w:rPr>
          <w:sz w:val="21"/>
          <w:szCs w:val="21"/>
        </w:rPr>
        <w:t>xxxxxx</w:t>
      </w:r>
    </w:p>
    <w:p w14:paraId="26C083BC" w14:textId="77777777" w:rsidR="001852AE" w:rsidRPr="00DE343C" w:rsidRDefault="001852AE" w:rsidP="001852AE">
      <w:pPr>
        <w:pStyle w:val="INFOEM"/>
        <w:spacing w:before="0" w:after="0" w:line="240" w:lineRule="auto"/>
        <w:jc w:val="center"/>
        <w:rPr>
          <w:sz w:val="21"/>
          <w:szCs w:val="21"/>
        </w:rPr>
      </w:pPr>
      <w:r w:rsidRPr="00DE343C">
        <w:rPr>
          <w:sz w:val="21"/>
          <w:szCs w:val="21"/>
        </w:rPr>
        <w:t>ATENTAMENTE</w:t>
      </w:r>
    </w:p>
    <w:p w14:paraId="3177F71A" w14:textId="35068384" w:rsidR="00D84B6C" w:rsidRPr="00DE343C" w:rsidRDefault="00C56931" w:rsidP="001852AE">
      <w:pPr>
        <w:pStyle w:val="INFOEM"/>
        <w:spacing w:before="0" w:after="0" w:line="240" w:lineRule="auto"/>
        <w:jc w:val="center"/>
        <w:rPr>
          <w:b/>
          <w:sz w:val="21"/>
          <w:szCs w:val="21"/>
        </w:rPr>
      </w:pPr>
      <w:r>
        <w:rPr>
          <w:sz w:val="21"/>
          <w:szCs w:val="21"/>
        </w:rPr>
        <w:t>xxxx</w:t>
      </w:r>
      <w:r w:rsidR="00D84B6C" w:rsidRPr="00DE343C">
        <w:rPr>
          <w:sz w:val="21"/>
          <w:szCs w:val="21"/>
        </w:rPr>
        <w:t xml:space="preserve">” </w:t>
      </w:r>
      <w:r w:rsidR="00D84B6C" w:rsidRPr="00DE343C">
        <w:rPr>
          <w:b/>
          <w:sz w:val="21"/>
          <w:szCs w:val="21"/>
        </w:rPr>
        <w:t>[Sic]</w:t>
      </w:r>
    </w:p>
    <w:p w14:paraId="024A8FB0" w14:textId="77777777" w:rsidR="00943DF1" w:rsidRDefault="00943DF1" w:rsidP="00D57651">
      <w:pPr>
        <w:spacing w:after="0" w:line="360" w:lineRule="auto"/>
        <w:jc w:val="both"/>
        <w:rPr>
          <w:rFonts w:ascii="Palatino Linotype" w:hAnsi="Palatino Linotype" w:cs="Arial"/>
          <w:szCs w:val="24"/>
        </w:rPr>
      </w:pPr>
    </w:p>
    <w:p w14:paraId="7B96B201" w14:textId="77777777" w:rsidR="00DE343C" w:rsidRPr="00145E1B" w:rsidRDefault="00DE343C" w:rsidP="00D57651">
      <w:pPr>
        <w:spacing w:after="0" w:line="360" w:lineRule="auto"/>
        <w:jc w:val="both"/>
        <w:rPr>
          <w:rFonts w:ascii="Palatino Linotype" w:hAnsi="Palatino Linotype" w:cs="Arial"/>
          <w:szCs w:val="24"/>
        </w:rPr>
      </w:pPr>
    </w:p>
    <w:p w14:paraId="0D4A17DB" w14:textId="77777777" w:rsidR="006D5803" w:rsidRPr="00145E1B" w:rsidRDefault="006D5803" w:rsidP="00D57651">
      <w:pPr>
        <w:spacing w:after="0" w:line="360" w:lineRule="auto"/>
        <w:jc w:val="center"/>
        <w:rPr>
          <w:rFonts w:ascii="Palatino Linotype" w:hAnsi="Palatino Linotype" w:cs="Arial"/>
          <w:b/>
          <w:sz w:val="26"/>
          <w:szCs w:val="26"/>
        </w:rPr>
      </w:pPr>
      <w:r w:rsidRPr="00145E1B">
        <w:rPr>
          <w:rFonts w:ascii="Palatino Linotype" w:hAnsi="Palatino Linotype" w:cs="Arial"/>
          <w:b/>
          <w:sz w:val="26"/>
          <w:szCs w:val="26"/>
        </w:rPr>
        <w:lastRenderedPageBreak/>
        <w:t xml:space="preserve">C O N S I D E R A N D O </w:t>
      </w:r>
    </w:p>
    <w:p w14:paraId="6E81E773" w14:textId="08787EFA" w:rsidR="006D5803" w:rsidRPr="00852AB8" w:rsidRDefault="006D5803" w:rsidP="00D57651">
      <w:pPr>
        <w:spacing w:after="0" w:line="360" w:lineRule="auto"/>
        <w:jc w:val="both"/>
        <w:rPr>
          <w:rFonts w:ascii="Palatino Linotype" w:hAnsi="Palatino Linotype" w:cs="Arial"/>
          <w:sz w:val="26"/>
          <w:szCs w:val="26"/>
        </w:rPr>
      </w:pPr>
      <w:r w:rsidRPr="00852AB8">
        <w:rPr>
          <w:rFonts w:ascii="Palatino Linotype" w:hAnsi="Palatino Linotype" w:cs="Arial"/>
          <w:b/>
          <w:sz w:val="26"/>
          <w:szCs w:val="26"/>
        </w:rPr>
        <w:t>PRIMERO. De la competencia</w:t>
      </w:r>
      <w:r w:rsidRPr="00852AB8">
        <w:rPr>
          <w:rFonts w:ascii="Palatino Linotype" w:hAnsi="Palatino Linotype" w:cs="Arial"/>
          <w:sz w:val="26"/>
          <w:szCs w:val="26"/>
        </w:rPr>
        <w:t>.</w:t>
      </w:r>
    </w:p>
    <w:p w14:paraId="25E202C6" w14:textId="77777777" w:rsidR="001C7715" w:rsidRPr="00DE343C" w:rsidRDefault="001C7715" w:rsidP="00D57651">
      <w:pPr>
        <w:spacing w:after="0" w:line="360" w:lineRule="auto"/>
        <w:jc w:val="both"/>
        <w:rPr>
          <w:rFonts w:ascii="Palatino Linotype" w:eastAsia="Calibri" w:hAnsi="Palatino Linotype" w:cs="Arial"/>
          <w:b/>
          <w:color w:val="000000" w:themeColor="text1"/>
          <w:sz w:val="23"/>
          <w:szCs w:val="23"/>
        </w:rPr>
      </w:pPr>
      <w:r w:rsidRPr="00DE343C">
        <w:rPr>
          <w:rFonts w:ascii="Palatino Linotype" w:hAnsi="Palatino Linotype" w:cs="Arial"/>
          <w:sz w:val="23"/>
          <w:szCs w:val="23"/>
          <w:lang w:val="es-ES"/>
        </w:rPr>
        <w:t xml:space="preserve">Este Instituto de Transparencia, Acceso a la Información Pública y Protección de Datos Personales del Estado de México, es competente para conocer y resolver el presente recurso de revisión interpuesto por </w:t>
      </w:r>
      <w:r w:rsidRPr="00DE343C">
        <w:rPr>
          <w:rFonts w:ascii="Palatino Linotype" w:hAnsi="Palatino Linotype" w:cs="Arial"/>
          <w:b/>
          <w:sz w:val="23"/>
          <w:szCs w:val="23"/>
          <w:lang w:val="es-ES"/>
        </w:rPr>
        <w:t xml:space="preserve">la parte recurrente </w:t>
      </w:r>
      <w:r w:rsidRPr="00DE343C">
        <w:rPr>
          <w:rFonts w:ascii="Palatino Linotype" w:hAnsi="Palatino Linotype" w:cs="Arial"/>
          <w:sz w:val="23"/>
          <w:szCs w:val="23"/>
          <w:lang w:val="es-ES"/>
        </w:rPr>
        <w:t xml:space="preserve">conforme a lo dispuesto en los artículos 1, párrafos segundo y tercero, </w:t>
      </w:r>
      <w:r w:rsidRPr="00DE343C">
        <w:rPr>
          <w:rFonts w:ascii="Palatino Linotype" w:eastAsia="Calibri" w:hAnsi="Palatino Linotype"/>
          <w:color w:val="000000" w:themeColor="text1"/>
          <w:sz w:val="23"/>
          <w:szCs w:val="23"/>
        </w:rPr>
        <w:t xml:space="preserve">6, apartado A, fracción IV de la </w:t>
      </w:r>
      <w:r w:rsidRPr="00DE343C">
        <w:rPr>
          <w:rFonts w:ascii="Palatino Linotype" w:eastAsia="Calibri" w:hAnsi="Palatino Linotype"/>
          <w:b/>
          <w:color w:val="000000" w:themeColor="text1"/>
          <w:sz w:val="23"/>
          <w:szCs w:val="23"/>
        </w:rPr>
        <w:t>Constitución Política de los Estados Unidos Mexicanos</w:t>
      </w:r>
      <w:r w:rsidRPr="00DE343C">
        <w:rPr>
          <w:rFonts w:ascii="Palatino Linotype" w:eastAsia="Calibri" w:hAnsi="Palatino Linotype"/>
          <w:color w:val="000000" w:themeColor="text1"/>
          <w:sz w:val="23"/>
          <w:szCs w:val="23"/>
        </w:rPr>
        <w:t xml:space="preserve">; 5, párrafos trigésimo, trigésimo primero y trigésimo segundo, fracciones IV y V, de la </w:t>
      </w:r>
      <w:r w:rsidRPr="00DE343C">
        <w:rPr>
          <w:rFonts w:ascii="Palatino Linotype" w:eastAsia="Calibri" w:hAnsi="Palatino Linotype"/>
          <w:b/>
          <w:color w:val="000000" w:themeColor="text1"/>
          <w:sz w:val="23"/>
          <w:szCs w:val="23"/>
        </w:rPr>
        <w:t>Constitución Política del Estado Libre y Soberano de México</w:t>
      </w:r>
      <w:r w:rsidRPr="00DE343C">
        <w:rPr>
          <w:rFonts w:ascii="Palatino Linotype" w:eastAsia="Calibri" w:hAnsi="Palatino Linotype"/>
          <w:color w:val="000000" w:themeColor="text1"/>
          <w:sz w:val="23"/>
          <w:szCs w:val="23"/>
        </w:rPr>
        <w:t xml:space="preserve">; artículos 1, 2 fracción II, 13, 29, 36 fracciones I y II, 176, 178, 179, 181 párrafo tercero y 185 </w:t>
      </w:r>
      <w:r w:rsidRPr="00DE343C">
        <w:rPr>
          <w:rFonts w:ascii="Palatino Linotype" w:eastAsia="Calibri" w:hAnsi="Palatino Linotype" w:cs="Arial"/>
          <w:color w:val="000000" w:themeColor="text1"/>
          <w:sz w:val="23"/>
          <w:szCs w:val="23"/>
        </w:rPr>
        <w:t xml:space="preserve">de la </w:t>
      </w:r>
      <w:r w:rsidRPr="00DE343C">
        <w:rPr>
          <w:rFonts w:ascii="Palatino Linotype" w:eastAsia="Calibri" w:hAnsi="Palatino Linotype" w:cs="Arial"/>
          <w:b/>
          <w:color w:val="000000" w:themeColor="text1"/>
          <w:sz w:val="23"/>
          <w:szCs w:val="23"/>
        </w:rPr>
        <w:t>Ley de Transparencia y Acceso a la Información Pública del Estado de México y Municipios</w:t>
      </w:r>
      <w:r w:rsidRPr="00DE343C">
        <w:rPr>
          <w:rFonts w:ascii="Palatino Linotype" w:eastAsia="Calibri" w:hAnsi="Palatino Linotype" w:cs="Arial"/>
          <w:color w:val="000000" w:themeColor="text1"/>
          <w:sz w:val="23"/>
          <w:szCs w:val="23"/>
        </w:rPr>
        <w:t xml:space="preserve">; y 10, 7, 9 fracciones I y XXIV, y 11 del </w:t>
      </w:r>
      <w:r w:rsidRPr="00DE343C">
        <w:rPr>
          <w:rFonts w:ascii="Palatino Linotype" w:eastAsia="Calibri" w:hAnsi="Palatino Linotype" w:cs="Arial"/>
          <w:b/>
          <w:color w:val="000000" w:themeColor="text1"/>
          <w:sz w:val="23"/>
          <w:szCs w:val="23"/>
        </w:rPr>
        <w:t>Reglamento Interior del Instituto de Transparencia, Acceso a la Información Pública y Protección de Datos Personales del Estado de México y Municipios.</w:t>
      </w:r>
    </w:p>
    <w:p w14:paraId="75260C30" w14:textId="77777777" w:rsidR="006D5803" w:rsidRPr="00145E1B" w:rsidRDefault="006D5803" w:rsidP="00D57651">
      <w:pPr>
        <w:spacing w:after="0" w:line="360" w:lineRule="auto"/>
        <w:jc w:val="both"/>
        <w:rPr>
          <w:rFonts w:ascii="Palatino Linotype" w:hAnsi="Palatino Linotype" w:cs="Arial"/>
          <w:szCs w:val="24"/>
        </w:rPr>
      </w:pPr>
    </w:p>
    <w:p w14:paraId="5622F245" w14:textId="77777777" w:rsidR="00E763BC" w:rsidRPr="00852AB8" w:rsidRDefault="006D5803" w:rsidP="00E763BC">
      <w:pPr>
        <w:pStyle w:val="Sinespaciado"/>
        <w:spacing w:line="360" w:lineRule="auto"/>
        <w:jc w:val="both"/>
        <w:rPr>
          <w:rFonts w:ascii="Palatino Linotype" w:hAnsi="Palatino Linotype"/>
          <w:b/>
          <w:sz w:val="26"/>
          <w:szCs w:val="26"/>
        </w:rPr>
      </w:pPr>
      <w:r w:rsidRPr="00852AB8">
        <w:rPr>
          <w:rFonts w:ascii="Palatino Linotype" w:hAnsi="Palatino Linotype" w:cs="Arial"/>
          <w:b/>
          <w:sz w:val="26"/>
          <w:szCs w:val="26"/>
        </w:rPr>
        <w:t xml:space="preserve">SEGUNDO. </w:t>
      </w:r>
      <w:r w:rsidR="00E763BC" w:rsidRPr="00852AB8">
        <w:rPr>
          <w:rFonts w:ascii="Palatino Linotype" w:hAnsi="Palatino Linotype"/>
          <w:b/>
          <w:sz w:val="26"/>
          <w:szCs w:val="26"/>
        </w:rPr>
        <w:t>De las causas de improcedencia.</w:t>
      </w:r>
    </w:p>
    <w:p w14:paraId="17E86999"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A27CBAD" w14:textId="77777777"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2"/>
          <w:szCs w:val="23"/>
          <w:lang w:val="es-MX" w:eastAsia="en-US"/>
        </w:rPr>
      </w:pPr>
    </w:p>
    <w:p w14:paraId="73BD956B"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1852AE">
        <w:rPr>
          <w:rFonts w:ascii="Palatino Linotype" w:eastAsiaTheme="minorHAnsi" w:hAnsi="Palatino Linotype" w:cs="Arial"/>
          <w:sz w:val="23"/>
          <w:szCs w:val="23"/>
          <w:lang w:val="es-MX" w:eastAsia="en-US"/>
        </w:rPr>
        <w:lastRenderedPageBreak/>
        <w:t>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4B1A2773" w14:textId="77777777"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4"/>
          <w:szCs w:val="23"/>
          <w:lang w:val="es-MX" w:eastAsia="en-US"/>
        </w:rPr>
      </w:pPr>
    </w:p>
    <w:p w14:paraId="4568511A"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4DFC229E"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CC8EEDF"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b/>
          <w:i/>
          <w:sz w:val="21"/>
          <w:szCs w:val="21"/>
          <w:lang w:val="es-MX" w:eastAsia="en-US"/>
        </w:rPr>
        <w:t>“Artículo 191.</w:t>
      </w:r>
      <w:r w:rsidRPr="00DE343C">
        <w:rPr>
          <w:rFonts w:ascii="Palatino Linotype" w:eastAsiaTheme="minorHAnsi" w:hAnsi="Palatino Linotype" w:cs="Arial"/>
          <w:i/>
          <w:sz w:val="21"/>
          <w:szCs w:val="21"/>
          <w:lang w:val="es-MX" w:eastAsia="en-US"/>
        </w:rPr>
        <w:t xml:space="preserve"> El recurso será desechado por improcedente cuando:  </w:t>
      </w:r>
    </w:p>
    <w:p w14:paraId="2380DB4C"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 Sea extemporáneo por haber transcurrido el plazo establecido en la presente Ley, a partir de la respuesta;  </w:t>
      </w:r>
    </w:p>
    <w:p w14:paraId="2169B6DF"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 Se esté tramitando ante el Poder Judicial de la Federación algún recurso o medio de defensa interpuesto por el recurrente;  </w:t>
      </w:r>
    </w:p>
    <w:p w14:paraId="6F994EB1"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III. No actualice alguno de los supuestos previstos en la presente Ley;  </w:t>
      </w:r>
    </w:p>
    <w:p w14:paraId="676CD9A7"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IV. No se haya desahogado la prevención en los términos establecidos en la presente Ley;  </w:t>
      </w:r>
    </w:p>
    <w:p w14:paraId="55E6D786"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 Se impugne la veracidad de la información proporcionada;  </w:t>
      </w:r>
    </w:p>
    <w:p w14:paraId="13E71330"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VI. Se trate de una consulta, o trámite en específico; y  </w:t>
      </w:r>
    </w:p>
    <w:p w14:paraId="22D7D44F" w14:textId="77777777" w:rsidR="001852AE" w:rsidRPr="00DE343C" w:rsidRDefault="001852AE" w:rsidP="00DE343C">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VII. El recurrente amplíe su solicitud en el recurso de revisión, únicamente respecto de los nuevos contenidos” (Sic).</w:t>
      </w:r>
    </w:p>
    <w:p w14:paraId="4CF89332"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7733BD5A"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Ya que no fue interpuesto de forma extemporánea, no se está tramitando ante el Poder Judicial Federal, no es una consulta, o trámite en específico, ni tampoco se advierte que el recurrente amplíe su solicitud en el recurso de revisión.</w:t>
      </w:r>
    </w:p>
    <w:p w14:paraId="16F41DE2" w14:textId="77777777"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2"/>
          <w:szCs w:val="23"/>
          <w:lang w:val="es-MX" w:eastAsia="en-US"/>
        </w:rPr>
      </w:pPr>
    </w:p>
    <w:p w14:paraId="2E2B2811" w14:textId="3743A9FB" w:rsidR="001852AE" w:rsidRPr="001852AE" w:rsidRDefault="00DD6E26"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Pr>
          <w:rFonts w:ascii="Palatino Linotype" w:eastAsiaTheme="minorHAnsi" w:hAnsi="Palatino Linotype" w:cs="Arial"/>
          <w:sz w:val="23"/>
          <w:szCs w:val="23"/>
          <w:lang w:val="es-MX" w:eastAsia="en-US"/>
        </w:rPr>
        <w:t>Aunado a lo anterior</w:t>
      </w:r>
      <w:r w:rsidR="001852AE" w:rsidRPr="001852AE">
        <w:rPr>
          <w:rFonts w:ascii="Palatino Linotype" w:eastAsiaTheme="minorHAnsi" w:hAnsi="Palatino Linotype" w:cs="Arial"/>
          <w:sz w:val="23"/>
          <w:szCs w:val="23"/>
          <w:lang w:val="es-MX" w:eastAsia="en-US"/>
        </w:rPr>
        <w:t>, es necesario referir, que si bien el recurso de mérito es procedente al haber sido admitido como ha quedado descrito en el apartado de antecedentes, no menos cierto es que en el acuerdo de admisión no</w:t>
      </w:r>
      <w:r>
        <w:rPr>
          <w:rFonts w:ascii="Palatino Linotype" w:eastAsiaTheme="minorHAnsi" w:hAnsi="Palatino Linotype" w:cs="Arial"/>
          <w:sz w:val="23"/>
          <w:szCs w:val="23"/>
          <w:lang w:val="es-MX" w:eastAsia="en-US"/>
        </w:rPr>
        <w:t xml:space="preserve"> se hace mención al nombre de del</w:t>
      </w:r>
      <w:r w:rsidR="001852AE" w:rsidRPr="001852AE">
        <w:rPr>
          <w:rFonts w:ascii="Palatino Linotype" w:eastAsiaTheme="minorHAnsi" w:hAnsi="Palatino Linotype" w:cs="Arial"/>
          <w:sz w:val="23"/>
          <w:szCs w:val="23"/>
          <w:lang w:val="es-MX" w:eastAsia="en-US"/>
        </w:rPr>
        <w:t xml:space="preserve"> Recurrente</w:t>
      </w:r>
      <w:r>
        <w:rPr>
          <w:rFonts w:ascii="Palatino Linotype" w:eastAsiaTheme="minorHAnsi" w:hAnsi="Palatino Linotype" w:cs="Arial"/>
          <w:sz w:val="23"/>
          <w:szCs w:val="23"/>
          <w:lang w:val="es-MX" w:eastAsia="en-US"/>
        </w:rPr>
        <w:t xml:space="preserve"> pues el Particular se limita a realizarse con el nombre </w:t>
      </w:r>
      <w:r w:rsidR="00C56931">
        <w:rPr>
          <w:rFonts w:ascii="Palatino Linotype" w:eastAsiaTheme="minorHAnsi" w:hAnsi="Palatino Linotype" w:cs="Arial"/>
          <w:sz w:val="23"/>
          <w:szCs w:val="23"/>
          <w:lang w:val="es-MX" w:eastAsia="en-US"/>
        </w:rPr>
        <w:t>xxxx</w:t>
      </w:r>
      <w:r w:rsidR="001852AE" w:rsidRPr="001852AE">
        <w:rPr>
          <w:rFonts w:ascii="Palatino Linotype" w:eastAsiaTheme="minorHAnsi" w:hAnsi="Palatino Linotype" w:cs="Arial"/>
          <w:sz w:val="23"/>
          <w:szCs w:val="23"/>
          <w:lang w:val="es-MX" w:eastAsia="en-US"/>
        </w:rPr>
        <w:t xml:space="preserve">, </w:t>
      </w:r>
      <w:r>
        <w:rPr>
          <w:rFonts w:ascii="Palatino Linotype" w:eastAsiaTheme="minorHAnsi" w:hAnsi="Palatino Linotype" w:cs="Arial"/>
          <w:sz w:val="23"/>
          <w:szCs w:val="23"/>
          <w:lang w:val="es-MX" w:eastAsia="en-US"/>
        </w:rPr>
        <w:t xml:space="preserve">sin embargo </w:t>
      </w:r>
      <w:r w:rsidR="001852AE" w:rsidRPr="001852AE">
        <w:rPr>
          <w:rFonts w:ascii="Palatino Linotype" w:eastAsiaTheme="minorHAnsi" w:hAnsi="Palatino Linotype" w:cs="Arial"/>
          <w:sz w:val="23"/>
          <w:szCs w:val="23"/>
          <w:lang w:val="es-MX" w:eastAsia="en-US"/>
        </w:rPr>
        <w:t xml:space="preserve">este punto se tiene por satisfecho, ya que el artículo 180 de la Ley de Transparencia y Acceso a la Información Pública del Estado de México y Municipios último párrafo, prevé que no es requisito </w:t>
      </w:r>
      <w:r w:rsidR="001852AE" w:rsidRPr="001852AE">
        <w:rPr>
          <w:rFonts w:ascii="Palatino Linotype" w:eastAsiaTheme="minorHAnsi" w:hAnsi="Palatino Linotype" w:cs="Arial"/>
          <w:sz w:val="23"/>
          <w:szCs w:val="23"/>
          <w:lang w:val="es-MX" w:eastAsia="en-US"/>
        </w:rPr>
        <w:lastRenderedPageBreak/>
        <w:t>indispensable contener el nombre cuando se hace la impugnación de manera electrónica, ello porque no se advierte nombre en específico sino “</w:t>
      </w:r>
      <w:r w:rsidR="00C56931">
        <w:rPr>
          <w:rFonts w:ascii="Palatino Linotype" w:eastAsiaTheme="minorHAnsi" w:hAnsi="Palatino Linotype" w:cs="Arial"/>
          <w:sz w:val="23"/>
          <w:szCs w:val="23"/>
          <w:lang w:val="es-MX" w:eastAsia="en-US"/>
        </w:rPr>
        <w:t>xxxx</w:t>
      </w:r>
      <w:r w:rsidR="001852AE" w:rsidRPr="001852AE">
        <w:rPr>
          <w:rFonts w:ascii="Palatino Linotype" w:eastAsiaTheme="minorHAnsi" w:hAnsi="Palatino Linotype" w:cs="Arial"/>
          <w:sz w:val="23"/>
          <w:szCs w:val="23"/>
          <w:lang w:val="es-MX" w:eastAsia="en-US"/>
        </w:rPr>
        <w:t>”, del cual no se colige que corresponda al nombre de una persona.</w:t>
      </w:r>
    </w:p>
    <w:p w14:paraId="48ACDA29" w14:textId="165E8DDD"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2"/>
          <w:szCs w:val="23"/>
          <w:lang w:val="es-MX" w:eastAsia="en-US"/>
        </w:rPr>
      </w:pPr>
    </w:p>
    <w:p w14:paraId="2A3A2366" w14:textId="7652F7D3"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Atento a lo anterior, esta Ponencia considera importante abordar el análisis de los requisitos de procedibilidad de los recursos de revisión, por tanto el artículo 180 de la Ley de Transparencia y Acceso a la Información Pública del Estado de México y Municipios, establece lo siguiente:</w:t>
      </w:r>
    </w:p>
    <w:p w14:paraId="136CC4FE"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4ECDFBF2" w14:textId="77777777" w:rsidR="001852AE" w:rsidRPr="00DD6E26" w:rsidRDefault="001852AE" w:rsidP="00DD6E26">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b/>
          <w:i/>
          <w:sz w:val="21"/>
          <w:szCs w:val="21"/>
          <w:lang w:val="es-MX" w:eastAsia="en-US"/>
        </w:rPr>
        <w:t>“Artículo 180.</w:t>
      </w:r>
      <w:r w:rsidRPr="00DD6E26">
        <w:rPr>
          <w:rFonts w:ascii="Palatino Linotype" w:eastAsiaTheme="minorHAnsi" w:hAnsi="Palatino Linotype" w:cs="Arial"/>
          <w:i/>
          <w:sz w:val="21"/>
          <w:szCs w:val="21"/>
          <w:lang w:val="es-MX" w:eastAsia="en-US"/>
        </w:rPr>
        <w:t xml:space="preserve"> El recurso de revisión contendrá: </w:t>
      </w:r>
    </w:p>
    <w:p w14:paraId="4F474B2E" w14:textId="77777777" w:rsidR="001852AE" w:rsidRPr="00DD6E26" w:rsidRDefault="001852AE" w:rsidP="00DD6E26">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 El sujeto obligado ante la cual se presentó la solicitud; </w:t>
      </w:r>
    </w:p>
    <w:p w14:paraId="7D1BFC7F" w14:textId="77777777" w:rsidR="001852AE" w:rsidRPr="00DD6E26" w:rsidRDefault="001852AE" w:rsidP="00DD6E26">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II. El nombre del solicitante que recurre o de su representante y, en su caso, del tercero interesado, así como la dirección o medio que señale para recibir notificaciones; </w:t>
      </w:r>
    </w:p>
    <w:p w14:paraId="35B29DB5" w14:textId="77777777" w:rsidR="001852AE" w:rsidRPr="00DD6E26" w:rsidRDefault="001852AE" w:rsidP="00DD6E26">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(Sic).</w:t>
      </w:r>
    </w:p>
    <w:p w14:paraId="2058EF1D"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A8642A5" w14:textId="5E272FF5" w:rsid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principio, de una interpretación del artículo transcrito se observan los requisitos que deberán contener los recursos de revisión; sobre el particular, de la revisión del expediente electrónico del Sistema de Acce</w:t>
      </w:r>
      <w:r w:rsidR="00DD6E26">
        <w:rPr>
          <w:rFonts w:ascii="Palatino Linotype" w:eastAsiaTheme="minorHAnsi" w:hAnsi="Palatino Linotype" w:cs="Arial"/>
          <w:sz w:val="23"/>
          <w:szCs w:val="23"/>
          <w:lang w:val="es-MX" w:eastAsia="en-US"/>
        </w:rPr>
        <w:t xml:space="preserve">so a la Información Mexiquense </w:t>
      </w:r>
      <w:r w:rsidRPr="001852AE">
        <w:rPr>
          <w:rFonts w:ascii="Palatino Linotype" w:eastAsiaTheme="minorHAnsi" w:hAnsi="Palatino Linotype" w:cs="Arial"/>
          <w:sz w:val="23"/>
          <w:szCs w:val="23"/>
          <w:lang w:val="es-MX" w:eastAsia="en-US"/>
        </w:rPr>
        <w:t xml:space="preserve">(SAIMEX), se desprende 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w:t>
      </w:r>
      <w:r w:rsidR="00DD6E26">
        <w:rPr>
          <w:rFonts w:ascii="Palatino Linotype" w:eastAsiaTheme="minorHAnsi" w:hAnsi="Palatino Linotype" w:cs="Arial"/>
          <w:sz w:val="23"/>
          <w:szCs w:val="23"/>
          <w:lang w:val="es-MX" w:eastAsia="en-US"/>
        </w:rPr>
        <w:t>forma con el sustantivo propio,</w:t>
      </w:r>
      <w:r w:rsidRPr="001852AE">
        <w:rPr>
          <w:rFonts w:ascii="Palatino Linotype" w:eastAsiaTheme="minorHAnsi" w:hAnsi="Palatino Linotype" w:cs="Arial"/>
          <w:sz w:val="23"/>
          <w:szCs w:val="23"/>
          <w:lang w:val="es-MX" w:eastAsia="en-US"/>
        </w:rPr>
        <w:t xml:space="preserve"> el primer apellido del padre y el primer apellido de la madre; lo anterior a efecto que sea identificado, sin embargo fue registrado en el apartado de “DATOS DEL SOLICITANTE”, el nombre de “</w:t>
      </w:r>
      <w:r w:rsidR="00C56931">
        <w:rPr>
          <w:rFonts w:ascii="Palatino Linotype" w:eastAsiaTheme="minorHAnsi" w:hAnsi="Palatino Linotype" w:cs="Arial"/>
          <w:sz w:val="23"/>
          <w:szCs w:val="23"/>
          <w:lang w:val="es-MX" w:eastAsia="en-US"/>
        </w:rPr>
        <w:t>xxxx</w:t>
      </w:r>
      <w:r w:rsidRPr="001852AE">
        <w:rPr>
          <w:rFonts w:ascii="Palatino Linotype" w:eastAsiaTheme="minorHAnsi" w:hAnsi="Palatino Linotype" w:cs="Arial"/>
          <w:sz w:val="23"/>
          <w:szCs w:val="23"/>
          <w:lang w:val="es-MX" w:eastAsia="en-US"/>
        </w:rPr>
        <w:t>”; por lo que no tiene certeza sobre su identidad, lo que en estricto sentido, no se colmarían los requisitos establecidos en el citado artículo 180 de la Ley de Transparencia.</w:t>
      </w:r>
    </w:p>
    <w:p w14:paraId="7A94CB70" w14:textId="77777777" w:rsidR="00812314" w:rsidRPr="00812314" w:rsidRDefault="00812314" w:rsidP="001852AE">
      <w:pPr>
        <w:pStyle w:val="Prrafodelista"/>
        <w:autoSpaceDE w:val="0"/>
        <w:autoSpaceDN w:val="0"/>
        <w:adjustRightInd w:val="0"/>
        <w:spacing w:line="360" w:lineRule="auto"/>
        <w:ind w:left="0"/>
        <w:jc w:val="both"/>
        <w:rPr>
          <w:rFonts w:ascii="Palatino Linotype" w:eastAsiaTheme="minorHAnsi" w:hAnsi="Palatino Linotype" w:cs="Arial"/>
          <w:sz w:val="14"/>
          <w:szCs w:val="23"/>
          <w:lang w:val="es-MX" w:eastAsia="en-US"/>
        </w:rPr>
      </w:pPr>
    </w:p>
    <w:p w14:paraId="6BB793D9"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No obstante lo anterior, debe destacarse que el artículo 15 de Ley de Transparencia y Acceso a la Información Pública del Estado de México y Municipios prevé que, toda </w:t>
      </w:r>
      <w:r w:rsidRPr="001852AE">
        <w:rPr>
          <w:rFonts w:ascii="Palatino Linotype" w:eastAsiaTheme="minorHAnsi" w:hAnsi="Palatino Linotype" w:cs="Arial"/>
          <w:sz w:val="23"/>
          <w:szCs w:val="23"/>
          <w:lang w:val="es-MX" w:eastAsia="en-US"/>
        </w:rPr>
        <w:lastRenderedPageBreak/>
        <w:t>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7CAFD8D9" w14:textId="77777777"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4"/>
          <w:szCs w:val="23"/>
          <w:lang w:val="es-MX" w:eastAsia="en-US"/>
        </w:rPr>
      </w:pPr>
    </w:p>
    <w:p w14:paraId="011F0821" w14:textId="77777777" w:rsidR="001852AE"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780E1" w14:textId="77777777" w:rsidR="001852AE" w:rsidRPr="00812314"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14"/>
          <w:szCs w:val="23"/>
          <w:lang w:val="es-MX" w:eastAsia="en-US"/>
        </w:rPr>
      </w:pPr>
    </w:p>
    <w:p w14:paraId="7FAD1A2A" w14:textId="523ABA03" w:rsidR="005B1C46" w:rsidRPr="001852AE" w:rsidRDefault="001852AE" w:rsidP="001852AE">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En este sentido, </w:t>
      </w:r>
      <w:r w:rsidR="004B0DED">
        <w:rPr>
          <w:rFonts w:ascii="Palatino Linotype" w:eastAsiaTheme="minorHAnsi" w:hAnsi="Palatino Linotype" w:cs="Arial"/>
          <w:sz w:val="23"/>
          <w:szCs w:val="23"/>
          <w:lang w:val="es-MX" w:eastAsia="en-US"/>
        </w:rPr>
        <w:t>se advierte que no existen</w:t>
      </w:r>
      <w:r w:rsidRPr="001852AE">
        <w:rPr>
          <w:rFonts w:ascii="Palatino Linotype" w:eastAsiaTheme="minorHAnsi" w:hAnsi="Palatino Linotype" w:cs="Arial"/>
          <w:sz w:val="23"/>
          <w:szCs w:val="23"/>
          <w:lang w:val="es-MX" w:eastAsia="en-US"/>
        </w:rPr>
        <w:t xml:space="preserve"> causas de improcedencia invocadas por las partes ni advertidas de oficio, </w:t>
      </w:r>
      <w:r w:rsidR="004B0DED">
        <w:rPr>
          <w:rFonts w:ascii="Palatino Linotype" w:eastAsiaTheme="minorHAnsi" w:hAnsi="Palatino Linotype" w:cs="Arial"/>
          <w:sz w:val="23"/>
          <w:szCs w:val="23"/>
          <w:lang w:val="es-MX" w:eastAsia="en-US"/>
        </w:rPr>
        <w:t xml:space="preserve">por </w:t>
      </w:r>
      <w:r w:rsidRPr="001852AE">
        <w:rPr>
          <w:rFonts w:ascii="Palatino Linotype" w:eastAsiaTheme="minorHAnsi" w:hAnsi="Palatino Linotype" w:cs="Arial"/>
          <w:sz w:val="23"/>
          <w:szCs w:val="23"/>
          <w:lang w:val="es-MX" w:eastAsia="en-US"/>
        </w:rPr>
        <w:t>este Órg</w:t>
      </w:r>
      <w:r w:rsidR="004B0DED">
        <w:rPr>
          <w:rFonts w:ascii="Palatino Linotype" w:eastAsiaTheme="minorHAnsi" w:hAnsi="Palatino Linotype" w:cs="Arial"/>
          <w:sz w:val="23"/>
          <w:szCs w:val="23"/>
          <w:lang w:val="es-MX" w:eastAsia="en-US"/>
        </w:rPr>
        <w:t>ano Garante de la Transparencia.</w:t>
      </w:r>
    </w:p>
    <w:p w14:paraId="6247082D" w14:textId="77777777" w:rsidR="001852AE" w:rsidRPr="00812314" w:rsidRDefault="001852AE" w:rsidP="001852AE">
      <w:pPr>
        <w:pStyle w:val="Prrafodelista"/>
        <w:autoSpaceDE w:val="0"/>
        <w:autoSpaceDN w:val="0"/>
        <w:adjustRightInd w:val="0"/>
        <w:spacing w:line="360" w:lineRule="auto"/>
        <w:ind w:left="0"/>
        <w:jc w:val="both"/>
        <w:rPr>
          <w:rFonts w:ascii="Palatino Linotype" w:hAnsi="Palatino Linotype" w:cs="Arial"/>
          <w:sz w:val="12"/>
        </w:rPr>
      </w:pPr>
    </w:p>
    <w:p w14:paraId="1D10037E" w14:textId="26B23A26" w:rsidR="00BB4FA9" w:rsidRPr="00852AB8" w:rsidRDefault="00BB4FA9" w:rsidP="00D57651">
      <w:pPr>
        <w:pStyle w:val="Prrafodelista"/>
        <w:autoSpaceDE w:val="0"/>
        <w:autoSpaceDN w:val="0"/>
        <w:adjustRightInd w:val="0"/>
        <w:spacing w:line="360" w:lineRule="auto"/>
        <w:ind w:left="0"/>
        <w:jc w:val="both"/>
        <w:rPr>
          <w:rFonts w:ascii="Palatino Linotype" w:hAnsi="Palatino Linotype" w:cs="Arial"/>
          <w:b/>
          <w:sz w:val="26"/>
          <w:szCs w:val="26"/>
        </w:rPr>
      </w:pPr>
      <w:r w:rsidRPr="00852AB8">
        <w:rPr>
          <w:rFonts w:ascii="Palatino Linotype" w:hAnsi="Palatino Linotype" w:cs="Arial"/>
          <w:b/>
          <w:sz w:val="26"/>
          <w:szCs w:val="26"/>
        </w:rPr>
        <w:t>TERCERO. Del estudio de las causas de sobreseimiento</w:t>
      </w:r>
      <w:r w:rsidR="00250EDE" w:rsidRPr="00852AB8">
        <w:rPr>
          <w:rFonts w:ascii="Palatino Linotype" w:hAnsi="Palatino Linotype" w:cs="Arial"/>
          <w:b/>
          <w:sz w:val="26"/>
          <w:szCs w:val="26"/>
        </w:rPr>
        <w:t>.</w:t>
      </w:r>
    </w:p>
    <w:p w14:paraId="0B18273B" w14:textId="531A6A12" w:rsidR="0044721E" w:rsidRPr="004B0DED" w:rsidRDefault="0044721E" w:rsidP="00D57651">
      <w:pPr>
        <w:spacing w:after="0" w:line="360" w:lineRule="auto"/>
        <w:jc w:val="both"/>
        <w:rPr>
          <w:rFonts w:ascii="Palatino Linotype" w:eastAsia="Times New Roman" w:hAnsi="Palatino Linotype" w:cs="Times New Roman"/>
          <w:sz w:val="23"/>
          <w:szCs w:val="23"/>
          <w:lang w:eastAsia="es-ES"/>
        </w:rPr>
      </w:pPr>
      <w:r w:rsidRPr="004B0DED">
        <w:rPr>
          <w:rFonts w:ascii="Palatino Linotype" w:eastAsia="Times New Roman" w:hAnsi="Palatino Linotype" w:cs="Times New Roman"/>
          <w:sz w:val="23"/>
          <w:szCs w:val="23"/>
          <w:lang w:eastAsia="es-ES"/>
        </w:rPr>
        <w:t>En este sentido en el marco del derecho de acceso a la información pública,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y 160, de la Ley local en la materia, que a la letra citan:</w:t>
      </w:r>
    </w:p>
    <w:p w14:paraId="13EF1629" w14:textId="77777777" w:rsidR="00255FE8" w:rsidRPr="00145E1B" w:rsidRDefault="00255FE8" w:rsidP="00D57651">
      <w:pPr>
        <w:spacing w:after="0" w:line="360" w:lineRule="auto"/>
        <w:jc w:val="both"/>
        <w:rPr>
          <w:rFonts w:ascii="Palatino Linotype" w:eastAsia="Times New Roman" w:hAnsi="Palatino Linotype" w:cs="Times New Roman"/>
          <w:szCs w:val="24"/>
          <w:lang w:eastAsia="es-ES"/>
        </w:rPr>
      </w:pPr>
    </w:p>
    <w:p w14:paraId="38A5CA24" w14:textId="77777777" w:rsidR="0044721E" w:rsidRPr="004B0DED" w:rsidRDefault="0044721E" w:rsidP="00255FE8">
      <w:pPr>
        <w:pStyle w:val="infoemcitas"/>
        <w:spacing w:before="0" w:after="0" w:line="240" w:lineRule="auto"/>
        <w:ind w:left="567"/>
        <w:rPr>
          <w:sz w:val="21"/>
          <w:szCs w:val="21"/>
          <w:lang w:eastAsia="es-ES"/>
        </w:rPr>
      </w:pPr>
      <w:r w:rsidRPr="004B0DED">
        <w:rPr>
          <w:b/>
          <w:sz w:val="21"/>
          <w:szCs w:val="21"/>
          <w:lang w:eastAsia="es-ES"/>
        </w:rPr>
        <w:lastRenderedPageBreak/>
        <w:t>“Artículo 4.</w:t>
      </w:r>
      <w:r w:rsidRPr="004B0DED">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B489A66" w14:textId="77777777" w:rsidR="0044721E" w:rsidRPr="004B0DED" w:rsidRDefault="0044721E" w:rsidP="00255FE8">
      <w:pPr>
        <w:pStyle w:val="infoemcitas"/>
        <w:spacing w:before="0" w:after="0" w:line="240" w:lineRule="auto"/>
        <w:ind w:left="567"/>
        <w:rPr>
          <w:sz w:val="21"/>
          <w:szCs w:val="21"/>
          <w:lang w:eastAsia="es-ES"/>
        </w:rPr>
      </w:pPr>
      <w:r w:rsidRPr="004B0DED">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58144B" w14:textId="77777777" w:rsidR="0044721E" w:rsidRPr="004B0DED" w:rsidRDefault="0044721E" w:rsidP="00255FE8">
      <w:pPr>
        <w:pStyle w:val="infoemcitas"/>
        <w:spacing w:before="0" w:after="0" w:line="240" w:lineRule="auto"/>
        <w:ind w:left="567"/>
        <w:rPr>
          <w:sz w:val="21"/>
          <w:szCs w:val="21"/>
          <w:lang w:eastAsia="es-ES"/>
        </w:rPr>
      </w:pPr>
      <w:r w:rsidRPr="004B0DED">
        <w:rPr>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3D0F67E6" w14:textId="77777777" w:rsidR="0044721E" w:rsidRPr="004B0DED" w:rsidRDefault="0044721E" w:rsidP="00255FE8">
      <w:pPr>
        <w:pStyle w:val="infoemcitas"/>
        <w:spacing w:before="0" w:after="0" w:line="240" w:lineRule="auto"/>
        <w:ind w:left="567"/>
        <w:rPr>
          <w:sz w:val="21"/>
          <w:szCs w:val="21"/>
          <w:lang w:eastAsia="es-ES"/>
        </w:rPr>
      </w:pPr>
      <w:r w:rsidRPr="004B0DED">
        <w:rPr>
          <w:b/>
          <w:sz w:val="21"/>
          <w:szCs w:val="21"/>
          <w:lang w:eastAsia="es-ES"/>
        </w:rPr>
        <w:t>Artículo 12.</w:t>
      </w:r>
      <w:r w:rsidRPr="004B0DED">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1311B68D" w14:textId="77777777" w:rsidR="0044721E" w:rsidRPr="004B0DED" w:rsidRDefault="0044721E" w:rsidP="00255FE8">
      <w:pPr>
        <w:pStyle w:val="infoemcitas"/>
        <w:spacing w:before="0" w:after="0" w:line="240" w:lineRule="auto"/>
        <w:ind w:left="567"/>
        <w:rPr>
          <w:sz w:val="21"/>
          <w:szCs w:val="21"/>
          <w:lang w:eastAsia="es-ES"/>
        </w:rPr>
      </w:pPr>
      <w:r w:rsidRPr="004B0DED">
        <w:rPr>
          <w:sz w:val="21"/>
          <w:szCs w:val="21"/>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950A74" w14:textId="77777777" w:rsidR="0044721E" w:rsidRPr="004B0DED" w:rsidRDefault="0044721E" w:rsidP="00255FE8">
      <w:pPr>
        <w:pStyle w:val="infoemcitas"/>
        <w:spacing w:before="0" w:after="0" w:line="240" w:lineRule="auto"/>
        <w:ind w:left="567"/>
        <w:rPr>
          <w:sz w:val="21"/>
          <w:szCs w:val="21"/>
          <w:lang w:eastAsia="es-ES"/>
        </w:rPr>
      </w:pPr>
      <w:r w:rsidRPr="004B0DED">
        <w:rPr>
          <w:sz w:val="21"/>
          <w:szCs w:val="21"/>
          <w:lang w:eastAsia="es-ES"/>
        </w:rPr>
        <w:t>(…)</w:t>
      </w:r>
    </w:p>
    <w:p w14:paraId="55BEC5B4" w14:textId="77777777" w:rsidR="0044721E" w:rsidRPr="004B0DED" w:rsidRDefault="0044721E" w:rsidP="00255FE8">
      <w:pPr>
        <w:pStyle w:val="infoemcitas"/>
        <w:spacing w:before="0" w:after="0" w:line="240" w:lineRule="auto"/>
        <w:ind w:left="567"/>
        <w:rPr>
          <w:sz w:val="21"/>
          <w:szCs w:val="21"/>
          <w:lang w:eastAsia="es-ES"/>
        </w:rPr>
      </w:pPr>
      <w:r w:rsidRPr="004B0DED">
        <w:rPr>
          <w:b/>
          <w:sz w:val="21"/>
          <w:szCs w:val="21"/>
          <w:lang w:eastAsia="es-ES"/>
        </w:rPr>
        <w:t>Artículo 160.</w:t>
      </w:r>
      <w:r w:rsidRPr="004B0DED">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B361C3" w14:textId="77777777" w:rsidR="0044721E" w:rsidRPr="004B0DED" w:rsidRDefault="0044721E" w:rsidP="00255FE8">
      <w:pPr>
        <w:pStyle w:val="infoemcitas"/>
        <w:spacing w:before="0" w:after="0" w:line="240" w:lineRule="auto"/>
        <w:ind w:left="567"/>
        <w:rPr>
          <w:b/>
          <w:bCs/>
          <w:sz w:val="21"/>
          <w:szCs w:val="21"/>
          <w:lang w:eastAsia="es-ES"/>
        </w:rPr>
      </w:pPr>
      <w:r w:rsidRPr="004B0DED">
        <w:rPr>
          <w:sz w:val="21"/>
          <w:szCs w:val="21"/>
          <w:lang w:eastAsia="es-ES"/>
        </w:rPr>
        <w:t xml:space="preserve">En caso que la información solicitada consista en bases de datos se deberá privilegiar la entrega de la misma en formatos abiertos.” </w:t>
      </w:r>
      <w:r w:rsidRPr="004B0DED">
        <w:rPr>
          <w:b/>
          <w:bCs/>
          <w:sz w:val="21"/>
          <w:szCs w:val="21"/>
          <w:lang w:eastAsia="es-ES"/>
        </w:rPr>
        <w:t>[Sic]</w:t>
      </w:r>
    </w:p>
    <w:p w14:paraId="06BA2161" w14:textId="77777777" w:rsidR="0044721E" w:rsidRPr="00812314" w:rsidRDefault="0044721E" w:rsidP="00D57651">
      <w:pPr>
        <w:spacing w:after="0" w:line="360" w:lineRule="auto"/>
        <w:jc w:val="both"/>
        <w:rPr>
          <w:rFonts w:ascii="Palatino Linotype" w:eastAsia="Times New Roman" w:hAnsi="Palatino Linotype" w:cs="Times New Roman"/>
          <w:sz w:val="14"/>
          <w:szCs w:val="24"/>
          <w:lang w:eastAsia="es-ES"/>
        </w:rPr>
      </w:pPr>
    </w:p>
    <w:p w14:paraId="2D9F27CF" w14:textId="77777777" w:rsidR="0044721E" w:rsidRPr="004B0DED" w:rsidRDefault="0044721E" w:rsidP="00D57651">
      <w:pPr>
        <w:spacing w:after="0" w:line="360" w:lineRule="auto"/>
        <w:jc w:val="both"/>
        <w:rPr>
          <w:rFonts w:ascii="Palatino Linotype" w:eastAsia="Times New Roman" w:hAnsi="Palatino Linotype" w:cs="Times New Roman"/>
          <w:sz w:val="23"/>
          <w:szCs w:val="23"/>
          <w:lang w:eastAsia="es-ES"/>
        </w:rPr>
      </w:pPr>
      <w:r w:rsidRPr="004B0DED">
        <w:rPr>
          <w:rFonts w:ascii="Palatino Linotype" w:eastAsia="Times New Roman" w:hAnsi="Palatino Linotype" w:cs="Times New Roman"/>
          <w:sz w:val="23"/>
          <w:szCs w:val="23"/>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B0DED">
        <w:rPr>
          <w:rFonts w:ascii="Palatino Linotype" w:eastAsia="Times New Roman" w:hAnsi="Palatino Linotype" w:cs="Times New Roman"/>
          <w:bCs/>
          <w:sz w:val="23"/>
          <w:szCs w:val="23"/>
          <w:lang w:eastAsia="es-ES"/>
        </w:rPr>
        <w:t>de la Ley local en la materia, que se reproduce de la siguiente forma</w:t>
      </w:r>
      <w:r w:rsidRPr="004B0DED">
        <w:rPr>
          <w:rFonts w:ascii="Palatino Linotype" w:eastAsia="Times New Roman" w:hAnsi="Palatino Linotype" w:cs="Times New Roman"/>
          <w:sz w:val="23"/>
          <w:szCs w:val="23"/>
          <w:lang w:eastAsia="es-ES"/>
        </w:rPr>
        <w:t>:</w:t>
      </w:r>
    </w:p>
    <w:p w14:paraId="4DC6F210" w14:textId="77777777" w:rsidR="0044721E" w:rsidRPr="00145E1B" w:rsidRDefault="0044721E" w:rsidP="00D57651">
      <w:pPr>
        <w:pStyle w:val="Sinespaciado"/>
        <w:spacing w:line="360" w:lineRule="auto"/>
        <w:rPr>
          <w:sz w:val="22"/>
        </w:rPr>
      </w:pPr>
    </w:p>
    <w:p w14:paraId="64411CB0" w14:textId="77777777" w:rsidR="0044721E" w:rsidRPr="004B0DED" w:rsidRDefault="0044721E" w:rsidP="00D57651">
      <w:pPr>
        <w:pStyle w:val="infoemcitas"/>
        <w:spacing w:before="0" w:after="0"/>
        <w:rPr>
          <w:b/>
          <w:bCs/>
          <w:sz w:val="21"/>
          <w:szCs w:val="21"/>
          <w:lang w:eastAsia="es-ES"/>
        </w:rPr>
      </w:pPr>
      <w:r w:rsidRPr="004B0DED">
        <w:rPr>
          <w:b/>
          <w:sz w:val="21"/>
          <w:szCs w:val="21"/>
          <w:lang w:eastAsia="es-ES"/>
        </w:rPr>
        <w:lastRenderedPageBreak/>
        <w:t>“Artículo 166.</w:t>
      </w:r>
      <w:r w:rsidRPr="004B0DED">
        <w:rPr>
          <w:sz w:val="21"/>
          <w:szCs w:val="21"/>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4B0DED">
        <w:rPr>
          <w:bCs/>
          <w:sz w:val="21"/>
          <w:szCs w:val="21"/>
          <w:lang w:eastAsia="es-ES"/>
        </w:rPr>
        <w:t>[Sic]</w:t>
      </w:r>
    </w:p>
    <w:p w14:paraId="34731C67" w14:textId="77777777" w:rsidR="0057274E" w:rsidRPr="00812314" w:rsidRDefault="0057274E" w:rsidP="00D57651">
      <w:pPr>
        <w:pStyle w:val="infoemcitas"/>
        <w:spacing w:before="0" w:after="0"/>
        <w:rPr>
          <w:b/>
          <w:sz w:val="8"/>
          <w:lang w:eastAsia="es-ES"/>
        </w:rPr>
      </w:pPr>
    </w:p>
    <w:p w14:paraId="4273474F" w14:textId="0485A097" w:rsidR="00FD72CA" w:rsidRPr="004B0DED" w:rsidRDefault="0057274E" w:rsidP="00D57651">
      <w:pPr>
        <w:tabs>
          <w:tab w:val="left" w:pos="709"/>
        </w:tabs>
        <w:spacing w:after="0" w:line="360" w:lineRule="auto"/>
        <w:jc w:val="both"/>
        <w:rPr>
          <w:rFonts w:ascii="Palatino Linotype" w:hAnsi="Palatino Linotype" w:cs="Arial"/>
          <w:sz w:val="23"/>
          <w:szCs w:val="23"/>
        </w:rPr>
      </w:pPr>
      <w:r w:rsidRPr="004B0DED">
        <w:rPr>
          <w:rFonts w:ascii="Palatino Linotype" w:hAnsi="Palatino Linotype" w:cs="Arial"/>
          <w:sz w:val="23"/>
          <w:szCs w:val="23"/>
        </w:rPr>
        <w:t xml:space="preserve">Luego entonces, es menester señalar que es </w:t>
      </w:r>
      <w:r w:rsidR="00FD72CA" w:rsidRPr="004B0DED">
        <w:rPr>
          <w:rFonts w:ascii="Palatino Linotype" w:hAnsi="Palatino Linotype" w:cs="Arial"/>
          <w:sz w:val="23"/>
          <w:szCs w:val="23"/>
        </w:rPr>
        <w:t xml:space="preserve">una facultad legal entrar al estudio </w:t>
      </w:r>
      <w:r w:rsidR="007B6904" w:rsidRPr="004B0DED">
        <w:rPr>
          <w:rFonts w:ascii="Palatino Linotype" w:hAnsi="Palatino Linotype" w:cs="Arial"/>
          <w:sz w:val="23"/>
          <w:szCs w:val="23"/>
        </w:rPr>
        <w:t>del</w:t>
      </w:r>
      <w:r w:rsidR="00FD72CA" w:rsidRPr="004B0DED">
        <w:rPr>
          <w:rFonts w:ascii="Palatino Linotype" w:hAnsi="Palatino Linotype" w:cs="Arial"/>
          <w:sz w:val="23"/>
          <w:szCs w:val="23"/>
        </w:rPr>
        <w:t xml:space="preserve"> </w:t>
      </w:r>
      <w:r w:rsidR="007B6904" w:rsidRPr="004B0DED">
        <w:rPr>
          <w:rFonts w:ascii="Palatino Linotype" w:hAnsi="Palatino Linotype" w:cs="Arial"/>
          <w:sz w:val="23"/>
          <w:szCs w:val="23"/>
        </w:rPr>
        <w:t>sobreseimiento</w:t>
      </w:r>
      <w:r w:rsidR="00FD72CA" w:rsidRPr="004B0DED">
        <w:rPr>
          <w:rFonts w:ascii="Palatino Linotype" w:hAnsi="Palatino Linotype" w:cs="Arial"/>
          <w:sz w:val="23"/>
          <w:szCs w:val="23"/>
        </w:rPr>
        <w:t xml:space="preserve"> que hagan valer las partes o que se adviertan de oficio por este Resolutor; supuestos procesales que dotan de seguridad jurídica</w:t>
      </w:r>
      <w:r w:rsidR="007B6904" w:rsidRPr="004B0DED">
        <w:rPr>
          <w:rFonts w:ascii="Palatino Linotype" w:hAnsi="Palatino Linotype" w:cs="Arial"/>
          <w:sz w:val="23"/>
          <w:szCs w:val="23"/>
        </w:rPr>
        <w:t xml:space="preserve"> a </w:t>
      </w:r>
      <w:r w:rsidR="00FD72CA" w:rsidRPr="004B0DED">
        <w:rPr>
          <w:rFonts w:ascii="Palatino Linotype" w:hAnsi="Palatino Linotype" w:cs="Arial"/>
          <w:sz w:val="23"/>
          <w:szCs w:val="23"/>
        </w:rPr>
        <w:t xml:space="preserve">las resoluciones emitidas por este organismo colegiado, máxime que se trata de una </w:t>
      </w:r>
      <w:r w:rsidR="007B6904" w:rsidRPr="004B0DED">
        <w:rPr>
          <w:rFonts w:ascii="Palatino Linotype" w:hAnsi="Palatino Linotype" w:cs="Arial"/>
          <w:sz w:val="23"/>
          <w:szCs w:val="23"/>
        </w:rPr>
        <w:t xml:space="preserve">figura procedimental </w:t>
      </w:r>
      <w:r w:rsidR="00FD72CA" w:rsidRPr="004B0DED">
        <w:rPr>
          <w:rFonts w:ascii="Palatino Linotype" w:hAnsi="Palatino Linotype" w:cs="Arial"/>
          <w:sz w:val="23"/>
          <w:szCs w:val="23"/>
        </w:rPr>
        <w:t xml:space="preserve">adoptada en la ley de la materia, la cual permite dilucidar alguna causal que impida el estudio y resolución de un asunto en su fondo, cuando una vez admitido el recurso de revisión se advierta </w:t>
      </w:r>
      <w:r w:rsidR="007B6904" w:rsidRPr="004B0DED">
        <w:rPr>
          <w:rFonts w:ascii="Palatino Linotype" w:hAnsi="Palatino Linotype" w:cs="Arial"/>
          <w:sz w:val="23"/>
          <w:szCs w:val="23"/>
        </w:rPr>
        <w:t xml:space="preserve">algún supuesto marcado por la Ley </w:t>
      </w:r>
      <w:r w:rsidR="00FD72CA" w:rsidRPr="004B0DED">
        <w:rPr>
          <w:rFonts w:ascii="Palatino Linotype" w:hAnsi="Palatino Linotype" w:cs="Arial"/>
          <w:sz w:val="23"/>
          <w:szCs w:val="23"/>
        </w:rPr>
        <w:t>que permita sobreseerlo.</w:t>
      </w:r>
    </w:p>
    <w:p w14:paraId="156E72C3" w14:textId="77777777" w:rsidR="007B6904" w:rsidRPr="00812314" w:rsidRDefault="007B6904" w:rsidP="00D57651">
      <w:pPr>
        <w:tabs>
          <w:tab w:val="left" w:pos="709"/>
        </w:tabs>
        <w:spacing w:after="0" w:line="360" w:lineRule="auto"/>
        <w:jc w:val="both"/>
        <w:rPr>
          <w:rFonts w:ascii="Palatino Linotype" w:hAnsi="Palatino Linotype" w:cs="Arial"/>
          <w:sz w:val="16"/>
          <w:szCs w:val="23"/>
        </w:rPr>
      </w:pPr>
    </w:p>
    <w:p w14:paraId="5DA2F4C1" w14:textId="1949FFB8" w:rsidR="00FD72CA" w:rsidRDefault="00FD72CA" w:rsidP="007B6904">
      <w:pPr>
        <w:pStyle w:val="Prrafodelista"/>
        <w:autoSpaceDE w:val="0"/>
        <w:autoSpaceDN w:val="0"/>
        <w:adjustRightInd w:val="0"/>
        <w:spacing w:line="360" w:lineRule="auto"/>
        <w:ind w:left="0"/>
        <w:jc w:val="both"/>
        <w:rPr>
          <w:rFonts w:ascii="Palatino Linotype" w:hAnsi="Palatino Linotype" w:cs="Arial"/>
          <w:sz w:val="23"/>
          <w:szCs w:val="23"/>
        </w:rPr>
      </w:pPr>
      <w:r w:rsidRPr="004B0DED">
        <w:rPr>
          <w:rFonts w:ascii="Palatino Linotype" w:hAnsi="Palatino Linotype" w:cs="Arial"/>
          <w:sz w:val="23"/>
          <w:szCs w:val="23"/>
        </w:rPr>
        <w:t xml:space="preserve">Estudio de causales de </w:t>
      </w:r>
      <w:r w:rsidR="007B6904" w:rsidRPr="004B0DED">
        <w:rPr>
          <w:rFonts w:ascii="Palatino Linotype" w:hAnsi="Palatino Linotype" w:cs="Arial"/>
          <w:sz w:val="23"/>
          <w:szCs w:val="23"/>
        </w:rPr>
        <w:t>sobreseimiento</w:t>
      </w:r>
      <w:r w:rsidRPr="004B0DED">
        <w:rPr>
          <w:rFonts w:ascii="Palatino Linotype" w:hAnsi="Palatino Linotype" w:cs="Arial"/>
          <w:sz w:val="23"/>
          <w:szCs w:val="23"/>
        </w:rPr>
        <w:t xml:space="preserve"> que no son incompatibles con el derecho de acceso a la </w:t>
      </w:r>
      <w:r w:rsidR="00F153D2" w:rsidRPr="004B0DED">
        <w:rPr>
          <w:rFonts w:ascii="Palatino Linotype" w:hAnsi="Palatino Linotype" w:cs="Arial"/>
          <w:sz w:val="23"/>
          <w:szCs w:val="23"/>
        </w:rPr>
        <w:t>información</w:t>
      </w:r>
      <w:r w:rsidRPr="004B0DED">
        <w:rPr>
          <w:rFonts w:ascii="Palatino Linotype" w:hAnsi="Palatino Linotype" w:cs="Arial"/>
          <w:sz w:val="23"/>
          <w:szCs w:val="23"/>
        </w:rPr>
        <w:t>, ya que éste no se coarta por regular causas de improcedencia y sobreseimiento con tales fines</w:t>
      </w:r>
      <w:r w:rsidRPr="004B0DED">
        <w:rPr>
          <w:rStyle w:val="Refdenotaalpie"/>
          <w:rFonts w:ascii="Palatino Linotype" w:hAnsi="Palatino Linotype" w:cs="Arial"/>
          <w:sz w:val="23"/>
          <w:szCs w:val="23"/>
        </w:rPr>
        <w:footnoteReference w:id="1"/>
      </w:r>
      <w:r w:rsidR="007B6904" w:rsidRPr="004B0DED">
        <w:rPr>
          <w:rFonts w:ascii="Palatino Linotype" w:hAnsi="Palatino Linotype" w:cs="Arial"/>
          <w:sz w:val="23"/>
          <w:szCs w:val="23"/>
        </w:rPr>
        <w:t xml:space="preserve">, por lo tanto resulta </w:t>
      </w:r>
      <w:r w:rsidRPr="004B0DED">
        <w:rPr>
          <w:rFonts w:ascii="Palatino Linotype" w:hAnsi="Palatino Linotype" w:cs="Arial"/>
          <w:sz w:val="23"/>
          <w:szCs w:val="23"/>
        </w:rPr>
        <w:t xml:space="preserve">importante referir que en la Ley de Transparencia Local vigente, en su artículo 192 contempla la figura jurídica del </w:t>
      </w:r>
      <w:r w:rsidRPr="004B0DED">
        <w:rPr>
          <w:rFonts w:ascii="Palatino Linotype" w:hAnsi="Palatino Linotype" w:cs="Arial"/>
          <w:sz w:val="23"/>
          <w:szCs w:val="23"/>
        </w:rPr>
        <w:lastRenderedPageBreak/>
        <w:t>sobreseimiento; en el cual, la hipótesis inmersa en la fracción I</w:t>
      </w:r>
      <w:r w:rsidRPr="004B0DED">
        <w:rPr>
          <w:rStyle w:val="Refdenotaalpie"/>
          <w:rFonts w:ascii="Palatino Linotype" w:hAnsi="Palatino Linotype" w:cs="Arial"/>
          <w:sz w:val="23"/>
          <w:szCs w:val="23"/>
        </w:rPr>
        <w:footnoteReference w:id="2"/>
      </w:r>
      <w:r w:rsidRPr="004B0DED">
        <w:rPr>
          <w:rFonts w:ascii="Palatino Linotype" w:hAnsi="Palatino Linotype" w:cs="Arial"/>
          <w:sz w:val="23"/>
          <w:szCs w:val="23"/>
        </w:rPr>
        <w:t xml:space="preserve">, refiere que el recurrente se desista expresamente del recurso. </w:t>
      </w:r>
    </w:p>
    <w:p w14:paraId="19E83F5C" w14:textId="77777777" w:rsidR="004B0DED" w:rsidRPr="00812314" w:rsidRDefault="004B0DED" w:rsidP="007B6904">
      <w:pPr>
        <w:pStyle w:val="Prrafodelista"/>
        <w:autoSpaceDE w:val="0"/>
        <w:autoSpaceDN w:val="0"/>
        <w:adjustRightInd w:val="0"/>
        <w:spacing w:line="360" w:lineRule="auto"/>
        <w:ind w:left="0"/>
        <w:jc w:val="both"/>
        <w:rPr>
          <w:rFonts w:ascii="Palatino Linotype" w:hAnsi="Palatino Linotype" w:cs="Arial"/>
          <w:sz w:val="12"/>
          <w:szCs w:val="23"/>
        </w:rPr>
      </w:pPr>
    </w:p>
    <w:p w14:paraId="4F946741" w14:textId="77777777" w:rsidR="00FD72CA" w:rsidRPr="004B0DED" w:rsidRDefault="00FD72CA" w:rsidP="00D57651">
      <w:pPr>
        <w:tabs>
          <w:tab w:val="left" w:pos="709"/>
        </w:tabs>
        <w:spacing w:after="0" w:line="360" w:lineRule="auto"/>
        <w:jc w:val="both"/>
        <w:rPr>
          <w:rFonts w:ascii="Palatino Linotype" w:hAnsi="Palatino Linotype" w:cs="Arial"/>
          <w:sz w:val="23"/>
          <w:szCs w:val="23"/>
        </w:rPr>
      </w:pPr>
      <w:r w:rsidRPr="004B0DED">
        <w:rPr>
          <w:rFonts w:ascii="Palatino Linotype" w:hAnsi="Palatino Linotype" w:cs="Arial"/>
          <w:sz w:val="23"/>
          <w:szCs w:val="23"/>
        </w:rPr>
        <w:t xml:space="preserve">Así, para que se tenga por desistido bastará con que </w:t>
      </w:r>
      <w:r w:rsidRPr="004B0DED">
        <w:rPr>
          <w:rFonts w:ascii="Palatino Linotype" w:hAnsi="Palatino Linotype" w:cs="Arial"/>
          <w:b/>
          <w:sz w:val="23"/>
          <w:szCs w:val="23"/>
        </w:rPr>
        <w:t>El Recurrente</w:t>
      </w:r>
      <w:r w:rsidRPr="004B0DED">
        <w:rPr>
          <w:rFonts w:ascii="Palatino Linotype" w:hAnsi="Palatino Linotype" w:cs="Arial"/>
          <w:sz w:val="23"/>
          <w:szCs w:val="23"/>
        </w:rPr>
        <w:t xml:space="preserve"> expresamente se desista del recurso de revisión promovido, lo cual es a evidente que se actualiza en el presente asunto, tal y como se muestra en la siguiente imagen ilustrativa: </w:t>
      </w:r>
    </w:p>
    <w:p w14:paraId="72D0B676" w14:textId="4E1BA538" w:rsidR="00FD72CA" w:rsidRPr="00145E1B" w:rsidRDefault="00C56931" w:rsidP="00D57651">
      <w:pPr>
        <w:pStyle w:val="Prrafodelista"/>
        <w:autoSpaceDE w:val="0"/>
        <w:autoSpaceDN w:val="0"/>
        <w:adjustRightInd w:val="0"/>
        <w:spacing w:line="360" w:lineRule="auto"/>
        <w:ind w:left="0"/>
        <w:jc w:val="both"/>
        <w:rPr>
          <w:rFonts w:ascii="Palatino Linotype" w:hAnsi="Palatino Linotype" w:cs="Arial"/>
          <w:b/>
          <w:szCs w:val="28"/>
        </w:rPr>
      </w:pPr>
      <w:r>
        <w:rPr>
          <w:rFonts w:ascii="Palatino Linotype" w:hAnsi="Palatino Linotype" w:cs="Arial"/>
          <w:b/>
          <w:noProof/>
          <w:szCs w:val="28"/>
          <w:lang w:val="es-MX" w:eastAsia="es-MX"/>
        </w:rPr>
        <w:drawing>
          <wp:inline distT="0" distB="0" distL="0" distR="0" wp14:anchorId="6A5C8E88" wp14:editId="69982378">
            <wp:extent cx="5826000" cy="2913321"/>
            <wp:effectExtent l="0" t="0" r="381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8257" cy="2919450"/>
                    </a:xfrm>
                    <a:prstGeom prst="rect">
                      <a:avLst/>
                    </a:prstGeom>
                    <a:noFill/>
                    <a:ln>
                      <a:noFill/>
                    </a:ln>
                  </pic:spPr>
                </pic:pic>
              </a:graphicData>
            </a:graphic>
          </wp:inline>
        </w:drawing>
      </w:r>
    </w:p>
    <w:p w14:paraId="442B9DA3" w14:textId="77777777" w:rsidR="001A4AFE" w:rsidRPr="00145E1B" w:rsidRDefault="001A4AFE" w:rsidP="00D57651">
      <w:pPr>
        <w:pStyle w:val="Citas"/>
        <w:spacing w:before="0" w:after="0"/>
        <w:ind w:left="0" w:right="0"/>
        <w:rPr>
          <w:i w:val="0"/>
          <w:sz w:val="20"/>
          <w:szCs w:val="24"/>
        </w:rPr>
      </w:pPr>
    </w:p>
    <w:p w14:paraId="11AF28B7" w14:textId="77777777" w:rsidR="001A4AFE" w:rsidRPr="00145E1B" w:rsidRDefault="001A4AFE" w:rsidP="00D57651">
      <w:pPr>
        <w:tabs>
          <w:tab w:val="left" w:pos="709"/>
        </w:tabs>
        <w:spacing w:after="0" w:line="360" w:lineRule="auto"/>
        <w:jc w:val="both"/>
        <w:rPr>
          <w:rFonts w:ascii="Palatino Linotype" w:hAnsi="Palatino Linotype" w:cs="Arial"/>
          <w:szCs w:val="24"/>
        </w:rPr>
      </w:pPr>
      <w:r w:rsidRPr="00145E1B">
        <w:rPr>
          <w:rFonts w:ascii="Palatino Linotype" w:hAnsi="Palatino Linotype" w:cs="Arial"/>
          <w:szCs w:val="24"/>
        </w:rPr>
        <w:t xml:space="preserve">En ese orden de ideas, se entiende que </w:t>
      </w:r>
      <w:r w:rsidRPr="00145E1B">
        <w:rPr>
          <w:rFonts w:ascii="Palatino Linotype" w:hAnsi="Palatino Linotype" w:cs="Arial"/>
          <w:b/>
          <w:szCs w:val="24"/>
        </w:rPr>
        <w:t>El</w:t>
      </w:r>
      <w:r w:rsidRPr="00145E1B">
        <w:rPr>
          <w:rFonts w:ascii="Palatino Linotype" w:hAnsi="Palatino Linotype" w:cs="Arial"/>
          <w:szCs w:val="24"/>
        </w:rPr>
        <w:t xml:space="preserve"> </w:t>
      </w:r>
      <w:r w:rsidRPr="00145E1B">
        <w:rPr>
          <w:rFonts w:ascii="Palatino Linotype" w:hAnsi="Palatino Linotype" w:cs="Arial"/>
          <w:b/>
          <w:szCs w:val="24"/>
        </w:rPr>
        <w:t>Recurrente</w:t>
      </w:r>
      <w:r w:rsidRPr="00145E1B">
        <w:rPr>
          <w:rFonts w:ascii="Palatino Linotype" w:hAnsi="Palatino Linotype" w:cs="Arial"/>
          <w:szCs w:val="24"/>
        </w:rPr>
        <w:t>,</w:t>
      </w:r>
      <w:r w:rsidRPr="00145E1B">
        <w:rPr>
          <w:rFonts w:ascii="Palatino Linotype" w:hAnsi="Palatino Linotype" w:cs="Arial"/>
          <w:b/>
          <w:szCs w:val="24"/>
        </w:rPr>
        <w:t xml:space="preserve"> </w:t>
      </w:r>
      <w:r w:rsidRPr="00145E1B">
        <w:rPr>
          <w:rFonts w:ascii="Palatino Linotype" w:hAnsi="Palatino Linotype" w:cs="Arial"/>
          <w:szCs w:val="24"/>
        </w:rPr>
        <w:t>de propia voluntad, sin existir coacción o dolo, en ejercicio de sus derechos, se desiste del recurso en que se actúa, por lo que se procede a la valoración, respecto de si el desistimiento cumple con lo establecido en la fracción</w:t>
      </w:r>
      <w:r w:rsidRPr="00145E1B">
        <w:rPr>
          <w:rFonts w:ascii="Palatino Linotype" w:hAnsi="Palatino Linotype" w:cs="Arial"/>
          <w:b/>
          <w:szCs w:val="24"/>
        </w:rPr>
        <w:t xml:space="preserve"> I</w:t>
      </w:r>
      <w:r w:rsidRPr="00145E1B">
        <w:rPr>
          <w:rFonts w:ascii="Palatino Linotype" w:hAnsi="Palatino Linotype" w:cs="Arial"/>
          <w:szCs w:val="24"/>
        </w:rPr>
        <w:t xml:space="preserve"> del artículo </w:t>
      </w:r>
      <w:r w:rsidRPr="00145E1B">
        <w:rPr>
          <w:rFonts w:ascii="Palatino Linotype" w:hAnsi="Palatino Linotype" w:cs="Arial"/>
          <w:b/>
          <w:szCs w:val="24"/>
        </w:rPr>
        <w:t>192</w:t>
      </w:r>
      <w:r w:rsidRPr="00145E1B">
        <w:rPr>
          <w:rFonts w:ascii="Palatino Linotype" w:hAnsi="Palatino Linotype" w:cs="Arial"/>
          <w:szCs w:val="24"/>
        </w:rPr>
        <w:t xml:space="preserve"> de la Ley de Transparencia y Acceso a la Información Pública del Estado de México y Municipios.</w:t>
      </w:r>
    </w:p>
    <w:p w14:paraId="07B9BB84" w14:textId="77777777" w:rsidR="001A4AFE" w:rsidRPr="00145E1B" w:rsidRDefault="001A4AFE" w:rsidP="00D57651">
      <w:pPr>
        <w:tabs>
          <w:tab w:val="left" w:pos="709"/>
        </w:tabs>
        <w:spacing w:after="0" w:line="360" w:lineRule="auto"/>
        <w:jc w:val="both"/>
        <w:rPr>
          <w:rFonts w:ascii="Palatino Linotype" w:hAnsi="Palatino Linotype" w:cs="Arial"/>
          <w:szCs w:val="24"/>
        </w:rPr>
      </w:pPr>
      <w:r w:rsidRPr="00145E1B">
        <w:rPr>
          <w:rFonts w:ascii="Palatino Linotype" w:hAnsi="Palatino Linotype" w:cs="Arial"/>
          <w:szCs w:val="24"/>
        </w:rPr>
        <w:t xml:space="preserve">En primer lugar, habrá que señalarse que el desistimiento, es la terminación anormal de un proceso, por el que el actor manifiesta su voluntad de abandonar su pretensión; lo que en el </w:t>
      </w:r>
      <w:bookmarkStart w:id="0" w:name="_GoBack"/>
      <w:bookmarkEnd w:id="0"/>
      <w:r w:rsidRPr="00145E1B">
        <w:rPr>
          <w:rFonts w:ascii="Palatino Linotype" w:hAnsi="Palatino Linotype" w:cs="Arial"/>
          <w:szCs w:val="24"/>
        </w:rPr>
        <w:lastRenderedPageBreak/>
        <w:t xml:space="preserve">caso concreto, ha de entenderse como la renuncia que hace </w:t>
      </w:r>
      <w:r w:rsidRPr="00145E1B">
        <w:rPr>
          <w:rFonts w:ascii="Palatino Linotype" w:hAnsi="Palatino Linotype" w:cs="Arial"/>
          <w:b/>
          <w:szCs w:val="24"/>
        </w:rPr>
        <w:t>El</w:t>
      </w:r>
      <w:r w:rsidRPr="00145E1B">
        <w:rPr>
          <w:rFonts w:ascii="Palatino Linotype" w:hAnsi="Palatino Linotype" w:cs="Arial"/>
          <w:szCs w:val="24"/>
        </w:rPr>
        <w:t xml:space="preserve"> </w:t>
      </w:r>
      <w:r w:rsidRPr="00145E1B">
        <w:rPr>
          <w:rFonts w:ascii="Palatino Linotype" w:hAnsi="Palatino Linotype" w:cs="Arial"/>
          <w:b/>
          <w:szCs w:val="24"/>
        </w:rPr>
        <w:t>Recurrente</w:t>
      </w:r>
      <w:r w:rsidRPr="00145E1B">
        <w:rPr>
          <w:rFonts w:ascii="Palatino Linotype" w:hAnsi="Palatino Linotype" w:cs="Arial"/>
          <w:szCs w:val="24"/>
        </w:rPr>
        <w:t xml:space="preserve"> a la pretensión procesal que dio origen al recurso, ocasionando la culminación del mismo. Se precisa que no existe momento procesal alguno para realizarlo, por lo que el mismo se podrá interponer en cualquier momento.</w:t>
      </w:r>
    </w:p>
    <w:p w14:paraId="32E0EB7F" w14:textId="77777777" w:rsidR="00F82A55" w:rsidRPr="00812314" w:rsidRDefault="00F82A55" w:rsidP="00D57651">
      <w:pPr>
        <w:tabs>
          <w:tab w:val="left" w:pos="709"/>
        </w:tabs>
        <w:spacing w:after="0" w:line="360" w:lineRule="auto"/>
        <w:jc w:val="both"/>
        <w:rPr>
          <w:rFonts w:ascii="Palatino Linotype" w:hAnsi="Palatino Linotype" w:cs="Arial"/>
          <w:sz w:val="12"/>
          <w:szCs w:val="24"/>
        </w:rPr>
      </w:pPr>
    </w:p>
    <w:p w14:paraId="7B5B71EB" w14:textId="7DF45F41" w:rsidR="001A4AFE" w:rsidRPr="00145E1B" w:rsidRDefault="001A4AFE" w:rsidP="00D57651">
      <w:pPr>
        <w:tabs>
          <w:tab w:val="left" w:pos="709"/>
        </w:tabs>
        <w:spacing w:after="0" w:line="360" w:lineRule="auto"/>
        <w:jc w:val="both"/>
        <w:rPr>
          <w:rFonts w:ascii="Palatino Linotype" w:hAnsi="Palatino Linotype" w:cs="Arial"/>
          <w:b/>
          <w:szCs w:val="24"/>
        </w:rPr>
      </w:pPr>
      <w:r w:rsidRPr="00145E1B">
        <w:rPr>
          <w:rFonts w:ascii="Palatino Linotype" w:hAnsi="Palatino Linotype" w:cs="Arial"/>
          <w:szCs w:val="24"/>
        </w:rPr>
        <w:t xml:space="preserve">En ese tenor de ideas, </w:t>
      </w:r>
      <w:r w:rsidRPr="00145E1B">
        <w:rPr>
          <w:rFonts w:ascii="Palatino Linotype" w:hAnsi="Palatino Linotype" w:cs="Arial"/>
          <w:b/>
          <w:szCs w:val="24"/>
        </w:rPr>
        <w:t xml:space="preserve">El Recurrente </w:t>
      </w:r>
      <w:r w:rsidRPr="00145E1B">
        <w:rPr>
          <w:rFonts w:ascii="Palatino Linotype" w:hAnsi="Palatino Linotype" w:cs="Arial"/>
          <w:szCs w:val="24"/>
        </w:rPr>
        <w:t>con la legitimación activa</w:t>
      </w:r>
      <w:r w:rsidRPr="00145E1B">
        <w:rPr>
          <w:rStyle w:val="Refdenotaalpie"/>
          <w:rFonts w:ascii="Palatino Linotype" w:hAnsi="Palatino Linotype" w:cs="Arial"/>
          <w:szCs w:val="24"/>
        </w:rPr>
        <w:footnoteReference w:id="3"/>
      </w:r>
      <w:r w:rsidRPr="00145E1B">
        <w:rPr>
          <w:rFonts w:ascii="Palatino Linotype" w:hAnsi="Palatino Linotype" w:cs="Arial"/>
          <w:szCs w:val="24"/>
        </w:rPr>
        <w:t xml:space="preserve"> que debidamente se tiene acreditada en autos, es la misma persona que realizó la solicitud de información número</w:t>
      </w:r>
      <w:r w:rsidR="00F82A55" w:rsidRPr="00145E1B">
        <w:rPr>
          <w:rFonts w:ascii="Palatino Linotype" w:hAnsi="Palatino Linotype" w:cs="Arial"/>
          <w:b/>
          <w:szCs w:val="24"/>
        </w:rPr>
        <w:t xml:space="preserve"> </w:t>
      </w:r>
      <w:r w:rsidR="002258F9" w:rsidRPr="002258F9">
        <w:rPr>
          <w:rFonts w:ascii="Palatino Linotype" w:hAnsi="Palatino Linotype" w:cs="Arial"/>
          <w:b/>
          <w:szCs w:val="24"/>
        </w:rPr>
        <w:t>00245/TEPOTZOT/IP/2021</w:t>
      </w:r>
      <w:r w:rsidRPr="00145E1B">
        <w:rPr>
          <w:rFonts w:ascii="Palatino Linotype" w:hAnsi="Palatino Linotype" w:cs="Arial"/>
          <w:szCs w:val="24"/>
        </w:rPr>
        <w:t xml:space="preserve">, y quien, posteriormente interpuso el presente recurso de revisión número </w:t>
      </w:r>
      <w:r w:rsidR="002258F9">
        <w:rPr>
          <w:rFonts w:ascii="Palatino Linotype" w:hAnsi="Palatino Linotype" w:cs="Arial"/>
          <w:b/>
          <w:szCs w:val="24"/>
        </w:rPr>
        <w:t>00405/INFOEM/IP/RR/2022</w:t>
      </w:r>
      <w:r w:rsidRPr="00145E1B">
        <w:rPr>
          <w:rFonts w:ascii="Palatino Linotype" w:hAnsi="Palatino Linotype" w:cs="Arial"/>
          <w:b/>
          <w:szCs w:val="24"/>
        </w:rPr>
        <w:t xml:space="preserve">, </w:t>
      </w:r>
      <w:r w:rsidRPr="00145E1B">
        <w:rPr>
          <w:rFonts w:ascii="Palatino Linotype" w:hAnsi="Palatino Linotype" w:cs="Arial"/>
          <w:szCs w:val="24"/>
        </w:rPr>
        <w:t>en contra de la</w:t>
      </w:r>
      <w:r w:rsidR="009128A7">
        <w:rPr>
          <w:rFonts w:ascii="Palatino Linotype" w:hAnsi="Palatino Linotype" w:cs="Arial"/>
          <w:szCs w:val="24"/>
        </w:rPr>
        <w:t xml:space="preserve"> falta de</w:t>
      </w:r>
      <w:r w:rsidRPr="00145E1B">
        <w:rPr>
          <w:rFonts w:ascii="Palatino Linotype" w:hAnsi="Palatino Linotype" w:cs="Arial"/>
          <w:szCs w:val="24"/>
        </w:rPr>
        <w:t xml:space="preserve"> respuesta otorgada; todo esto, de conformidad con las actuaciones que obran en el expediente electrónico del </w:t>
      </w:r>
      <w:r w:rsidRPr="00145E1B">
        <w:rPr>
          <w:rFonts w:ascii="Palatino Linotype" w:hAnsi="Palatino Linotype" w:cs="Arial"/>
          <w:b/>
          <w:szCs w:val="24"/>
        </w:rPr>
        <w:t xml:space="preserve">SAIMEX. </w:t>
      </w:r>
    </w:p>
    <w:p w14:paraId="4EE758E9" w14:textId="77777777" w:rsidR="00F82A55" w:rsidRPr="00145E1B" w:rsidRDefault="00F82A55" w:rsidP="00D57651">
      <w:pPr>
        <w:tabs>
          <w:tab w:val="left" w:pos="709"/>
        </w:tabs>
        <w:spacing w:after="0" w:line="360" w:lineRule="auto"/>
        <w:jc w:val="both"/>
        <w:rPr>
          <w:rFonts w:ascii="Palatino Linotype" w:hAnsi="Palatino Linotype" w:cs="Arial"/>
          <w:b/>
          <w:szCs w:val="24"/>
        </w:rPr>
      </w:pPr>
    </w:p>
    <w:p w14:paraId="7E2E42B2" w14:textId="77777777" w:rsidR="001A4AFE" w:rsidRPr="00145E1B" w:rsidRDefault="001A4AFE" w:rsidP="00D57651">
      <w:pPr>
        <w:tabs>
          <w:tab w:val="left" w:pos="709"/>
        </w:tabs>
        <w:spacing w:after="0" w:line="360" w:lineRule="auto"/>
        <w:jc w:val="both"/>
        <w:rPr>
          <w:rFonts w:ascii="Palatino Linotype" w:hAnsi="Palatino Linotype" w:cs="Arial"/>
          <w:szCs w:val="24"/>
        </w:rPr>
      </w:pPr>
      <w:r w:rsidRPr="00145E1B">
        <w:rPr>
          <w:rFonts w:ascii="Palatino Linotype" w:hAnsi="Palatino Linotype" w:cs="Arial"/>
          <w:szCs w:val="24"/>
        </w:rPr>
        <w:t xml:space="preserve">Por lo anterior, es dable enfatizar que la figura del </w:t>
      </w:r>
      <w:r w:rsidRPr="00145E1B">
        <w:rPr>
          <w:rFonts w:ascii="Palatino Linotype" w:hAnsi="Palatino Linotype" w:cs="Arial"/>
          <w:b/>
          <w:szCs w:val="24"/>
        </w:rPr>
        <w:t>desistimiento</w:t>
      </w:r>
      <w:r w:rsidRPr="00145E1B">
        <w:rPr>
          <w:rFonts w:ascii="Palatino Linotype" w:hAnsi="Palatino Linotype" w:cs="Arial"/>
          <w:szCs w:val="24"/>
        </w:rPr>
        <w:t>,</w:t>
      </w:r>
      <w:r w:rsidRPr="00145E1B">
        <w:rPr>
          <w:rFonts w:ascii="Palatino Linotype" w:hAnsi="Palatino Linotype" w:cs="Arial"/>
          <w:b/>
          <w:szCs w:val="24"/>
        </w:rPr>
        <w:t xml:space="preserve"> </w:t>
      </w:r>
      <w:r w:rsidRPr="00145E1B">
        <w:rPr>
          <w:rFonts w:ascii="Palatino Linotype" w:hAnsi="Palatino Linotype" w:cs="Arial"/>
          <w:szCs w:val="24"/>
        </w:rPr>
        <w:t xml:space="preserve">tiene como finalidad la interrupción y terminación del procedimiento sin entrar al estudio, derivado de la existencia de la renuncia del </w:t>
      </w:r>
      <w:r w:rsidRPr="00145E1B">
        <w:rPr>
          <w:rFonts w:ascii="Palatino Linotype" w:hAnsi="Palatino Linotype" w:cs="Arial"/>
          <w:b/>
          <w:szCs w:val="24"/>
        </w:rPr>
        <w:t>Recurrente</w:t>
      </w:r>
      <w:r w:rsidRPr="00145E1B">
        <w:rPr>
          <w:rFonts w:ascii="Palatino Linotype" w:hAnsi="Palatino Linotype" w:cs="Arial"/>
          <w:szCs w:val="24"/>
        </w:rPr>
        <w:t xml:space="preserve"> a la sustanciación y resolución del procedimiento; por lo que, con efectos vinculantes a la presente Resolución, dicho desistimiento debe quedar firme.</w:t>
      </w:r>
    </w:p>
    <w:p w14:paraId="1C4ABA63" w14:textId="77777777" w:rsidR="00F82A55" w:rsidRPr="00145E1B" w:rsidRDefault="00F82A55" w:rsidP="00D57651">
      <w:pPr>
        <w:tabs>
          <w:tab w:val="left" w:pos="709"/>
        </w:tabs>
        <w:spacing w:after="0" w:line="360" w:lineRule="auto"/>
        <w:jc w:val="both"/>
        <w:rPr>
          <w:rFonts w:ascii="Palatino Linotype" w:hAnsi="Palatino Linotype" w:cs="Arial"/>
          <w:szCs w:val="24"/>
        </w:rPr>
      </w:pPr>
    </w:p>
    <w:p w14:paraId="4FC1B075" w14:textId="77777777" w:rsidR="001A4AFE" w:rsidRDefault="001A4AFE" w:rsidP="00D57651">
      <w:pPr>
        <w:tabs>
          <w:tab w:val="left" w:pos="709"/>
        </w:tabs>
        <w:spacing w:after="0" w:line="360" w:lineRule="auto"/>
        <w:jc w:val="both"/>
        <w:rPr>
          <w:rFonts w:ascii="Palatino Linotype" w:hAnsi="Palatino Linotype" w:cs="Arial"/>
          <w:szCs w:val="24"/>
        </w:rPr>
      </w:pPr>
      <w:r w:rsidRPr="00145E1B">
        <w:rPr>
          <w:rFonts w:ascii="Palatino Linotype" w:hAnsi="Palatino Linotype" w:cs="Arial"/>
          <w:szCs w:val="24"/>
        </w:rPr>
        <w:t xml:space="preserve">En consecuencia, al actualizarse lo estipulado en la fracción </w:t>
      </w:r>
      <w:r w:rsidRPr="00145E1B">
        <w:rPr>
          <w:rFonts w:ascii="Palatino Linotype" w:hAnsi="Palatino Linotype" w:cs="Arial"/>
          <w:b/>
          <w:szCs w:val="24"/>
        </w:rPr>
        <w:t>I</w:t>
      </w:r>
      <w:r w:rsidRPr="00145E1B">
        <w:rPr>
          <w:rFonts w:ascii="Palatino Linotype" w:hAnsi="Palatino Linotype" w:cs="Arial"/>
          <w:szCs w:val="24"/>
        </w:rPr>
        <w:t xml:space="preserve"> del artículo </w:t>
      </w:r>
      <w:r w:rsidRPr="00145E1B">
        <w:rPr>
          <w:rFonts w:ascii="Palatino Linotype" w:hAnsi="Palatino Linotype" w:cs="Arial"/>
          <w:b/>
          <w:szCs w:val="24"/>
        </w:rPr>
        <w:t>192</w:t>
      </w:r>
      <w:r w:rsidRPr="00145E1B">
        <w:rPr>
          <w:rFonts w:ascii="Palatino Linotype" w:hAnsi="Palatino Linotype" w:cs="Arial"/>
          <w:szCs w:val="24"/>
        </w:rPr>
        <w:t xml:space="preserve"> de la Ley de Transparencia y Acceso a la Información Pública del Estado de México y Municipios, lo procedente es </w:t>
      </w:r>
      <w:r w:rsidRPr="00145E1B">
        <w:rPr>
          <w:rFonts w:ascii="Palatino Linotype" w:hAnsi="Palatino Linotype" w:cs="Arial"/>
          <w:b/>
          <w:szCs w:val="24"/>
        </w:rPr>
        <w:t>SOBRESEER</w:t>
      </w:r>
      <w:r w:rsidRPr="00145E1B">
        <w:rPr>
          <w:rFonts w:ascii="Palatino Linotype" w:hAnsi="Palatino Linotype" w:cs="Arial"/>
          <w:szCs w:val="24"/>
        </w:rPr>
        <w:t xml:space="preserve"> el recurso de revisión que atañe; dado que, no es necesario estudiar si existió vulneración al derecho de acceso a la información pública, en atención que </w:t>
      </w:r>
      <w:r w:rsidRPr="00145E1B">
        <w:rPr>
          <w:rFonts w:ascii="Palatino Linotype" w:hAnsi="Palatino Linotype" w:cs="Arial"/>
          <w:b/>
          <w:szCs w:val="24"/>
        </w:rPr>
        <w:t>El</w:t>
      </w:r>
      <w:r w:rsidRPr="00145E1B">
        <w:rPr>
          <w:rFonts w:ascii="Palatino Linotype" w:hAnsi="Palatino Linotype" w:cs="Arial"/>
          <w:szCs w:val="24"/>
        </w:rPr>
        <w:t xml:space="preserve"> </w:t>
      </w:r>
      <w:r w:rsidRPr="00145E1B">
        <w:rPr>
          <w:rFonts w:ascii="Palatino Linotype" w:hAnsi="Palatino Linotype" w:cs="Arial"/>
          <w:b/>
          <w:szCs w:val="24"/>
        </w:rPr>
        <w:t>Recurrente</w:t>
      </w:r>
      <w:r w:rsidRPr="00145E1B">
        <w:rPr>
          <w:rFonts w:ascii="Palatino Linotype" w:hAnsi="Palatino Linotype" w:cs="Arial"/>
          <w:szCs w:val="24"/>
        </w:rPr>
        <w:t xml:space="preserve"> que presentó el recurso de revisión manifiesta la voluntad de desistirse, con las consecuencias que a ello conlleva.</w:t>
      </w:r>
    </w:p>
    <w:p w14:paraId="1855A7F7" w14:textId="77777777" w:rsidR="002258F9" w:rsidRPr="00145E1B" w:rsidRDefault="002258F9" w:rsidP="00D57651">
      <w:pPr>
        <w:tabs>
          <w:tab w:val="left" w:pos="709"/>
        </w:tabs>
        <w:spacing w:after="0" w:line="360" w:lineRule="auto"/>
        <w:jc w:val="both"/>
        <w:rPr>
          <w:rFonts w:ascii="Palatino Linotype" w:hAnsi="Palatino Linotype" w:cs="Arial"/>
          <w:szCs w:val="24"/>
        </w:rPr>
      </w:pPr>
    </w:p>
    <w:p w14:paraId="549B53D7" w14:textId="77777777" w:rsidR="001A4AFE" w:rsidRPr="00145E1B" w:rsidRDefault="001A4AFE" w:rsidP="00D57651">
      <w:pPr>
        <w:pStyle w:val="Prrafodelista"/>
        <w:autoSpaceDE w:val="0"/>
        <w:autoSpaceDN w:val="0"/>
        <w:adjustRightInd w:val="0"/>
        <w:spacing w:line="360" w:lineRule="auto"/>
        <w:ind w:left="0"/>
        <w:jc w:val="both"/>
        <w:rPr>
          <w:rFonts w:ascii="Palatino Linotype" w:hAnsi="Palatino Linotype" w:cs="Arial"/>
          <w:sz w:val="22"/>
        </w:rPr>
      </w:pPr>
      <w:r w:rsidRPr="00145E1B">
        <w:rPr>
          <w:rFonts w:ascii="Palatino Linotype" w:hAnsi="Palatino Linotype"/>
          <w:sz w:val="22"/>
        </w:rPr>
        <w:t>Por lo antes expuesto y fundado es de resolverse y;</w:t>
      </w:r>
    </w:p>
    <w:p w14:paraId="190937D2" w14:textId="77777777" w:rsidR="001A4AFE" w:rsidRPr="00145E1B" w:rsidRDefault="001A4AFE" w:rsidP="00D57651">
      <w:pPr>
        <w:pStyle w:val="Citas"/>
        <w:spacing w:before="0" w:after="0"/>
        <w:ind w:left="0" w:right="0"/>
        <w:rPr>
          <w:i w:val="0"/>
          <w:szCs w:val="24"/>
        </w:rPr>
      </w:pPr>
    </w:p>
    <w:p w14:paraId="360C22FF" w14:textId="77777777" w:rsidR="001A4AFE" w:rsidRPr="00145E1B" w:rsidRDefault="001A4AFE" w:rsidP="00D57651">
      <w:pPr>
        <w:spacing w:after="0" w:line="360" w:lineRule="auto"/>
        <w:jc w:val="center"/>
        <w:rPr>
          <w:rFonts w:ascii="Palatino Linotype" w:eastAsia="Times New Roman" w:hAnsi="Palatino Linotype"/>
          <w:b/>
          <w:bCs/>
          <w:spacing w:val="60"/>
          <w:sz w:val="26"/>
          <w:szCs w:val="26"/>
          <w:lang w:val="es-ES_tradnl"/>
        </w:rPr>
      </w:pPr>
      <w:r w:rsidRPr="00145E1B">
        <w:rPr>
          <w:rFonts w:ascii="Palatino Linotype" w:eastAsia="Times New Roman" w:hAnsi="Palatino Linotype"/>
          <w:b/>
          <w:bCs/>
          <w:spacing w:val="60"/>
          <w:sz w:val="26"/>
          <w:szCs w:val="26"/>
          <w:lang w:val="es-ES_tradnl"/>
        </w:rPr>
        <w:t>SE RESUELVE</w:t>
      </w:r>
    </w:p>
    <w:p w14:paraId="0AA76E13" w14:textId="1E9AE154" w:rsidR="001A4AFE" w:rsidRPr="00145E1B" w:rsidRDefault="001A4AFE" w:rsidP="00D57651">
      <w:pPr>
        <w:spacing w:after="0" w:line="360" w:lineRule="auto"/>
        <w:jc w:val="both"/>
        <w:rPr>
          <w:rFonts w:ascii="Palatino Linotype" w:hAnsi="Palatino Linotype" w:cs="Arial"/>
          <w:b/>
          <w:sz w:val="24"/>
          <w:szCs w:val="24"/>
          <w:lang w:val="es-ES_tradnl"/>
        </w:rPr>
      </w:pPr>
      <w:r w:rsidRPr="00852AB8">
        <w:rPr>
          <w:rFonts w:ascii="Palatino Linotype" w:hAnsi="Palatino Linotype" w:cs="Arial"/>
          <w:b/>
          <w:sz w:val="26"/>
          <w:szCs w:val="26"/>
          <w:lang w:val="es-ES_tradnl"/>
        </w:rPr>
        <w:t>PRIMERO.</w:t>
      </w:r>
      <w:r w:rsidRPr="00145E1B">
        <w:rPr>
          <w:rFonts w:ascii="Palatino Linotype" w:hAnsi="Palatino Linotype" w:cs="Arial"/>
          <w:b/>
          <w:sz w:val="24"/>
          <w:szCs w:val="24"/>
          <w:lang w:val="es-ES_tradnl"/>
        </w:rPr>
        <w:t xml:space="preserve"> </w:t>
      </w:r>
      <w:r w:rsidRPr="00145E1B">
        <w:rPr>
          <w:rFonts w:ascii="Palatino Linotype" w:hAnsi="Palatino Linotype" w:cs="Arial"/>
          <w:szCs w:val="24"/>
          <w:lang w:val="es-ES_tradnl"/>
        </w:rPr>
        <w:t xml:space="preserve">Se </w:t>
      </w:r>
      <w:r w:rsidRPr="00145E1B">
        <w:rPr>
          <w:rFonts w:ascii="Palatino Linotype" w:hAnsi="Palatino Linotype" w:cs="Arial"/>
          <w:b/>
          <w:szCs w:val="24"/>
          <w:lang w:val="es-ES_tradnl"/>
        </w:rPr>
        <w:t>SOBRESEE</w:t>
      </w:r>
      <w:r w:rsidRPr="00145E1B">
        <w:rPr>
          <w:rFonts w:ascii="Palatino Linotype" w:hAnsi="Palatino Linotype" w:cs="Arial"/>
          <w:szCs w:val="24"/>
          <w:lang w:val="es-ES_tradnl"/>
        </w:rPr>
        <w:t xml:space="preserve"> el recurso de revisión número </w:t>
      </w:r>
      <w:r w:rsidR="002258F9">
        <w:rPr>
          <w:rFonts w:ascii="Palatino Linotype" w:hAnsi="Palatino Linotype" w:cs="Arial"/>
          <w:b/>
          <w:szCs w:val="24"/>
          <w:lang w:val="es-ES_tradnl"/>
        </w:rPr>
        <w:t>00405/INFOEM/IP/RR/2022</w:t>
      </w:r>
      <w:r w:rsidRPr="00145E1B">
        <w:rPr>
          <w:rFonts w:ascii="Palatino Linotype" w:hAnsi="Palatino Linotype" w:cs="Arial"/>
          <w:szCs w:val="24"/>
          <w:lang w:val="es-ES_tradnl"/>
        </w:rPr>
        <w:t xml:space="preserve">, por haberse desistido expresamente </w:t>
      </w:r>
      <w:r w:rsidRPr="00145E1B">
        <w:rPr>
          <w:rFonts w:ascii="Palatino Linotype" w:hAnsi="Palatino Linotype" w:cs="Arial"/>
          <w:b/>
          <w:szCs w:val="24"/>
          <w:lang w:val="es-ES_tradnl"/>
        </w:rPr>
        <w:t>EL RECURRENTE</w:t>
      </w:r>
      <w:r w:rsidRPr="00145E1B">
        <w:rPr>
          <w:rFonts w:ascii="Palatino Linotype" w:hAnsi="Palatino Linotype" w:cs="Arial"/>
          <w:szCs w:val="24"/>
          <w:lang w:val="es-ES_tradnl"/>
        </w:rPr>
        <w:t xml:space="preserve">, en términos del Considerando </w:t>
      </w:r>
      <w:r w:rsidRPr="00145E1B">
        <w:rPr>
          <w:rFonts w:ascii="Palatino Linotype" w:hAnsi="Palatino Linotype" w:cs="Arial"/>
          <w:b/>
          <w:szCs w:val="24"/>
          <w:lang w:val="es-ES_tradnl"/>
        </w:rPr>
        <w:t>TERCERO</w:t>
      </w:r>
      <w:r w:rsidRPr="00145E1B">
        <w:rPr>
          <w:rFonts w:ascii="Palatino Linotype" w:hAnsi="Palatino Linotype" w:cs="Arial"/>
          <w:szCs w:val="24"/>
          <w:lang w:val="es-ES_tradnl"/>
        </w:rPr>
        <w:t xml:space="preserve"> de la presente resolución.</w:t>
      </w:r>
      <w:r w:rsidRPr="00145E1B">
        <w:rPr>
          <w:rFonts w:ascii="Palatino Linotype" w:hAnsi="Palatino Linotype" w:cs="Arial"/>
          <w:b/>
          <w:sz w:val="24"/>
          <w:szCs w:val="24"/>
          <w:lang w:val="es-ES_tradnl"/>
        </w:rPr>
        <w:t xml:space="preserve"> </w:t>
      </w:r>
    </w:p>
    <w:p w14:paraId="14BF046C" w14:textId="77777777" w:rsidR="00F82A55" w:rsidRPr="00145E1B" w:rsidRDefault="00F82A55" w:rsidP="00D57651">
      <w:pPr>
        <w:spacing w:after="0" w:line="360" w:lineRule="auto"/>
        <w:jc w:val="both"/>
        <w:rPr>
          <w:rFonts w:ascii="Palatino Linotype" w:hAnsi="Palatino Linotype" w:cs="Arial"/>
          <w:b/>
          <w:sz w:val="24"/>
          <w:szCs w:val="24"/>
          <w:lang w:val="es-ES_tradnl"/>
        </w:rPr>
      </w:pPr>
    </w:p>
    <w:p w14:paraId="543695C9" w14:textId="1EC1795B" w:rsidR="001A4AFE" w:rsidRPr="00145E1B" w:rsidRDefault="001A4AFE" w:rsidP="00D57651">
      <w:pPr>
        <w:spacing w:after="0" w:line="360" w:lineRule="auto"/>
        <w:jc w:val="both"/>
        <w:rPr>
          <w:rFonts w:ascii="Palatino Linotype" w:hAnsi="Palatino Linotype" w:cs="Arial"/>
          <w:b/>
          <w:sz w:val="24"/>
          <w:szCs w:val="24"/>
          <w:lang w:val="es-ES_tradnl"/>
        </w:rPr>
      </w:pPr>
      <w:r w:rsidRPr="00852AB8">
        <w:rPr>
          <w:rFonts w:ascii="Palatino Linotype" w:hAnsi="Palatino Linotype" w:cs="Arial"/>
          <w:b/>
          <w:sz w:val="26"/>
          <w:szCs w:val="26"/>
          <w:lang w:val="es-ES_tradnl"/>
        </w:rPr>
        <w:t>SEGUNDO.</w:t>
      </w:r>
      <w:r w:rsidRPr="00145E1B">
        <w:rPr>
          <w:rFonts w:ascii="Palatino Linotype" w:hAnsi="Palatino Linotype" w:cs="Arial"/>
          <w:b/>
          <w:sz w:val="24"/>
          <w:szCs w:val="24"/>
          <w:lang w:val="es-ES_tradnl"/>
        </w:rPr>
        <w:t xml:space="preserve"> </w:t>
      </w:r>
      <w:r w:rsidRPr="00145E1B">
        <w:rPr>
          <w:rFonts w:ascii="Palatino Linotype" w:hAnsi="Palatino Linotype" w:cs="Arial"/>
          <w:b/>
          <w:szCs w:val="24"/>
          <w:lang w:val="es-ES_tradnl"/>
        </w:rPr>
        <w:t>NOTIFÍQUESE</w:t>
      </w:r>
      <w:r w:rsidRPr="00145E1B">
        <w:rPr>
          <w:rFonts w:ascii="Palatino Linotype" w:hAnsi="Palatino Linotype" w:cs="Arial"/>
          <w:szCs w:val="24"/>
          <w:lang w:val="es-ES_tradnl"/>
        </w:rPr>
        <w:t xml:space="preserve"> vía </w:t>
      </w:r>
      <w:r w:rsidRPr="00145E1B">
        <w:rPr>
          <w:rFonts w:ascii="Palatino Linotype" w:hAnsi="Palatino Linotype" w:cs="Arial"/>
          <w:sz w:val="20"/>
        </w:rPr>
        <w:t>Sistema de Acceso a la Información Mexiquense (</w:t>
      </w:r>
      <w:r w:rsidRPr="00145E1B">
        <w:rPr>
          <w:rFonts w:ascii="Palatino Linotype" w:hAnsi="Palatino Linotype" w:cs="Arial"/>
          <w:b/>
          <w:szCs w:val="24"/>
          <w:lang w:val="es-ES_tradnl"/>
        </w:rPr>
        <w:t>SAIMEX),</w:t>
      </w:r>
      <w:r w:rsidRPr="00145E1B">
        <w:rPr>
          <w:rFonts w:ascii="Palatino Linotype" w:hAnsi="Palatino Linotype" w:cs="Arial"/>
          <w:szCs w:val="24"/>
          <w:lang w:val="es-ES_tradnl"/>
        </w:rPr>
        <w:t xml:space="preserve"> la presente resolución al Titular de la Unidad de Transparencia del </w:t>
      </w:r>
      <w:r w:rsidRPr="00145E1B">
        <w:rPr>
          <w:rFonts w:ascii="Palatino Linotype" w:hAnsi="Palatino Linotype" w:cs="Arial"/>
          <w:b/>
          <w:szCs w:val="24"/>
          <w:lang w:val="es-ES_tradnl"/>
        </w:rPr>
        <w:t>SUJETO OBLIGADO</w:t>
      </w:r>
      <w:r w:rsidRPr="00145E1B">
        <w:rPr>
          <w:rFonts w:ascii="Palatino Linotype" w:hAnsi="Palatino Linotype" w:cs="Arial"/>
          <w:szCs w:val="24"/>
          <w:lang w:val="es-ES_tradnl"/>
        </w:rPr>
        <w:t>.</w:t>
      </w:r>
      <w:r w:rsidRPr="00145E1B">
        <w:rPr>
          <w:rFonts w:ascii="Palatino Linotype" w:hAnsi="Palatino Linotype" w:cs="Arial"/>
          <w:b/>
          <w:sz w:val="24"/>
          <w:szCs w:val="24"/>
          <w:lang w:val="es-ES_tradnl"/>
        </w:rPr>
        <w:t xml:space="preserve"> </w:t>
      </w:r>
    </w:p>
    <w:p w14:paraId="4D1D136A" w14:textId="77777777" w:rsidR="001A4AFE" w:rsidRPr="00145E1B" w:rsidRDefault="001A4AFE" w:rsidP="00D57651">
      <w:pPr>
        <w:spacing w:after="0" w:line="360" w:lineRule="auto"/>
        <w:jc w:val="both"/>
        <w:rPr>
          <w:rFonts w:ascii="Palatino Linotype" w:hAnsi="Palatino Linotype" w:cs="Arial"/>
          <w:b/>
          <w:sz w:val="24"/>
          <w:szCs w:val="24"/>
          <w:lang w:val="es-ES_tradnl"/>
        </w:rPr>
      </w:pPr>
    </w:p>
    <w:p w14:paraId="6F7EA9B7" w14:textId="2D8D3DA2" w:rsidR="001A4AFE" w:rsidRPr="00145E1B" w:rsidRDefault="001A4AFE" w:rsidP="00D57651">
      <w:pPr>
        <w:spacing w:after="0" w:line="360" w:lineRule="auto"/>
        <w:jc w:val="both"/>
        <w:rPr>
          <w:rFonts w:ascii="Palatino Linotype" w:hAnsi="Palatino Linotype" w:cs="Arial"/>
          <w:szCs w:val="24"/>
          <w:lang w:val="es-ES_tradnl"/>
        </w:rPr>
      </w:pPr>
      <w:r w:rsidRPr="00852AB8">
        <w:rPr>
          <w:rFonts w:ascii="Palatino Linotype" w:hAnsi="Palatino Linotype" w:cs="Arial"/>
          <w:b/>
          <w:sz w:val="26"/>
          <w:szCs w:val="26"/>
          <w:lang w:val="es-ES_tradnl"/>
        </w:rPr>
        <w:t>TERCERO.</w:t>
      </w:r>
      <w:r w:rsidRPr="00145E1B">
        <w:rPr>
          <w:rFonts w:ascii="Palatino Linotype" w:hAnsi="Palatino Linotype" w:cs="Arial"/>
          <w:b/>
          <w:sz w:val="24"/>
          <w:szCs w:val="24"/>
          <w:lang w:val="es-ES_tradnl"/>
        </w:rPr>
        <w:t xml:space="preserve"> </w:t>
      </w:r>
      <w:r w:rsidRPr="00145E1B">
        <w:rPr>
          <w:rFonts w:ascii="Palatino Linotype" w:hAnsi="Palatino Linotype" w:cs="Arial"/>
          <w:b/>
          <w:szCs w:val="24"/>
          <w:lang w:val="es-ES_tradnl"/>
        </w:rPr>
        <w:t>NOTIFÍQUESE</w:t>
      </w:r>
      <w:r w:rsidRPr="00145E1B">
        <w:rPr>
          <w:rFonts w:ascii="Palatino Linotype" w:hAnsi="Palatino Linotype" w:cs="Arial"/>
          <w:szCs w:val="24"/>
          <w:lang w:val="es-ES_tradnl"/>
        </w:rPr>
        <w:t xml:space="preserve"> al </w:t>
      </w:r>
      <w:r w:rsidRPr="00145E1B">
        <w:rPr>
          <w:rFonts w:ascii="Palatino Linotype" w:hAnsi="Palatino Linotype" w:cs="Arial"/>
          <w:b/>
          <w:szCs w:val="24"/>
          <w:lang w:val="es-ES_tradnl"/>
        </w:rPr>
        <w:t>RECURRENTE</w:t>
      </w:r>
      <w:r w:rsidRPr="00145E1B">
        <w:rPr>
          <w:rFonts w:ascii="Palatino Linotype" w:hAnsi="Palatino Linotype" w:cs="Arial"/>
          <w:szCs w:val="24"/>
          <w:lang w:val="es-ES_tradnl"/>
        </w:rPr>
        <w:t xml:space="preserve"> la presente resolución</w:t>
      </w:r>
      <w:r w:rsidR="00F153D2" w:rsidRPr="00145E1B">
        <w:rPr>
          <w:rFonts w:ascii="Palatino Linotype" w:hAnsi="Palatino Linotype" w:cs="Arial"/>
          <w:szCs w:val="24"/>
          <w:lang w:val="es-ES_tradnl"/>
        </w:rPr>
        <w:t xml:space="preserve"> vía </w:t>
      </w:r>
      <w:r w:rsidR="00F153D2" w:rsidRPr="00145E1B">
        <w:rPr>
          <w:rFonts w:ascii="Palatino Linotype" w:hAnsi="Palatino Linotype" w:cs="Arial"/>
          <w:sz w:val="20"/>
        </w:rPr>
        <w:t>Sistema de Acceso a la Información Mexiquense (</w:t>
      </w:r>
      <w:r w:rsidR="00F153D2" w:rsidRPr="00145E1B">
        <w:rPr>
          <w:rFonts w:ascii="Palatino Linotype" w:hAnsi="Palatino Linotype" w:cs="Arial"/>
          <w:b/>
          <w:szCs w:val="24"/>
          <w:lang w:val="es-ES_tradnl"/>
        </w:rPr>
        <w:t>SAIMEX)</w:t>
      </w:r>
      <w:r w:rsidRPr="00145E1B">
        <w:rPr>
          <w:rFonts w:ascii="Palatino Linotype" w:hAnsi="Palatino Linotype" w:cs="Arial"/>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584B400E" w14:textId="77777777" w:rsidR="001A4AFE" w:rsidRPr="00145E1B" w:rsidRDefault="001A4AFE" w:rsidP="00D57651">
      <w:pPr>
        <w:pStyle w:val="Citas"/>
        <w:spacing w:before="0" w:after="0"/>
        <w:ind w:left="0" w:right="0"/>
        <w:rPr>
          <w:i w:val="0"/>
          <w:szCs w:val="24"/>
        </w:rPr>
      </w:pPr>
    </w:p>
    <w:p w14:paraId="7BB268E6" w14:textId="18E09701" w:rsidR="00083BAF" w:rsidRPr="00145E1B" w:rsidRDefault="00083BAF" w:rsidP="00D57651">
      <w:pPr>
        <w:pStyle w:val="Prrafodelista"/>
        <w:autoSpaceDE w:val="0"/>
        <w:autoSpaceDN w:val="0"/>
        <w:adjustRightInd w:val="0"/>
        <w:spacing w:line="360" w:lineRule="auto"/>
        <w:ind w:left="0"/>
        <w:jc w:val="both"/>
        <w:rPr>
          <w:rFonts w:ascii="Palatino Linotype" w:hAnsi="Palatino Linotype" w:cs="Arial"/>
          <w:sz w:val="22"/>
        </w:rPr>
      </w:pPr>
      <w:r w:rsidRPr="00145E1B">
        <w:rPr>
          <w:rFonts w:ascii="Palatino Linotype" w:hAnsi="Palatino Linotype" w:cs="Arial"/>
          <w:sz w:val="22"/>
        </w:rPr>
        <w:t>ASÍ LO ACORDÓ, POR UNANIMIDAD DE VOTOS, EL PLENO DEL</w:t>
      </w:r>
      <w:r w:rsidRPr="00145E1B">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145E1B">
        <w:rPr>
          <w:rFonts w:ascii="Palatino Linotype" w:hAnsi="Palatino Linotype" w:cs="Arial"/>
          <w:sz w:val="22"/>
        </w:rPr>
        <w:t>, CONFORMADO POR LOS COMISIONADOS JOSÉ MARTÍNEZ VILCHIS, MARÍA DEL ROSARIO MEJÍA AYALA, SHARON CRISTINA MORALES MARTÍNEZ</w:t>
      </w:r>
      <w:r w:rsidR="002258F9">
        <w:rPr>
          <w:rFonts w:ascii="Palatino Linotype" w:hAnsi="Palatino Linotype" w:cs="Arial"/>
          <w:sz w:val="22"/>
        </w:rPr>
        <w:t xml:space="preserve"> (AUSENCIA JUSTIFICADA)</w:t>
      </w:r>
      <w:r w:rsidRPr="00145E1B">
        <w:rPr>
          <w:rFonts w:ascii="Palatino Linotype" w:hAnsi="Palatino Linotype" w:cs="Arial"/>
          <w:sz w:val="22"/>
        </w:rPr>
        <w:t xml:space="preserve">, LUIS GUSTAVO PARRA NORIEGA Y GUADALUPE RAMÍREZ PEÑA; EN LA </w:t>
      </w:r>
      <w:r w:rsidR="00852AB8">
        <w:rPr>
          <w:rFonts w:ascii="Palatino Linotype" w:hAnsi="Palatino Linotype" w:cs="Arial"/>
          <w:sz w:val="22"/>
        </w:rPr>
        <w:t xml:space="preserve">OCTAVA </w:t>
      </w:r>
      <w:r w:rsidRPr="00145E1B">
        <w:rPr>
          <w:rFonts w:ascii="Palatino Linotype" w:hAnsi="Palatino Linotype" w:cs="Arial"/>
          <w:sz w:val="22"/>
        </w:rPr>
        <w:t>SE</w:t>
      </w:r>
      <w:r w:rsidR="00F82A55" w:rsidRPr="00145E1B">
        <w:rPr>
          <w:rFonts w:ascii="Palatino Linotype" w:hAnsi="Palatino Linotype" w:cs="Arial"/>
          <w:sz w:val="22"/>
        </w:rPr>
        <w:t xml:space="preserve">SIÓN ORDINARIA CELEBRADA EL </w:t>
      </w:r>
      <w:r w:rsidR="00812314">
        <w:rPr>
          <w:rFonts w:ascii="Palatino Linotype" w:hAnsi="Palatino Linotype" w:cs="Arial"/>
          <w:sz w:val="22"/>
        </w:rPr>
        <w:t>TRES</w:t>
      </w:r>
      <w:r w:rsidR="00852AB8">
        <w:rPr>
          <w:rFonts w:ascii="Palatino Linotype" w:hAnsi="Palatino Linotype" w:cs="Arial"/>
          <w:sz w:val="22"/>
        </w:rPr>
        <w:t xml:space="preserve"> DE MARZO DE DOS MIL VEINTIDOS</w:t>
      </w:r>
      <w:r w:rsidRPr="00145E1B">
        <w:rPr>
          <w:rFonts w:ascii="Palatino Linotype" w:hAnsi="Palatino Linotype" w:cs="Arial"/>
          <w:sz w:val="22"/>
        </w:rPr>
        <w:t>, ANTE EL SECRETARIO TÉCNICO D</w:t>
      </w:r>
      <w:r w:rsidR="00852AB8">
        <w:rPr>
          <w:rFonts w:ascii="Palatino Linotype" w:hAnsi="Palatino Linotype" w:cs="Arial"/>
          <w:sz w:val="22"/>
        </w:rPr>
        <w:t>EL PLENO, ALEXIS TAPIA RAMÍREZ.-----------------------------------</w:t>
      </w:r>
    </w:p>
    <w:p w14:paraId="56A44959" w14:textId="56CBB24E" w:rsidR="00C65944" w:rsidRPr="00145E1B" w:rsidRDefault="00C65944" w:rsidP="00D57651">
      <w:pPr>
        <w:spacing w:after="0" w:line="360" w:lineRule="auto"/>
        <w:jc w:val="both"/>
        <w:rPr>
          <w:rFonts w:ascii="Palatino Linotype" w:hAnsi="Palatino Linotype" w:cs="Arial"/>
          <w:sz w:val="14"/>
          <w:szCs w:val="16"/>
        </w:rPr>
      </w:pPr>
    </w:p>
    <w:p w14:paraId="779EAE46" w14:textId="77777777" w:rsidR="00C65944" w:rsidRPr="00145E1B" w:rsidRDefault="00C65944" w:rsidP="00D57651">
      <w:pPr>
        <w:spacing w:after="0" w:line="360" w:lineRule="auto"/>
        <w:jc w:val="both"/>
        <w:rPr>
          <w:rFonts w:ascii="Palatino Linotype" w:hAnsi="Palatino Linotype" w:cs="Arial"/>
          <w:sz w:val="14"/>
          <w:szCs w:val="16"/>
        </w:rPr>
      </w:pPr>
    </w:p>
    <w:p w14:paraId="1D90B68E" w14:textId="77777777" w:rsidR="00C65944" w:rsidRPr="00145E1B" w:rsidRDefault="00C65944" w:rsidP="00D57651">
      <w:pPr>
        <w:spacing w:after="0" w:line="360" w:lineRule="auto"/>
        <w:jc w:val="both"/>
        <w:rPr>
          <w:rFonts w:ascii="Palatino Linotype" w:hAnsi="Palatino Linotype" w:cs="Arial"/>
          <w:sz w:val="14"/>
          <w:szCs w:val="16"/>
        </w:rPr>
      </w:pPr>
    </w:p>
    <w:p w14:paraId="53B83AA1" w14:textId="77777777" w:rsidR="00C65944" w:rsidRPr="00145E1B" w:rsidRDefault="00C65944" w:rsidP="00D57651">
      <w:pPr>
        <w:spacing w:after="0" w:line="360" w:lineRule="auto"/>
        <w:jc w:val="both"/>
        <w:rPr>
          <w:rFonts w:ascii="Palatino Linotype" w:hAnsi="Palatino Linotype" w:cs="Arial"/>
          <w:sz w:val="14"/>
          <w:szCs w:val="16"/>
        </w:rPr>
      </w:pPr>
    </w:p>
    <w:p w14:paraId="5DAE128B" w14:textId="77777777" w:rsidR="00C65944" w:rsidRPr="00145E1B" w:rsidRDefault="00C65944" w:rsidP="00D57651">
      <w:pPr>
        <w:spacing w:after="0" w:line="360" w:lineRule="auto"/>
        <w:jc w:val="both"/>
        <w:rPr>
          <w:rFonts w:ascii="Palatino Linotype" w:hAnsi="Palatino Linotype" w:cs="Arial"/>
          <w:sz w:val="14"/>
          <w:szCs w:val="16"/>
        </w:rPr>
      </w:pPr>
    </w:p>
    <w:p w14:paraId="7A0A5973" w14:textId="77777777" w:rsidR="00C65944" w:rsidRPr="00145E1B" w:rsidRDefault="00C65944" w:rsidP="00D57651">
      <w:pPr>
        <w:spacing w:after="0" w:line="360" w:lineRule="auto"/>
        <w:jc w:val="both"/>
        <w:rPr>
          <w:rFonts w:ascii="Palatino Linotype" w:hAnsi="Palatino Linotype" w:cs="Arial"/>
          <w:sz w:val="14"/>
          <w:szCs w:val="16"/>
        </w:rPr>
      </w:pPr>
    </w:p>
    <w:p w14:paraId="7A1693C0" w14:textId="77777777" w:rsidR="00C65944" w:rsidRPr="00145E1B" w:rsidRDefault="00C65944" w:rsidP="00D57651">
      <w:pPr>
        <w:spacing w:after="0" w:line="360" w:lineRule="auto"/>
        <w:jc w:val="both"/>
        <w:rPr>
          <w:rFonts w:ascii="Palatino Linotype" w:hAnsi="Palatino Linotype" w:cs="Arial"/>
          <w:sz w:val="14"/>
          <w:szCs w:val="16"/>
        </w:rPr>
      </w:pPr>
    </w:p>
    <w:p w14:paraId="4F2F1A12" w14:textId="77777777" w:rsidR="00C65944" w:rsidRPr="00145E1B" w:rsidRDefault="00C65944" w:rsidP="00D57651">
      <w:pPr>
        <w:spacing w:after="0" w:line="360" w:lineRule="auto"/>
        <w:jc w:val="both"/>
        <w:rPr>
          <w:rFonts w:ascii="Palatino Linotype" w:hAnsi="Palatino Linotype" w:cs="Arial"/>
          <w:sz w:val="14"/>
          <w:szCs w:val="16"/>
        </w:rPr>
      </w:pPr>
    </w:p>
    <w:p w14:paraId="5D07FEFA" w14:textId="77777777" w:rsidR="00C65944" w:rsidRPr="00145E1B" w:rsidRDefault="00C65944" w:rsidP="00D57651">
      <w:pPr>
        <w:spacing w:after="0" w:line="360" w:lineRule="auto"/>
        <w:jc w:val="both"/>
        <w:rPr>
          <w:rFonts w:ascii="Palatino Linotype" w:hAnsi="Palatino Linotype" w:cs="Arial"/>
          <w:sz w:val="14"/>
          <w:szCs w:val="16"/>
        </w:rPr>
      </w:pPr>
    </w:p>
    <w:p w14:paraId="16CD9FE1" w14:textId="77777777" w:rsidR="00C65944" w:rsidRPr="00145E1B" w:rsidRDefault="00C65944" w:rsidP="00D57651">
      <w:pPr>
        <w:spacing w:after="0" w:line="360" w:lineRule="auto"/>
        <w:jc w:val="both"/>
        <w:rPr>
          <w:rFonts w:ascii="Palatino Linotype" w:hAnsi="Palatino Linotype" w:cs="Arial"/>
          <w:sz w:val="14"/>
          <w:szCs w:val="16"/>
        </w:rPr>
      </w:pPr>
    </w:p>
    <w:p w14:paraId="697B3328" w14:textId="77777777" w:rsidR="00C65944" w:rsidRPr="00145E1B" w:rsidRDefault="00C65944" w:rsidP="00D57651">
      <w:pPr>
        <w:spacing w:after="0" w:line="360" w:lineRule="auto"/>
        <w:jc w:val="both"/>
        <w:rPr>
          <w:rFonts w:ascii="Palatino Linotype" w:hAnsi="Palatino Linotype" w:cs="Arial"/>
          <w:sz w:val="14"/>
          <w:szCs w:val="16"/>
        </w:rPr>
      </w:pPr>
    </w:p>
    <w:p w14:paraId="7B732FC0" w14:textId="77777777" w:rsidR="00C65944" w:rsidRPr="00145E1B" w:rsidRDefault="00C65944" w:rsidP="00D57651">
      <w:pPr>
        <w:pStyle w:val="Citas"/>
        <w:spacing w:before="0" w:after="0"/>
        <w:ind w:left="0" w:right="0"/>
        <w:rPr>
          <w:i w:val="0"/>
          <w:sz w:val="20"/>
        </w:rPr>
      </w:pPr>
    </w:p>
    <w:p w14:paraId="65E6CAA5" w14:textId="77777777" w:rsidR="00676C2E" w:rsidRPr="00145E1B" w:rsidRDefault="00676C2E" w:rsidP="00D57651">
      <w:pPr>
        <w:pStyle w:val="Citas"/>
        <w:spacing w:before="0" w:after="0"/>
        <w:ind w:left="0"/>
        <w:rPr>
          <w:b/>
          <w:sz w:val="20"/>
        </w:rPr>
      </w:pPr>
    </w:p>
    <w:p w14:paraId="1E529355" w14:textId="77777777" w:rsidR="00836D30" w:rsidRPr="00145E1B" w:rsidRDefault="00836D30" w:rsidP="00D57651">
      <w:pPr>
        <w:pStyle w:val="Citas"/>
        <w:spacing w:before="0" w:after="0"/>
        <w:ind w:left="0"/>
        <w:rPr>
          <w:b/>
          <w:sz w:val="20"/>
        </w:rPr>
      </w:pPr>
    </w:p>
    <w:p w14:paraId="60EADD33" w14:textId="77777777" w:rsidR="00836D30" w:rsidRPr="00145E1B" w:rsidRDefault="00836D30" w:rsidP="00D57651">
      <w:pPr>
        <w:pStyle w:val="Citas"/>
        <w:spacing w:before="0" w:after="0"/>
        <w:ind w:left="0"/>
        <w:rPr>
          <w:b/>
          <w:sz w:val="20"/>
        </w:rPr>
      </w:pPr>
    </w:p>
    <w:p w14:paraId="2D34C5A5" w14:textId="77777777" w:rsidR="00836D30" w:rsidRPr="00145E1B" w:rsidRDefault="00836D30" w:rsidP="00D57651">
      <w:pPr>
        <w:pStyle w:val="Citas"/>
        <w:spacing w:before="0" w:after="0"/>
        <w:ind w:left="0"/>
        <w:rPr>
          <w:b/>
          <w:sz w:val="20"/>
        </w:rPr>
      </w:pPr>
    </w:p>
    <w:p w14:paraId="5C8F15CB" w14:textId="77777777" w:rsidR="00836D30" w:rsidRPr="00145E1B" w:rsidRDefault="00836D30" w:rsidP="00D57651">
      <w:pPr>
        <w:pStyle w:val="Citas"/>
        <w:spacing w:before="0" w:after="0"/>
        <w:ind w:left="0"/>
        <w:rPr>
          <w:b/>
          <w:sz w:val="20"/>
        </w:rPr>
      </w:pPr>
    </w:p>
    <w:p w14:paraId="7843F831" w14:textId="77777777" w:rsidR="00836D30" w:rsidRPr="00145E1B" w:rsidRDefault="00836D30" w:rsidP="00D57651">
      <w:pPr>
        <w:pStyle w:val="Citas"/>
        <w:spacing w:before="0" w:after="0"/>
        <w:ind w:left="0"/>
        <w:rPr>
          <w:b/>
          <w:sz w:val="20"/>
        </w:rPr>
      </w:pPr>
    </w:p>
    <w:p w14:paraId="62955BC5" w14:textId="77777777" w:rsidR="00836D30" w:rsidRPr="00145E1B" w:rsidRDefault="00836D30" w:rsidP="00D57651">
      <w:pPr>
        <w:pStyle w:val="Citas"/>
        <w:spacing w:before="0" w:after="0"/>
        <w:ind w:left="0"/>
        <w:rPr>
          <w:b/>
          <w:sz w:val="20"/>
        </w:rPr>
      </w:pPr>
    </w:p>
    <w:p w14:paraId="16EE8B08" w14:textId="77777777" w:rsidR="00836D30" w:rsidRPr="00145E1B" w:rsidRDefault="00836D30" w:rsidP="00D57651">
      <w:pPr>
        <w:pStyle w:val="Citas"/>
        <w:spacing w:before="0" w:after="0"/>
        <w:ind w:left="0"/>
        <w:rPr>
          <w:b/>
          <w:sz w:val="20"/>
        </w:rPr>
      </w:pPr>
    </w:p>
    <w:p w14:paraId="58586C0D" w14:textId="77777777" w:rsidR="00836D30" w:rsidRPr="00145E1B" w:rsidRDefault="00836D30" w:rsidP="00D57651">
      <w:pPr>
        <w:pStyle w:val="Citas"/>
        <w:spacing w:before="0" w:after="0"/>
        <w:ind w:left="0"/>
        <w:rPr>
          <w:b/>
          <w:sz w:val="20"/>
        </w:rPr>
      </w:pPr>
    </w:p>
    <w:p w14:paraId="533606C3" w14:textId="77777777" w:rsidR="00836D30" w:rsidRPr="00145E1B" w:rsidRDefault="00836D30" w:rsidP="00D57651">
      <w:pPr>
        <w:pStyle w:val="Citas"/>
        <w:spacing w:before="0" w:after="0"/>
        <w:ind w:left="0"/>
        <w:rPr>
          <w:b/>
          <w:sz w:val="20"/>
        </w:rPr>
      </w:pPr>
    </w:p>
    <w:p w14:paraId="5AAE5116" w14:textId="77777777" w:rsidR="00836D30" w:rsidRPr="00145E1B" w:rsidRDefault="00836D30" w:rsidP="00D57651">
      <w:pPr>
        <w:pStyle w:val="Citas"/>
        <w:spacing w:before="0" w:after="0"/>
        <w:ind w:left="0"/>
        <w:rPr>
          <w:b/>
          <w:sz w:val="20"/>
        </w:rPr>
      </w:pPr>
    </w:p>
    <w:p w14:paraId="47E25E3A" w14:textId="77777777" w:rsidR="00676C2E" w:rsidRPr="00145E1B" w:rsidRDefault="00676C2E" w:rsidP="00D57651">
      <w:pPr>
        <w:pStyle w:val="Citas"/>
        <w:spacing w:before="0" w:after="0"/>
        <w:ind w:left="0"/>
        <w:rPr>
          <w:b/>
          <w:sz w:val="20"/>
        </w:rPr>
      </w:pPr>
    </w:p>
    <w:sectPr w:rsidR="00676C2E" w:rsidRPr="00145E1B" w:rsidSect="00B61B70">
      <w:headerReference w:type="default" r:id="rId12"/>
      <w:footerReference w:type="default" r:id="rId13"/>
      <w:headerReference w:type="first" r:id="rId14"/>
      <w:footerReference w:type="first" r:id="rId15"/>
      <w:pgSz w:w="12240" w:h="15840"/>
      <w:pgMar w:top="1202" w:right="1467"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E643B" w14:textId="77777777" w:rsidR="007005FA" w:rsidRDefault="007005FA" w:rsidP="006168E4">
      <w:pPr>
        <w:spacing w:after="0" w:line="240" w:lineRule="auto"/>
      </w:pPr>
      <w:r>
        <w:separator/>
      </w:r>
    </w:p>
  </w:endnote>
  <w:endnote w:type="continuationSeparator" w:id="0">
    <w:p w14:paraId="5D63CC21" w14:textId="77777777" w:rsidR="007005FA" w:rsidRDefault="007005F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6931">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6931">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03376" w:rsidRPr="000B69FA" w:rsidRDefault="0090337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69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6931">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9BFB" w14:textId="77777777" w:rsidR="007005FA" w:rsidRDefault="007005FA" w:rsidP="006168E4">
      <w:pPr>
        <w:spacing w:after="0" w:line="240" w:lineRule="auto"/>
      </w:pPr>
      <w:r>
        <w:separator/>
      </w:r>
    </w:p>
  </w:footnote>
  <w:footnote w:type="continuationSeparator" w:id="0">
    <w:p w14:paraId="75F50EC7" w14:textId="77777777" w:rsidR="007005FA" w:rsidRDefault="007005FA" w:rsidP="006168E4">
      <w:pPr>
        <w:spacing w:after="0" w:line="240" w:lineRule="auto"/>
      </w:pPr>
      <w:r>
        <w:continuationSeparator/>
      </w:r>
    </w:p>
  </w:footnote>
  <w:footnote w:id="1">
    <w:p w14:paraId="0B4A0BF9" w14:textId="77777777" w:rsidR="00FD72CA" w:rsidRDefault="00FD72CA" w:rsidP="00FD72C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B9FD64" w14:textId="77777777" w:rsidR="00FD72CA" w:rsidRDefault="00FD72CA" w:rsidP="00FD72C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43AA611" w14:textId="77777777" w:rsidR="00FD72CA" w:rsidRDefault="00FD72CA" w:rsidP="00FD72CA">
      <w:pPr>
        <w:pStyle w:val="Textonotapie"/>
      </w:pPr>
      <w:r>
        <w:rPr>
          <w:rStyle w:val="Refdenotaalpie"/>
        </w:rPr>
        <w:footnoteRef/>
      </w:r>
      <w:r>
        <w:t xml:space="preserve"> Artículo 192. El recurso será sobreseído, en todo o en parte, cuando una vez admitido, se actualicen alguno de los siguientes supuestos: </w:t>
      </w:r>
    </w:p>
    <w:p w14:paraId="7901B19D" w14:textId="77777777" w:rsidR="00FD72CA" w:rsidRDefault="00FD72CA" w:rsidP="00FD72CA">
      <w:pPr>
        <w:pStyle w:val="Textonotapie"/>
      </w:pPr>
      <w:r>
        <w:t>I. El recurrente se desista expresamente del recurso;</w:t>
      </w:r>
    </w:p>
    <w:p w14:paraId="5107D343" w14:textId="77777777" w:rsidR="00FD72CA" w:rsidRDefault="00FD72CA" w:rsidP="00FD72CA">
      <w:pPr>
        <w:pStyle w:val="Textonotapie"/>
      </w:pPr>
      <w:r>
        <w:t>…</w:t>
      </w:r>
    </w:p>
  </w:footnote>
  <w:footnote w:id="3">
    <w:p w14:paraId="65EC490D" w14:textId="77777777" w:rsidR="001A4AFE" w:rsidRDefault="001A4AFE" w:rsidP="001A4AFE">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03376" w:rsidRDefault="0090337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9" name="Imagen 9"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03376" w14:paraId="17981A04" w14:textId="77777777" w:rsidTr="00083BAF">
      <w:trPr>
        <w:trHeight w:val="227"/>
      </w:trPr>
      <w:tc>
        <w:tcPr>
          <w:tcW w:w="5529" w:type="dxa"/>
          <w:hideMark/>
        </w:tcPr>
        <w:p w14:paraId="0E414BC5" w14:textId="19670DF2"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34CCB0B" w:rsidR="00903376" w:rsidRPr="00B4142F" w:rsidRDefault="003A241D" w:rsidP="0030272A">
          <w:pPr>
            <w:spacing w:after="120" w:line="240" w:lineRule="auto"/>
            <w:ind w:left="639" w:right="75"/>
            <w:jc w:val="right"/>
            <w:rPr>
              <w:rFonts w:ascii="Palatino Linotype" w:hAnsi="Palatino Linotype" w:cs="Arial"/>
              <w:szCs w:val="20"/>
            </w:rPr>
          </w:pPr>
          <w:r>
            <w:rPr>
              <w:rFonts w:ascii="Palatino Linotype" w:hAnsi="Palatino Linotype" w:cs="Arial"/>
              <w:bCs/>
              <w:sz w:val="24"/>
              <w:lang w:eastAsia="es-MX"/>
            </w:rPr>
            <w:t>0</w:t>
          </w:r>
          <w:r w:rsidR="00145E1B">
            <w:rPr>
              <w:rFonts w:ascii="Palatino Linotype" w:hAnsi="Palatino Linotype" w:cs="Arial"/>
              <w:bCs/>
              <w:sz w:val="24"/>
              <w:lang w:eastAsia="es-MX"/>
            </w:rPr>
            <w:t>0405/INFOEM/IP/RR/2022</w:t>
          </w:r>
          <w:r w:rsidR="00FA0DE9">
            <w:rPr>
              <w:rFonts w:ascii="Palatino Linotype" w:hAnsi="Palatino Linotype" w:cs="Arial"/>
              <w:bCs/>
              <w:sz w:val="24"/>
              <w:lang w:eastAsia="es-MX"/>
            </w:rPr>
            <w:t>.</w:t>
          </w:r>
        </w:p>
      </w:tc>
    </w:tr>
    <w:tr w:rsidR="00903376" w14:paraId="637042F0" w14:textId="77777777" w:rsidTr="00083BAF">
      <w:trPr>
        <w:trHeight w:val="242"/>
      </w:trPr>
      <w:tc>
        <w:tcPr>
          <w:tcW w:w="5529" w:type="dxa"/>
          <w:hideMark/>
        </w:tcPr>
        <w:p w14:paraId="412AD568" w14:textId="582E7AD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61B8828" w:rsidR="00903376" w:rsidRPr="00F06FED" w:rsidRDefault="00145E1B" w:rsidP="0030272A">
          <w:pPr>
            <w:spacing w:after="120" w:line="240" w:lineRule="auto"/>
            <w:ind w:left="639" w:right="75"/>
            <w:jc w:val="right"/>
            <w:rPr>
              <w:rFonts w:ascii="Palatino Linotype" w:hAnsi="Palatino Linotype" w:cs="Arial"/>
            </w:rPr>
          </w:pPr>
          <w:r w:rsidRPr="00145E1B">
            <w:rPr>
              <w:rFonts w:ascii="Palatino Linotype" w:hAnsi="Palatino Linotype" w:cs="Arial"/>
            </w:rPr>
            <w:t>Ayuntamiento de Tepotzotlán</w:t>
          </w:r>
          <w:r>
            <w:rPr>
              <w:rFonts w:ascii="Palatino Linotype" w:hAnsi="Palatino Linotype" w:cs="Arial"/>
            </w:rPr>
            <w:t>.</w:t>
          </w:r>
        </w:p>
      </w:tc>
    </w:tr>
    <w:tr w:rsidR="00903376" w14:paraId="21BFE746" w14:textId="77777777" w:rsidTr="00083BAF">
      <w:trPr>
        <w:trHeight w:val="342"/>
      </w:trPr>
      <w:tc>
        <w:tcPr>
          <w:tcW w:w="5529" w:type="dxa"/>
          <w:hideMark/>
        </w:tcPr>
        <w:p w14:paraId="64C4E314" w14:textId="1076886A" w:rsidR="00903376" w:rsidRDefault="00903376" w:rsidP="0030272A">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704853B3" w14:textId="4A7BCF75" w:rsidR="00903376" w:rsidRDefault="001A5573" w:rsidP="0030272A">
          <w:pPr>
            <w:spacing w:after="120" w:line="240" w:lineRule="auto"/>
            <w:ind w:left="497" w:right="75" w:firstLine="142"/>
            <w:jc w:val="right"/>
            <w:rPr>
              <w:rFonts w:ascii="Palatino Linotype" w:hAnsi="Palatino Linotype" w:cs="Arial"/>
              <w:szCs w:val="20"/>
            </w:rPr>
          </w:pPr>
          <w:r>
            <w:rPr>
              <w:rFonts w:ascii="Palatino Linotype" w:hAnsi="Palatino Linotype" w:cs="Arial"/>
              <w:szCs w:val="20"/>
            </w:rPr>
            <w:t>José Martínez Vilchis</w:t>
          </w:r>
          <w:r w:rsidR="00FA0DE9">
            <w:rPr>
              <w:rFonts w:ascii="Palatino Linotype" w:hAnsi="Palatino Linotype" w:cs="Arial"/>
              <w:szCs w:val="20"/>
            </w:rPr>
            <w:t>.</w:t>
          </w:r>
          <w:r>
            <w:rPr>
              <w:rFonts w:ascii="Palatino Linotype" w:hAnsi="Palatino Linotype" w:cs="Arial"/>
              <w:szCs w:val="20"/>
            </w:rPr>
            <w:t xml:space="preserve"> </w:t>
          </w:r>
        </w:p>
      </w:tc>
    </w:tr>
  </w:tbl>
  <w:p w14:paraId="5A183BF9" w14:textId="77777777" w:rsidR="00903376" w:rsidRDefault="009033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03376" w14:paraId="385FD437" w14:textId="77777777" w:rsidTr="00145E1B">
      <w:trPr>
        <w:trHeight w:val="273"/>
      </w:trPr>
      <w:tc>
        <w:tcPr>
          <w:tcW w:w="5529" w:type="dxa"/>
          <w:vAlign w:val="center"/>
          <w:hideMark/>
        </w:tcPr>
        <w:p w14:paraId="272860E8" w14:textId="6340DBC0"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vAlign w:val="center"/>
          <w:hideMark/>
        </w:tcPr>
        <w:p w14:paraId="531A70A2" w14:textId="7C9095BB" w:rsidR="00903376" w:rsidRPr="00B4142F" w:rsidRDefault="003A241D" w:rsidP="0030272A">
          <w:pPr>
            <w:spacing w:after="120" w:line="240" w:lineRule="auto"/>
            <w:ind w:left="639" w:right="75"/>
            <w:jc w:val="right"/>
            <w:rPr>
              <w:rFonts w:ascii="Palatino Linotype" w:hAnsi="Palatino Linotype" w:cs="Arial"/>
              <w:szCs w:val="20"/>
            </w:rPr>
          </w:pPr>
          <w:r>
            <w:rPr>
              <w:rFonts w:ascii="Palatino Linotype" w:hAnsi="Palatino Linotype" w:cs="Arial"/>
              <w:bCs/>
              <w:sz w:val="24"/>
              <w:lang w:eastAsia="es-MX"/>
            </w:rPr>
            <w:t>0</w:t>
          </w:r>
          <w:r w:rsidR="0072477E">
            <w:rPr>
              <w:rFonts w:ascii="Palatino Linotype" w:hAnsi="Palatino Linotype" w:cs="Arial"/>
              <w:bCs/>
              <w:sz w:val="24"/>
              <w:lang w:eastAsia="es-MX"/>
            </w:rPr>
            <w:t>0405/INFOEM/IP/RR/2022</w:t>
          </w:r>
          <w:r w:rsidR="00FA0DE9">
            <w:rPr>
              <w:rFonts w:ascii="Palatino Linotype" w:hAnsi="Palatino Linotype" w:cs="Arial"/>
              <w:bCs/>
              <w:sz w:val="24"/>
              <w:lang w:eastAsia="es-MX"/>
            </w:rPr>
            <w:t>.</w:t>
          </w:r>
        </w:p>
      </w:tc>
    </w:tr>
    <w:tr w:rsidR="00903376" w14:paraId="33FC5097" w14:textId="77777777" w:rsidTr="00145E1B">
      <w:trPr>
        <w:trHeight w:val="256"/>
      </w:trPr>
      <w:tc>
        <w:tcPr>
          <w:tcW w:w="5529" w:type="dxa"/>
          <w:vAlign w:val="center"/>
          <w:hideMark/>
        </w:tcPr>
        <w:p w14:paraId="4F5D01E5" w14:textId="7777777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vAlign w:val="center"/>
          <w:hideMark/>
        </w:tcPr>
        <w:p w14:paraId="3E1E85B5" w14:textId="2A8083A2" w:rsidR="00903376" w:rsidRPr="00F06FED" w:rsidRDefault="00145E1B" w:rsidP="0030272A">
          <w:pPr>
            <w:spacing w:after="120" w:line="240" w:lineRule="auto"/>
            <w:ind w:left="639" w:right="75"/>
            <w:jc w:val="right"/>
            <w:rPr>
              <w:rFonts w:ascii="Palatino Linotype" w:hAnsi="Palatino Linotype" w:cs="Arial"/>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A69DC75" wp14:editId="3C7B9321">
                <wp:simplePos x="0" y="0"/>
                <wp:positionH relativeFrom="page">
                  <wp:posOffset>-4033520</wp:posOffset>
                </wp:positionH>
                <wp:positionV relativeFrom="page">
                  <wp:posOffset>-784225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56931">
            <w:rPr>
              <w:rFonts w:ascii="Palatino Linotype" w:hAnsi="Palatino Linotype" w:cs="Arial"/>
            </w:rPr>
            <w:t>xxxx</w:t>
          </w:r>
          <w:r>
            <w:rPr>
              <w:rFonts w:ascii="Palatino Linotype" w:hAnsi="Palatino Linotype" w:cs="Arial"/>
            </w:rPr>
            <w:t>.</w:t>
          </w:r>
        </w:p>
      </w:tc>
    </w:tr>
    <w:tr w:rsidR="00903376" w14:paraId="178280DE" w14:textId="77777777" w:rsidTr="00145E1B">
      <w:trPr>
        <w:trHeight w:val="531"/>
      </w:trPr>
      <w:tc>
        <w:tcPr>
          <w:tcW w:w="5529" w:type="dxa"/>
          <w:vAlign w:val="center"/>
          <w:hideMark/>
        </w:tcPr>
        <w:p w14:paraId="71AC708B" w14:textId="77777777" w:rsidR="00903376" w:rsidRDefault="00903376" w:rsidP="0030272A">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14:paraId="7F666D78" w14:textId="3F9BC24B" w:rsidR="00903376" w:rsidRDefault="00145E1B" w:rsidP="0030272A">
          <w:pPr>
            <w:spacing w:after="120" w:line="240" w:lineRule="auto"/>
            <w:ind w:left="639" w:right="75"/>
            <w:jc w:val="right"/>
            <w:rPr>
              <w:rFonts w:ascii="Palatino Linotype" w:hAnsi="Palatino Linotype" w:cs="Arial"/>
              <w:szCs w:val="20"/>
            </w:rPr>
          </w:pPr>
          <w:r w:rsidRPr="00145E1B">
            <w:rPr>
              <w:rFonts w:ascii="Palatino Linotype" w:hAnsi="Palatino Linotype" w:cs="Arial"/>
              <w:szCs w:val="20"/>
            </w:rPr>
            <w:t>Ayuntamiento de Tepotzotlán</w:t>
          </w:r>
          <w:r>
            <w:rPr>
              <w:rFonts w:ascii="Palatino Linotype" w:hAnsi="Palatino Linotype" w:cs="Arial"/>
              <w:szCs w:val="20"/>
            </w:rPr>
            <w:t>.</w:t>
          </w:r>
        </w:p>
      </w:tc>
    </w:tr>
    <w:tr w:rsidR="00903376" w14:paraId="0518978B" w14:textId="77777777" w:rsidTr="00145E1B">
      <w:trPr>
        <w:trHeight w:val="342"/>
      </w:trPr>
      <w:tc>
        <w:tcPr>
          <w:tcW w:w="5529" w:type="dxa"/>
          <w:vAlign w:val="center"/>
          <w:hideMark/>
        </w:tcPr>
        <w:p w14:paraId="04968A43" w14:textId="68BD74E1" w:rsidR="00903376" w:rsidRDefault="00903376" w:rsidP="0030272A">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1A5573">
            <w:rPr>
              <w:rFonts w:ascii="Palatino Linotype" w:hAnsi="Palatino Linotype" w:cs="Arial"/>
              <w:b/>
              <w:szCs w:val="20"/>
            </w:rPr>
            <w:t>o</w:t>
          </w:r>
          <w:r>
            <w:rPr>
              <w:rFonts w:ascii="Palatino Linotype" w:hAnsi="Palatino Linotype" w:cs="Arial"/>
              <w:b/>
              <w:szCs w:val="20"/>
            </w:rPr>
            <w:t xml:space="preserve"> Ponente:</w:t>
          </w:r>
        </w:p>
      </w:tc>
      <w:tc>
        <w:tcPr>
          <w:tcW w:w="4536" w:type="dxa"/>
          <w:vAlign w:val="center"/>
          <w:hideMark/>
        </w:tcPr>
        <w:p w14:paraId="1E42D601" w14:textId="19E23EFE" w:rsidR="00903376" w:rsidRDefault="001A5573" w:rsidP="0030272A">
          <w:pPr>
            <w:spacing w:after="120" w:line="240" w:lineRule="auto"/>
            <w:ind w:left="639" w:right="75"/>
            <w:jc w:val="right"/>
            <w:rPr>
              <w:rFonts w:ascii="Palatino Linotype" w:hAnsi="Palatino Linotype" w:cs="Arial"/>
              <w:szCs w:val="20"/>
            </w:rPr>
          </w:pPr>
          <w:r>
            <w:rPr>
              <w:rFonts w:ascii="Palatino Linotype" w:hAnsi="Palatino Linotype" w:cs="Arial"/>
              <w:szCs w:val="20"/>
            </w:rPr>
            <w:t>José Martínez Vilchis</w:t>
          </w:r>
          <w:r w:rsidR="00FA0DE9">
            <w:rPr>
              <w:rFonts w:ascii="Palatino Linotype" w:hAnsi="Palatino Linotype" w:cs="Arial"/>
              <w:szCs w:val="20"/>
            </w:rPr>
            <w:t>.</w:t>
          </w:r>
        </w:p>
      </w:tc>
    </w:tr>
  </w:tbl>
  <w:p w14:paraId="1B7A654C" w14:textId="7E77A925" w:rsidR="00903376" w:rsidRDefault="009033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851"/>
    <w:multiLevelType w:val="hybridMultilevel"/>
    <w:tmpl w:val="ED521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753F3"/>
    <w:multiLevelType w:val="hybridMultilevel"/>
    <w:tmpl w:val="9DEC0E82"/>
    <w:lvl w:ilvl="0" w:tplc="36E436E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8B229A"/>
    <w:multiLevelType w:val="hybridMultilevel"/>
    <w:tmpl w:val="322C4DD0"/>
    <w:lvl w:ilvl="0" w:tplc="7F9852C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4B73F72"/>
    <w:multiLevelType w:val="hybridMultilevel"/>
    <w:tmpl w:val="BC5E14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8F2A36"/>
    <w:multiLevelType w:val="hybridMultilevel"/>
    <w:tmpl w:val="0E32E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2"/>
  </w:num>
  <w:num w:numId="5">
    <w:abstractNumId w:val="27"/>
  </w:num>
  <w:num w:numId="6">
    <w:abstractNumId w:val="3"/>
  </w:num>
  <w:num w:numId="7">
    <w:abstractNumId w:val="31"/>
  </w:num>
  <w:num w:numId="8">
    <w:abstractNumId w:val="7"/>
  </w:num>
  <w:num w:numId="9">
    <w:abstractNumId w:val="8"/>
  </w:num>
  <w:num w:numId="10">
    <w:abstractNumId w:val="29"/>
  </w:num>
  <w:num w:numId="11">
    <w:abstractNumId w:val="24"/>
  </w:num>
  <w:num w:numId="12">
    <w:abstractNumId w:val="32"/>
  </w:num>
  <w:num w:numId="13">
    <w:abstractNumId w:val="23"/>
  </w:num>
  <w:num w:numId="14">
    <w:abstractNumId w:val="33"/>
  </w:num>
  <w:num w:numId="15">
    <w:abstractNumId w:val="9"/>
  </w:num>
  <w:num w:numId="16">
    <w:abstractNumId w:val="3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26"/>
  </w:num>
  <w:num w:numId="21">
    <w:abstractNumId w:val="20"/>
  </w:num>
  <w:num w:numId="22">
    <w:abstractNumId w:val="19"/>
  </w:num>
  <w:num w:numId="23">
    <w:abstractNumId w:val="14"/>
  </w:num>
  <w:num w:numId="24">
    <w:abstractNumId w:val="15"/>
  </w:num>
  <w:num w:numId="25">
    <w:abstractNumId w:val="10"/>
  </w:num>
  <w:num w:numId="26">
    <w:abstractNumId w:val="4"/>
  </w:num>
  <w:num w:numId="27">
    <w:abstractNumId w:val="5"/>
  </w:num>
  <w:num w:numId="28">
    <w:abstractNumId w:val="34"/>
  </w:num>
  <w:num w:numId="29">
    <w:abstractNumId w:val="12"/>
  </w:num>
  <w:num w:numId="30">
    <w:abstractNumId w:val="17"/>
  </w:num>
  <w:num w:numId="31">
    <w:abstractNumId w:val="0"/>
  </w:num>
  <w:num w:numId="32">
    <w:abstractNumId w:val="35"/>
  </w:num>
  <w:num w:numId="33">
    <w:abstractNumId w:val="16"/>
  </w:num>
  <w:num w:numId="34">
    <w:abstractNumId w:val="25"/>
  </w:num>
  <w:num w:numId="35">
    <w:abstractNumId w:val="28"/>
  </w:num>
  <w:num w:numId="36">
    <w:abstractNumId w:val="22"/>
  </w:num>
  <w:num w:numId="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091B"/>
    <w:rsid w:val="0004186E"/>
    <w:rsid w:val="00044C7F"/>
    <w:rsid w:val="000451BE"/>
    <w:rsid w:val="00045379"/>
    <w:rsid w:val="00045CB8"/>
    <w:rsid w:val="000461D6"/>
    <w:rsid w:val="000508FA"/>
    <w:rsid w:val="0005171D"/>
    <w:rsid w:val="00055224"/>
    <w:rsid w:val="00060830"/>
    <w:rsid w:val="00061821"/>
    <w:rsid w:val="000623F9"/>
    <w:rsid w:val="00063A10"/>
    <w:rsid w:val="00064EA6"/>
    <w:rsid w:val="000662F8"/>
    <w:rsid w:val="00070E99"/>
    <w:rsid w:val="00073E78"/>
    <w:rsid w:val="00073FC2"/>
    <w:rsid w:val="00076AE0"/>
    <w:rsid w:val="0007756F"/>
    <w:rsid w:val="0008033D"/>
    <w:rsid w:val="0008151E"/>
    <w:rsid w:val="000821BF"/>
    <w:rsid w:val="00083BAF"/>
    <w:rsid w:val="00085007"/>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0FEC"/>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55B8"/>
    <w:rsid w:val="00136C13"/>
    <w:rsid w:val="00136FAD"/>
    <w:rsid w:val="00140557"/>
    <w:rsid w:val="001408A0"/>
    <w:rsid w:val="001439C9"/>
    <w:rsid w:val="00145E1B"/>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2AE"/>
    <w:rsid w:val="001854E1"/>
    <w:rsid w:val="0018577F"/>
    <w:rsid w:val="00193784"/>
    <w:rsid w:val="00194676"/>
    <w:rsid w:val="00196DCE"/>
    <w:rsid w:val="00196FE9"/>
    <w:rsid w:val="001A02EC"/>
    <w:rsid w:val="001A1756"/>
    <w:rsid w:val="001A30F5"/>
    <w:rsid w:val="001A4643"/>
    <w:rsid w:val="001A4AFE"/>
    <w:rsid w:val="001A4BAD"/>
    <w:rsid w:val="001A5573"/>
    <w:rsid w:val="001A5630"/>
    <w:rsid w:val="001A577E"/>
    <w:rsid w:val="001A7484"/>
    <w:rsid w:val="001A7959"/>
    <w:rsid w:val="001A7C9B"/>
    <w:rsid w:val="001B05B9"/>
    <w:rsid w:val="001B6914"/>
    <w:rsid w:val="001B7B88"/>
    <w:rsid w:val="001B7FA2"/>
    <w:rsid w:val="001C1337"/>
    <w:rsid w:val="001C1CAF"/>
    <w:rsid w:val="001C50EE"/>
    <w:rsid w:val="001C7319"/>
    <w:rsid w:val="001C7715"/>
    <w:rsid w:val="001C7D87"/>
    <w:rsid w:val="001D23B4"/>
    <w:rsid w:val="001D27C1"/>
    <w:rsid w:val="001D3E87"/>
    <w:rsid w:val="001D49A2"/>
    <w:rsid w:val="001D627A"/>
    <w:rsid w:val="001D6B60"/>
    <w:rsid w:val="001E0C3F"/>
    <w:rsid w:val="001E11BF"/>
    <w:rsid w:val="001E5168"/>
    <w:rsid w:val="001E58D8"/>
    <w:rsid w:val="001E78AA"/>
    <w:rsid w:val="001F09FC"/>
    <w:rsid w:val="001F2101"/>
    <w:rsid w:val="001F2360"/>
    <w:rsid w:val="001F3969"/>
    <w:rsid w:val="001F61DA"/>
    <w:rsid w:val="00204420"/>
    <w:rsid w:val="00205ACD"/>
    <w:rsid w:val="002075A5"/>
    <w:rsid w:val="00212A9D"/>
    <w:rsid w:val="0021501E"/>
    <w:rsid w:val="00215192"/>
    <w:rsid w:val="002205C0"/>
    <w:rsid w:val="00221889"/>
    <w:rsid w:val="002248AC"/>
    <w:rsid w:val="002258B8"/>
    <w:rsid w:val="002258F9"/>
    <w:rsid w:val="00226AF5"/>
    <w:rsid w:val="0023373D"/>
    <w:rsid w:val="0023423C"/>
    <w:rsid w:val="002420E3"/>
    <w:rsid w:val="002448CB"/>
    <w:rsid w:val="00250EDE"/>
    <w:rsid w:val="002525C7"/>
    <w:rsid w:val="002526E7"/>
    <w:rsid w:val="00254BA9"/>
    <w:rsid w:val="00255FE8"/>
    <w:rsid w:val="002577FE"/>
    <w:rsid w:val="00261125"/>
    <w:rsid w:val="002659E9"/>
    <w:rsid w:val="00267074"/>
    <w:rsid w:val="00267244"/>
    <w:rsid w:val="002717B7"/>
    <w:rsid w:val="00273D0E"/>
    <w:rsid w:val="00274159"/>
    <w:rsid w:val="00274BE8"/>
    <w:rsid w:val="002765A6"/>
    <w:rsid w:val="00277C58"/>
    <w:rsid w:val="0028588E"/>
    <w:rsid w:val="00286784"/>
    <w:rsid w:val="002922AD"/>
    <w:rsid w:val="00292BF6"/>
    <w:rsid w:val="00293A18"/>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272A"/>
    <w:rsid w:val="00304D88"/>
    <w:rsid w:val="003056A2"/>
    <w:rsid w:val="00306096"/>
    <w:rsid w:val="00306ADD"/>
    <w:rsid w:val="00307369"/>
    <w:rsid w:val="003107AB"/>
    <w:rsid w:val="003111C0"/>
    <w:rsid w:val="00311616"/>
    <w:rsid w:val="003159DD"/>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61B9C"/>
    <w:rsid w:val="00365C45"/>
    <w:rsid w:val="00371031"/>
    <w:rsid w:val="003736ED"/>
    <w:rsid w:val="00374444"/>
    <w:rsid w:val="003756A4"/>
    <w:rsid w:val="00376114"/>
    <w:rsid w:val="00376CEC"/>
    <w:rsid w:val="00380758"/>
    <w:rsid w:val="003827B4"/>
    <w:rsid w:val="00383C82"/>
    <w:rsid w:val="00384EB7"/>
    <w:rsid w:val="00386BBB"/>
    <w:rsid w:val="00386D84"/>
    <w:rsid w:val="003875C6"/>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60C0"/>
    <w:rsid w:val="0044721E"/>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555B"/>
    <w:rsid w:val="00475F48"/>
    <w:rsid w:val="0047718A"/>
    <w:rsid w:val="00477430"/>
    <w:rsid w:val="00477CC2"/>
    <w:rsid w:val="00480C13"/>
    <w:rsid w:val="0048180A"/>
    <w:rsid w:val="00481C7A"/>
    <w:rsid w:val="004836B3"/>
    <w:rsid w:val="00485906"/>
    <w:rsid w:val="004906C8"/>
    <w:rsid w:val="0049459B"/>
    <w:rsid w:val="00494AEC"/>
    <w:rsid w:val="00495252"/>
    <w:rsid w:val="004964B5"/>
    <w:rsid w:val="0049675F"/>
    <w:rsid w:val="004967E2"/>
    <w:rsid w:val="0049785D"/>
    <w:rsid w:val="004A1436"/>
    <w:rsid w:val="004A290F"/>
    <w:rsid w:val="004A5FFD"/>
    <w:rsid w:val="004A7195"/>
    <w:rsid w:val="004A7CE2"/>
    <w:rsid w:val="004B0DED"/>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0D20"/>
    <w:rsid w:val="00521A89"/>
    <w:rsid w:val="00521E57"/>
    <w:rsid w:val="00523D92"/>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74E"/>
    <w:rsid w:val="005733EB"/>
    <w:rsid w:val="00575485"/>
    <w:rsid w:val="00580802"/>
    <w:rsid w:val="00581A22"/>
    <w:rsid w:val="005833A8"/>
    <w:rsid w:val="0058661B"/>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CD1"/>
    <w:rsid w:val="005C3E35"/>
    <w:rsid w:val="005C40CB"/>
    <w:rsid w:val="005C5BAE"/>
    <w:rsid w:val="005C687E"/>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64AA"/>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783"/>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05FA"/>
    <w:rsid w:val="00701033"/>
    <w:rsid w:val="007024E8"/>
    <w:rsid w:val="007027DB"/>
    <w:rsid w:val="0070371E"/>
    <w:rsid w:val="00705F8F"/>
    <w:rsid w:val="007064F6"/>
    <w:rsid w:val="007078A3"/>
    <w:rsid w:val="00711536"/>
    <w:rsid w:val="007129C0"/>
    <w:rsid w:val="00713390"/>
    <w:rsid w:val="007142B5"/>
    <w:rsid w:val="007154F0"/>
    <w:rsid w:val="00716BFE"/>
    <w:rsid w:val="00720774"/>
    <w:rsid w:val="007234D1"/>
    <w:rsid w:val="0072477E"/>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6904"/>
    <w:rsid w:val="007B7A6F"/>
    <w:rsid w:val="007C2C6B"/>
    <w:rsid w:val="007C4343"/>
    <w:rsid w:val="007C5773"/>
    <w:rsid w:val="007C7FF1"/>
    <w:rsid w:val="007D0D01"/>
    <w:rsid w:val="007D15EF"/>
    <w:rsid w:val="007D1A27"/>
    <w:rsid w:val="007D1B24"/>
    <w:rsid w:val="007D1F15"/>
    <w:rsid w:val="007D25B1"/>
    <w:rsid w:val="007D2878"/>
    <w:rsid w:val="007D300A"/>
    <w:rsid w:val="007D3E2A"/>
    <w:rsid w:val="007D661B"/>
    <w:rsid w:val="007E1016"/>
    <w:rsid w:val="007E26F8"/>
    <w:rsid w:val="007E3A35"/>
    <w:rsid w:val="007E5726"/>
    <w:rsid w:val="007E7BAB"/>
    <w:rsid w:val="007E7C17"/>
    <w:rsid w:val="007E7DCE"/>
    <w:rsid w:val="007F0560"/>
    <w:rsid w:val="007F0DF4"/>
    <w:rsid w:val="007F1347"/>
    <w:rsid w:val="007F20AC"/>
    <w:rsid w:val="007F43BD"/>
    <w:rsid w:val="007F53D4"/>
    <w:rsid w:val="007F6C8E"/>
    <w:rsid w:val="007F7C71"/>
    <w:rsid w:val="008000A0"/>
    <w:rsid w:val="00800927"/>
    <w:rsid w:val="008016F1"/>
    <w:rsid w:val="00802C56"/>
    <w:rsid w:val="0080421D"/>
    <w:rsid w:val="0080447F"/>
    <w:rsid w:val="00804BD9"/>
    <w:rsid w:val="00805270"/>
    <w:rsid w:val="00806148"/>
    <w:rsid w:val="008111EB"/>
    <w:rsid w:val="00811205"/>
    <w:rsid w:val="00811D16"/>
    <w:rsid w:val="00812314"/>
    <w:rsid w:val="00812C48"/>
    <w:rsid w:val="008146F9"/>
    <w:rsid w:val="00814D55"/>
    <w:rsid w:val="00817C2B"/>
    <w:rsid w:val="008230AE"/>
    <w:rsid w:val="00824DCD"/>
    <w:rsid w:val="00831D3F"/>
    <w:rsid w:val="00832986"/>
    <w:rsid w:val="00833DB5"/>
    <w:rsid w:val="00835692"/>
    <w:rsid w:val="00836D30"/>
    <w:rsid w:val="008404C9"/>
    <w:rsid w:val="008419A8"/>
    <w:rsid w:val="008436AD"/>
    <w:rsid w:val="00844569"/>
    <w:rsid w:val="00846539"/>
    <w:rsid w:val="0084766D"/>
    <w:rsid w:val="00847D23"/>
    <w:rsid w:val="00852AB8"/>
    <w:rsid w:val="00855544"/>
    <w:rsid w:val="00856D15"/>
    <w:rsid w:val="0086020D"/>
    <w:rsid w:val="00863327"/>
    <w:rsid w:val="00867B2F"/>
    <w:rsid w:val="00870F44"/>
    <w:rsid w:val="00873440"/>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6139"/>
    <w:rsid w:val="008A75BE"/>
    <w:rsid w:val="008B00BD"/>
    <w:rsid w:val="008B14D0"/>
    <w:rsid w:val="008B5026"/>
    <w:rsid w:val="008C2BCF"/>
    <w:rsid w:val="008C32A8"/>
    <w:rsid w:val="008C55A3"/>
    <w:rsid w:val="008C5EC3"/>
    <w:rsid w:val="008D06E0"/>
    <w:rsid w:val="008D1DFF"/>
    <w:rsid w:val="008D29A7"/>
    <w:rsid w:val="008D2F5B"/>
    <w:rsid w:val="008E6375"/>
    <w:rsid w:val="008E7DB4"/>
    <w:rsid w:val="008F10A6"/>
    <w:rsid w:val="008F16D2"/>
    <w:rsid w:val="008F3674"/>
    <w:rsid w:val="008F4944"/>
    <w:rsid w:val="008F4C65"/>
    <w:rsid w:val="0090155A"/>
    <w:rsid w:val="009020E0"/>
    <w:rsid w:val="0090233A"/>
    <w:rsid w:val="00903376"/>
    <w:rsid w:val="00903410"/>
    <w:rsid w:val="00905422"/>
    <w:rsid w:val="00910B4E"/>
    <w:rsid w:val="009128A7"/>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21C"/>
    <w:rsid w:val="009634AB"/>
    <w:rsid w:val="00964573"/>
    <w:rsid w:val="00965FEE"/>
    <w:rsid w:val="0096643B"/>
    <w:rsid w:val="009706B5"/>
    <w:rsid w:val="00970CE3"/>
    <w:rsid w:val="009718BF"/>
    <w:rsid w:val="00972BDF"/>
    <w:rsid w:val="0097390F"/>
    <w:rsid w:val="0098182D"/>
    <w:rsid w:val="00985C4C"/>
    <w:rsid w:val="0098704B"/>
    <w:rsid w:val="00993821"/>
    <w:rsid w:val="009940F6"/>
    <w:rsid w:val="00994280"/>
    <w:rsid w:val="0099622A"/>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0984"/>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4CA5"/>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9B2"/>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0067"/>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3133"/>
    <w:rsid w:val="00B34CA9"/>
    <w:rsid w:val="00B35797"/>
    <w:rsid w:val="00B35A93"/>
    <w:rsid w:val="00B3672D"/>
    <w:rsid w:val="00B40656"/>
    <w:rsid w:val="00B40F8A"/>
    <w:rsid w:val="00B418C8"/>
    <w:rsid w:val="00B4745C"/>
    <w:rsid w:val="00B50AAA"/>
    <w:rsid w:val="00B544D9"/>
    <w:rsid w:val="00B5641B"/>
    <w:rsid w:val="00B564E0"/>
    <w:rsid w:val="00B60F06"/>
    <w:rsid w:val="00B61B70"/>
    <w:rsid w:val="00B658D4"/>
    <w:rsid w:val="00B70133"/>
    <w:rsid w:val="00B70C92"/>
    <w:rsid w:val="00B7481A"/>
    <w:rsid w:val="00B75A2C"/>
    <w:rsid w:val="00B813AC"/>
    <w:rsid w:val="00B823B0"/>
    <w:rsid w:val="00B8287F"/>
    <w:rsid w:val="00B8376C"/>
    <w:rsid w:val="00B84260"/>
    <w:rsid w:val="00B86811"/>
    <w:rsid w:val="00B8738D"/>
    <w:rsid w:val="00B91F0B"/>
    <w:rsid w:val="00B9223B"/>
    <w:rsid w:val="00B92D47"/>
    <w:rsid w:val="00B9306F"/>
    <w:rsid w:val="00B961A5"/>
    <w:rsid w:val="00BA18D5"/>
    <w:rsid w:val="00BA1FC4"/>
    <w:rsid w:val="00BA49CC"/>
    <w:rsid w:val="00BA4D1F"/>
    <w:rsid w:val="00BA7AD1"/>
    <w:rsid w:val="00BB0B9D"/>
    <w:rsid w:val="00BB1CC2"/>
    <w:rsid w:val="00BB2250"/>
    <w:rsid w:val="00BB4F63"/>
    <w:rsid w:val="00BB4FA9"/>
    <w:rsid w:val="00BB744D"/>
    <w:rsid w:val="00BB7708"/>
    <w:rsid w:val="00BC0FDD"/>
    <w:rsid w:val="00BC22E0"/>
    <w:rsid w:val="00BC4AA7"/>
    <w:rsid w:val="00BC5852"/>
    <w:rsid w:val="00BD293B"/>
    <w:rsid w:val="00BD5425"/>
    <w:rsid w:val="00BD6F2F"/>
    <w:rsid w:val="00BD705F"/>
    <w:rsid w:val="00BE0305"/>
    <w:rsid w:val="00BE28ED"/>
    <w:rsid w:val="00BE55D6"/>
    <w:rsid w:val="00BE61B8"/>
    <w:rsid w:val="00BF030A"/>
    <w:rsid w:val="00BF2EA1"/>
    <w:rsid w:val="00BF543F"/>
    <w:rsid w:val="00BF6902"/>
    <w:rsid w:val="00BF7421"/>
    <w:rsid w:val="00C01E2A"/>
    <w:rsid w:val="00C06E2B"/>
    <w:rsid w:val="00C07650"/>
    <w:rsid w:val="00C07683"/>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931"/>
    <w:rsid w:val="00C56C17"/>
    <w:rsid w:val="00C65944"/>
    <w:rsid w:val="00C66829"/>
    <w:rsid w:val="00C71A4B"/>
    <w:rsid w:val="00C71CD1"/>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2AE4"/>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57651"/>
    <w:rsid w:val="00D6188C"/>
    <w:rsid w:val="00D61959"/>
    <w:rsid w:val="00D62F3F"/>
    <w:rsid w:val="00D6340F"/>
    <w:rsid w:val="00D6781D"/>
    <w:rsid w:val="00D67D98"/>
    <w:rsid w:val="00D72D16"/>
    <w:rsid w:val="00D7412C"/>
    <w:rsid w:val="00D75521"/>
    <w:rsid w:val="00D75B88"/>
    <w:rsid w:val="00D8195B"/>
    <w:rsid w:val="00D83503"/>
    <w:rsid w:val="00D84724"/>
    <w:rsid w:val="00D84B6C"/>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10E"/>
    <w:rsid w:val="00DC588B"/>
    <w:rsid w:val="00DC64BF"/>
    <w:rsid w:val="00DD0123"/>
    <w:rsid w:val="00DD13E2"/>
    <w:rsid w:val="00DD6E26"/>
    <w:rsid w:val="00DD7977"/>
    <w:rsid w:val="00DE343C"/>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0C99"/>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1E5F"/>
    <w:rsid w:val="00E644A0"/>
    <w:rsid w:val="00E67395"/>
    <w:rsid w:val="00E70778"/>
    <w:rsid w:val="00E72707"/>
    <w:rsid w:val="00E72AE3"/>
    <w:rsid w:val="00E7349C"/>
    <w:rsid w:val="00E73B51"/>
    <w:rsid w:val="00E75790"/>
    <w:rsid w:val="00E763BC"/>
    <w:rsid w:val="00E76F97"/>
    <w:rsid w:val="00E80180"/>
    <w:rsid w:val="00E8129E"/>
    <w:rsid w:val="00E81A2B"/>
    <w:rsid w:val="00E81E42"/>
    <w:rsid w:val="00E83A01"/>
    <w:rsid w:val="00E861BA"/>
    <w:rsid w:val="00E91EBF"/>
    <w:rsid w:val="00E97676"/>
    <w:rsid w:val="00EA1CE1"/>
    <w:rsid w:val="00EA1F89"/>
    <w:rsid w:val="00EA63E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F02923"/>
    <w:rsid w:val="00F0351B"/>
    <w:rsid w:val="00F0391E"/>
    <w:rsid w:val="00F04089"/>
    <w:rsid w:val="00F06275"/>
    <w:rsid w:val="00F06472"/>
    <w:rsid w:val="00F123EC"/>
    <w:rsid w:val="00F14613"/>
    <w:rsid w:val="00F153D2"/>
    <w:rsid w:val="00F16331"/>
    <w:rsid w:val="00F16803"/>
    <w:rsid w:val="00F16CA3"/>
    <w:rsid w:val="00F22566"/>
    <w:rsid w:val="00F22963"/>
    <w:rsid w:val="00F30AEF"/>
    <w:rsid w:val="00F32406"/>
    <w:rsid w:val="00F378B2"/>
    <w:rsid w:val="00F403EA"/>
    <w:rsid w:val="00F40B51"/>
    <w:rsid w:val="00F40E4D"/>
    <w:rsid w:val="00F417FE"/>
    <w:rsid w:val="00F41DE4"/>
    <w:rsid w:val="00F41F3D"/>
    <w:rsid w:val="00F42499"/>
    <w:rsid w:val="00F42753"/>
    <w:rsid w:val="00F46CE7"/>
    <w:rsid w:val="00F471AE"/>
    <w:rsid w:val="00F510DB"/>
    <w:rsid w:val="00F548C1"/>
    <w:rsid w:val="00F604E0"/>
    <w:rsid w:val="00F63013"/>
    <w:rsid w:val="00F63C01"/>
    <w:rsid w:val="00F648E3"/>
    <w:rsid w:val="00F6501E"/>
    <w:rsid w:val="00F70615"/>
    <w:rsid w:val="00F72722"/>
    <w:rsid w:val="00F727B0"/>
    <w:rsid w:val="00F74F02"/>
    <w:rsid w:val="00F7598B"/>
    <w:rsid w:val="00F82A55"/>
    <w:rsid w:val="00F87ADD"/>
    <w:rsid w:val="00F914FD"/>
    <w:rsid w:val="00F9164E"/>
    <w:rsid w:val="00F92D2B"/>
    <w:rsid w:val="00F952BF"/>
    <w:rsid w:val="00F95515"/>
    <w:rsid w:val="00F9574E"/>
    <w:rsid w:val="00F974AA"/>
    <w:rsid w:val="00FA0DE9"/>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72CA"/>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BD46B406-999D-4F35-89A8-45181B8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8322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5837922">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7355332">
      <w:bodyDiv w:val="1"/>
      <w:marLeft w:val="0"/>
      <w:marRight w:val="0"/>
      <w:marTop w:val="0"/>
      <w:marBottom w:val="0"/>
      <w:divBdr>
        <w:top w:val="none" w:sz="0" w:space="0" w:color="auto"/>
        <w:left w:val="none" w:sz="0" w:space="0" w:color="auto"/>
        <w:bottom w:val="none" w:sz="0" w:space="0" w:color="auto"/>
        <w:right w:val="none" w:sz="0" w:space="0" w:color="auto"/>
      </w:divBdr>
    </w:div>
    <w:div w:id="633291911">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65155271">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7986739">
      <w:bodyDiv w:val="1"/>
      <w:marLeft w:val="0"/>
      <w:marRight w:val="0"/>
      <w:marTop w:val="0"/>
      <w:marBottom w:val="0"/>
      <w:divBdr>
        <w:top w:val="none" w:sz="0" w:space="0" w:color="auto"/>
        <w:left w:val="none" w:sz="0" w:space="0" w:color="auto"/>
        <w:bottom w:val="none" w:sz="0" w:space="0" w:color="auto"/>
        <w:right w:val="none" w:sz="0" w:space="0" w:color="auto"/>
      </w:divBdr>
    </w:div>
    <w:div w:id="87565373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9354970">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82809052">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868616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6206115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75075387">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90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DBE6A-7B4E-4D38-9D69-34EABB9E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3406</Words>
  <Characters>18738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2018-12-04T20:35:00Z</cp:lastPrinted>
  <dcterms:created xsi:type="dcterms:W3CDTF">2022-03-17T02:08:00Z</dcterms:created>
  <dcterms:modified xsi:type="dcterms:W3CDTF">2022-04-07T18:14:00Z</dcterms:modified>
</cp:coreProperties>
</file>